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bCs/>
          <w:sz w:val="48"/>
          <w:szCs w:val="48"/>
        </w:rPr>
      </w:pPr>
      <w:r>
        <w:rPr>
          <w:rFonts w:hint="eastAsia" w:ascii="宋体" w:hAnsi="宋体" w:cs="宋体"/>
          <w:b/>
          <w:bCs/>
          <w:sz w:val="48"/>
          <w:szCs w:val="48"/>
          <w:lang w:val="en-US" w:eastAsia="zh-CN"/>
        </w:rPr>
        <w:t xml:space="preserve">   </w:t>
      </w:r>
      <w:r>
        <w:rPr>
          <w:rFonts w:hint="eastAsia" w:ascii="宋体" w:hAnsi="宋体" w:cs="宋体"/>
          <w:b/>
          <w:bCs/>
          <w:sz w:val="48"/>
          <w:szCs w:val="48"/>
        </w:rPr>
        <w:t>诸暨市</w:t>
      </w:r>
      <w:r>
        <w:rPr>
          <w:rFonts w:hint="eastAsia" w:ascii="宋体" w:hAnsi="宋体" w:cs="宋体"/>
          <w:b/>
          <w:bCs/>
          <w:sz w:val="48"/>
          <w:szCs w:val="48"/>
          <w:lang w:eastAsia="zh-CN"/>
        </w:rPr>
        <w:t>人民医院医疗器械</w:t>
      </w:r>
      <w:r>
        <w:rPr>
          <w:rFonts w:hint="eastAsia" w:ascii="宋体" w:hAnsi="宋体" w:cs="宋体"/>
          <w:b/>
          <w:bCs/>
          <w:sz w:val="48"/>
          <w:szCs w:val="48"/>
        </w:rPr>
        <w:t>采购项目</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w:t>
      </w:r>
      <w:r>
        <w:rPr>
          <w:rFonts w:hint="eastAsia" w:ascii="宋体" w:hAnsi="宋体" w:cs="宋体"/>
          <w:bCs/>
          <w:sz w:val="44"/>
          <w:szCs w:val="44"/>
        </w:rPr>
        <w:t>（电子招投标）</w:t>
      </w:r>
    </w:p>
    <w:p>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编号:诸政采202</w:t>
      </w:r>
      <w:r>
        <w:rPr>
          <w:rFonts w:hint="eastAsia" w:ascii="宋体" w:hAnsi="宋体" w:cs="宋体"/>
          <w:sz w:val="30"/>
          <w:szCs w:val="30"/>
          <w:lang w:val="en-US" w:eastAsia="zh-CN"/>
        </w:rPr>
        <w:t>5</w:t>
      </w:r>
      <w:r>
        <w:rPr>
          <w:rFonts w:hint="eastAsia" w:ascii="宋体" w:hAnsi="宋体" w:cs="宋体"/>
          <w:sz w:val="30"/>
          <w:szCs w:val="30"/>
        </w:rPr>
        <w:t>-</w:t>
      </w:r>
      <w:r>
        <w:rPr>
          <w:rFonts w:hint="eastAsia" w:ascii="宋体" w:hAnsi="宋体" w:cs="宋体"/>
          <w:sz w:val="30"/>
          <w:szCs w:val="30"/>
          <w:lang w:val="en-US" w:eastAsia="zh-CN"/>
        </w:rPr>
        <w:t>07-05</w:t>
      </w:r>
    </w:p>
    <w:p>
      <w:pPr>
        <w:adjustRightInd/>
        <w:spacing w:line="360" w:lineRule="auto"/>
        <w:rPr>
          <w:rFonts w:ascii="仿宋" w:hAnsi="仿宋" w:eastAsia="仿宋" w:cs="仿宋_GB2312"/>
          <w:sz w:val="28"/>
          <w:szCs w:val="20"/>
        </w:rPr>
      </w:pPr>
    </w:p>
    <w:p>
      <w:pPr>
        <w:adjustRightInd/>
        <w:spacing w:line="360" w:lineRule="auto"/>
        <w:jc w:val="center"/>
        <w:rPr>
          <w:rFonts w:ascii="仿宋" w:hAnsi="仿宋" w:eastAsia="仿宋" w:cs="仿宋"/>
          <w:b/>
          <w:bCs/>
          <w:sz w:val="72"/>
          <w:szCs w:val="72"/>
        </w:rPr>
      </w:pP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招</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标</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文</w:t>
      </w:r>
    </w:p>
    <w:p>
      <w:pPr>
        <w:spacing w:line="360" w:lineRule="auto"/>
        <w:jc w:val="center"/>
        <w:rPr>
          <w:rFonts w:ascii="仿宋" w:hAnsi="仿宋" w:eastAsia="仿宋" w:cs="仿宋_GB2312"/>
          <w:b/>
          <w:sz w:val="44"/>
          <w:szCs w:val="44"/>
        </w:rPr>
      </w:pPr>
      <w:r>
        <w:rPr>
          <w:rFonts w:hint="eastAsia" w:ascii="仿宋" w:hAnsi="仿宋" w:eastAsia="仿宋" w:cs="仿宋"/>
          <w:b/>
          <w:bCs/>
          <w:sz w:val="72"/>
          <w:szCs w:val="72"/>
        </w:rPr>
        <w:t>件</w:t>
      </w:r>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bCs/>
          <w:sz w:val="32"/>
          <w:szCs w:val="32"/>
        </w:rPr>
      </w:pPr>
    </w:p>
    <w:p>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rPr>
        <w:t>诸暨市</w:t>
      </w:r>
      <w:r>
        <w:rPr>
          <w:rFonts w:hint="eastAsia" w:ascii="宋体" w:hAnsi="宋体" w:cs="宋体"/>
          <w:bCs/>
          <w:sz w:val="32"/>
          <w:szCs w:val="32"/>
          <w:lang w:eastAsia="zh-CN"/>
        </w:rPr>
        <w:t>人民医院</w:t>
      </w:r>
    </w:p>
    <w:p>
      <w:pPr>
        <w:spacing w:line="360" w:lineRule="auto"/>
        <w:jc w:val="center"/>
        <w:rPr>
          <w:rFonts w:ascii="宋体" w:hAnsi="宋体" w:cs="宋体"/>
          <w:bCs/>
          <w:sz w:val="32"/>
          <w:szCs w:val="32"/>
        </w:rPr>
      </w:pPr>
      <w:r>
        <w:rPr>
          <w:rFonts w:hint="eastAsia" w:ascii="宋体" w:hAnsi="宋体" w:cs="宋体"/>
          <w:bCs/>
          <w:sz w:val="32"/>
          <w:szCs w:val="32"/>
          <w:lang w:val="en-US" w:eastAsia="zh-CN"/>
        </w:rPr>
        <w:t xml:space="preserve"> </w:t>
      </w:r>
      <w:r>
        <w:rPr>
          <w:rFonts w:hint="eastAsia" w:ascii="宋体" w:hAnsi="宋体" w:cs="宋体"/>
          <w:bCs/>
          <w:sz w:val="32"/>
          <w:szCs w:val="32"/>
        </w:rPr>
        <w:t>诸暨市公共资源交易中心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pPr>
        <w:spacing w:line="360" w:lineRule="auto"/>
        <w:jc w:val="center"/>
        <w:rPr>
          <w:rFonts w:ascii="仿宋" w:hAnsi="仿宋" w:eastAsia="仿宋" w:cs="仿宋_GB2312"/>
          <w:b/>
          <w:sz w:val="48"/>
          <w:szCs w:val="48"/>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0" w:name="_Hlt91233176"/>
      <w:bookmarkEnd w:id="0"/>
      <w:bookmarkStart w:id="1"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宋体" w:hAnsi="宋体" w:cs="宋体"/>
          <w:b/>
          <w:sz w:val="36"/>
          <w:szCs w:val="20"/>
        </w:rPr>
      </w:pPr>
      <w:bookmarkStart w:id="2" w:name="第一部分"/>
      <w:r>
        <w:rPr>
          <w:rFonts w:ascii="仿宋" w:hAnsi="仿宋" w:eastAsia="仿宋" w:cs="仿宋_GB2312"/>
          <w:b/>
          <w:sz w:val="36"/>
          <w:szCs w:val="36"/>
        </w:rPr>
        <w:br w:type="page"/>
      </w:r>
      <w:bookmarkEnd w:id="1"/>
      <w:bookmarkEnd w:id="2"/>
      <w:bookmarkStart w:id="3" w:name="_Hlt74707423"/>
      <w:bookmarkEnd w:id="3"/>
      <w:bookmarkStart w:id="4" w:name="_Hlt74729822"/>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诸暨市</w:t>
      </w:r>
      <w:r>
        <w:rPr>
          <w:rFonts w:hint="eastAsia" w:ascii="宋体" w:hAnsi="宋体" w:cs="宋体"/>
          <w:sz w:val="24"/>
          <w:u w:val="single"/>
          <w:lang w:eastAsia="zh-CN"/>
        </w:rPr>
        <w:t>人民医院医疗器械</w:t>
      </w:r>
      <w:r>
        <w:rPr>
          <w:rFonts w:hint="eastAsia" w:ascii="宋体" w:hAnsi="宋体" w:cs="宋体"/>
          <w:sz w:val="24"/>
          <w:u w:val="single"/>
        </w:rPr>
        <w:t>采购项目</w:t>
      </w:r>
      <w:r>
        <w:rPr>
          <w:rFonts w:hint="eastAsia" w:ascii="宋体" w:hAnsi="宋体" w:cs="宋体"/>
          <w:sz w:val="24"/>
        </w:rPr>
        <w:t>的潜在投标人应在浙江政府采购网“政府采购云平台”</w:t>
      </w:r>
      <w:r>
        <w:fldChar w:fldCharType="begin"/>
      </w:r>
      <w:r>
        <w:instrText xml:space="preserve"> HYPERLINK "https://www.zcygov.cn/）获取（下载）招标文件，并于2021年" </w:instrText>
      </w:r>
      <w:r>
        <w:fldChar w:fldCharType="separate"/>
      </w:r>
      <w:r>
        <w:rPr>
          <w:rStyle w:val="79"/>
          <w:rFonts w:hint="eastAsia" w:ascii="宋体" w:hAnsi="宋体" w:eastAsia="宋体" w:cs="宋体"/>
          <w:color w:val="auto"/>
          <w:sz w:val="24"/>
        </w:rPr>
        <w:t>获取（下载）招标文件，并于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28</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项目编号：</w:t>
      </w:r>
      <w:r>
        <w:rPr>
          <w:rFonts w:hint="eastAsia" w:ascii="宋体" w:hAnsi="宋体" w:cs="宋体"/>
          <w:sz w:val="24"/>
        </w:rPr>
        <w:t>诸政采202</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07</w:t>
      </w:r>
      <w:r>
        <w:rPr>
          <w:rFonts w:hint="eastAsia" w:ascii="宋体" w:hAnsi="宋体" w:cs="宋体"/>
          <w:sz w:val="24"/>
        </w:rPr>
        <w:t>-</w:t>
      </w:r>
      <w:r>
        <w:rPr>
          <w:rFonts w:hint="eastAsia" w:ascii="宋体" w:hAnsi="宋体" w:cs="宋体"/>
          <w:sz w:val="24"/>
          <w:lang w:val="en-US" w:eastAsia="zh-CN"/>
        </w:rPr>
        <w:t>05</w:t>
      </w:r>
    </w:p>
    <w:p>
      <w:pPr>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诸暨市</w:t>
      </w:r>
      <w:r>
        <w:rPr>
          <w:rFonts w:hint="eastAsia" w:ascii="宋体" w:hAnsi="宋体" w:cs="宋体"/>
          <w:sz w:val="24"/>
          <w:lang w:eastAsia="zh-CN"/>
        </w:rPr>
        <w:t>人民医院医疗器械</w:t>
      </w:r>
      <w:r>
        <w:rPr>
          <w:rFonts w:hint="eastAsia" w:ascii="宋体" w:hAnsi="宋体" w:cs="宋体"/>
          <w:sz w:val="24"/>
        </w:rPr>
        <w:t>采购项目</w:t>
      </w:r>
    </w:p>
    <w:p>
      <w:pPr>
        <w:spacing w:line="360" w:lineRule="auto"/>
        <w:ind w:firstLine="482" w:firstLineChars="200"/>
        <w:rPr>
          <w:rFonts w:hint="default" w:ascii="宋体" w:hAnsi="宋体" w:cs="宋体"/>
          <w:b/>
          <w:sz w:val="24"/>
          <w:lang w:val="en-US" w:eastAsia="zh-CN"/>
        </w:rPr>
      </w:pPr>
      <w:r>
        <w:rPr>
          <w:rFonts w:hint="eastAsia" w:ascii="宋体" w:hAnsi="宋体" w:cs="宋体"/>
          <w:b/>
          <w:sz w:val="24"/>
        </w:rPr>
        <w:t>预算金额（元）：</w:t>
      </w:r>
      <w:r>
        <w:rPr>
          <w:rFonts w:hint="eastAsia" w:ascii="宋体" w:hAnsi="宋体" w:cs="宋体"/>
          <w:b/>
          <w:sz w:val="24"/>
          <w:lang w:val="en-US" w:eastAsia="zh-CN"/>
        </w:rPr>
        <w:t>2300000、800000</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b/>
          <w:sz w:val="24"/>
          <w:lang w:val="en-US" w:eastAsia="zh-CN"/>
        </w:rPr>
        <w:t>2300000、800000</w:t>
      </w:r>
    </w:p>
    <w:p>
      <w:pPr>
        <w:pStyle w:val="800"/>
        <w:autoSpaceDE w:val="0"/>
        <w:autoSpaceDN w:val="0"/>
        <w:adjustRightInd w:val="0"/>
        <w:spacing w:after="120"/>
        <w:rPr>
          <w:rFonts w:ascii="宋体" w:hAnsi="宋体" w:cs="宋体"/>
          <w:szCs w:val="24"/>
        </w:rPr>
      </w:pPr>
      <w:r>
        <w:rPr>
          <w:rFonts w:hint="eastAsia" w:ascii="宋体" w:hAnsi="宋体" w:cs="宋体"/>
          <w:b/>
        </w:rPr>
        <w:t>采购需求：</w:t>
      </w:r>
      <w:r>
        <w:rPr>
          <w:rFonts w:hint="eastAsia" w:ascii="宋体" w:hAnsi="宋体" w:cs="宋体"/>
          <w:szCs w:val="24"/>
        </w:rPr>
        <w:t>详见采购文件第三部分采购需求。</w:t>
      </w:r>
    </w:p>
    <w:p>
      <w:pPr>
        <w:spacing w:line="360" w:lineRule="auto"/>
        <w:ind w:firstLine="482" w:firstLineChars="200"/>
        <w:rPr>
          <w:rFonts w:ascii="宋体" w:hAnsi="宋体" w:cs="宋体"/>
          <w:b/>
          <w:sz w:val="24"/>
        </w:rPr>
      </w:pPr>
      <w:r>
        <w:rPr>
          <w:rFonts w:hint="eastAsia" w:ascii="宋体" w:hAnsi="宋体" w:cs="宋体"/>
          <w:b/>
          <w:sz w:val="24"/>
        </w:rPr>
        <w:t>合同履约期限：</w:t>
      </w:r>
      <w:r>
        <w:rPr>
          <w:rFonts w:hint="eastAsia" w:ascii="宋体" w:hAnsi="宋体" w:cs="宋体"/>
          <w:snapToGrid w:val="0"/>
          <w:kern w:val="28"/>
          <w:sz w:val="24"/>
        </w:rPr>
        <w:t>详见招标</w:t>
      </w:r>
      <w:r>
        <w:rPr>
          <w:rFonts w:hint="eastAsia" w:ascii="宋体" w:hAnsi="宋体" w:cs="宋体"/>
          <w:sz w:val="24"/>
        </w:rPr>
        <w:t>文件第三部分采购需求</w:t>
      </w:r>
      <w:r>
        <w:rPr>
          <w:rFonts w:hint="eastAsia" w:ascii="宋体" w:hAnsi="宋体" w:cs="宋体"/>
          <w:snapToGrid w:val="0"/>
          <w:kern w:val="28"/>
          <w:sz w:val="24"/>
        </w:rPr>
        <w:t>。</w:t>
      </w:r>
    </w:p>
    <w:p>
      <w:pPr>
        <w:pStyle w:val="5"/>
        <w:spacing w:line="360" w:lineRule="auto"/>
        <w:ind w:firstLine="482" w:firstLineChars="200"/>
        <w:rPr>
          <w:rFonts w:hAnsi="宋体" w:cs="宋体"/>
          <w:b/>
          <w:sz w:val="24"/>
        </w:rPr>
      </w:pPr>
      <w:r>
        <w:rPr>
          <w:rFonts w:hint="eastAsia" w:hAnsi="宋体" w:cs="宋体"/>
          <w:b/>
          <w:color w:val="auto"/>
          <w:sz w:val="24"/>
        </w:rPr>
        <w:t>本项目接受联合体投标：</w:t>
      </w:r>
      <w:sdt>
        <w:sdtPr>
          <w:rPr>
            <w:rFonts w:hint="eastAsia" w:hAnsi="宋体" w:cs="宋体"/>
            <w:color w:val="auto"/>
            <w:kern w:val="0"/>
            <w:sz w:val="24"/>
          </w:rPr>
          <w:id w:val="172823124"/>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bCs/>
          <w:sz w:val="24"/>
        </w:rPr>
      </w:pPr>
      <w:r>
        <w:rPr>
          <w:rFonts w:hint="eastAsia" w:ascii="宋体" w:hAnsi="宋体" w:cs="宋体"/>
          <w:bCs/>
          <w:sz w:val="24"/>
        </w:rPr>
        <w:t>1. 满足《中华人民共和国政府采购法》第二十二条规定；</w:t>
      </w:r>
    </w:p>
    <w:p>
      <w:pPr>
        <w:spacing w:line="360" w:lineRule="auto"/>
        <w:ind w:firstLine="480"/>
        <w:rPr>
          <w:rFonts w:ascii="宋体" w:hAnsi="宋体" w:cs="宋体"/>
          <w:bCs/>
          <w:sz w:val="24"/>
        </w:rPr>
      </w:pPr>
      <w:r>
        <w:rPr>
          <w:rFonts w:hint="eastAsia" w:ascii="宋体" w:hAnsi="宋体" w:cs="宋体"/>
          <w:bCs/>
          <w:sz w:val="24"/>
        </w:rPr>
        <w:t>2.未被“信用中国”（www.creditchina.gov.cn)、中国政府采购网（www.ccgp.gov.cn）列入失信被执行人、重大税收违法</w:t>
      </w:r>
      <w:r>
        <w:rPr>
          <w:rFonts w:hint="eastAsia" w:ascii="宋体" w:hAnsi="宋体" w:cs="宋体"/>
          <w:bCs/>
          <w:sz w:val="24"/>
          <w:lang w:eastAsia="zh-CN"/>
        </w:rPr>
        <w:t>失信主体</w:t>
      </w:r>
      <w:r>
        <w:rPr>
          <w:rFonts w:hint="eastAsia" w:ascii="宋体" w:hAnsi="宋体" w:cs="宋体"/>
          <w:bCs/>
          <w:sz w:val="24"/>
        </w:rPr>
        <w:t>名单、政府采购严重违法失信行为记录名单。</w:t>
      </w:r>
    </w:p>
    <w:p>
      <w:pPr>
        <w:spacing w:line="360" w:lineRule="auto"/>
        <w:ind w:firstLine="480"/>
        <w:rPr>
          <w:rFonts w:hint="eastAsia" w:ascii="宋体" w:hAnsi="宋体" w:cs="宋体"/>
          <w:bCs/>
          <w:sz w:val="24"/>
        </w:rPr>
      </w:pPr>
      <w:r>
        <w:rPr>
          <w:rFonts w:hint="eastAsia" w:ascii="宋体" w:hAnsi="宋体" w:cs="宋体"/>
          <w:bCs/>
          <w:sz w:val="24"/>
        </w:rPr>
        <w:t>3.落实政府采购政策需满足的资格要求：</w:t>
      </w:r>
    </w:p>
    <w:p>
      <w:pPr>
        <w:spacing w:line="360" w:lineRule="auto"/>
        <w:ind w:firstLine="480" w:firstLineChars="200"/>
        <w:rPr>
          <w:rFonts w:hint="eastAsia" w:ascii="宋体" w:hAnsi="宋体" w:eastAsia="宋体" w:cs="宋体"/>
          <w:bCs/>
          <w:sz w:val="24"/>
          <w:lang w:val="en-US" w:eastAsia="zh-CN"/>
        </w:rPr>
      </w:pPr>
      <w:r>
        <w:rPr>
          <w:rFonts w:hint="eastAsia"/>
          <w:b w:val="0"/>
          <w:sz w:val="24"/>
          <w:szCs w:val="24"/>
          <w:lang w:val="en-US" w:eastAsia="zh-CN"/>
        </w:rPr>
        <w:t>无</w:t>
      </w:r>
      <w:r>
        <w:rPr>
          <w:rFonts w:hint="eastAsia"/>
          <w:b w:val="0"/>
          <w:sz w:val="24"/>
          <w:szCs w:val="24"/>
          <w:lang w:val="en-US"/>
        </w:rPr>
        <w:t>。</w:t>
      </w:r>
    </w:p>
    <w:p>
      <w:pPr>
        <w:spacing w:line="360" w:lineRule="auto"/>
        <w:ind w:firstLine="480"/>
        <w:rPr>
          <w:rFonts w:ascii="宋体" w:hAnsi="宋体" w:cs="宋体"/>
          <w:bCs/>
          <w:sz w:val="24"/>
        </w:rPr>
      </w:pPr>
      <w:r>
        <w:rPr>
          <w:rFonts w:hint="eastAsia" w:ascii="宋体" w:hAnsi="宋体" w:cs="宋体"/>
          <w:bCs/>
          <w:sz w:val="24"/>
        </w:rPr>
        <w:t>4.本项目的特定资格要求：具有所投标的相应国家规定必备的资质、资格</w:t>
      </w:r>
      <w:r>
        <w:rPr>
          <w:rFonts w:hint="eastAsia" w:ascii="宋体" w:hAnsi="宋体" w:cs="宋体"/>
          <w:bCs/>
          <w:sz w:val="24"/>
          <w:lang w:eastAsia="zh-CN"/>
        </w:rPr>
        <w:t>。</w:t>
      </w:r>
    </w:p>
    <w:p>
      <w:pPr>
        <w:spacing w:line="360" w:lineRule="auto"/>
        <w:rPr>
          <w:rFonts w:ascii="宋体" w:hAnsi="宋体" w:cs="宋体"/>
          <w:b/>
          <w:sz w:val="24"/>
        </w:rPr>
      </w:pPr>
      <w:r>
        <w:rPr>
          <w:rFonts w:hint="eastAsia" w:ascii="宋体" w:hAnsi="宋体" w:cs="宋体"/>
          <w:b/>
          <w:sz w:val="24"/>
        </w:rPr>
        <w:t xml:space="preserve">三、获取招标文件 </w:t>
      </w:r>
    </w:p>
    <w:p>
      <w:pPr>
        <w:pStyle w:val="36"/>
        <w:spacing w:line="360" w:lineRule="auto"/>
        <w:ind w:firstLine="482" w:firstLineChars="200"/>
        <w:rPr>
          <w:rFonts w:hAnsi="宋体" w:cs="宋体"/>
          <w:sz w:val="24"/>
        </w:rPr>
      </w:pPr>
      <w:r>
        <w:rPr>
          <w:rFonts w:hint="eastAsia" w:hAnsi="宋体" w:cs="宋体"/>
          <w:b/>
          <w:sz w:val="24"/>
        </w:rPr>
        <w:t>时间：</w:t>
      </w:r>
      <w:r>
        <w:rPr>
          <w:rFonts w:hint="eastAsia" w:hAnsi="宋体" w:cs="宋体"/>
          <w:sz w:val="24"/>
          <w:u w:val="single"/>
        </w:rPr>
        <w:t>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7</w:t>
      </w:r>
      <w:r>
        <w:rPr>
          <w:rFonts w:hint="eastAsia" w:hAnsi="宋体" w:cs="宋体"/>
          <w:sz w:val="24"/>
          <w:u w:val="single"/>
        </w:rPr>
        <w:t>月</w:t>
      </w:r>
      <w:r>
        <w:rPr>
          <w:rFonts w:hint="eastAsia" w:hAnsi="宋体" w:cs="宋体"/>
          <w:sz w:val="24"/>
          <w:u w:val="single"/>
          <w:lang w:val="en-US" w:eastAsia="zh-CN"/>
        </w:rPr>
        <w:t>4</w:t>
      </w:r>
      <w:r>
        <w:rPr>
          <w:rFonts w:hint="eastAsia" w:hAnsi="宋体" w:cs="宋体"/>
          <w:sz w:val="24"/>
          <w:u w:val="single"/>
        </w:rPr>
        <w:t>日至202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7</w:t>
      </w:r>
      <w:r>
        <w:rPr>
          <w:rFonts w:hint="eastAsia" w:hAnsi="宋体" w:cs="宋体"/>
          <w:sz w:val="24"/>
          <w:u w:val="single"/>
        </w:rPr>
        <w:t>月</w:t>
      </w:r>
      <w:r>
        <w:rPr>
          <w:rFonts w:hint="eastAsia" w:hAnsi="宋体" w:cs="宋体"/>
          <w:sz w:val="24"/>
          <w:u w:val="single"/>
          <w:lang w:val="en-US" w:eastAsia="zh-CN"/>
        </w:rPr>
        <w:t>11</w:t>
      </w:r>
      <w:r>
        <w:rPr>
          <w:rFonts w:hint="eastAsia" w:hAnsi="宋体" w:cs="宋体"/>
          <w:sz w:val="24"/>
          <w:u w:val="single"/>
        </w:rPr>
        <w:t>日</w:t>
      </w:r>
      <w:r>
        <w:rPr>
          <w:rFonts w:hint="eastAsia" w:hAnsi="宋体" w:cs="宋体"/>
          <w:sz w:val="24"/>
        </w:rPr>
        <w:t>，每天上午00:00至12:00 ，下午12:00至23:59（北京时间，线上获取法定节假日均可）。招标文件发布截止时间之后有潜在供应商提出要求获取招标文件的，允许获取。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浙江政府采购网（http://zfcg.czt.zj.gov.cn/）</w:t>
      </w:r>
      <w:r>
        <w:rPr>
          <w:rFonts w:hint="eastAsia" w:ascii="宋体" w:hAnsi="宋体" w:cs="宋体"/>
          <w:sz w:val="24"/>
        </w:rPr>
        <w:t xml:space="preserve"> </w:t>
      </w:r>
    </w:p>
    <w:p>
      <w:pPr>
        <w:spacing w:line="360" w:lineRule="auto"/>
        <w:ind w:firstLine="482" w:firstLineChars="200"/>
        <w:rPr>
          <w:rFonts w:ascii="宋体" w:hAns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宋体" w:hAnsi="宋体" w:cs="宋体"/>
          <w:sz w:val="24"/>
        </w:rPr>
      </w:pPr>
      <w:r>
        <w:rPr>
          <w:rFonts w:hint="eastAsia" w:ascii="宋体" w:hAnsi="宋体" w:cs="宋体"/>
          <w:b/>
          <w:sz w:val="24"/>
        </w:rPr>
        <w:t>售价：</w:t>
      </w:r>
      <w:r>
        <w:rPr>
          <w:rFonts w:hint="eastAsia" w:ascii="宋体" w:hAnsi="宋体" w:cs="宋体"/>
          <w:snapToGrid w:val="0"/>
          <w:sz w:val="24"/>
          <w:szCs w:val="21"/>
        </w:rPr>
        <w:t>0 元。</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pStyle w:val="36"/>
        <w:spacing w:line="360" w:lineRule="auto"/>
        <w:ind w:firstLine="482" w:firstLineChars="200"/>
        <w:rPr>
          <w:rFonts w:hAnsi="宋体" w:cs="宋体"/>
          <w:sz w:val="24"/>
        </w:rPr>
      </w:pPr>
      <w:r>
        <w:rPr>
          <w:rFonts w:hint="eastAsia" w:hAnsi="宋体" w:cs="宋体"/>
          <w:b/>
          <w:snapToGrid/>
          <w:sz w:val="24"/>
          <w:szCs w:val="24"/>
        </w:rPr>
        <w:t>提交投标文件截止时间及开标时间：</w:t>
      </w:r>
      <w:r>
        <w:rPr>
          <w:rFonts w:hint="eastAsia" w:hAnsi="宋体" w:cs="宋体"/>
          <w:sz w:val="24"/>
        </w:rPr>
        <w:t>投标人应于202</w:t>
      </w:r>
      <w:r>
        <w:rPr>
          <w:rFonts w:hint="eastAsia" w:hAnsi="宋体" w:cs="宋体"/>
          <w:sz w:val="24"/>
          <w:lang w:val="en-US" w:eastAsia="zh-CN"/>
        </w:rPr>
        <w:t>5</w:t>
      </w:r>
      <w:r>
        <w:rPr>
          <w:rFonts w:hint="eastAsia" w:hAnsi="宋体" w:cs="宋体"/>
          <w:sz w:val="24"/>
        </w:rPr>
        <w:t>年</w:t>
      </w:r>
      <w:r>
        <w:rPr>
          <w:rFonts w:hint="eastAsia" w:hAnsi="宋体" w:cs="宋体"/>
          <w:sz w:val="24"/>
          <w:lang w:val="en-US" w:eastAsia="zh-CN"/>
        </w:rPr>
        <w:t>7</w:t>
      </w:r>
      <w:r>
        <w:rPr>
          <w:rFonts w:hint="eastAsia" w:hAnsi="宋体" w:cs="宋体"/>
          <w:sz w:val="24"/>
        </w:rPr>
        <w:t>月</w:t>
      </w:r>
      <w:r>
        <w:rPr>
          <w:rFonts w:hint="eastAsia" w:hAnsi="宋体" w:cs="宋体"/>
          <w:sz w:val="24"/>
          <w:lang w:val="en-US" w:eastAsia="zh-CN"/>
        </w:rPr>
        <w:t>28</w:t>
      </w:r>
      <w:r>
        <w:rPr>
          <w:rFonts w:hint="eastAsia" w:hAnsi="宋体" w:cs="宋体"/>
          <w:sz w:val="24"/>
        </w:rPr>
        <w:t>日</w:t>
      </w:r>
      <w:r>
        <w:rPr>
          <w:rFonts w:hint="eastAsia" w:hAnsi="宋体" w:cs="宋体"/>
          <w:sz w:val="24"/>
          <w:lang w:val="en-US" w:eastAsia="zh-CN"/>
        </w:rPr>
        <w:t>9</w:t>
      </w:r>
      <w:r>
        <w:rPr>
          <w:rFonts w:hint="eastAsia" w:hAnsi="宋体" w:cs="宋体"/>
          <w:sz w:val="24"/>
        </w:rPr>
        <w:t>时</w:t>
      </w:r>
      <w:r>
        <w:rPr>
          <w:rFonts w:hint="eastAsia" w:hAnsi="宋体" w:cs="宋体"/>
          <w:sz w:val="24"/>
          <w:lang w:val="en-US" w:eastAsia="zh-CN"/>
        </w:rPr>
        <w:t>30</w:t>
      </w:r>
      <w:r>
        <w:rPr>
          <w:rFonts w:hint="eastAsia" w:hAnsi="宋体" w:cs="宋体"/>
          <w:sz w:val="24"/>
        </w:rPr>
        <w:t>分（北京时间）前按照电子投标要求将电子加密标书上传到政府采购云平台，逾期或未上传成功的将导致无法投标或投标无效。</w:t>
      </w:r>
    </w:p>
    <w:p>
      <w:pPr>
        <w:pStyle w:val="36"/>
        <w:spacing w:line="360" w:lineRule="auto"/>
        <w:ind w:firstLine="482" w:firstLineChars="200"/>
        <w:rPr>
          <w:rFonts w:hAnsi="宋体" w:cs="宋体"/>
          <w:sz w:val="24"/>
        </w:rPr>
      </w:pPr>
      <w:r>
        <w:rPr>
          <w:rFonts w:hint="eastAsia" w:hAnsi="宋体" w:cs="宋体"/>
          <w:b/>
          <w:snapToGrid/>
          <w:sz w:val="24"/>
          <w:szCs w:val="24"/>
        </w:rPr>
        <w:t>开标地点：</w:t>
      </w:r>
      <w:r>
        <w:rPr>
          <w:rFonts w:hint="eastAsia" w:hAnsi="宋体" w:cs="宋体"/>
          <w:sz w:val="24"/>
        </w:rPr>
        <w:t>政府采购云平台（www.zcygov.cn）。所有投标人均须准时在“政府采购云平台”在线参加。</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sz w:val="24"/>
        </w:rPr>
      </w:pPr>
      <w:r>
        <w:rPr>
          <w:rFonts w:hint="eastAsia" w:ascii="宋体" w:hAnsi="宋体" w:cs="宋体"/>
          <w:sz w:val="24"/>
        </w:rPr>
        <w:t>2.《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宋体" w:hAnsi="宋体" w:cs="宋体"/>
          <w:b/>
          <w:bCs/>
          <w:sz w:val="24"/>
        </w:rPr>
        <w:t>备份投标文件的制作、递交详见招标文件第二部分第15点—“备份投标文件”；</w:t>
      </w:r>
      <w:r>
        <w:rPr>
          <w:rFonts w:hint="eastAsia" w:ascii="宋体" w:hAnsi="宋体" w:cs="宋体"/>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hint="eastAsia" w:ascii="宋体" w:hAnsi="宋体" w:cs="宋体"/>
          <w:sz w:val="24"/>
        </w:rPr>
      </w:pPr>
      <w:r>
        <w:rPr>
          <w:rFonts w:hint="eastAsia" w:ascii="宋体" w:hAnsi="宋体" w:cs="宋体"/>
          <w:sz w:val="24"/>
        </w:rPr>
        <w:t>1.采购人信息</w:t>
      </w:r>
    </w:p>
    <w:p>
      <w:pPr>
        <w:spacing w:line="360" w:lineRule="auto"/>
        <w:ind w:left="479" w:leftChars="228" w:firstLine="64" w:firstLineChars="27"/>
        <w:rPr>
          <w:rFonts w:hint="eastAsia" w:ascii="宋体" w:hAnsi="宋体" w:cs="宋体"/>
          <w:sz w:val="24"/>
        </w:rPr>
      </w:pPr>
      <w:r>
        <w:rPr>
          <w:rFonts w:hint="eastAsia" w:ascii="宋体" w:hAnsi="宋体" w:cs="宋体"/>
          <w:sz w:val="24"/>
        </w:rPr>
        <w:t>名    称：诸暨市</w:t>
      </w:r>
      <w:r>
        <w:rPr>
          <w:rFonts w:hint="eastAsia" w:ascii="宋体" w:hAnsi="宋体" w:cs="宋体"/>
          <w:sz w:val="24"/>
          <w:lang w:eastAsia="zh-CN"/>
        </w:rPr>
        <w:t>人民医院</w:t>
      </w:r>
    </w:p>
    <w:p>
      <w:pPr>
        <w:spacing w:line="360" w:lineRule="auto"/>
        <w:ind w:left="479" w:leftChars="228" w:firstLine="64" w:firstLineChars="27"/>
        <w:rPr>
          <w:rFonts w:hint="eastAsia" w:ascii="宋体" w:hAnsi="宋体" w:cs="宋体"/>
          <w:sz w:val="24"/>
        </w:rPr>
      </w:pPr>
      <w:r>
        <w:rPr>
          <w:rFonts w:hint="eastAsia" w:ascii="宋体" w:hAnsi="宋体" w:cs="宋体"/>
          <w:sz w:val="24"/>
        </w:rPr>
        <w:t>地    址：诸暨市健民路9号</w:t>
      </w:r>
    </w:p>
    <w:p>
      <w:pPr>
        <w:spacing w:line="360" w:lineRule="auto"/>
        <w:ind w:left="479" w:leftChars="228" w:firstLine="64" w:firstLineChars="27"/>
        <w:rPr>
          <w:rFonts w:hint="eastAsia" w:ascii="宋体" w:hAnsi="宋体" w:cs="宋体"/>
          <w:sz w:val="24"/>
        </w:rPr>
      </w:pPr>
      <w:r>
        <w:rPr>
          <w:rFonts w:hint="eastAsia" w:ascii="宋体" w:hAnsi="宋体" w:cs="宋体"/>
          <w:sz w:val="24"/>
        </w:rPr>
        <w:t>项目联系人（询问）：</w:t>
      </w:r>
      <w:r>
        <w:rPr>
          <w:rFonts w:hint="eastAsia" w:ascii="宋体" w:hAnsi="宋体" w:cs="宋体"/>
          <w:sz w:val="24"/>
          <w:lang w:eastAsia="zh-CN"/>
        </w:rPr>
        <w:t>袁望</w:t>
      </w:r>
      <w:r>
        <w:rPr>
          <w:rFonts w:hint="eastAsia" w:ascii="宋体" w:hAnsi="宋体" w:cs="宋体"/>
          <w:sz w:val="24"/>
        </w:rPr>
        <w:t xml:space="preserve"> </w:t>
      </w:r>
    </w:p>
    <w:p>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0575-81782756</w:t>
      </w:r>
    </w:p>
    <w:p>
      <w:pPr>
        <w:spacing w:line="360" w:lineRule="auto"/>
        <w:ind w:left="479" w:leftChars="228" w:firstLine="64" w:firstLineChars="27"/>
        <w:rPr>
          <w:rFonts w:hint="eastAsia" w:ascii="宋体" w:hAnsi="宋体" w:cs="宋体"/>
          <w:sz w:val="24"/>
        </w:rPr>
      </w:pPr>
      <w:r>
        <w:rPr>
          <w:rFonts w:hint="eastAsia" w:ascii="宋体" w:hAnsi="宋体" w:cs="宋体"/>
          <w:sz w:val="24"/>
        </w:rPr>
        <w:t xml:space="preserve">质疑联系人: </w:t>
      </w:r>
      <w:sdt>
        <w:sdtPr>
          <w:rPr>
            <w:rFonts w:hint="eastAsia" w:ascii="宋体" w:hAnsi="宋体" w:cs="宋体"/>
            <w:sz w:val="24"/>
          </w:rPr>
          <w:id w:val="147467253"/>
        </w:sdtPr>
        <w:sdtEndPr>
          <w:rPr>
            <w:rFonts w:hint="eastAsia" w:ascii="宋体" w:hAnsi="宋体" w:cs="宋体"/>
            <w:sz w:val="24"/>
            <w:lang w:val="en-US"/>
          </w:rPr>
        </w:sdtEndPr>
        <w:sdtContent>
          <w:r>
            <w:rPr>
              <w:rFonts w:hint="eastAsia" w:ascii="宋体" w:hAnsi="宋体" w:cs="宋体"/>
              <w:sz w:val="24"/>
              <w:lang w:val="en-US" w:eastAsia="zh-CN"/>
            </w:rPr>
            <w:t>赵小芳</w:t>
          </w:r>
        </w:sdtContent>
      </w:sdt>
    </w:p>
    <w:p>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0575-81782817</w:t>
      </w:r>
    </w:p>
    <w:p>
      <w:pPr>
        <w:spacing w:line="360" w:lineRule="auto"/>
        <w:ind w:left="479" w:leftChars="228" w:firstLine="64" w:firstLineChars="27"/>
        <w:rPr>
          <w:rFonts w:ascii="宋体" w:hAnsi="宋体" w:cs="宋体"/>
          <w:sz w:val="24"/>
        </w:rPr>
      </w:pPr>
      <w:r>
        <w:rPr>
          <w:rFonts w:hint="eastAsia" w:ascii="宋体" w:hAnsi="宋体" w:cs="宋体"/>
          <w:sz w:val="24"/>
        </w:rPr>
        <w:t xml:space="preserve">2.采购代理机构信息            </w:t>
      </w:r>
    </w:p>
    <w:p>
      <w:pPr>
        <w:spacing w:line="360" w:lineRule="auto"/>
        <w:ind w:firstLine="480"/>
        <w:rPr>
          <w:rFonts w:ascii="宋体" w:hAnsi="宋体" w:cs="宋体"/>
          <w:sz w:val="24"/>
        </w:rPr>
      </w:pPr>
      <w:r>
        <w:rPr>
          <w:rFonts w:hint="eastAsia" w:ascii="宋体" w:hAnsi="宋体" w:cs="宋体"/>
          <w:sz w:val="24"/>
        </w:rPr>
        <w:t xml:space="preserve">名    称：诸暨市公共资源交易中心 </w:t>
      </w:r>
    </w:p>
    <w:p>
      <w:pPr>
        <w:spacing w:line="360" w:lineRule="auto"/>
        <w:ind w:firstLine="480"/>
        <w:rPr>
          <w:rFonts w:ascii="宋体" w:hAnsi="宋体" w:cs="宋体"/>
          <w:sz w:val="24"/>
        </w:rPr>
      </w:pPr>
      <w:r>
        <w:rPr>
          <w:rFonts w:hint="eastAsia" w:ascii="宋体" w:hAnsi="宋体" w:cs="宋体"/>
          <w:sz w:val="24"/>
        </w:rPr>
        <w:t>地    址：诸暨市暨东路58号北602室</w:t>
      </w:r>
    </w:p>
    <w:p>
      <w:pPr>
        <w:spacing w:line="360" w:lineRule="auto"/>
        <w:ind w:firstLine="465"/>
        <w:rPr>
          <w:rFonts w:ascii="宋体" w:hAnsi="宋体" w:cs="宋体"/>
          <w:sz w:val="24"/>
        </w:rPr>
      </w:pPr>
      <w:r>
        <w:rPr>
          <w:rFonts w:hint="eastAsia" w:ascii="宋体" w:hAnsi="宋体" w:cs="宋体"/>
          <w:sz w:val="24"/>
        </w:rPr>
        <w:t>传    真：0575-87221107</w:t>
      </w:r>
    </w:p>
    <w:p>
      <w:pPr>
        <w:spacing w:line="360" w:lineRule="auto"/>
        <w:ind w:firstLine="465"/>
        <w:rPr>
          <w:rFonts w:hint="default" w:ascii="宋体" w:hAnsi="宋体" w:eastAsia="宋体" w:cs="宋体"/>
          <w:sz w:val="24"/>
          <w:lang w:val="en-US" w:eastAsia="zh-CN"/>
        </w:rPr>
      </w:pPr>
      <w:r>
        <w:rPr>
          <w:rFonts w:hint="eastAsia" w:ascii="宋体" w:hAnsi="宋体" w:cs="宋体"/>
          <w:sz w:val="24"/>
        </w:rPr>
        <w:t>项目联系人（询问）：</w:t>
      </w:r>
      <w:r>
        <w:rPr>
          <w:rFonts w:hint="eastAsia" w:ascii="宋体" w:hAnsi="宋体" w:cs="宋体"/>
          <w:sz w:val="24"/>
          <w:lang w:eastAsia="zh-CN"/>
        </w:rPr>
        <w:t>杨工</w:t>
      </w:r>
      <w:r>
        <w:rPr>
          <w:rFonts w:hint="eastAsia" w:ascii="宋体" w:hAnsi="宋体" w:cs="宋体"/>
          <w:sz w:val="24"/>
          <w:lang w:val="en-US" w:eastAsia="zh-CN"/>
        </w:rPr>
        <w:t xml:space="preserve">  </w:t>
      </w:r>
      <w:r>
        <w:rPr>
          <w:rFonts w:hint="eastAsia" w:ascii="宋体" w:hAnsi="宋体" w:cs="宋体"/>
          <w:sz w:val="24"/>
        </w:rPr>
        <w:t xml:space="preserve">   项目联系方式（询问）：0575-</w:t>
      </w:r>
      <w:r>
        <w:rPr>
          <w:rFonts w:hint="eastAsia" w:ascii="宋体" w:hAnsi="宋体" w:cs="宋体"/>
          <w:sz w:val="24"/>
          <w:lang w:val="en-US" w:eastAsia="zh-CN"/>
        </w:rPr>
        <w:t>89006366</w:t>
      </w:r>
    </w:p>
    <w:p>
      <w:pPr>
        <w:spacing w:line="360" w:lineRule="auto"/>
        <w:rPr>
          <w:rFonts w:ascii="宋体" w:hAnsi="宋体" w:cs="宋体"/>
          <w:sz w:val="24"/>
        </w:rPr>
      </w:pPr>
      <w:r>
        <w:rPr>
          <w:rFonts w:hint="eastAsia" w:ascii="宋体" w:hAnsi="宋体" w:cs="宋体"/>
          <w:sz w:val="24"/>
        </w:rPr>
        <w:t xml:space="preserve">    质疑联系人：王小林           质疑联系方式： 0575-87253016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称：诸暨市财政局政府采购监管科</w:t>
      </w:r>
    </w:p>
    <w:p>
      <w:pPr>
        <w:spacing w:line="360" w:lineRule="auto"/>
        <w:rPr>
          <w:rFonts w:ascii="宋体" w:hAnsi="宋体" w:cs="宋体"/>
          <w:sz w:val="24"/>
        </w:rPr>
      </w:pPr>
      <w:r>
        <w:rPr>
          <w:rFonts w:hint="eastAsia" w:ascii="宋体" w:hAnsi="宋体" w:cs="宋体"/>
          <w:sz w:val="24"/>
        </w:rPr>
        <w:t xml:space="preserve">    地    址：诸暨市人民中路356号</w:t>
      </w:r>
    </w:p>
    <w:p>
      <w:pPr>
        <w:spacing w:line="360" w:lineRule="auto"/>
        <w:ind w:firstLine="240" w:firstLineChars="100"/>
        <w:rPr>
          <w:rFonts w:ascii="宋体" w:hAnsi="宋体" w:cs="宋体"/>
          <w:sz w:val="24"/>
        </w:rPr>
      </w:pPr>
      <w:r>
        <w:rPr>
          <w:rFonts w:hint="eastAsia" w:ascii="宋体" w:hAnsi="宋体" w:cs="宋体"/>
          <w:sz w:val="24"/>
        </w:rPr>
        <w:t xml:space="preserve">  传    真： 0575-87023633</w:t>
      </w:r>
    </w:p>
    <w:p>
      <w:pPr>
        <w:spacing w:line="360" w:lineRule="auto"/>
        <w:rPr>
          <w:rFonts w:ascii="宋体" w:hAnsi="宋体" w:cs="宋体"/>
          <w:sz w:val="24"/>
        </w:rPr>
      </w:pPr>
      <w:r>
        <w:rPr>
          <w:rFonts w:hint="eastAsia" w:ascii="宋体" w:hAnsi="宋体" w:cs="宋体"/>
          <w:sz w:val="24"/>
        </w:rPr>
        <w:t xml:space="preserve">    联系人 ：吕</w:t>
      </w:r>
      <w:r>
        <w:rPr>
          <w:rFonts w:hint="eastAsia" w:ascii="宋体" w:hAnsi="宋体" w:cs="宋体"/>
          <w:sz w:val="24"/>
          <w:lang w:eastAsia="zh-CN"/>
        </w:rPr>
        <w:t>雅玲</w:t>
      </w:r>
      <w:r>
        <w:rPr>
          <w:rFonts w:hint="eastAsia" w:ascii="宋体" w:hAnsi="宋体" w:cs="宋体"/>
          <w:sz w:val="24"/>
        </w:rPr>
        <w:t xml:space="preserve">   监督投诉电话：0575-8711</w:t>
      </w:r>
      <w:r>
        <w:rPr>
          <w:rFonts w:hint="eastAsia" w:ascii="宋体" w:hAnsi="宋体" w:cs="宋体"/>
          <w:sz w:val="24"/>
          <w:lang w:val="en-US" w:eastAsia="zh-CN"/>
        </w:rPr>
        <w:t>3461</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4.若对项目采购电子交易系统操作有疑问，可登录政府采购云平台（https://www.zcygov.cn/），点击右侧咨询小采，获取采小蜜智能服务管家帮助，或拨打服务热线400-881-7190获取热线服务帮助。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5"/>
        <w:tblW w:w="9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67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评标办法</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kern w:val="0"/>
                <w:sz w:val="24"/>
                <w:lang w:val="zh-CN"/>
              </w:rPr>
              <w:t>本项目采用</w:t>
            </w:r>
            <w:r>
              <w:rPr>
                <w:rFonts w:hint="eastAsia" w:ascii="宋体" w:hAnsi="宋体" w:cs="宋体"/>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p>
          <w:p>
            <w:pPr>
              <w:snapToGrid w:val="0"/>
              <w:spacing w:line="360" w:lineRule="auto"/>
              <w:jc w:val="left"/>
              <w:rPr>
                <w:rFonts w:ascii="宋体" w:hAns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pStyle w:val="280"/>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pPr>
              <w:pStyle w:val="280"/>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p>
          <w:p>
            <w:pPr>
              <w:pStyle w:val="280"/>
              <w:numPr>
                <w:ilvl w:val="0"/>
                <w:numId w:val="2"/>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0"/>
              <w:numPr>
                <w:ilvl w:val="0"/>
                <w:numId w:val="2"/>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5"/>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投标人应当提供的资格文件</w:t>
            </w:r>
          </w:p>
        </w:tc>
        <w:tc>
          <w:tcPr>
            <w:tcW w:w="6715" w:type="dxa"/>
            <w:tcBorders>
              <w:top w:val="single" w:color="000000" w:sz="8" w:space="0"/>
              <w:left w:val="single" w:color="000000" w:sz="2" w:space="0"/>
              <w:right w:val="single" w:color="000000" w:sz="8" w:space="0"/>
            </w:tcBorders>
            <w:vAlign w:val="center"/>
          </w:tcPr>
          <w:p>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1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①</w:t>
            </w:r>
            <w:r>
              <w:rPr>
                <w:rFonts w:ascii="仿宋_GB2312" w:hAnsi="仿宋" w:eastAsia="仿宋_GB2312" w:cs="Arial"/>
                <w:kern w:val="0"/>
                <w:sz w:val="24"/>
              </w:rPr>
              <w:fldChar w:fldCharType="end"/>
            </w:r>
            <w:r>
              <w:rPr>
                <w:rFonts w:ascii="仿宋_GB2312" w:hAnsi="仿宋" w:eastAsia="仿宋_GB2312" w:cs="Arial"/>
                <w:kern w:val="0"/>
                <w:sz w:val="24"/>
              </w:rPr>
              <w:t>符合参加政府采购活动应当具备的一般条件的承诺函；</w:t>
            </w:r>
          </w:p>
          <w:p>
            <w:pPr>
              <w:snapToGrid w:val="0"/>
              <w:rPr>
                <w:rFonts w:hint="eastAsia" w:ascii="仿宋_GB2312" w:hAnsi="仿宋" w:eastAsia="仿宋_GB2312" w:cs="Arial"/>
                <w:kern w:val="0"/>
                <w:sz w:val="24"/>
                <w:lang w:val="en-US" w:eastAsia="zh-CN"/>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2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②</w:t>
            </w:r>
            <w:r>
              <w:rPr>
                <w:rFonts w:ascii="仿宋_GB2312" w:hAnsi="仿宋" w:eastAsia="仿宋_GB2312" w:cs="Arial"/>
                <w:kern w:val="0"/>
                <w:sz w:val="24"/>
              </w:rPr>
              <w:fldChar w:fldCharType="end"/>
            </w:r>
            <w:r>
              <w:rPr>
                <w:rFonts w:ascii="仿宋_GB2312" w:hAnsi="仿宋" w:eastAsia="仿宋_GB2312" w:cs="Arial"/>
                <w:kern w:val="0"/>
                <w:sz w:val="24"/>
              </w:rPr>
              <w:t>本项目的特定资格要求</w:t>
            </w:r>
            <w:r>
              <w:rPr>
                <w:rFonts w:hint="eastAsia" w:ascii="仿宋_GB2312" w:hAnsi="仿宋" w:eastAsia="仿宋_GB2312" w:cs="Arial"/>
                <w:kern w:val="0"/>
                <w:sz w:val="24"/>
              </w:rPr>
              <w:t>：</w:t>
            </w:r>
            <w:r>
              <w:rPr>
                <w:rFonts w:ascii="仿宋_GB2312" w:hAnsi="仿宋" w:eastAsia="仿宋_GB2312" w:cs="Arial"/>
                <w:kern w:val="0"/>
                <w:sz w:val="24"/>
              </w:rPr>
              <w:t>具有所投标的相应国家规定必备的资质、资格</w:t>
            </w:r>
            <w:r>
              <w:rPr>
                <w:rFonts w:hint="eastAsia" w:ascii="仿宋_GB2312" w:hAnsi="仿宋" w:eastAsia="仿宋_GB2312" w:cs="Arial"/>
                <w:kern w:val="0"/>
                <w:sz w:val="24"/>
              </w:rPr>
              <w:t>（如医疗器械经营许可证等）。</w:t>
            </w:r>
          </w:p>
          <w:p>
            <w:pPr>
              <w:pStyle w:val="280"/>
              <w:numPr>
                <w:ilvl w:val="0"/>
                <w:numId w:val="0"/>
              </w:numPr>
              <w:snapToGrid w:val="0"/>
              <w:ind w:leftChars="0"/>
              <w:rPr>
                <w:rFonts w:hint="default" w:ascii="宋体" w:hAnsi="宋体" w:eastAsia="宋体" w:cs="宋体"/>
                <w:lang w:val="en-US" w:eastAsia="zh-CN"/>
              </w:rPr>
            </w:pPr>
            <w:r>
              <w:rPr>
                <w:rFonts w:hint="eastAsia" w:ascii="仿宋_GB2312" w:hAnsi="仿宋" w:eastAsia="仿宋_GB2312"/>
                <w:b/>
                <w:kern w:val="0"/>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投标人应当提供的商务技术文件</w:t>
            </w:r>
          </w:p>
        </w:tc>
        <w:tc>
          <w:tcPr>
            <w:tcW w:w="6715" w:type="dxa"/>
            <w:tcBorders>
              <w:top w:val="single" w:color="000000" w:sz="8" w:space="0"/>
              <w:left w:val="single" w:color="000000" w:sz="2" w:space="0"/>
              <w:right w:val="single" w:color="000000" w:sz="8" w:space="0"/>
            </w:tcBorders>
            <w:vAlign w:val="center"/>
          </w:tcPr>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投标函；</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符合性审查资料；</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商务技术偏离表；</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pPr>
              <w:spacing w:line="360" w:lineRule="auto"/>
              <w:rPr>
                <w:rFonts w:ascii="宋体" w:hAnsi="宋体" w:cs="宋体"/>
                <w:lang w:val="zh-CN"/>
              </w:rPr>
            </w:pPr>
            <w:r>
              <w:rPr>
                <w:rFonts w:hint="eastAsia" w:ascii="宋体" w:hAnsi="宋体" w:cs="宋体"/>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投标人应当提供的报价文件</w:t>
            </w:r>
          </w:p>
        </w:tc>
        <w:tc>
          <w:tcPr>
            <w:tcW w:w="6715" w:type="dxa"/>
            <w:tcBorders>
              <w:top w:val="single" w:color="000000" w:sz="8" w:space="0"/>
              <w:left w:val="single" w:color="000000" w:sz="2" w:space="0"/>
              <w:right w:val="single" w:color="000000" w:sz="8" w:space="0"/>
            </w:tcBorders>
            <w:vAlign w:val="center"/>
          </w:tcPr>
          <w:p>
            <w:pPr>
              <w:pStyle w:val="280"/>
              <w:numPr>
                <w:ilvl w:val="0"/>
                <w:numId w:val="4"/>
              </w:numPr>
              <w:snapToGrid w:val="0"/>
              <w:ind w:firstLineChars="0"/>
              <w:rPr>
                <w:rFonts w:ascii="宋体" w:hAnsi="宋体" w:cs="宋体"/>
              </w:rPr>
            </w:pPr>
            <w:r>
              <w:rPr>
                <w:rFonts w:hint="eastAsia" w:ascii="宋体" w:hAnsi="宋体" w:eastAsia="宋体" w:cs="宋体"/>
              </w:rPr>
              <w:t>开标一览表（报价表）</w:t>
            </w:r>
            <w:r>
              <w:rPr>
                <w:rFonts w:hint="eastAsia" w:ascii="宋体" w:hAnsi="宋体" w:eastAsia="宋体" w:cs="宋体"/>
                <w:lang w:eastAsia="zh-CN"/>
              </w:rPr>
              <w:t>；</w:t>
            </w:r>
          </w:p>
          <w:p>
            <w:pPr>
              <w:pStyle w:val="280"/>
              <w:numPr>
                <w:ilvl w:val="0"/>
                <w:numId w:val="4"/>
              </w:numPr>
              <w:snapToGrid w:val="0"/>
              <w:ind w:firstLineChars="0"/>
              <w:rPr>
                <w:rFonts w:ascii="宋体" w:hAnsi="宋体" w:cs="宋体"/>
              </w:rPr>
            </w:pPr>
            <w:r>
              <w:rPr>
                <w:rFonts w:hint="eastAsia" w:ascii="宋体" w:hAnsi="宋体" w:eastAsia="宋体" w:cs="宋体"/>
                <w:lang w:eastAsia="zh-CN"/>
              </w:rPr>
              <w:t>《中小企业声明函》（如需）。</w:t>
            </w:r>
          </w:p>
          <w:p>
            <w:pPr>
              <w:pStyle w:val="280"/>
              <w:numPr>
                <w:ilvl w:val="0"/>
                <w:numId w:val="0"/>
              </w:numPr>
              <w:snapToGrid w:val="0"/>
              <w:ind w:leftChars="0"/>
              <w:rPr>
                <w:rFonts w:ascii="宋体" w:hAnsi="宋体" w:cs="宋体"/>
              </w:rPr>
            </w:pPr>
            <w:r>
              <w:rPr>
                <w:rFonts w:hint="eastAsia" w:ascii="宋体" w:hAnsi="宋体" w:cs="宋体"/>
                <w:b/>
                <w:kern w:val="0"/>
                <w:sz w:val="24"/>
                <w:lang w:val="zh-CN"/>
              </w:rPr>
              <w:t>投标文件含有采购人不能接受的附加条件的，将视为无效投标。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lang w:val="en-US" w:eastAsia="zh-CN"/>
              </w:rPr>
            </w:pPr>
            <w:sdt>
              <w:sdtPr>
                <w:rPr>
                  <w:rFonts w:hint="eastAsia" w:ascii="宋体" w:hAnsi="宋体" w:cs="宋体"/>
                  <w:kern w:val="0"/>
                  <w:sz w:val="24"/>
                </w:rPr>
                <w:id w:val="7"/>
              </w:sdtPr>
              <w:sdtEndPr>
                <w:rPr>
                  <w:rFonts w:hint="eastAsia" w:ascii="宋体" w:hAnsi="宋体" w:cs="宋体"/>
                  <w:kern w:val="0"/>
                  <w:sz w:val="24"/>
                </w:rPr>
              </w:sdtEndPr>
              <w:sdtContent>
                <w:sdt>
                  <w:sdtPr>
                    <w:rPr>
                      <w:rFonts w:hint="eastAsia" w:ascii="宋体" w:hAnsi="宋体" w:cs="宋体"/>
                      <w:kern w:val="0"/>
                      <w:sz w:val="24"/>
                    </w:rPr>
                    <w:id w:val="805436019"/>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kern w:val="0"/>
                <w:sz w:val="24"/>
                <w:lang w:val="en-US" w:eastAsia="zh-CN"/>
              </w:rPr>
              <w:t>A不</w:t>
            </w:r>
            <w:r>
              <w:rPr>
                <w:rFonts w:hint="eastAsia" w:ascii="宋体" w:hAnsi="宋体" w:cs="宋体"/>
                <w:kern w:val="0"/>
                <w:sz w:val="24"/>
              </w:rPr>
              <w:t>要求提供</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1"/>
              </w:sdtPr>
              <w:sdtEndPr>
                <w:rPr>
                  <w:rFonts w:hint="eastAsia" w:ascii="宋体" w:hAnsi="宋体" w:cs="宋体"/>
                  <w:kern w:val="0"/>
                  <w:sz w:val="24"/>
                </w:rPr>
              </w:sdtEndPr>
              <w:sdtContent>
                <w:sdt>
                  <w:sdtPr>
                    <w:rPr>
                      <w:rFonts w:hint="eastAsia" w:ascii="宋体" w:hAnsi="宋体" w:cs="宋体"/>
                      <w:kern w:val="0"/>
                      <w:sz w:val="24"/>
                    </w:rPr>
                    <w:id w:val="8041242"/>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 xml:space="preserve"> 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FF0000"/>
                <w:sz w:val="24"/>
              </w:rPr>
            </w:pPr>
            <w:r>
              <w:rPr>
                <w:rFonts w:hint="eastAsia" w:ascii="宋体" w:hAnsi="宋体" w:cs="宋体"/>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保证金收取</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本项目不收取投标保证金。</w:t>
            </w:r>
          </w:p>
          <w:p>
            <w:pPr>
              <w:snapToGrid w:val="0"/>
              <w:spacing w:line="360" w:lineRule="auto"/>
              <w:rPr>
                <w:rFonts w:ascii="宋体" w:hAnsi="宋体" w:cs="宋体"/>
              </w:rPr>
            </w:pPr>
            <w:r>
              <w:rPr>
                <w:rFonts w:hint="eastAsia" w:ascii="宋体" w:hAnsi="宋体" w:cs="宋体"/>
                <w:kern w:val="0"/>
                <w:sz w:val="24"/>
              </w:rPr>
              <w:t>签订合同时，中标供应商按要求向采购人缴纳不超过中标价1%的履约保证金。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采购进口产品</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rPr>
            </w:pPr>
            <w:r>
              <w:rPr>
                <w:rFonts w:hint="eastAsia" w:ascii="宋体" w:hAnsi="宋体" w:cs="宋体"/>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sdt>
              <w:sdtPr>
                <w:rPr>
                  <w:rFonts w:hint="eastAsia" w:ascii="宋体" w:hAnsi="宋体" w:cs="宋体"/>
                  <w:kern w:val="0"/>
                  <w:sz w:val="24"/>
                </w:rPr>
                <w:id w:val="349594683"/>
              </w:sdtPr>
              <w:sdtEndPr>
                <w:rPr>
                  <w:rFonts w:hint="eastAsia" w:ascii="宋体" w:hAnsi="宋体" w:cs="宋体"/>
                  <w:kern w:val="0"/>
                  <w:sz w:val="24"/>
                </w:rPr>
              </w:sdtEndPr>
              <w:sdtContent>
                <w:sdt>
                  <w:sdtPr>
                    <w:rPr>
                      <w:rFonts w:hint="eastAsia" w:ascii="宋体" w:hAnsi="宋体" w:cs="宋体"/>
                      <w:kern w:val="0"/>
                      <w:sz w:val="24"/>
                    </w:rPr>
                    <w:id w:val="349594685"/>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A货物类，单一产品或核心产品为：</w:t>
            </w:r>
            <w:r>
              <w:rPr>
                <w:rFonts w:hint="eastAsia" w:ascii="宋体" w:hAnsi="宋体" w:cs="宋体"/>
                <w:kern w:val="0"/>
                <w:sz w:val="24"/>
                <w:u w:val="single"/>
                <w:lang w:val="en-US" w:eastAsia="zh-CN"/>
              </w:rPr>
              <w:t>/</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中小企业划分标准所属行业</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pPr>
              <w:snapToGrid w:val="0"/>
              <w:spacing w:line="360" w:lineRule="auto"/>
              <w:rPr>
                <w:rFonts w:ascii="宋体" w:hAnsi="宋体" w:cs="宋体"/>
                <w:kern w:val="0"/>
                <w:sz w:val="24"/>
              </w:rPr>
            </w:pPr>
            <w:r>
              <w:rPr>
                <w:rFonts w:hint="eastAsia" w:ascii="宋体" w:hAnsi="宋体" w:cs="宋体"/>
                <w:kern w:val="0"/>
                <w:sz w:val="24"/>
              </w:rPr>
              <w:t>供应商在出具《中小企业声明函》前，可通过工业和信息化部官网公共服务平台“中小企业规模类型自测小程序”自测企业规模类型。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w:t>
            </w:r>
          </w:p>
          <w:p>
            <w:pPr>
              <w:snapToGrid w:val="0"/>
              <w:spacing w:line="360" w:lineRule="auto"/>
              <w:jc w:val="center"/>
              <w:rPr>
                <w:rFonts w:ascii="宋体" w:hAnsi="宋体" w:cs="宋体"/>
                <w:b/>
                <w:sz w:val="24"/>
              </w:rPr>
            </w:pPr>
            <w:r>
              <w:rPr>
                <w:rFonts w:hint="eastAsia" w:ascii="宋体" w:hAnsi="宋体" w:cs="宋体"/>
                <w:b/>
                <w:sz w:val="24"/>
              </w:rPr>
              <w:t>融资</w:t>
            </w:r>
          </w:p>
        </w:tc>
        <w:tc>
          <w:tcPr>
            <w:tcW w:w="6715" w:type="dxa"/>
            <w:tcBorders>
              <w:top w:val="single" w:color="000000" w:sz="8" w:space="0"/>
              <w:left w:val="single" w:color="000000" w:sz="2" w:space="0"/>
              <w:right w:val="single" w:color="000000" w:sz="8" w:space="0"/>
            </w:tcBorders>
            <w:vAlign w:val="center"/>
          </w:tcPr>
          <w:p>
            <w:pPr>
              <w:spacing w:line="360" w:lineRule="auto"/>
              <w:rPr>
                <w:rFonts w:ascii="宋体" w:hAnsi="宋体" w:cs="宋体"/>
                <w:sz w:val="24"/>
              </w:rPr>
            </w:pPr>
            <w:r>
              <w:rPr>
                <w:rFonts w:hint="eastAsia" w:ascii="宋体" w:hAnsi="宋体" w:cs="宋体"/>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 </w:t>
            </w:r>
          </w:p>
        </w:tc>
        <w:tc>
          <w:tcPr>
            <w:tcW w:w="671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hAnsi="宋体" w:cs="宋体"/>
                <w:b/>
                <w:snapToGrid/>
                <w:sz w:val="24"/>
                <w:szCs w:val="24"/>
              </w:rPr>
            </w:pPr>
            <w:r>
              <w:rPr>
                <w:rFonts w:hint="eastAsia" w:hAnsi="宋体" w:cs="宋体"/>
                <w:b/>
                <w:snapToGrid/>
                <w:sz w:val="24"/>
                <w:szCs w:val="24"/>
              </w:rPr>
              <w:t>诸暨市公共资源交易中心邮箱（</w:t>
            </w:r>
            <w:r>
              <w:fldChar w:fldCharType="begin"/>
            </w:r>
            <w:r>
              <w:instrText xml:space="preserve"> HYPERLINK "mailto:zjztb001@aliyun.com" </w:instrText>
            </w:r>
            <w:r>
              <w:fldChar w:fldCharType="separate"/>
            </w:r>
            <w:r>
              <w:rPr>
                <w:rStyle w:val="79"/>
                <w:rFonts w:hint="eastAsia" w:ascii="宋体" w:hAnsi="宋体" w:eastAsia="宋体" w:cs="宋体"/>
                <w:b/>
                <w:kern w:val="2"/>
                <w:sz w:val="24"/>
                <w:szCs w:val="24"/>
              </w:rPr>
              <w:t>zjztb001@aliyun.com</w:t>
            </w:r>
            <w:r>
              <w:rPr>
                <w:rStyle w:val="79"/>
                <w:rFonts w:hint="eastAsia" w:ascii="宋体" w:hAnsi="宋体" w:eastAsia="宋体" w:cs="宋体"/>
                <w:b/>
                <w:kern w:val="2"/>
                <w:sz w:val="24"/>
                <w:szCs w:val="24"/>
              </w:rPr>
              <w:fldChar w:fldCharType="end"/>
            </w:r>
            <w:r>
              <w:rPr>
                <w:rFonts w:hint="eastAsia" w:hAnsi="宋体" w:cs="宋体"/>
                <w:b/>
                <w:snapToGrid/>
                <w:sz w:val="24"/>
                <w:szCs w:val="24"/>
              </w:rPr>
              <w:t>）。</w:t>
            </w:r>
          </w:p>
          <w:p>
            <w:pPr>
              <w:pStyle w:val="36"/>
              <w:spacing w:line="360" w:lineRule="auto"/>
              <w:rPr>
                <w:rFonts w:hAnsi="宋体" w:cs="宋体"/>
                <w:kern w:val="28"/>
                <w:sz w:val="24"/>
              </w:rPr>
            </w:pPr>
            <w:r>
              <w:rPr>
                <w:rFonts w:hint="eastAsia" w:hAnsi="宋体" w:cs="宋体"/>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b/>
                <w:bCs/>
              </w:rPr>
              <w:t>无</w:t>
            </w: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3"/>
        <w:rPr>
          <w:rFonts w:ascii="宋体" w:hAnsi="宋体" w:eastAsia="宋体" w:cs="宋体"/>
          <w:lang w:val="en-US"/>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bookmarkEnd w:id="9"/>
    <w:p>
      <w:pPr>
        <w:adjustRightInd/>
        <w:spacing w:line="360" w:lineRule="auto"/>
        <w:ind w:firstLine="3845" w:firstLineChars="1197"/>
        <w:outlineLvl w:val="0"/>
        <w:rPr>
          <w:rFonts w:hint="eastAsia" w:ascii="宋体" w:hAnsi="宋体" w:cs="宋体"/>
          <w:b/>
          <w:sz w:val="32"/>
          <w:szCs w:val="20"/>
        </w:rPr>
      </w:pPr>
      <w:bookmarkStart w:id="10" w:name="_Toc164416483"/>
      <w:bookmarkStart w:id="11" w:name="第三部分"/>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sz w:val="24"/>
          </w:rPr>
          <w:id w:val="512970236"/>
        </w:sdtPr>
        <w:sdtEndPr>
          <w:rPr>
            <w:rFonts w:hint="eastAsia" w:ascii="宋体" w:hAnsi="宋体" w:cs="宋体"/>
            <w:sz w:val="24"/>
          </w:rPr>
        </w:sdtEndPr>
        <w:sdtContent>
          <w:sdt>
            <w:sdtPr>
              <w:rPr>
                <w:rFonts w:hint="eastAsia" w:ascii="宋体" w:hAnsi="宋体" w:cs="宋体"/>
                <w:kern w:val="0"/>
                <w:sz w:val="24"/>
              </w:rPr>
              <w:id w:val="14"/>
            </w:sdtPr>
            <w:sdtEndPr>
              <w:rPr>
                <w:rFonts w:hint="eastAsia" w:ascii="宋体" w:hAnsi="宋体" w:cs="宋体"/>
                <w:kern w:val="0"/>
                <w:sz w:val="24"/>
              </w:rPr>
            </w:sdtEndPr>
            <w:sdtContent>
              <w:sdt>
                <w:sdtPr>
                  <w:rPr>
                    <w:rFonts w:hint="eastAsia" w:ascii="宋体" w:hAnsi="宋体" w:cs="宋体"/>
                    <w:kern w:val="0"/>
                    <w:sz w:val="24"/>
                  </w:rPr>
                  <w:id w:val="147461281"/>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sdtContent>
      </w:sdt>
      <w:r>
        <w:rPr>
          <w:rFonts w:hint="eastAsia" w:ascii="宋体" w:hAnsi="宋体" w:cs="宋体"/>
          <w:sz w:val="24"/>
        </w:rPr>
        <w:t>” 系指适用本项目的要求，“</w:t>
      </w:r>
      <w:sdt>
        <w:sdtPr>
          <w:rPr>
            <w:rFonts w:hint="eastAsia" w:ascii="宋体" w:hAnsi="宋体" w:cs="宋体"/>
            <w:sz w:val="24"/>
          </w:rPr>
          <w:id w:val="404888855"/>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 系指不适用本项目的要求。</w:t>
      </w:r>
    </w:p>
    <w:p>
      <w:pPr>
        <w:spacing w:line="360" w:lineRule="auto"/>
        <w:rPr>
          <w:rFonts w:ascii="宋体" w:hAnsi="宋体" w:cs="宋体"/>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或未按照要求提供的，不享受中小企业扶持政策。声明内容不实，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 xml:space="preserve">3.3.7中小企业享受扶持政策获得政府采购合同的，小微企业不得将合同分包给大中型企业，中型企业不得将合同分包给大型企业。 </w:t>
      </w:r>
    </w:p>
    <w:p>
      <w:pPr>
        <w:spacing w:line="360" w:lineRule="auto"/>
        <w:ind w:firstLine="480" w:firstLineChars="200"/>
        <w:rPr>
          <w:rFonts w:ascii="宋体" w:hAnsi="宋体" w:cs="宋体"/>
          <w:sz w:val="24"/>
        </w:rPr>
      </w:pPr>
      <w:r>
        <w:rPr>
          <w:rFonts w:hint="eastAsia" w:ascii="宋体" w:hAnsi="宋体" w:cs="宋体"/>
          <w:sz w:val="24"/>
        </w:rPr>
        <w:t>3.3.8采购人严格贯彻落实《保障中小企业款项支付条例》、《浙江省财政厅关于进一步发挥政府采购政策功能全力推动经济稳进提质的通知》，按规定向中小企业支付款项。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宋体" w:hAnsi="宋体" w:cs="宋体"/>
          <w:sz w:val="24"/>
        </w:rPr>
      </w:pPr>
      <w:r>
        <w:rPr>
          <w:rFonts w:hint="eastAsia" w:ascii="宋体" w:hAnsi="宋体" w:cs="宋体"/>
          <w:sz w:val="24"/>
        </w:rPr>
        <w:t>3.3.9中小企业信用融资：供应商中标后可在政府采购云平台申请政采贷：操作路径：登录政府采购云平台-金融服务中心-【融资服务】。</w:t>
      </w:r>
    </w:p>
    <w:p>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b/>
          <w:sz w:val="24"/>
        </w:rPr>
        <w:t>4. 询问、质疑、投诉</w:t>
      </w:r>
    </w:p>
    <w:p>
      <w:pPr>
        <w:spacing w:line="360" w:lineRule="auto"/>
        <w:ind w:firstLine="480" w:firstLineChars="200"/>
        <w:rPr>
          <w:rFonts w:ascii="宋体" w:hAnsi="宋体" w:cs="宋体"/>
          <w:b/>
          <w:sz w:val="24"/>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pPr>
        <w:pStyle w:val="36"/>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6"/>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6"/>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6"/>
        <w:spacing w:line="360" w:lineRule="auto"/>
        <w:ind w:firstLine="482" w:firstLineChars="200"/>
        <w:rPr>
          <w:rFonts w:hAnsi="宋体" w:cs="宋体"/>
          <w:b/>
          <w:sz w:val="24"/>
        </w:rPr>
      </w:pPr>
      <w:r>
        <w:rPr>
          <w:rFonts w:hint="eastAsia" w:hAnsi="宋体" w:cs="宋体"/>
          <w:b/>
          <w:sz w:val="24"/>
        </w:rPr>
        <w:t>4.2.2.4针对采购文件中特定资格条件、采购需求、评分办法提出的质疑，应向采购人提出；对采购文件中其他内容、采购过程、采购结果提出的质疑，应向采购代理机构提出。</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6"/>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3.6提出质疑的日期。</w:t>
      </w:r>
    </w:p>
    <w:p>
      <w:pPr>
        <w:pStyle w:val="36"/>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6"/>
        <w:spacing w:line="360" w:lineRule="auto"/>
        <w:ind w:firstLine="480" w:firstLineChars="200"/>
        <w:rPr>
          <w:rFonts w:hAnsi="宋体" w:cs="宋体"/>
          <w:sz w:val="24"/>
        </w:rPr>
      </w:pPr>
      <w:r>
        <w:rPr>
          <w:rFonts w:hint="eastAsia" w:hAnsi="宋体" w:cs="宋体"/>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6"/>
        <w:spacing w:line="360" w:lineRule="auto"/>
        <w:ind w:firstLine="480" w:firstLineChars="200"/>
        <w:rPr>
          <w:rFonts w:hAnsi="宋体" w:cs="宋体"/>
          <w:sz w:val="24"/>
        </w:rPr>
      </w:pPr>
      <w:r>
        <w:rPr>
          <w:rFonts w:hint="eastAsia" w:hAnsi="宋体" w:cs="宋体"/>
          <w:sz w:val="24"/>
        </w:rPr>
        <w:t>4.2.5询问或者质疑事项可能影响采购结果的，采购人应当暂停签订合同，已经签订合同的，应当中止履行合同。</w:t>
      </w:r>
    </w:p>
    <w:p>
      <w:pPr>
        <w:pStyle w:val="36"/>
        <w:spacing w:line="360" w:lineRule="auto"/>
        <w:ind w:firstLine="480" w:firstLineChars="200"/>
        <w:rPr>
          <w:rFonts w:hAnsi="宋体" w:cs="宋体"/>
          <w:sz w:val="24"/>
        </w:rPr>
      </w:pPr>
      <w:r>
        <w:rPr>
          <w:rFonts w:hint="eastAsia" w:hAnsi="宋体" w:cs="宋体"/>
          <w:sz w:val="24"/>
        </w:rPr>
        <w:t>4.3质疑供应商投诉</w:t>
      </w:r>
    </w:p>
    <w:p>
      <w:pPr>
        <w:pStyle w:val="36"/>
        <w:spacing w:line="360" w:lineRule="auto"/>
        <w:ind w:firstLine="480" w:firstLineChars="200"/>
        <w:rPr>
          <w:rFonts w:hAnsi="宋体" w:cs="宋体"/>
          <w:sz w:val="24"/>
        </w:rPr>
      </w:pPr>
      <w:r>
        <w:rPr>
          <w:rFonts w:hint="eastAsia" w:hAnsi="宋体" w:cs="宋体"/>
          <w:sz w:val="24"/>
        </w:rPr>
        <w:t>4.3.1质疑供应商对采购人、采购代理机构的答复不满意或者采购人、采购代理机构未在规定的时间内作出答复的，可以在答复期满后十五个工作日内向同级政府采购监督管理部门提出投诉。</w:t>
      </w:r>
    </w:p>
    <w:p>
      <w:pPr>
        <w:pStyle w:val="36"/>
        <w:spacing w:line="360" w:lineRule="auto"/>
        <w:ind w:firstLine="480" w:firstLineChars="200"/>
        <w:rPr>
          <w:rFonts w:hAnsi="宋体" w:cs="宋体"/>
          <w:sz w:val="24"/>
        </w:rPr>
      </w:pPr>
      <w:r>
        <w:rPr>
          <w:rFonts w:hint="eastAsia" w:hAnsi="宋体" w:cs="宋体"/>
          <w:sz w:val="24"/>
        </w:rPr>
        <w:t>4.3.2供应商投诉的事项不得超出已质疑事项的范围，基于质疑答复内容提出的投诉事项除外。</w:t>
      </w:r>
    </w:p>
    <w:p>
      <w:pPr>
        <w:pStyle w:val="36"/>
        <w:spacing w:line="360" w:lineRule="auto"/>
        <w:ind w:firstLine="480" w:firstLineChars="200"/>
        <w:rPr>
          <w:rFonts w:hAnsi="宋体" w:cs="宋体"/>
          <w:sz w:val="24"/>
        </w:rPr>
      </w:pPr>
      <w:r>
        <w:rPr>
          <w:rFonts w:hint="eastAsia" w:hAnsi="宋体" w:cs="宋体"/>
          <w:sz w:val="24"/>
        </w:rPr>
        <w:t>4.3.3供应商投诉应当有明确的请求和必要的证明材料。</w:t>
      </w:r>
    </w:p>
    <w:p>
      <w:pPr>
        <w:pStyle w:val="36"/>
        <w:spacing w:line="360" w:lineRule="auto"/>
        <w:ind w:firstLine="480" w:firstLineChars="200"/>
        <w:rPr>
          <w:rFonts w:hAnsi="宋体" w:cs="宋体"/>
          <w:sz w:val="24"/>
        </w:rPr>
      </w:pPr>
      <w:r>
        <w:rPr>
          <w:rFonts w:hint="eastAsia" w:hAnsi="宋体" w:cs="宋体"/>
          <w:sz w:val="24"/>
        </w:rPr>
        <w:t>4.3.5 以联合体形式参加政府采购活动的，其投诉应当由组成联合体的所有供应商共同提出。投诉书范本及制作说明详见附件3。</w:t>
      </w:r>
    </w:p>
    <w:p>
      <w:pPr>
        <w:pStyle w:val="36"/>
        <w:spacing w:line="360" w:lineRule="auto"/>
        <w:ind w:firstLine="480" w:firstLineChars="200"/>
        <w:rPr>
          <w:rFonts w:hAnsi="宋体" w:cs="宋体"/>
          <w:sz w:val="24"/>
        </w:rPr>
      </w:pPr>
      <w:r>
        <w:rPr>
          <w:rFonts w:hint="eastAsia" w:hAnsi="宋体" w:cs="宋体"/>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二、招标文件的构成、澄清、补充、修改</w:t>
      </w:r>
    </w:p>
    <w:p>
      <w:pPr>
        <w:pStyle w:val="36"/>
        <w:spacing w:line="360" w:lineRule="auto"/>
        <w:rPr>
          <w:rFonts w:hAnsi="宋体" w:cs="宋体"/>
          <w:b/>
          <w:sz w:val="24"/>
          <w:szCs w:val="24"/>
        </w:rPr>
      </w:pPr>
      <w:r>
        <w:rPr>
          <w:rFonts w:hint="eastAsia" w:hAnsi="宋体" w:cs="宋体"/>
          <w:b/>
          <w:sz w:val="24"/>
          <w:szCs w:val="24"/>
        </w:rPr>
        <w:t>5．招标文件的构成</w:t>
      </w:r>
    </w:p>
    <w:p>
      <w:pPr>
        <w:pStyle w:val="36"/>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pPr>
        <w:pStyle w:val="36"/>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澄清、补充、修改的内容为招标文件的组成部分</w:t>
      </w:r>
      <w:r>
        <w:rPr>
          <w:rFonts w:hint="eastAsia" w:ascii="宋体" w:hAnsi="宋体" w:cs="宋体"/>
          <w:sz w:val="24"/>
        </w:rPr>
        <w:t>。</w:t>
      </w:r>
    </w:p>
    <w:p>
      <w:pPr>
        <w:pStyle w:val="36"/>
        <w:spacing w:line="360" w:lineRule="auto"/>
        <w:rPr>
          <w:rFonts w:hAnsi="宋体" w:cs="宋体"/>
          <w:b/>
          <w:sz w:val="24"/>
          <w:szCs w:val="24"/>
        </w:rPr>
      </w:pPr>
      <w:r>
        <w:rPr>
          <w:rFonts w:hint="eastAsia" w:hAnsi="宋体" w:cs="宋体"/>
          <w:b/>
          <w:sz w:val="24"/>
          <w:szCs w:val="24"/>
        </w:rPr>
        <w:t>6. 招标文件的澄清、补充、修改</w:t>
      </w:r>
    </w:p>
    <w:p>
      <w:pPr>
        <w:pStyle w:val="16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62"/>
        <w:snapToGrid w:val="0"/>
        <w:spacing w:before="0"/>
        <w:ind w:firstLine="480"/>
        <w:rPr>
          <w:rFonts w:ascii="宋体" w:hAnsi="宋体" w:cs="宋体"/>
        </w:rPr>
      </w:pPr>
      <w:r>
        <w:rPr>
          <w:rFonts w:hint="eastAsia" w:ascii="宋体" w:hAnsi="宋体" w:cs="宋体"/>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62"/>
        <w:snapToGrid w:val="0"/>
        <w:spacing w:before="0"/>
        <w:ind w:firstLine="480"/>
        <w:rPr>
          <w:rFonts w:ascii="宋体" w:hAnsi="宋体" w:cs="宋体"/>
        </w:rPr>
      </w:pPr>
      <w:r>
        <w:rPr>
          <w:rFonts w:hint="eastAsia" w:ascii="宋体" w:hAnsi="宋体" w:cs="宋体"/>
        </w:rPr>
        <w:t>6.3当招标文件与澄清、补充、修改就同一内容表述不一致的以最后发出的文件或公告为准。</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6"/>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6"/>
        <w:spacing w:line="360" w:lineRule="auto"/>
        <w:rPr>
          <w:rFonts w:hAnsi="宋体" w:cs="宋体"/>
          <w:b/>
          <w:sz w:val="24"/>
          <w:szCs w:val="24"/>
        </w:rPr>
      </w:pPr>
      <w:r>
        <w:rPr>
          <w:rFonts w:hint="eastAsia" w:hAnsi="宋体" w:cs="宋体"/>
          <w:b/>
          <w:sz w:val="24"/>
          <w:szCs w:val="24"/>
        </w:rPr>
        <w:t>8.开标前答疑会或现场考察</w:t>
      </w:r>
    </w:p>
    <w:p>
      <w:pPr>
        <w:pStyle w:val="3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6"/>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6"/>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11.1.2落实政府采购政策需满足的资格要求（如需）；</w:t>
      </w:r>
    </w:p>
    <w:p>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11.1.3本项目的特定资格要求（如需）。</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480" w:firstLineChars="2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480" w:firstLineChars="200"/>
        <w:rPr>
          <w:rFonts w:ascii="宋体" w:hAnsi="宋体" w:cs="宋体"/>
          <w:sz w:val="24"/>
        </w:rPr>
      </w:pPr>
      <w:r>
        <w:rPr>
          <w:rFonts w:hint="eastAsia" w:ascii="宋体" w:hAnsi="宋体" w:cs="宋体"/>
          <w:sz w:val="24"/>
        </w:rPr>
        <w:t>11.2.3符合性审查资料；</w:t>
      </w:r>
    </w:p>
    <w:p>
      <w:pPr>
        <w:snapToGrid w:val="0"/>
        <w:spacing w:line="360" w:lineRule="auto"/>
        <w:ind w:firstLine="480" w:firstLineChars="200"/>
        <w:rPr>
          <w:rFonts w:ascii="宋体" w:hAnsi="宋体" w:cs="宋体"/>
          <w:sz w:val="24"/>
        </w:rPr>
      </w:pPr>
      <w:r>
        <w:rPr>
          <w:rFonts w:hint="eastAsia" w:ascii="宋体" w:hAnsi="宋体" w:cs="宋体"/>
          <w:sz w:val="24"/>
        </w:rPr>
        <w:t>11.2.4评标标准相应的商务技术资料（如需）；</w:t>
      </w:r>
    </w:p>
    <w:p>
      <w:pPr>
        <w:snapToGrid w:val="0"/>
        <w:spacing w:line="360" w:lineRule="auto"/>
        <w:ind w:firstLine="480" w:firstLineChars="200"/>
        <w:rPr>
          <w:rFonts w:ascii="宋体" w:hAnsi="宋体" w:cs="宋体"/>
          <w:sz w:val="24"/>
        </w:rPr>
      </w:pPr>
      <w:r>
        <w:rPr>
          <w:rFonts w:hint="eastAsia" w:ascii="宋体" w:hAnsi="宋体" w:cs="宋体"/>
          <w:sz w:val="24"/>
        </w:rPr>
        <w:t>11.2.5商务技术偏离表；</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pPr>
        <w:snapToGrid w:val="0"/>
        <w:spacing w:line="360"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 xml:space="preserve">报价文件： </w:t>
      </w:r>
    </w:p>
    <w:p>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11.3.2中小企业声明函（如需）。</w:t>
      </w:r>
    </w:p>
    <w:p>
      <w:pPr>
        <w:spacing w:line="360" w:lineRule="auto"/>
        <w:ind w:firstLine="482" w:firstLineChars="200"/>
        <w:rPr>
          <w:rFonts w:ascii="宋体" w:hAnsi="宋体" w:cs="宋体"/>
          <w:b/>
          <w:sz w:val="24"/>
        </w:rPr>
      </w:pPr>
      <w:r>
        <w:rPr>
          <w:rFonts w:hint="eastAsia" w:ascii="宋体" w:hAnsi="宋体" w:cs="宋体"/>
          <w:b/>
          <w:sz w:val="24"/>
        </w:rPr>
        <w:t>11.4投标文件含有采购人不能接受的附加条件的，投标无效；投标人提供虚假材料投标的，投标无效。</w:t>
      </w:r>
    </w:p>
    <w:p>
      <w:pPr>
        <w:pStyle w:val="16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12.4投标人应充分考虑完成平台注册、申领CA证书等所需时间，如未在“政府采购云平台”系统内完成相关流程，而引起的投标或响应无效的责任自负。</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6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6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6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62"/>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6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2"/>
        <w:spacing w:before="0"/>
        <w:ind w:firstLine="480"/>
        <w:rPr>
          <w:rFonts w:ascii="宋体" w:hAnsi="宋体" w:cs="宋体"/>
          <w:color w:val="FF0000"/>
          <w:szCs w:val="24"/>
          <w:u w:val="single"/>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6"/>
        <w:spacing w:line="360" w:lineRule="auto"/>
        <w:rPr>
          <w:rFonts w:hAnsi="宋体" w:cs="宋体"/>
          <w:b/>
          <w:sz w:val="24"/>
          <w:szCs w:val="24"/>
        </w:rPr>
      </w:pPr>
      <w:r>
        <w:rPr>
          <w:rFonts w:hint="eastAsia" w:hAnsi="宋体" w:cs="宋体"/>
          <w:b/>
          <w:sz w:val="24"/>
          <w:szCs w:val="24"/>
        </w:rPr>
        <w:t>15.备份投标文件</w:t>
      </w:r>
    </w:p>
    <w:p>
      <w:pPr>
        <w:pStyle w:val="36"/>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15.1投标人在电子交易平台传输递交投标文件后，还可以在投标截止时间前向</w:t>
      </w:r>
      <w:r>
        <w:rPr>
          <w:rFonts w:hint="eastAsia" w:hAnsi="宋体" w:cs="宋体"/>
          <w:bCs/>
          <w:snapToGrid/>
          <w:sz w:val="24"/>
          <w:szCs w:val="24"/>
        </w:rPr>
        <w:t>诸暨</w:t>
      </w:r>
      <w:r>
        <w:rPr>
          <w:rFonts w:hint="eastAsia" w:hAnsi="宋体" w:cs="宋体"/>
          <w:bCs/>
          <w:sz w:val="24"/>
          <w:szCs w:val="24"/>
        </w:rPr>
        <w:t>市公共资源交易中心邮箱（</w:t>
      </w:r>
      <w:r>
        <w:rPr>
          <w:rFonts w:hint="eastAsia" w:hAnsi="宋体" w:cs="宋体"/>
          <w:sz w:val="24"/>
          <w:szCs w:val="24"/>
        </w:rPr>
        <w:t>zjztb001@aliyun.com）递交备份投标文件1份，</w:t>
      </w:r>
      <w:r>
        <w:rPr>
          <w:rFonts w:hint="eastAsia" w:hAnsi="宋体" w:cs="宋体"/>
          <w:b/>
          <w:sz w:val="24"/>
          <w:szCs w:val="24"/>
        </w:rPr>
        <w:t>但采购人、采购代理机构不强制或变相强制投标人提交备份投标文件。</w:t>
      </w:r>
    </w:p>
    <w:p>
      <w:pPr>
        <w:pStyle w:val="36"/>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w:t>
      </w:r>
      <w:r>
        <w:rPr>
          <w:rFonts w:hint="eastAsia" w:hAnsi="宋体" w:cs="宋体"/>
          <w:b/>
          <w:sz w:val="24"/>
          <w:szCs w:val="24"/>
        </w:rPr>
        <w:t xml:space="preserve"> </w:t>
      </w:r>
    </w:p>
    <w:p>
      <w:pPr>
        <w:pStyle w:val="36"/>
        <w:spacing w:line="360" w:lineRule="auto"/>
        <w:ind w:firstLine="480" w:firstLineChars="200"/>
        <w:rPr>
          <w:rFonts w:hAnsi="宋体" w:cs="宋体"/>
          <w:sz w:val="24"/>
          <w:szCs w:val="24"/>
        </w:rPr>
      </w:pPr>
      <w:r>
        <w:rPr>
          <w:rFonts w:hint="eastAsia" w:hAnsi="宋体" w:cs="宋体"/>
          <w:sz w:val="24"/>
          <w:szCs w:val="24"/>
        </w:rPr>
        <w:t>15.3采购代理机构将拒绝接受逾期送达的备份投标文件。</w:t>
      </w:r>
    </w:p>
    <w:p>
      <w:pPr>
        <w:pStyle w:val="36"/>
        <w:spacing w:line="360" w:lineRule="auto"/>
        <w:ind w:firstLine="479" w:firstLineChars="199"/>
        <w:rPr>
          <w:rFonts w:hAnsi="宋体" w:cs="宋体"/>
          <w:b/>
          <w:sz w:val="24"/>
          <w:szCs w:val="24"/>
        </w:rPr>
      </w:pPr>
      <w:r>
        <w:rPr>
          <w:rFonts w:hint="eastAsia" w:hAnsi="宋体" w:cs="宋体"/>
          <w:b/>
          <w:sz w:val="24"/>
          <w:szCs w:val="24"/>
        </w:rPr>
        <w:t>15.4投标人仅提交备份投标文件，没有在电子交易平台传输递交投标文件的，投标无效。</w:t>
      </w:r>
    </w:p>
    <w:p>
      <w:pPr>
        <w:pStyle w:val="36"/>
        <w:spacing w:line="360" w:lineRule="auto"/>
        <w:ind w:firstLine="477" w:firstLineChars="199"/>
        <w:rPr>
          <w:rFonts w:hAnsi="宋体" w:cs="宋体"/>
          <w:sz w:val="24"/>
          <w:szCs w:val="24"/>
        </w:rPr>
      </w:pPr>
      <w:r>
        <w:rPr>
          <w:rFonts w:hint="eastAsia" w:hAnsi="宋体" w:cs="宋体"/>
          <w:sz w:val="24"/>
          <w:szCs w:val="24"/>
        </w:rPr>
        <w:t>15.5投标文件如有补充、修改，备份投标文件应同步调整并再次提交，采购代理机构以最新备份投标文件为准。</w:t>
      </w:r>
    </w:p>
    <w:p>
      <w:pPr>
        <w:pStyle w:val="162"/>
        <w:spacing w:before="0"/>
        <w:ind w:firstLine="0" w:firstLineChars="0"/>
        <w:rPr>
          <w:rFonts w:ascii="宋体" w:hAnsi="宋体" w:cs="宋体"/>
          <w:b/>
          <w:szCs w:val="24"/>
        </w:rPr>
      </w:pPr>
      <w:r>
        <w:rPr>
          <w:rFonts w:hint="eastAsia" w:ascii="宋体" w:hAnsi="宋体" w:cs="宋体"/>
          <w:b/>
          <w:szCs w:val="24"/>
        </w:rPr>
        <w:t>16.投标文件的无效处理</w:t>
      </w:r>
    </w:p>
    <w:p>
      <w:pPr>
        <w:pStyle w:val="27"/>
        <w:spacing w:line="360" w:lineRule="auto"/>
        <w:ind w:firstLine="360" w:firstLineChars="150"/>
        <w:rPr>
          <w:rFonts w:cs="宋体"/>
          <w:szCs w:val="21"/>
        </w:rPr>
      </w:pPr>
      <w:r>
        <w:rPr>
          <w:rFonts w:hint="eastAsia" w:cs="宋体"/>
          <w:szCs w:val="21"/>
        </w:rPr>
        <w:t>有招标文件第四部分</w:t>
      </w:r>
      <w:r>
        <w:rPr>
          <w:rFonts w:hint="eastAsia" w:cs="宋体"/>
        </w:rPr>
        <w:t>第4.2项规定</w:t>
      </w:r>
      <w:r>
        <w:rPr>
          <w:rFonts w:hint="eastAsia" w:cs="宋体"/>
          <w:szCs w:val="21"/>
        </w:rPr>
        <w:t>的情形之一的，投标无效。</w:t>
      </w:r>
    </w:p>
    <w:p>
      <w:pPr>
        <w:pStyle w:val="162"/>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62"/>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62"/>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2"/>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62"/>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62"/>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62"/>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18.2开标时，电子交易平台按开标时间自动提取所有投标文件。采购代理机构依托电子交易平台发起开始解密指令，投标人按照平台提示在招标文件规定时间内完成在线解密。</w:t>
      </w:r>
    </w:p>
    <w:p>
      <w:pPr>
        <w:pStyle w:val="562"/>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pPr>
        <w:pStyle w:val="562"/>
        <w:spacing w:before="0" w:line="360" w:lineRule="auto"/>
        <w:ind w:left="0" w:firstLine="0"/>
        <w:contextualSpacing/>
        <w:rPr>
          <w:rFonts w:ascii="宋体" w:hAnsi="宋体" w:cs="宋体"/>
          <w:b/>
          <w:sz w:val="24"/>
        </w:rPr>
      </w:pPr>
      <w:r>
        <w:rPr>
          <w:rFonts w:hint="eastAsia" w:ascii="宋体" w:hAnsi="宋体" w:cs="宋体"/>
          <w:b/>
          <w:sz w:val="24"/>
        </w:rPr>
        <w:t>19</w:t>
      </w:r>
      <w:r>
        <w:rPr>
          <w:rFonts w:hint="eastAsia" w:ascii="宋体" w:hAnsi="宋体" w:cs="宋体"/>
          <w:b/>
          <w:sz w:val="24"/>
          <w:szCs w:val="24"/>
        </w:rPr>
        <w:t>.</w:t>
      </w:r>
      <w:r>
        <w:rPr>
          <w:rFonts w:hint="eastAsia" w:ascii="宋体" w:hAnsi="宋体" w:cs="宋体"/>
          <w:b/>
          <w:sz w:val="24"/>
        </w:rPr>
        <w:t>资格审查</w:t>
      </w:r>
    </w:p>
    <w:p>
      <w:pPr>
        <w:pStyle w:val="162"/>
        <w:spacing w:before="0"/>
        <w:ind w:firstLine="480"/>
        <w:rPr>
          <w:rFonts w:ascii="宋体" w:hAnsi="宋体" w:cs="宋体"/>
          <w:kern w:val="0"/>
          <w:szCs w:val="24"/>
        </w:rPr>
      </w:pPr>
      <w:r>
        <w:rPr>
          <w:rFonts w:hint="eastAsia" w:ascii="宋体" w:hAnsi="宋体" w:cs="宋体"/>
          <w:kern w:val="0"/>
          <w:szCs w:val="24"/>
        </w:rPr>
        <w:t>19.1开标后，采购人或采购代理机构将依法对投标人的资格进行审查。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62"/>
        <w:spacing w:before="0"/>
        <w:ind w:firstLine="480"/>
        <w:rPr>
          <w:rFonts w:ascii="宋体" w:hAnsi="宋体" w:cs="宋体"/>
          <w:kern w:val="0"/>
          <w:szCs w:val="24"/>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pPr>
        <w:pStyle w:val="162"/>
        <w:spacing w:before="0"/>
        <w:ind w:firstLine="480"/>
        <w:rPr>
          <w:rFonts w:ascii="宋体" w:hAnsi="宋体" w:cs="宋体"/>
          <w:kern w:val="0"/>
          <w:szCs w:val="24"/>
        </w:rPr>
      </w:pPr>
      <w:r>
        <w:rPr>
          <w:rFonts w:hint="eastAsia" w:ascii="宋体" w:hAnsi="宋体" w:cs="宋体"/>
          <w:kern w:val="0"/>
          <w:szCs w:val="24"/>
        </w:rPr>
        <w:t>19.4对未通过资格审查的投标人，采购人或采购代理机构告知其未通过的原因。</w:t>
      </w:r>
    </w:p>
    <w:p>
      <w:pPr>
        <w:pStyle w:val="162"/>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62"/>
        <w:spacing w:before="0"/>
        <w:ind w:firstLine="0" w:firstLineChars="0"/>
        <w:rPr>
          <w:rFonts w:ascii="宋体" w:hAnsi="宋体" w:cs="宋体"/>
          <w:b/>
          <w:szCs w:val="24"/>
        </w:rPr>
      </w:pPr>
      <w:r>
        <w:rPr>
          <w:rFonts w:hint="eastAsia" w:ascii="宋体" w:hAnsi="宋体" w:cs="宋体"/>
          <w:b/>
          <w:szCs w:val="24"/>
        </w:rPr>
        <w:t>20.信用信息查询</w:t>
      </w:r>
    </w:p>
    <w:p>
      <w:pPr>
        <w:pStyle w:val="16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20.1信用信息查询渠道及截止时间：采购代理机构将通过“信用中国”网站(www.creditchina.gov.cn)、中国政府采购网(www.ccgp.gov.cn)渠道查询投标人投标截止时间当天的信用记录。</w:t>
      </w:r>
    </w:p>
    <w:p>
      <w:pPr>
        <w:pStyle w:val="16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6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6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六、定标</w:t>
      </w:r>
    </w:p>
    <w:p>
      <w:pPr>
        <w:pStyle w:val="27"/>
        <w:spacing w:line="360" w:lineRule="auto"/>
        <w:ind w:left="479" w:hanging="479" w:hangingChars="199"/>
        <w:rPr>
          <w:rFonts w:cs="宋体"/>
          <w:b/>
        </w:rPr>
      </w:pPr>
      <w:r>
        <w:rPr>
          <w:rFonts w:hint="eastAsia" w:cs="宋体"/>
          <w:b/>
        </w:rPr>
        <w:t>22. 确定中标供应商</w:t>
      </w:r>
    </w:p>
    <w:p>
      <w:pPr>
        <w:pStyle w:val="162"/>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采购人将自收到评审报告之日起5个工作日内通过电子交易平台在评审报告推荐的中标候选人中确定中标供应商，并将结果确认书面提交给采购代理机构。</w:t>
      </w:r>
    </w:p>
    <w:p>
      <w:pPr>
        <w:pStyle w:val="16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23.2公告期限为1个工作日。</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7"/>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7"/>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采购人与中标人应当在中标通知书发出之日起三十日内，按照招标文件确定的事项签订政府采购合同，并在合同签订之日起2个工作日内依法发布合同公告。</w:t>
      </w:r>
    </w:p>
    <w:p>
      <w:pPr>
        <w:pStyle w:val="162"/>
        <w:snapToGrid w:val="0"/>
        <w:spacing w:before="0"/>
        <w:ind w:firstLine="480"/>
        <w:rPr>
          <w:rFonts w:ascii="宋体" w:hAnsi="宋体" w:cs="宋体"/>
          <w:kern w:val="0"/>
          <w:lang w:val="zh-CN"/>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62"/>
        <w:snapToGrid w:val="0"/>
        <w:spacing w:before="0"/>
        <w:ind w:firstLine="480"/>
        <w:rPr>
          <w:rFonts w:ascii="宋体" w:hAnsi="宋体" w:cs="宋体"/>
          <w:kern w:val="0"/>
        </w:rPr>
      </w:pPr>
      <w:r>
        <w:rPr>
          <w:rFonts w:hint="eastAsia" w:ascii="宋体" w:hAnsi="宋体" w:cs="宋体"/>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pPr>
        <w:pStyle w:val="162"/>
        <w:snapToGrid w:val="0"/>
        <w:spacing w:before="0"/>
        <w:ind w:firstLine="480"/>
        <w:rPr>
          <w:rFonts w:ascii="宋体" w:hAnsi="宋体" w:cs="宋体"/>
        </w:rPr>
      </w:pPr>
      <w:r>
        <w:rPr>
          <w:rFonts w:hint="eastAsia" w:ascii="宋体" w:hAnsi="宋体" w:cs="宋体"/>
        </w:rPr>
        <w:t>25.4如签订合同并生效后，供应商无故拒绝或延期，除按照合同条款处理外，将上报政府采购监管部门予以处理。</w:t>
      </w:r>
    </w:p>
    <w:p>
      <w:pPr>
        <w:pStyle w:val="162"/>
        <w:snapToGrid w:val="0"/>
        <w:spacing w:before="0"/>
        <w:ind w:firstLine="480"/>
        <w:rPr>
          <w:rFonts w:ascii="宋体" w:hAnsi="宋体" w:cs="宋体"/>
        </w:rPr>
      </w:pPr>
      <w:r>
        <w:rPr>
          <w:rFonts w:hint="eastAsia" w:ascii="宋体" w:hAnsi="宋体" w:cs="宋体"/>
        </w:rPr>
        <w:t>25.5中标供应商拒绝与采购人签订合同的，采购人应当重新开展政府采购活动。</w:t>
      </w:r>
    </w:p>
    <w:p>
      <w:pPr>
        <w:pStyle w:val="162"/>
        <w:snapToGrid w:val="0"/>
        <w:spacing w:before="0" w:after="120"/>
        <w:ind w:firstLine="480"/>
        <w:rPr>
          <w:rFonts w:ascii="宋体" w:hAnsi="宋体" w:cs="宋体"/>
        </w:rPr>
      </w:pPr>
      <w:r>
        <w:rPr>
          <w:rFonts w:hint="eastAsia" w:ascii="宋体" w:hAnsi="宋体" w:cs="宋体"/>
        </w:rPr>
        <w:t>25.6采购合同由采购人与中标供应商根据招标文件、投标文件等内容签订并公告。</w:t>
      </w:r>
    </w:p>
    <w:p>
      <w:pPr>
        <w:pStyle w:val="27"/>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hAnsi="宋体" w:cs="宋体"/>
          <w:b/>
          <w:sz w:val="32"/>
        </w:rPr>
      </w:pPr>
      <w:r>
        <w:rPr>
          <w:rFonts w:hint="eastAsia" w:ascii="宋体" w:hAnsi="宋体" w:cs="宋体"/>
          <w:kern w:val="0"/>
          <w:sz w:val="24"/>
        </w:rPr>
        <w:t>供应商可登录政府采购云平台-【金融服务】—【我的项目】—【已备案合同】以保函形式提供。政府采购云平台金融专线400-903-9583。</w:t>
      </w: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62"/>
        <w:snapToGrid w:val="0"/>
        <w:spacing w:before="0"/>
        <w:ind w:firstLine="0" w:firstLineChars="0"/>
        <w:rPr>
          <w:rFonts w:ascii="宋体" w:hAnsi="宋体" w:cs="宋体"/>
        </w:rPr>
      </w:pPr>
      <w:r>
        <w:rPr>
          <w:rFonts w:hint="eastAsia"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62"/>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62"/>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62"/>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62"/>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62"/>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62"/>
        <w:snapToGrid w:val="0"/>
        <w:spacing w:before="0"/>
        <w:ind w:firstLine="0" w:firstLineChars="0"/>
        <w:rPr>
          <w:rFonts w:ascii="宋体" w:hAnsi="宋体" w:cs="宋体"/>
        </w:rPr>
      </w:pPr>
      <w:r>
        <w:rPr>
          <w:rFonts w:hint="eastAsia"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7"/>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宋体" w:hAnsi="宋体" w:eastAsia="宋体" w:cs="宋体"/>
          <w:b/>
          <w:sz w:val="36"/>
          <w:szCs w:val="36"/>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bookmarkStart w:id="13" w:name="_Hlt74707468"/>
      <w:bookmarkEnd w:id="13"/>
      <w:bookmarkStart w:id="14" w:name="_Hlt68072998"/>
      <w:bookmarkEnd w:id="14"/>
      <w:bookmarkStart w:id="15" w:name="_Hlt68073093"/>
      <w:bookmarkEnd w:id="15"/>
      <w:bookmarkStart w:id="16" w:name="_Hlt74714665"/>
      <w:bookmarkEnd w:id="16"/>
      <w:bookmarkStart w:id="17" w:name="_Hlt68057669"/>
      <w:bookmarkEnd w:id="17"/>
      <w:bookmarkStart w:id="18" w:name="_Hlt75236011"/>
      <w:bookmarkEnd w:id="18"/>
      <w:bookmarkStart w:id="19" w:name="_Hlt75236290"/>
      <w:bookmarkEnd w:id="19"/>
      <w:bookmarkStart w:id="20" w:name="_Hlt68403820"/>
      <w:bookmarkEnd w:id="20"/>
      <w:bookmarkStart w:id="21" w:name="_Hlt68072990"/>
      <w:bookmarkEnd w:id="21"/>
      <w:bookmarkStart w:id="22" w:name="_Hlt74730295"/>
      <w:bookmarkEnd w:id="22"/>
      <w:bookmarkStart w:id="23" w:name="_Hlt74729768"/>
      <w:bookmarkEnd w:id="23"/>
      <w:bookmarkStart w:id="24" w:name="_Hlt75236101"/>
      <w:bookmarkEnd w:id="24"/>
    </w:p>
    <w:bookmarkEnd w:id="10"/>
    <w:bookmarkEnd w:id="11"/>
    <w:p>
      <w:pPr>
        <w:numPr>
          <w:ilvl w:val="0"/>
          <w:numId w:val="5"/>
        </w:numPr>
        <w:spacing w:line="360" w:lineRule="auto"/>
        <w:jc w:val="center"/>
        <w:outlineLvl w:val="0"/>
        <w:rPr>
          <w:rFonts w:hint="eastAsia" w:ascii="宋体" w:hAnsi="宋体" w:cs="宋体"/>
          <w:b/>
          <w:sz w:val="36"/>
          <w:szCs w:val="36"/>
        </w:rPr>
      </w:pPr>
      <w:bookmarkStart w:id="25" w:name="第四部分"/>
      <w:r>
        <w:rPr>
          <w:rFonts w:hint="eastAsia" w:ascii="宋体" w:hAnsi="宋体" w:cs="宋体"/>
          <w:b/>
          <w:sz w:val="36"/>
          <w:szCs w:val="36"/>
        </w:rPr>
        <w:t>采购需求</w:t>
      </w: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r>
        <w:rPr>
          <w:rFonts w:hint="eastAsia" w:ascii="宋体" w:hAnsi="宋体"/>
          <w:color w:val="000000" w:themeColor="text1"/>
          <w:spacing w:val="-4"/>
          <w:sz w:val="28"/>
          <w:szCs w:val="28"/>
          <w:lang w:eastAsia="zh-CN"/>
          <w14:textFill>
            <w14:solidFill>
              <w14:schemeClr w14:val="tx1"/>
            </w14:solidFill>
          </w14:textFill>
        </w:rPr>
        <w:t>标一：</w:t>
      </w:r>
    </w:p>
    <w:p>
      <w:pPr>
        <w:rPr>
          <w:rFonts w:ascii="宋体" w:hAnsi="宋体"/>
          <w:b/>
          <w:sz w:val="28"/>
          <w:szCs w:val="28"/>
        </w:rPr>
      </w:pPr>
      <w:r>
        <w:rPr>
          <w:rFonts w:hint="eastAsia" w:ascii="宋体" w:hAnsi="宋体"/>
          <w:b/>
          <w:sz w:val="28"/>
          <w:szCs w:val="28"/>
        </w:rPr>
        <w:t>一、采购内容：</w:t>
      </w:r>
    </w:p>
    <w:tbl>
      <w:tblPr>
        <w:tblStyle w:val="65"/>
        <w:tblW w:w="8527"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6"/>
        <w:gridCol w:w="1977"/>
        <w:gridCol w:w="1882"/>
        <w:gridCol w:w="1817"/>
        <w:gridCol w:w="1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01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标项号</w:t>
            </w:r>
          </w:p>
        </w:tc>
        <w:tc>
          <w:tcPr>
            <w:tcW w:w="197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采购内容</w:t>
            </w:r>
          </w:p>
        </w:tc>
        <w:tc>
          <w:tcPr>
            <w:tcW w:w="188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hint="default" w:asciiTheme="minorEastAsia" w:hAnsiTheme="minorEastAsia" w:eastAsiaTheme="minorEastAsia" w:cstheme="minorEastAsia"/>
                <w:spacing w:val="-4"/>
                <w:sz w:val="24"/>
                <w:lang w:val="en-US" w:eastAsia="zh-CN"/>
              </w:rPr>
            </w:pPr>
            <w:r>
              <w:rPr>
                <w:rFonts w:hint="eastAsia" w:asciiTheme="minorEastAsia" w:hAnsiTheme="minorEastAsia" w:eastAsiaTheme="minorEastAsia" w:cstheme="minorEastAsia"/>
                <w:color w:val="auto"/>
                <w:spacing w:val="-4"/>
                <w:sz w:val="24"/>
              </w:rPr>
              <w:t>数量</w:t>
            </w:r>
            <w:r>
              <w:rPr>
                <w:rFonts w:hint="eastAsia" w:asciiTheme="minorEastAsia" w:hAnsiTheme="minorEastAsia" w:eastAsiaTheme="minorEastAsia" w:cstheme="minorEastAsia"/>
                <w:color w:val="auto"/>
                <w:spacing w:val="-4"/>
                <w:sz w:val="24"/>
                <w:lang w:val="en-US" w:eastAsia="zh-CN"/>
              </w:rPr>
              <w:t>及单位</w:t>
            </w:r>
          </w:p>
        </w:tc>
        <w:tc>
          <w:tcPr>
            <w:tcW w:w="181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z w:val="24"/>
              </w:rPr>
              <w:t>总金额（万元）</w:t>
            </w:r>
          </w:p>
        </w:tc>
        <w:tc>
          <w:tcPr>
            <w:tcW w:w="1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是否允许进口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16" w:type="dxa"/>
            <w:tcBorders>
              <w:top w:val="single" w:color="auto" w:sz="4" w:space="0"/>
              <w:left w:val="single" w:color="auto" w:sz="4" w:space="0"/>
              <w:bottom w:val="single" w:color="auto" w:sz="4" w:space="0"/>
              <w:right w:val="single" w:color="auto" w:sz="4" w:space="0"/>
            </w:tcBorders>
            <w:vAlign w:val="center"/>
          </w:tcPr>
          <w:p>
            <w:pPr>
              <w:pStyle w:val="334"/>
              <w:jc w:val="center"/>
              <w:rPr>
                <w:rFonts w:hAnsi="宋体" w:eastAsia="宋体" w:cs="宋体"/>
                <w:kern w:val="2"/>
                <w:sz w:val="24"/>
                <w:szCs w:val="24"/>
              </w:rPr>
            </w:pPr>
            <w:r>
              <w:rPr>
                <w:rFonts w:hAnsi="宋体" w:eastAsia="宋体" w:cs="宋体"/>
                <w:kern w:val="2"/>
                <w:sz w:val="24"/>
                <w:szCs w:val="24"/>
              </w:rPr>
              <w:t>1</w:t>
            </w:r>
          </w:p>
        </w:tc>
        <w:tc>
          <w:tcPr>
            <w:tcW w:w="1977" w:type="dxa"/>
            <w:tcBorders>
              <w:top w:val="single" w:color="auto" w:sz="4" w:space="0"/>
              <w:left w:val="single" w:color="auto" w:sz="4" w:space="0"/>
              <w:bottom w:val="single" w:color="auto" w:sz="4" w:space="0"/>
              <w:right w:val="single" w:color="auto" w:sz="4" w:space="0"/>
            </w:tcBorders>
            <w:vAlign w:val="center"/>
          </w:tcPr>
          <w:p>
            <w:pPr>
              <w:pStyle w:val="334"/>
              <w:ind w:firstLine="0" w:firstLineChars="0"/>
              <w:rPr>
                <w:rFonts w:hAnsi="宋体" w:eastAsia="宋体" w:cs="宋体"/>
                <w:kern w:val="2"/>
                <w:sz w:val="24"/>
                <w:szCs w:val="24"/>
              </w:rPr>
            </w:pPr>
            <w:r>
              <w:rPr>
                <w:rFonts w:hAnsi="宋体" w:eastAsia="宋体" w:cs="宋体"/>
                <w:kern w:val="2"/>
                <w:sz w:val="24"/>
                <w:szCs w:val="24"/>
              </w:rPr>
              <w:t>环氧乙烷灭菌器</w:t>
            </w:r>
          </w:p>
        </w:tc>
        <w:tc>
          <w:tcPr>
            <w:tcW w:w="1882" w:type="dxa"/>
            <w:tcBorders>
              <w:top w:val="single" w:color="auto" w:sz="4" w:space="0"/>
              <w:left w:val="single" w:color="auto" w:sz="4" w:space="0"/>
              <w:bottom w:val="single" w:color="auto" w:sz="4" w:space="0"/>
              <w:right w:val="single" w:color="auto" w:sz="4" w:space="0"/>
            </w:tcBorders>
            <w:vAlign w:val="center"/>
          </w:tcPr>
          <w:p>
            <w:pPr>
              <w:pStyle w:val="334"/>
              <w:jc w:val="center"/>
              <w:rPr>
                <w:rFonts w:hAnsi="宋体" w:eastAsia="宋体" w:cs="宋体"/>
                <w:kern w:val="2"/>
                <w:sz w:val="24"/>
                <w:szCs w:val="24"/>
              </w:rPr>
            </w:pPr>
            <w:r>
              <w:rPr>
                <w:rFonts w:hAnsi="宋体" w:eastAsia="宋体" w:cs="宋体"/>
                <w:kern w:val="2"/>
                <w:sz w:val="24"/>
                <w:szCs w:val="24"/>
              </w:rPr>
              <w:t>1套</w:t>
            </w:r>
          </w:p>
        </w:tc>
        <w:tc>
          <w:tcPr>
            <w:tcW w:w="1817" w:type="dxa"/>
            <w:tcBorders>
              <w:top w:val="single" w:color="auto" w:sz="4" w:space="0"/>
              <w:left w:val="single" w:color="auto" w:sz="4" w:space="0"/>
              <w:bottom w:val="single" w:color="auto" w:sz="4" w:space="0"/>
              <w:right w:val="single" w:color="auto" w:sz="4" w:space="0"/>
            </w:tcBorders>
            <w:vAlign w:val="center"/>
          </w:tcPr>
          <w:p>
            <w:pPr>
              <w:pStyle w:val="334"/>
              <w:jc w:val="center"/>
              <w:rPr>
                <w:rFonts w:hAnsi="宋体" w:eastAsia="宋体" w:cs="宋体"/>
                <w:kern w:val="2"/>
                <w:sz w:val="24"/>
                <w:szCs w:val="24"/>
              </w:rPr>
            </w:pPr>
            <w:r>
              <w:rPr>
                <w:rFonts w:hint="eastAsia" w:hAnsi="宋体" w:eastAsia="宋体" w:cs="宋体"/>
                <w:kern w:val="2"/>
                <w:sz w:val="24"/>
                <w:szCs w:val="24"/>
              </w:rPr>
              <w:t>230</w:t>
            </w:r>
          </w:p>
        </w:tc>
        <w:tc>
          <w:tcPr>
            <w:tcW w:w="1835" w:type="dxa"/>
            <w:tcBorders>
              <w:top w:val="single" w:color="auto" w:sz="4" w:space="0"/>
              <w:left w:val="single" w:color="auto" w:sz="4" w:space="0"/>
              <w:bottom w:val="single" w:color="auto" w:sz="4" w:space="0"/>
              <w:right w:val="single" w:color="auto" w:sz="4" w:space="0"/>
            </w:tcBorders>
          </w:tcPr>
          <w:p>
            <w:pPr>
              <w:pStyle w:val="334"/>
              <w:jc w:val="center"/>
              <w:rPr>
                <w:rFonts w:hAnsi="宋体" w:eastAsia="宋体" w:cs="宋体"/>
                <w:kern w:val="2"/>
                <w:sz w:val="24"/>
                <w:szCs w:val="24"/>
              </w:rPr>
            </w:pPr>
            <w:r>
              <w:rPr>
                <w:rFonts w:hint="eastAsia" w:hAnsi="宋体" w:eastAsia="宋体" w:cs="宋体"/>
                <w:kern w:val="2"/>
                <w:sz w:val="24"/>
                <w:szCs w:val="24"/>
              </w:rPr>
              <w:t>是</w:t>
            </w:r>
          </w:p>
        </w:tc>
      </w:tr>
    </w:tbl>
    <w:p>
      <w:pPr>
        <w:autoSpaceDE w:val="0"/>
        <w:autoSpaceDN w:val="0"/>
        <w:spacing w:line="360" w:lineRule="auto"/>
        <w:textAlignment w:val="bottom"/>
        <w:rPr>
          <w:rFonts w:ascii="宋体" w:hAnsi="宋体"/>
          <w:b/>
          <w:sz w:val="24"/>
        </w:rPr>
      </w:pPr>
    </w:p>
    <w:p>
      <w:pPr>
        <w:rPr>
          <w:rFonts w:ascii="宋体" w:hAnsi="宋体"/>
          <w:b/>
          <w:sz w:val="28"/>
          <w:szCs w:val="28"/>
        </w:rPr>
      </w:pPr>
      <w:r>
        <w:rPr>
          <w:rFonts w:hint="eastAsia" w:ascii="宋体" w:hAnsi="宋体"/>
          <w:b/>
          <w:sz w:val="28"/>
          <w:szCs w:val="28"/>
        </w:rPr>
        <w:t>二、技术参数要求</w:t>
      </w:r>
    </w:p>
    <w:tbl>
      <w:tblPr>
        <w:tblStyle w:val="65"/>
        <w:tblW w:w="85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84"/>
        <w:gridCol w:w="720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jc w:val="center"/>
              <w:rPr>
                <w:b/>
                <w:sz w:val="24"/>
              </w:rPr>
            </w:pPr>
            <w:r>
              <w:rPr>
                <w:rFonts w:hAnsi="宋体"/>
                <w:b/>
                <w:sz w:val="24"/>
              </w:rPr>
              <w:t>序号</w:t>
            </w:r>
          </w:p>
        </w:tc>
        <w:tc>
          <w:tcPr>
            <w:tcW w:w="7207" w:type="dxa"/>
            <w:tcBorders>
              <w:right w:val="single" w:color="auto" w:sz="4" w:space="0"/>
            </w:tcBorders>
            <w:vAlign w:val="center"/>
          </w:tcPr>
          <w:p>
            <w:pPr>
              <w:jc w:val="center"/>
              <w:rPr>
                <w:b/>
                <w:sz w:val="24"/>
              </w:rPr>
            </w:pPr>
            <w:r>
              <w:rPr>
                <w:rFonts w:hint="eastAsia" w:hAnsi="宋体"/>
                <w:b/>
                <w:sz w:val="24"/>
              </w:rPr>
              <w:t>详细</w:t>
            </w:r>
            <w:r>
              <w:rPr>
                <w:rFonts w:hAnsi="宋体"/>
                <w:b/>
                <w:sz w:val="24"/>
              </w:rPr>
              <w:t>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vAlign w:val="center"/>
          </w:tcPr>
          <w:p>
            <w:pPr>
              <w:jc w:val="center"/>
              <w:rPr>
                <w:rFonts w:ascii="宋体" w:hAnsi="宋体"/>
                <w:szCs w:val="21"/>
              </w:rPr>
            </w:pPr>
            <w:r>
              <w:rPr>
                <w:rFonts w:hint="eastAsia" w:ascii="宋体" w:hAnsi="宋体" w:cs="宋体"/>
                <w:b/>
                <w:sz w:val="24"/>
              </w:rPr>
              <w:t>1</w:t>
            </w:r>
          </w:p>
        </w:tc>
        <w:tc>
          <w:tcPr>
            <w:tcW w:w="7207" w:type="dxa"/>
            <w:tcBorders>
              <w:right w:val="single" w:color="auto" w:sz="4" w:space="0"/>
            </w:tcBorders>
            <w:vAlign w:val="center"/>
          </w:tcPr>
          <w:p>
            <w:pPr>
              <w:rPr>
                <w:rFonts w:ascii="宋体" w:hAnsi="宋体"/>
                <w:szCs w:val="21"/>
              </w:rPr>
            </w:pPr>
            <w:r>
              <w:rPr>
                <w:rFonts w:hint="eastAsia" w:ascii="宋体" w:hAnsi="宋体" w:cs="宋体"/>
                <w:b/>
                <w:sz w:val="24"/>
              </w:rPr>
              <w:t>主要功能用途：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ind w:firstLine="240" w:firstLineChars="100"/>
              <w:jc w:val="center"/>
              <w:rPr>
                <w:rFonts w:ascii="宋体" w:hAnsi="宋体"/>
                <w:szCs w:val="21"/>
              </w:rPr>
            </w:pPr>
            <w:r>
              <w:rPr>
                <w:rFonts w:hint="eastAsia" w:ascii="宋体" w:hAnsi="宋体" w:cs="宋体"/>
                <w:sz w:val="24"/>
              </w:rPr>
              <w:t>1.1</w:t>
            </w:r>
          </w:p>
        </w:tc>
        <w:tc>
          <w:tcPr>
            <w:tcW w:w="7207" w:type="dxa"/>
            <w:tcBorders>
              <w:right w:val="single" w:color="auto" w:sz="4" w:space="0"/>
            </w:tcBorders>
            <w:vAlign w:val="center"/>
          </w:tcPr>
          <w:p>
            <w:pPr>
              <w:rPr>
                <w:rFonts w:ascii="宋体" w:hAnsi="宋体"/>
                <w:b/>
                <w:bCs/>
                <w:szCs w:val="21"/>
              </w:rPr>
            </w:pPr>
            <w:r>
              <w:rPr>
                <w:rFonts w:hint="eastAsia" w:ascii="宋体" w:hAnsi="宋体" w:cs="宋体"/>
                <w:sz w:val="24"/>
              </w:rPr>
              <w:t>设备用途：</w:t>
            </w:r>
            <w:r>
              <w:rPr>
                <w:rFonts w:hint="eastAsia" w:ascii="宋体" w:hAnsi="宋体" w:cs="宋体"/>
                <w:color w:val="000000"/>
                <w:kern w:val="0"/>
                <w:sz w:val="24"/>
              </w:rPr>
              <w:t>用于对热、湿敏感的医疗器械和物品进行低温灭菌，对医疗器械的结构复杂度无要求。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tcPr>
          <w:p>
            <w:pPr>
              <w:pStyle w:val="280"/>
              <w:ind w:firstLine="0" w:firstLineChars="0"/>
              <w:jc w:val="center"/>
              <w:rPr>
                <w:rFonts w:ascii="宋体" w:hAnsi="宋体"/>
                <w:szCs w:val="21"/>
              </w:rPr>
            </w:pPr>
            <w:r>
              <w:rPr>
                <w:rStyle w:val="365"/>
                <w:rFonts w:hint="eastAsia" w:ascii="宋体" w:hAnsi="宋体" w:cs="宋体"/>
              </w:rPr>
              <w:t>2</w:t>
            </w:r>
          </w:p>
        </w:tc>
        <w:tc>
          <w:tcPr>
            <w:tcW w:w="7207" w:type="dxa"/>
            <w:tcBorders>
              <w:right w:val="single" w:color="auto" w:sz="4" w:space="0"/>
            </w:tcBorders>
          </w:tcPr>
          <w:p>
            <w:pPr>
              <w:autoSpaceDE w:val="0"/>
              <w:autoSpaceDN w:val="0"/>
              <w:rPr>
                <w:rStyle w:val="1015"/>
                <w:rFonts w:ascii="宋体" w:hAnsi="宋体" w:cs="宋体"/>
                <w:color w:val="000000"/>
                <w:szCs w:val="21"/>
              </w:rPr>
            </w:pPr>
            <w:r>
              <w:rPr>
                <w:rFonts w:hint="eastAsia" w:ascii="宋体" w:hAnsi="宋体" w:cs="宋体"/>
                <w:b/>
                <w:sz w:val="24"/>
                <w:lang w:val="zh-CN"/>
              </w:rPr>
              <w:t>技术参数要求：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tcPr>
          <w:p>
            <w:pPr>
              <w:spacing w:line="480" w:lineRule="auto"/>
              <w:jc w:val="center"/>
              <w:rPr>
                <w:rFonts w:ascii="宋体" w:hAnsi="宋体" w:cs="宋体"/>
                <w:b/>
                <w:szCs w:val="21"/>
              </w:rPr>
            </w:pPr>
            <w:r>
              <w:rPr>
                <w:rFonts w:hint="eastAsia" w:ascii="宋体" w:hAnsi="宋体" w:cs="宋体"/>
                <w:color w:val="000000"/>
                <w:kern w:val="0"/>
                <w:sz w:val="24"/>
              </w:rPr>
              <w:t>2.1</w:t>
            </w:r>
          </w:p>
        </w:tc>
        <w:tc>
          <w:tcPr>
            <w:tcW w:w="7207" w:type="dxa"/>
            <w:tcBorders>
              <w:right w:val="single" w:color="auto" w:sz="4" w:space="0"/>
            </w:tcBorders>
            <w:shd w:val="clear" w:color="auto" w:fill="auto"/>
          </w:tcPr>
          <w:p>
            <w:pPr>
              <w:rPr>
                <w:rFonts w:ascii="宋体" w:hAnsi="宋体" w:cs="宋体"/>
                <w:b/>
                <w:szCs w:val="21"/>
              </w:rPr>
            </w:pPr>
            <w:r>
              <w:rPr>
                <w:rFonts w:hint="eastAsia" w:ascii="宋体" w:hAnsi="宋体" w:cs="宋体"/>
                <w:color w:val="000000"/>
                <w:kern w:val="0"/>
                <w:sz w:val="24"/>
              </w:rPr>
              <w:t>用于对热、湿敏感的医疗器械和物品进行低温灭菌，对医疗器械的结构复杂度无要求。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tcPr>
          <w:p>
            <w:pPr>
              <w:spacing w:line="480" w:lineRule="auto"/>
              <w:jc w:val="center"/>
              <w:rPr>
                <w:rFonts w:ascii="宋体" w:hAnsi="宋体" w:cs="宋体"/>
                <w:color w:val="000000"/>
                <w:szCs w:val="21"/>
              </w:rPr>
            </w:pPr>
            <w:r>
              <w:rPr>
                <w:rFonts w:hint="eastAsia" w:ascii="宋体" w:hAnsi="宋体" w:cs="宋体"/>
                <w:color w:val="000000"/>
                <w:kern w:val="0"/>
                <w:sz w:val="24"/>
              </w:rPr>
              <w:t>2.2</w:t>
            </w:r>
          </w:p>
        </w:tc>
        <w:tc>
          <w:tcPr>
            <w:tcW w:w="7207" w:type="dxa"/>
            <w:tcBorders>
              <w:right w:val="single" w:color="auto" w:sz="4" w:space="0"/>
            </w:tcBorders>
            <w:shd w:val="clear" w:color="auto" w:fill="auto"/>
          </w:tcPr>
          <w:p>
            <w:pPr>
              <w:rPr>
                <w:rFonts w:ascii="宋体" w:hAnsi="宋体" w:cs="宋体"/>
                <w:szCs w:val="21"/>
              </w:rPr>
            </w:pPr>
            <w:r>
              <w:rPr>
                <w:rFonts w:hint="eastAsia" w:ascii="宋体" w:hAnsi="宋体" w:cs="宋体"/>
                <w:color w:val="000000"/>
                <w:kern w:val="0"/>
                <w:sz w:val="24"/>
              </w:rPr>
              <w:t>嵌入式电脑控制系统，遇有故障和误差，立即停止操作并报警，打印和记录故障信息。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tcPr>
          <w:p>
            <w:pPr>
              <w:spacing w:line="360" w:lineRule="auto"/>
              <w:jc w:val="center"/>
              <w:rPr>
                <w:rFonts w:ascii="宋体" w:hAnsi="宋体" w:cs="宋体"/>
                <w:szCs w:val="21"/>
              </w:rPr>
            </w:pPr>
            <w:r>
              <w:rPr>
                <w:rFonts w:hint="eastAsia" w:ascii="宋体" w:hAnsi="宋体" w:cs="宋体"/>
                <w:color w:val="000000"/>
                <w:kern w:val="0"/>
                <w:sz w:val="24"/>
              </w:rPr>
              <w:t>▲</w:t>
            </w:r>
            <w:r>
              <w:rPr>
                <w:rFonts w:hint="eastAsia" w:ascii="宋体" w:hAnsi="宋体" w:cs="宋体"/>
                <w:b/>
                <w:bCs/>
                <w:color w:val="000000"/>
                <w:kern w:val="0"/>
                <w:sz w:val="24"/>
              </w:rPr>
              <w:t>2.3</w:t>
            </w:r>
          </w:p>
        </w:tc>
        <w:tc>
          <w:tcPr>
            <w:tcW w:w="7207" w:type="dxa"/>
            <w:tcBorders>
              <w:right w:val="single" w:color="auto" w:sz="4" w:space="0"/>
            </w:tcBorders>
            <w:shd w:val="clear" w:color="auto" w:fill="auto"/>
          </w:tcPr>
          <w:p>
            <w:pPr>
              <w:rPr>
                <w:rFonts w:ascii="宋体" w:hAnsi="宋体" w:cs="宋体"/>
                <w:szCs w:val="21"/>
              </w:rPr>
            </w:pPr>
            <w:r>
              <w:rPr>
                <w:rFonts w:hint="eastAsia" w:ascii="宋体" w:hAnsi="宋体" w:cs="宋体"/>
                <w:color w:val="000000"/>
                <w:kern w:val="0"/>
                <w:sz w:val="24"/>
              </w:rPr>
              <w:t>舱门锁定后自动刺破气罐注入气体，气罐具有可追溯码，集成批号、有效期等信息，在物理参数打印记录显示气罐批号。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3" w:hRule="atLeast"/>
        </w:trPr>
        <w:tc>
          <w:tcPr>
            <w:tcW w:w="1384" w:type="dxa"/>
            <w:shd w:val="clear" w:color="auto" w:fill="auto"/>
          </w:tcPr>
          <w:p>
            <w:pPr>
              <w:spacing w:line="360" w:lineRule="auto"/>
              <w:jc w:val="center"/>
              <w:rPr>
                <w:rFonts w:ascii="宋体" w:hAnsi="宋体" w:cs="宋体"/>
                <w:szCs w:val="21"/>
              </w:rPr>
            </w:pPr>
            <w:r>
              <w:rPr>
                <w:rFonts w:hint="eastAsia" w:ascii="宋体" w:hAnsi="宋体" w:cs="宋体"/>
                <w:color w:val="auto"/>
                <w:kern w:val="0"/>
                <w:sz w:val="24"/>
              </w:rPr>
              <w:t>★</w:t>
            </w:r>
            <w:r>
              <w:rPr>
                <w:rFonts w:hint="eastAsia" w:ascii="宋体" w:hAnsi="宋体" w:cs="宋体"/>
                <w:b/>
                <w:bCs/>
                <w:color w:val="000000"/>
                <w:kern w:val="0"/>
                <w:sz w:val="24"/>
              </w:rPr>
              <w:t>2.4</w:t>
            </w:r>
          </w:p>
        </w:tc>
        <w:tc>
          <w:tcPr>
            <w:tcW w:w="7207" w:type="dxa"/>
            <w:tcBorders>
              <w:right w:val="single" w:color="auto" w:sz="4" w:space="0"/>
            </w:tcBorders>
            <w:shd w:val="clear" w:color="auto" w:fill="auto"/>
          </w:tcPr>
          <w:p>
            <w:pPr>
              <w:rPr>
                <w:rFonts w:ascii="宋体" w:hAnsi="宋体" w:cs="宋体"/>
                <w:szCs w:val="21"/>
              </w:rPr>
            </w:pPr>
            <w:r>
              <w:rPr>
                <w:rFonts w:hint="eastAsia" w:ascii="宋体" w:hAnsi="宋体" w:cs="宋体"/>
                <w:color w:val="000000"/>
                <w:kern w:val="0"/>
                <w:sz w:val="24"/>
              </w:rPr>
              <w:t>舱体有效容积≥220升。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3" w:hRule="atLeast"/>
        </w:trPr>
        <w:tc>
          <w:tcPr>
            <w:tcW w:w="1384" w:type="dxa"/>
            <w:shd w:val="clear" w:color="auto" w:fill="auto"/>
          </w:tcPr>
          <w:p>
            <w:pPr>
              <w:spacing w:line="960" w:lineRule="auto"/>
              <w:ind w:firstLine="482" w:firstLineChars="200"/>
              <w:jc w:val="both"/>
              <w:rPr>
                <w:rFonts w:ascii="宋体" w:hAnsi="宋体" w:cs="宋体"/>
                <w:szCs w:val="21"/>
              </w:rPr>
            </w:pPr>
            <w:r>
              <w:rPr>
                <w:rFonts w:hint="eastAsia" w:ascii="宋体" w:hAnsi="宋体" w:cs="宋体"/>
                <w:b/>
                <w:bCs/>
                <w:color w:val="000000"/>
                <w:kern w:val="0"/>
                <w:sz w:val="24"/>
              </w:rPr>
              <w:t>2.5</w:t>
            </w:r>
          </w:p>
        </w:tc>
        <w:tc>
          <w:tcPr>
            <w:tcW w:w="7207" w:type="dxa"/>
            <w:tcBorders>
              <w:right w:val="single" w:color="auto" w:sz="4" w:space="0"/>
            </w:tcBorders>
            <w:shd w:val="clear" w:color="auto" w:fill="auto"/>
          </w:tcPr>
          <w:p>
            <w:pPr>
              <w:rPr>
                <w:rFonts w:ascii="宋体" w:hAnsi="宋体" w:cs="宋体"/>
                <w:szCs w:val="21"/>
              </w:rPr>
            </w:pPr>
            <w:r>
              <w:rPr>
                <w:rFonts w:hint="eastAsia" w:ascii="宋体" w:hAnsi="宋体" w:cs="宋体"/>
                <w:color w:val="000000"/>
                <w:kern w:val="0"/>
                <w:sz w:val="24"/>
              </w:rPr>
              <w:t>彩色触摸屏，具有中文操作界面，灭菌循环实时显示主要参数，包括温度、湿度、真空度和时间，并记录和打印循环过程运行曲线。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tcPr>
          <w:p>
            <w:pPr>
              <w:spacing w:line="360" w:lineRule="auto"/>
              <w:jc w:val="center"/>
              <w:rPr>
                <w:rFonts w:ascii="宋体" w:hAnsi="宋体" w:cs="宋体"/>
                <w:szCs w:val="21"/>
              </w:rPr>
            </w:pPr>
            <w:r>
              <w:rPr>
                <w:rFonts w:hint="eastAsia" w:ascii="宋体" w:hAnsi="宋体" w:cs="宋体"/>
                <w:b/>
                <w:bCs/>
                <w:color w:val="000000"/>
                <w:kern w:val="0"/>
                <w:sz w:val="24"/>
              </w:rPr>
              <w:t>2.6</w:t>
            </w:r>
          </w:p>
        </w:tc>
        <w:tc>
          <w:tcPr>
            <w:tcW w:w="7207" w:type="dxa"/>
            <w:tcBorders>
              <w:right w:val="single" w:color="auto" w:sz="4" w:space="0"/>
            </w:tcBorders>
            <w:shd w:val="clear" w:color="auto" w:fill="auto"/>
          </w:tcPr>
          <w:p>
            <w:pPr>
              <w:rPr>
                <w:rFonts w:ascii="宋体" w:hAnsi="宋体" w:cs="宋体"/>
                <w:szCs w:val="21"/>
              </w:rPr>
            </w:pPr>
            <w:r>
              <w:rPr>
                <w:rFonts w:hint="eastAsia" w:ascii="宋体" w:hAnsi="宋体" w:cs="宋体"/>
                <w:color w:val="000000"/>
                <w:kern w:val="0"/>
                <w:sz w:val="24"/>
              </w:rPr>
              <w:t>灭菌温度：可设置55℃和38℃两档灭菌温度。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tcPr>
          <w:p>
            <w:pPr>
              <w:spacing w:line="360" w:lineRule="auto"/>
              <w:jc w:val="center"/>
              <w:rPr>
                <w:rFonts w:ascii="宋体" w:hAnsi="宋体" w:cs="宋体"/>
                <w:szCs w:val="21"/>
              </w:rPr>
            </w:pPr>
            <w:r>
              <w:rPr>
                <w:rFonts w:hint="eastAsia" w:ascii="宋体" w:hAnsi="宋体" w:cs="宋体"/>
                <w:b/>
                <w:bCs/>
                <w:color w:val="000000"/>
                <w:kern w:val="0"/>
                <w:sz w:val="24"/>
              </w:rPr>
              <w:t>2.7</w:t>
            </w:r>
          </w:p>
        </w:tc>
        <w:tc>
          <w:tcPr>
            <w:tcW w:w="7207" w:type="dxa"/>
            <w:tcBorders>
              <w:right w:val="single" w:color="auto" w:sz="4" w:space="0"/>
            </w:tcBorders>
            <w:shd w:val="clear" w:color="auto" w:fill="auto"/>
          </w:tcPr>
          <w:p>
            <w:pPr>
              <w:rPr>
                <w:rFonts w:ascii="宋体" w:hAnsi="宋体" w:cs="宋体"/>
                <w:szCs w:val="21"/>
              </w:rPr>
            </w:pPr>
            <w:r>
              <w:rPr>
                <w:rFonts w:hint="eastAsia" w:ascii="宋体" w:hAnsi="宋体" w:cs="宋体"/>
                <w:color w:val="000000"/>
                <w:kern w:val="0"/>
                <w:sz w:val="24"/>
              </w:rPr>
              <w:t>预置55℃循环程序灭菌时间≤1小时。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tcPr>
          <w:p>
            <w:pPr>
              <w:spacing w:line="360" w:lineRule="auto"/>
              <w:jc w:val="center"/>
              <w:rPr>
                <w:rFonts w:ascii="宋体" w:hAnsi="宋体" w:cs="宋体"/>
                <w:szCs w:val="21"/>
              </w:rPr>
            </w:pPr>
            <w:r>
              <w:rPr>
                <w:rFonts w:hint="eastAsia" w:ascii="宋体" w:hAnsi="宋体" w:cs="宋体"/>
                <w:b/>
                <w:bCs/>
                <w:color w:val="000000"/>
                <w:kern w:val="0"/>
                <w:sz w:val="24"/>
              </w:rPr>
              <w:t>2.8</w:t>
            </w:r>
          </w:p>
        </w:tc>
        <w:tc>
          <w:tcPr>
            <w:tcW w:w="7207" w:type="dxa"/>
            <w:tcBorders>
              <w:right w:val="single" w:color="auto" w:sz="4" w:space="0"/>
            </w:tcBorders>
            <w:shd w:val="clear" w:color="auto" w:fill="auto"/>
          </w:tcPr>
          <w:p>
            <w:pPr>
              <w:rPr>
                <w:rFonts w:ascii="宋体" w:hAnsi="宋体" w:cs="宋体"/>
                <w:szCs w:val="21"/>
              </w:rPr>
            </w:pPr>
            <w:r>
              <w:rPr>
                <w:rFonts w:hint="eastAsia" w:ascii="宋体" w:hAnsi="宋体" w:cs="宋体"/>
                <w:color w:val="000000"/>
                <w:kern w:val="0"/>
                <w:sz w:val="24"/>
              </w:rPr>
              <w:t>预置38℃循环程序灭菌时间≤4.5小时。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tcPr>
          <w:p>
            <w:pPr>
              <w:spacing w:line="360" w:lineRule="auto"/>
              <w:jc w:val="center"/>
              <w:rPr>
                <w:rFonts w:ascii="宋体" w:hAnsi="宋体" w:cs="宋体"/>
                <w:szCs w:val="21"/>
              </w:rPr>
            </w:pPr>
            <w:r>
              <w:rPr>
                <w:rFonts w:hint="eastAsia" w:ascii="宋体" w:hAnsi="宋体" w:cs="宋体"/>
                <w:b/>
                <w:bCs/>
                <w:color w:val="000000"/>
                <w:kern w:val="0"/>
                <w:sz w:val="24"/>
              </w:rPr>
              <w:t>2.9</w:t>
            </w:r>
          </w:p>
        </w:tc>
        <w:tc>
          <w:tcPr>
            <w:tcW w:w="7207" w:type="dxa"/>
            <w:tcBorders>
              <w:right w:val="single" w:color="auto" w:sz="4" w:space="0"/>
            </w:tcBorders>
            <w:shd w:val="clear" w:color="auto" w:fill="auto"/>
          </w:tcPr>
          <w:p>
            <w:pPr>
              <w:rPr>
                <w:rFonts w:ascii="宋体" w:hAnsi="宋体" w:cs="宋体"/>
                <w:szCs w:val="21"/>
              </w:rPr>
            </w:pPr>
            <w:r>
              <w:rPr>
                <w:rFonts w:hint="eastAsia" w:ascii="宋体" w:hAnsi="宋体" w:cs="宋体"/>
                <w:color w:val="000000"/>
                <w:kern w:val="0"/>
                <w:sz w:val="24"/>
              </w:rPr>
              <w:t>根据灭菌物品的特性自由设定通时间，可设范围不窄于3-999小时。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tcPr>
          <w:p>
            <w:pPr>
              <w:spacing w:line="360" w:lineRule="auto"/>
              <w:jc w:val="center"/>
              <w:rPr>
                <w:rFonts w:ascii="宋体" w:hAnsi="宋体" w:cs="宋体"/>
                <w:szCs w:val="21"/>
              </w:rPr>
            </w:pPr>
            <w:r>
              <w:rPr>
                <w:rFonts w:hint="eastAsia" w:ascii="宋体" w:hAnsi="宋体" w:cs="宋体"/>
                <w:b/>
                <w:bCs/>
                <w:color w:val="000000"/>
                <w:kern w:val="0"/>
                <w:sz w:val="24"/>
              </w:rPr>
              <w:t>2.10</w:t>
            </w:r>
          </w:p>
        </w:tc>
        <w:tc>
          <w:tcPr>
            <w:tcW w:w="7207" w:type="dxa"/>
            <w:tcBorders>
              <w:right w:val="single" w:color="auto" w:sz="4" w:space="0"/>
            </w:tcBorders>
            <w:shd w:val="clear" w:color="auto" w:fill="auto"/>
          </w:tcPr>
          <w:p>
            <w:pPr>
              <w:rPr>
                <w:rFonts w:ascii="宋体" w:hAnsi="宋体" w:cs="宋体"/>
                <w:szCs w:val="21"/>
              </w:rPr>
            </w:pPr>
            <w:r>
              <w:rPr>
                <w:rFonts w:hint="eastAsia" w:ascii="宋体" w:hAnsi="宋体" w:cs="宋体"/>
                <w:color w:val="000000"/>
                <w:kern w:val="0"/>
                <w:sz w:val="24"/>
              </w:rPr>
              <w:t>压力、温度和湿度传感器均为双配置，腔体温度前、中、后分布，动态加湿采样，保证温度和湿度的均匀性。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tcPr>
          <w:p>
            <w:pPr>
              <w:spacing w:line="360" w:lineRule="auto"/>
              <w:jc w:val="center"/>
              <w:rPr>
                <w:rFonts w:ascii="宋体" w:hAnsi="宋体" w:cs="宋体"/>
                <w:szCs w:val="21"/>
              </w:rPr>
            </w:pPr>
            <w:r>
              <w:rPr>
                <w:rFonts w:hint="eastAsia" w:ascii="宋体" w:hAnsi="宋体" w:cs="宋体"/>
                <w:b/>
                <w:bCs/>
                <w:color w:val="000000"/>
                <w:kern w:val="0"/>
                <w:sz w:val="24"/>
              </w:rPr>
              <w:t>2.11</w:t>
            </w:r>
          </w:p>
        </w:tc>
        <w:tc>
          <w:tcPr>
            <w:tcW w:w="7207" w:type="dxa"/>
            <w:tcBorders>
              <w:right w:val="single" w:color="auto" w:sz="4" w:space="0"/>
            </w:tcBorders>
            <w:shd w:val="clear" w:color="auto" w:fill="auto"/>
          </w:tcPr>
          <w:p>
            <w:pPr>
              <w:rPr>
                <w:rFonts w:ascii="宋体" w:hAnsi="宋体" w:cs="宋体"/>
                <w:szCs w:val="21"/>
              </w:rPr>
            </w:pPr>
            <w:r>
              <w:rPr>
                <w:rFonts w:hint="eastAsia" w:ascii="宋体" w:hAnsi="宋体" w:cs="宋体"/>
                <w:color w:val="000000"/>
                <w:kern w:val="0"/>
                <w:sz w:val="24"/>
              </w:rPr>
              <w:t>动态湿度测量，加湿和保湿两种算法控制和监测，保证灭菌过程相对湿度的精确控制在60±3%。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tcPr>
          <w:p>
            <w:pPr>
              <w:spacing w:line="360" w:lineRule="auto"/>
              <w:jc w:val="center"/>
              <w:rPr>
                <w:rFonts w:ascii="宋体" w:hAnsi="宋体" w:cs="宋体"/>
                <w:szCs w:val="21"/>
              </w:rPr>
            </w:pPr>
            <w:r>
              <w:rPr>
                <w:rFonts w:hint="eastAsia" w:ascii="宋体" w:hAnsi="宋体" w:cs="宋体"/>
                <w:b/>
                <w:bCs/>
                <w:color w:val="000000"/>
                <w:kern w:val="0"/>
                <w:sz w:val="24"/>
              </w:rPr>
              <w:t>2.12</w:t>
            </w:r>
          </w:p>
        </w:tc>
        <w:tc>
          <w:tcPr>
            <w:tcW w:w="7207" w:type="dxa"/>
            <w:tcBorders>
              <w:right w:val="single" w:color="auto" w:sz="4" w:space="0"/>
            </w:tcBorders>
            <w:shd w:val="clear" w:color="auto" w:fill="auto"/>
          </w:tcPr>
          <w:p>
            <w:pPr>
              <w:rPr>
                <w:rFonts w:ascii="宋体" w:hAnsi="宋体" w:cs="宋体"/>
                <w:szCs w:val="21"/>
              </w:rPr>
            </w:pPr>
            <w:r>
              <w:rPr>
                <w:rFonts w:hint="eastAsia" w:ascii="宋体" w:hAnsi="宋体" w:cs="宋体"/>
                <w:color w:val="000000"/>
                <w:kern w:val="0"/>
                <w:sz w:val="24"/>
              </w:rPr>
              <w:t>全程负压灭菌和解析，确保舱内气体不会向外泄漏，电脑自动检测，如有泄露，自动转为排气过程，并报警提醒用户。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tcPr>
          <w:p>
            <w:pPr>
              <w:spacing w:line="480" w:lineRule="auto"/>
              <w:jc w:val="center"/>
              <w:rPr>
                <w:rFonts w:ascii="宋体" w:hAnsi="宋体" w:cs="宋体"/>
                <w:szCs w:val="21"/>
              </w:rPr>
            </w:pPr>
            <w:r>
              <w:rPr>
                <w:rFonts w:hint="eastAsia" w:ascii="宋体" w:hAnsi="宋体" w:cs="宋体"/>
                <w:color w:val="000000"/>
                <w:kern w:val="0"/>
                <w:sz w:val="24"/>
              </w:rPr>
              <w:t>▲</w:t>
            </w:r>
            <w:r>
              <w:rPr>
                <w:rFonts w:hint="eastAsia" w:ascii="宋体" w:hAnsi="宋体" w:cs="宋体"/>
                <w:b/>
                <w:bCs/>
                <w:color w:val="000000"/>
                <w:kern w:val="0"/>
                <w:sz w:val="24"/>
              </w:rPr>
              <w:t>2.13</w:t>
            </w:r>
          </w:p>
        </w:tc>
        <w:tc>
          <w:tcPr>
            <w:tcW w:w="7207" w:type="dxa"/>
            <w:tcBorders>
              <w:right w:val="single" w:color="auto" w:sz="4" w:space="0"/>
            </w:tcBorders>
            <w:shd w:val="clear" w:color="auto" w:fill="auto"/>
          </w:tcPr>
          <w:p>
            <w:pPr>
              <w:rPr>
                <w:rFonts w:ascii="宋体" w:hAnsi="宋体" w:cs="宋体"/>
                <w:szCs w:val="21"/>
              </w:rPr>
            </w:pPr>
            <w:r>
              <w:rPr>
                <w:rFonts w:hint="eastAsia" w:ascii="宋体" w:hAnsi="宋体" w:cs="宋体"/>
                <w:color w:val="000000"/>
                <w:kern w:val="0"/>
                <w:sz w:val="24"/>
              </w:rPr>
              <w:t>采用流体力学原理进行抽真空，无产生电火花部件，杜绝燃爆风险，保证医院运行安全。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tcPr>
          <w:p>
            <w:pPr>
              <w:spacing w:line="360" w:lineRule="auto"/>
              <w:jc w:val="center"/>
              <w:rPr>
                <w:rFonts w:ascii="宋体" w:hAnsi="宋体" w:cs="宋体"/>
                <w:szCs w:val="21"/>
              </w:rPr>
            </w:pPr>
            <w:r>
              <w:rPr>
                <w:rFonts w:hint="eastAsia" w:ascii="宋体" w:hAnsi="宋体" w:cs="宋体"/>
                <w:color w:val="auto"/>
                <w:kern w:val="0"/>
                <w:sz w:val="24"/>
              </w:rPr>
              <w:t>★</w:t>
            </w:r>
            <w:r>
              <w:rPr>
                <w:rFonts w:hint="eastAsia" w:ascii="宋体" w:hAnsi="宋体" w:cs="宋体"/>
                <w:b/>
                <w:bCs/>
                <w:color w:val="000000"/>
                <w:kern w:val="0"/>
                <w:sz w:val="24"/>
              </w:rPr>
              <w:t>2.14</w:t>
            </w:r>
          </w:p>
        </w:tc>
        <w:tc>
          <w:tcPr>
            <w:tcW w:w="7207" w:type="dxa"/>
            <w:tcBorders>
              <w:right w:val="single" w:color="auto" w:sz="4" w:space="0"/>
            </w:tcBorders>
            <w:shd w:val="clear" w:color="auto" w:fill="auto"/>
          </w:tcPr>
          <w:p>
            <w:pPr>
              <w:rPr>
                <w:rFonts w:ascii="宋体" w:hAnsi="宋体" w:cs="宋体"/>
                <w:szCs w:val="21"/>
              </w:rPr>
            </w:pPr>
            <w:r>
              <w:rPr>
                <w:rFonts w:hint="eastAsia" w:ascii="宋体" w:hAnsi="宋体" w:cs="宋体"/>
                <w:color w:val="000000"/>
                <w:kern w:val="0"/>
                <w:sz w:val="24"/>
              </w:rPr>
              <w:t>外置高流量压缩空气进行抽真空，气罐刺破之前，腔体抽真空保压测试压力值≤160mbar。</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tcPr>
          <w:p>
            <w:pPr>
              <w:spacing w:line="360" w:lineRule="auto"/>
              <w:jc w:val="center"/>
              <w:rPr>
                <w:rFonts w:ascii="宋体" w:hAnsi="宋体" w:cs="宋体"/>
                <w:szCs w:val="21"/>
              </w:rPr>
            </w:pPr>
            <w:r>
              <w:rPr>
                <w:rFonts w:hint="eastAsia" w:ascii="宋体" w:hAnsi="宋体" w:cs="宋体"/>
                <w:b/>
                <w:bCs/>
                <w:color w:val="000000"/>
                <w:kern w:val="0"/>
                <w:sz w:val="24"/>
              </w:rPr>
              <w:t>2.15</w:t>
            </w:r>
          </w:p>
        </w:tc>
        <w:tc>
          <w:tcPr>
            <w:tcW w:w="7207" w:type="dxa"/>
            <w:tcBorders>
              <w:right w:val="single" w:color="auto" w:sz="4" w:space="0"/>
            </w:tcBorders>
            <w:shd w:val="clear" w:color="auto" w:fill="auto"/>
          </w:tcPr>
          <w:p>
            <w:pPr>
              <w:rPr>
                <w:rFonts w:ascii="宋体" w:hAnsi="宋体" w:cs="宋体"/>
                <w:szCs w:val="21"/>
              </w:rPr>
            </w:pPr>
            <w:r>
              <w:rPr>
                <w:rFonts w:hint="eastAsia" w:ascii="宋体" w:hAnsi="宋体" w:cs="宋体"/>
                <w:color w:val="000000"/>
                <w:kern w:val="0"/>
                <w:sz w:val="24"/>
              </w:rPr>
              <w:t>触摸屏控制舱门开启，灭菌时自动锁定舱门，无需舱门手柄操作，防止灭菌循环过程中误操作打开舱门，整个灭菌循环程序结束，系统解锁方可气动开门。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tcPr>
          <w:p>
            <w:pPr>
              <w:spacing w:line="360" w:lineRule="auto"/>
              <w:jc w:val="center"/>
              <w:rPr>
                <w:rFonts w:ascii="宋体" w:hAnsi="宋体" w:cs="宋体"/>
                <w:szCs w:val="21"/>
              </w:rPr>
            </w:pPr>
            <w:r>
              <w:rPr>
                <w:rFonts w:hint="eastAsia" w:ascii="宋体" w:hAnsi="宋体" w:cs="宋体"/>
                <w:b/>
                <w:bCs/>
                <w:color w:val="000000"/>
                <w:kern w:val="0"/>
                <w:sz w:val="24"/>
              </w:rPr>
              <w:t>2.16</w:t>
            </w:r>
          </w:p>
        </w:tc>
        <w:tc>
          <w:tcPr>
            <w:tcW w:w="7207" w:type="dxa"/>
            <w:tcBorders>
              <w:right w:val="single" w:color="auto" w:sz="4" w:space="0"/>
            </w:tcBorders>
            <w:shd w:val="clear" w:color="auto" w:fill="auto"/>
          </w:tcPr>
          <w:p>
            <w:pPr>
              <w:rPr>
                <w:rFonts w:ascii="宋体" w:hAnsi="宋体" w:cs="宋体"/>
                <w:szCs w:val="21"/>
              </w:rPr>
            </w:pPr>
            <w:r>
              <w:rPr>
                <w:rFonts w:hint="eastAsia" w:ascii="宋体" w:hAnsi="宋体" w:cs="宋体"/>
                <w:color w:val="000000"/>
                <w:kern w:val="0"/>
                <w:sz w:val="24"/>
              </w:rPr>
              <w:t>可直接观测水箱水位，方便及时加水和水箱清洁，同时具有水位监测功能，如果水箱水量不足，灭菌循环不会开启，系统会报警提示。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tcPr>
          <w:p>
            <w:pPr>
              <w:spacing w:line="360" w:lineRule="auto"/>
              <w:jc w:val="center"/>
              <w:rPr>
                <w:rFonts w:ascii="宋体" w:hAnsi="宋体" w:cs="宋体"/>
                <w:szCs w:val="21"/>
              </w:rPr>
            </w:pPr>
            <w:r>
              <w:rPr>
                <w:rFonts w:hint="eastAsia" w:ascii="宋体" w:hAnsi="宋体" w:cs="宋体"/>
                <w:b/>
                <w:bCs/>
                <w:color w:val="000000"/>
                <w:kern w:val="0"/>
                <w:sz w:val="24"/>
              </w:rPr>
              <w:t>2.17</w:t>
            </w:r>
          </w:p>
        </w:tc>
        <w:tc>
          <w:tcPr>
            <w:tcW w:w="7207" w:type="dxa"/>
            <w:tcBorders>
              <w:right w:val="single" w:color="auto" w:sz="4" w:space="0"/>
            </w:tcBorders>
            <w:shd w:val="clear" w:color="auto" w:fill="auto"/>
          </w:tcPr>
          <w:p>
            <w:pPr>
              <w:rPr>
                <w:rFonts w:ascii="宋体" w:hAnsi="宋体" w:cs="宋体"/>
                <w:szCs w:val="21"/>
              </w:rPr>
            </w:pPr>
            <w:r>
              <w:rPr>
                <w:rFonts w:hint="eastAsia" w:ascii="宋体" w:hAnsi="宋体" w:cs="宋体"/>
                <w:color w:val="000000"/>
                <w:kern w:val="0"/>
                <w:sz w:val="24"/>
              </w:rPr>
              <w:t>内置打印机，可选择图形、数表、图形和数表三种以上打印方式，能记录和打印运行中的温度、时间、压力、湿度曲线和关键时间点参数以及相关辅助警报信息。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tcPr>
          <w:p>
            <w:pPr>
              <w:spacing w:line="480" w:lineRule="auto"/>
              <w:jc w:val="center"/>
              <w:rPr>
                <w:rFonts w:ascii="宋体" w:hAnsi="宋体" w:cs="宋体"/>
                <w:szCs w:val="21"/>
              </w:rPr>
            </w:pPr>
            <w:r>
              <w:rPr>
                <w:rFonts w:hint="eastAsia" w:ascii="宋体" w:hAnsi="宋体" w:cs="宋体"/>
                <w:b/>
                <w:bCs/>
                <w:color w:val="000000"/>
                <w:kern w:val="0"/>
                <w:sz w:val="24"/>
              </w:rPr>
              <w:t>2.18</w:t>
            </w:r>
          </w:p>
        </w:tc>
        <w:tc>
          <w:tcPr>
            <w:tcW w:w="7207" w:type="dxa"/>
            <w:tcBorders>
              <w:right w:val="single" w:color="auto" w:sz="4" w:space="0"/>
            </w:tcBorders>
            <w:shd w:val="clear" w:color="auto" w:fill="auto"/>
          </w:tcPr>
          <w:p>
            <w:pPr>
              <w:rPr>
                <w:rFonts w:ascii="宋体" w:hAnsi="宋体" w:cs="宋体"/>
                <w:szCs w:val="21"/>
              </w:rPr>
            </w:pPr>
            <w:r>
              <w:rPr>
                <w:rFonts w:hint="eastAsia" w:ascii="宋体" w:hAnsi="宋体" w:cs="宋体"/>
                <w:color w:val="000000"/>
                <w:kern w:val="0"/>
                <w:sz w:val="24"/>
              </w:rPr>
              <w:t>可自动保存≥100组灭菌循环参数，并可通过USB导出灭菌循环参数。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tcPr>
          <w:p>
            <w:pPr>
              <w:spacing w:line="480" w:lineRule="auto"/>
              <w:jc w:val="center"/>
              <w:rPr>
                <w:rFonts w:ascii="宋体" w:hAnsi="宋体" w:cs="宋体"/>
                <w:szCs w:val="21"/>
              </w:rPr>
            </w:pPr>
            <w:r>
              <w:rPr>
                <w:rFonts w:hint="eastAsia" w:ascii="宋体" w:hAnsi="宋体" w:cs="宋体"/>
                <w:color w:val="000000"/>
                <w:kern w:val="0"/>
                <w:sz w:val="24"/>
              </w:rPr>
              <w:t>▲</w:t>
            </w:r>
            <w:r>
              <w:rPr>
                <w:rFonts w:hint="eastAsia" w:ascii="宋体" w:hAnsi="宋体" w:cs="宋体"/>
                <w:b/>
                <w:bCs/>
                <w:color w:val="000000"/>
                <w:kern w:val="0"/>
                <w:sz w:val="24"/>
              </w:rPr>
              <w:t>2.19</w:t>
            </w:r>
          </w:p>
        </w:tc>
        <w:tc>
          <w:tcPr>
            <w:tcW w:w="7207" w:type="dxa"/>
            <w:tcBorders>
              <w:right w:val="single" w:color="auto" w:sz="4" w:space="0"/>
            </w:tcBorders>
            <w:shd w:val="clear" w:color="auto" w:fill="auto"/>
          </w:tcPr>
          <w:p>
            <w:pPr>
              <w:rPr>
                <w:rFonts w:ascii="宋体" w:hAnsi="宋体" w:cs="宋体"/>
                <w:szCs w:val="21"/>
              </w:rPr>
            </w:pPr>
            <w:r>
              <w:rPr>
                <w:rFonts w:hint="eastAsia" w:ascii="宋体" w:hAnsi="宋体" w:cs="宋体"/>
                <w:color w:val="000000"/>
                <w:kern w:val="0"/>
                <w:sz w:val="24"/>
              </w:rPr>
              <w:t>环氧乙烷残留量：灭菌循环程序完成后，物品可立即发放临床使用，无需再放置数天，提供有资质的第三方检测机构出具的《环氧乙烷残留量检测报告》。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tcPr>
          <w:p>
            <w:pPr>
              <w:spacing w:line="360" w:lineRule="auto"/>
              <w:jc w:val="center"/>
              <w:rPr>
                <w:rFonts w:ascii="宋体" w:hAnsi="宋体" w:cs="宋体"/>
                <w:szCs w:val="21"/>
              </w:rPr>
            </w:pPr>
            <w:r>
              <w:rPr>
                <w:rFonts w:hint="eastAsia" w:ascii="宋体" w:hAnsi="宋体" w:cs="宋体"/>
                <w:color w:val="000000"/>
                <w:kern w:val="0"/>
                <w:sz w:val="24"/>
              </w:rPr>
              <w:t>▲</w:t>
            </w:r>
            <w:r>
              <w:rPr>
                <w:rFonts w:hint="eastAsia" w:ascii="宋体" w:hAnsi="宋体" w:cs="宋体"/>
                <w:b/>
                <w:bCs/>
                <w:color w:val="000000"/>
                <w:kern w:val="0"/>
                <w:sz w:val="24"/>
              </w:rPr>
              <w:t>2.20</w:t>
            </w:r>
          </w:p>
        </w:tc>
        <w:tc>
          <w:tcPr>
            <w:tcW w:w="7207" w:type="dxa"/>
            <w:tcBorders>
              <w:right w:val="single" w:color="auto" w:sz="4" w:space="0"/>
            </w:tcBorders>
            <w:shd w:val="clear" w:color="auto" w:fill="auto"/>
          </w:tcPr>
          <w:p>
            <w:pPr>
              <w:rPr>
                <w:rFonts w:ascii="宋体" w:hAnsi="宋体" w:cs="宋体"/>
                <w:szCs w:val="21"/>
              </w:rPr>
            </w:pPr>
            <w:r>
              <w:rPr>
                <w:rFonts w:hint="eastAsia" w:ascii="宋体" w:hAnsi="宋体" w:cs="宋体"/>
                <w:color w:val="000000"/>
                <w:kern w:val="0"/>
                <w:sz w:val="24"/>
              </w:rPr>
              <w:t>具有废气罐快速处理程序，启动程序可立即处理过期、破损或泄漏气罐，不影响设备正常使用，有效控制人员安全。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tcPr>
          <w:p>
            <w:pPr>
              <w:spacing w:line="360" w:lineRule="auto"/>
              <w:jc w:val="center"/>
              <w:rPr>
                <w:rFonts w:ascii="宋体" w:hAnsi="宋体" w:cs="宋体"/>
                <w:szCs w:val="21"/>
              </w:rPr>
            </w:pPr>
            <w:r>
              <w:rPr>
                <w:rFonts w:hint="eastAsia" w:ascii="宋体" w:hAnsi="宋体" w:cs="宋体"/>
                <w:b/>
                <w:bCs/>
                <w:color w:val="000000"/>
                <w:kern w:val="0"/>
                <w:sz w:val="24"/>
              </w:rPr>
              <w:t>2.21</w:t>
            </w:r>
          </w:p>
        </w:tc>
        <w:tc>
          <w:tcPr>
            <w:tcW w:w="7207" w:type="dxa"/>
            <w:tcBorders>
              <w:right w:val="single" w:color="auto" w:sz="4" w:space="0"/>
            </w:tcBorders>
            <w:shd w:val="clear" w:color="auto" w:fill="auto"/>
          </w:tcPr>
          <w:p>
            <w:pPr>
              <w:rPr>
                <w:rFonts w:ascii="宋体" w:hAnsi="宋体" w:cs="宋体"/>
                <w:szCs w:val="21"/>
              </w:rPr>
            </w:pPr>
            <w:r>
              <w:rPr>
                <w:rFonts w:hint="eastAsia" w:ascii="宋体" w:hAnsi="宋体" w:cs="宋体"/>
                <w:color w:val="000000"/>
                <w:kern w:val="0"/>
                <w:sz w:val="24"/>
              </w:rPr>
              <w:t>具有预防性保养时间提醒功能。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tcPr>
          <w:p>
            <w:pPr>
              <w:spacing w:line="720" w:lineRule="auto"/>
              <w:jc w:val="center"/>
              <w:rPr>
                <w:rFonts w:ascii="宋体" w:hAnsi="宋体" w:cs="宋体"/>
                <w:szCs w:val="21"/>
              </w:rPr>
            </w:pPr>
            <w:r>
              <w:rPr>
                <w:rFonts w:hint="eastAsia" w:ascii="宋体" w:hAnsi="宋体" w:cs="宋体"/>
                <w:b/>
                <w:bCs/>
                <w:color w:val="000000"/>
                <w:kern w:val="0"/>
                <w:sz w:val="24"/>
              </w:rPr>
              <w:t>2.22</w:t>
            </w:r>
          </w:p>
        </w:tc>
        <w:tc>
          <w:tcPr>
            <w:tcW w:w="7207" w:type="dxa"/>
            <w:tcBorders>
              <w:right w:val="single" w:color="auto" w:sz="4" w:space="0"/>
            </w:tcBorders>
            <w:shd w:val="clear" w:color="auto" w:fill="auto"/>
          </w:tcPr>
          <w:p>
            <w:pPr>
              <w:rPr>
                <w:rFonts w:ascii="宋体" w:hAnsi="宋体" w:cs="宋体"/>
                <w:szCs w:val="21"/>
              </w:rPr>
            </w:pPr>
            <w:r>
              <w:rPr>
                <w:rFonts w:hint="eastAsia" w:ascii="宋体" w:hAnsi="宋体" w:cs="宋体"/>
                <w:color w:val="000000"/>
                <w:kern w:val="0"/>
                <w:sz w:val="24"/>
              </w:rPr>
              <w:t>设备使用期间，每年至少提供一次环氧乙烷灭菌间环境浓度测试服务，分析用户工作环境中环氧乙烷浓度，提供实验室出具环氧乙烷气体分析报告样本复印件。</w:t>
            </w:r>
          </w:p>
        </w:tc>
      </w:tr>
    </w:tbl>
    <w:p>
      <w:pPr>
        <w:rPr>
          <w:rFonts w:ascii="Arial" w:hAnsi="Arial" w:cs="Arial"/>
          <w:szCs w:val="21"/>
        </w:rPr>
      </w:pPr>
    </w:p>
    <w:p>
      <w:pPr>
        <w:rPr>
          <w:rFonts w:ascii="Arial" w:hAnsi="Arial" w:cs="Arial"/>
          <w:szCs w:val="21"/>
        </w:rPr>
      </w:pPr>
    </w:p>
    <w:p>
      <w:pPr>
        <w:rPr>
          <w:rFonts w:ascii="宋体" w:hAnsi="宋体"/>
          <w:b/>
          <w:sz w:val="28"/>
          <w:szCs w:val="28"/>
        </w:rPr>
      </w:pPr>
      <w:r>
        <w:rPr>
          <w:rFonts w:hint="eastAsia" w:ascii="Arial" w:hAnsi="Arial" w:cs="Arial"/>
          <w:szCs w:val="21"/>
        </w:rPr>
        <w:t>★</w:t>
      </w:r>
      <w:r>
        <w:rPr>
          <w:rFonts w:hint="eastAsia" w:ascii="宋体" w:hAnsi="宋体"/>
          <w:b/>
          <w:sz w:val="28"/>
          <w:szCs w:val="28"/>
        </w:rPr>
        <w:t>三、配置要求</w:t>
      </w:r>
    </w:p>
    <w:tbl>
      <w:tblPr>
        <w:tblStyle w:val="65"/>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pPr>
              <w:spacing w:line="360" w:lineRule="auto"/>
              <w:jc w:val="center"/>
              <w:rPr>
                <w:rFonts w:ascii="宋体" w:hAnsi="宋体" w:cs="宋体"/>
                <w:b/>
                <w:sz w:val="24"/>
              </w:rPr>
            </w:pPr>
            <w:r>
              <w:rPr>
                <w:rFonts w:hAnsi="宋体"/>
                <w:b/>
                <w:sz w:val="24"/>
              </w:rPr>
              <w:t>序号</w:t>
            </w:r>
          </w:p>
        </w:tc>
        <w:tc>
          <w:tcPr>
            <w:tcW w:w="7652" w:type="dxa"/>
            <w:tcBorders>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ascii="宋体" w:hAnsi="宋体"/>
                <w:szCs w:val="21"/>
              </w:rPr>
            </w:pPr>
            <w:r>
              <w:rPr>
                <w:rFonts w:hint="eastAsia" w:ascii="宋体" w:hAnsi="宋体" w:cs="宋体"/>
                <w:sz w:val="24"/>
              </w:rPr>
              <w:t>1</w:t>
            </w:r>
          </w:p>
        </w:tc>
        <w:tc>
          <w:tcPr>
            <w:tcW w:w="7652" w:type="dxa"/>
            <w:tcBorders>
              <w:right w:val="single" w:color="auto" w:sz="4" w:space="0"/>
            </w:tcBorders>
            <w:vAlign w:val="center"/>
          </w:tcPr>
          <w:p>
            <w:r>
              <w:rPr>
                <w:rFonts w:hint="eastAsia" w:ascii="宋体" w:hAnsi="宋体" w:cs="宋体"/>
                <w:sz w:val="24"/>
              </w:rPr>
              <w:t>环氧乙烷灭菌器主机：1台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ascii="宋体" w:hAnsi="宋体"/>
                <w:szCs w:val="21"/>
              </w:rPr>
            </w:pPr>
            <w:r>
              <w:rPr>
                <w:rFonts w:hint="eastAsia" w:ascii="宋体" w:hAnsi="宋体" w:cs="宋体"/>
                <w:sz w:val="24"/>
              </w:rPr>
              <w:t>2</w:t>
            </w:r>
          </w:p>
        </w:tc>
        <w:tc>
          <w:tcPr>
            <w:tcW w:w="7652" w:type="dxa"/>
            <w:tcBorders>
              <w:right w:val="single" w:color="auto" w:sz="4" w:space="0"/>
            </w:tcBorders>
            <w:vAlign w:val="center"/>
          </w:tcPr>
          <w:p>
            <w:r>
              <w:rPr>
                <w:rFonts w:hint="eastAsia" w:ascii="宋体" w:hAnsi="宋体" w:cs="宋体"/>
                <w:sz w:val="24"/>
              </w:rPr>
              <w:t>灭菌篮筐2套（1套半尺寸篮筐和1套全尺寸篮筐）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ascii="宋体" w:hAnsi="宋体"/>
                <w:szCs w:val="21"/>
              </w:rPr>
            </w:pPr>
            <w:r>
              <w:rPr>
                <w:rFonts w:hint="eastAsia" w:ascii="宋体" w:hAnsi="宋体" w:cs="宋体"/>
                <w:sz w:val="24"/>
              </w:rPr>
              <w:t>3</w:t>
            </w:r>
          </w:p>
        </w:tc>
        <w:tc>
          <w:tcPr>
            <w:tcW w:w="7652" w:type="dxa"/>
            <w:tcBorders>
              <w:right w:val="single" w:color="auto" w:sz="4" w:space="0"/>
            </w:tcBorders>
            <w:vAlign w:val="center"/>
          </w:tcPr>
          <w:p>
            <w:r>
              <w:rPr>
                <w:rFonts w:hint="eastAsia" w:ascii="宋体" w:hAnsi="宋体" w:cs="宋体"/>
                <w:sz w:val="24"/>
              </w:rPr>
              <w:t>气体排放附件1套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ascii="宋体" w:hAnsi="宋体"/>
                <w:szCs w:val="21"/>
              </w:rPr>
            </w:pPr>
            <w:r>
              <w:rPr>
                <w:rFonts w:hint="eastAsia" w:ascii="宋体" w:hAnsi="宋体" w:cs="宋体"/>
                <w:sz w:val="24"/>
              </w:rPr>
              <w:t>4</w:t>
            </w:r>
          </w:p>
        </w:tc>
        <w:tc>
          <w:tcPr>
            <w:tcW w:w="7652" w:type="dxa"/>
            <w:tcBorders>
              <w:right w:val="single" w:color="auto" w:sz="4" w:space="0"/>
            </w:tcBorders>
            <w:vAlign w:val="center"/>
          </w:tcPr>
          <w:p>
            <w:r>
              <w:rPr>
                <w:rFonts w:hint="eastAsia" w:ascii="宋体" w:hAnsi="宋体" w:cs="宋体"/>
                <w:sz w:val="24"/>
              </w:rPr>
              <w:t>操作手册1份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8611" w:type="dxa"/>
            <w:gridSpan w:val="2"/>
            <w:tcBorders>
              <w:right w:val="single" w:color="auto" w:sz="4" w:space="0"/>
            </w:tcBorders>
            <w:vAlign w:val="center"/>
          </w:tcPr>
          <w:p>
            <w:pPr>
              <w:rPr>
                <w:rFonts w:hint="eastAsia" w:ascii="宋体" w:hAnsi="宋体" w:eastAsia="宋体" w:cs="宋体"/>
                <w:sz w:val="24"/>
                <w:lang w:val="en-US" w:eastAsia="zh-CN"/>
              </w:rPr>
            </w:pPr>
            <w:r>
              <w:rPr>
                <w:rFonts w:hint="eastAsia"/>
                <w:lang w:eastAsia="zh-CN"/>
              </w:rPr>
              <w:t>注：</w:t>
            </w:r>
            <w:r>
              <w:rPr>
                <w:rFonts w:hint="eastAsia"/>
              </w:rPr>
              <w:t>环氧乙烷灭菌器</w:t>
            </w:r>
            <w:r>
              <w:t>须在投标文件中提供医疗器械注册证（备案证）。2、其他配置未在采购文件中明确，但国家有明确规定须具有与投标产品相应的医疗器械注册证（备案证），必须在合同签订前向采购人提供相应注册证（备案证）。</w:t>
            </w:r>
            <w:r>
              <w:rPr>
                <w:rFonts w:hint="eastAsia"/>
                <w:lang w:val="en-US" w:eastAsia="zh-CN"/>
              </w:rPr>
              <w:t>3、计算机须提供节能产品认证证书。</w:t>
            </w:r>
          </w:p>
        </w:tc>
      </w:tr>
    </w:tbl>
    <w:p>
      <w:pPr>
        <w:autoSpaceDE w:val="0"/>
        <w:autoSpaceDN w:val="0"/>
        <w:spacing w:line="360" w:lineRule="auto"/>
        <w:textAlignment w:val="bottom"/>
        <w:rPr>
          <w:rFonts w:ascii="宋体" w:hAnsi="宋体"/>
          <w:b/>
          <w:sz w:val="24"/>
        </w:rPr>
      </w:pPr>
    </w:p>
    <w:p>
      <w:pPr>
        <w:rPr>
          <w:rFonts w:ascii="宋体" w:hAnsi="宋体"/>
          <w:b/>
          <w:sz w:val="28"/>
          <w:szCs w:val="28"/>
        </w:rPr>
      </w:pPr>
      <w:r>
        <w:rPr>
          <w:rFonts w:hint="eastAsia" w:ascii="宋体" w:hAnsi="宋体"/>
          <w:b/>
          <w:sz w:val="28"/>
          <w:szCs w:val="28"/>
        </w:rPr>
        <w:t>四、商务要求</w:t>
      </w:r>
    </w:p>
    <w:tbl>
      <w:tblPr>
        <w:tblStyle w:val="65"/>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pPr>
              <w:jc w:val="center"/>
              <w:rPr>
                <w:b/>
                <w:sz w:val="28"/>
                <w:szCs w:val="28"/>
              </w:rPr>
            </w:pPr>
            <w:r>
              <w:rPr>
                <w:rFonts w:hAnsi="宋体"/>
                <w:b/>
                <w:sz w:val="28"/>
                <w:szCs w:val="28"/>
              </w:rPr>
              <w:t>序号</w:t>
            </w:r>
          </w:p>
        </w:tc>
        <w:tc>
          <w:tcPr>
            <w:tcW w:w="7461" w:type="dxa"/>
            <w:tcBorders>
              <w:right w:val="single" w:color="auto" w:sz="4" w:space="0"/>
            </w:tcBorders>
            <w:vAlign w:val="center"/>
          </w:tcPr>
          <w:p>
            <w:pPr>
              <w:jc w:val="center"/>
              <w:rPr>
                <w:b/>
                <w:sz w:val="28"/>
                <w:szCs w:val="28"/>
              </w:rPr>
            </w:pPr>
            <w:r>
              <w:rPr>
                <w:rFonts w:hint="eastAsia"/>
                <w:b/>
                <w:sz w:val="28"/>
                <w:szCs w:val="28"/>
              </w:rPr>
              <w:t>商务要求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
                <w:sz w:val="24"/>
              </w:rPr>
            </w:pPr>
            <w:r>
              <w:rPr>
                <w:rFonts w:hint="eastAsia" w:hAnsi="宋体"/>
                <w:b/>
                <w:sz w:val="28"/>
                <w:szCs w:val="28"/>
              </w:rPr>
              <w:t>1</w:t>
            </w:r>
          </w:p>
        </w:tc>
        <w:tc>
          <w:tcPr>
            <w:tcW w:w="7461" w:type="dxa"/>
            <w:tcBorders>
              <w:right w:val="single" w:color="auto" w:sz="4" w:space="0"/>
            </w:tcBorders>
            <w:vAlign w:val="center"/>
          </w:tcPr>
          <w:p>
            <w:pPr>
              <w:jc w:val="left"/>
              <w:rPr>
                <w:rFonts w:ascii="Calibri" w:hAnsi="Calibri"/>
                <w:b/>
                <w:color w:val="000000"/>
                <w:sz w:val="24"/>
              </w:rPr>
            </w:pPr>
            <w:r>
              <w:rPr>
                <w:rFonts w:hint="eastAsia" w:ascii="Calibri" w:hAnsi="Calibri"/>
                <w:b/>
                <w:color w:val="000000"/>
                <w:sz w:val="24"/>
              </w:rPr>
              <w:t>质量保证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1.1</w:t>
            </w:r>
          </w:p>
        </w:tc>
        <w:tc>
          <w:tcPr>
            <w:tcW w:w="7461" w:type="dxa"/>
            <w:tcBorders>
              <w:right w:val="single" w:color="auto" w:sz="4" w:space="0"/>
            </w:tcBorders>
            <w:vAlign w:val="center"/>
          </w:tcPr>
          <w:p>
            <w:pPr>
              <w:jc w:val="left"/>
              <w:rPr>
                <w:rFonts w:ascii="Calibri" w:hAnsi="Calibri"/>
                <w:b/>
                <w:color w:val="000000"/>
                <w:sz w:val="24"/>
              </w:rPr>
            </w:pPr>
            <w:r>
              <w:rPr>
                <w:rFonts w:hint="eastAsia" w:ascii="宋体" w:hAnsi="宋体"/>
                <w:sz w:val="24"/>
              </w:rPr>
              <w:t>货物使用期限：自货物生产日期起，</w:t>
            </w:r>
            <w:r>
              <w:rPr>
                <w:rFonts w:hint="eastAsia" w:ascii="宋体" w:hAnsi="宋体"/>
                <w:color w:val="000000" w:themeColor="text1"/>
                <w:sz w:val="24"/>
                <w14:textFill>
                  <w14:solidFill>
                    <w14:schemeClr w14:val="tx1"/>
                  </w14:solidFill>
                </w14:textFill>
              </w:rPr>
              <w:t>不少于8年</w:t>
            </w:r>
            <w:r>
              <w:rPr>
                <w:rFonts w:hint="eastAsia" w:ascii="宋体" w:hAnsi="宋体"/>
                <w:sz w:val="24"/>
              </w:rPr>
              <w:t>；提供铭牌标识、照片或说明书相关页面复印件；货物无使用期限的，提供说明。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1.2</w:t>
            </w:r>
          </w:p>
        </w:tc>
        <w:tc>
          <w:tcPr>
            <w:tcW w:w="7461" w:type="dxa"/>
            <w:tcBorders>
              <w:right w:val="single" w:color="auto" w:sz="4" w:space="0"/>
            </w:tcBorders>
            <w:vAlign w:val="center"/>
          </w:tcPr>
          <w:p>
            <w:pPr>
              <w:jc w:val="left"/>
              <w:rPr>
                <w:rFonts w:ascii="宋体" w:hAnsi="宋体"/>
                <w:sz w:val="24"/>
              </w:rPr>
            </w:pPr>
            <w:r>
              <w:rPr>
                <w:rFonts w:hint="eastAsia" w:ascii="宋体" w:hAnsi="宋体"/>
                <w:sz w:val="24"/>
              </w:rPr>
              <w:t>货物生产日期（以产品标签、标识为准）：货物到达买方机房之日</w:t>
            </w:r>
            <w:r>
              <w:rPr>
                <w:rFonts w:hint="eastAsia" w:ascii="宋体" w:hAnsi="宋体"/>
                <w:sz w:val="24"/>
                <w:u w:val="single"/>
              </w:rPr>
              <w:t>前12个月内（国产产品）、18个月内（进口产品）。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1.3</w:t>
            </w:r>
          </w:p>
        </w:tc>
        <w:tc>
          <w:tcPr>
            <w:tcW w:w="7461" w:type="dxa"/>
            <w:tcBorders>
              <w:right w:val="single" w:color="auto" w:sz="4" w:space="0"/>
            </w:tcBorders>
            <w:vAlign w:val="center"/>
          </w:tcPr>
          <w:p>
            <w:pPr>
              <w:spacing w:line="380" w:lineRule="exact"/>
              <w:rPr>
                <w:rFonts w:ascii="宋体" w:hAnsi="宋体"/>
                <w:b/>
                <w:sz w:val="24"/>
              </w:rPr>
            </w:pPr>
            <w:r>
              <w:rPr>
                <w:rFonts w:hint="eastAsia" w:ascii="宋体" w:hAnsi="宋体"/>
                <w:sz w:val="24"/>
              </w:rPr>
              <w:t>卖方提供的所有货物必须是全新未使用过的。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
                <w:sz w:val="28"/>
                <w:szCs w:val="28"/>
              </w:rPr>
              <w:t>2</w:t>
            </w:r>
          </w:p>
        </w:tc>
        <w:tc>
          <w:tcPr>
            <w:tcW w:w="7461" w:type="dxa"/>
            <w:vAlign w:val="center"/>
          </w:tcPr>
          <w:p>
            <w:pPr>
              <w:spacing w:line="380" w:lineRule="exact"/>
              <w:rPr>
                <w:rFonts w:ascii="宋体" w:hAnsi="宋体"/>
                <w:sz w:val="24"/>
              </w:rPr>
            </w:pPr>
            <w:r>
              <w:rPr>
                <w:rFonts w:hint="eastAsia" w:ascii="Calibri" w:hAnsi="Calibri"/>
                <w:b/>
                <w:color w:val="000000"/>
                <w:sz w:val="24"/>
              </w:rPr>
              <w:t>保质期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ascii="Arial" w:hAnsi="Arial" w:cs="Arial"/>
                <w:szCs w:val="21"/>
              </w:rPr>
              <w:t>★</w:t>
            </w:r>
            <w:r>
              <w:rPr>
                <w:rFonts w:hint="eastAsia" w:hAnsi="宋体"/>
                <w:bCs/>
                <w:sz w:val="24"/>
              </w:rPr>
              <w:t>2.1</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设备验收合格后免费保修：</w:t>
            </w:r>
            <w:r>
              <w:rPr>
                <w:rFonts w:hint="eastAsia" w:ascii="宋体" w:hAnsi="宋体"/>
                <w:color w:val="000000" w:themeColor="text1"/>
                <w:sz w:val="24"/>
                <w14:textFill>
                  <w14:solidFill>
                    <w14:schemeClr w14:val="tx1"/>
                  </w14:solidFill>
                </w14:textFill>
              </w:rPr>
              <w:t>≥ 3</w:t>
            </w:r>
            <w:r>
              <w:rPr>
                <w:rFonts w:hint="eastAsia" w:ascii="宋体" w:hAnsi="宋体"/>
                <w:color w:val="000000" w:themeColor="text1"/>
                <w:sz w:val="24"/>
                <w:u w:val="single"/>
                <w14:textFill>
                  <w14:solidFill>
                    <w14:schemeClr w14:val="tx1"/>
                  </w14:solidFill>
                </w14:textFill>
              </w:rPr>
              <w:t>年</w:t>
            </w:r>
            <w:r>
              <w:rPr>
                <w:rFonts w:hint="eastAsia" w:ascii="宋体" w:hAnsi="宋体"/>
                <w:sz w:val="24"/>
              </w:rPr>
              <w:t>。供应商报价须包含保质期内的所有服务及配件费用。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2.2</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保修期内，维修响应时间</w:t>
            </w:r>
            <w:r>
              <w:rPr>
                <w:rFonts w:hint="eastAsia" w:ascii="宋体" w:hAnsi="宋体"/>
                <w:sz w:val="24"/>
                <w:u w:val="single"/>
              </w:rPr>
              <w:t>＜12小时</w:t>
            </w:r>
            <w:r>
              <w:rPr>
                <w:rFonts w:hint="eastAsia" w:ascii="宋体" w:hAnsi="宋体"/>
                <w:sz w:val="24"/>
              </w:rPr>
              <w:t>，</w:t>
            </w:r>
            <w:r>
              <w:rPr>
                <w:rFonts w:hint="eastAsia" w:ascii="宋体" w:hAnsi="宋体"/>
                <w:sz w:val="24"/>
                <w:u w:val="single"/>
              </w:rPr>
              <w:t>12工作小时</w:t>
            </w:r>
            <w:r>
              <w:rPr>
                <w:rFonts w:hint="eastAsia" w:ascii="宋体" w:hAnsi="宋体"/>
                <w:sz w:val="24"/>
              </w:rPr>
              <w:t>未能修复，则无偿提供备件或备机。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2.3</w:t>
            </w:r>
          </w:p>
        </w:tc>
        <w:tc>
          <w:tcPr>
            <w:tcW w:w="7461" w:type="dxa"/>
            <w:vAlign w:val="center"/>
          </w:tcPr>
          <w:p>
            <w:pPr>
              <w:spacing w:line="380" w:lineRule="exact"/>
              <w:rPr>
                <w:rFonts w:ascii="宋体" w:hAnsi="宋体"/>
                <w:sz w:val="24"/>
              </w:rPr>
            </w:pPr>
            <w:r>
              <w:rPr>
                <w:rFonts w:hint="eastAsia" w:ascii="宋体" w:hAnsi="宋体"/>
                <w:sz w:val="24"/>
              </w:rPr>
              <w:t>保修期内开机率</w:t>
            </w:r>
            <w:r>
              <w:rPr>
                <w:rFonts w:hint="eastAsia" w:ascii="宋体" w:hAnsi="宋体"/>
                <w:sz w:val="24"/>
                <w:u w:val="single"/>
              </w:rPr>
              <w:t>≥95%</w:t>
            </w:r>
            <w:r>
              <w:rPr>
                <w:rFonts w:hint="eastAsia" w:ascii="宋体" w:hAnsi="宋体"/>
                <w:sz w:val="24"/>
              </w:rPr>
              <w:t>，若设备未达到以上开机率保证，则停机每超过一天则延长</w:t>
            </w:r>
            <w:r>
              <w:rPr>
                <w:rFonts w:hint="eastAsia" w:ascii="宋体" w:hAnsi="宋体"/>
                <w:sz w:val="24"/>
                <w:u w:val="single"/>
              </w:rPr>
              <w:t>10天</w:t>
            </w:r>
            <w:r>
              <w:rPr>
                <w:rFonts w:hint="eastAsia" w:ascii="宋体" w:hAnsi="宋体"/>
                <w:sz w:val="24"/>
              </w:rPr>
              <w:t>保修时间。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
                <w:sz w:val="28"/>
                <w:szCs w:val="28"/>
              </w:rPr>
              <w:t>3</w:t>
            </w:r>
          </w:p>
        </w:tc>
        <w:tc>
          <w:tcPr>
            <w:tcW w:w="7461" w:type="dxa"/>
            <w:vAlign w:val="center"/>
          </w:tcPr>
          <w:p>
            <w:pPr>
              <w:spacing w:line="380" w:lineRule="exact"/>
              <w:rPr>
                <w:rFonts w:ascii="宋体" w:hAnsi="宋体"/>
                <w:sz w:val="24"/>
              </w:rPr>
            </w:pPr>
            <w:r>
              <w:rPr>
                <w:rFonts w:hint="eastAsia" w:ascii="Calibri" w:hAnsi="Calibri"/>
                <w:b/>
                <w:color w:val="000000"/>
                <w:sz w:val="24"/>
              </w:rPr>
              <w:t>售后服务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3.1</w:t>
            </w:r>
          </w:p>
        </w:tc>
        <w:tc>
          <w:tcPr>
            <w:tcW w:w="7461" w:type="dxa"/>
            <w:vAlign w:val="center"/>
          </w:tcPr>
          <w:p>
            <w:pPr>
              <w:spacing w:line="380" w:lineRule="exact"/>
              <w:rPr>
                <w:rFonts w:ascii="Calibri" w:hAnsi="Calibri"/>
                <w:b/>
                <w:color w:val="000000"/>
                <w:sz w:val="24"/>
              </w:rPr>
            </w:pPr>
            <w:r>
              <w:rPr>
                <w:rFonts w:hint="eastAsia" w:ascii="宋体" w:hAnsi="宋体"/>
                <w:sz w:val="24"/>
              </w:rPr>
              <w:t>供应商应在响应文件中提供详细售后服务方案，如售后服务网点的分布情况、售后服务机构备品备件储备，售后服务机构技术服务人员情况、开展定期巡检等。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3.2</w:t>
            </w:r>
          </w:p>
        </w:tc>
        <w:tc>
          <w:tcPr>
            <w:tcW w:w="7461" w:type="dxa"/>
            <w:vAlign w:val="center"/>
          </w:tcPr>
          <w:p>
            <w:pPr>
              <w:spacing w:line="380" w:lineRule="exact"/>
              <w:rPr>
                <w:rFonts w:ascii="宋体" w:hAnsi="宋体"/>
                <w:sz w:val="24"/>
              </w:rPr>
            </w:pPr>
            <w:r>
              <w:rPr>
                <w:rFonts w:hint="eastAsia" w:ascii="宋体" w:hAnsi="宋体"/>
                <w:sz w:val="24"/>
              </w:rPr>
              <w:t>供应商应在响应文件中提供详细收费标准，包括出保后保修方案、消耗品价格、设备配件价格，维修服务费等。如未列明则默认为日后日常使用中免费提供。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3.3</w:t>
            </w:r>
          </w:p>
        </w:tc>
        <w:tc>
          <w:tcPr>
            <w:tcW w:w="7461" w:type="dxa"/>
            <w:vAlign w:val="center"/>
          </w:tcPr>
          <w:p>
            <w:pPr>
              <w:spacing w:line="380" w:lineRule="exact"/>
              <w:rPr>
                <w:rFonts w:ascii="宋体" w:hAnsi="宋体"/>
                <w:sz w:val="24"/>
              </w:rPr>
            </w:pPr>
            <w:r>
              <w:rPr>
                <w:rFonts w:hint="eastAsia" w:ascii="宋体" w:hAnsi="宋体"/>
                <w:sz w:val="24"/>
              </w:rPr>
              <w:t>在整个设备使用期内，卖方应确保设备的正常使用，在接到用户维修要求后应立即作出回应，通过电话联系无法解决的，须</w:t>
            </w:r>
            <w:r>
              <w:rPr>
                <w:rFonts w:hint="eastAsia" w:ascii="宋体" w:hAnsi="宋体"/>
                <w:sz w:val="24"/>
                <w:u w:val="single"/>
              </w:rPr>
              <w:t>24小时内</w:t>
            </w:r>
            <w:r>
              <w:rPr>
                <w:rFonts w:hint="eastAsia" w:ascii="宋体" w:hAnsi="宋体"/>
                <w:sz w:val="24"/>
              </w:rPr>
              <w:t>赶赴卖方现场处理。维修过程中所需零配件，非特殊情况，供应商应在接到通知后最长不超过3天必须送达采购人。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3.4</w:t>
            </w:r>
          </w:p>
        </w:tc>
        <w:tc>
          <w:tcPr>
            <w:tcW w:w="7461" w:type="dxa"/>
            <w:vAlign w:val="center"/>
          </w:tcPr>
          <w:p>
            <w:pPr>
              <w:spacing w:line="380" w:lineRule="exact"/>
              <w:rPr>
                <w:rFonts w:ascii="Calibri" w:hAnsi="Calibri"/>
                <w:b/>
                <w:sz w:val="24"/>
              </w:rPr>
            </w:pPr>
            <w:r>
              <w:rPr>
                <w:rFonts w:hint="eastAsia" w:ascii="宋体" w:hAnsi="宋体"/>
                <w:sz w:val="24"/>
              </w:rPr>
              <w:t>保证易耗品及零配件供应</w:t>
            </w:r>
            <w:r>
              <w:rPr>
                <w:rFonts w:hint="eastAsia" w:ascii="宋体" w:hAnsi="宋体"/>
                <w:color w:val="000000" w:themeColor="text1"/>
                <w:sz w:val="24"/>
                <w:u w:val="single"/>
                <w14:textFill>
                  <w14:solidFill>
                    <w14:schemeClr w14:val="tx1"/>
                  </w14:solidFill>
                </w14:textFill>
              </w:rPr>
              <w:t>8年</w:t>
            </w:r>
            <w:r>
              <w:rPr>
                <w:rFonts w:hint="eastAsia" w:ascii="宋体" w:hAnsi="宋体"/>
                <w:color w:val="000000" w:themeColor="text1"/>
                <w:sz w:val="24"/>
                <w14:textFill>
                  <w14:solidFill>
                    <w14:schemeClr w14:val="tx1"/>
                  </w14:solidFill>
                </w14:textFill>
              </w:rPr>
              <w:t>以上</w:t>
            </w:r>
            <w:r>
              <w:rPr>
                <w:rFonts w:hint="eastAsia" w:ascii="宋体" w:hAnsi="宋体"/>
                <w:sz w:val="24"/>
              </w:rPr>
              <w:t>，</w:t>
            </w:r>
            <w:r>
              <w:rPr>
                <w:rFonts w:ascii="宋体" w:hAnsi="宋体"/>
                <w:sz w:val="24"/>
              </w:rPr>
              <w:t>终身维护，软件终身免费升级</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4</w:t>
            </w:r>
          </w:p>
        </w:tc>
        <w:tc>
          <w:tcPr>
            <w:tcW w:w="7461" w:type="dxa"/>
            <w:vAlign w:val="center"/>
          </w:tcPr>
          <w:p>
            <w:pPr>
              <w:snapToGrid w:val="0"/>
              <w:rPr>
                <w:rFonts w:ascii="宋体" w:hAnsi="宋体"/>
                <w:b/>
                <w:sz w:val="24"/>
              </w:rPr>
            </w:pPr>
            <w:r>
              <w:rPr>
                <w:rFonts w:hint="eastAsia" w:ascii="宋体" w:hAnsi="宋体" w:cs="宋体"/>
                <w:b/>
                <w:kern w:val="0"/>
                <w:sz w:val="24"/>
              </w:rPr>
              <w:t>交货时间、地点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4.1</w:t>
            </w:r>
          </w:p>
        </w:tc>
        <w:tc>
          <w:tcPr>
            <w:tcW w:w="7461" w:type="dxa"/>
            <w:vAlign w:val="center"/>
          </w:tcPr>
          <w:p>
            <w:pPr>
              <w:spacing w:line="380" w:lineRule="exact"/>
              <w:rPr>
                <w:rFonts w:ascii="宋体" w:hAnsi="宋体"/>
                <w:sz w:val="24"/>
              </w:rPr>
            </w:pPr>
            <w:r>
              <w:rPr>
                <w:rFonts w:hint="eastAsia" w:ascii="宋体" w:hAnsi="宋体"/>
                <w:sz w:val="24"/>
              </w:rPr>
              <w:t>交货时间：合同签订后，接到甲方通知后</w:t>
            </w:r>
            <w:r>
              <w:rPr>
                <w:rFonts w:hint="eastAsia" w:ascii="宋体" w:hAnsi="宋体"/>
                <w:sz w:val="24"/>
                <w:u w:val="single"/>
              </w:rPr>
              <w:t>90天内</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4.2</w:t>
            </w:r>
          </w:p>
        </w:tc>
        <w:tc>
          <w:tcPr>
            <w:tcW w:w="7461" w:type="dxa"/>
            <w:vAlign w:val="center"/>
          </w:tcPr>
          <w:p>
            <w:pPr>
              <w:spacing w:line="380" w:lineRule="exact"/>
              <w:rPr>
                <w:rFonts w:ascii="宋体" w:hAnsi="宋体"/>
                <w:sz w:val="24"/>
              </w:rPr>
            </w:pPr>
            <w:r>
              <w:rPr>
                <w:rFonts w:hint="eastAsia" w:ascii="宋体" w:hAnsi="宋体"/>
                <w:sz w:val="24"/>
              </w:rPr>
              <w:t>交货地点：采购人指定地点。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5</w:t>
            </w:r>
          </w:p>
        </w:tc>
        <w:tc>
          <w:tcPr>
            <w:tcW w:w="7461" w:type="dxa"/>
            <w:vAlign w:val="center"/>
          </w:tcPr>
          <w:p>
            <w:pPr>
              <w:spacing w:line="380" w:lineRule="exact"/>
              <w:rPr>
                <w:rFonts w:ascii="宋体" w:hAnsi="宋体"/>
                <w:b/>
                <w:sz w:val="24"/>
              </w:rPr>
            </w:pPr>
            <w:r>
              <w:rPr>
                <w:rFonts w:hint="eastAsia" w:ascii="宋体" w:hAnsi="宋体"/>
                <w:b/>
                <w:sz w:val="24"/>
              </w:rPr>
              <w:t>安装调试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5.1</w:t>
            </w:r>
          </w:p>
        </w:tc>
        <w:tc>
          <w:tcPr>
            <w:tcW w:w="7461" w:type="dxa"/>
            <w:vAlign w:val="center"/>
          </w:tcPr>
          <w:p>
            <w:pPr>
              <w:spacing w:line="380" w:lineRule="exact"/>
              <w:rPr>
                <w:rFonts w:ascii="宋体" w:hAnsi="宋体"/>
                <w:b/>
                <w:sz w:val="24"/>
              </w:rPr>
            </w:pPr>
            <w:r>
              <w:rPr>
                <w:rFonts w:ascii="Calibri" w:hAnsi="宋体"/>
                <w:bCs/>
                <w:sz w:val="24"/>
              </w:rPr>
              <w:t>安装地点：</w:t>
            </w:r>
            <w:r>
              <w:rPr>
                <w:rFonts w:hint="eastAsia" w:ascii="宋体" w:hAnsi="宋体"/>
                <w:sz w:val="24"/>
              </w:rPr>
              <w:t>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5.2</w:t>
            </w:r>
          </w:p>
        </w:tc>
        <w:tc>
          <w:tcPr>
            <w:tcW w:w="7461" w:type="dxa"/>
            <w:vAlign w:val="center"/>
          </w:tcPr>
          <w:p>
            <w:pPr>
              <w:spacing w:line="380" w:lineRule="exact"/>
              <w:rPr>
                <w:rFonts w:ascii="宋体" w:hAnsi="宋体"/>
                <w:b/>
                <w:sz w:val="24"/>
              </w:rPr>
            </w:pPr>
            <w:r>
              <w:rPr>
                <w:rFonts w:hint="eastAsia" w:ascii="Calibri" w:hAnsi="宋体"/>
                <w:bCs/>
                <w:sz w:val="24"/>
              </w:rPr>
              <w:t>卖方须对买方现场进行查勘，在合同签定后</w:t>
            </w:r>
            <w:r>
              <w:rPr>
                <w:rFonts w:hint="eastAsia" w:ascii="Calibri" w:hAnsi="宋体"/>
                <w:bCs/>
                <w:sz w:val="24"/>
                <w:u w:val="single"/>
              </w:rPr>
              <w:t>10个工作日</w:t>
            </w:r>
            <w:r>
              <w:rPr>
                <w:rFonts w:hint="eastAsia" w:ascii="Calibri" w:hAnsi="宋体"/>
                <w:bCs/>
                <w:sz w:val="24"/>
              </w:rPr>
              <w:t>内书面提供买方认可的运输方案及安装方案</w:t>
            </w:r>
            <w:r>
              <w:rPr>
                <w:rFonts w:hint="eastAsia" w:ascii="Calibri" w:hAnsi="宋体"/>
                <w:bCs/>
                <w:sz w:val="24"/>
                <w:u w:val="single"/>
              </w:rPr>
              <w:t>（按需提供）</w:t>
            </w:r>
            <w:r>
              <w:rPr>
                <w:rFonts w:hint="eastAsia" w:ascii="Calibri" w:hAnsi="宋体"/>
                <w:bCs/>
                <w:sz w:val="24"/>
              </w:rPr>
              <w:t>，费用含在合同总价中。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5.3</w:t>
            </w:r>
          </w:p>
        </w:tc>
        <w:tc>
          <w:tcPr>
            <w:tcW w:w="7461" w:type="dxa"/>
            <w:vAlign w:val="center"/>
          </w:tcPr>
          <w:p>
            <w:pPr>
              <w:spacing w:line="380" w:lineRule="exact"/>
              <w:rPr>
                <w:rFonts w:ascii="宋体" w:hAnsi="宋体"/>
                <w:b/>
                <w:sz w:val="24"/>
              </w:rPr>
            </w:pPr>
            <w:r>
              <w:rPr>
                <w:rFonts w:hint="eastAsia" w:ascii="Calibri" w:hAnsi="宋体"/>
                <w:sz w:val="24"/>
              </w:rPr>
              <w:t>安装完成时间：卖方在货物到货后</w:t>
            </w:r>
            <w:r>
              <w:rPr>
                <w:rFonts w:hint="eastAsia" w:ascii="Calibri" w:hAnsi="宋体"/>
                <w:sz w:val="24"/>
                <w:u w:val="single"/>
              </w:rPr>
              <w:t>20个工作日内</w:t>
            </w:r>
            <w:r>
              <w:rPr>
                <w:rFonts w:hint="eastAsia" w:ascii="Calibri" w:hAnsi="宋体"/>
                <w:sz w:val="24"/>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5.4</w:t>
            </w:r>
          </w:p>
        </w:tc>
        <w:tc>
          <w:tcPr>
            <w:tcW w:w="7461" w:type="dxa"/>
            <w:vAlign w:val="center"/>
          </w:tcPr>
          <w:p>
            <w:pPr>
              <w:spacing w:line="380" w:lineRule="exact"/>
              <w:rPr>
                <w:rFonts w:ascii="宋体" w:hAnsi="宋体"/>
                <w:b/>
                <w:sz w:val="24"/>
              </w:rPr>
            </w:pPr>
            <w:r>
              <w:rPr>
                <w:rFonts w:ascii="Calibri" w:hAnsi="宋体"/>
                <w:bCs/>
                <w:sz w:val="24"/>
              </w:rPr>
              <w:t>安装标准：符合我国国家有关技术规范要求和技术标准</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5.5</w:t>
            </w:r>
          </w:p>
        </w:tc>
        <w:tc>
          <w:tcPr>
            <w:tcW w:w="7461" w:type="dxa"/>
            <w:vAlign w:val="center"/>
          </w:tcPr>
          <w:p>
            <w:pPr>
              <w:spacing w:line="380" w:lineRule="exact"/>
              <w:rPr>
                <w:rFonts w:ascii="宋体" w:hAnsi="宋体"/>
                <w:b/>
                <w:sz w:val="24"/>
              </w:rPr>
            </w:pPr>
            <w:r>
              <w:rPr>
                <w:rFonts w:ascii="Calibri" w:hAnsi="宋体"/>
                <w:bCs/>
                <w:sz w:val="24"/>
              </w:rPr>
              <w:t>安装过程中发生的</w:t>
            </w:r>
            <w:r>
              <w:rPr>
                <w:rFonts w:hint="eastAsia" w:ascii="Calibri" w:hAnsi="宋体"/>
                <w:bCs/>
                <w:sz w:val="24"/>
              </w:rPr>
              <w:t>装卸、搬运和设备保险等</w:t>
            </w:r>
            <w:r>
              <w:rPr>
                <w:rFonts w:ascii="Calibri" w:hAnsi="宋体"/>
                <w:bCs/>
                <w:sz w:val="24"/>
              </w:rPr>
              <w:t>费用</w:t>
            </w:r>
            <w:r>
              <w:rPr>
                <w:rFonts w:hint="eastAsia" w:ascii="Calibri" w:hAnsi="宋体"/>
                <w:bCs/>
                <w:sz w:val="24"/>
              </w:rPr>
              <w:t>全部</w:t>
            </w:r>
            <w:r>
              <w:rPr>
                <w:rFonts w:ascii="Calibri" w:hAnsi="宋体"/>
                <w:bCs/>
                <w:sz w:val="24"/>
              </w:rPr>
              <w:t>由</w:t>
            </w:r>
            <w:r>
              <w:rPr>
                <w:rFonts w:hint="eastAsia" w:ascii="Calibri" w:hAnsi="宋体"/>
                <w:bCs/>
                <w:sz w:val="24"/>
              </w:rPr>
              <w:t>卖</w:t>
            </w:r>
            <w:r>
              <w:rPr>
                <w:rFonts w:ascii="Calibri" w:hAnsi="宋体"/>
                <w:bCs/>
                <w:sz w:val="24"/>
              </w:rPr>
              <w:t>方负责</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6</w:t>
            </w:r>
          </w:p>
        </w:tc>
        <w:tc>
          <w:tcPr>
            <w:tcW w:w="7461" w:type="dxa"/>
            <w:vAlign w:val="center"/>
          </w:tcPr>
          <w:p>
            <w:pPr>
              <w:spacing w:line="380" w:lineRule="exact"/>
              <w:rPr>
                <w:rFonts w:ascii="宋体" w:hAnsi="宋体"/>
                <w:b/>
                <w:sz w:val="24"/>
              </w:rPr>
            </w:pPr>
            <w:r>
              <w:rPr>
                <w:rFonts w:hint="eastAsia" w:ascii="宋体" w:hAnsi="宋体"/>
                <w:b/>
                <w:sz w:val="24"/>
              </w:rPr>
              <w:t>验收</w:t>
            </w:r>
            <w:r>
              <w:rPr>
                <w:rFonts w:hint="eastAsia" w:ascii="宋体" w:hAnsi="宋体"/>
                <w:b/>
                <w:sz w:val="24"/>
                <w:u w:val="single"/>
              </w:rPr>
              <w:t>（由验收部门视情况而定）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6.1</w:t>
            </w:r>
          </w:p>
        </w:tc>
        <w:tc>
          <w:tcPr>
            <w:tcW w:w="7461" w:type="dxa"/>
            <w:vAlign w:val="center"/>
          </w:tcPr>
          <w:p>
            <w:pPr>
              <w:spacing w:line="380" w:lineRule="exact"/>
              <w:rPr>
                <w:rFonts w:ascii="宋体" w:hAnsi="宋体"/>
                <w:b/>
                <w:sz w:val="24"/>
              </w:rPr>
            </w:pPr>
            <w:r>
              <w:rPr>
                <w:rFonts w:hint="eastAsia" w:ascii="Calibri" w:hAnsi="宋体"/>
                <w:sz w:val="24"/>
              </w:rPr>
              <w:t>如属计量器具、放射类设备，则卖方提供经买方认可的且具有资质的检测机构出具的计量、放射防护检测合格报告，检测费用包含在合同总价中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6.2</w:t>
            </w:r>
          </w:p>
        </w:tc>
        <w:tc>
          <w:tcPr>
            <w:tcW w:w="7461" w:type="dxa"/>
            <w:vAlign w:val="center"/>
          </w:tcPr>
          <w:p>
            <w:pPr>
              <w:spacing w:line="380" w:lineRule="exact"/>
              <w:rPr>
                <w:rFonts w:ascii="Calibri" w:hAnsi="宋体"/>
                <w:sz w:val="24"/>
              </w:rPr>
            </w:pPr>
            <w:r>
              <w:rPr>
                <w:rFonts w:hint="eastAsia" w:ascii="宋体" w:hAnsi="宋体"/>
                <w:sz w:val="24"/>
              </w:rPr>
              <w:t>货物应符合国家相关标准、采购文件的技术和商务要求，并根据合同条款逐项验收。买方对设备验收合格后，双方共同签署验收报告。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6.3</w:t>
            </w:r>
          </w:p>
        </w:tc>
        <w:tc>
          <w:tcPr>
            <w:tcW w:w="7461" w:type="dxa"/>
            <w:vAlign w:val="center"/>
          </w:tcPr>
          <w:p>
            <w:pPr>
              <w:spacing w:line="380" w:lineRule="exact"/>
              <w:rPr>
                <w:rFonts w:ascii="宋体" w:hAnsi="宋体"/>
                <w:b/>
                <w:sz w:val="24"/>
              </w:rPr>
            </w:pPr>
            <w:r>
              <w:rPr>
                <w:rFonts w:hint="eastAsia" w:ascii="Calibri" w:hAnsi="宋体"/>
                <w:sz w:val="24"/>
              </w:rPr>
              <w:t>验收过程中发现货物性能或功能达不到要求，卖方必须更换有关部件，使货物最终达到规定的性能指标和功能要求，但必须在发现问题后</w:t>
            </w:r>
            <w:r>
              <w:rPr>
                <w:rFonts w:hint="eastAsia" w:ascii="Calibri" w:hAnsi="宋体"/>
                <w:sz w:val="24"/>
                <w:u w:val="single"/>
              </w:rPr>
              <w:t>15个工作日</w:t>
            </w:r>
            <w:r>
              <w:rPr>
                <w:rFonts w:hint="eastAsia" w:ascii="Calibri" w:hAnsi="宋体"/>
                <w:sz w:val="24"/>
              </w:rPr>
              <w:t>内完成，如涉及虚假响应的，则按相关规定处理。货物安装完毕试运行正常</w:t>
            </w:r>
            <w:r>
              <w:rPr>
                <w:rFonts w:ascii="Calibri" w:hAnsi="宋体"/>
                <w:sz w:val="24"/>
              </w:rPr>
              <w:t>30</w:t>
            </w:r>
            <w:r>
              <w:rPr>
                <w:rFonts w:hint="eastAsia" w:ascii="Calibri" w:hAnsi="宋体"/>
                <w:sz w:val="24"/>
              </w:rPr>
              <w:t>个工作日，在</w:t>
            </w:r>
            <w:r>
              <w:rPr>
                <w:rFonts w:ascii="Calibri" w:hAnsi="宋体"/>
                <w:sz w:val="24"/>
              </w:rPr>
              <w:t>1</w:t>
            </w:r>
            <w:r>
              <w:rPr>
                <w:rFonts w:hint="eastAsia" w:ascii="Calibri" w:hAnsi="宋体"/>
                <w:sz w:val="24"/>
              </w:rPr>
              <w:t>周内双方签订验收报告。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8"/>
                <w:szCs w:val="28"/>
              </w:rPr>
              <w:t>7</w:t>
            </w:r>
          </w:p>
        </w:tc>
        <w:tc>
          <w:tcPr>
            <w:tcW w:w="7461" w:type="dxa"/>
            <w:vAlign w:val="center"/>
          </w:tcPr>
          <w:p>
            <w:pPr>
              <w:spacing w:line="380" w:lineRule="exact"/>
              <w:rPr>
                <w:rFonts w:ascii="宋体" w:hAnsi="宋体"/>
                <w:b/>
                <w:sz w:val="24"/>
              </w:rPr>
            </w:pPr>
            <w:r>
              <w:rPr>
                <w:rFonts w:hint="eastAsia" w:ascii="宋体" w:hAnsi="宋体"/>
                <w:b/>
                <w:sz w:val="24"/>
              </w:rPr>
              <w:t>培训</w:t>
            </w:r>
            <w:r>
              <w:rPr>
                <w:rFonts w:hint="eastAsia" w:ascii="宋体" w:hAnsi="宋体"/>
                <w:b/>
                <w:sz w:val="24"/>
                <w:u w:val="single"/>
              </w:rPr>
              <w:t>（由使用部门视情况而定）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7.1</w:t>
            </w:r>
          </w:p>
        </w:tc>
        <w:tc>
          <w:tcPr>
            <w:tcW w:w="7461" w:type="dxa"/>
            <w:vAlign w:val="center"/>
          </w:tcPr>
          <w:p>
            <w:pPr>
              <w:snapToGrid w:val="0"/>
              <w:rPr>
                <w:rFonts w:ascii="宋体" w:hAnsi="宋体"/>
                <w:bCs/>
                <w:sz w:val="24"/>
              </w:rPr>
            </w:pPr>
            <w:r>
              <w:rPr>
                <w:rFonts w:hint="eastAsia" w:ascii="宋体" w:hAnsi="宋体"/>
                <w:sz w:val="24"/>
              </w:rPr>
              <w:t>操作应用培训：卖方负责在医院现场提供累计不少于</w:t>
            </w:r>
            <w:r>
              <w:rPr>
                <w:rFonts w:ascii="宋体" w:hAnsi="宋体"/>
                <w:sz w:val="24"/>
                <w:u w:val="single"/>
              </w:rPr>
              <w:t>5</w:t>
            </w:r>
            <w:r>
              <w:rPr>
                <w:rFonts w:hint="eastAsia" w:ascii="宋体" w:hAnsi="宋体"/>
                <w:sz w:val="24"/>
                <w:u w:val="single"/>
              </w:rPr>
              <w:t>个工作日</w:t>
            </w:r>
            <w:r>
              <w:rPr>
                <w:rFonts w:hint="eastAsia" w:ascii="宋体" w:hAnsi="宋体"/>
                <w:sz w:val="24"/>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7.2</w:t>
            </w:r>
          </w:p>
        </w:tc>
        <w:tc>
          <w:tcPr>
            <w:tcW w:w="7461" w:type="dxa"/>
            <w:vAlign w:val="center"/>
          </w:tcPr>
          <w:p>
            <w:pPr>
              <w:snapToGrid w:val="0"/>
              <w:rPr>
                <w:rFonts w:ascii="宋体" w:hAnsi="宋体"/>
                <w:bCs/>
                <w:sz w:val="24"/>
              </w:rPr>
            </w:pPr>
            <w:r>
              <w:rPr>
                <w:rFonts w:hint="eastAsia" w:ascii="宋体" w:hAnsi="宋体"/>
                <w:sz w:val="24"/>
              </w:rPr>
              <w:t>维修保养培训：卖方负责在医院现场提供维修人员的培训，使医院维修工程人员掌握设备参数设置、日常保养、常见故障排除等技能。卖方须提供涵盖上述内容的培训资料。所有培训费用已含入总价中。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7.3</w:t>
            </w:r>
          </w:p>
        </w:tc>
        <w:tc>
          <w:tcPr>
            <w:tcW w:w="7461" w:type="dxa"/>
            <w:vAlign w:val="center"/>
          </w:tcPr>
          <w:p>
            <w:pPr>
              <w:snapToGrid w:val="0"/>
              <w:rPr>
                <w:rFonts w:ascii="宋体" w:hAnsi="宋体"/>
                <w:bCs/>
                <w:sz w:val="24"/>
              </w:rPr>
            </w:pPr>
            <w:r>
              <w:rPr>
                <w:rFonts w:hint="eastAsia" w:ascii="宋体" w:hAnsi="宋体"/>
                <w:sz w:val="24"/>
              </w:rPr>
              <w:t>培训完成后，卖方须提供详细培训记录，培训记录应有培训内容、参加人员（签字）、培训地点、培训时间以及操作人员考核情况。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7.4</w:t>
            </w:r>
          </w:p>
        </w:tc>
        <w:tc>
          <w:tcPr>
            <w:tcW w:w="7461" w:type="dxa"/>
            <w:vAlign w:val="center"/>
          </w:tcPr>
          <w:p>
            <w:pPr>
              <w:snapToGrid w:val="0"/>
              <w:rPr>
                <w:rFonts w:ascii="宋体" w:hAnsi="宋体"/>
                <w:bCs/>
                <w:sz w:val="24"/>
              </w:rPr>
            </w:pPr>
            <w:r>
              <w:rPr>
                <w:rFonts w:hint="eastAsia" w:ascii="宋体" w:hAnsi="宋体"/>
                <w:sz w:val="24"/>
              </w:rPr>
              <w:t>技能考核：卖方提供试题及考核评估方案，对医院操作人员和维修工程人员进行技能考核。考核完成后，卖方须提供详细考核记录，考核记录应有考核内容、参加人员（签字）、考核地点、考核时间以及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8</w:t>
            </w:r>
          </w:p>
        </w:tc>
        <w:tc>
          <w:tcPr>
            <w:tcW w:w="7461" w:type="dxa"/>
            <w:vAlign w:val="center"/>
          </w:tcPr>
          <w:p>
            <w:pPr>
              <w:spacing w:line="380" w:lineRule="exact"/>
              <w:rPr>
                <w:rFonts w:ascii="宋体" w:hAnsi="宋体"/>
                <w:b/>
                <w:sz w:val="24"/>
              </w:rPr>
            </w:pPr>
            <w:r>
              <w:rPr>
                <w:rFonts w:hint="eastAsia" w:ascii="宋体" w:hAnsi="宋体" w:cs="宋体"/>
                <w:b/>
                <w:kern w:val="0"/>
                <w:sz w:val="24"/>
              </w:rPr>
              <w:t>技术支持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8.1</w:t>
            </w:r>
          </w:p>
        </w:tc>
        <w:tc>
          <w:tcPr>
            <w:tcW w:w="7461" w:type="dxa"/>
            <w:vAlign w:val="center"/>
          </w:tcPr>
          <w:p>
            <w:pPr>
              <w:spacing w:line="380" w:lineRule="exact"/>
              <w:rPr>
                <w:rFonts w:ascii="宋体" w:hAnsi="宋体" w:cs="宋体"/>
                <w:kern w:val="0"/>
                <w:sz w:val="24"/>
              </w:rPr>
            </w:pPr>
            <w:r>
              <w:rPr>
                <w:rFonts w:hint="eastAsia" w:ascii="Calibri" w:hAnsi="宋体"/>
                <w:sz w:val="24"/>
              </w:rPr>
              <w:t>提供所有软件终生免费安装（含硬件更换后软件重新安装调试）、调试、维护服务。供应商负有网络安全防护义务，承诺无条件及时修复出现的安全漏洞，报价须包含软件升级费用。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8.2</w:t>
            </w:r>
          </w:p>
        </w:tc>
        <w:tc>
          <w:tcPr>
            <w:tcW w:w="7461" w:type="dxa"/>
            <w:vAlign w:val="center"/>
          </w:tcPr>
          <w:p>
            <w:pPr>
              <w:spacing w:line="380" w:lineRule="exact"/>
              <w:rPr>
                <w:rFonts w:ascii="宋体" w:hAnsi="宋体"/>
                <w:sz w:val="24"/>
              </w:rPr>
            </w:pPr>
            <w:r>
              <w:rPr>
                <w:rFonts w:hint="eastAsia" w:ascii="宋体" w:hAnsi="宋体"/>
                <w:sz w:val="24"/>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9</w:t>
            </w:r>
          </w:p>
        </w:tc>
        <w:tc>
          <w:tcPr>
            <w:tcW w:w="7461" w:type="dxa"/>
            <w:vAlign w:val="center"/>
          </w:tcPr>
          <w:p>
            <w:pPr>
              <w:spacing w:line="380" w:lineRule="exact"/>
              <w:rPr>
                <w:rFonts w:ascii="宋体" w:hAnsi="宋体"/>
                <w:b/>
                <w:sz w:val="24"/>
              </w:rPr>
            </w:pPr>
            <w:r>
              <w:rPr>
                <w:rFonts w:hint="eastAsia" w:ascii="宋体" w:hAnsi="宋体"/>
                <w:b/>
                <w:sz w:val="24"/>
              </w:rPr>
              <w:t>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9.1</w:t>
            </w:r>
          </w:p>
        </w:tc>
        <w:tc>
          <w:tcPr>
            <w:tcW w:w="7461" w:type="dxa"/>
            <w:vAlign w:val="center"/>
          </w:tcPr>
          <w:p>
            <w:pPr>
              <w:spacing w:line="380" w:lineRule="exact"/>
              <w:rPr>
                <w:rFonts w:ascii="宋体" w:hAnsi="宋体"/>
                <w:sz w:val="24"/>
              </w:rPr>
            </w:pPr>
            <w:r>
              <w:rPr>
                <w:rFonts w:hint="eastAsia" w:ascii="Calibri" w:hAnsi="宋体"/>
                <w:bCs/>
                <w:sz w:val="24"/>
              </w:rPr>
              <w:t>卖方所提供的产品应具有知识产权的合法产品，且卖</w:t>
            </w:r>
            <w:r>
              <w:rPr>
                <w:rFonts w:ascii="Calibri" w:hAnsi="宋体"/>
                <w:bCs/>
                <w:sz w:val="24"/>
              </w:rPr>
              <w:t>方保证所提供的</w:t>
            </w:r>
            <w:r>
              <w:rPr>
                <w:rFonts w:hint="eastAsia" w:ascii="Calibri" w:hAnsi="宋体"/>
                <w:bCs/>
                <w:sz w:val="24"/>
              </w:rPr>
              <w:t>设备</w:t>
            </w:r>
            <w:r>
              <w:rPr>
                <w:rFonts w:ascii="Calibri" w:hAnsi="宋体"/>
                <w:bCs/>
                <w:sz w:val="24"/>
              </w:rPr>
              <w:t>或其任何一部分均不会侵犯任何第三方的知识产权</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9.2</w:t>
            </w:r>
          </w:p>
        </w:tc>
        <w:tc>
          <w:tcPr>
            <w:tcW w:w="7461" w:type="dxa"/>
            <w:vAlign w:val="center"/>
          </w:tcPr>
          <w:p>
            <w:pPr>
              <w:spacing w:line="380" w:lineRule="exact"/>
              <w:rPr>
                <w:rFonts w:ascii="Calibri" w:hAnsi="宋体"/>
                <w:bCs/>
                <w:sz w:val="24"/>
              </w:rPr>
            </w:pPr>
            <w:r>
              <w:rPr>
                <w:rFonts w:ascii="Calibri" w:hAnsi="宋体"/>
                <w:bCs/>
                <w:sz w:val="24"/>
              </w:rPr>
              <w:t>卖方保证所交付的</w:t>
            </w:r>
            <w:r>
              <w:rPr>
                <w:rFonts w:hint="eastAsia" w:ascii="Calibri" w:hAnsi="宋体"/>
                <w:bCs/>
                <w:sz w:val="24"/>
              </w:rPr>
              <w:t>所有设备</w:t>
            </w:r>
            <w:r>
              <w:rPr>
                <w:rFonts w:ascii="Calibri" w:hAnsi="宋体"/>
                <w:bCs/>
                <w:sz w:val="24"/>
              </w:rPr>
              <w:t>的所有权完全属于卖方且无任何抵押、查封等产权瑕疵</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10</w:t>
            </w:r>
          </w:p>
        </w:tc>
        <w:tc>
          <w:tcPr>
            <w:tcW w:w="7461" w:type="dxa"/>
            <w:vAlign w:val="center"/>
          </w:tcPr>
          <w:p>
            <w:pPr>
              <w:spacing w:line="380" w:lineRule="exact"/>
              <w:rPr>
                <w:rFonts w:ascii="宋体" w:hAnsi="宋体"/>
                <w:sz w:val="24"/>
              </w:rPr>
            </w:pPr>
            <w:r>
              <w:rPr>
                <w:rFonts w:hint="eastAsia" w:ascii="宋体" w:hAnsi="宋体" w:cs="宋体"/>
                <w:b/>
                <w:kern w:val="0"/>
                <w:sz w:val="24"/>
              </w:rPr>
              <w:t>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10.1</w:t>
            </w:r>
          </w:p>
        </w:tc>
        <w:tc>
          <w:tcPr>
            <w:tcW w:w="7461" w:type="dxa"/>
            <w:vAlign w:val="center"/>
          </w:tcPr>
          <w:p>
            <w:pPr>
              <w:rPr>
                <w:rFonts w:ascii="宋体" w:hAnsi="宋体" w:cs="宋体"/>
                <w:sz w:val="24"/>
              </w:rPr>
            </w:pPr>
            <w:r>
              <w:rPr>
                <w:rFonts w:hint="eastAsia" w:ascii="宋体" w:hAnsi="宋体" w:cs="宋体"/>
                <w:sz w:val="24"/>
              </w:rPr>
              <w:t>1、签订合同时，供应商应向采购人支付预付款保函。采购人在收到预付款保函、合同生效且项目具备实施条件后支付合同金额的40%作为预付款；货物安装验收合格后付清余款。（适用中小企业投标）</w:t>
            </w:r>
          </w:p>
          <w:p>
            <w:pPr>
              <w:rPr>
                <w:rFonts w:ascii="宋体" w:hAnsi="宋体" w:cs="宋体"/>
                <w:sz w:val="24"/>
              </w:rPr>
            </w:pPr>
            <w:r>
              <w:rPr>
                <w:rFonts w:hint="eastAsia" w:ascii="宋体" w:hAnsi="宋体" w:cs="宋体"/>
                <w:sz w:val="24"/>
              </w:rPr>
              <w:t>2、合同生效且项目具备实施条件后，采购人支付合同金额的40%作为预付款；货物安装验收合格后付清余款。（适用中小企业投标）</w:t>
            </w:r>
          </w:p>
          <w:p>
            <w:pPr>
              <w:rPr>
                <w:rFonts w:ascii="宋体" w:hAnsi="宋体"/>
                <w:sz w:val="24"/>
              </w:rPr>
            </w:pPr>
            <w:r>
              <w:rPr>
                <w:rFonts w:hint="eastAsia" w:ascii="宋体" w:hAnsi="宋体" w:cs="宋体"/>
                <w:sz w:val="24"/>
              </w:rPr>
              <w:t>3、验收合格后付全款。（适用大型企业投标）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10.2</w:t>
            </w:r>
          </w:p>
        </w:tc>
        <w:tc>
          <w:tcPr>
            <w:tcW w:w="7461" w:type="dxa"/>
            <w:vAlign w:val="center"/>
          </w:tcPr>
          <w:p>
            <w:pPr>
              <w:widowControl/>
              <w:spacing w:before="100" w:beforeAutospacing="1" w:after="100" w:afterAutospacing="1"/>
              <w:rPr>
                <w:rFonts w:ascii="宋体" w:hAnsi="宋体"/>
                <w:b/>
                <w:sz w:val="24"/>
              </w:rPr>
            </w:pPr>
            <w:r>
              <w:rPr>
                <w:rFonts w:hint="eastAsia" w:ascii="宋体" w:hAnsi="宋体" w:cs="宋体"/>
                <w:sz w:val="24"/>
              </w:rPr>
              <w:t>在签订合同时，供应商明确表示无需预付款或者主动要求降低预付款比例的，不适用前述规定。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10.3</w:t>
            </w:r>
          </w:p>
        </w:tc>
        <w:tc>
          <w:tcPr>
            <w:tcW w:w="7461" w:type="dxa"/>
            <w:vAlign w:val="center"/>
          </w:tcPr>
          <w:p>
            <w:pPr>
              <w:rPr>
                <w:rFonts w:ascii="宋体" w:hAnsi="宋体" w:cs="宋体"/>
                <w:sz w:val="24"/>
              </w:rPr>
            </w:pPr>
            <w:r>
              <w:rPr>
                <w:rFonts w:ascii="宋体" w:hAnsi="宋体" w:cs="宋体"/>
                <w:sz w:val="24"/>
              </w:rPr>
              <w:t>签订合同后3日内，供应商交纳1%的履约保证金；履约保证金在</w:t>
            </w:r>
            <w:r>
              <w:rPr>
                <w:rFonts w:hint="eastAsia" w:ascii="宋体" w:hAnsi="宋体" w:cs="宋体"/>
                <w:sz w:val="24"/>
              </w:rPr>
              <w:t>保质</w:t>
            </w:r>
            <w:r>
              <w:rPr>
                <w:rFonts w:ascii="宋体" w:hAnsi="宋体" w:cs="宋体"/>
                <w:sz w:val="24"/>
              </w:rPr>
              <w:t>期满后（从项目整体验收合格之日算起）无质量问题、无售后服务问题并符合合同约定，无息退还。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11</w:t>
            </w:r>
          </w:p>
        </w:tc>
        <w:tc>
          <w:tcPr>
            <w:tcW w:w="7461" w:type="dxa"/>
            <w:vAlign w:val="center"/>
          </w:tcPr>
          <w:p>
            <w:pPr>
              <w:widowControl/>
              <w:spacing w:before="100" w:beforeAutospacing="1" w:after="100" w:afterAutospacing="1"/>
              <w:rPr>
                <w:rFonts w:ascii="宋体" w:hAnsi="宋体"/>
                <w:b/>
                <w:sz w:val="24"/>
              </w:rPr>
            </w:pPr>
            <w:r>
              <w:rPr>
                <w:rFonts w:hint="eastAsia" w:ascii="宋体" w:hAnsi="宋体" w:cs="宋体"/>
                <w:b/>
                <w:color w:val="000000"/>
                <w:kern w:val="0"/>
                <w:sz w:val="24"/>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11.1</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若设备有信息系统接口，则全部免费开放，并无条件配合采购人接入信息管理网络系统。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11.2</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采购文件中未提及的某些属标配的功能、软件，必须无条件提供。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11.3</w:t>
            </w:r>
          </w:p>
        </w:tc>
        <w:tc>
          <w:tcPr>
            <w:tcW w:w="7461" w:type="dxa"/>
            <w:vAlign w:val="center"/>
          </w:tcPr>
          <w:p>
            <w:pPr>
              <w:widowControl/>
              <w:spacing w:before="100" w:beforeAutospacing="1" w:after="100" w:afterAutospacing="1"/>
              <w:rPr>
                <w:rFonts w:ascii="宋体" w:hAnsi="宋体"/>
                <w:sz w:val="24"/>
              </w:rPr>
            </w:pPr>
            <w:r>
              <w:rPr>
                <w:rFonts w:hint="eastAsia" w:ascii="宋体" w:hAnsi="宋体"/>
                <w:b/>
                <w:bCs/>
                <w:color w:val="000000" w:themeColor="text1"/>
                <w:sz w:val="24"/>
                <w14:textFill>
                  <w14:solidFill>
                    <w14:schemeClr w14:val="tx1"/>
                  </w14:solidFill>
                </w14:textFill>
              </w:rPr>
              <w:t>本项目允许进口产品参与投标。</w:t>
            </w:r>
          </w:p>
        </w:tc>
      </w:tr>
    </w:tbl>
    <w:p>
      <w:pPr>
        <w:spacing w:line="360" w:lineRule="auto"/>
        <w:rPr>
          <w:rFonts w:ascii="Calibri" w:hAnsi="Calibri"/>
          <w:b/>
          <w:color w:val="auto"/>
          <w:sz w:val="24"/>
        </w:rPr>
      </w:pPr>
    </w:p>
    <w:p>
      <w:pPr>
        <w:spacing w:line="360" w:lineRule="auto"/>
        <w:rPr>
          <w:rFonts w:ascii="Calibri" w:hAnsi="Calibri"/>
          <w:b/>
          <w:color w:val="auto"/>
          <w:sz w:val="24"/>
        </w:rPr>
      </w:pPr>
      <w:r>
        <w:rPr>
          <w:rFonts w:hint="eastAsia" w:ascii="Calibri" w:hAnsi="Calibri"/>
          <w:b/>
          <w:color w:val="auto"/>
          <w:sz w:val="24"/>
        </w:rPr>
        <w:t>五、其他要求</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带“★”号项为实质性响应要求，如不满足将作无效投标处理。针对带“★”号技术参数要求，供应商需提供充分的证明材料，未提供充分证明材料的，评审委员会有权视为不满足采购文件要求。证明材料可以是以下四项中任一项：</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1）生产制造商公开对外宣传的带有响应技术参数或功能的产品彩页，为响应而临时打印的无效。</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2）加盖生产制造商公章的技术白皮书。</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3）可在生产制造商官网查询到的产品技术参数或功能，需提供官网截图和网址等信息。</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4）评审委员会认可的其他有效证明（包括但不限于第三方检测报告、加盖生产制造商的证明材料等）。</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2、针对“★”提供满足技术参数的佐证资料并在偏离表中标明佐证资料页码。</w:t>
      </w: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r>
        <w:rPr>
          <w:rFonts w:hint="eastAsia" w:ascii="宋体" w:hAnsi="宋体"/>
          <w:color w:val="000000" w:themeColor="text1"/>
          <w:spacing w:val="-4"/>
          <w:sz w:val="28"/>
          <w:szCs w:val="28"/>
          <w:lang w:eastAsia="zh-CN"/>
          <w14:textFill>
            <w14:solidFill>
              <w14:schemeClr w14:val="tx1"/>
            </w14:solidFill>
          </w14:textFill>
        </w:rPr>
        <w:t>标二：</w:t>
      </w:r>
    </w:p>
    <w:p>
      <w:pPr>
        <w:rPr>
          <w:rFonts w:ascii="宋体" w:hAnsi="宋体"/>
          <w:b/>
          <w:sz w:val="28"/>
          <w:szCs w:val="28"/>
        </w:rPr>
      </w:pPr>
      <w:r>
        <w:rPr>
          <w:rFonts w:hint="eastAsia" w:ascii="宋体" w:hAnsi="宋体"/>
          <w:b/>
          <w:sz w:val="28"/>
          <w:szCs w:val="28"/>
        </w:rPr>
        <w:t>一、采购内容：</w:t>
      </w:r>
    </w:p>
    <w:tbl>
      <w:tblPr>
        <w:tblStyle w:val="65"/>
        <w:tblW w:w="8527"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6"/>
        <w:gridCol w:w="1977"/>
        <w:gridCol w:w="1830"/>
        <w:gridCol w:w="1972"/>
        <w:gridCol w:w="17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01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标项号</w:t>
            </w:r>
          </w:p>
        </w:tc>
        <w:tc>
          <w:tcPr>
            <w:tcW w:w="197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采购内容</w:t>
            </w: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hint="default" w:asciiTheme="minorEastAsia" w:hAnsiTheme="minorEastAsia" w:eastAsiaTheme="minorEastAsia" w:cstheme="minorEastAsia"/>
                <w:spacing w:val="-4"/>
                <w:sz w:val="24"/>
                <w:lang w:val="en-US" w:eastAsia="zh-CN"/>
              </w:rPr>
            </w:pPr>
            <w:r>
              <w:rPr>
                <w:rFonts w:hint="eastAsia" w:asciiTheme="minorEastAsia" w:hAnsiTheme="minorEastAsia" w:eastAsiaTheme="minorEastAsia" w:cstheme="minorEastAsia"/>
                <w:color w:val="auto"/>
                <w:spacing w:val="-4"/>
                <w:sz w:val="24"/>
              </w:rPr>
              <w:t>数量</w:t>
            </w:r>
            <w:r>
              <w:rPr>
                <w:rFonts w:hint="eastAsia" w:asciiTheme="minorEastAsia" w:hAnsiTheme="minorEastAsia" w:eastAsiaTheme="minorEastAsia" w:cstheme="minorEastAsia"/>
                <w:color w:val="auto"/>
                <w:spacing w:val="-4"/>
                <w:sz w:val="24"/>
                <w:lang w:val="en-US" w:eastAsia="zh-CN"/>
              </w:rPr>
              <w:t>及单位</w:t>
            </w:r>
          </w:p>
        </w:tc>
        <w:tc>
          <w:tcPr>
            <w:tcW w:w="197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z w:val="24"/>
              </w:rPr>
              <w:t>总金额（万元）</w:t>
            </w:r>
          </w:p>
        </w:tc>
        <w:tc>
          <w:tcPr>
            <w:tcW w:w="173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是否允许进口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16" w:type="dxa"/>
            <w:tcBorders>
              <w:top w:val="single" w:color="auto" w:sz="4" w:space="0"/>
              <w:left w:val="single" w:color="auto" w:sz="4" w:space="0"/>
              <w:bottom w:val="single" w:color="auto" w:sz="4" w:space="0"/>
              <w:right w:val="single" w:color="auto" w:sz="4" w:space="0"/>
            </w:tcBorders>
            <w:vAlign w:val="center"/>
          </w:tcPr>
          <w:p>
            <w:pPr>
              <w:pStyle w:val="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77" w:type="dxa"/>
            <w:tcBorders>
              <w:top w:val="single" w:color="auto" w:sz="4" w:space="0"/>
              <w:left w:val="single" w:color="auto" w:sz="4" w:space="0"/>
              <w:bottom w:val="single" w:color="auto" w:sz="4" w:space="0"/>
              <w:right w:val="single" w:color="auto" w:sz="4" w:space="0"/>
            </w:tcBorders>
            <w:vAlign w:val="center"/>
          </w:tcPr>
          <w:p>
            <w:pPr>
              <w:adjustRightInd/>
              <w:rPr>
                <w:szCs w:val="21"/>
              </w:rPr>
            </w:pPr>
            <w:r>
              <w:rPr>
                <w:rFonts w:hint="eastAsia" w:ascii="宋体" w:hAnsi="宋体"/>
                <w:szCs w:val="21"/>
              </w:rPr>
              <w:t>肺功能测试系统</w:t>
            </w:r>
          </w:p>
          <w:p>
            <w:pPr>
              <w:jc w:val="center"/>
              <w:rPr>
                <w:rFonts w:asciiTheme="minorEastAsia" w:hAnsiTheme="minorEastAsia" w:eastAsiaTheme="minorEastAsia" w:cstheme="minorEastAsia"/>
                <w:bCs/>
                <w:sz w:val="24"/>
              </w:rPr>
            </w:pP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1套</w:t>
            </w:r>
          </w:p>
        </w:tc>
        <w:tc>
          <w:tcPr>
            <w:tcW w:w="1972" w:type="dxa"/>
            <w:tcBorders>
              <w:top w:val="single" w:color="auto" w:sz="4" w:space="0"/>
              <w:left w:val="single" w:color="auto" w:sz="4" w:space="0"/>
              <w:bottom w:val="single" w:color="auto" w:sz="4" w:space="0"/>
              <w:right w:val="single" w:color="auto" w:sz="4" w:space="0"/>
            </w:tcBorders>
            <w:vAlign w:val="center"/>
          </w:tcPr>
          <w:p>
            <w:pPr>
              <w:pStyle w:val="334"/>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80</w:t>
            </w:r>
          </w:p>
        </w:tc>
        <w:tc>
          <w:tcPr>
            <w:tcW w:w="1732" w:type="dxa"/>
            <w:tcBorders>
              <w:top w:val="single" w:color="auto" w:sz="4" w:space="0"/>
              <w:left w:val="single" w:color="auto" w:sz="4" w:space="0"/>
              <w:bottom w:val="single" w:color="auto" w:sz="4" w:space="0"/>
              <w:right w:val="single" w:color="auto" w:sz="4" w:space="0"/>
            </w:tcBorders>
            <w:vAlign w:val="center"/>
          </w:tcPr>
          <w:p>
            <w:pPr>
              <w:pStyle w:val="334"/>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是</w:t>
            </w:r>
          </w:p>
        </w:tc>
      </w:tr>
    </w:tbl>
    <w:p>
      <w:pPr>
        <w:rPr>
          <w:rFonts w:hint="eastAsia" w:ascii="宋体" w:hAnsi="宋体"/>
          <w:b/>
          <w:sz w:val="28"/>
          <w:szCs w:val="28"/>
        </w:rPr>
      </w:pPr>
    </w:p>
    <w:p>
      <w:pPr>
        <w:rPr>
          <w:rFonts w:ascii="宋体" w:hAnsi="宋体"/>
          <w:b/>
          <w:sz w:val="28"/>
          <w:szCs w:val="28"/>
        </w:rPr>
      </w:pPr>
      <w:r>
        <w:rPr>
          <w:rFonts w:hint="eastAsia" w:ascii="宋体" w:hAnsi="宋体"/>
          <w:b/>
          <w:sz w:val="28"/>
          <w:szCs w:val="28"/>
        </w:rPr>
        <w:t>二、技术参数要求</w:t>
      </w:r>
    </w:p>
    <w:tbl>
      <w:tblPr>
        <w:tblStyle w:val="65"/>
        <w:tblW w:w="85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01"/>
        <w:gridCol w:w="749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vAlign w:val="center"/>
          </w:tcPr>
          <w:p>
            <w:pPr>
              <w:jc w:val="center"/>
              <w:rPr>
                <w:b/>
                <w:sz w:val="20"/>
              </w:rPr>
            </w:pPr>
            <w:r>
              <w:rPr>
                <w:rFonts w:hAnsi="宋体"/>
                <w:b/>
                <w:sz w:val="20"/>
              </w:rPr>
              <w:t>序号</w:t>
            </w:r>
          </w:p>
        </w:tc>
        <w:tc>
          <w:tcPr>
            <w:tcW w:w="7490" w:type="dxa"/>
            <w:tcBorders>
              <w:right w:val="single" w:color="auto" w:sz="4" w:space="0"/>
            </w:tcBorders>
            <w:vAlign w:val="center"/>
          </w:tcPr>
          <w:p>
            <w:pPr>
              <w:jc w:val="center"/>
              <w:rPr>
                <w:b/>
                <w:sz w:val="20"/>
              </w:rPr>
            </w:pPr>
            <w:r>
              <w:rPr>
                <w:rFonts w:hint="eastAsia" w:hAnsi="宋体"/>
                <w:b/>
                <w:sz w:val="20"/>
              </w:rPr>
              <w:t>详细要求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tcPr>
          <w:p>
            <w:pPr>
              <w:spacing w:after="100" w:afterAutospacing="1"/>
              <w:jc w:val="center"/>
              <w:rPr>
                <w:rFonts w:ascii="宋体" w:hAnsi="宋体"/>
                <w:b/>
                <w:bCs/>
                <w:kern w:val="0"/>
                <w:sz w:val="20"/>
                <w:lang w:val="zh-CN"/>
              </w:rPr>
            </w:pPr>
            <w:r>
              <w:rPr>
                <w:rFonts w:ascii="宋体" w:hAnsi="宋体"/>
                <w:b/>
                <w:bCs/>
                <w:color w:val="242424"/>
                <w:kern w:val="0"/>
                <w:sz w:val="20"/>
                <w:lang w:val="zh-CN"/>
              </w:rPr>
              <w:t>一</w:t>
            </w:r>
          </w:p>
        </w:tc>
        <w:tc>
          <w:tcPr>
            <w:tcW w:w="7490" w:type="dxa"/>
            <w:tcBorders>
              <w:right w:val="single" w:color="auto" w:sz="4" w:space="0"/>
            </w:tcBorders>
          </w:tcPr>
          <w:p>
            <w:pPr>
              <w:spacing w:after="100" w:afterAutospacing="1"/>
              <w:jc w:val="left"/>
              <w:rPr>
                <w:rFonts w:ascii="宋体" w:hAnsi="宋体"/>
                <w:b/>
                <w:sz w:val="20"/>
              </w:rPr>
            </w:pPr>
            <w:r>
              <w:rPr>
                <w:rFonts w:hint="eastAsia" w:ascii="宋体" w:hAnsi="宋体"/>
                <w:b/>
                <w:color w:val="242424"/>
                <w:sz w:val="20"/>
              </w:rPr>
              <w:t>功能要求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vAlign w:val="center"/>
          </w:tcPr>
          <w:p>
            <w:pPr>
              <w:spacing w:after="100" w:afterAutospacing="1"/>
              <w:jc w:val="center"/>
              <w:rPr>
                <w:rFonts w:ascii="宋体" w:hAnsi="宋体"/>
                <w:b/>
                <w:bCs/>
                <w:kern w:val="0"/>
                <w:sz w:val="20"/>
                <w:lang w:val="zh-CN"/>
              </w:rPr>
            </w:pPr>
            <w:r>
              <w:rPr>
                <w:rFonts w:ascii="宋体" w:hAnsi="宋体"/>
                <w:b/>
                <w:bCs/>
                <w:color w:val="242424"/>
                <w:kern w:val="0"/>
                <w:sz w:val="20"/>
                <w:lang w:val="zh-CN"/>
              </w:rPr>
              <w:t>1</w:t>
            </w:r>
          </w:p>
        </w:tc>
        <w:tc>
          <w:tcPr>
            <w:tcW w:w="7490" w:type="dxa"/>
            <w:tcBorders>
              <w:right w:val="single" w:color="auto" w:sz="4" w:space="0"/>
            </w:tcBorders>
            <w:vAlign w:val="center"/>
          </w:tcPr>
          <w:p>
            <w:pPr>
              <w:rPr>
                <w:rFonts w:ascii="宋体" w:hAnsi="宋体"/>
                <w:b/>
                <w:bCs/>
                <w:kern w:val="0"/>
                <w:sz w:val="20"/>
                <w:lang w:val="zh-CN"/>
              </w:rPr>
            </w:pPr>
            <w:r>
              <w:rPr>
                <w:rFonts w:hint="eastAsia" w:ascii="宋体" w:hAnsi="宋体"/>
                <w:b/>
                <w:bCs/>
                <w:color w:val="242424"/>
                <w:kern w:val="0"/>
                <w:sz w:val="20"/>
                <w:lang w:val="zh-CN"/>
              </w:rPr>
              <w:t xml:space="preserve">测定功能要求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101" w:type="dxa"/>
            <w:vAlign w:val="center"/>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1.1</w:t>
            </w:r>
          </w:p>
        </w:tc>
        <w:tc>
          <w:tcPr>
            <w:tcW w:w="7490" w:type="dxa"/>
            <w:tcBorders>
              <w:right w:val="single" w:color="auto" w:sz="4" w:space="0"/>
            </w:tcBorders>
            <w:vAlign w:val="center"/>
          </w:tcPr>
          <w:p>
            <w:pPr>
              <w:rPr>
                <w:rFonts w:ascii="宋体" w:hAnsi="宋体"/>
                <w:b/>
                <w:bCs/>
                <w:kern w:val="0"/>
                <w:sz w:val="20"/>
                <w:szCs w:val="21"/>
                <w:lang w:val="zh-CN"/>
              </w:rPr>
            </w:pPr>
            <w:r>
              <w:rPr>
                <w:rFonts w:hint="eastAsia" w:ascii="宋体" w:hAnsi="宋体"/>
                <w:b/>
                <w:bCs/>
                <w:color w:val="242424"/>
                <w:kern w:val="0"/>
                <w:sz w:val="20"/>
                <w:szCs w:val="21"/>
                <w:lang w:val="zh-CN"/>
              </w:rPr>
              <w:t>肺通气功能检查</w:t>
            </w:r>
            <w:r>
              <w:rPr>
                <w:rFonts w:ascii="宋体" w:hAnsi="宋体"/>
                <w:color w:val="242424"/>
                <w:kern w:val="0"/>
                <w:sz w:val="20"/>
                <w:szCs w:val="21"/>
                <w:lang w:val="zh-CN"/>
              </w:rPr>
              <w:t>，包括：流速容量环；潮气量；呼吸频率；最大肺活量；用力肺活量； 一秒量；二秒量；三秒量；一秒率；通气量； 深吸气量；补呼气量；补吸气量；吸气峰值流速；呼气峰值流速；吸气肺活量；呼气肺活量；最大通气量等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101" w:type="dxa"/>
            <w:shd w:val="clear" w:color="auto" w:fill="auto"/>
            <w:vAlign w:val="center"/>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1.2</w:t>
            </w:r>
          </w:p>
        </w:tc>
        <w:tc>
          <w:tcPr>
            <w:tcW w:w="7490" w:type="dxa"/>
            <w:tcBorders>
              <w:right w:val="single" w:color="auto" w:sz="4" w:space="0"/>
            </w:tcBorders>
            <w:shd w:val="clear" w:color="auto" w:fill="auto"/>
            <w:vAlign w:val="center"/>
          </w:tcPr>
          <w:p>
            <w:pPr>
              <w:rPr>
                <w:rFonts w:ascii="宋体" w:hAnsi="宋体"/>
                <w:b/>
                <w:bCs/>
                <w:kern w:val="0"/>
                <w:sz w:val="20"/>
                <w:szCs w:val="21"/>
                <w:lang w:val="zh-CN"/>
              </w:rPr>
            </w:pPr>
            <w:r>
              <w:rPr>
                <w:rFonts w:hint="eastAsia" w:ascii="宋体" w:hAnsi="宋体"/>
                <w:b/>
                <w:bCs/>
                <w:color w:val="242424"/>
                <w:kern w:val="0"/>
                <w:sz w:val="20"/>
                <w:szCs w:val="21"/>
                <w:lang w:val="zh-CN"/>
              </w:rPr>
              <w:t>实时快速一口气气体稀释法残气测定</w:t>
            </w:r>
            <w:r>
              <w:rPr>
                <w:rFonts w:ascii="宋体" w:hAnsi="宋体"/>
                <w:color w:val="242424"/>
                <w:kern w:val="0"/>
                <w:sz w:val="20"/>
                <w:szCs w:val="21"/>
                <w:lang w:val="zh-CN"/>
              </w:rPr>
              <w:t>，包括RV残气量、FRC功能残气量、TLC肺总量、残总比等等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66" w:hRule="exact"/>
        </w:trPr>
        <w:tc>
          <w:tcPr>
            <w:tcW w:w="1101" w:type="dxa"/>
            <w:shd w:val="clear" w:color="auto" w:fill="auto"/>
            <w:vAlign w:val="center"/>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1.3</w:t>
            </w:r>
          </w:p>
        </w:tc>
        <w:tc>
          <w:tcPr>
            <w:tcW w:w="7490" w:type="dxa"/>
            <w:tcBorders>
              <w:right w:val="single" w:color="auto" w:sz="4" w:space="0"/>
            </w:tcBorders>
            <w:shd w:val="clear" w:color="auto" w:fill="auto"/>
            <w:vAlign w:val="center"/>
          </w:tcPr>
          <w:p>
            <w:pPr>
              <w:rPr>
                <w:rFonts w:ascii="宋体" w:hAnsi="宋体"/>
                <w:b/>
                <w:bCs/>
                <w:kern w:val="0"/>
                <w:sz w:val="20"/>
                <w:szCs w:val="21"/>
                <w:lang w:val="zh-CN"/>
              </w:rPr>
            </w:pPr>
            <w:r>
              <w:rPr>
                <w:rFonts w:hint="eastAsia" w:ascii="宋体" w:hAnsi="宋体"/>
                <w:b/>
                <w:bCs/>
                <w:color w:val="242424"/>
                <w:kern w:val="0"/>
                <w:sz w:val="20"/>
                <w:szCs w:val="21"/>
                <w:lang w:val="zh-CN"/>
              </w:rPr>
              <w:t>实时快速一口气法弥散功能检查</w:t>
            </w:r>
            <w:r>
              <w:rPr>
                <w:rFonts w:ascii="宋体" w:hAnsi="宋体"/>
                <w:color w:val="242424"/>
                <w:kern w:val="0"/>
                <w:sz w:val="20"/>
                <w:szCs w:val="21"/>
                <w:lang w:val="zh-CN"/>
              </w:rPr>
              <w:t>，包括一氧化碳法TLCOSB弥散量；COHb血红蛋白校正弥散量； KCO弥散率； TLCORB弥散量；FI-CO吸入CO浓度；FRC/TLC功能/肺总量；TLCOC校准(膜)弥散量； VA肺泡通气量；KCOC校准(膜)弥散率；FA-CO呼出CO浓度等等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7" w:hRule="exact"/>
        </w:trPr>
        <w:tc>
          <w:tcPr>
            <w:tcW w:w="1101" w:type="dxa"/>
            <w:shd w:val="clear" w:color="auto" w:fill="auto"/>
            <w:vAlign w:val="center"/>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1.4</w:t>
            </w:r>
          </w:p>
        </w:tc>
        <w:tc>
          <w:tcPr>
            <w:tcW w:w="7490" w:type="dxa"/>
            <w:tcBorders>
              <w:right w:val="single" w:color="auto" w:sz="4" w:space="0"/>
            </w:tcBorders>
            <w:shd w:val="clear" w:color="auto" w:fill="auto"/>
            <w:vAlign w:val="center"/>
          </w:tcPr>
          <w:p>
            <w:pPr>
              <w:rPr>
                <w:rFonts w:ascii="宋体" w:hAnsi="宋体"/>
                <w:b/>
                <w:bCs/>
                <w:kern w:val="0"/>
                <w:sz w:val="20"/>
                <w:szCs w:val="21"/>
                <w:lang w:val="zh-CN"/>
              </w:rPr>
            </w:pPr>
            <w:r>
              <w:rPr>
                <w:rFonts w:hint="eastAsia" w:ascii="宋体" w:hAnsi="宋体"/>
                <w:b/>
                <w:bCs/>
                <w:color w:val="242424"/>
                <w:kern w:val="0"/>
                <w:sz w:val="20"/>
                <w:szCs w:val="21"/>
                <w:lang w:val="zh-CN"/>
              </w:rPr>
              <w:t>内呼吸法快速弥散功能检查</w:t>
            </w:r>
            <w:r>
              <w:rPr>
                <w:rFonts w:ascii="宋体" w:hAnsi="宋体"/>
                <w:color w:val="242424"/>
                <w:kern w:val="0"/>
                <w:sz w:val="20"/>
                <w:szCs w:val="21"/>
                <w:lang w:val="zh-CN"/>
              </w:rPr>
              <w:t>，无需屏气，包括一氧化碳法TLCOSB弥散量；COHb血红蛋白校正弥散量； KCO弥散率；；TLCORB弥散量；FI-CO吸入CO浓度；FRC/TLC功能/肺总量；TLCOC校准(膜)弥散量； VA肺泡通气量；KCOC校准(膜)弥散率；FA-CO呼出CO浓度等等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1" w:hRule="exact"/>
        </w:trPr>
        <w:tc>
          <w:tcPr>
            <w:tcW w:w="1101" w:type="dxa"/>
            <w:shd w:val="clear" w:color="auto" w:fill="auto"/>
            <w:vAlign w:val="center"/>
          </w:tcPr>
          <w:p>
            <w:pPr>
              <w:spacing w:after="100" w:afterAutospacing="1"/>
              <w:jc w:val="center"/>
              <w:rPr>
                <w:rFonts w:ascii="宋体" w:hAnsi="宋体"/>
                <w:kern w:val="0"/>
                <w:sz w:val="20"/>
                <w:szCs w:val="21"/>
              </w:rPr>
            </w:pPr>
            <w:r>
              <w:rPr>
                <w:rFonts w:ascii="宋体" w:hAnsi="宋体"/>
                <w:color w:val="242424"/>
                <w:kern w:val="0"/>
                <w:sz w:val="20"/>
                <w:szCs w:val="21"/>
              </w:rPr>
              <w:t>1.5</w:t>
            </w:r>
          </w:p>
        </w:tc>
        <w:tc>
          <w:tcPr>
            <w:tcW w:w="7490" w:type="dxa"/>
            <w:tcBorders>
              <w:right w:val="single" w:color="auto" w:sz="4" w:space="0"/>
            </w:tcBorders>
            <w:shd w:val="clear" w:color="auto" w:fill="auto"/>
          </w:tcPr>
          <w:p>
            <w:pPr>
              <w:rPr>
                <w:rFonts w:ascii="宋体" w:hAnsi="宋体"/>
                <w:b/>
                <w:bCs/>
                <w:kern w:val="0"/>
                <w:sz w:val="20"/>
                <w:szCs w:val="21"/>
                <w:lang w:val="zh-CN"/>
              </w:rPr>
            </w:pPr>
            <w:r>
              <w:rPr>
                <w:rFonts w:hint="eastAsia" w:ascii="宋体" w:hAnsi="宋体"/>
                <w:b/>
                <w:bCs/>
                <w:color w:val="242424"/>
                <w:kern w:val="0"/>
                <w:sz w:val="20"/>
                <w:szCs w:val="21"/>
                <w:lang w:val="zh-CN"/>
              </w:rPr>
              <w:t>适合不易配合患者的残气弥散测定。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101" w:type="dxa"/>
            <w:shd w:val="clear" w:color="auto" w:fill="auto"/>
            <w:vAlign w:val="center"/>
          </w:tcPr>
          <w:p>
            <w:pPr>
              <w:spacing w:after="100" w:afterAutospacing="1"/>
              <w:jc w:val="center"/>
              <w:rPr>
                <w:rFonts w:ascii="宋体" w:hAnsi="宋体"/>
                <w:kern w:val="0"/>
                <w:sz w:val="20"/>
                <w:szCs w:val="21"/>
              </w:rPr>
            </w:pPr>
            <w:r>
              <w:rPr>
                <w:rFonts w:ascii="宋体" w:hAnsi="宋体"/>
                <w:color w:val="242424"/>
                <w:kern w:val="0"/>
                <w:sz w:val="20"/>
                <w:szCs w:val="21"/>
              </w:rPr>
              <w:t>1.5.1</w:t>
            </w:r>
          </w:p>
        </w:tc>
        <w:tc>
          <w:tcPr>
            <w:tcW w:w="7490" w:type="dxa"/>
            <w:tcBorders>
              <w:right w:val="single" w:color="auto" w:sz="4" w:space="0"/>
            </w:tcBorders>
            <w:shd w:val="clear" w:color="auto" w:fill="auto"/>
          </w:tcPr>
          <w:p>
            <w:pPr>
              <w:rPr>
                <w:rFonts w:ascii="宋体" w:hAnsi="宋体"/>
                <w:b/>
                <w:bCs/>
                <w:kern w:val="0"/>
                <w:sz w:val="20"/>
                <w:szCs w:val="21"/>
                <w:lang w:val="zh-CN"/>
              </w:rPr>
            </w:pPr>
            <w:r>
              <w:rPr>
                <w:rFonts w:hint="eastAsia" w:ascii="宋体" w:hAnsi="宋体"/>
                <w:b/>
                <w:bCs/>
                <w:color w:val="242424"/>
                <w:kern w:val="0"/>
                <w:sz w:val="20"/>
                <w:szCs w:val="21"/>
                <w:lang w:val="zh-CN"/>
              </w:rPr>
              <w:t>重复呼吸法He稀释法残气检查</w:t>
            </w:r>
            <w:r>
              <w:rPr>
                <w:rFonts w:hint="eastAsia" w:ascii="宋体" w:hAnsi="宋体"/>
                <w:color w:val="242424"/>
                <w:kern w:val="0"/>
                <w:sz w:val="20"/>
                <w:szCs w:val="21"/>
                <w:lang w:val="zh-CN"/>
              </w:rPr>
              <w:t>，</w:t>
            </w:r>
            <w:r>
              <w:rPr>
                <w:rFonts w:hint="eastAsia" w:ascii="宋体" w:hAnsi="宋体"/>
                <w:color w:val="242424"/>
                <w:kern w:val="0"/>
                <w:sz w:val="20"/>
                <w:szCs w:val="20"/>
                <w:lang w:val="zh-CN"/>
              </w:rPr>
              <w:t>包括RV-He残气量、FRC-He功能残气量、TLC-He肺总量、残总比等等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20" w:hRule="exact"/>
        </w:trPr>
        <w:tc>
          <w:tcPr>
            <w:tcW w:w="1101" w:type="dxa"/>
            <w:shd w:val="clear" w:color="auto" w:fill="auto"/>
            <w:vAlign w:val="center"/>
          </w:tcPr>
          <w:p>
            <w:pPr>
              <w:spacing w:after="100" w:afterAutospacing="1"/>
              <w:jc w:val="center"/>
              <w:rPr>
                <w:rFonts w:ascii="宋体" w:hAnsi="宋体"/>
                <w:kern w:val="0"/>
                <w:sz w:val="20"/>
                <w:szCs w:val="21"/>
              </w:rPr>
            </w:pPr>
            <w:r>
              <w:rPr>
                <w:rFonts w:ascii="宋体" w:hAnsi="宋体"/>
                <w:color w:val="242424"/>
                <w:kern w:val="0"/>
                <w:sz w:val="20"/>
                <w:szCs w:val="21"/>
              </w:rPr>
              <w:t>1.5.2</w:t>
            </w:r>
          </w:p>
        </w:tc>
        <w:tc>
          <w:tcPr>
            <w:tcW w:w="7490" w:type="dxa"/>
            <w:tcBorders>
              <w:right w:val="single" w:color="auto" w:sz="4" w:space="0"/>
            </w:tcBorders>
            <w:shd w:val="clear" w:color="auto" w:fill="auto"/>
          </w:tcPr>
          <w:p>
            <w:pPr>
              <w:rPr>
                <w:rFonts w:ascii="宋体" w:hAnsi="宋体"/>
                <w:b/>
                <w:bCs/>
                <w:kern w:val="0"/>
                <w:sz w:val="20"/>
                <w:szCs w:val="21"/>
              </w:rPr>
            </w:pPr>
            <w:r>
              <w:rPr>
                <w:rFonts w:hint="eastAsia" w:ascii="宋体" w:hAnsi="宋体"/>
                <w:b/>
                <w:bCs/>
                <w:color w:val="242424"/>
                <w:kern w:val="0"/>
                <w:sz w:val="20"/>
                <w:szCs w:val="21"/>
              </w:rPr>
              <w:t>重复呼吸法标准CO法弥散功能检查，</w:t>
            </w:r>
            <w:r>
              <w:rPr>
                <w:rFonts w:hint="eastAsia" w:ascii="宋体" w:hAnsi="宋体"/>
                <w:color w:val="242424"/>
                <w:kern w:val="0"/>
                <w:sz w:val="20"/>
                <w:szCs w:val="20"/>
                <w:lang w:val="zh-CN"/>
              </w:rPr>
              <w:t>包括一氧化碳法</w:t>
            </w:r>
            <w:r>
              <w:rPr>
                <w:rFonts w:hint="eastAsia" w:ascii="宋体" w:hAnsi="宋体"/>
                <w:color w:val="242424"/>
                <w:kern w:val="0"/>
                <w:sz w:val="20"/>
                <w:szCs w:val="20"/>
              </w:rPr>
              <w:t>TLCOSB</w:t>
            </w:r>
            <w:r>
              <w:rPr>
                <w:rFonts w:hint="eastAsia" w:ascii="宋体" w:hAnsi="宋体"/>
                <w:color w:val="242424"/>
                <w:kern w:val="0"/>
                <w:sz w:val="20"/>
                <w:szCs w:val="20"/>
                <w:lang w:val="zh-CN"/>
              </w:rPr>
              <w:t>弥散量</w:t>
            </w:r>
            <w:r>
              <w:rPr>
                <w:rFonts w:hint="eastAsia" w:ascii="宋体" w:hAnsi="宋体"/>
                <w:color w:val="242424"/>
                <w:kern w:val="0"/>
                <w:sz w:val="20"/>
                <w:szCs w:val="20"/>
              </w:rPr>
              <w:t>；COHb</w:t>
            </w:r>
            <w:r>
              <w:rPr>
                <w:rFonts w:hint="eastAsia" w:ascii="宋体" w:hAnsi="宋体"/>
                <w:color w:val="242424"/>
                <w:kern w:val="0"/>
                <w:sz w:val="20"/>
                <w:szCs w:val="20"/>
                <w:lang w:val="zh-CN"/>
              </w:rPr>
              <w:t>血红蛋白校正弥散量</w:t>
            </w:r>
            <w:r>
              <w:rPr>
                <w:rFonts w:hint="eastAsia" w:ascii="宋体" w:hAnsi="宋体"/>
                <w:color w:val="242424"/>
                <w:kern w:val="0"/>
                <w:sz w:val="20"/>
                <w:szCs w:val="20"/>
              </w:rPr>
              <w:t>； KCO</w:t>
            </w:r>
            <w:r>
              <w:rPr>
                <w:rFonts w:hint="eastAsia" w:ascii="宋体" w:hAnsi="宋体"/>
                <w:color w:val="242424"/>
                <w:kern w:val="0"/>
                <w:sz w:val="20"/>
                <w:szCs w:val="20"/>
                <w:lang w:val="zh-CN"/>
              </w:rPr>
              <w:t>弥散率</w:t>
            </w:r>
            <w:r>
              <w:rPr>
                <w:rFonts w:hint="eastAsia" w:ascii="宋体" w:hAnsi="宋体"/>
                <w:color w:val="242424"/>
                <w:kern w:val="0"/>
                <w:sz w:val="20"/>
                <w:szCs w:val="20"/>
              </w:rPr>
              <w:t>；FI-He</w:t>
            </w:r>
            <w:r>
              <w:rPr>
                <w:rFonts w:hint="eastAsia" w:ascii="宋体" w:hAnsi="宋体"/>
                <w:color w:val="242424"/>
                <w:kern w:val="0"/>
                <w:sz w:val="20"/>
                <w:szCs w:val="20"/>
                <w:lang w:val="zh-CN"/>
              </w:rPr>
              <w:t>吸入</w:t>
            </w:r>
            <w:r>
              <w:rPr>
                <w:rFonts w:hint="eastAsia" w:ascii="宋体" w:hAnsi="宋体"/>
                <w:color w:val="242424"/>
                <w:kern w:val="0"/>
                <w:sz w:val="20"/>
                <w:szCs w:val="20"/>
              </w:rPr>
              <w:t>He</w:t>
            </w:r>
            <w:r>
              <w:rPr>
                <w:rFonts w:hint="eastAsia" w:ascii="宋体" w:hAnsi="宋体"/>
                <w:color w:val="242424"/>
                <w:kern w:val="0"/>
                <w:sz w:val="20"/>
                <w:szCs w:val="20"/>
                <w:lang w:val="zh-CN"/>
              </w:rPr>
              <w:t>浓度</w:t>
            </w:r>
            <w:r>
              <w:rPr>
                <w:rFonts w:hint="eastAsia" w:ascii="宋体" w:hAnsi="宋体"/>
                <w:color w:val="242424"/>
                <w:kern w:val="0"/>
                <w:sz w:val="20"/>
                <w:szCs w:val="20"/>
              </w:rPr>
              <w:t>；RV/TLC</w:t>
            </w:r>
            <w:r>
              <w:rPr>
                <w:rFonts w:hint="eastAsia" w:ascii="宋体" w:hAnsi="宋体"/>
                <w:color w:val="242424"/>
                <w:kern w:val="0"/>
                <w:sz w:val="20"/>
                <w:szCs w:val="20"/>
                <w:lang w:val="zh-CN"/>
              </w:rPr>
              <w:t>残总比</w:t>
            </w:r>
            <w:r>
              <w:rPr>
                <w:rFonts w:hint="eastAsia" w:ascii="宋体" w:hAnsi="宋体"/>
                <w:color w:val="242424"/>
                <w:kern w:val="0"/>
                <w:sz w:val="20"/>
                <w:szCs w:val="20"/>
              </w:rPr>
              <w:t>；TLCORB</w:t>
            </w:r>
            <w:r>
              <w:rPr>
                <w:rFonts w:hint="eastAsia" w:ascii="宋体" w:hAnsi="宋体"/>
                <w:color w:val="242424"/>
                <w:kern w:val="0"/>
                <w:sz w:val="20"/>
                <w:szCs w:val="20"/>
                <w:lang w:val="zh-CN"/>
              </w:rPr>
              <w:t>弥散量</w:t>
            </w:r>
            <w:r>
              <w:rPr>
                <w:rFonts w:hint="eastAsia" w:ascii="宋体" w:hAnsi="宋体"/>
                <w:color w:val="242424"/>
                <w:kern w:val="0"/>
                <w:sz w:val="20"/>
                <w:szCs w:val="20"/>
              </w:rPr>
              <w:t>；FI-CO</w:t>
            </w:r>
            <w:r>
              <w:rPr>
                <w:rFonts w:hint="eastAsia" w:ascii="宋体" w:hAnsi="宋体"/>
                <w:color w:val="242424"/>
                <w:kern w:val="0"/>
                <w:sz w:val="20"/>
                <w:szCs w:val="20"/>
                <w:lang w:val="zh-CN"/>
              </w:rPr>
              <w:t>吸入</w:t>
            </w:r>
            <w:r>
              <w:rPr>
                <w:rFonts w:hint="eastAsia" w:ascii="宋体" w:hAnsi="宋体"/>
                <w:color w:val="242424"/>
                <w:kern w:val="0"/>
                <w:sz w:val="20"/>
                <w:szCs w:val="20"/>
              </w:rPr>
              <w:t>CO</w:t>
            </w:r>
            <w:r>
              <w:rPr>
                <w:rFonts w:hint="eastAsia" w:ascii="宋体" w:hAnsi="宋体"/>
                <w:color w:val="242424"/>
                <w:kern w:val="0"/>
                <w:sz w:val="20"/>
                <w:szCs w:val="20"/>
                <w:lang w:val="zh-CN"/>
              </w:rPr>
              <w:t>浓度</w:t>
            </w:r>
            <w:r>
              <w:rPr>
                <w:rFonts w:hint="eastAsia" w:ascii="宋体" w:hAnsi="宋体"/>
                <w:color w:val="242424"/>
                <w:kern w:val="0"/>
                <w:sz w:val="20"/>
                <w:szCs w:val="20"/>
              </w:rPr>
              <w:t>；FRC/TLC</w:t>
            </w:r>
            <w:r>
              <w:rPr>
                <w:rFonts w:hint="eastAsia" w:ascii="宋体" w:hAnsi="宋体"/>
                <w:color w:val="242424"/>
                <w:kern w:val="0"/>
                <w:sz w:val="20"/>
                <w:szCs w:val="20"/>
                <w:lang w:val="zh-CN"/>
              </w:rPr>
              <w:t>功能</w:t>
            </w:r>
            <w:r>
              <w:rPr>
                <w:rFonts w:hint="eastAsia" w:ascii="宋体" w:hAnsi="宋体"/>
                <w:color w:val="242424"/>
                <w:kern w:val="0"/>
                <w:sz w:val="20"/>
                <w:szCs w:val="20"/>
              </w:rPr>
              <w:t>/</w:t>
            </w:r>
            <w:r>
              <w:rPr>
                <w:rFonts w:hint="eastAsia" w:ascii="宋体" w:hAnsi="宋体"/>
                <w:color w:val="242424"/>
                <w:kern w:val="0"/>
                <w:sz w:val="20"/>
                <w:szCs w:val="20"/>
                <w:lang w:val="zh-CN"/>
              </w:rPr>
              <w:t>肺总量</w:t>
            </w:r>
            <w:r>
              <w:rPr>
                <w:rFonts w:hint="eastAsia" w:ascii="宋体" w:hAnsi="宋体"/>
                <w:color w:val="242424"/>
                <w:kern w:val="0"/>
                <w:sz w:val="20"/>
                <w:szCs w:val="20"/>
              </w:rPr>
              <w:t>；TLCOC</w:t>
            </w:r>
            <w:r>
              <w:rPr>
                <w:rFonts w:hint="eastAsia" w:ascii="宋体" w:hAnsi="宋体"/>
                <w:color w:val="242424"/>
                <w:kern w:val="0"/>
                <w:sz w:val="20"/>
                <w:szCs w:val="20"/>
                <w:lang w:val="zh-CN"/>
              </w:rPr>
              <w:t>校准</w:t>
            </w:r>
            <w:r>
              <w:rPr>
                <w:rFonts w:hint="eastAsia" w:ascii="宋体" w:hAnsi="宋体"/>
                <w:color w:val="242424"/>
                <w:kern w:val="0"/>
                <w:sz w:val="20"/>
                <w:szCs w:val="20"/>
              </w:rPr>
              <w:t>(</w:t>
            </w:r>
            <w:r>
              <w:rPr>
                <w:rFonts w:hint="eastAsia" w:ascii="宋体" w:hAnsi="宋体"/>
                <w:color w:val="242424"/>
                <w:kern w:val="0"/>
                <w:sz w:val="20"/>
                <w:szCs w:val="20"/>
                <w:lang w:val="zh-CN"/>
              </w:rPr>
              <w:t>膜</w:t>
            </w:r>
            <w:r>
              <w:rPr>
                <w:rFonts w:hint="eastAsia" w:ascii="宋体" w:hAnsi="宋体"/>
                <w:color w:val="242424"/>
                <w:kern w:val="0"/>
                <w:sz w:val="20"/>
                <w:szCs w:val="20"/>
              </w:rPr>
              <w:t>)</w:t>
            </w:r>
            <w:r>
              <w:rPr>
                <w:rFonts w:hint="eastAsia" w:ascii="宋体" w:hAnsi="宋体"/>
                <w:color w:val="242424"/>
                <w:kern w:val="0"/>
                <w:sz w:val="20"/>
                <w:szCs w:val="20"/>
                <w:lang w:val="zh-CN"/>
              </w:rPr>
              <w:t>弥散量</w:t>
            </w:r>
            <w:r>
              <w:rPr>
                <w:rFonts w:hint="eastAsia" w:ascii="宋体" w:hAnsi="宋体"/>
                <w:color w:val="242424"/>
                <w:kern w:val="0"/>
                <w:sz w:val="20"/>
                <w:szCs w:val="20"/>
              </w:rPr>
              <w:t>；FA-He</w:t>
            </w:r>
            <w:r>
              <w:rPr>
                <w:rFonts w:hint="eastAsia" w:ascii="宋体" w:hAnsi="宋体"/>
                <w:color w:val="242424"/>
                <w:kern w:val="0"/>
                <w:sz w:val="20"/>
                <w:szCs w:val="20"/>
                <w:lang w:val="zh-CN"/>
              </w:rPr>
              <w:t>呼出</w:t>
            </w:r>
            <w:r>
              <w:rPr>
                <w:rFonts w:hint="eastAsia" w:ascii="宋体" w:hAnsi="宋体"/>
                <w:color w:val="242424"/>
                <w:kern w:val="0"/>
                <w:sz w:val="20"/>
                <w:szCs w:val="20"/>
              </w:rPr>
              <w:t>He</w:t>
            </w:r>
            <w:r>
              <w:rPr>
                <w:rFonts w:hint="eastAsia" w:ascii="宋体" w:hAnsi="宋体"/>
                <w:color w:val="242424"/>
                <w:kern w:val="0"/>
                <w:sz w:val="20"/>
                <w:szCs w:val="20"/>
                <w:lang w:val="zh-CN"/>
              </w:rPr>
              <w:t>浓度</w:t>
            </w:r>
            <w:r>
              <w:rPr>
                <w:rFonts w:hint="eastAsia" w:ascii="宋体" w:hAnsi="宋体"/>
                <w:color w:val="242424"/>
                <w:kern w:val="0"/>
                <w:sz w:val="20"/>
                <w:szCs w:val="20"/>
              </w:rPr>
              <w:t>；VA</w:t>
            </w:r>
            <w:r>
              <w:rPr>
                <w:rFonts w:hint="eastAsia" w:ascii="宋体" w:hAnsi="宋体"/>
                <w:color w:val="242424"/>
                <w:kern w:val="0"/>
                <w:sz w:val="20"/>
                <w:szCs w:val="20"/>
                <w:lang w:val="zh-CN"/>
              </w:rPr>
              <w:t>肺泡通气量</w:t>
            </w:r>
            <w:r>
              <w:rPr>
                <w:rFonts w:hint="eastAsia" w:ascii="宋体" w:hAnsi="宋体"/>
                <w:color w:val="242424"/>
                <w:kern w:val="0"/>
                <w:sz w:val="20"/>
                <w:szCs w:val="20"/>
              </w:rPr>
              <w:t>；KCOC</w:t>
            </w:r>
            <w:r>
              <w:rPr>
                <w:rFonts w:hint="eastAsia" w:ascii="宋体" w:hAnsi="宋体"/>
                <w:color w:val="242424"/>
                <w:kern w:val="0"/>
                <w:sz w:val="20"/>
                <w:szCs w:val="20"/>
                <w:lang w:val="zh-CN"/>
              </w:rPr>
              <w:t>校准</w:t>
            </w:r>
            <w:r>
              <w:rPr>
                <w:rFonts w:hint="eastAsia" w:ascii="宋体" w:hAnsi="宋体"/>
                <w:color w:val="242424"/>
                <w:kern w:val="0"/>
                <w:sz w:val="20"/>
                <w:szCs w:val="20"/>
              </w:rPr>
              <w:t>(</w:t>
            </w:r>
            <w:r>
              <w:rPr>
                <w:rFonts w:hint="eastAsia" w:ascii="宋体" w:hAnsi="宋体"/>
                <w:color w:val="242424"/>
                <w:kern w:val="0"/>
                <w:sz w:val="20"/>
                <w:szCs w:val="20"/>
                <w:lang w:val="zh-CN"/>
              </w:rPr>
              <w:t>膜</w:t>
            </w:r>
            <w:r>
              <w:rPr>
                <w:rFonts w:hint="eastAsia" w:ascii="宋体" w:hAnsi="宋体"/>
                <w:color w:val="242424"/>
                <w:kern w:val="0"/>
                <w:sz w:val="20"/>
                <w:szCs w:val="20"/>
              </w:rPr>
              <w:t>)</w:t>
            </w:r>
            <w:r>
              <w:rPr>
                <w:rFonts w:hint="eastAsia" w:ascii="宋体" w:hAnsi="宋体"/>
                <w:color w:val="242424"/>
                <w:kern w:val="0"/>
                <w:sz w:val="20"/>
                <w:szCs w:val="20"/>
                <w:lang w:val="zh-CN"/>
              </w:rPr>
              <w:t>弥散率</w:t>
            </w:r>
            <w:r>
              <w:rPr>
                <w:rFonts w:hint="eastAsia" w:ascii="宋体" w:hAnsi="宋体"/>
                <w:color w:val="242424"/>
                <w:kern w:val="0"/>
                <w:sz w:val="20"/>
                <w:szCs w:val="20"/>
              </w:rPr>
              <w:t>；FA-CO</w:t>
            </w:r>
            <w:r>
              <w:rPr>
                <w:rFonts w:hint="eastAsia" w:ascii="宋体" w:hAnsi="宋体"/>
                <w:color w:val="242424"/>
                <w:kern w:val="0"/>
                <w:sz w:val="20"/>
                <w:szCs w:val="20"/>
                <w:lang w:val="zh-CN"/>
              </w:rPr>
              <w:t>呼出</w:t>
            </w:r>
            <w:r>
              <w:rPr>
                <w:rFonts w:hint="eastAsia" w:ascii="宋体" w:hAnsi="宋体"/>
                <w:color w:val="242424"/>
                <w:kern w:val="0"/>
                <w:sz w:val="20"/>
                <w:szCs w:val="20"/>
              </w:rPr>
              <w:t>CO</w:t>
            </w:r>
            <w:r>
              <w:rPr>
                <w:rFonts w:hint="eastAsia" w:ascii="宋体" w:hAnsi="宋体"/>
                <w:color w:val="242424"/>
                <w:kern w:val="0"/>
                <w:sz w:val="20"/>
                <w:szCs w:val="20"/>
                <w:lang w:val="zh-CN"/>
              </w:rPr>
              <w:t>浓度等等屏气时间可修改。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101" w:type="dxa"/>
            <w:shd w:val="clear" w:color="auto" w:fill="auto"/>
            <w:vAlign w:val="center"/>
          </w:tcPr>
          <w:p>
            <w:pPr>
              <w:spacing w:after="100" w:afterAutospacing="1"/>
              <w:jc w:val="center"/>
              <w:rPr>
                <w:rFonts w:ascii="宋体" w:hAnsi="宋体"/>
                <w:kern w:val="0"/>
                <w:sz w:val="20"/>
                <w:szCs w:val="21"/>
                <w:lang w:val="zh-CN"/>
              </w:rPr>
            </w:pPr>
            <w:r>
              <w:rPr>
                <w:rFonts w:hint="eastAsia" w:ascii="宋体" w:hAnsi="宋体"/>
                <w:color w:val="242424"/>
                <w:kern w:val="0"/>
                <w:sz w:val="20"/>
                <w:szCs w:val="21"/>
                <w:lang w:val="zh-CN"/>
              </w:rPr>
              <w:t>1.6</w:t>
            </w:r>
          </w:p>
        </w:tc>
        <w:tc>
          <w:tcPr>
            <w:tcW w:w="7490" w:type="dxa"/>
            <w:tcBorders>
              <w:right w:val="single" w:color="auto" w:sz="4" w:space="0"/>
            </w:tcBorders>
            <w:shd w:val="clear" w:color="auto" w:fill="auto"/>
            <w:vAlign w:val="center"/>
          </w:tcPr>
          <w:p>
            <w:pPr>
              <w:rPr>
                <w:rFonts w:ascii="宋体" w:hAnsi="宋体"/>
                <w:b/>
                <w:bCs/>
                <w:kern w:val="0"/>
                <w:sz w:val="20"/>
                <w:szCs w:val="21"/>
                <w:lang w:val="zh-CN"/>
              </w:rPr>
            </w:pPr>
            <w:r>
              <w:rPr>
                <w:rFonts w:hint="eastAsia" w:ascii="宋体" w:hAnsi="宋体"/>
                <w:b/>
                <w:bCs/>
                <w:color w:val="242424"/>
                <w:kern w:val="0"/>
                <w:sz w:val="20"/>
                <w:szCs w:val="21"/>
                <w:lang w:val="zh-CN"/>
              </w:rPr>
              <w:t>支气管药物舒张试验前后肺功能对比检查</w:t>
            </w:r>
            <w:r>
              <w:rPr>
                <w:rFonts w:ascii="宋体" w:hAnsi="宋体"/>
                <w:color w:val="242424"/>
                <w:kern w:val="0"/>
                <w:sz w:val="20"/>
                <w:szCs w:val="21"/>
                <w:lang w:val="zh-CN"/>
              </w:rPr>
              <w:t>，包括：药物舒张试验规程设置；吸药前后肺功能对比；药物使用效果评定等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101" w:type="dxa"/>
            <w:shd w:val="clear" w:color="auto" w:fill="auto"/>
            <w:vAlign w:val="center"/>
          </w:tcPr>
          <w:p>
            <w:pPr>
              <w:spacing w:after="100" w:afterAutospacing="1"/>
              <w:jc w:val="center"/>
              <w:rPr>
                <w:rFonts w:ascii="宋体" w:hAnsi="宋体"/>
                <w:kern w:val="0"/>
                <w:sz w:val="20"/>
                <w:szCs w:val="21"/>
              </w:rPr>
            </w:pPr>
            <w:r>
              <w:rPr>
                <w:rFonts w:hint="eastAsia" w:ascii="宋体" w:hAnsi="宋体"/>
                <w:color w:val="242424"/>
                <w:kern w:val="0"/>
                <w:sz w:val="20"/>
                <w:szCs w:val="21"/>
              </w:rPr>
              <w:t>1.7</w:t>
            </w:r>
          </w:p>
        </w:tc>
        <w:tc>
          <w:tcPr>
            <w:tcW w:w="7490" w:type="dxa"/>
            <w:tcBorders>
              <w:right w:val="single" w:color="auto" w:sz="4" w:space="0"/>
            </w:tcBorders>
            <w:shd w:val="clear" w:color="auto" w:fill="auto"/>
            <w:vAlign w:val="center"/>
          </w:tcPr>
          <w:p>
            <w:pPr>
              <w:rPr>
                <w:rFonts w:ascii="宋体" w:hAnsi="宋体"/>
                <w:b/>
                <w:bCs/>
                <w:kern w:val="0"/>
                <w:sz w:val="20"/>
                <w:szCs w:val="21"/>
                <w:lang w:val="zh-CN"/>
              </w:rPr>
            </w:pPr>
            <w:r>
              <w:rPr>
                <w:rFonts w:hint="eastAsia" w:ascii="宋体" w:hAnsi="宋体"/>
                <w:b/>
                <w:bCs/>
                <w:color w:val="242424"/>
                <w:kern w:val="0"/>
                <w:sz w:val="20"/>
                <w:szCs w:val="21"/>
                <w:lang w:val="zh-CN"/>
              </w:rPr>
              <w:t>支气管药物激发试验气道反应性检查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vAlign w:val="center"/>
          </w:tcPr>
          <w:p>
            <w:pPr>
              <w:spacing w:after="100" w:afterAutospacing="1"/>
              <w:jc w:val="center"/>
              <w:rPr>
                <w:rFonts w:ascii="宋体" w:hAnsi="宋体"/>
                <w:kern w:val="0"/>
                <w:sz w:val="20"/>
                <w:szCs w:val="21"/>
              </w:rPr>
            </w:pPr>
            <w:r>
              <w:rPr>
                <w:rFonts w:ascii="宋体" w:hAnsi="宋体"/>
                <w:color w:val="242424"/>
                <w:kern w:val="0"/>
                <w:sz w:val="20"/>
                <w:szCs w:val="21"/>
                <w:lang w:val="zh-CN"/>
              </w:rPr>
              <w:t>1.7.1</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采用高渗盐水或组织胺或乙酰甲胆碱作为激发药物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rPr>
            </w:pPr>
            <w:r>
              <w:rPr>
                <w:rFonts w:ascii="宋体" w:hAnsi="宋体"/>
                <w:color w:val="242424"/>
                <w:kern w:val="0"/>
                <w:sz w:val="20"/>
                <w:szCs w:val="21"/>
                <w:lang w:val="zh-CN"/>
              </w:rPr>
              <w:t>1.7.2</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12个不同激发规程，可以自定义激发规程，每个规程的激发给药最大级数为10级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rPr>
            </w:pPr>
            <w:r>
              <w:rPr>
                <w:rFonts w:ascii="宋体" w:hAnsi="宋体"/>
                <w:color w:val="242424"/>
                <w:kern w:val="0"/>
                <w:sz w:val="20"/>
                <w:szCs w:val="21"/>
                <w:lang w:val="zh-CN"/>
              </w:rPr>
              <w:t>1.7.3</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具备国际通用的PD20或PC20测定功能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vAlign w:val="center"/>
          </w:tcPr>
          <w:p>
            <w:pPr>
              <w:spacing w:after="100" w:afterAutospacing="1"/>
              <w:jc w:val="center"/>
              <w:rPr>
                <w:rFonts w:ascii="宋体" w:hAnsi="宋体"/>
                <w:kern w:val="0"/>
                <w:sz w:val="20"/>
                <w:szCs w:val="21"/>
              </w:rPr>
            </w:pPr>
            <w:r>
              <w:rPr>
                <w:rFonts w:hint="eastAsia" w:ascii="宋体" w:hAnsi="宋体"/>
                <w:color w:val="242424"/>
                <w:kern w:val="0"/>
                <w:sz w:val="20"/>
                <w:szCs w:val="21"/>
              </w:rPr>
              <w:t>1.8</w:t>
            </w:r>
          </w:p>
        </w:tc>
        <w:tc>
          <w:tcPr>
            <w:tcW w:w="7490" w:type="dxa"/>
            <w:tcBorders>
              <w:right w:val="single" w:color="auto" w:sz="4" w:space="0"/>
            </w:tcBorders>
            <w:shd w:val="clear" w:color="auto" w:fill="auto"/>
            <w:vAlign w:val="center"/>
          </w:tcPr>
          <w:p>
            <w:pPr>
              <w:rPr>
                <w:rFonts w:ascii="宋体" w:hAnsi="宋体"/>
                <w:b/>
                <w:bCs/>
                <w:kern w:val="0"/>
                <w:sz w:val="20"/>
                <w:szCs w:val="21"/>
                <w:lang w:val="zh-CN"/>
              </w:rPr>
            </w:pPr>
            <w:r>
              <w:rPr>
                <w:rFonts w:hint="eastAsia" w:ascii="宋体" w:hAnsi="宋体"/>
                <w:b/>
                <w:bCs/>
                <w:color w:val="242424"/>
                <w:kern w:val="0"/>
                <w:sz w:val="20"/>
                <w:szCs w:val="21"/>
                <w:lang w:val="zh-CN"/>
              </w:rPr>
              <w:t>连续频率脉冲振荡法测定：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vAlign w:val="center"/>
          </w:tcPr>
          <w:p>
            <w:pPr>
              <w:spacing w:after="100" w:afterAutospacing="1"/>
              <w:jc w:val="center"/>
              <w:rPr>
                <w:rFonts w:ascii="宋体" w:hAnsi="宋体"/>
                <w:kern w:val="0"/>
                <w:sz w:val="20"/>
                <w:szCs w:val="21"/>
              </w:rPr>
            </w:pPr>
            <w:r>
              <w:rPr>
                <w:rFonts w:hint="eastAsia" w:ascii="宋体" w:hAnsi="宋体"/>
                <w:sz w:val="20"/>
              </w:rPr>
              <w:t>▲</w:t>
            </w:r>
            <w:r>
              <w:rPr>
                <w:rFonts w:hint="eastAsia" w:ascii="宋体" w:hAnsi="宋体"/>
                <w:color w:val="242424"/>
                <w:kern w:val="0"/>
                <w:sz w:val="20"/>
                <w:szCs w:val="21"/>
              </w:rPr>
              <w:t>1.8.1</w:t>
            </w:r>
          </w:p>
        </w:tc>
        <w:tc>
          <w:tcPr>
            <w:tcW w:w="7490" w:type="dxa"/>
            <w:tcBorders>
              <w:right w:val="single" w:color="auto" w:sz="4" w:space="0"/>
            </w:tcBorders>
            <w:shd w:val="clear" w:color="auto" w:fill="auto"/>
          </w:tcPr>
          <w:p>
            <w:pPr>
              <w:rPr>
                <w:rFonts w:ascii="宋体" w:hAnsi="宋体"/>
                <w:kern w:val="0"/>
                <w:sz w:val="20"/>
                <w:szCs w:val="21"/>
                <w:lang w:val="zh-CN"/>
              </w:rPr>
            </w:pPr>
            <w:r>
              <w:rPr>
                <w:rFonts w:hint="eastAsia" w:ascii="宋体" w:hAnsi="宋体"/>
                <w:color w:val="242424"/>
                <w:kern w:val="0"/>
                <w:sz w:val="20"/>
                <w:szCs w:val="21"/>
                <w:lang w:val="zh-CN"/>
              </w:rPr>
              <w:t>总气道阻力 R5；中心气道阻力Rz；周边气道阻力Rp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rPr>
            </w:pPr>
            <w:r>
              <w:rPr>
                <w:rFonts w:hint="eastAsia" w:ascii="宋体" w:hAnsi="宋体"/>
                <w:color w:val="242424"/>
                <w:kern w:val="0"/>
                <w:sz w:val="20"/>
                <w:szCs w:val="21"/>
              </w:rPr>
              <w:t>1.8.2</w:t>
            </w:r>
          </w:p>
        </w:tc>
        <w:tc>
          <w:tcPr>
            <w:tcW w:w="7490" w:type="dxa"/>
            <w:tcBorders>
              <w:right w:val="single" w:color="auto" w:sz="4" w:space="0"/>
            </w:tcBorders>
            <w:shd w:val="clear" w:color="auto" w:fill="auto"/>
          </w:tcPr>
          <w:p>
            <w:pPr>
              <w:rPr>
                <w:rFonts w:ascii="宋体" w:hAnsi="宋体"/>
                <w:kern w:val="0"/>
                <w:sz w:val="20"/>
                <w:szCs w:val="21"/>
                <w:lang w:val="zh-CN"/>
              </w:rPr>
            </w:pPr>
            <w:r>
              <w:rPr>
                <w:rFonts w:hint="eastAsia" w:ascii="宋体" w:hAnsi="宋体"/>
                <w:color w:val="242424"/>
                <w:kern w:val="0"/>
                <w:sz w:val="20"/>
                <w:szCs w:val="21"/>
                <w:lang w:val="zh-CN"/>
              </w:rPr>
              <w:t>顺应性包括肺顺应性（Cl)、气管顺应性（Cb）和胸廓顺应性（Cw）等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rPr>
            </w:pPr>
            <w:r>
              <w:rPr>
                <w:rFonts w:hint="eastAsia" w:ascii="宋体" w:hAnsi="宋体"/>
                <w:color w:val="242424"/>
                <w:kern w:val="0"/>
                <w:sz w:val="20"/>
                <w:szCs w:val="21"/>
              </w:rPr>
              <w:t>1.8.3</w:t>
            </w:r>
          </w:p>
        </w:tc>
        <w:tc>
          <w:tcPr>
            <w:tcW w:w="7490" w:type="dxa"/>
            <w:tcBorders>
              <w:right w:val="single" w:color="auto" w:sz="4" w:space="0"/>
            </w:tcBorders>
            <w:shd w:val="clear" w:color="auto" w:fill="auto"/>
          </w:tcPr>
          <w:p>
            <w:pPr>
              <w:rPr>
                <w:rFonts w:ascii="宋体" w:hAnsi="宋体"/>
                <w:kern w:val="0"/>
                <w:sz w:val="20"/>
                <w:szCs w:val="21"/>
                <w:lang w:val="zh-CN"/>
              </w:rPr>
            </w:pPr>
            <w:r>
              <w:rPr>
                <w:rFonts w:hint="eastAsia" w:ascii="宋体" w:hAnsi="宋体"/>
                <w:color w:val="242424"/>
                <w:kern w:val="0"/>
                <w:sz w:val="20"/>
                <w:szCs w:val="21"/>
                <w:lang w:val="zh-CN"/>
              </w:rPr>
              <w:t>共振频率分析，反映粘性阻力的非常敏感的指标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rPr>
            </w:pPr>
            <w:r>
              <w:rPr>
                <w:rFonts w:hint="eastAsia" w:ascii="宋体" w:hAnsi="宋体"/>
                <w:color w:val="242424"/>
                <w:kern w:val="0"/>
                <w:sz w:val="20"/>
                <w:szCs w:val="21"/>
              </w:rPr>
              <w:t>1.8.4</w:t>
            </w:r>
          </w:p>
        </w:tc>
        <w:tc>
          <w:tcPr>
            <w:tcW w:w="7490" w:type="dxa"/>
            <w:tcBorders>
              <w:right w:val="single" w:color="auto" w:sz="4" w:space="0"/>
            </w:tcBorders>
            <w:shd w:val="clear" w:color="auto" w:fill="auto"/>
          </w:tcPr>
          <w:p>
            <w:pPr>
              <w:rPr>
                <w:rFonts w:ascii="宋体" w:hAnsi="宋体"/>
                <w:kern w:val="0"/>
                <w:sz w:val="20"/>
                <w:szCs w:val="21"/>
                <w:lang w:val="zh-CN"/>
              </w:rPr>
            </w:pPr>
            <w:r>
              <w:rPr>
                <w:rFonts w:hint="eastAsia" w:ascii="宋体" w:hAnsi="宋体"/>
                <w:color w:val="242424"/>
                <w:kern w:val="0"/>
                <w:sz w:val="20"/>
                <w:szCs w:val="21"/>
                <w:lang w:val="zh-CN"/>
              </w:rPr>
              <w:t>阻力的容积依赖性和流速的依赖性分析、呼吸动力学分析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4" w:hRule="exact"/>
        </w:trPr>
        <w:tc>
          <w:tcPr>
            <w:tcW w:w="1101" w:type="dxa"/>
            <w:shd w:val="clear" w:color="auto" w:fill="auto"/>
          </w:tcPr>
          <w:p>
            <w:pPr>
              <w:spacing w:after="100" w:afterAutospacing="1"/>
              <w:jc w:val="center"/>
              <w:rPr>
                <w:rFonts w:ascii="宋体" w:hAnsi="宋体"/>
                <w:kern w:val="0"/>
                <w:sz w:val="20"/>
                <w:szCs w:val="21"/>
              </w:rPr>
            </w:pPr>
            <w:r>
              <w:rPr>
                <w:rFonts w:hint="eastAsia" w:ascii="宋体" w:hAnsi="宋体"/>
                <w:sz w:val="20"/>
              </w:rPr>
              <w:t>▲</w:t>
            </w:r>
            <w:r>
              <w:rPr>
                <w:rFonts w:hint="eastAsia" w:ascii="宋体" w:hAnsi="宋体"/>
                <w:color w:val="242424"/>
                <w:kern w:val="0"/>
                <w:sz w:val="20"/>
                <w:szCs w:val="21"/>
              </w:rPr>
              <w:t>1.8.5</w:t>
            </w:r>
          </w:p>
        </w:tc>
        <w:tc>
          <w:tcPr>
            <w:tcW w:w="7490" w:type="dxa"/>
            <w:tcBorders>
              <w:right w:val="single" w:color="auto" w:sz="4" w:space="0"/>
            </w:tcBorders>
            <w:shd w:val="clear" w:color="auto" w:fill="auto"/>
          </w:tcPr>
          <w:p>
            <w:pPr>
              <w:rPr>
                <w:rFonts w:ascii="宋体" w:hAnsi="宋体"/>
                <w:kern w:val="0"/>
                <w:sz w:val="20"/>
                <w:szCs w:val="21"/>
                <w:lang w:val="zh-CN"/>
              </w:rPr>
            </w:pPr>
            <w:r>
              <w:rPr>
                <w:rFonts w:hint="eastAsia" w:ascii="宋体" w:hAnsi="宋体"/>
                <w:color w:val="242424"/>
                <w:kern w:val="0"/>
                <w:sz w:val="20"/>
                <w:szCs w:val="21"/>
                <w:lang w:val="zh-CN"/>
              </w:rPr>
              <w:t>呼吸总阻抗Zrs，振荡频率为0到35Hz连续频率的阻抗，即R5、R10、R25、R35等，不同振荡频率时的电抗X，如X10、X25、X35等。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rPr>
            </w:pPr>
            <w:r>
              <w:rPr>
                <w:rFonts w:hint="eastAsia" w:ascii="宋体" w:hAnsi="宋体"/>
                <w:sz w:val="20"/>
              </w:rPr>
              <w:t>▲</w:t>
            </w:r>
            <w:r>
              <w:rPr>
                <w:rFonts w:hint="eastAsia" w:ascii="宋体" w:hAnsi="宋体"/>
                <w:color w:val="242424"/>
                <w:kern w:val="0"/>
                <w:sz w:val="20"/>
                <w:szCs w:val="21"/>
              </w:rPr>
              <w:t>1.8.6</w:t>
            </w:r>
          </w:p>
        </w:tc>
        <w:tc>
          <w:tcPr>
            <w:tcW w:w="7490" w:type="dxa"/>
            <w:tcBorders>
              <w:right w:val="single" w:color="auto" w:sz="4" w:space="0"/>
            </w:tcBorders>
            <w:shd w:val="clear" w:color="auto" w:fill="auto"/>
          </w:tcPr>
          <w:p>
            <w:pPr>
              <w:rPr>
                <w:rFonts w:ascii="宋体" w:hAnsi="宋体"/>
                <w:kern w:val="0"/>
                <w:sz w:val="20"/>
                <w:szCs w:val="21"/>
                <w:lang w:val="zh-CN"/>
              </w:rPr>
            </w:pPr>
            <w:r>
              <w:rPr>
                <w:rFonts w:hint="eastAsia" w:ascii="宋体" w:hAnsi="宋体"/>
                <w:color w:val="242424"/>
                <w:kern w:val="0"/>
                <w:sz w:val="20"/>
                <w:szCs w:val="21"/>
                <w:lang w:val="zh-CN"/>
              </w:rPr>
              <w:t>结构参数图；频谱分析图；阻抗容积图（Z—V图）；频谱微分均值图；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rPr>
            </w:pPr>
            <w:r>
              <w:rPr>
                <w:rFonts w:hint="eastAsia" w:ascii="宋体" w:hAnsi="宋体"/>
                <w:color w:val="242424"/>
                <w:kern w:val="0"/>
                <w:sz w:val="20"/>
                <w:szCs w:val="21"/>
              </w:rPr>
              <w:t>1.8.7</w:t>
            </w:r>
          </w:p>
        </w:tc>
        <w:tc>
          <w:tcPr>
            <w:tcW w:w="7490" w:type="dxa"/>
            <w:tcBorders>
              <w:right w:val="single" w:color="auto" w:sz="4" w:space="0"/>
            </w:tcBorders>
            <w:shd w:val="clear" w:color="auto" w:fill="auto"/>
          </w:tcPr>
          <w:p>
            <w:pPr>
              <w:rPr>
                <w:rFonts w:ascii="宋体" w:hAnsi="宋体"/>
                <w:kern w:val="0"/>
                <w:sz w:val="20"/>
                <w:szCs w:val="21"/>
                <w:lang w:val="zh-CN"/>
              </w:rPr>
            </w:pPr>
            <w:r>
              <w:rPr>
                <w:rFonts w:hint="eastAsia" w:ascii="宋体" w:hAnsi="宋体"/>
                <w:color w:val="242424"/>
                <w:kern w:val="0"/>
                <w:sz w:val="20"/>
                <w:szCs w:val="21"/>
                <w:lang w:val="zh-CN"/>
              </w:rPr>
              <w:t>具备具备潮气呼吸阻抗图、频谱分析图、阻抗容积图、结构参数图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9" w:hRule="exact"/>
        </w:trPr>
        <w:tc>
          <w:tcPr>
            <w:tcW w:w="1101" w:type="dxa"/>
            <w:shd w:val="clear" w:color="auto" w:fill="auto"/>
            <w:vAlign w:val="center"/>
          </w:tcPr>
          <w:p>
            <w:pPr>
              <w:spacing w:after="100" w:afterAutospacing="1"/>
              <w:jc w:val="center"/>
              <w:rPr>
                <w:rFonts w:ascii="宋体" w:hAnsi="宋体"/>
                <w:kern w:val="0"/>
                <w:sz w:val="20"/>
                <w:szCs w:val="21"/>
              </w:rPr>
            </w:pPr>
            <w:r>
              <w:rPr>
                <w:rFonts w:hint="eastAsia" w:ascii="宋体" w:hAnsi="宋体"/>
                <w:color w:val="242424"/>
                <w:kern w:val="0"/>
                <w:sz w:val="20"/>
                <w:szCs w:val="21"/>
              </w:rPr>
              <w:t>1.8.8</w:t>
            </w:r>
          </w:p>
        </w:tc>
        <w:tc>
          <w:tcPr>
            <w:tcW w:w="7490" w:type="dxa"/>
            <w:tcBorders>
              <w:right w:val="single" w:color="auto" w:sz="4" w:space="0"/>
            </w:tcBorders>
            <w:shd w:val="clear" w:color="auto" w:fill="auto"/>
          </w:tcPr>
          <w:p>
            <w:pPr>
              <w:jc w:val="left"/>
              <w:rPr>
                <w:rFonts w:ascii="宋体" w:hAnsi="宋体"/>
                <w:kern w:val="0"/>
                <w:sz w:val="20"/>
                <w:szCs w:val="21"/>
                <w:lang w:val="zh-CN"/>
              </w:rPr>
            </w:pPr>
            <w:r>
              <w:rPr>
                <w:rFonts w:hint="eastAsia" w:ascii="宋体" w:hAnsi="宋体"/>
                <w:color w:val="242424"/>
                <w:kern w:val="0"/>
                <w:sz w:val="20"/>
                <w:szCs w:val="21"/>
                <w:lang w:val="zh-CN"/>
              </w:rPr>
              <w:t>连续频率脉冲振荡法产品适用全部年龄段患者测定气道阻力、4岁及4岁以上患者通气功能测定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b/>
                <w:bCs/>
                <w:kern w:val="0"/>
                <w:sz w:val="20"/>
                <w:szCs w:val="28"/>
                <w:lang w:val="zh-CN"/>
              </w:rPr>
            </w:pPr>
            <w:r>
              <w:rPr>
                <w:rFonts w:ascii="宋体" w:hAnsi="宋体"/>
                <w:b/>
                <w:bCs/>
                <w:color w:val="242424"/>
                <w:kern w:val="0"/>
                <w:sz w:val="20"/>
                <w:szCs w:val="28"/>
                <w:lang w:val="zh-CN"/>
              </w:rPr>
              <w:t>二</w:t>
            </w:r>
          </w:p>
        </w:tc>
        <w:tc>
          <w:tcPr>
            <w:tcW w:w="7490" w:type="dxa"/>
            <w:tcBorders>
              <w:right w:val="single" w:color="auto" w:sz="4" w:space="0"/>
            </w:tcBorders>
            <w:shd w:val="clear" w:color="auto" w:fill="auto"/>
          </w:tcPr>
          <w:p>
            <w:pPr>
              <w:spacing w:after="100" w:afterAutospacing="1"/>
              <w:jc w:val="left"/>
              <w:rPr>
                <w:rFonts w:ascii="宋体" w:hAnsi="宋体"/>
                <w:b/>
                <w:bCs/>
                <w:sz w:val="20"/>
                <w:szCs w:val="28"/>
              </w:rPr>
            </w:pPr>
            <w:r>
              <w:rPr>
                <w:rFonts w:ascii="宋体" w:hAnsi="宋体"/>
                <w:b/>
                <w:bCs/>
                <w:color w:val="242424"/>
                <w:sz w:val="20"/>
                <w:szCs w:val="28"/>
              </w:rPr>
              <w:t>技术参数要求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vAlign w:val="center"/>
          </w:tcPr>
          <w:p>
            <w:pPr>
              <w:spacing w:after="100" w:afterAutospacing="1"/>
              <w:jc w:val="center"/>
              <w:rPr>
                <w:rFonts w:ascii="宋体" w:hAnsi="宋体"/>
                <w:b/>
                <w:bCs/>
                <w:kern w:val="0"/>
                <w:sz w:val="20"/>
                <w:szCs w:val="28"/>
                <w:lang w:val="zh-CN"/>
              </w:rPr>
            </w:pPr>
            <w:r>
              <w:rPr>
                <w:rFonts w:ascii="宋体" w:hAnsi="宋体"/>
                <w:b/>
                <w:bCs/>
                <w:color w:val="242424"/>
                <w:kern w:val="0"/>
                <w:sz w:val="20"/>
                <w:szCs w:val="28"/>
                <w:lang w:val="zh-CN"/>
              </w:rPr>
              <w:t>2.1</w:t>
            </w:r>
          </w:p>
        </w:tc>
        <w:tc>
          <w:tcPr>
            <w:tcW w:w="7490" w:type="dxa"/>
            <w:tcBorders>
              <w:right w:val="single" w:color="auto" w:sz="4" w:space="0"/>
            </w:tcBorders>
            <w:shd w:val="clear" w:color="auto" w:fill="auto"/>
            <w:vAlign w:val="center"/>
          </w:tcPr>
          <w:p>
            <w:pPr>
              <w:rPr>
                <w:rFonts w:ascii="宋体" w:hAnsi="宋体"/>
                <w:b/>
                <w:bCs/>
                <w:kern w:val="0"/>
                <w:sz w:val="20"/>
                <w:szCs w:val="28"/>
                <w:lang w:val="zh-CN"/>
              </w:rPr>
            </w:pPr>
            <w:r>
              <w:rPr>
                <w:rFonts w:ascii="宋体" w:hAnsi="宋体"/>
                <w:b/>
                <w:bCs/>
                <w:color w:val="242424"/>
                <w:kern w:val="0"/>
                <w:sz w:val="20"/>
                <w:szCs w:val="28"/>
                <w:lang w:val="zh-CN"/>
              </w:rPr>
              <w:t>呼吸流量测定：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vAlign w:val="center"/>
          </w:tcPr>
          <w:p>
            <w:pPr>
              <w:spacing w:after="100" w:afterAutospacing="1"/>
              <w:jc w:val="center"/>
              <w:rPr>
                <w:rFonts w:ascii="宋体" w:hAnsi="宋体"/>
                <w:sz w:val="20"/>
                <w:szCs w:val="18"/>
              </w:rPr>
            </w:pPr>
            <w:r>
              <w:rPr>
                <w:rFonts w:hint="eastAsia" w:asciiTheme="minorEastAsia" w:hAnsiTheme="minorEastAsia"/>
                <w:sz w:val="20"/>
              </w:rPr>
              <w:t>★</w:t>
            </w:r>
            <w:r>
              <w:rPr>
                <w:rFonts w:ascii="宋体" w:hAnsi="宋体"/>
                <w:color w:val="242424"/>
                <w:kern w:val="0"/>
                <w:sz w:val="20"/>
                <w:szCs w:val="21"/>
                <w:lang w:val="zh-CN"/>
              </w:rPr>
              <w:t>2.1.1</w:t>
            </w:r>
          </w:p>
        </w:tc>
        <w:tc>
          <w:tcPr>
            <w:tcW w:w="7490" w:type="dxa"/>
            <w:tcBorders>
              <w:right w:val="single" w:color="auto" w:sz="4" w:space="0"/>
            </w:tcBorders>
            <w:shd w:val="clear" w:color="auto" w:fill="auto"/>
            <w:vAlign w:val="center"/>
          </w:tcPr>
          <w:p>
            <w:pPr>
              <w:rPr>
                <w:sz w:val="20"/>
              </w:rPr>
            </w:pPr>
            <w:r>
              <w:rPr>
                <w:rFonts w:ascii="宋体" w:hAnsi="宋体"/>
                <w:color w:val="242424"/>
                <w:kern w:val="0"/>
                <w:sz w:val="20"/>
                <w:szCs w:val="21"/>
                <w:lang w:val="zh-CN"/>
              </w:rPr>
              <w:t>数字积分双向筛网压差式金属材料流速传感器或热线式流速传感器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exact"/>
        </w:trPr>
        <w:tc>
          <w:tcPr>
            <w:tcW w:w="1101" w:type="dxa"/>
            <w:shd w:val="clear" w:color="auto" w:fill="auto"/>
            <w:vAlign w:val="center"/>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2.1.2</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手柄式结构，压力差传感器直接安装在手柄部位，筛网传感器和手柄间的连接采用硬连接结构，无任何外在的管路，以提高传感器的频响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vAlign w:val="center"/>
          </w:tcPr>
          <w:p>
            <w:pPr>
              <w:spacing w:after="100" w:afterAutospacing="1"/>
              <w:jc w:val="center"/>
              <w:rPr>
                <w:rFonts w:ascii="宋体" w:hAnsi="宋体"/>
                <w:sz w:val="20"/>
                <w:szCs w:val="18"/>
              </w:rPr>
            </w:pPr>
            <w:r>
              <w:rPr>
                <w:rFonts w:hint="eastAsia" w:ascii="宋体" w:hAnsi="宋体"/>
                <w:sz w:val="20"/>
              </w:rPr>
              <w:t>▲</w:t>
            </w:r>
            <w:r>
              <w:rPr>
                <w:rFonts w:ascii="宋体" w:hAnsi="宋体"/>
                <w:color w:val="242424"/>
                <w:kern w:val="0"/>
                <w:sz w:val="20"/>
                <w:szCs w:val="21"/>
                <w:lang w:val="zh-CN"/>
              </w:rPr>
              <w:t>2.1.3</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金属材料，带电加热系统，具有避免水汽结露以及消毒灭菌作用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3" w:hRule="exact"/>
        </w:trPr>
        <w:tc>
          <w:tcPr>
            <w:tcW w:w="1101" w:type="dxa"/>
            <w:shd w:val="clear" w:color="auto" w:fill="auto"/>
            <w:vAlign w:val="center"/>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2.1.4</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流速传感器具备三流速线性容积定标功能，具备3升定标筒，全面符合中国肺功能检查指南质控要求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vAlign w:val="center"/>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2.1.5</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阻力＜0.05Kpa/L/S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vAlign w:val="center"/>
          </w:tcPr>
          <w:p>
            <w:pPr>
              <w:spacing w:after="100" w:afterAutospacing="1"/>
              <w:jc w:val="center"/>
              <w:rPr>
                <w:rFonts w:ascii="宋体" w:hAnsi="宋体"/>
                <w:sz w:val="20"/>
                <w:szCs w:val="18"/>
              </w:rPr>
            </w:pPr>
            <w:r>
              <w:rPr>
                <w:rFonts w:hint="eastAsia" w:ascii="宋体" w:hAnsi="宋体"/>
                <w:sz w:val="20"/>
              </w:rPr>
              <w:t>▲</w:t>
            </w:r>
            <w:r>
              <w:rPr>
                <w:rFonts w:ascii="宋体" w:hAnsi="宋体"/>
                <w:color w:val="242424"/>
                <w:kern w:val="0"/>
                <w:sz w:val="20"/>
                <w:szCs w:val="21"/>
                <w:lang w:val="zh-CN"/>
              </w:rPr>
              <w:t>2.1.6</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 xml:space="preserve">测量范围：0－20L／S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vAlign w:val="center"/>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2.1.7</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分辨率：10ML／S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vAlign w:val="center"/>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2.1.8</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测量误差：＜2％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vAlign w:val="center"/>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2.1.9</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单个流速传感器正常使用寿命五年以上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vAlign w:val="center"/>
          </w:tcPr>
          <w:p>
            <w:pPr>
              <w:spacing w:after="100" w:afterAutospacing="1"/>
              <w:jc w:val="center"/>
              <w:rPr>
                <w:rFonts w:ascii="宋体" w:hAnsi="宋体"/>
                <w:kern w:val="0"/>
                <w:sz w:val="20"/>
                <w:szCs w:val="21"/>
                <w:lang w:val="zh-CN"/>
              </w:rPr>
            </w:pPr>
            <w:r>
              <w:rPr>
                <w:rFonts w:hint="eastAsia" w:ascii="宋体" w:hAnsi="宋体"/>
                <w:sz w:val="20"/>
              </w:rPr>
              <w:t>▲</w:t>
            </w:r>
            <w:r>
              <w:rPr>
                <w:rFonts w:ascii="宋体" w:hAnsi="宋体"/>
                <w:color w:val="242424"/>
                <w:kern w:val="0"/>
                <w:sz w:val="20"/>
                <w:szCs w:val="21"/>
                <w:lang w:val="zh-CN"/>
              </w:rPr>
              <w:t>2.1.10</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流速传感器能直接拆卸浸泡清洗消毒，全面符合中国肺功能检查指南质控要求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vAlign w:val="center"/>
          </w:tcPr>
          <w:p>
            <w:pPr>
              <w:spacing w:after="100" w:afterAutospacing="1"/>
              <w:jc w:val="center"/>
              <w:rPr>
                <w:rFonts w:ascii="宋体" w:hAnsi="宋体"/>
                <w:b/>
                <w:bCs/>
                <w:kern w:val="0"/>
                <w:sz w:val="20"/>
                <w:lang w:val="zh-CN"/>
              </w:rPr>
            </w:pPr>
            <w:r>
              <w:rPr>
                <w:rFonts w:ascii="宋体" w:hAnsi="宋体"/>
                <w:b/>
                <w:bCs/>
                <w:color w:val="242424"/>
                <w:kern w:val="0"/>
                <w:sz w:val="20"/>
                <w:lang w:val="zh-CN"/>
              </w:rPr>
              <w:t>2.2</w:t>
            </w:r>
          </w:p>
        </w:tc>
        <w:tc>
          <w:tcPr>
            <w:tcW w:w="7490" w:type="dxa"/>
            <w:tcBorders>
              <w:right w:val="single" w:color="auto" w:sz="4" w:space="0"/>
            </w:tcBorders>
            <w:shd w:val="clear" w:color="auto" w:fill="auto"/>
            <w:vAlign w:val="center"/>
          </w:tcPr>
          <w:p>
            <w:pPr>
              <w:rPr>
                <w:rFonts w:ascii="宋体" w:hAnsi="宋体"/>
                <w:b/>
                <w:bCs/>
                <w:kern w:val="0"/>
                <w:sz w:val="20"/>
                <w:lang w:val="zh-CN"/>
              </w:rPr>
            </w:pPr>
            <w:r>
              <w:rPr>
                <w:rFonts w:ascii="宋体" w:hAnsi="宋体"/>
                <w:b/>
                <w:bCs/>
                <w:color w:val="242424"/>
                <w:kern w:val="0"/>
                <w:sz w:val="20"/>
                <w:lang w:val="zh-CN"/>
              </w:rPr>
              <w:t>气体分析器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vAlign w:val="center"/>
          </w:tcPr>
          <w:p>
            <w:pPr>
              <w:spacing w:after="100" w:afterAutospacing="1"/>
              <w:jc w:val="center"/>
              <w:rPr>
                <w:rFonts w:ascii="宋体" w:hAnsi="宋体"/>
                <w:kern w:val="0"/>
                <w:sz w:val="20"/>
                <w:szCs w:val="21"/>
                <w:lang w:val="zh-CN"/>
              </w:rPr>
            </w:pPr>
            <w:r>
              <w:rPr>
                <w:rFonts w:hint="eastAsia" w:ascii="宋体" w:hAnsi="宋体"/>
                <w:sz w:val="20"/>
              </w:rPr>
              <w:t>▲</w:t>
            </w:r>
            <w:r>
              <w:rPr>
                <w:rFonts w:ascii="宋体" w:hAnsi="宋体"/>
                <w:color w:val="242424"/>
                <w:kern w:val="0"/>
                <w:sz w:val="20"/>
                <w:szCs w:val="21"/>
                <w:lang w:val="zh-CN"/>
              </w:rPr>
              <w:t>2.2.1</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采用快速长寿命的高精度电化学式CO分析器：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vAlign w:val="center"/>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2.2.1.1</w:t>
            </w:r>
          </w:p>
        </w:tc>
        <w:tc>
          <w:tcPr>
            <w:tcW w:w="7490" w:type="dxa"/>
            <w:tcBorders>
              <w:right w:val="single" w:color="auto" w:sz="4" w:space="0"/>
            </w:tcBorders>
            <w:shd w:val="clear" w:color="auto" w:fill="auto"/>
            <w:vAlign w:val="center"/>
          </w:tcPr>
          <w:p>
            <w:pPr>
              <w:rPr>
                <w:rFonts w:ascii="宋体" w:hAnsi="宋体"/>
                <w:color w:val="FF0000"/>
                <w:kern w:val="0"/>
                <w:sz w:val="20"/>
                <w:szCs w:val="21"/>
                <w:lang w:val="zh-CN"/>
              </w:rPr>
            </w:pPr>
            <w:r>
              <w:rPr>
                <w:rFonts w:ascii="宋体" w:hAnsi="宋体"/>
                <w:color w:val="242424"/>
                <w:kern w:val="0"/>
                <w:sz w:val="20"/>
                <w:szCs w:val="21"/>
                <w:lang w:val="zh-CN"/>
              </w:rPr>
              <w:t>范围：0～0.33%；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vAlign w:val="center"/>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2.2.1.2</w:t>
            </w:r>
          </w:p>
        </w:tc>
        <w:tc>
          <w:tcPr>
            <w:tcW w:w="7490" w:type="dxa"/>
            <w:tcBorders>
              <w:right w:val="single" w:color="auto" w:sz="4" w:space="0"/>
            </w:tcBorders>
            <w:shd w:val="clear" w:color="auto" w:fill="auto"/>
            <w:vAlign w:val="center"/>
          </w:tcPr>
          <w:p>
            <w:pPr>
              <w:rPr>
                <w:rFonts w:ascii="宋体" w:hAnsi="宋体"/>
                <w:color w:val="FF0000"/>
                <w:kern w:val="0"/>
                <w:sz w:val="20"/>
                <w:szCs w:val="21"/>
                <w:lang w:val="zh-CN"/>
              </w:rPr>
            </w:pPr>
            <w:r>
              <w:rPr>
                <w:rFonts w:ascii="宋体" w:hAnsi="宋体"/>
                <w:color w:val="242424"/>
                <w:kern w:val="0"/>
                <w:sz w:val="20"/>
                <w:szCs w:val="21"/>
                <w:lang w:val="zh-CN"/>
              </w:rPr>
              <w:t>分辨率：0.001%；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vAlign w:val="center"/>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2.2.1.3</w:t>
            </w:r>
          </w:p>
        </w:tc>
        <w:tc>
          <w:tcPr>
            <w:tcW w:w="7490" w:type="dxa"/>
            <w:tcBorders>
              <w:right w:val="single" w:color="auto" w:sz="4" w:space="0"/>
            </w:tcBorders>
            <w:shd w:val="clear" w:color="auto" w:fill="auto"/>
            <w:vAlign w:val="center"/>
          </w:tcPr>
          <w:p>
            <w:pPr>
              <w:rPr>
                <w:rFonts w:ascii="宋体" w:hAnsi="宋体"/>
                <w:color w:val="FF0000"/>
                <w:kern w:val="0"/>
                <w:sz w:val="20"/>
                <w:szCs w:val="21"/>
                <w:lang w:val="zh-CN"/>
              </w:rPr>
            </w:pPr>
            <w:r>
              <w:rPr>
                <w:rFonts w:ascii="宋体" w:hAnsi="宋体"/>
                <w:color w:val="242424"/>
                <w:kern w:val="0"/>
                <w:sz w:val="20"/>
                <w:szCs w:val="21"/>
                <w:lang w:val="zh-CN"/>
              </w:rPr>
              <w:t xml:space="preserve">精度：±0.003%;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vAlign w:val="center"/>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2.2.1.4</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响应时间：40ms；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lang w:val="zh-CN"/>
              </w:rPr>
            </w:pPr>
            <w:r>
              <w:rPr>
                <w:rFonts w:hint="eastAsia" w:ascii="宋体" w:hAnsi="宋体"/>
                <w:sz w:val="20"/>
              </w:rPr>
              <w:t>▲</w:t>
            </w:r>
            <w:r>
              <w:rPr>
                <w:rFonts w:ascii="宋体" w:hAnsi="宋体"/>
                <w:color w:val="242424"/>
                <w:kern w:val="0"/>
                <w:sz w:val="20"/>
                <w:szCs w:val="21"/>
                <w:lang w:val="zh-CN"/>
              </w:rPr>
              <w:t>2.2.2</w:t>
            </w:r>
          </w:p>
        </w:tc>
        <w:tc>
          <w:tcPr>
            <w:tcW w:w="7490" w:type="dxa"/>
            <w:tcBorders>
              <w:right w:val="single" w:color="auto" w:sz="4" w:space="0"/>
            </w:tcBorders>
            <w:shd w:val="clear" w:color="auto" w:fill="auto"/>
            <w:vAlign w:val="center"/>
          </w:tcPr>
          <w:p>
            <w:pPr>
              <w:rPr>
                <w:rFonts w:ascii="宋体" w:hAnsi="宋体"/>
                <w:color w:val="FF0000"/>
                <w:kern w:val="0"/>
                <w:sz w:val="20"/>
                <w:szCs w:val="21"/>
                <w:lang w:val="zh-CN"/>
              </w:rPr>
            </w:pPr>
            <w:r>
              <w:rPr>
                <w:rFonts w:ascii="宋体" w:hAnsi="宋体"/>
                <w:color w:val="242424"/>
                <w:kern w:val="0"/>
                <w:sz w:val="20"/>
                <w:szCs w:val="21"/>
                <w:lang w:val="zh-CN"/>
              </w:rPr>
              <w:t>采用高精度电化学式O2分析器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2.2.2.1</w:t>
            </w:r>
          </w:p>
        </w:tc>
        <w:tc>
          <w:tcPr>
            <w:tcW w:w="7490" w:type="dxa"/>
            <w:tcBorders>
              <w:right w:val="single" w:color="auto" w:sz="4" w:space="0"/>
            </w:tcBorders>
            <w:shd w:val="clear" w:color="auto" w:fill="auto"/>
            <w:vAlign w:val="center"/>
          </w:tcPr>
          <w:p>
            <w:pPr>
              <w:rPr>
                <w:rFonts w:ascii="宋体" w:hAnsi="宋体"/>
                <w:color w:val="FF0000"/>
                <w:kern w:val="0"/>
                <w:sz w:val="20"/>
                <w:szCs w:val="21"/>
                <w:lang w:val="zh-CN"/>
              </w:rPr>
            </w:pPr>
            <w:r>
              <w:rPr>
                <w:rFonts w:ascii="宋体" w:hAnsi="宋体"/>
                <w:color w:val="242424"/>
                <w:kern w:val="0"/>
                <w:sz w:val="20"/>
                <w:szCs w:val="21"/>
                <w:lang w:val="zh-CN"/>
              </w:rPr>
              <w:t>范围：0～100%；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2.2.2.2</w:t>
            </w:r>
          </w:p>
        </w:tc>
        <w:tc>
          <w:tcPr>
            <w:tcW w:w="7490" w:type="dxa"/>
            <w:tcBorders>
              <w:right w:val="single" w:color="auto" w:sz="4" w:space="0"/>
            </w:tcBorders>
            <w:shd w:val="clear" w:color="auto" w:fill="auto"/>
            <w:vAlign w:val="center"/>
          </w:tcPr>
          <w:p>
            <w:pPr>
              <w:rPr>
                <w:rFonts w:ascii="宋体" w:hAnsi="宋体"/>
                <w:color w:val="FF0000"/>
                <w:kern w:val="0"/>
                <w:sz w:val="20"/>
                <w:szCs w:val="21"/>
                <w:lang w:val="zh-CN"/>
              </w:rPr>
            </w:pPr>
            <w:r>
              <w:rPr>
                <w:rFonts w:ascii="宋体" w:hAnsi="宋体"/>
                <w:color w:val="242424"/>
                <w:kern w:val="0"/>
                <w:sz w:val="20"/>
                <w:szCs w:val="21"/>
                <w:lang w:val="zh-CN"/>
              </w:rPr>
              <w:t>分辨率：0.05%；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2.2.2.3</w:t>
            </w:r>
          </w:p>
        </w:tc>
        <w:tc>
          <w:tcPr>
            <w:tcW w:w="7490" w:type="dxa"/>
            <w:tcBorders>
              <w:right w:val="single" w:color="auto" w:sz="4" w:space="0"/>
            </w:tcBorders>
            <w:shd w:val="clear" w:color="auto" w:fill="auto"/>
            <w:vAlign w:val="center"/>
          </w:tcPr>
          <w:p>
            <w:pPr>
              <w:rPr>
                <w:rFonts w:ascii="宋体" w:hAnsi="宋体"/>
                <w:color w:val="FF0000"/>
                <w:kern w:val="0"/>
                <w:sz w:val="20"/>
                <w:szCs w:val="21"/>
                <w:lang w:val="zh-CN"/>
              </w:rPr>
            </w:pPr>
            <w:r>
              <w:rPr>
                <w:rFonts w:ascii="宋体" w:hAnsi="宋体"/>
                <w:color w:val="242424"/>
                <w:kern w:val="0"/>
                <w:sz w:val="20"/>
                <w:szCs w:val="21"/>
                <w:lang w:val="zh-CN"/>
              </w:rPr>
              <w:t>精度：±1%；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2.2.2.4</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响应时间：40ms；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lang w:val="zh-CN"/>
              </w:rPr>
            </w:pPr>
            <w:r>
              <w:rPr>
                <w:rFonts w:hint="eastAsia" w:ascii="宋体" w:hAnsi="宋体"/>
                <w:sz w:val="20"/>
              </w:rPr>
              <w:t>▲</w:t>
            </w:r>
            <w:r>
              <w:rPr>
                <w:rFonts w:ascii="宋体" w:hAnsi="宋体"/>
                <w:color w:val="242424"/>
                <w:kern w:val="0"/>
                <w:sz w:val="20"/>
                <w:szCs w:val="21"/>
                <w:lang w:val="zh-CN"/>
              </w:rPr>
              <w:t>2.2.3</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采用快速长寿命的高精度热导式He分析器：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2.2.3.1</w:t>
            </w:r>
          </w:p>
        </w:tc>
        <w:tc>
          <w:tcPr>
            <w:tcW w:w="7490" w:type="dxa"/>
            <w:tcBorders>
              <w:right w:val="single" w:color="auto" w:sz="4" w:space="0"/>
            </w:tcBorders>
            <w:shd w:val="clear" w:color="auto" w:fill="auto"/>
            <w:vAlign w:val="center"/>
          </w:tcPr>
          <w:p>
            <w:pPr>
              <w:rPr>
                <w:rFonts w:ascii="宋体" w:hAnsi="宋体"/>
                <w:color w:val="FF0000"/>
                <w:kern w:val="0"/>
                <w:sz w:val="20"/>
                <w:szCs w:val="21"/>
                <w:lang w:val="zh-CN"/>
              </w:rPr>
            </w:pPr>
            <w:r>
              <w:rPr>
                <w:rFonts w:ascii="宋体" w:hAnsi="宋体"/>
                <w:color w:val="242424"/>
                <w:kern w:val="0"/>
                <w:sz w:val="20"/>
                <w:szCs w:val="21"/>
                <w:lang w:val="zh-CN"/>
              </w:rPr>
              <w:t>范围：0～9.5%；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2.2.3.2</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分辨率：0.005%；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2.2.3.3</w:t>
            </w:r>
          </w:p>
        </w:tc>
        <w:tc>
          <w:tcPr>
            <w:tcW w:w="7490" w:type="dxa"/>
            <w:tcBorders>
              <w:right w:val="single" w:color="auto" w:sz="4" w:space="0"/>
            </w:tcBorders>
            <w:shd w:val="clear" w:color="auto" w:fill="auto"/>
            <w:vAlign w:val="center"/>
          </w:tcPr>
          <w:p>
            <w:pPr>
              <w:rPr>
                <w:rFonts w:ascii="宋体" w:hAnsi="宋体"/>
                <w:color w:val="FF0000"/>
                <w:kern w:val="0"/>
                <w:sz w:val="20"/>
                <w:szCs w:val="21"/>
                <w:lang w:val="zh-CN"/>
              </w:rPr>
            </w:pPr>
            <w:r>
              <w:rPr>
                <w:rFonts w:ascii="宋体" w:hAnsi="宋体"/>
                <w:color w:val="242424"/>
                <w:kern w:val="0"/>
                <w:sz w:val="20"/>
                <w:szCs w:val="21"/>
                <w:lang w:val="zh-CN"/>
              </w:rPr>
              <w:t>精度：±0.05%；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2.2.3.4</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响应时间：40ms；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lang w:val="zh-CN"/>
              </w:rPr>
            </w:pPr>
            <w:r>
              <w:rPr>
                <w:rFonts w:hint="eastAsia" w:ascii="宋体" w:hAnsi="宋体"/>
                <w:sz w:val="20"/>
              </w:rPr>
              <w:t>▲</w:t>
            </w:r>
            <w:r>
              <w:rPr>
                <w:rFonts w:ascii="宋体" w:hAnsi="宋体"/>
                <w:color w:val="242424"/>
                <w:kern w:val="0"/>
                <w:sz w:val="20"/>
                <w:szCs w:val="21"/>
                <w:lang w:val="zh-CN"/>
              </w:rPr>
              <w:t>2.2.4</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采用高精度红外吸收式CO\CH4气体分析器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2.2.4.1</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范围：0～0.33%；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2.2.4.2</w:t>
            </w:r>
          </w:p>
        </w:tc>
        <w:tc>
          <w:tcPr>
            <w:tcW w:w="7490" w:type="dxa"/>
            <w:tcBorders>
              <w:right w:val="single" w:color="auto" w:sz="4" w:space="0"/>
            </w:tcBorders>
            <w:shd w:val="clear" w:color="auto" w:fill="auto"/>
            <w:vAlign w:val="center"/>
          </w:tcPr>
          <w:p>
            <w:pPr>
              <w:rPr>
                <w:rFonts w:ascii="宋体" w:hAnsi="宋体"/>
                <w:color w:val="FF0000"/>
                <w:kern w:val="0"/>
                <w:sz w:val="20"/>
                <w:szCs w:val="21"/>
                <w:lang w:val="zh-CN"/>
              </w:rPr>
            </w:pPr>
            <w:r>
              <w:rPr>
                <w:rFonts w:ascii="宋体" w:hAnsi="宋体"/>
                <w:color w:val="242424"/>
                <w:kern w:val="0"/>
                <w:sz w:val="20"/>
                <w:szCs w:val="21"/>
                <w:lang w:val="zh-CN"/>
              </w:rPr>
              <w:t>分辨率：0.001%；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2.2.4.3</w:t>
            </w:r>
          </w:p>
        </w:tc>
        <w:tc>
          <w:tcPr>
            <w:tcW w:w="7490" w:type="dxa"/>
            <w:tcBorders>
              <w:right w:val="single" w:color="auto" w:sz="4" w:space="0"/>
            </w:tcBorders>
            <w:shd w:val="clear" w:color="auto" w:fill="auto"/>
            <w:vAlign w:val="center"/>
          </w:tcPr>
          <w:p>
            <w:pPr>
              <w:rPr>
                <w:rFonts w:ascii="宋体" w:hAnsi="宋体"/>
                <w:color w:val="FF0000"/>
                <w:kern w:val="0"/>
                <w:sz w:val="20"/>
                <w:szCs w:val="21"/>
                <w:lang w:val="zh-CN"/>
              </w:rPr>
            </w:pPr>
            <w:r>
              <w:rPr>
                <w:rFonts w:ascii="宋体" w:hAnsi="宋体"/>
                <w:color w:val="242424"/>
                <w:kern w:val="0"/>
                <w:sz w:val="20"/>
                <w:szCs w:val="21"/>
                <w:lang w:val="zh-CN"/>
              </w:rPr>
              <w:t>精度：±0.003%；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2.2.4.4</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响应时间：40ms；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rPr>
            </w:pPr>
            <w:r>
              <w:rPr>
                <w:rFonts w:hint="eastAsia" w:ascii="宋体" w:hAnsi="宋体"/>
                <w:color w:val="242424"/>
                <w:kern w:val="0"/>
                <w:sz w:val="20"/>
                <w:szCs w:val="21"/>
                <w:lang w:val="zh-CN"/>
              </w:rPr>
              <w:t>2.2.5</w:t>
            </w:r>
          </w:p>
        </w:tc>
        <w:tc>
          <w:tcPr>
            <w:tcW w:w="7490" w:type="dxa"/>
            <w:tcBorders>
              <w:right w:val="single" w:color="auto" w:sz="4" w:space="0"/>
            </w:tcBorders>
            <w:shd w:val="clear" w:color="auto" w:fill="auto"/>
            <w:vAlign w:val="center"/>
          </w:tcPr>
          <w:p>
            <w:pPr>
              <w:rPr>
                <w:rFonts w:ascii="宋体" w:hAnsi="宋体"/>
                <w:kern w:val="0"/>
                <w:sz w:val="20"/>
                <w:szCs w:val="21"/>
              </w:rPr>
            </w:pPr>
            <w:r>
              <w:rPr>
                <w:rFonts w:hint="eastAsia" w:ascii="宋体" w:hAnsi="宋体"/>
                <w:color w:val="242424"/>
                <w:kern w:val="0"/>
                <w:sz w:val="20"/>
                <w:szCs w:val="21"/>
                <w:lang w:val="zh-CN"/>
              </w:rPr>
              <w:t>采用高精度红外吸收式NO分析器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rPr>
            </w:pPr>
            <w:r>
              <w:rPr>
                <w:rFonts w:hint="eastAsia" w:ascii="宋体" w:hAnsi="宋体"/>
                <w:color w:val="242424"/>
                <w:kern w:val="0"/>
                <w:sz w:val="20"/>
                <w:szCs w:val="21"/>
                <w:lang w:val="zh-CN"/>
              </w:rPr>
              <w:t>2.2.5.1</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hint="eastAsia" w:ascii="宋体" w:hAnsi="宋体"/>
                <w:color w:val="242424"/>
                <w:kern w:val="0"/>
                <w:sz w:val="20"/>
                <w:szCs w:val="21"/>
                <w:lang w:val="zh-CN"/>
              </w:rPr>
              <w:t>范围：0-100ppm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rPr>
            </w:pPr>
            <w:r>
              <w:rPr>
                <w:rFonts w:hint="eastAsia" w:ascii="宋体" w:hAnsi="宋体"/>
                <w:color w:val="242424"/>
                <w:kern w:val="0"/>
                <w:sz w:val="20"/>
                <w:szCs w:val="21"/>
                <w:lang w:val="zh-CN"/>
              </w:rPr>
              <w:t>2.2.5.2</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hint="eastAsia" w:ascii="宋体" w:hAnsi="宋体"/>
                <w:color w:val="242424"/>
                <w:kern w:val="0"/>
                <w:sz w:val="20"/>
                <w:szCs w:val="21"/>
                <w:lang w:val="zh-CN"/>
              </w:rPr>
              <w:t>分辨率：0.1ppm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rPr>
            </w:pPr>
            <w:r>
              <w:rPr>
                <w:rFonts w:hint="eastAsia" w:ascii="宋体" w:hAnsi="宋体"/>
                <w:color w:val="242424"/>
                <w:kern w:val="0"/>
                <w:sz w:val="20"/>
                <w:szCs w:val="21"/>
              </w:rPr>
              <w:t>2.2.5.3</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hint="eastAsia" w:ascii="宋体" w:hAnsi="宋体"/>
                <w:color w:val="242424"/>
                <w:kern w:val="0"/>
                <w:sz w:val="20"/>
                <w:szCs w:val="21"/>
                <w:lang w:val="zh-CN"/>
              </w:rPr>
              <w:t>精度：±2ppm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vAlign w:val="center"/>
          </w:tcPr>
          <w:p>
            <w:pPr>
              <w:spacing w:after="100" w:afterAutospacing="1"/>
              <w:jc w:val="center"/>
              <w:rPr>
                <w:rFonts w:ascii="宋体" w:hAnsi="宋体"/>
                <w:b/>
                <w:bCs/>
                <w:kern w:val="0"/>
                <w:sz w:val="20"/>
                <w:lang w:val="zh-CN"/>
              </w:rPr>
            </w:pPr>
            <w:r>
              <w:rPr>
                <w:rFonts w:ascii="宋体" w:hAnsi="宋体"/>
                <w:b/>
                <w:bCs/>
                <w:color w:val="242424"/>
                <w:kern w:val="0"/>
                <w:sz w:val="20"/>
                <w:lang w:val="zh-CN"/>
              </w:rPr>
              <w:t>2.3</w:t>
            </w:r>
          </w:p>
        </w:tc>
        <w:tc>
          <w:tcPr>
            <w:tcW w:w="7490" w:type="dxa"/>
            <w:tcBorders>
              <w:right w:val="single" w:color="auto" w:sz="4" w:space="0"/>
            </w:tcBorders>
            <w:shd w:val="clear" w:color="auto" w:fill="auto"/>
            <w:vAlign w:val="center"/>
          </w:tcPr>
          <w:p>
            <w:pPr>
              <w:rPr>
                <w:rFonts w:ascii="宋体" w:hAnsi="宋体"/>
                <w:b/>
                <w:bCs/>
                <w:kern w:val="0"/>
                <w:sz w:val="20"/>
                <w:lang w:val="zh-CN"/>
              </w:rPr>
            </w:pPr>
            <w:r>
              <w:rPr>
                <w:rFonts w:ascii="宋体" w:hAnsi="宋体"/>
                <w:b/>
                <w:bCs/>
                <w:color w:val="242424"/>
                <w:kern w:val="0"/>
                <w:sz w:val="20"/>
                <w:lang w:val="zh-CN"/>
              </w:rPr>
              <w:t>气道反性测定药物激发试验给药系统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vAlign w:val="center"/>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2.3.1</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系统必须由肺功能主机计算机控制使用，不采用外置式的给药系统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vAlign w:val="center"/>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2.3.2</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不采用瓶装压缩氧气或其它压缩气体提供压力的雾化给药方式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vAlign w:val="center"/>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2.3.3</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采用计算机控制的精密吸气触发全自动变压空气压缩机雾化给药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vAlign w:val="center"/>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2.3.3.1</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 xml:space="preserve">空气压缩机喷雾功率： 0~1400 毫克/分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2.3.3.2</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空气压缩机雾化颗粒直径 0.3μ~ 5 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2.3.3.3</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空气压缩机最大供气能力：100升/分, 100%过滤无油空气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vAlign w:val="center"/>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2.3.3.4</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空气压缩机压缩空气压力：0~2 Bar</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2.3.3.5</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空气压缩机压差式流量传感器，流速分辨率分辨率：0.01L／S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2.3.3.6</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空气压缩机带有自动报警装置，在FEV1下降20%时即停止给药（即PD20或PC20）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2.3.3.7</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空气压缩机内置在肺功能仪主机箱内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8" w:hRule="exact"/>
        </w:trPr>
        <w:tc>
          <w:tcPr>
            <w:tcW w:w="1101" w:type="dxa"/>
            <w:shd w:val="clear" w:color="auto" w:fill="auto"/>
            <w:vAlign w:val="center"/>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2.3.4</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药物激发试验模块硬件和软件必须跟肺功能主机同一品牌，具备产品注册证，在注册登记表或注册证附件中有明确描述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b/>
                <w:bCs/>
                <w:kern w:val="0"/>
                <w:sz w:val="20"/>
              </w:rPr>
            </w:pPr>
            <w:r>
              <w:rPr>
                <w:rFonts w:hint="eastAsia" w:ascii="宋体" w:hAnsi="宋体"/>
                <w:b/>
                <w:bCs/>
                <w:color w:val="242424"/>
                <w:kern w:val="0"/>
                <w:sz w:val="20"/>
              </w:rPr>
              <w:t>2.4</w:t>
            </w:r>
          </w:p>
        </w:tc>
        <w:tc>
          <w:tcPr>
            <w:tcW w:w="7490" w:type="dxa"/>
            <w:tcBorders>
              <w:right w:val="single" w:color="auto" w:sz="4" w:space="0"/>
            </w:tcBorders>
            <w:shd w:val="clear" w:color="auto" w:fill="auto"/>
          </w:tcPr>
          <w:p>
            <w:pPr>
              <w:rPr>
                <w:rFonts w:ascii="宋体" w:hAnsi="宋体"/>
                <w:b/>
                <w:bCs/>
                <w:kern w:val="0"/>
                <w:sz w:val="20"/>
                <w:lang w:val="zh-CN"/>
              </w:rPr>
            </w:pPr>
            <w:r>
              <w:rPr>
                <w:rFonts w:hint="eastAsia" w:ascii="宋体" w:hAnsi="宋体"/>
                <w:b/>
                <w:bCs/>
                <w:color w:val="242424"/>
                <w:kern w:val="0"/>
                <w:sz w:val="20"/>
                <w:lang w:val="zh-CN"/>
              </w:rPr>
              <w:t>连续频率脉冲振荡法肺功能测定：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rPr>
            </w:pPr>
            <w:r>
              <w:rPr>
                <w:rFonts w:hint="eastAsia" w:ascii="宋体" w:hAnsi="宋体"/>
                <w:color w:val="242424"/>
                <w:kern w:val="0"/>
                <w:sz w:val="20"/>
                <w:szCs w:val="21"/>
                <w:lang w:val="zh-CN"/>
              </w:rPr>
              <w:t>2.4.1</w:t>
            </w:r>
          </w:p>
        </w:tc>
        <w:tc>
          <w:tcPr>
            <w:tcW w:w="7490" w:type="dxa"/>
            <w:tcBorders>
              <w:right w:val="single" w:color="auto" w:sz="4" w:space="0"/>
            </w:tcBorders>
            <w:shd w:val="clear" w:color="auto" w:fill="auto"/>
          </w:tcPr>
          <w:p>
            <w:pPr>
              <w:rPr>
                <w:rFonts w:ascii="宋体" w:hAnsi="宋体"/>
                <w:kern w:val="0"/>
                <w:sz w:val="20"/>
                <w:szCs w:val="21"/>
                <w:lang w:val="zh-CN"/>
              </w:rPr>
            </w:pPr>
            <w:r>
              <w:rPr>
                <w:rFonts w:hint="eastAsia" w:ascii="宋体" w:hAnsi="宋体"/>
                <w:color w:val="242424"/>
                <w:kern w:val="0"/>
                <w:sz w:val="20"/>
                <w:szCs w:val="21"/>
                <w:lang w:val="zh-CN"/>
              </w:rPr>
              <w:t>脉冲振荡发生器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rPr>
            </w:pPr>
            <w:r>
              <w:rPr>
                <w:rFonts w:hint="eastAsia" w:ascii="宋体" w:hAnsi="宋体"/>
                <w:color w:val="242424"/>
                <w:kern w:val="0"/>
                <w:sz w:val="20"/>
                <w:szCs w:val="21"/>
                <w:lang w:val="zh-CN"/>
              </w:rPr>
              <w:t>2.4.1.1</w:t>
            </w:r>
          </w:p>
        </w:tc>
        <w:tc>
          <w:tcPr>
            <w:tcW w:w="7490" w:type="dxa"/>
            <w:tcBorders>
              <w:right w:val="single" w:color="auto" w:sz="4" w:space="0"/>
            </w:tcBorders>
            <w:shd w:val="clear" w:color="auto" w:fill="auto"/>
          </w:tcPr>
          <w:p>
            <w:pPr>
              <w:rPr>
                <w:rFonts w:ascii="宋体" w:hAnsi="宋体"/>
                <w:kern w:val="0"/>
                <w:sz w:val="20"/>
                <w:szCs w:val="21"/>
              </w:rPr>
            </w:pPr>
            <w:r>
              <w:rPr>
                <w:rFonts w:hint="eastAsia" w:ascii="宋体" w:hAnsi="宋体"/>
                <w:color w:val="242424"/>
                <w:kern w:val="0"/>
                <w:sz w:val="20"/>
                <w:szCs w:val="21"/>
                <w:lang w:val="zh-CN"/>
              </w:rPr>
              <w:t>脉冲间隔0.1-6秒</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rPr>
            </w:pPr>
            <w:r>
              <w:rPr>
                <w:rFonts w:hint="eastAsia" w:ascii="宋体" w:hAnsi="宋体"/>
                <w:color w:val="242424"/>
                <w:kern w:val="0"/>
                <w:sz w:val="20"/>
                <w:szCs w:val="21"/>
                <w:lang w:val="zh-CN"/>
              </w:rPr>
              <w:t>2.4.1.2</w:t>
            </w:r>
          </w:p>
        </w:tc>
        <w:tc>
          <w:tcPr>
            <w:tcW w:w="7490" w:type="dxa"/>
            <w:tcBorders>
              <w:right w:val="single" w:color="auto" w:sz="4" w:space="0"/>
            </w:tcBorders>
            <w:shd w:val="clear" w:color="auto" w:fill="auto"/>
          </w:tcPr>
          <w:p>
            <w:pPr>
              <w:rPr>
                <w:rFonts w:ascii="宋体" w:hAnsi="宋体"/>
                <w:kern w:val="0"/>
                <w:sz w:val="20"/>
                <w:szCs w:val="21"/>
              </w:rPr>
            </w:pPr>
            <w:r>
              <w:rPr>
                <w:rFonts w:hint="eastAsia" w:ascii="宋体" w:hAnsi="宋体"/>
                <w:color w:val="242424"/>
                <w:kern w:val="0"/>
                <w:sz w:val="20"/>
                <w:szCs w:val="21"/>
                <w:lang w:val="zh-CN"/>
              </w:rPr>
              <w:t>频率范围0-100赫兹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rPr>
            </w:pPr>
            <w:r>
              <w:rPr>
                <w:rFonts w:hint="eastAsia" w:ascii="宋体" w:hAnsi="宋体"/>
                <w:color w:val="242424"/>
                <w:kern w:val="0"/>
                <w:sz w:val="20"/>
                <w:szCs w:val="21"/>
                <w:lang w:val="zh-CN"/>
              </w:rPr>
              <w:t>2.4.1.3</w:t>
            </w:r>
          </w:p>
        </w:tc>
        <w:tc>
          <w:tcPr>
            <w:tcW w:w="7490" w:type="dxa"/>
            <w:tcBorders>
              <w:right w:val="single" w:color="auto" w:sz="4" w:space="0"/>
            </w:tcBorders>
            <w:shd w:val="clear" w:color="auto" w:fill="auto"/>
          </w:tcPr>
          <w:p>
            <w:pPr>
              <w:rPr>
                <w:rFonts w:ascii="宋体" w:hAnsi="宋体"/>
                <w:kern w:val="0"/>
                <w:sz w:val="20"/>
                <w:szCs w:val="21"/>
              </w:rPr>
            </w:pPr>
            <w:r>
              <w:rPr>
                <w:rFonts w:hint="eastAsia" w:ascii="宋体" w:hAnsi="宋体"/>
                <w:color w:val="242424"/>
                <w:kern w:val="0"/>
                <w:sz w:val="20"/>
                <w:szCs w:val="21"/>
                <w:lang w:val="zh-CN"/>
              </w:rPr>
              <w:t>相对阻力0.2KPA/（L/S）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rPr>
            </w:pPr>
            <w:r>
              <w:rPr>
                <w:rFonts w:hint="eastAsia" w:ascii="宋体" w:hAnsi="宋体"/>
                <w:color w:val="242424"/>
                <w:kern w:val="0"/>
                <w:sz w:val="20"/>
                <w:szCs w:val="21"/>
                <w:lang w:val="zh-CN"/>
              </w:rPr>
              <w:t>2.4.1.4</w:t>
            </w:r>
          </w:p>
        </w:tc>
        <w:tc>
          <w:tcPr>
            <w:tcW w:w="7490" w:type="dxa"/>
            <w:tcBorders>
              <w:right w:val="single" w:color="auto" w:sz="4" w:space="0"/>
            </w:tcBorders>
            <w:shd w:val="clear" w:color="auto" w:fill="auto"/>
          </w:tcPr>
          <w:p>
            <w:pPr>
              <w:rPr>
                <w:rFonts w:ascii="宋体" w:hAnsi="宋体"/>
                <w:kern w:val="0"/>
                <w:sz w:val="20"/>
                <w:szCs w:val="21"/>
              </w:rPr>
            </w:pPr>
            <w:r>
              <w:rPr>
                <w:rFonts w:hint="eastAsia" w:ascii="宋体" w:hAnsi="宋体"/>
                <w:color w:val="242424"/>
                <w:kern w:val="0"/>
                <w:sz w:val="20"/>
                <w:szCs w:val="21"/>
                <w:lang w:val="zh-CN"/>
              </w:rPr>
              <w:t>脉冲时长45毫秒</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rPr>
            </w:pPr>
            <w:r>
              <w:rPr>
                <w:rFonts w:hint="eastAsia" w:ascii="宋体" w:hAnsi="宋体"/>
                <w:color w:val="242424"/>
                <w:kern w:val="0"/>
                <w:sz w:val="20"/>
                <w:szCs w:val="21"/>
                <w:lang w:val="zh-CN"/>
              </w:rPr>
              <w:t>2.4.2</w:t>
            </w:r>
          </w:p>
        </w:tc>
        <w:tc>
          <w:tcPr>
            <w:tcW w:w="7490" w:type="dxa"/>
            <w:tcBorders>
              <w:right w:val="single" w:color="auto" w:sz="4" w:space="0"/>
            </w:tcBorders>
            <w:shd w:val="clear" w:color="auto" w:fill="auto"/>
            <w:vAlign w:val="center"/>
          </w:tcPr>
          <w:p>
            <w:pPr>
              <w:rPr>
                <w:rFonts w:ascii="宋体" w:hAnsi="宋体"/>
                <w:kern w:val="0"/>
                <w:sz w:val="20"/>
                <w:szCs w:val="21"/>
              </w:rPr>
            </w:pPr>
            <w:r>
              <w:rPr>
                <w:rFonts w:hint="eastAsia" w:ascii="宋体" w:hAnsi="宋体"/>
                <w:color w:val="242424"/>
                <w:kern w:val="0"/>
                <w:sz w:val="20"/>
                <w:szCs w:val="21"/>
                <w:lang w:val="zh-CN"/>
              </w:rPr>
              <w:t>连续频率脉冲振荡法肺功能模块配置独立的呼吸流速传感器：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vAlign w:val="center"/>
          </w:tcPr>
          <w:p>
            <w:pPr>
              <w:spacing w:after="100" w:afterAutospacing="1"/>
              <w:jc w:val="center"/>
              <w:rPr>
                <w:rFonts w:ascii="宋体" w:hAnsi="宋体"/>
                <w:kern w:val="0"/>
                <w:sz w:val="20"/>
                <w:szCs w:val="21"/>
              </w:rPr>
            </w:pPr>
            <w:r>
              <w:rPr>
                <w:rFonts w:hint="eastAsia" w:ascii="宋体" w:hAnsi="宋体"/>
                <w:color w:val="242424"/>
                <w:kern w:val="0"/>
                <w:sz w:val="20"/>
                <w:szCs w:val="21"/>
                <w:lang w:val="zh-CN"/>
              </w:rPr>
              <w:t>2.4.2.1</w:t>
            </w:r>
          </w:p>
        </w:tc>
        <w:tc>
          <w:tcPr>
            <w:tcW w:w="7490" w:type="dxa"/>
            <w:tcBorders>
              <w:right w:val="single" w:color="auto" w:sz="4" w:space="0"/>
            </w:tcBorders>
            <w:shd w:val="clear" w:color="auto" w:fill="auto"/>
            <w:vAlign w:val="center"/>
          </w:tcPr>
          <w:p>
            <w:pPr>
              <w:rPr>
                <w:rFonts w:ascii="宋体" w:hAnsi="宋体"/>
                <w:kern w:val="0"/>
                <w:sz w:val="20"/>
                <w:szCs w:val="21"/>
              </w:rPr>
            </w:pPr>
            <w:r>
              <w:rPr>
                <w:rFonts w:hint="eastAsia" w:ascii="宋体" w:hAnsi="宋体"/>
                <w:color w:val="242424"/>
                <w:kern w:val="0"/>
                <w:sz w:val="20"/>
                <w:szCs w:val="21"/>
                <w:lang w:val="zh-CN"/>
              </w:rPr>
              <w:t>数字积分双向合金筛网压差式流速传感器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rPr>
            </w:pPr>
            <w:r>
              <w:rPr>
                <w:rFonts w:hint="eastAsia" w:ascii="宋体" w:hAnsi="宋体"/>
                <w:color w:val="242424"/>
                <w:kern w:val="0"/>
                <w:sz w:val="20"/>
                <w:szCs w:val="21"/>
                <w:lang w:val="zh-CN"/>
              </w:rPr>
              <w:t>2.4.2.2</w:t>
            </w:r>
          </w:p>
        </w:tc>
        <w:tc>
          <w:tcPr>
            <w:tcW w:w="7490" w:type="dxa"/>
            <w:tcBorders>
              <w:right w:val="single" w:color="auto" w:sz="4" w:space="0"/>
            </w:tcBorders>
            <w:shd w:val="clear" w:color="auto" w:fill="auto"/>
            <w:vAlign w:val="center"/>
          </w:tcPr>
          <w:p>
            <w:pPr>
              <w:rPr>
                <w:rFonts w:ascii="宋体" w:hAnsi="宋体"/>
                <w:kern w:val="0"/>
                <w:sz w:val="20"/>
                <w:szCs w:val="21"/>
              </w:rPr>
            </w:pPr>
            <w:r>
              <w:rPr>
                <w:rFonts w:hint="eastAsia" w:ascii="宋体" w:hAnsi="宋体"/>
                <w:color w:val="242424"/>
                <w:kern w:val="0"/>
                <w:sz w:val="20"/>
                <w:szCs w:val="21"/>
                <w:lang w:val="zh-CN"/>
              </w:rPr>
              <w:t>手柄式结构，传感器直接安装在手柄部位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rPr>
            </w:pPr>
            <w:r>
              <w:rPr>
                <w:rFonts w:hint="eastAsia" w:ascii="宋体" w:hAnsi="宋体"/>
                <w:color w:val="242424"/>
                <w:kern w:val="0"/>
                <w:sz w:val="20"/>
                <w:szCs w:val="21"/>
                <w:lang w:val="zh-CN"/>
              </w:rPr>
              <w:t>2.4.2.3</w:t>
            </w:r>
          </w:p>
        </w:tc>
        <w:tc>
          <w:tcPr>
            <w:tcW w:w="7490" w:type="dxa"/>
            <w:tcBorders>
              <w:right w:val="single" w:color="auto" w:sz="4" w:space="0"/>
            </w:tcBorders>
            <w:shd w:val="clear" w:color="auto" w:fill="auto"/>
            <w:vAlign w:val="center"/>
          </w:tcPr>
          <w:p>
            <w:pPr>
              <w:rPr>
                <w:rFonts w:ascii="宋体" w:hAnsi="宋体"/>
                <w:kern w:val="0"/>
                <w:sz w:val="20"/>
                <w:szCs w:val="21"/>
              </w:rPr>
            </w:pPr>
            <w:r>
              <w:rPr>
                <w:rFonts w:hint="eastAsia" w:ascii="宋体" w:hAnsi="宋体"/>
                <w:color w:val="242424"/>
                <w:kern w:val="0"/>
                <w:sz w:val="20"/>
                <w:szCs w:val="21"/>
                <w:lang w:val="zh-CN"/>
              </w:rPr>
              <w:t>流速传感器带电加热系统，具有避免水汽结露以及消毒灭菌作用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6" w:hRule="exact"/>
        </w:trPr>
        <w:tc>
          <w:tcPr>
            <w:tcW w:w="1101" w:type="dxa"/>
            <w:shd w:val="clear" w:color="auto" w:fill="auto"/>
          </w:tcPr>
          <w:p>
            <w:pPr>
              <w:spacing w:after="100" w:afterAutospacing="1"/>
              <w:jc w:val="center"/>
              <w:rPr>
                <w:rFonts w:ascii="宋体" w:hAnsi="宋体"/>
                <w:kern w:val="0"/>
                <w:sz w:val="20"/>
                <w:szCs w:val="21"/>
              </w:rPr>
            </w:pPr>
            <w:r>
              <w:rPr>
                <w:rFonts w:hint="eastAsia" w:ascii="宋体" w:hAnsi="宋体"/>
                <w:color w:val="242424"/>
                <w:kern w:val="0"/>
                <w:sz w:val="20"/>
                <w:szCs w:val="21"/>
                <w:lang w:val="zh-CN"/>
              </w:rPr>
              <w:t>2.4.2.4</w:t>
            </w:r>
          </w:p>
        </w:tc>
        <w:tc>
          <w:tcPr>
            <w:tcW w:w="7490" w:type="dxa"/>
            <w:tcBorders>
              <w:right w:val="single" w:color="auto" w:sz="4" w:space="0"/>
            </w:tcBorders>
            <w:shd w:val="clear" w:color="auto" w:fill="auto"/>
            <w:vAlign w:val="center"/>
          </w:tcPr>
          <w:p>
            <w:pPr>
              <w:rPr>
                <w:rFonts w:ascii="宋体" w:hAnsi="宋体"/>
                <w:kern w:val="0"/>
                <w:sz w:val="20"/>
                <w:szCs w:val="21"/>
              </w:rPr>
            </w:pPr>
            <w:r>
              <w:rPr>
                <w:rFonts w:hint="eastAsia" w:ascii="宋体" w:hAnsi="宋体"/>
                <w:color w:val="242424"/>
                <w:kern w:val="0"/>
                <w:sz w:val="20"/>
                <w:szCs w:val="21"/>
                <w:lang w:val="zh-CN"/>
              </w:rPr>
              <w:t>流速传感器具备三流速线性容积定标功能，具备3升定标桶，全面符合中国肺功能检查指南质控要求，单个流速传感器正常使用寿命五年以上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rPr>
            </w:pPr>
            <w:r>
              <w:rPr>
                <w:rFonts w:hint="eastAsia" w:ascii="宋体" w:hAnsi="宋体"/>
                <w:color w:val="242424"/>
                <w:kern w:val="0"/>
                <w:sz w:val="20"/>
                <w:szCs w:val="21"/>
                <w:lang w:val="zh-CN"/>
              </w:rPr>
              <w:t>2.4.2.5</w:t>
            </w:r>
          </w:p>
        </w:tc>
        <w:tc>
          <w:tcPr>
            <w:tcW w:w="7490" w:type="dxa"/>
            <w:tcBorders>
              <w:right w:val="single" w:color="auto" w:sz="4" w:space="0"/>
            </w:tcBorders>
            <w:shd w:val="clear" w:color="auto" w:fill="auto"/>
            <w:vAlign w:val="center"/>
          </w:tcPr>
          <w:p>
            <w:pPr>
              <w:rPr>
                <w:rFonts w:ascii="宋体" w:hAnsi="宋体"/>
                <w:kern w:val="0"/>
                <w:sz w:val="20"/>
                <w:szCs w:val="21"/>
              </w:rPr>
            </w:pPr>
            <w:r>
              <w:rPr>
                <w:rFonts w:hint="eastAsia" w:ascii="宋体" w:hAnsi="宋体"/>
                <w:color w:val="242424"/>
                <w:kern w:val="0"/>
                <w:sz w:val="20"/>
                <w:szCs w:val="21"/>
                <w:lang w:val="zh-CN"/>
              </w:rPr>
              <w:t>阻力＜0.05Kpa/L/S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rPr>
            </w:pPr>
            <w:r>
              <w:rPr>
                <w:rFonts w:hint="eastAsia" w:ascii="宋体" w:hAnsi="宋体"/>
                <w:color w:val="242424"/>
                <w:kern w:val="0"/>
                <w:sz w:val="20"/>
                <w:szCs w:val="21"/>
                <w:lang w:val="zh-CN"/>
              </w:rPr>
              <w:t>2.4.2.6</w:t>
            </w:r>
          </w:p>
        </w:tc>
        <w:tc>
          <w:tcPr>
            <w:tcW w:w="7490" w:type="dxa"/>
            <w:tcBorders>
              <w:right w:val="single" w:color="auto" w:sz="4" w:space="0"/>
            </w:tcBorders>
            <w:shd w:val="clear" w:color="auto" w:fill="auto"/>
            <w:vAlign w:val="center"/>
          </w:tcPr>
          <w:p>
            <w:pPr>
              <w:rPr>
                <w:rFonts w:ascii="宋体" w:hAnsi="宋体"/>
                <w:kern w:val="0"/>
                <w:sz w:val="20"/>
                <w:szCs w:val="21"/>
              </w:rPr>
            </w:pPr>
            <w:r>
              <w:rPr>
                <w:rFonts w:hint="eastAsia" w:ascii="宋体" w:hAnsi="宋体"/>
                <w:color w:val="242424"/>
                <w:kern w:val="0"/>
                <w:sz w:val="20"/>
                <w:szCs w:val="21"/>
                <w:lang w:val="zh-CN"/>
              </w:rPr>
              <w:t xml:space="preserve">测量范围：0－20L／S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rPr>
            </w:pPr>
            <w:r>
              <w:rPr>
                <w:rFonts w:hint="eastAsia" w:ascii="宋体" w:hAnsi="宋体"/>
                <w:color w:val="242424"/>
                <w:kern w:val="0"/>
                <w:sz w:val="20"/>
                <w:szCs w:val="21"/>
                <w:lang w:val="zh-CN"/>
              </w:rPr>
              <w:t>2.4.2.7</w:t>
            </w:r>
          </w:p>
        </w:tc>
        <w:tc>
          <w:tcPr>
            <w:tcW w:w="7490" w:type="dxa"/>
            <w:tcBorders>
              <w:right w:val="single" w:color="auto" w:sz="4" w:space="0"/>
            </w:tcBorders>
            <w:shd w:val="clear" w:color="auto" w:fill="auto"/>
            <w:vAlign w:val="center"/>
          </w:tcPr>
          <w:p>
            <w:pPr>
              <w:rPr>
                <w:rFonts w:ascii="宋体" w:hAnsi="宋体"/>
                <w:kern w:val="0"/>
                <w:sz w:val="20"/>
                <w:szCs w:val="21"/>
              </w:rPr>
            </w:pPr>
            <w:r>
              <w:rPr>
                <w:rFonts w:hint="eastAsia" w:ascii="宋体" w:hAnsi="宋体"/>
                <w:color w:val="242424"/>
                <w:kern w:val="0"/>
                <w:sz w:val="20"/>
                <w:szCs w:val="21"/>
                <w:lang w:val="zh-CN"/>
              </w:rPr>
              <w:t>分辨率：10ML／S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tcPr>
          <w:p>
            <w:pPr>
              <w:spacing w:after="100" w:afterAutospacing="1"/>
              <w:jc w:val="center"/>
              <w:rPr>
                <w:rFonts w:ascii="宋体" w:hAnsi="宋体"/>
                <w:kern w:val="0"/>
                <w:sz w:val="20"/>
                <w:szCs w:val="21"/>
              </w:rPr>
            </w:pPr>
            <w:r>
              <w:rPr>
                <w:rFonts w:hint="eastAsia" w:ascii="宋体" w:hAnsi="宋体"/>
                <w:color w:val="242424"/>
                <w:kern w:val="0"/>
                <w:sz w:val="20"/>
                <w:szCs w:val="21"/>
                <w:lang w:val="zh-CN"/>
              </w:rPr>
              <w:t>2.4.2.8</w:t>
            </w:r>
          </w:p>
        </w:tc>
        <w:tc>
          <w:tcPr>
            <w:tcW w:w="7490" w:type="dxa"/>
            <w:tcBorders>
              <w:right w:val="single" w:color="auto" w:sz="4" w:space="0"/>
            </w:tcBorders>
            <w:shd w:val="clear" w:color="auto" w:fill="auto"/>
            <w:vAlign w:val="center"/>
          </w:tcPr>
          <w:p>
            <w:pPr>
              <w:rPr>
                <w:rFonts w:ascii="宋体" w:hAnsi="宋体"/>
                <w:kern w:val="0"/>
                <w:sz w:val="20"/>
                <w:szCs w:val="21"/>
              </w:rPr>
            </w:pPr>
            <w:r>
              <w:rPr>
                <w:rFonts w:hint="eastAsia" w:ascii="宋体" w:hAnsi="宋体"/>
                <w:color w:val="242424"/>
                <w:kern w:val="0"/>
                <w:sz w:val="20"/>
                <w:szCs w:val="21"/>
                <w:lang w:val="zh-CN"/>
              </w:rPr>
              <w:t>测量误差：＜2％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vAlign w:val="center"/>
          </w:tcPr>
          <w:p>
            <w:pPr>
              <w:spacing w:after="100" w:afterAutospacing="1"/>
              <w:jc w:val="center"/>
              <w:rPr>
                <w:rFonts w:ascii="宋体" w:hAnsi="宋体"/>
                <w:b/>
                <w:bCs/>
                <w:kern w:val="0"/>
                <w:sz w:val="20"/>
                <w:lang w:val="zh-CN"/>
              </w:rPr>
            </w:pPr>
            <w:r>
              <w:rPr>
                <w:rFonts w:hint="eastAsia" w:ascii="宋体" w:hAnsi="宋体"/>
                <w:b/>
                <w:bCs/>
                <w:color w:val="242424"/>
                <w:kern w:val="0"/>
                <w:sz w:val="20"/>
                <w:lang w:val="zh-CN"/>
              </w:rPr>
              <w:t>2.5</w:t>
            </w:r>
          </w:p>
        </w:tc>
        <w:tc>
          <w:tcPr>
            <w:tcW w:w="7490" w:type="dxa"/>
            <w:tcBorders>
              <w:right w:val="single" w:color="auto" w:sz="4" w:space="0"/>
            </w:tcBorders>
            <w:shd w:val="clear" w:color="auto" w:fill="auto"/>
            <w:vAlign w:val="center"/>
          </w:tcPr>
          <w:p>
            <w:pPr>
              <w:rPr>
                <w:rFonts w:ascii="宋体" w:hAnsi="宋体"/>
                <w:b/>
                <w:bCs/>
                <w:kern w:val="0"/>
                <w:sz w:val="20"/>
                <w:lang w:val="zh-CN"/>
              </w:rPr>
            </w:pPr>
            <w:r>
              <w:rPr>
                <w:rFonts w:ascii="宋体" w:hAnsi="宋体"/>
                <w:b/>
                <w:bCs/>
                <w:color w:val="242424"/>
                <w:kern w:val="0"/>
                <w:sz w:val="20"/>
                <w:lang w:val="zh-CN"/>
              </w:rPr>
              <w:t>环境采样传感器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vAlign w:val="center"/>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2.5.1</w:t>
            </w:r>
          </w:p>
        </w:tc>
        <w:tc>
          <w:tcPr>
            <w:tcW w:w="7490" w:type="dxa"/>
            <w:tcBorders>
              <w:right w:val="single" w:color="auto" w:sz="4" w:space="0"/>
            </w:tcBorders>
            <w:shd w:val="clear" w:color="auto" w:fill="auto"/>
            <w:vAlign w:val="center"/>
          </w:tcPr>
          <w:p>
            <w:pPr>
              <w:rPr>
                <w:rFonts w:ascii="宋体" w:hAnsi="宋体"/>
                <w:color w:val="FF0000"/>
                <w:kern w:val="0"/>
                <w:sz w:val="20"/>
                <w:szCs w:val="21"/>
                <w:lang w:val="zh-CN"/>
              </w:rPr>
            </w:pPr>
            <w:r>
              <w:rPr>
                <w:rFonts w:ascii="宋体" w:hAnsi="宋体"/>
                <w:color w:val="242424"/>
                <w:kern w:val="0"/>
                <w:sz w:val="20"/>
                <w:szCs w:val="21"/>
                <w:lang w:val="zh-CN"/>
              </w:rPr>
              <w:t>大气压采样传感器：范围500~1200hPa，精度±5hPa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vAlign w:val="center"/>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2.5.2</w:t>
            </w:r>
          </w:p>
        </w:tc>
        <w:tc>
          <w:tcPr>
            <w:tcW w:w="7490" w:type="dxa"/>
            <w:tcBorders>
              <w:right w:val="single" w:color="auto" w:sz="4" w:space="0"/>
            </w:tcBorders>
            <w:shd w:val="clear" w:color="auto" w:fill="auto"/>
            <w:vAlign w:val="center"/>
          </w:tcPr>
          <w:p>
            <w:pPr>
              <w:rPr>
                <w:rFonts w:ascii="宋体" w:hAnsi="宋体"/>
                <w:color w:val="FF0000"/>
                <w:kern w:val="0"/>
                <w:sz w:val="20"/>
                <w:szCs w:val="21"/>
                <w:lang w:val="zh-CN"/>
              </w:rPr>
            </w:pPr>
            <w:r>
              <w:rPr>
                <w:rFonts w:ascii="宋体" w:hAnsi="宋体"/>
                <w:color w:val="242424"/>
                <w:kern w:val="0"/>
                <w:sz w:val="20"/>
                <w:szCs w:val="21"/>
                <w:lang w:val="zh-CN"/>
              </w:rPr>
              <w:t>温度采样传感器：范围0℃~40℃，精度:±1℃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vAlign w:val="center"/>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2.5.3</w:t>
            </w:r>
          </w:p>
        </w:tc>
        <w:tc>
          <w:tcPr>
            <w:tcW w:w="7490" w:type="dxa"/>
            <w:tcBorders>
              <w:right w:val="single" w:color="auto" w:sz="4" w:space="0"/>
            </w:tcBorders>
            <w:shd w:val="clear" w:color="auto" w:fill="auto"/>
            <w:vAlign w:val="center"/>
          </w:tcPr>
          <w:p>
            <w:pPr>
              <w:rPr>
                <w:rFonts w:ascii="宋体" w:hAnsi="宋体"/>
                <w:color w:val="FF0000"/>
                <w:kern w:val="0"/>
                <w:sz w:val="20"/>
                <w:szCs w:val="21"/>
                <w:lang w:val="zh-CN"/>
              </w:rPr>
            </w:pPr>
            <w:r>
              <w:rPr>
                <w:rFonts w:ascii="宋体" w:hAnsi="宋体"/>
                <w:color w:val="242424"/>
                <w:kern w:val="0"/>
                <w:sz w:val="20"/>
                <w:szCs w:val="21"/>
                <w:lang w:val="zh-CN"/>
              </w:rPr>
              <w:t>湿度采样传感器：范围0~99%，精度±5%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0" w:hRule="exact"/>
        </w:trPr>
        <w:tc>
          <w:tcPr>
            <w:tcW w:w="1101" w:type="dxa"/>
            <w:shd w:val="clear" w:color="auto" w:fill="auto"/>
            <w:vAlign w:val="center"/>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2.6</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仪器可测定患者年龄段在4岁及以上，如果产品注册证登记表没有设备适合的年龄人群的描述，请提供产品注册的检验报告，以确保此套设备适合于儿童及成人测定。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5" w:hRule="exact"/>
        </w:trPr>
        <w:tc>
          <w:tcPr>
            <w:tcW w:w="1101" w:type="dxa"/>
            <w:shd w:val="clear" w:color="auto" w:fill="auto"/>
            <w:vAlign w:val="center"/>
          </w:tcPr>
          <w:p>
            <w:pPr>
              <w:spacing w:after="100" w:afterAutospacing="1"/>
              <w:jc w:val="center"/>
              <w:rPr>
                <w:rFonts w:ascii="宋体" w:hAnsi="宋体"/>
                <w:kern w:val="0"/>
                <w:sz w:val="20"/>
                <w:szCs w:val="21"/>
                <w:lang w:val="zh-CN"/>
              </w:rPr>
            </w:pPr>
            <w:r>
              <w:rPr>
                <w:rFonts w:ascii="宋体" w:hAnsi="宋体"/>
                <w:color w:val="242424"/>
                <w:kern w:val="0"/>
                <w:sz w:val="20"/>
                <w:szCs w:val="21"/>
                <w:lang w:val="zh-CN"/>
              </w:rPr>
              <w:t>2.7</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投标设备为模块化设计，以后可根据医院需要增加体描箱模块、</w:t>
            </w:r>
            <w:r>
              <w:rPr>
                <w:rFonts w:hint="eastAsia" w:ascii="宋体" w:hAnsi="宋体"/>
                <w:color w:val="242424"/>
                <w:kern w:val="0"/>
                <w:sz w:val="20"/>
                <w:szCs w:val="21"/>
              </w:rPr>
              <w:t>运动心肺</w:t>
            </w:r>
            <w:r>
              <w:rPr>
                <w:rFonts w:ascii="宋体" w:hAnsi="宋体"/>
                <w:color w:val="242424"/>
                <w:kern w:val="0"/>
                <w:sz w:val="20"/>
                <w:szCs w:val="21"/>
                <w:lang w:val="zh-CN"/>
              </w:rPr>
              <w:t>模块等等，各模块必须具备注册证或注册证中有相关功能描述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vAlign w:val="center"/>
          </w:tcPr>
          <w:p>
            <w:pPr>
              <w:spacing w:after="100" w:afterAutospacing="1"/>
              <w:jc w:val="center"/>
              <w:rPr>
                <w:rFonts w:ascii="宋体" w:hAnsi="宋体"/>
                <w:color w:val="000000"/>
                <w:kern w:val="0"/>
                <w:sz w:val="20"/>
                <w:szCs w:val="21"/>
                <w:lang w:val="zh-CN"/>
              </w:rPr>
            </w:pPr>
            <w:r>
              <w:rPr>
                <w:rFonts w:hint="eastAsia" w:ascii="宋体" w:hAnsi="宋体"/>
                <w:color w:val="242424"/>
                <w:kern w:val="0"/>
                <w:sz w:val="20"/>
                <w:szCs w:val="21"/>
                <w:lang w:val="zh-CN"/>
              </w:rPr>
              <w:t>2.8</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hint="eastAsia" w:ascii="宋体" w:hAnsi="宋体"/>
                <w:color w:val="242424"/>
                <w:kern w:val="0"/>
                <w:sz w:val="20"/>
                <w:szCs w:val="21"/>
                <w:lang w:val="zh-CN"/>
              </w:rPr>
              <w:t>投标设备采用中文操作系统及具备中国人预计值系统，并开放预计值系统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exact"/>
        </w:trPr>
        <w:tc>
          <w:tcPr>
            <w:tcW w:w="1101" w:type="dxa"/>
            <w:shd w:val="clear" w:color="auto" w:fill="auto"/>
            <w:vAlign w:val="center"/>
          </w:tcPr>
          <w:p>
            <w:pPr>
              <w:spacing w:after="100" w:afterAutospacing="1"/>
              <w:jc w:val="center"/>
              <w:rPr>
                <w:rFonts w:ascii="宋体" w:hAnsi="宋体"/>
                <w:sz w:val="20"/>
              </w:rPr>
            </w:pPr>
            <w:r>
              <w:rPr>
                <w:rFonts w:hint="eastAsia" w:ascii="宋体" w:hAnsi="宋体"/>
                <w:color w:val="242424"/>
                <w:sz w:val="20"/>
              </w:rPr>
              <w:t>2.9</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上述测定功能、技术参数均应提供原厂DATASHEET彩页材料附在后页作为证明，并提供原厂官网地址，以备核查。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01" w:type="dxa"/>
            <w:shd w:val="clear" w:color="auto" w:fill="auto"/>
            <w:vAlign w:val="center"/>
          </w:tcPr>
          <w:p>
            <w:pPr>
              <w:spacing w:after="100" w:afterAutospacing="1"/>
              <w:jc w:val="center"/>
              <w:rPr>
                <w:rFonts w:ascii="宋体" w:hAnsi="宋体"/>
                <w:kern w:val="0"/>
                <w:sz w:val="20"/>
                <w:szCs w:val="21"/>
                <w:lang w:val="zh-CN"/>
              </w:rPr>
            </w:pPr>
            <w:r>
              <w:rPr>
                <w:rFonts w:ascii="宋体" w:hAnsi="宋体"/>
                <w:color w:val="242424"/>
                <w:kern w:val="0"/>
                <w:sz w:val="20"/>
                <w:szCs w:val="21"/>
              </w:rPr>
              <w:t>2.10</w:t>
            </w:r>
          </w:p>
        </w:tc>
        <w:tc>
          <w:tcPr>
            <w:tcW w:w="7490" w:type="dxa"/>
            <w:tcBorders>
              <w:right w:val="single" w:color="auto" w:sz="4" w:space="0"/>
            </w:tcBorders>
            <w:shd w:val="clear" w:color="auto" w:fill="auto"/>
            <w:vAlign w:val="center"/>
          </w:tcPr>
          <w:p>
            <w:pPr>
              <w:rPr>
                <w:rFonts w:ascii="宋体" w:hAnsi="宋体"/>
                <w:kern w:val="0"/>
                <w:sz w:val="20"/>
                <w:szCs w:val="21"/>
                <w:lang w:val="zh-CN"/>
              </w:rPr>
            </w:pPr>
            <w:r>
              <w:rPr>
                <w:rFonts w:ascii="宋体" w:hAnsi="宋体"/>
                <w:color w:val="242424"/>
                <w:kern w:val="0"/>
                <w:sz w:val="20"/>
                <w:szCs w:val="21"/>
                <w:lang w:val="zh-CN"/>
              </w:rPr>
              <w:t>采用专用商用计算机系统；</w:t>
            </w:r>
            <w:r>
              <w:rPr>
                <w:rFonts w:hint="eastAsia" w:ascii="宋体" w:hAnsi="宋体"/>
                <w:color w:val="242424"/>
                <w:kern w:val="0"/>
                <w:sz w:val="20"/>
                <w:szCs w:val="21"/>
              </w:rPr>
              <w:t>喷墨打印</w:t>
            </w:r>
            <w:r>
              <w:rPr>
                <w:rFonts w:ascii="宋体" w:hAnsi="宋体"/>
                <w:color w:val="242424"/>
                <w:kern w:val="0"/>
                <w:sz w:val="20"/>
                <w:szCs w:val="21"/>
                <w:lang w:val="zh-CN"/>
              </w:rPr>
              <w:t>机， 19彩色液晶显示器,中文Windows操作系统</w:t>
            </w:r>
          </w:p>
        </w:tc>
      </w:tr>
    </w:tbl>
    <w:p>
      <w:pPr>
        <w:rPr>
          <w:rFonts w:hint="eastAsia" w:ascii="Arial" w:hAnsi="Arial" w:cs="Arial"/>
          <w:szCs w:val="21"/>
        </w:rPr>
      </w:pPr>
    </w:p>
    <w:p>
      <w:pPr>
        <w:rPr>
          <w:rFonts w:hint="eastAsia" w:ascii="Arial" w:hAnsi="Arial" w:cs="Arial"/>
          <w:szCs w:val="21"/>
        </w:rPr>
      </w:pPr>
    </w:p>
    <w:p>
      <w:pPr>
        <w:rPr>
          <w:rFonts w:ascii="宋体" w:hAnsi="宋体"/>
          <w:b/>
          <w:sz w:val="28"/>
          <w:szCs w:val="28"/>
        </w:rPr>
      </w:pPr>
      <w:r>
        <w:rPr>
          <w:rFonts w:hint="eastAsia" w:ascii="Arial" w:hAnsi="Arial" w:cs="Arial"/>
          <w:szCs w:val="21"/>
        </w:rPr>
        <w:t>★</w:t>
      </w:r>
      <w:r>
        <w:rPr>
          <w:rFonts w:hint="eastAsia" w:ascii="宋体" w:hAnsi="宋体"/>
          <w:b/>
          <w:sz w:val="28"/>
          <w:szCs w:val="28"/>
        </w:rPr>
        <w:t>三、配置要求</w:t>
      </w:r>
    </w:p>
    <w:tbl>
      <w:tblPr>
        <w:tblStyle w:val="65"/>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pPr>
              <w:spacing w:line="360" w:lineRule="auto"/>
              <w:jc w:val="center"/>
              <w:rPr>
                <w:rFonts w:ascii="宋体" w:hAnsi="宋体" w:cs="宋体"/>
                <w:b/>
                <w:sz w:val="24"/>
              </w:rPr>
            </w:pPr>
            <w:r>
              <w:rPr>
                <w:rFonts w:hAnsi="宋体"/>
                <w:b/>
                <w:sz w:val="24"/>
              </w:rPr>
              <w:t>序号</w:t>
            </w:r>
          </w:p>
        </w:tc>
        <w:tc>
          <w:tcPr>
            <w:tcW w:w="7652" w:type="dxa"/>
            <w:tcBorders>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after="100" w:afterAutospacing="1"/>
              <w:jc w:val="center"/>
              <w:rPr>
                <w:rFonts w:ascii="宋体" w:hAnsi="宋体"/>
                <w:kern w:val="0"/>
                <w:szCs w:val="21"/>
                <w:lang w:val="zh-CN"/>
              </w:rPr>
            </w:pPr>
            <w:r>
              <w:rPr>
                <w:rFonts w:hint="eastAsia" w:ascii="宋体" w:hAnsi="宋体"/>
                <w:color w:val="242424"/>
                <w:kern w:val="0"/>
                <w:szCs w:val="21"/>
                <w:lang w:val="zh-CN"/>
              </w:rPr>
              <w:t>1</w:t>
            </w:r>
          </w:p>
        </w:tc>
        <w:tc>
          <w:tcPr>
            <w:tcW w:w="7652" w:type="dxa"/>
            <w:tcBorders>
              <w:right w:val="single" w:color="auto" w:sz="4" w:space="0"/>
            </w:tcBorders>
            <w:vAlign w:val="center"/>
          </w:tcPr>
          <w:p>
            <w:pPr>
              <w:spacing w:line="260" w:lineRule="exact"/>
              <w:rPr>
                <w:rFonts w:ascii="宋体" w:hAnsi="宋体"/>
                <w:kern w:val="0"/>
                <w:szCs w:val="21"/>
                <w:lang w:val="zh-CN"/>
              </w:rPr>
            </w:pPr>
            <w:r>
              <w:rPr>
                <w:rFonts w:hint="eastAsia" w:ascii="宋体" w:hAnsi="宋体"/>
                <w:color w:val="242424"/>
                <w:kern w:val="0"/>
                <w:szCs w:val="21"/>
                <w:lang w:val="zh-CN"/>
              </w:rPr>
              <w:t>主机箱1套；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after="100" w:afterAutospacing="1"/>
              <w:jc w:val="center"/>
              <w:rPr>
                <w:rFonts w:ascii="宋体" w:hAnsi="宋体"/>
                <w:kern w:val="0"/>
                <w:szCs w:val="21"/>
                <w:lang w:val="zh-CN"/>
              </w:rPr>
            </w:pPr>
            <w:r>
              <w:rPr>
                <w:rFonts w:hint="eastAsia" w:ascii="宋体" w:hAnsi="宋体"/>
                <w:color w:val="242424"/>
                <w:kern w:val="0"/>
                <w:szCs w:val="21"/>
                <w:lang w:val="zh-CN"/>
              </w:rPr>
              <w:t>2</w:t>
            </w:r>
          </w:p>
        </w:tc>
        <w:tc>
          <w:tcPr>
            <w:tcW w:w="7652" w:type="dxa"/>
            <w:tcBorders>
              <w:right w:val="single" w:color="auto" w:sz="4" w:space="0"/>
            </w:tcBorders>
            <w:vAlign w:val="bottom"/>
          </w:tcPr>
          <w:p>
            <w:pPr>
              <w:rPr>
                <w:rFonts w:ascii="宋体" w:hAnsi="宋体"/>
                <w:kern w:val="0"/>
                <w:szCs w:val="21"/>
                <w:lang w:val="zh-CN"/>
              </w:rPr>
            </w:pPr>
            <w:r>
              <w:rPr>
                <w:rFonts w:hint="eastAsia" w:ascii="宋体" w:hAnsi="宋体"/>
                <w:color w:val="242424"/>
                <w:kern w:val="0"/>
                <w:szCs w:val="21"/>
                <w:lang w:val="zh-CN"/>
              </w:rPr>
              <w:t>原装原配可移动工作台1套；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after="100" w:afterAutospacing="1"/>
              <w:jc w:val="center"/>
              <w:rPr>
                <w:rFonts w:ascii="宋体" w:hAnsi="宋体"/>
                <w:kern w:val="0"/>
                <w:szCs w:val="21"/>
                <w:lang w:val="zh-CN"/>
              </w:rPr>
            </w:pPr>
            <w:r>
              <w:rPr>
                <w:rFonts w:hint="eastAsia" w:ascii="宋体" w:hAnsi="宋体"/>
                <w:color w:val="242424"/>
                <w:kern w:val="0"/>
                <w:szCs w:val="21"/>
                <w:lang w:val="zh-CN"/>
              </w:rPr>
              <w:t>3</w:t>
            </w:r>
          </w:p>
        </w:tc>
        <w:tc>
          <w:tcPr>
            <w:tcW w:w="7652" w:type="dxa"/>
            <w:tcBorders>
              <w:right w:val="single" w:color="auto" w:sz="4" w:space="0"/>
            </w:tcBorders>
          </w:tcPr>
          <w:p>
            <w:pPr>
              <w:rPr>
                <w:rFonts w:ascii="宋体" w:hAnsi="宋体"/>
                <w:kern w:val="0"/>
                <w:szCs w:val="21"/>
                <w:lang w:val="zh-CN"/>
              </w:rPr>
            </w:pPr>
            <w:r>
              <w:rPr>
                <w:rFonts w:hint="eastAsia" w:ascii="宋体" w:hAnsi="宋体"/>
                <w:color w:val="242424"/>
                <w:kern w:val="0"/>
                <w:szCs w:val="21"/>
                <w:lang w:val="zh-CN"/>
              </w:rPr>
              <w:t>气体分析盒 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after="100" w:afterAutospacing="1"/>
              <w:jc w:val="center"/>
              <w:rPr>
                <w:rFonts w:ascii="宋体" w:hAnsi="宋体"/>
                <w:kern w:val="0"/>
                <w:szCs w:val="21"/>
                <w:lang w:val="zh-CN"/>
              </w:rPr>
            </w:pPr>
            <w:r>
              <w:rPr>
                <w:rFonts w:hint="eastAsia" w:ascii="宋体" w:hAnsi="宋体"/>
                <w:color w:val="242424"/>
                <w:kern w:val="0"/>
                <w:szCs w:val="21"/>
                <w:lang w:val="zh-CN"/>
              </w:rPr>
              <w:t>4</w:t>
            </w:r>
          </w:p>
        </w:tc>
        <w:tc>
          <w:tcPr>
            <w:tcW w:w="7652" w:type="dxa"/>
            <w:tcBorders>
              <w:right w:val="single" w:color="auto" w:sz="4" w:space="0"/>
            </w:tcBorders>
          </w:tcPr>
          <w:p>
            <w:pPr>
              <w:rPr>
                <w:rFonts w:ascii="宋体" w:hAnsi="宋体"/>
                <w:kern w:val="0"/>
                <w:szCs w:val="21"/>
                <w:lang w:val="zh-CN"/>
              </w:rPr>
            </w:pPr>
            <w:r>
              <w:rPr>
                <w:rFonts w:hint="eastAsia" w:ascii="宋体" w:hAnsi="宋体"/>
                <w:color w:val="242424"/>
                <w:kern w:val="0"/>
                <w:szCs w:val="21"/>
                <w:lang w:val="zh-CN"/>
              </w:rPr>
              <w:t>带口压检查的流速传感器手柄2套；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after="100" w:afterAutospacing="1"/>
              <w:jc w:val="center"/>
              <w:rPr>
                <w:rFonts w:ascii="宋体" w:hAnsi="宋体"/>
                <w:kern w:val="0"/>
                <w:szCs w:val="21"/>
                <w:lang w:val="zh-CN"/>
              </w:rPr>
            </w:pPr>
            <w:r>
              <w:rPr>
                <w:rFonts w:hint="eastAsia" w:ascii="宋体" w:hAnsi="宋体"/>
                <w:color w:val="242424"/>
                <w:kern w:val="0"/>
                <w:szCs w:val="21"/>
                <w:lang w:val="zh-CN"/>
              </w:rPr>
              <w:t>5</w:t>
            </w:r>
          </w:p>
        </w:tc>
        <w:tc>
          <w:tcPr>
            <w:tcW w:w="7652" w:type="dxa"/>
            <w:tcBorders>
              <w:right w:val="single" w:color="auto" w:sz="4" w:space="0"/>
            </w:tcBorders>
            <w:vAlign w:val="bottom"/>
          </w:tcPr>
          <w:p>
            <w:pPr>
              <w:rPr>
                <w:rFonts w:ascii="宋体" w:hAnsi="宋体"/>
                <w:kern w:val="0"/>
                <w:szCs w:val="21"/>
                <w:lang w:val="zh-CN"/>
              </w:rPr>
            </w:pPr>
            <w:r>
              <w:rPr>
                <w:rFonts w:hint="eastAsia" w:ascii="宋体" w:hAnsi="宋体"/>
                <w:color w:val="242424"/>
                <w:kern w:val="0"/>
                <w:szCs w:val="21"/>
                <w:lang w:val="zh-CN"/>
              </w:rPr>
              <w:t>带加热电路的流速传感器2套；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after="100" w:afterAutospacing="1"/>
              <w:jc w:val="center"/>
              <w:rPr>
                <w:rFonts w:ascii="宋体" w:hAnsi="宋体"/>
                <w:kern w:val="0"/>
                <w:szCs w:val="21"/>
                <w:lang w:val="zh-CN"/>
              </w:rPr>
            </w:pPr>
            <w:r>
              <w:rPr>
                <w:rFonts w:hint="eastAsia" w:ascii="宋体" w:hAnsi="宋体"/>
                <w:color w:val="242424"/>
                <w:kern w:val="0"/>
                <w:szCs w:val="21"/>
                <w:lang w:val="zh-CN"/>
              </w:rPr>
              <w:t>6</w:t>
            </w:r>
          </w:p>
        </w:tc>
        <w:tc>
          <w:tcPr>
            <w:tcW w:w="7652" w:type="dxa"/>
            <w:tcBorders>
              <w:right w:val="single" w:color="auto" w:sz="4" w:space="0"/>
            </w:tcBorders>
          </w:tcPr>
          <w:p>
            <w:pPr>
              <w:rPr>
                <w:rFonts w:ascii="宋体" w:hAnsi="宋体"/>
                <w:kern w:val="0"/>
                <w:szCs w:val="21"/>
                <w:lang w:val="zh-CN"/>
              </w:rPr>
            </w:pPr>
            <w:r>
              <w:rPr>
                <w:rFonts w:hint="eastAsia" w:ascii="宋体" w:hAnsi="宋体"/>
                <w:color w:val="242424"/>
                <w:kern w:val="0"/>
                <w:szCs w:val="21"/>
                <w:lang w:val="zh-CN"/>
              </w:rPr>
              <w:t>球阀1套；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after="100" w:afterAutospacing="1"/>
              <w:jc w:val="center"/>
              <w:rPr>
                <w:rFonts w:ascii="宋体" w:hAnsi="宋体"/>
                <w:kern w:val="0"/>
                <w:szCs w:val="21"/>
                <w:lang w:val="zh-CN"/>
              </w:rPr>
            </w:pPr>
            <w:r>
              <w:rPr>
                <w:rFonts w:hint="eastAsia" w:ascii="宋体" w:hAnsi="宋体"/>
                <w:color w:val="242424"/>
                <w:kern w:val="0"/>
                <w:szCs w:val="21"/>
                <w:lang w:val="zh-CN"/>
              </w:rPr>
              <w:t>7</w:t>
            </w:r>
          </w:p>
        </w:tc>
        <w:tc>
          <w:tcPr>
            <w:tcW w:w="7652" w:type="dxa"/>
            <w:tcBorders>
              <w:right w:val="single" w:color="auto" w:sz="4" w:space="0"/>
            </w:tcBorders>
          </w:tcPr>
          <w:p>
            <w:pPr>
              <w:rPr>
                <w:rFonts w:ascii="宋体" w:hAnsi="宋体"/>
                <w:kern w:val="0"/>
                <w:szCs w:val="21"/>
                <w:lang w:val="zh-CN"/>
              </w:rPr>
            </w:pPr>
            <w:r>
              <w:rPr>
                <w:rFonts w:hint="eastAsia" w:ascii="宋体" w:hAnsi="宋体"/>
                <w:color w:val="242424"/>
                <w:kern w:val="0"/>
                <w:szCs w:val="21"/>
                <w:lang w:val="zh-CN"/>
              </w:rPr>
              <w:t>自动环境参数测量模块1套；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after="100" w:afterAutospacing="1"/>
              <w:jc w:val="center"/>
              <w:rPr>
                <w:rFonts w:ascii="宋体" w:hAnsi="宋体"/>
                <w:kern w:val="0"/>
                <w:szCs w:val="21"/>
                <w:lang w:val="zh-CN"/>
              </w:rPr>
            </w:pPr>
            <w:r>
              <w:rPr>
                <w:rFonts w:hint="eastAsia" w:ascii="宋体" w:hAnsi="宋体"/>
                <w:color w:val="242424"/>
                <w:kern w:val="0"/>
                <w:szCs w:val="21"/>
                <w:lang w:val="zh-CN"/>
              </w:rPr>
              <w:t>8</w:t>
            </w:r>
          </w:p>
        </w:tc>
        <w:tc>
          <w:tcPr>
            <w:tcW w:w="7652" w:type="dxa"/>
            <w:tcBorders>
              <w:right w:val="single" w:color="auto" w:sz="4" w:space="0"/>
            </w:tcBorders>
          </w:tcPr>
          <w:p>
            <w:pPr>
              <w:rPr>
                <w:rFonts w:ascii="宋体" w:hAnsi="宋体"/>
                <w:kern w:val="0"/>
                <w:szCs w:val="21"/>
                <w:lang w:val="zh-CN"/>
              </w:rPr>
            </w:pPr>
            <w:r>
              <w:rPr>
                <w:rFonts w:hint="eastAsia" w:ascii="宋体" w:hAnsi="宋体"/>
                <w:color w:val="242424"/>
                <w:kern w:val="0"/>
                <w:szCs w:val="21"/>
                <w:lang w:val="zh-CN"/>
              </w:rPr>
              <w:t>气体采样电磁按需阀1套；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after="100" w:afterAutospacing="1"/>
              <w:jc w:val="center"/>
              <w:rPr>
                <w:rFonts w:ascii="宋体" w:hAnsi="宋体"/>
                <w:kern w:val="0"/>
                <w:szCs w:val="21"/>
                <w:lang w:val="zh-CN"/>
              </w:rPr>
            </w:pPr>
            <w:r>
              <w:rPr>
                <w:rFonts w:hint="eastAsia" w:ascii="宋体" w:hAnsi="宋体"/>
                <w:color w:val="242424"/>
                <w:kern w:val="0"/>
                <w:szCs w:val="21"/>
                <w:lang w:val="zh-CN"/>
              </w:rPr>
              <w:t>9</w:t>
            </w:r>
          </w:p>
        </w:tc>
        <w:tc>
          <w:tcPr>
            <w:tcW w:w="7652" w:type="dxa"/>
            <w:tcBorders>
              <w:right w:val="single" w:color="auto" w:sz="4" w:space="0"/>
            </w:tcBorders>
          </w:tcPr>
          <w:p>
            <w:pPr>
              <w:rPr>
                <w:rFonts w:ascii="宋体" w:hAnsi="宋体"/>
                <w:kern w:val="0"/>
                <w:szCs w:val="21"/>
                <w:lang w:val="zh-CN"/>
              </w:rPr>
            </w:pPr>
            <w:r>
              <w:rPr>
                <w:rFonts w:hint="eastAsia" w:ascii="宋体" w:hAnsi="宋体"/>
                <w:color w:val="242424"/>
                <w:kern w:val="0"/>
                <w:szCs w:val="21"/>
                <w:lang w:val="zh-CN"/>
              </w:rPr>
              <w:t>气体全自动恒定压力型减压表1套；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after="100" w:afterAutospacing="1"/>
              <w:jc w:val="center"/>
              <w:rPr>
                <w:rFonts w:ascii="宋体" w:hAnsi="宋体"/>
                <w:kern w:val="0"/>
                <w:szCs w:val="21"/>
                <w:lang w:val="zh-CN"/>
              </w:rPr>
            </w:pPr>
            <w:r>
              <w:rPr>
                <w:rFonts w:hint="eastAsia" w:ascii="宋体" w:hAnsi="宋体"/>
                <w:color w:val="242424"/>
                <w:kern w:val="0"/>
                <w:szCs w:val="21"/>
                <w:lang w:val="zh-CN"/>
              </w:rPr>
              <w:t>10</w:t>
            </w:r>
          </w:p>
        </w:tc>
        <w:tc>
          <w:tcPr>
            <w:tcW w:w="7652" w:type="dxa"/>
            <w:tcBorders>
              <w:right w:val="single" w:color="auto" w:sz="4" w:space="0"/>
            </w:tcBorders>
          </w:tcPr>
          <w:p>
            <w:pPr>
              <w:rPr>
                <w:rFonts w:ascii="宋体" w:hAnsi="宋体"/>
                <w:kern w:val="0"/>
                <w:szCs w:val="21"/>
                <w:lang w:val="zh-CN"/>
              </w:rPr>
            </w:pPr>
            <w:r>
              <w:rPr>
                <w:rFonts w:hint="eastAsia" w:ascii="宋体" w:hAnsi="宋体"/>
                <w:color w:val="242424"/>
                <w:kern w:val="0"/>
                <w:szCs w:val="21"/>
                <w:lang w:val="zh-CN"/>
              </w:rPr>
              <w:t>3升定标筒1套；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after="100" w:afterAutospacing="1"/>
              <w:jc w:val="center"/>
              <w:rPr>
                <w:rFonts w:ascii="宋体" w:hAnsi="宋体"/>
                <w:kern w:val="0"/>
                <w:szCs w:val="21"/>
              </w:rPr>
            </w:pPr>
            <w:r>
              <w:rPr>
                <w:rFonts w:hint="eastAsia" w:ascii="宋体" w:hAnsi="宋体"/>
                <w:color w:val="242424"/>
                <w:kern w:val="0"/>
                <w:szCs w:val="21"/>
                <w:lang w:val="zh-CN"/>
              </w:rPr>
              <w:t>11</w:t>
            </w:r>
          </w:p>
        </w:tc>
        <w:tc>
          <w:tcPr>
            <w:tcW w:w="7652" w:type="dxa"/>
            <w:tcBorders>
              <w:right w:val="single" w:color="auto" w:sz="4" w:space="0"/>
            </w:tcBorders>
          </w:tcPr>
          <w:p>
            <w:pPr>
              <w:rPr>
                <w:rFonts w:ascii="宋体" w:hAnsi="宋体"/>
                <w:kern w:val="0"/>
                <w:szCs w:val="21"/>
                <w:lang w:val="zh-CN"/>
              </w:rPr>
            </w:pPr>
            <w:r>
              <w:rPr>
                <w:rFonts w:hint="eastAsia" w:ascii="宋体" w:hAnsi="宋体"/>
                <w:color w:val="242424"/>
                <w:kern w:val="0"/>
                <w:szCs w:val="21"/>
                <w:lang w:val="zh-CN"/>
              </w:rPr>
              <w:t>激发试验电路接口卡1块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after="100" w:afterAutospacing="1"/>
              <w:jc w:val="center"/>
              <w:rPr>
                <w:rFonts w:ascii="宋体" w:hAnsi="宋体"/>
                <w:kern w:val="0"/>
                <w:szCs w:val="21"/>
                <w:lang w:val="zh-CN"/>
              </w:rPr>
            </w:pPr>
            <w:r>
              <w:rPr>
                <w:rFonts w:hint="eastAsia" w:ascii="宋体" w:hAnsi="宋体"/>
                <w:color w:val="242424"/>
                <w:kern w:val="0"/>
                <w:szCs w:val="21"/>
                <w:lang w:val="zh-CN"/>
              </w:rPr>
              <w:t>12</w:t>
            </w:r>
          </w:p>
        </w:tc>
        <w:tc>
          <w:tcPr>
            <w:tcW w:w="7652" w:type="dxa"/>
            <w:tcBorders>
              <w:right w:val="single" w:color="auto" w:sz="4" w:space="0"/>
            </w:tcBorders>
          </w:tcPr>
          <w:p>
            <w:pPr>
              <w:rPr>
                <w:rFonts w:ascii="宋体" w:hAnsi="宋体"/>
                <w:kern w:val="0"/>
                <w:szCs w:val="21"/>
                <w:lang w:val="zh-CN"/>
              </w:rPr>
            </w:pPr>
            <w:r>
              <w:rPr>
                <w:rFonts w:hint="eastAsia" w:ascii="宋体" w:hAnsi="宋体"/>
                <w:color w:val="242424"/>
                <w:kern w:val="0"/>
                <w:szCs w:val="21"/>
                <w:lang w:val="zh-CN"/>
              </w:rPr>
              <w:t>激发测试控制器（测试头）1套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after="100" w:afterAutospacing="1"/>
              <w:jc w:val="center"/>
              <w:rPr>
                <w:rFonts w:ascii="宋体" w:hAnsi="宋体"/>
                <w:kern w:val="0"/>
                <w:szCs w:val="21"/>
                <w:lang w:val="zh-CN"/>
              </w:rPr>
            </w:pPr>
            <w:r>
              <w:rPr>
                <w:rFonts w:hint="eastAsia" w:ascii="宋体" w:hAnsi="宋体"/>
                <w:color w:val="242424"/>
                <w:kern w:val="0"/>
                <w:szCs w:val="21"/>
                <w:lang w:val="zh-CN"/>
              </w:rPr>
              <w:t>13</w:t>
            </w:r>
          </w:p>
        </w:tc>
        <w:tc>
          <w:tcPr>
            <w:tcW w:w="7652" w:type="dxa"/>
            <w:tcBorders>
              <w:right w:val="single" w:color="auto" w:sz="4" w:space="0"/>
            </w:tcBorders>
          </w:tcPr>
          <w:p>
            <w:pPr>
              <w:rPr>
                <w:rFonts w:ascii="宋体" w:hAnsi="宋体"/>
                <w:kern w:val="0"/>
                <w:szCs w:val="21"/>
                <w:lang w:val="zh-CN"/>
              </w:rPr>
            </w:pPr>
            <w:r>
              <w:rPr>
                <w:rFonts w:hint="eastAsia" w:ascii="宋体" w:hAnsi="宋体"/>
                <w:color w:val="242424"/>
                <w:kern w:val="0"/>
                <w:szCs w:val="21"/>
                <w:lang w:val="zh-CN"/>
              </w:rPr>
              <w:t>内置的空气压缩机1套；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after="100" w:afterAutospacing="1"/>
              <w:jc w:val="center"/>
              <w:rPr>
                <w:rFonts w:ascii="宋体" w:hAnsi="宋体"/>
                <w:kern w:val="0"/>
                <w:szCs w:val="21"/>
                <w:lang w:val="zh-CN"/>
              </w:rPr>
            </w:pPr>
            <w:r>
              <w:rPr>
                <w:rFonts w:hint="eastAsia" w:ascii="宋体" w:hAnsi="宋体"/>
                <w:color w:val="242424"/>
                <w:kern w:val="0"/>
                <w:szCs w:val="21"/>
                <w:lang w:val="zh-CN"/>
              </w:rPr>
              <w:t>14</w:t>
            </w:r>
          </w:p>
        </w:tc>
        <w:tc>
          <w:tcPr>
            <w:tcW w:w="7652" w:type="dxa"/>
            <w:tcBorders>
              <w:right w:val="single" w:color="auto" w:sz="4" w:space="0"/>
            </w:tcBorders>
          </w:tcPr>
          <w:p>
            <w:pPr>
              <w:rPr>
                <w:rFonts w:ascii="宋体" w:hAnsi="宋体"/>
                <w:kern w:val="0"/>
                <w:szCs w:val="21"/>
                <w:lang w:val="zh-CN"/>
              </w:rPr>
            </w:pPr>
            <w:r>
              <w:rPr>
                <w:rFonts w:hint="eastAsia" w:ascii="宋体" w:hAnsi="宋体"/>
                <w:color w:val="242424"/>
                <w:kern w:val="0"/>
                <w:szCs w:val="21"/>
                <w:lang w:val="zh-CN"/>
              </w:rPr>
              <w:t>脉冲发生器和数据处理器1套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after="100" w:afterAutospacing="1"/>
              <w:jc w:val="center"/>
              <w:rPr>
                <w:rFonts w:ascii="宋体" w:hAnsi="宋体"/>
                <w:kern w:val="0"/>
                <w:szCs w:val="21"/>
                <w:lang w:val="zh-CN"/>
              </w:rPr>
            </w:pPr>
            <w:r>
              <w:rPr>
                <w:rFonts w:hint="eastAsia" w:ascii="宋体" w:hAnsi="宋体"/>
                <w:color w:val="242424"/>
                <w:kern w:val="0"/>
                <w:szCs w:val="21"/>
                <w:lang w:val="zh-CN"/>
              </w:rPr>
              <w:t>15</w:t>
            </w:r>
          </w:p>
        </w:tc>
        <w:tc>
          <w:tcPr>
            <w:tcW w:w="7652" w:type="dxa"/>
            <w:tcBorders>
              <w:right w:val="single" w:color="auto" w:sz="4" w:space="0"/>
            </w:tcBorders>
          </w:tcPr>
          <w:p>
            <w:pPr>
              <w:rPr>
                <w:rFonts w:ascii="宋体" w:hAnsi="宋体"/>
                <w:kern w:val="0"/>
                <w:szCs w:val="21"/>
                <w:lang w:val="zh-CN"/>
              </w:rPr>
            </w:pPr>
            <w:r>
              <w:rPr>
                <w:rFonts w:hint="eastAsia" w:ascii="宋体" w:hAnsi="宋体"/>
                <w:color w:val="242424"/>
                <w:kern w:val="0"/>
                <w:szCs w:val="21"/>
                <w:lang w:val="zh-CN"/>
              </w:rPr>
              <w:t>连接管路1套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after="100" w:afterAutospacing="1"/>
              <w:jc w:val="center"/>
              <w:rPr>
                <w:rFonts w:ascii="宋体" w:hAnsi="宋体"/>
                <w:kern w:val="0"/>
                <w:szCs w:val="21"/>
                <w:lang w:val="zh-CN"/>
              </w:rPr>
            </w:pPr>
            <w:r>
              <w:rPr>
                <w:rFonts w:hint="eastAsia" w:ascii="宋体" w:hAnsi="宋体"/>
                <w:color w:val="242424"/>
                <w:kern w:val="0"/>
                <w:szCs w:val="21"/>
                <w:lang w:val="zh-CN"/>
              </w:rPr>
              <w:t>16</w:t>
            </w:r>
          </w:p>
        </w:tc>
        <w:tc>
          <w:tcPr>
            <w:tcW w:w="7652" w:type="dxa"/>
            <w:tcBorders>
              <w:right w:val="single" w:color="auto" w:sz="4" w:space="0"/>
            </w:tcBorders>
          </w:tcPr>
          <w:p>
            <w:pPr>
              <w:rPr>
                <w:rFonts w:ascii="宋体" w:hAnsi="宋体"/>
                <w:kern w:val="0"/>
                <w:szCs w:val="21"/>
                <w:lang w:val="zh-CN"/>
              </w:rPr>
            </w:pPr>
            <w:r>
              <w:rPr>
                <w:rFonts w:hint="eastAsia" w:ascii="宋体" w:hAnsi="宋体"/>
                <w:color w:val="242424"/>
                <w:kern w:val="0"/>
                <w:szCs w:val="21"/>
                <w:lang w:val="zh-CN"/>
              </w:rPr>
              <w:t>三通连接头1块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after="100" w:afterAutospacing="1"/>
              <w:jc w:val="center"/>
              <w:rPr>
                <w:rFonts w:ascii="宋体" w:hAnsi="宋体"/>
                <w:kern w:val="0"/>
                <w:szCs w:val="21"/>
                <w:lang w:val="zh-CN"/>
              </w:rPr>
            </w:pPr>
            <w:r>
              <w:rPr>
                <w:rFonts w:hint="eastAsia" w:ascii="宋体" w:hAnsi="宋体"/>
                <w:color w:val="242424"/>
                <w:kern w:val="0"/>
                <w:szCs w:val="21"/>
                <w:lang w:val="zh-CN"/>
              </w:rPr>
              <w:t>17</w:t>
            </w:r>
          </w:p>
        </w:tc>
        <w:tc>
          <w:tcPr>
            <w:tcW w:w="7652" w:type="dxa"/>
            <w:tcBorders>
              <w:right w:val="single" w:color="auto" w:sz="4" w:space="0"/>
            </w:tcBorders>
          </w:tcPr>
          <w:p>
            <w:pPr>
              <w:rPr>
                <w:rFonts w:ascii="宋体" w:hAnsi="宋体"/>
                <w:kern w:val="0"/>
                <w:szCs w:val="21"/>
                <w:lang w:val="zh-CN"/>
              </w:rPr>
            </w:pPr>
            <w:r>
              <w:rPr>
                <w:rFonts w:hint="eastAsia" w:ascii="宋体" w:hAnsi="宋体"/>
                <w:color w:val="242424"/>
                <w:kern w:val="0"/>
                <w:szCs w:val="21"/>
                <w:lang w:val="zh-CN"/>
              </w:rPr>
              <w:t>药物雾化罐3只；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after="100" w:afterAutospacing="1"/>
              <w:jc w:val="center"/>
              <w:rPr>
                <w:rFonts w:ascii="宋体" w:hAnsi="宋体"/>
                <w:kern w:val="0"/>
                <w:szCs w:val="21"/>
                <w:lang w:val="zh-CN"/>
              </w:rPr>
            </w:pPr>
            <w:r>
              <w:rPr>
                <w:rFonts w:hint="eastAsia" w:ascii="宋体" w:hAnsi="宋体"/>
                <w:color w:val="242424"/>
                <w:kern w:val="0"/>
                <w:szCs w:val="21"/>
                <w:lang w:val="zh-CN"/>
              </w:rPr>
              <w:t>18</w:t>
            </w:r>
          </w:p>
        </w:tc>
        <w:tc>
          <w:tcPr>
            <w:tcW w:w="7652" w:type="dxa"/>
            <w:tcBorders>
              <w:right w:val="single" w:color="auto" w:sz="4" w:space="0"/>
            </w:tcBorders>
          </w:tcPr>
          <w:p>
            <w:pPr>
              <w:rPr>
                <w:rFonts w:ascii="宋体" w:hAnsi="宋体"/>
                <w:kern w:val="0"/>
                <w:szCs w:val="21"/>
                <w:lang w:val="zh-CN"/>
              </w:rPr>
            </w:pPr>
            <w:r>
              <w:rPr>
                <w:rFonts w:hint="eastAsia" w:ascii="宋体" w:hAnsi="宋体"/>
                <w:color w:val="242424"/>
                <w:kern w:val="0"/>
                <w:szCs w:val="21"/>
                <w:lang w:val="zh-CN"/>
              </w:rPr>
              <w:t>绿色过滤器3只；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after="100" w:afterAutospacing="1"/>
              <w:jc w:val="center"/>
              <w:rPr>
                <w:rFonts w:ascii="宋体" w:hAnsi="宋体"/>
                <w:kern w:val="0"/>
                <w:szCs w:val="21"/>
                <w:lang w:val="zh-CN"/>
              </w:rPr>
            </w:pPr>
            <w:r>
              <w:rPr>
                <w:rFonts w:hint="eastAsia" w:ascii="宋体" w:hAnsi="宋体"/>
                <w:color w:val="242424"/>
                <w:kern w:val="0"/>
                <w:szCs w:val="21"/>
                <w:lang w:val="zh-CN"/>
              </w:rPr>
              <w:t>19</w:t>
            </w:r>
          </w:p>
        </w:tc>
        <w:tc>
          <w:tcPr>
            <w:tcW w:w="7652" w:type="dxa"/>
            <w:tcBorders>
              <w:right w:val="single" w:color="auto" w:sz="4" w:space="0"/>
            </w:tcBorders>
          </w:tcPr>
          <w:p>
            <w:pPr>
              <w:rPr>
                <w:rFonts w:ascii="宋体" w:hAnsi="宋体"/>
                <w:kern w:val="0"/>
                <w:szCs w:val="21"/>
                <w:lang w:val="zh-CN"/>
              </w:rPr>
            </w:pPr>
            <w:r>
              <w:rPr>
                <w:rFonts w:hint="eastAsia" w:ascii="宋体" w:hAnsi="宋体"/>
                <w:color w:val="242424"/>
                <w:kern w:val="0"/>
                <w:szCs w:val="21"/>
                <w:lang w:val="zh-CN"/>
              </w:rPr>
              <w:t>肺功能测定软件、病人数据库管理软件、维修及操作手册软件密码软件1套；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after="100" w:afterAutospacing="1"/>
              <w:jc w:val="center"/>
              <w:rPr>
                <w:rFonts w:ascii="宋体" w:hAnsi="宋体"/>
                <w:kern w:val="0"/>
                <w:szCs w:val="21"/>
                <w:lang w:val="zh-CN"/>
              </w:rPr>
            </w:pPr>
            <w:r>
              <w:rPr>
                <w:rFonts w:hint="eastAsia" w:ascii="宋体" w:hAnsi="宋体"/>
                <w:color w:val="242424"/>
                <w:kern w:val="0"/>
                <w:szCs w:val="21"/>
                <w:lang w:val="zh-CN"/>
              </w:rPr>
              <w:t>20</w:t>
            </w:r>
          </w:p>
        </w:tc>
        <w:tc>
          <w:tcPr>
            <w:tcW w:w="7652" w:type="dxa"/>
            <w:tcBorders>
              <w:right w:val="single" w:color="auto" w:sz="4" w:space="0"/>
            </w:tcBorders>
          </w:tcPr>
          <w:p>
            <w:pPr>
              <w:rPr>
                <w:rFonts w:ascii="宋体" w:hAnsi="宋体"/>
                <w:kern w:val="0"/>
                <w:szCs w:val="21"/>
                <w:lang w:val="zh-CN"/>
              </w:rPr>
            </w:pPr>
            <w:r>
              <w:rPr>
                <w:rFonts w:hint="eastAsia" w:ascii="宋体" w:hAnsi="宋体"/>
                <w:color w:val="242424"/>
                <w:kern w:val="0"/>
                <w:szCs w:val="21"/>
                <w:lang w:val="zh-CN"/>
              </w:rPr>
              <w:t>专用商用计算机1套，</w:t>
            </w:r>
            <w:r>
              <w:rPr>
                <w:rFonts w:hint="eastAsia" w:ascii="宋体" w:hAnsi="宋体"/>
                <w:color w:val="242424"/>
                <w:kern w:val="0"/>
                <w:szCs w:val="21"/>
              </w:rPr>
              <w:t>喷墨</w:t>
            </w:r>
            <w:r>
              <w:rPr>
                <w:rFonts w:hint="eastAsia" w:ascii="宋体" w:hAnsi="宋体"/>
                <w:color w:val="242424"/>
                <w:kern w:val="0"/>
                <w:szCs w:val="21"/>
                <w:lang w:val="zh-CN"/>
              </w:rPr>
              <w:t>打印机一台；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after="100" w:afterAutospacing="1"/>
              <w:jc w:val="center"/>
              <w:rPr>
                <w:rFonts w:ascii="宋体" w:hAnsi="宋体"/>
                <w:kern w:val="0"/>
                <w:szCs w:val="21"/>
                <w:lang w:val="zh-CN"/>
              </w:rPr>
            </w:pPr>
            <w:r>
              <w:rPr>
                <w:rFonts w:hint="eastAsia" w:ascii="宋体" w:hAnsi="宋体"/>
                <w:color w:val="242424"/>
                <w:kern w:val="0"/>
                <w:szCs w:val="21"/>
                <w:lang w:val="zh-CN"/>
              </w:rPr>
              <w:t>21</w:t>
            </w:r>
          </w:p>
        </w:tc>
        <w:tc>
          <w:tcPr>
            <w:tcW w:w="7652" w:type="dxa"/>
            <w:tcBorders>
              <w:right w:val="single" w:color="auto" w:sz="4" w:space="0"/>
            </w:tcBorders>
          </w:tcPr>
          <w:p>
            <w:pPr>
              <w:rPr>
                <w:rFonts w:ascii="宋体" w:hAnsi="宋体"/>
                <w:kern w:val="0"/>
                <w:szCs w:val="21"/>
                <w:lang w:val="zh-CN"/>
              </w:rPr>
            </w:pPr>
            <w:r>
              <w:rPr>
                <w:rFonts w:hint="eastAsia" w:ascii="宋体" w:hAnsi="宋体"/>
                <w:color w:val="242424"/>
                <w:kern w:val="0"/>
                <w:szCs w:val="21"/>
                <w:lang w:val="zh-CN"/>
              </w:rPr>
              <w:t>必须的配套组件及电缆连接线等。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after="100" w:afterAutospacing="1"/>
              <w:jc w:val="center"/>
              <w:rPr>
                <w:rFonts w:hint="eastAsia" w:ascii="宋体" w:hAnsi="宋体"/>
                <w:color w:val="242424"/>
                <w:kern w:val="0"/>
                <w:szCs w:val="21"/>
                <w:lang w:val="zh-CN"/>
              </w:rPr>
            </w:pPr>
          </w:p>
        </w:tc>
        <w:tc>
          <w:tcPr>
            <w:tcW w:w="7652" w:type="dxa"/>
            <w:tcBorders>
              <w:right w:val="single" w:color="auto" w:sz="4" w:space="0"/>
            </w:tcBorders>
          </w:tcPr>
          <w:p>
            <w:pPr>
              <w:adjustRightInd/>
              <w:rPr>
                <w:rFonts w:hint="eastAsia" w:ascii="宋体" w:hAnsi="宋体"/>
                <w:color w:val="242424"/>
                <w:kern w:val="0"/>
                <w:szCs w:val="21"/>
                <w:lang w:val="zh-CN"/>
              </w:rPr>
            </w:pPr>
            <w:r>
              <w:rPr>
                <w:rFonts w:hint="eastAsia"/>
                <w:b/>
                <w:bCs/>
                <w:szCs w:val="21"/>
                <w:lang w:eastAsia="zh-CN"/>
              </w:rPr>
              <w:t>注：</w:t>
            </w:r>
            <w:r>
              <w:rPr>
                <w:rFonts w:hint="eastAsia"/>
                <w:b/>
                <w:bCs/>
                <w:szCs w:val="21"/>
                <w:lang w:val="en-US" w:eastAsia="zh-CN"/>
              </w:rPr>
              <w:t>1、</w:t>
            </w:r>
            <w:r>
              <w:rPr>
                <w:rFonts w:hint="eastAsia" w:ascii="宋体" w:hAnsi="宋体"/>
                <w:szCs w:val="21"/>
              </w:rPr>
              <w:t>肺功能测试系统</w:t>
            </w:r>
            <w:r>
              <w:t>须在投标文件中提供医疗器械注册证（备案证）。2、其他配置未在采购文件中明确，但国家有明确规定须具有与投标产品相应的医疗器械注册证（备案证），必须在合同签订前向采购人提供相应注册证（备案证）。</w:t>
            </w:r>
          </w:p>
        </w:tc>
      </w:tr>
    </w:tbl>
    <w:p>
      <w:pPr>
        <w:rPr>
          <w:rFonts w:hint="eastAsia" w:ascii="宋体" w:hAnsi="宋体"/>
          <w:b/>
          <w:sz w:val="28"/>
          <w:szCs w:val="28"/>
        </w:rPr>
      </w:pPr>
    </w:p>
    <w:p>
      <w:pPr>
        <w:rPr>
          <w:rFonts w:ascii="宋体" w:hAnsi="宋体"/>
          <w:b/>
          <w:sz w:val="28"/>
          <w:szCs w:val="28"/>
        </w:rPr>
      </w:pPr>
      <w:r>
        <w:rPr>
          <w:rFonts w:hint="eastAsia" w:ascii="宋体" w:hAnsi="宋体"/>
          <w:b/>
          <w:sz w:val="28"/>
          <w:szCs w:val="28"/>
        </w:rPr>
        <w:t>四、商务要求</w:t>
      </w:r>
    </w:p>
    <w:tbl>
      <w:tblPr>
        <w:tblStyle w:val="65"/>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pPr>
              <w:jc w:val="center"/>
              <w:rPr>
                <w:b/>
                <w:sz w:val="28"/>
                <w:szCs w:val="28"/>
              </w:rPr>
            </w:pPr>
            <w:r>
              <w:rPr>
                <w:rFonts w:hAnsi="宋体"/>
                <w:b/>
                <w:sz w:val="28"/>
                <w:szCs w:val="28"/>
              </w:rPr>
              <w:t>序号</w:t>
            </w:r>
          </w:p>
        </w:tc>
        <w:tc>
          <w:tcPr>
            <w:tcW w:w="7461" w:type="dxa"/>
            <w:tcBorders>
              <w:right w:val="single" w:color="auto" w:sz="4" w:space="0"/>
            </w:tcBorders>
            <w:vAlign w:val="center"/>
          </w:tcPr>
          <w:p>
            <w:pPr>
              <w:jc w:val="center"/>
              <w:rPr>
                <w:b/>
                <w:sz w:val="28"/>
                <w:szCs w:val="28"/>
              </w:rPr>
            </w:pPr>
            <w:r>
              <w:rPr>
                <w:rFonts w:hint="eastAsia"/>
                <w:b/>
                <w:sz w:val="28"/>
                <w:szCs w:val="28"/>
              </w:rPr>
              <w:t>商务要求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
                <w:sz w:val="24"/>
              </w:rPr>
            </w:pPr>
            <w:r>
              <w:rPr>
                <w:rFonts w:hint="eastAsia" w:hAnsi="宋体"/>
                <w:b/>
                <w:sz w:val="28"/>
                <w:szCs w:val="28"/>
              </w:rPr>
              <w:t>1</w:t>
            </w:r>
          </w:p>
        </w:tc>
        <w:tc>
          <w:tcPr>
            <w:tcW w:w="7461" w:type="dxa"/>
            <w:tcBorders>
              <w:right w:val="single" w:color="auto" w:sz="4" w:space="0"/>
            </w:tcBorders>
            <w:vAlign w:val="center"/>
          </w:tcPr>
          <w:p>
            <w:pPr>
              <w:jc w:val="left"/>
              <w:rPr>
                <w:rFonts w:ascii="Calibri" w:hAnsi="Calibri"/>
                <w:b/>
                <w:color w:val="000000"/>
                <w:sz w:val="24"/>
              </w:rPr>
            </w:pPr>
            <w:r>
              <w:rPr>
                <w:rFonts w:hint="eastAsia" w:ascii="Calibri" w:hAnsi="Calibri"/>
                <w:b/>
                <w:color w:val="000000"/>
                <w:sz w:val="24"/>
              </w:rPr>
              <w:t>质量保证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1.1</w:t>
            </w:r>
          </w:p>
        </w:tc>
        <w:tc>
          <w:tcPr>
            <w:tcW w:w="7461" w:type="dxa"/>
            <w:tcBorders>
              <w:right w:val="single" w:color="auto" w:sz="4" w:space="0"/>
            </w:tcBorders>
            <w:vAlign w:val="center"/>
          </w:tcPr>
          <w:p>
            <w:pPr>
              <w:jc w:val="left"/>
              <w:rPr>
                <w:rFonts w:ascii="Calibri" w:hAnsi="Calibri"/>
                <w:b/>
                <w:color w:val="000000"/>
                <w:sz w:val="24"/>
              </w:rPr>
            </w:pPr>
            <w:r>
              <w:rPr>
                <w:rFonts w:hint="eastAsia" w:ascii="宋体" w:hAnsi="宋体"/>
                <w:sz w:val="24"/>
              </w:rPr>
              <w:t>货物使用期限：自货物生产日期起，</w:t>
            </w:r>
            <w:r>
              <w:rPr>
                <w:rFonts w:hint="eastAsia" w:ascii="宋体" w:hAnsi="宋体"/>
                <w:color w:val="000000" w:themeColor="text1"/>
                <w:sz w:val="24"/>
                <w14:textFill>
                  <w14:solidFill>
                    <w14:schemeClr w14:val="tx1"/>
                  </w14:solidFill>
                </w14:textFill>
              </w:rPr>
              <w:t>不少于7年</w:t>
            </w:r>
            <w:r>
              <w:rPr>
                <w:rFonts w:hint="eastAsia" w:ascii="宋体" w:hAnsi="宋体"/>
                <w:sz w:val="24"/>
              </w:rPr>
              <w:t>；提供铭牌标识、照片或说明书相关页面复印件；货物无使用期限的，提供说明。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1.2</w:t>
            </w:r>
          </w:p>
        </w:tc>
        <w:tc>
          <w:tcPr>
            <w:tcW w:w="7461" w:type="dxa"/>
            <w:tcBorders>
              <w:right w:val="single" w:color="auto" w:sz="4" w:space="0"/>
            </w:tcBorders>
            <w:vAlign w:val="center"/>
          </w:tcPr>
          <w:p>
            <w:pPr>
              <w:jc w:val="left"/>
              <w:rPr>
                <w:rFonts w:ascii="宋体" w:hAnsi="宋体"/>
                <w:sz w:val="24"/>
              </w:rPr>
            </w:pPr>
            <w:r>
              <w:rPr>
                <w:rFonts w:hint="eastAsia" w:ascii="宋体" w:hAnsi="宋体"/>
                <w:sz w:val="24"/>
              </w:rPr>
              <w:t>货物生产日期（以产品标签、标识为准）：货物到达买方机房之日</w:t>
            </w:r>
            <w:r>
              <w:rPr>
                <w:rFonts w:hint="eastAsia" w:ascii="宋体" w:hAnsi="宋体"/>
                <w:sz w:val="24"/>
                <w:u w:val="single"/>
              </w:rPr>
              <w:t>前12个月内（国产产品）、18个月内（进口产品）。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1.3</w:t>
            </w:r>
          </w:p>
        </w:tc>
        <w:tc>
          <w:tcPr>
            <w:tcW w:w="7461" w:type="dxa"/>
            <w:tcBorders>
              <w:right w:val="single" w:color="auto" w:sz="4" w:space="0"/>
            </w:tcBorders>
            <w:vAlign w:val="center"/>
          </w:tcPr>
          <w:p>
            <w:pPr>
              <w:spacing w:line="380" w:lineRule="exact"/>
              <w:rPr>
                <w:rFonts w:ascii="宋体" w:hAnsi="宋体"/>
                <w:b/>
                <w:sz w:val="24"/>
              </w:rPr>
            </w:pPr>
            <w:r>
              <w:rPr>
                <w:rFonts w:hint="eastAsia" w:ascii="宋体" w:hAnsi="宋体"/>
                <w:sz w:val="24"/>
              </w:rPr>
              <w:t>卖方提供的所有货物必须是全新未使用过的。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
                <w:sz w:val="28"/>
                <w:szCs w:val="28"/>
              </w:rPr>
              <w:t>2</w:t>
            </w:r>
          </w:p>
        </w:tc>
        <w:tc>
          <w:tcPr>
            <w:tcW w:w="7461" w:type="dxa"/>
            <w:vAlign w:val="center"/>
          </w:tcPr>
          <w:p>
            <w:pPr>
              <w:spacing w:line="380" w:lineRule="exact"/>
              <w:rPr>
                <w:rFonts w:ascii="宋体" w:hAnsi="宋体"/>
                <w:sz w:val="24"/>
              </w:rPr>
            </w:pPr>
            <w:r>
              <w:rPr>
                <w:rFonts w:hint="eastAsia" w:ascii="Calibri" w:hAnsi="Calibri"/>
                <w:b/>
                <w:color w:val="000000"/>
                <w:sz w:val="24"/>
              </w:rPr>
              <w:t>保质期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40" w:hRule="atLeast"/>
          <w:jc w:val="center"/>
        </w:trPr>
        <w:tc>
          <w:tcPr>
            <w:tcW w:w="1138" w:type="dxa"/>
            <w:vAlign w:val="center"/>
          </w:tcPr>
          <w:p>
            <w:pPr>
              <w:jc w:val="center"/>
              <w:rPr>
                <w:rFonts w:hAnsi="宋体"/>
                <w:bCs/>
                <w:sz w:val="24"/>
              </w:rPr>
            </w:pPr>
            <w:r>
              <w:rPr>
                <w:rFonts w:hint="eastAsia" w:ascii="Arial" w:hAnsi="Arial" w:cs="Arial"/>
                <w:szCs w:val="21"/>
              </w:rPr>
              <w:t>★</w:t>
            </w:r>
            <w:r>
              <w:rPr>
                <w:rFonts w:hint="eastAsia" w:hAnsi="宋体"/>
                <w:bCs/>
                <w:sz w:val="24"/>
              </w:rPr>
              <w:t>2.1</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设备验收合格后免费保修：</w:t>
            </w:r>
            <w:r>
              <w:rPr>
                <w:rFonts w:hint="eastAsia" w:ascii="宋体" w:hAnsi="宋体"/>
                <w:color w:val="000000" w:themeColor="text1"/>
                <w:sz w:val="24"/>
                <w14:textFill>
                  <w14:solidFill>
                    <w14:schemeClr w14:val="tx1"/>
                  </w14:solidFill>
                </w14:textFill>
              </w:rPr>
              <w:t xml:space="preserve">≥3 </w:t>
            </w:r>
            <w:r>
              <w:rPr>
                <w:rFonts w:hint="eastAsia" w:ascii="宋体" w:hAnsi="宋体"/>
                <w:color w:val="000000" w:themeColor="text1"/>
                <w:sz w:val="24"/>
                <w:u w:val="single"/>
                <w14:textFill>
                  <w14:solidFill>
                    <w14:schemeClr w14:val="tx1"/>
                  </w14:solidFill>
                </w14:textFill>
              </w:rPr>
              <w:t>年</w:t>
            </w:r>
            <w:r>
              <w:rPr>
                <w:rFonts w:hint="eastAsia" w:ascii="宋体" w:hAnsi="宋体"/>
                <w:sz w:val="24"/>
              </w:rPr>
              <w:t>。供应商报价须包含保质期内的所有服务及配件费用。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525" w:hRule="atLeast"/>
          <w:jc w:val="center"/>
        </w:trPr>
        <w:tc>
          <w:tcPr>
            <w:tcW w:w="1138" w:type="dxa"/>
            <w:vAlign w:val="center"/>
          </w:tcPr>
          <w:p>
            <w:pPr>
              <w:jc w:val="center"/>
              <w:rPr>
                <w:rFonts w:hAnsi="宋体"/>
                <w:bCs/>
                <w:sz w:val="24"/>
              </w:rPr>
            </w:pPr>
            <w:r>
              <w:rPr>
                <w:rFonts w:hint="eastAsia" w:hAnsi="宋体"/>
                <w:bCs/>
                <w:sz w:val="24"/>
              </w:rPr>
              <w:t>2.2</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保修期内，维修响应时间</w:t>
            </w:r>
            <w:r>
              <w:rPr>
                <w:rFonts w:hint="eastAsia" w:ascii="宋体" w:hAnsi="宋体"/>
                <w:sz w:val="24"/>
                <w:u w:val="single"/>
              </w:rPr>
              <w:t>＜12小时</w:t>
            </w:r>
            <w:r>
              <w:rPr>
                <w:rFonts w:hint="eastAsia" w:ascii="宋体" w:hAnsi="宋体"/>
                <w:sz w:val="24"/>
              </w:rPr>
              <w:t>，</w:t>
            </w:r>
            <w:r>
              <w:rPr>
                <w:rFonts w:hint="eastAsia" w:ascii="宋体" w:hAnsi="宋体"/>
                <w:sz w:val="24"/>
                <w:u w:val="single"/>
              </w:rPr>
              <w:t>12工作小时</w:t>
            </w:r>
            <w:r>
              <w:rPr>
                <w:rFonts w:hint="eastAsia" w:ascii="宋体" w:hAnsi="宋体"/>
                <w:sz w:val="24"/>
              </w:rPr>
              <w:t>未能修复，则无偿提供备件或备机。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2.3</w:t>
            </w:r>
          </w:p>
        </w:tc>
        <w:tc>
          <w:tcPr>
            <w:tcW w:w="7461" w:type="dxa"/>
            <w:vAlign w:val="center"/>
          </w:tcPr>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保修期内开机率</w:t>
            </w:r>
            <w:r>
              <w:rPr>
                <w:rFonts w:hint="eastAsia" w:ascii="宋体" w:hAnsi="宋体"/>
                <w:color w:val="000000" w:themeColor="text1"/>
                <w:sz w:val="24"/>
                <w:u w:val="single"/>
                <w14:textFill>
                  <w14:solidFill>
                    <w14:schemeClr w14:val="tx1"/>
                  </w14:solidFill>
                </w14:textFill>
              </w:rPr>
              <w:t>≥95%</w:t>
            </w:r>
            <w:r>
              <w:rPr>
                <w:rFonts w:hint="eastAsia" w:ascii="宋体" w:hAnsi="宋体"/>
                <w:color w:val="000000" w:themeColor="text1"/>
                <w:sz w:val="24"/>
                <w14:textFill>
                  <w14:solidFill>
                    <w14:schemeClr w14:val="tx1"/>
                  </w14:solidFill>
                </w14:textFill>
              </w:rPr>
              <w:t>，若设备未达到以上开机率保证，则停机每超过一天则延长</w:t>
            </w:r>
            <w:r>
              <w:rPr>
                <w:rFonts w:hint="eastAsia" w:ascii="宋体" w:hAnsi="宋体"/>
                <w:b/>
                <w:bCs/>
                <w:color w:val="000000" w:themeColor="text1"/>
                <w:sz w:val="24"/>
                <w:shd w:val="clear" w:color="FFFFFF" w:fill="D9D9D9"/>
                <w14:textFill>
                  <w14:solidFill>
                    <w14:schemeClr w14:val="tx1"/>
                  </w14:solidFill>
                </w14:textFill>
              </w:rPr>
              <w:t>10</w:t>
            </w:r>
            <w:r>
              <w:rPr>
                <w:rFonts w:hint="eastAsia" w:ascii="宋体" w:hAnsi="宋体"/>
                <w:color w:val="000000" w:themeColor="text1"/>
                <w:sz w:val="24"/>
                <w:u w:val="single"/>
                <w14:textFill>
                  <w14:solidFill>
                    <w14:schemeClr w14:val="tx1"/>
                  </w14:solidFill>
                </w14:textFill>
              </w:rPr>
              <w:t>天</w:t>
            </w:r>
            <w:r>
              <w:rPr>
                <w:rFonts w:hint="eastAsia" w:ascii="宋体" w:hAnsi="宋体"/>
                <w:color w:val="000000" w:themeColor="text1"/>
                <w:sz w:val="24"/>
                <w14:textFill>
                  <w14:solidFill>
                    <w14:schemeClr w14:val="tx1"/>
                  </w14:solidFill>
                </w14:textFill>
              </w:rPr>
              <w:t>保修时间。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11" w:hRule="atLeast"/>
          <w:jc w:val="center"/>
        </w:trPr>
        <w:tc>
          <w:tcPr>
            <w:tcW w:w="1138" w:type="dxa"/>
            <w:vAlign w:val="center"/>
          </w:tcPr>
          <w:p>
            <w:pPr>
              <w:jc w:val="center"/>
              <w:rPr>
                <w:rFonts w:hAnsi="宋体"/>
                <w:bCs/>
                <w:sz w:val="24"/>
              </w:rPr>
            </w:pPr>
            <w:r>
              <w:rPr>
                <w:rFonts w:hint="eastAsia" w:hAnsi="宋体"/>
                <w:b/>
                <w:sz w:val="28"/>
                <w:szCs w:val="28"/>
              </w:rPr>
              <w:t>3</w:t>
            </w:r>
          </w:p>
        </w:tc>
        <w:tc>
          <w:tcPr>
            <w:tcW w:w="7461" w:type="dxa"/>
            <w:vAlign w:val="center"/>
          </w:tcPr>
          <w:p>
            <w:pPr>
              <w:spacing w:line="380" w:lineRule="exact"/>
              <w:rPr>
                <w:rFonts w:ascii="宋体" w:hAnsi="宋体"/>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售后服务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3.1</w:t>
            </w:r>
          </w:p>
        </w:tc>
        <w:tc>
          <w:tcPr>
            <w:tcW w:w="7461" w:type="dxa"/>
            <w:vAlign w:val="center"/>
          </w:tcPr>
          <w:p>
            <w:pPr>
              <w:spacing w:line="380" w:lineRule="exact"/>
              <w:rPr>
                <w:rFonts w:ascii="Calibri" w:hAnsi="Calibri"/>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供应商应在响应文件中提供详细售后服务方案，如售后服务网点的分布情况、售后服务机构备品备件储备，售后服务机构技术服务人员情况、开展定期巡检等。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975" w:hRule="atLeast"/>
          <w:jc w:val="center"/>
        </w:trPr>
        <w:tc>
          <w:tcPr>
            <w:tcW w:w="1138" w:type="dxa"/>
            <w:vAlign w:val="center"/>
          </w:tcPr>
          <w:p>
            <w:pPr>
              <w:jc w:val="center"/>
              <w:rPr>
                <w:rFonts w:hAnsi="宋体"/>
                <w:bCs/>
                <w:sz w:val="24"/>
              </w:rPr>
            </w:pPr>
            <w:r>
              <w:rPr>
                <w:rFonts w:hint="eastAsia" w:hAnsi="宋体"/>
                <w:bCs/>
                <w:sz w:val="24"/>
              </w:rPr>
              <w:t>3.2</w:t>
            </w:r>
          </w:p>
        </w:tc>
        <w:tc>
          <w:tcPr>
            <w:tcW w:w="7461" w:type="dxa"/>
            <w:vAlign w:val="center"/>
          </w:tcPr>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供应商应在响应文件中提供详细收费标准，包括出保后保修方案、消耗品价格、设备配件价格，维修服务费等。如未列明则默认为日后日常使用中免费提供。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3.3</w:t>
            </w:r>
          </w:p>
        </w:tc>
        <w:tc>
          <w:tcPr>
            <w:tcW w:w="7461" w:type="dxa"/>
            <w:vAlign w:val="center"/>
          </w:tcPr>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在整个设备使用期内，卖方应确保设备的正常使用，在接到用户维修要求后应立即作出回应，通过电话联系无法解决的，须</w:t>
            </w:r>
            <w:r>
              <w:rPr>
                <w:rFonts w:hint="eastAsia" w:ascii="宋体" w:hAnsi="宋体"/>
                <w:color w:val="000000" w:themeColor="text1"/>
                <w:sz w:val="24"/>
                <w:u w:val="single"/>
                <w14:textFill>
                  <w14:solidFill>
                    <w14:schemeClr w14:val="tx1"/>
                  </w14:solidFill>
                </w14:textFill>
              </w:rPr>
              <w:t>24小时内</w:t>
            </w:r>
            <w:r>
              <w:rPr>
                <w:rFonts w:hint="eastAsia" w:ascii="宋体" w:hAnsi="宋体"/>
                <w:color w:val="000000" w:themeColor="text1"/>
                <w:sz w:val="24"/>
                <w14:textFill>
                  <w14:solidFill>
                    <w14:schemeClr w14:val="tx1"/>
                  </w14:solidFill>
                </w14:textFill>
              </w:rPr>
              <w:t>赶赴卖方现场处理。维修过程中所需零配件，非特殊情况，供应商应在接到通知后最长不超过3天必须送达采购人。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3.4</w:t>
            </w:r>
          </w:p>
        </w:tc>
        <w:tc>
          <w:tcPr>
            <w:tcW w:w="7461" w:type="dxa"/>
            <w:vAlign w:val="center"/>
          </w:tcPr>
          <w:p>
            <w:pPr>
              <w:spacing w:line="380" w:lineRule="exact"/>
              <w:rPr>
                <w:rFonts w:ascii="Calibri" w:hAnsi="Calibri"/>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保证易耗品及零配件供应</w:t>
            </w:r>
            <w:r>
              <w:rPr>
                <w:rFonts w:hint="eastAsia" w:ascii="宋体" w:hAnsi="宋体"/>
                <w:b/>
                <w:bCs/>
                <w:color w:val="000000" w:themeColor="text1"/>
                <w:sz w:val="24"/>
                <w14:textFill>
                  <w14:solidFill>
                    <w14:schemeClr w14:val="tx1"/>
                  </w14:solidFill>
                </w14:textFill>
              </w:rPr>
              <w:t>7</w:t>
            </w:r>
            <w:r>
              <w:rPr>
                <w:rFonts w:hint="eastAsia" w:ascii="宋体" w:hAnsi="宋体"/>
                <w:color w:val="000000" w:themeColor="text1"/>
                <w:sz w:val="24"/>
                <w:u w:val="single"/>
                <w14:textFill>
                  <w14:solidFill>
                    <w14:schemeClr w14:val="tx1"/>
                  </w14:solidFill>
                </w14:textFill>
              </w:rPr>
              <w:t>年</w:t>
            </w:r>
            <w:r>
              <w:rPr>
                <w:rFonts w:hint="eastAsia" w:ascii="宋体" w:hAnsi="宋体"/>
                <w:color w:val="000000" w:themeColor="text1"/>
                <w:sz w:val="24"/>
                <w14:textFill>
                  <w14:solidFill>
                    <w14:schemeClr w14:val="tx1"/>
                  </w14:solidFill>
                </w14:textFill>
              </w:rPr>
              <w:t>以上，</w:t>
            </w:r>
            <w:r>
              <w:rPr>
                <w:rFonts w:ascii="宋体" w:hAnsi="宋体"/>
                <w:color w:val="000000" w:themeColor="text1"/>
                <w:sz w:val="24"/>
                <w14:textFill>
                  <w14:solidFill>
                    <w14:schemeClr w14:val="tx1"/>
                  </w14:solidFill>
                </w14:textFill>
              </w:rPr>
              <w:t>终身维护，软件终身免费升级</w:t>
            </w:r>
            <w:r>
              <w:rPr>
                <w:rFonts w:hint="eastAsia" w:ascii="宋体" w:hAnsi="宋体"/>
                <w:color w:val="000000" w:themeColor="text1"/>
                <w:sz w:val="24"/>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44"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4</w:t>
            </w:r>
          </w:p>
        </w:tc>
        <w:tc>
          <w:tcPr>
            <w:tcW w:w="7461" w:type="dxa"/>
            <w:vAlign w:val="center"/>
          </w:tcPr>
          <w:p>
            <w:pPr>
              <w:snapToGrid w:val="0"/>
              <w:rPr>
                <w:rFonts w:ascii="宋体" w:hAnsi="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交货时间、地点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4.1</w:t>
            </w:r>
          </w:p>
        </w:tc>
        <w:tc>
          <w:tcPr>
            <w:tcW w:w="7461" w:type="dxa"/>
            <w:vAlign w:val="center"/>
          </w:tcPr>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交货时间：合同签订后，接到甲方通知后</w:t>
            </w:r>
            <w:r>
              <w:rPr>
                <w:rFonts w:hint="eastAsia" w:ascii="宋体" w:hAnsi="宋体"/>
                <w:color w:val="000000" w:themeColor="text1"/>
                <w:sz w:val="24"/>
                <w:u w:val="single"/>
                <w14:textFill>
                  <w14:solidFill>
                    <w14:schemeClr w14:val="tx1"/>
                  </w14:solidFill>
                </w14:textFill>
              </w:rPr>
              <w:t>90天内</w:t>
            </w:r>
            <w:r>
              <w:rPr>
                <w:rFonts w:hint="eastAsia" w:ascii="宋体" w:hAnsi="宋体"/>
                <w:color w:val="000000" w:themeColor="text1"/>
                <w:sz w:val="24"/>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105"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4.2</w:t>
            </w:r>
          </w:p>
        </w:tc>
        <w:tc>
          <w:tcPr>
            <w:tcW w:w="7461" w:type="dxa"/>
            <w:vAlign w:val="center"/>
          </w:tcPr>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交货地点：采购人指定地点。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259"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5</w:t>
            </w:r>
          </w:p>
        </w:tc>
        <w:tc>
          <w:tcPr>
            <w:tcW w:w="7461" w:type="dxa"/>
            <w:vAlign w:val="center"/>
          </w:tcPr>
          <w:p>
            <w:pPr>
              <w:spacing w:line="38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安装调试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5.1</w:t>
            </w:r>
          </w:p>
        </w:tc>
        <w:tc>
          <w:tcPr>
            <w:tcW w:w="7461" w:type="dxa"/>
            <w:vAlign w:val="center"/>
          </w:tcPr>
          <w:p>
            <w:pPr>
              <w:spacing w:line="380" w:lineRule="exact"/>
              <w:rPr>
                <w:rFonts w:ascii="宋体" w:hAnsi="宋体"/>
                <w:b/>
                <w:color w:val="000000" w:themeColor="text1"/>
                <w:sz w:val="24"/>
                <w14:textFill>
                  <w14:solidFill>
                    <w14:schemeClr w14:val="tx1"/>
                  </w14:solidFill>
                </w14:textFill>
              </w:rPr>
            </w:pPr>
            <w:r>
              <w:rPr>
                <w:rFonts w:ascii="Calibri" w:hAnsi="宋体"/>
                <w:bCs/>
                <w:color w:val="000000" w:themeColor="text1"/>
                <w:sz w:val="24"/>
                <w14:textFill>
                  <w14:solidFill>
                    <w14:schemeClr w14:val="tx1"/>
                  </w14:solidFill>
                </w14:textFill>
              </w:rPr>
              <w:t>安装地点：</w:t>
            </w:r>
            <w:r>
              <w:rPr>
                <w:rFonts w:hint="eastAsia" w:ascii="宋体" w:hAnsi="宋体"/>
                <w:color w:val="000000" w:themeColor="text1"/>
                <w:sz w:val="24"/>
                <w14:textFill>
                  <w14:solidFill>
                    <w14:schemeClr w14:val="tx1"/>
                  </w14:solidFill>
                </w14:textFill>
              </w:rPr>
              <w:t>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5.2</w:t>
            </w:r>
          </w:p>
        </w:tc>
        <w:tc>
          <w:tcPr>
            <w:tcW w:w="7461" w:type="dxa"/>
            <w:vAlign w:val="center"/>
          </w:tcPr>
          <w:p>
            <w:pPr>
              <w:spacing w:line="380" w:lineRule="exact"/>
              <w:rPr>
                <w:rFonts w:ascii="宋体" w:hAnsi="宋体"/>
                <w:b/>
                <w:color w:val="000000" w:themeColor="text1"/>
                <w:sz w:val="24"/>
                <w14:textFill>
                  <w14:solidFill>
                    <w14:schemeClr w14:val="tx1"/>
                  </w14:solidFill>
                </w14:textFill>
              </w:rPr>
            </w:pPr>
            <w:r>
              <w:rPr>
                <w:rFonts w:hint="eastAsia" w:ascii="Calibri" w:hAnsi="宋体"/>
                <w:bCs/>
                <w:color w:val="000000" w:themeColor="text1"/>
                <w:sz w:val="24"/>
                <w14:textFill>
                  <w14:solidFill>
                    <w14:schemeClr w14:val="tx1"/>
                  </w14:solidFill>
                </w14:textFill>
              </w:rPr>
              <w:t>卖方须对买方现场进行查勘，在合同签定后</w:t>
            </w:r>
            <w:r>
              <w:rPr>
                <w:rFonts w:hint="eastAsia" w:ascii="Calibri" w:hAnsi="宋体"/>
                <w:bCs/>
                <w:color w:val="000000" w:themeColor="text1"/>
                <w:sz w:val="24"/>
                <w:u w:val="single"/>
                <w14:textFill>
                  <w14:solidFill>
                    <w14:schemeClr w14:val="tx1"/>
                  </w14:solidFill>
                </w14:textFill>
              </w:rPr>
              <w:t>10个工作日</w:t>
            </w:r>
            <w:r>
              <w:rPr>
                <w:rFonts w:hint="eastAsia" w:ascii="Calibri" w:hAnsi="宋体"/>
                <w:bCs/>
                <w:color w:val="000000" w:themeColor="text1"/>
                <w:sz w:val="24"/>
                <w14:textFill>
                  <w14:solidFill>
                    <w14:schemeClr w14:val="tx1"/>
                  </w14:solidFill>
                </w14:textFill>
              </w:rPr>
              <w:t>内书面提供买方认可的运输方案及安装方案</w:t>
            </w:r>
            <w:r>
              <w:rPr>
                <w:rFonts w:hint="eastAsia" w:ascii="Calibri" w:hAnsi="宋体"/>
                <w:bCs/>
                <w:color w:val="000000" w:themeColor="text1"/>
                <w:sz w:val="24"/>
                <w:u w:val="single"/>
                <w14:textFill>
                  <w14:solidFill>
                    <w14:schemeClr w14:val="tx1"/>
                  </w14:solidFill>
                </w14:textFill>
              </w:rPr>
              <w:t>（按需提供）</w:t>
            </w:r>
            <w:r>
              <w:rPr>
                <w:rFonts w:hint="eastAsia" w:ascii="Calibri" w:hAnsi="宋体"/>
                <w:bCs/>
                <w:color w:val="000000" w:themeColor="text1"/>
                <w:sz w:val="24"/>
                <w14:textFill>
                  <w14:solidFill>
                    <w14:schemeClr w14:val="tx1"/>
                  </w14:solidFill>
                </w14:textFill>
              </w:rPr>
              <w:t>，费用含在合同总价中。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5.3</w:t>
            </w:r>
          </w:p>
        </w:tc>
        <w:tc>
          <w:tcPr>
            <w:tcW w:w="7461" w:type="dxa"/>
            <w:vAlign w:val="center"/>
          </w:tcPr>
          <w:p>
            <w:pPr>
              <w:spacing w:line="380" w:lineRule="exact"/>
              <w:rPr>
                <w:rFonts w:ascii="宋体" w:hAnsi="宋体"/>
                <w:b/>
                <w:color w:val="000000" w:themeColor="text1"/>
                <w:sz w:val="24"/>
                <w14:textFill>
                  <w14:solidFill>
                    <w14:schemeClr w14:val="tx1"/>
                  </w14:solidFill>
                </w14:textFill>
              </w:rPr>
            </w:pPr>
            <w:r>
              <w:rPr>
                <w:rFonts w:hint="eastAsia" w:ascii="Calibri" w:hAnsi="宋体"/>
                <w:color w:val="000000" w:themeColor="text1"/>
                <w:sz w:val="24"/>
                <w14:textFill>
                  <w14:solidFill>
                    <w14:schemeClr w14:val="tx1"/>
                  </w14:solidFill>
                </w14:textFill>
              </w:rPr>
              <w:t>安装完成时间：卖方在货物到货后</w:t>
            </w:r>
            <w:r>
              <w:rPr>
                <w:rFonts w:hint="eastAsia" w:ascii="Calibri" w:hAnsi="宋体"/>
                <w:color w:val="000000" w:themeColor="text1"/>
                <w:sz w:val="24"/>
                <w:u w:val="single"/>
                <w14:textFill>
                  <w14:solidFill>
                    <w14:schemeClr w14:val="tx1"/>
                  </w14:solidFill>
                </w14:textFill>
              </w:rPr>
              <w:t>20个工作日内</w:t>
            </w:r>
            <w:r>
              <w:rPr>
                <w:rFonts w:hint="eastAsia" w:ascii="Calibri" w:hAnsi="宋体"/>
                <w:color w:val="000000" w:themeColor="text1"/>
                <w:sz w:val="24"/>
                <w14:textFill>
                  <w14:solidFill>
                    <w14:schemeClr w14:val="tx1"/>
                  </w14:solidFill>
                </w14:textFill>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5.4</w:t>
            </w:r>
          </w:p>
        </w:tc>
        <w:tc>
          <w:tcPr>
            <w:tcW w:w="7461" w:type="dxa"/>
            <w:vAlign w:val="center"/>
          </w:tcPr>
          <w:p>
            <w:pPr>
              <w:spacing w:line="380" w:lineRule="exact"/>
              <w:rPr>
                <w:rFonts w:ascii="宋体" w:hAnsi="宋体"/>
                <w:b/>
                <w:color w:val="000000" w:themeColor="text1"/>
                <w:sz w:val="24"/>
                <w14:textFill>
                  <w14:solidFill>
                    <w14:schemeClr w14:val="tx1"/>
                  </w14:solidFill>
                </w14:textFill>
              </w:rPr>
            </w:pPr>
            <w:r>
              <w:rPr>
                <w:rFonts w:ascii="Calibri" w:hAnsi="宋体"/>
                <w:bCs/>
                <w:color w:val="000000" w:themeColor="text1"/>
                <w:sz w:val="24"/>
                <w14:textFill>
                  <w14:solidFill>
                    <w14:schemeClr w14:val="tx1"/>
                  </w14:solidFill>
                </w14:textFill>
              </w:rPr>
              <w:t>安装标准：符合我国国家有关技术规范要求和技术标准</w:t>
            </w:r>
            <w:r>
              <w:rPr>
                <w:rFonts w:hint="eastAsia" w:ascii="Calibri" w:hAnsi="宋体"/>
                <w:bCs/>
                <w:color w:val="000000" w:themeColor="text1"/>
                <w:sz w:val="24"/>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5.5</w:t>
            </w:r>
          </w:p>
        </w:tc>
        <w:tc>
          <w:tcPr>
            <w:tcW w:w="7461" w:type="dxa"/>
            <w:vAlign w:val="center"/>
          </w:tcPr>
          <w:p>
            <w:pPr>
              <w:spacing w:line="380" w:lineRule="exact"/>
              <w:rPr>
                <w:rFonts w:ascii="宋体" w:hAnsi="宋体"/>
                <w:b/>
                <w:color w:val="000000" w:themeColor="text1"/>
                <w:sz w:val="24"/>
                <w14:textFill>
                  <w14:solidFill>
                    <w14:schemeClr w14:val="tx1"/>
                  </w14:solidFill>
                </w14:textFill>
              </w:rPr>
            </w:pPr>
            <w:r>
              <w:rPr>
                <w:rFonts w:ascii="Calibri" w:hAnsi="宋体"/>
                <w:bCs/>
                <w:color w:val="000000" w:themeColor="text1"/>
                <w:sz w:val="24"/>
                <w14:textFill>
                  <w14:solidFill>
                    <w14:schemeClr w14:val="tx1"/>
                  </w14:solidFill>
                </w14:textFill>
              </w:rPr>
              <w:t>安装过程中发生的</w:t>
            </w:r>
            <w:r>
              <w:rPr>
                <w:rFonts w:hint="eastAsia" w:ascii="Calibri" w:hAnsi="宋体"/>
                <w:bCs/>
                <w:color w:val="000000" w:themeColor="text1"/>
                <w:sz w:val="24"/>
                <w14:textFill>
                  <w14:solidFill>
                    <w14:schemeClr w14:val="tx1"/>
                  </w14:solidFill>
                </w14:textFill>
              </w:rPr>
              <w:t>装卸、搬运和设备保险等</w:t>
            </w:r>
            <w:r>
              <w:rPr>
                <w:rFonts w:ascii="Calibri" w:hAnsi="宋体"/>
                <w:bCs/>
                <w:color w:val="000000" w:themeColor="text1"/>
                <w:sz w:val="24"/>
                <w14:textFill>
                  <w14:solidFill>
                    <w14:schemeClr w14:val="tx1"/>
                  </w14:solidFill>
                </w14:textFill>
              </w:rPr>
              <w:t>费用</w:t>
            </w:r>
            <w:r>
              <w:rPr>
                <w:rFonts w:hint="eastAsia" w:ascii="Calibri" w:hAnsi="宋体"/>
                <w:bCs/>
                <w:color w:val="000000" w:themeColor="text1"/>
                <w:sz w:val="24"/>
                <w14:textFill>
                  <w14:solidFill>
                    <w14:schemeClr w14:val="tx1"/>
                  </w14:solidFill>
                </w14:textFill>
              </w:rPr>
              <w:t>全部</w:t>
            </w:r>
            <w:r>
              <w:rPr>
                <w:rFonts w:ascii="Calibri" w:hAnsi="宋体"/>
                <w:bCs/>
                <w:color w:val="000000" w:themeColor="text1"/>
                <w:sz w:val="24"/>
                <w14:textFill>
                  <w14:solidFill>
                    <w14:schemeClr w14:val="tx1"/>
                  </w14:solidFill>
                </w14:textFill>
              </w:rPr>
              <w:t>由</w:t>
            </w:r>
            <w:r>
              <w:rPr>
                <w:rFonts w:hint="eastAsia" w:ascii="Calibri" w:hAnsi="宋体"/>
                <w:bCs/>
                <w:color w:val="000000" w:themeColor="text1"/>
                <w:sz w:val="24"/>
                <w14:textFill>
                  <w14:solidFill>
                    <w14:schemeClr w14:val="tx1"/>
                  </w14:solidFill>
                </w14:textFill>
              </w:rPr>
              <w:t>卖</w:t>
            </w:r>
            <w:r>
              <w:rPr>
                <w:rFonts w:ascii="Calibri" w:hAnsi="宋体"/>
                <w:bCs/>
                <w:color w:val="000000" w:themeColor="text1"/>
                <w:sz w:val="24"/>
                <w14:textFill>
                  <w14:solidFill>
                    <w14:schemeClr w14:val="tx1"/>
                  </w14:solidFill>
                </w14:textFill>
              </w:rPr>
              <w:t>方负责</w:t>
            </w:r>
            <w:r>
              <w:rPr>
                <w:rFonts w:hint="eastAsia" w:ascii="Calibri" w:hAnsi="宋体"/>
                <w:bCs/>
                <w:color w:val="000000" w:themeColor="text1"/>
                <w:sz w:val="24"/>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6</w:t>
            </w:r>
          </w:p>
        </w:tc>
        <w:tc>
          <w:tcPr>
            <w:tcW w:w="7461" w:type="dxa"/>
            <w:vAlign w:val="center"/>
          </w:tcPr>
          <w:p>
            <w:pPr>
              <w:spacing w:line="38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验收</w:t>
            </w:r>
            <w:r>
              <w:rPr>
                <w:rFonts w:hint="eastAsia" w:ascii="宋体" w:hAnsi="宋体"/>
                <w:b/>
                <w:color w:val="000000" w:themeColor="text1"/>
                <w:sz w:val="24"/>
                <w:u w:val="single"/>
                <w14:textFill>
                  <w14:solidFill>
                    <w14:schemeClr w14:val="tx1"/>
                  </w14:solidFill>
                </w14:textFill>
              </w:rPr>
              <w:t>（由验收部门视情况而定）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6.1</w:t>
            </w:r>
          </w:p>
        </w:tc>
        <w:tc>
          <w:tcPr>
            <w:tcW w:w="7461" w:type="dxa"/>
            <w:vAlign w:val="center"/>
          </w:tcPr>
          <w:p>
            <w:pPr>
              <w:spacing w:line="380" w:lineRule="exact"/>
              <w:rPr>
                <w:rFonts w:ascii="宋体" w:hAnsi="宋体"/>
                <w:b/>
                <w:color w:val="000000" w:themeColor="text1"/>
                <w:sz w:val="24"/>
                <w14:textFill>
                  <w14:solidFill>
                    <w14:schemeClr w14:val="tx1"/>
                  </w14:solidFill>
                </w14:textFill>
              </w:rPr>
            </w:pPr>
            <w:r>
              <w:rPr>
                <w:rFonts w:hint="eastAsia" w:ascii="Calibri" w:hAnsi="宋体"/>
                <w:color w:val="000000" w:themeColor="text1"/>
                <w:sz w:val="24"/>
                <w14:textFill>
                  <w14:solidFill>
                    <w14:schemeClr w14:val="tx1"/>
                  </w14:solidFill>
                </w14:textFill>
              </w:rPr>
              <w:t>如属计量器具、放射类设备，则卖方提供经买方认可的且具有资质的检测机构出具的计量、放射防护检测合格报告，检测费用包含在合同总价中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6.2</w:t>
            </w:r>
          </w:p>
        </w:tc>
        <w:tc>
          <w:tcPr>
            <w:tcW w:w="7461" w:type="dxa"/>
            <w:vAlign w:val="center"/>
          </w:tcPr>
          <w:p>
            <w:pPr>
              <w:spacing w:line="380" w:lineRule="exact"/>
              <w:rPr>
                <w:rFonts w:ascii="Calibri"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货物应符合国家相关标准、采购文件的技术和商务要求，并根据合同条款逐项验收。买方对设备验收合格后，双方共同签署验收报告。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6.3</w:t>
            </w:r>
          </w:p>
        </w:tc>
        <w:tc>
          <w:tcPr>
            <w:tcW w:w="7461" w:type="dxa"/>
            <w:vAlign w:val="center"/>
          </w:tcPr>
          <w:p>
            <w:pPr>
              <w:spacing w:line="380" w:lineRule="exact"/>
              <w:rPr>
                <w:rFonts w:ascii="宋体" w:hAnsi="宋体"/>
                <w:b/>
                <w:color w:val="000000" w:themeColor="text1"/>
                <w:sz w:val="24"/>
                <w14:textFill>
                  <w14:solidFill>
                    <w14:schemeClr w14:val="tx1"/>
                  </w14:solidFill>
                </w14:textFill>
              </w:rPr>
            </w:pPr>
            <w:r>
              <w:rPr>
                <w:rFonts w:hint="eastAsia" w:ascii="Calibri" w:hAnsi="宋体"/>
                <w:color w:val="000000" w:themeColor="text1"/>
                <w:sz w:val="24"/>
                <w14:textFill>
                  <w14:solidFill>
                    <w14:schemeClr w14:val="tx1"/>
                  </w14:solidFill>
                </w14:textFill>
              </w:rPr>
              <w:t>验收过程中发现货物性能或功能达不到要求，卖方必须更换有关部件，使货物最终达到规定的性能指标和功能要求，但必须在发现问题后</w:t>
            </w:r>
            <w:r>
              <w:rPr>
                <w:rFonts w:hint="eastAsia" w:ascii="Calibri" w:hAnsi="宋体"/>
                <w:color w:val="000000" w:themeColor="text1"/>
                <w:sz w:val="24"/>
                <w:u w:val="single"/>
                <w14:textFill>
                  <w14:solidFill>
                    <w14:schemeClr w14:val="tx1"/>
                  </w14:solidFill>
                </w14:textFill>
              </w:rPr>
              <w:t>15个工作日</w:t>
            </w:r>
            <w:r>
              <w:rPr>
                <w:rFonts w:hint="eastAsia" w:ascii="Calibri" w:hAnsi="宋体"/>
                <w:color w:val="000000" w:themeColor="text1"/>
                <w:sz w:val="24"/>
                <w14:textFill>
                  <w14:solidFill>
                    <w14:schemeClr w14:val="tx1"/>
                  </w14:solidFill>
                </w14:textFill>
              </w:rPr>
              <w:t>内完成，如涉及虚假响应的，则按相关规定处理。货物安装完毕试运行正常</w:t>
            </w:r>
            <w:r>
              <w:rPr>
                <w:rFonts w:ascii="Calibri" w:hAnsi="宋体"/>
                <w:color w:val="000000" w:themeColor="text1"/>
                <w:sz w:val="24"/>
                <w14:textFill>
                  <w14:solidFill>
                    <w14:schemeClr w14:val="tx1"/>
                  </w14:solidFill>
                </w14:textFill>
              </w:rPr>
              <w:t>30</w:t>
            </w:r>
            <w:r>
              <w:rPr>
                <w:rFonts w:hint="eastAsia" w:ascii="Calibri" w:hAnsi="宋体"/>
                <w:color w:val="000000" w:themeColor="text1"/>
                <w:sz w:val="24"/>
                <w14:textFill>
                  <w14:solidFill>
                    <w14:schemeClr w14:val="tx1"/>
                  </w14:solidFill>
                </w14:textFill>
              </w:rPr>
              <w:t>个工作日，在</w:t>
            </w:r>
            <w:r>
              <w:rPr>
                <w:rFonts w:ascii="Calibri" w:hAnsi="宋体"/>
                <w:color w:val="000000" w:themeColor="text1"/>
                <w:sz w:val="24"/>
                <w14:textFill>
                  <w14:solidFill>
                    <w14:schemeClr w14:val="tx1"/>
                  </w14:solidFill>
                </w14:textFill>
              </w:rPr>
              <w:t>1</w:t>
            </w:r>
            <w:r>
              <w:rPr>
                <w:rFonts w:hint="eastAsia" w:ascii="Calibri" w:hAnsi="宋体"/>
                <w:color w:val="000000" w:themeColor="text1"/>
                <w:sz w:val="24"/>
                <w14:textFill>
                  <w14:solidFill>
                    <w14:schemeClr w14:val="tx1"/>
                  </w14:solidFill>
                </w14:textFill>
              </w:rPr>
              <w:t>周内双方签订验收报告。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8"/>
                <w:szCs w:val="28"/>
              </w:rPr>
              <w:t>7</w:t>
            </w:r>
          </w:p>
        </w:tc>
        <w:tc>
          <w:tcPr>
            <w:tcW w:w="7461" w:type="dxa"/>
            <w:vAlign w:val="center"/>
          </w:tcPr>
          <w:p>
            <w:pPr>
              <w:spacing w:line="38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培训</w:t>
            </w:r>
            <w:r>
              <w:rPr>
                <w:rFonts w:hint="eastAsia" w:ascii="宋体" w:hAnsi="宋体"/>
                <w:b/>
                <w:color w:val="000000" w:themeColor="text1"/>
                <w:sz w:val="24"/>
                <w:u w:val="single"/>
                <w14:textFill>
                  <w14:solidFill>
                    <w14:schemeClr w14:val="tx1"/>
                  </w14:solidFill>
                </w14:textFill>
              </w:rPr>
              <w:t>（由使用部门视情况而定）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7.1</w:t>
            </w:r>
          </w:p>
        </w:tc>
        <w:tc>
          <w:tcPr>
            <w:tcW w:w="7461" w:type="dxa"/>
            <w:vAlign w:val="center"/>
          </w:tcPr>
          <w:p>
            <w:pPr>
              <w:snapToGrid w:val="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操作应用培训：卖方负责在医院现场提供累计不少于</w:t>
            </w:r>
            <w:r>
              <w:rPr>
                <w:rFonts w:ascii="宋体" w:hAnsi="宋体"/>
                <w:color w:val="000000" w:themeColor="text1"/>
                <w:sz w:val="24"/>
                <w:u w:val="single"/>
                <w14:textFill>
                  <w14:solidFill>
                    <w14:schemeClr w14:val="tx1"/>
                  </w14:solidFill>
                </w14:textFill>
              </w:rPr>
              <w:t>5</w:t>
            </w:r>
            <w:r>
              <w:rPr>
                <w:rFonts w:hint="eastAsia" w:ascii="宋体" w:hAnsi="宋体"/>
                <w:color w:val="000000" w:themeColor="text1"/>
                <w:sz w:val="24"/>
                <w:u w:val="single"/>
                <w14:textFill>
                  <w14:solidFill>
                    <w14:schemeClr w14:val="tx1"/>
                  </w14:solidFill>
                </w14:textFill>
              </w:rPr>
              <w:t>个工作日</w:t>
            </w:r>
            <w:r>
              <w:rPr>
                <w:rFonts w:hint="eastAsia" w:ascii="宋体" w:hAnsi="宋体"/>
                <w:color w:val="000000" w:themeColor="text1"/>
                <w:sz w:val="24"/>
                <w14:textFill>
                  <w14:solidFill>
                    <w14:schemeClr w14:val="tx1"/>
                  </w14:solidFill>
                </w14:textFill>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7.2</w:t>
            </w:r>
          </w:p>
        </w:tc>
        <w:tc>
          <w:tcPr>
            <w:tcW w:w="7461" w:type="dxa"/>
            <w:vAlign w:val="center"/>
          </w:tcPr>
          <w:p>
            <w:pPr>
              <w:snapToGrid w:val="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维修保养培训：卖方负责在医院现场提供维修人员的培训，使医院维修工程人员掌握设备参数设置、日常保养、常见故障排除等技能。卖方须提供涵盖上述内容的培训资料。所有培训费用已含入总价中。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7.3</w:t>
            </w:r>
          </w:p>
        </w:tc>
        <w:tc>
          <w:tcPr>
            <w:tcW w:w="7461" w:type="dxa"/>
            <w:vAlign w:val="center"/>
          </w:tcPr>
          <w:p>
            <w:pPr>
              <w:snapToGrid w:val="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培训完成后，卖方须提供详细培训记录，培训记录应有培训内容、参加人员（签字）、培训地点、培训时间以及操作人员考核情况。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7.4</w:t>
            </w:r>
          </w:p>
        </w:tc>
        <w:tc>
          <w:tcPr>
            <w:tcW w:w="7461" w:type="dxa"/>
            <w:vAlign w:val="center"/>
          </w:tcPr>
          <w:p>
            <w:pPr>
              <w:snapToGrid w:val="0"/>
              <w:rPr>
                <w:rFonts w:ascii="宋体" w:hAnsi="宋体"/>
                <w:bCs/>
                <w:sz w:val="24"/>
              </w:rPr>
            </w:pPr>
            <w:r>
              <w:rPr>
                <w:rFonts w:hint="eastAsia" w:ascii="宋体" w:hAnsi="宋体"/>
                <w:sz w:val="24"/>
              </w:rPr>
              <w:t>技能考核：卖方提供试题及考核评估方案，对医院操作人员和维修工程人员进行技能考核。考核完成后，卖方须提供详细考核记录，考核记录应有考核内容、参加人员（签字）、考核地点、考核时间以及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8</w:t>
            </w:r>
          </w:p>
        </w:tc>
        <w:tc>
          <w:tcPr>
            <w:tcW w:w="7461" w:type="dxa"/>
            <w:vAlign w:val="center"/>
          </w:tcPr>
          <w:p>
            <w:pPr>
              <w:spacing w:line="380" w:lineRule="exact"/>
              <w:rPr>
                <w:rFonts w:ascii="宋体" w:hAnsi="宋体"/>
                <w:b/>
                <w:sz w:val="24"/>
              </w:rPr>
            </w:pPr>
            <w:r>
              <w:rPr>
                <w:rFonts w:hint="eastAsia" w:ascii="宋体" w:hAnsi="宋体" w:cs="宋体"/>
                <w:b/>
                <w:kern w:val="0"/>
                <w:sz w:val="24"/>
              </w:rPr>
              <w:t>技术支持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8.1</w:t>
            </w:r>
          </w:p>
        </w:tc>
        <w:tc>
          <w:tcPr>
            <w:tcW w:w="7461" w:type="dxa"/>
            <w:vAlign w:val="center"/>
          </w:tcPr>
          <w:p>
            <w:pPr>
              <w:spacing w:line="380" w:lineRule="exact"/>
              <w:rPr>
                <w:rFonts w:ascii="宋体" w:hAnsi="宋体" w:cs="宋体"/>
                <w:kern w:val="0"/>
                <w:sz w:val="24"/>
              </w:rPr>
            </w:pPr>
            <w:r>
              <w:rPr>
                <w:rFonts w:hint="eastAsia" w:ascii="Calibri" w:hAnsi="宋体"/>
                <w:sz w:val="24"/>
              </w:rPr>
              <w:t>提供所有软件终生免费安装（含硬件更换后软件重新安装调试）、调试、维护服务。供应商负有网络安全防护义务，承诺无条件及时修复出现的安全漏洞，报价须包含软件升级费用。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8.2</w:t>
            </w:r>
          </w:p>
        </w:tc>
        <w:tc>
          <w:tcPr>
            <w:tcW w:w="7461" w:type="dxa"/>
            <w:vAlign w:val="center"/>
          </w:tcPr>
          <w:p>
            <w:pPr>
              <w:spacing w:line="380" w:lineRule="exact"/>
              <w:rPr>
                <w:rFonts w:ascii="宋体" w:hAnsi="宋体"/>
                <w:sz w:val="24"/>
              </w:rPr>
            </w:pPr>
            <w:r>
              <w:rPr>
                <w:rFonts w:hint="eastAsia" w:ascii="宋体" w:hAnsi="宋体"/>
                <w:sz w:val="24"/>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9</w:t>
            </w:r>
          </w:p>
        </w:tc>
        <w:tc>
          <w:tcPr>
            <w:tcW w:w="7461" w:type="dxa"/>
            <w:vAlign w:val="center"/>
          </w:tcPr>
          <w:p>
            <w:pPr>
              <w:spacing w:line="380" w:lineRule="exact"/>
              <w:rPr>
                <w:rFonts w:ascii="宋体" w:hAnsi="宋体"/>
                <w:b/>
                <w:sz w:val="24"/>
              </w:rPr>
            </w:pPr>
            <w:r>
              <w:rPr>
                <w:rFonts w:hint="eastAsia" w:ascii="宋体" w:hAnsi="宋体"/>
                <w:b/>
                <w:sz w:val="24"/>
              </w:rPr>
              <w:t>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9.1</w:t>
            </w:r>
          </w:p>
        </w:tc>
        <w:tc>
          <w:tcPr>
            <w:tcW w:w="7461" w:type="dxa"/>
            <w:vAlign w:val="center"/>
          </w:tcPr>
          <w:p>
            <w:pPr>
              <w:spacing w:line="380" w:lineRule="exact"/>
              <w:rPr>
                <w:rFonts w:ascii="宋体" w:hAnsi="宋体"/>
                <w:sz w:val="24"/>
              </w:rPr>
            </w:pPr>
            <w:r>
              <w:rPr>
                <w:rFonts w:hint="eastAsia" w:ascii="Calibri" w:hAnsi="宋体"/>
                <w:bCs/>
                <w:sz w:val="24"/>
              </w:rPr>
              <w:t>卖方所提供的产品应具有知识产权的合法产品，且卖</w:t>
            </w:r>
            <w:r>
              <w:rPr>
                <w:rFonts w:ascii="Calibri" w:hAnsi="宋体"/>
                <w:bCs/>
                <w:sz w:val="24"/>
              </w:rPr>
              <w:t>方保证所提供的</w:t>
            </w:r>
            <w:r>
              <w:rPr>
                <w:rFonts w:hint="eastAsia" w:ascii="Calibri" w:hAnsi="宋体"/>
                <w:bCs/>
                <w:sz w:val="24"/>
              </w:rPr>
              <w:t>设备</w:t>
            </w:r>
            <w:r>
              <w:rPr>
                <w:rFonts w:ascii="Calibri" w:hAnsi="宋体"/>
                <w:bCs/>
                <w:sz w:val="24"/>
              </w:rPr>
              <w:t>或其任何一部分均不会侵犯任何第三方的知识产权</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9.2</w:t>
            </w:r>
          </w:p>
        </w:tc>
        <w:tc>
          <w:tcPr>
            <w:tcW w:w="7461" w:type="dxa"/>
            <w:vAlign w:val="center"/>
          </w:tcPr>
          <w:p>
            <w:pPr>
              <w:spacing w:line="380" w:lineRule="exact"/>
              <w:rPr>
                <w:rFonts w:ascii="Calibri" w:hAnsi="宋体"/>
                <w:bCs/>
                <w:sz w:val="24"/>
              </w:rPr>
            </w:pPr>
            <w:r>
              <w:rPr>
                <w:rFonts w:ascii="Calibri" w:hAnsi="宋体"/>
                <w:bCs/>
                <w:sz w:val="24"/>
              </w:rPr>
              <w:t>卖方保证所交付的</w:t>
            </w:r>
            <w:r>
              <w:rPr>
                <w:rFonts w:hint="eastAsia" w:ascii="Calibri" w:hAnsi="宋体"/>
                <w:bCs/>
                <w:sz w:val="24"/>
              </w:rPr>
              <w:t>所有设备</w:t>
            </w:r>
            <w:r>
              <w:rPr>
                <w:rFonts w:ascii="Calibri" w:hAnsi="宋体"/>
                <w:bCs/>
                <w:sz w:val="24"/>
              </w:rPr>
              <w:t>的所有权完全属于卖方且无任何抵押、查封等产权瑕疵</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10</w:t>
            </w:r>
          </w:p>
        </w:tc>
        <w:tc>
          <w:tcPr>
            <w:tcW w:w="7461" w:type="dxa"/>
            <w:vAlign w:val="center"/>
          </w:tcPr>
          <w:p>
            <w:pPr>
              <w:spacing w:line="380" w:lineRule="exact"/>
              <w:rPr>
                <w:rFonts w:ascii="宋体" w:hAnsi="宋体"/>
                <w:sz w:val="24"/>
              </w:rPr>
            </w:pPr>
            <w:r>
              <w:rPr>
                <w:rFonts w:hint="eastAsia" w:ascii="宋体" w:hAnsi="宋体" w:cs="宋体"/>
                <w:b/>
                <w:kern w:val="0"/>
                <w:sz w:val="24"/>
              </w:rPr>
              <w:t>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10.1</w:t>
            </w:r>
          </w:p>
        </w:tc>
        <w:tc>
          <w:tcPr>
            <w:tcW w:w="7461" w:type="dxa"/>
            <w:vAlign w:val="center"/>
          </w:tcPr>
          <w:p>
            <w:pPr>
              <w:rPr>
                <w:rFonts w:ascii="宋体" w:hAnsi="宋体" w:cs="宋体"/>
                <w:sz w:val="24"/>
              </w:rPr>
            </w:pPr>
            <w:r>
              <w:rPr>
                <w:rFonts w:hint="eastAsia" w:ascii="宋体" w:hAnsi="宋体" w:cs="宋体"/>
                <w:sz w:val="24"/>
              </w:rPr>
              <w:t>1、签订合同时，供应商应向采购人支付预付款保函。采购人在收到预付款保函、合同生效且项目具备实施条件后支付合同金额的40%作为预付款；货物安装验收合格后付清余款。（适用中小企业投标）</w:t>
            </w:r>
          </w:p>
          <w:p>
            <w:pPr>
              <w:rPr>
                <w:rFonts w:ascii="宋体" w:hAnsi="宋体" w:cs="宋体"/>
                <w:sz w:val="24"/>
              </w:rPr>
            </w:pPr>
            <w:r>
              <w:rPr>
                <w:rFonts w:hint="eastAsia" w:ascii="宋体" w:hAnsi="宋体" w:cs="宋体"/>
                <w:sz w:val="24"/>
              </w:rPr>
              <w:t>2、合同生效且项目具备实施条件后，采购人支付合同金额的40%作为预付款；货物安装验收合格后付清余款。（适用中小企业投标）</w:t>
            </w:r>
          </w:p>
          <w:p>
            <w:pPr>
              <w:rPr>
                <w:rFonts w:ascii="宋体" w:hAnsi="宋体"/>
                <w:sz w:val="24"/>
              </w:rPr>
            </w:pPr>
            <w:r>
              <w:rPr>
                <w:rFonts w:hint="eastAsia" w:ascii="宋体" w:hAnsi="宋体" w:cs="宋体"/>
                <w:sz w:val="24"/>
              </w:rPr>
              <w:t>3、验收合格后付全款。（适用大型企业投标）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10.2</w:t>
            </w:r>
          </w:p>
        </w:tc>
        <w:tc>
          <w:tcPr>
            <w:tcW w:w="7461" w:type="dxa"/>
            <w:vAlign w:val="center"/>
          </w:tcPr>
          <w:p>
            <w:pPr>
              <w:widowControl/>
              <w:spacing w:before="100" w:beforeAutospacing="1" w:after="100" w:afterAutospacing="1"/>
              <w:rPr>
                <w:rFonts w:ascii="宋体" w:hAnsi="宋体"/>
                <w:b/>
                <w:sz w:val="24"/>
              </w:rPr>
            </w:pPr>
            <w:r>
              <w:rPr>
                <w:rFonts w:hint="eastAsia" w:ascii="宋体" w:hAnsi="宋体" w:cs="宋体"/>
                <w:sz w:val="24"/>
              </w:rPr>
              <w:t>在签订合同时，供应商明确表示无需预付款或者主动要求降低预付款比例的，不适用前述规定。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10.3</w:t>
            </w:r>
          </w:p>
        </w:tc>
        <w:tc>
          <w:tcPr>
            <w:tcW w:w="7461" w:type="dxa"/>
            <w:vAlign w:val="center"/>
          </w:tcPr>
          <w:p>
            <w:pPr>
              <w:rPr>
                <w:rFonts w:ascii="宋体" w:hAnsi="宋体" w:cs="宋体"/>
                <w:sz w:val="24"/>
              </w:rPr>
            </w:pPr>
            <w:r>
              <w:rPr>
                <w:rFonts w:ascii="宋体" w:hAnsi="宋体" w:cs="宋体"/>
                <w:sz w:val="24"/>
              </w:rPr>
              <w:t>签订合同后3日内，供应商交纳1%的履约保证金；履约保证金在</w:t>
            </w:r>
            <w:r>
              <w:rPr>
                <w:rFonts w:hint="eastAsia" w:ascii="宋体" w:hAnsi="宋体" w:cs="宋体"/>
                <w:sz w:val="24"/>
              </w:rPr>
              <w:t>保质</w:t>
            </w:r>
            <w:r>
              <w:rPr>
                <w:rFonts w:ascii="宋体" w:hAnsi="宋体" w:cs="宋体"/>
                <w:sz w:val="24"/>
              </w:rPr>
              <w:t>期满后（从项目整体验收合格之日算起）无质量问题、无售后服务问题并符合合同约定，无息退还。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11</w:t>
            </w:r>
          </w:p>
        </w:tc>
        <w:tc>
          <w:tcPr>
            <w:tcW w:w="7461" w:type="dxa"/>
            <w:vAlign w:val="center"/>
          </w:tcPr>
          <w:p>
            <w:pPr>
              <w:widowControl/>
              <w:spacing w:before="100" w:beforeAutospacing="1" w:after="100" w:afterAutospacing="1"/>
              <w:rPr>
                <w:rFonts w:ascii="宋体" w:hAnsi="宋体"/>
                <w:b/>
                <w:sz w:val="24"/>
              </w:rPr>
            </w:pPr>
            <w:r>
              <w:rPr>
                <w:rFonts w:hint="eastAsia" w:ascii="宋体" w:hAnsi="宋体" w:cs="宋体"/>
                <w:b/>
                <w:color w:val="000000"/>
                <w:kern w:val="0"/>
                <w:sz w:val="24"/>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11.1</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若设备有信息系统接口，则全部免费开放，并无条件配合采购人接入信息管理网络系统。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11.2</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采购文件中未提及的某些属标配的功能、软件，必须无条件提供。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11.3</w:t>
            </w:r>
          </w:p>
        </w:tc>
        <w:tc>
          <w:tcPr>
            <w:tcW w:w="7461" w:type="dxa"/>
            <w:vAlign w:val="center"/>
          </w:tcPr>
          <w:p>
            <w:pPr>
              <w:widowControl/>
              <w:spacing w:before="100" w:beforeAutospacing="1" w:after="100" w:afterAutospacing="1"/>
              <w:rPr>
                <w:rFonts w:ascii="宋体" w:hAnsi="宋体"/>
                <w:sz w:val="24"/>
              </w:rPr>
            </w:pPr>
            <w:r>
              <w:rPr>
                <w:rFonts w:hint="eastAsia" w:ascii="宋体" w:hAnsi="宋体"/>
                <w:b/>
                <w:bCs/>
                <w:color w:val="000000" w:themeColor="text1"/>
                <w:sz w:val="24"/>
                <w14:textFill>
                  <w14:solidFill>
                    <w14:schemeClr w14:val="tx1"/>
                  </w14:solidFill>
                </w14:textFill>
              </w:rPr>
              <w:t>本项目允许进口产品参与投标。</w:t>
            </w:r>
          </w:p>
        </w:tc>
      </w:tr>
    </w:tbl>
    <w:p>
      <w:pPr>
        <w:spacing w:line="360" w:lineRule="auto"/>
        <w:rPr>
          <w:rFonts w:hint="eastAsia" w:ascii="Calibri" w:hAnsi="Calibri"/>
          <w:b/>
          <w:color w:val="000000" w:themeColor="text1"/>
          <w:sz w:val="24"/>
          <w14:textFill>
            <w14:solidFill>
              <w14:schemeClr w14:val="tx1"/>
            </w14:solidFill>
          </w14:textFill>
        </w:rPr>
      </w:pPr>
    </w:p>
    <w:p>
      <w:pPr>
        <w:spacing w:line="360" w:lineRule="auto"/>
        <w:rPr>
          <w:rFonts w:ascii="Calibri" w:hAnsi="Calibri"/>
          <w:b/>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五、其他要求</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带“★”号项为实质性响应要求，如不满足将作无效投标处理。针对带“★”号技术参数要求，供应商需提供充分的证明材料，未提供充分证明材料的，评审委员会有权视为不满足采购文件要求。证明材料可以是以下四项中任一项：</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1）生产制造商公开对外宣传的带有响应技术参数或功能的产品彩页，为响应而临时打印的无效。</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2）加盖生产制造商公章的技术白皮书。</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3）可在生产制造商官网查询到的产品技术参数或功能，需提供官网截图和网址等信息。</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4）评审委员会认可的其他有效证明（包括但不限于第三方检测报告、加盖生产制造商的证明材料等）。</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2、针对“★”提供满足技术参数的佐证资料并在偏离表中标明佐证资料页码。</w:t>
      </w:r>
    </w:p>
    <w:p>
      <w:pPr>
        <w:snapToGrid w:val="0"/>
        <w:spacing w:line="360" w:lineRule="auto"/>
        <w:jc w:val="both"/>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6" w:name="_Toc184313308"/>
      <w:bookmarkEnd w:id="26"/>
      <w:bookmarkStart w:id="27" w:name="_Toc184314464"/>
      <w:bookmarkEnd w:id="27"/>
      <w:bookmarkStart w:id="28" w:name="_Toc184312101"/>
      <w:bookmarkEnd w:id="28"/>
      <w:bookmarkStart w:id="29" w:name="_Toc184313248"/>
      <w:bookmarkEnd w:id="29"/>
      <w:bookmarkStart w:id="30" w:name="_Toc184310321"/>
      <w:bookmarkEnd w:id="30"/>
      <w:bookmarkStart w:id="31" w:name="_Toc184312082"/>
      <w:bookmarkEnd w:id="31"/>
      <w:bookmarkStart w:id="32" w:name="_Toc184308069"/>
      <w:bookmarkEnd w:id="32"/>
      <w:bookmarkStart w:id="33" w:name="_Toc184310297"/>
      <w:bookmarkEnd w:id="33"/>
      <w:bookmarkStart w:id="34" w:name="_Toc184313252"/>
      <w:bookmarkEnd w:id="34"/>
      <w:bookmarkStart w:id="35" w:name="_Toc184308107"/>
      <w:bookmarkEnd w:id="35"/>
      <w:bookmarkStart w:id="36" w:name="_Toc184312134"/>
      <w:bookmarkEnd w:id="36"/>
      <w:bookmarkStart w:id="37" w:name="_Toc184310285"/>
      <w:bookmarkEnd w:id="37"/>
      <w:bookmarkStart w:id="38" w:name="_Toc184308108"/>
      <w:bookmarkEnd w:id="38"/>
      <w:bookmarkStart w:id="39" w:name="_Toc184313271"/>
      <w:bookmarkEnd w:id="39"/>
      <w:bookmarkStart w:id="40" w:name="_Toc184312074"/>
      <w:bookmarkEnd w:id="40"/>
      <w:bookmarkStart w:id="41" w:name="_Toc184313298"/>
      <w:bookmarkEnd w:id="41"/>
      <w:bookmarkStart w:id="42" w:name="_Toc184313270"/>
      <w:bookmarkEnd w:id="42"/>
      <w:bookmarkStart w:id="43" w:name="_Toc184313299"/>
      <w:bookmarkEnd w:id="43"/>
      <w:bookmarkStart w:id="44" w:name="_Toc184312131"/>
      <w:bookmarkEnd w:id="44"/>
      <w:bookmarkStart w:id="45" w:name="_Toc184314420"/>
      <w:bookmarkEnd w:id="45"/>
      <w:bookmarkStart w:id="46" w:name="_Toc184313258"/>
      <w:bookmarkEnd w:id="46"/>
      <w:bookmarkStart w:id="47" w:name="_Toc184308086"/>
      <w:bookmarkEnd w:id="47"/>
      <w:bookmarkStart w:id="48" w:name="_Toc184312094"/>
      <w:bookmarkEnd w:id="48"/>
      <w:bookmarkStart w:id="49" w:name="_Toc184308072"/>
      <w:bookmarkEnd w:id="49"/>
      <w:bookmarkStart w:id="50" w:name="_Toc184313239"/>
      <w:bookmarkEnd w:id="50"/>
      <w:bookmarkStart w:id="51" w:name="_Toc184313277"/>
      <w:bookmarkEnd w:id="51"/>
      <w:bookmarkStart w:id="52" w:name="_Toc184313257"/>
      <w:bookmarkEnd w:id="52"/>
      <w:bookmarkStart w:id="53" w:name="_Toc184310342"/>
      <w:bookmarkEnd w:id="53"/>
      <w:bookmarkStart w:id="54" w:name="_Toc184314413"/>
      <w:bookmarkEnd w:id="54"/>
      <w:bookmarkStart w:id="55" w:name="_Toc184308043"/>
      <w:bookmarkEnd w:id="55"/>
      <w:bookmarkStart w:id="56" w:name="_Toc184310332"/>
      <w:bookmarkEnd w:id="56"/>
      <w:bookmarkStart w:id="57" w:name="_Toc184308067"/>
      <w:bookmarkEnd w:id="57"/>
      <w:bookmarkStart w:id="58" w:name="_Toc184310282"/>
      <w:bookmarkEnd w:id="58"/>
      <w:bookmarkStart w:id="59" w:name="_Toc184312078"/>
      <w:bookmarkEnd w:id="59"/>
      <w:bookmarkStart w:id="60" w:name="_Toc184313253"/>
      <w:bookmarkEnd w:id="60"/>
      <w:bookmarkStart w:id="61" w:name="_Toc184308041"/>
      <w:bookmarkEnd w:id="61"/>
      <w:bookmarkStart w:id="62" w:name="_Toc184310283"/>
      <w:bookmarkEnd w:id="62"/>
      <w:bookmarkStart w:id="63" w:name="_Toc184312067"/>
      <w:bookmarkEnd w:id="63"/>
      <w:bookmarkStart w:id="64" w:name="_Toc184312128"/>
      <w:bookmarkEnd w:id="64"/>
      <w:bookmarkStart w:id="65" w:name="_Toc184310323"/>
      <w:bookmarkEnd w:id="65"/>
      <w:bookmarkStart w:id="66" w:name="_Toc184314457"/>
      <w:bookmarkEnd w:id="66"/>
      <w:bookmarkStart w:id="67" w:name="_Toc184313263"/>
      <w:bookmarkEnd w:id="67"/>
      <w:bookmarkStart w:id="68" w:name="_Toc184312099"/>
      <w:bookmarkEnd w:id="68"/>
      <w:bookmarkStart w:id="69" w:name="_Toc184314428"/>
      <w:bookmarkEnd w:id="69"/>
      <w:bookmarkStart w:id="70" w:name="_Toc184312120"/>
      <w:bookmarkEnd w:id="70"/>
      <w:bookmarkStart w:id="71" w:name="_Toc184314482"/>
      <w:bookmarkEnd w:id="71"/>
      <w:bookmarkStart w:id="72" w:name="_Toc184313288"/>
      <w:bookmarkEnd w:id="72"/>
      <w:bookmarkStart w:id="73" w:name="_Toc184312081"/>
      <w:bookmarkEnd w:id="73"/>
      <w:bookmarkStart w:id="74" w:name="_Toc184313310"/>
      <w:bookmarkEnd w:id="74"/>
      <w:bookmarkStart w:id="75" w:name="_Toc184308088"/>
      <w:bookmarkEnd w:id="75"/>
      <w:bookmarkStart w:id="76" w:name="_Toc184308051"/>
      <w:bookmarkEnd w:id="76"/>
      <w:bookmarkStart w:id="77" w:name="_Toc184312070"/>
      <w:bookmarkEnd w:id="77"/>
      <w:bookmarkStart w:id="78" w:name="_Toc184314419"/>
      <w:bookmarkEnd w:id="78"/>
      <w:bookmarkStart w:id="79" w:name="_Toc184313272"/>
      <w:bookmarkEnd w:id="79"/>
      <w:bookmarkStart w:id="80" w:name="_Toc184313261"/>
      <w:bookmarkEnd w:id="80"/>
      <w:bookmarkStart w:id="81" w:name="_Toc184314455"/>
      <w:bookmarkEnd w:id="81"/>
      <w:bookmarkStart w:id="82" w:name="_Toc184314440"/>
      <w:bookmarkEnd w:id="82"/>
      <w:bookmarkStart w:id="83" w:name="_Toc184308063"/>
      <w:bookmarkEnd w:id="83"/>
      <w:bookmarkStart w:id="84" w:name="_Toc184313280"/>
      <w:bookmarkEnd w:id="84"/>
      <w:bookmarkStart w:id="85" w:name="_Toc184310281"/>
      <w:bookmarkEnd w:id="85"/>
      <w:bookmarkStart w:id="86" w:name="_Toc184313295"/>
      <w:bookmarkEnd w:id="86"/>
      <w:bookmarkStart w:id="87" w:name="_Toc184314432"/>
      <w:bookmarkEnd w:id="87"/>
      <w:bookmarkStart w:id="88" w:name="_Toc184314474"/>
      <w:bookmarkEnd w:id="88"/>
      <w:bookmarkStart w:id="89" w:name="_Toc184310319"/>
      <w:bookmarkEnd w:id="89"/>
      <w:bookmarkStart w:id="90" w:name="_Toc184314463"/>
      <w:bookmarkEnd w:id="90"/>
      <w:bookmarkStart w:id="91" w:name="_Toc184313283"/>
      <w:bookmarkEnd w:id="91"/>
      <w:bookmarkStart w:id="92" w:name="_Toc184312106"/>
      <w:bookmarkEnd w:id="92"/>
      <w:bookmarkStart w:id="93" w:name="_Toc184310308"/>
      <w:bookmarkEnd w:id="93"/>
      <w:bookmarkStart w:id="94" w:name="_Toc184314441"/>
      <w:bookmarkEnd w:id="94"/>
      <w:bookmarkStart w:id="95" w:name="_Toc184314416"/>
      <w:bookmarkEnd w:id="95"/>
      <w:bookmarkStart w:id="96" w:name="_Toc184310298"/>
      <w:bookmarkEnd w:id="96"/>
      <w:bookmarkStart w:id="97" w:name="_Toc184313250"/>
      <w:bookmarkEnd w:id="97"/>
      <w:bookmarkStart w:id="98" w:name="_Toc184310328"/>
      <w:bookmarkEnd w:id="98"/>
      <w:bookmarkStart w:id="99" w:name="_Toc184312098"/>
      <w:bookmarkEnd w:id="99"/>
      <w:bookmarkStart w:id="100" w:name="_Toc184313238"/>
      <w:bookmarkEnd w:id="100"/>
      <w:bookmarkStart w:id="101" w:name="_Toc184314451"/>
      <w:bookmarkEnd w:id="101"/>
      <w:bookmarkStart w:id="102" w:name="_Toc184310316"/>
      <w:bookmarkEnd w:id="102"/>
      <w:bookmarkStart w:id="103" w:name="_Toc184312085"/>
      <w:bookmarkEnd w:id="103"/>
      <w:bookmarkStart w:id="104" w:name="_Toc184308040"/>
      <w:bookmarkEnd w:id="104"/>
      <w:bookmarkStart w:id="105" w:name="_Toc184308082"/>
      <w:bookmarkEnd w:id="105"/>
      <w:bookmarkStart w:id="106" w:name="_Toc184312117"/>
      <w:bookmarkEnd w:id="106"/>
      <w:bookmarkStart w:id="107" w:name="_Toc184308061"/>
      <w:bookmarkEnd w:id="107"/>
      <w:bookmarkStart w:id="108" w:name="_Toc184313309"/>
      <w:bookmarkEnd w:id="108"/>
      <w:bookmarkStart w:id="109" w:name="_Toc184314466"/>
      <w:bookmarkEnd w:id="109"/>
      <w:bookmarkStart w:id="110" w:name="_Toc184308100"/>
      <w:bookmarkEnd w:id="110"/>
      <w:bookmarkStart w:id="111" w:name="_Toc184310293"/>
      <w:bookmarkEnd w:id="111"/>
      <w:bookmarkStart w:id="112" w:name="_Toc184313292"/>
      <w:bookmarkEnd w:id="112"/>
      <w:bookmarkStart w:id="113" w:name="_Toc184314411"/>
      <w:bookmarkEnd w:id="113"/>
      <w:bookmarkStart w:id="114" w:name="_Toc184312123"/>
      <w:bookmarkEnd w:id="114"/>
      <w:bookmarkStart w:id="115" w:name="_Toc184312104"/>
      <w:bookmarkEnd w:id="115"/>
      <w:bookmarkStart w:id="116" w:name="_Toc184313249"/>
      <w:bookmarkEnd w:id="116"/>
      <w:bookmarkStart w:id="117" w:name="_Toc184313256"/>
      <w:bookmarkEnd w:id="117"/>
      <w:bookmarkStart w:id="118" w:name="_Toc184310322"/>
      <w:bookmarkEnd w:id="118"/>
      <w:bookmarkStart w:id="119" w:name="_Toc184314445"/>
      <w:bookmarkEnd w:id="119"/>
      <w:bookmarkStart w:id="120" w:name="_Toc184314465"/>
      <w:bookmarkEnd w:id="120"/>
      <w:bookmarkStart w:id="121" w:name="_Toc184313303"/>
      <w:bookmarkEnd w:id="121"/>
      <w:bookmarkStart w:id="122" w:name="_Toc184308048"/>
      <w:bookmarkEnd w:id="122"/>
      <w:bookmarkStart w:id="123" w:name="_Toc184310303"/>
      <w:bookmarkEnd w:id="123"/>
      <w:bookmarkStart w:id="124" w:name="_Toc184314410"/>
      <w:bookmarkEnd w:id="124"/>
      <w:bookmarkStart w:id="125" w:name="_Toc184310275"/>
      <w:bookmarkEnd w:id="125"/>
      <w:bookmarkStart w:id="126" w:name="_Toc184313259"/>
      <w:bookmarkEnd w:id="126"/>
      <w:bookmarkStart w:id="127" w:name="_Toc184308053"/>
      <w:bookmarkEnd w:id="127"/>
      <w:bookmarkStart w:id="128" w:name="_Toc184308089"/>
      <w:bookmarkEnd w:id="128"/>
      <w:bookmarkStart w:id="129" w:name="_Toc184308078"/>
      <w:bookmarkEnd w:id="129"/>
      <w:bookmarkStart w:id="130" w:name="_Toc184312139"/>
      <w:bookmarkEnd w:id="130"/>
      <w:bookmarkStart w:id="131" w:name="_Toc184308096"/>
      <w:bookmarkEnd w:id="131"/>
      <w:bookmarkStart w:id="132" w:name="_Toc184314422"/>
      <w:bookmarkEnd w:id="132"/>
      <w:bookmarkStart w:id="133" w:name="_Toc184312109"/>
      <w:bookmarkEnd w:id="133"/>
      <w:bookmarkStart w:id="134" w:name="_Toc184313275"/>
      <w:bookmarkEnd w:id="134"/>
      <w:bookmarkStart w:id="135" w:name="_Toc184310291"/>
      <w:bookmarkEnd w:id="135"/>
      <w:bookmarkStart w:id="136" w:name="_Toc184313242"/>
      <w:bookmarkEnd w:id="136"/>
      <w:bookmarkStart w:id="137" w:name="_Toc184314460"/>
      <w:bookmarkEnd w:id="137"/>
      <w:bookmarkStart w:id="138" w:name="_Toc184313291"/>
      <w:bookmarkEnd w:id="138"/>
      <w:bookmarkStart w:id="139" w:name="_Toc184308066"/>
      <w:bookmarkEnd w:id="139"/>
      <w:bookmarkStart w:id="140" w:name="_Toc184310333"/>
      <w:bookmarkEnd w:id="140"/>
      <w:bookmarkStart w:id="141" w:name="_Toc184310336"/>
      <w:bookmarkEnd w:id="141"/>
      <w:bookmarkStart w:id="142" w:name="_Toc184312108"/>
      <w:bookmarkEnd w:id="142"/>
      <w:bookmarkStart w:id="143" w:name="_Toc184313279"/>
      <w:bookmarkEnd w:id="143"/>
      <w:bookmarkStart w:id="144" w:name="_Toc184308058"/>
      <w:bookmarkEnd w:id="144"/>
      <w:bookmarkStart w:id="145" w:name="_Toc184312136"/>
      <w:bookmarkEnd w:id="145"/>
      <w:bookmarkStart w:id="146" w:name="_Toc184308102"/>
      <w:bookmarkEnd w:id="146"/>
      <w:bookmarkStart w:id="147" w:name="_Toc184312119"/>
      <w:bookmarkEnd w:id="147"/>
      <w:bookmarkStart w:id="148" w:name="_Toc184313305"/>
      <w:bookmarkEnd w:id="148"/>
      <w:bookmarkStart w:id="149" w:name="_Toc184308094"/>
      <w:bookmarkEnd w:id="149"/>
      <w:bookmarkStart w:id="150" w:name="_Toc184313293"/>
      <w:bookmarkEnd w:id="150"/>
      <w:bookmarkStart w:id="151" w:name="_Toc184308057"/>
      <w:bookmarkEnd w:id="151"/>
      <w:bookmarkStart w:id="152" w:name="_Toc184312133"/>
      <w:bookmarkEnd w:id="152"/>
      <w:bookmarkStart w:id="153" w:name="_Toc184310274"/>
      <w:bookmarkEnd w:id="153"/>
      <w:bookmarkStart w:id="154" w:name="_Toc184310295"/>
      <w:bookmarkEnd w:id="154"/>
      <w:bookmarkStart w:id="155" w:name="_Toc184308083"/>
      <w:bookmarkEnd w:id="155"/>
      <w:bookmarkStart w:id="156" w:name="_Toc184313294"/>
      <w:bookmarkEnd w:id="156"/>
      <w:bookmarkStart w:id="157" w:name="_Toc184312093"/>
      <w:bookmarkEnd w:id="157"/>
      <w:bookmarkStart w:id="158" w:name="_Toc184308077"/>
      <w:bookmarkEnd w:id="158"/>
      <w:bookmarkStart w:id="159" w:name="_Toc184310325"/>
      <w:bookmarkEnd w:id="159"/>
      <w:bookmarkStart w:id="160" w:name="_Toc184312083"/>
      <w:bookmarkEnd w:id="160"/>
      <w:bookmarkStart w:id="161" w:name="_Toc184312138"/>
      <w:bookmarkEnd w:id="161"/>
      <w:bookmarkStart w:id="162" w:name="_Toc184308091"/>
      <w:bookmarkEnd w:id="162"/>
      <w:bookmarkStart w:id="163" w:name="_Toc184308049"/>
      <w:bookmarkEnd w:id="163"/>
      <w:bookmarkStart w:id="164" w:name="_Toc184310273"/>
      <w:bookmarkEnd w:id="164"/>
      <w:bookmarkStart w:id="165" w:name="_Toc184314481"/>
      <w:bookmarkEnd w:id="165"/>
      <w:bookmarkStart w:id="166" w:name="_Toc184312127"/>
      <w:bookmarkEnd w:id="166"/>
      <w:bookmarkStart w:id="167" w:name="_Toc184314435"/>
      <w:bookmarkEnd w:id="167"/>
      <w:bookmarkStart w:id="168" w:name="_Toc184310279"/>
      <w:bookmarkEnd w:id="168"/>
      <w:bookmarkStart w:id="169" w:name="_Toc184310341"/>
      <w:bookmarkEnd w:id="169"/>
      <w:bookmarkStart w:id="170" w:name="_Toc184308101"/>
      <w:bookmarkEnd w:id="170"/>
      <w:bookmarkStart w:id="171" w:name="_Toc184313240"/>
      <w:bookmarkEnd w:id="171"/>
      <w:bookmarkStart w:id="172" w:name="_Toc184312121"/>
      <w:bookmarkEnd w:id="172"/>
      <w:bookmarkStart w:id="173" w:name="_Toc184310296"/>
      <w:bookmarkEnd w:id="173"/>
      <w:bookmarkStart w:id="174" w:name="_Toc184312100"/>
      <w:bookmarkEnd w:id="174"/>
      <w:bookmarkStart w:id="175" w:name="_Toc184313301"/>
      <w:bookmarkEnd w:id="175"/>
      <w:bookmarkStart w:id="176" w:name="_Toc184308064"/>
      <w:bookmarkEnd w:id="176"/>
      <w:bookmarkStart w:id="177" w:name="_Toc184314472"/>
      <w:bookmarkEnd w:id="177"/>
      <w:bookmarkStart w:id="178" w:name="_Toc184310305"/>
      <w:bookmarkEnd w:id="178"/>
      <w:bookmarkStart w:id="179" w:name="_Toc184314467"/>
      <w:bookmarkEnd w:id="179"/>
      <w:bookmarkStart w:id="180" w:name="_Toc184314479"/>
      <w:bookmarkEnd w:id="180"/>
      <w:bookmarkStart w:id="181" w:name="_Toc184314454"/>
      <w:bookmarkEnd w:id="181"/>
      <w:bookmarkStart w:id="182" w:name="_Toc184314431"/>
      <w:bookmarkEnd w:id="182"/>
      <w:bookmarkStart w:id="183" w:name="_Toc184314462"/>
      <w:bookmarkEnd w:id="183"/>
      <w:bookmarkStart w:id="184" w:name="_Toc184308036"/>
      <w:bookmarkEnd w:id="184"/>
      <w:bookmarkStart w:id="185" w:name="_Toc184312118"/>
      <w:bookmarkEnd w:id="185"/>
      <w:bookmarkStart w:id="186" w:name="_Toc184314461"/>
      <w:bookmarkEnd w:id="186"/>
      <w:bookmarkStart w:id="187" w:name="_Toc184314450"/>
      <w:bookmarkEnd w:id="187"/>
      <w:bookmarkStart w:id="188" w:name="_Toc184313304"/>
      <w:bookmarkEnd w:id="188"/>
      <w:bookmarkStart w:id="189" w:name="_Toc184312107"/>
      <w:bookmarkEnd w:id="189"/>
      <w:bookmarkStart w:id="190" w:name="_Toc184310343"/>
      <w:bookmarkEnd w:id="190"/>
      <w:bookmarkStart w:id="191" w:name="_Toc184312112"/>
      <w:bookmarkEnd w:id="191"/>
      <w:bookmarkStart w:id="192" w:name="_Toc184313267"/>
      <w:bookmarkEnd w:id="192"/>
      <w:bookmarkStart w:id="193" w:name="_Toc184310326"/>
      <w:bookmarkEnd w:id="193"/>
      <w:bookmarkStart w:id="194" w:name="_Toc184310312"/>
      <w:bookmarkEnd w:id="194"/>
      <w:bookmarkStart w:id="195" w:name="_Toc184313268"/>
      <w:bookmarkEnd w:id="195"/>
      <w:bookmarkStart w:id="196" w:name="_Toc184310309"/>
      <w:bookmarkEnd w:id="196"/>
      <w:bookmarkStart w:id="197" w:name="_Toc184308085"/>
      <w:bookmarkEnd w:id="197"/>
      <w:bookmarkStart w:id="198" w:name="_Toc184308092"/>
      <w:bookmarkEnd w:id="198"/>
      <w:bookmarkStart w:id="199" w:name="_Toc184313302"/>
      <w:bookmarkEnd w:id="199"/>
      <w:bookmarkStart w:id="200" w:name="_Toc184314423"/>
      <w:bookmarkEnd w:id="200"/>
      <w:bookmarkStart w:id="201" w:name="_Toc184308060"/>
      <w:bookmarkEnd w:id="201"/>
      <w:bookmarkStart w:id="202" w:name="_Toc184310327"/>
      <w:bookmarkEnd w:id="202"/>
      <w:bookmarkStart w:id="203" w:name="_Toc184308090"/>
      <w:bookmarkEnd w:id="203"/>
      <w:bookmarkStart w:id="204" w:name="_Toc184310334"/>
      <w:bookmarkEnd w:id="204"/>
      <w:bookmarkStart w:id="205" w:name="_Toc184314444"/>
      <w:bookmarkEnd w:id="205"/>
      <w:bookmarkStart w:id="206" w:name="_Toc184314480"/>
      <w:bookmarkEnd w:id="206"/>
      <w:bookmarkStart w:id="207" w:name="_Toc184313241"/>
      <w:bookmarkEnd w:id="207"/>
      <w:bookmarkStart w:id="208" w:name="_Toc184310287"/>
      <w:bookmarkEnd w:id="208"/>
      <w:bookmarkStart w:id="209" w:name="_Toc184312071"/>
      <w:bookmarkEnd w:id="209"/>
      <w:bookmarkStart w:id="210" w:name="_Toc184310294"/>
      <w:bookmarkEnd w:id="210"/>
      <w:bookmarkStart w:id="211" w:name="_Toc184308046"/>
      <w:bookmarkEnd w:id="211"/>
      <w:bookmarkStart w:id="212" w:name="_Toc184312115"/>
      <w:bookmarkEnd w:id="212"/>
      <w:bookmarkStart w:id="213" w:name="_Toc184310329"/>
      <w:bookmarkEnd w:id="213"/>
      <w:bookmarkStart w:id="214" w:name="_Toc184313286"/>
      <w:bookmarkEnd w:id="214"/>
      <w:bookmarkStart w:id="215" w:name="_Toc184312129"/>
      <w:bookmarkEnd w:id="215"/>
      <w:bookmarkStart w:id="216" w:name="_Toc184312116"/>
      <w:bookmarkEnd w:id="216"/>
      <w:bookmarkStart w:id="217" w:name="_Toc184313285"/>
      <w:bookmarkEnd w:id="217"/>
      <w:bookmarkStart w:id="218" w:name="_Toc184314424"/>
      <w:bookmarkEnd w:id="218"/>
      <w:bookmarkStart w:id="219" w:name="_Toc184314443"/>
      <w:bookmarkEnd w:id="219"/>
      <w:bookmarkStart w:id="220" w:name="_Toc184314415"/>
      <w:bookmarkEnd w:id="220"/>
      <w:bookmarkStart w:id="221" w:name="_Toc184310289"/>
      <w:bookmarkEnd w:id="221"/>
      <w:bookmarkStart w:id="222" w:name="_Toc184312091"/>
      <w:bookmarkEnd w:id="222"/>
      <w:bookmarkStart w:id="223" w:name="_Toc184310338"/>
      <w:bookmarkEnd w:id="223"/>
      <w:bookmarkStart w:id="224" w:name="_Toc184310330"/>
      <w:bookmarkEnd w:id="224"/>
      <w:bookmarkStart w:id="225" w:name="_Toc184314469"/>
      <w:bookmarkEnd w:id="225"/>
      <w:bookmarkStart w:id="226" w:name="_Toc184310313"/>
      <w:bookmarkEnd w:id="226"/>
      <w:bookmarkStart w:id="227" w:name="_Toc184308097"/>
      <w:bookmarkEnd w:id="227"/>
      <w:bookmarkStart w:id="228" w:name="_Toc184314471"/>
      <w:bookmarkEnd w:id="228"/>
      <w:bookmarkStart w:id="229" w:name="_Toc184314470"/>
      <w:bookmarkEnd w:id="229"/>
      <w:bookmarkStart w:id="230" w:name="_Toc184308103"/>
      <w:bookmarkEnd w:id="230"/>
      <w:bookmarkStart w:id="231" w:name="_Toc184312130"/>
      <w:bookmarkEnd w:id="231"/>
      <w:bookmarkStart w:id="232" w:name="_Toc184312092"/>
      <w:bookmarkEnd w:id="232"/>
      <w:bookmarkStart w:id="233" w:name="_Toc184314452"/>
      <w:bookmarkEnd w:id="233"/>
      <w:bookmarkStart w:id="234" w:name="_Toc184308080"/>
      <w:bookmarkEnd w:id="234"/>
      <w:bookmarkStart w:id="235" w:name="_Toc184312087"/>
      <w:bookmarkEnd w:id="235"/>
      <w:bookmarkStart w:id="236" w:name="_Toc184308037"/>
      <w:bookmarkEnd w:id="236"/>
      <w:bookmarkStart w:id="237" w:name="_Toc184312122"/>
      <w:bookmarkEnd w:id="237"/>
      <w:bookmarkStart w:id="238" w:name="_Toc184313297"/>
      <w:bookmarkEnd w:id="238"/>
      <w:bookmarkStart w:id="239" w:name="_Toc184310340"/>
      <w:bookmarkEnd w:id="239"/>
      <w:bookmarkStart w:id="240" w:name="_Toc184312132"/>
      <w:bookmarkEnd w:id="240"/>
      <w:bookmarkStart w:id="241" w:name="_Toc184308076"/>
      <w:bookmarkEnd w:id="241"/>
      <w:bookmarkStart w:id="242" w:name="_Toc184308068"/>
      <w:bookmarkEnd w:id="242"/>
      <w:bookmarkStart w:id="243" w:name="_Toc184312084"/>
      <w:bookmarkEnd w:id="243"/>
      <w:bookmarkStart w:id="244" w:name="_Toc184312080"/>
      <w:bookmarkEnd w:id="244"/>
      <w:bookmarkStart w:id="245" w:name="_Toc184310311"/>
      <w:bookmarkEnd w:id="245"/>
      <w:bookmarkStart w:id="246" w:name="_Toc184312114"/>
      <w:bookmarkEnd w:id="246"/>
      <w:bookmarkStart w:id="247" w:name="_Toc184310276"/>
      <w:bookmarkEnd w:id="247"/>
      <w:bookmarkStart w:id="248" w:name="_Toc184308044"/>
      <w:bookmarkEnd w:id="248"/>
      <w:bookmarkStart w:id="249" w:name="_Toc184310307"/>
      <w:bookmarkEnd w:id="249"/>
      <w:bookmarkStart w:id="250" w:name="_Toc184312097"/>
      <w:bookmarkEnd w:id="250"/>
      <w:bookmarkStart w:id="251" w:name="_Toc184308087"/>
      <w:bookmarkEnd w:id="251"/>
      <w:bookmarkStart w:id="252" w:name="_Toc184314430"/>
      <w:bookmarkEnd w:id="252"/>
      <w:bookmarkStart w:id="253" w:name="_Toc184308098"/>
      <w:bookmarkEnd w:id="253"/>
      <w:bookmarkStart w:id="254" w:name="_Toc184312088"/>
      <w:bookmarkEnd w:id="254"/>
      <w:bookmarkStart w:id="255" w:name="_Toc184312086"/>
      <w:bookmarkEnd w:id="255"/>
      <w:bookmarkStart w:id="256" w:name="_Toc184314456"/>
      <w:bookmarkEnd w:id="256"/>
      <w:bookmarkStart w:id="257" w:name="_Toc184310315"/>
      <w:bookmarkEnd w:id="257"/>
      <w:bookmarkStart w:id="258" w:name="_Toc184310317"/>
      <w:bookmarkEnd w:id="258"/>
      <w:bookmarkStart w:id="259" w:name="_Toc184308095"/>
      <w:bookmarkEnd w:id="259"/>
      <w:bookmarkStart w:id="260" w:name="_Toc184312124"/>
      <w:bookmarkEnd w:id="260"/>
      <w:bookmarkStart w:id="261" w:name="_Toc184308039"/>
      <w:bookmarkEnd w:id="261"/>
      <w:bookmarkStart w:id="262" w:name="_Toc184314429"/>
      <w:bookmarkEnd w:id="262"/>
      <w:bookmarkStart w:id="263" w:name="_Toc184312079"/>
      <w:bookmarkEnd w:id="263"/>
      <w:bookmarkStart w:id="264" w:name="_Toc184310290"/>
      <w:bookmarkEnd w:id="264"/>
      <w:bookmarkStart w:id="265" w:name="_Toc184310306"/>
      <w:bookmarkEnd w:id="265"/>
      <w:bookmarkStart w:id="266" w:name="_Toc184314459"/>
      <w:bookmarkEnd w:id="266"/>
      <w:bookmarkStart w:id="267" w:name="_Toc184310292"/>
      <w:bookmarkEnd w:id="267"/>
      <w:bookmarkStart w:id="268" w:name="_Toc184313274"/>
      <w:bookmarkEnd w:id="268"/>
      <w:bookmarkStart w:id="269" w:name="_Toc184312126"/>
      <w:bookmarkEnd w:id="269"/>
      <w:bookmarkStart w:id="270" w:name="_Toc184310324"/>
      <w:bookmarkEnd w:id="270"/>
      <w:bookmarkStart w:id="271" w:name="_Toc184308081"/>
      <w:bookmarkEnd w:id="271"/>
      <w:bookmarkStart w:id="272" w:name="_Toc184314447"/>
      <w:bookmarkEnd w:id="272"/>
      <w:bookmarkStart w:id="273" w:name="_Toc184313251"/>
      <w:bookmarkEnd w:id="273"/>
      <w:bookmarkStart w:id="274" w:name="_Toc184313307"/>
      <w:bookmarkEnd w:id="274"/>
      <w:bookmarkStart w:id="275" w:name="_Toc184314453"/>
      <w:bookmarkEnd w:id="275"/>
      <w:bookmarkStart w:id="276" w:name="_Toc184314421"/>
      <w:bookmarkEnd w:id="276"/>
      <w:bookmarkStart w:id="277" w:name="_Toc184310339"/>
      <w:bookmarkEnd w:id="277"/>
      <w:bookmarkStart w:id="278" w:name="_Toc184313243"/>
      <w:bookmarkEnd w:id="278"/>
      <w:bookmarkStart w:id="279" w:name="_Toc184308105"/>
      <w:bookmarkEnd w:id="279"/>
      <w:bookmarkStart w:id="280" w:name="_Toc184310272"/>
      <w:bookmarkEnd w:id="280"/>
      <w:bookmarkStart w:id="281" w:name="_Toc184314436"/>
      <w:bookmarkEnd w:id="281"/>
      <w:bookmarkStart w:id="282" w:name="_Toc184313254"/>
      <w:bookmarkEnd w:id="282"/>
      <w:bookmarkStart w:id="283" w:name="_Toc184313246"/>
      <w:bookmarkEnd w:id="283"/>
      <w:bookmarkStart w:id="284" w:name="_Toc184308055"/>
      <w:bookmarkEnd w:id="284"/>
      <w:bookmarkStart w:id="285" w:name="_Toc184314417"/>
      <w:bookmarkEnd w:id="285"/>
      <w:bookmarkStart w:id="286" w:name="_Toc184312068"/>
      <w:bookmarkEnd w:id="286"/>
      <w:bookmarkStart w:id="287" w:name="_Toc184308104"/>
      <w:bookmarkEnd w:id="287"/>
      <w:bookmarkStart w:id="288" w:name="_Toc184313244"/>
      <w:bookmarkEnd w:id="288"/>
      <w:bookmarkStart w:id="289" w:name="_Toc184313265"/>
      <w:bookmarkEnd w:id="289"/>
      <w:bookmarkStart w:id="290" w:name="_Toc184314433"/>
      <w:bookmarkEnd w:id="290"/>
      <w:bookmarkStart w:id="291" w:name="_Toc184310344"/>
      <w:bookmarkEnd w:id="291"/>
      <w:bookmarkStart w:id="292" w:name="_Toc184314449"/>
      <w:bookmarkEnd w:id="292"/>
      <w:bookmarkStart w:id="293" w:name="_Toc184308065"/>
      <w:bookmarkEnd w:id="293"/>
      <w:bookmarkStart w:id="294" w:name="_Toc184312137"/>
      <w:bookmarkEnd w:id="294"/>
      <w:bookmarkStart w:id="295" w:name="_Toc184313306"/>
      <w:bookmarkEnd w:id="295"/>
      <w:bookmarkStart w:id="296" w:name="_Toc184308050"/>
      <w:bookmarkEnd w:id="296"/>
      <w:bookmarkStart w:id="297" w:name="_Toc184310304"/>
      <w:bookmarkEnd w:id="297"/>
      <w:bookmarkStart w:id="298" w:name="_Toc184310320"/>
      <w:bookmarkEnd w:id="298"/>
      <w:bookmarkStart w:id="299" w:name="_Toc184312105"/>
      <w:bookmarkEnd w:id="299"/>
      <w:bookmarkStart w:id="300" w:name="_Toc184310331"/>
      <w:bookmarkEnd w:id="300"/>
      <w:bookmarkStart w:id="301" w:name="_Toc184308056"/>
      <w:bookmarkEnd w:id="301"/>
      <w:bookmarkStart w:id="302" w:name="_Toc184312125"/>
      <w:bookmarkEnd w:id="302"/>
      <w:bookmarkStart w:id="303" w:name="_Toc184308071"/>
      <w:bookmarkEnd w:id="303"/>
      <w:bookmarkStart w:id="304" w:name="_Toc184314476"/>
      <w:bookmarkEnd w:id="304"/>
      <w:bookmarkStart w:id="305" w:name="_Toc184312072"/>
      <w:bookmarkEnd w:id="305"/>
      <w:bookmarkStart w:id="306" w:name="_Toc184308054"/>
      <w:bookmarkEnd w:id="306"/>
      <w:bookmarkStart w:id="307" w:name="_Toc184308052"/>
      <w:bookmarkEnd w:id="307"/>
      <w:bookmarkStart w:id="308" w:name="_Toc184310310"/>
      <w:bookmarkEnd w:id="308"/>
      <w:bookmarkStart w:id="309" w:name="_Toc184313247"/>
      <w:bookmarkEnd w:id="309"/>
      <w:bookmarkStart w:id="310" w:name="_Toc184312110"/>
      <w:bookmarkEnd w:id="310"/>
      <w:bookmarkStart w:id="311" w:name="_Toc184310337"/>
      <w:bookmarkEnd w:id="311"/>
      <w:bookmarkStart w:id="312" w:name="_Toc184310286"/>
      <w:bookmarkEnd w:id="312"/>
      <w:bookmarkStart w:id="313" w:name="_Toc184314442"/>
      <w:bookmarkEnd w:id="313"/>
      <w:bookmarkStart w:id="314" w:name="_Toc184312095"/>
      <w:bookmarkEnd w:id="314"/>
      <w:bookmarkStart w:id="315" w:name="_Toc184313300"/>
      <w:bookmarkEnd w:id="315"/>
      <w:bookmarkStart w:id="316" w:name="_Toc184308045"/>
      <w:bookmarkEnd w:id="316"/>
      <w:bookmarkStart w:id="317" w:name="_Toc184310284"/>
      <w:bookmarkEnd w:id="317"/>
      <w:bookmarkStart w:id="318" w:name="_Toc184308106"/>
      <w:bookmarkEnd w:id="318"/>
      <w:bookmarkStart w:id="319" w:name="_Toc184308084"/>
      <w:bookmarkEnd w:id="319"/>
      <w:bookmarkStart w:id="320" w:name="_Toc184313281"/>
      <w:bookmarkEnd w:id="320"/>
      <w:bookmarkStart w:id="321" w:name="_Toc184314458"/>
      <w:bookmarkEnd w:id="321"/>
      <w:bookmarkStart w:id="322" w:name="_Toc184313276"/>
      <w:bookmarkEnd w:id="322"/>
      <w:bookmarkStart w:id="323" w:name="_Toc184310314"/>
      <w:bookmarkEnd w:id="323"/>
      <w:bookmarkStart w:id="324" w:name="_Toc184313278"/>
      <w:bookmarkEnd w:id="324"/>
      <w:bookmarkStart w:id="325" w:name="_Toc184314438"/>
      <w:bookmarkEnd w:id="325"/>
      <w:bookmarkStart w:id="326" w:name="_Toc184310288"/>
      <w:bookmarkEnd w:id="326"/>
      <w:bookmarkStart w:id="327" w:name="_Toc184310300"/>
      <w:bookmarkEnd w:id="327"/>
      <w:bookmarkStart w:id="328" w:name="_Toc184310318"/>
      <w:bookmarkEnd w:id="328"/>
      <w:bookmarkStart w:id="329" w:name="_Toc184313266"/>
      <w:bookmarkEnd w:id="329"/>
      <w:bookmarkStart w:id="330" w:name="_Toc184314439"/>
      <w:bookmarkEnd w:id="330"/>
      <w:bookmarkStart w:id="331" w:name="_Toc184308038"/>
      <w:bookmarkEnd w:id="331"/>
      <w:bookmarkStart w:id="332" w:name="_Toc184312103"/>
      <w:bookmarkEnd w:id="332"/>
      <w:bookmarkStart w:id="333" w:name="_Toc184312069"/>
      <w:bookmarkEnd w:id="333"/>
      <w:bookmarkStart w:id="334" w:name="_Toc184314412"/>
      <w:bookmarkEnd w:id="334"/>
      <w:bookmarkStart w:id="335" w:name="_Toc184312113"/>
      <w:bookmarkEnd w:id="335"/>
      <w:bookmarkStart w:id="336" w:name="_Toc184314475"/>
      <w:bookmarkEnd w:id="336"/>
      <w:bookmarkStart w:id="337" w:name="_Toc184313269"/>
      <w:bookmarkEnd w:id="337"/>
      <w:bookmarkStart w:id="338" w:name="_Toc184313273"/>
      <w:bookmarkEnd w:id="338"/>
      <w:bookmarkStart w:id="339" w:name="_Toc184312090"/>
      <w:bookmarkEnd w:id="339"/>
      <w:bookmarkStart w:id="340" w:name="_Toc184308047"/>
      <w:bookmarkEnd w:id="340"/>
      <w:bookmarkStart w:id="341" w:name="_Toc184312075"/>
      <w:bookmarkEnd w:id="341"/>
      <w:bookmarkStart w:id="342" w:name="_Toc184308070"/>
      <w:bookmarkEnd w:id="342"/>
      <w:bookmarkStart w:id="343" w:name="_Toc184312073"/>
      <w:bookmarkEnd w:id="343"/>
      <w:bookmarkStart w:id="344" w:name="_Toc184308059"/>
      <w:bookmarkEnd w:id="344"/>
      <w:bookmarkStart w:id="345" w:name="_Toc184314468"/>
      <w:bookmarkEnd w:id="345"/>
      <w:bookmarkStart w:id="346" w:name="_Toc184310280"/>
      <w:bookmarkEnd w:id="346"/>
      <w:bookmarkStart w:id="347" w:name="_Toc184314427"/>
      <w:bookmarkEnd w:id="347"/>
      <w:bookmarkStart w:id="348" w:name="_Toc184314473"/>
      <w:bookmarkEnd w:id="348"/>
      <w:bookmarkStart w:id="349" w:name="_Toc184308079"/>
      <w:bookmarkEnd w:id="349"/>
      <w:bookmarkStart w:id="350" w:name="_Toc184313255"/>
      <w:bookmarkEnd w:id="350"/>
      <w:bookmarkStart w:id="351" w:name="_Toc184314437"/>
      <w:bookmarkEnd w:id="351"/>
      <w:bookmarkStart w:id="352" w:name="_Toc184310301"/>
      <w:bookmarkEnd w:id="352"/>
      <w:bookmarkStart w:id="353" w:name="_Toc184314434"/>
      <w:bookmarkEnd w:id="353"/>
      <w:bookmarkStart w:id="354" w:name="_Toc184308074"/>
      <w:bookmarkEnd w:id="354"/>
      <w:bookmarkStart w:id="355" w:name="_Toc184310302"/>
      <w:bookmarkEnd w:id="355"/>
      <w:bookmarkStart w:id="356" w:name="_Toc184310335"/>
      <w:bookmarkEnd w:id="356"/>
      <w:bookmarkStart w:id="357" w:name="_Toc184308062"/>
      <w:bookmarkEnd w:id="357"/>
      <w:bookmarkStart w:id="358" w:name="_Toc184313284"/>
      <w:bookmarkEnd w:id="358"/>
      <w:bookmarkStart w:id="359" w:name="_Toc184308073"/>
      <w:bookmarkEnd w:id="359"/>
      <w:bookmarkStart w:id="360" w:name="_Toc184312076"/>
      <w:bookmarkEnd w:id="360"/>
      <w:bookmarkStart w:id="361" w:name="_Toc184312089"/>
      <w:bookmarkEnd w:id="361"/>
      <w:bookmarkStart w:id="362" w:name="_Toc184313260"/>
      <w:bookmarkEnd w:id="362"/>
      <w:bookmarkStart w:id="363" w:name="_Toc184310299"/>
      <w:bookmarkEnd w:id="363"/>
      <w:bookmarkStart w:id="364" w:name="_Toc184314446"/>
      <w:bookmarkEnd w:id="364"/>
      <w:bookmarkStart w:id="365" w:name="_Toc184313264"/>
      <w:bookmarkEnd w:id="365"/>
      <w:bookmarkStart w:id="366" w:name="_Toc184313290"/>
      <w:bookmarkEnd w:id="366"/>
      <w:bookmarkStart w:id="367" w:name="_Toc184314426"/>
      <w:bookmarkEnd w:id="367"/>
      <w:bookmarkStart w:id="368" w:name="_Toc184312077"/>
      <w:bookmarkEnd w:id="368"/>
      <w:bookmarkStart w:id="369" w:name="_Toc184313245"/>
      <w:bookmarkEnd w:id="369"/>
      <w:bookmarkStart w:id="370" w:name="_Toc184312102"/>
      <w:bookmarkEnd w:id="370"/>
      <w:bookmarkStart w:id="371" w:name="_Toc184310278"/>
      <w:bookmarkEnd w:id="371"/>
      <w:bookmarkStart w:id="372" w:name="_Toc184310277"/>
      <w:bookmarkEnd w:id="372"/>
      <w:bookmarkStart w:id="373" w:name="_Toc184313287"/>
      <w:bookmarkEnd w:id="373"/>
      <w:bookmarkStart w:id="374" w:name="_Toc184314425"/>
      <w:bookmarkEnd w:id="374"/>
      <w:bookmarkStart w:id="375" w:name="_Toc184312096"/>
      <w:bookmarkEnd w:id="375"/>
      <w:bookmarkStart w:id="376" w:name="_Toc184314418"/>
      <w:bookmarkEnd w:id="376"/>
      <w:bookmarkStart w:id="377" w:name="_Toc184314414"/>
      <w:bookmarkEnd w:id="377"/>
      <w:bookmarkStart w:id="378" w:name="_Toc184312135"/>
      <w:bookmarkEnd w:id="378"/>
      <w:bookmarkStart w:id="379" w:name="_Toc184313262"/>
      <w:bookmarkEnd w:id="379"/>
      <w:bookmarkStart w:id="380" w:name="_Toc184308093"/>
      <w:bookmarkEnd w:id="380"/>
      <w:bookmarkStart w:id="381" w:name="_Toc184312111"/>
      <w:bookmarkEnd w:id="381"/>
      <w:bookmarkStart w:id="382" w:name="_Toc184313289"/>
      <w:bookmarkEnd w:id="382"/>
      <w:bookmarkStart w:id="383" w:name="_Toc184308099"/>
      <w:bookmarkEnd w:id="383"/>
      <w:bookmarkStart w:id="384" w:name="_Toc184313282"/>
      <w:bookmarkEnd w:id="384"/>
      <w:bookmarkStart w:id="385" w:name="_Toc184313296"/>
      <w:bookmarkEnd w:id="385"/>
      <w:bookmarkStart w:id="386" w:name="_Toc184314477"/>
      <w:bookmarkEnd w:id="386"/>
      <w:bookmarkStart w:id="387" w:name="_Toc184314448"/>
      <w:bookmarkEnd w:id="387"/>
      <w:bookmarkStart w:id="388" w:name="_Toc184308075"/>
      <w:bookmarkEnd w:id="388"/>
      <w:bookmarkStart w:id="389" w:name="_Toc184314478"/>
      <w:bookmarkEnd w:id="389"/>
      <w:bookmarkStart w:id="390" w:name="_Toc184308042"/>
      <w:bookmarkEnd w:id="390"/>
      <w:r>
        <w:rPr>
          <w:rFonts w:hint="eastAsia" w:ascii="宋体" w:hAnsi="宋体" w:cs="宋体"/>
          <w:b/>
          <w:sz w:val="36"/>
          <w:szCs w:val="36"/>
        </w:rPr>
        <w:t>评标办法</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500" w:lineRule="exact"/>
        <w:ind w:firstLine="482" w:firstLineChars="200"/>
        <w:rPr>
          <w:rFonts w:ascii="宋体" w:hAnsi="宋体" w:cs="宋体"/>
          <w:kern w:val="0"/>
          <w:sz w:val="24"/>
        </w:rPr>
      </w:pPr>
      <w:r>
        <w:rPr>
          <w:rFonts w:hint="eastAsia" w:ascii="宋体" w:hAnsi="宋体" w:cs="宋体"/>
          <w:b/>
          <w:kern w:val="0"/>
          <w:sz w:val="24"/>
        </w:rPr>
        <w:t>1.</w:t>
      </w:r>
      <w:r>
        <w:rPr>
          <w:rFonts w:hint="eastAsia" w:ascii="宋体" w:hAnsi="宋体" w:cs="宋体"/>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pPr>
        <w:spacing w:line="500" w:lineRule="exact"/>
        <w:ind w:firstLine="482" w:firstLineChars="200"/>
        <w:rPr>
          <w:rFonts w:ascii="宋体" w:hAnsi="宋体" w:cs="宋体"/>
          <w:kern w:val="0"/>
          <w:sz w:val="24"/>
        </w:rPr>
      </w:pPr>
      <w:r>
        <w:rPr>
          <w:rFonts w:hint="eastAsia" w:ascii="宋体" w:hAnsi="宋体" w:cs="宋体"/>
          <w:b/>
          <w:kern w:val="0"/>
          <w:sz w:val="24"/>
        </w:rPr>
        <w:t>2.</w:t>
      </w:r>
      <w:r>
        <w:rPr>
          <w:rFonts w:hint="eastAsia" w:ascii="宋体" w:hAnsi="宋体" w:cs="宋体"/>
          <w:kern w:val="0"/>
          <w:sz w:val="24"/>
        </w:rPr>
        <w:t>评分办法</w:t>
      </w:r>
    </w:p>
    <w:p>
      <w:pPr>
        <w:spacing w:line="500" w:lineRule="exact"/>
        <w:ind w:firstLine="480" w:firstLineChars="200"/>
        <w:rPr>
          <w:rFonts w:ascii="宋体" w:hAnsi="宋体" w:cs="宋体"/>
          <w:kern w:val="0"/>
          <w:sz w:val="24"/>
        </w:rPr>
      </w:pPr>
      <w:r>
        <w:rPr>
          <w:rFonts w:hint="eastAsia" w:ascii="宋体" w:hAnsi="宋体" w:cs="宋体"/>
          <w:kern w:val="0"/>
          <w:sz w:val="24"/>
        </w:rPr>
        <w:t>（1）满分为100分。总得分=技术、商务得分+报价得分；</w:t>
      </w:r>
    </w:p>
    <w:p>
      <w:pPr>
        <w:spacing w:line="500" w:lineRule="exact"/>
        <w:ind w:firstLine="480" w:firstLineChars="200"/>
        <w:rPr>
          <w:rFonts w:ascii="宋体" w:hAnsi="宋体" w:cs="宋体"/>
          <w:kern w:val="0"/>
          <w:sz w:val="24"/>
        </w:rPr>
      </w:pPr>
      <w:r>
        <w:rPr>
          <w:rFonts w:hint="eastAsia" w:ascii="宋体" w:hAnsi="宋体" w:cs="宋体"/>
          <w:kern w:val="0"/>
          <w:sz w:val="24"/>
        </w:rPr>
        <w:t>（2）技术、商务得分=技术、商务评分，技术、商务评分=各评委的有效评分的算术平均数；</w:t>
      </w:r>
    </w:p>
    <w:p>
      <w:pPr>
        <w:spacing w:line="500" w:lineRule="exact"/>
        <w:ind w:firstLine="480" w:firstLineChars="200"/>
        <w:rPr>
          <w:rFonts w:ascii="宋体" w:hAnsi="宋体" w:cs="宋体"/>
          <w:kern w:val="0"/>
          <w:sz w:val="24"/>
        </w:rPr>
      </w:pPr>
      <w:r>
        <w:rPr>
          <w:rFonts w:hint="eastAsia" w:ascii="宋体" w:hAnsi="宋体" w:cs="宋体"/>
          <w:kern w:val="0"/>
          <w:sz w:val="24"/>
        </w:rPr>
        <w:t>（3）报价得分=（评标基准价/投标报价）*价格权值*100，评标基准价=有效投标人的最低投标报价，价格权值=30%；</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（4）技术、商务分评分细则（70分）：</w:t>
      </w:r>
    </w:p>
    <w:p>
      <w:pPr>
        <w:spacing w:line="360" w:lineRule="auto"/>
        <w:outlineLvl w:val="0"/>
        <w:rPr>
          <w:rFonts w:hint="eastAsia" w:ascii="宋体" w:hAnsi="宋体" w:eastAsia="宋体" w:cs="宋体"/>
          <w:b w:val="0"/>
          <w:bCs w:val="0"/>
          <w:kern w:val="0"/>
          <w:sz w:val="24"/>
          <w:lang w:eastAsia="zh-CN"/>
        </w:rPr>
      </w:pPr>
      <w:r>
        <w:rPr>
          <w:rFonts w:hint="eastAsia" w:ascii="宋体" w:hAnsi="宋体" w:eastAsia="宋体" w:cs="宋体"/>
          <w:b w:val="0"/>
          <w:bCs w:val="0"/>
          <w:kern w:val="0"/>
          <w:sz w:val="24"/>
          <w:lang w:eastAsia="zh-CN"/>
        </w:rPr>
        <w:t>标一：</w:t>
      </w:r>
    </w:p>
    <w:p>
      <w:pPr>
        <w:ind w:firstLine="480" w:firstLineChars="200"/>
        <w:rPr>
          <w:rFonts w:ascii="仿宋_GB2312" w:hAnsi="仿宋" w:eastAsia="仿宋_GB2312" w:cs="Arial"/>
          <w:kern w:val="0"/>
          <w:sz w:val="24"/>
        </w:rPr>
      </w:pPr>
    </w:p>
    <w:tbl>
      <w:tblPr>
        <w:tblStyle w:val="65"/>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vAlign w:val="center"/>
          </w:tcPr>
          <w:p>
            <w:pPr>
              <w:spacing w:before="156" w:beforeLines="50" w:after="156" w:afterLines="50"/>
              <w:jc w:val="center"/>
              <w:rPr>
                <w:b/>
                <w:bCs/>
                <w:sz w:val="24"/>
              </w:rPr>
            </w:pPr>
            <w:r>
              <w:rPr>
                <w:rFonts w:hint="eastAsia" w:hAnsi="宋体"/>
                <w:b/>
                <w:bCs/>
                <w:sz w:val="24"/>
              </w:rPr>
              <w:t>序号</w:t>
            </w:r>
          </w:p>
        </w:tc>
        <w:tc>
          <w:tcPr>
            <w:tcW w:w="6828" w:type="dxa"/>
          </w:tcPr>
          <w:p>
            <w:pPr>
              <w:spacing w:before="156" w:beforeLines="50" w:after="156" w:afterLines="50"/>
              <w:jc w:val="center"/>
              <w:rPr>
                <w:b/>
                <w:bCs/>
                <w:sz w:val="24"/>
              </w:rPr>
            </w:pPr>
            <w:r>
              <w:rPr>
                <w:rFonts w:hint="eastAsia" w:hAnsi="宋体"/>
                <w:b/>
                <w:bCs/>
                <w:sz w:val="24"/>
              </w:rPr>
              <w:t>评审内容及标准</w:t>
            </w:r>
          </w:p>
        </w:tc>
        <w:tc>
          <w:tcPr>
            <w:tcW w:w="792" w:type="dxa"/>
            <w:vAlign w:val="center"/>
          </w:tcPr>
          <w:p>
            <w:pPr>
              <w:spacing w:before="156" w:beforeLines="50" w:after="156" w:afterLines="50"/>
              <w:jc w:val="center"/>
              <w:rPr>
                <w:b/>
                <w:bCs/>
                <w:sz w:val="24"/>
              </w:rPr>
            </w:pPr>
            <w:r>
              <w:rPr>
                <w:rFonts w:hint="eastAsia" w:hAnsi="宋体"/>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pPr>
              <w:spacing w:before="156" w:beforeLines="50" w:after="156" w:afterLines="50"/>
              <w:jc w:val="center"/>
              <w:rPr>
                <w:sz w:val="24"/>
              </w:rPr>
            </w:pPr>
            <w:r>
              <w:rPr>
                <w:rFonts w:hint="eastAsia"/>
                <w:sz w:val="24"/>
              </w:rPr>
              <w:t>1、</w:t>
            </w:r>
          </w:p>
        </w:tc>
        <w:tc>
          <w:tcPr>
            <w:tcW w:w="6828" w:type="dxa"/>
            <w:vAlign w:val="center"/>
          </w:tcPr>
          <w:p>
            <w:pPr>
              <w:rPr>
                <w:sz w:val="24"/>
              </w:rPr>
            </w:pPr>
            <w:r>
              <w:rPr>
                <w:rFonts w:hint="eastAsia"/>
                <w:sz w:val="24"/>
              </w:rPr>
              <w:t>【客观分】</w:t>
            </w:r>
          </w:p>
          <w:p>
            <w:pPr>
              <w:rPr>
                <w:sz w:val="24"/>
              </w:rPr>
            </w:pPr>
            <w:r>
              <w:rPr>
                <w:rFonts w:hint="eastAsia"/>
                <w:sz w:val="24"/>
              </w:rPr>
              <w:t>销售业绩：</w:t>
            </w:r>
          </w:p>
          <w:p>
            <w:pPr>
              <w:rPr>
                <w:sz w:val="24"/>
              </w:rPr>
            </w:pPr>
            <w:r>
              <w:rPr>
                <w:rFonts w:hint="eastAsia"/>
                <w:sz w:val="24"/>
              </w:rPr>
              <w:t>合同签订时间自</w:t>
            </w:r>
            <w:r>
              <w:rPr>
                <w:rFonts w:hint="eastAsia"/>
                <w:sz w:val="24"/>
                <w:u w:val="single"/>
              </w:rPr>
              <w:t>2022</w:t>
            </w:r>
            <w:r>
              <w:rPr>
                <w:rFonts w:hint="eastAsia"/>
                <w:sz w:val="24"/>
              </w:rPr>
              <w:t>年1月1日以来的，与最终用户签订的销售业绩，每提供一份与投标同品牌同型号产品销售业绩得</w:t>
            </w:r>
            <w:r>
              <w:rPr>
                <w:rFonts w:hint="eastAsia"/>
                <w:sz w:val="24"/>
                <w:u w:val="single"/>
              </w:rPr>
              <w:t>1</w:t>
            </w:r>
            <w:r>
              <w:rPr>
                <w:rFonts w:hint="eastAsia"/>
                <w:sz w:val="24"/>
              </w:rPr>
              <w:t>分，最高得</w:t>
            </w:r>
            <w:r>
              <w:rPr>
                <w:rFonts w:hint="eastAsia"/>
                <w:sz w:val="24"/>
                <w:u w:val="single"/>
              </w:rPr>
              <w:t>2</w:t>
            </w:r>
            <w:r>
              <w:rPr>
                <w:rFonts w:hint="eastAsia"/>
                <w:sz w:val="24"/>
              </w:rPr>
              <w:t>分。（要求提供完整的合同复印件，能清楚辨析设备名称型号）</w:t>
            </w:r>
          </w:p>
          <w:p>
            <w:pPr>
              <w:rPr>
                <w:sz w:val="24"/>
              </w:rPr>
            </w:pPr>
            <w:r>
              <w:rPr>
                <w:rFonts w:hint="eastAsia"/>
                <w:sz w:val="24"/>
              </w:rPr>
              <w:t>对省级以上主管部门认定的首台套产品，自纳入《省推广应用指导目录》起三年内参加政府采购活动，视同已具备相应销售业绩，业绩分为满分。（提供证明材料）</w:t>
            </w:r>
          </w:p>
        </w:tc>
        <w:tc>
          <w:tcPr>
            <w:tcW w:w="792" w:type="dxa"/>
            <w:vAlign w:val="center"/>
          </w:tcPr>
          <w:p>
            <w:pPr>
              <w:spacing w:before="156" w:beforeLines="50" w:after="156" w:afterLines="50"/>
              <w:jc w:val="center"/>
              <w:rPr>
                <w:b/>
                <w:bCs/>
                <w:sz w:val="24"/>
              </w:rPr>
            </w:pPr>
            <w:r>
              <w:rPr>
                <w:rFonts w:hint="eastAsia"/>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pPr>
              <w:spacing w:before="156" w:beforeLines="50" w:after="156" w:afterLines="50"/>
              <w:jc w:val="center"/>
              <w:rPr>
                <w:color w:val="auto"/>
                <w:sz w:val="24"/>
              </w:rPr>
            </w:pPr>
            <w:r>
              <w:rPr>
                <w:rFonts w:hint="eastAsia"/>
                <w:color w:val="auto"/>
                <w:sz w:val="24"/>
              </w:rPr>
              <w:t>2、</w:t>
            </w:r>
          </w:p>
        </w:tc>
        <w:tc>
          <w:tcPr>
            <w:tcW w:w="6828" w:type="dxa"/>
          </w:tcPr>
          <w:p>
            <w:pPr>
              <w:snapToGrid w:val="0"/>
              <w:rPr>
                <w:rFonts w:hAnsi="宋体"/>
                <w:color w:val="auto"/>
                <w:sz w:val="24"/>
              </w:rPr>
            </w:pPr>
            <w:r>
              <w:rPr>
                <w:rFonts w:hint="eastAsia"/>
                <w:color w:val="auto"/>
                <w:sz w:val="24"/>
              </w:rPr>
              <w:t>【客观</w:t>
            </w:r>
            <w:r>
              <w:rPr>
                <w:rFonts w:hint="eastAsia" w:hAnsi="宋体"/>
                <w:color w:val="auto"/>
                <w:sz w:val="24"/>
              </w:rPr>
              <w:t>分】</w:t>
            </w:r>
          </w:p>
          <w:p>
            <w:pPr>
              <w:snapToGrid w:val="0"/>
              <w:rPr>
                <w:rFonts w:hAnsi="宋体"/>
                <w:color w:val="auto"/>
                <w:sz w:val="24"/>
              </w:rPr>
            </w:pPr>
            <w:r>
              <w:rPr>
                <w:rFonts w:hint="eastAsia" w:hAnsi="宋体"/>
                <w:color w:val="auto"/>
                <w:sz w:val="24"/>
              </w:rPr>
              <w:t>采购需求符合度：</w:t>
            </w:r>
          </w:p>
          <w:p>
            <w:pPr>
              <w:snapToGrid w:val="0"/>
              <w:ind w:firstLine="400" w:firstLineChars="167"/>
              <w:rPr>
                <w:rFonts w:hAnsi="宋体"/>
                <w:color w:val="auto"/>
                <w:sz w:val="24"/>
              </w:rPr>
            </w:pPr>
            <w:r>
              <w:rPr>
                <w:rFonts w:hint="eastAsia" w:hAnsi="宋体"/>
                <w:color w:val="auto"/>
                <w:sz w:val="24"/>
              </w:rPr>
              <w:t>对应于采购需求中带“</w:t>
            </w:r>
            <w:r>
              <w:rPr>
                <w:rFonts w:hint="eastAsia" w:ascii="宋体" w:hAnsi="宋体"/>
                <w:color w:val="auto"/>
              </w:rPr>
              <w:t>▲</w:t>
            </w:r>
            <w:r>
              <w:rPr>
                <w:rFonts w:hAnsi="宋体"/>
                <w:color w:val="auto"/>
                <w:sz w:val="24"/>
              </w:rPr>
              <w:t>”</w:t>
            </w:r>
            <w:r>
              <w:rPr>
                <w:rFonts w:hint="eastAsia" w:hAnsi="宋体"/>
                <w:color w:val="auto"/>
                <w:sz w:val="24"/>
              </w:rPr>
              <w:t>号条款不满足采购文件要求的，每一项扣减</w:t>
            </w:r>
            <w:r>
              <w:rPr>
                <w:rFonts w:hint="eastAsia" w:hAnsi="宋体"/>
                <w:color w:val="auto"/>
                <w:sz w:val="24"/>
                <w:u w:val="single"/>
              </w:rPr>
              <w:t>5</w:t>
            </w:r>
            <w:r>
              <w:rPr>
                <w:rFonts w:hint="eastAsia" w:hAnsi="宋体"/>
                <w:color w:val="auto"/>
                <w:sz w:val="24"/>
              </w:rPr>
              <w:t>分，其他条款不满足采购文件要求的，每一项扣减</w:t>
            </w:r>
            <w:r>
              <w:rPr>
                <w:rFonts w:hint="eastAsia" w:hAnsi="宋体"/>
                <w:color w:val="auto"/>
                <w:sz w:val="24"/>
                <w:lang w:val="en-US" w:eastAsia="zh-CN"/>
              </w:rPr>
              <w:t>1</w:t>
            </w:r>
            <w:r>
              <w:rPr>
                <w:rFonts w:hint="eastAsia" w:hAnsi="宋体"/>
                <w:color w:val="auto"/>
                <w:sz w:val="24"/>
              </w:rPr>
              <w:t>分。本项最高得</w:t>
            </w:r>
            <w:r>
              <w:rPr>
                <w:rFonts w:hint="eastAsia" w:hAnsi="宋体"/>
                <w:color w:val="auto"/>
                <w:sz w:val="24"/>
                <w:lang w:val="en-US" w:eastAsia="zh-CN"/>
              </w:rPr>
              <w:t>48</w:t>
            </w:r>
            <w:r>
              <w:rPr>
                <w:rFonts w:hint="eastAsia" w:hAnsi="宋体"/>
                <w:color w:val="auto"/>
                <w:sz w:val="24"/>
                <w:u w:val="single"/>
              </w:rPr>
              <w:t>分</w:t>
            </w:r>
            <w:r>
              <w:rPr>
                <w:rFonts w:hint="eastAsia" w:hAnsi="宋体"/>
                <w:color w:val="auto"/>
                <w:sz w:val="24"/>
              </w:rPr>
              <w:t>，最低得0分。</w:t>
            </w:r>
          </w:p>
          <w:p>
            <w:pPr>
              <w:snapToGrid w:val="0"/>
              <w:ind w:firstLine="400" w:firstLineChars="167"/>
              <w:rPr>
                <w:rFonts w:hAnsi="宋体"/>
                <w:color w:val="auto"/>
                <w:sz w:val="24"/>
              </w:rPr>
            </w:pPr>
            <w:r>
              <w:rPr>
                <w:rFonts w:hint="eastAsia" w:hAnsi="宋体"/>
                <w:color w:val="auto"/>
                <w:sz w:val="24"/>
              </w:rPr>
              <w:t>1、针对带“▲”号技术参数要求，供应商需提供充分的证明材料，未提供充分证明材料的，评审委员会有权视为不满足采购文件要求。证明材料可以是以下四项中任一项</w:t>
            </w:r>
            <w:r>
              <w:rPr>
                <w:rFonts w:hint="eastAsia" w:hAnsi="宋体"/>
                <w:color w:val="auto"/>
                <w:sz w:val="22"/>
                <w:szCs w:val="22"/>
              </w:rPr>
              <w:t>（有特别注明要求的除外）</w:t>
            </w:r>
            <w:r>
              <w:rPr>
                <w:rFonts w:hint="eastAsia" w:hAnsi="宋体"/>
                <w:color w:val="auto"/>
                <w:sz w:val="24"/>
              </w:rPr>
              <w:t>：</w:t>
            </w:r>
          </w:p>
          <w:p>
            <w:pPr>
              <w:snapToGrid w:val="0"/>
              <w:ind w:firstLine="400" w:firstLineChars="167"/>
              <w:rPr>
                <w:rFonts w:hAnsi="宋体"/>
                <w:color w:val="auto"/>
                <w:sz w:val="24"/>
              </w:rPr>
            </w:pPr>
            <w:r>
              <w:rPr>
                <w:rFonts w:hint="eastAsia" w:hAnsi="宋体"/>
                <w:color w:val="auto"/>
                <w:sz w:val="24"/>
              </w:rPr>
              <w:t>1）生产制造商公开对外宣传的带有响应技术参数或功能的产品彩页，为响应而临时打印的无效。</w:t>
            </w:r>
          </w:p>
          <w:p>
            <w:pPr>
              <w:snapToGrid w:val="0"/>
              <w:ind w:firstLine="400" w:firstLineChars="167"/>
              <w:rPr>
                <w:rFonts w:hAnsi="宋体"/>
                <w:color w:val="auto"/>
                <w:sz w:val="24"/>
              </w:rPr>
            </w:pPr>
            <w:r>
              <w:rPr>
                <w:rFonts w:hint="eastAsia" w:hAnsi="宋体"/>
                <w:color w:val="auto"/>
                <w:sz w:val="24"/>
              </w:rPr>
              <w:t>2）加盖生产制造商公章的技术白皮书。</w:t>
            </w:r>
          </w:p>
          <w:p>
            <w:pPr>
              <w:snapToGrid w:val="0"/>
              <w:ind w:firstLine="400" w:firstLineChars="167"/>
              <w:rPr>
                <w:rFonts w:hAnsi="宋体"/>
                <w:color w:val="auto"/>
                <w:sz w:val="24"/>
              </w:rPr>
            </w:pPr>
            <w:r>
              <w:rPr>
                <w:rFonts w:hint="eastAsia" w:hAnsi="宋体"/>
                <w:color w:val="auto"/>
                <w:sz w:val="24"/>
              </w:rPr>
              <w:t>3）可在生产制造商官网查询到的产品技术参数或功能，需提供官网截图和网址等信息。</w:t>
            </w:r>
          </w:p>
          <w:p>
            <w:pPr>
              <w:snapToGrid w:val="0"/>
              <w:ind w:firstLine="400" w:firstLineChars="167"/>
              <w:rPr>
                <w:rFonts w:hAnsi="宋体"/>
                <w:color w:val="auto"/>
                <w:sz w:val="24"/>
              </w:rPr>
            </w:pPr>
            <w:r>
              <w:rPr>
                <w:rFonts w:hint="eastAsia" w:hAnsi="宋体"/>
                <w:color w:val="auto"/>
                <w:sz w:val="24"/>
              </w:rPr>
              <w:t>4）评审委员会认可的其他有效证明（包括但不限于第三方检测报告、加盖生产制造商的证明材料等）。</w:t>
            </w:r>
          </w:p>
          <w:p>
            <w:pPr>
              <w:snapToGrid w:val="0"/>
              <w:ind w:firstLine="400" w:firstLineChars="167"/>
              <w:rPr>
                <w:rFonts w:hAnsi="宋体"/>
                <w:color w:val="auto"/>
                <w:sz w:val="24"/>
              </w:rPr>
            </w:pPr>
            <w:r>
              <w:rPr>
                <w:rFonts w:hint="eastAsia" w:hAnsi="宋体"/>
                <w:color w:val="auto"/>
                <w:sz w:val="24"/>
              </w:rPr>
              <w:t>2、其他项采购要求中有具体数据的，应在《商务技术偏离表》中提供具体数据响应，不能简单响应为“具备”或“有”等，否则视为不满足采购文件要求。</w:t>
            </w:r>
          </w:p>
          <w:p>
            <w:pPr>
              <w:spacing w:line="420" w:lineRule="exact"/>
              <w:jc w:val="left"/>
              <w:rPr>
                <w:color w:val="auto"/>
              </w:rPr>
            </w:pPr>
            <w:r>
              <w:rPr>
                <w:rFonts w:hint="eastAsia" w:hAnsi="宋体"/>
                <w:color w:val="auto"/>
                <w:sz w:val="24"/>
              </w:rPr>
              <w:t>3、带“</w:t>
            </w:r>
            <w:r>
              <w:rPr>
                <w:rFonts w:hint="eastAsia" w:ascii="宋体" w:hAnsi="宋体"/>
                <w:color w:val="auto"/>
              </w:rPr>
              <w:t>▲</w:t>
            </w:r>
            <w:r>
              <w:rPr>
                <w:rFonts w:hAnsi="宋体"/>
                <w:color w:val="auto"/>
                <w:sz w:val="24"/>
              </w:rPr>
              <w:t>”</w:t>
            </w:r>
            <w:r>
              <w:rPr>
                <w:rFonts w:hint="eastAsia" w:hAnsi="宋体"/>
                <w:color w:val="auto"/>
                <w:sz w:val="24"/>
              </w:rPr>
              <w:t>号项提供满足技术参数的佐证资料并在偏离表中标明佐证资料页码。</w:t>
            </w:r>
          </w:p>
        </w:tc>
        <w:tc>
          <w:tcPr>
            <w:tcW w:w="792" w:type="dxa"/>
            <w:vAlign w:val="center"/>
          </w:tcPr>
          <w:p>
            <w:pPr>
              <w:spacing w:before="156" w:beforeLines="50" w:after="156" w:afterLines="50"/>
              <w:jc w:val="center"/>
              <w:rPr>
                <w:bCs/>
                <w:color w:val="auto"/>
                <w:sz w:val="24"/>
              </w:rPr>
            </w:pPr>
            <w:r>
              <w:rPr>
                <w:rFonts w:hint="eastAsia" w:hAnsi="宋体"/>
                <w:bCs/>
                <w:color w:val="auto"/>
                <w:sz w:val="24"/>
                <w:u w:val="single"/>
              </w:rPr>
              <w:t>4</w:t>
            </w:r>
            <w:r>
              <w:rPr>
                <w:rFonts w:hint="eastAsia" w:hAnsi="宋体"/>
                <w:bCs/>
                <w:color w:val="auto"/>
                <w:sz w:val="24"/>
                <w:u w:val="single"/>
                <w:lang w:val="en-US" w:eastAsia="zh-CN"/>
              </w:rPr>
              <w:t>8</w:t>
            </w:r>
            <w:r>
              <w:rPr>
                <w:rFonts w:hint="eastAsia" w:hAnsi="宋体"/>
                <w:bCs/>
                <w:color w:val="auto"/>
                <w:sz w:val="24"/>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pPr>
              <w:spacing w:before="156" w:beforeLines="50" w:after="156" w:afterLines="50"/>
              <w:jc w:val="center"/>
              <w:rPr>
                <w:color w:val="auto"/>
                <w:sz w:val="24"/>
              </w:rPr>
            </w:pPr>
            <w:r>
              <w:rPr>
                <w:rFonts w:hint="eastAsia"/>
                <w:color w:val="auto"/>
                <w:sz w:val="24"/>
              </w:rPr>
              <w:t>3、</w:t>
            </w:r>
          </w:p>
        </w:tc>
        <w:tc>
          <w:tcPr>
            <w:tcW w:w="6828" w:type="dxa"/>
            <w:vAlign w:val="center"/>
          </w:tcPr>
          <w:p>
            <w:pPr>
              <w:rPr>
                <w:color w:val="auto"/>
                <w:sz w:val="24"/>
              </w:rPr>
            </w:pPr>
            <w:r>
              <w:rPr>
                <w:rFonts w:hint="eastAsia" w:ascii="宋体" w:hAnsi="宋体"/>
                <w:color w:val="auto"/>
                <w:sz w:val="24"/>
              </w:rPr>
              <w:t>【主观分】</w:t>
            </w:r>
          </w:p>
          <w:p>
            <w:pPr>
              <w:rPr>
                <w:color w:val="auto"/>
                <w:sz w:val="24"/>
              </w:rPr>
            </w:pPr>
            <w:r>
              <w:rPr>
                <w:rFonts w:hint="eastAsia"/>
                <w:color w:val="auto"/>
                <w:sz w:val="24"/>
              </w:rPr>
              <w:t>售后服务：</w:t>
            </w:r>
          </w:p>
          <w:p>
            <w:pPr>
              <w:rPr>
                <w:color w:val="auto"/>
                <w:sz w:val="24"/>
              </w:rPr>
            </w:pPr>
            <w:r>
              <w:rPr>
                <w:rFonts w:hint="eastAsia"/>
                <w:color w:val="auto"/>
                <w:sz w:val="24"/>
              </w:rPr>
              <w:t>1、售后服务方案：提供详细售后服务方案，如售后服务网点的分布情况、售后服务机构备品备件储备，售后服务机构技术服务人员情况、开展定期巡检、故障解决方案、应急措施等综合评审。</w:t>
            </w:r>
          </w:p>
          <w:p>
            <w:pPr>
              <w:rPr>
                <w:color w:val="auto"/>
                <w:sz w:val="24"/>
              </w:rPr>
            </w:pPr>
            <w:r>
              <w:rPr>
                <w:rFonts w:hint="eastAsia"/>
                <w:color w:val="auto"/>
                <w:sz w:val="24"/>
              </w:rPr>
              <w:t>要求响应时间短，解决方案充分，备品备件储备充足，人员配备合理售后服务经验丰富。（评分范围：5，4，3，2，1，0）。</w:t>
            </w:r>
          </w:p>
          <w:p>
            <w:pPr>
              <w:rPr>
                <w:color w:val="auto"/>
                <w:sz w:val="24"/>
              </w:rPr>
            </w:pPr>
            <w:r>
              <w:rPr>
                <w:rFonts w:hint="eastAsia"/>
                <w:color w:val="auto"/>
                <w:sz w:val="24"/>
              </w:rPr>
              <w:t>2、运行及维修成本：提供消耗品或易耗品的使用周期、价格；提供出保后保修方案，包括保修价格、设备配件价格，维修服务费等维修价格。要求消耗品或易耗品报价合理运行成本低，保修方案合理，配件报价合理维修成本低。（评分范围：5，4，3，2，1，0）。</w:t>
            </w:r>
          </w:p>
        </w:tc>
        <w:tc>
          <w:tcPr>
            <w:tcW w:w="792" w:type="dxa"/>
            <w:vAlign w:val="center"/>
          </w:tcPr>
          <w:p>
            <w:pPr>
              <w:spacing w:before="156" w:beforeLines="50" w:after="156" w:afterLines="50"/>
              <w:jc w:val="center"/>
              <w:rPr>
                <w:b/>
                <w:bCs/>
                <w:color w:val="auto"/>
                <w:sz w:val="24"/>
              </w:rPr>
            </w:pPr>
            <w:r>
              <w:rPr>
                <w:rFonts w:hint="eastAsia" w:hAnsi="宋体"/>
                <w:bCs/>
                <w:color w:val="auto"/>
                <w:sz w:val="24"/>
                <w:u w:val="single"/>
              </w:rPr>
              <w:t>1</w:t>
            </w:r>
            <w:r>
              <w:rPr>
                <w:rFonts w:hint="eastAsia" w:hAnsi="宋体"/>
                <w:bCs/>
                <w:color w:val="auto"/>
                <w:sz w:val="24"/>
                <w:u w:val="single"/>
                <w:lang w:val="en-US" w:eastAsia="zh-CN"/>
              </w:rPr>
              <w:t>0</w:t>
            </w:r>
            <w:r>
              <w:rPr>
                <w:rFonts w:hint="eastAsia" w:hAnsi="宋体"/>
                <w:bCs/>
                <w:color w:val="auto"/>
                <w:sz w:val="24"/>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156" w:beforeLines="50" w:after="156" w:afterLines="50"/>
              <w:jc w:val="center"/>
              <w:rPr>
                <w:b/>
                <w:bCs/>
                <w:color w:val="auto"/>
                <w:sz w:val="24"/>
              </w:rPr>
            </w:pPr>
            <w:r>
              <w:rPr>
                <w:rFonts w:hint="eastAsia"/>
                <w:color w:val="auto"/>
                <w:sz w:val="24"/>
              </w:rPr>
              <w:t>4、</w:t>
            </w:r>
          </w:p>
        </w:tc>
        <w:tc>
          <w:tcPr>
            <w:tcW w:w="6828" w:type="dxa"/>
          </w:tcPr>
          <w:p>
            <w:pPr>
              <w:rPr>
                <w:rFonts w:ascii="宋体" w:hAnsi="宋体"/>
                <w:color w:val="auto"/>
                <w:sz w:val="24"/>
              </w:rPr>
            </w:pPr>
            <w:r>
              <w:rPr>
                <w:rFonts w:hint="eastAsia" w:ascii="宋体" w:hAnsi="宋体"/>
                <w:color w:val="auto"/>
                <w:sz w:val="24"/>
              </w:rPr>
              <w:t>【主观分】</w:t>
            </w:r>
          </w:p>
          <w:p>
            <w:pPr>
              <w:rPr>
                <w:rFonts w:ascii="宋体" w:hAnsi="宋体"/>
                <w:color w:val="auto"/>
                <w:sz w:val="24"/>
              </w:rPr>
            </w:pPr>
            <w:r>
              <w:rPr>
                <w:rFonts w:hint="eastAsia" w:ascii="宋体" w:hAnsi="宋体"/>
                <w:color w:val="auto"/>
                <w:sz w:val="24"/>
              </w:rPr>
              <w:t>安装调试及验收方案：</w:t>
            </w:r>
          </w:p>
          <w:p>
            <w:pPr>
              <w:rPr>
                <w:color w:val="auto"/>
                <w:sz w:val="24"/>
              </w:rPr>
            </w:pPr>
            <w:r>
              <w:rPr>
                <w:rFonts w:hint="eastAsia"/>
                <w:color w:val="auto"/>
                <w:sz w:val="24"/>
              </w:rPr>
              <w:t>根据商务要求中的</w:t>
            </w:r>
            <w:r>
              <w:rPr>
                <w:rFonts w:hint="eastAsia" w:ascii="宋体" w:hAnsi="宋体"/>
                <w:color w:val="auto"/>
                <w:sz w:val="24"/>
              </w:rPr>
              <w:t>安装调试</w:t>
            </w:r>
            <w:r>
              <w:rPr>
                <w:rFonts w:hint="eastAsia"/>
                <w:color w:val="auto"/>
                <w:sz w:val="24"/>
              </w:rPr>
              <w:t>要求和</w:t>
            </w:r>
            <w:r>
              <w:rPr>
                <w:rFonts w:hint="eastAsia" w:ascii="宋体" w:hAnsi="宋体"/>
                <w:color w:val="auto"/>
                <w:sz w:val="24"/>
              </w:rPr>
              <w:t>验收要求</w:t>
            </w:r>
            <w:r>
              <w:rPr>
                <w:rFonts w:hint="eastAsia"/>
                <w:color w:val="auto"/>
                <w:sz w:val="24"/>
              </w:rPr>
              <w:t>，提供详细的</w:t>
            </w:r>
            <w:r>
              <w:rPr>
                <w:rFonts w:hint="eastAsia" w:ascii="宋体" w:hAnsi="宋体"/>
                <w:color w:val="auto"/>
                <w:sz w:val="24"/>
              </w:rPr>
              <w:t>安装调试方案和验收方案</w:t>
            </w:r>
            <w:r>
              <w:rPr>
                <w:rFonts w:hint="eastAsia"/>
                <w:color w:val="auto"/>
                <w:sz w:val="24"/>
              </w:rPr>
              <w:t>，包括对场地环境的了解、人员的安排、时间进度的规划，对设备的调试进度安排，调试的步骤、措施，验收标准、验收的流程，问题的解决方案等。要求方案考虑充分，措施有效，能充分满足采购人实际需求。（评分范围：5，4，3，2，1，0）。</w:t>
            </w:r>
          </w:p>
        </w:tc>
        <w:tc>
          <w:tcPr>
            <w:tcW w:w="792" w:type="dxa"/>
            <w:vAlign w:val="center"/>
          </w:tcPr>
          <w:p>
            <w:pPr>
              <w:spacing w:before="156" w:beforeLines="50" w:after="156" w:afterLines="50" w:line="276" w:lineRule="auto"/>
              <w:jc w:val="center"/>
              <w:rPr>
                <w:bCs/>
                <w:color w:val="auto"/>
                <w:sz w:val="24"/>
              </w:rPr>
            </w:pPr>
            <w:r>
              <w:rPr>
                <w:rFonts w:hint="eastAsia" w:hAnsi="宋体"/>
                <w:bCs/>
                <w:color w:val="auto"/>
                <w:sz w:val="24"/>
                <w:u w:val="single"/>
                <w:lang w:val="en-US" w:eastAsia="zh-CN"/>
              </w:rPr>
              <w:t>5</w:t>
            </w:r>
            <w:r>
              <w:rPr>
                <w:rFonts w:hint="eastAsia" w:hAnsi="宋体"/>
                <w:bCs/>
                <w:color w:val="auto"/>
                <w:sz w:val="24"/>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156" w:beforeLines="50" w:after="156" w:afterLines="50"/>
              <w:jc w:val="center"/>
              <w:rPr>
                <w:rFonts w:cs="宋体"/>
                <w:color w:val="auto"/>
                <w:sz w:val="24"/>
              </w:rPr>
            </w:pPr>
            <w:r>
              <w:rPr>
                <w:rFonts w:hint="eastAsia" w:cs="宋体"/>
                <w:color w:val="auto"/>
                <w:sz w:val="24"/>
              </w:rPr>
              <w:t>5、</w:t>
            </w:r>
          </w:p>
        </w:tc>
        <w:tc>
          <w:tcPr>
            <w:tcW w:w="6828" w:type="dxa"/>
            <w:vAlign w:val="center"/>
          </w:tcPr>
          <w:p>
            <w:pPr>
              <w:rPr>
                <w:rFonts w:ascii="宋体" w:hAnsi="宋体"/>
                <w:color w:val="auto"/>
                <w:sz w:val="24"/>
              </w:rPr>
            </w:pPr>
            <w:r>
              <w:rPr>
                <w:rFonts w:hint="eastAsia" w:ascii="宋体" w:hAnsi="宋体"/>
                <w:color w:val="auto"/>
                <w:sz w:val="24"/>
              </w:rPr>
              <w:t>【主观分】</w:t>
            </w:r>
          </w:p>
          <w:p>
            <w:pPr>
              <w:rPr>
                <w:color w:val="auto"/>
                <w:sz w:val="24"/>
              </w:rPr>
            </w:pPr>
            <w:r>
              <w:rPr>
                <w:rFonts w:hint="eastAsia"/>
                <w:color w:val="auto"/>
                <w:sz w:val="24"/>
              </w:rPr>
              <w:t>培训方案：</w:t>
            </w:r>
          </w:p>
          <w:p>
            <w:pPr>
              <w:rPr>
                <w:rFonts w:ascii="宋体" w:hAnsi="宋体"/>
                <w:color w:val="auto"/>
                <w:sz w:val="24"/>
              </w:rPr>
            </w:pPr>
            <w:r>
              <w:rPr>
                <w:rFonts w:hint="eastAsia"/>
                <w:color w:val="auto"/>
                <w:sz w:val="24"/>
              </w:rPr>
              <w:t>根据商务要求中的操作应用培训要求和维修保养培训要求，提供详细的培训方案，包括培训对象、课时内容安排、师资力量安排，培训的形式等。要求培训方案考虑充分，贴合实际，师资充分，课程详实，安排有效。（评分范围：5，4，3，2，1，0）。</w:t>
            </w:r>
          </w:p>
        </w:tc>
        <w:tc>
          <w:tcPr>
            <w:tcW w:w="792" w:type="dxa"/>
            <w:vAlign w:val="center"/>
          </w:tcPr>
          <w:p>
            <w:pPr>
              <w:spacing w:before="156" w:beforeLines="50" w:after="156" w:afterLines="50"/>
              <w:jc w:val="center"/>
              <w:rPr>
                <w:bCs/>
                <w:color w:val="auto"/>
                <w:sz w:val="24"/>
              </w:rPr>
            </w:pPr>
            <w:r>
              <w:rPr>
                <w:rFonts w:hint="eastAsia"/>
                <w:bCs/>
                <w:color w:val="auto"/>
                <w:sz w:val="24"/>
                <w:u w:val="single"/>
              </w:rPr>
              <w:t>5分</w:t>
            </w:r>
          </w:p>
        </w:tc>
      </w:tr>
    </w:tbl>
    <w:p>
      <w:pPr>
        <w:rPr>
          <w:color w:val="auto"/>
        </w:rPr>
      </w:pPr>
    </w:p>
    <w:p/>
    <w:p>
      <w:pPr>
        <w:rPr>
          <w:rFonts w:hint="eastAsia" w:ascii="宋体" w:hAnsi="宋体" w:cs="宋体"/>
          <w:b w:val="0"/>
          <w:bCs/>
          <w:sz w:val="24"/>
          <w:szCs w:val="24"/>
          <w:lang w:eastAsia="zh-CN"/>
        </w:rPr>
      </w:pPr>
      <w:r>
        <w:rPr>
          <w:rFonts w:hint="eastAsia" w:ascii="宋体" w:hAnsi="宋体" w:cs="宋体"/>
          <w:b w:val="0"/>
          <w:bCs/>
          <w:sz w:val="24"/>
          <w:szCs w:val="24"/>
          <w:lang w:eastAsia="zh-CN"/>
        </w:rPr>
        <w:t>标二：</w:t>
      </w:r>
    </w:p>
    <w:p>
      <w:pPr>
        <w:ind w:firstLine="480" w:firstLineChars="200"/>
        <w:rPr>
          <w:rFonts w:ascii="仿宋_GB2312" w:hAnsi="仿宋" w:eastAsia="仿宋_GB2312" w:cs="Arial"/>
          <w:kern w:val="0"/>
          <w:sz w:val="24"/>
        </w:rPr>
      </w:pPr>
    </w:p>
    <w:tbl>
      <w:tblPr>
        <w:tblStyle w:val="65"/>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vAlign w:val="center"/>
          </w:tcPr>
          <w:p>
            <w:pPr>
              <w:spacing w:before="156" w:beforeLines="50" w:after="156" w:afterLines="50"/>
              <w:jc w:val="center"/>
              <w:rPr>
                <w:b/>
                <w:bCs/>
                <w:sz w:val="24"/>
              </w:rPr>
            </w:pPr>
            <w:r>
              <w:rPr>
                <w:rFonts w:hint="eastAsia" w:hAnsi="宋体"/>
                <w:b/>
                <w:bCs/>
                <w:sz w:val="24"/>
              </w:rPr>
              <w:t>序号</w:t>
            </w:r>
          </w:p>
        </w:tc>
        <w:tc>
          <w:tcPr>
            <w:tcW w:w="6828" w:type="dxa"/>
          </w:tcPr>
          <w:p>
            <w:pPr>
              <w:spacing w:before="156" w:beforeLines="50" w:after="156" w:afterLines="50"/>
              <w:jc w:val="center"/>
              <w:rPr>
                <w:b/>
                <w:bCs/>
                <w:sz w:val="24"/>
              </w:rPr>
            </w:pPr>
            <w:r>
              <w:rPr>
                <w:rFonts w:hint="eastAsia" w:hAnsi="宋体"/>
                <w:b/>
                <w:bCs/>
                <w:sz w:val="24"/>
              </w:rPr>
              <w:t>评审内容及标准</w:t>
            </w:r>
          </w:p>
        </w:tc>
        <w:tc>
          <w:tcPr>
            <w:tcW w:w="792" w:type="dxa"/>
            <w:vAlign w:val="center"/>
          </w:tcPr>
          <w:p>
            <w:pPr>
              <w:spacing w:before="156" w:beforeLines="50" w:after="156" w:afterLines="50"/>
              <w:jc w:val="center"/>
              <w:rPr>
                <w:b/>
                <w:bCs/>
                <w:sz w:val="24"/>
              </w:rPr>
            </w:pPr>
            <w:r>
              <w:rPr>
                <w:rFonts w:hint="eastAsia" w:hAnsi="宋体"/>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pPr>
              <w:spacing w:before="156" w:beforeLines="50" w:after="156" w:afterLines="50"/>
              <w:jc w:val="center"/>
              <w:rPr>
                <w:sz w:val="24"/>
              </w:rPr>
            </w:pPr>
            <w:r>
              <w:rPr>
                <w:rFonts w:hint="eastAsia"/>
                <w:sz w:val="24"/>
              </w:rPr>
              <w:t>1、</w:t>
            </w:r>
          </w:p>
        </w:tc>
        <w:tc>
          <w:tcPr>
            <w:tcW w:w="6828" w:type="dxa"/>
            <w:vAlign w:val="center"/>
          </w:tcPr>
          <w:p>
            <w:pPr>
              <w:rPr>
                <w:sz w:val="24"/>
              </w:rPr>
            </w:pPr>
            <w:r>
              <w:rPr>
                <w:rFonts w:hint="eastAsia"/>
                <w:sz w:val="24"/>
              </w:rPr>
              <w:t>【客观分】</w:t>
            </w:r>
          </w:p>
          <w:p>
            <w:pPr>
              <w:rPr>
                <w:sz w:val="24"/>
              </w:rPr>
            </w:pPr>
            <w:r>
              <w:rPr>
                <w:rFonts w:hint="eastAsia"/>
                <w:sz w:val="24"/>
              </w:rPr>
              <w:t>销售业绩：</w:t>
            </w:r>
          </w:p>
          <w:p>
            <w:pPr>
              <w:rPr>
                <w:sz w:val="24"/>
              </w:rPr>
            </w:pPr>
            <w:r>
              <w:rPr>
                <w:rFonts w:hint="eastAsia"/>
                <w:sz w:val="24"/>
              </w:rPr>
              <w:t>合同签订时间自</w:t>
            </w:r>
            <w:r>
              <w:rPr>
                <w:rFonts w:hint="eastAsia"/>
                <w:sz w:val="24"/>
                <w:u w:val="single"/>
              </w:rPr>
              <w:t>2022</w:t>
            </w:r>
            <w:r>
              <w:rPr>
                <w:rFonts w:hint="eastAsia"/>
                <w:sz w:val="24"/>
              </w:rPr>
              <w:t>年1月1日以来的，与最终用户签订的销售业绩，每提供一份与投标同品牌同型号产品销售业绩得</w:t>
            </w:r>
            <w:r>
              <w:rPr>
                <w:rFonts w:hint="eastAsia"/>
                <w:sz w:val="24"/>
                <w:u w:val="single"/>
              </w:rPr>
              <w:t>1</w:t>
            </w:r>
            <w:r>
              <w:rPr>
                <w:rFonts w:hint="eastAsia"/>
                <w:sz w:val="24"/>
              </w:rPr>
              <w:t>分，最高得</w:t>
            </w:r>
            <w:r>
              <w:rPr>
                <w:rFonts w:hint="eastAsia"/>
                <w:sz w:val="24"/>
                <w:u w:val="single"/>
              </w:rPr>
              <w:t>2</w:t>
            </w:r>
            <w:r>
              <w:rPr>
                <w:rFonts w:hint="eastAsia"/>
                <w:sz w:val="24"/>
              </w:rPr>
              <w:t>分。（要求提供完整的合同复印件，能清楚辨析设备名称型号）</w:t>
            </w:r>
          </w:p>
          <w:p>
            <w:pPr>
              <w:rPr>
                <w:sz w:val="24"/>
              </w:rPr>
            </w:pPr>
            <w:r>
              <w:rPr>
                <w:rFonts w:hint="eastAsia"/>
                <w:sz w:val="24"/>
              </w:rPr>
              <w:t>对省级以上主管部门认定的首台套产品，自纳入《省推广应用指导目录》起三年内参加政府采购活动，视同已具备相应销售业绩，业绩分为满分。（提供证明材料）</w:t>
            </w:r>
          </w:p>
        </w:tc>
        <w:tc>
          <w:tcPr>
            <w:tcW w:w="792" w:type="dxa"/>
            <w:vAlign w:val="center"/>
          </w:tcPr>
          <w:p>
            <w:pPr>
              <w:spacing w:before="156" w:beforeLines="50" w:after="156" w:afterLines="50"/>
              <w:jc w:val="center"/>
              <w:rPr>
                <w:b/>
                <w:bCs/>
                <w:sz w:val="24"/>
              </w:rPr>
            </w:pPr>
            <w:r>
              <w:rPr>
                <w:rFonts w:hint="eastAsia"/>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pPr>
              <w:spacing w:before="156" w:beforeLines="50" w:after="156" w:afterLines="50"/>
              <w:jc w:val="center"/>
              <w:rPr>
                <w:sz w:val="24"/>
              </w:rPr>
            </w:pPr>
            <w:r>
              <w:rPr>
                <w:rFonts w:hint="eastAsia"/>
                <w:sz w:val="24"/>
              </w:rPr>
              <w:t>2、</w:t>
            </w:r>
          </w:p>
        </w:tc>
        <w:tc>
          <w:tcPr>
            <w:tcW w:w="6828" w:type="dxa"/>
          </w:tcPr>
          <w:p>
            <w:pPr>
              <w:snapToGrid w:val="0"/>
              <w:rPr>
                <w:rFonts w:hAnsi="宋体"/>
                <w:color w:val="auto"/>
                <w:sz w:val="24"/>
              </w:rPr>
            </w:pPr>
            <w:r>
              <w:rPr>
                <w:rFonts w:hint="eastAsia"/>
                <w:color w:val="auto"/>
                <w:sz w:val="24"/>
              </w:rPr>
              <w:t>【客观</w:t>
            </w:r>
            <w:r>
              <w:rPr>
                <w:rFonts w:hint="eastAsia" w:hAnsi="宋体"/>
                <w:color w:val="auto"/>
                <w:sz w:val="24"/>
              </w:rPr>
              <w:t>分】</w:t>
            </w:r>
          </w:p>
          <w:p>
            <w:pPr>
              <w:snapToGrid w:val="0"/>
              <w:rPr>
                <w:rFonts w:hAnsi="宋体"/>
                <w:color w:val="auto"/>
                <w:sz w:val="24"/>
              </w:rPr>
            </w:pPr>
            <w:r>
              <w:rPr>
                <w:rFonts w:hint="eastAsia" w:hAnsi="宋体"/>
                <w:color w:val="auto"/>
                <w:sz w:val="24"/>
              </w:rPr>
              <w:t>采购需求符合度：</w:t>
            </w:r>
          </w:p>
          <w:p>
            <w:pPr>
              <w:snapToGrid w:val="0"/>
              <w:ind w:firstLine="400" w:firstLineChars="167"/>
              <w:rPr>
                <w:rFonts w:hAnsi="宋体"/>
                <w:color w:val="auto"/>
                <w:sz w:val="24"/>
              </w:rPr>
            </w:pPr>
            <w:r>
              <w:rPr>
                <w:rFonts w:hint="eastAsia" w:hAnsi="宋体"/>
                <w:color w:val="auto"/>
                <w:sz w:val="24"/>
              </w:rPr>
              <w:t>对应于采购需求中带“</w:t>
            </w:r>
            <w:r>
              <w:rPr>
                <w:rFonts w:hint="eastAsia" w:ascii="宋体" w:hAnsi="宋体"/>
                <w:color w:val="auto"/>
              </w:rPr>
              <w:t>▲</w:t>
            </w:r>
            <w:r>
              <w:rPr>
                <w:rFonts w:hAnsi="宋体"/>
                <w:color w:val="auto"/>
                <w:sz w:val="24"/>
              </w:rPr>
              <w:t>”</w:t>
            </w:r>
            <w:r>
              <w:rPr>
                <w:rFonts w:hint="eastAsia" w:hAnsi="宋体"/>
                <w:color w:val="auto"/>
                <w:sz w:val="24"/>
              </w:rPr>
              <w:t>号条款不满足采购文件要求的，每一项扣减3分，其他条款不满足采购文件要求的，每一项扣减</w:t>
            </w:r>
            <w:r>
              <w:rPr>
                <w:rFonts w:hint="eastAsia" w:hAnsi="宋体"/>
                <w:color w:val="auto"/>
                <w:sz w:val="24"/>
                <w:shd w:val="clear" w:color="FFFFFF" w:fill="D9D9D9"/>
                <w:lang w:val="en-US" w:eastAsia="zh-CN"/>
              </w:rPr>
              <w:t>1</w:t>
            </w:r>
            <w:r>
              <w:rPr>
                <w:rFonts w:hint="eastAsia" w:hAnsi="宋体"/>
                <w:color w:val="auto"/>
                <w:sz w:val="24"/>
                <w:shd w:val="clear" w:color="FFFFFF" w:fill="D9D9D9"/>
              </w:rPr>
              <w:t>分</w:t>
            </w:r>
            <w:r>
              <w:rPr>
                <w:rFonts w:hint="eastAsia" w:hAnsi="宋体"/>
                <w:color w:val="auto"/>
                <w:sz w:val="24"/>
              </w:rPr>
              <w:t>。本项最高得50</w:t>
            </w:r>
            <w:r>
              <w:rPr>
                <w:rFonts w:hint="eastAsia" w:hAnsi="宋体"/>
                <w:color w:val="auto"/>
                <w:sz w:val="24"/>
                <w:u w:val="single"/>
              </w:rPr>
              <w:t>分</w:t>
            </w:r>
            <w:r>
              <w:rPr>
                <w:rFonts w:hint="eastAsia" w:hAnsi="宋体"/>
                <w:color w:val="auto"/>
                <w:sz w:val="24"/>
              </w:rPr>
              <w:t>，最低得0分。</w:t>
            </w:r>
          </w:p>
          <w:p>
            <w:pPr>
              <w:snapToGrid w:val="0"/>
              <w:ind w:firstLine="400" w:firstLineChars="167"/>
              <w:rPr>
                <w:rFonts w:hAnsi="宋体"/>
                <w:color w:val="auto"/>
                <w:sz w:val="24"/>
              </w:rPr>
            </w:pPr>
            <w:r>
              <w:rPr>
                <w:rFonts w:hint="eastAsia" w:hAnsi="宋体"/>
                <w:color w:val="auto"/>
                <w:sz w:val="24"/>
              </w:rPr>
              <w:t>1、针对带“▲”号技术参数要求，供应商需提供充分的证明材料，未提供充分证明材料的，评审委员会有权视为不满足采购文件要求。证明材料可以是以下四项中任一项</w:t>
            </w:r>
            <w:r>
              <w:rPr>
                <w:rFonts w:hint="eastAsia" w:hAnsi="宋体"/>
                <w:color w:val="auto"/>
                <w:sz w:val="22"/>
                <w:szCs w:val="22"/>
              </w:rPr>
              <w:t>（有特别注明要求的除外）</w:t>
            </w:r>
            <w:r>
              <w:rPr>
                <w:rFonts w:hint="eastAsia" w:hAnsi="宋体"/>
                <w:color w:val="auto"/>
                <w:sz w:val="24"/>
              </w:rPr>
              <w:t>：</w:t>
            </w:r>
          </w:p>
          <w:p>
            <w:pPr>
              <w:snapToGrid w:val="0"/>
              <w:ind w:firstLine="400" w:firstLineChars="167"/>
              <w:rPr>
                <w:rFonts w:hAnsi="宋体"/>
                <w:color w:val="auto"/>
                <w:sz w:val="24"/>
              </w:rPr>
            </w:pPr>
            <w:r>
              <w:rPr>
                <w:rFonts w:hint="eastAsia" w:hAnsi="宋体"/>
                <w:color w:val="auto"/>
                <w:sz w:val="24"/>
              </w:rPr>
              <w:t>1）生产制造商公开对外宣传的带有响应技术参数或功能的产品彩页，为响应而临时打印的无效。</w:t>
            </w:r>
          </w:p>
          <w:p>
            <w:pPr>
              <w:snapToGrid w:val="0"/>
              <w:ind w:firstLine="400" w:firstLineChars="167"/>
              <w:rPr>
                <w:rFonts w:hAnsi="宋体"/>
                <w:color w:val="auto"/>
                <w:sz w:val="24"/>
              </w:rPr>
            </w:pPr>
            <w:r>
              <w:rPr>
                <w:rFonts w:hint="eastAsia" w:hAnsi="宋体"/>
                <w:color w:val="auto"/>
                <w:sz w:val="24"/>
              </w:rPr>
              <w:t>2）加盖生产制造商公章的技术白皮书。</w:t>
            </w:r>
          </w:p>
          <w:p>
            <w:pPr>
              <w:snapToGrid w:val="0"/>
              <w:ind w:firstLine="400" w:firstLineChars="167"/>
              <w:rPr>
                <w:rFonts w:hAnsi="宋体"/>
                <w:color w:val="auto"/>
                <w:sz w:val="24"/>
              </w:rPr>
            </w:pPr>
            <w:r>
              <w:rPr>
                <w:rFonts w:hint="eastAsia" w:hAnsi="宋体"/>
                <w:color w:val="auto"/>
                <w:sz w:val="24"/>
              </w:rPr>
              <w:t>3）可在生产制造商官网查询到的产品技术参数或功能，需提供官网截图和网址等信息。</w:t>
            </w:r>
          </w:p>
          <w:p>
            <w:pPr>
              <w:snapToGrid w:val="0"/>
              <w:ind w:firstLine="400" w:firstLineChars="167"/>
              <w:rPr>
                <w:rFonts w:hAnsi="宋体"/>
                <w:color w:val="auto"/>
                <w:sz w:val="24"/>
              </w:rPr>
            </w:pPr>
            <w:r>
              <w:rPr>
                <w:rFonts w:hint="eastAsia" w:hAnsi="宋体"/>
                <w:color w:val="auto"/>
                <w:sz w:val="24"/>
              </w:rPr>
              <w:t>4）评审委员会认可的其他有效证明（包括但不限于第三方检测报告、加盖生产制造商的证明材料等）。</w:t>
            </w:r>
          </w:p>
          <w:p>
            <w:pPr>
              <w:snapToGrid w:val="0"/>
              <w:ind w:firstLine="400" w:firstLineChars="167"/>
              <w:rPr>
                <w:rFonts w:hAnsi="宋体"/>
                <w:color w:val="auto"/>
                <w:sz w:val="24"/>
              </w:rPr>
            </w:pPr>
            <w:r>
              <w:rPr>
                <w:rFonts w:hint="eastAsia" w:hAnsi="宋体"/>
                <w:color w:val="auto"/>
                <w:sz w:val="24"/>
              </w:rPr>
              <w:t>2、其他项采购要求中有具体数据的，应在《商务技术偏离表》中提供具体数据响应，不能简单响应为“具备”或“有”等，否则视为不满足采购文件要求。</w:t>
            </w:r>
          </w:p>
          <w:p>
            <w:pPr>
              <w:spacing w:line="420" w:lineRule="exact"/>
              <w:jc w:val="left"/>
              <w:rPr>
                <w:color w:val="auto"/>
              </w:rPr>
            </w:pPr>
            <w:r>
              <w:rPr>
                <w:rFonts w:hint="eastAsia" w:hAnsi="宋体"/>
                <w:color w:val="auto"/>
                <w:sz w:val="24"/>
              </w:rPr>
              <w:t>3、带“</w:t>
            </w:r>
            <w:r>
              <w:rPr>
                <w:rFonts w:hint="eastAsia" w:ascii="宋体" w:hAnsi="宋体"/>
                <w:color w:val="auto"/>
              </w:rPr>
              <w:t>▲</w:t>
            </w:r>
            <w:r>
              <w:rPr>
                <w:rFonts w:hAnsi="宋体"/>
                <w:color w:val="auto"/>
                <w:sz w:val="24"/>
              </w:rPr>
              <w:t>”</w:t>
            </w:r>
            <w:r>
              <w:rPr>
                <w:rFonts w:hint="eastAsia" w:hAnsi="宋体"/>
                <w:color w:val="auto"/>
                <w:sz w:val="24"/>
              </w:rPr>
              <w:t>号项提供满足技术参数的佐证资料并在偏离表中标明佐证资料页码。</w:t>
            </w:r>
          </w:p>
        </w:tc>
        <w:tc>
          <w:tcPr>
            <w:tcW w:w="792" w:type="dxa"/>
            <w:vAlign w:val="center"/>
          </w:tcPr>
          <w:p>
            <w:pPr>
              <w:spacing w:before="156" w:beforeLines="50" w:after="156" w:afterLines="50"/>
              <w:jc w:val="center"/>
              <w:rPr>
                <w:bCs/>
                <w:color w:val="auto"/>
                <w:sz w:val="24"/>
              </w:rPr>
            </w:pPr>
            <w:r>
              <w:rPr>
                <w:rFonts w:hint="eastAsia" w:hAnsi="宋体"/>
                <w:bCs/>
                <w:color w:val="auto"/>
                <w:sz w:val="24"/>
                <w:u w:val="single"/>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pPr>
              <w:spacing w:before="156" w:beforeLines="50" w:after="156" w:afterLines="5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6828" w:type="dxa"/>
            <w:vAlign w:val="center"/>
          </w:tcPr>
          <w:p>
            <w:pPr>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【主观分】</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售后服务：</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1、售后服务方案：提供详细售后服务方案，如售后服务网点的分布情况、售后服务机构备品备件储备，售后服务机构技术服务人员情况、开展定期巡检、故障解决方案、应急措施等综合评审。</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要求响应时间短，解决方案充分，备品备件储备充足，人员配备合理售后服务经验丰富。（评分范围：5，4，3，2，1，0）。</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运行及维修成本：提供消耗品或易耗品的使用周期、价格；提供出保后保修方案，包括保修价格、设备配件价格，维修服务费等维修价格。要求消耗品或易耗品报价合理运行成本低，保修方案合理，配件报价合理维修成本低。（评分范围：5，4，3，2，1，0）。</w:t>
            </w:r>
          </w:p>
        </w:tc>
        <w:tc>
          <w:tcPr>
            <w:tcW w:w="792" w:type="dxa"/>
            <w:vAlign w:val="center"/>
          </w:tcPr>
          <w:p>
            <w:pPr>
              <w:spacing w:before="156" w:beforeLines="50" w:after="156" w:afterLines="50"/>
              <w:jc w:val="center"/>
              <w:rPr>
                <w:b/>
                <w:bCs/>
                <w:sz w:val="24"/>
              </w:rPr>
            </w:pPr>
            <w:r>
              <w:rPr>
                <w:rFonts w:hint="eastAsia" w:hAnsi="宋体"/>
                <w:bCs/>
                <w:sz w:val="24"/>
                <w:u w:val="singl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156" w:beforeLines="50" w:after="156" w:afterLines="50"/>
              <w:jc w:val="center"/>
              <w:rPr>
                <w:b/>
                <w:bCs/>
                <w:sz w:val="24"/>
              </w:rPr>
            </w:pPr>
            <w:r>
              <w:rPr>
                <w:rFonts w:hint="eastAsia"/>
                <w:sz w:val="24"/>
              </w:rPr>
              <w:t>4、</w:t>
            </w:r>
          </w:p>
        </w:tc>
        <w:tc>
          <w:tcPr>
            <w:tcW w:w="6828" w:type="dxa"/>
          </w:tcPr>
          <w:p>
            <w:pPr>
              <w:rPr>
                <w:rFonts w:ascii="宋体" w:hAnsi="宋体"/>
                <w:sz w:val="24"/>
              </w:rPr>
            </w:pPr>
            <w:r>
              <w:rPr>
                <w:rFonts w:hint="eastAsia" w:ascii="宋体" w:hAnsi="宋体"/>
                <w:sz w:val="24"/>
              </w:rPr>
              <w:t>【主观分】</w:t>
            </w:r>
          </w:p>
          <w:p>
            <w:pPr>
              <w:rPr>
                <w:rFonts w:ascii="宋体" w:hAnsi="宋体"/>
                <w:sz w:val="24"/>
              </w:rPr>
            </w:pPr>
            <w:r>
              <w:rPr>
                <w:rFonts w:hint="eastAsia" w:ascii="宋体" w:hAnsi="宋体"/>
                <w:sz w:val="24"/>
              </w:rPr>
              <w:t>安装调试及验收方案：</w:t>
            </w:r>
          </w:p>
          <w:p>
            <w:pPr>
              <w:rPr>
                <w:sz w:val="24"/>
              </w:rPr>
            </w:pPr>
            <w:r>
              <w:rPr>
                <w:rFonts w:hint="eastAsia"/>
                <w:sz w:val="24"/>
              </w:rPr>
              <w:t>根据商务要求中的</w:t>
            </w:r>
            <w:r>
              <w:rPr>
                <w:rFonts w:hint="eastAsia" w:ascii="宋体" w:hAnsi="宋体"/>
                <w:sz w:val="24"/>
              </w:rPr>
              <w:t>安装调试</w:t>
            </w:r>
            <w:r>
              <w:rPr>
                <w:rFonts w:hint="eastAsia"/>
                <w:sz w:val="24"/>
              </w:rPr>
              <w:t>要求和</w:t>
            </w:r>
            <w:r>
              <w:rPr>
                <w:rFonts w:hint="eastAsia" w:ascii="宋体" w:hAnsi="宋体"/>
                <w:sz w:val="24"/>
              </w:rPr>
              <w:t>验收要求</w:t>
            </w:r>
            <w:r>
              <w:rPr>
                <w:rFonts w:hint="eastAsia"/>
                <w:sz w:val="24"/>
              </w:rPr>
              <w:t>，提供详细的</w:t>
            </w:r>
            <w:r>
              <w:rPr>
                <w:rFonts w:hint="eastAsia" w:ascii="宋体" w:hAnsi="宋体"/>
                <w:sz w:val="24"/>
              </w:rPr>
              <w:t>安装调试方案和验收方案</w:t>
            </w:r>
            <w:r>
              <w:rPr>
                <w:rFonts w:hint="eastAsia"/>
                <w:sz w:val="24"/>
              </w:rPr>
              <w:t>，包括对场地环境的了解、人员的安排、时间进度的规划，对设备的调试进度安排，调试的步骤、措施，验收标准、验收的流程，问题的解决方案等。要求方案考虑充分，措施有效，能充分满足采购人实际需求。（评分范围：4，3，2，1，0）。</w:t>
            </w:r>
          </w:p>
        </w:tc>
        <w:tc>
          <w:tcPr>
            <w:tcW w:w="792" w:type="dxa"/>
            <w:vAlign w:val="center"/>
          </w:tcPr>
          <w:p>
            <w:pPr>
              <w:spacing w:before="156" w:beforeLines="50" w:after="156" w:afterLines="50" w:line="276" w:lineRule="auto"/>
              <w:jc w:val="center"/>
              <w:rPr>
                <w:bCs/>
                <w:color w:val="auto"/>
                <w:sz w:val="24"/>
              </w:rPr>
            </w:pPr>
            <w:r>
              <w:rPr>
                <w:rFonts w:hint="eastAsia" w:hAnsi="宋体"/>
                <w:bCs/>
                <w:color w:val="auto"/>
                <w:sz w:val="24"/>
                <w:u w:val="singl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156" w:beforeLines="50" w:after="156" w:afterLines="50"/>
              <w:jc w:val="center"/>
              <w:rPr>
                <w:rFonts w:cs="宋体"/>
                <w:sz w:val="24"/>
              </w:rPr>
            </w:pPr>
            <w:r>
              <w:rPr>
                <w:rFonts w:hint="eastAsia" w:cs="宋体"/>
                <w:sz w:val="24"/>
              </w:rPr>
              <w:t>5、</w:t>
            </w:r>
          </w:p>
        </w:tc>
        <w:tc>
          <w:tcPr>
            <w:tcW w:w="6828" w:type="dxa"/>
            <w:vAlign w:val="center"/>
          </w:tcPr>
          <w:p>
            <w:pPr>
              <w:rPr>
                <w:rFonts w:ascii="宋体" w:hAnsi="宋体"/>
                <w:sz w:val="24"/>
              </w:rPr>
            </w:pPr>
            <w:r>
              <w:rPr>
                <w:rFonts w:hint="eastAsia" w:ascii="宋体" w:hAnsi="宋体"/>
                <w:sz w:val="24"/>
              </w:rPr>
              <w:t>【主观分】</w:t>
            </w:r>
          </w:p>
          <w:p>
            <w:pPr>
              <w:rPr>
                <w:sz w:val="24"/>
              </w:rPr>
            </w:pPr>
            <w:r>
              <w:rPr>
                <w:rFonts w:hint="eastAsia"/>
                <w:sz w:val="24"/>
              </w:rPr>
              <w:t>培训方案：</w:t>
            </w:r>
          </w:p>
          <w:p>
            <w:pPr>
              <w:rPr>
                <w:rFonts w:ascii="宋体" w:hAnsi="宋体"/>
                <w:sz w:val="24"/>
              </w:rPr>
            </w:pPr>
            <w:r>
              <w:rPr>
                <w:rFonts w:hint="eastAsia"/>
                <w:sz w:val="24"/>
              </w:rPr>
              <w:t>根据商务要求中的操作应用培训要求和维修保养培训要求，提供详细的培训方案，包括培训对象、课时内容安排、师资力量安排，培训的形式等。要求培训方案考虑充分，贴合实际，师资充分，课程详实，安排有效。（评分范围：4，3，2，1，0）。</w:t>
            </w:r>
          </w:p>
        </w:tc>
        <w:tc>
          <w:tcPr>
            <w:tcW w:w="792" w:type="dxa"/>
            <w:vAlign w:val="center"/>
          </w:tcPr>
          <w:p>
            <w:pPr>
              <w:spacing w:before="156" w:beforeLines="50" w:after="156" w:afterLines="50"/>
              <w:jc w:val="center"/>
              <w:rPr>
                <w:bCs/>
                <w:color w:val="auto"/>
                <w:sz w:val="24"/>
              </w:rPr>
            </w:pPr>
            <w:r>
              <w:rPr>
                <w:rFonts w:hint="eastAsia"/>
                <w:bCs/>
                <w:color w:val="auto"/>
                <w:sz w:val="24"/>
                <w:u w:val="single"/>
              </w:rPr>
              <w:t>4分</w:t>
            </w:r>
          </w:p>
        </w:tc>
      </w:tr>
    </w:tbl>
    <w:p/>
    <w:p>
      <w:pPr>
        <w:rPr>
          <w:rFonts w:hint="eastAsia" w:ascii="宋体" w:hAnsi="宋体" w:cs="宋体"/>
          <w:b w:val="0"/>
          <w:bCs/>
          <w:sz w:val="24"/>
          <w:szCs w:val="24"/>
          <w:lang w:eastAsia="zh-CN"/>
        </w:rPr>
      </w:pP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62"/>
        <w:spacing w:before="0"/>
        <w:ind w:firstLine="508" w:firstLineChars="212"/>
        <w:rPr>
          <w:rFonts w:ascii="宋体" w:hAnsi="宋体" w:cs="宋体"/>
          <w:kern w:val="0"/>
          <w:szCs w:val="24"/>
        </w:rPr>
      </w:pPr>
      <w:r>
        <w:rPr>
          <w:rFonts w:hint="eastAsia" w:ascii="宋体" w:hAnsi="宋体" w:cs="宋体"/>
          <w:kern w:val="0"/>
        </w:rPr>
        <w:t>3.4</w:t>
      </w:r>
      <w:r>
        <w:rPr>
          <w:rFonts w:hint="eastAsia" w:ascii="宋体" w:hAnsi="宋体" w:cs="宋体"/>
          <w:kern w:val="0"/>
          <w:szCs w:val="24"/>
        </w:rPr>
        <w:t>.1投标文件报价出现前后不一致的，按照下列规定修正：</w:t>
      </w:r>
    </w:p>
    <w:p>
      <w:pPr>
        <w:pStyle w:val="16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6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6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6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6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3.4.1.5同时出现两种以上不一致的，按照3.4.1规定的顺序修正。修正后的报价按照《政府采购货物和服务招标投标管理办法》（财政部令第87号）第五十一条第二款的规定经投标人确认后产生约束力。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62"/>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2"/>
        <w:spacing w:before="0"/>
        <w:ind w:firstLine="480"/>
        <w:rPr>
          <w:rFonts w:hint="eastAsia" w:ascii="宋体" w:hAnsi="宋体" w:cs="宋体"/>
          <w:kern w:val="0"/>
          <w:szCs w:val="24"/>
        </w:rPr>
      </w:pPr>
      <w:r>
        <w:rPr>
          <w:rFonts w:hint="eastAsia" w:ascii="宋体" w:hAnsi="宋体" w:cs="宋体"/>
          <w:kern w:val="0"/>
          <w:szCs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r>
        <w:rPr>
          <w:rFonts w:hint="eastAsia" w:ascii="宋体" w:hAnsi="宋体" w:cs="宋体"/>
          <w:kern w:val="0"/>
          <w:szCs w:val="24"/>
        </w:rPr>
        <w:br w:type="textWrapping"/>
      </w:r>
      <w:r>
        <w:rPr>
          <w:rFonts w:hint="eastAsia" w:ascii="宋体" w:hAnsi="宋体" w:cs="宋体"/>
          <w:kern w:val="0"/>
          <w:szCs w:val="24"/>
          <w:lang w:val="en-US" w:eastAsia="zh-CN"/>
        </w:rPr>
        <w:t xml:space="preserve">    </w:t>
      </w:r>
      <w:r>
        <w:rPr>
          <w:rFonts w:hint="eastAsia" w:ascii="宋体" w:hAnsi="宋体" w:cs="宋体"/>
          <w:kern w:val="0"/>
          <w:szCs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pStyle w:val="16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6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3"/>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pStyle w:val="3"/>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eastAsia="zh-CN"/>
        </w:rPr>
        <w:t>4.2.14</w:t>
      </w:r>
      <w:r>
        <w:rPr>
          <w:rFonts w:hint="eastAsia" w:ascii="宋体" w:hAnsi="宋体" w:eastAsia="宋体" w:cs="宋体"/>
          <w:b w:val="0"/>
          <w:bCs w:val="0"/>
          <w:kern w:val="0"/>
          <w:sz w:val="24"/>
          <w:szCs w:val="24"/>
          <w:lang w:val="en-US"/>
        </w:rPr>
        <w:t>参与同一个采购包（标段）的供应商存在下列情形之一且无法合理</w:t>
      </w:r>
    </w:p>
    <w:p>
      <w:pPr>
        <w:pStyle w:val="3"/>
        <w:ind w:left="0" w:leftChars="0" w:firstLine="0" w:firstLineChars="0"/>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rPr>
        <w:t>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pPr>
        <w:pStyle w:val="27"/>
        <w:snapToGrid w:val="0"/>
        <w:spacing w:line="360" w:lineRule="auto"/>
        <w:ind w:firstLine="472" w:firstLineChars="196"/>
        <w:rPr>
          <w:rFonts w:cs="宋体"/>
        </w:rPr>
      </w:pPr>
      <w:r>
        <w:rPr>
          <w:rFonts w:hint="eastAsia" w:cs="宋体"/>
          <w:b/>
        </w:rPr>
        <w:t>4.3.废标。</w:t>
      </w:r>
      <w:r>
        <w:rPr>
          <w:rFonts w:hint="eastAsia" w:cs="宋体"/>
        </w:rPr>
        <w:t>根据《中华人民共和国政府采购法》第三十六条之规定，在采购中，出现下列情形之一的，应予废标：</w:t>
      </w:r>
    </w:p>
    <w:p>
      <w:pPr>
        <w:pStyle w:val="27"/>
        <w:snapToGrid w:val="0"/>
        <w:spacing w:line="360" w:lineRule="auto"/>
        <w:rPr>
          <w:rFonts w:cs="宋体"/>
        </w:rPr>
      </w:pPr>
      <w:r>
        <w:rPr>
          <w:rFonts w:hint="eastAsia" w:cs="宋体"/>
        </w:rPr>
        <w:t>4.3.1符合专业条件的供应商或者对招标文件作实质响应的供应商不足3家的；</w:t>
      </w:r>
    </w:p>
    <w:p>
      <w:pPr>
        <w:pStyle w:val="27"/>
        <w:snapToGrid w:val="0"/>
        <w:spacing w:line="360" w:lineRule="auto"/>
        <w:rPr>
          <w:rFonts w:cs="宋体"/>
        </w:rPr>
      </w:pPr>
      <w:r>
        <w:rPr>
          <w:rFonts w:hint="eastAsia" w:cs="宋体"/>
        </w:rPr>
        <w:t>4.3.2出现影响采购公正的违法、违规行为的；</w:t>
      </w:r>
    </w:p>
    <w:p>
      <w:pPr>
        <w:pStyle w:val="27"/>
        <w:snapToGrid w:val="0"/>
        <w:spacing w:line="360" w:lineRule="auto"/>
        <w:rPr>
          <w:rFonts w:cs="宋体"/>
        </w:rPr>
      </w:pPr>
      <w:r>
        <w:rPr>
          <w:rFonts w:hint="eastAsia" w:cs="宋体"/>
        </w:rPr>
        <w:t>4.3.3投标人的报价均超过了采购预算，采购人不能支付的；</w:t>
      </w:r>
    </w:p>
    <w:p>
      <w:pPr>
        <w:pStyle w:val="27"/>
        <w:snapToGrid w:val="0"/>
        <w:spacing w:line="360" w:lineRule="auto"/>
        <w:rPr>
          <w:rFonts w:cs="宋体"/>
        </w:rPr>
      </w:pPr>
      <w:r>
        <w:rPr>
          <w:rFonts w:hint="eastAsia" w:cs="宋体"/>
        </w:rPr>
        <w:t>4.3.4因重大变故，采购任务取消的。</w:t>
      </w:r>
    </w:p>
    <w:p>
      <w:pPr>
        <w:pStyle w:val="27"/>
        <w:snapToGrid w:val="0"/>
        <w:spacing w:line="360" w:lineRule="auto"/>
        <w:rPr>
          <w:rFonts w:cs="宋体"/>
        </w:rPr>
      </w:pPr>
      <w:r>
        <w:rPr>
          <w:rFonts w:hint="eastAsia" w:cs="宋体"/>
        </w:rPr>
        <w:t>废标后，采购代理机构应当将废标理由通知所有投标人。</w:t>
      </w:r>
    </w:p>
    <w:p>
      <w:pPr>
        <w:pStyle w:val="27"/>
        <w:snapToGrid w:val="0"/>
        <w:spacing w:line="360" w:lineRule="auto"/>
        <w:ind w:firstLine="482"/>
        <w:rPr>
          <w:rFonts w:cs="宋体"/>
        </w:rPr>
      </w:pPr>
      <w:r>
        <w:rPr>
          <w:rFonts w:hint="eastAsia" w:cs="宋体"/>
          <w:b/>
        </w:rPr>
        <w:t>4.4.修改招标文件，重新组织采购活动。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7"/>
        <w:snapToGrid w:val="0"/>
        <w:spacing w:line="360" w:lineRule="auto"/>
        <w:ind w:firstLine="482"/>
        <w:rPr>
          <w:rFonts w:cs="宋体"/>
        </w:rPr>
      </w:pPr>
      <w:r>
        <w:rPr>
          <w:rFonts w:hint="eastAsia" w:cs="宋体"/>
          <w:b/>
          <w:kern w:val="0"/>
        </w:rPr>
        <w:t>4.5.重新开展采购。</w:t>
      </w:r>
      <w:r>
        <w:rPr>
          <w:rFonts w:hint="eastAsia" w:cs="宋体"/>
        </w:rPr>
        <w:t>有政府采购法第七十一条、第七十二条规定的违法行为之一，影响或者可能影响中标、成交结果的，依照下列规定处理：</w:t>
      </w:r>
    </w:p>
    <w:p>
      <w:pPr>
        <w:pStyle w:val="27"/>
        <w:snapToGrid w:val="0"/>
        <w:spacing w:line="360" w:lineRule="auto"/>
        <w:ind w:firstLine="600" w:firstLineChars="250"/>
        <w:rPr>
          <w:rFonts w:cs="宋体"/>
        </w:rPr>
      </w:pPr>
      <w:r>
        <w:rPr>
          <w:rFonts w:hint="eastAsia" w:cs="宋体"/>
        </w:rPr>
        <w:t>4.5.1未确定中标或者中标人的，终止本次政府采购活动，重新开展政府采购活动。</w:t>
      </w:r>
    </w:p>
    <w:p>
      <w:pPr>
        <w:pStyle w:val="27"/>
        <w:snapToGrid w:val="0"/>
        <w:spacing w:line="360" w:lineRule="auto"/>
        <w:ind w:firstLine="600" w:firstLineChars="250"/>
        <w:rPr>
          <w:rFonts w:cs="宋体"/>
        </w:rPr>
      </w:pPr>
      <w:r>
        <w:rPr>
          <w:rFonts w:hint="eastAsia" w:cs="宋体"/>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7"/>
        <w:snapToGrid w:val="0"/>
        <w:spacing w:line="360" w:lineRule="auto"/>
        <w:ind w:firstLine="600" w:firstLineChars="250"/>
        <w:rPr>
          <w:rFonts w:cs="宋体"/>
        </w:rPr>
      </w:pPr>
      <w:r>
        <w:rPr>
          <w:rFonts w:hint="eastAsia" w:cs="宋体"/>
        </w:rPr>
        <w:t>4.5.3政府采购合同已签订但尚未履行的，撤销合同，从合格的中标或者成交候选人中另行确定中标或者中标人；没有合格的中标或者成交候选人的，重新开展政府采购活动。</w:t>
      </w:r>
    </w:p>
    <w:p>
      <w:pPr>
        <w:pStyle w:val="27"/>
        <w:snapToGrid w:val="0"/>
        <w:spacing w:line="360" w:lineRule="auto"/>
        <w:rPr>
          <w:rFonts w:cs="宋体"/>
        </w:rPr>
      </w:pPr>
      <w:r>
        <w:rPr>
          <w:rFonts w:hint="eastAsia" w:cs="宋体"/>
        </w:rPr>
        <w:t>4.5.4政府采购合同已经履行，给采购人、供应商造成损失的，由责任人承担赔偿责任。</w:t>
      </w:r>
    </w:p>
    <w:p>
      <w:pPr>
        <w:pStyle w:val="27"/>
        <w:snapToGrid w:val="0"/>
        <w:spacing w:line="360" w:lineRule="auto"/>
        <w:rPr>
          <w:rFonts w:cs="宋体"/>
        </w:rPr>
      </w:pPr>
      <w:r>
        <w:rPr>
          <w:rFonts w:hint="eastAsia" w:cs="宋体"/>
        </w:rPr>
        <w:t>4.5.5政府采购当事人有其他违反政府采购法或者政府采购法实施条例等法律法规规定的行为，经改正后仍然影响或者可能影响中标、成交结果或者依法被认定为中标、成交无效的，依照4.5.1-4.5.4规定处理。</w:t>
      </w:r>
    </w:p>
    <w:bookmarkEnd w:id="25"/>
    <w:p>
      <w:pPr>
        <w:spacing w:line="360" w:lineRule="auto"/>
        <w:ind w:left="720" w:leftChars="343" w:firstLine="1084" w:firstLineChars="300"/>
        <w:outlineLvl w:val="0"/>
        <w:rPr>
          <w:rFonts w:ascii="宋体" w:hAnsi="宋体" w:cs="宋体"/>
          <w:b/>
          <w:sz w:val="36"/>
          <w:szCs w:val="36"/>
        </w:rPr>
      </w:pPr>
      <w:bookmarkStart w:id="391" w:name="_Toc86217003"/>
      <w:bookmarkStart w:id="392" w:name="第五部分"/>
    </w:p>
    <w:bookmarkEnd w:id="391"/>
    <w:bookmarkEnd w:id="392"/>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11"/>
        <w:rPr>
          <w:rFonts w:ascii="宋体" w:hAnsi="宋体" w:cs="宋体"/>
          <w:szCs w:val="24"/>
        </w:rPr>
      </w:pPr>
    </w:p>
    <w:p>
      <w:pPr>
        <w:pStyle w:val="711"/>
        <w:rPr>
          <w:rFonts w:ascii="宋体" w:hAnsi="宋体" w:cs="宋体"/>
          <w:szCs w:val="24"/>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711"/>
        <w:jc w:val="center"/>
        <w:rPr>
          <w:rFonts w:ascii="宋体" w:hAnsi="宋体" w:cs="宋体"/>
          <w:szCs w:val="24"/>
        </w:rPr>
      </w:pPr>
    </w:p>
    <w:p>
      <w:pPr>
        <w:pStyle w:val="27"/>
        <w:rPr>
          <w:rFonts w:cs="宋体"/>
        </w:rPr>
      </w:pPr>
    </w:p>
    <w:p>
      <w:pPr>
        <w:pStyle w:val="711"/>
        <w:ind w:firstLine="2843" w:firstLineChars="1180"/>
        <w:rPr>
          <w:rFonts w:ascii="宋体" w:hAnsi="宋体" w:cs="宋体"/>
          <w:b/>
          <w:szCs w:val="24"/>
        </w:rPr>
      </w:pPr>
      <w:r>
        <w:rPr>
          <w:rFonts w:hint="eastAsia" w:ascii="宋体" w:hAnsi="宋体" w:cs="宋体"/>
          <w:b/>
          <w:szCs w:val="24"/>
        </w:rPr>
        <w:t>通用合同书</w:t>
      </w:r>
    </w:p>
    <w:p>
      <w:pPr>
        <w:pStyle w:val="711"/>
        <w:rPr>
          <w:rFonts w:ascii="宋体" w:hAnsi="宋体" w:cs="宋体"/>
          <w:szCs w:val="24"/>
        </w:rPr>
      </w:pPr>
    </w:p>
    <w:p>
      <w:pPr>
        <w:pStyle w:val="711"/>
        <w:rPr>
          <w:rFonts w:ascii="宋体" w:hAnsi="宋体" w:cs="宋体"/>
          <w:szCs w:val="24"/>
        </w:rPr>
      </w:pPr>
    </w:p>
    <w:p>
      <w:pPr>
        <w:pStyle w:val="27"/>
        <w:rPr>
          <w:rFonts w:cs="宋体"/>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605"/>
        <w:spacing w:before="120" w:line="22" w:lineRule="atLeast"/>
        <w:rPr>
          <w:rFonts w:ascii="宋体" w:hAnsi="宋体" w:eastAsia="宋体" w:cs="宋体"/>
          <w:szCs w:val="24"/>
        </w:rPr>
      </w:pPr>
    </w:p>
    <w:p>
      <w:pPr>
        <w:pStyle w:val="605"/>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pStyle w:val="3"/>
        <w:rPr>
          <w:rFonts w:ascii="宋体" w:hAnsi="宋体" w:eastAsia="宋体" w:cs="宋体"/>
          <w:lang w:val="en-US"/>
        </w:rPr>
      </w:pPr>
    </w:p>
    <w:p>
      <w:pPr>
        <w:ind w:firstLine="420" w:firstLineChars="200"/>
        <w:rPr>
          <w:rFonts w:ascii="宋体" w:hAnsi="宋体" w:cs="宋体"/>
          <w:u w:val="single"/>
        </w:rPr>
      </w:pPr>
      <w:r>
        <w:rPr>
          <w:rFonts w:hint="eastAsia" w:ascii="宋体" w:hAnsi="宋体" w:cs="宋体"/>
          <w:u w:val="single"/>
        </w:rPr>
        <w:t xml:space="preserve">                      </w:t>
      </w:r>
      <w:r>
        <w:rPr>
          <w:rFonts w:hint="eastAsia" w:ascii="宋体" w:hAnsi="宋体" w:cs="宋体"/>
        </w:rPr>
        <w:t>（甲方）</w:t>
      </w:r>
      <w:r>
        <w:rPr>
          <w:rFonts w:hint="eastAsia" w:ascii="宋体" w:hAnsi="宋体" w:cs="宋体"/>
          <w:u w:val="single"/>
        </w:rPr>
        <w:t xml:space="preserve">                    </w:t>
      </w:r>
      <w:r>
        <w:rPr>
          <w:rFonts w:hint="eastAsia" w:ascii="宋体" w:hAnsi="宋体" w:cs="宋体"/>
        </w:rPr>
        <w:t xml:space="preserve"> （项目名称）经诸暨市公共资源交易中心以招标文件（编号：诸政采20</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号）进行公开招标。甲方确定</w:t>
      </w:r>
      <w:r>
        <w:rPr>
          <w:rFonts w:hint="eastAsia" w:ascii="宋体" w:hAnsi="宋体" w:cs="宋体"/>
          <w:u w:val="single"/>
        </w:rPr>
        <w:t xml:space="preserve">                              </w:t>
      </w:r>
      <w:r>
        <w:rPr>
          <w:rFonts w:hint="eastAsia" w:ascii="宋体" w:hAnsi="宋体" w:cs="宋体"/>
        </w:rPr>
        <w:t>（乙方）为中标人。甲、乙双方依据《中华人民共和国政府采购法》、《中华人民共和国民法典》，在平等自愿的基础上，同意按照下面的条款和条件，签署本合同。</w:t>
      </w:r>
    </w:p>
    <w:p>
      <w:pPr>
        <w:rPr>
          <w:rFonts w:ascii="宋体" w:hAnsi="宋体" w:cs="宋体"/>
          <w:b/>
          <w:bCs/>
          <w:u w:val="single"/>
        </w:rPr>
      </w:pPr>
      <w:r>
        <w:rPr>
          <w:rFonts w:hint="eastAsia" w:ascii="宋体" w:hAnsi="宋体" w:cs="宋体"/>
          <w:b/>
          <w:bCs/>
        </w:rPr>
        <w:t>（一）项目采购依据</w:t>
      </w:r>
    </w:p>
    <w:p>
      <w:pPr>
        <w:ind w:firstLine="420" w:firstLineChars="200"/>
        <w:rPr>
          <w:rFonts w:ascii="宋体" w:hAnsi="宋体" w:cs="宋体"/>
        </w:rPr>
      </w:pPr>
      <w:r>
        <w:rPr>
          <w:rFonts w:hint="eastAsia" w:ascii="宋体" w:hAnsi="宋体" w:cs="宋体"/>
        </w:rPr>
        <w:t xml:space="preserve">政府采购预算执行确认书。 </w:t>
      </w:r>
    </w:p>
    <w:p>
      <w:pPr>
        <w:rPr>
          <w:rFonts w:ascii="宋体" w:hAnsi="宋体" w:cs="宋体"/>
          <w:b/>
          <w:bCs/>
        </w:rPr>
      </w:pPr>
      <w:r>
        <w:rPr>
          <w:rFonts w:hint="eastAsia" w:ascii="宋体" w:hAnsi="宋体" w:cs="宋体"/>
          <w:b/>
          <w:bCs/>
        </w:rPr>
        <w:t>（二）下列文件构成本合同的组成部分</w:t>
      </w:r>
    </w:p>
    <w:p>
      <w:pPr>
        <w:ind w:firstLine="420" w:firstLineChars="200"/>
        <w:rPr>
          <w:rFonts w:ascii="宋体" w:hAnsi="宋体" w:cs="宋体"/>
        </w:rPr>
      </w:pPr>
      <w:r>
        <w:rPr>
          <w:rFonts w:hint="eastAsia" w:ascii="宋体" w:hAnsi="宋体" w:cs="宋体"/>
        </w:rPr>
        <w:t>以下文件为本合同的组成部分，应该认为是一个整体，彼此相互解释，相互补充。</w:t>
      </w:r>
    </w:p>
    <w:p>
      <w:pPr>
        <w:ind w:firstLine="420" w:firstLineChars="200"/>
        <w:rPr>
          <w:rFonts w:ascii="宋体" w:hAnsi="宋体" w:cs="宋体"/>
        </w:rPr>
      </w:pPr>
      <w:r>
        <w:rPr>
          <w:rFonts w:hint="eastAsia" w:ascii="宋体" w:hAnsi="宋体" w:cs="宋体"/>
        </w:rPr>
        <w:t>a. 本合同书</w:t>
      </w:r>
    </w:p>
    <w:p>
      <w:pPr>
        <w:ind w:firstLine="420" w:firstLineChars="200"/>
        <w:rPr>
          <w:rFonts w:ascii="宋体" w:hAnsi="宋体" w:cs="宋体"/>
        </w:rPr>
      </w:pPr>
      <w:r>
        <w:rPr>
          <w:rFonts w:hint="eastAsia" w:ascii="宋体" w:hAnsi="宋体" w:cs="宋体"/>
        </w:rPr>
        <w:t>b. 中标通知书</w:t>
      </w:r>
    </w:p>
    <w:p>
      <w:pPr>
        <w:ind w:firstLine="420" w:firstLineChars="200"/>
        <w:rPr>
          <w:rFonts w:ascii="宋体" w:hAnsi="宋体" w:cs="宋体"/>
        </w:rPr>
      </w:pPr>
      <w:r>
        <w:rPr>
          <w:rFonts w:hint="eastAsia" w:ascii="宋体" w:hAnsi="宋体" w:cs="宋体"/>
        </w:rPr>
        <w:t>c. 询标承诺</w:t>
      </w:r>
    </w:p>
    <w:p>
      <w:pPr>
        <w:ind w:firstLine="420" w:firstLineChars="200"/>
        <w:rPr>
          <w:rFonts w:ascii="宋体" w:hAnsi="宋体" w:cs="宋体"/>
        </w:rPr>
      </w:pPr>
      <w:r>
        <w:rPr>
          <w:rFonts w:hint="eastAsia" w:ascii="宋体" w:hAnsi="宋体" w:cs="宋体"/>
        </w:rPr>
        <w:t>d. 投标文件</w:t>
      </w:r>
    </w:p>
    <w:p>
      <w:pPr>
        <w:ind w:firstLine="420" w:firstLineChars="200"/>
        <w:rPr>
          <w:rFonts w:ascii="宋体" w:hAnsi="宋体" w:cs="宋体"/>
        </w:rPr>
      </w:pPr>
      <w:r>
        <w:rPr>
          <w:rFonts w:hint="eastAsia" w:ascii="宋体" w:hAnsi="宋体" w:cs="宋体"/>
        </w:rPr>
        <w:t>e. 招标文件</w:t>
      </w:r>
    </w:p>
    <w:p>
      <w:pPr>
        <w:rPr>
          <w:rFonts w:ascii="宋体" w:hAnsi="宋体" w:cs="宋体"/>
          <w:b/>
          <w:bCs/>
        </w:rPr>
      </w:pPr>
      <w:r>
        <w:rPr>
          <w:rFonts w:hint="eastAsia" w:ascii="宋体" w:hAnsi="宋体" w:cs="宋体"/>
          <w:b/>
          <w:bCs/>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rPr>
                <w:rFonts w:ascii="宋体" w:hAnsi="宋体" w:cs="宋体"/>
              </w:rPr>
            </w:pPr>
            <w:r>
              <w:rPr>
                <w:rFonts w:hint="eastAsia" w:ascii="宋体" w:hAnsi="宋体" w:cs="宋体"/>
              </w:rPr>
              <w:t>产品名称</w:t>
            </w:r>
          </w:p>
        </w:tc>
        <w:tc>
          <w:tcPr>
            <w:tcW w:w="3960" w:type="dxa"/>
            <w:vAlign w:val="center"/>
          </w:tcPr>
          <w:p>
            <w:pPr>
              <w:jc w:val="center"/>
              <w:rPr>
                <w:rFonts w:ascii="宋体" w:hAnsi="宋体" w:cs="宋体"/>
              </w:rPr>
            </w:pPr>
            <w:r>
              <w:rPr>
                <w:rFonts w:hint="eastAsia" w:ascii="宋体" w:hAnsi="宋体" w:cs="宋体"/>
              </w:rPr>
              <w:t>规格、型号（或服务内容）</w:t>
            </w:r>
          </w:p>
        </w:tc>
        <w:tc>
          <w:tcPr>
            <w:tcW w:w="1080" w:type="dxa"/>
            <w:vAlign w:val="center"/>
          </w:tcPr>
          <w:p>
            <w:pPr>
              <w:jc w:val="center"/>
              <w:rPr>
                <w:rFonts w:ascii="宋体" w:hAnsi="宋体" w:cs="宋体"/>
              </w:rPr>
            </w:pPr>
            <w:r>
              <w:rPr>
                <w:rFonts w:hint="eastAsia" w:ascii="宋体" w:hAnsi="宋体" w:cs="宋体"/>
              </w:rPr>
              <w:t>数量</w:t>
            </w:r>
          </w:p>
        </w:tc>
        <w:tc>
          <w:tcPr>
            <w:tcW w:w="1260" w:type="dxa"/>
            <w:vAlign w:val="center"/>
          </w:tcPr>
          <w:p>
            <w:pPr>
              <w:jc w:val="center"/>
              <w:rPr>
                <w:rFonts w:ascii="宋体" w:hAnsi="宋体" w:cs="宋体"/>
              </w:rPr>
            </w:pPr>
            <w:r>
              <w:rPr>
                <w:rFonts w:hint="eastAsia" w:ascii="宋体" w:hAnsi="宋体" w:cs="宋体"/>
              </w:rPr>
              <w:t>单价（元）</w:t>
            </w:r>
          </w:p>
        </w:tc>
        <w:tc>
          <w:tcPr>
            <w:tcW w:w="1440" w:type="dxa"/>
            <w:vAlign w:val="center"/>
          </w:tcPr>
          <w:p>
            <w:pPr>
              <w:jc w:val="center"/>
              <w:rPr>
                <w:rFonts w:ascii="宋体" w:hAnsi="宋体" w:cs="宋体"/>
              </w:rPr>
            </w:pPr>
            <w:r>
              <w:rPr>
                <w:rFonts w:hint="eastAsia" w:ascii="宋体" w:hAnsi="宋体" w:cs="宋体"/>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（具体标的物或服务内容可根据实际修改）</w:t>
      </w:r>
    </w:p>
    <w:p>
      <w:pPr>
        <w:rPr>
          <w:rFonts w:ascii="宋体" w:hAnsi="宋体" w:cs="宋体"/>
          <w:b/>
          <w:bCs/>
        </w:rPr>
      </w:pPr>
      <w:r>
        <w:rPr>
          <w:rFonts w:hint="eastAsia" w:ascii="宋体" w:hAnsi="宋体" w:cs="宋体"/>
          <w:b/>
          <w:bCs/>
        </w:rPr>
        <w:t>（四）合同总价</w:t>
      </w:r>
    </w:p>
    <w:p>
      <w:pPr>
        <w:ind w:firstLine="420" w:firstLineChars="200"/>
        <w:rPr>
          <w:rFonts w:ascii="宋体" w:hAnsi="宋体" w:cs="宋体"/>
        </w:rPr>
      </w:pPr>
      <w:r>
        <w:rPr>
          <w:rFonts w:hint="eastAsia" w:ascii="宋体" w:hAnsi="宋体" w:cs="宋体"/>
        </w:rPr>
        <w:t>本合同总价为</w:t>
      </w:r>
      <w:r>
        <w:rPr>
          <w:rFonts w:hint="eastAsia" w:ascii="宋体" w:hAnsi="宋体" w:cs="宋体"/>
          <w:u w:val="single"/>
        </w:rPr>
        <w:t xml:space="preserve">       </w:t>
      </w:r>
      <w:r>
        <w:rPr>
          <w:rFonts w:hint="eastAsia" w:ascii="宋体" w:hAnsi="宋体" w:cs="宋体"/>
        </w:rPr>
        <w:t>元人民币，大写</w:t>
      </w:r>
      <w:r>
        <w:rPr>
          <w:rFonts w:hint="eastAsia" w:ascii="宋体" w:hAnsi="宋体" w:cs="宋体"/>
          <w:u w:val="single"/>
        </w:rPr>
        <w:t xml:space="preserve">                                    </w:t>
      </w:r>
      <w:r>
        <w:rPr>
          <w:rFonts w:hint="eastAsia" w:ascii="宋体" w:hAnsi="宋体" w:cs="宋体"/>
        </w:rPr>
        <w:t>。</w:t>
      </w:r>
    </w:p>
    <w:p>
      <w:pPr>
        <w:rPr>
          <w:rFonts w:ascii="宋体" w:hAnsi="宋体" w:cs="宋体"/>
          <w:b/>
          <w:bCs/>
        </w:rPr>
      </w:pPr>
      <w:r>
        <w:rPr>
          <w:rFonts w:hint="eastAsia" w:ascii="宋体" w:hAnsi="宋体" w:cs="宋体"/>
          <w:b/>
          <w:bCs/>
        </w:rPr>
        <w:t>（五）合同价款的支付</w:t>
      </w:r>
    </w:p>
    <w:p>
      <w:pPr>
        <w:ind w:firstLine="420" w:firstLineChars="200"/>
        <w:rPr>
          <w:rFonts w:ascii="宋体" w:hAnsi="宋体" w:cs="宋体"/>
        </w:rPr>
      </w:pPr>
      <w:r>
        <w:rPr>
          <w:rFonts w:hint="eastAsia" w:ascii="宋体" w:hAnsi="宋体" w:cs="宋体"/>
        </w:rPr>
        <w:t>1.本合同中甲乙双方之间所发生的一切费用以人民币进行结算。</w:t>
      </w:r>
    </w:p>
    <w:p>
      <w:pPr>
        <w:ind w:firstLine="420" w:firstLineChars="200"/>
        <w:rPr>
          <w:rFonts w:ascii="宋体" w:hAnsi="宋体" w:cs="宋体"/>
        </w:rPr>
      </w:pPr>
      <w:r>
        <w:rPr>
          <w:rFonts w:hint="eastAsia" w:ascii="宋体" w:hAnsi="宋体" w:cs="宋体"/>
        </w:rPr>
        <w:t>2.支付方式：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付款次数</w:t>
            </w:r>
          </w:p>
        </w:tc>
        <w:tc>
          <w:tcPr>
            <w:tcW w:w="1985" w:type="dxa"/>
            <w:vAlign w:val="center"/>
          </w:tcPr>
          <w:p>
            <w:pPr>
              <w:jc w:val="center"/>
              <w:rPr>
                <w:rFonts w:ascii="宋体" w:hAnsi="宋体" w:cs="宋体"/>
              </w:rPr>
            </w:pPr>
            <w:r>
              <w:rPr>
                <w:rFonts w:hint="eastAsia" w:ascii="宋体" w:hAnsi="宋体" w:cs="宋体"/>
              </w:rPr>
              <w:t>约定支付条件</w:t>
            </w:r>
          </w:p>
        </w:tc>
        <w:tc>
          <w:tcPr>
            <w:tcW w:w="4394" w:type="dxa"/>
            <w:vAlign w:val="center"/>
          </w:tcPr>
          <w:p>
            <w:pPr>
              <w:jc w:val="center"/>
              <w:rPr>
                <w:rFonts w:ascii="宋体" w:hAnsi="宋体" w:cs="宋体"/>
              </w:rPr>
            </w:pPr>
            <w:r>
              <w:rPr>
                <w:rFonts w:hint="eastAsia" w:ascii="宋体" w:hAnsi="宋体" w:cs="宋体"/>
              </w:rPr>
              <w:t>付款条件</w:t>
            </w:r>
          </w:p>
        </w:tc>
        <w:tc>
          <w:tcPr>
            <w:tcW w:w="1413" w:type="dxa"/>
            <w:vAlign w:val="center"/>
          </w:tcPr>
          <w:p>
            <w:pPr>
              <w:jc w:val="center"/>
              <w:rPr>
                <w:rFonts w:ascii="宋体" w:hAnsi="宋体" w:cs="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1</w:t>
            </w:r>
          </w:p>
        </w:tc>
        <w:tc>
          <w:tcPr>
            <w:tcW w:w="1985" w:type="dxa"/>
            <w:vAlign w:val="center"/>
          </w:tcPr>
          <w:p>
            <w:pPr>
              <w:jc w:val="center"/>
              <w:rPr>
                <w:rFonts w:ascii="宋体" w:hAnsi="宋体" w:cs="宋体"/>
              </w:rPr>
            </w:pPr>
            <w:r>
              <w:rPr>
                <w:rFonts w:hint="eastAsia" w:ascii="宋体" w:hAnsi="宋体" w:cs="宋体"/>
              </w:rPr>
              <w:t>合同签订后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满足合同约定支付条件，甲方收到乙方提供的同等金额的正规发票后 7 个工作日内，向乙方支付合同总价</w:t>
            </w:r>
            <w:r>
              <w:rPr>
                <w:rFonts w:hint="eastAsia" w:ascii="宋体" w:hAnsi="宋体" w:cs="宋体"/>
                <w:u w:val="single"/>
              </w:rPr>
              <w:t xml:space="preserve">     </w:t>
            </w:r>
            <w:r>
              <w:rPr>
                <w:rFonts w:hint="eastAsia" w:ascii="宋体" w:hAnsi="宋体" w:cs="宋体"/>
              </w:rPr>
              <w:t>%的预付款；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2</w:t>
            </w:r>
          </w:p>
        </w:tc>
        <w:tc>
          <w:tcPr>
            <w:tcW w:w="1985" w:type="dxa"/>
            <w:vAlign w:val="center"/>
          </w:tcPr>
          <w:p>
            <w:pPr>
              <w:jc w:val="center"/>
              <w:rPr>
                <w:rFonts w:ascii="宋体" w:hAnsi="宋体" w:cs="宋体"/>
              </w:rPr>
            </w:pPr>
            <w:r>
              <w:rPr>
                <w:rFonts w:hint="eastAsia" w:ascii="宋体" w:hAnsi="宋体" w:cs="宋体"/>
              </w:rPr>
              <w:t>项目验收合格后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w:t>
            </w:r>
          </w:p>
          <w:p>
            <w:pPr>
              <w:jc w:val="center"/>
              <w:rPr>
                <w:rFonts w:ascii="宋体" w:hAnsi="宋体" w:cs="宋体"/>
              </w:rPr>
            </w:pPr>
            <w:r>
              <w:rPr>
                <w:rFonts w:hint="eastAsia" w:ascii="宋体" w:hAnsi="宋体" w:cs="宋体"/>
              </w:rPr>
              <w:t>的同等金额的正规发票后 7 个工作日内，向</w:t>
            </w:r>
          </w:p>
          <w:p>
            <w:pPr>
              <w:jc w:val="center"/>
              <w:rPr>
                <w:rFonts w:ascii="宋体" w:hAnsi="宋体" w:cs="宋体"/>
              </w:rPr>
            </w:pPr>
            <w:r>
              <w:rPr>
                <w:rFonts w:hint="eastAsia" w:ascii="宋体" w:hAnsi="宋体" w:cs="宋体"/>
              </w:rPr>
              <w:t>乙方支付合同总价</w:t>
            </w:r>
            <w:r>
              <w:rPr>
                <w:rFonts w:hint="eastAsia" w:ascii="宋体" w:hAnsi="宋体" w:cs="宋体"/>
                <w:u w:val="single"/>
              </w:rPr>
              <w:t xml:space="preserve">      </w:t>
            </w:r>
            <w:r>
              <w:rPr>
                <w:rFonts w:hint="eastAsia" w:ascii="宋体" w:hAnsi="宋体" w:cs="宋体"/>
              </w:rPr>
              <w:t>%的合同款。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3</w:t>
            </w:r>
          </w:p>
        </w:tc>
        <w:tc>
          <w:tcPr>
            <w:tcW w:w="1985" w:type="dxa"/>
            <w:vAlign w:val="center"/>
          </w:tcPr>
          <w:p>
            <w:pPr>
              <w:rPr>
                <w:rFonts w:ascii="宋体" w:hAnsi="宋体" w:cs="宋体"/>
              </w:rPr>
            </w:pPr>
          </w:p>
        </w:tc>
        <w:tc>
          <w:tcPr>
            <w:tcW w:w="4394" w:type="dxa"/>
            <w:vAlign w:val="center"/>
          </w:tcPr>
          <w:p>
            <w:pPr>
              <w:jc w:val="center"/>
              <w:rPr>
                <w:rFonts w:ascii="宋体" w:hAnsi="宋体" w:cs="宋体"/>
              </w:rPr>
            </w:pPr>
          </w:p>
        </w:tc>
        <w:tc>
          <w:tcPr>
            <w:tcW w:w="1413" w:type="dxa"/>
            <w:vAlign w:val="center"/>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3.甲方应付合同款至以下乙方指定的银行账户：</w:t>
      </w:r>
    </w:p>
    <w:p>
      <w:pPr>
        <w:ind w:firstLine="420" w:firstLineChars="200"/>
        <w:rPr>
          <w:rFonts w:ascii="宋体" w:hAnsi="宋体" w:cs="宋体"/>
        </w:rPr>
      </w:pPr>
      <w:r>
        <w:rPr>
          <w:rFonts w:hint="eastAsia" w:ascii="宋体" w:hAnsi="宋体" w:cs="宋体"/>
        </w:rPr>
        <w:t>开户名称：</w:t>
      </w:r>
    </w:p>
    <w:p>
      <w:pPr>
        <w:ind w:firstLine="420" w:firstLineChars="200"/>
        <w:rPr>
          <w:rFonts w:ascii="宋体" w:hAnsi="宋体" w:cs="宋体"/>
        </w:rPr>
      </w:pPr>
      <w:r>
        <w:rPr>
          <w:rFonts w:hint="eastAsia" w:ascii="宋体" w:hAnsi="宋体" w:cs="宋体"/>
        </w:rPr>
        <w:t>开户银行：</w:t>
      </w:r>
    </w:p>
    <w:p>
      <w:pPr>
        <w:ind w:firstLine="420" w:firstLineChars="200"/>
        <w:rPr>
          <w:rFonts w:ascii="宋体" w:hAnsi="宋体" w:cs="宋体"/>
        </w:rPr>
      </w:pPr>
      <w:r>
        <w:rPr>
          <w:rFonts w:hint="eastAsia" w:ascii="宋体" w:hAnsi="宋体" w:cs="宋体"/>
        </w:rPr>
        <w:t>账 号：</w:t>
      </w:r>
    </w:p>
    <w:p>
      <w:pPr>
        <w:rPr>
          <w:rFonts w:ascii="宋体" w:hAnsi="宋体" w:cs="宋体"/>
          <w:b/>
          <w:bCs/>
        </w:rPr>
      </w:pPr>
      <w:r>
        <w:rPr>
          <w:rFonts w:hint="eastAsia" w:ascii="宋体" w:hAnsi="宋体" w:cs="宋体"/>
          <w:b/>
          <w:bCs/>
        </w:rPr>
        <w:t>（六）履约保证金</w:t>
      </w:r>
    </w:p>
    <w:p>
      <w:pPr>
        <w:ind w:firstLine="420" w:firstLineChars="200"/>
        <w:rPr>
          <w:rFonts w:ascii="宋体" w:hAnsi="宋体" w:cs="宋体"/>
        </w:rPr>
      </w:pPr>
      <w:r>
        <w:rPr>
          <w:rFonts w:hint="eastAsia" w:ascii="宋体" w:hAnsi="宋体" w:cs="宋体"/>
        </w:rPr>
        <w:t>1.乙方应在合同签订后 5 个工作日内向甲方提交履约保证金为【/】元。</w:t>
      </w:r>
    </w:p>
    <w:p>
      <w:pPr>
        <w:ind w:firstLine="420" w:firstLineChars="200"/>
        <w:rPr>
          <w:rFonts w:ascii="宋体" w:hAnsi="宋体" w:cs="宋体"/>
        </w:rPr>
      </w:pPr>
      <w:r>
        <w:rPr>
          <w:rFonts w:hint="eastAsia" w:ascii="宋体" w:hAnsi="宋体" w:cs="宋体"/>
        </w:rPr>
        <w:t>2.履约保证金用于补偿甲方因乙方不能履行其合同义务而蒙受的损失。</w:t>
      </w:r>
    </w:p>
    <w:p>
      <w:pPr>
        <w:ind w:firstLine="420" w:firstLineChars="200"/>
        <w:rPr>
          <w:rFonts w:ascii="宋体" w:hAnsi="宋体" w:cs="宋体"/>
        </w:rPr>
      </w:pPr>
      <w:r>
        <w:rPr>
          <w:rFonts w:hint="eastAsia" w:ascii="宋体" w:hAnsi="宋体" w:cs="宋体"/>
        </w:rPr>
        <w:t>3.履约保证金有效期限：合同签订之日起至项目通过甲方验收后结束。</w:t>
      </w:r>
    </w:p>
    <w:p>
      <w:pPr>
        <w:ind w:firstLine="420" w:firstLineChars="200"/>
        <w:rPr>
          <w:rFonts w:ascii="宋体" w:hAnsi="宋体" w:cs="宋体"/>
        </w:rPr>
      </w:pPr>
      <w:r>
        <w:rPr>
          <w:rFonts w:hint="eastAsia" w:ascii="宋体" w:hAnsi="宋体" w:cs="宋体"/>
        </w:rPr>
        <w:t>4.履约保证金退还：有效期限满后，按合同约定扣除相关款项（如有）后无息退还。</w:t>
      </w:r>
    </w:p>
    <w:p>
      <w:pPr>
        <w:rPr>
          <w:rFonts w:ascii="宋体" w:hAnsi="宋体" w:cs="宋体"/>
          <w:b/>
          <w:bCs/>
        </w:rPr>
      </w:pPr>
      <w:r>
        <w:rPr>
          <w:rFonts w:hint="eastAsia" w:ascii="宋体" w:hAnsi="宋体" w:cs="宋体"/>
          <w:b/>
          <w:bCs/>
        </w:rPr>
        <w:t>（七）服务要求</w:t>
      </w:r>
    </w:p>
    <w:p>
      <w:pPr>
        <w:ind w:firstLine="420" w:firstLineChars="200"/>
        <w:rPr>
          <w:rFonts w:ascii="宋体" w:hAnsi="宋体" w:cs="宋体"/>
        </w:rPr>
      </w:pPr>
      <w:r>
        <w:rPr>
          <w:rFonts w:hint="eastAsia" w:ascii="宋体" w:hAnsi="宋体" w:cs="宋体"/>
        </w:rPr>
        <w:t>服务期内，乙方应在充分了解甲方现有环境基础上，提供规范化、高质量的服务，具体服务内容与要求详见附件。</w:t>
      </w:r>
    </w:p>
    <w:p>
      <w:pPr>
        <w:ind w:firstLine="420" w:firstLineChars="200"/>
        <w:rPr>
          <w:rFonts w:ascii="宋体" w:hAnsi="宋体" w:cs="宋体"/>
        </w:rPr>
      </w:pPr>
      <w:r>
        <w:rPr>
          <w:rFonts w:hint="eastAsia" w:ascii="宋体" w:hAnsi="宋体" w:cs="宋体"/>
        </w:rPr>
        <w:t>履行期限：</w:t>
      </w:r>
    </w:p>
    <w:p>
      <w:pPr>
        <w:ind w:firstLine="420" w:firstLineChars="200"/>
        <w:rPr>
          <w:rFonts w:ascii="宋体" w:hAnsi="宋体" w:cs="宋体"/>
        </w:rPr>
      </w:pPr>
      <w:r>
        <w:rPr>
          <w:rFonts w:hint="eastAsia" w:ascii="宋体" w:hAnsi="宋体" w:cs="宋体"/>
        </w:rPr>
        <w:t>履行地点：</w:t>
      </w:r>
    </w:p>
    <w:p>
      <w:pPr>
        <w:rPr>
          <w:rFonts w:ascii="宋体" w:hAnsi="宋体" w:cs="宋体"/>
          <w:b/>
          <w:bCs/>
        </w:rPr>
      </w:pPr>
      <w:r>
        <w:rPr>
          <w:rFonts w:hint="eastAsia" w:ascii="宋体" w:hAnsi="宋体" w:cs="宋体"/>
          <w:b/>
          <w:bCs/>
        </w:rPr>
        <w:t>（八）服务人员</w:t>
      </w:r>
    </w:p>
    <w:p>
      <w:pPr>
        <w:ind w:firstLine="420" w:firstLineChars="200"/>
        <w:rPr>
          <w:rFonts w:ascii="宋体" w:hAnsi="宋体" w:cs="宋体"/>
        </w:rPr>
      </w:pPr>
      <w:r>
        <w:rPr>
          <w:rFonts w:hint="eastAsia" w:ascii="宋体" w:hAnsi="宋体" w:cs="宋体"/>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rPr>
          <w:rFonts w:ascii="宋体" w:hAnsi="宋体" w:cs="宋体"/>
        </w:rPr>
      </w:pPr>
      <w:r>
        <w:rPr>
          <w:rFonts w:hint="eastAsia" w:ascii="宋体" w:hAnsi="宋体" w:cs="宋体"/>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rPr>
          <w:rFonts w:ascii="宋体" w:hAnsi="宋体" w:cs="宋体"/>
        </w:rPr>
      </w:pPr>
      <w:r>
        <w:rPr>
          <w:rFonts w:hint="eastAsia" w:ascii="宋体" w:hAnsi="宋体" w:cs="宋体"/>
        </w:rPr>
        <w:t>甲乙双方指定代表，作为履行本合同服务事宜的主要联系人。</w:t>
      </w:r>
    </w:p>
    <w:p>
      <w:pPr>
        <w:ind w:firstLine="420" w:firstLineChars="200"/>
        <w:rPr>
          <w:rFonts w:ascii="宋体" w:hAnsi="宋体" w:cs="宋体"/>
          <w:u w:val="single"/>
        </w:rPr>
      </w:pPr>
      <w:r>
        <w:rPr>
          <w:rFonts w:hint="eastAsia" w:ascii="宋体" w:hAnsi="宋体" w:cs="宋体"/>
        </w:rPr>
        <w:t>甲方代表：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ind w:firstLine="420" w:firstLineChars="200"/>
        <w:rPr>
          <w:rFonts w:ascii="宋体" w:hAnsi="宋体" w:cs="宋体"/>
          <w:u w:val="single"/>
        </w:rPr>
      </w:pPr>
      <w:r>
        <w:rPr>
          <w:rFonts w:hint="eastAsia" w:ascii="宋体" w:hAnsi="宋体" w:cs="宋体"/>
        </w:rPr>
        <w:t>乙方代表：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rPr>
          <w:rFonts w:ascii="宋体" w:hAnsi="宋体" w:cs="宋体"/>
          <w:b/>
          <w:bCs/>
        </w:rPr>
      </w:pPr>
      <w:r>
        <w:rPr>
          <w:rFonts w:hint="eastAsia" w:ascii="宋体" w:hAnsi="宋体" w:cs="宋体"/>
          <w:b/>
          <w:bCs/>
        </w:rPr>
        <w:t>（九）服务考核</w:t>
      </w:r>
    </w:p>
    <w:p>
      <w:pPr>
        <w:ind w:firstLine="420" w:firstLineChars="200"/>
        <w:rPr>
          <w:rFonts w:ascii="宋体" w:hAnsi="宋体" w:cs="宋体"/>
        </w:rPr>
      </w:pPr>
      <w:r>
        <w:rPr>
          <w:rFonts w:hint="eastAsia" w:ascii="宋体" w:hAnsi="宋体" w:cs="宋体"/>
        </w:rPr>
        <w:t>甲方对乙方服务质量进行客观评估，具体考核办法（如有）作为合同附件。</w:t>
      </w:r>
    </w:p>
    <w:p>
      <w:pPr>
        <w:ind w:firstLine="420" w:firstLineChars="200"/>
        <w:rPr>
          <w:rFonts w:ascii="宋体" w:hAnsi="宋体" w:cs="宋体"/>
        </w:rPr>
      </w:pPr>
      <w:r>
        <w:rPr>
          <w:rFonts w:hint="eastAsia" w:ascii="宋体" w:hAnsi="宋体" w:cs="宋体"/>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pPr>
        <w:rPr>
          <w:rFonts w:ascii="宋体" w:hAnsi="宋体" w:cs="宋体"/>
          <w:b/>
          <w:bCs/>
        </w:rPr>
      </w:pPr>
      <w:r>
        <w:rPr>
          <w:rFonts w:hint="eastAsia" w:ascii="宋体" w:hAnsi="宋体" w:cs="宋体"/>
          <w:b/>
          <w:bCs/>
        </w:rPr>
        <w:t>（十）违约责任</w:t>
      </w:r>
    </w:p>
    <w:p>
      <w:pPr>
        <w:ind w:firstLine="420" w:firstLineChars="200"/>
        <w:rPr>
          <w:rFonts w:ascii="宋体" w:hAnsi="宋体" w:cs="宋体"/>
        </w:rPr>
      </w:pPr>
      <w:r>
        <w:rPr>
          <w:rFonts w:hint="eastAsia" w:ascii="宋体" w:hAnsi="宋体" w:cs="宋体"/>
        </w:rPr>
        <w:t>除合同规定的不可抗力外，如果乙方没有按照合同规定的时间提供服务，甲方可要求乙方支付违约金。违约金按每周合同款的</w:t>
      </w:r>
      <w:r>
        <w:rPr>
          <w:rFonts w:hint="eastAsia" w:ascii="宋体" w:hAnsi="宋体" w:cs="宋体"/>
          <w:u w:val="single"/>
        </w:rPr>
        <w:t xml:space="preserve">     </w:t>
      </w:r>
      <w:r>
        <w:rPr>
          <w:rFonts w:hint="eastAsia" w:ascii="宋体" w:hAnsi="宋体" w:cs="宋体"/>
        </w:rPr>
        <w:t>%计收。但违约金的最高限额为合同价的</w:t>
      </w:r>
      <w:r>
        <w:rPr>
          <w:rFonts w:hint="eastAsia" w:ascii="宋体" w:hAnsi="宋体" w:cs="宋体"/>
          <w:u w:val="single"/>
        </w:rPr>
        <w:t xml:space="preserve">    </w:t>
      </w:r>
      <w:r>
        <w:rPr>
          <w:rFonts w:hint="eastAsia" w:ascii="宋体" w:hAnsi="宋体" w:cs="宋体"/>
        </w:rPr>
        <w:t>%。一周按 7 天计算，不足 7 天按一周计算。如果达到最高限额，甲方有权解除合同。</w:t>
      </w:r>
    </w:p>
    <w:p>
      <w:pPr>
        <w:ind w:firstLine="420" w:firstLineChars="200"/>
        <w:rPr>
          <w:rFonts w:ascii="宋体" w:hAnsi="宋体" w:cs="宋体"/>
        </w:rPr>
      </w:pPr>
      <w:r>
        <w:rPr>
          <w:rFonts w:hint="eastAsia" w:ascii="宋体" w:hAnsi="宋体" w:cs="宋体"/>
        </w:rPr>
        <w:t>项目结束时验收不合格，乙方应在收到甲方通知后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%支付违约金。</w:t>
      </w:r>
    </w:p>
    <w:p>
      <w:pPr>
        <w:ind w:firstLine="420" w:firstLineChars="200"/>
        <w:rPr>
          <w:rFonts w:ascii="宋体" w:hAnsi="宋体" w:cs="宋体"/>
        </w:rPr>
      </w:pPr>
      <w:r>
        <w:rPr>
          <w:rFonts w:hint="eastAsia" w:ascii="宋体" w:hAnsi="宋体" w:cs="宋体"/>
        </w:rPr>
        <w:t>其他违约条款双方协商确定：</w:t>
      </w:r>
      <w:r>
        <w:rPr>
          <w:rFonts w:hint="eastAsia" w:ascii="宋体" w:hAnsi="宋体" w:cs="宋体"/>
          <w:u w:val="single"/>
        </w:rPr>
        <w:t xml:space="preserve">                             。</w:t>
      </w:r>
    </w:p>
    <w:p>
      <w:pPr>
        <w:rPr>
          <w:rFonts w:ascii="宋体" w:hAnsi="宋体" w:cs="宋体"/>
          <w:b/>
          <w:bCs/>
        </w:rPr>
      </w:pPr>
      <w:r>
        <w:rPr>
          <w:rFonts w:hint="eastAsia" w:ascii="宋体" w:hAnsi="宋体" w:cs="宋体"/>
          <w:b/>
          <w:bCs/>
        </w:rPr>
        <w:t>（十一）解决争议的方法</w:t>
      </w:r>
    </w:p>
    <w:p>
      <w:pPr>
        <w:ind w:firstLine="420" w:firstLineChars="200"/>
        <w:rPr>
          <w:rFonts w:ascii="宋体" w:hAnsi="宋体" w:cs="宋体"/>
          <w:u w:val="none"/>
        </w:rPr>
      </w:pPr>
      <w:r>
        <w:rPr>
          <w:rFonts w:hint="eastAsia" w:ascii="宋体" w:hAnsi="宋体" w:cs="宋体"/>
        </w:rPr>
        <w:t>因合同履行中发生的争议，可通过合同当事人双方友好协商解决。如自协商开始之起 15 日内得不到解决，双方应将争议提交政府采购监管部门调解。调解不成的</w:t>
      </w:r>
      <w:r>
        <w:rPr>
          <w:rFonts w:hint="eastAsia" w:ascii="宋体" w:hAnsi="宋体" w:cs="宋体"/>
          <w:u w:val="none"/>
        </w:rPr>
        <w:t>，可向绍兴市仲裁委员会申请仲裁。</w:t>
      </w:r>
    </w:p>
    <w:p>
      <w:pPr>
        <w:rPr>
          <w:rFonts w:ascii="宋体" w:hAnsi="宋体" w:cs="宋体"/>
          <w:b/>
          <w:bCs/>
        </w:rPr>
      </w:pPr>
      <w:r>
        <w:rPr>
          <w:rFonts w:hint="eastAsia" w:ascii="宋体" w:hAnsi="宋体" w:cs="宋体"/>
          <w:b/>
          <w:bCs/>
        </w:rPr>
        <w:t>（十二）违约解除合同</w:t>
      </w:r>
    </w:p>
    <w:p>
      <w:pPr>
        <w:ind w:firstLine="420" w:firstLineChars="200"/>
        <w:rPr>
          <w:rFonts w:ascii="宋体" w:hAnsi="宋体" w:cs="宋体"/>
        </w:rPr>
      </w:pPr>
      <w:r>
        <w:rPr>
          <w:rFonts w:hint="eastAsia" w:ascii="宋体" w:hAnsi="宋体" w:cs="宋体"/>
        </w:rPr>
        <w:t>1.在乙方违约的情况下，甲方可向乙方发出书面通知，部分或全部终止合同,同时保留向乙方追诉的权利：</w:t>
      </w:r>
    </w:p>
    <w:p>
      <w:pPr>
        <w:ind w:firstLine="420" w:firstLineChars="200"/>
        <w:rPr>
          <w:rFonts w:ascii="宋体" w:hAnsi="宋体" w:cs="宋体"/>
        </w:rPr>
      </w:pPr>
      <w:r>
        <w:rPr>
          <w:rFonts w:hint="eastAsia" w:ascii="宋体" w:hAnsi="宋体" w:cs="宋体"/>
        </w:rPr>
        <w:t>乙方未能在合同规定的限期或甲方同意延长的限期内，提供全部或部分标的物的；</w:t>
      </w:r>
    </w:p>
    <w:p>
      <w:pPr>
        <w:ind w:firstLine="420" w:firstLineChars="200"/>
        <w:rPr>
          <w:rFonts w:ascii="宋体" w:hAnsi="宋体" w:cs="宋体"/>
        </w:rPr>
      </w:pPr>
      <w:r>
        <w:rPr>
          <w:rFonts w:hint="eastAsia" w:ascii="宋体" w:hAnsi="宋体" w:cs="宋体"/>
        </w:rPr>
        <w:t>乙方未能履行合同规定的其它主要义务的；</w:t>
      </w:r>
    </w:p>
    <w:p>
      <w:pPr>
        <w:ind w:firstLine="420" w:firstLineChars="200"/>
        <w:rPr>
          <w:rFonts w:ascii="宋体" w:hAnsi="宋体" w:cs="宋体"/>
        </w:rPr>
      </w:pPr>
      <w:r>
        <w:rPr>
          <w:rFonts w:hint="eastAsia" w:ascii="宋体" w:hAnsi="宋体" w:cs="宋体"/>
        </w:rPr>
        <w:t>甲方认为乙方在本合同履行过程中有腐败和欺诈等行为的。</w:t>
      </w:r>
    </w:p>
    <w:p>
      <w:pPr>
        <w:ind w:firstLine="420" w:firstLineChars="200"/>
        <w:rPr>
          <w:rFonts w:ascii="宋体" w:hAnsi="宋体" w:cs="宋体"/>
        </w:rPr>
      </w:pPr>
      <w:r>
        <w:rPr>
          <w:rFonts w:hint="eastAsia" w:ascii="宋体" w:hAnsi="宋体" w:cs="宋体"/>
        </w:rPr>
        <w:t>2.甲方解除合同的，合同于甲方发出书面解除合同通知书送达乙方之日起解除。乙方应在合同解除后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 xml:space="preserve"> %支付违约金。</w:t>
      </w:r>
    </w:p>
    <w:p>
      <w:pPr>
        <w:rPr>
          <w:rFonts w:ascii="宋体" w:hAnsi="宋体" w:cs="宋体"/>
          <w:b/>
          <w:bCs/>
        </w:rPr>
      </w:pPr>
      <w:r>
        <w:rPr>
          <w:rFonts w:hint="eastAsia" w:ascii="宋体" w:hAnsi="宋体" w:cs="宋体"/>
          <w:b/>
          <w:bCs/>
        </w:rPr>
        <w:t>（十三）破产终止合同</w:t>
      </w:r>
    </w:p>
    <w:p>
      <w:pPr>
        <w:ind w:firstLine="420" w:firstLineChars="200"/>
        <w:rPr>
          <w:rFonts w:ascii="宋体" w:hAnsi="宋体" w:cs="宋体"/>
        </w:rPr>
      </w:pPr>
      <w:r>
        <w:rPr>
          <w:rFonts w:hint="eastAsia" w:ascii="宋体" w:hAnsi="宋体" w:cs="宋体"/>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rFonts w:ascii="宋体" w:hAnsi="宋体" w:cs="宋体"/>
          <w:b/>
          <w:bCs/>
        </w:rPr>
      </w:pPr>
      <w:r>
        <w:rPr>
          <w:rFonts w:hint="eastAsia" w:ascii="宋体" w:hAnsi="宋体" w:cs="宋体"/>
          <w:b/>
          <w:bCs/>
        </w:rPr>
        <w:t>（十四）转让和分包</w:t>
      </w:r>
    </w:p>
    <w:p>
      <w:pPr>
        <w:ind w:firstLine="420" w:firstLineChars="200"/>
        <w:rPr>
          <w:rFonts w:ascii="宋体" w:hAnsi="宋体" w:cs="宋体"/>
        </w:rPr>
      </w:pPr>
      <w:r>
        <w:rPr>
          <w:rFonts w:hint="eastAsia" w:ascii="宋体" w:hAnsi="宋体" w:cs="宋体"/>
        </w:rPr>
        <w:t>1.政府采购合同不能转让。</w:t>
      </w:r>
    </w:p>
    <w:p>
      <w:pPr>
        <w:ind w:firstLine="420" w:firstLineChars="200"/>
        <w:rPr>
          <w:rFonts w:ascii="宋体" w:hAnsi="宋体" w:cs="宋体"/>
        </w:rPr>
      </w:pPr>
      <w:r>
        <w:rPr>
          <w:rFonts w:hint="eastAsia" w:ascii="宋体" w:hAnsi="宋体" w:cs="宋体"/>
        </w:rPr>
        <w:t>2.本项目内容</w:t>
      </w:r>
      <w:r>
        <w:rPr>
          <w:rFonts w:hint="eastAsia" w:ascii="宋体" w:hAnsi="宋体" w:cs="宋体"/>
          <w:u w:val="single"/>
        </w:rPr>
        <w:t>不</w:t>
      </w:r>
      <w:r>
        <w:rPr>
          <w:rFonts w:hint="eastAsia" w:ascii="宋体" w:hAnsi="宋体" w:cs="宋体"/>
        </w:rPr>
        <w:t>允许分包（按照招标文件要求）。</w:t>
      </w:r>
    </w:p>
    <w:p>
      <w:pPr>
        <w:rPr>
          <w:rFonts w:ascii="宋体" w:hAnsi="宋体" w:cs="宋体"/>
          <w:b/>
          <w:bCs/>
        </w:rPr>
      </w:pPr>
      <w:r>
        <w:rPr>
          <w:rFonts w:hint="eastAsia" w:ascii="宋体" w:hAnsi="宋体" w:cs="宋体"/>
          <w:b/>
          <w:bCs/>
        </w:rPr>
        <w:t>（十五）合同变更、解除</w:t>
      </w:r>
    </w:p>
    <w:p>
      <w:pPr>
        <w:ind w:firstLine="420" w:firstLineChars="200"/>
        <w:rPr>
          <w:rFonts w:ascii="宋体" w:hAnsi="宋体" w:cs="宋体"/>
        </w:rPr>
      </w:pPr>
      <w:r>
        <w:rPr>
          <w:rFonts w:hint="eastAsia" w:ascii="宋体" w:hAnsi="宋体" w:cs="宋体"/>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pPr>
        <w:rPr>
          <w:rFonts w:ascii="宋体" w:hAnsi="宋体" w:cs="宋体"/>
          <w:b/>
          <w:bCs/>
        </w:rPr>
      </w:pPr>
      <w:r>
        <w:rPr>
          <w:rFonts w:hint="eastAsia" w:ascii="宋体" w:hAnsi="宋体" w:cs="宋体"/>
          <w:b/>
          <w:bCs/>
        </w:rPr>
        <w:t>（十六）通知</w:t>
      </w:r>
    </w:p>
    <w:p>
      <w:pPr>
        <w:ind w:firstLine="420" w:firstLineChars="200"/>
        <w:rPr>
          <w:rFonts w:ascii="宋体" w:hAnsi="宋体" w:cs="宋体"/>
        </w:rPr>
      </w:pPr>
      <w:r>
        <w:rPr>
          <w:rFonts w:hint="eastAsia" w:ascii="宋体" w:hAnsi="宋体" w:cs="宋体"/>
        </w:rPr>
        <w:t>本合同任何一方给另一方的通知，都应以书面形式发送，而另一方也应以书面形式确认并发送到对方明确的地址。</w:t>
      </w:r>
    </w:p>
    <w:p>
      <w:pPr>
        <w:rPr>
          <w:rFonts w:ascii="宋体" w:hAnsi="宋体" w:cs="宋体"/>
          <w:b/>
          <w:bCs/>
        </w:rPr>
      </w:pPr>
      <w:r>
        <w:rPr>
          <w:rFonts w:hint="eastAsia" w:ascii="宋体" w:hAnsi="宋体" w:cs="宋体"/>
          <w:b/>
          <w:bCs/>
        </w:rPr>
        <w:t>（十七）计量单位</w:t>
      </w:r>
    </w:p>
    <w:p>
      <w:pPr>
        <w:ind w:firstLine="420" w:firstLineChars="200"/>
        <w:rPr>
          <w:rFonts w:ascii="宋体" w:hAnsi="宋体" w:cs="宋体"/>
        </w:rPr>
      </w:pPr>
      <w:r>
        <w:rPr>
          <w:rFonts w:hint="eastAsia" w:ascii="宋体" w:hAnsi="宋体" w:cs="宋体"/>
        </w:rPr>
        <w:t>除技术规范中另有规定外，计量单位均使用国家法定计量单位。</w:t>
      </w:r>
    </w:p>
    <w:p>
      <w:pPr>
        <w:rPr>
          <w:rFonts w:ascii="宋体" w:hAnsi="宋体" w:cs="宋体"/>
          <w:b/>
          <w:bCs/>
        </w:rPr>
      </w:pPr>
      <w:r>
        <w:rPr>
          <w:rFonts w:hint="eastAsia" w:ascii="宋体" w:hAnsi="宋体" w:cs="宋体"/>
          <w:b/>
          <w:bCs/>
        </w:rPr>
        <w:t>（十八）不可抗力</w:t>
      </w:r>
    </w:p>
    <w:p>
      <w:pPr>
        <w:ind w:firstLine="420" w:firstLineChars="200"/>
        <w:rPr>
          <w:rFonts w:ascii="宋体" w:hAnsi="宋体" w:cs="宋体"/>
        </w:rPr>
      </w:pPr>
      <w:r>
        <w:rPr>
          <w:rFonts w:hint="eastAsia" w:ascii="宋体" w:hAnsi="宋体" w:cs="宋体"/>
        </w:rPr>
        <w:t>1.如果双方中任何一方遭遇法律规定的不可抗力，致使合同履行受阻时，履行合同的期限应予延长，延长的期限应相当于不可抗力所影响的时间。</w:t>
      </w:r>
    </w:p>
    <w:p>
      <w:pPr>
        <w:ind w:firstLine="420" w:firstLineChars="200"/>
        <w:rPr>
          <w:rFonts w:ascii="宋体" w:hAnsi="宋体" w:cs="宋体"/>
        </w:rPr>
      </w:pPr>
      <w:r>
        <w:rPr>
          <w:rFonts w:hint="eastAsia" w:ascii="宋体" w:hAnsi="宋体" w:cs="宋体"/>
        </w:rPr>
        <w:t>2.受事故影响的一方应在不可抗力的事故发生后尽快书面形式通知另一方，并在事故发生后合同规定时间内，将有关部门出具的证明文件送达另一方。</w:t>
      </w:r>
    </w:p>
    <w:p>
      <w:pPr>
        <w:ind w:firstLine="420" w:firstLineChars="200"/>
        <w:rPr>
          <w:rFonts w:ascii="宋体" w:hAnsi="宋体" w:cs="宋体"/>
        </w:rPr>
      </w:pPr>
      <w:r>
        <w:rPr>
          <w:rFonts w:hint="eastAsia" w:ascii="宋体" w:hAnsi="宋体" w:cs="宋体"/>
        </w:rPr>
        <w:t>3.不可抗力使合同的某些内容有变更必要的，双方应通过协商达成进一步履行合同的协议，因不可抗力致使合同不能履行的，合同终止。</w:t>
      </w:r>
    </w:p>
    <w:p>
      <w:pPr>
        <w:rPr>
          <w:rFonts w:ascii="宋体" w:hAnsi="宋体" w:cs="宋体"/>
          <w:b/>
          <w:bCs/>
        </w:rPr>
      </w:pPr>
      <w:r>
        <w:rPr>
          <w:rFonts w:hint="eastAsia" w:ascii="宋体" w:hAnsi="宋体" w:cs="宋体"/>
          <w:b/>
          <w:bCs/>
        </w:rPr>
        <w:t>（十九）合同解释</w:t>
      </w:r>
    </w:p>
    <w:p>
      <w:pPr>
        <w:ind w:firstLine="420" w:firstLineChars="200"/>
        <w:rPr>
          <w:rFonts w:ascii="宋体" w:hAnsi="宋体" w:cs="宋体"/>
        </w:rPr>
      </w:pPr>
      <w:r>
        <w:rPr>
          <w:rFonts w:hint="eastAsia" w:ascii="宋体" w:hAnsi="宋体" w:cs="宋体"/>
        </w:rPr>
        <w:t>本合同应按照《中华人民共和国政府采购法》、《中华人民共和国民法典》、《浙江省政府采购合同暂行办法》等进行解释。</w:t>
      </w:r>
    </w:p>
    <w:p>
      <w:pPr>
        <w:rPr>
          <w:rFonts w:ascii="宋体" w:hAnsi="宋体" w:cs="宋体"/>
        </w:rPr>
      </w:pPr>
      <w:r>
        <w:rPr>
          <w:rFonts w:hint="eastAsia" w:ascii="宋体" w:hAnsi="宋体" w:cs="宋体"/>
          <w:b/>
          <w:bCs/>
        </w:rPr>
        <w:t>（二十）合同的生效及其他</w:t>
      </w:r>
    </w:p>
    <w:p>
      <w:pPr>
        <w:ind w:firstLine="420" w:firstLineChars="200"/>
        <w:rPr>
          <w:rFonts w:ascii="宋体" w:hAnsi="宋体" w:cs="宋体"/>
        </w:rPr>
      </w:pPr>
      <w:r>
        <w:rPr>
          <w:rFonts w:hint="eastAsia" w:ascii="宋体" w:hAnsi="宋体" w:cs="宋体"/>
        </w:rPr>
        <w:t>政府采购项目的采购合同内容的确定应以招标文件和投标文件为基础，不得违背其实质性内容。</w:t>
      </w:r>
    </w:p>
    <w:p>
      <w:pPr>
        <w:rPr>
          <w:rFonts w:ascii="宋体" w:hAnsi="宋体" w:cs="宋体"/>
        </w:rPr>
      </w:pPr>
      <w:r>
        <w:rPr>
          <w:rFonts w:hint="eastAsia" w:ascii="宋体" w:hAnsi="宋体" w:cs="宋体"/>
        </w:rPr>
        <w:t>合同将在双方签字盖章后开始生效。授权代表签署的应附法定代表人授权书。</w:t>
      </w:r>
    </w:p>
    <w:p>
      <w:pPr>
        <w:rPr>
          <w:rFonts w:ascii="宋体" w:hAnsi="宋体" w:cs="宋体"/>
          <w:b/>
          <w:bCs/>
        </w:rPr>
      </w:pPr>
      <w:r>
        <w:rPr>
          <w:rFonts w:hint="eastAsia" w:ascii="宋体" w:hAnsi="宋体" w:cs="宋体"/>
          <w:b/>
          <w:bCs/>
        </w:rPr>
        <w:t>（二十一）合同附件（如有）</w:t>
      </w:r>
    </w:p>
    <w:p>
      <w:pPr>
        <w:rPr>
          <w:rFonts w:ascii="宋体" w:hAnsi="宋体" w:cs="宋体"/>
          <w:b/>
          <w:bCs/>
        </w:rPr>
      </w:pPr>
      <w:r>
        <w:rPr>
          <w:rFonts w:hint="eastAsia" w:ascii="宋体" w:hAnsi="宋体" w:cs="宋体"/>
          <w:b/>
          <w:bCs/>
        </w:rPr>
        <w:t>（二十二）合同份数</w:t>
      </w:r>
    </w:p>
    <w:p>
      <w:pPr>
        <w:rPr>
          <w:rFonts w:ascii="宋体" w:hAnsi="宋体" w:cs="宋体"/>
        </w:rPr>
      </w:pPr>
      <w:r>
        <w:rPr>
          <w:rFonts w:hint="eastAsia" w:ascii="宋体" w:hAnsi="宋体" w:cs="宋体"/>
        </w:rPr>
        <w:t>本合同一式</w:t>
      </w:r>
      <w:r>
        <w:rPr>
          <w:rFonts w:hint="eastAsia" w:ascii="宋体" w:hAnsi="宋体" w:cs="宋体"/>
          <w:u w:val="single"/>
        </w:rPr>
        <w:t>五</w:t>
      </w:r>
      <w:r>
        <w:rPr>
          <w:rFonts w:hint="eastAsia" w:ascii="宋体" w:hAnsi="宋体" w:cs="宋体"/>
        </w:rPr>
        <w:t>份，具同等法律效力。</w:t>
      </w:r>
    </w:p>
    <w:tbl>
      <w:tblPr>
        <w:tblStyle w:val="65"/>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rPr>
                <w:rFonts w:ascii="宋体" w:hAnsi="宋体" w:cs="宋体"/>
              </w:rPr>
            </w:pPr>
            <w:r>
              <w:rPr>
                <w:rFonts w:hint="eastAsia" w:ascii="宋体" w:hAnsi="宋体" w:cs="宋体"/>
              </w:rPr>
              <w:t>甲方</w:t>
            </w:r>
          </w:p>
        </w:tc>
        <w:tc>
          <w:tcPr>
            <w:tcW w:w="4234" w:type="dxa"/>
            <w:vAlign w:val="center"/>
          </w:tcPr>
          <w:p>
            <w:pPr>
              <w:jc w:val="center"/>
              <w:rPr>
                <w:rFonts w:ascii="宋体" w:hAnsi="宋体" w:cs="宋体"/>
              </w:rPr>
            </w:pPr>
            <w:r>
              <w:rPr>
                <w:rFonts w:hint="eastAsia" w:ascii="宋体" w:hAnsi="宋体" w:cs="宋体"/>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c>
          <w:tcPr>
            <w:tcW w:w="423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r>
    </w:tbl>
    <w:p>
      <w:pPr>
        <w:rPr>
          <w:rFonts w:ascii="宋体" w:hAnsi="宋体" w:cs="宋体"/>
        </w:rPr>
      </w:pPr>
    </w:p>
    <w:p>
      <w:pPr>
        <w:rPr>
          <w:rFonts w:ascii="宋体" w:hAnsi="宋体" w:cs="宋体"/>
        </w:rPr>
      </w:pPr>
    </w:p>
    <w:p>
      <w:pPr>
        <w:ind w:firstLine="422" w:firstLineChars="200"/>
        <w:rPr>
          <w:rFonts w:ascii="宋体" w:hAnsi="宋体" w:cs="宋体"/>
          <w:b/>
          <w:color w:val="FF0000"/>
        </w:rPr>
      </w:pPr>
      <w:r>
        <w:rPr>
          <w:rFonts w:hint="eastAsia" w:ascii="宋体" w:hAnsi="宋体" w:cs="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宋体" w:hAnsi="宋体" w:cs="宋体"/>
          <w:sz w:val="24"/>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rPr>
          <w:rFonts w:ascii="宋体" w:hAnsi="宋体" w:cs="宋体"/>
          <w:b/>
          <w:bCs/>
          <w:sz w:val="32"/>
          <w:szCs w:val="32"/>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 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hint="eastAsia" w:ascii="宋体" w:hAnsi="宋体" w:cs="宋体"/>
          <w:sz w:val="24"/>
        </w:rPr>
      </w:pPr>
      <w:r>
        <w:rPr>
          <w:rFonts w:hint="eastAsia" w:ascii="宋体" w:hAnsi="宋体" w:cs="宋体"/>
          <w:sz w:val="24"/>
        </w:rPr>
        <w:t>符合参加政府采购活动应当具备的一般条件的承诺函……………（页码）</w:t>
      </w:r>
    </w:p>
    <w:p>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hint="eastAsia" w:ascii="宋体" w:hAnsi="宋体" w:cs="宋体"/>
          <w:sz w:val="24"/>
        </w:rPr>
      </w:pPr>
      <w:r>
        <w:rPr>
          <w:rFonts w:hint="eastAsia" w:ascii="宋体" w:hAnsi="宋体" w:cs="宋体"/>
          <w:sz w:val="24"/>
        </w:rPr>
        <w:t>落实政府采购政策需满足的资格要求（如需）……………………（页码）</w:t>
      </w:r>
    </w:p>
    <w:p>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ascii="仿宋_GB2312" w:hAnsi="仿宋" w:eastAsia="仿宋_GB2312" w:cs="仿宋_GB2312"/>
          <w:sz w:val="24"/>
        </w:rPr>
      </w:pPr>
      <w:r>
        <w:rPr>
          <w:rFonts w:hint="eastAsia" w:ascii="宋体" w:hAnsi="宋体" w:cs="宋体"/>
          <w:sz w:val="24"/>
        </w:rPr>
        <w:t>本项目的特定资格要求（如需）……………………………………（页码）</w:t>
      </w: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（一）具备《中华人民共和国政府采购法》第二十二条规定的以下条件：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0" w:firstLineChars="196"/>
        <w:jc w:val="left"/>
        <w:rPr>
          <w:rFonts w:ascii="宋体" w:hAnsi="宋体" w:cs="宋体"/>
          <w:b w:val="0"/>
          <w:bCs/>
          <w:sz w:val="24"/>
        </w:rPr>
      </w:pPr>
      <w:r>
        <w:rPr>
          <w:rFonts w:hint="eastAsia" w:ascii="宋体" w:hAnsi="宋体" w:cs="宋体"/>
          <w:b w:val="0"/>
          <w:bCs/>
          <w:sz w:val="24"/>
        </w:rPr>
        <w:t xml:space="preserve"> </w:t>
      </w: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pStyle w:val="3"/>
        <w:ind w:left="0" w:firstLine="0"/>
        <w:rPr>
          <w:rFonts w:ascii="宋体" w:hAnsi="宋体" w:eastAsia="宋体" w:cs="宋体"/>
          <w:lang w:val="en-US"/>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（5）商务技术偏离表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8"/>
        <w:spacing w:line="360" w:lineRule="auto"/>
        <w:rPr>
          <w:rFonts w:hAnsi="宋体" w:cs="宋体"/>
          <w:bCs/>
          <w:sz w:val="24"/>
        </w:rPr>
      </w:pPr>
      <w:r>
        <w:rPr>
          <w:rFonts w:hint="eastAsia" w:hAnsi="宋体" w:cs="宋体"/>
          <w:bCs/>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8"/>
              <w:adjustRightInd w:val="0"/>
              <w:spacing w:line="360" w:lineRule="auto"/>
              <w:rPr>
                <w:rFonts w:hAnsi="宋体" w:cs="宋体"/>
                <w:bCs/>
                <w:sz w:val="24"/>
              </w:rPr>
            </w:pPr>
            <w:r>
              <w:rPr>
                <w:rFonts w:hint="eastAsia" w:hAnsi="宋体" w:cs="宋体"/>
                <w:bCs/>
                <w:sz w:val="24"/>
              </w:rPr>
              <w:t>正面：                                 反面：</w:t>
            </w:r>
          </w:p>
          <w:p>
            <w:pPr>
              <w:pStyle w:val="178"/>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hint="eastAsia"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714"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3714" w:type="dxa"/>
            <w:vAlign w:val="center"/>
          </w:tcPr>
          <w:p>
            <w:pPr>
              <w:spacing w:line="360" w:lineRule="auto"/>
              <w:rPr>
                <w:rFonts w:ascii="宋体" w:hAnsi="宋体" w:cs="宋体"/>
                <w:sz w:val="24"/>
              </w:rPr>
            </w:pPr>
            <w:r>
              <w:rPr>
                <w:rFonts w:hint="eastAsia" w:ascii="宋体" w:hAnsi="宋体" w:cs="宋体"/>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pPr>
              <w:spacing w:line="360" w:lineRule="auto"/>
              <w:rPr>
                <w:rFonts w:ascii="宋体" w:hAnsi="宋体" w:cs="宋体"/>
                <w:sz w:val="24"/>
              </w:rPr>
            </w:pPr>
            <w:r>
              <w:rPr>
                <w:rFonts w:hint="eastAsia" w:ascii="宋体" w:hAnsi="宋体" w:cs="宋体"/>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3714" w:type="dxa"/>
            <w:vAlign w:val="center"/>
          </w:tcPr>
          <w:p>
            <w:pPr>
              <w:spacing w:line="360" w:lineRule="auto"/>
              <w:rPr>
                <w:rFonts w:ascii="宋体" w:hAnsi="宋体" w:cs="宋体"/>
                <w:sz w:val="24"/>
              </w:rPr>
            </w:pPr>
            <w:r>
              <w:rPr>
                <w:rFonts w:hint="eastAsia" w:ascii="宋体" w:hAnsi="宋体" w:cs="宋体"/>
                <w:sz w:val="24"/>
              </w:rPr>
              <w:t>招标文件其它实质性要求相应的材料（“★” 系指实质性要求条款，招标文件无其它实质性要求的，无需提供）</w:t>
            </w:r>
          </w:p>
        </w:tc>
      </w:tr>
    </w:tbl>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rPr>
          <w:rFonts w:ascii="宋体" w:hAnsi="宋体" w:eastAsia="宋体" w:cs="宋体"/>
          <w:kern w:val="0"/>
        </w:rPr>
      </w:pPr>
    </w:p>
    <w:p>
      <w:pPr>
        <w:rPr>
          <w:rFonts w:ascii="宋体" w:hAnsi="宋体" w:cs="宋体"/>
          <w:b/>
          <w:kern w:val="0"/>
          <w:sz w:val="32"/>
          <w:szCs w:val="32"/>
        </w:rPr>
      </w:pPr>
    </w:p>
    <w:p>
      <w:pPr>
        <w:pStyle w:val="3"/>
        <w:rPr>
          <w:rFonts w:ascii="宋体" w:hAnsi="宋体" w:eastAsia="宋体" w:cs="宋体"/>
          <w:kern w:val="0"/>
        </w:rPr>
      </w:pPr>
    </w:p>
    <w:p>
      <w:pPr>
        <w:rPr>
          <w:rFonts w:ascii="宋体" w:hAnsi="宋体" w:cs="宋体"/>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rPr>
          <w:rFonts w:ascii="宋体" w:hAnsi="宋体" w:eastAsia="宋体" w:cs="宋体"/>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289" w:type="dxa"/>
          </w:tcPr>
          <w:p>
            <w:pPr>
              <w:jc w:val="center"/>
              <w:rPr>
                <w:rFonts w:ascii="宋体" w:hAnsi="宋体" w:cs="宋体"/>
                <w:b/>
                <w:bCs/>
                <w:sz w:val="24"/>
              </w:rPr>
            </w:pPr>
            <w:r>
              <w:rPr>
                <w:rFonts w:hint="eastAsia" w:ascii="宋体" w:hAnsi="宋体" w:cs="宋体"/>
                <w:b/>
                <w:bCs/>
                <w:sz w:val="24"/>
              </w:rPr>
              <w:t>招标文件章节及具体内容</w:t>
            </w:r>
          </w:p>
        </w:tc>
        <w:tc>
          <w:tcPr>
            <w:tcW w:w="3940" w:type="dxa"/>
          </w:tcPr>
          <w:p>
            <w:pPr>
              <w:jc w:val="center"/>
              <w:rPr>
                <w:rFonts w:ascii="宋体" w:hAnsi="宋体" w:cs="宋体"/>
                <w:b/>
                <w:bCs/>
                <w:sz w:val="24"/>
              </w:rPr>
            </w:pPr>
            <w:r>
              <w:rPr>
                <w:rFonts w:hint="eastAsia" w:ascii="宋体" w:hAnsi="宋体" w:cs="宋体"/>
                <w:b/>
                <w:bCs/>
                <w:sz w:val="24"/>
              </w:rPr>
              <w:t>投标文件章节（页码）及具体内容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pStyle w:val="36"/>
        <w:spacing w:line="400" w:lineRule="atLeast"/>
        <w:rPr>
          <w:rFonts w:hAnsi="宋体" w:cs="宋体"/>
          <w:snapToGrid/>
          <w:kern w:val="0"/>
          <w:sz w:val="24"/>
          <w:szCs w:val="24"/>
        </w:rPr>
      </w:pPr>
      <w:r>
        <w:rPr>
          <w:rFonts w:hint="eastAsia" w:hAnsi="宋体" w:cs="宋体"/>
          <w:snapToGrid/>
          <w:kern w:val="0"/>
          <w:sz w:val="24"/>
          <w:szCs w:val="24"/>
        </w:rPr>
        <w:t>注：</w:t>
      </w:r>
    </w:p>
    <w:p>
      <w:pPr>
        <w:pStyle w:val="36"/>
        <w:spacing w:line="400" w:lineRule="atLeast"/>
        <w:rPr>
          <w:rFonts w:hAnsi="宋体" w:cs="宋体"/>
          <w:snapToGrid/>
          <w:kern w:val="0"/>
          <w:sz w:val="24"/>
          <w:szCs w:val="24"/>
        </w:rPr>
      </w:pPr>
      <w:r>
        <w:rPr>
          <w:rFonts w:hint="eastAsia" w:hAnsi="宋体" w:cs="宋体"/>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6"/>
        <w:spacing w:line="400" w:lineRule="atLeast"/>
        <w:rPr>
          <w:rFonts w:hAnsi="宋体" w:cs="宋体"/>
          <w:snapToGrid/>
          <w:kern w:val="0"/>
          <w:sz w:val="24"/>
          <w:szCs w:val="24"/>
        </w:rPr>
      </w:pPr>
      <w:r>
        <w:rPr>
          <w:rFonts w:hint="eastAsia" w:hAnsi="宋体" w:cs="宋体"/>
          <w:snapToGrid/>
          <w:kern w:val="0"/>
          <w:sz w:val="24"/>
          <w:szCs w:val="24"/>
        </w:rPr>
        <w:t>2、投标人递交的技术规格书中必须真实逐条列明，否则由投标人自行承担相关风险。</w:t>
      </w:r>
    </w:p>
    <w:p>
      <w:pPr>
        <w:pStyle w:val="36"/>
        <w:spacing w:line="400" w:lineRule="atLeast"/>
        <w:rPr>
          <w:rFonts w:hAnsi="宋体" w:cs="宋体"/>
          <w:snapToGrid/>
          <w:kern w:val="0"/>
          <w:sz w:val="24"/>
          <w:szCs w:val="24"/>
        </w:rPr>
      </w:pPr>
      <w:r>
        <w:rPr>
          <w:rFonts w:hint="eastAsia" w:hAnsi="宋体" w:cs="宋体"/>
          <w:snapToGrid/>
          <w:kern w:val="0"/>
          <w:sz w:val="24"/>
          <w:szCs w:val="24"/>
        </w:rPr>
        <w:t>3、此表在不改变格式的情况下可自行制作。</w:t>
      </w:r>
    </w:p>
    <w:p>
      <w:pPr>
        <w:pStyle w:val="36"/>
        <w:spacing w:line="400" w:lineRule="atLeast"/>
        <w:rPr>
          <w:rFonts w:hAnsi="宋体" w:cs="宋体"/>
          <w:snapToGrid/>
          <w:kern w:val="0"/>
          <w:sz w:val="24"/>
          <w:szCs w:val="24"/>
        </w:rPr>
      </w:pPr>
      <w:r>
        <w:rPr>
          <w:rFonts w:hint="eastAsia" w:hAnsi="宋体" w:cs="宋体"/>
          <w:snapToGrid/>
          <w:kern w:val="0"/>
          <w:sz w:val="24"/>
          <w:szCs w:val="24"/>
        </w:rPr>
        <w:t>4、此表置于商务技术文件中。</w:t>
      </w:r>
    </w:p>
    <w:p>
      <w:pPr>
        <w:jc w:val="left"/>
        <w:rPr>
          <w:rFonts w:ascii="宋体" w:hAnsi="宋体" w:cs="宋体"/>
          <w:b/>
          <w:kern w:val="0"/>
          <w:sz w:val="24"/>
        </w:rPr>
      </w:pPr>
      <w:r>
        <w:rPr>
          <w:rFonts w:hint="eastAsia" w:ascii="宋体" w:hAnsi="宋体" w:cs="宋体"/>
          <w:b/>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1911" w:firstLineChars="595"/>
        <w:rPr>
          <w:rFonts w:ascii="宋体" w:hAnsi="宋体" w:cs="宋体"/>
          <w:b/>
          <w:kern w:val="0"/>
          <w:sz w:val="32"/>
          <w:szCs w:val="32"/>
        </w:rPr>
      </w:pPr>
      <w:bookmarkStart w:id="400" w:name="_GoBack"/>
      <w:bookmarkEnd w:id="400"/>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7"/>
        </w:numPr>
        <w:snapToGrid w:val="0"/>
        <w:spacing w:line="360" w:lineRule="auto"/>
        <w:rPr>
          <w:rFonts w:hint="eastAsia" w:ascii="宋体" w:hAnsi="宋体" w:cs="宋体"/>
          <w:sz w:val="24"/>
        </w:rPr>
      </w:pPr>
      <w:r>
        <w:rPr>
          <w:rFonts w:hint="eastAsia" w:ascii="宋体" w:hAnsi="宋体" w:cs="宋体"/>
          <w:sz w:val="24"/>
        </w:rPr>
        <w:t>开标一览表（报价表）………………………………………………………（页码）</w:t>
      </w:r>
    </w:p>
    <w:p>
      <w:pPr>
        <w:pStyle w:val="2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（2）中小企业声明函（如需）</w:t>
      </w:r>
      <w:r>
        <w:rPr>
          <w:rFonts w:hint="eastAsia" w:ascii="宋体" w:hAnsi="宋体" w:cs="宋体"/>
          <w:sz w:val="24"/>
        </w:rPr>
        <w:t>……………………………………………………（页码）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702"/>
        <w:keepNext w:val="0"/>
        <w:pageBreakBefore w:val="0"/>
        <w:numPr>
          <w:ilvl w:val="0"/>
          <w:numId w:val="8"/>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p>
      <w:pPr>
        <w:pStyle w:val="702"/>
        <w:keepNext w:val="0"/>
        <w:pageBreakBefore w:val="0"/>
        <w:tabs>
          <w:tab w:val="clear" w:pos="720"/>
        </w:tabs>
        <w:snapToGrid w:val="0"/>
        <w:spacing w:before="120" w:after="120"/>
        <w:jc w:val="both"/>
        <w:outlineLvl w:val="9"/>
        <w:rPr>
          <w:rFonts w:ascii="宋体" w:hAnsi="宋体" w:eastAsia="宋体" w:cs="宋体"/>
          <w:kern w:val="2"/>
          <w:sz w:val="32"/>
          <w:szCs w:val="32"/>
        </w:rPr>
      </w:pP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服务要求（年限）</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r>
        <w:rPr>
          <w:rFonts w:hint="eastAsia" w:ascii="宋体" w:hAnsi="宋体" w:cs="宋体"/>
          <w:b/>
          <w:kern w:val="0"/>
          <w:sz w:val="24"/>
          <w:lang w:val="zh-CN"/>
        </w:rPr>
        <w:t>投标人名称（电子签名）：</w:t>
      </w:r>
    </w:p>
    <w:p>
      <w:pPr>
        <w:snapToGrid w:val="0"/>
        <w:spacing w:line="360" w:lineRule="auto"/>
        <w:ind w:firstLine="9638" w:firstLineChars="4000"/>
        <w:rPr>
          <w:rFonts w:ascii="宋体" w:hAnsi="宋体" w:cs="宋体"/>
          <w:b/>
          <w:kern w:val="0"/>
          <w:sz w:val="24"/>
          <w:lang w:val="zh-CN"/>
        </w:rPr>
      </w:pPr>
      <w:r>
        <w:rPr>
          <w:rFonts w:hint="eastAsia" w:ascii="宋体" w:hAnsi="宋体" w:cs="宋体"/>
          <w:b/>
          <w:kern w:val="0"/>
          <w:sz w:val="24"/>
          <w:lang w:val="zh-CN"/>
        </w:rPr>
        <w:t>日  期：</w:t>
      </w:r>
    </w:p>
    <w:p>
      <w:pPr>
        <w:snapToGrid w:val="0"/>
        <w:spacing w:line="360" w:lineRule="auto"/>
        <w:ind w:left="480"/>
        <w:rPr>
          <w:rFonts w:ascii="宋体" w:hAnsi="宋体" w:cs="宋体"/>
          <w:b/>
          <w:kern w:val="0"/>
          <w:sz w:val="24"/>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1、投标人需按本表格式填写，单位统一均为人民币元。</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702"/>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702"/>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宋体" w:hAnsi="宋体" w:cs="宋体"/>
          <w:b/>
          <w:bCs/>
          <w:kern w:val="0"/>
          <w:sz w:val="24"/>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393" w:name="_Toc465665161"/>
      <w:r>
        <w:rPr>
          <w:rFonts w:hint="eastAsia" w:ascii="宋体" w:hAnsi="宋体" w:cs="宋体"/>
        </w:rPr>
        <w:t>附件</w:t>
      </w:r>
      <w:bookmarkEnd w:id="393"/>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394" w:name="OLE_LINK14"/>
      <w:bookmarkStart w:id="395" w:name="OLE_LINK13"/>
      <w:r>
        <w:rPr>
          <w:rFonts w:hint="eastAsia" w:ascii="宋体" w:hAnsi="宋体" w:cs="宋体"/>
          <w:b/>
          <w:spacing w:val="6"/>
          <w:sz w:val="32"/>
          <w:szCs w:val="32"/>
        </w:rPr>
        <w:t>残疾人福利性单位声明函</w:t>
      </w:r>
    </w:p>
    <w:bookmarkEnd w:id="394"/>
    <w:bookmarkEnd w:id="39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outlineLvl w:val="0"/>
        <w:rPr>
          <w:rFonts w:ascii="宋体" w:hAnsi="宋体" w:cs="宋体"/>
          <w:b/>
          <w:sz w:val="32"/>
          <w:szCs w:val="32"/>
        </w:rPr>
      </w:pPr>
    </w:p>
    <w:sectPr>
      <w:headerReference r:id="rId17" w:type="first"/>
      <w:footerReference r:id="rId20" w:type="first"/>
      <w:headerReference r:id="rId16" w:type="default"/>
      <w:footerReference r:id="rId18" w:type="default"/>
      <w:footerReference r:id="rId19" w:type="even"/>
      <w:pgSz w:w="11907" w:h="16840"/>
      <w:pgMar w:top="1474" w:right="1814" w:bottom="1474" w:left="1814" w:header="851" w:footer="851"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396" w:name="_Toc164085800"/>
    <w:bookmarkStart w:id="397" w:name="_Toc91899912"/>
    <w:bookmarkStart w:id="398" w:name="_Toc131845147"/>
    <w:bookmarkStart w:id="399" w:name="_Toc36110187"/>
    <w:r>
      <w:rPr>
        <w:rFonts w:hint="eastAsia" w:ascii="仿宋_GB2312" w:eastAsia="仿宋_GB2312"/>
        <w:kern w:val="0"/>
        <w:szCs w:val="21"/>
      </w:rPr>
      <w:t xml:space="preserve"> 页</w:t>
    </w:r>
    <w:bookmarkEnd w:id="396"/>
    <w:bookmarkEnd w:id="397"/>
    <w:bookmarkEnd w:id="398"/>
    <w:bookmarkEnd w:id="39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5"/>
      </w:rPr>
    </w:pPr>
    <w:r>
      <w:fldChar w:fldCharType="begin"/>
    </w:r>
    <w:r>
      <w:rPr>
        <w:rStyle w:val="75"/>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5"/>
      </w:rPr>
    </w:pPr>
    <w:r>
      <w:fldChar w:fldCharType="begin"/>
    </w:r>
    <w:r>
      <w:rPr>
        <w:rStyle w:val="75"/>
      </w:rPr>
      <w:instrText xml:space="preserve">PAGE  </w:instrText>
    </w:r>
    <w:r>
      <w:fldChar w:fldCharType="end"/>
    </w:r>
  </w:p>
  <w:p>
    <w:pPr>
      <w:pStyle w:val="4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诸暨</w:t>
    </w:r>
    <w:r>
      <w:t>市政府采购公开招标文件</w:t>
    </w:r>
  </w:p>
  <w:p>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w:t>
    </w:r>
    <w:r>
      <w:rPr>
        <w:rFonts w:hint="eastAsia"/>
      </w:rPr>
      <w:t>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C346F"/>
    <w:multiLevelType w:val="singleLevel"/>
    <w:tmpl w:val="9A4C346F"/>
    <w:lvl w:ilvl="0" w:tentative="0">
      <w:start w:val="1"/>
      <w:numFmt w:val="decimal"/>
      <w:suff w:val="nothing"/>
      <w:lvlText w:val="（%1）"/>
      <w:lvlJc w:val="left"/>
    </w:lvl>
  </w:abstractNum>
  <w:abstractNum w:abstractNumId="1">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2"/>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3">
    <w:nsid w:val="292C9865"/>
    <w:multiLevelType w:val="singleLevel"/>
    <w:tmpl w:val="292C9865"/>
    <w:lvl w:ilvl="0" w:tentative="0">
      <w:start w:val="3"/>
      <w:numFmt w:val="chineseCounting"/>
      <w:suff w:val="space"/>
      <w:lvlText w:val="第%1部分"/>
      <w:lvlJc w:val="left"/>
      <w:rPr>
        <w:rFonts w:hint="eastAsia"/>
      </w:rPr>
    </w:lvl>
  </w:abstractNum>
  <w:abstractNum w:abstractNumId="4">
    <w:nsid w:val="3D09490B"/>
    <w:multiLevelType w:val="singleLevel"/>
    <w:tmpl w:val="3D09490B"/>
    <w:lvl w:ilvl="0" w:tentative="0">
      <w:start w:val="1"/>
      <w:numFmt w:val="decimal"/>
      <w:suff w:val="nothing"/>
      <w:lvlText w:val="（%1）"/>
      <w:lvlJc w:val="left"/>
    </w:lvl>
  </w:abstractNum>
  <w:abstractNum w:abstractNumId="5">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E465744"/>
    <w:multiLevelType w:val="singleLevel"/>
    <w:tmpl w:val="4E465744"/>
    <w:lvl w:ilvl="0" w:tentative="0">
      <w:start w:val="1"/>
      <w:numFmt w:val="chineseCounting"/>
      <w:suff w:val="nothing"/>
      <w:lvlText w:val="%1、"/>
      <w:lvlJc w:val="left"/>
      <w:rPr>
        <w:rFonts w:hint="eastAsia"/>
      </w:rPr>
    </w:lvl>
  </w:abstractNum>
  <w:abstractNum w:abstractNumId="7">
    <w:nsid w:val="4EAF669B"/>
    <w:multiLevelType w:val="multilevel"/>
    <w:tmpl w:val="4EAF669B"/>
    <w:lvl w:ilvl="0" w:tentative="0">
      <w:start w:val="1"/>
      <w:numFmt w:val="decimalEnclosedCircle"/>
      <w:pStyle w:val="995"/>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7"/>
  </w:num>
  <w:num w:numId="3">
    <w:abstractNumId w:val="1"/>
  </w:num>
  <w:num w:numId="4">
    <w:abstractNumId w:val="5"/>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lM2U3ZGRjZjE4ODZmNTI2NGM3OGE2YmMwOTcifQ=="/>
    <w:docVar w:name="KSO_WPS_MARK_KEY" w:val="e71b2c5b-7556-4a53-bbc9-4409bb2c7efb"/>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1CB7"/>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5B0"/>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E6C"/>
    <w:rsid w:val="00101FFB"/>
    <w:rsid w:val="00103251"/>
    <w:rsid w:val="00103509"/>
    <w:rsid w:val="0010393D"/>
    <w:rsid w:val="00103EBD"/>
    <w:rsid w:val="00104486"/>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179"/>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6D6"/>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A44"/>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762"/>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9E3"/>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C79BF"/>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442F"/>
    <w:rsid w:val="00414909"/>
    <w:rsid w:val="00415034"/>
    <w:rsid w:val="00415B1A"/>
    <w:rsid w:val="00415DFD"/>
    <w:rsid w:val="00416208"/>
    <w:rsid w:val="0041627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DAC"/>
    <w:rsid w:val="00565F0D"/>
    <w:rsid w:val="005662DC"/>
    <w:rsid w:val="00566329"/>
    <w:rsid w:val="00566716"/>
    <w:rsid w:val="005668B9"/>
    <w:rsid w:val="00566E39"/>
    <w:rsid w:val="0056704E"/>
    <w:rsid w:val="00567623"/>
    <w:rsid w:val="005701C2"/>
    <w:rsid w:val="005702D9"/>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801"/>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64B1"/>
    <w:rsid w:val="008866D0"/>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66"/>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EDF"/>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9F677C"/>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20B"/>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F6C"/>
    <w:rsid w:val="00B15FC0"/>
    <w:rsid w:val="00B163E8"/>
    <w:rsid w:val="00B1767E"/>
    <w:rsid w:val="00B20760"/>
    <w:rsid w:val="00B210C7"/>
    <w:rsid w:val="00B2125C"/>
    <w:rsid w:val="00B21676"/>
    <w:rsid w:val="00B219E1"/>
    <w:rsid w:val="00B21ECF"/>
    <w:rsid w:val="00B22150"/>
    <w:rsid w:val="00B226DE"/>
    <w:rsid w:val="00B22FB5"/>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6C68"/>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297A"/>
    <w:rsid w:val="00C4360C"/>
    <w:rsid w:val="00C439B8"/>
    <w:rsid w:val="00C43A0B"/>
    <w:rsid w:val="00C43EDA"/>
    <w:rsid w:val="00C43FEC"/>
    <w:rsid w:val="00C4414C"/>
    <w:rsid w:val="00C4443C"/>
    <w:rsid w:val="00C44B5D"/>
    <w:rsid w:val="00C44FA9"/>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35"/>
    <w:rsid w:val="00CF5008"/>
    <w:rsid w:val="00CF5069"/>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CA6"/>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3EC"/>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4D"/>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5F4D"/>
    <w:rsid w:val="00F86079"/>
    <w:rsid w:val="00F8610A"/>
    <w:rsid w:val="00F87282"/>
    <w:rsid w:val="00F878CD"/>
    <w:rsid w:val="00F87905"/>
    <w:rsid w:val="00F87A66"/>
    <w:rsid w:val="00F90C1F"/>
    <w:rsid w:val="00F912D9"/>
    <w:rsid w:val="00F91A44"/>
    <w:rsid w:val="00F91BFA"/>
    <w:rsid w:val="00F91F8F"/>
    <w:rsid w:val="00F9217B"/>
    <w:rsid w:val="00F931A6"/>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1B"/>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E03"/>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0C0C1E"/>
    <w:rsid w:val="011F6449"/>
    <w:rsid w:val="01236AFB"/>
    <w:rsid w:val="014852B3"/>
    <w:rsid w:val="014D28C9"/>
    <w:rsid w:val="016E5688"/>
    <w:rsid w:val="019F7441"/>
    <w:rsid w:val="01B37585"/>
    <w:rsid w:val="01C85005"/>
    <w:rsid w:val="01D55165"/>
    <w:rsid w:val="01DF6BF8"/>
    <w:rsid w:val="01E63A10"/>
    <w:rsid w:val="01EC2C57"/>
    <w:rsid w:val="024F7FEB"/>
    <w:rsid w:val="026B2E25"/>
    <w:rsid w:val="026F5F9E"/>
    <w:rsid w:val="02824D4D"/>
    <w:rsid w:val="02A95A35"/>
    <w:rsid w:val="02DC4B10"/>
    <w:rsid w:val="02DD76CE"/>
    <w:rsid w:val="02F36323"/>
    <w:rsid w:val="02F5619C"/>
    <w:rsid w:val="0313324A"/>
    <w:rsid w:val="0326446A"/>
    <w:rsid w:val="032D5555"/>
    <w:rsid w:val="036634D2"/>
    <w:rsid w:val="03CA4BC5"/>
    <w:rsid w:val="03DD35E4"/>
    <w:rsid w:val="03F175F7"/>
    <w:rsid w:val="04076900"/>
    <w:rsid w:val="040F7C4B"/>
    <w:rsid w:val="041A5A3B"/>
    <w:rsid w:val="042311BA"/>
    <w:rsid w:val="0428084E"/>
    <w:rsid w:val="042B157A"/>
    <w:rsid w:val="045255E4"/>
    <w:rsid w:val="048E097B"/>
    <w:rsid w:val="048F763B"/>
    <w:rsid w:val="049F330E"/>
    <w:rsid w:val="04AA775C"/>
    <w:rsid w:val="04AD4D18"/>
    <w:rsid w:val="04AF1889"/>
    <w:rsid w:val="04BC7CCF"/>
    <w:rsid w:val="04EC05E2"/>
    <w:rsid w:val="04F66F48"/>
    <w:rsid w:val="05251E14"/>
    <w:rsid w:val="05526201"/>
    <w:rsid w:val="059B671E"/>
    <w:rsid w:val="059D5987"/>
    <w:rsid w:val="059E79E0"/>
    <w:rsid w:val="05A16594"/>
    <w:rsid w:val="05A7762D"/>
    <w:rsid w:val="05FE5673"/>
    <w:rsid w:val="060E5941"/>
    <w:rsid w:val="06110FAF"/>
    <w:rsid w:val="061B7EBC"/>
    <w:rsid w:val="06493CA7"/>
    <w:rsid w:val="065A6178"/>
    <w:rsid w:val="066F1CF3"/>
    <w:rsid w:val="067508F8"/>
    <w:rsid w:val="067511C9"/>
    <w:rsid w:val="06930BB8"/>
    <w:rsid w:val="06DC36D6"/>
    <w:rsid w:val="070A234B"/>
    <w:rsid w:val="07245D42"/>
    <w:rsid w:val="07264C62"/>
    <w:rsid w:val="072B6851"/>
    <w:rsid w:val="07311A4C"/>
    <w:rsid w:val="0779354C"/>
    <w:rsid w:val="07C27AF6"/>
    <w:rsid w:val="08007E8A"/>
    <w:rsid w:val="08061376"/>
    <w:rsid w:val="08452D77"/>
    <w:rsid w:val="086401F8"/>
    <w:rsid w:val="08751CAA"/>
    <w:rsid w:val="087E4C40"/>
    <w:rsid w:val="08923755"/>
    <w:rsid w:val="08B35201"/>
    <w:rsid w:val="08D66AD6"/>
    <w:rsid w:val="08DA33A3"/>
    <w:rsid w:val="08E80F13"/>
    <w:rsid w:val="091B2CE5"/>
    <w:rsid w:val="09335624"/>
    <w:rsid w:val="0944690F"/>
    <w:rsid w:val="09535675"/>
    <w:rsid w:val="095F057D"/>
    <w:rsid w:val="09642282"/>
    <w:rsid w:val="09733572"/>
    <w:rsid w:val="09772C16"/>
    <w:rsid w:val="098353B5"/>
    <w:rsid w:val="09A15E77"/>
    <w:rsid w:val="09A664D0"/>
    <w:rsid w:val="09A92330"/>
    <w:rsid w:val="09AE03C9"/>
    <w:rsid w:val="09B06B87"/>
    <w:rsid w:val="09C13146"/>
    <w:rsid w:val="09E04166"/>
    <w:rsid w:val="0A1C0718"/>
    <w:rsid w:val="0A3E7710"/>
    <w:rsid w:val="0A5B7E63"/>
    <w:rsid w:val="0AA374A5"/>
    <w:rsid w:val="0AAB7649"/>
    <w:rsid w:val="0ABC5606"/>
    <w:rsid w:val="0AD34C9C"/>
    <w:rsid w:val="0B30404E"/>
    <w:rsid w:val="0B4C6C14"/>
    <w:rsid w:val="0B631A88"/>
    <w:rsid w:val="0B683D45"/>
    <w:rsid w:val="0B7F3F11"/>
    <w:rsid w:val="0B884417"/>
    <w:rsid w:val="0B9068A4"/>
    <w:rsid w:val="0BF6188C"/>
    <w:rsid w:val="0BF73C91"/>
    <w:rsid w:val="0C170175"/>
    <w:rsid w:val="0C484FB1"/>
    <w:rsid w:val="0C571A41"/>
    <w:rsid w:val="0C5C1171"/>
    <w:rsid w:val="0C5E1CBC"/>
    <w:rsid w:val="0C615B50"/>
    <w:rsid w:val="0C8445DA"/>
    <w:rsid w:val="0C87121B"/>
    <w:rsid w:val="0C9532D5"/>
    <w:rsid w:val="0C9615C8"/>
    <w:rsid w:val="0CC007F7"/>
    <w:rsid w:val="0CD22C8F"/>
    <w:rsid w:val="0CD26CBE"/>
    <w:rsid w:val="0CFE707A"/>
    <w:rsid w:val="0D063BDA"/>
    <w:rsid w:val="0D08375F"/>
    <w:rsid w:val="0D184CFB"/>
    <w:rsid w:val="0D2B64A6"/>
    <w:rsid w:val="0D3C2EA1"/>
    <w:rsid w:val="0D4070BC"/>
    <w:rsid w:val="0D4A7419"/>
    <w:rsid w:val="0D827401"/>
    <w:rsid w:val="0D84094E"/>
    <w:rsid w:val="0D8A00E9"/>
    <w:rsid w:val="0D8D589E"/>
    <w:rsid w:val="0DA01C73"/>
    <w:rsid w:val="0DA4150C"/>
    <w:rsid w:val="0DD63300"/>
    <w:rsid w:val="0DF50604"/>
    <w:rsid w:val="0DF702FE"/>
    <w:rsid w:val="0E0375E6"/>
    <w:rsid w:val="0E060E51"/>
    <w:rsid w:val="0E5604B2"/>
    <w:rsid w:val="0E697CC6"/>
    <w:rsid w:val="0E6D5D79"/>
    <w:rsid w:val="0E794EDC"/>
    <w:rsid w:val="0E9D0089"/>
    <w:rsid w:val="0EA749DE"/>
    <w:rsid w:val="0EB803EE"/>
    <w:rsid w:val="0EF94D4B"/>
    <w:rsid w:val="0F4958DC"/>
    <w:rsid w:val="0F515DF7"/>
    <w:rsid w:val="0F596BA8"/>
    <w:rsid w:val="0F5A075C"/>
    <w:rsid w:val="0F6248D2"/>
    <w:rsid w:val="0F693536"/>
    <w:rsid w:val="0F764839"/>
    <w:rsid w:val="0F7B0511"/>
    <w:rsid w:val="0F7B76D9"/>
    <w:rsid w:val="0F816ACD"/>
    <w:rsid w:val="0F9832DB"/>
    <w:rsid w:val="0FB934D6"/>
    <w:rsid w:val="0FBF3FD2"/>
    <w:rsid w:val="0FBF7FF3"/>
    <w:rsid w:val="0FDB631B"/>
    <w:rsid w:val="10646583"/>
    <w:rsid w:val="107D4B15"/>
    <w:rsid w:val="108A3C80"/>
    <w:rsid w:val="10C26171"/>
    <w:rsid w:val="10C62435"/>
    <w:rsid w:val="10DA3734"/>
    <w:rsid w:val="10F33360"/>
    <w:rsid w:val="10F5413D"/>
    <w:rsid w:val="10FC16EA"/>
    <w:rsid w:val="110F1D40"/>
    <w:rsid w:val="11266F33"/>
    <w:rsid w:val="118963A1"/>
    <w:rsid w:val="11AB34D8"/>
    <w:rsid w:val="11C6522A"/>
    <w:rsid w:val="11E104CC"/>
    <w:rsid w:val="11E20309"/>
    <w:rsid w:val="12255233"/>
    <w:rsid w:val="124E105C"/>
    <w:rsid w:val="12530213"/>
    <w:rsid w:val="127723A9"/>
    <w:rsid w:val="12862074"/>
    <w:rsid w:val="12883966"/>
    <w:rsid w:val="129E45B4"/>
    <w:rsid w:val="12D81596"/>
    <w:rsid w:val="13072A44"/>
    <w:rsid w:val="135F4BE2"/>
    <w:rsid w:val="13745F96"/>
    <w:rsid w:val="139B1A0A"/>
    <w:rsid w:val="139D25C7"/>
    <w:rsid w:val="139E1761"/>
    <w:rsid w:val="13A7787D"/>
    <w:rsid w:val="13BF3CE4"/>
    <w:rsid w:val="13EF24DD"/>
    <w:rsid w:val="141008D8"/>
    <w:rsid w:val="14125FE6"/>
    <w:rsid w:val="146D271E"/>
    <w:rsid w:val="14982588"/>
    <w:rsid w:val="149A5AD9"/>
    <w:rsid w:val="14A7619D"/>
    <w:rsid w:val="14B0757C"/>
    <w:rsid w:val="150536C3"/>
    <w:rsid w:val="150C1963"/>
    <w:rsid w:val="151447A0"/>
    <w:rsid w:val="152C4604"/>
    <w:rsid w:val="154A6454"/>
    <w:rsid w:val="15762120"/>
    <w:rsid w:val="15E1432B"/>
    <w:rsid w:val="161E16D5"/>
    <w:rsid w:val="16473A09"/>
    <w:rsid w:val="1655368D"/>
    <w:rsid w:val="16A8729C"/>
    <w:rsid w:val="16B33777"/>
    <w:rsid w:val="16BC70A7"/>
    <w:rsid w:val="16C6339E"/>
    <w:rsid w:val="172A7D8D"/>
    <w:rsid w:val="172F2D79"/>
    <w:rsid w:val="175233D3"/>
    <w:rsid w:val="17557BEF"/>
    <w:rsid w:val="175A00C7"/>
    <w:rsid w:val="17B370D5"/>
    <w:rsid w:val="17C93091"/>
    <w:rsid w:val="17D349C1"/>
    <w:rsid w:val="1830729E"/>
    <w:rsid w:val="185614BD"/>
    <w:rsid w:val="1870062C"/>
    <w:rsid w:val="18817102"/>
    <w:rsid w:val="18830A15"/>
    <w:rsid w:val="18852B28"/>
    <w:rsid w:val="188B5321"/>
    <w:rsid w:val="18974964"/>
    <w:rsid w:val="18F71505"/>
    <w:rsid w:val="19397AAF"/>
    <w:rsid w:val="19813530"/>
    <w:rsid w:val="19932372"/>
    <w:rsid w:val="199944A6"/>
    <w:rsid w:val="19A20DD5"/>
    <w:rsid w:val="19AE03F1"/>
    <w:rsid w:val="1A071A03"/>
    <w:rsid w:val="1A0A7F67"/>
    <w:rsid w:val="1A1F16AE"/>
    <w:rsid w:val="1A3B5C77"/>
    <w:rsid w:val="1A4772FE"/>
    <w:rsid w:val="1A984BAD"/>
    <w:rsid w:val="1AB8220E"/>
    <w:rsid w:val="1ABC02E6"/>
    <w:rsid w:val="1AE4166C"/>
    <w:rsid w:val="1AF06CFB"/>
    <w:rsid w:val="1AF11B8D"/>
    <w:rsid w:val="1B11359C"/>
    <w:rsid w:val="1B1C5E28"/>
    <w:rsid w:val="1B2A271F"/>
    <w:rsid w:val="1B312D32"/>
    <w:rsid w:val="1B530544"/>
    <w:rsid w:val="1B713184"/>
    <w:rsid w:val="1BA209CF"/>
    <w:rsid w:val="1BB4777D"/>
    <w:rsid w:val="1BD75AB8"/>
    <w:rsid w:val="1C0459C2"/>
    <w:rsid w:val="1C1B3B4A"/>
    <w:rsid w:val="1C88086E"/>
    <w:rsid w:val="1CBB1BB0"/>
    <w:rsid w:val="1D266CE1"/>
    <w:rsid w:val="1D3963AF"/>
    <w:rsid w:val="1D6A673C"/>
    <w:rsid w:val="1D9247AE"/>
    <w:rsid w:val="1D995E92"/>
    <w:rsid w:val="1D9F5E77"/>
    <w:rsid w:val="1DB567EC"/>
    <w:rsid w:val="1DED0C42"/>
    <w:rsid w:val="1DF51A98"/>
    <w:rsid w:val="1E3D060F"/>
    <w:rsid w:val="1E3F7D2E"/>
    <w:rsid w:val="1E4134E4"/>
    <w:rsid w:val="1E5062B3"/>
    <w:rsid w:val="1E523514"/>
    <w:rsid w:val="1E714A66"/>
    <w:rsid w:val="1E774BE5"/>
    <w:rsid w:val="1E802593"/>
    <w:rsid w:val="1EA703CC"/>
    <w:rsid w:val="1EB65E96"/>
    <w:rsid w:val="1EB7330C"/>
    <w:rsid w:val="1EDC730E"/>
    <w:rsid w:val="1EF044E7"/>
    <w:rsid w:val="1EF8433E"/>
    <w:rsid w:val="1F0A0FF3"/>
    <w:rsid w:val="1F2C6B8B"/>
    <w:rsid w:val="1F5771FF"/>
    <w:rsid w:val="1F9B252E"/>
    <w:rsid w:val="1FB50C47"/>
    <w:rsid w:val="1FB96AC5"/>
    <w:rsid w:val="1FE868A9"/>
    <w:rsid w:val="20034907"/>
    <w:rsid w:val="200E1FA8"/>
    <w:rsid w:val="20167C6C"/>
    <w:rsid w:val="20173E4B"/>
    <w:rsid w:val="201C761C"/>
    <w:rsid w:val="204E48BC"/>
    <w:rsid w:val="205B2614"/>
    <w:rsid w:val="208921B3"/>
    <w:rsid w:val="20973DEB"/>
    <w:rsid w:val="20A77729"/>
    <w:rsid w:val="20B26522"/>
    <w:rsid w:val="20B44310"/>
    <w:rsid w:val="21017557"/>
    <w:rsid w:val="211116EB"/>
    <w:rsid w:val="212C1E0B"/>
    <w:rsid w:val="213469E8"/>
    <w:rsid w:val="215238B8"/>
    <w:rsid w:val="216133FC"/>
    <w:rsid w:val="21950E25"/>
    <w:rsid w:val="21D56769"/>
    <w:rsid w:val="21E52EF3"/>
    <w:rsid w:val="21F20BF7"/>
    <w:rsid w:val="21FB5D7B"/>
    <w:rsid w:val="220B1C3D"/>
    <w:rsid w:val="221D1D20"/>
    <w:rsid w:val="22334A87"/>
    <w:rsid w:val="22480C77"/>
    <w:rsid w:val="22505FD7"/>
    <w:rsid w:val="2267372D"/>
    <w:rsid w:val="226825D6"/>
    <w:rsid w:val="22BE6801"/>
    <w:rsid w:val="22EB3226"/>
    <w:rsid w:val="22EC1AEA"/>
    <w:rsid w:val="23270BB3"/>
    <w:rsid w:val="233500BF"/>
    <w:rsid w:val="23377FF7"/>
    <w:rsid w:val="236B425F"/>
    <w:rsid w:val="23836192"/>
    <w:rsid w:val="23901F29"/>
    <w:rsid w:val="239C0061"/>
    <w:rsid w:val="23B908A4"/>
    <w:rsid w:val="23E95BEF"/>
    <w:rsid w:val="23FD0064"/>
    <w:rsid w:val="2423153B"/>
    <w:rsid w:val="2446055D"/>
    <w:rsid w:val="245375B0"/>
    <w:rsid w:val="24642C0A"/>
    <w:rsid w:val="24B22173"/>
    <w:rsid w:val="24B95AD9"/>
    <w:rsid w:val="24BE24DA"/>
    <w:rsid w:val="24BF0290"/>
    <w:rsid w:val="24CF5825"/>
    <w:rsid w:val="24D663E6"/>
    <w:rsid w:val="24D77F2B"/>
    <w:rsid w:val="24FF2904"/>
    <w:rsid w:val="2532334C"/>
    <w:rsid w:val="254A7C7B"/>
    <w:rsid w:val="25516B86"/>
    <w:rsid w:val="255E36B3"/>
    <w:rsid w:val="2570310A"/>
    <w:rsid w:val="258117EC"/>
    <w:rsid w:val="258775C5"/>
    <w:rsid w:val="258B00E2"/>
    <w:rsid w:val="25A917A6"/>
    <w:rsid w:val="25BE27CC"/>
    <w:rsid w:val="25F74A5C"/>
    <w:rsid w:val="26274342"/>
    <w:rsid w:val="2628662C"/>
    <w:rsid w:val="262D45DE"/>
    <w:rsid w:val="263C4B36"/>
    <w:rsid w:val="26886B42"/>
    <w:rsid w:val="26920223"/>
    <w:rsid w:val="26A53EF9"/>
    <w:rsid w:val="26A94201"/>
    <w:rsid w:val="26AC274F"/>
    <w:rsid w:val="27044A29"/>
    <w:rsid w:val="271D34C8"/>
    <w:rsid w:val="276142BF"/>
    <w:rsid w:val="2773246A"/>
    <w:rsid w:val="27783712"/>
    <w:rsid w:val="2788120C"/>
    <w:rsid w:val="27907362"/>
    <w:rsid w:val="27BB00CE"/>
    <w:rsid w:val="27F56181"/>
    <w:rsid w:val="28126C76"/>
    <w:rsid w:val="28333E1D"/>
    <w:rsid w:val="28454BD6"/>
    <w:rsid w:val="28455253"/>
    <w:rsid w:val="28551971"/>
    <w:rsid w:val="28575C58"/>
    <w:rsid w:val="285B1C53"/>
    <w:rsid w:val="28963B35"/>
    <w:rsid w:val="289F7086"/>
    <w:rsid w:val="28C32028"/>
    <w:rsid w:val="28CC490F"/>
    <w:rsid w:val="28DE40AA"/>
    <w:rsid w:val="290E6CE7"/>
    <w:rsid w:val="29345E77"/>
    <w:rsid w:val="294C65AD"/>
    <w:rsid w:val="296872E8"/>
    <w:rsid w:val="29806583"/>
    <w:rsid w:val="298B3C4C"/>
    <w:rsid w:val="29A60575"/>
    <w:rsid w:val="29D77713"/>
    <w:rsid w:val="29F26D24"/>
    <w:rsid w:val="2A0101CE"/>
    <w:rsid w:val="2A15033F"/>
    <w:rsid w:val="2A16136A"/>
    <w:rsid w:val="2A1662C1"/>
    <w:rsid w:val="2A1C7367"/>
    <w:rsid w:val="2A2815FA"/>
    <w:rsid w:val="2A6D6092"/>
    <w:rsid w:val="2A7D76B4"/>
    <w:rsid w:val="2B437463"/>
    <w:rsid w:val="2B564F27"/>
    <w:rsid w:val="2B565B9C"/>
    <w:rsid w:val="2B7807EE"/>
    <w:rsid w:val="2BBF00EC"/>
    <w:rsid w:val="2BC37CFD"/>
    <w:rsid w:val="2BD5237F"/>
    <w:rsid w:val="2BE03C2F"/>
    <w:rsid w:val="2BE536CE"/>
    <w:rsid w:val="2BE758D9"/>
    <w:rsid w:val="2BE772F2"/>
    <w:rsid w:val="2C09049E"/>
    <w:rsid w:val="2C0A653C"/>
    <w:rsid w:val="2C191F85"/>
    <w:rsid w:val="2C4C0953"/>
    <w:rsid w:val="2C9611C0"/>
    <w:rsid w:val="2C972AC7"/>
    <w:rsid w:val="2CA53E3F"/>
    <w:rsid w:val="2CD70A53"/>
    <w:rsid w:val="2CE82D6F"/>
    <w:rsid w:val="2D013CE9"/>
    <w:rsid w:val="2D343236"/>
    <w:rsid w:val="2D583A36"/>
    <w:rsid w:val="2D866DA4"/>
    <w:rsid w:val="2DD15014"/>
    <w:rsid w:val="2DE81CB4"/>
    <w:rsid w:val="2DF72DE4"/>
    <w:rsid w:val="2E0220AF"/>
    <w:rsid w:val="2E1707A2"/>
    <w:rsid w:val="2E4B082A"/>
    <w:rsid w:val="2E5D4E86"/>
    <w:rsid w:val="2E5D790B"/>
    <w:rsid w:val="2E873790"/>
    <w:rsid w:val="2E9A3C18"/>
    <w:rsid w:val="2EBB0FEE"/>
    <w:rsid w:val="2EC63002"/>
    <w:rsid w:val="2F0A6B38"/>
    <w:rsid w:val="2F6A1F78"/>
    <w:rsid w:val="2F946CCB"/>
    <w:rsid w:val="2FD25781"/>
    <w:rsid w:val="2FFD7934"/>
    <w:rsid w:val="301E6522"/>
    <w:rsid w:val="30496D5A"/>
    <w:rsid w:val="305A331C"/>
    <w:rsid w:val="305C3CC4"/>
    <w:rsid w:val="306C3A94"/>
    <w:rsid w:val="30733ACD"/>
    <w:rsid w:val="30893773"/>
    <w:rsid w:val="308C3862"/>
    <w:rsid w:val="309379D8"/>
    <w:rsid w:val="30A270F7"/>
    <w:rsid w:val="30DF1478"/>
    <w:rsid w:val="30EC586F"/>
    <w:rsid w:val="313D505F"/>
    <w:rsid w:val="314B0F76"/>
    <w:rsid w:val="31895FB8"/>
    <w:rsid w:val="318A4759"/>
    <w:rsid w:val="31954974"/>
    <w:rsid w:val="31977E71"/>
    <w:rsid w:val="319C6071"/>
    <w:rsid w:val="31AC537E"/>
    <w:rsid w:val="31C42F48"/>
    <w:rsid w:val="31C460C7"/>
    <w:rsid w:val="31E3679B"/>
    <w:rsid w:val="31E732FD"/>
    <w:rsid w:val="32517576"/>
    <w:rsid w:val="327F0285"/>
    <w:rsid w:val="32BE5C2C"/>
    <w:rsid w:val="32DC0EB2"/>
    <w:rsid w:val="32FB6478"/>
    <w:rsid w:val="33263B3F"/>
    <w:rsid w:val="336963EB"/>
    <w:rsid w:val="33782CB8"/>
    <w:rsid w:val="33816EEB"/>
    <w:rsid w:val="33A53EC8"/>
    <w:rsid w:val="33DE722D"/>
    <w:rsid w:val="33EB55CD"/>
    <w:rsid w:val="33EC4C02"/>
    <w:rsid w:val="33F33909"/>
    <w:rsid w:val="340D2360"/>
    <w:rsid w:val="3410665D"/>
    <w:rsid w:val="34211214"/>
    <w:rsid w:val="34256AA5"/>
    <w:rsid w:val="342E63AB"/>
    <w:rsid w:val="34950E68"/>
    <w:rsid w:val="34986E94"/>
    <w:rsid w:val="34AF62C9"/>
    <w:rsid w:val="34CB4388"/>
    <w:rsid w:val="34D02781"/>
    <w:rsid w:val="34FA6E12"/>
    <w:rsid w:val="34FC0D73"/>
    <w:rsid w:val="350A3A1E"/>
    <w:rsid w:val="350D1B8D"/>
    <w:rsid w:val="358D5588"/>
    <w:rsid w:val="35B8262E"/>
    <w:rsid w:val="360A255B"/>
    <w:rsid w:val="36224544"/>
    <w:rsid w:val="362F7E33"/>
    <w:rsid w:val="363A3B40"/>
    <w:rsid w:val="365302AE"/>
    <w:rsid w:val="36607A0A"/>
    <w:rsid w:val="366E227C"/>
    <w:rsid w:val="366F2E0D"/>
    <w:rsid w:val="367B6A5C"/>
    <w:rsid w:val="36A74ADA"/>
    <w:rsid w:val="36AD60D5"/>
    <w:rsid w:val="36B224F9"/>
    <w:rsid w:val="36D80507"/>
    <w:rsid w:val="36EC0CC9"/>
    <w:rsid w:val="373F410B"/>
    <w:rsid w:val="37665E6B"/>
    <w:rsid w:val="376A44BC"/>
    <w:rsid w:val="37706505"/>
    <w:rsid w:val="37EE7094"/>
    <w:rsid w:val="37F56CD0"/>
    <w:rsid w:val="38296C89"/>
    <w:rsid w:val="382D38D9"/>
    <w:rsid w:val="383002EB"/>
    <w:rsid w:val="38586797"/>
    <w:rsid w:val="386C41A1"/>
    <w:rsid w:val="38AA2C17"/>
    <w:rsid w:val="38BC0149"/>
    <w:rsid w:val="38BC2936"/>
    <w:rsid w:val="38BD5663"/>
    <w:rsid w:val="38D4307D"/>
    <w:rsid w:val="38D87D1C"/>
    <w:rsid w:val="38FD5265"/>
    <w:rsid w:val="3954645C"/>
    <w:rsid w:val="39636459"/>
    <w:rsid w:val="396B7F6C"/>
    <w:rsid w:val="39B417A9"/>
    <w:rsid w:val="39FC5695"/>
    <w:rsid w:val="3A006D8E"/>
    <w:rsid w:val="3A3651E5"/>
    <w:rsid w:val="3A3F4E87"/>
    <w:rsid w:val="3A3F7071"/>
    <w:rsid w:val="3A744481"/>
    <w:rsid w:val="3A8C7BEF"/>
    <w:rsid w:val="3A906246"/>
    <w:rsid w:val="3AED6D29"/>
    <w:rsid w:val="3B08394C"/>
    <w:rsid w:val="3B14115C"/>
    <w:rsid w:val="3B2349B7"/>
    <w:rsid w:val="3B616CFF"/>
    <w:rsid w:val="3B6259F6"/>
    <w:rsid w:val="3B976654"/>
    <w:rsid w:val="3BC01EFC"/>
    <w:rsid w:val="3BCA786A"/>
    <w:rsid w:val="3BD31E2F"/>
    <w:rsid w:val="3BF15831"/>
    <w:rsid w:val="3C103F97"/>
    <w:rsid w:val="3C105946"/>
    <w:rsid w:val="3C2F7467"/>
    <w:rsid w:val="3C471448"/>
    <w:rsid w:val="3C5F759A"/>
    <w:rsid w:val="3C634773"/>
    <w:rsid w:val="3C6C525A"/>
    <w:rsid w:val="3CCE23CB"/>
    <w:rsid w:val="3CD17D17"/>
    <w:rsid w:val="3D3C7F39"/>
    <w:rsid w:val="3D440F09"/>
    <w:rsid w:val="3D4504A0"/>
    <w:rsid w:val="3D5F318D"/>
    <w:rsid w:val="3D6023EE"/>
    <w:rsid w:val="3D8734BB"/>
    <w:rsid w:val="3D9A11D4"/>
    <w:rsid w:val="3DA16D89"/>
    <w:rsid w:val="3DA364BE"/>
    <w:rsid w:val="3DD73EFB"/>
    <w:rsid w:val="3DE041CB"/>
    <w:rsid w:val="3E0876D6"/>
    <w:rsid w:val="3E0D48F6"/>
    <w:rsid w:val="3E1868B4"/>
    <w:rsid w:val="3E377251"/>
    <w:rsid w:val="3E42664B"/>
    <w:rsid w:val="3E5A7334"/>
    <w:rsid w:val="3E7B5D6B"/>
    <w:rsid w:val="3E843E66"/>
    <w:rsid w:val="3E865B5F"/>
    <w:rsid w:val="3E8F51FE"/>
    <w:rsid w:val="3E926F87"/>
    <w:rsid w:val="3E936991"/>
    <w:rsid w:val="3E9A59DE"/>
    <w:rsid w:val="3EAF4836"/>
    <w:rsid w:val="3EC33DFA"/>
    <w:rsid w:val="3ED20EB5"/>
    <w:rsid w:val="3EE15E23"/>
    <w:rsid w:val="3F060E16"/>
    <w:rsid w:val="3F1D1096"/>
    <w:rsid w:val="3F2F0234"/>
    <w:rsid w:val="3F2F1811"/>
    <w:rsid w:val="3F4754DF"/>
    <w:rsid w:val="3F6363FE"/>
    <w:rsid w:val="3F756B8F"/>
    <w:rsid w:val="3F8A0269"/>
    <w:rsid w:val="3F8B3496"/>
    <w:rsid w:val="3F95482B"/>
    <w:rsid w:val="3FBE06D4"/>
    <w:rsid w:val="4019356B"/>
    <w:rsid w:val="404E1296"/>
    <w:rsid w:val="40592157"/>
    <w:rsid w:val="406E1CAE"/>
    <w:rsid w:val="40A0133A"/>
    <w:rsid w:val="40C31A53"/>
    <w:rsid w:val="40FF545D"/>
    <w:rsid w:val="410067C8"/>
    <w:rsid w:val="41096F36"/>
    <w:rsid w:val="418F0D2A"/>
    <w:rsid w:val="41B94703"/>
    <w:rsid w:val="41D01505"/>
    <w:rsid w:val="41DC533E"/>
    <w:rsid w:val="42474939"/>
    <w:rsid w:val="424C3C57"/>
    <w:rsid w:val="42613FF3"/>
    <w:rsid w:val="42660D96"/>
    <w:rsid w:val="428667D2"/>
    <w:rsid w:val="42B11A90"/>
    <w:rsid w:val="42BB1594"/>
    <w:rsid w:val="42BE0438"/>
    <w:rsid w:val="42CD1CE0"/>
    <w:rsid w:val="42D27868"/>
    <w:rsid w:val="42E1381E"/>
    <w:rsid w:val="42ED6459"/>
    <w:rsid w:val="42FE58DD"/>
    <w:rsid w:val="43174B3D"/>
    <w:rsid w:val="43190CA5"/>
    <w:rsid w:val="434B790E"/>
    <w:rsid w:val="4360274F"/>
    <w:rsid w:val="43977AB6"/>
    <w:rsid w:val="43A3342B"/>
    <w:rsid w:val="43C77C27"/>
    <w:rsid w:val="43DE09EE"/>
    <w:rsid w:val="44002FAD"/>
    <w:rsid w:val="449101DD"/>
    <w:rsid w:val="44930ACE"/>
    <w:rsid w:val="44CA0F6F"/>
    <w:rsid w:val="44D04B5D"/>
    <w:rsid w:val="44D75902"/>
    <w:rsid w:val="44DE1391"/>
    <w:rsid w:val="451119CC"/>
    <w:rsid w:val="451B225C"/>
    <w:rsid w:val="452410C9"/>
    <w:rsid w:val="45317DFB"/>
    <w:rsid w:val="45586B4B"/>
    <w:rsid w:val="45613CC5"/>
    <w:rsid w:val="45665056"/>
    <w:rsid w:val="456D3CE4"/>
    <w:rsid w:val="45717C44"/>
    <w:rsid w:val="4579042C"/>
    <w:rsid w:val="457F0571"/>
    <w:rsid w:val="45851176"/>
    <w:rsid w:val="45BB5E5B"/>
    <w:rsid w:val="45C63B94"/>
    <w:rsid w:val="460E7DA5"/>
    <w:rsid w:val="462555FD"/>
    <w:rsid w:val="46422483"/>
    <w:rsid w:val="4654035E"/>
    <w:rsid w:val="4659254A"/>
    <w:rsid w:val="465B0637"/>
    <w:rsid w:val="465E3F0D"/>
    <w:rsid w:val="466A16E6"/>
    <w:rsid w:val="46893F2B"/>
    <w:rsid w:val="468F43C9"/>
    <w:rsid w:val="469F7F19"/>
    <w:rsid w:val="46C4686E"/>
    <w:rsid w:val="46FD1F0B"/>
    <w:rsid w:val="47017063"/>
    <w:rsid w:val="4737285C"/>
    <w:rsid w:val="476702CB"/>
    <w:rsid w:val="477B778F"/>
    <w:rsid w:val="478203EC"/>
    <w:rsid w:val="47B025FA"/>
    <w:rsid w:val="48054938"/>
    <w:rsid w:val="4809698F"/>
    <w:rsid w:val="480A1FEE"/>
    <w:rsid w:val="480A20FF"/>
    <w:rsid w:val="4811697D"/>
    <w:rsid w:val="481F54E4"/>
    <w:rsid w:val="487A3E25"/>
    <w:rsid w:val="488B5503"/>
    <w:rsid w:val="48937E21"/>
    <w:rsid w:val="489A0361"/>
    <w:rsid w:val="48B94FF3"/>
    <w:rsid w:val="48E37AAB"/>
    <w:rsid w:val="48E5448B"/>
    <w:rsid w:val="48F826E7"/>
    <w:rsid w:val="48FD4B4C"/>
    <w:rsid w:val="490A68E0"/>
    <w:rsid w:val="491055FE"/>
    <w:rsid w:val="492841F7"/>
    <w:rsid w:val="49407FB8"/>
    <w:rsid w:val="495F5B3E"/>
    <w:rsid w:val="496F77D7"/>
    <w:rsid w:val="497654FD"/>
    <w:rsid w:val="49B64211"/>
    <w:rsid w:val="49C24A8D"/>
    <w:rsid w:val="49DD1431"/>
    <w:rsid w:val="49F41BE5"/>
    <w:rsid w:val="49F6167F"/>
    <w:rsid w:val="4A064FA0"/>
    <w:rsid w:val="4A16615C"/>
    <w:rsid w:val="4A2D63C1"/>
    <w:rsid w:val="4A4424D7"/>
    <w:rsid w:val="4A5A22AE"/>
    <w:rsid w:val="4AB82D0F"/>
    <w:rsid w:val="4AEB7664"/>
    <w:rsid w:val="4AF17250"/>
    <w:rsid w:val="4AFD7C19"/>
    <w:rsid w:val="4B0567D1"/>
    <w:rsid w:val="4B0E0A49"/>
    <w:rsid w:val="4B236AAE"/>
    <w:rsid w:val="4B707271"/>
    <w:rsid w:val="4B930986"/>
    <w:rsid w:val="4B9739F7"/>
    <w:rsid w:val="4BBA7B60"/>
    <w:rsid w:val="4BC43B2D"/>
    <w:rsid w:val="4BEE2503"/>
    <w:rsid w:val="4C0849EF"/>
    <w:rsid w:val="4C172E84"/>
    <w:rsid w:val="4C245A30"/>
    <w:rsid w:val="4C440CF1"/>
    <w:rsid w:val="4C5F56F0"/>
    <w:rsid w:val="4CA0556E"/>
    <w:rsid w:val="4CB6685F"/>
    <w:rsid w:val="4CC367FE"/>
    <w:rsid w:val="4D077F3C"/>
    <w:rsid w:val="4D082101"/>
    <w:rsid w:val="4D123355"/>
    <w:rsid w:val="4D176EFD"/>
    <w:rsid w:val="4D2A3B31"/>
    <w:rsid w:val="4D2C2C5D"/>
    <w:rsid w:val="4D312C52"/>
    <w:rsid w:val="4D3362FA"/>
    <w:rsid w:val="4D7F5C7B"/>
    <w:rsid w:val="4D905305"/>
    <w:rsid w:val="4D964A72"/>
    <w:rsid w:val="4D9C1254"/>
    <w:rsid w:val="4DED1A85"/>
    <w:rsid w:val="4E793892"/>
    <w:rsid w:val="4E800872"/>
    <w:rsid w:val="4EC569ED"/>
    <w:rsid w:val="4ED50EA1"/>
    <w:rsid w:val="4EEC050C"/>
    <w:rsid w:val="4F104EC3"/>
    <w:rsid w:val="4F296B9B"/>
    <w:rsid w:val="4F3A75B6"/>
    <w:rsid w:val="4F47354A"/>
    <w:rsid w:val="4F911C54"/>
    <w:rsid w:val="4FE625E0"/>
    <w:rsid w:val="5021480F"/>
    <w:rsid w:val="502A6491"/>
    <w:rsid w:val="502D4F37"/>
    <w:rsid w:val="50962ECB"/>
    <w:rsid w:val="50A42E38"/>
    <w:rsid w:val="50A4577F"/>
    <w:rsid w:val="50B73D1F"/>
    <w:rsid w:val="50BD5BC9"/>
    <w:rsid w:val="50C11EEE"/>
    <w:rsid w:val="50E97CFC"/>
    <w:rsid w:val="50F15B5F"/>
    <w:rsid w:val="50FA4028"/>
    <w:rsid w:val="510D65B7"/>
    <w:rsid w:val="511157AB"/>
    <w:rsid w:val="512E1286"/>
    <w:rsid w:val="5142540C"/>
    <w:rsid w:val="515D27D6"/>
    <w:rsid w:val="5178302C"/>
    <w:rsid w:val="518832C8"/>
    <w:rsid w:val="51A0432A"/>
    <w:rsid w:val="51A86090"/>
    <w:rsid w:val="51B7396D"/>
    <w:rsid w:val="51F00EFE"/>
    <w:rsid w:val="5204398A"/>
    <w:rsid w:val="522E4CC3"/>
    <w:rsid w:val="52424206"/>
    <w:rsid w:val="5244713B"/>
    <w:rsid w:val="524D15AE"/>
    <w:rsid w:val="52584D6B"/>
    <w:rsid w:val="52615633"/>
    <w:rsid w:val="52977FD4"/>
    <w:rsid w:val="52A25790"/>
    <w:rsid w:val="52A96B6F"/>
    <w:rsid w:val="52B45975"/>
    <w:rsid w:val="52BC43BE"/>
    <w:rsid w:val="52D94AA4"/>
    <w:rsid w:val="52EA3A62"/>
    <w:rsid w:val="52EA3EE8"/>
    <w:rsid w:val="52F50BB8"/>
    <w:rsid w:val="52FF2A79"/>
    <w:rsid w:val="53097272"/>
    <w:rsid w:val="53140861"/>
    <w:rsid w:val="53544462"/>
    <w:rsid w:val="53571680"/>
    <w:rsid w:val="538968E9"/>
    <w:rsid w:val="5397158E"/>
    <w:rsid w:val="53CB1124"/>
    <w:rsid w:val="54013861"/>
    <w:rsid w:val="5406215C"/>
    <w:rsid w:val="540B2159"/>
    <w:rsid w:val="54487265"/>
    <w:rsid w:val="544D6070"/>
    <w:rsid w:val="54605E1E"/>
    <w:rsid w:val="54AC5520"/>
    <w:rsid w:val="54B3506A"/>
    <w:rsid w:val="54CA0D16"/>
    <w:rsid w:val="54DD4057"/>
    <w:rsid w:val="54E7490F"/>
    <w:rsid w:val="550764A4"/>
    <w:rsid w:val="550B2BF6"/>
    <w:rsid w:val="55214EB5"/>
    <w:rsid w:val="55364EFD"/>
    <w:rsid w:val="554777BD"/>
    <w:rsid w:val="555A4531"/>
    <w:rsid w:val="555D4828"/>
    <w:rsid w:val="5560764A"/>
    <w:rsid w:val="557A4C8B"/>
    <w:rsid w:val="558931E1"/>
    <w:rsid w:val="55923347"/>
    <w:rsid w:val="55925180"/>
    <w:rsid w:val="55983B1B"/>
    <w:rsid w:val="55A8376B"/>
    <w:rsid w:val="55DC29B6"/>
    <w:rsid w:val="55DD4241"/>
    <w:rsid w:val="55FA7859"/>
    <w:rsid w:val="561B265E"/>
    <w:rsid w:val="5633378F"/>
    <w:rsid w:val="563F32AF"/>
    <w:rsid w:val="56614C19"/>
    <w:rsid w:val="566B6D1E"/>
    <w:rsid w:val="56984DAC"/>
    <w:rsid w:val="56FB2858"/>
    <w:rsid w:val="57032A2C"/>
    <w:rsid w:val="570F5219"/>
    <w:rsid w:val="574A7800"/>
    <w:rsid w:val="575D12B5"/>
    <w:rsid w:val="57610A87"/>
    <w:rsid w:val="57727583"/>
    <w:rsid w:val="577B1140"/>
    <w:rsid w:val="577B7F21"/>
    <w:rsid w:val="577F181B"/>
    <w:rsid w:val="57921984"/>
    <w:rsid w:val="579737F0"/>
    <w:rsid w:val="57AB7B30"/>
    <w:rsid w:val="57AF5251"/>
    <w:rsid w:val="57B26373"/>
    <w:rsid w:val="57B63F04"/>
    <w:rsid w:val="57CD20C2"/>
    <w:rsid w:val="57D675AB"/>
    <w:rsid w:val="57D95FDD"/>
    <w:rsid w:val="57DF79F0"/>
    <w:rsid w:val="580B64C0"/>
    <w:rsid w:val="58217789"/>
    <w:rsid w:val="586E0A5D"/>
    <w:rsid w:val="588F4504"/>
    <w:rsid w:val="58917D2F"/>
    <w:rsid w:val="5894085C"/>
    <w:rsid w:val="58AE4F0C"/>
    <w:rsid w:val="58AE691E"/>
    <w:rsid w:val="58B85899"/>
    <w:rsid w:val="58E363A9"/>
    <w:rsid w:val="595E1678"/>
    <w:rsid w:val="596D5BD4"/>
    <w:rsid w:val="597E3DD8"/>
    <w:rsid w:val="59F80043"/>
    <w:rsid w:val="5A09252F"/>
    <w:rsid w:val="5A0B2778"/>
    <w:rsid w:val="5A2A7C7B"/>
    <w:rsid w:val="5A306671"/>
    <w:rsid w:val="5A3E2560"/>
    <w:rsid w:val="5A5D3B6E"/>
    <w:rsid w:val="5A637A76"/>
    <w:rsid w:val="5A657E66"/>
    <w:rsid w:val="5A6D33BA"/>
    <w:rsid w:val="5A792B1F"/>
    <w:rsid w:val="5A874767"/>
    <w:rsid w:val="5A971D38"/>
    <w:rsid w:val="5AAD6F28"/>
    <w:rsid w:val="5AD63A24"/>
    <w:rsid w:val="5AE26D53"/>
    <w:rsid w:val="5B0D5B7E"/>
    <w:rsid w:val="5B2A30A1"/>
    <w:rsid w:val="5B2E1A1D"/>
    <w:rsid w:val="5B667984"/>
    <w:rsid w:val="5B7E23D6"/>
    <w:rsid w:val="5B843A1C"/>
    <w:rsid w:val="5B873E3F"/>
    <w:rsid w:val="5BD913E8"/>
    <w:rsid w:val="5C02690E"/>
    <w:rsid w:val="5C196DA7"/>
    <w:rsid w:val="5C2A048C"/>
    <w:rsid w:val="5C80234E"/>
    <w:rsid w:val="5C8A680C"/>
    <w:rsid w:val="5D0C4701"/>
    <w:rsid w:val="5D0F0395"/>
    <w:rsid w:val="5D1B7FCE"/>
    <w:rsid w:val="5D1F0C2E"/>
    <w:rsid w:val="5D221076"/>
    <w:rsid w:val="5D397964"/>
    <w:rsid w:val="5D4D2245"/>
    <w:rsid w:val="5D5A391C"/>
    <w:rsid w:val="5D5F10C0"/>
    <w:rsid w:val="5D746389"/>
    <w:rsid w:val="5D891B7B"/>
    <w:rsid w:val="5DA87DE0"/>
    <w:rsid w:val="5DAD38EE"/>
    <w:rsid w:val="5DAE6B28"/>
    <w:rsid w:val="5E006862"/>
    <w:rsid w:val="5E0207B9"/>
    <w:rsid w:val="5E1834A1"/>
    <w:rsid w:val="5E1C1A26"/>
    <w:rsid w:val="5E261785"/>
    <w:rsid w:val="5E4A7017"/>
    <w:rsid w:val="5E514AB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0FB0DD0"/>
    <w:rsid w:val="61054A27"/>
    <w:rsid w:val="610A52BC"/>
    <w:rsid w:val="611D2366"/>
    <w:rsid w:val="61421856"/>
    <w:rsid w:val="615227C4"/>
    <w:rsid w:val="61654E3F"/>
    <w:rsid w:val="6182292A"/>
    <w:rsid w:val="619F7F92"/>
    <w:rsid w:val="61A22F73"/>
    <w:rsid w:val="61F94C26"/>
    <w:rsid w:val="62000E56"/>
    <w:rsid w:val="62467FCB"/>
    <w:rsid w:val="624F3E49"/>
    <w:rsid w:val="62632286"/>
    <w:rsid w:val="62885958"/>
    <w:rsid w:val="62935A48"/>
    <w:rsid w:val="629C79CA"/>
    <w:rsid w:val="62F40B65"/>
    <w:rsid w:val="62FC2CFE"/>
    <w:rsid w:val="63024505"/>
    <w:rsid w:val="635B1DB5"/>
    <w:rsid w:val="63711FED"/>
    <w:rsid w:val="63880DDC"/>
    <w:rsid w:val="638D750D"/>
    <w:rsid w:val="63AC6CC0"/>
    <w:rsid w:val="63E16E6D"/>
    <w:rsid w:val="64055776"/>
    <w:rsid w:val="64184B19"/>
    <w:rsid w:val="64240056"/>
    <w:rsid w:val="643E143A"/>
    <w:rsid w:val="64577091"/>
    <w:rsid w:val="648B6EEF"/>
    <w:rsid w:val="64C158BF"/>
    <w:rsid w:val="64CE2EAA"/>
    <w:rsid w:val="653C3090"/>
    <w:rsid w:val="65476D23"/>
    <w:rsid w:val="65854376"/>
    <w:rsid w:val="658767BE"/>
    <w:rsid w:val="65892531"/>
    <w:rsid w:val="66195831"/>
    <w:rsid w:val="662E75B1"/>
    <w:rsid w:val="66342C2E"/>
    <w:rsid w:val="66370B21"/>
    <w:rsid w:val="663E784C"/>
    <w:rsid w:val="66513A18"/>
    <w:rsid w:val="667A5D8F"/>
    <w:rsid w:val="668B6A45"/>
    <w:rsid w:val="66B52605"/>
    <w:rsid w:val="66B6109C"/>
    <w:rsid w:val="672F3F24"/>
    <w:rsid w:val="673E055F"/>
    <w:rsid w:val="67462B87"/>
    <w:rsid w:val="67516FFC"/>
    <w:rsid w:val="67551CE3"/>
    <w:rsid w:val="675D170D"/>
    <w:rsid w:val="67A22552"/>
    <w:rsid w:val="67B22DCC"/>
    <w:rsid w:val="67BE71AA"/>
    <w:rsid w:val="67D90273"/>
    <w:rsid w:val="67DE5875"/>
    <w:rsid w:val="67E55852"/>
    <w:rsid w:val="67EB1AB4"/>
    <w:rsid w:val="67EB36EB"/>
    <w:rsid w:val="67FA1285"/>
    <w:rsid w:val="68551F4F"/>
    <w:rsid w:val="68583E7F"/>
    <w:rsid w:val="687C10C9"/>
    <w:rsid w:val="68840C16"/>
    <w:rsid w:val="68876EFB"/>
    <w:rsid w:val="68884654"/>
    <w:rsid w:val="689F444F"/>
    <w:rsid w:val="68B96DBB"/>
    <w:rsid w:val="68C12039"/>
    <w:rsid w:val="68CA2805"/>
    <w:rsid w:val="68CB062F"/>
    <w:rsid w:val="68DB2550"/>
    <w:rsid w:val="68E937A3"/>
    <w:rsid w:val="69085BD7"/>
    <w:rsid w:val="693E15D3"/>
    <w:rsid w:val="69627681"/>
    <w:rsid w:val="6977531D"/>
    <w:rsid w:val="699B2886"/>
    <w:rsid w:val="69B30239"/>
    <w:rsid w:val="69CC2BFF"/>
    <w:rsid w:val="69FD55B8"/>
    <w:rsid w:val="6A0073B7"/>
    <w:rsid w:val="6A0B1C62"/>
    <w:rsid w:val="6A2406C8"/>
    <w:rsid w:val="6ACC6E9F"/>
    <w:rsid w:val="6ADE0BD1"/>
    <w:rsid w:val="6AE96859"/>
    <w:rsid w:val="6B147746"/>
    <w:rsid w:val="6B24787C"/>
    <w:rsid w:val="6B573233"/>
    <w:rsid w:val="6B5B6274"/>
    <w:rsid w:val="6B5E227E"/>
    <w:rsid w:val="6B722BC0"/>
    <w:rsid w:val="6B8A5AA7"/>
    <w:rsid w:val="6B935D53"/>
    <w:rsid w:val="6B9813C7"/>
    <w:rsid w:val="6B9D1138"/>
    <w:rsid w:val="6BC02799"/>
    <w:rsid w:val="6BE7662F"/>
    <w:rsid w:val="6C196F71"/>
    <w:rsid w:val="6C226FCB"/>
    <w:rsid w:val="6C31226F"/>
    <w:rsid w:val="6C552F0B"/>
    <w:rsid w:val="6C866E31"/>
    <w:rsid w:val="6C8C67B7"/>
    <w:rsid w:val="6C9D744C"/>
    <w:rsid w:val="6CBF6EF4"/>
    <w:rsid w:val="6CDF66FB"/>
    <w:rsid w:val="6D167928"/>
    <w:rsid w:val="6D26299B"/>
    <w:rsid w:val="6D4772EC"/>
    <w:rsid w:val="6D8B160E"/>
    <w:rsid w:val="6D9078AF"/>
    <w:rsid w:val="6DA062BE"/>
    <w:rsid w:val="6DAA3FEF"/>
    <w:rsid w:val="6DC0172B"/>
    <w:rsid w:val="6DCB690C"/>
    <w:rsid w:val="6DD41A5B"/>
    <w:rsid w:val="6DF43C2E"/>
    <w:rsid w:val="6DF51CA3"/>
    <w:rsid w:val="6E3334FB"/>
    <w:rsid w:val="6E4F15C5"/>
    <w:rsid w:val="6E677844"/>
    <w:rsid w:val="6E8335BD"/>
    <w:rsid w:val="6E8E12EF"/>
    <w:rsid w:val="6E972936"/>
    <w:rsid w:val="6ED30867"/>
    <w:rsid w:val="6ED446C5"/>
    <w:rsid w:val="6EFC52D8"/>
    <w:rsid w:val="6F1528CB"/>
    <w:rsid w:val="6F2A1F70"/>
    <w:rsid w:val="6F2A7D94"/>
    <w:rsid w:val="6F8331F1"/>
    <w:rsid w:val="6F843CD1"/>
    <w:rsid w:val="6FAB3EAC"/>
    <w:rsid w:val="6FAE1A09"/>
    <w:rsid w:val="6FC023DB"/>
    <w:rsid w:val="6FD75BF8"/>
    <w:rsid w:val="6FE131D6"/>
    <w:rsid w:val="70027824"/>
    <w:rsid w:val="702C1C49"/>
    <w:rsid w:val="707723D0"/>
    <w:rsid w:val="709B6242"/>
    <w:rsid w:val="70BB2E58"/>
    <w:rsid w:val="70F5661B"/>
    <w:rsid w:val="7107761A"/>
    <w:rsid w:val="71337846"/>
    <w:rsid w:val="71360107"/>
    <w:rsid w:val="713B688E"/>
    <w:rsid w:val="716167CC"/>
    <w:rsid w:val="71725BB0"/>
    <w:rsid w:val="71A37ADC"/>
    <w:rsid w:val="71D43752"/>
    <w:rsid w:val="71F1796A"/>
    <w:rsid w:val="72154626"/>
    <w:rsid w:val="72262B5D"/>
    <w:rsid w:val="72283FF7"/>
    <w:rsid w:val="722E7212"/>
    <w:rsid w:val="723A0474"/>
    <w:rsid w:val="725923E4"/>
    <w:rsid w:val="725B3886"/>
    <w:rsid w:val="727E1F06"/>
    <w:rsid w:val="72864BF7"/>
    <w:rsid w:val="729023FC"/>
    <w:rsid w:val="72953D27"/>
    <w:rsid w:val="72C11B09"/>
    <w:rsid w:val="72F23335"/>
    <w:rsid w:val="739E54A5"/>
    <w:rsid w:val="73C0646E"/>
    <w:rsid w:val="742222F5"/>
    <w:rsid w:val="74476126"/>
    <w:rsid w:val="74706664"/>
    <w:rsid w:val="747F3682"/>
    <w:rsid w:val="749C4185"/>
    <w:rsid w:val="74A831CF"/>
    <w:rsid w:val="74B35591"/>
    <w:rsid w:val="75067759"/>
    <w:rsid w:val="752E6DCD"/>
    <w:rsid w:val="7551380D"/>
    <w:rsid w:val="75600BE5"/>
    <w:rsid w:val="7564475C"/>
    <w:rsid w:val="7583797F"/>
    <w:rsid w:val="75A576CA"/>
    <w:rsid w:val="75BA79F6"/>
    <w:rsid w:val="75C238C0"/>
    <w:rsid w:val="75D20F1D"/>
    <w:rsid w:val="75D64CCD"/>
    <w:rsid w:val="75DA2C18"/>
    <w:rsid w:val="75F54412"/>
    <w:rsid w:val="761D08E0"/>
    <w:rsid w:val="761D6B5F"/>
    <w:rsid w:val="765D347C"/>
    <w:rsid w:val="76826699"/>
    <w:rsid w:val="769311B5"/>
    <w:rsid w:val="76B51631"/>
    <w:rsid w:val="76C87133"/>
    <w:rsid w:val="76CD08D5"/>
    <w:rsid w:val="76DB4B92"/>
    <w:rsid w:val="76F507BA"/>
    <w:rsid w:val="77052AA4"/>
    <w:rsid w:val="77136511"/>
    <w:rsid w:val="772B3DEC"/>
    <w:rsid w:val="77340A39"/>
    <w:rsid w:val="77351FD0"/>
    <w:rsid w:val="77472422"/>
    <w:rsid w:val="777F31F2"/>
    <w:rsid w:val="777F5BFE"/>
    <w:rsid w:val="779108EB"/>
    <w:rsid w:val="77D1700D"/>
    <w:rsid w:val="77EC04CC"/>
    <w:rsid w:val="78775729"/>
    <w:rsid w:val="78952C85"/>
    <w:rsid w:val="78A42DB0"/>
    <w:rsid w:val="78A656AB"/>
    <w:rsid w:val="78B2245C"/>
    <w:rsid w:val="78C5569C"/>
    <w:rsid w:val="78DF4BA6"/>
    <w:rsid w:val="78E172CC"/>
    <w:rsid w:val="78EA1D1F"/>
    <w:rsid w:val="7904172F"/>
    <w:rsid w:val="790F7E27"/>
    <w:rsid w:val="792A231A"/>
    <w:rsid w:val="79316829"/>
    <w:rsid w:val="797E66A9"/>
    <w:rsid w:val="79A97383"/>
    <w:rsid w:val="79D41CE6"/>
    <w:rsid w:val="79E27E8B"/>
    <w:rsid w:val="79F850CE"/>
    <w:rsid w:val="79FD443C"/>
    <w:rsid w:val="7A1D1975"/>
    <w:rsid w:val="7A3E5150"/>
    <w:rsid w:val="7A4670D6"/>
    <w:rsid w:val="7A483DC6"/>
    <w:rsid w:val="7A534B63"/>
    <w:rsid w:val="7A615382"/>
    <w:rsid w:val="7A67303B"/>
    <w:rsid w:val="7A903524"/>
    <w:rsid w:val="7AAB1D04"/>
    <w:rsid w:val="7ABA2ABD"/>
    <w:rsid w:val="7ABA4368"/>
    <w:rsid w:val="7AD05746"/>
    <w:rsid w:val="7B257FFD"/>
    <w:rsid w:val="7B343476"/>
    <w:rsid w:val="7B5A2978"/>
    <w:rsid w:val="7B5A7E4C"/>
    <w:rsid w:val="7B667AF9"/>
    <w:rsid w:val="7B7468F8"/>
    <w:rsid w:val="7B9D48A5"/>
    <w:rsid w:val="7BC04ED5"/>
    <w:rsid w:val="7BE87ABD"/>
    <w:rsid w:val="7BEE0103"/>
    <w:rsid w:val="7C0A0FE4"/>
    <w:rsid w:val="7C254906"/>
    <w:rsid w:val="7C590818"/>
    <w:rsid w:val="7C7C10F6"/>
    <w:rsid w:val="7C853BEA"/>
    <w:rsid w:val="7C881368"/>
    <w:rsid w:val="7CE27788"/>
    <w:rsid w:val="7D036989"/>
    <w:rsid w:val="7D097D0A"/>
    <w:rsid w:val="7D0C32F1"/>
    <w:rsid w:val="7D0F408D"/>
    <w:rsid w:val="7D491C6C"/>
    <w:rsid w:val="7D502836"/>
    <w:rsid w:val="7D5429C0"/>
    <w:rsid w:val="7D6577CA"/>
    <w:rsid w:val="7D6E6D43"/>
    <w:rsid w:val="7DB57A34"/>
    <w:rsid w:val="7DE60973"/>
    <w:rsid w:val="7DEF0916"/>
    <w:rsid w:val="7DF34C50"/>
    <w:rsid w:val="7DF51EF5"/>
    <w:rsid w:val="7DF60B84"/>
    <w:rsid w:val="7E1E5218"/>
    <w:rsid w:val="7E4915CE"/>
    <w:rsid w:val="7E9A4E1F"/>
    <w:rsid w:val="7EA7723A"/>
    <w:rsid w:val="7EF56FBB"/>
    <w:rsid w:val="7F0768EB"/>
    <w:rsid w:val="7F1158A2"/>
    <w:rsid w:val="7F143BEC"/>
    <w:rsid w:val="7F674D34"/>
    <w:rsid w:val="7F6A0049"/>
    <w:rsid w:val="7F715AF2"/>
    <w:rsid w:val="7F886E69"/>
    <w:rsid w:val="7F927DE0"/>
    <w:rsid w:val="7FD652B4"/>
    <w:rsid w:val="BB7FA927"/>
    <w:rsid w:val="F5FFD31F"/>
    <w:rsid w:val="F6DC9B7C"/>
    <w:rsid w:val="FDFE2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4"/>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List Bullet"/>
    <w:basedOn w:val="1"/>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19">
    <w:name w:val="Document Map"/>
    <w:basedOn w:val="1"/>
    <w:link w:val="92"/>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93"/>
    <w:qFormat/>
    <w:uiPriority w:val="0"/>
    <w:pPr>
      <w:jc w:val="left"/>
    </w:pPr>
  </w:style>
  <w:style w:type="paragraph" w:styleId="22">
    <w:name w:val="Salutation"/>
    <w:basedOn w:val="1"/>
    <w:next w:val="1"/>
    <w:link w:val="94"/>
    <w:qFormat/>
    <w:uiPriority w:val="0"/>
    <w:rPr>
      <w:rFonts w:ascii="仿宋_GB2312" w:eastAsia="仿宋_GB2312"/>
      <w:sz w:val="28"/>
      <w:szCs w:val="20"/>
    </w:rPr>
  </w:style>
  <w:style w:type="paragraph" w:styleId="23">
    <w:name w:val="Body Text 3"/>
    <w:basedOn w:val="1"/>
    <w:link w:val="95"/>
    <w:qFormat/>
    <w:uiPriority w:val="99"/>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6"/>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114"/>
    <w:qFormat/>
    <w:uiPriority w:val="99"/>
    <w:pPr>
      <w:ind w:firstLine="420"/>
    </w:pPr>
    <w:rPr>
      <w:rFonts w:hAnsi="Calibri" w:cs="Times New Roman"/>
      <w:snapToGrid/>
      <w:szCs w:val="20"/>
    </w:rPr>
  </w:style>
  <w:style w:type="paragraph" w:styleId="27">
    <w:name w:val="Body Text Indent"/>
    <w:basedOn w:val="1"/>
    <w:next w:val="28"/>
    <w:link w:val="97"/>
    <w:qFormat/>
    <w:uiPriority w:val="99"/>
    <w:pPr>
      <w:spacing w:line="480" w:lineRule="exact"/>
      <w:ind w:firstLine="480" w:firstLineChars="200"/>
    </w:pPr>
    <w:rPr>
      <w:rFonts w:ascii="宋体" w:hAnsi="宋体"/>
      <w:sz w:val="24"/>
    </w:rPr>
  </w:style>
  <w:style w:type="paragraph" w:styleId="28">
    <w:name w:val="Body Text First Indent 2"/>
    <w:basedOn w:val="27"/>
    <w:next w:val="1"/>
    <w:link w:val="115"/>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98"/>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99"/>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00"/>
    <w:qFormat/>
    <w:uiPriority w:val="0"/>
    <w:pPr>
      <w:ind w:left="100" w:leftChars="2500"/>
    </w:pPr>
    <w:rPr>
      <w:rFonts w:ascii="宋体"/>
      <w:sz w:val="24"/>
      <w:szCs w:val="21"/>
      <w:lang w:val="zh-CN"/>
    </w:rPr>
  </w:style>
  <w:style w:type="paragraph" w:styleId="40">
    <w:name w:val="Body Text Indent 2"/>
    <w:basedOn w:val="1"/>
    <w:link w:val="101"/>
    <w:qFormat/>
    <w:uiPriority w:val="0"/>
    <w:pPr>
      <w:spacing w:line="360" w:lineRule="auto"/>
      <w:ind w:firstLine="601"/>
      <w:textAlignment w:val="baseline"/>
    </w:pPr>
    <w:rPr>
      <w:rFonts w:ascii="宋体"/>
      <w:kern w:val="0"/>
      <w:sz w:val="28"/>
      <w:szCs w:val="20"/>
    </w:rPr>
  </w:style>
  <w:style w:type="paragraph" w:styleId="41">
    <w:name w:val="endnote text"/>
    <w:basedOn w:val="1"/>
    <w:link w:val="102"/>
    <w:qFormat/>
    <w:uiPriority w:val="0"/>
    <w:rPr>
      <w:lang w:val="zh-CN"/>
    </w:rPr>
  </w:style>
  <w:style w:type="paragraph" w:styleId="42">
    <w:name w:val="Balloon Text"/>
    <w:basedOn w:val="1"/>
    <w:link w:val="103"/>
    <w:qFormat/>
    <w:uiPriority w:val="0"/>
    <w:rPr>
      <w:sz w:val="18"/>
      <w:szCs w:val="18"/>
    </w:rPr>
  </w:style>
  <w:style w:type="paragraph" w:styleId="43">
    <w:name w:val="footer"/>
    <w:basedOn w:val="1"/>
    <w:link w:val="104"/>
    <w:qFormat/>
    <w:uiPriority w:val="0"/>
    <w:pPr>
      <w:tabs>
        <w:tab w:val="center" w:pos="4153"/>
        <w:tab w:val="right" w:pos="8306"/>
      </w:tabs>
      <w:snapToGrid w:val="0"/>
      <w:jc w:val="left"/>
    </w:pPr>
    <w:rPr>
      <w:sz w:val="18"/>
      <w:szCs w:val="18"/>
    </w:rPr>
  </w:style>
  <w:style w:type="paragraph" w:styleId="44">
    <w:name w:val="header"/>
    <w:basedOn w:val="1"/>
    <w:link w:val="105"/>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10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0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108"/>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109"/>
    <w:qFormat/>
    <w:uiPriority w:val="0"/>
    <w:pPr>
      <w:spacing w:line="360" w:lineRule="auto"/>
      <w:ind w:firstLine="420"/>
    </w:pPr>
    <w:rPr>
      <w:sz w:val="24"/>
      <w:szCs w:val="20"/>
    </w:rPr>
  </w:style>
  <w:style w:type="paragraph" w:styleId="57">
    <w:name w:val="index 7"/>
    <w:basedOn w:val="1"/>
    <w:next w:val="1"/>
    <w:qFormat/>
    <w:uiPriority w:val="0"/>
    <w:pPr>
      <w:adjustRightInd/>
      <w:ind w:left="1200" w:leftChars="1200"/>
    </w:pPr>
    <w:rPr>
      <w:rFonts w:ascii="Times New Roman (正文 CS 字体)" w:hAnsi="Times New Roman (正文 CS 字体)" w:eastAsia="等线" w:cs="Times New Roman (正文 CS 字体)"/>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110"/>
    <w:qFormat/>
    <w:uiPriority w:val="0"/>
    <w:pPr>
      <w:spacing w:after="120" w:line="480" w:lineRule="auto"/>
    </w:pPr>
  </w:style>
  <w:style w:type="paragraph" w:styleId="61">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link w:val="1014"/>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112"/>
    <w:qFormat/>
    <w:uiPriority w:val="0"/>
    <w:pPr>
      <w:widowControl/>
      <w:overflowPunct w:val="0"/>
      <w:autoSpaceDE w:val="0"/>
      <w:autoSpaceDN w:val="0"/>
      <w:jc w:val="center"/>
      <w:textAlignment w:val="baseline"/>
    </w:pPr>
    <w:rPr>
      <w:b/>
      <w:kern w:val="0"/>
      <w:sz w:val="24"/>
      <w:szCs w:val="20"/>
      <w:lang w:val="en-GB"/>
    </w:rPr>
  </w:style>
  <w:style w:type="paragraph" w:styleId="64">
    <w:name w:val="annotation subject"/>
    <w:basedOn w:val="21"/>
    <w:next w:val="21"/>
    <w:link w:val="113"/>
    <w:qFormat/>
    <w:uiPriority w:val="0"/>
    <w:rPr>
      <w:b/>
      <w:bCs/>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0"/>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标题 1 字符2"/>
    <w:link w:val="2"/>
    <w:qFormat/>
    <w:uiPriority w:val="9"/>
    <w:rPr>
      <w:b/>
      <w:bCs/>
      <w:kern w:val="44"/>
      <w:sz w:val="44"/>
      <w:szCs w:val="44"/>
    </w:rPr>
  </w:style>
  <w:style w:type="character" w:customStyle="1" w:styleId="83">
    <w:name w:val="正文缩进 字符2"/>
    <w:link w:val="5"/>
    <w:qFormat/>
    <w:uiPriority w:val="0"/>
    <w:rPr>
      <w:rFonts w:ascii="宋体" w:eastAsia="宋体"/>
      <w:snapToGrid w:val="0"/>
      <w:color w:val="000000"/>
      <w:kern w:val="28"/>
      <w:sz w:val="28"/>
      <w:lang w:val="en-US" w:eastAsia="zh-CN" w:bidi="ar-SA"/>
    </w:rPr>
  </w:style>
  <w:style w:type="character" w:customStyle="1" w:styleId="84">
    <w:name w:val="标题 3 字符1"/>
    <w:basedOn w:val="72"/>
    <w:link w:val="4"/>
    <w:qFormat/>
    <w:uiPriority w:val="9"/>
    <w:rPr>
      <w:b/>
      <w:bCs/>
      <w:kern w:val="2"/>
      <w:sz w:val="32"/>
      <w:szCs w:val="32"/>
    </w:rPr>
  </w:style>
  <w:style w:type="character" w:customStyle="1" w:styleId="85">
    <w:name w:val="标题 4 字符1"/>
    <w:link w:val="6"/>
    <w:qFormat/>
    <w:uiPriority w:val="9"/>
    <w:rPr>
      <w:rFonts w:ascii="Arial" w:hAnsi="Arial" w:eastAsia="黑体"/>
      <w:b/>
      <w:bCs/>
      <w:kern w:val="2"/>
      <w:sz w:val="28"/>
      <w:szCs w:val="28"/>
      <w:lang w:val="zh-CN"/>
    </w:rPr>
  </w:style>
  <w:style w:type="character" w:customStyle="1" w:styleId="86">
    <w:name w:val="标题 5 字符1"/>
    <w:link w:val="7"/>
    <w:qFormat/>
    <w:uiPriority w:val="9"/>
    <w:rPr>
      <w:b/>
      <w:bCs/>
      <w:kern w:val="2"/>
      <w:sz w:val="28"/>
      <w:szCs w:val="28"/>
    </w:rPr>
  </w:style>
  <w:style w:type="character" w:customStyle="1" w:styleId="87">
    <w:name w:val="标题 6 字符1"/>
    <w:link w:val="8"/>
    <w:qFormat/>
    <w:uiPriority w:val="0"/>
    <w:rPr>
      <w:rFonts w:ascii="Arial" w:hAnsi="Arial" w:eastAsia="黑体"/>
      <w:b/>
      <w:bCs/>
      <w:kern w:val="2"/>
      <w:sz w:val="24"/>
      <w:szCs w:val="24"/>
    </w:rPr>
  </w:style>
  <w:style w:type="character" w:customStyle="1" w:styleId="88">
    <w:name w:val="标题 7 字符1"/>
    <w:link w:val="9"/>
    <w:qFormat/>
    <w:uiPriority w:val="0"/>
    <w:rPr>
      <w:b/>
      <w:bCs/>
      <w:kern w:val="2"/>
      <w:sz w:val="24"/>
      <w:szCs w:val="24"/>
    </w:rPr>
  </w:style>
  <w:style w:type="character" w:customStyle="1" w:styleId="89">
    <w:name w:val="标题 8 字符1"/>
    <w:link w:val="10"/>
    <w:qFormat/>
    <w:uiPriority w:val="0"/>
    <w:rPr>
      <w:rFonts w:ascii="Arial" w:hAnsi="Arial" w:eastAsia="黑体"/>
      <w:kern w:val="2"/>
      <w:sz w:val="24"/>
      <w:szCs w:val="24"/>
    </w:rPr>
  </w:style>
  <w:style w:type="character" w:customStyle="1" w:styleId="90">
    <w:name w:val="标题 9 字符1"/>
    <w:link w:val="11"/>
    <w:qFormat/>
    <w:uiPriority w:val="0"/>
    <w:rPr>
      <w:rFonts w:ascii="Arial" w:hAnsi="Arial" w:eastAsia="黑体"/>
      <w:kern w:val="2"/>
      <w:sz w:val="21"/>
      <w:szCs w:val="21"/>
    </w:rPr>
  </w:style>
  <w:style w:type="character" w:customStyle="1" w:styleId="91">
    <w:name w:val="题注 字符"/>
    <w:link w:val="16"/>
    <w:qFormat/>
    <w:uiPriority w:val="0"/>
    <w:rPr>
      <w:b/>
      <w:kern w:val="2"/>
      <w:sz w:val="28"/>
    </w:rPr>
  </w:style>
  <w:style w:type="character" w:customStyle="1" w:styleId="92">
    <w:name w:val="文档结构图 字符2"/>
    <w:link w:val="19"/>
    <w:qFormat/>
    <w:uiPriority w:val="0"/>
    <w:rPr>
      <w:kern w:val="2"/>
      <w:sz w:val="21"/>
      <w:szCs w:val="24"/>
      <w:shd w:val="clear" w:color="auto" w:fill="000080"/>
    </w:rPr>
  </w:style>
  <w:style w:type="character" w:customStyle="1" w:styleId="93">
    <w:name w:val="批注文字 字符1"/>
    <w:link w:val="21"/>
    <w:qFormat/>
    <w:uiPriority w:val="0"/>
    <w:rPr>
      <w:kern w:val="2"/>
      <w:sz w:val="21"/>
      <w:szCs w:val="24"/>
    </w:rPr>
  </w:style>
  <w:style w:type="character" w:customStyle="1" w:styleId="94">
    <w:name w:val="称呼 字符"/>
    <w:link w:val="22"/>
    <w:qFormat/>
    <w:uiPriority w:val="0"/>
    <w:rPr>
      <w:rFonts w:ascii="仿宋_GB2312" w:eastAsia="仿宋_GB2312"/>
      <w:kern w:val="2"/>
      <w:sz w:val="28"/>
    </w:rPr>
  </w:style>
  <w:style w:type="character" w:customStyle="1" w:styleId="95">
    <w:name w:val="正文文本 3 字符"/>
    <w:link w:val="23"/>
    <w:qFormat/>
    <w:uiPriority w:val="99"/>
    <w:rPr>
      <w:kern w:val="2"/>
      <w:sz w:val="21"/>
    </w:rPr>
  </w:style>
  <w:style w:type="character" w:customStyle="1" w:styleId="96">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7">
    <w:name w:val="正文文本缩进 字符2"/>
    <w:link w:val="27"/>
    <w:qFormat/>
    <w:uiPriority w:val="0"/>
    <w:rPr>
      <w:rFonts w:ascii="宋体" w:hAnsi="宋体"/>
      <w:kern w:val="2"/>
      <w:sz w:val="24"/>
      <w:szCs w:val="24"/>
    </w:rPr>
  </w:style>
  <w:style w:type="character" w:customStyle="1" w:styleId="98">
    <w:name w:val="HTML 地址 字符"/>
    <w:link w:val="33"/>
    <w:qFormat/>
    <w:uiPriority w:val="0"/>
    <w:rPr>
      <w:rFonts w:ascii="宋体" w:hAnsi="宋体"/>
      <w:i/>
      <w:iCs/>
      <w:sz w:val="24"/>
      <w:szCs w:val="24"/>
    </w:rPr>
  </w:style>
  <w:style w:type="character" w:customStyle="1" w:styleId="99">
    <w:name w:val="纯文本 字符2"/>
    <w:link w:val="36"/>
    <w:qFormat/>
    <w:uiPriority w:val="0"/>
    <w:rPr>
      <w:rFonts w:ascii="宋体" w:hAnsi="Courier New" w:eastAsia="宋体" w:cs="Arial"/>
      <w:snapToGrid w:val="0"/>
      <w:kern w:val="2"/>
      <w:sz w:val="21"/>
      <w:szCs w:val="21"/>
      <w:lang w:val="en-US" w:eastAsia="zh-CN" w:bidi="ar-SA"/>
    </w:rPr>
  </w:style>
  <w:style w:type="character" w:customStyle="1" w:styleId="100">
    <w:name w:val="日期 字符"/>
    <w:link w:val="39"/>
    <w:qFormat/>
    <w:uiPriority w:val="0"/>
    <w:rPr>
      <w:rFonts w:ascii="宋体"/>
      <w:kern w:val="2"/>
      <w:sz w:val="24"/>
      <w:szCs w:val="21"/>
      <w:lang w:val="zh-CN"/>
    </w:rPr>
  </w:style>
  <w:style w:type="character" w:customStyle="1" w:styleId="101">
    <w:name w:val="正文文本缩进 2 字符1"/>
    <w:link w:val="40"/>
    <w:qFormat/>
    <w:uiPriority w:val="0"/>
    <w:rPr>
      <w:rFonts w:ascii="宋体"/>
      <w:sz w:val="28"/>
    </w:rPr>
  </w:style>
  <w:style w:type="character" w:customStyle="1" w:styleId="102">
    <w:name w:val="尾注文本 字符"/>
    <w:link w:val="41"/>
    <w:qFormat/>
    <w:uiPriority w:val="0"/>
    <w:rPr>
      <w:kern w:val="2"/>
      <w:sz w:val="21"/>
      <w:szCs w:val="24"/>
      <w:lang w:val="zh-CN"/>
    </w:rPr>
  </w:style>
  <w:style w:type="character" w:customStyle="1" w:styleId="103">
    <w:name w:val="批注框文本 字符1"/>
    <w:link w:val="42"/>
    <w:qFormat/>
    <w:uiPriority w:val="0"/>
    <w:rPr>
      <w:kern w:val="2"/>
      <w:sz w:val="18"/>
      <w:szCs w:val="18"/>
    </w:rPr>
  </w:style>
  <w:style w:type="character" w:customStyle="1" w:styleId="104">
    <w:name w:val="页脚 字符2"/>
    <w:link w:val="43"/>
    <w:qFormat/>
    <w:locked/>
    <w:uiPriority w:val="99"/>
    <w:rPr>
      <w:kern w:val="2"/>
      <w:sz w:val="18"/>
      <w:szCs w:val="18"/>
    </w:rPr>
  </w:style>
  <w:style w:type="character" w:customStyle="1" w:styleId="105">
    <w:name w:val="页眉 字符2"/>
    <w:link w:val="44"/>
    <w:qFormat/>
    <w:uiPriority w:val="99"/>
    <w:rPr>
      <w:kern w:val="2"/>
      <w:sz w:val="18"/>
      <w:szCs w:val="18"/>
    </w:rPr>
  </w:style>
  <w:style w:type="character" w:customStyle="1" w:styleId="106">
    <w:name w:val="签名 字符"/>
    <w:link w:val="45"/>
    <w:qFormat/>
    <w:uiPriority w:val="0"/>
    <w:rPr>
      <w:rFonts w:eastAsia="仿宋_GB2312"/>
      <w:sz w:val="24"/>
    </w:rPr>
  </w:style>
  <w:style w:type="character" w:customStyle="1" w:styleId="107">
    <w:name w:val="副标题 字符"/>
    <w:link w:val="50"/>
    <w:qFormat/>
    <w:uiPriority w:val="0"/>
    <w:rPr>
      <w:rFonts w:ascii="Arial" w:hAnsi="Arial" w:eastAsia="隶书"/>
      <w:b/>
      <w:bCs/>
      <w:kern w:val="28"/>
      <w:sz w:val="44"/>
      <w:szCs w:val="32"/>
      <w:lang w:val="en-US" w:eastAsia="zh-CN" w:bidi="ar-SA"/>
    </w:rPr>
  </w:style>
  <w:style w:type="character" w:customStyle="1" w:styleId="108">
    <w:name w:val="脚注文本 字符"/>
    <w:link w:val="53"/>
    <w:qFormat/>
    <w:uiPriority w:val="0"/>
    <w:rPr>
      <w:color w:val="0000FF"/>
      <w:sz w:val="21"/>
    </w:rPr>
  </w:style>
  <w:style w:type="character" w:customStyle="1" w:styleId="109">
    <w:name w:val="正文文本缩进 3 字符"/>
    <w:link w:val="56"/>
    <w:qFormat/>
    <w:uiPriority w:val="0"/>
    <w:rPr>
      <w:kern w:val="2"/>
      <w:sz w:val="24"/>
    </w:rPr>
  </w:style>
  <w:style w:type="character" w:customStyle="1" w:styleId="110">
    <w:name w:val="正文文本 2 字符1"/>
    <w:link w:val="60"/>
    <w:qFormat/>
    <w:uiPriority w:val="0"/>
    <w:rPr>
      <w:kern w:val="2"/>
      <w:sz w:val="21"/>
      <w:szCs w:val="24"/>
    </w:rPr>
  </w:style>
  <w:style w:type="character" w:customStyle="1" w:styleId="111">
    <w:name w:val="HTML 预设格式 字符"/>
    <w:link w:val="61"/>
    <w:qFormat/>
    <w:uiPriority w:val="0"/>
    <w:rPr>
      <w:rFonts w:ascii="黑体" w:hAnsi="Courier New" w:eastAsia="黑体"/>
    </w:rPr>
  </w:style>
  <w:style w:type="character" w:customStyle="1" w:styleId="112">
    <w:name w:val="标题 字符1"/>
    <w:link w:val="63"/>
    <w:qFormat/>
    <w:uiPriority w:val="0"/>
    <w:rPr>
      <w:b/>
      <w:sz w:val="24"/>
      <w:lang w:val="en-GB"/>
    </w:rPr>
  </w:style>
  <w:style w:type="character" w:customStyle="1" w:styleId="113">
    <w:name w:val="批注主题 字符1"/>
    <w:link w:val="64"/>
    <w:qFormat/>
    <w:uiPriority w:val="0"/>
    <w:rPr>
      <w:b/>
      <w:bCs/>
      <w:kern w:val="2"/>
      <w:sz w:val="21"/>
      <w:szCs w:val="24"/>
    </w:rPr>
  </w:style>
  <w:style w:type="character" w:customStyle="1" w:styleId="114">
    <w:name w:val="正文首行缩进 字符"/>
    <w:link w:val="26"/>
    <w:qFormat/>
    <w:uiPriority w:val="99"/>
    <w:rPr>
      <w:rFonts w:ascii="宋体"/>
      <w:kern w:val="2"/>
      <w:sz w:val="24"/>
      <w:lang w:val="zh-CN"/>
    </w:rPr>
  </w:style>
  <w:style w:type="character" w:customStyle="1" w:styleId="115">
    <w:name w:val="正文首行缩进 2 字符"/>
    <w:link w:val="28"/>
    <w:qFormat/>
    <w:uiPriority w:val="0"/>
    <w:rPr>
      <w:rFonts w:ascii="宋体" w:hAnsi="宋体"/>
      <w:kern w:val="2"/>
      <w:sz w:val="21"/>
      <w:szCs w:val="24"/>
    </w:rPr>
  </w:style>
  <w:style w:type="character" w:customStyle="1" w:styleId="116">
    <w:name w:val="表格非标题文字 Char"/>
    <w:link w:val="117"/>
    <w:qFormat/>
    <w:uiPriority w:val="0"/>
    <w:rPr>
      <w:rFonts w:ascii="Futura Bk" w:hAnsi="Futura Bk"/>
      <w:kern w:val="2"/>
      <w:sz w:val="18"/>
      <w:szCs w:val="21"/>
      <w:lang w:val="en-US" w:eastAsia="zh-CN" w:bidi="ar-SA"/>
    </w:rPr>
  </w:style>
  <w:style w:type="paragraph" w:customStyle="1" w:styleId="117">
    <w:name w:val="表格非标题文字"/>
    <w:link w:val="11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8">
    <w:name w:val="*正文 Char"/>
    <w:link w:val="119"/>
    <w:qFormat/>
    <w:locked/>
    <w:uiPriority w:val="0"/>
    <w:rPr>
      <w:rFonts w:ascii="宋体" w:hAnsi="宋体"/>
      <w:sz w:val="24"/>
    </w:rPr>
  </w:style>
  <w:style w:type="paragraph" w:customStyle="1" w:styleId="119">
    <w:name w:val="*正文"/>
    <w:basedOn w:val="1"/>
    <w:link w:val="118"/>
    <w:qFormat/>
    <w:uiPriority w:val="0"/>
    <w:pPr>
      <w:snapToGrid w:val="0"/>
      <w:spacing w:line="360" w:lineRule="auto"/>
      <w:ind w:firstLine="482"/>
      <w:jc w:val="left"/>
    </w:pPr>
    <w:rPr>
      <w:rFonts w:ascii="宋体" w:hAnsi="宋体"/>
      <w:kern w:val="0"/>
      <w:sz w:val="24"/>
      <w:szCs w:val="20"/>
    </w:rPr>
  </w:style>
  <w:style w:type="character" w:customStyle="1" w:styleId="120">
    <w:name w:val="Char Char71"/>
    <w:semiHidden/>
    <w:qFormat/>
    <w:uiPriority w:val="0"/>
    <w:rPr>
      <w:rFonts w:eastAsia="宋体"/>
      <w:kern w:val="2"/>
      <w:sz w:val="21"/>
      <w:szCs w:val="24"/>
      <w:lang w:val="en-US" w:eastAsia="zh-CN" w:bidi="ar-SA"/>
    </w:rPr>
  </w:style>
  <w:style w:type="character" w:customStyle="1" w:styleId="121">
    <w:name w:val="Char Char6"/>
    <w:qFormat/>
    <w:uiPriority w:val="0"/>
    <w:rPr>
      <w:rFonts w:eastAsia="宋体"/>
      <w:kern w:val="2"/>
      <w:sz w:val="21"/>
      <w:szCs w:val="24"/>
      <w:lang w:val="en-US" w:eastAsia="zh-CN" w:bidi="ar-SA"/>
    </w:rPr>
  </w:style>
  <w:style w:type="character" w:customStyle="1" w:styleId="122">
    <w:name w:val="正文缩进 Char"/>
    <w:qFormat/>
    <w:uiPriority w:val="0"/>
    <w:rPr>
      <w:rFonts w:eastAsia="宋体"/>
      <w:kern w:val="2"/>
      <w:sz w:val="21"/>
      <w:lang w:val="en-US" w:eastAsia="zh-CN"/>
    </w:rPr>
  </w:style>
  <w:style w:type="character" w:customStyle="1" w:styleId="123">
    <w:name w:val="正文首行缩进 Char1"/>
    <w:qFormat/>
    <w:uiPriority w:val="0"/>
    <w:rPr>
      <w:rFonts w:ascii="宋体" w:hAnsi="Times New Roman" w:eastAsia="宋体" w:cs="Times New Roman"/>
      <w:snapToGrid w:val="0"/>
      <w:kern w:val="2"/>
      <w:sz w:val="24"/>
      <w:szCs w:val="21"/>
      <w:lang w:val="zh-CN"/>
    </w:rPr>
  </w:style>
  <w:style w:type="character" w:customStyle="1" w:styleId="124">
    <w:name w:val="Char Char28"/>
    <w:qFormat/>
    <w:uiPriority w:val="6"/>
    <w:rPr>
      <w:rFonts w:ascii="仿宋_GB2312" w:hAnsi="仿宋_GB2312" w:eastAsia="仿宋_GB2312"/>
      <w:kern w:val="1"/>
      <w:sz w:val="28"/>
    </w:rPr>
  </w:style>
  <w:style w:type="character" w:customStyle="1" w:styleId="1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6">
    <w:name w:val="Heading 1 Char"/>
    <w:qFormat/>
    <w:uiPriority w:val="6"/>
    <w:rPr>
      <w:rFonts w:ascii="Times New Roman" w:hAnsi="Times New Roman" w:eastAsia="黑体" w:cs="Times New Roman"/>
      <w:b/>
      <w:kern w:val="0"/>
      <w:sz w:val="24"/>
      <w:szCs w:val="24"/>
    </w:rPr>
  </w:style>
  <w:style w:type="character" w:customStyle="1" w:styleId="127">
    <w:name w:val="U_正文 Char"/>
    <w:link w:val="128"/>
    <w:qFormat/>
    <w:uiPriority w:val="0"/>
    <w:rPr>
      <w:sz w:val="24"/>
      <w:szCs w:val="24"/>
    </w:rPr>
  </w:style>
  <w:style w:type="paragraph" w:customStyle="1" w:styleId="128">
    <w:name w:val="U_正文"/>
    <w:basedOn w:val="1"/>
    <w:link w:val="127"/>
    <w:qFormat/>
    <w:uiPriority w:val="0"/>
    <w:pPr>
      <w:adjustRightInd/>
      <w:spacing w:beforeLines="20" w:afterLines="20" w:line="300" w:lineRule="auto"/>
      <w:ind w:firstLine="200" w:firstLineChars="200"/>
    </w:pPr>
    <w:rPr>
      <w:kern w:val="0"/>
      <w:sz w:val="24"/>
    </w:rPr>
  </w:style>
  <w:style w:type="character" w:customStyle="1" w:styleId="129">
    <w:name w:val="HTML 地址 Char1"/>
    <w:qFormat/>
    <w:uiPriority w:val="0"/>
    <w:rPr>
      <w:rFonts w:ascii="Times New Roman" w:hAnsi="Times New Roman" w:eastAsia="宋体" w:cs="Times New Roman"/>
      <w:i/>
      <w:iCs/>
      <w:szCs w:val="24"/>
    </w:rPr>
  </w:style>
  <w:style w:type="character" w:customStyle="1" w:styleId="130">
    <w:name w:val="Char Char51"/>
    <w:qFormat/>
    <w:uiPriority w:val="0"/>
    <w:rPr>
      <w:rFonts w:ascii="宋体" w:hAnsi="Courier New" w:eastAsia="宋体"/>
      <w:kern w:val="2"/>
      <w:sz w:val="21"/>
      <w:lang w:val="en-US" w:eastAsia="zh-CN"/>
    </w:rPr>
  </w:style>
  <w:style w:type="character" w:customStyle="1" w:styleId="131">
    <w:name w:val="表正文 Char"/>
    <w:qFormat/>
    <w:uiPriority w:val="0"/>
    <w:rPr>
      <w:rFonts w:ascii="宋体" w:eastAsia="宋体"/>
      <w:snapToGrid w:val="0"/>
      <w:color w:val="000000"/>
      <w:kern w:val="28"/>
      <w:sz w:val="28"/>
      <w:lang w:val="en-US" w:eastAsia="zh-CN" w:bidi="ar-SA"/>
    </w:rPr>
  </w:style>
  <w:style w:type="character" w:customStyle="1" w:styleId="132">
    <w:name w:val="Char Char34"/>
    <w:qFormat/>
    <w:uiPriority w:val="6"/>
    <w:rPr>
      <w:b/>
      <w:kern w:val="1"/>
      <w:sz w:val="28"/>
      <w:szCs w:val="28"/>
    </w:rPr>
  </w:style>
  <w:style w:type="character" w:customStyle="1" w:styleId="1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4">
    <w:name w:val="哈哈正文 Char"/>
    <w:link w:val="135"/>
    <w:qFormat/>
    <w:uiPriority w:val="0"/>
    <w:rPr>
      <w:rFonts w:ascii="宋体" w:hAnsi="宋体" w:eastAsia="宋体"/>
      <w:kern w:val="2"/>
      <w:sz w:val="24"/>
      <w:lang w:bidi="ar-SA"/>
    </w:rPr>
  </w:style>
  <w:style w:type="paragraph" w:customStyle="1" w:styleId="135">
    <w:name w:val="哈哈正文"/>
    <w:basedOn w:val="1"/>
    <w:link w:val="134"/>
    <w:qFormat/>
    <w:uiPriority w:val="0"/>
    <w:pPr>
      <w:adjustRightInd/>
      <w:spacing w:line="360" w:lineRule="auto"/>
      <w:ind w:firstLine="200" w:firstLineChars="200"/>
    </w:pPr>
    <w:rPr>
      <w:rFonts w:ascii="宋体" w:hAnsi="宋体"/>
      <w:sz w:val="24"/>
      <w:szCs w:val="20"/>
    </w:rPr>
  </w:style>
  <w:style w:type="character" w:customStyle="1" w:styleId="136">
    <w:name w:val="未处理的提及1"/>
    <w:qFormat/>
    <w:uiPriority w:val="0"/>
    <w:rPr>
      <w:color w:val="808080"/>
      <w:shd w:val="clear" w:color="auto" w:fill="E6E6E6"/>
    </w:rPr>
  </w:style>
  <w:style w:type="character" w:customStyle="1" w:styleId="137">
    <w:name w:val="txt"/>
    <w:qFormat/>
    <w:uiPriority w:val="0"/>
    <w:rPr>
      <w:rFonts w:ascii="仿宋_GB2312" w:eastAsia="微软雅黑"/>
      <w:b/>
      <w:kern w:val="2"/>
      <w:sz w:val="32"/>
      <w:szCs w:val="32"/>
      <w:lang w:val="en-US" w:eastAsia="zh-CN" w:bidi="ar-SA"/>
    </w:rPr>
  </w:style>
  <w:style w:type="character" w:customStyle="1" w:styleId="138">
    <w:name w:val="二级标题 Char Char"/>
    <w:qFormat/>
    <w:uiPriority w:val="0"/>
    <w:rPr>
      <w:rFonts w:ascii="宋体" w:hAnsi="宋体" w:eastAsia="宋体"/>
      <w:b/>
      <w:snapToGrid w:val="0"/>
      <w:kern w:val="2"/>
      <w:sz w:val="24"/>
      <w:szCs w:val="24"/>
      <w:lang w:val="en-US" w:eastAsia="zh-CN" w:bidi="ar-SA"/>
    </w:rPr>
  </w:style>
  <w:style w:type="character" w:customStyle="1" w:styleId="139">
    <w:name w:val="Char Char32"/>
    <w:qFormat/>
    <w:uiPriority w:val="6"/>
    <w:rPr>
      <w:b/>
      <w:kern w:val="1"/>
      <w:sz w:val="24"/>
      <w:szCs w:val="24"/>
    </w:rPr>
  </w:style>
  <w:style w:type="character" w:customStyle="1" w:styleId="140">
    <w:name w:val="PI Char1"/>
    <w:qFormat/>
    <w:uiPriority w:val="0"/>
    <w:rPr>
      <w:rFonts w:ascii="宋体" w:hAnsi="宋体"/>
      <w:kern w:val="2"/>
      <w:sz w:val="24"/>
      <w:szCs w:val="24"/>
    </w:rPr>
  </w:style>
  <w:style w:type="character" w:customStyle="1" w:styleId="141">
    <w:name w:val="tw4winTerm"/>
    <w:qFormat/>
    <w:uiPriority w:val="0"/>
    <w:rPr>
      <w:color w:val="0000FF"/>
    </w:rPr>
  </w:style>
  <w:style w:type="character" w:customStyle="1" w:styleId="142">
    <w:name w:val="Footer Char"/>
    <w:qFormat/>
    <w:locked/>
    <w:uiPriority w:val="0"/>
    <w:rPr>
      <w:rFonts w:eastAsia="宋体"/>
      <w:kern w:val="2"/>
      <w:sz w:val="18"/>
      <w:lang w:val="en-US" w:eastAsia="zh-CN" w:bidi="ar-SA"/>
    </w:rPr>
  </w:style>
  <w:style w:type="character" w:customStyle="1" w:styleId="143">
    <w:name w:val="普通文字 Char Char1"/>
    <w:qFormat/>
    <w:uiPriority w:val="0"/>
    <w:rPr>
      <w:rFonts w:ascii="宋体" w:hAnsi="Courier New"/>
      <w:kern w:val="2"/>
      <w:sz w:val="21"/>
    </w:rPr>
  </w:style>
  <w:style w:type="character" w:customStyle="1" w:styleId="144">
    <w:name w:val="Char Char101"/>
    <w:qFormat/>
    <w:uiPriority w:val="6"/>
    <w:rPr>
      <w:rFonts w:ascii="宋体" w:hAnsi="宋体"/>
      <w:kern w:val="2"/>
      <w:sz w:val="21"/>
      <w:szCs w:val="24"/>
      <w:lang w:val="en-US" w:eastAsia="zh-CN"/>
    </w:rPr>
  </w:style>
  <w:style w:type="character" w:customStyle="1" w:styleId="145">
    <w:name w:val="标题 4 Char"/>
    <w:qFormat/>
    <w:uiPriority w:val="0"/>
    <w:rPr>
      <w:rFonts w:ascii="Arial" w:hAnsi="Arial" w:eastAsia="黑体"/>
      <w:b/>
      <w:kern w:val="2"/>
      <w:sz w:val="28"/>
    </w:rPr>
  </w:style>
  <w:style w:type="character" w:customStyle="1" w:styleId="146">
    <w:name w:val="链接"/>
    <w:qFormat/>
    <w:uiPriority w:val="0"/>
    <w:rPr>
      <w:color w:val="0000FF"/>
      <w:sz w:val="21"/>
      <w:szCs w:val="21"/>
      <w:u w:val="single"/>
    </w:rPr>
  </w:style>
  <w:style w:type="character" w:customStyle="1" w:styleId="147">
    <w:name w:val="h4 Char"/>
    <w:qFormat/>
    <w:uiPriority w:val="0"/>
    <w:rPr>
      <w:rFonts w:ascii="Arial" w:hAnsi="Arial" w:eastAsia="黑体"/>
      <w:b/>
      <w:bCs/>
      <w:kern w:val="2"/>
      <w:sz w:val="28"/>
      <w:szCs w:val="28"/>
      <w:lang w:val="zh-CN" w:eastAsia="zh-CN" w:bidi="ar-SA"/>
    </w:rPr>
  </w:style>
  <w:style w:type="character" w:customStyle="1" w:styleId="148">
    <w:name w:val="5正文 Char"/>
    <w:link w:val="149"/>
    <w:qFormat/>
    <w:uiPriority w:val="0"/>
    <w:rPr>
      <w:rFonts w:ascii="仿宋_GB2312" w:hAnsi="微软雅黑" w:eastAsia="仿宋_GB2312"/>
      <w:sz w:val="28"/>
      <w:szCs w:val="21"/>
    </w:rPr>
  </w:style>
  <w:style w:type="paragraph" w:customStyle="1" w:styleId="149">
    <w:name w:val="5正文"/>
    <w:basedOn w:val="1"/>
    <w:link w:val="14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0">
    <w:name w:val="标题 3 字符"/>
    <w:qFormat/>
    <w:uiPriority w:val="9"/>
    <w:rPr>
      <w:b/>
      <w:bCs/>
      <w:kern w:val="2"/>
      <w:sz w:val="32"/>
      <w:szCs w:val="32"/>
    </w:rPr>
  </w:style>
  <w:style w:type="character" w:customStyle="1" w:styleId="151">
    <w:name w:val="样式6 Char"/>
    <w:qFormat/>
    <w:uiPriority w:val="0"/>
    <w:rPr>
      <w:rFonts w:ascii="仿宋_GB2312" w:hAnsi="宋体" w:eastAsia="仿宋_GB2312"/>
      <w:b/>
      <w:bCs/>
      <w:kern w:val="2"/>
      <w:sz w:val="24"/>
      <w:szCs w:val="24"/>
      <w:lang w:val="en-US" w:eastAsia="zh-CN" w:bidi="ar-SA"/>
    </w:rPr>
  </w:style>
  <w:style w:type="character" w:customStyle="1" w:styleId="152">
    <w:name w:val="Char Char14"/>
    <w:qFormat/>
    <w:uiPriority w:val="6"/>
    <w:rPr>
      <w:rFonts w:ascii="黑体" w:hAnsi="黑体" w:eastAsia="黑体"/>
    </w:rPr>
  </w:style>
  <w:style w:type="character" w:customStyle="1" w:styleId="153">
    <w:name w:val="Heading 2 Hidden Char"/>
    <w:qFormat/>
    <w:uiPriority w:val="0"/>
    <w:rPr>
      <w:rFonts w:ascii="仿宋_GB2312" w:eastAsia="仿宋_GB2312"/>
      <w:b/>
      <w:bCs/>
      <w:kern w:val="2"/>
      <w:sz w:val="24"/>
      <w:szCs w:val="24"/>
      <w:lang w:val="zh-CN" w:eastAsia="zh-CN" w:bidi="ar-SA"/>
    </w:rPr>
  </w:style>
  <w:style w:type="character" w:customStyle="1" w:styleId="154">
    <w:name w:val="font11"/>
    <w:basedOn w:val="72"/>
    <w:qFormat/>
    <w:uiPriority w:val="0"/>
    <w:rPr>
      <w:rFonts w:hint="default" w:ascii="Times New Roman" w:hAnsi="Times New Roman" w:cs="Times New Roman"/>
      <w:color w:val="000000"/>
      <w:sz w:val="22"/>
      <w:szCs w:val="22"/>
      <w:u w:val="none"/>
    </w:rPr>
  </w:style>
  <w:style w:type="character" w:customStyle="1" w:styleId="155">
    <w:name w:val="表正文 Char1"/>
    <w:qFormat/>
    <w:uiPriority w:val="0"/>
    <w:rPr>
      <w:rFonts w:ascii="宋体" w:eastAsia="宋体"/>
      <w:snapToGrid w:val="0"/>
      <w:color w:val="000000"/>
      <w:kern w:val="28"/>
      <w:sz w:val="28"/>
    </w:rPr>
  </w:style>
  <w:style w:type="character" w:customStyle="1" w:styleId="156">
    <w:name w:val="blue1"/>
    <w:basedOn w:val="72"/>
    <w:qFormat/>
    <w:uiPriority w:val="0"/>
    <w:rPr>
      <w:rFonts w:ascii="Arial" w:hAnsi="Arial" w:eastAsia="黑体" w:cs="Arial"/>
      <w:snapToGrid w:val="0"/>
      <w:kern w:val="0"/>
      <w:szCs w:val="21"/>
    </w:rPr>
  </w:style>
  <w:style w:type="character" w:customStyle="1" w:styleId="157">
    <w:name w:val="标书1 Char"/>
    <w:qFormat/>
    <w:uiPriority w:val="0"/>
    <w:rPr>
      <w:rFonts w:eastAsia="宋体"/>
      <w:b/>
      <w:bCs/>
      <w:kern w:val="44"/>
      <w:sz w:val="44"/>
      <w:szCs w:val="44"/>
      <w:lang w:val="en-US" w:eastAsia="zh-CN" w:bidi="ar-SA"/>
    </w:rPr>
  </w:style>
  <w:style w:type="character" w:customStyle="1" w:styleId="158">
    <w:name w:val="样式5 Char"/>
    <w:qFormat/>
    <w:uiPriority w:val="0"/>
    <w:rPr>
      <w:rFonts w:ascii="仿宋_GB2312" w:hAnsi="仿宋" w:eastAsia="仿宋_GB2312"/>
      <w:kern w:val="2"/>
      <w:sz w:val="24"/>
      <w:szCs w:val="24"/>
    </w:rPr>
  </w:style>
  <w:style w:type="character" w:customStyle="1" w:styleId="159">
    <w:name w:val="样式4 Char"/>
    <w:qFormat/>
    <w:uiPriority w:val="0"/>
    <w:rPr>
      <w:rFonts w:ascii="仿宋_GB2312" w:hAnsi="仿宋" w:eastAsia="仿宋_GB2312"/>
      <w:b/>
      <w:kern w:val="2"/>
      <w:sz w:val="32"/>
      <w:szCs w:val="32"/>
      <w:lang w:bidi="ar-SA"/>
    </w:rPr>
  </w:style>
  <w:style w:type="character" w:customStyle="1" w:styleId="160">
    <w:name w:val="插图说明 Char"/>
    <w:qFormat/>
    <w:uiPriority w:val="0"/>
    <w:rPr>
      <w:rFonts w:eastAsia="黑体"/>
      <w:sz w:val="24"/>
      <w:lang w:val="en-US" w:eastAsia="zh-CN"/>
    </w:rPr>
  </w:style>
  <w:style w:type="character" w:customStyle="1" w:styleId="161">
    <w:name w:val="正文2 Char Char"/>
    <w:link w:val="162"/>
    <w:qFormat/>
    <w:uiPriority w:val="0"/>
    <w:rPr>
      <w:rFonts w:eastAsia="宋体"/>
      <w:kern w:val="2"/>
      <w:sz w:val="24"/>
      <w:lang w:val="en-US" w:eastAsia="zh-CN" w:bidi="ar-SA"/>
    </w:rPr>
  </w:style>
  <w:style w:type="paragraph" w:customStyle="1" w:styleId="162">
    <w:name w:val="正文2"/>
    <w:basedOn w:val="1"/>
    <w:link w:val="161"/>
    <w:qFormat/>
    <w:uiPriority w:val="0"/>
    <w:pPr>
      <w:spacing w:before="156" w:line="360" w:lineRule="auto"/>
      <w:ind w:firstLine="510" w:firstLineChars="200"/>
    </w:pPr>
    <w:rPr>
      <w:sz w:val="24"/>
      <w:szCs w:val="20"/>
    </w:rPr>
  </w:style>
  <w:style w:type="character" w:customStyle="1" w:styleId="163">
    <w:name w:val="Char Char24"/>
    <w:qFormat/>
    <w:uiPriority w:val="6"/>
    <w:rPr>
      <w:kern w:val="1"/>
      <w:sz w:val="21"/>
    </w:rPr>
  </w:style>
  <w:style w:type="character" w:customStyle="1" w:styleId="164">
    <w:name w:val="普通文字 Char1 Char"/>
    <w:qFormat/>
    <w:uiPriority w:val="0"/>
    <w:rPr>
      <w:rFonts w:ascii="宋体" w:hAnsi="Courier New" w:eastAsia="宋体"/>
      <w:kern w:val="2"/>
      <w:sz w:val="21"/>
      <w:szCs w:val="24"/>
      <w:lang w:val="en-US" w:eastAsia="zh-CN" w:bidi="ar-SA"/>
    </w:rPr>
  </w:style>
  <w:style w:type="character" w:customStyle="1" w:styleId="165">
    <w:name w:val="h3 Char1"/>
    <w:qFormat/>
    <w:uiPriority w:val="0"/>
    <w:rPr>
      <w:rFonts w:eastAsia="宋体"/>
      <w:b/>
      <w:bCs/>
      <w:kern w:val="2"/>
      <w:sz w:val="32"/>
      <w:szCs w:val="32"/>
      <w:lang w:bidi="ar-SA"/>
    </w:rPr>
  </w:style>
  <w:style w:type="character" w:customStyle="1" w:styleId="166">
    <w:name w:val="标题 Char1"/>
    <w:qFormat/>
    <w:uiPriority w:val="0"/>
    <w:rPr>
      <w:rFonts w:ascii="Cambria" w:hAnsi="Cambria" w:eastAsia="宋体" w:cs="Times New Roman"/>
      <w:b/>
      <w:bCs/>
      <w:sz w:val="32"/>
      <w:szCs w:val="32"/>
      <w:lang w:bidi="ar-SA"/>
    </w:rPr>
  </w:style>
  <w:style w:type="character" w:customStyle="1" w:styleId="167">
    <w:name w:val="gf正文1 Char"/>
    <w:qFormat/>
    <w:uiPriority w:val="0"/>
    <w:rPr>
      <w:rFonts w:ascii="宋体" w:hAnsi="宋体" w:eastAsia="宋体" w:cs="宋体"/>
      <w:kern w:val="2"/>
      <w:sz w:val="24"/>
      <w:szCs w:val="24"/>
      <w:lang w:val="en-US" w:eastAsia="zh-CN" w:bidi="ar-SA"/>
    </w:rPr>
  </w:style>
  <w:style w:type="character" w:customStyle="1" w:styleId="168">
    <w:name w:val="正文文本缩进 Char1"/>
    <w:qFormat/>
    <w:uiPriority w:val="0"/>
    <w:rPr>
      <w:rFonts w:ascii="Calibri" w:hAnsi="Calibri"/>
      <w:sz w:val="28"/>
    </w:rPr>
  </w:style>
  <w:style w:type="character" w:customStyle="1" w:styleId="169">
    <w:name w:val="No Spacing Char"/>
    <w:link w:val="170"/>
    <w:qFormat/>
    <w:uiPriority w:val="1"/>
    <w:rPr>
      <w:sz w:val="22"/>
      <w:szCs w:val="22"/>
      <w:lang w:val="en-US" w:eastAsia="zh-CN" w:bidi="ar-SA"/>
    </w:rPr>
  </w:style>
  <w:style w:type="paragraph" w:customStyle="1" w:styleId="170">
    <w:name w:val="无间隔1"/>
    <w:link w:val="169"/>
    <w:qFormat/>
    <w:uiPriority w:val="1"/>
    <w:rPr>
      <w:rFonts w:ascii="Times New Roman" w:hAnsi="Times New Roman" w:eastAsia="宋体" w:cs="Times New Roman"/>
      <w:sz w:val="22"/>
      <w:szCs w:val="22"/>
      <w:lang w:val="en-US" w:eastAsia="zh-CN" w:bidi="ar-SA"/>
    </w:rPr>
  </w:style>
  <w:style w:type="character" w:customStyle="1" w:styleId="171">
    <w:name w:val="样式7 Char"/>
    <w:qFormat/>
    <w:uiPriority w:val="0"/>
    <w:rPr>
      <w:rFonts w:ascii="仿宋_GB2312" w:hAnsi="仿宋" w:eastAsia="仿宋_GB2312"/>
      <w:b/>
      <w:kern w:val="2"/>
      <w:sz w:val="24"/>
      <w:szCs w:val="24"/>
    </w:rPr>
  </w:style>
  <w:style w:type="character" w:customStyle="1" w:styleId="172">
    <w:name w:val="font12gray1"/>
    <w:qFormat/>
    <w:uiPriority w:val="0"/>
    <w:rPr>
      <w:rFonts w:ascii="仿宋_GB2312" w:eastAsia="微软雅黑"/>
      <w:b/>
      <w:spacing w:val="300"/>
      <w:kern w:val="2"/>
      <w:sz w:val="18"/>
      <w:szCs w:val="18"/>
      <w:lang w:val="en-US" w:eastAsia="zh-CN" w:bidi="ar-SA"/>
    </w:rPr>
  </w:style>
  <w:style w:type="character" w:customStyle="1" w:styleId="173">
    <w:name w:val="Char Char7"/>
    <w:semiHidden/>
    <w:qFormat/>
    <w:uiPriority w:val="0"/>
    <w:rPr>
      <w:rFonts w:eastAsia="宋体"/>
      <w:kern w:val="2"/>
      <w:sz w:val="21"/>
      <w:szCs w:val="24"/>
      <w:lang w:val="en-US" w:eastAsia="zh-CN" w:bidi="ar-SA"/>
    </w:rPr>
  </w:style>
  <w:style w:type="character" w:customStyle="1" w:styleId="174">
    <w:name w:val="表名 Char"/>
    <w:qFormat/>
    <w:uiPriority w:val="0"/>
    <w:rPr>
      <w:rFonts w:eastAsia="宋体"/>
      <w:b/>
      <w:bCs/>
      <w:kern w:val="2"/>
      <w:sz w:val="24"/>
      <w:szCs w:val="24"/>
      <w:lang w:val="en-US" w:eastAsia="zh-CN" w:bidi="ar-SA"/>
    </w:rPr>
  </w:style>
  <w:style w:type="character" w:customStyle="1" w:styleId="175">
    <w:name w:val="Document Map Char"/>
    <w:qFormat/>
    <w:locked/>
    <w:uiPriority w:val="0"/>
    <w:rPr>
      <w:rFonts w:eastAsia="宋体"/>
      <w:kern w:val="2"/>
      <w:sz w:val="21"/>
      <w:szCs w:val="24"/>
      <w:lang w:val="en-US" w:eastAsia="zh-CN" w:bidi="ar-SA"/>
    </w:rPr>
  </w:style>
  <w:style w:type="character" w:customStyle="1" w:styleId="176">
    <w:name w:val="font41"/>
    <w:qFormat/>
    <w:uiPriority w:val="0"/>
    <w:rPr>
      <w:rFonts w:hint="eastAsia" w:ascii="仿宋_GB2312" w:eastAsia="仿宋_GB2312" w:cs="仿宋_GB2312"/>
      <w:color w:val="000000"/>
      <w:sz w:val="22"/>
      <w:szCs w:val="22"/>
      <w:u w:val="none"/>
    </w:rPr>
  </w:style>
  <w:style w:type="character" w:customStyle="1" w:styleId="177">
    <w:name w:val="纯文本 Char_0"/>
    <w:link w:val="178"/>
    <w:qFormat/>
    <w:uiPriority w:val="0"/>
    <w:rPr>
      <w:rFonts w:ascii="宋体" w:hAnsi="Courier New"/>
      <w:kern w:val="2"/>
      <w:sz w:val="21"/>
      <w:szCs w:val="21"/>
      <w:lang w:val="en-US" w:eastAsia="zh-CN"/>
    </w:rPr>
  </w:style>
  <w:style w:type="paragraph" w:customStyle="1" w:styleId="178">
    <w:name w:val="纯文本_0_0"/>
    <w:basedOn w:val="179"/>
    <w:link w:val="177"/>
    <w:qFormat/>
    <w:uiPriority w:val="0"/>
    <w:rPr>
      <w:rFonts w:ascii="宋体" w:hAnsi="Courier New"/>
      <w:szCs w:val="21"/>
    </w:rPr>
  </w:style>
  <w:style w:type="paragraph" w:customStyle="1" w:styleId="17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Balloon Text Char"/>
    <w:qFormat/>
    <w:locked/>
    <w:uiPriority w:val="0"/>
    <w:rPr>
      <w:rFonts w:eastAsia="宋体"/>
      <w:kern w:val="2"/>
      <w:sz w:val="18"/>
      <w:szCs w:val="18"/>
      <w:lang w:val="en-US" w:eastAsia="zh-CN" w:bidi="ar-SA"/>
    </w:rPr>
  </w:style>
  <w:style w:type="character" w:customStyle="1" w:styleId="181">
    <w:name w:val="正文 项目2 Char"/>
    <w:basedOn w:val="182"/>
    <w:qFormat/>
    <w:uiPriority w:val="0"/>
    <w:rPr>
      <w:rFonts w:ascii="仿宋_GB2312" w:hAnsi="仿宋_GB2312" w:eastAsia="仿宋_GB2312"/>
      <w:kern w:val="2"/>
      <w:sz w:val="24"/>
      <w:lang w:bidi="ar-SA"/>
    </w:rPr>
  </w:style>
  <w:style w:type="character" w:customStyle="1" w:styleId="182">
    <w:name w:val="正文 项目 Char"/>
    <w:qFormat/>
    <w:uiPriority w:val="0"/>
    <w:rPr>
      <w:rFonts w:ascii="仿宋_GB2312" w:hAnsi="仿宋_GB2312" w:eastAsia="仿宋_GB2312"/>
      <w:kern w:val="2"/>
      <w:sz w:val="24"/>
      <w:lang w:bidi="ar-SA"/>
    </w:rPr>
  </w:style>
  <w:style w:type="character" w:customStyle="1" w:styleId="183">
    <w:name w:val="h Char Char1"/>
    <w:qFormat/>
    <w:uiPriority w:val="0"/>
    <w:rPr>
      <w:rFonts w:eastAsia="宋体"/>
      <w:kern w:val="2"/>
      <w:sz w:val="18"/>
      <w:szCs w:val="18"/>
      <w:lang w:val="en-US" w:eastAsia="zh-CN" w:bidi="ar-SA"/>
    </w:rPr>
  </w:style>
  <w:style w:type="character" w:customStyle="1" w:styleId="184">
    <w:name w:val="Char Char27"/>
    <w:qFormat/>
    <w:uiPriority w:val="6"/>
    <w:rPr>
      <w:rFonts w:ascii="宋体" w:hAnsi="宋体" w:eastAsia="宋体"/>
      <w:color w:val="000000"/>
      <w:kern w:val="1"/>
      <w:sz w:val="28"/>
      <w:lang w:val="en-US" w:eastAsia="zh-CN" w:bidi="ar-SA"/>
    </w:rPr>
  </w:style>
  <w:style w:type="character" w:customStyle="1" w:styleId="185">
    <w:name w:val="px14"/>
    <w:qFormat/>
    <w:uiPriority w:val="0"/>
    <w:rPr>
      <w:rFonts w:ascii="仿宋_GB2312" w:eastAsia="微软雅黑" w:cs="Times New Roman"/>
      <w:b/>
      <w:kern w:val="2"/>
      <w:sz w:val="32"/>
      <w:szCs w:val="32"/>
      <w:lang w:val="en-US" w:eastAsia="zh-CN" w:bidi="ar-SA"/>
    </w:rPr>
  </w:style>
  <w:style w:type="character" w:customStyle="1" w:styleId="186">
    <w:name w:val="HTML 预设格式 Char1"/>
    <w:qFormat/>
    <w:uiPriority w:val="0"/>
    <w:rPr>
      <w:rFonts w:ascii="Courier New" w:hAnsi="Courier New" w:eastAsia="宋体" w:cs="Courier New"/>
      <w:sz w:val="20"/>
      <w:szCs w:val="20"/>
    </w:rPr>
  </w:style>
  <w:style w:type="character" w:customStyle="1" w:styleId="187">
    <w:name w:val="普通文字 Char1"/>
    <w:qFormat/>
    <w:uiPriority w:val="0"/>
    <w:rPr>
      <w:rFonts w:ascii="宋体" w:hAnsi="Courier New" w:eastAsia="宋体"/>
      <w:kern w:val="2"/>
      <w:sz w:val="21"/>
      <w:lang w:val="en-US" w:eastAsia="zh-CN"/>
    </w:rPr>
  </w:style>
  <w:style w:type="character" w:customStyle="1" w:styleId="188">
    <w:name w:val="hei16b1"/>
    <w:qFormat/>
    <w:uiPriority w:val="0"/>
    <w:rPr>
      <w:rFonts w:hint="default" w:ascii="Arial" w:hAnsi="Arial" w:cs="Arial"/>
      <w:b/>
      <w:bCs/>
      <w:color w:val="000000"/>
      <w:sz w:val="24"/>
      <w:szCs w:val="24"/>
    </w:rPr>
  </w:style>
  <w:style w:type="character" w:customStyle="1" w:styleId="189">
    <w:name w:val="正文（绿盟科技） Char"/>
    <w:link w:val="190"/>
    <w:qFormat/>
    <w:uiPriority w:val="0"/>
    <w:rPr>
      <w:rFonts w:ascii="Arial" w:hAnsi="Arial"/>
      <w:sz w:val="21"/>
      <w:szCs w:val="21"/>
    </w:rPr>
  </w:style>
  <w:style w:type="paragraph" w:customStyle="1" w:styleId="190">
    <w:name w:val="正文（绿盟科技）"/>
    <w:link w:val="189"/>
    <w:qFormat/>
    <w:uiPriority w:val="0"/>
    <w:pPr>
      <w:spacing w:line="300" w:lineRule="auto"/>
    </w:pPr>
    <w:rPr>
      <w:rFonts w:ascii="Arial" w:hAnsi="Arial" w:eastAsia="宋体" w:cs="Times New Roman"/>
      <w:sz w:val="21"/>
      <w:szCs w:val="21"/>
      <w:lang w:val="en-US" w:eastAsia="zh-CN" w:bidi="ar-SA"/>
    </w:rPr>
  </w:style>
  <w:style w:type="character" w:customStyle="1" w:styleId="191">
    <w:name w:val="Char Char19"/>
    <w:qFormat/>
    <w:uiPriority w:val="6"/>
    <w:rPr>
      <w:rFonts w:ascii="宋体" w:hAnsi="宋体"/>
      <w:i/>
      <w:sz w:val="24"/>
      <w:szCs w:val="24"/>
    </w:rPr>
  </w:style>
  <w:style w:type="character" w:customStyle="1" w:styleId="192">
    <w:name w:val="页脚 Char"/>
    <w:qFormat/>
    <w:uiPriority w:val="99"/>
    <w:rPr>
      <w:rFonts w:eastAsia="仿宋_GB2312"/>
      <w:kern w:val="2"/>
      <w:sz w:val="18"/>
      <w:lang w:val="en-US" w:eastAsia="zh-CN"/>
    </w:rPr>
  </w:style>
  <w:style w:type="character" w:customStyle="1" w:styleId="193">
    <w:name w:val="批注主题 Char"/>
    <w:qFormat/>
    <w:uiPriority w:val="0"/>
    <w:rPr>
      <w:rFonts w:eastAsia="宋体"/>
      <w:b/>
      <w:bCs/>
      <w:kern w:val="2"/>
      <w:sz w:val="21"/>
      <w:szCs w:val="24"/>
      <w:lang w:val="en-US" w:eastAsia="zh-CN" w:bidi="ar-SA"/>
    </w:rPr>
  </w:style>
  <w:style w:type="character" w:customStyle="1" w:styleId="194">
    <w:name w:val="Comment Text Char"/>
    <w:qFormat/>
    <w:locked/>
    <w:uiPriority w:val="0"/>
    <w:rPr>
      <w:rFonts w:ascii="宋体" w:hAnsi="宋体" w:eastAsia="宋体"/>
      <w:kern w:val="2"/>
      <w:sz w:val="24"/>
      <w:lang w:val="en-US" w:eastAsia="zh-CN" w:bidi="ar-SA"/>
    </w:rPr>
  </w:style>
  <w:style w:type="character" w:customStyle="1" w:styleId="195">
    <w:name w:val="标题 2 字符"/>
    <w:qFormat/>
    <w:uiPriority w:val="1"/>
    <w:rPr>
      <w:rFonts w:ascii="仿宋_GB2312" w:hAnsi="Times New Roman" w:eastAsia="仿宋_GB2312" w:cs="Times New Roman"/>
      <w:b/>
      <w:kern w:val="2"/>
      <w:sz w:val="24"/>
      <w:lang w:val="zh-CN"/>
    </w:rPr>
  </w:style>
  <w:style w:type="character" w:customStyle="1" w:styleId="196">
    <w:name w:val="Char Char72"/>
    <w:qFormat/>
    <w:uiPriority w:val="0"/>
    <w:rPr>
      <w:rFonts w:eastAsia="宋体"/>
      <w:kern w:val="2"/>
      <w:sz w:val="21"/>
      <w:szCs w:val="24"/>
      <w:lang w:val="en-US" w:eastAsia="zh-CN" w:bidi="ar-SA"/>
    </w:rPr>
  </w:style>
  <w:style w:type="character" w:customStyle="1" w:styleId="197">
    <w:name w:val="正文文本缩进 Char2"/>
    <w:qFormat/>
    <w:uiPriority w:val="0"/>
    <w:rPr>
      <w:rFonts w:ascii="Times New Roman" w:hAnsi="Times New Roman" w:eastAsia="宋体" w:cs="Times New Roman"/>
      <w:snapToGrid w:val="0"/>
      <w:kern w:val="0"/>
      <w:szCs w:val="24"/>
    </w:rPr>
  </w:style>
  <w:style w:type="character" w:customStyle="1" w:styleId="198">
    <w:name w:val="样式2 Char"/>
    <w:qFormat/>
    <w:uiPriority w:val="0"/>
    <w:rPr>
      <w:rFonts w:ascii="仿宋_GB2312" w:hAnsi="仿宋" w:eastAsia="仿宋_GB2312" w:cs="仿宋_GB2312"/>
      <w:b/>
      <w:bCs/>
      <w:sz w:val="32"/>
      <w:szCs w:val="30"/>
      <w:lang w:val="zh-CN"/>
    </w:rPr>
  </w:style>
  <w:style w:type="character" w:customStyle="1" w:styleId="199">
    <w:name w:val="表格名称[858D7CFB-ED40-4347-BF05-701D383B685F]"/>
    <w:link w:val="200"/>
    <w:qFormat/>
    <w:uiPriority w:val="0"/>
    <w:rPr>
      <w:sz w:val="32"/>
    </w:rPr>
  </w:style>
  <w:style w:type="paragraph" w:customStyle="1" w:styleId="200">
    <w:name w:val="表格名称"/>
    <w:basedOn w:val="3"/>
    <w:link w:val="19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1">
    <w:name w:val="Char Char4"/>
    <w:qFormat/>
    <w:uiPriority w:val="0"/>
    <w:rPr>
      <w:rFonts w:eastAsia="宋体"/>
      <w:b/>
      <w:sz w:val="24"/>
      <w:lang w:val="en-GB" w:eastAsia="zh-CN" w:bidi="ar-SA"/>
    </w:rPr>
  </w:style>
  <w:style w:type="character" w:customStyle="1" w:styleId="202">
    <w:name w:val="c7 style3"/>
    <w:qFormat/>
    <w:uiPriority w:val="0"/>
  </w:style>
  <w:style w:type="character" w:customStyle="1" w:styleId="203">
    <w:name w:val="正文文本 3 Char1"/>
    <w:semiHidden/>
    <w:qFormat/>
    <w:uiPriority w:val="99"/>
    <w:rPr>
      <w:rFonts w:ascii="Times New Roman" w:hAnsi="Times New Roman" w:eastAsia="宋体" w:cs="Times New Roman"/>
      <w:sz w:val="16"/>
      <w:szCs w:val="16"/>
    </w:rPr>
  </w:style>
  <w:style w:type="character" w:customStyle="1" w:styleId="204">
    <w:name w:val="tw4winInternal"/>
    <w:qFormat/>
    <w:uiPriority w:val="0"/>
    <w:rPr>
      <w:rFonts w:ascii="Courier New" w:hAnsi="Courier New" w:cs="Courier New"/>
      <w:color w:val="FF0000"/>
      <w:lang w:val="en-US" w:eastAsia="zh-CN"/>
    </w:rPr>
  </w:style>
  <w:style w:type="character" w:customStyle="1" w:styleId="205">
    <w:name w:val="Char Char10"/>
    <w:semiHidden/>
    <w:qFormat/>
    <w:uiPriority w:val="0"/>
    <w:rPr>
      <w:rFonts w:ascii="宋体" w:hAnsi="宋体"/>
      <w:kern w:val="2"/>
      <w:sz w:val="21"/>
      <w:szCs w:val="24"/>
      <w:lang w:val="en-US" w:eastAsia="zh-CN"/>
    </w:rPr>
  </w:style>
  <w:style w:type="character" w:customStyle="1" w:styleId="206">
    <w:name w:val="shadow11"/>
    <w:qFormat/>
    <w:uiPriority w:val="0"/>
    <w:rPr>
      <w:color w:val="000000"/>
      <w:sz w:val="21"/>
    </w:rPr>
  </w:style>
  <w:style w:type="character" w:customStyle="1" w:styleId="207">
    <w:name w:val="正文非缩进 Char3"/>
    <w:qFormat/>
    <w:uiPriority w:val="0"/>
    <w:rPr>
      <w:rFonts w:ascii="宋体" w:eastAsia="宋体"/>
      <w:snapToGrid w:val="0"/>
      <w:color w:val="000000"/>
      <w:kern w:val="28"/>
      <w:sz w:val="28"/>
      <w:lang w:val="en-US" w:eastAsia="zh-CN" w:bidi="ar-SA"/>
    </w:rPr>
  </w:style>
  <w:style w:type="character" w:customStyle="1" w:styleId="208">
    <w:name w:val="Char Char"/>
    <w:qFormat/>
    <w:uiPriority w:val="0"/>
    <w:rPr>
      <w:rFonts w:ascii="宋体" w:hAnsi="Courier New" w:eastAsia="宋体"/>
      <w:kern w:val="2"/>
      <w:sz w:val="21"/>
      <w:lang w:val="en-US" w:eastAsia="zh-CN" w:bidi="ar-SA"/>
    </w:rPr>
  </w:style>
  <w:style w:type="character" w:customStyle="1" w:styleId="209">
    <w:name w:val="签名 Char1"/>
    <w:qFormat/>
    <w:uiPriority w:val="0"/>
    <w:rPr>
      <w:rFonts w:ascii="Times New Roman" w:hAnsi="Times New Roman" w:eastAsia="宋体" w:cs="Times New Roman"/>
      <w:szCs w:val="24"/>
    </w:rPr>
  </w:style>
  <w:style w:type="character" w:customStyle="1" w:styleId="210">
    <w:name w:val="Char Char18"/>
    <w:qFormat/>
    <w:uiPriority w:val="6"/>
    <w:rPr>
      <w:rFonts w:ascii="宋体" w:hAnsi="宋体"/>
      <w:sz w:val="28"/>
    </w:rPr>
  </w:style>
  <w:style w:type="character" w:customStyle="1" w:styleId="211">
    <w:name w:val="批注文字 Char"/>
    <w:qFormat/>
    <w:uiPriority w:val="99"/>
    <w:rPr>
      <w:kern w:val="2"/>
      <w:sz w:val="21"/>
      <w:szCs w:val="24"/>
    </w:rPr>
  </w:style>
  <w:style w:type="character" w:customStyle="1" w:styleId="212">
    <w:name w:val="Char Char22"/>
    <w:qFormat/>
    <w:uiPriority w:val="6"/>
    <w:rPr>
      <w:rFonts w:ascii="宋体" w:hAnsi="宋体"/>
      <w:kern w:val="1"/>
      <w:sz w:val="24"/>
      <w:szCs w:val="24"/>
    </w:rPr>
  </w:style>
  <w:style w:type="character" w:customStyle="1" w:styleId="213">
    <w:name w:val="pt141"/>
    <w:qFormat/>
    <w:uiPriority w:val="0"/>
    <w:rPr>
      <w:color w:val="330066"/>
      <w:sz w:val="22"/>
      <w:szCs w:val="22"/>
    </w:rPr>
  </w:style>
  <w:style w:type="character" w:customStyle="1" w:styleId="214">
    <w:name w:val="正文文本缩进 2 Char1"/>
    <w:semiHidden/>
    <w:qFormat/>
    <w:uiPriority w:val="99"/>
    <w:rPr>
      <w:rFonts w:ascii="Times New Roman" w:hAnsi="Times New Roman" w:eastAsia="宋体" w:cs="Times New Roman"/>
      <w:szCs w:val="24"/>
    </w:rPr>
  </w:style>
  <w:style w:type="character" w:customStyle="1" w:styleId="215">
    <w:name w:val="Char Char611"/>
    <w:qFormat/>
    <w:uiPriority w:val="0"/>
    <w:rPr>
      <w:rFonts w:eastAsia="宋体"/>
      <w:kern w:val="2"/>
      <w:sz w:val="21"/>
      <w:szCs w:val="24"/>
      <w:lang w:val="en-US" w:eastAsia="zh-CN" w:bidi="ar-SA"/>
    </w:rPr>
  </w:style>
  <w:style w:type="character" w:customStyle="1" w:styleId="216">
    <w:name w:val="highlight1"/>
    <w:qFormat/>
    <w:uiPriority w:val="0"/>
    <w:rPr>
      <w:rFonts w:ascii="仿宋_GB2312" w:eastAsia="微软雅黑"/>
      <w:b/>
      <w:kern w:val="2"/>
      <w:sz w:val="23"/>
      <w:szCs w:val="23"/>
      <w:lang w:val="en-US" w:eastAsia="zh-CN" w:bidi="ar-SA"/>
    </w:rPr>
  </w:style>
  <w:style w:type="character" w:customStyle="1" w:styleId="217">
    <w:name w:val="my正文 Char"/>
    <w:link w:val="218"/>
    <w:qFormat/>
    <w:locked/>
    <w:uiPriority w:val="0"/>
    <w:rPr>
      <w:rFonts w:ascii="Tahoma" w:hAnsi="Tahoma"/>
      <w:sz w:val="24"/>
      <w:szCs w:val="24"/>
    </w:rPr>
  </w:style>
  <w:style w:type="paragraph" w:customStyle="1" w:styleId="218">
    <w:name w:val="my正文"/>
    <w:basedOn w:val="1"/>
    <w:link w:val="217"/>
    <w:qFormat/>
    <w:uiPriority w:val="0"/>
    <w:pPr>
      <w:adjustRightInd/>
      <w:spacing w:line="360" w:lineRule="auto"/>
      <w:ind w:firstLine="480" w:firstLineChars="200"/>
    </w:pPr>
    <w:rPr>
      <w:rFonts w:ascii="Tahoma" w:hAnsi="Tahoma"/>
      <w:kern w:val="0"/>
      <w:sz w:val="24"/>
    </w:rPr>
  </w:style>
  <w:style w:type="character" w:customStyle="1" w:styleId="219">
    <w:name w:val="Used by Word for text of Help footnotes Char Char1"/>
    <w:qFormat/>
    <w:uiPriority w:val="0"/>
    <w:rPr>
      <w:color w:val="0000FF"/>
      <w:sz w:val="21"/>
    </w:rPr>
  </w:style>
  <w:style w:type="character" w:customStyle="1" w:styleId="220">
    <w:name w:val="页眉 Char"/>
    <w:qFormat/>
    <w:uiPriority w:val="99"/>
    <w:rPr>
      <w:rFonts w:eastAsia="仿宋_GB2312"/>
      <w:kern w:val="2"/>
      <w:sz w:val="18"/>
      <w:lang w:val="en-US" w:eastAsia="zh-CN"/>
    </w:rPr>
  </w:style>
  <w:style w:type="character" w:customStyle="1" w:styleId="221">
    <w:name w:val="FA正文 Char Char"/>
    <w:qFormat/>
    <w:uiPriority w:val="0"/>
    <w:rPr>
      <w:rFonts w:hAnsi="宋体"/>
      <w:kern w:val="2"/>
      <w:sz w:val="24"/>
      <w:lang w:bidi="ar-SA"/>
    </w:rPr>
  </w:style>
  <w:style w:type="character" w:customStyle="1" w:styleId="222">
    <w:name w:val="纯文本 字符"/>
    <w:qFormat/>
    <w:uiPriority w:val="99"/>
    <w:rPr>
      <w:rFonts w:ascii="宋体" w:hAnsi="Courier New" w:eastAsia="宋体" w:cs="Arial"/>
      <w:snapToGrid w:val="0"/>
      <w:kern w:val="2"/>
      <w:sz w:val="21"/>
      <w:szCs w:val="21"/>
      <w:lang w:val="en-US" w:eastAsia="zh-CN" w:bidi="ar-SA"/>
    </w:rPr>
  </w:style>
  <w:style w:type="character" w:customStyle="1" w:styleId="223">
    <w:name w:val="3级 Char"/>
    <w:link w:val="224"/>
    <w:qFormat/>
    <w:uiPriority w:val="0"/>
    <w:rPr>
      <w:rFonts w:ascii="宋体" w:hAnsi="宋体"/>
      <w:b/>
      <w:bCs/>
      <w:snapToGrid/>
      <w:sz w:val="28"/>
    </w:rPr>
  </w:style>
  <w:style w:type="paragraph" w:customStyle="1" w:styleId="224">
    <w:name w:val="3级"/>
    <w:basedOn w:val="225"/>
    <w:link w:val="223"/>
    <w:qFormat/>
    <w:uiPriority w:val="0"/>
    <w:pPr>
      <w:ind w:left="0" w:right="466" w:firstLine="288"/>
    </w:pPr>
    <w:rPr>
      <w:rFonts w:hAnsi="宋体"/>
      <w:snapToGrid/>
    </w:rPr>
  </w:style>
  <w:style w:type="paragraph" w:customStyle="1" w:styleId="22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6">
    <w:name w:val="myp11"/>
    <w:qFormat/>
    <w:uiPriority w:val="0"/>
    <w:rPr>
      <w:rFonts w:ascii="仿宋_GB2312" w:eastAsia="微软雅黑"/>
      <w:b/>
      <w:kern w:val="2"/>
      <w:sz w:val="32"/>
      <w:szCs w:val="32"/>
      <w:lang w:val="en-US" w:eastAsia="zh-CN" w:bidi="ar-SA"/>
    </w:rPr>
  </w:style>
  <w:style w:type="character" w:customStyle="1" w:styleId="227">
    <w:name w:val="H6 Char"/>
    <w:qFormat/>
    <w:uiPriority w:val="0"/>
    <w:rPr>
      <w:rFonts w:ascii="Arial" w:hAnsi="Arial" w:eastAsia="黑体"/>
      <w:b/>
      <w:bCs/>
      <w:kern w:val="2"/>
      <w:sz w:val="24"/>
      <w:szCs w:val="24"/>
    </w:rPr>
  </w:style>
  <w:style w:type="character" w:customStyle="1" w:styleId="228">
    <w:name w:val="Char Char91"/>
    <w:qFormat/>
    <w:uiPriority w:val="0"/>
    <w:rPr>
      <w:rFonts w:eastAsia="宋体"/>
      <w:kern w:val="2"/>
      <w:sz w:val="18"/>
      <w:szCs w:val="18"/>
      <w:lang w:val="en-US" w:eastAsia="zh-CN" w:bidi="ar-SA"/>
    </w:rPr>
  </w:style>
  <w:style w:type="character" w:customStyle="1" w:styleId="229">
    <w:name w:val="副标题 Char1"/>
    <w:qFormat/>
    <w:uiPriority w:val="0"/>
    <w:rPr>
      <w:rFonts w:ascii="Cambria" w:hAnsi="Cambria" w:eastAsia="宋体" w:cs="Times New Roman"/>
      <w:b/>
      <w:bCs/>
      <w:snapToGrid w:val="0"/>
      <w:kern w:val="28"/>
      <w:sz w:val="32"/>
      <w:szCs w:val="32"/>
    </w:rPr>
  </w:style>
  <w:style w:type="character" w:customStyle="1" w:styleId="230">
    <w:name w:val="font61"/>
    <w:basedOn w:val="72"/>
    <w:qFormat/>
    <w:uiPriority w:val="0"/>
    <w:rPr>
      <w:rFonts w:hint="eastAsia" w:ascii="仿宋" w:hAnsi="仿宋" w:eastAsia="仿宋" w:cs="仿宋"/>
      <w:color w:val="000000"/>
      <w:sz w:val="20"/>
      <w:szCs w:val="20"/>
      <w:u w:val="none"/>
    </w:rPr>
  </w:style>
  <w:style w:type="character" w:customStyle="1" w:styleId="2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2">
    <w:name w:val="Char Char211"/>
    <w:qFormat/>
    <w:uiPriority w:val="0"/>
    <w:rPr>
      <w:rFonts w:eastAsia="宋体"/>
      <w:b/>
      <w:bCs/>
      <w:kern w:val="2"/>
      <w:sz w:val="21"/>
      <w:szCs w:val="24"/>
      <w:lang w:val="en-US" w:eastAsia="zh-CN" w:bidi="ar-SA"/>
    </w:rPr>
  </w:style>
  <w:style w:type="character" w:customStyle="1" w:styleId="233">
    <w:name w:val="标题 2 Char"/>
    <w:qFormat/>
    <w:uiPriority w:val="9"/>
    <w:rPr>
      <w:rFonts w:ascii="Arial" w:hAnsi="Arial" w:eastAsia="黑体"/>
      <w:b/>
      <w:kern w:val="2"/>
      <w:sz w:val="32"/>
      <w:lang w:val="en-US" w:eastAsia="zh-CN"/>
    </w:rPr>
  </w:style>
  <w:style w:type="character" w:customStyle="1" w:styleId="234">
    <w:name w:val="maywed421"/>
    <w:qFormat/>
    <w:uiPriority w:val="0"/>
    <w:rPr>
      <w:color w:val="366FB6"/>
      <w:u w:val="none"/>
    </w:rPr>
  </w:style>
  <w:style w:type="character" w:customStyle="1" w:styleId="235">
    <w:name w:val="正文文本缩进 Char"/>
    <w:qFormat/>
    <w:uiPriority w:val="99"/>
    <w:rPr>
      <w:rFonts w:ascii="宋体" w:hAnsi="宋体"/>
      <w:kern w:val="2"/>
      <w:sz w:val="24"/>
      <w:szCs w:val="24"/>
    </w:rPr>
  </w:style>
  <w:style w:type="character" w:customStyle="1" w:styleId="236">
    <w:name w:val="Char Char102"/>
    <w:semiHidden/>
    <w:qFormat/>
    <w:uiPriority w:val="0"/>
    <w:rPr>
      <w:rFonts w:ascii="宋体" w:hAnsi="宋体"/>
      <w:kern w:val="2"/>
      <w:sz w:val="21"/>
      <w:szCs w:val="24"/>
      <w:lang w:val="en-US" w:eastAsia="zh-CN"/>
    </w:rPr>
  </w:style>
  <w:style w:type="character" w:customStyle="1" w:styleId="237">
    <w:name w:val="页眉 Char1"/>
    <w:qFormat/>
    <w:uiPriority w:val="0"/>
    <w:rPr>
      <w:rFonts w:eastAsia="宋体"/>
      <w:kern w:val="2"/>
      <w:sz w:val="18"/>
      <w:szCs w:val="18"/>
      <w:lang w:val="en-US" w:eastAsia="zh-CN" w:bidi="ar-SA"/>
    </w:rPr>
  </w:style>
  <w:style w:type="character" w:customStyle="1" w:styleId="238">
    <w:name w:val="md"/>
    <w:basedOn w:val="72"/>
    <w:qFormat/>
    <w:uiPriority w:val="0"/>
    <w:rPr>
      <w:rFonts w:ascii="Arial" w:hAnsi="Arial" w:eastAsia="黑体" w:cs="Arial"/>
      <w:snapToGrid w:val="0"/>
      <w:kern w:val="0"/>
      <w:szCs w:val="21"/>
    </w:rPr>
  </w:style>
  <w:style w:type="character" w:customStyle="1" w:styleId="239">
    <w:name w:val="big1"/>
    <w:qFormat/>
    <w:uiPriority w:val="0"/>
    <w:rPr>
      <w:rFonts w:hint="eastAsia" w:ascii="宋体" w:hAnsi="宋体" w:eastAsia="宋体"/>
      <w:color w:val="333333"/>
      <w:sz w:val="22"/>
      <w:szCs w:val="22"/>
    </w:rPr>
  </w:style>
  <w:style w:type="character" w:customStyle="1" w:styleId="240">
    <w:name w:val="Char Char311"/>
    <w:qFormat/>
    <w:uiPriority w:val="0"/>
    <w:rPr>
      <w:rFonts w:eastAsia="宋体"/>
      <w:kern w:val="2"/>
      <w:sz w:val="21"/>
      <w:szCs w:val="24"/>
      <w:lang w:val="en-US" w:eastAsia="zh-CN" w:bidi="ar-SA"/>
    </w:rPr>
  </w:style>
  <w:style w:type="character" w:customStyle="1" w:styleId="241">
    <w:name w:val="Char Char81"/>
    <w:qFormat/>
    <w:uiPriority w:val="6"/>
    <w:rPr>
      <w:rFonts w:eastAsia="宋体"/>
      <w:b/>
      <w:sz w:val="24"/>
      <w:lang w:val="en-GB" w:eastAsia="zh-CN"/>
    </w:rPr>
  </w:style>
  <w:style w:type="character" w:customStyle="1" w:styleId="242">
    <w:name w:val="样式3 Char"/>
    <w:basedOn w:val="198"/>
    <w:qFormat/>
    <w:uiPriority w:val="0"/>
    <w:rPr>
      <w:rFonts w:ascii="仿宋_GB2312" w:hAnsi="仿宋" w:eastAsia="仿宋_GB2312" w:cs="仿宋_GB2312"/>
      <w:sz w:val="32"/>
      <w:szCs w:val="30"/>
      <w:lang w:val="zh-CN"/>
    </w:rPr>
  </w:style>
  <w:style w:type="character" w:customStyle="1" w:styleId="243">
    <w:name w:val="正文首行缩进 2 Char1"/>
    <w:qFormat/>
    <w:uiPriority w:val="0"/>
    <w:rPr>
      <w:rFonts w:ascii="Times New Roman" w:hAnsi="Times New Roman" w:eastAsia="宋体" w:cs="Times New Roman"/>
      <w:kern w:val="2"/>
      <w:sz w:val="24"/>
      <w:szCs w:val="24"/>
    </w:rPr>
  </w:style>
  <w:style w:type="character" w:customStyle="1" w:styleId="244">
    <w:name w:val="副标题 Char2"/>
    <w:qFormat/>
    <w:uiPriority w:val="0"/>
    <w:rPr>
      <w:rFonts w:ascii="Cambria" w:hAnsi="Cambria" w:eastAsia="宋体" w:cs="Times New Roman"/>
      <w:b/>
      <w:bCs/>
      <w:snapToGrid w:val="0"/>
      <w:kern w:val="28"/>
      <w:sz w:val="32"/>
      <w:szCs w:val="32"/>
    </w:rPr>
  </w:style>
  <w:style w:type="character" w:customStyle="1" w:styleId="245">
    <w:name w:val="标题4-dyf Char"/>
    <w:link w:val="246"/>
    <w:qFormat/>
    <w:uiPriority w:val="0"/>
    <w:rPr>
      <w:rFonts w:ascii="Cambria" w:hAnsi="Cambria"/>
      <w:b/>
      <w:bCs/>
      <w:color w:val="000000"/>
      <w:kern w:val="2"/>
      <w:sz w:val="21"/>
      <w:szCs w:val="21"/>
    </w:rPr>
  </w:style>
  <w:style w:type="paragraph" w:customStyle="1" w:styleId="246">
    <w:name w:val="标题4-dyf"/>
    <w:basedOn w:val="6"/>
    <w:link w:val="2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7">
    <w:name w:val="dectext1"/>
    <w:qFormat/>
    <w:uiPriority w:val="0"/>
    <w:rPr>
      <w:rFonts w:ascii="宋体" w:hAnsi="宋体" w:eastAsia="宋体"/>
      <w:color w:val="333333"/>
      <w:sz w:val="21"/>
      <w:szCs w:val="21"/>
      <w:u w:val="none"/>
    </w:rPr>
  </w:style>
  <w:style w:type="character" w:customStyle="1" w:styleId="248">
    <w:name w:val="冯 Char"/>
    <w:link w:val="249"/>
    <w:qFormat/>
    <w:uiPriority w:val="0"/>
    <w:rPr>
      <w:rFonts w:ascii="宋体" w:hAnsi="宋体"/>
      <w:color w:val="000000"/>
      <w:sz w:val="24"/>
      <w:szCs w:val="24"/>
    </w:rPr>
  </w:style>
  <w:style w:type="paragraph" w:customStyle="1" w:styleId="249">
    <w:name w:val="冯"/>
    <w:basedOn w:val="1"/>
    <w:link w:val="248"/>
    <w:qFormat/>
    <w:uiPriority w:val="0"/>
    <w:pPr>
      <w:widowControl/>
      <w:adjustRightInd/>
      <w:spacing w:line="360" w:lineRule="auto"/>
      <w:ind w:firstLine="480" w:firstLineChars="200"/>
    </w:pPr>
    <w:rPr>
      <w:rFonts w:ascii="宋体" w:hAnsi="宋体"/>
      <w:color w:val="000000"/>
      <w:kern w:val="0"/>
      <w:sz w:val="24"/>
    </w:rPr>
  </w:style>
  <w:style w:type="character" w:customStyle="1" w:styleId="250">
    <w:name w:val="Header Char"/>
    <w:qFormat/>
    <w:locked/>
    <w:uiPriority w:val="0"/>
    <w:rPr>
      <w:rFonts w:eastAsia="宋体"/>
      <w:kern w:val="2"/>
      <w:sz w:val="18"/>
      <w:szCs w:val="18"/>
      <w:lang w:val="en-US" w:eastAsia="zh-CN" w:bidi="ar-SA"/>
    </w:rPr>
  </w:style>
  <w:style w:type="character" w:customStyle="1" w:styleId="251">
    <w:name w:val="Char Char12"/>
    <w:qFormat/>
    <w:uiPriority w:val="0"/>
    <w:rPr>
      <w:rFonts w:ascii="仿宋_GB2312" w:eastAsia="仿宋_GB2312"/>
      <w:b/>
      <w:bCs/>
      <w:kern w:val="2"/>
      <w:sz w:val="24"/>
      <w:szCs w:val="24"/>
      <w:lang w:val="zh-CN" w:eastAsia="zh-CN" w:bidi="ar-SA"/>
    </w:rPr>
  </w:style>
  <w:style w:type="character" w:customStyle="1" w:styleId="252">
    <w:name w:val="普通文字 Char3"/>
    <w:qFormat/>
    <w:uiPriority w:val="0"/>
    <w:rPr>
      <w:rFonts w:ascii="宋体" w:hAnsi="Courier New" w:eastAsia="宋体"/>
      <w:kern w:val="2"/>
      <w:sz w:val="21"/>
      <w:lang w:val="en-US" w:eastAsia="zh-CN" w:bidi="ar-SA"/>
    </w:rPr>
  </w:style>
  <w:style w:type="character" w:customStyle="1" w:styleId="253">
    <w:name w:val="公文正文 Char"/>
    <w:qFormat/>
    <w:uiPriority w:val="0"/>
    <w:rPr>
      <w:rFonts w:ascii="仿宋_GB2312" w:eastAsia="仿宋_GB2312"/>
      <w:kern w:val="2"/>
      <w:sz w:val="24"/>
      <w:szCs w:val="24"/>
      <w:lang w:val="en-US" w:eastAsia="zh-CN" w:bidi="ar-SA"/>
    </w:rPr>
  </w:style>
  <w:style w:type="character" w:customStyle="1" w:styleId="254">
    <w:name w:val="正文首行缩进 Char Char Char Char Char"/>
    <w:qFormat/>
    <w:uiPriority w:val="0"/>
    <w:rPr>
      <w:rFonts w:ascii="宋体"/>
      <w:kern w:val="2"/>
      <w:sz w:val="24"/>
      <w:lang w:val="zh-CN"/>
    </w:rPr>
  </w:style>
  <w:style w:type="character" w:customStyle="1" w:styleId="255">
    <w:name w:val="PI Char"/>
    <w:qFormat/>
    <w:uiPriority w:val="0"/>
    <w:rPr>
      <w:rFonts w:ascii="宋体" w:hAnsi="宋体" w:eastAsia="宋体"/>
      <w:kern w:val="2"/>
      <w:sz w:val="24"/>
      <w:szCs w:val="24"/>
      <w:lang w:val="en-US" w:eastAsia="zh-CN" w:bidi="ar-SA"/>
    </w:rPr>
  </w:style>
  <w:style w:type="character" w:customStyle="1" w:styleId="256">
    <w:name w:val="Default Char"/>
    <w:link w:val="257"/>
    <w:qFormat/>
    <w:uiPriority w:val="0"/>
    <w:rPr>
      <w:rFonts w:ascii="仿宋_GB2312" w:eastAsia="仿宋_GB2312" w:cs="仿宋_GB2312"/>
      <w:color w:val="000000"/>
      <w:sz w:val="24"/>
      <w:szCs w:val="24"/>
      <w:lang w:val="en-US" w:eastAsia="zh-CN" w:bidi="ar-SA"/>
    </w:rPr>
  </w:style>
  <w:style w:type="paragraph" w:customStyle="1" w:styleId="257">
    <w:name w:val="Default"/>
    <w:link w:val="256"/>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8">
    <w:name w:val="style91"/>
    <w:qFormat/>
    <w:uiPriority w:val="0"/>
    <w:rPr>
      <w:color w:val="333333"/>
    </w:rPr>
  </w:style>
  <w:style w:type="character" w:customStyle="1" w:styleId="259">
    <w:name w:val="列出段落 Char2"/>
    <w:qFormat/>
    <w:uiPriority w:val="34"/>
    <w:rPr>
      <w:rFonts w:ascii="Calibri" w:hAnsi="Calibri"/>
      <w:kern w:val="2"/>
      <w:sz w:val="28"/>
    </w:rPr>
  </w:style>
  <w:style w:type="character" w:customStyle="1" w:styleId="260">
    <w:name w:val="mdeck"/>
    <w:qFormat/>
    <w:uiPriority w:val="0"/>
    <w:rPr>
      <w:rFonts w:ascii="仿宋_GB2312" w:eastAsia="微软雅黑"/>
      <w:b/>
      <w:kern w:val="2"/>
      <w:sz w:val="32"/>
      <w:szCs w:val="32"/>
      <w:lang w:val="en-US" w:eastAsia="zh-CN" w:bidi="ar-SA"/>
    </w:rPr>
  </w:style>
  <w:style w:type="character" w:customStyle="1" w:styleId="261">
    <w:name w:val="unnamed11"/>
    <w:qFormat/>
    <w:uiPriority w:val="0"/>
    <w:rPr>
      <w:sz w:val="20"/>
      <w:szCs w:val="20"/>
    </w:rPr>
  </w:style>
  <w:style w:type="character" w:customStyle="1" w:styleId="262">
    <w:name w:val="正文文本 Char2"/>
    <w:semiHidden/>
    <w:qFormat/>
    <w:uiPriority w:val="99"/>
    <w:rPr>
      <w:rFonts w:ascii="Times New Roman" w:hAnsi="Times New Roman" w:eastAsia="宋体" w:cs="Times New Roman"/>
      <w:snapToGrid w:val="0"/>
      <w:kern w:val="0"/>
      <w:szCs w:val="24"/>
    </w:rPr>
  </w:style>
  <w:style w:type="character" w:customStyle="1" w:styleId="263">
    <w:name w:val="标书正文格式 Char"/>
    <w:qFormat/>
    <w:uiPriority w:val="0"/>
    <w:rPr>
      <w:rFonts w:eastAsia="楷体_GB2312"/>
      <w:kern w:val="2"/>
      <w:sz w:val="24"/>
      <w:szCs w:val="24"/>
      <w:lang w:bidi="ar-SA"/>
    </w:rPr>
  </w:style>
  <w:style w:type="character" w:customStyle="1" w:styleId="264">
    <w:name w:val="Char Char11"/>
    <w:qFormat/>
    <w:locked/>
    <w:uiPriority w:val="0"/>
    <w:rPr>
      <w:rFonts w:ascii="宋体" w:hAnsi="宋体" w:eastAsia="宋体"/>
      <w:b/>
      <w:kern w:val="2"/>
      <w:sz w:val="24"/>
      <w:szCs w:val="24"/>
      <w:lang w:val="en-US" w:eastAsia="zh-CN" w:bidi="ar-SA"/>
    </w:rPr>
  </w:style>
  <w:style w:type="character" w:customStyle="1" w:styleId="265">
    <w:name w:val="ca-131"/>
    <w:qFormat/>
    <w:uiPriority w:val="0"/>
    <w:rPr>
      <w:rFonts w:hint="eastAsia" w:ascii="仿宋_GB2312" w:eastAsia="仿宋_GB2312"/>
      <w:b/>
      <w:bCs/>
      <w:color w:val="000000"/>
      <w:spacing w:val="-20"/>
      <w:sz w:val="24"/>
      <w:szCs w:val="24"/>
    </w:rPr>
  </w:style>
  <w:style w:type="character" w:customStyle="1" w:styleId="266">
    <w:name w:val="tw4winMark"/>
    <w:qFormat/>
    <w:uiPriority w:val="0"/>
    <w:rPr>
      <w:rFonts w:ascii="Courier New" w:hAnsi="Courier New" w:cs="Courier New"/>
      <w:vanish/>
      <w:color w:val="800080"/>
      <w:sz w:val="24"/>
      <w:szCs w:val="24"/>
      <w:vertAlign w:val="subscript"/>
    </w:rPr>
  </w:style>
  <w:style w:type="character" w:customStyle="1" w:styleId="267">
    <w:name w:val="正文样式 Char"/>
    <w:link w:val="268"/>
    <w:qFormat/>
    <w:uiPriority w:val="0"/>
    <w:rPr>
      <w:rFonts w:ascii="Calibri" w:hAnsi="Calibri"/>
      <w:sz w:val="24"/>
      <w:szCs w:val="24"/>
    </w:rPr>
  </w:style>
  <w:style w:type="paragraph" w:customStyle="1" w:styleId="268">
    <w:name w:val="正文样式"/>
    <w:basedOn w:val="1"/>
    <w:link w:val="267"/>
    <w:qFormat/>
    <w:uiPriority w:val="0"/>
    <w:pPr>
      <w:adjustRightInd/>
      <w:spacing w:line="360" w:lineRule="auto"/>
      <w:ind w:firstLine="480" w:firstLineChars="200"/>
    </w:pPr>
    <w:rPr>
      <w:kern w:val="0"/>
      <w:sz w:val="24"/>
    </w:rPr>
  </w:style>
  <w:style w:type="character" w:customStyle="1" w:styleId="269">
    <w:name w:val="表正文 Char3"/>
    <w:qFormat/>
    <w:uiPriority w:val="0"/>
    <w:rPr>
      <w:rFonts w:eastAsia="宋体"/>
    </w:rPr>
  </w:style>
  <w:style w:type="character" w:customStyle="1" w:styleId="270">
    <w:name w:val="H5 Char"/>
    <w:qFormat/>
    <w:uiPriority w:val="0"/>
    <w:rPr>
      <w:b/>
      <w:bCs/>
      <w:kern w:val="2"/>
      <w:sz w:val="28"/>
      <w:szCs w:val="28"/>
    </w:rPr>
  </w:style>
  <w:style w:type="character" w:customStyle="1" w:styleId="271">
    <w:name w:val="Char Char3"/>
    <w:qFormat/>
    <w:uiPriority w:val="0"/>
    <w:rPr>
      <w:rFonts w:eastAsia="宋体"/>
      <w:kern w:val="2"/>
      <w:sz w:val="21"/>
      <w:szCs w:val="24"/>
      <w:lang w:val="en-US" w:eastAsia="zh-CN" w:bidi="ar-SA"/>
    </w:rPr>
  </w:style>
  <w:style w:type="character" w:customStyle="1" w:styleId="272">
    <w:name w:val="正文 编号 Char"/>
    <w:qFormat/>
    <w:uiPriority w:val="0"/>
    <w:rPr>
      <w:rFonts w:ascii="仿宋_GB2312" w:hAnsi="仿宋_GB2312" w:eastAsia="仿宋_GB2312"/>
      <w:kern w:val="2"/>
      <w:sz w:val="24"/>
      <w:lang w:bidi="ar-SA"/>
    </w:rPr>
  </w:style>
  <w:style w:type="character" w:customStyle="1" w:styleId="273">
    <w:name w:val="question-title2"/>
    <w:qFormat/>
    <w:uiPriority w:val="6"/>
    <w:rPr>
      <w:rFonts w:ascii="Arial" w:hAnsi="Arial" w:eastAsia="黑体" w:cs="Arial"/>
      <w:snapToGrid w:val="0"/>
      <w:kern w:val="0"/>
      <w:szCs w:val="21"/>
    </w:rPr>
  </w:style>
  <w:style w:type="character" w:customStyle="1" w:styleId="274">
    <w:name w:val="gf正文1 Char Char"/>
    <w:link w:val="275"/>
    <w:qFormat/>
    <w:uiPriority w:val="0"/>
    <w:rPr>
      <w:rFonts w:ascii="宋体" w:hAnsi="宋体" w:cs="宋体"/>
      <w:kern w:val="2"/>
      <w:sz w:val="24"/>
      <w:szCs w:val="24"/>
    </w:rPr>
  </w:style>
  <w:style w:type="paragraph" w:customStyle="1" w:styleId="275">
    <w:name w:val="gf正文1"/>
    <w:basedOn w:val="1"/>
    <w:link w:val="27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6">
    <w:name w:val="Char Char15"/>
    <w:qFormat/>
    <w:uiPriority w:val="6"/>
    <w:rPr>
      <w:rFonts w:ascii="宋体" w:hAnsi="宋体"/>
      <w:kern w:val="1"/>
      <w:sz w:val="21"/>
    </w:rPr>
  </w:style>
  <w:style w:type="character" w:customStyle="1" w:styleId="277">
    <w:name w:val="正文缩进 Char3"/>
    <w:qFormat/>
    <w:uiPriority w:val="0"/>
    <w:rPr>
      <w:rFonts w:ascii="宋体" w:eastAsia="宋体"/>
      <w:snapToGrid w:val="0"/>
      <w:color w:val="000000"/>
      <w:kern w:val="28"/>
      <w:sz w:val="28"/>
      <w:lang w:val="en-US" w:eastAsia="zh-CN" w:bidi="ar-SA"/>
    </w:rPr>
  </w:style>
  <w:style w:type="character" w:customStyle="1" w:styleId="278">
    <w:name w:val="列出段落 Char1"/>
    <w:link w:val="279"/>
    <w:qFormat/>
    <w:uiPriority w:val="0"/>
    <w:rPr>
      <w:rFonts w:ascii="Calibri" w:hAnsi="Calibri"/>
      <w:sz w:val="24"/>
      <w:lang w:eastAsia="en-US"/>
    </w:rPr>
  </w:style>
  <w:style w:type="paragraph" w:customStyle="1" w:styleId="279">
    <w:name w:val="列表1"/>
    <w:basedOn w:val="1"/>
    <w:next w:val="280"/>
    <w:link w:val="278"/>
    <w:qFormat/>
    <w:uiPriority w:val="0"/>
    <w:pPr>
      <w:widowControl/>
      <w:adjustRightInd/>
      <w:spacing w:after="200" w:line="360" w:lineRule="auto"/>
      <w:ind w:left="720" w:firstLine="200" w:firstLineChars="200"/>
      <w:jc w:val="left"/>
    </w:pPr>
    <w:rPr>
      <w:kern w:val="0"/>
      <w:sz w:val="24"/>
      <w:szCs w:val="20"/>
      <w:lang w:eastAsia="en-US"/>
    </w:rPr>
  </w:style>
  <w:style w:type="paragraph" w:styleId="280">
    <w:name w:val="List Paragraph"/>
    <w:basedOn w:val="1"/>
    <w:qFormat/>
    <w:uiPriority w:val="99"/>
    <w:pPr>
      <w:spacing w:line="360" w:lineRule="auto"/>
      <w:ind w:firstLine="200" w:firstLineChars="200"/>
    </w:pPr>
    <w:rPr>
      <w:rFonts w:eastAsia="楷体_GB2312" w:cs="Lucida Sans"/>
      <w:sz w:val="24"/>
    </w:rPr>
  </w:style>
  <w:style w:type="character" w:customStyle="1" w:styleId="281">
    <w:name w:val="Char Char8"/>
    <w:qFormat/>
    <w:uiPriority w:val="0"/>
    <w:rPr>
      <w:rFonts w:eastAsia="宋体"/>
      <w:b/>
      <w:sz w:val="24"/>
      <w:lang w:val="en-GB" w:eastAsia="zh-CN"/>
    </w:rPr>
  </w:style>
  <w:style w:type="character" w:customStyle="1" w:styleId="282">
    <w:name w:val="Normal Indent Char Char"/>
    <w:qFormat/>
    <w:uiPriority w:val="0"/>
    <w:rPr>
      <w:rFonts w:eastAsia="宋体"/>
      <w:kern w:val="2"/>
      <w:sz w:val="21"/>
      <w:lang w:val="en-US" w:eastAsia="zh-CN" w:bidi="ar-SA"/>
    </w:rPr>
  </w:style>
  <w:style w:type="character" w:customStyle="1" w:styleId="283">
    <w:name w:val="列表段落 字符"/>
    <w:link w:val="284"/>
    <w:qFormat/>
    <w:uiPriority w:val="34"/>
  </w:style>
  <w:style w:type="paragraph" w:customStyle="1" w:styleId="284">
    <w:name w:val="_Style 280"/>
    <w:basedOn w:val="1"/>
    <w:next w:val="280"/>
    <w:link w:val="283"/>
    <w:qFormat/>
    <w:uiPriority w:val="34"/>
    <w:pPr>
      <w:adjustRightInd/>
      <w:ind w:firstLine="420" w:firstLineChars="200"/>
    </w:pPr>
    <w:rPr>
      <w:rFonts w:ascii="Calibri" w:hAnsi="Calibri"/>
      <w:szCs w:val="22"/>
    </w:rPr>
  </w:style>
  <w:style w:type="character" w:customStyle="1" w:styleId="285">
    <w:name w:val="Ò³Ã¼ Char Char1"/>
    <w:qFormat/>
    <w:uiPriority w:val="0"/>
    <w:rPr>
      <w:rFonts w:eastAsia="宋体"/>
      <w:kern w:val="2"/>
      <w:sz w:val="18"/>
      <w:szCs w:val="18"/>
      <w:lang w:val="en-US" w:eastAsia="zh-CN" w:bidi="ar-SA"/>
    </w:rPr>
  </w:style>
  <w:style w:type="character" w:customStyle="1" w:styleId="286">
    <w:name w:val="方案正文 Char"/>
    <w:qFormat/>
    <w:uiPriority w:val="0"/>
    <w:rPr>
      <w:rFonts w:ascii="仿宋_GB2312" w:eastAsia="仿宋_GB2312"/>
      <w:b/>
      <w:color w:val="000000"/>
      <w:kern w:val="2"/>
      <w:sz w:val="24"/>
      <w:lang w:val="en-US" w:eastAsia="zh-CN" w:bidi="ar-SA"/>
    </w:rPr>
  </w:style>
  <w:style w:type="character" w:customStyle="1" w:styleId="287">
    <w:name w:val="Char Char30"/>
    <w:qFormat/>
    <w:uiPriority w:val="6"/>
    <w:rPr>
      <w:rFonts w:ascii="Arial" w:hAnsi="Arial" w:eastAsia="黑体"/>
      <w:kern w:val="1"/>
      <w:sz w:val="21"/>
      <w:szCs w:val="21"/>
    </w:rPr>
  </w:style>
  <w:style w:type="character" w:customStyle="1" w:styleId="288">
    <w:name w:val="font01"/>
    <w:basedOn w:val="72"/>
    <w:qFormat/>
    <w:uiPriority w:val="0"/>
    <w:rPr>
      <w:rFonts w:hint="eastAsia" w:ascii="微软雅黑" w:hAnsi="微软雅黑" w:eastAsia="微软雅黑" w:cs="微软雅黑"/>
      <w:color w:val="000000"/>
      <w:sz w:val="20"/>
      <w:szCs w:val="20"/>
      <w:u w:val="none"/>
    </w:rPr>
  </w:style>
  <w:style w:type="character" w:customStyle="1" w:styleId="289">
    <w:name w:val="Char Char20"/>
    <w:qFormat/>
    <w:uiPriority w:val="6"/>
    <w:rPr>
      <w:kern w:val="1"/>
      <w:sz w:val="24"/>
    </w:rPr>
  </w:style>
  <w:style w:type="character" w:customStyle="1" w:styleId="290">
    <w:name w:val="tw4winExternal"/>
    <w:qFormat/>
    <w:uiPriority w:val="0"/>
    <w:rPr>
      <w:rFonts w:ascii="Courier New" w:hAnsi="Courier New" w:cs="Courier New"/>
      <w:color w:val="808080"/>
      <w:lang w:val="en-US" w:eastAsia="zh-CN"/>
    </w:rPr>
  </w:style>
  <w:style w:type="character" w:customStyle="1" w:styleId="291">
    <w:name w:val="标题 4 Char1"/>
    <w:qFormat/>
    <w:uiPriority w:val="9"/>
    <w:rPr>
      <w:rFonts w:ascii="Cambria" w:hAnsi="Cambria" w:eastAsia="宋体" w:cs="Times New Roman"/>
      <w:b/>
      <w:bCs/>
      <w:kern w:val="2"/>
      <w:sz w:val="28"/>
      <w:szCs w:val="28"/>
    </w:rPr>
  </w:style>
  <w:style w:type="character" w:customStyle="1" w:styleId="292">
    <w:name w:val="批注文字 Char2"/>
    <w:qFormat/>
    <w:uiPriority w:val="99"/>
    <w:rPr>
      <w:rFonts w:ascii="Times New Roman" w:hAnsi="Times New Roman" w:eastAsia="宋体" w:cs="Times New Roman"/>
      <w:snapToGrid w:val="0"/>
      <w:kern w:val="0"/>
      <w:szCs w:val="24"/>
    </w:rPr>
  </w:style>
  <w:style w:type="character" w:customStyle="1" w:styleId="293">
    <w:name w:val="正文文本 2 Char"/>
    <w:qFormat/>
    <w:uiPriority w:val="0"/>
    <w:rPr>
      <w:rFonts w:eastAsia="宋体"/>
      <w:kern w:val="2"/>
      <w:sz w:val="21"/>
      <w:szCs w:val="24"/>
      <w:lang w:val="en-US" w:eastAsia="zh-CN" w:bidi="ar-SA"/>
    </w:rPr>
  </w:style>
  <w:style w:type="character" w:customStyle="1" w:styleId="294">
    <w:name w:val="Ò³Ã¼ Char Char"/>
    <w:qFormat/>
    <w:uiPriority w:val="0"/>
    <w:rPr>
      <w:rFonts w:eastAsia="宋体"/>
      <w:kern w:val="2"/>
      <w:sz w:val="18"/>
      <w:lang w:val="en-US" w:eastAsia="zh-CN" w:bidi="ar-SA"/>
    </w:rPr>
  </w:style>
  <w:style w:type="character" w:customStyle="1" w:styleId="295">
    <w:name w:val="message1"/>
    <w:qFormat/>
    <w:uiPriority w:val="0"/>
    <w:rPr>
      <w:rFonts w:hint="default" w:ascii="Tahoma" w:hAnsi="Tahoma" w:cs="Tahoma"/>
      <w:sz w:val="18"/>
      <w:szCs w:val="18"/>
    </w:rPr>
  </w:style>
  <w:style w:type="character" w:customStyle="1" w:styleId="296">
    <w:name w:val="Char Char23"/>
    <w:qFormat/>
    <w:uiPriority w:val="6"/>
    <w:rPr>
      <w:color w:val="0000FF"/>
      <w:sz w:val="21"/>
    </w:rPr>
  </w:style>
  <w:style w:type="character" w:customStyle="1" w:styleId="297">
    <w:name w:val="批注框文本 字符"/>
    <w:qFormat/>
    <w:uiPriority w:val="0"/>
    <w:rPr>
      <w:rFonts w:ascii="Arial" w:hAnsi="Arial" w:eastAsia="黑体" w:cs="Arial"/>
      <w:snapToGrid w:val="0"/>
      <w:kern w:val="0"/>
      <w:sz w:val="18"/>
      <w:szCs w:val="18"/>
    </w:rPr>
  </w:style>
  <w:style w:type="character" w:customStyle="1" w:styleId="298">
    <w:name w:val="纯文本 Char2"/>
    <w:semiHidden/>
    <w:qFormat/>
    <w:uiPriority w:val="99"/>
    <w:rPr>
      <w:rFonts w:ascii="宋体" w:hAnsi="Courier New" w:eastAsia="宋体" w:cs="Courier New"/>
    </w:rPr>
  </w:style>
  <w:style w:type="character" w:customStyle="1" w:styleId="299">
    <w:name w:val="Char Char25"/>
    <w:qFormat/>
    <w:uiPriority w:val="6"/>
    <w:rPr>
      <w:rFonts w:ascii="宋体" w:hAnsi="宋体"/>
      <w:kern w:val="1"/>
      <w:sz w:val="24"/>
      <w:lang w:val="zh-CN"/>
    </w:rPr>
  </w:style>
  <w:style w:type="character" w:customStyle="1" w:styleId="300">
    <w:name w:val="Char Char411"/>
    <w:qFormat/>
    <w:uiPriority w:val="0"/>
    <w:rPr>
      <w:rFonts w:eastAsia="宋体"/>
      <w:b/>
      <w:sz w:val="24"/>
      <w:lang w:val="en-GB" w:eastAsia="zh-CN" w:bidi="ar-SA"/>
    </w:rPr>
  </w:style>
  <w:style w:type="character" w:customStyle="1" w:styleId="301">
    <w:name w:val="Heading 7 Char"/>
    <w:qFormat/>
    <w:locked/>
    <w:uiPriority w:val="0"/>
    <w:rPr>
      <w:rFonts w:ascii="宋体" w:hAnsi="宋体" w:eastAsia="宋体"/>
      <w:b/>
      <w:bCs/>
      <w:kern w:val="2"/>
      <w:sz w:val="24"/>
      <w:szCs w:val="24"/>
      <w:lang w:val="en-US" w:eastAsia="zh-CN" w:bidi="ar-SA"/>
    </w:rPr>
  </w:style>
  <w:style w:type="character" w:customStyle="1" w:styleId="302">
    <w:name w:val="此正文 Char"/>
    <w:link w:val="303"/>
    <w:qFormat/>
    <w:uiPriority w:val="0"/>
    <w:rPr>
      <w:kern w:val="2"/>
      <w:sz w:val="24"/>
      <w:szCs w:val="24"/>
    </w:rPr>
  </w:style>
  <w:style w:type="paragraph" w:customStyle="1" w:styleId="303">
    <w:name w:val="此正文"/>
    <w:basedOn w:val="1"/>
    <w:link w:val="302"/>
    <w:qFormat/>
    <w:uiPriority w:val="0"/>
    <w:pPr>
      <w:adjustRightInd/>
      <w:spacing w:line="360" w:lineRule="auto"/>
      <w:ind w:firstLine="200" w:firstLineChars="200"/>
    </w:pPr>
    <w:rPr>
      <w:sz w:val="24"/>
    </w:rPr>
  </w:style>
  <w:style w:type="character" w:customStyle="1" w:styleId="304">
    <w:name w:val="Char Char2"/>
    <w:qFormat/>
    <w:uiPriority w:val="0"/>
    <w:rPr>
      <w:rFonts w:eastAsia="宋体"/>
      <w:b/>
      <w:bCs/>
      <w:kern w:val="2"/>
      <w:sz w:val="21"/>
      <w:szCs w:val="24"/>
      <w:lang w:val="en-US" w:eastAsia="zh-CN" w:bidi="ar-SA"/>
    </w:rPr>
  </w:style>
  <w:style w:type="character" w:customStyle="1" w:styleId="305">
    <w:name w:val="Footer-Even Char1"/>
    <w:qFormat/>
    <w:uiPriority w:val="0"/>
    <w:rPr>
      <w:rFonts w:eastAsia="宋体"/>
      <w:kern w:val="2"/>
      <w:sz w:val="18"/>
      <w:szCs w:val="18"/>
      <w:lang w:val="en-US" w:eastAsia="zh-CN" w:bidi="ar-SA"/>
    </w:rPr>
  </w:style>
  <w:style w:type="character" w:customStyle="1" w:styleId="306">
    <w:name w:val="Char Char29"/>
    <w:qFormat/>
    <w:uiPriority w:val="6"/>
    <w:rPr>
      <w:rFonts w:ascii="Arial" w:hAnsi="Arial" w:eastAsia="微软雅黑"/>
      <w:b/>
      <w:kern w:val="1"/>
      <w:sz w:val="44"/>
      <w:szCs w:val="32"/>
      <w:lang w:val="en-US" w:eastAsia="zh-CN" w:bidi="ar-SA"/>
    </w:rPr>
  </w:style>
  <w:style w:type="character" w:customStyle="1" w:styleId="307">
    <w:name w:val="font81"/>
    <w:qFormat/>
    <w:uiPriority w:val="0"/>
    <w:rPr>
      <w:rFonts w:ascii="微软雅黑" w:hAnsi="微软雅黑" w:eastAsia="微软雅黑" w:cs="微软雅黑"/>
      <w:color w:val="000000"/>
      <w:sz w:val="20"/>
      <w:szCs w:val="20"/>
      <w:u w:val="none"/>
    </w:rPr>
  </w:style>
  <w:style w:type="character" w:customStyle="1" w:styleId="308">
    <w:name w:val="Char Char312"/>
    <w:qFormat/>
    <w:uiPriority w:val="0"/>
    <w:rPr>
      <w:rFonts w:ascii="Times New Roman" w:hAnsi="Times New Roman" w:eastAsia="宋体" w:cs="Times New Roman"/>
      <w:b/>
      <w:kern w:val="2"/>
      <w:sz w:val="32"/>
      <w:szCs w:val="24"/>
      <w:lang w:val="en-US" w:eastAsia="zh-CN" w:bidi="ar-SA"/>
    </w:rPr>
  </w:style>
  <w:style w:type="character" w:customStyle="1" w:styleId="309">
    <w:name w:val="t21"/>
    <w:qFormat/>
    <w:uiPriority w:val="0"/>
    <w:rPr>
      <w:rFonts w:ascii="仿宋_GB2312" w:eastAsia="微软雅黑"/>
      <w:b/>
      <w:kern w:val="2"/>
      <w:sz w:val="23"/>
      <w:szCs w:val="23"/>
      <w:lang w:val="en-US" w:eastAsia="zh-CN" w:bidi="ar-SA"/>
    </w:rPr>
  </w:style>
  <w:style w:type="character" w:customStyle="1" w:styleId="310">
    <w:name w:val="样式8 Char"/>
    <w:qFormat/>
    <w:uiPriority w:val="0"/>
    <w:rPr>
      <w:rFonts w:ascii="仿宋_GB2312" w:hAnsi="宋体" w:eastAsia="仿宋_GB2312"/>
      <w:b/>
      <w:bCs/>
      <w:kern w:val="2"/>
      <w:sz w:val="24"/>
      <w:szCs w:val="24"/>
    </w:rPr>
  </w:style>
  <w:style w:type="character" w:customStyle="1" w:styleId="311">
    <w:name w:val="表格 Char Char"/>
    <w:qFormat/>
    <w:uiPriority w:val="0"/>
    <w:rPr>
      <w:rFonts w:ascii="宋体" w:hAnsi="宋体" w:eastAsia="宋体"/>
      <w:lang w:bidi="ar-SA"/>
    </w:rPr>
  </w:style>
  <w:style w:type="character" w:customStyle="1" w:styleId="312">
    <w:name w:val="正文文本 字符1"/>
    <w:qFormat/>
    <w:uiPriority w:val="0"/>
    <w:rPr>
      <w:rFonts w:ascii="Calibri" w:hAnsi="Calibri" w:eastAsia="黑体" w:cs="Arial"/>
      <w:snapToGrid w:val="0"/>
      <w:kern w:val="2"/>
      <w:sz w:val="28"/>
      <w:szCs w:val="21"/>
    </w:rPr>
  </w:style>
  <w:style w:type="character" w:customStyle="1" w:styleId="313">
    <w:name w:val="标题 6 Char1"/>
    <w:qFormat/>
    <w:uiPriority w:val="0"/>
    <w:rPr>
      <w:rFonts w:ascii="Arial" w:hAnsi="Arial" w:eastAsia="黑体" w:cs="Times New Roman"/>
      <w:b/>
      <w:sz w:val="24"/>
      <w:szCs w:val="20"/>
      <w:lang w:bidi="ar-SA"/>
    </w:rPr>
  </w:style>
  <w:style w:type="character" w:customStyle="1" w:styleId="314">
    <w:name w:val="带编号样式 Char"/>
    <w:qFormat/>
    <w:uiPriority w:val="0"/>
    <w:rPr>
      <w:rFonts w:ascii="仿宋_GB2312" w:eastAsia="仿宋_GB2312"/>
      <w:color w:val="000000"/>
      <w:sz w:val="24"/>
      <w:lang w:bidi="ar-SA"/>
    </w:rPr>
  </w:style>
  <w:style w:type="character" w:customStyle="1" w:styleId="315">
    <w:name w:val="unnamed31"/>
    <w:qFormat/>
    <w:uiPriority w:val="0"/>
    <w:rPr>
      <w:rFonts w:ascii="Tahoma" w:hAnsi="Tahoma" w:eastAsia="宋体"/>
      <w:b/>
      <w:kern w:val="2"/>
      <w:sz w:val="24"/>
      <w:szCs w:val="32"/>
      <w:u w:val="none"/>
      <w:lang w:val="en-US" w:eastAsia="zh-CN" w:bidi="ar-SA"/>
    </w:rPr>
  </w:style>
  <w:style w:type="character" w:customStyle="1" w:styleId="316">
    <w:name w:val="正文首行缩进 Char Char Char Char Char Char1"/>
    <w:qFormat/>
    <w:uiPriority w:val="0"/>
    <w:rPr>
      <w:rFonts w:ascii="宋体" w:eastAsia="宋体"/>
      <w:kern w:val="2"/>
      <w:sz w:val="24"/>
      <w:szCs w:val="24"/>
      <w:lang w:val="zh-CN" w:bidi="ar-SA"/>
    </w:rPr>
  </w:style>
  <w:style w:type="character" w:customStyle="1" w:styleId="317">
    <w:name w:val="文本正文 Char Char"/>
    <w:qFormat/>
    <w:locked/>
    <w:uiPriority w:val="0"/>
    <w:rPr>
      <w:sz w:val="24"/>
      <w:lang w:bidi="ar-SA"/>
    </w:rPr>
  </w:style>
  <w:style w:type="character" w:customStyle="1" w:styleId="318">
    <w:name w:val="正文缩进 字符"/>
    <w:qFormat/>
    <w:uiPriority w:val="0"/>
    <w:rPr>
      <w:rFonts w:ascii="宋体" w:eastAsia="宋体"/>
      <w:snapToGrid w:val="0"/>
      <w:color w:val="000000"/>
      <w:kern w:val="28"/>
      <w:sz w:val="28"/>
      <w:lang w:val="en-US" w:eastAsia="zh-CN" w:bidi="ar-SA"/>
    </w:rPr>
  </w:style>
  <w:style w:type="character" w:customStyle="1" w:styleId="319">
    <w:name w:val="样式 样式 标题 4h4H4Fab-4T5Ref Heading 1rh1Heading sqlsect 1.2.3.... +... Char"/>
    <w:link w:val="320"/>
    <w:qFormat/>
    <w:uiPriority w:val="0"/>
    <w:rPr>
      <w:rFonts w:ascii="微软雅黑" w:hAnsi="微软雅黑" w:eastAsia="微软雅黑"/>
      <w:b/>
      <w:bCs/>
      <w:kern w:val="2"/>
      <w:sz w:val="24"/>
      <w:szCs w:val="28"/>
    </w:rPr>
  </w:style>
  <w:style w:type="paragraph" w:customStyle="1" w:styleId="320">
    <w:name w:val="样式 样式 标题 4h4H4Fab-4T5Ref Heading 1rh1Heading sqlsect 1.2.3.... +..."/>
    <w:basedOn w:val="321"/>
    <w:link w:val="319"/>
    <w:qFormat/>
    <w:uiPriority w:val="0"/>
    <w:pPr>
      <w:tabs>
        <w:tab w:val="left" w:pos="2356"/>
      </w:tabs>
    </w:pPr>
  </w:style>
  <w:style w:type="paragraph" w:customStyle="1" w:styleId="321">
    <w:name w:val="样式 标题 4h4H4Fab-4T5Ref Heading 1rh1Heading sqlsect 1.2.3...."/>
    <w:basedOn w:val="6"/>
    <w:link w:val="3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2">
    <w:name w:val="样式 标题 4h4H4Fab-4T5Ref Heading 1rh1Heading sqlsect 1.2.3.... Char"/>
    <w:link w:val="321"/>
    <w:qFormat/>
    <w:uiPriority w:val="0"/>
    <w:rPr>
      <w:rFonts w:ascii="微软雅黑" w:hAnsi="微软雅黑" w:eastAsia="微软雅黑"/>
      <w:b/>
      <w:bCs/>
      <w:kern w:val="2"/>
      <w:sz w:val="24"/>
      <w:szCs w:val="28"/>
    </w:rPr>
  </w:style>
  <w:style w:type="character" w:customStyle="1" w:styleId="323">
    <w:name w:val="正文非缩进 Char"/>
    <w:qFormat/>
    <w:uiPriority w:val="0"/>
    <w:rPr>
      <w:rFonts w:ascii="宋体" w:eastAsia="宋体"/>
      <w:snapToGrid w:val="0"/>
      <w:color w:val="000000"/>
      <w:kern w:val="28"/>
      <w:sz w:val="28"/>
      <w:lang w:val="en-US" w:eastAsia="zh-CN" w:bidi="ar-SA"/>
    </w:rPr>
  </w:style>
  <w:style w:type="character" w:customStyle="1" w:styleId="324">
    <w:name w:val="Char Char5"/>
    <w:qFormat/>
    <w:uiPriority w:val="0"/>
    <w:rPr>
      <w:rFonts w:ascii="宋体" w:hAnsi="Courier New" w:eastAsia="宋体"/>
      <w:kern w:val="2"/>
      <w:sz w:val="21"/>
      <w:lang w:val="en-US" w:eastAsia="zh-CN"/>
    </w:rPr>
  </w:style>
  <w:style w:type="character" w:customStyle="1" w:styleId="325">
    <w:name w:val="称呼 Char1"/>
    <w:qFormat/>
    <w:uiPriority w:val="0"/>
    <w:rPr>
      <w:rFonts w:ascii="Times New Roman" w:hAnsi="Times New Roman" w:eastAsia="宋体" w:cs="Times New Roman"/>
      <w:szCs w:val="24"/>
    </w:rPr>
  </w:style>
  <w:style w:type="character" w:customStyle="1" w:styleId="326">
    <w:name w:val="正文1 Char"/>
    <w:qFormat/>
    <w:uiPriority w:val="0"/>
    <w:rPr>
      <w:rFonts w:ascii="宋体" w:eastAsia="宋体"/>
      <w:snapToGrid w:val="0"/>
      <w:color w:val="000000"/>
      <w:kern w:val="28"/>
      <w:sz w:val="28"/>
      <w:lang w:val="en-US" w:eastAsia="zh-CN" w:bidi="ar-SA"/>
    </w:rPr>
  </w:style>
  <w:style w:type="character" w:customStyle="1" w:styleId="327">
    <w:name w:val="正文缩进 Char1"/>
    <w:qFormat/>
    <w:uiPriority w:val="0"/>
    <w:rPr>
      <w:rFonts w:ascii="宋体" w:eastAsia="宋体"/>
      <w:snapToGrid w:val="0"/>
      <w:color w:val="000000"/>
      <w:kern w:val="28"/>
      <w:sz w:val="28"/>
      <w:lang w:val="en-US" w:eastAsia="zh-CN" w:bidi="ar-SA"/>
    </w:rPr>
  </w:style>
  <w:style w:type="character" w:customStyle="1" w:styleId="328">
    <w:name w:val="font21"/>
    <w:qFormat/>
    <w:uiPriority w:val="0"/>
    <w:rPr>
      <w:rFonts w:hint="eastAsia" w:ascii="宋体" w:hAnsi="宋体" w:eastAsia="宋体"/>
      <w:kern w:val="2"/>
      <w:sz w:val="28"/>
      <w:szCs w:val="28"/>
      <w:lang w:val="en-US" w:eastAsia="zh-CN" w:bidi="ar-SA"/>
    </w:rPr>
  </w:style>
  <w:style w:type="character" w:customStyle="1" w:styleId="329">
    <w:name w:val="Char Char26"/>
    <w:qFormat/>
    <w:uiPriority w:val="6"/>
    <w:rPr>
      <w:kern w:val="1"/>
      <w:sz w:val="21"/>
      <w:szCs w:val="24"/>
    </w:rPr>
  </w:style>
  <w:style w:type="character" w:customStyle="1" w:styleId="330">
    <w:name w:val="Item List Char"/>
    <w:link w:val="331"/>
    <w:qFormat/>
    <w:uiPriority w:val="0"/>
    <w:rPr>
      <w:rFonts w:ascii="Arial"/>
      <w:bCs/>
      <w:sz w:val="21"/>
      <w:szCs w:val="21"/>
      <w:lang w:val="en-US" w:eastAsia="zh-CN" w:bidi="ar-SA"/>
    </w:rPr>
  </w:style>
  <w:style w:type="paragraph" w:customStyle="1" w:styleId="331">
    <w:name w:val="Item List"/>
    <w:link w:val="3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2">
    <w:name w:val="批注框文本 Char1"/>
    <w:qFormat/>
    <w:uiPriority w:val="0"/>
    <w:rPr>
      <w:rFonts w:ascii="Times New Roman" w:hAnsi="Times New Roman" w:eastAsia="宋体" w:cs="Times New Roman"/>
      <w:sz w:val="18"/>
      <w:szCs w:val="18"/>
    </w:rPr>
  </w:style>
  <w:style w:type="character" w:customStyle="1" w:styleId="333">
    <w:name w:val="纯文本 Char1"/>
    <w:link w:val="334"/>
    <w:qFormat/>
    <w:uiPriority w:val="0"/>
    <w:rPr>
      <w:rFonts w:ascii="宋体" w:hAnsi="Courier New"/>
    </w:rPr>
  </w:style>
  <w:style w:type="paragraph" w:customStyle="1" w:styleId="334">
    <w:name w:val="纯文本1"/>
    <w:basedOn w:val="335"/>
    <w:link w:val="333"/>
    <w:qFormat/>
    <w:uiPriority w:val="0"/>
    <w:pPr>
      <w:tabs>
        <w:tab w:val="right" w:leader="dot" w:pos="8268"/>
      </w:tabs>
      <w:adjustRightInd/>
    </w:pPr>
    <w:rPr>
      <w:rFonts w:ascii="宋体" w:hAnsi="Courier New"/>
      <w:kern w:val="0"/>
      <w:sz w:val="20"/>
      <w:szCs w:val="20"/>
    </w:rPr>
  </w:style>
  <w:style w:type="paragraph" w:customStyle="1" w:styleId="335">
    <w:name w:val="正文1"/>
    <w:basedOn w:val="35"/>
    <w:qFormat/>
    <w:uiPriority w:val="0"/>
    <w:pPr>
      <w:ind w:left="0" w:leftChars="0" w:firstLine="480" w:firstLineChars="200"/>
    </w:pPr>
    <w:rPr>
      <w:rFonts w:ascii="仿宋_GB2312" w:hAnsi="Courier New" w:eastAsia="仿宋_GB2312"/>
      <w:kern w:val="28"/>
      <w:sz w:val="24"/>
    </w:rPr>
  </w:style>
  <w:style w:type="character" w:customStyle="1" w:styleId="336">
    <w:name w:val="h3 Char"/>
    <w:qFormat/>
    <w:uiPriority w:val="0"/>
    <w:rPr>
      <w:rFonts w:eastAsia="宋体"/>
      <w:b/>
      <w:kern w:val="2"/>
      <w:sz w:val="32"/>
      <w:lang w:val="en-US" w:eastAsia="zh-CN" w:bidi="ar-SA"/>
    </w:rPr>
  </w:style>
  <w:style w:type="character" w:customStyle="1" w:styleId="337">
    <w:name w:val="dandyren_title1"/>
    <w:qFormat/>
    <w:uiPriority w:val="0"/>
    <w:rPr>
      <w:b/>
      <w:bCs/>
      <w:color w:val="FF6633"/>
      <w:sz w:val="18"/>
      <w:szCs w:val="18"/>
    </w:rPr>
  </w:style>
  <w:style w:type="character" w:customStyle="1" w:styleId="338">
    <w:name w:val="Char Char31"/>
    <w:qFormat/>
    <w:uiPriority w:val="6"/>
    <w:rPr>
      <w:rFonts w:ascii="Arial" w:hAnsi="Arial" w:eastAsia="黑体"/>
      <w:kern w:val="1"/>
      <w:sz w:val="24"/>
      <w:szCs w:val="24"/>
    </w:rPr>
  </w:style>
  <w:style w:type="character" w:customStyle="1" w:styleId="339">
    <w:name w:val="h Char1"/>
    <w:qFormat/>
    <w:uiPriority w:val="0"/>
    <w:rPr>
      <w:sz w:val="18"/>
      <w:szCs w:val="18"/>
    </w:rPr>
  </w:style>
  <w:style w:type="character" w:customStyle="1" w:styleId="340">
    <w:name w:val="solutionfonts"/>
    <w:qFormat/>
    <w:uiPriority w:val="0"/>
  </w:style>
  <w:style w:type="character" w:customStyle="1" w:styleId="341">
    <w:name w:val="首行缩进 Char"/>
    <w:qFormat/>
    <w:uiPriority w:val="0"/>
    <w:rPr>
      <w:rFonts w:ascii="宋体" w:eastAsia="宋体"/>
      <w:kern w:val="2"/>
      <w:sz w:val="24"/>
      <w:lang w:val="en-US" w:eastAsia="zh-CN" w:bidi="ar-SA"/>
    </w:rPr>
  </w:style>
  <w:style w:type="character" w:customStyle="1" w:styleId="342">
    <w:name w:val="Char Char52"/>
    <w:qFormat/>
    <w:uiPriority w:val="0"/>
    <w:rPr>
      <w:rFonts w:ascii="宋体" w:hAnsi="Courier New" w:eastAsia="宋体"/>
      <w:kern w:val="2"/>
      <w:sz w:val="21"/>
      <w:lang w:val="en-US" w:eastAsia="zh-CN"/>
    </w:rPr>
  </w:style>
  <w:style w:type="character" w:customStyle="1" w:styleId="343">
    <w:name w:val="font31"/>
    <w:basedOn w:val="72"/>
    <w:qFormat/>
    <w:uiPriority w:val="0"/>
    <w:rPr>
      <w:rFonts w:hint="eastAsia" w:ascii="仿宋" w:hAnsi="仿宋" w:eastAsia="仿宋" w:cs="仿宋"/>
      <w:color w:val="000000"/>
      <w:sz w:val="20"/>
      <w:szCs w:val="20"/>
      <w:u w:val="none"/>
    </w:rPr>
  </w:style>
  <w:style w:type="character" w:customStyle="1" w:styleId="344">
    <w:name w:val="正文说明 Char"/>
    <w:link w:val="345"/>
    <w:qFormat/>
    <w:uiPriority w:val="0"/>
    <w:rPr>
      <w:sz w:val="24"/>
      <w:szCs w:val="24"/>
    </w:rPr>
  </w:style>
  <w:style w:type="paragraph" w:customStyle="1" w:styleId="345">
    <w:name w:val="正文说明"/>
    <w:basedOn w:val="1"/>
    <w:link w:val="344"/>
    <w:qFormat/>
    <w:uiPriority w:val="0"/>
    <w:pPr>
      <w:adjustRightInd/>
      <w:spacing w:line="360" w:lineRule="auto"/>
    </w:pPr>
    <w:rPr>
      <w:kern w:val="0"/>
      <w:sz w:val="24"/>
    </w:rPr>
  </w:style>
  <w:style w:type="character" w:customStyle="1" w:styleId="346">
    <w:name w:val="脚注文本 Char1"/>
    <w:qFormat/>
    <w:uiPriority w:val="0"/>
    <w:rPr>
      <w:rFonts w:ascii="Times New Roman" w:hAnsi="Times New Roman" w:eastAsia="宋体" w:cs="Times New Roman"/>
      <w:sz w:val="18"/>
      <w:szCs w:val="18"/>
    </w:rPr>
  </w:style>
  <w:style w:type="character" w:customStyle="1" w:styleId="347">
    <w:name w:val="Char Char1211"/>
    <w:qFormat/>
    <w:uiPriority w:val="0"/>
    <w:rPr>
      <w:rFonts w:ascii="仿宋_GB2312" w:eastAsia="仿宋_GB2312"/>
      <w:b/>
      <w:bCs/>
      <w:kern w:val="2"/>
      <w:sz w:val="24"/>
      <w:szCs w:val="24"/>
      <w:lang w:val="zh-CN" w:eastAsia="zh-CN" w:bidi="ar-SA"/>
    </w:rPr>
  </w:style>
  <w:style w:type="character" w:customStyle="1" w:styleId="348">
    <w:name w:val="标题 Char"/>
    <w:qFormat/>
    <w:uiPriority w:val="0"/>
    <w:rPr>
      <w:rFonts w:eastAsia="宋体"/>
      <w:b/>
      <w:sz w:val="24"/>
      <w:lang w:val="en-GB" w:eastAsia="zh-CN" w:bidi="ar-SA"/>
    </w:rPr>
  </w:style>
  <w:style w:type="character" w:customStyle="1" w:styleId="349">
    <w:name w:val="Char Char35"/>
    <w:qFormat/>
    <w:uiPriority w:val="6"/>
    <w:rPr>
      <w:rFonts w:ascii="Arial" w:hAnsi="Arial" w:eastAsia="黑体"/>
      <w:b/>
      <w:kern w:val="1"/>
      <w:sz w:val="28"/>
      <w:szCs w:val="28"/>
      <w:lang w:val="zh-CN"/>
    </w:rPr>
  </w:style>
  <w:style w:type="character" w:customStyle="1" w:styleId="350">
    <w:name w:val="纯文本 Char Char Char"/>
    <w:qFormat/>
    <w:uiPriority w:val="0"/>
    <w:rPr>
      <w:rFonts w:ascii="宋体" w:hAnsi="Courier New" w:eastAsia="宋体"/>
      <w:kern w:val="2"/>
      <w:sz w:val="21"/>
      <w:lang w:val="en-US" w:eastAsia="zh-CN" w:bidi="ar-SA"/>
    </w:rPr>
  </w:style>
  <w:style w:type="character" w:customStyle="1" w:styleId="351">
    <w:name w:val="Table Text Char"/>
    <w:link w:val="352"/>
    <w:qFormat/>
    <w:uiPriority w:val="0"/>
    <w:rPr>
      <w:sz w:val="24"/>
      <w:szCs w:val="24"/>
    </w:rPr>
  </w:style>
  <w:style w:type="paragraph" w:customStyle="1" w:styleId="352">
    <w:name w:val="Table Text"/>
    <w:basedOn w:val="1"/>
    <w:link w:val="351"/>
    <w:qFormat/>
    <w:uiPriority w:val="0"/>
    <w:pPr>
      <w:widowControl/>
      <w:spacing w:before="60" w:after="60"/>
      <w:jc w:val="left"/>
    </w:pPr>
    <w:rPr>
      <w:kern w:val="0"/>
      <w:sz w:val="24"/>
    </w:rPr>
  </w:style>
  <w:style w:type="character" w:customStyle="1" w:styleId="353">
    <w:name w:val="正文1 Char1"/>
    <w:qFormat/>
    <w:uiPriority w:val="0"/>
    <w:rPr>
      <w:rFonts w:ascii="仿宋_GB2312" w:hAnsi="Courier New" w:eastAsia="仿宋_GB2312"/>
      <w:kern w:val="28"/>
      <w:sz w:val="24"/>
      <w:szCs w:val="24"/>
      <w:lang w:val="en-US" w:eastAsia="zh-CN"/>
    </w:rPr>
  </w:style>
  <w:style w:type="character" w:customStyle="1" w:styleId="354">
    <w:name w:val="页脚 Char1"/>
    <w:qFormat/>
    <w:uiPriority w:val="0"/>
    <w:rPr>
      <w:rFonts w:eastAsia="宋体"/>
      <w:kern w:val="2"/>
      <w:sz w:val="18"/>
      <w:szCs w:val="18"/>
      <w:lang w:val="en-US" w:eastAsia="zh-CN" w:bidi="ar-SA"/>
    </w:rPr>
  </w:style>
  <w:style w:type="character" w:customStyle="1" w:styleId="355">
    <w:name w:val="Bold"/>
    <w:qFormat/>
    <w:uiPriority w:val="0"/>
    <w:rPr>
      <w:rFonts w:ascii="Arial" w:hAnsi="Arial" w:eastAsia="黑体" w:cs="Times New Roman"/>
      <w:b/>
      <w:kern w:val="2"/>
      <w:sz w:val="32"/>
      <w:szCs w:val="32"/>
      <w:lang w:val="en-US" w:eastAsia="zh-CN" w:bidi="ar-SA"/>
    </w:rPr>
  </w:style>
  <w:style w:type="character" w:customStyle="1" w:styleId="356">
    <w:name w:val="hui3"/>
    <w:qFormat/>
    <w:uiPriority w:val="0"/>
    <w:rPr>
      <w:color w:val="333333"/>
    </w:rPr>
  </w:style>
  <w:style w:type="character" w:customStyle="1" w:styleId="357">
    <w:name w:val="Char Char17"/>
    <w:qFormat/>
    <w:uiPriority w:val="6"/>
    <w:rPr>
      <w:rFonts w:eastAsia="仿宋_GB2312"/>
      <w:sz w:val="24"/>
    </w:rPr>
  </w:style>
  <w:style w:type="character" w:customStyle="1" w:styleId="358">
    <w:name w:val="标题 4 字符"/>
    <w:qFormat/>
    <w:uiPriority w:val="9"/>
    <w:rPr>
      <w:rFonts w:ascii="等线 Light" w:hAnsi="等线 Light" w:eastAsia="等线 Light" w:cs="Times New Roman"/>
      <w:b/>
      <w:bCs/>
      <w:snapToGrid w:val="0"/>
      <w:kern w:val="0"/>
      <w:sz w:val="28"/>
      <w:szCs w:val="28"/>
    </w:rPr>
  </w:style>
  <w:style w:type="character" w:customStyle="1" w:styleId="359">
    <w:name w:val="Char Char37"/>
    <w:qFormat/>
    <w:uiPriority w:val="6"/>
    <w:rPr>
      <w:b/>
      <w:kern w:val="1"/>
      <w:sz w:val="44"/>
      <w:szCs w:val="44"/>
    </w:rPr>
  </w:style>
  <w:style w:type="character" w:customStyle="1" w:styleId="360">
    <w:name w:val="列出段落 Char"/>
    <w:qFormat/>
    <w:uiPriority w:val="0"/>
    <w:rPr>
      <w:rFonts w:eastAsia="楷体_GB2312" w:cs="Lucida Sans"/>
      <w:kern w:val="2"/>
      <w:sz w:val="24"/>
      <w:szCs w:val="24"/>
      <w:lang w:val="en-US" w:eastAsia="zh-CN" w:bidi="ar-SA"/>
    </w:rPr>
  </w:style>
  <w:style w:type="character" w:customStyle="1" w:styleId="361">
    <w:name w:val="正文文本缩进 3 Char1"/>
    <w:semiHidden/>
    <w:qFormat/>
    <w:uiPriority w:val="99"/>
    <w:rPr>
      <w:rFonts w:ascii="Times New Roman" w:hAnsi="Times New Roman" w:eastAsia="宋体" w:cs="Times New Roman"/>
      <w:sz w:val="16"/>
      <w:szCs w:val="16"/>
    </w:rPr>
  </w:style>
  <w:style w:type="character" w:customStyle="1" w:styleId="362">
    <w:name w:val="公文正文 Char Char"/>
    <w:link w:val="363"/>
    <w:qFormat/>
    <w:uiPriority w:val="0"/>
    <w:rPr>
      <w:rFonts w:ascii="仿宋_GB2312" w:eastAsia="仿宋_GB2312"/>
      <w:kern w:val="2"/>
      <w:sz w:val="24"/>
      <w:szCs w:val="24"/>
    </w:rPr>
  </w:style>
  <w:style w:type="paragraph" w:customStyle="1" w:styleId="363">
    <w:name w:val="公文正文"/>
    <w:basedOn w:val="1"/>
    <w:link w:val="362"/>
    <w:qFormat/>
    <w:uiPriority w:val="0"/>
    <w:pPr>
      <w:adjustRightInd/>
      <w:spacing w:before="156" w:line="360" w:lineRule="auto"/>
      <w:ind w:firstLine="360" w:firstLineChars="200"/>
    </w:pPr>
    <w:rPr>
      <w:rFonts w:ascii="仿宋_GB2312" w:eastAsia="仿宋_GB2312"/>
      <w:sz w:val="24"/>
    </w:rPr>
  </w:style>
  <w:style w:type="character" w:customStyle="1" w:styleId="364">
    <w:name w:val="Table Text Char1"/>
    <w:qFormat/>
    <w:uiPriority w:val="0"/>
    <w:rPr>
      <w:rFonts w:eastAsia="宋体"/>
      <w:sz w:val="24"/>
      <w:szCs w:val="24"/>
      <w:lang w:val="en-US" w:eastAsia="zh-CN" w:bidi="ar-SA"/>
    </w:rPr>
  </w:style>
  <w:style w:type="character" w:customStyle="1" w:styleId="365">
    <w:name w:val="标题 1 Char Char"/>
    <w:basedOn w:val="72"/>
    <w:qFormat/>
    <w:uiPriority w:val="0"/>
    <w:rPr>
      <w:rFonts w:hint="eastAsia" w:ascii="宋体" w:hAnsi="宋体" w:eastAsia="宋体"/>
      <w:b/>
      <w:spacing w:val="-2"/>
      <w:sz w:val="24"/>
      <w:lang w:val="en-US" w:eastAsia="zh-CN" w:bidi="ar-SA"/>
    </w:rPr>
  </w:style>
  <w:style w:type="character" w:customStyle="1" w:styleId="366">
    <w:name w:val="正文（缩进2汉字） Char"/>
    <w:link w:val="367"/>
    <w:qFormat/>
    <w:uiPriority w:val="0"/>
    <w:rPr>
      <w:rFonts w:ascii="宋体"/>
    </w:rPr>
  </w:style>
  <w:style w:type="paragraph" w:customStyle="1" w:styleId="367">
    <w:name w:val="正文（缩进2汉字）"/>
    <w:basedOn w:val="1"/>
    <w:link w:val="3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qFormat/>
    <w:uiPriority w:val="0"/>
    <w:rPr>
      <w:kern w:val="2"/>
      <w:sz w:val="21"/>
      <w:szCs w:val="24"/>
      <w:lang w:bidi="ar-SA"/>
    </w:rPr>
  </w:style>
  <w:style w:type="character" w:customStyle="1" w:styleId="369">
    <w:name w:val="tw4winError"/>
    <w:qFormat/>
    <w:uiPriority w:val="0"/>
    <w:rPr>
      <w:rFonts w:ascii="Courier New" w:hAnsi="Courier New" w:cs="Courier New"/>
      <w:color w:val="00FF00"/>
      <w:sz w:val="40"/>
      <w:szCs w:val="40"/>
    </w:rPr>
  </w:style>
  <w:style w:type="character" w:customStyle="1" w:styleId="370">
    <w:name w:val="Body Text(ch) Char Char"/>
    <w:qFormat/>
    <w:uiPriority w:val="0"/>
    <w:rPr>
      <w:rFonts w:ascii="宋体"/>
      <w:kern w:val="2"/>
      <w:sz w:val="24"/>
      <w:szCs w:val="21"/>
      <w:lang w:val="zh-CN"/>
    </w:rPr>
  </w:style>
  <w:style w:type="character" w:customStyle="1" w:styleId="371">
    <w:name w:val="正文首行缩进两字 Char"/>
    <w:qFormat/>
    <w:uiPriority w:val="0"/>
    <w:rPr>
      <w:sz w:val="24"/>
      <w:szCs w:val="24"/>
      <w:lang w:val="en-US" w:eastAsia="zh-CN" w:bidi="ar-SA"/>
    </w:rPr>
  </w:style>
  <w:style w:type="character" w:customStyle="1" w:styleId="372">
    <w:name w:val="正文文本 Char"/>
    <w:qFormat/>
    <w:uiPriority w:val="0"/>
    <w:rPr>
      <w:rFonts w:eastAsia="宋体"/>
      <w:kern w:val="2"/>
      <w:sz w:val="24"/>
      <w:szCs w:val="24"/>
      <w:lang w:val="en-US" w:eastAsia="zh-CN" w:bidi="ar-SA"/>
    </w:rPr>
  </w:style>
  <w:style w:type="character" w:customStyle="1" w:styleId="373">
    <w:name w:val="文档结构图 字符1"/>
    <w:qFormat/>
    <w:uiPriority w:val="0"/>
    <w:rPr>
      <w:rFonts w:ascii="宋体" w:hAnsi="Calibri" w:eastAsia="黑体" w:cs="Arial"/>
      <w:snapToGrid w:val="0"/>
      <w:kern w:val="2"/>
      <w:sz w:val="18"/>
      <w:szCs w:val="18"/>
    </w:rPr>
  </w:style>
  <w:style w:type="character" w:customStyle="1" w:styleId="374">
    <w:name w:val="content"/>
    <w:qFormat/>
    <w:uiPriority w:val="0"/>
  </w:style>
  <w:style w:type="character" w:customStyle="1" w:styleId="375">
    <w:name w:val="tw4winPopup"/>
    <w:qFormat/>
    <w:uiPriority w:val="0"/>
    <w:rPr>
      <w:rFonts w:ascii="Courier New" w:hAnsi="Courier New" w:cs="Courier New"/>
      <w:color w:val="008000"/>
      <w:lang w:val="en-US" w:eastAsia="zh-CN"/>
    </w:rPr>
  </w:style>
  <w:style w:type="character" w:customStyle="1" w:styleId="376">
    <w:name w:val="param-name"/>
    <w:qFormat/>
    <w:uiPriority w:val="99"/>
    <w:rPr>
      <w:rFonts w:ascii="Arial" w:hAnsi="Arial" w:eastAsia="黑体" w:cs="Arial"/>
      <w:snapToGrid w:val="0"/>
      <w:kern w:val="0"/>
      <w:szCs w:val="21"/>
    </w:rPr>
  </w:style>
  <w:style w:type="character" w:customStyle="1" w:styleId="377">
    <w:name w:val="标准正文格式 Char"/>
    <w:qFormat/>
    <w:uiPriority w:val="0"/>
    <w:rPr>
      <w:rFonts w:ascii="宋体" w:eastAsia="仿宋_GB2312" w:cs="宋体"/>
      <w:color w:val="000000"/>
      <w:sz w:val="24"/>
      <w:lang w:val="en-US" w:eastAsia="zh-CN" w:bidi="ar-SA"/>
    </w:rPr>
  </w:style>
  <w:style w:type="character" w:customStyle="1" w:styleId="378">
    <w:name w:val="Char Char212"/>
    <w:qFormat/>
    <w:uiPriority w:val="0"/>
    <w:rPr>
      <w:rFonts w:eastAsia="宋体"/>
      <w:b/>
      <w:bCs/>
      <w:kern w:val="2"/>
      <w:sz w:val="21"/>
      <w:szCs w:val="24"/>
      <w:lang w:val="en-US" w:eastAsia="zh-CN" w:bidi="ar-SA"/>
    </w:rPr>
  </w:style>
  <w:style w:type="character" w:customStyle="1" w:styleId="379">
    <w:name w:val="文档结构图 Char"/>
    <w:qFormat/>
    <w:uiPriority w:val="0"/>
    <w:rPr>
      <w:rFonts w:eastAsia="宋体"/>
      <w:kern w:val="2"/>
      <w:sz w:val="21"/>
      <w:szCs w:val="24"/>
      <w:lang w:val="en-US" w:eastAsia="zh-CN" w:bidi="ar-SA"/>
    </w:rPr>
  </w:style>
  <w:style w:type="character" w:customStyle="1" w:styleId="380">
    <w:name w:val="zbggmain style9"/>
    <w:qFormat/>
    <w:uiPriority w:val="0"/>
  </w:style>
  <w:style w:type="character" w:customStyle="1" w:styleId="381">
    <w:name w:val="Char Char16"/>
    <w:qFormat/>
    <w:uiPriority w:val="6"/>
    <w:rPr>
      <w:kern w:val="1"/>
      <w:sz w:val="18"/>
      <w:szCs w:val="18"/>
    </w:rPr>
  </w:style>
  <w:style w:type="character" w:customStyle="1" w:styleId="382">
    <w:name w:val="font51"/>
    <w:qFormat/>
    <w:uiPriority w:val="0"/>
    <w:rPr>
      <w:rFonts w:hint="eastAsia" w:ascii="仿宋" w:hAnsi="仿宋" w:eastAsia="仿宋" w:cs="仿宋"/>
      <w:color w:val="000000"/>
      <w:sz w:val="20"/>
      <w:szCs w:val="20"/>
      <w:u w:val="none"/>
    </w:rPr>
  </w:style>
  <w:style w:type="character" w:customStyle="1" w:styleId="383">
    <w:name w:val="Char Char82"/>
    <w:qFormat/>
    <w:uiPriority w:val="0"/>
    <w:rPr>
      <w:rFonts w:eastAsia="宋体"/>
      <w:b/>
      <w:sz w:val="24"/>
      <w:lang w:val="en-GB" w:eastAsia="zh-CN"/>
    </w:rPr>
  </w:style>
  <w:style w:type="character" w:customStyle="1" w:styleId="384">
    <w:name w:val="日期 Char1"/>
    <w:semiHidden/>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2"/>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gray6"/>
    <w:basedOn w:val="72"/>
    <w:qFormat/>
    <w:uiPriority w:val="0"/>
    <w:rPr>
      <w:rFonts w:ascii="Arial" w:hAnsi="Arial" w:eastAsia="黑体" w:cs="Arial"/>
      <w:snapToGrid w:val="0"/>
      <w:kern w:val="0"/>
      <w:szCs w:val="21"/>
    </w:rPr>
  </w:style>
  <w:style w:type="character" w:customStyle="1" w:styleId="436">
    <w:name w:val="hui"/>
    <w:basedOn w:val="72"/>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outlineLvl w:val="5"/>
    </w:pPr>
  </w:style>
  <w:style w:type="paragraph" w:customStyle="1" w:styleId="478">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488"/>
    <w:qFormat/>
    <w:uiPriority w:val="1"/>
    <w:rPr>
      <w:szCs w:val="22"/>
    </w:rPr>
  </w:style>
  <w:style w:type="character" w:customStyle="1" w:styleId="488">
    <w:name w:val="无间隔 字符"/>
    <w:link w:val="487"/>
    <w:qFormat/>
    <w:uiPriority w:val="99"/>
    <w:rPr>
      <w:kern w:val="2"/>
      <w:sz w:val="21"/>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7"/>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62"/>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57"/>
    <w:next w:val="257"/>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57"/>
    <w:next w:val="257"/>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link w:val="580"/>
    <w:qFormat/>
    <w:uiPriority w:val="0"/>
    <w:pPr>
      <w:adjustRightInd/>
      <w:ind w:firstLine="560"/>
    </w:pPr>
    <w:rPr>
      <w:rFonts w:ascii="仿宋_GB2312" w:hAnsi="仿宋" w:eastAsia="仿宋_GB2312"/>
      <w:kern w:val="0"/>
      <w:sz w:val="28"/>
      <w:szCs w:val="28"/>
    </w:rPr>
  </w:style>
  <w:style w:type="character" w:customStyle="1" w:styleId="580">
    <w:name w:val="_正文段落 Char"/>
    <w:link w:val="579"/>
    <w:qFormat/>
    <w:uiPriority w:val="0"/>
    <w:rPr>
      <w:rFonts w:ascii="仿宋_GB2312" w:hAnsi="仿宋" w:eastAsia="仿宋_GB2312"/>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link w:val="610"/>
    <w:qFormat/>
    <w:uiPriority w:val="0"/>
    <w:pPr>
      <w:spacing w:line="480" w:lineRule="atLeast"/>
      <w:ind w:firstLine="567"/>
      <w:textAlignment w:val="baseline"/>
    </w:pPr>
    <w:rPr>
      <w:kern w:val="0"/>
      <w:sz w:val="24"/>
      <w:szCs w:val="20"/>
    </w:rPr>
  </w:style>
  <w:style w:type="character" w:customStyle="1" w:styleId="610">
    <w:name w:val="文档正文 Char"/>
    <w:link w:val="609"/>
    <w:qFormat/>
    <w:uiPriority w:val="0"/>
    <w:rPr>
      <w:sz w:val="24"/>
    </w:rPr>
  </w:style>
  <w:style w:type="paragraph" w:customStyle="1" w:styleId="611">
    <w:name w:val="正文文字表格居中"/>
    <w:basedOn w:val="1"/>
    <w:next w:val="60"/>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632"/>
    <w:qFormat/>
    <w:uiPriority w:val="0"/>
    <w:pPr>
      <w:adjustRightInd/>
      <w:spacing w:before="60" w:after="60" w:line="360" w:lineRule="auto"/>
      <w:ind w:firstLine="200" w:firstLineChars="200"/>
    </w:pPr>
    <w:rPr>
      <w:sz w:val="28"/>
      <w:szCs w:val="20"/>
    </w:rPr>
  </w:style>
  <w:style w:type="paragraph" w:customStyle="1" w:styleId="632">
    <w:name w:val="9"/>
    <w:next w:val="25"/>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33">
    <w:name w:val="MM Topic 1"/>
    <w:basedOn w:val="2"/>
    <w:qFormat/>
    <w:uiPriority w:val="0"/>
    <w:pPr>
      <w:tabs>
        <w:tab w:val="left" w:pos="840"/>
      </w:tabs>
      <w:adjustRightInd/>
      <w:ind w:left="840" w:hanging="420"/>
    </w:pPr>
  </w:style>
  <w:style w:type="paragraph" w:customStyle="1" w:styleId="63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qFormat/>
    <w:uiPriority w:val="0"/>
    <w:pPr>
      <w:spacing w:line="360" w:lineRule="auto"/>
      <w:ind w:firstLine="200" w:firstLineChars="200"/>
    </w:pPr>
    <w:rPr>
      <w:kern w:val="0"/>
      <w:sz w:val="24"/>
      <w:szCs w:val="20"/>
    </w:rPr>
  </w:style>
  <w:style w:type="paragraph" w:customStyle="1" w:styleId="636">
    <w:name w:val="表格"/>
    <w:basedOn w:val="1"/>
    <w:link w:val="637"/>
    <w:qFormat/>
    <w:uiPriority w:val="0"/>
    <w:pPr>
      <w:snapToGrid w:val="0"/>
      <w:ind w:firstLine="42" w:firstLineChars="21"/>
    </w:pPr>
    <w:rPr>
      <w:rFonts w:ascii="宋体" w:hAnsi="宋体"/>
      <w:kern w:val="0"/>
      <w:sz w:val="20"/>
      <w:szCs w:val="20"/>
    </w:rPr>
  </w:style>
  <w:style w:type="character" w:customStyle="1" w:styleId="637">
    <w:name w:val="表格 字符"/>
    <w:basedOn w:val="72"/>
    <w:link w:val="636"/>
    <w:qFormat/>
    <w:uiPriority w:val="0"/>
    <w:rPr>
      <w:rFonts w:ascii="宋体" w:hAnsi="宋体"/>
    </w:rPr>
  </w:style>
  <w:style w:type="paragraph" w:customStyle="1" w:styleId="63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1">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2">
    <w:name w:val="EB_表格"/>
    <w:basedOn w:val="1"/>
    <w:qFormat/>
    <w:uiPriority w:val="0"/>
    <w:pPr>
      <w:adjustRightInd/>
      <w:spacing w:line="300" w:lineRule="auto"/>
      <w:jc w:val="center"/>
    </w:pPr>
  </w:style>
  <w:style w:type="paragraph" w:customStyle="1" w:styleId="643">
    <w:name w:val="_Style 6"/>
    <w:basedOn w:val="1"/>
    <w:qFormat/>
    <w:uiPriority w:val="34"/>
    <w:pPr>
      <w:adjustRightInd/>
      <w:ind w:firstLine="420" w:firstLineChars="200"/>
    </w:pPr>
    <w:rPr>
      <w:rFonts w:eastAsia="仿宋_GB2312"/>
      <w:sz w:val="28"/>
    </w:rPr>
  </w:style>
  <w:style w:type="paragraph" w:customStyle="1" w:styleId="64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8">
    <w:name w:val="正文表标题"/>
    <w:next w:val="64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1">
    <w:name w:val="trademark"/>
    <w:qFormat/>
    <w:uiPriority w:val="0"/>
    <w:pPr>
      <w:spacing w:after="60"/>
    </w:pPr>
    <w:rPr>
      <w:rFonts w:ascii="Futura Bk" w:hAnsi="Futura Bk" w:eastAsia="宋体" w:cs="Times New Roman"/>
      <w:sz w:val="15"/>
      <w:lang w:val="en-US" w:eastAsia="en-US" w:bidi="ar-SA"/>
    </w:rPr>
  </w:style>
  <w:style w:type="paragraph" w:customStyle="1" w:styleId="6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3">
    <w:name w:val="Char Char1 Char Char Char Char Char Char1"/>
    <w:basedOn w:val="1"/>
    <w:qFormat/>
    <w:uiPriority w:val="0"/>
    <w:rPr>
      <w:rFonts w:ascii="仿宋_GB2312" w:eastAsia="仿宋_GB2312"/>
      <w:b/>
      <w:sz w:val="32"/>
      <w:szCs w:val="20"/>
    </w:rPr>
  </w:style>
  <w:style w:type="paragraph" w:customStyle="1" w:styleId="65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5">
    <w:name w:val="Char1 Char Char Char1"/>
    <w:basedOn w:val="1"/>
    <w:qFormat/>
    <w:uiPriority w:val="0"/>
    <w:pPr>
      <w:adjustRightInd/>
      <w:ind w:firstLine="200" w:firstLineChars="200"/>
    </w:pPr>
    <w:rPr>
      <w:rFonts w:ascii="Tahoma" w:hAnsi="Tahoma"/>
      <w:sz w:val="24"/>
      <w:szCs w:val="20"/>
    </w:rPr>
  </w:style>
  <w:style w:type="paragraph" w:customStyle="1" w:styleId="656">
    <w:name w:val="a1"/>
    <w:basedOn w:val="1"/>
    <w:qFormat/>
    <w:uiPriority w:val="0"/>
    <w:pPr>
      <w:widowControl/>
      <w:spacing w:line="300" w:lineRule="atLeast"/>
      <w:jc w:val="left"/>
    </w:pPr>
    <w:rPr>
      <w:rFonts w:ascii="宋体" w:hAnsi="宋体"/>
      <w:kern w:val="0"/>
      <w:sz w:val="18"/>
      <w:szCs w:val="20"/>
    </w:rPr>
  </w:style>
  <w:style w:type="paragraph" w:customStyle="1" w:styleId="657">
    <w:name w:val="样式7"/>
    <w:basedOn w:val="658"/>
    <w:next w:val="1"/>
    <w:qFormat/>
    <w:uiPriority w:val="0"/>
    <w:pPr>
      <w:spacing w:afterLines="50"/>
      <w:jc w:val="left"/>
      <w:outlineLvl w:val="3"/>
    </w:pPr>
    <w:rPr>
      <w:sz w:val="24"/>
      <w:szCs w:val="24"/>
    </w:rPr>
  </w:style>
  <w:style w:type="paragraph" w:customStyle="1" w:styleId="65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1">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2">
    <w:name w:val="Char2 Char Char2"/>
    <w:basedOn w:val="1"/>
    <w:qFormat/>
    <w:uiPriority w:val="0"/>
    <w:pPr>
      <w:adjustRightInd/>
    </w:pPr>
    <w:rPr>
      <w:rFonts w:ascii="Tahoma" w:hAnsi="Tahoma"/>
      <w:sz w:val="24"/>
      <w:szCs w:val="20"/>
    </w:rPr>
  </w:style>
  <w:style w:type="paragraph" w:customStyle="1" w:styleId="6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4">
    <w:name w:val="三级条标题"/>
    <w:basedOn w:val="665"/>
    <w:next w:val="649"/>
    <w:qFormat/>
    <w:uiPriority w:val="0"/>
    <w:pPr>
      <w:tabs>
        <w:tab w:val="left" w:pos="1260"/>
        <w:tab w:val="left" w:pos="1680"/>
        <w:tab w:val="left" w:pos="2100"/>
        <w:tab w:val="left" w:pos="2520"/>
      </w:tabs>
      <w:ind w:left="2520"/>
      <w:outlineLvl w:val="4"/>
    </w:pPr>
  </w:style>
  <w:style w:type="paragraph" w:customStyle="1" w:styleId="665">
    <w:name w:val="二级条标题"/>
    <w:basedOn w:val="666"/>
    <w:next w:val="649"/>
    <w:qFormat/>
    <w:uiPriority w:val="0"/>
    <w:pPr>
      <w:tabs>
        <w:tab w:val="left" w:pos="1260"/>
        <w:tab w:val="left" w:pos="1680"/>
        <w:tab w:val="left" w:pos="2100"/>
      </w:tabs>
      <w:ind w:left="0"/>
      <w:outlineLvl w:val="3"/>
    </w:pPr>
  </w:style>
  <w:style w:type="paragraph" w:customStyle="1" w:styleId="666">
    <w:name w:val="一级条标题"/>
    <w:basedOn w:val="667"/>
    <w:next w:val="649"/>
    <w:qFormat/>
    <w:uiPriority w:val="0"/>
    <w:pPr>
      <w:tabs>
        <w:tab w:val="left" w:pos="1260"/>
        <w:tab w:val="left" w:pos="1680"/>
      </w:tabs>
      <w:spacing w:beforeLines="0" w:afterLines="0"/>
      <w:ind w:left="1680"/>
      <w:outlineLvl w:val="2"/>
    </w:pPr>
  </w:style>
  <w:style w:type="paragraph" w:customStyle="1" w:styleId="667">
    <w:name w:val="章标题"/>
    <w:next w:val="64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4">
    <w:name w:val="正文 项目2"/>
    <w:basedOn w:val="675"/>
    <w:qFormat/>
    <w:uiPriority w:val="0"/>
    <w:pPr>
      <w:tabs>
        <w:tab w:val="left" w:pos="840"/>
      </w:tabs>
      <w:spacing w:after="0"/>
      <w:ind w:left="900"/>
    </w:pPr>
  </w:style>
  <w:style w:type="paragraph" w:customStyle="1" w:styleId="6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6">
    <w:name w:val="Body Text 2*"/>
    <w:basedOn w:val="1"/>
    <w:qFormat/>
    <w:uiPriority w:val="6"/>
    <w:pPr>
      <w:widowControl/>
      <w:adjustRightInd/>
      <w:ind w:left="720" w:hanging="720"/>
    </w:pPr>
    <w:rPr>
      <w:color w:val="000000"/>
      <w:kern w:val="0"/>
      <w:sz w:val="24"/>
      <w:szCs w:val="20"/>
      <w:lang w:val="en-GB"/>
    </w:rPr>
  </w:style>
  <w:style w:type="paragraph" w:customStyle="1" w:styleId="677">
    <w:name w:val="表1"/>
    <w:basedOn w:val="1"/>
    <w:qFormat/>
    <w:uiPriority w:val="0"/>
    <w:pPr>
      <w:tabs>
        <w:tab w:val="left" w:pos="703"/>
      </w:tabs>
      <w:adjustRightInd/>
      <w:spacing w:line="360" w:lineRule="auto"/>
      <w:ind w:left="703"/>
      <w:jc w:val="center"/>
    </w:pPr>
  </w:style>
  <w:style w:type="paragraph" w:customStyle="1" w:styleId="67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81">
    <w:name w:val="2级标题"/>
    <w:basedOn w:val="682"/>
    <w:qFormat/>
    <w:uiPriority w:val="0"/>
    <w:pPr>
      <w:jc w:val="left"/>
      <w:outlineLvl w:val="1"/>
    </w:pPr>
    <w:rPr>
      <w:rFonts w:ascii="Times New Roman" w:hAnsi="Times New Roman" w:eastAsia="仿宋"/>
      <w:sz w:val="30"/>
    </w:rPr>
  </w:style>
  <w:style w:type="paragraph" w:customStyle="1" w:styleId="68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7">
    <w:name w:val="bullet"/>
    <w:basedOn w:val="1"/>
    <w:qFormat/>
    <w:uiPriority w:val="0"/>
    <w:pPr>
      <w:tabs>
        <w:tab w:val="left" w:pos="840"/>
      </w:tabs>
      <w:adjustRightInd/>
      <w:ind w:left="840" w:hanging="420"/>
    </w:pPr>
  </w:style>
  <w:style w:type="paragraph" w:customStyle="1" w:styleId="6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5">
    <w:name w:val="MM Topic 4"/>
    <w:basedOn w:val="6"/>
    <w:qFormat/>
    <w:uiPriority w:val="0"/>
    <w:pPr>
      <w:tabs>
        <w:tab w:val="left" w:pos="2100"/>
      </w:tabs>
      <w:adjustRightInd/>
      <w:ind w:left="2100" w:hanging="420"/>
    </w:pPr>
    <w:rPr>
      <w:lang w:val="en-US"/>
    </w:rPr>
  </w:style>
  <w:style w:type="paragraph" w:customStyle="1" w:styleId="696">
    <w:name w:val="Char11"/>
    <w:basedOn w:val="1"/>
    <w:qFormat/>
    <w:uiPriority w:val="0"/>
    <w:pPr>
      <w:tabs>
        <w:tab w:val="left" w:pos="432"/>
      </w:tabs>
      <w:adjustRightInd/>
      <w:spacing w:beforeLines="50" w:afterLines="50"/>
      <w:ind w:left="432" w:hanging="432" w:firstLineChars="200"/>
    </w:pPr>
    <w:rPr>
      <w:sz w:val="24"/>
    </w:rPr>
  </w:style>
  <w:style w:type="paragraph" w:customStyle="1" w:styleId="6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8">
    <w:name w:val="Char Char11 Char Char Char Char Char Char Char Char Char1"/>
    <w:basedOn w:val="1"/>
    <w:qFormat/>
    <w:uiPriority w:val="6"/>
    <w:pPr>
      <w:spacing w:line="360" w:lineRule="auto"/>
    </w:pPr>
    <w:rPr>
      <w:szCs w:val="20"/>
    </w:rPr>
  </w:style>
  <w:style w:type="paragraph" w:customStyle="1" w:styleId="69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8">
    <w:name w:val="单元格居中"/>
    <w:basedOn w:val="1"/>
    <w:qFormat/>
    <w:uiPriority w:val="0"/>
    <w:pPr>
      <w:adjustRightInd/>
      <w:spacing w:line="360" w:lineRule="auto"/>
      <w:jc w:val="center"/>
    </w:pPr>
    <w:rPr>
      <w:sz w:val="24"/>
    </w:rPr>
  </w:style>
  <w:style w:type="paragraph" w:customStyle="1" w:styleId="70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10">
    <w:name w:val="Char Char Char Char Char Char Char1"/>
    <w:basedOn w:val="1"/>
    <w:qFormat/>
    <w:uiPriority w:val="6"/>
    <w:rPr>
      <w:rFonts w:ascii="仿宋_GB2312" w:eastAsia="仿宋_GB2312"/>
      <w:b/>
      <w:sz w:val="32"/>
      <w:szCs w:val="32"/>
    </w:rPr>
  </w:style>
  <w:style w:type="paragraph" w:customStyle="1" w:styleId="711">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3">
    <w:name w:val="Char3 Char Char Char11"/>
    <w:basedOn w:val="1"/>
    <w:qFormat/>
    <w:uiPriority w:val="0"/>
    <w:pPr>
      <w:widowControl/>
      <w:adjustRightInd/>
      <w:spacing w:after="160" w:line="240" w:lineRule="exact"/>
      <w:jc w:val="left"/>
    </w:pPr>
    <w:rPr>
      <w:szCs w:val="20"/>
    </w:rPr>
  </w:style>
  <w:style w:type="paragraph" w:customStyle="1" w:styleId="714">
    <w:name w:val="Char Char1121"/>
    <w:basedOn w:val="1"/>
    <w:qFormat/>
    <w:uiPriority w:val="0"/>
    <w:pPr>
      <w:spacing w:line="360" w:lineRule="auto"/>
    </w:pPr>
    <w:rPr>
      <w:szCs w:val="20"/>
    </w:rPr>
  </w:style>
  <w:style w:type="paragraph" w:customStyle="1" w:styleId="71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7">
    <w:name w:val="Normal0"/>
    <w:qFormat/>
    <w:uiPriority w:val="0"/>
    <w:rPr>
      <w:rFonts w:ascii="Times New Roman" w:hAnsi="Times New Roman" w:eastAsia="宋体" w:cs="Times New Roman"/>
      <w:lang w:val="en-US" w:eastAsia="en-US" w:bidi="ar-SA"/>
    </w:rPr>
  </w:style>
  <w:style w:type="paragraph" w:customStyle="1" w:styleId="718">
    <w:name w:val="带编号样式"/>
    <w:basedOn w:val="635"/>
    <w:qFormat/>
    <w:uiPriority w:val="0"/>
    <w:pPr>
      <w:tabs>
        <w:tab w:val="left" w:pos="840"/>
      </w:tabs>
      <w:snapToGrid w:val="0"/>
      <w:ind w:left="840" w:hanging="420" w:firstLineChars="0"/>
    </w:pPr>
    <w:rPr>
      <w:rFonts w:ascii="仿宋_GB2312" w:eastAsia="仿宋_GB2312"/>
      <w:color w:val="000000"/>
    </w:rPr>
  </w:style>
  <w:style w:type="paragraph" w:customStyle="1" w:styleId="71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1">
    <w:name w:val="封面"/>
    <w:basedOn w:val="1"/>
    <w:qFormat/>
    <w:uiPriority w:val="0"/>
    <w:pPr>
      <w:spacing w:line="360" w:lineRule="atLeast"/>
      <w:jc w:val="right"/>
      <w:textAlignment w:val="baseline"/>
    </w:pPr>
    <w:rPr>
      <w:rFonts w:ascii="Symbol" w:hAnsi="Symbol"/>
      <w:kern w:val="0"/>
      <w:szCs w:val="20"/>
    </w:rPr>
  </w:style>
  <w:style w:type="paragraph" w:customStyle="1" w:styleId="72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4">
    <w:name w:val="默认段落字体 Para Char Char Char1 Char"/>
    <w:basedOn w:val="1"/>
    <w:qFormat/>
    <w:uiPriority w:val="0"/>
    <w:pPr>
      <w:spacing w:line="240" w:lineRule="atLeast"/>
      <w:ind w:left="420" w:firstLine="420"/>
    </w:pPr>
    <w:rPr>
      <w:sz w:val="24"/>
    </w:rPr>
  </w:style>
  <w:style w:type="paragraph" w:customStyle="1" w:styleId="725">
    <w:name w:val="WW-正文文字缩进 2"/>
    <w:basedOn w:val="1"/>
    <w:qFormat/>
    <w:uiPriority w:val="0"/>
    <w:pPr>
      <w:suppressAutoHyphens/>
      <w:adjustRightInd/>
      <w:ind w:firstLine="420"/>
    </w:pPr>
    <w:rPr>
      <w:kern w:val="1"/>
      <w:szCs w:val="20"/>
    </w:rPr>
  </w:style>
  <w:style w:type="paragraph" w:customStyle="1" w:styleId="72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8">
    <w:name w:val="有符号正文"/>
    <w:basedOn w:val="1"/>
    <w:qFormat/>
    <w:uiPriority w:val="0"/>
    <w:pPr>
      <w:adjustRightInd/>
      <w:spacing w:line="400" w:lineRule="exact"/>
      <w:ind w:firstLine="200" w:firstLineChars="200"/>
    </w:pPr>
    <w:rPr>
      <w:rFonts w:ascii="Arial" w:hAnsi="Arial"/>
    </w:rPr>
  </w:style>
  <w:style w:type="paragraph" w:customStyle="1" w:styleId="72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1">
    <w:name w:val="4"/>
    <w:basedOn w:val="1"/>
    <w:next w:val="40"/>
    <w:qFormat/>
    <w:uiPriority w:val="0"/>
    <w:pPr>
      <w:spacing w:after="120" w:line="480" w:lineRule="auto"/>
      <w:ind w:left="420" w:leftChars="200"/>
    </w:pPr>
    <w:rPr>
      <w:sz w:val="24"/>
      <w:szCs w:val="20"/>
    </w:rPr>
  </w:style>
  <w:style w:type="paragraph" w:customStyle="1" w:styleId="73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4">
    <w:name w:val="样式 标题 3H3 + 两端对齐"/>
    <w:basedOn w:val="4"/>
    <w:qFormat/>
    <w:uiPriority w:val="0"/>
    <w:pPr>
      <w:keepLines w:val="0"/>
      <w:spacing w:before="0" w:after="0" w:line="240" w:lineRule="auto"/>
      <w:jc w:val="left"/>
    </w:pPr>
    <w:rPr>
      <w:rFonts w:cs="宋体"/>
      <w:sz w:val="21"/>
      <w:szCs w:val="20"/>
    </w:rPr>
  </w:style>
  <w:style w:type="paragraph" w:customStyle="1" w:styleId="73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0">
    <w:name w:val="Char Char1 Char Char Char"/>
    <w:basedOn w:val="1"/>
    <w:qFormat/>
    <w:uiPriority w:val="0"/>
    <w:rPr>
      <w:rFonts w:ascii="仿宋_GB2312" w:eastAsia="仿宋_GB2312"/>
      <w:b/>
      <w:sz w:val="32"/>
      <w:szCs w:val="20"/>
    </w:rPr>
  </w:style>
  <w:style w:type="paragraph" w:customStyle="1" w:styleId="74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4">
    <w:name w:val="Char Char1 Char Char Char2"/>
    <w:basedOn w:val="1"/>
    <w:qFormat/>
    <w:uiPriority w:val="0"/>
    <w:rPr>
      <w:rFonts w:ascii="仿宋_GB2312" w:eastAsia="仿宋_GB2312"/>
      <w:b/>
      <w:sz w:val="32"/>
      <w:szCs w:val="32"/>
    </w:rPr>
  </w:style>
  <w:style w:type="paragraph" w:customStyle="1" w:styleId="745">
    <w:name w:val="Char3 Char Char Char1"/>
    <w:basedOn w:val="1"/>
    <w:qFormat/>
    <w:uiPriority w:val="6"/>
    <w:pPr>
      <w:widowControl/>
      <w:adjustRightInd/>
      <w:spacing w:after="160" w:line="240" w:lineRule="exact"/>
      <w:jc w:val="left"/>
    </w:pPr>
    <w:rPr>
      <w:szCs w:val="20"/>
    </w:rPr>
  </w:style>
  <w:style w:type="paragraph" w:customStyle="1" w:styleId="746">
    <w:name w:val="Char1 Char Char Char21"/>
    <w:basedOn w:val="1"/>
    <w:qFormat/>
    <w:uiPriority w:val="0"/>
    <w:rPr>
      <w:rFonts w:ascii="Tahoma" w:hAnsi="Tahoma"/>
      <w:sz w:val="24"/>
      <w:szCs w:val="20"/>
    </w:rPr>
  </w:style>
  <w:style w:type="paragraph" w:customStyle="1" w:styleId="74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8">
    <w:name w:val="正文（标题三）"/>
    <w:basedOn w:val="1"/>
    <w:qFormat/>
    <w:uiPriority w:val="0"/>
    <w:pPr>
      <w:spacing w:line="360" w:lineRule="auto"/>
      <w:ind w:firstLine="200" w:firstLineChars="200"/>
    </w:pPr>
    <w:rPr>
      <w:sz w:val="24"/>
    </w:rPr>
  </w:style>
  <w:style w:type="paragraph" w:customStyle="1" w:styleId="74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5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4">
    <w:name w:val="Char1 Char Char Char4"/>
    <w:basedOn w:val="1"/>
    <w:qFormat/>
    <w:uiPriority w:val="0"/>
    <w:pPr>
      <w:adjustRightInd/>
      <w:ind w:firstLine="200" w:firstLineChars="200"/>
    </w:pPr>
    <w:rPr>
      <w:rFonts w:ascii="Tahoma" w:hAnsi="Tahoma"/>
      <w:sz w:val="24"/>
      <w:szCs w:val="20"/>
    </w:rPr>
  </w:style>
  <w:style w:type="paragraph" w:customStyle="1" w:styleId="755">
    <w:name w:val="_标题2"/>
    <w:basedOn w:val="722"/>
    <w:next w:val="72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6">
    <w:name w:val="样式1 + (中宋体"/>
    <w:basedOn w:val="73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0">
    <w:name w:val="四号　首行缩进"/>
    <w:basedOn w:val="1"/>
    <w:qFormat/>
    <w:uiPriority w:val="0"/>
    <w:pPr>
      <w:adjustRightInd/>
      <w:spacing w:line="360" w:lineRule="auto"/>
    </w:pPr>
    <w:rPr>
      <w:rFonts w:ascii="宋体" w:hAnsi="宋体"/>
      <w:szCs w:val="20"/>
    </w:rPr>
  </w:style>
  <w:style w:type="paragraph" w:customStyle="1" w:styleId="76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2">
    <w:name w:val="Char Char Char Char Char Char Char Char Char Char Char1 Char"/>
    <w:basedOn w:val="1"/>
    <w:qFormat/>
    <w:uiPriority w:val="0"/>
    <w:pPr>
      <w:adjustRightInd/>
    </w:pPr>
    <w:rPr>
      <w:rFonts w:ascii="Tahoma" w:hAnsi="Tahoma"/>
      <w:sz w:val="24"/>
    </w:rPr>
  </w:style>
  <w:style w:type="paragraph" w:customStyle="1" w:styleId="763">
    <w:name w:val="Char Char Char Char11"/>
    <w:basedOn w:val="1"/>
    <w:qFormat/>
    <w:uiPriority w:val="0"/>
    <w:rPr>
      <w:rFonts w:ascii="Tahoma" w:hAnsi="Tahoma"/>
      <w:sz w:val="24"/>
      <w:szCs w:val="20"/>
    </w:rPr>
  </w:style>
  <w:style w:type="paragraph" w:customStyle="1" w:styleId="76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5">
    <w:name w:val="Char Char Char Char"/>
    <w:basedOn w:val="1"/>
    <w:qFormat/>
    <w:uiPriority w:val="0"/>
    <w:rPr>
      <w:rFonts w:ascii="Tahoma" w:hAnsi="Tahoma"/>
      <w:sz w:val="24"/>
      <w:szCs w:val="20"/>
    </w:rPr>
  </w:style>
  <w:style w:type="paragraph" w:customStyle="1" w:styleId="76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7">
    <w:name w:val="Char19"/>
    <w:basedOn w:val="1"/>
    <w:qFormat/>
    <w:uiPriority w:val="0"/>
    <w:pPr>
      <w:adjustRightInd/>
    </w:pPr>
    <w:rPr>
      <w:szCs w:val="20"/>
    </w:rPr>
  </w:style>
  <w:style w:type="paragraph" w:customStyle="1" w:styleId="76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70">
    <w:name w:val="_Style 5"/>
    <w:basedOn w:val="1"/>
    <w:qFormat/>
    <w:uiPriority w:val="34"/>
    <w:pPr>
      <w:adjustRightInd/>
      <w:ind w:firstLine="420" w:firstLineChars="200"/>
    </w:pPr>
    <w:rPr>
      <w:rFonts w:eastAsia="仿宋_GB2312"/>
      <w:sz w:val="28"/>
    </w:rPr>
  </w:style>
  <w:style w:type="paragraph" w:customStyle="1" w:styleId="77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4">
    <w:name w:val="标书表格字体格式"/>
    <w:next w:val="768"/>
    <w:qFormat/>
    <w:uiPriority w:val="0"/>
    <w:rPr>
      <w:rFonts w:ascii="Times New Roman" w:hAnsi="Times New Roman" w:eastAsia="宋体" w:cs="Times New Roman"/>
      <w:kern w:val="2"/>
      <w:sz w:val="21"/>
      <w:szCs w:val="24"/>
      <w:lang w:val="en-US" w:eastAsia="zh-CN" w:bidi="ar-SA"/>
    </w:rPr>
  </w:style>
  <w:style w:type="paragraph" w:customStyle="1" w:styleId="77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7">
    <w:name w:val="修订3"/>
    <w:qFormat/>
    <w:uiPriority w:val="0"/>
    <w:rPr>
      <w:rFonts w:ascii="Times New Roman" w:hAnsi="Times New Roman" w:eastAsia="宋体" w:cs="Times New Roman"/>
      <w:kern w:val="2"/>
      <w:sz w:val="21"/>
      <w:lang w:val="en-US" w:eastAsia="zh-CN" w:bidi="ar-SA"/>
    </w:rPr>
  </w:style>
  <w:style w:type="paragraph" w:customStyle="1" w:styleId="77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0">
    <w:name w:val="表文字"/>
    <w:qFormat/>
    <w:uiPriority w:val="0"/>
    <w:rPr>
      <w:rFonts w:ascii="宋体" w:hAnsi="Times New Roman" w:eastAsia="宋体" w:cs="Times New Roman"/>
      <w:kern w:val="2"/>
      <w:lang w:val="en-US" w:eastAsia="zh-CN" w:bidi="ar-SA"/>
    </w:rPr>
  </w:style>
  <w:style w:type="paragraph" w:customStyle="1" w:styleId="781">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4">
    <w:name w:val="Char Char Char Char Char Char Char Char2"/>
    <w:basedOn w:val="1"/>
    <w:qFormat/>
    <w:uiPriority w:val="0"/>
    <w:pPr>
      <w:tabs>
        <w:tab w:val="left" w:pos="360"/>
      </w:tabs>
    </w:pPr>
    <w:rPr>
      <w:sz w:val="24"/>
      <w:szCs w:val="20"/>
    </w:rPr>
  </w:style>
  <w:style w:type="paragraph" w:customStyle="1" w:styleId="78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3">
    <w:name w:val="p0"/>
    <w:basedOn w:val="1"/>
    <w:qFormat/>
    <w:uiPriority w:val="0"/>
    <w:pPr>
      <w:widowControl/>
      <w:adjustRightInd/>
    </w:pPr>
    <w:rPr>
      <w:kern w:val="0"/>
      <w:szCs w:val="21"/>
    </w:rPr>
  </w:style>
  <w:style w:type="paragraph" w:customStyle="1" w:styleId="794">
    <w:name w:val="Char6"/>
    <w:basedOn w:val="1"/>
    <w:qFormat/>
    <w:uiPriority w:val="0"/>
    <w:rPr>
      <w:rFonts w:ascii="仿宋_GB2312" w:eastAsia="仿宋_GB2312"/>
      <w:b/>
      <w:sz w:val="32"/>
      <w:szCs w:val="32"/>
    </w:rPr>
  </w:style>
  <w:style w:type="paragraph" w:customStyle="1" w:styleId="795">
    <w:name w:val="Char111"/>
    <w:basedOn w:val="1"/>
    <w:qFormat/>
    <w:uiPriority w:val="0"/>
    <w:rPr>
      <w:rFonts w:ascii="仿宋_GB2312" w:eastAsia="仿宋_GB2312"/>
      <w:b/>
      <w:sz w:val="32"/>
      <w:szCs w:val="32"/>
    </w:rPr>
  </w:style>
  <w:style w:type="paragraph" w:customStyle="1" w:styleId="796">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9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9">
    <w:name w:val="Char1 Char Char Char2"/>
    <w:basedOn w:val="1"/>
    <w:qFormat/>
    <w:uiPriority w:val="0"/>
    <w:pPr>
      <w:adjustRightInd/>
      <w:ind w:firstLine="200" w:firstLineChars="200"/>
    </w:pPr>
    <w:rPr>
      <w:rFonts w:ascii="Tahoma" w:hAnsi="Tahoma"/>
      <w:sz w:val="24"/>
      <w:szCs w:val="20"/>
    </w:rPr>
  </w:style>
  <w:style w:type="paragraph" w:customStyle="1" w:styleId="800">
    <w:name w:val="列出段落1"/>
    <w:basedOn w:val="1"/>
    <w:link w:val="801"/>
    <w:qFormat/>
    <w:uiPriority w:val="34"/>
    <w:pPr>
      <w:adjustRightInd/>
      <w:spacing w:line="360" w:lineRule="auto"/>
      <w:ind w:firstLine="420" w:firstLineChars="200"/>
    </w:pPr>
    <w:rPr>
      <w:rFonts w:ascii="Calibri" w:hAnsi="Calibri"/>
      <w:sz w:val="24"/>
      <w:szCs w:val="22"/>
    </w:rPr>
  </w:style>
  <w:style w:type="character" w:customStyle="1" w:styleId="801">
    <w:name w:val="列出段落 字符"/>
    <w:link w:val="800"/>
    <w:qFormat/>
    <w:locked/>
    <w:uiPriority w:val="0"/>
    <w:rPr>
      <w:rFonts w:ascii="Calibri" w:hAnsi="Calibri"/>
      <w:kern w:val="2"/>
      <w:sz w:val="24"/>
      <w:szCs w:val="22"/>
    </w:rPr>
  </w:style>
  <w:style w:type="paragraph" w:customStyle="1" w:styleId="80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3">
    <w:name w:val="Char Char Char Char Char Char Char2"/>
    <w:basedOn w:val="1"/>
    <w:qFormat/>
    <w:uiPriority w:val="0"/>
    <w:rPr>
      <w:rFonts w:ascii="仿宋_GB2312" w:eastAsia="仿宋_GB2312"/>
      <w:b/>
      <w:sz w:val="32"/>
      <w:szCs w:val="32"/>
    </w:rPr>
  </w:style>
  <w:style w:type="paragraph" w:customStyle="1" w:styleId="804">
    <w:name w:val="五级条标题"/>
    <w:basedOn w:val="805"/>
    <w:next w:val="649"/>
    <w:qFormat/>
    <w:uiPriority w:val="0"/>
    <w:pPr>
      <w:tabs>
        <w:tab w:val="left" w:pos="1260"/>
        <w:tab w:val="left" w:pos="1680"/>
        <w:tab w:val="left" w:pos="2100"/>
        <w:tab w:val="left" w:pos="2940"/>
        <w:tab w:val="left" w:pos="3360"/>
      </w:tabs>
      <w:ind w:left="3360"/>
      <w:outlineLvl w:val="6"/>
    </w:pPr>
  </w:style>
  <w:style w:type="paragraph" w:customStyle="1" w:styleId="805">
    <w:name w:val="四级条标题"/>
    <w:basedOn w:val="664"/>
    <w:next w:val="649"/>
    <w:qFormat/>
    <w:uiPriority w:val="0"/>
    <w:pPr>
      <w:tabs>
        <w:tab w:val="left" w:pos="2940"/>
        <w:tab w:val="clear" w:pos="2520"/>
      </w:tabs>
      <w:ind w:left="2940"/>
      <w:outlineLvl w:val="5"/>
    </w:pPr>
  </w:style>
  <w:style w:type="paragraph" w:customStyle="1" w:styleId="80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qFormat/>
    <w:uiPriority w:val="0"/>
    <w:rPr>
      <w:rFonts w:ascii="仿宋_GB2312" w:eastAsia="仿宋_GB2312"/>
      <w:b/>
      <w:sz w:val="32"/>
      <w:szCs w:val="32"/>
    </w:rPr>
  </w:style>
  <w:style w:type="paragraph" w:customStyle="1" w:styleId="80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10">
    <w:name w:val="首行缩进"/>
    <w:basedOn w:val="1"/>
    <w:qFormat/>
    <w:uiPriority w:val="0"/>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2">
    <w:name w:val="单元格左对齐"/>
    <w:basedOn w:val="1"/>
    <w:qFormat/>
    <w:uiPriority w:val="0"/>
    <w:pPr>
      <w:adjustRightInd/>
      <w:spacing w:line="360" w:lineRule="auto"/>
    </w:pPr>
    <w:rPr>
      <w:sz w:val="24"/>
    </w:rPr>
  </w:style>
  <w:style w:type="paragraph" w:customStyle="1" w:styleId="813">
    <w:name w:val="正文主体"/>
    <w:basedOn w:val="631"/>
    <w:qFormat/>
    <w:uiPriority w:val="0"/>
  </w:style>
  <w:style w:type="paragraph" w:customStyle="1" w:styleId="81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qFormat/>
    <w:uiPriority w:val="0"/>
    <w:pPr>
      <w:adjustRightInd/>
      <w:spacing w:line="360" w:lineRule="auto"/>
      <w:ind w:firstLine="480" w:firstLineChars="200"/>
    </w:pPr>
    <w:rPr>
      <w:sz w:val="24"/>
      <w:szCs w:val="20"/>
    </w:rPr>
  </w:style>
  <w:style w:type="paragraph" w:customStyle="1" w:styleId="818">
    <w:name w:val="P1"/>
    <w:basedOn w:val="1"/>
    <w:qFormat/>
    <w:uiPriority w:val="0"/>
    <w:pPr>
      <w:adjustRightInd/>
      <w:spacing w:line="288" w:lineRule="auto"/>
      <w:ind w:firstLine="425" w:firstLineChars="200"/>
    </w:pPr>
  </w:style>
  <w:style w:type="paragraph" w:customStyle="1" w:styleId="819">
    <w:name w:val="列表内容"/>
    <w:basedOn w:val="1"/>
    <w:next w:val="1"/>
    <w:qFormat/>
    <w:uiPriority w:val="0"/>
    <w:pPr>
      <w:widowControl/>
      <w:tabs>
        <w:tab w:val="left" w:pos="840"/>
      </w:tabs>
      <w:ind w:left="840" w:hanging="420"/>
      <w:jc w:val="left"/>
    </w:pPr>
    <w:rPr>
      <w:kern w:val="0"/>
      <w:sz w:val="18"/>
    </w:rPr>
  </w:style>
  <w:style w:type="paragraph" w:customStyle="1" w:styleId="820">
    <w:name w:val="Char Char11 Char Char Char1"/>
    <w:basedOn w:val="1"/>
    <w:qFormat/>
    <w:uiPriority w:val="6"/>
    <w:pPr>
      <w:spacing w:line="360" w:lineRule="auto"/>
    </w:pPr>
    <w:rPr>
      <w:szCs w:val="20"/>
    </w:rPr>
  </w:style>
  <w:style w:type="paragraph" w:customStyle="1" w:styleId="82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qFormat/>
    <w:uiPriority w:val="0"/>
    <w:pPr>
      <w:spacing w:line="360" w:lineRule="auto"/>
    </w:pPr>
    <w:rPr>
      <w:szCs w:val="20"/>
    </w:rPr>
  </w:style>
  <w:style w:type="paragraph" w:customStyle="1" w:styleId="82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qFormat/>
    <w:uiPriority w:val="0"/>
    <w:rPr>
      <w:rFonts w:ascii="仿宋_GB2312" w:eastAsia="仿宋_GB2312"/>
      <w:b/>
      <w:sz w:val="32"/>
      <w:szCs w:val="32"/>
    </w:rPr>
  </w:style>
  <w:style w:type="paragraph" w:customStyle="1" w:styleId="83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2">
    <w:name w:val="正文 首行缩进:  2 字符 Char"/>
    <w:basedOn w:val="1"/>
    <w:qFormat/>
    <w:uiPriority w:val="0"/>
    <w:pPr>
      <w:adjustRightInd/>
      <w:spacing w:line="360" w:lineRule="auto"/>
      <w:ind w:firstLine="480"/>
    </w:pPr>
    <w:rPr>
      <w:rFonts w:cs="宋体"/>
      <w:sz w:val="24"/>
      <w:szCs w:val="20"/>
    </w:rPr>
  </w:style>
  <w:style w:type="paragraph" w:customStyle="1" w:styleId="833">
    <w:name w:val="Char Char4 Char Char"/>
    <w:basedOn w:val="1"/>
    <w:qFormat/>
    <w:uiPriority w:val="0"/>
    <w:pPr>
      <w:widowControl/>
      <w:adjustRightInd/>
      <w:spacing w:after="160" w:line="240" w:lineRule="exact"/>
      <w:jc w:val="left"/>
    </w:pPr>
  </w:style>
  <w:style w:type="paragraph" w:customStyle="1" w:styleId="83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qFormat/>
    <w:uiPriority w:val="0"/>
    <w:pPr>
      <w:spacing w:line="360" w:lineRule="auto"/>
    </w:pPr>
    <w:rPr>
      <w:szCs w:val="20"/>
    </w:rPr>
  </w:style>
  <w:style w:type="paragraph" w:customStyle="1" w:styleId="83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1">
    <w:name w:val="Char311"/>
    <w:basedOn w:val="1"/>
    <w:qFormat/>
    <w:uiPriority w:val="0"/>
    <w:pPr>
      <w:adjustRightInd/>
      <w:ind w:firstLine="200" w:firstLineChars="200"/>
    </w:pPr>
    <w:rPr>
      <w:rFonts w:ascii="Tahoma" w:hAnsi="Tahoma"/>
      <w:sz w:val="24"/>
      <w:szCs w:val="20"/>
    </w:rPr>
  </w:style>
  <w:style w:type="paragraph" w:customStyle="1" w:styleId="84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4">
    <w:name w:val="正文 内标"/>
    <w:basedOn w:val="759"/>
    <w:qFormat/>
    <w:uiPriority w:val="0"/>
    <w:pPr>
      <w:tabs>
        <w:tab w:val="left" w:pos="0"/>
      </w:tabs>
      <w:ind w:left="900" w:firstLine="0" w:firstLineChars="0"/>
    </w:pPr>
  </w:style>
  <w:style w:type="paragraph" w:customStyle="1" w:styleId="845">
    <w:name w:val="Bulleted List"/>
    <w:basedOn w:val="1"/>
    <w:qFormat/>
    <w:uiPriority w:val="0"/>
    <w:pPr>
      <w:tabs>
        <w:tab w:val="left" w:pos="1260"/>
      </w:tabs>
      <w:adjustRightInd/>
      <w:ind w:left="1260" w:hanging="420"/>
    </w:pPr>
  </w:style>
  <w:style w:type="paragraph" w:customStyle="1" w:styleId="846">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7">
    <w:name w:val="样式 左侧:  0.85 厘米"/>
    <w:basedOn w:val="1"/>
    <w:qFormat/>
    <w:uiPriority w:val="2"/>
    <w:pPr>
      <w:adjustRightInd/>
      <w:spacing w:line="360" w:lineRule="auto"/>
    </w:pPr>
    <w:rPr>
      <w:rFonts w:cs="宋体"/>
      <w:sz w:val="24"/>
      <w:szCs w:val="20"/>
    </w:rPr>
  </w:style>
  <w:style w:type="paragraph" w:customStyle="1" w:styleId="848">
    <w:name w:val="Char Char Char Char Char Char Char Char Char Char Char Char1 Char"/>
    <w:basedOn w:val="1"/>
    <w:qFormat/>
    <w:uiPriority w:val="0"/>
    <w:rPr>
      <w:rFonts w:ascii="Tahoma" w:hAnsi="Tahoma" w:cs="仿宋_GB2312"/>
      <w:sz w:val="24"/>
      <w:szCs w:val="20"/>
    </w:rPr>
  </w:style>
  <w:style w:type="paragraph" w:customStyle="1" w:styleId="84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qFormat/>
    <w:uiPriority w:val="0"/>
    <w:rPr>
      <w:rFonts w:ascii="仿宋_GB2312" w:eastAsia="仿宋_GB2312"/>
      <w:b/>
      <w:sz w:val="32"/>
      <w:szCs w:val="20"/>
    </w:rPr>
  </w:style>
  <w:style w:type="paragraph" w:customStyle="1" w:styleId="85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qFormat/>
    <w:uiPriority w:val="0"/>
    <w:rPr>
      <w:rFonts w:ascii="仿宋_GB2312" w:eastAsia="仿宋_GB2312"/>
      <w:b/>
      <w:sz w:val="32"/>
      <w:szCs w:val="20"/>
    </w:rPr>
  </w:style>
  <w:style w:type="paragraph" w:customStyle="1" w:styleId="85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qFormat/>
    <w:uiPriority w:val="0"/>
    <w:pPr>
      <w:adjustRightInd/>
    </w:pPr>
    <w:rPr>
      <w:rFonts w:ascii="仿宋_GB2312" w:eastAsia="仿宋_GB2312"/>
      <w:b/>
      <w:sz w:val="32"/>
      <w:szCs w:val="32"/>
    </w:rPr>
  </w:style>
  <w:style w:type="paragraph" w:customStyle="1" w:styleId="86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qFormat/>
    <w:uiPriority w:val="0"/>
    <w:pPr>
      <w:widowControl/>
      <w:spacing w:after="160" w:line="240" w:lineRule="exact"/>
      <w:jc w:val="left"/>
    </w:pPr>
    <w:rPr>
      <w:rFonts w:eastAsia="仿宋_GB2312"/>
      <w:sz w:val="28"/>
    </w:rPr>
  </w:style>
  <w:style w:type="paragraph" w:customStyle="1" w:styleId="869">
    <w:name w:val="Char21"/>
    <w:basedOn w:val="1"/>
    <w:qFormat/>
    <w:uiPriority w:val="0"/>
    <w:pPr>
      <w:adjustRightInd/>
      <w:ind w:firstLine="200" w:firstLineChars="200"/>
    </w:pPr>
    <w:rPr>
      <w:rFonts w:ascii="仿宋_GB2312" w:eastAsia="仿宋_GB2312"/>
      <w:b/>
      <w:sz w:val="32"/>
      <w:szCs w:val="32"/>
    </w:rPr>
  </w:style>
  <w:style w:type="paragraph" w:customStyle="1" w:styleId="870">
    <w:name w:val="列表段落1"/>
    <w:basedOn w:val="1"/>
    <w:qFormat/>
    <w:uiPriority w:val="34"/>
    <w:pPr>
      <w:adjustRightInd/>
      <w:ind w:right="238" w:firstLine="420"/>
    </w:pPr>
    <w:rPr>
      <w:rFonts w:ascii="Calibri" w:hAnsi="Calibri"/>
      <w:sz w:val="24"/>
    </w:rPr>
  </w:style>
  <w:style w:type="paragraph" w:customStyle="1" w:styleId="871">
    <w:name w:val="Char Char110"/>
    <w:basedOn w:val="1"/>
    <w:qFormat/>
    <w:uiPriority w:val="6"/>
    <w:pPr>
      <w:spacing w:line="360" w:lineRule="auto"/>
    </w:pPr>
    <w:rPr>
      <w:rFonts w:ascii="Tahoma" w:hAnsi="Tahoma"/>
      <w:sz w:val="24"/>
      <w:szCs w:val="20"/>
    </w:rPr>
  </w:style>
  <w:style w:type="paragraph" w:customStyle="1" w:styleId="87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qFormat/>
    <w:uiPriority w:val="0"/>
    <w:rPr>
      <w:rFonts w:ascii="Tahoma" w:hAnsi="Tahoma" w:cs="仿宋_GB2312"/>
      <w:sz w:val="24"/>
      <w:szCs w:val="20"/>
    </w:rPr>
  </w:style>
  <w:style w:type="paragraph" w:customStyle="1" w:styleId="87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8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1">
    <w:name w:val="_Style 12"/>
    <w:basedOn w:val="19"/>
    <w:qFormat/>
    <w:uiPriority w:val="0"/>
    <w:pPr>
      <w:snapToGrid w:val="0"/>
      <w:spacing w:line="360" w:lineRule="auto"/>
    </w:pPr>
  </w:style>
  <w:style w:type="paragraph" w:customStyle="1" w:styleId="88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0"/>
    <w:qFormat/>
    <w:uiPriority w:val="34"/>
    <w:pPr>
      <w:adjustRightInd/>
      <w:spacing w:line="360" w:lineRule="auto"/>
      <w:ind w:firstLine="200" w:firstLineChars="200"/>
    </w:pPr>
    <w:rPr>
      <w:rFonts w:ascii="Calibri" w:hAnsi="Calibri"/>
      <w:sz w:val="28"/>
      <w:szCs w:val="20"/>
    </w:rPr>
  </w:style>
  <w:style w:type="paragraph" w:customStyle="1" w:styleId="8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1"/>
    <w:qFormat/>
    <w:uiPriority w:val="0"/>
    <w:pPr>
      <w:outlineLvl w:val="2"/>
    </w:pPr>
  </w:style>
  <w:style w:type="paragraph" w:customStyle="1" w:styleId="88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qFormat/>
    <w:uiPriority w:val="0"/>
    <w:pPr>
      <w:adjustRightInd/>
      <w:ind w:firstLine="200" w:firstLineChars="200"/>
    </w:pPr>
    <w:rPr>
      <w:rFonts w:ascii="Tahoma" w:hAnsi="Tahoma"/>
      <w:sz w:val="24"/>
      <w:szCs w:val="20"/>
    </w:rPr>
  </w:style>
  <w:style w:type="paragraph" w:customStyle="1" w:styleId="89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2">
    <w:name w:val="MM Empty"/>
    <w:basedOn w:val="1"/>
    <w:qFormat/>
    <w:uiPriority w:val="0"/>
    <w:pPr>
      <w:adjustRightInd/>
    </w:pPr>
  </w:style>
  <w:style w:type="paragraph" w:customStyle="1" w:styleId="893">
    <w:name w:val="Char24"/>
    <w:basedOn w:val="1"/>
    <w:qFormat/>
    <w:uiPriority w:val="0"/>
    <w:rPr>
      <w:rFonts w:ascii="仿宋_GB2312" w:eastAsia="仿宋_GB2312"/>
      <w:b/>
      <w:sz w:val="32"/>
      <w:szCs w:val="32"/>
    </w:rPr>
  </w:style>
  <w:style w:type="paragraph" w:customStyle="1" w:styleId="894">
    <w:name w:val="正文箭头"/>
    <w:basedOn w:val="543"/>
    <w:qFormat/>
    <w:uiPriority w:val="0"/>
  </w:style>
  <w:style w:type="paragraph" w:customStyle="1" w:styleId="895">
    <w:name w:val="U_编号2"/>
    <w:basedOn w:val="1"/>
    <w:qFormat/>
    <w:uiPriority w:val="0"/>
    <w:pPr>
      <w:tabs>
        <w:tab w:val="left" w:pos="785"/>
      </w:tabs>
      <w:adjustRightInd/>
      <w:spacing w:beforeLines="10" w:afterLines="10" w:line="300" w:lineRule="auto"/>
    </w:pPr>
    <w:rPr>
      <w:sz w:val="24"/>
    </w:rPr>
  </w:style>
  <w:style w:type="paragraph" w:customStyle="1" w:styleId="89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qFormat/>
    <w:uiPriority w:val="34"/>
    <w:pPr>
      <w:adjustRightInd/>
      <w:ind w:firstLine="420" w:firstLineChars="200"/>
    </w:pPr>
    <w:rPr>
      <w:rFonts w:eastAsia="仿宋_GB2312"/>
      <w:sz w:val="28"/>
    </w:rPr>
  </w:style>
  <w:style w:type="paragraph" w:customStyle="1" w:styleId="901">
    <w:name w:val="表格 内容"/>
    <w:basedOn w:val="738"/>
    <w:qFormat/>
    <w:uiPriority w:val="0"/>
    <w:rPr>
      <w:b w:val="0"/>
      <w:sz w:val="20"/>
    </w:rPr>
  </w:style>
  <w:style w:type="paragraph" w:customStyle="1" w:styleId="90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4">
    <w:name w:val="数字标题5"/>
    <w:basedOn w:val="7"/>
    <w:next w:val="1"/>
    <w:qFormat/>
    <w:uiPriority w:val="0"/>
    <w:pPr>
      <w:tabs>
        <w:tab w:val="left" w:pos="1080"/>
      </w:tabs>
      <w:ind w:left="1080" w:hanging="1080"/>
    </w:pPr>
  </w:style>
  <w:style w:type="paragraph" w:customStyle="1" w:styleId="905">
    <w:name w:val="数字标题1"/>
    <w:basedOn w:val="2"/>
    <w:next w:val="1"/>
    <w:qFormat/>
    <w:uiPriority w:val="0"/>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qFormat/>
    <w:uiPriority w:val="0"/>
    <w:pPr>
      <w:widowControl/>
    </w:pPr>
    <w:rPr>
      <w:kern w:val="0"/>
      <w:sz w:val="24"/>
      <w:szCs w:val="20"/>
    </w:rPr>
  </w:style>
  <w:style w:type="paragraph" w:customStyle="1" w:styleId="913">
    <w:name w:val="Char Char113"/>
    <w:basedOn w:val="1"/>
    <w:qFormat/>
    <w:uiPriority w:val="0"/>
    <w:pPr>
      <w:widowControl/>
      <w:spacing w:after="160" w:line="240" w:lineRule="exact"/>
      <w:jc w:val="left"/>
    </w:pPr>
    <w:rPr>
      <w:rFonts w:eastAsia="仿宋_GB2312"/>
      <w:sz w:val="28"/>
    </w:rPr>
  </w:style>
  <w:style w:type="paragraph" w:customStyle="1" w:styleId="91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5">
    <w:name w:val="_Style 8"/>
    <w:basedOn w:val="1"/>
    <w:qFormat/>
    <w:uiPriority w:val="34"/>
    <w:pPr>
      <w:adjustRightInd/>
      <w:ind w:firstLine="420" w:firstLineChars="200"/>
    </w:pPr>
    <w:rPr>
      <w:rFonts w:eastAsia="仿宋_GB2312"/>
      <w:sz w:val="28"/>
    </w:rPr>
  </w:style>
  <w:style w:type="paragraph" w:customStyle="1" w:styleId="91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qFormat/>
    <w:uiPriority w:val="6"/>
    <w:pPr>
      <w:widowControl/>
      <w:spacing w:after="160" w:line="240" w:lineRule="exact"/>
      <w:jc w:val="left"/>
    </w:pPr>
    <w:rPr>
      <w:rFonts w:eastAsia="仿宋_GB2312"/>
      <w:sz w:val="28"/>
    </w:rPr>
  </w:style>
  <w:style w:type="paragraph" w:customStyle="1" w:styleId="922">
    <w:name w:val="正文 图"/>
    <w:basedOn w:val="447"/>
    <w:qFormat/>
    <w:uiPriority w:val="0"/>
    <w:pPr>
      <w:adjustRightInd/>
      <w:spacing w:before="0"/>
      <w:ind w:firstLine="0"/>
      <w:jc w:val="center"/>
    </w:pPr>
    <w:rPr>
      <w:rFonts w:ascii="微软雅黑" w:hAnsi="微软雅黑"/>
    </w:rPr>
  </w:style>
  <w:style w:type="paragraph" w:customStyle="1" w:styleId="92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67"/>
    <w:qFormat/>
    <w:uiPriority w:val="0"/>
    <w:pPr>
      <w:ind w:left="0"/>
    </w:pPr>
  </w:style>
  <w:style w:type="paragraph" w:customStyle="1" w:styleId="92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8">
    <w:name w:val="注释"/>
    <w:basedOn w:val="1"/>
    <w:qFormat/>
    <w:uiPriority w:val="0"/>
    <w:pPr>
      <w:adjustRightInd/>
      <w:spacing w:line="360" w:lineRule="auto"/>
      <w:ind w:firstLine="480"/>
    </w:pPr>
    <w:rPr>
      <w:sz w:val="24"/>
    </w:rPr>
  </w:style>
  <w:style w:type="table" w:customStyle="1" w:styleId="929">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5">
    <w:name w:val="列出段落111"/>
    <w:basedOn w:val="1"/>
    <w:qFormat/>
    <w:uiPriority w:val="34"/>
    <w:pPr>
      <w:ind w:firstLine="420" w:firstLineChars="200"/>
    </w:p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280"/>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2"/>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character" w:customStyle="1" w:styleId="970">
    <w:name w:val="未处理的提及2"/>
    <w:basedOn w:val="72"/>
    <w:semiHidden/>
    <w:unhideWhenUsed/>
    <w:qFormat/>
    <w:uiPriority w:val="99"/>
    <w:rPr>
      <w:color w:val="605E5C"/>
      <w:shd w:val="clear" w:color="auto" w:fill="E1DFDD"/>
    </w:rPr>
  </w:style>
  <w:style w:type="character" w:customStyle="1" w:styleId="971">
    <w:name w:val="纯文本 字符1"/>
    <w:qFormat/>
    <w:locked/>
    <w:uiPriority w:val="0"/>
    <w:rPr>
      <w:rFonts w:eastAsia="宋体"/>
      <w:kern w:val="2"/>
      <w:sz w:val="24"/>
      <w:lang w:val="en-US" w:eastAsia="zh-CN" w:bidi="ar-SA"/>
    </w:rPr>
  </w:style>
  <w:style w:type="paragraph" w:customStyle="1" w:styleId="972">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3">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4">
    <w:name w:val="Body Text First Indent 21"/>
    <w:basedOn w:val="975"/>
    <w:qFormat/>
    <w:uiPriority w:val="0"/>
    <w:pPr>
      <w:ind w:firstLine="420"/>
    </w:pPr>
    <w:rPr>
      <w:rFonts w:cs="宋体"/>
    </w:rPr>
  </w:style>
  <w:style w:type="paragraph" w:customStyle="1" w:styleId="975">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6">
    <w:name w:val="标题 5 字符"/>
    <w:qFormat/>
    <w:uiPriority w:val="9"/>
    <w:rPr>
      <w:rFonts w:ascii="Wingdings" w:hAnsi="Wingdings" w:eastAsia="Wingdings"/>
      <w:b/>
      <w:bCs/>
      <w:kern w:val="2"/>
      <w:sz w:val="28"/>
      <w:szCs w:val="28"/>
    </w:rPr>
  </w:style>
  <w:style w:type="character" w:customStyle="1" w:styleId="977">
    <w:name w:val="标题 6 字符"/>
    <w:qFormat/>
    <w:uiPriority w:val="0"/>
    <w:rPr>
      <w:rFonts w:ascii="Helvetica" w:hAnsi="Helvetica" w:eastAsia="Helvetica"/>
      <w:b/>
      <w:bCs/>
      <w:kern w:val="2"/>
      <w:sz w:val="24"/>
      <w:szCs w:val="24"/>
    </w:rPr>
  </w:style>
  <w:style w:type="character" w:customStyle="1" w:styleId="978">
    <w:name w:val="标题 7 字符"/>
    <w:qFormat/>
    <w:uiPriority w:val="9"/>
    <w:rPr>
      <w:rFonts w:ascii="Wingdings" w:hAnsi="Wingdings" w:eastAsia="Wingdings"/>
      <w:b/>
      <w:bCs/>
      <w:kern w:val="2"/>
      <w:sz w:val="24"/>
      <w:szCs w:val="24"/>
    </w:rPr>
  </w:style>
  <w:style w:type="character" w:customStyle="1" w:styleId="979">
    <w:name w:val="标题 8 字符"/>
    <w:qFormat/>
    <w:uiPriority w:val="9"/>
    <w:rPr>
      <w:rFonts w:ascii="Helvetica" w:hAnsi="Helvetica" w:eastAsia="Helvetica"/>
      <w:kern w:val="2"/>
      <w:sz w:val="24"/>
      <w:szCs w:val="24"/>
    </w:rPr>
  </w:style>
  <w:style w:type="character" w:customStyle="1" w:styleId="980">
    <w:name w:val="标题 9 字符"/>
    <w:qFormat/>
    <w:uiPriority w:val="9"/>
    <w:rPr>
      <w:rFonts w:ascii="Helvetica" w:hAnsi="Helvetica" w:eastAsia="Helvetica"/>
      <w:kern w:val="2"/>
      <w:sz w:val="21"/>
      <w:szCs w:val="21"/>
    </w:rPr>
  </w:style>
  <w:style w:type="character" w:customStyle="1" w:styleId="981">
    <w:name w:val="文档结构图 字符"/>
    <w:qFormat/>
    <w:uiPriority w:val="99"/>
    <w:rPr>
      <w:rFonts w:ascii="Wingdings" w:hAnsi="仿宋_GB2312"/>
      <w:kern w:val="2"/>
      <w:sz w:val="18"/>
      <w:szCs w:val="18"/>
    </w:rPr>
  </w:style>
  <w:style w:type="paragraph" w:customStyle="1" w:styleId="982">
    <w:name w:val="_Style 979"/>
    <w:basedOn w:val="1"/>
    <w:next w:val="280"/>
    <w:qFormat/>
    <w:uiPriority w:val="0"/>
    <w:pPr>
      <w:adjustRightInd/>
      <w:ind w:firstLine="420" w:firstLineChars="200"/>
    </w:pPr>
    <w:rPr>
      <w:rFonts w:ascii="仿宋_GB2312" w:hAnsi="仿宋_GB2312" w:eastAsia="等线"/>
    </w:rPr>
  </w:style>
  <w:style w:type="character" w:customStyle="1" w:styleId="983">
    <w:name w:val="正文文本缩进 2 字符"/>
    <w:qFormat/>
    <w:uiPriority w:val="0"/>
    <w:rPr>
      <w:kern w:val="2"/>
      <w:sz w:val="21"/>
      <w:szCs w:val="22"/>
    </w:rPr>
  </w:style>
  <w:style w:type="character" w:customStyle="1" w:styleId="984">
    <w:name w:val="标题 字符"/>
    <w:qFormat/>
    <w:uiPriority w:val="10"/>
    <w:rPr>
      <w:rFonts w:ascii="Helvetica" w:hAnsi="Helvetica" w:eastAsia="Helvetica"/>
      <w:b/>
      <w:bCs/>
      <w:kern w:val="2"/>
      <w:sz w:val="32"/>
      <w:szCs w:val="32"/>
    </w:rPr>
  </w:style>
  <w:style w:type="character" w:customStyle="1" w:styleId="985">
    <w:name w:val="批注主题 字符"/>
    <w:qFormat/>
    <w:uiPriority w:val="99"/>
    <w:rPr>
      <w:b/>
      <w:bCs/>
      <w:kern w:val="2"/>
      <w:sz w:val="21"/>
      <w:szCs w:val="22"/>
    </w:rPr>
  </w:style>
  <w:style w:type="paragraph" w:customStyle="1" w:styleId="986">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7">
    <w:name w:val="列表段落2"/>
    <w:basedOn w:val="1"/>
    <w:link w:val="988"/>
    <w:qFormat/>
    <w:uiPriority w:val="0"/>
    <w:pPr>
      <w:adjustRightInd/>
      <w:ind w:firstLine="420" w:firstLineChars="200"/>
    </w:pPr>
    <w:rPr>
      <w:rFonts w:ascii="Times New Roman (正文 CS 字体)" w:hAnsi="Times New Roman (正文 CS 字体)" w:eastAsia="等线"/>
      <w:szCs w:val="22"/>
    </w:rPr>
  </w:style>
  <w:style w:type="character" w:customStyle="1" w:styleId="988">
    <w:name w:val="List Paragraph Char"/>
    <w:link w:val="987"/>
    <w:qFormat/>
    <w:uiPriority w:val="0"/>
    <w:rPr>
      <w:rFonts w:ascii="Times New Roman (正文 CS 字体)" w:hAnsi="Times New Roman (正文 CS 字体)" w:eastAsia="等线"/>
      <w:kern w:val="2"/>
      <w:sz w:val="21"/>
      <w:szCs w:val="22"/>
    </w:rPr>
  </w:style>
  <w:style w:type="paragraph" w:customStyle="1" w:styleId="989">
    <w:name w:val="正文文本首行缩进 21"/>
    <w:basedOn w:val="990"/>
    <w:qFormat/>
    <w:uiPriority w:val="0"/>
    <w:pPr>
      <w:ind w:firstLine="420"/>
    </w:pPr>
    <w:rPr>
      <w:rFonts w:eastAsia="Wingdings" w:cs="Wingdings"/>
    </w:rPr>
  </w:style>
  <w:style w:type="paragraph" w:customStyle="1" w:styleId="990">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1">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2">
    <w:name w:val="标题 1 字符1"/>
    <w:qFormat/>
    <w:uiPriority w:val="9"/>
    <w:rPr>
      <w:rFonts w:eastAsia="Times New Roman (正文 CS 字体)"/>
      <w:b/>
      <w:bCs/>
      <w:kern w:val="44"/>
      <w:sz w:val="44"/>
      <w:szCs w:val="44"/>
    </w:rPr>
  </w:style>
  <w:style w:type="character" w:customStyle="1" w:styleId="993">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4">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5">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6">
    <w:name w:val="样式 正文缩进 + 首行缩进:  2 字符 Char"/>
    <w:qFormat/>
    <w:uiPriority w:val="0"/>
    <w:rPr>
      <w:sz w:val="24"/>
    </w:rPr>
  </w:style>
  <w:style w:type="paragraph" w:customStyle="1" w:styleId="997">
    <w:name w:val="GHC 正文"/>
    <w:basedOn w:val="1"/>
    <w:link w:val="998"/>
    <w:qFormat/>
    <w:uiPriority w:val="0"/>
    <w:pPr>
      <w:adjustRightInd/>
      <w:spacing w:line="360" w:lineRule="auto"/>
      <w:ind w:firstLine="420" w:firstLineChars="200"/>
    </w:pPr>
    <w:rPr>
      <w:rFonts w:ascii="Wingdings" w:hAnsi="Wingdings" w:eastAsia="等线"/>
      <w:sz w:val="24"/>
      <w:lang w:val="en-AU"/>
    </w:rPr>
  </w:style>
  <w:style w:type="character" w:customStyle="1" w:styleId="998">
    <w:name w:val="GHC 正文 Char"/>
    <w:link w:val="997"/>
    <w:qFormat/>
    <w:uiPriority w:val="0"/>
    <w:rPr>
      <w:rFonts w:ascii="Wingdings" w:hAnsi="Wingdings" w:eastAsia="等线"/>
      <w:kern w:val="2"/>
      <w:sz w:val="24"/>
      <w:szCs w:val="24"/>
      <w:lang w:val="en-AU"/>
    </w:rPr>
  </w:style>
  <w:style w:type="paragraph" w:customStyle="1" w:styleId="999">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1000">
    <w:name w:val="0段落文字"/>
    <w:basedOn w:val="999"/>
    <w:qFormat/>
    <w:uiPriority w:val="0"/>
  </w:style>
  <w:style w:type="paragraph" w:customStyle="1" w:styleId="1001">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2">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3">
    <w:name w:val="letter list Char"/>
    <w:qFormat/>
    <w:uiPriority w:val="0"/>
    <w:rPr>
      <w:b/>
      <w:bCs/>
      <w:sz w:val="24"/>
      <w:szCs w:val="24"/>
    </w:rPr>
  </w:style>
  <w:style w:type="character" w:customStyle="1" w:styleId="1004">
    <w:name w:val="Legal Level 1.1.1. Char"/>
    <w:qFormat/>
    <w:uiPriority w:val="0"/>
    <w:rPr>
      <w:rFonts w:ascii="Helvetica" w:hAnsi="Helvetica" w:eastAsia="Wingdings" w:cs="Times New Roman (正文 CS 字体)"/>
      <w:sz w:val="24"/>
      <w:szCs w:val="24"/>
    </w:rPr>
  </w:style>
  <w:style w:type="character" w:customStyle="1" w:styleId="1005">
    <w:name w:val="三级标题 Char"/>
    <w:qFormat/>
    <w:uiPriority w:val="0"/>
    <w:rPr>
      <w:rFonts w:ascii="Helvetica" w:hAnsi="Helvetica" w:eastAsia="Wingdings" w:cs="Times New Roman (正文 CS 字体)"/>
      <w:szCs w:val="21"/>
    </w:rPr>
  </w:style>
  <w:style w:type="character" w:customStyle="1" w:styleId="1006">
    <w:name w:val="正文文本缩进 字符1"/>
    <w:qFormat/>
    <w:uiPriority w:val="0"/>
    <w:rPr>
      <w:kern w:val="2"/>
      <w:sz w:val="21"/>
      <w:szCs w:val="22"/>
    </w:rPr>
  </w:style>
  <w:style w:type="character" w:customStyle="1" w:styleId="1007">
    <w:name w:val="列出段落 字符1"/>
    <w:qFormat/>
    <w:uiPriority w:val="0"/>
    <w:rPr>
      <w:rFonts w:ascii="Times New Roman (正文 CS 字体)" w:hAnsi="Times New Roman (正文 CS 字体)" w:eastAsia="Wingdings" w:cs="Times New Roman (正文 CS 字体)"/>
      <w:szCs w:val="24"/>
    </w:rPr>
  </w:style>
  <w:style w:type="paragraph" w:customStyle="1" w:styleId="1008">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09">
    <w:name w:val="TOC 标题2"/>
    <w:basedOn w:val="2"/>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0">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1">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2">
    <w:name w:val="TOC 标题3"/>
    <w:basedOn w:val="2"/>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3">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4">
    <w:name w:val="普通(网站) 字符"/>
    <w:link w:val="62"/>
    <w:qFormat/>
    <w:uiPriority w:val="0"/>
    <w:rPr>
      <w:rFonts w:ascii="宋体" w:hAnsi="宋体"/>
      <w:sz w:val="24"/>
      <w:szCs w:val="24"/>
    </w:rPr>
  </w:style>
  <w:style w:type="character" w:customStyle="1" w:styleId="1015">
    <w:name w:val="NormalCharacter"/>
    <w:qFormat/>
    <w:uiPriority w:val="0"/>
  </w:style>
  <w:style w:type="paragraph" w:customStyle="1" w:styleId="1016">
    <w:name w:val="UserStyle_20"/>
    <w:basedOn w:val="1"/>
    <w:next w:val="1"/>
    <w:qFormat/>
    <w:uiPriority w:val="0"/>
    <w:pPr>
      <w:widowControl/>
      <w:adjustRightInd/>
      <w:spacing w:line="360" w:lineRule="auto"/>
      <w:ind w:firstLine="480" w:firstLineChars="200"/>
      <w:textAlignment w:val="baseline"/>
    </w:pPr>
    <w:rPr>
      <w:sz w:val="24"/>
      <w:szCs w:val="21"/>
    </w:rPr>
  </w:style>
  <w:style w:type="paragraph" w:customStyle="1" w:styleId="1017">
    <w:name w:val="文本正文宋体缩进"/>
    <w:basedOn w:val="1"/>
    <w:next w:val="1"/>
    <w:qFormat/>
    <w:uiPriority w:val="0"/>
    <w:pPr>
      <w:adjustRightInd/>
      <w:spacing w:line="360" w:lineRule="auto"/>
      <w:ind w:firstLine="480" w:firstLineChars="200"/>
    </w:pPr>
    <w:rPr>
      <w:sz w:val="24"/>
      <w:szCs w:val="21"/>
    </w:rPr>
  </w:style>
  <w:style w:type="paragraph" w:customStyle="1" w:styleId="1018">
    <w:name w:val="msolistparagraph"/>
    <w:basedOn w:val="1"/>
    <w:qFormat/>
    <w:uiPriority w:val="0"/>
    <w:pPr>
      <w:ind w:firstLine="420" w:firstLineChars="200"/>
    </w:pPr>
  </w:style>
  <w:style w:type="paragraph" w:customStyle="1" w:styleId="1019">
    <w:name w:val="正文文本 31"/>
    <w:basedOn w:val="1"/>
    <w:qFormat/>
    <w:uiPriority w:val="0"/>
    <w:pPr>
      <w:spacing w:after="120"/>
    </w:pPr>
    <w:rPr>
      <w:sz w:val="16"/>
      <w:szCs w:val="16"/>
    </w:rPr>
  </w:style>
  <w:style w:type="paragraph" w:customStyle="1" w:styleId="1020">
    <w:name w:val="paragraph"/>
    <w:basedOn w:val="1"/>
    <w:qFormat/>
    <w:uiPriority w:val="0"/>
    <w:pPr>
      <w:widowControl/>
      <w:spacing w:before="100" w:beforeAutospacing="1" w:after="100" w:afterAutospacing="1"/>
      <w:jc w:val="left"/>
    </w:pPr>
    <w:rPr>
      <w:rFonts w:ascii="等线" w:hAnsi="等线" w:eastAsia="等线"/>
      <w:kern w:val="0"/>
      <w:sz w:val="24"/>
    </w:rPr>
  </w:style>
  <w:style w:type="paragraph" w:customStyle="1" w:styleId="1021">
    <w:name w:val="Plain Text"/>
    <w:basedOn w:val="1022"/>
    <w:qFormat/>
    <w:uiPriority w:val="0"/>
    <w:pPr>
      <w:widowControl/>
      <w:jc w:val="left"/>
    </w:pPr>
    <w:rPr>
      <w:rFonts w:ascii="宋体" w:hAnsi="Courier New"/>
    </w:rPr>
  </w:style>
  <w:style w:type="paragraph" w:customStyle="1" w:styleId="1022">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23">
    <w:name w:val="_Style 10"/>
    <w:basedOn w:val="1"/>
    <w:qFormat/>
    <w:uiPriority w:val="99"/>
  </w:style>
  <w:style w:type="paragraph" w:customStyle="1" w:styleId="1024">
    <w:name w:val="目录 71"/>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025">
    <w:name w:val="Table Normal"/>
    <w:semiHidden/>
    <w:unhideWhenUsed/>
    <w:qFormat/>
    <w:uiPriority w:val="0"/>
    <w:tblPr>
      <w:tblCellMar>
        <w:top w:w="0" w:type="dxa"/>
        <w:left w:w="0" w:type="dxa"/>
        <w:bottom w:w="0" w:type="dxa"/>
        <w:right w:w="0" w:type="dxa"/>
      </w:tblCellMar>
    </w:tblPr>
  </w:style>
  <w:style w:type="paragraph" w:customStyle="1" w:styleId="1026">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72</Pages>
  <Words>13736</Words>
  <Characters>15074</Characters>
  <Lines>328</Lines>
  <Paragraphs>92</Paragraphs>
  <TotalTime>12</TotalTime>
  <ScaleCrop>false</ScaleCrop>
  <LinksUpToDate>false</LinksUpToDate>
  <CharactersWithSpaces>15347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2023-05-20T15:00:00Z</dcterms:created>
  <dc:creator>玥</dc:creator>
  <cp:lastModifiedBy>柒号</cp:lastModifiedBy>
  <cp:lastPrinted>2025-01-03T06:32:00Z</cp:lastPrinted>
  <dcterms:modified xsi:type="dcterms:W3CDTF">2025-07-04T06:35:16Z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E5253BBCCFA34BE480A46A6AB6DBEC97</vt:lpwstr>
  </property>
  <property fmtid="{D5CDD505-2E9C-101B-9397-08002B2CF9AE}" pid="5" name="KSOTemplateDocerSaveRecord">
    <vt:lpwstr>eyJoZGlkIjoiY2JlZjZlZWZmNDYwNzFhOTM1ZGI2MWYzZDViODQ3MWUifQ==</vt:lpwstr>
  </property>
</Properties>
</file>