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07-09</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09</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3500000、3120000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3500000、3120000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1</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1"/>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073093"/>
      <w:bookmarkEnd w:id="13"/>
      <w:bookmarkStart w:id="14" w:name="_Hlt74714665"/>
      <w:bookmarkEnd w:id="14"/>
      <w:bookmarkStart w:id="15" w:name="_Hlt68057669"/>
      <w:bookmarkEnd w:id="15"/>
      <w:bookmarkStart w:id="16" w:name="_Hlt75236011"/>
      <w:bookmarkEnd w:id="16"/>
      <w:bookmarkStart w:id="17" w:name="_Hlt75236290"/>
      <w:bookmarkEnd w:id="17"/>
      <w:bookmarkStart w:id="18" w:name="_Hlt68403820"/>
      <w:bookmarkEnd w:id="18"/>
      <w:bookmarkStart w:id="19" w:name="_Hlt74730295"/>
      <w:bookmarkEnd w:id="19"/>
      <w:bookmarkStart w:id="20" w:name="_Hlt68072990"/>
      <w:bookmarkEnd w:id="20"/>
      <w:bookmarkStart w:id="21" w:name="_Hlt74729768"/>
      <w:bookmarkEnd w:id="21"/>
      <w:bookmarkStart w:id="22" w:name="_Hlt75236101"/>
      <w:bookmarkEnd w:id="22"/>
      <w:bookmarkStart w:id="23" w:name="_Hlt74707468"/>
      <w:bookmarkEnd w:id="23"/>
      <w:bookmarkStart w:id="24" w:name="_Hlt68072998"/>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hint="eastAsia" w:ascii="宋体" w:hAnsi="宋体" w:eastAsia="宋体" w:cs="宋体"/>
          <w:b/>
          <w:sz w:val="21"/>
          <w:szCs w:val="21"/>
          <w:lang w:val="en-US" w:eastAsia="zh-CN"/>
        </w:rPr>
      </w:pPr>
      <w:r>
        <w:rPr>
          <w:rFonts w:hint="eastAsia" w:ascii="宋体" w:hAnsi="宋体" w:eastAsia="宋体" w:cs="宋体"/>
          <w:b/>
          <w:sz w:val="21"/>
          <w:szCs w:val="21"/>
        </w:rPr>
        <w:t>一、采购内容：</w:t>
      </w:r>
      <w:r>
        <w:rPr>
          <w:rFonts w:hint="eastAsia" w:ascii="宋体" w:hAnsi="宋体" w:cs="宋体"/>
          <w:b/>
          <w:sz w:val="21"/>
          <w:szCs w:val="21"/>
          <w:lang w:val="en-US" w:eastAsia="zh-CN"/>
        </w:rPr>
        <w:t>(不专门面向中小企业）</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967"/>
        <w:gridCol w:w="2023"/>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采购内容</w:t>
            </w:r>
          </w:p>
        </w:tc>
        <w:tc>
          <w:tcPr>
            <w:tcW w:w="19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数量及单位</w:t>
            </w:r>
          </w:p>
        </w:tc>
        <w:tc>
          <w:tcPr>
            <w:tcW w:w="202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z w:val="21"/>
                <w:szCs w:val="21"/>
              </w:rPr>
              <w:t>总金额（万元）</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5"/>
              <w:rPr>
                <w:rFonts w:hint="eastAsia" w:ascii="宋体" w:hAnsi="宋体" w:eastAsia="宋体" w:cs="宋体"/>
                <w:sz w:val="21"/>
                <w:szCs w:val="21"/>
              </w:rPr>
            </w:pPr>
            <w:r>
              <w:rPr>
                <w:rFonts w:hint="eastAsia" w:ascii="宋体" w:hAnsi="宋体" w:eastAsia="宋体" w:cs="宋体"/>
                <w:sz w:val="21"/>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胃肠镜系统</w:t>
            </w:r>
          </w:p>
        </w:tc>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1套</w:t>
            </w:r>
          </w:p>
        </w:tc>
        <w:tc>
          <w:tcPr>
            <w:tcW w:w="2023" w:type="dxa"/>
            <w:tcBorders>
              <w:top w:val="single" w:color="auto" w:sz="4" w:space="0"/>
              <w:left w:val="single" w:color="auto" w:sz="4" w:space="0"/>
              <w:bottom w:val="single" w:color="auto" w:sz="4" w:space="0"/>
              <w:right w:val="single" w:color="auto" w:sz="4" w:space="0"/>
            </w:tcBorders>
            <w:vAlign w:val="center"/>
          </w:tcPr>
          <w:p>
            <w:pPr>
              <w:pStyle w:val="335"/>
              <w:rPr>
                <w:rFonts w:hint="eastAsia" w:ascii="宋体" w:hAnsi="宋体" w:eastAsia="宋体" w:cs="宋体"/>
                <w:sz w:val="21"/>
                <w:szCs w:val="21"/>
                <w:u w:val="single"/>
              </w:rPr>
            </w:pPr>
            <w:r>
              <w:rPr>
                <w:rFonts w:hint="eastAsia" w:ascii="宋体" w:hAnsi="宋体" w:eastAsia="宋体" w:cs="宋体"/>
                <w:sz w:val="21"/>
                <w:szCs w:val="21"/>
                <w:u w:val="single"/>
              </w:rPr>
              <w:t>350</w:t>
            </w:r>
          </w:p>
        </w:tc>
        <w:tc>
          <w:tcPr>
            <w:tcW w:w="1544" w:type="dxa"/>
            <w:tcBorders>
              <w:top w:val="single" w:color="auto" w:sz="4" w:space="0"/>
              <w:left w:val="single" w:color="auto" w:sz="4" w:space="0"/>
              <w:bottom w:val="single" w:color="auto" w:sz="4" w:space="0"/>
              <w:right w:val="single" w:color="auto" w:sz="4" w:space="0"/>
            </w:tcBorders>
            <w:vAlign w:val="center"/>
          </w:tcPr>
          <w:p>
            <w:pPr>
              <w:pStyle w:val="335"/>
              <w:rPr>
                <w:rFonts w:hint="eastAsia" w:ascii="宋体" w:hAnsi="宋体" w:eastAsia="宋体" w:cs="宋体"/>
                <w:sz w:val="21"/>
                <w:szCs w:val="21"/>
                <w:u w:val="single"/>
              </w:rPr>
            </w:pPr>
            <w:r>
              <w:rPr>
                <w:rFonts w:hint="eastAsia" w:ascii="宋体" w:hAnsi="宋体" w:eastAsia="宋体" w:cs="宋体"/>
                <w:sz w:val="21"/>
                <w:szCs w:val="21"/>
                <w:u w:val="single"/>
              </w:rPr>
              <w:t>否</w:t>
            </w:r>
          </w:p>
        </w:tc>
      </w:tr>
    </w:tbl>
    <w:p>
      <w:pPr>
        <w:autoSpaceDE w:val="0"/>
        <w:autoSpaceDN w:val="0"/>
        <w:spacing w:line="360" w:lineRule="auto"/>
        <w:textAlignment w:val="bottom"/>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二、技术参数要求</w:t>
      </w:r>
    </w:p>
    <w:tbl>
      <w:tblPr>
        <w:tblStyle w:val="66"/>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9"/>
        <w:gridCol w:w="75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99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592" w:type="dxa"/>
            <w:tcBorders>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592" w:type="dxa"/>
            <w:tcBorders>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b/>
                <w:sz w:val="21"/>
                <w:szCs w:val="21"/>
              </w:rPr>
              <w:t>主要用途：用于消化道的检查与治疗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7592" w:type="dxa"/>
            <w:tcBorders>
              <w:right w:val="single" w:color="auto" w:sz="4" w:space="0"/>
            </w:tcBorders>
            <w:vAlign w:val="center"/>
          </w:tcPr>
          <w:p>
            <w:pPr>
              <w:rPr>
                <w:rFonts w:hint="eastAsia" w:ascii="宋体" w:hAnsi="宋体" w:eastAsia="宋体" w:cs="宋体"/>
                <w:b/>
                <w:bCs/>
                <w:sz w:val="21"/>
                <w:szCs w:val="21"/>
              </w:rPr>
            </w:pPr>
            <w:r>
              <w:rPr>
                <w:rFonts w:hint="eastAsia" w:ascii="宋体" w:hAnsi="宋体" w:eastAsia="宋体" w:cs="宋体"/>
                <w:b/>
                <w:sz w:val="21"/>
                <w:szCs w:val="21"/>
              </w:rPr>
              <w:t>技术参数、功能及配置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592" w:type="dxa"/>
            <w:tcBorders>
              <w:right w:val="single" w:color="auto" w:sz="4" w:space="0"/>
            </w:tcBorders>
            <w:vAlign w:val="center"/>
          </w:tcPr>
          <w:p>
            <w:pPr>
              <w:rPr>
                <w:rStyle w:val="1016"/>
                <w:rFonts w:hint="eastAsia" w:ascii="宋体" w:hAnsi="宋体" w:eastAsia="宋体" w:cs="宋体"/>
                <w:color w:val="000000"/>
                <w:sz w:val="21"/>
                <w:szCs w:val="21"/>
              </w:rPr>
            </w:pPr>
            <w:r>
              <w:rPr>
                <w:rFonts w:hint="eastAsia" w:ascii="宋体" w:hAnsi="宋体" w:eastAsia="宋体" w:cs="宋体"/>
                <w:b/>
                <w:sz w:val="21"/>
                <w:szCs w:val="21"/>
              </w:rPr>
              <w:t>数字化内窥镜图像处理器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480" w:lineRule="auto"/>
              <w:jc w:val="center"/>
              <w:rPr>
                <w:rFonts w:hint="eastAsia" w:ascii="宋体" w:hAnsi="宋体" w:eastAsia="宋体" w:cs="宋体"/>
                <w:b/>
                <w:sz w:val="21"/>
                <w:szCs w:val="21"/>
              </w:rPr>
            </w:pPr>
            <w:r>
              <w:rPr>
                <w:rFonts w:hint="eastAsia" w:ascii="宋体" w:hAnsi="宋体" w:eastAsia="宋体" w:cs="宋体"/>
                <w:sz w:val="21"/>
                <w:szCs w:val="21"/>
              </w:rPr>
              <w:t>1.1</w:t>
            </w:r>
          </w:p>
        </w:tc>
        <w:tc>
          <w:tcPr>
            <w:tcW w:w="7592" w:type="dxa"/>
            <w:tcBorders>
              <w:right w:val="single" w:color="auto" w:sz="4" w:space="0"/>
            </w:tcBorders>
            <w:shd w:val="clear" w:color="auto" w:fill="auto"/>
            <w:vAlign w:val="center"/>
          </w:tcPr>
          <w:p>
            <w:pPr>
              <w:rPr>
                <w:rFonts w:hint="eastAsia" w:ascii="宋体" w:hAnsi="宋体" w:eastAsia="宋体" w:cs="宋体"/>
                <w:b/>
                <w:sz w:val="21"/>
                <w:szCs w:val="21"/>
              </w:rPr>
            </w:pPr>
            <w:r>
              <w:rPr>
                <w:rFonts w:hint="eastAsia" w:ascii="宋体" w:hAnsi="宋体" w:eastAsia="宋体" w:cs="宋体"/>
                <w:color w:val="000000"/>
                <w:kern w:val="0"/>
                <w:sz w:val="21"/>
                <w:szCs w:val="21"/>
              </w:rPr>
              <w:t>整体设计理念：图像处理器与冷光源一体式设计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480" w:lineRule="auto"/>
              <w:jc w:val="center"/>
              <w:rPr>
                <w:rFonts w:hint="eastAsia" w:ascii="宋体" w:hAnsi="宋体" w:eastAsia="宋体" w:cs="宋体"/>
                <w:color w:val="000000"/>
                <w:sz w:val="21"/>
                <w:szCs w:val="21"/>
              </w:rPr>
            </w:pPr>
            <w:r>
              <w:rPr>
                <w:rFonts w:hint="eastAsia" w:ascii="宋体" w:hAnsi="宋体" w:eastAsia="宋体" w:cs="宋体"/>
                <w:sz w:val="21"/>
                <w:szCs w:val="21"/>
              </w:rPr>
              <w:t>1.2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屏幕分辨率：SXGA全高清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色彩调节:具备R、G、B三色彩调节，各≥9档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对比度具备，≥3档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1.5</w:t>
            </w:r>
          </w:p>
        </w:tc>
        <w:tc>
          <w:tcPr>
            <w:tcW w:w="7592"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数字接口:具备1920*1080P高清数字接口，≥2路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结构强调：SE≥4级，DH：≥（-4至+4，）DL：≥（-4至+4）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sz w:val="21"/>
                <w:szCs w:val="21"/>
              </w:rPr>
              <w:t>图像强调功能:具备≥2种模式，结构和轮廓强调，各≥9档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图像放大：</w:t>
            </w:r>
            <w:r>
              <w:rPr>
                <w:rFonts w:hint="eastAsia" w:ascii="宋体" w:hAnsi="宋体" w:eastAsia="宋体" w:cs="宋体"/>
                <w:color w:val="000000"/>
                <w:kern w:val="0"/>
                <w:sz w:val="21"/>
                <w:szCs w:val="21"/>
              </w:rPr>
              <w:t>≥2倍，≥10级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特殊光模式：</w:t>
            </w:r>
            <w:r>
              <w:rPr>
                <w:rFonts w:hint="eastAsia" w:ascii="宋体" w:hAnsi="宋体" w:eastAsia="宋体" w:cs="宋体"/>
                <w:color w:val="000000" w:themeColor="text1"/>
                <w:sz w:val="21"/>
                <w:szCs w:val="21"/>
                <w14:textFill>
                  <w14:solidFill>
                    <w14:schemeClr w14:val="tx1"/>
                  </w14:solidFill>
                </w14:textFill>
              </w:rPr>
              <w:t xml:space="preserve"> BLI、LCI</w:t>
            </w:r>
            <w:r>
              <w:rPr>
                <w:rFonts w:hint="eastAsia" w:ascii="宋体" w:hAnsi="宋体" w:eastAsia="宋体" w:cs="宋体"/>
                <w:color w:val="000000"/>
                <w:kern w:val="0"/>
                <w:sz w:val="21"/>
                <w:szCs w:val="21"/>
              </w:rPr>
              <w:t>或NBI或i-SCAN或STI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kern w:val="0"/>
                <w:sz w:val="21"/>
                <w:szCs w:val="21"/>
              </w:rPr>
              <w:t>分光图像强调技术具备，≥10档预设可调针对不同部位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冻结模式为实时冻结：场冻结和帧冻结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快门速度：正常1/60-1/200</w:t>
            </w:r>
            <w:r>
              <w:rPr>
                <w:rFonts w:hint="eastAsia" w:ascii="宋体" w:hAnsi="宋体" w:eastAsia="宋体" w:cs="宋体"/>
                <w:color w:val="auto"/>
                <w:sz w:val="21"/>
                <w:szCs w:val="21"/>
              </w:rPr>
              <w:t>，高1/100-1/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00，高（放大镜）1/100-1/800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切换按键：内镜按键≥（1-5），面板多功能键：≥（1-2）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其他功能：电子放大功能，画中画功能，双画面同屏显示功能,</w:t>
            </w:r>
            <w:r>
              <w:rPr>
                <w:rFonts w:hint="eastAsia" w:ascii="宋体" w:hAnsi="宋体" w:eastAsia="宋体" w:cs="宋体"/>
                <w:color w:val="000000"/>
                <w:kern w:val="0"/>
                <w:sz w:val="21"/>
                <w:szCs w:val="21"/>
              </w:rPr>
              <w:t xml:space="preserve"> 主机支持DICOM连接医院数据库。.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7592" w:type="dxa"/>
            <w:tcBorders>
              <w:right w:val="single" w:color="auto" w:sz="4" w:space="0"/>
            </w:tcBorders>
            <w:shd w:val="clear" w:color="auto" w:fill="auto"/>
            <w:vAlign w:val="center"/>
          </w:tcPr>
          <w:p>
            <w:pPr>
              <w:autoSpaceDE w:val="0"/>
              <w:autoSpaceDN w:val="0"/>
              <w:rPr>
                <w:rFonts w:hint="eastAsia" w:ascii="宋体" w:hAnsi="宋体" w:eastAsia="宋体" w:cs="宋体"/>
                <w:sz w:val="21"/>
                <w:szCs w:val="21"/>
              </w:rPr>
            </w:pPr>
            <w:r>
              <w:rPr>
                <w:rFonts w:hint="eastAsia" w:ascii="宋体" w:hAnsi="宋体" w:eastAsia="宋体" w:cs="宋体"/>
                <w:sz w:val="21"/>
                <w:szCs w:val="21"/>
              </w:rPr>
              <w:t>兼容内窥镜：可兼容同品牌电子胃镜，电子肠镜，电子十二指肠镜，电子支气管镜，电子气囊小肠镜，</w:t>
            </w:r>
            <w:r>
              <w:rPr>
                <w:rFonts w:hint="eastAsia" w:ascii="宋体" w:hAnsi="宋体" w:eastAsia="宋体" w:cs="宋体"/>
                <w:color w:val="000000"/>
                <w:kern w:val="0"/>
                <w:sz w:val="21"/>
                <w:szCs w:val="21"/>
              </w:rPr>
              <w:t>电子鼻咽喉镜等。</w:t>
            </w:r>
            <w:r>
              <w:rPr>
                <w:rFonts w:hint="eastAsia" w:ascii="宋体" w:hAnsi="宋体" w:eastAsia="宋体" w:cs="宋体"/>
                <w:color w:val="000000" w:themeColor="text1"/>
                <w:sz w:val="21"/>
                <w:szCs w:val="21"/>
                <w14:textFill>
                  <w14:solidFill>
                    <w14:schemeClr w14:val="tx1"/>
                  </w14:solidFill>
                </w14:textFill>
              </w:rPr>
              <w:t>（需提供已获批相关证明材料：注册证）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超声内镜兼容：可兼容同品牌超声支气管镜、超声环扫镜，超声扇扫镜等。（</w:t>
            </w:r>
            <w:r>
              <w:rPr>
                <w:rFonts w:hint="eastAsia" w:ascii="宋体" w:hAnsi="宋体" w:eastAsia="宋体" w:cs="宋体"/>
                <w:color w:val="000000" w:themeColor="text1"/>
                <w:sz w:val="21"/>
                <w:szCs w:val="21"/>
                <w14:textFill>
                  <w14:solidFill>
                    <w14:schemeClr w14:val="tx1"/>
                  </w14:solidFill>
                </w14:textFill>
              </w:rPr>
              <w:t>需提供已获批相关证明材料：注册证</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720" w:lineRule="auto"/>
              <w:jc w:val="center"/>
              <w:rPr>
                <w:rFonts w:hint="eastAsia" w:ascii="宋体" w:hAnsi="宋体" w:eastAsia="宋体" w:cs="宋体"/>
                <w:sz w:val="21"/>
                <w:szCs w:val="21"/>
              </w:rPr>
            </w:pPr>
            <w:r>
              <w:rPr>
                <w:rFonts w:hint="eastAsia" w:ascii="宋体" w:hAnsi="宋体" w:eastAsia="宋体" w:cs="宋体"/>
                <w:sz w:val="21"/>
                <w:szCs w:val="21"/>
              </w:rPr>
              <w:t>▲1.17</w:t>
            </w:r>
          </w:p>
        </w:tc>
        <w:tc>
          <w:tcPr>
            <w:tcW w:w="7592" w:type="dxa"/>
            <w:tcBorders>
              <w:right w:val="single" w:color="auto" w:sz="4" w:space="0"/>
            </w:tcBorders>
            <w:shd w:val="clear" w:color="auto" w:fill="auto"/>
            <w:vAlign w:val="center"/>
          </w:tcPr>
          <w:p>
            <w:pPr>
              <w:tabs>
                <w:tab w:val="left" w:pos="2790"/>
                <w:tab w:val="left" w:pos="4230"/>
              </w:tabs>
              <w:jc w:val="left"/>
              <w:rPr>
                <w:rFonts w:hint="eastAsia" w:ascii="宋体" w:hAnsi="宋体" w:eastAsia="宋体" w:cs="宋体"/>
                <w:sz w:val="21"/>
                <w:szCs w:val="21"/>
              </w:rPr>
            </w:pPr>
            <w:r>
              <w:rPr>
                <w:rFonts w:hint="eastAsia" w:ascii="宋体" w:hAnsi="宋体" w:eastAsia="宋体" w:cs="宋体"/>
                <w:snapToGrid w:val="0"/>
                <w:sz w:val="21"/>
                <w:szCs w:val="21"/>
              </w:rPr>
              <w:t>兼容超声主机：可兼容同品牌超声主机，超声小探头。</w:t>
            </w:r>
            <w:r>
              <w:rPr>
                <w:rFonts w:hint="eastAsia" w:ascii="宋体" w:hAnsi="宋体" w:eastAsia="宋体" w:cs="宋体"/>
                <w:color w:val="000000" w:themeColor="text1"/>
                <w:sz w:val="21"/>
                <w:szCs w:val="21"/>
                <w14:textFill>
                  <w14:solidFill>
                    <w14:schemeClr w14:val="tx1"/>
                  </w14:solidFill>
                </w14:textFill>
              </w:rPr>
              <w:t>(需提供已获批相关证明材料：注册证）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999" w:type="dxa"/>
            <w:shd w:val="clear" w:color="auto" w:fill="auto"/>
          </w:tcPr>
          <w:p>
            <w:pPr>
              <w:spacing w:line="720" w:lineRule="auto"/>
              <w:jc w:val="center"/>
              <w:rPr>
                <w:rFonts w:hint="eastAsia" w:ascii="宋体" w:hAnsi="宋体" w:eastAsia="宋体" w:cs="宋体"/>
                <w:sz w:val="21"/>
                <w:szCs w:val="21"/>
              </w:rPr>
            </w:pPr>
            <w:r>
              <w:rPr>
                <w:rFonts w:hint="eastAsia" w:ascii="宋体" w:hAnsi="宋体" w:eastAsia="宋体" w:cs="宋体"/>
                <w:sz w:val="21"/>
                <w:szCs w:val="21"/>
              </w:rPr>
              <w:t>1.18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主机具有DICOM通用输出接口：可实现与医院的数字网络连接，实现数字化影像管理。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1.19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kern w:val="0"/>
                <w:sz w:val="21"/>
                <w:szCs w:val="21"/>
              </w:rPr>
              <w:t>主机适配摄像元件：≥2种百万像素图像传感器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▲1.20</w:t>
            </w:r>
          </w:p>
        </w:tc>
        <w:tc>
          <w:tcPr>
            <w:tcW w:w="7592" w:type="dxa"/>
            <w:tcBorders>
              <w:right w:val="single" w:color="auto" w:sz="4" w:space="0"/>
            </w:tcBorders>
            <w:shd w:val="clear" w:color="auto" w:fill="auto"/>
            <w:vAlign w:val="center"/>
          </w:tcPr>
          <w:p>
            <w:pPr>
              <w:autoSpaceDE w:val="0"/>
              <w:autoSpaceDN w:val="0"/>
              <w:rPr>
                <w:rFonts w:hint="eastAsia" w:ascii="宋体" w:hAnsi="宋体" w:eastAsia="宋体" w:cs="宋体"/>
                <w:kern w:val="0"/>
                <w:sz w:val="21"/>
                <w:szCs w:val="21"/>
              </w:rPr>
            </w:pPr>
            <w:r>
              <w:rPr>
                <w:rFonts w:hint="eastAsia" w:ascii="宋体" w:hAnsi="宋体" w:eastAsia="宋体" w:cs="宋体"/>
                <w:kern w:val="0"/>
                <w:sz w:val="21"/>
                <w:szCs w:val="21"/>
              </w:rPr>
              <w:t>兼容同品牌不同规格超声探头：≥7种不同规格型号小探头，满足胃，肠，小肠，支气管等不同部位诊断需求</w:t>
            </w:r>
          </w:p>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(提供相关证明材料：注册证）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b/>
                <w:sz w:val="21"/>
                <w:szCs w:val="21"/>
              </w:rPr>
              <w:t>内窥镜处理器光源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照明光源：≥3色 LED灯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灯泡使用寿命：≥14000小时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测光模式  平均测光：控制普通画面亮度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光源控制: LED自动能量控制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光源冷却方式: 强制空气冷却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具备早期癌症精查功能，能凸显细微血管，具备BLI或NBI或STI或MSI或i-scanOE成像模式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具备早期癌症筛查功能，能增强血红蛋白，具备LCI或NBI或STI或MSI或i-scanCE成像模式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峰值测光  控制高亮区域亮度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自动测光  自动设置光学光圈的平均测光或者峰值测光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b/>
                <w:sz w:val="21"/>
                <w:szCs w:val="21"/>
              </w:rPr>
              <w:t>高清电子胃镜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观察方向： 0 ° ( 直视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视野角度：≥140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观察景深： 2 ～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头端部外径：Ф≤9.2mm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插入最大部外径：Ф≤9.3mm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有效长度：≥ 1100mm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全长：≥ 1400mm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弯曲角度：≥上： 210 °、下： 90 °、左： 100 °、右： 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钳道直径：Ф≥ 2.8mm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3.10</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感光元件：CMOS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▲3.11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具备早期癌症精查功能，能凸显细微血管，具备BLI或NBI或STI或MSI或i-scanOE成像模式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▲3.12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具备早期癌症筛查功能，能增强血红蛋白，具备LCI或NBI或STI或MSI或i-scanCE成像模式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3.13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前射水功能  具有前射水功能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b/>
                <w:color w:val="000000"/>
                <w:sz w:val="21"/>
                <w:szCs w:val="21"/>
              </w:rPr>
              <w:t>高清电子治疗胃镜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观察方向： 0 ° ( 直视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视野角度：≥140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观察景深： 2 ～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头端部外径：Ф≤9.8mm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4.5</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插入最大部外径：Ф≤9.8mm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有效长度：≥ 1100mm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4.7</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全长：≥ 1400mm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弯曲角度：≥上： 210 °、下： 160 °、左： 100 °、右： 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钳道直径：Ф≥ 3.2mm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4.10</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感光元件：CMOS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▲4.11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具备早期癌症精查功能，能凸显细微血管，具备BLI或NBI或STI或MSI或i-scanOE成像模式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4.12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具备早期癌症筛查功能，能增强血红蛋白，具备LCI或NBI或STI或MSI或i-scanCE成像模式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▲4.13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可适配同品牌先端帽（投标文件中需提供注册证)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b/>
                <w:bCs/>
                <w:sz w:val="21"/>
                <w:szCs w:val="21"/>
              </w:rPr>
              <w:t>高清电子肠镜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观察方向： 0 ° ( 直视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视野角度：≥170°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观察景深： 2 ～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头端部外径：Ф≤12.0mm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5.5</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插入最大部外径：Ф≤12.0mm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5.6</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有效长度：≥ 1330mm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5.7</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全长：≥ 1630mm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5.8</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弯曲角度：≥上： 180 °、下： 180 °、左： 160 °、右： 160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5.9</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 xml:space="preserve">钳道直径：Ф≥ 3.8mm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5.10</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前送水功能：具有前送水功能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5.11</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感光元件：CMOS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▲5.12</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具备早期癌症精查功能，能凸显细微血管，具备BLI或NBI或STI或MSI或i-scanOE成像模式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5.13</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具备早期癌症筛查功能，能增强血红蛋白，具备LCI或NBI或STI或MSI或i-scanCE成像模式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99" w:type="dxa"/>
            <w:shd w:val="clear" w:color="auto" w:fill="auto"/>
          </w:tcPr>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5.14</w:t>
            </w:r>
          </w:p>
        </w:tc>
        <w:tc>
          <w:tcPr>
            <w:tcW w:w="7592" w:type="dxa"/>
            <w:tcBorders>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color w:val="000000"/>
                <w:kern w:val="0"/>
                <w:sz w:val="21"/>
                <w:szCs w:val="21"/>
              </w:rPr>
              <w:t>硬度可调：≥3档硬度可调</w:t>
            </w: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652" w:type="dxa"/>
            <w:tcBorders>
              <w:right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1</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数字化内窥镜图像处理器：1套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2</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内窥镜处理器光源：1套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3</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高清电子胃镜</w:t>
            </w:r>
            <w:r>
              <w:rPr>
                <w:rFonts w:hint="eastAsia" w:ascii="宋体" w:hAnsi="宋体" w:eastAsia="宋体" w:cs="宋体"/>
                <w:bCs/>
                <w:color w:val="000000"/>
                <w:sz w:val="21"/>
                <w:szCs w:val="21"/>
              </w:rPr>
              <w:t>：4根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4</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color w:val="000000"/>
                <w:sz w:val="21"/>
                <w:szCs w:val="21"/>
              </w:rPr>
              <w:t>高清电子治疗胃镜：1根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5</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color w:val="000000"/>
                <w:sz w:val="21"/>
                <w:szCs w:val="21"/>
              </w:rPr>
              <w:t>高清电子肠镜：3根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6</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医用监视器：1台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7</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color w:val="000000"/>
                <w:sz w:val="21"/>
                <w:szCs w:val="21"/>
              </w:rPr>
              <w:t>台车：1台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8</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送水装置：2套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9</w:t>
            </w:r>
          </w:p>
        </w:tc>
        <w:tc>
          <w:tcPr>
            <w:tcW w:w="7652" w:type="dxa"/>
            <w:tcBorders>
              <w:right w:val="single" w:color="auto" w:sz="4" w:space="0"/>
            </w:tcBorders>
          </w:tcPr>
          <w:p>
            <w:pPr>
              <w:autoSpaceDE w:val="0"/>
              <w:autoSpaceDN w:val="0"/>
              <w:rPr>
                <w:rFonts w:hint="eastAsia" w:ascii="宋体" w:hAnsi="宋体" w:eastAsia="宋体" w:cs="宋体"/>
                <w:sz w:val="21"/>
                <w:szCs w:val="21"/>
              </w:rPr>
            </w:pPr>
            <w:r>
              <w:rPr>
                <w:rFonts w:hint="eastAsia" w:ascii="宋体" w:hAnsi="宋体" w:eastAsia="宋体" w:cs="宋体"/>
                <w:bCs/>
                <w:sz w:val="21"/>
                <w:szCs w:val="21"/>
              </w:rPr>
              <w:t>二氧化碳泵：2套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10</w:t>
            </w:r>
          </w:p>
        </w:tc>
        <w:tc>
          <w:tcPr>
            <w:tcW w:w="7652" w:type="dxa"/>
            <w:tcBorders>
              <w:right w:val="single" w:color="auto" w:sz="4" w:space="0"/>
            </w:tcBorders>
          </w:tcPr>
          <w:p>
            <w:pPr>
              <w:autoSpaceDE w:val="0"/>
              <w:autoSpaceDN w:val="0"/>
              <w:rPr>
                <w:rFonts w:hint="eastAsia" w:ascii="宋体" w:hAnsi="宋体" w:eastAsia="宋体" w:cs="宋体"/>
                <w:sz w:val="21"/>
                <w:szCs w:val="21"/>
                <w:lang w:val="en-US" w:eastAsia="zh-CN"/>
              </w:rPr>
            </w:pPr>
            <w:r>
              <w:rPr>
                <w:rFonts w:hint="eastAsia" w:ascii="宋体" w:hAnsi="宋体" w:eastAsia="宋体" w:cs="宋体"/>
                <w:bCs/>
                <w:sz w:val="21"/>
                <w:szCs w:val="21"/>
              </w:rPr>
              <w:t>内镜干燥柜：3台</w:t>
            </w:r>
            <w:r>
              <w:rPr>
                <w:rFonts w:hint="eastAsia" w:ascii="宋体" w:hAnsi="宋体" w:cs="宋体"/>
                <w:bCs/>
                <w:sz w:val="21"/>
                <w:szCs w:val="21"/>
                <w:lang w:val="en-US" w:eastAsia="zh-CN"/>
              </w:rPr>
              <w:t>(按医院要求）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eastAsia="宋体" w:cs="宋体"/>
                <w:bCs/>
                <w:sz w:val="21"/>
                <w:szCs w:val="21"/>
              </w:rPr>
            </w:pPr>
            <w:r>
              <w:rPr>
                <w:rFonts w:hint="eastAsia"/>
                <w:lang w:val="en-US" w:eastAsia="zh-CN"/>
              </w:rPr>
              <w:t>注：</w:t>
            </w:r>
            <w:r>
              <w:t>1、</w:t>
            </w:r>
            <w:r>
              <w:rPr>
                <w:rFonts w:hint="eastAsia" w:ascii="宋体" w:hAnsi="宋体" w:eastAsia="宋体" w:cs="宋体"/>
                <w:b/>
                <w:bCs w:val="0"/>
                <w:sz w:val="21"/>
                <w:szCs w:val="21"/>
              </w:rPr>
              <w:t>胃肠镜系统</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sz w:val="21"/>
                <w:szCs w:val="21"/>
              </w:rPr>
              <w:t>货物使用期限：自货物生产日期起，</w:t>
            </w:r>
            <w:r>
              <w:rPr>
                <w:rFonts w:hint="eastAsia" w:ascii="宋体" w:hAnsi="宋体" w:eastAsia="宋体" w:cs="宋体"/>
                <w:color w:val="000000" w:themeColor="text1"/>
                <w:sz w:val="21"/>
                <w:szCs w:val="21"/>
                <w14:textFill>
                  <w14:solidFill>
                    <w14:schemeClr w14:val="tx1"/>
                  </w14:solidFill>
                </w14:textFill>
              </w:rPr>
              <w:t>不少于6年</w:t>
            </w:r>
            <w:r>
              <w:rPr>
                <w:rFonts w:hint="eastAsia" w:ascii="宋体" w:hAnsi="宋体" w:eastAsia="宋体" w:cs="宋体"/>
                <w:sz w:val="21"/>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7461" w:type="dxa"/>
            <w:tcBorders>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货物生产日期（以产品标签、标识为准）：货物到达买方机房之日</w:t>
            </w:r>
            <w:r>
              <w:rPr>
                <w:rFonts w:hint="eastAsia" w:ascii="宋体" w:hAnsi="宋体" w:eastAsia="宋体" w:cs="宋体"/>
                <w:sz w:val="21"/>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7461" w:type="dxa"/>
            <w:tcBorders>
              <w:right w:val="single" w:color="auto" w:sz="4" w:space="0"/>
            </w:tcBorders>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2.1</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设备验收合格后免费保修：</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年</w:t>
            </w:r>
            <w:r>
              <w:rPr>
                <w:rFonts w:hint="eastAsia" w:ascii="宋体" w:hAnsi="宋体" w:eastAsia="宋体" w:cs="宋体"/>
                <w:sz w:val="21"/>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保修期内，维修响应时间</w:t>
            </w:r>
            <w:r>
              <w:rPr>
                <w:rFonts w:hint="eastAsia" w:ascii="宋体" w:hAnsi="宋体" w:eastAsia="宋体" w:cs="宋体"/>
                <w:sz w:val="21"/>
                <w:szCs w:val="21"/>
                <w:u w:val="single"/>
              </w:rPr>
              <w:t>＜12小时</w:t>
            </w:r>
            <w:r>
              <w:rPr>
                <w:rFonts w:hint="eastAsia" w:ascii="宋体" w:hAnsi="宋体" w:eastAsia="宋体" w:cs="宋体"/>
                <w:sz w:val="21"/>
                <w:szCs w:val="21"/>
              </w:rPr>
              <w:t>，</w:t>
            </w:r>
            <w:r>
              <w:rPr>
                <w:rFonts w:hint="eastAsia" w:ascii="宋体" w:hAnsi="宋体" w:eastAsia="宋体" w:cs="宋体"/>
                <w:sz w:val="21"/>
                <w:szCs w:val="21"/>
                <w:u w:val="single"/>
              </w:rPr>
              <w:t>12工作小时</w:t>
            </w:r>
            <w:r>
              <w:rPr>
                <w:rFonts w:hint="eastAsia" w:ascii="宋体" w:hAnsi="宋体" w:eastAsia="宋体" w:cs="宋体"/>
                <w:sz w:val="21"/>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保修期内开机率</w:t>
            </w:r>
            <w:r>
              <w:rPr>
                <w:rFonts w:hint="eastAsia" w:ascii="宋体" w:hAnsi="宋体" w:eastAsia="宋体" w:cs="宋体"/>
                <w:sz w:val="21"/>
                <w:szCs w:val="21"/>
                <w:u w:val="single"/>
              </w:rPr>
              <w:t>≥95%</w:t>
            </w:r>
            <w:r>
              <w:rPr>
                <w:rFonts w:hint="eastAsia" w:ascii="宋体" w:hAnsi="宋体" w:eastAsia="宋体" w:cs="宋体"/>
                <w:sz w:val="21"/>
                <w:szCs w:val="21"/>
              </w:rPr>
              <w:t>，若设备未达到以上开机率保证，则停机每超过一天则延长</w:t>
            </w:r>
            <w:r>
              <w:rPr>
                <w:rFonts w:hint="eastAsia" w:ascii="宋体" w:hAnsi="宋体" w:eastAsia="宋体" w:cs="宋体"/>
                <w:sz w:val="21"/>
                <w:szCs w:val="21"/>
                <w:u w:val="single"/>
              </w:rPr>
              <w:t>十天</w:t>
            </w:r>
            <w:r>
              <w:rPr>
                <w:rFonts w:hint="eastAsia" w:ascii="宋体" w:hAnsi="宋体" w:eastAsia="宋体" w:cs="宋体"/>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7461" w:type="dxa"/>
            <w:vAlign w:val="center"/>
          </w:tcPr>
          <w:p>
            <w:pPr>
              <w:spacing w:line="380" w:lineRule="exact"/>
              <w:rPr>
                <w:rFonts w:hint="eastAsia" w:ascii="宋体" w:hAnsi="宋体" w:eastAsia="宋体" w:cs="宋体"/>
                <w:b/>
                <w:color w:val="000000"/>
                <w:sz w:val="21"/>
                <w:szCs w:val="21"/>
              </w:rPr>
            </w:pPr>
            <w:r>
              <w:rPr>
                <w:rFonts w:hint="eastAsia" w:ascii="宋体" w:hAnsi="宋体" w:eastAsia="宋体" w:cs="宋体"/>
                <w:sz w:val="21"/>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在整个设备使用期内，卖方应确保设备的正常使用，在接到用户维修要求后应立即作出回应，通过电话联系无法解决的，须</w:t>
            </w:r>
            <w:r>
              <w:rPr>
                <w:rFonts w:hint="eastAsia" w:ascii="宋体" w:hAnsi="宋体" w:eastAsia="宋体" w:cs="宋体"/>
                <w:sz w:val="21"/>
                <w:szCs w:val="21"/>
                <w:u w:val="single"/>
              </w:rPr>
              <w:t>24小时内</w:t>
            </w:r>
            <w:r>
              <w:rPr>
                <w:rFonts w:hint="eastAsia" w:ascii="宋体" w:hAnsi="宋体" w:eastAsia="宋体" w:cs="宋体"/>
                <w:sz w:val="21"/>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保证易耗品及零配件供应</w:t>
            </w:r>
            <w:r>
              <w:rPr>
                <w:rFonts w:hint="eastAsia" w:ascii="宋体" w:hAnsi="宋体" w:eastAsia="宋体" w:cs="宋体"/>
                <w:color w:val="000000" w:themeColor="text1"/>
                <w:sz w:val="21"/>
                <w:szCs w:val="21"/>
                <w:u w:val="single"/>
                <w14:textFill>
                  <w14:solidFill>
                    <w14:schemeClr w14:val="tx1"/>
                  </w14:solidFill>
                </w14:textFill>
              </w:rPr>
              <w:t>6年</w:t>
            </w:r>
            <w:r>
              <w:rPr>
                <w:rFonts w:hint="eastAsia" w:ascii="宋体" w:hAnsi="宋体" w:eastAsia="宋体" w:cs="宋体"/>
                <w:color w:val="000000" w:themeColor="text1"/>
                <w:sz w:val="21"/>
                <w:szCs w:val="21"/>
                <w14:textFill>
                  <w14:solidFill>
                    <w14:schemeClr w14:val="tx1"/>
                  </w14:solidFill>
                </w14:textFill>
              </w:rPr>
              <w:t>以上</w:t>
            </w:r>
            <w:r>
              <w:rPr>
                <w:rFonts w:hint="eastAsia" w:ascii="宋体" w:hAnsi="宋体" w:eastAsia="宋体" w:cs="宋体"/>
                <w:sz w:val="21"/>
                <w:szCs w:val="21"/>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4</w:t>
            </w:r>
          </w:p>
        </w:tc>
        <w:tc>
          <w:tcPr>
            <w:tcW w:w="7461" w:type="dxa"/>
            <w:vAlign w:val="center"/>
          </w:tcPr>
          <w:p>
            <w:pPr>
              <w:snapToGrid w:val="0"/>
              <w:rPr>
                <w:rFonts w:hint="eastAsia" w:ascii="宋体" w:hAnsi="宋体" w:eastAsia="宋体" w:cs="宋体"/>
                <w:b/>
                <w:sz w:val="21"/>
                <w:szCs w:val="21"/>
              </w:rPr>
            </w:pPr>
            <w:r>
              <w:rPr>
                <w:rFonts w:hint="eastAsia" w:ascii="宋体" w:hAnsi="宋体" w:eastAsia="宋体" w:cs="宋体"/>
                <w:b/>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交货时间：合同签订后，接到甲方通知后</w:t>
            </w:r>
            <w:r>
              <w:rPr>
                <w:rFonts w:hint="eastAsia" w:ascii="宋体" w:hAnsi="宋体" w:eastAsia="宋体" w:cs="宋体"/>
                <w:sz w:val="21"/>
                <w:szCs w:val="21"/>
                <w:u w:val="single"/>
              </w:rPr>
              <w:t>90天内</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安装地点：</w:t>
            </w:r>
            <w:r>
              <w:rPr>
                <w:rFonts w:hint="eastAsia" w:ascii="宋体" w:hAnsi="宋体" w:eastAsia="宋体" w:cs="宋体"/>
                <w:sz w:val="21"/>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卖方须对买方现场进行查勘，在合同签定后</w:t>
            </w:r>
            <w:r>
              <w:rPr>
                <w:rFonts w:hint="eastAsia" w:ascii="宋体" w:hAnsi="宋体" w:eastAsia="宋体" w:cs="宋体"/>
                <w:bCs/>
                <w:sz w:val="21"/>
                <w:szCs w:val="21"/>
                <w:u w:val="single"/>
              </w:rPr>
              <w:t>10个工作日</w:t>
            </w:r>
            <w:r>
              <w:rPr>
                <w:rFonts w:hint="eastAsia" w:ascii="宋体" w:hAnsi="宋体" w:eastAsia="宋体" w:cs="宋体"/>
                <w:bCs/>
                <w:sz w:val="21"/>
                <w:szCs w:val="21"/>
              </w:rPr>
              <w:t>内书面提供买方认可的运输方案及安装方案</w:t>
            </w:r>
            <w:r>
              <w:rPr>
                <w:rFonts w:hint="eastAsia" w:ascii="宋体" w:hAnsi="宋体" w:eastAsia="宋体" w:cs="宋体"/>
                <w:bCs/>
                <w:sz w:val="21"/>
                <w:szCs w:val="21"/>
                <w:u w:val="single"/>
              </w:rPr>
              <w:t>（按需提供）</w:t>
            </w:r>
            <w:r>
              <w:rPr>
                <w:rFonts w:hint="eastAsia" w:ascii="宋体" w:hAnsi="宋体" w:eastAsia="宋体" w:cs="宋体"/>
                <w:bCs/>
                <w:sz w:val="21"/>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安装完成时间：卖方在货物到货后</w:t>
            </w:r>
            <w:r>
              <w:rPr>
                <w:rFonts w:hint="eastAsia" w:ascii="宋体" w:hAnsi="宋体" w:eastAsia="宋体" w:cs="宋体"/>
                <w:sz w:val="21"/>
                <w:szCs w:val="21"/>
                <w:u w:val="single"/>
              </w:rPr>
              <w:t>20个工作日内</w:t>
            </w:r>
            <w:r>
              <w:rPr>
                <w:rFonts w:hint="eastAsia" w:ascii="宋体" w:hAnsi="宋体" w:eastAsia="宋体" w:cs="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6</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验收</w:t>
            </w:r>
            <w:r>
              <w:rPr>
                <w:rFonts w:hint="eastAsia" w:ascii="宋体" w:hAnsi="宋体" w:eastAsia="宋体" w:cs="宋体"/>
                <w:b/>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验收过程中发现货物性能或功能达不到要求，卖方必须更换有关部件，使货物最终达到规定的性能指标和功能要求，但必须在发现问题后</w:t>
            </w:r>
            <w:r>
              <w:rPr>
                <w:rFonts w:hint="eastAsia" w:ascii="宋体" w:hAnsi="宋体" w:eastAsia="宋体" w:cs="宋体"/>
                <w:sz w:val="21"/>
                <w:szCs w:val="21"/>
                <w:u w:val="single"/>
              </w:rPr>
              <w:t>15个工作日</w:t>
            </w:r>
            <w:r>
              <w:rPr>
                <w:rFonts w:hint="eastAsia" w:ascii="宋体" w:hAnsi="宋体" w:eastAsia="宋体" w:cs="宋体"/>
                <w:sz w:val="21"/>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7</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培训</w:t>
            </w:r>
            <w:r>
              <w:rPr>
                <w:rFonts w:hint="eastAsia" w:ascii="宋体" w:hAnsi="宋体" w:eastAsia="宋体" w:cs="宋体"/>
                <w:b/>
                <w:sz w:val="21"/>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操作应用培训：卖方负责在医院现场提供累计不少于</w:t>
            </w:r>
            <w:r>
              <w:rPr>
                <w:rFonts w:hint="eastAsia" w:ascii="宋体" w:hAnsi="宋体" w:eastAsia="宋体" w:cs="宋体"/>
                <w:sz w:val="21"/>
                <w:szCs w:val="21"/>
                <w:u w:val="single"/>
              </w:rPr>
              <w:t>5个工作日</w:t>
            </w:r>
            <w:r>
              <w:rPr>
                <w:rFonts w:hint="eastAsia" w:ascii="宋体" w:hAnsi="宋体" w:eastAsia="宋体" w:cs="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7.4</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8</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kern w:val="0"/>
                <w:sz w:val="21"/>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7461" w:type="dxa"/>
            <w:vAlign w:val="center"/>
          </w:tcPr>
          <w:p>
            <w:pPr>
              <w:spacing w:line="380" w:lineRule="exact"/>
              <w:rPr>
                <w:rFonts w:hint="eastAsia" w:ascii="宋体" w:hAnsi="宋体" w:eastAsia="宋体" w:cs="宋体"/>
                <w:kern w:val="0"/>
                <w:sz w:val="21"/>
                <w:szCs w:val="21"/>
              </w:rPr>
            </w:pPr>
            <w:r>
              <w:rPr>
                <w:rFonts w:hint="eastAsia" w:ascii="宋体" w:hAnsi="宋体" w:eastAsia="宋体" w:cs="宋体"/>
                <w:sz w:val="21"/>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9</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509"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4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9.2</w:t>
            </w:r>
          </w:p>
        </w:tc>
        <w:tc>
          <w:tcPr>
            <w:tcW w:w="7461" w:type="dxa"/>
            <w:vAlign w:val="center"/>
          </w:tcPr>
          <w:p>
            <w:pPr>
              <w:spacing w:line="380" w:lineRule="exact"/>
              <w:rPr>
                <w:rFonts w:hint="eastAsia" w:ascii="宋体" w:hAnsi="宋体" w:eastAsia="宋体" w:cs="宋体"/>
                <w:bCs/>
                <w:sz w:val="21"/>
                <w:szCs w:val="21"/>
              </w:rPr>
            </w:pPr>
            <w:r>
              <w:rPr>
                <w:rFonts w:hint="eastAsia" w:ascii="宋体" w:hAnsi="宋体" w:eastAsia="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266"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10</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kern w:val="0"/>
                <w:sz w:val="21"/>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521"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10.1</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2、合同生效且项目具备实施条件后，采购人支付合同金额的40%作为预付款；货物安装验收合格后付清余款。（适用中小企业投标）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4"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sz w:val="21"/>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11</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16"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11.1</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71"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采购文件中未提及的某些属标配的功能、软件，必须无条件提供。</w:t>
            </w:r>
          </w:p>
        </w:tc>
      </w:tr>
    </w:tbl>
    <w:p>
      <w:pPr>
        <w:spacing w:line="360" w:lineRule="auto"/>
        <w:rPr>
          <w:rFonts w:hint="eastAsia" w:ascii="Calibri" w:hAnsi="Calibri"/>
          <w:b/>
          <w:color w:val="auto"/>
          <w:sz w:val="24"/>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一、采购内容：</w:t>
      </w:r>
      <w:r>
        <w:rPr>
          <w:rFonts w:hint="eastAsia" w:ascii="宋体" w:hAnsi="宋体" w:cs="宋体"/>
          <w:b/>
          <w:color w:val="auto"/>
          <w:sz w:val="21"/>
          <w:szCs w:val="21"/>
          <w:highlight w:val="none"/>
          <w:lang w:val="en-US" w:eastAsia="zh-CN"/>
        </w:rPr>
        <w:t>(不专门面向中小企业）</w:t>
      </w:r>
    </w:p>
    <w:tbl>
      <w:tblPr>
        <w:tblStyle w:val="66"/>
        <w:tblW w:w="86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2016"/>
        <w:gridCol w:w="2494"/>
        <w:gridCol w:w="1853"/>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03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标项号</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采购内容</w:t>
            </w: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单位及数量</w:t>
            </w:r>
          </w:p>
        </w:tc>
        <w:tc>
          <w:tcPr>
            <w:tcW w:w="18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宋体" w:hAnsi="宋体" w:eastAsia="宋体" w:cs="宋体"/>
                <w:color w:val="auto"/>
                <w:spacing w:val="-4"/>
                <w:sz w:val="21"/>
                <w:szCs w:val="21"/>
                <w:highlight w:val="none"/>
              </w:rPr>
            </w:pP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（万元）</w:t>
            </w: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36" w:type="dxa"/>
            <w:vMerge w:val="restart"/>
            <w:tcBorders>
              <w:top w:val="single" w:color="auto" w:sz="4" w:space="0"/>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rPr>
            </w:pPr>
          </w:p>
          <w:p>
            <w:pPr>
              <w:pStyle w:val="335"/>
              <w:ind w:firstLine="0" w:firstLineChars="0"/>
              <w:jc w:val="center"/>
              <w:rPr>
                <w:rFonts w:hint="eastAsia" w:ascii="宋体" w:hAnsi="宋体" w:eastAsia="宋体" w:cs="宋体"/>
                <w:color w:val="auto"/>
                <w:sz w:val="21"/>
                <w:szCs w:val="21"/>
                <w:highlight w:val="none"/>
              </w:rPr>
            </w:pPr>
          </w:p>
          <w:p>
            <w:pPr>
              <w:pStyle w:val="335"/>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pPr>
              <w:pStyle w:val="335"/>
              <w:rPr>
                <w:rFonts w:hint="eastAsia" w:ascii="宋体" w:hAnsi="宋体" w:eastAsia="宋体" w:cs="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暨南分院</w:t>
            </w:r>
            <w:r>
              <w:rPr>
                <w:rFonts w:hint="eastAsia" w:ascii="宋体" w:hAnsi="宋体" w:eastAsia="宋体" w:cs="宋体"/>
                <w:bCs/>
                <w:color w:val="auto"/>
                <w:sz w:val="21"/>
                <w:szCs w:val="21"/>
                <w:highlight w:val="none"/>
              </w:rPr>
              <w:t>除颤仪</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15台</w:t>
            </w:r>
          </w:p>
        </w:tc>
        <w:tc>
          <w:tcPr>
            <w:tcW w:w="1853" w:type="dxa"/>
            <w:tcBorders>
              <w:top w:val="single" w:color="auto" w:sz="4" w:space="0"/>
              <w:left w:val="single" w:color="auto" w:sz="4" w:space="0"/>
              <w:bottom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52.5</w:t>
            </w:r>
          </w:p>
        </w:tc>
        <w:tc>
          <w:tcPr>
            <w:tcW w:w="1299" w:type="dxa"/>
            <w:vMerge w:val="restart"/>
            <w:tcBorders>
              <w:top w:val="single" w:color="auto" w:sz="4" w:space="0"/>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p>
          <w:p>
            <w:pPr>
              <w:pStyle w:val="3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36"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暨南分院感染科中央监护系统</w:t>
            </w:r>
          </w:p>
        </w:tc>
        <w:tc>
          <w:tcPr>
            <w:tcW w:w="2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7套</w:t>
            </w:r>
          </w:p>
        </w:tc>
        <w:tc>
          <w:tcPr>
            <w:tcW w:w="1853" w:type="dxa"/>
            <w:tcBorders>
              <w:top w:val="single" w:color="auto" w:sz="4" w:space="0"/>
              <w:left w:val="single" w:color="auto" w:sz="4" w:space="0"/>
              <w:bottom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hAnsi="宋体" w:eastAsia="宋体" w:cs="宋体"/>
                <w:color w:val="auto"/>
                <w:sz w:val="21"/>
                <w:szCs w:val="21"/>
                <w:highlight w:val="none"/>
                <w:u w:val="single"/>
                <w:lang w:val="en-US" w:eastAsia="zh-CN"/>
              </w:rPr>
              <w:t>49</w:t>
            </w:r>
            <w:r>
              <w:rPr>
                <w:rFonts w:hint="eastAsia" w:ascii="宋体" w:hAnsi="宋体" w:eastAsia="宋体" w:cs="宋体"/>
                <w:color w:val="auto"/>
                <w:sz w:val="21"/>
                <w:szCs w:val="21"/>
                <w:highlight w:val="none"/>
                <w:u w:val="single"/>
              </w:rPr>
              <w:t>.5</w:t>
            </w:r>
          </w:p>
        </w:tc>
        <w:tc>
          <w:tcPr>
            <w:tcW w:w="1299"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36"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总院急诊中央监护系统</w:t>
            </w:r>
          </w:p>
        </w:tc>
        <w:tc>
          <w:tcPr>
            <w:tcW w:w="24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5"/>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55</w:t>
            </w:r>
          </w:p>
        </w:tc>
        <w:tc>
          <w:tcPr>
            <w:tcW w:w="1299"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036"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暨南分院急诊中央监护系统</w:t>
            </w:r>
          </w:p>
        </w:tc>
        <w:tc>
          <w:tcPr>
            <w:tcW w:w="24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5"/>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55</w:t>
            </w:r>
          </w:p>
        </w:tc>
        <w:tc>
          <w:tcPr>
            <w:tcW w:w="1299" w:type="dxa"/>
            <w:vMerge w:val="continue"/>
            <w:tcBorders>
              <w:left w:val="single" w:color="auto" w:sz="4" w:space="0"/>
              <w:right w:val="single" w:color="auto" w:sz="4" w:space="0"/>
            </w:tcBorders>
            <w:vAlign w:val="center"/>
          </w:tcPr>
          <w:p>
            <w:pPr>
              <w:pStyle w:val="335"/>
              <w:rPr>
                <w:rFonts w:hint="eastAsia" w:ascii="宋体" w:hAnsi="宋体" w:eastAsia="宋体" w:cs="宋体"/>
                <w:color w:val="auto"/>
                <w:sz w:val="21"/>
                <w:szCs w:val="21"/>
                <w:highlight w:val="none"/>
                <w:u w:val="single"/>
              </w:rPr>
            </w:pPr>
          </w:p>
        </w:tc>
      </w:tr>
    </w:tbl>
    <w:p>
      <w:pPr>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二、技术参数要求</w:t>
      </w:r>
    </w:p>
    <w:tbl>
      <w:tblPr>
        <w:tblStyle w:val="66"/>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4"/>
        <w:gridCol w:w="75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44"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47" w:type="dxa"/>
            <w:tcBorders>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91" w:type="dxa"/>
            <w:gridSpan w:val="2"/>
            <w:tcBorders>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设备一、</w:t>
            </w:r>
            <w:r>
              <w:rPr>
                <w:rFonts w:hint="eastAsia" w:ascii="宋体" w:hAnsi="宋体" w:cs="宋体"/>
                <w:b/>
                <w:bCs/>
                <w:color w:val="auto"/>
                <w:sz w:val="21"/>
                <w:szCs w:val="21"/>
                <w:highlight w:val="none"/>
                <w:lang w:eastAsia="zh-CN"/>
              </w:rPr>
              <w:t>暨南分院</w:t>
            </w:r>
            <w:r>
              <w:rPr>
                <w:rFonts w:hint="eastAsia" w:ascii="宋体" w:hAnsi="宋体" w:eastAsia="宋体" w:cs="宋体"/>
                <w:b/>
                <w:bCs/>
                <w:color w:val="auto"/>
                <w:sz w:val="21"/>
                <w:szCs w:val="21"/>
                <w:highlight w:val="none"/>
              </w:rPr>
              <w:t>除颤仪 15台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afterLines="17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47" w:type="dxa"/>
            <w:tcBorders>
              <w:right w:val="single" w:color="auto" w:sz="4" w:space="0"/>
            </w:tcBorders>
            <w:vAlign w:val="center"/>
          </w:tcPr>
          <w:p>
            <w:pPr>
              <w:widowControl/>
              <w:spacing w:line="4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具备手动除颤、心电监护功能，可选自动体外除颤（AED）功能。</w:t>
            </w:r>
            <w:r>
              <w:rPr>
                <w:rFonts w:hint="eastAsia" w:ascii="宋体" w:hAnsi="宋体" w:cs="宋体"/>
                <w:color w:val="auto"/>
                <w:kern w:val="0"/>
                <w:sz w:val="21"/>
                <w:szCs w:val="21"/>
                <w:highlight w:val="none"/>
                <w:lang w:eastAsia="zh-CN"/>
              </w:rPr>
              <w:t>为</w:t>
            </w:r>
            <w:r>
              <w:rPr>
                <w:rFonts w:hint="eastAsia" w:ascii="宋体" w:hAnsi="宋体" w:eastAsia="宋体" w:cs="宋体"/>
                <w:b/>
                <w:bCs/>
                <w:color w:val="auto"/>
                <w:sz w:val="21"/>
                <w:szCs w:val="21"/>
                <w:lang w:val="en-US" w:eastAsia="zh-CN"/>
              </w:rPr>
              <w:t>双向波</w:t>
            </w:r>
            <w:r>
              <w:rPr>
                <w:rFonts w:hint="eastAsia" w:ascii="宋体" w:hAnsi="宋体" w:cs="宋体"/>
                <w:b/>
                <w:bCs/>
                <w:color w:val="auto"/>
                <w:sz w:val="21"/>
                <w:szCs w:val="21"/>
                <w:lang w:val="en-US" w:eastAsia="zh-CN"/>
              </w:rPr>
              <w:t>除颤</w:t>
            </w:r>
            <w:r>
              <w:rPr>
                <w:rFonts w:hint="eastAsia" w:ascii="宋体" w:hAnsi="宋体" w:eastAsia="宋体" w:cs="宋体"/>
                <w:color w:val="auto"/>
                <w:kern w:val="0"/>
                <w:sz w:val="21"/>
                <w:szCs w:val="21"/>
                <w:highlight w:val="none"/>
              </w:rPr>
              <w:t>除颤</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具备自动阻抗补偿功能；可选配升级体外起搏功能，起搏分为固定和按需两种模式。具备降速起搏功能。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47" w:type="dxa"/>
            <w:tcBorders>
              <w:right w:val="single" w:color="auto" w:sz="4" w:space="0"/>
            </w:tcBorders>
            <w:vAlign w:val="center"/>
          </w:tcPr>
          <w:p>
            <w:pPr>
              <w:widowControl/>
              <w:spacing w:line="480" w:lineRule="exact"/>
              <w:jc w:val="left"/>
              <w:rPr>
                <w:rStyle w:val="1016"/>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同步除颤和手动除颤中，能量分25档以上，可通过体外电极板进行能量选择最小为1J，最大为360J。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可升级AED除颤功能，电击能量：100～360J。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除颤充电迅速，充电至200J&lt;3s，充电至360J&lt;7s。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体外除颤电极板手柄支持充电、放电、能量选择，具备充电完成指示灯。成人、小儿一体化电极板。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47" w:type="dxa"/>
            <w:tcBorders>
              <w:right w:val="single" w:color="auto" w:sz="4" w:space="0"/>
            </w:tcBorders>
            <w:shd w:val="clear" w:color="auto" w:fill="auto"/>
            <w:vAlign w:val="center"/>
          </w:tcPr>
          <w:p>
            <w:pPr>
              <w:pStyle w:val="258"/>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病人阻抗范围：体外除颤：20~250Ω；体内除颤：15-250Ω。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监护功能：可选配升级SpO2、体温、NIBP、EtCO2监测功能。具有≥27种心律失常分析。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支持3/5/6/12导和自动导联心电监测。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配备1块电池，最大可支持360J除颤210次，电池体上带有五段LED 电池电量指示装置，用于快速评估电池电量。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具备生理报警和技术报警功能，并且具有双报警灯，分别显示生理报警和技术报警。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彩色TFT显示屏≥7英寸, 分辨率800×480，可显示≥4道监护参数波形，有高对比度显示界面。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47" w:type="dxa"/>
            <w:tcBorders>
              <w:right w:val="single" w:color="auto" w:sz="4" w:space="0"/>
            </w:tcBorders>
            <w:shd w:val="clear" w:color="auto" w:fill="auto"/>
            <w:vAlign w:val="center"/>
          </w:tcPr>
          <w:p>
            <w:pPr>
              <w:pStyle w:val="281"/>
              <w:widowControl/>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体外除颤监护仪</w:t>
            </w:r>
            <w:r>
              <w:rPr>
                <w:rFonts w:hint="eastAsia" w:ascii="宋体" w:hAnsi="宋体" w:eastAsia="宋体" w:cs="宋体"/>
                <w:color w:val="auto"/>
                <w:kern w:val="0"/>
                <w:sz w:val="21"/>
                <w:szCs w:val="21"/>
                <w:highlight w:val="none"/>
              </w:rPr>
              <w:t>配置50mm记录仪，实时记录时间有3秒、5秒、8秒、16秒、32秒、连续可供选择。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主机具备录音功能，最大支持≥240min录音存储。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关机状态下设备可自动运行自检，支持大能量自检（不低于200J）、屏幕、按键检测。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符合欧盟救护车标准EN1789:2007，防护等级IP55。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充电从0%至100%≤3小时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91" w:type="dxa"/>
            <w:gridSpan w:val="2"/>
            <w:tcBorders>
              <w:right w:val="single" w:color="auto" w:sz="4" w:space="0"/>
            </w:tcBorders>
            <w:shd w:val="clear" w:color="auto" w:fill="auto"/>
            <w:vAlign w:val="top"/>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设备二、</w:t>
            </w:r>
            <w:r>
              <w:rPr>
                <w:rFonts w:hint="eastAsia" w:ascii="宋体" w:hAnsi="宋体" w:eastAsia="宋体" w:cs="宋体"/>
                <w:bCs/>
                <w:color w:val="auto"/>
                <w:sz w:val="21"/>
                <w:szCs w:val="21"/>
                <w:highlight w:val="none"/>
              </w:rPr>
              <w:t>暨南分院</w:t>
            </w:r>
            <w:r>
              <w:rPr>
                <w:rFonts w:hint="eastAsia" w:ascii="宋体" w:hAnsi="宋体" w:eastAsia="宋体" w:cs="宋体"/>
                <w:b/>
                <w:bCs/>
                <w:color w:val="auto"/>
                <w:kern w:val="0"/>
                <w:sz w:val="21"/>
                <w:szCs w:val="21"/>
                <w:highlight w:val="none"/>
              </w:rPr>
              <w:t xml:space="preserve">感染科中央监护系统7套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含中央监护系统7套，普通监护仪45台，插件式监护仪3台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中央监护系统</w:t>
            </w:r>
            <w:r>
              <w:rPr>
                <w:rFonts w:hint="eastAsia" w:ascii="宋体" w:hAnsi="宋体" w:eastAsia="宋体" w:cs="宋体"/>
                <w:color w:val="auto"/>
                <w:kern w:val="0"/>
                <w:sz w:val="21"/>
                <w:szCs w:val="21"/>
                <w:highlight w:val="none"/>
                <w:lang w:val="en-US" w:eastAsia="zh-CN"/>
              </w:rPr>
              <w:t>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中央监护系统可支持包括：心电（ECG），呼吸（RESP），无创血压（NIBP）,血氧(S</w:t>
            </w:r>
            <w:r>
              <w:rPr>
                <w:rFonts w:hint="eastAsia" w:ascii="宋体" w:hAnsi="宋体" w:cs="宋体"/>
                <w:color w:val="auto"/>
                <w:kern w:val="0"/>
                <w:sz w:val="21"/>
                <w:szCs w:val="21"/>
                <w:highlight w:val="none"/>
                <w:lang w:val="en-US" w:eastAsia="zh-CN"/>
              </w:rPr>
              <w:t>P</w:t>
            </w:r>
            <w:r>
              <w:rPr>
                <w:rFonts w:hint="eastAsia" w:ascii="宋体" w:hAnsi="宋体" w:eastAsia="宋体" w:cs="宋体"/>
                <w:color w:val="auto"/>
                <w:kern w:val="0"/>
                <w:sz w:val="21"/>
                <w:szCs w:val="21"/>
                <w:highlight w:val="none"/>
              </w:rPr>
              <w:t>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),脉率(PR)，体温(TEMP)，有创血压(IBP)，呼末二氧化碳（ETCO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），麻醉气体（AG）,无创心排（ICG），有创心输出量（C.O.），麻醉深度（BIS）、胎心率（FHR）、胎动（FM）、宫缩压（TOCO）</w:t>
            </w:r>
            <w:r>
              <w:rPr>
                <w:rFonts w:hint="eastAsia" w:ascii="宋体" w:hAnsi="宋体" w:eastAsia="宋体" w:cs="宋体"/>
                <w:color w:val="auto"/>
                <w:sz w:val="21"/>
                <w:szCs w:val="21"/>
                <w:highlight w:val="none"/>
              </w:rPr>
              <w:t>等参数的显示和数据</w:t>
            </w:r>
            <w:r>
              <w:rPr>
                <w:rFonts w:hint="eastAsia" w:ascii="宋体" w:hAnsi="宋体" w:eastAsia="宋体" w:cs="宋体"/>
                <w:color w:val="auto"/>
                <w:kern w:val="0"/>
                <w:sz w:val="21"/>
                <w:szCs w:val="21"/>
                <w:highlight w:val="none"/>
              </w:rPr>
              <w:t>存储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多屏显示</w:t>
            </w:r>
            <w:r>
              <w:rPr>
                <w:rFonts w:hint="eastAsia" w:ascii="宋体" w:hAnsi="宋体" w:eastAsia="宋体" w:cs="宋体"/>
                <w:color w:val="auto"/>
                <w:spacing w:val="-43"/>
                <w:kern w:val="0"/>
                <w:sz w:val="21"/>
                <w:szCs w:val="21"/>
                <w:highlight w:val="none"/>
              </w:rPr>
              <w:t>：</w:t>
            </w:r>
            <w:r>
              <w:rPr>
                <w:rFonts w:hint="eastAsia" w:ascii="宋体" w:hAnsi="宋体" w:eastAsia="宋体" w:cs="宋体"/>
                <w:color w:val="auto"/>
                <w:kern w:val="0"/>
                <w:sz w:val="21"/>
                <w:szCs w:val="21"/>
                <w:highlight w:val="none"/>
              </w:rPr>
              <w:t>单屏</w:t>
            </w:r>
            <w:r>
              <w:rPr>
                <w:rFonts w:hint="eastAsia" w:ascii="宋体" w:hAnsi="宋体" w:eastAsia="宋体" w:cs="宋体"/>
                <w:color w:val="auto"/>
                <w:spacing w:val="-43"/>
                <w:kern w:val="0"/>
                <w:sz w:val="21"/>
                <w:szCs w:val="21"/>
                <w:highlight w:val="none"/>
              </w:rPr>
              <w:t>、</w:t>
            </w:r>
            <w:r>
              <w:rPr>
                <w:rFonts w:hint="eastAsia" w:ascii="宋体" w:hAnsi="宋体" w:eastAsia="宋体" w:cs="宋体"/>
                <w:color w:val="auto"/>
                <w:kern w:val="0"/>
                <w:sz w:val="21"/>
                <w:szCs w:val="21"/>
                <w:highlight w:val="none"/>
              </w:rPr>
              <w:t>双屏可选，最多可支持四屏显示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一套</w:t>
            </w:r>
            <w:r>
              <w:rPr>
                <w:rFonts w:hint="eastAsia" w:ascii="宋体" w:hAnsi="宋体" w:eastAsia="宋体" w:cs="宋体"/>
                <w:color w:val="auto"/>
                <w:kern w:val="0"/>
                <w:sz w:val="21"/>
                <w:szCs w:val="21"/>
                <w:highlight w:val="none"/>
              </w:rPr>
              <w:t>中央监护系统最多可同时连接128床，</w:t>
            </w:r>
            <w:r>
              <w:rPr>
                <w:rFonts w:hint="eastAsia" w:ascii="宋体" w:hAnsi="宋体" w:eastAsia="宋体" w:cs="宋体"/>
                <w:color w:val="auto"/>
                <w:sz w:val="21"/>
                <w:szCs w:val="21"/>
                <w:highlight w:val="none"/>
              </w:rPr>
              <w:t>满足科室不同病床数量的集中监护需要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中央监护系统与床旁机双向遥控，可实现病人信息、血压参数、心电参数以及参数报警范围等设置的双向控制，使操作更省时、更有效、更方便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可显示床旁机的所有报警功能，并可根据报警优先级进行提示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具有病人管理功能，支持查询、编辑、删除操作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支持多条件查询，可通过病历号、病人姓名等信息进行查询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支持HL7协议，支持连接医院HIS等临床系统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液晶显示屏≥21英寸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海量数据存储，</w:t>
            </w:r>
            <w:r>
              <w:rPr>
                <w:rFonts w:hint="eastAsia" w:ascii="宋体" w:hAnsi="宋体" w:eastAsia="宋体" w:cs="宋体"/>
                <w:color w:val="auto"/>
                <w:kern w:val="0"/>
                <w:sz w:val="21"/>
                <w:szCs w:val="21"/>
                <w:highlight w:val="none"/>
              </w:rPr>
              <w:t>支持20,000 个历史病人监护数据的存储与回顾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配置≥50寸显示屏查看站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普通监护仪技术参数：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≥10英寸彩色LED背光液晶屏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主机集成附件收纳槽，方便附件进行收纳放置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可监测心电、血氧、脉博、无创血压、呼吸、体温等参数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共模抑制能力≥106db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≥27种心律失常分析，包括房颤、室颤、停搏、SVCs/min等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具有ST段分析和ST View功能，可实时监测ST段，评估心肌缺血情况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具有QT/QTc测量功能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血氧测量范围：0%-100%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血压测量模式：手动、自动、序列、整点和连续测量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具备心拍类型识别功能，可区分正常心拍、异常心拍、起搏心拍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具有双通道体温监测，可提供体温差值显示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支持体表和腔内两种体温探头类型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具有心电抗干扰能力，耐极化电压：±800mV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具有血压动态分析监测界面，可查看测量时间段的收缩压和舒张压的正常数据、低于正常数据以及高于正常数据的百分率，收缩压和舒张压的平均值、最大值和最小值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支持计时器功能，可以同时显示最多4个计时器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标配锂电池工作时间≥4小时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支持所有监测参数报警限一键自动设置功能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支持不小于2400小时趋势图/表、3500组NIBP列表、2500组报警事件、72小时全息波形、48小时心律失常数据的存储和回顾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插件式监护仪技术参数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p>
        </w:tc>
        <w:tc>
          <w:tcPr>
            <w:tcW w:w="7547" w:type="dxa"/>
            <w:tcBorders>
              <w:right w:val="single" w:color="auto" w:sz="4" w:space="0"/>
            </w:tcBorders>
            <w:shd w:val="clear" w:color="auto" w:fill="auto"/>
            <w:vAlign w:val="center"/>
          </w:tcPr>
          <w:p>
            <w:pPr>
              <w:pStyle w:val="2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插件式监护仪，主机内置≥2槽位插件槽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≥10英寸彩色液晶电容触摸屏，分辨率为1280×800像素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具有光传感器，根据环境光自动调节屏幕亮度功能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具有单独的电池仓，免螺丝刀拆卸更换电池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可监测心电、血氧、脉博、无创血压、呼吸、体温等基础参数，可升级Masimo/Nellcor SPO2、IBP、ETCO2、C.O.、AG、ICG、麻醉深度等参数模块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标配3导心电，支持升级5/12导心电，具有智能导联脱落，多导同步分析功能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≥27种心律失常分析，包括房颤、室颤、停搏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具有心率变异性分析功能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支持升级12导静息心电分析，适用于成人、小儿和新生儿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具有ST段分析和ST View功能，可实时监测ST段，评估心肌缺血，测量范围-2.5mV-+2.5mV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具有QT/QTc测量功能，提供QT、QTc参数值，测量范围：200ms-800ms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具备心拍类型识别功能，可区分正常心拍、异常心拍、起搏心拍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支持计时器功能，可以同时显示最多4个计时器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3.14</w:t>
            </w:r>
          </w:p>
        </w:tc>
        <w:tc>
          <w:tcPr>
            <w:tcW w:w="7547" w:type="dxa"/>
            <w:tcBorders>
              <w:right w:val="single" w:color="auto" w:sz="4" w:space="0"/>
            </w:tcBorders>
            <w:shd w:val="clear" w:color="auto" w:fill="auto"/>
            <w:vAlign w:val="center"/>
          </w:tcPr>
          <w:p>
            <w:pPr>
              <w:pStyle w:val="2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可支持≥240小时趋势图/表、≥3500组NIBP列表、≥2500组报警事件、≥48小时全息波形、≥48小时心律失常数据的存储和回顾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3.15</w:t>
            </w:r>
          </w:p>
        </w:tc>
        <w:tc>
          <w:tcPr>
            <w:tcW w:w="7547" w:type="dxa"/>
            <w:tcBorders>
              <w:right w:val="single" w:color="auto" w:sz="4" w:space="0"/>
            </w:tcBorders>
            <w:shd w:val="clear" w:color="auto" w:fill="auto"/>
            <w:vAlign w:val="center"/>
          </w:tcPr>
          <w:p>
            <w:pPr>
              <w:pStyle w:val="2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具备24小时心电概览报告，可查看心率统计、心律失常统计、QT/QTc统计、ST段统计、起搏统计等信息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配置有创血压监测功能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支持6通道有创血压测量，各通道具有压力校零功能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3.18</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可测量压力：ART、PA、CVP、RAP、LAP、ICP、LV、AO、UAP、BAP、FAP、UVP、IAP、CPP、自定义P1-P4等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3.19</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具有PPV、SPV测量功能，支持肺动脉楔压PAWP测量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配置呼末CO2监测功能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测量方式：旁流式或主流式，适用于成人到新生儿全年龄段病人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CO2测量范围：0-150mmHg，awRR范围：0-150rpm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91" w:type="dxa"/>
            <w:gridSpan w:val="2"/>
            <w:tcBorders>
              <w:right w:val="single" w:color="auto" w:sz="4" w:space="0"/>
            </w:tcBorders>
            <w:shd w:val="clear" w:color="auto" w:fill="auto"/>
            <w:vAlign w:val="top"/>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设备三、</w:t>
            </w:r>
            <w:r>
              <w:rPr>
                <w:rFonts w:hint="eastAsia" w:ascii="宋体" w:hAnsi="宋体" w:eastAsia="宋体" w:cs="宋体"/>
                <w:b/>
                <w:bCs/>
                <w:color w:val="auto"/>
                <w:sz w:val="21"/>
                <w:szCs w:val="21"/>
                <w:highlight w:val="none"/>
                <w:lang w:val="en-US" w:eastAsia="zh-CN"/>
              </w:rPr>
              <w:t>总院</w:t>
            </w:r>
            <w:r>
              <w:rPr>
                <w:rFonts w:hint="eastAsia" w:ascii="宋体" w:hAnsi="宋体" w:eastAsia="宋体" w:cs="宋体"/>
                <w:b/>
                <w:bCs/>
                <w:color w:val="auto"/>
                <w:sz w:val="21"/>
                <w:szCs w:val="21"/>
                <w:highlight w:val="none"/>
              </w:rPr>
              <w:t>急诊中央监护系统1套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含中央监护系统1套，插件式监护仪</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中央监护系统</w:t>
            </w:r>
            <w:r>
              <w:rPr>
                <w:rFonts w:hint="eastAsia" w:ascii="宋体" w:hAnsi="宋体" w:eastAsia="宋体" w:cs="宋体"/>
                <w:b/>
                <w:bCs/>
                <w:color w:val="auto"/>
                <w:sz w:val="21"/>
                <w:szCs w:val="21"/>
                <w:highlight w:val="none"/>
                <w:lang w:val="en-US" w:eastAsia="zh-CN"/>
              </w:rPr>
              <w:t>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中央监护系统可支持包括：心电（ECG），呼吸（RESP），无创血压（NIBP）,血氧(S</w:t>
            </w:r>
            <w:r>
              <w:rPr>
                <w:rFonts w:hint="eastAsia" w:ascii="宋体" w:hAnsi="宋体" w:eastAsia="宋体" w:cs="宋体"/>
                <w:color w:val="auto"/>
                <w:kern w:val="0"/>
                <w:sz w:val="21"/>
                <w:szCs w:val="21"/>
                <w:highlight w:val="none"/>
                <w:vertAlign w:val="subscript"/>
              </w:rPr>
              <w:t>P</w:t>
            </w:r>
            <w:r>
              <w:rPr>
                <w:rFonts w:hint="eastAsia" w:ascii="宋体" w:hAnsi="宋体" w:eastAsia="宋体" w:cs="宋体"/>
                <w:color w:val="auto"/>
                <w:kern w:val="0"/>
                <w:sz w:val="21"/>
                <w:szCs w:val="21"/>
                <w:highlight w:val="none"/>
              </w:rPr>
              <w:t>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),脉率(PR)，体温(TEMP)，有创血压(IBP)，呼末二氧化碳（ETCO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），麻醉气体（AG）,无创心排（ICG），有创心输出量（C.O.），麻醉深度（BIS）、胎心率（FHR）、胎动（FM）、宫缩压（TOCO）</w:t>
            </w:r>
            <w:r>
              <w:rPr>
                <w:rFonts w:hint="eastAsia" w:ascii="宋体" w:hAnsi="宋体" w:eastAsia="宋体" w:cs="宋体"/>
                <w:color w:val="auto"/>
                <w:sz w:val="21"/>
                <w:szCs w:val="21"/>
                <w:highlight w:val="none"/>
              </w:rPr>
              <w:t>等参数的显示和数据</w:t>
            </w:r>
            <w:r>
              <w:rPr>
                <w:rFonts w:hint="eastAsia" w:ascii="宋体" w:hAnsi="宋体" w:eastAsia="宋体" w:cs="宋体"/>
                <w:color w:val="auto"/>
                <w:kern w:val="0"/>
                <w:sz w:val="21"/>
                <w:szCs w:val="21"/>
                <w:highlight w:val="none"/>
              </w:rPr>
              <w:t>存储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多屏显示</w:t>
            </w:r>
            <w:r>
              <w:rPr>
                <w:rFonts w:hint="eastAsia" w:ascii="宋体" w:hAnsi="宋体" w:eastAsia="宋体" w:cs="宋体"/>
                <w:color w:val="auto"/>
                <w:spacing w:val="-43"/>
                <w:kern w:val="0"/>
                <w:sz w:val="21"/>
                <w:szCs w:val="21"/>
                <w:highlight w:val="none"/>
              </w:rPr>
              <w:t>：</w:t>
            </w:r>
            <w:r>
              <w:rPr>
                <w:rFonts w:hint="eastAsia" w:ascii="宋体" w:hAnsi="宋体" w:eastAsia="宋体" w:cs="宋体"/>
                <w:color w:val="auto"/>
                <w:kern w:val="0"/>
                <w:sz w:val="21"/>
                <w:szCs w:val="21"/>
                <w:highlight w:val="none"/>
              </w:rPr>
              <w:t>单屏</w:t>
            </w:r>
            <w:r>
              <w:rPr>
                <w:rFonts w:hint="eastAsia" w:ascii="宋体" w:hAnsi="宋体" w:eastAsia="宋体" w:cs="宋体"/>
                <w:color w:val="auto"/>
                <w:spacing w:val="-43"/>
                <w:kern w:val="0"/>
                <w:sz w:val="21"/>
                <w:szCs w:val="21"/>
                <w:highlight w:val="none"/>
              </w:rPr>
              <w:t>、</w:t>
            </w:r>
            <w:r>
              <w:rPr>
                <w:rFonts w:hint="eastAsia" w:ascii="宋体" w:hAnsi="宋体" w:eastAsia="宋体" w:cs="宋体"/>
                <w:color w:val="auto"/>
                <w:kern w:val="0"/>
                <w:sz w:val="21"/>
                <w:szCs w:val="21"/>
                <w:highlight w:val="none"/>
              </w:rPr>
              <w:t>双屏可选，最多可支持四屏显示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一套</w:t>
            </w:r>
            <w:r>
              <w:rPr>
                <w:rFonts w:hint="eastAsia" w:ascii="宋体" w:hAnsi="宋体" w:eastAsia="宋体" w:cs="宋体"/>
                <w:color w:val="auto"/>
                <w:kern w:val="0"/>
                <w:sz w:val="21"/>
                <w:szCs w:val="21"/>
                <w:highlight w:val="none"/>
              </w:rPr>
              <w:t>中央监护系统最多可同时连接128床，</w:t>
            </w:r>
            <w:r>
              <w:rPr>
                <w:rFonts w:hint="eastAsia" w:ascii="宋体" w:hAnsi="宋体" w:eastAsia="宋体" w:cs="宋体"/>
                <w:color w:val="auto"/>
                <w:sz w:val="21"/>
                <w:szCs w:val="21"/>
                <w:highlight w:val="none"/>
              </w:rPr>
              <w:t>满足科室不同病床数量的集中监护需要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中央监护系统与床旁机双向遥控，可实现病人信息、血压参数、心电参数以及参数报警范围等设置的双向控制，使操作更省时、更有效、更方便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可显示床旁机的所有报警功能，并可根据报警优先级进行提示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具有病人管理功能，支持查询、编辑、删除操作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支持多条件查询，可通过病历号、病人姓名等信息进行查询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支持HL7协议，支持连接医院HIS等临床系统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液晶显示屏≥21英寸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20,000 个历史病人监护数据的存储与回顾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p>
        </w:tc>
        <w:tc>
          <w:tcPr>
            <w:tcW w:w="7547" w:type="dxa"/>
            <w:tcBorders>
              <w:right w:val="single" w:color="auto" w:sz="4" w:space="0"/>
            </w:tcBorders>
            <w:shd w:val="clear" w:color="auto" w:fill="auto"/>
            <w:vAlign w:val="center"/>
          </w:tcPr>
          <w:p>
            <w:pPr>
              <w:widowControl/>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配置≥65英寸显示屏查看站2个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插件式监护仪技术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模块化插件式床边监护仪，主机、显示屏和插件槽一体化设计，主机插槽数≥6个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≥15.6英寸LED高清液晶显示屏，屏幕为电容屏非电阻屏，分辨率为1920×1080像素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具有智能光感器，自动调节屏幕亮度，屏幕支持手势滑动操作，可快速切换界面，并支持穿戴医用防护手套操作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可监测心电、血氧、脉博、无创血压、呼吸、体温等基础参数，可升级Masimo/Nellcor SPO2、2IBP、ETCO2、CO、AG、麻醉深度、氧浓度等参数模块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支持≥27种实时心律失常分析，可识别不规则节律停止和房颤停止并报警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具有QT/QTc测量功能，提供QT、QTc参数值， QT/QTc监护适用于成人、小儿和新生儿病人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提供ST段分析功能，适用于成人，小儿和新生儿，支持在专门的窗口中分组显示心脏前壁，下壁和侧壁的ST实时片段和参考片段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具备心拍类型识别功能，可区分正常心拍、异常心拍、起搏心拍，根据心律失常分析结果在每个心拍上进行标注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心率报警限范围：HR 高限：17bpm～295 bpm、HR 低限：16bpm～290 bpm、极度心动过速：60 bpm～300 bpm 、极度心动过缓：15bpm～120 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具有心电抗干扰能力，耐极化电压：±800mV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具有心率变异性分析功能，提供心率变异性相关参数显示，支持RR间期直方图、RR间期差值直方图、散点图、RR间期趋势图，用于评价心脏自主神经的活动性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血氧测量范围为1 ％ ～100％；在70％～100％范围内，成人/儿童测量精度为±2％（非运动状态下）、±3％（运动状态下），新生儿为±3％（非运动状态和运动状态下）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无创血压提供手动、自动间隔、连续、序列、整点五种测量模式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具有多种界面显示标准界面、大字体界面、动态趋势界面、呼吸氧合界面、它床观察、ECG全屏、ECG半屏、PAWP、EWS、单血氧、CCHD界面（选配）等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配</w:t>
            </w:r>
            <w:r>
              <w:rPr>
                <w:rFonts w:hint="eastAsia" w:ascii="宋体" w:hAnsi="宋体" w:eastAsia="宋体" w:cs="宋体"/>
                <w:color w:val="auto"/>
                <w:sz w:val="21"/>
                <w:szCs w:val="21"/>
                <w:highlight w:val="none"/>
              </w:rPr>
              <w:t>双通道有创压IBP监测，支持升级多达8通道有创压监测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有创压适用于成人，小儿和新生儿，测量范围：-50——370mmHg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可提供每搏压力变异PPV实时显示，测量范围：0%～50%；分辨率：1%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可提供收缩压力变异SPV实时显示，测量范围：0 mmHg～50mmHg；分辨率：1mmHg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支持升级主流或旁流EtCO2监测模块，适用于成人至新生儿全年龄段病人，旁流采样率：≤50ml/min，旁流二氧化碳监测无需积水杯，采用自动排水管，减少感染风险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可配12导心电静息分析算法，适用于成人、小儿和新生儿，可显示分析结果、存储报告以及打印报告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可配24小时心电概览报告，可查看心率统计、心律失常统计、QT/QTc统计、ST段统计、起搏统计等信息，帮助医生分析病人24小时心电整体状况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心率报警限范围：HR 高限：17bpm～295 bpm、HR 低限：16bpm～290 bpm、极度心动过速：60 bpm～300 bpm 、极度心动过缓：15bpm～120 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支持≥160小时趋势表和趋势图回顾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支持≥2000组NIBP存储与回顾功能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支持≥48小时全息波形的存储与回顾功能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支持≥48小时心律失常统计与回顾功能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可充电锂电池，持续供电≥3小时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2.28</w:t>
            </w:r>
          </w:p>
        </w:tc>
        <w:tc>
          <w:tcPr>
            <w:tcW w:w="7547" w:type="dxa"/>
            <w:tcBorders>
              <w:right w:val="single" w:color="auto" w:sz="4" w:space="0"/>
            </w:tcBorders>
            <w:shd w:val="clear" w:color="auto" w:fill="auto"/>
            <w:vAlign w:val="center"/>
          </w:tcPr>
          <w:p>
            <w:pPr>
              <w:pStyle w:val="2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可通过有线网络和无线网络，与中央监护系统及医院信息系统互联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多参数监测模块升级为带屏幕的转运监测模块，屏幕尺寸≥5.5英寸，内置锂电池供电≥4小时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转运监测模块可监测心电、血氧、脉博、无创血压、呼吸、体温、参数，可升级Masimo/Nellcor SPO2、CO、AG、有创血压、麻醉深度、氧浓度监测、窒息唤醒等参数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91" w:type="dxa"/>
            <w:gridSpan w:val="2"/>
            <w:tcBorders>
              <w:right w:val="single" w:color="auto" w:sz="4" w:space="0"/>
            </w:tcBorders>
            <w:shd w:val="clear" w:color="auto" w:fill="auto"/>
            <w:vAlign w:val="top"/>
          </w:tcPr>
          <w:p>
            <w:pPr>
              <w:rPr>
                <w:rFonts w:hint="eastAsia" w:ascii="宋体" w:hAnsi="宋体" w:eastAsia="宋体" w:cs="宋体"/>
                <w:color w:val="auto"/>
                <w:sz w:val="21"/>
                <w:szCs w:val="21"/>
                <w:highlight w:val="none"/>
              </w:rPr>
            </w:pPr>
            <w:r>
              <w:rPr>
                <w:rFonts w:hint="eastAsia" w:ascii="宋体" w:hAnsi="宋体" w:eastAsia="宋体" w:cs="宋体"/>
                <w:b/>
                <w:bCs/>
                <w:color w:val="auto"/>
                <w:spacing w:val="-12"/>
                <w:sz w:val="21"/>
                <w:szCs w:val="21"/>
                <w:highlight w:val="none"/>
              </w:rPr>
              <w:t>设备四、暨南分院急诊中央监护系统1套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含中央监护系统1套，普通监护仪10台，插件式监护仪5台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中央监护系统</w:t>
            </w:r>
            <w:r>
              <w:rPr>
                <w:rFonts w:hint="eastAsia" w:ascii="宋体" w:hAnsi="宋体" w:eastAsia="宋体" w:cs="宋体"/>
                <w:color w:val="auto"/>
                <w:kern w:val="0"/>
                <w:sz w:val="21"/>
                <w:szCs w:val="21"/>
                <w:highlight w:val="none"/>
                <w:lang w:val="en-US" w:eastAsia="zh-CN"/>
              </w:rPr>
              <w:t>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中央监护系统可支持包括：心电（ECG），呼吸（RESP），无创血压（NIBP）,血氧(S</w:t>
            </w:r>
            <w:r>
              <w:rPr>
                <w:rFonts w:hint="eastAsia" w:ascii="宋体" w:hAnsi="宋体" w:eastAsia="宋体" w:cs="宋体"/>
                <w:color w:val="auto"/>
                <w:kern w:val="0"/>
                <w:sz w:val="21"/>
                <w:szCs w:val="21"/>
                <w:highlight w:val="none"/>
                <w:vertAlign w:val="subscript"/>
              </w:rPr>
              <w:t>P</w:t>
            </w:r>
            <w:r>
              <w:rPr>
                <w:rFonts w:hint="eastAsia" w:ascii="宋体" w:hAnsi="宋体" w:eastAsia="宋体" w:cs="宋体"/>
                <w:color w:val="auto"/>
                <w:kern w:val="0"/>
                <w:sz w:val="21"/>
                <w:szCs w:val="21"/>
                <w:highlight w:val="none"/>
              </w:rPr>
              <w:t>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),脉率(PR)，体温(TEMP)，有创血压(IBP)，呼末二氧化碳（ETCO</w:t>
            </w:r>
            <w:r>
              <w:rPr>
                <w:rFonts w:hint="eastAsia" w:ascii="宋体" w:hAnsi="宋体" w:eastAsia="宋体" w:cs="宋体"/>
                <w:color w:val="auto"/>
                <w:kern w:val="0"/>
                <w:sz w:val="21"/>
                <w:szCs w:val="21"/>
                <w:highlight w:val="none"/>
                <w:vertAlign w:val="subscript"/>
              </w:rPr>
              <w:t>2</w:t>
            </w:r>
            <w:r>
              <w:rPr>
                <w:rFonts w:hint="eastAsia" w:ascii="宋体" w:hAnsi="宋体" w:eastAsia="宋体" w:cs="宋体"/>
                <w:color w:val="auto"/>
                <w:kern w:val="0"/>
                <w:sz w:val="21"/>
                <w:szCs w:val="21"/>
                <w:highlight w:val="none"/>
              </w:rPr>
              <w:t>），麻醉气体（AG）,无创心排（ICG），有创心输出量（C.O.），麻醉深度（BIS）、胎心率（FHR）、胎动（FM）、宫缩压（TOCO）</w:t>
            </w:r>
            <w:r>
              <w:rPr>
                <w:rFonts w:hint="eastAsia" w:ascii="宋体" w:hAnsi="宋体" w:eastAsia="宋体" w:cs="宋体"/>
                <w:color w:val="auto"/>
                <w:sz w:val="21"/>
                <w:szCs w:val="21"/>
                <w:highlight w:val="none"/>
              </w:rPr>
              <w:t>等参数的显示和数据</w:t>
            </w:r>
            <w:r>
              <w:rPr>
                <w:rFonts w:hint="eastAsia" w:ascii="宋体" w:hAnsi="宋体" w:eastAsia="宋体" w:cs="宋体"/>
                <w:color w:val="auto"/>
                <w:kern w:val="0"/>
                <w:sz w:val="21"/>
                <w:szCs w:val="21"/>
                <w:highlight w:val="none"/>
              </w:rPr>
              <w:t>存储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中央监护系统与床旁机双向遥控，可实现病人信息、血压参数、心电参数以及参数报警范围等设置的双向控制，使操作更省时、更有效、更方便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可显示床旁机的所有报警功能，并可根据报警优先级进行提示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具有病人管理功能，支持查询、编辑、删除操作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支持多条件查询，可通过病历号、病人姓名等信息进行查询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支持HL7协议，支持连接医院HIS等临床系统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液晶显示屏≥21英寸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支持≥20,000 个历史病人监护数据的存储与回顾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配置≥65英寸显示屏查看站1个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普通监护仪技术参数：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≥15英寸彩色LED背光液晶屏，标配电容触控屏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主机集成附件收纳槽，方便附件进行收纳放置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可监测心电、血氧、脉博、无创血压、呼吸、体温等参数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共模抑制能力≥106db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≥27种心律失常分析，包括房颤、室颤、停搏、SVCs/min等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具有ST段分析和ST View功能，可实时监测ST段，评估心肌缺血情况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血氧测量范围：0%-100%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血压测量模式：手动、自动、序列、整点和连续测量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具备心拍类型识别功能，可区分正常心拍、异常心拍、起搏心拍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具有双通道体温监测，可提供体温差值显示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具有心电抗干扰能力，耐极化电压：±800mV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具有血压动态分析监测界面，可查看测量时间段的收缩压和舒张压的正常数据、低于正常数据以及高于正常数据的百分率，收缩压和舒张压的平均值、最大值和最小值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支持计时器功能，可以同时显示最多4个计时器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标配锂电池工作时间≥4小时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2.15</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支持所有监测参数报警限一键自动设置功能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支持不小于2400小时趋势图/表、3500组NIBP列表、2500组报警事件、72小时全息波形、48小时心律失常数据的存储和回顾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插件式监护仪技术参数：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模块化插件式床边监护仪，主机、显示屏和插件槽一体化设计，主机插槽数≥6个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≥15.6英寸LED高清液晶显示屏，屏幕为电容屏非电阻屏，分辨率为1920×1080像素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具有智能光感器，自动调节屏幕亮度，屏幕支持手势滑动操作，可快速切换界面，并支持穿戴医用防护手套操作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可监测心电、血氧、脉博、无创血压、呼吸、体温等基础参数，可升级Masimo/Nellcor SPO2、2IBP、ETCO2、CO、AG、麻醉深度、氧浓度、窒息唤醒等参数模块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支持≥27种实时心律失常分析，可识别不规则节律停止和房颤停止并报警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具有QT/QTc测量功能，提供QT、QTc参数值， QT/QTc监护适用于成人、小儿和新生儿病人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提供ST段分析功能，适用于成人，小儿和新生儿，支持在专门的窗口中分组显示心脏前壁，下壁和侧壁的ST实时片段和参考片段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具备心拍类型识别功能，可区分正常心拍、异常心拍、起搏心拍，根据心律失常分析结果在每个心拍上进行标注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心率报警限范围：HR 高限：17bpm～295 bpm、HR 低限：16bpm～290 bpm、极度心动过速：60 bpm～300 bpm 、极度心动过缓：15bpm～120 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具有强大的心电抗干扰能力，耐极化电压：±800mV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具有心率变异性分析功能，提供心率变异性相关参数显示，支持RR间期直方图、RR间期差值直方图、散点图、RR间期趋势图，用于评价心脏自主神经的活动性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血氧测量范围为1 ％ ～100％；在70％～100％范围内，成人/儿童测量精度为±2％（非运动状态下）、±3％（运动状态下），新生儿为±3％（非运动状态和运动状态下）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无创血压提供手动、自动间隔、连续、序列、整点五种测量模式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3.14</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具有多种界面显示标准界面、大字体界面、动态趋势界面、呼吸氧合界面、它床观察、ECG全屏、ECG半屏、PAWP、EWS、单血氧、CCHD界面（选配）等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3.15</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配</w:t>
            </w:r>
            <w:r>
              <w:rPr>
                <w:rFonts w:hint="eastAsia" w:ascii="宋体" w:hAnsi="宋体" w:eastAsia="宋体" w:cs="宋体"/>
                <w:color w:val="auto"/>
                <w:sz w:val="21"/>
                <w:szCs w:val="21"/>
                <w:highlight w:val="none"/>
              </w:rPr>
              <w:t>双通道有创压IBP监测，支持升级多达8通道有创压监测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有创压适用于成人，小儿和新生儿，测量范围：-50——370mmHg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可提供每搏压力变异PPV实时显示，测量范围：0%～50%；分辨率：1%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可提供收缩压力变异SPV实时显示，测量范围：0 mmHg～50mmHg；分辨率：1mmHg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3.19</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支持升级主流或旁流EtCO2监测模块，适用于成人至新生儿全年龄段病人，旁流采样率：≤50ml/min，旁流二氧化碳监测无需积水杯，采用自动排水管，减少感染风险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可配12导心电静息分析算法，适用于成人、小儿和新生儿，可显示分析结果、存储报告以及打印报告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可配24小时心电概览报告，可查看心率统计、心律失常统计、QT/QTc统计、ST段统计、起搏统计等信息，帮助医生分析病人24小时心电整体状况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心率报警限范围：HR 高限：17bpm～295 bpm、HR 低限：16bpm～290 bpm、极度心动过速：60 bpm～300 bpm 、极度心动过缓：15bpm～120 bpm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支持≥160小时趋势表和趋势图回顾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4"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3.24</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支持≥48小时心律失常统计与回顾功能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3.25</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可充电锂电池，持续供电≥3小时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3.26</w:t>
            </w:r>
          </w:p>
        </w:tc>
        <w:tc>
          <w:tcPr>
            <w:tcW w:w="7547" w:type="dxa"/>
            <w:tcBorders>
              <w:right w:val="single" w:color="auto" w:sz="4" w:space="0"/>
            </w:tcBorders>
            <w:shd w:val="clear" w:color="auto" w:fill="auto"/>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可通过有线网络和无线网络，与中央监护系统及医院信息系统互联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3.27</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多参数监测模块升级为带屏幕的转运监测模块，屏幕尺寸≥5.5英寸，内置锂电池供电≥4小时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44" w:type="dxa"/>
            <w:shd w:val="clear" w:color="auto" w:fill="auto"/>
            <w:vAlign w:val="top"/>
          </w:tcPr>
          <w:p>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3.28</w:t>
            </w:r>
          </w:p>
        </w:tc>
        <w:tc>
          <w:tcPr>
            <w:tcW w:w="7547" w:type="dxa"/>
            <w:tcBorders>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转运监测模块可监测心电、血氧、脉博、无创血压、呼吸、体温、参数，可升级Masimo/Nellcor SPO2、CO、AG、有创血压、麻醉深度、氧浓度监测、窒息唤醒等参数</w:t>
            </w:r>
          </w:p>
        </w:tc>
      </w:tr>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652" w:type="dxa"/>
            <w:tcBorders>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ind w:firstLine="3373" w:firstLineChars="16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除颤仪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除颤仪主机：15台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一体式体外除颤电极板：15副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心电导联线：15根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锂电池：15块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电源线：15根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暨南分院</w:t>
            </w:r>
            <w:r>
              <w:rPr>
                <w:rFonts w:hint="eastAsia" w:ascii="宋体" w:hAnsi="宋体" w:eastAsia="宋体" w:cs="宋体"/>
                <w:b/>
                <w:bCs/>
                <w:color w:val="auto"/>
                <w:sz w:val="21"/>
                <w:szCs w:val="21"/>
                <w:highlight w:val="none"/>
              </w:rPr>
              <w:t>感染科中央监护系统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中央站（含电脑主机、软件）：7套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21寸电脑显示器：7套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50寸显示器查看站：7台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普通心电监护仪主机：45台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三导联心电导联线：90根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一体指夹式血氧探头：90个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血压导管及血压袖套：90副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电源线：45根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体温探头：45个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插件式监护仪主机：3台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三导联心电导联线：6根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一体指夹式血氧探头：6个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血压导管及血压袖套：6副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电源线：3根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体温探头：3个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有创血压模块：3个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主流呼末CO2模块：3个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监护仪支架（数量按医院需求）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总院</w:t>
            </w:r>
            <w:r>
              <w:rPr>
                <w:rFonts w:hint="eastAsia" w:ascii="宋体" w:hAnsi="宋体" w:eastAsia="宋体" w:cs="宋体"/>
                <w:b/>
                <w:bCs/>
                <w:color w:val="auto"/>
                <w:sz w:val="21"/>
                <w:szCs w:val="21"/>
                <w:highlight w:val="none"/>
              </w:rPr>
              <w:t>急诊科中央监护系统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中央站（含电脑主机、软件）：1套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21寸电脑显示器：1套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65寸显示器查看站：2台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15.6英寸插件式监护仪主机：11台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5.5英寸转运监护模块：11台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三导联心电导联线：22根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一体指夹式血氧探头：22个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血压导管及血压袖套：22副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电源线：11根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体温探头：11个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有创血压模块：11个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主流呼末CO2模块：11个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监护仪支架（数量按医院需求）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暨南分院急诊中央监护系统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中央站（含电脑主机、软件）：1套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21寸电脑显示器：1套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65寸显示器查看站：1台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普通心电监护仪主机：10台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三导联心电导联线：20根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一体指夹式血氧探头：20个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血压导管及血压袖套：20副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电源线：10根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体温探头：10个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15.6英寸插件式监护仪主机：5台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5.5英寸转运监护模块：5台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三导联心电导联线：10根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一体指夹式血氧探头：10个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血压导管及血压袖套：10副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电源线：5根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体温探头：5个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有创血压模块：5个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主流呼末CO2模块：3个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7652" w:type="dxa"/>
            <w:tcBorders>
              <w:right w:val="single" w:color="auto" w:sz="4" w:space="0"/>
            </w:tcBorders>
            <w:vAlign w:val="top"/>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监护仪支架（数量按医院需求）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eastAsia="宋体" w:cs="宋体"/>
                <w:color w:val="auto"/>
                <w:sz w:val="21"/>
                <w:szCs w:val="21"/>
                <w:highlight w:val="none"/>
              </w:rPr>
            </w:pPr>
            <w:r>
              <w:rPr>
                <w:rFonts w:hint="eastAsia"/>
                <w:lang w:val="en-US" w:eastAsia="zh-CN"/>
              </w:rPr>
              <w:t>注：</w:t>
            </w:r>
            <w:r>
              <w:t>1、</w:t>
            </w:r>
            <w:r>
              <w:rPr>
                <w:rFonts w:hint="eastAsia" w:ascii="宋体" w:hAnsi="宋体" w:eastAsia="宋体" w:cs="宋体"/>
                <w:b/>
                <w:bCs w:val="0"/>
                <w:color w:val="auto"/>
                <w:sz w:val="21"/>
                <w:szCs w:val="21"/>
                <w:highlight w:val="none"/>
              </w:rPr>
              <w:t>除颤仪</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中央监护系统、监护仪</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461" w:type="dxa"/>
            <w:tcBorders>
              <w:right w:val="single" w:color="auto"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7461" w:type="dxa"/>
            <w:tcBorders>
              <w:right w:val="single" w:color="auto" w:sz="4" w:space="0"/>
            </w:tcBorders>
            <w:vAlign w:val="center"/>
          </w:tcPr>
          <w:p>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461" w:type="dxa"/>
            <w:tcBorders>
              <w:right w:val="single" w:color="auto" w:sz="4" w:space="0"/>
            </w:tcBorders>
            <w:vAlign w:val="center"/>
          </w:tcPr>
          <w:p>
            <w:pPr>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货物使用期限：自货物生产日期起，不少于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7461" w:type="dxa"/>
            <w:tcBorders>
              <w:right w:val="single" w:color="auto" w:sz="4" w:space="0"/>
            </w:tcBorders>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货物生产日期（以产品标签、标识为准）：货物到达买方机房之日</w:t>
            </w:r>
            <w:r>
              <w:rPr>
                <w:rFonts w:hint="eastAsia" w:ascii="宋体" w:hAnsi="宋体" w:eastAsia="宋体" w:cs="宋体"/>
                <w:color w:val="auto"/>
                <w:sz w:val="21"/>
                <w:szCs w:val="21"/>
                <w:highlight w:val="none"/>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7461" w:type="dxa"/>
            <w:tcBorders>
              <w:right w:val="single" w:color="auto" w:sz="4" w:space="0"/>
            </w:tcBorders>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2</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2.1</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设备验收合格后免费保修：≥</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保修期内，维修响应时间</w:t>
            </w:r>
            <w:r>
              <w:rPr>
                <w:rFonts w:hint="eastAsia" w:ascii="宋体" w:hAnsi="宋体" w:eastAsia="宋体" w:cs="宋体"/>
                <w:color w:val="auto"/>
                <w:sz w:val="21"/>
                <w:szCs w:val="21"/>
                <w:highlight w:val="none"/>
                <w:u w:val="single"/>
              </w:rPr>
              <w:t>＜12小时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12工作小时</w:t>
            </w:r>
            <w:r>
              <w:rPr>
                <w:rFonts w:hint="eastAsia" w:ascii="宋体" w:hAnsi="宋体" w:eastAsia="宋体" w:cs="宋体"/>
                <w:color w:val="auto"/>
                <w:sz w:val="21"/>
                <w:szCs w:val="21"/>
                <w:highlight w:val="none"/>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保修期内开机率</w:t>
            </w:r>
            <w:r>
              <w:rPr>
                <w:rFonts w:hint="eastAsia" w:ascii="宋体" w:hAnsi="宋体" w:eastAsia="宋体" w:cs="宋体"/>
                <w:color w:val="auto"/>
                <w:sz w:val="21"/>
                <w:szCs w:val="21"/>
                <w:highlight w:val="none"/>
                <w:u w:val="single"/>
              </w:rPr>
              <w:t>≥95%</w:t>
            </w:r>
            <w:r>
              <w:rPr>
                <w:rFonts w:hint="eastAsia" w:ascii="宋体" w:hAnsi="宋体" w:eastAsia="宋体" w:cs="宋体"/>
                <w:color w:val="auto"/>
                <w:sz w:val="21"/>
                <w:szCs w:val="21"/>
                <w:highlight w:val="none"/>
              </w:rPr>
              <w:t>，若设备未达到以上开机率保证，则停机每超过一天则延长</w:t>
            </w:r>
            <w:r>
              <w:rPr>
                <w:rFonts w:hint="eastAsia" w:ascii="宋体" w:hAnsi="宋体" w:eastAsia="宋体" w:cs="宋体"/>
                <w:color w:val="auto"/>
                <w:sz w:val="21"/>
                <w:szCs w:val="21"/>
                <w:highlight w:val="none"/>
                <w:u w:val="single"/>
              </w:rPr>
              <w:t>十天</w:t>
            </w:r>
            <w:r>
              <w:rPr>
                <w:rFonts w:hint="eastAsia" w:ascii="宋体" w:hAnsi="宋体" w:eastAsia="宋体" w:cs="宋体"/>
                <w:color w:val="auto"/>
                <w:sz w:val="21"/>
                <w:szCs w:val="21"/>
                <w:highlight w:val="none"/>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在整个设备使用期内，卖方应确保设备的正常使用，在接到用户维修要求后应立即作出回应，通过电话联系无法解决的，须</w:t>
            </w:r>
            <w:r>
              <w:rPr>
                <w:rFonts w:hint="eastAsia" w:ascii="宋体" w:hAnsi="宋体" w:eastAsia="宋体" w:cs="宋体"/>
                <w:color w:val="auto"/>
                <w:sz w:val="21"/>
                <w:szCs w:val="21"/>
                <w:highlight w:val="none"/>
                <w:u w:val="single"/>
              </w:rPr>
              <w:t>24小时内</w:t>
            </w:r>
            <w:r>
              <w:rPr>
                <w:rFonts w:hint="eastAsia" w:ascii="宋体" w:hAnsi="宋体" w:eastAsia="宋体" w:cs="宋体"/>
                <w:color w:val="auto"/>
                <w:sz w:val="21"/>
                <w:szCs w:val="21"/>
                <w:highlight w:val="none"/>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3.4</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保证易耗品及零配件供应</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w:t>
            </w:r>
          </w:p>
        </w:tc>
        <w:tc>
          <w:tcPr>
            <w:tcW w:w="7461" w:type="dxa"/>
            <w:vAlign w:val="center"/>
          </w:tcPr>
          <w:p>
            <w:pPr>
              <w:snapToGrid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交货时间：合同签订后，接到甲方通知后</w:t>
            </w:r>
            <w:r>
              <w:rPr>
                <w:rFonts w:hint="eastAsia" w:ascii="宋体" w:hAnsi="宋体" w:eastAsia="宋体" w:cs="宋体"/>
                <w:color w:val="auto"/>
                <w:sz w:val="21"/>
                <w:szCs w:val="21"/>
                <w:highlight w:val="none"/>
                <w:u w:val="single"/>
              </w:rPr>
              <w:t>90天内</w:t>
            </w:r>
            <w:r>
              <w:rPr>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5</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安装地点：</w:t>
            </w:r>
            <w:r>
              <w:rPr>
                <w:rFonts w:hint="eastAsia" w:ascii="宋体" w:hAnsi="宋体" w:eastAsia="宋体" w:cs="宋体"/>
                <w:color w:val="auto"/>
                <w:sz w:val="21"/>
                <w:szCs w:val="21"/>
                <w:highlight w:val="none"/>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卖方须对买方现场进行查勘，在合同签定后</w:t>
            </w:r>
            <w:r>
              <w:rPr>
                <w:rFonts w:hint="eastAsia" w:ascii="宋体" w:hAnsi="宋体" w:eastAsia="宋体" w:cs="宋体"/>
                <w:bCs/>
                <w:color w:val="auto"/>
                <w:sz w:val="21"/>
                <w:szCs w:val="21"/>
                <w:highlight w:val="none"/>
                <w:u w:val="single"/>
              </w:rPr>
              <w:t>10个工作日</w:t>
            </w:r>
            <w:r>
              <w:rPr>
                <w:rFonts w:hint="eastAsia" w:ascii="宋体" w:hAnsi="宋体" w:eastAsia="宋体" w:cs="宋体"/>
                <w:bCs/>
                <w:color w:val="auto"/>
                <w:sz w:val="21"/>
                <w:szCs w:val="21"/>
                <w:highlight w:val="none"/>
              </w:rPr>
              <w:t>内书面提供买方认可的运输方案及安装方案</w:t>
            </w:r>
            <w:r>
              <w:rPr>
                <w:rFonts w:hint="eastAsia" w:ascii="宋体" w:hAnsi="宋体" w:eastAsia="宋体" w:cs="宋体"/>
                <w:bCs/>
                <w:color w:val="auto"/>
                <w:sz w:val="21"/>
                <w:szCs w:val="21"/>
                <w:highlight w:val="none"/>
                <w:u w:val="single"/>
              </w:rPr>
              <w:t>（按需提供）</w:t>
            </w:r>
            <w:r>
              <w:rPr>
                <w:rFonts w:hint="eastAsia" w:ascii="宋体" w:hAnsi="宋体" w:eastAsia="宋体" w:cs="宋体"/>
                <w:bCs/>
                <w:color w:val="auto"/>
                <w:sz w:val="21"/>
                <w:szCs w:val="21"/>
                <w:highlight w:val="none"/>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安装完成时间：卖方在货物到货后</w:t>
            </w:r>
            <w:r>
              <w:rPr>
                <w:rFonts w:hint="eastAsia" w:ascii="宋体" w:hAnsi="宋体" w:eastAsia="宋体" w:cs="宋体"/>
                <w:color w:val="auto"/>
                <w:sz w:val="21"/>
                <w:szCs w:val="21"/>
                <w:highlight w:val="none"/>
                <w:u w:val="single"/>
              </w:rPr>
              <w:t>20个工作日内</w:t>
            </w:r>
            <w:r>
              <w:rPr>
                <w:rFonts w:hint="eastAsia" w:ascii="宋体" w:hAnsi="宋体" w:eastAsia="宋体" w:cs="宋体"/>
                <w:color w:val="auto"/>
                <w:sz w:val="21"/>
                <w:szCs w:val="21"/>
                <w:highlight w:val="none"/>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6</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r>
              <w:rPr>
                <w:rFonts w:hint="eastAsia" w:ascii="宋体" w:hAnsi="宋体" w:eastAsia="宋体" w:cs="宋体"/>
                <w:b/>
                <w:color w:val="auto"/>
                <w:sz w:val="21"/>
                <w:szCs w:val="21"/>
                <w:highlight w:val="none"/>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验收过程中发现货物性能或功能达不到要求，卖方必须更换有关部件，使货物最终达到规定的性能指标和功能要求，但必须在发现问题后</w:t>
            </w:r>
            <w:r>
              <w:rPr>
                <w:rFonts w:hint="eastAsia" w:ascii="宋体" w:hAnsi="宋体" w:eastAsia="宋体" w:cs="宋体"/>
                <w:color w:val="auto"/>
                <w:sz w:val="21"/>
                <w:szCs w:val="21"/>
                <w:highlight w:val="none"/>
                <w:u w:val="single"/>
              </w:rPr>
              <w:t>15个工作日</w:t>
            </w:r>
            <w:r>
              <w:rPr>
                <w:rFonts w:hint="eastAsia" w:ascii="宋体" w:hAnsi="宋体" w:eastAsia="宋体" w:cs="宋体"/>
                <w:color w:val="auto"/>
                <w:sz w:val="21"/>
                <w:szCs w:val="21"/>
                <w:highlight w:val="none"/>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w:t>
            </w:r>
            <w:r>
              <w:rPr>
                <w:rFonts w:hint="eastAsia" w:ascii="宋体" w:hAnsi="宋体" w:eastAsia="宋体" w:cs="宋体"/>
                <w:b/>
                <w:color w:val="auto"/>
                <w:sz w:val="21"/>
                <w:szCs w:val="21"/>
                <w:highlight w:val="none"/>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7461" w:type="dxa"/>
            <w:vAlign w:val="center"/>
          </w:tcPr>
          <w:p>
            <w:pPr>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操作应用培训：卖方负责在医院现场提供累计不少于</w:t>
            </w:r>
            <w:r>
              <w:rPr>
                <w:rFonts w:hint="eastAsia" w:ascii="宋体" w:hAnsi="宋体" w:eastAsia="宋体" w:cs="宋体"/>
                <w:color w:val="auto"/>
                <w:sz w:val="21"/>
                <w:szCs w:val="21"/>
                <w:highlight w:val="none"/>
                <w:u w:val="single"/>
              </w:rPr>
              <w:t>5个工作日</w:t>
            </w:r>
            <w:r>
              <w:rPr>
                <w:rFonts w:hint="eastAsia" w:ascii="宋体" w:hAnsi="宋体" w:eastAsia="宋体" w:cs="宋体"/>
                <w:color w:val="auto"/>
                <w:sz w:val="21"/>
                <w:szCs w:val="21"/>
                <w:highlight w:val="none"/>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7461" w:type="dxa"/>
            <w:vAlign w:val="center"/>
          </w:tcPr>
          <w:p>
            <w:pPr>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7461" w:type="dxa"/>
            <w:vAlign w:val="center"/>
          </w:tcPr>
          <w:p>
            <w:pPr>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7461" w:type="dxa"/>
            <w:vAlign w:val="center"/>
          </w:tcPr>
          <w:p>
            <w:pPr>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8</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7461" w:type="dxa"/>
            <w:vAlign w:val="center"/>
          </w:tcPr>
          <w:p>
            <w:pPr>
              <w:spacing w:line="38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9</w:t>
            </w:r>
          </w:p>
        </w:tc>
        <w:tc>
          <w:tcPr>
            <w:tcW w:w="7461" w:type="dxa"/>
            <w:vAlign w:val="center"/>
          </w:tcPr>
          <w:p>
            <w:pPr>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7461" w:type="dxa"/>
            <w:vAlign w:val="center"/>
          </w:tcPr>
          <w:p>
            <w:pPr>
              <w:spacing w:line="3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10</w:t>
            </w:r>
          </w:p>
        </w:tc>
        <w:tc>
          <w:tcPr>
            <w:tcW w:w="7461" w:type="dxa"/>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7461"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2、合同生效且项目具备实施条件后，采购人支付合同金额的40%作为预付款；货物安装验收合格后付清余款。（适用中小企业投标）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7461" w:type="dxa"/>
            <w:vAlign w:val="center"/>
          </w:tcPr>
          <w:p>
            <w:pPr>
              <w:widowControl/>
              <w:spacing w:before="100" w:beforeAutospacing="1" w:after="100" w:afterAutospacing="1"/>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7461"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11</w:t>
            </w:r>
          </w:p>
        </w:tc>
        <w:tc>
          <w:tcPr>
            <w:tcW w:w="7461" w:type="dxa"/>
            <w:vAlign w:val="center"/>
          </w:tcPr>
          <w:p>
            <w:pPr>
              <w:widowControl/>
              <w:spacing w:before="100" w:beforeAutospacing="1" w:after="100" w:afterAutospacing="1"/>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采购文件中未提及的某些属标配的功能、软件，必须无条件提供。</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3</w:t>
            </w:r>
            <w:r>
              <w:rPr>
                <w:rFonts w:hint="eastAsia" w:hAnsi="宋体"/>
                <w:sz w:val="24"/>
              </w:rPr>
              <w:t>分，其他条款不满足采购文件要求的，每一项扣减</w:t>
            </w:r>
            <w:r>
              <w:rPr>
                <w:rFonts w:hint="eastAsia" w:hAnsi="宋体"/>
                <w:sz w:val="24"/>
                <w:u w:val="single"/>
                <w:lang w:val="en-US" w:eastAsia="zh-CN"/>
              </w:rPr>
              <w:t>1</w:t>
            </w:r>
            <w:r>
              <w:rPr>
                <w:rFonts w:hint="eastAsia" w:hAnsi="宋体"/>
                <w:sz w:val="24"/>
              </w:rPr>
              <w:t>分。本项最高得4</w:t>
            </w:r>
            <w:r>
              <w:rPr>
                <w:rFonts w:hint="eastAsia" w:hAnsi="宋体"/>
                <w:sz w:val="24"/>
                <w:lang w:val="en-US" w:eastAsia="zh-CN"/>
              </w:rPr>
              <w:t>8</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Lines="50" w:afterLines="50"/>
              <w:jc w:val="center"/>
              <w:rPr>
                <w:b/>
                <w:bCs/>
                <w:sz w:val="24"/>
              </w:rPr>
            </w:pPr>
            <w:r>
              <w:rPr>
                <w:rFonts w:hint="eastAsia" w:hAnsi="宋体"/>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Lines="50" w:afterLines="50" w:line="276" w:lineRule="auto"/>
              <w:jc w:val="center"/>
              <w:rPr>
                <w:bCs/>
                <w:sz w:val="24"/>
              </w:rPr>
            </w:pPr>
            <w:r>
              <w:rPr>
                <w:rFonts w:hint="eastAsia" w:hAnsi="宋体"/>
                <w:bCs/>
                <w:sz w:val="24"/>
                <w:u w:val="singl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5，4，3，2，1，0）。</w:t>
            </w:r>
          </w:p>
        </w:tc>
        <w:tc>
          <w:tcPr>
            <w:tcW w:w="792" w:type="dxa"/>
            <w:vAlign w:val="center"/>
          </w:tcPr>
          <w:p>
            <w:pPr>
              <w:spacing w:beforeLines="50" w:afterLines="50"/>
              <w:jc w:val="center"/>
              <w:rPr>
                <w:bCs/>
                <w:sz w:val="24"/>
              </w:rPr>
            </w:pPr>
            <w:r>
              <w:rPr>
                <w:rFonts w:hint="eastAsia"/>
                <w:bCs/>
                <w:sz w:val="24"/>
                <w:u w:val="single"/>
              </w:rPr>
              <w:t>5分</w:t>
            </w:r>
          </w:p>
        </w:tc>
      </w:tr>
    </w:tbl>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color w:val="auto"/>
          <w:kern w:val="0"/>
          <w:sz w:val="24"/>
          <w:highlight w:val="none"/>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color w:val="auto"/>
                <w:sz w:val="24"/>
                <w:highlight w:val="none"/>
              </w:rPr>
            </w:pPr>
            <w:r>
              <w:rPr>
                <w:rFonts w:hint="eastAsia" w:hAnsi="宋体"/>
                <w:b/>
                <w:bCs/>
                <w:color w:val="auto"/>
                <w:sz w:val="24"/>
                <w:highlight w:val="none"/>
              </w:rPr>
              <w:t>序号</w:t>
            </w:r>
          </w:p>
        </w:tc>
        <w:tc>
          <w:tcPr>
            <w:tcW w:w="6828" w:type="dxa"/>
          </w:tcPr>
          <w:p>
            <w:pPr>
              <w:spacing w:before="156" w:beforeLines="50" w:after="156" w:afterLines="50"/>
              <w:jc w:val="center"/>
              <w:rPr>
                <w:b/>
                <w:bCs/>
                <w:color w:val="auto"/>
                <w:sz w:val="24"/>
                <w:highlight w:val="none"/>
              </w:rPr>
            </w:pPr>
            <w:r>
              <w:rPr>
                <w:rFonts w:hint="eastAsia" w:hAnsi="宋体"/>
                <w:b/>
                <w:bCs/>
                <w:color w:val="auto"/>
                <w:sz w:val="24"/>
                <w:highlight w:val="none"/>
              </w:rPr>
              <w:t>评审内容及标准</w:t>
            </w:r>
          </w:p>
        </w:tc>
        <w:tc>
          <w:tcPr>
            <w:tcW w:w="792" w:type="dxa"/>
            <w:vAlign w:val="center"/>
          </w:tcPr>
          <w:p>
            <w:pPr>
              <w:spacing w:before="156" w:beforeLines="50" w:after="156" w:afterLines="50"/>
              <w:jc w:val="center"/>
              <w:rPr>
                <w:b/>
                <w:bCs/>
                <w:color w:val="auto"/>
                <w:sz w:val="24"/>
                <w:highlight w:val="none"/>
              </w:rPr>
            </w:pPr>
            <w:r>
              <w:rPr>
                <w:rFonts w:hint="eastAsia" w:hAnsi="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color w:val="auto"/>
                <w:sz w:val="24"/>
                <w:highlight w:val="none"/>
              </w:rPr>
            </w:pPr>
            <w:r>
              <w:rPr>
                <w:rFonts w:hint="eastAsia"/>
                <w:color w:val="auto"/>
                <w:sz w:val="24"/>
                <w:highlight w:val="none"/>
              </w:rPr>
              <w:t>1、</w:t>
            </w:r>
          </w:p>
        </w:tc>
        <w:tc>
          <w:tcPr>
            <w:tcW w:w="6828" w:type="dxa"/>
            <w:vAlign w:val="center"/>
          </w:tcPr>
          <w:p>
            <w:pPr>
              <w:rPr>
                <w:color w:val="auto"/>
                <w:sz w:val="24"/>
                <w:highlight w:val="none"/>
              </w:rPr>
            </w:pPr>
            <w:r>
              <w:rPr>
                <w:rFonts w:hint="eastAsia"/>
                <w:color w:val="auto"/>
                <w:sz w:val="24"/>
                <w:highlight w:val="none"/>
              </w:rPr>
              <w:t>【客观分】</w:t>
            </w:r>
          </w:p>
          <w:p>
            <w:pPr>
              <w:rPr>
                <w:color w:val="auto"/>
                <w:sz w:val="24"/>
                <w:highlight w:val="none"/>
              </w:rPr>
            </w:pPr>
            <w:r>
              <w:rPr>
                <w:rFonts w:hint="eastAsia"/>
                <w:color w:val="auto"/>
                <w:sz w:val="24"/>
                <w:highlight w:val="none"/>
              </w:rPr>
              <w:t>销售业绩：</w:t>
            </w:r>
          </w:p>
          <w:p>
            <w:pPr>
              <w:rPr>
                <w:color w:val="auto"/>
                <w:sz w:val="24"/>
                <w:highlight w:val="none"/>
              </w:rPr>
            </w:pPr>
            <w:r>
              <w:rPr>
                <w:rFonts w:hint="eastAsia"/>
                <w:color w:val="auto"/>
                <w:sz w:val="24"/>
                <w:highlight w:val="none"/>
                <w:lang w:eastAsia="zh-CN"/>
              </w:rPr>
              <w:t>除颤仪和中央监护系统</w:t>
            </w:r>
            <w:r>
              <w:rPr>
                <w:rFonts w:hint="eastAsia"/>
                <w:color w:val="auto"/>
                <w:sz w:val="24"/>
                <w:highlight w:val="none"/>
              </w:rPr>
              <w:t>合同签订时间自</w:t>
            </w:r>
            <w:r>
              <w:rPr>
                <w:rFonts w:hint="eastAsia"/>
                <w:color w:val="auto"/>
                <w:sz w:val="24"/>
                <w:highlight w:val="none"/>
                <w:u w:val="single"/>
              </w:rPr>
              <w:t>2022</w:t>
            </w:r>
            <w:r>
              <w:rPr>
                <w:rFonts w:hint="eastAsia"/>
                <w:color w:val="auto"/>
                <w:sz w:val="24"/>
                <w:highlight w:val="none"/>
              </w:rPr>
              <w:t>年1月1日以来的，与最终用户签订的销售业绩，每提供一份与投标同品牌同型号</w:t>
            </w:r>
            <w:r>
              <w:rPr>
                <w:rFonts w:hint="eastAsia"/>
                <w:color w:val="auto"/>
                <w:sz w:val="24"/>
                <w:highlight w:val="none"/>
                <w:lang w:eastAsia="zh-CN"/>
              </w:rPr>
              <w:t>除颤仪和中央监护系统</w:t>
            </w:r>
            <w:bookmarkStart w:id="400" w:name="_GoBack"/>
            <w:bookmarkEnd w:id="400"/>
            <w:r>
              <w:rPr>
                <w:rFonts w:hint="eastAsia"/>
                <w:color w:val="auto"/>
                <w:sz w:val="24"/>
                <w:highlight w:val="none"/>
              </w:rPr>
              <w:t>销售业绩得</w:t>
            </w:r>
            <w:r>
              <w:rPr>
                <w:rFonts w:hint="eastAsia"/>
                <w:color w:val="auto"/>
                <w:sz w:val="24"/>
                <w:highlight w:val="none"/>
                <w:u w:val="single"/>
              </w:rPr>
              <w:t>1</w:t>
            </w:r>
            <w:r>
              <w:rPr>
                <w:rFonts w:hint="eastAsia"/>
                <w:color w:val="auto"/>
                <w:sz w:val="24"/>
                <w:highlight w:val="none"/>
              </w:rPr>
              <w:t>分，最高得</w:t>
            </w:r>
            <w:r>
              <w:rPr>
                <w:rFonts w:hint="eastAsia"/>
                <w:color w:val="auto"/>
                <w:sz w:val="24"/>
                <w:highlight w:val="none"/>
                <w:u w:val="single"/>
              </w:rPr>
              <w:t>2</w:t>
            </w:r>
            <w:r>
              <w:rPr>
                <w:rFonts w:hint="eastAsia"/>
                <w:color w:val="auto"/>
                <w:sz w:val="24"/>
                <w:highlight w:val="none"/>
              </w:rPr>
              <w:t>分。（要求提供完整的合同复印件，能清楚辨析设备名称型号）</w:t>
            </w:r>
          </w:p>
          <w:p>
            <w:pPr>
              <w:rPr>
                <w:color w:val="auto"/>
                <w:sz w:val="24"/>
                <w:highlight w:val="none"/>
              </w:rPr>
            </w:pPr>
            <w:r>
              <w:rPr>
                <w:rFonts w:hint="eastAsia"/>
                <w:color w:val="auto"/>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color w:val="auto"/>
                <w:sz w:val="24"/>
                <w:highlight w:val="none"/>
              </w:rPr>
            </w:pPr>
            <w:r>
              <w:rPr>
                <w:rFonts w:hint="eastAsia"/>
                <w:color w:val="auto"/>
                <w:sz w:val="24"/>
                <w:highlight w:val="none"/>
                <w:lang w:val="en-US" w:eastAsia="zh-CN"/>
              </w:rPr>
              <w:t>2</w:t>
            </w:r>
            <w:r>
              <w:rPr>
                <w:rFonts w:hint="eastAsia"/>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color w:val="auto"/>
                <w:sz w:val="24"/>
                <w:highlight w:val="none"/>
              </w:rPr>
            </w:pPr>
            <w:r>
              <w:rPr>
                <w:rFonts w:hint="eastAsia"/>
                <w:color w:val="auto"/>
                <w:sz w:val="24"/>
                <w:highlight w:val="none"/>
              </w:rPr>
              <w:t>2、</w:t>
            </w:r>
          </w:p>
        </w:tc>
        <w:tc>
          <w:tcPr>
            <w:tcW w:w="6828" w:type="dxa"/>
          </w:tcPr>
          <w:p>
            <w:pPr>
              <w:snapToGrid w:val="0"/>
              <w:rPr>
                <w:rFonts w:hAnsi="宋体"/>
                <w:color w:val="auto"/>
                <w:sz w:val="24"/>
                <w:highlight w:val="none"/>
              </w:rPr>
            </w:pPr>
            <w:r>
              <w:rPr>
                <w:rFonts w:hint="eastAsia"/>
                <w:color w:val="auto"/>
                <w:sz w:val="24"/>
                <w:highlight w:val="none"/>
              </w:rPr>
              <w:t>【客观</w:t>
            </w:r>
            <w:r>
              <w:rPr>
                <w:rFonts w:hint="eastAsia" w:hAnsi="宋体"/>
                <w:color w:val="auto"/>
                <w:sz w:val="24"/>
                <w:highlight w:val="none"/>
              </w:rPr>
              <w:t>分】</w:t>
            </w:r>
          </w:p>
          <w:p>
            <w:pPr>
              <w:snapToGrid w:val="0"/>
              <w:rPr>
                <w:rFonts w:hAnsi="宋体"/>
                <w:color w:val="auto"/>
                <w:sz w:val="24"/>
                <w:highlight w:val="none"/>
              </w:rPr>
            </w:pPr>
            <w:r>
              <w:rPr>
                <w:rFonts w:hint="eastAsia" w:hAnsi="宋体"/>
                <w:color w:val="auto"/>
                <w:sz w:val="24"/>
                <w:highlight w:val="none"/>
              </w:rPr>
              <w:t>采购需求符合度：</w:t>
            </w:r>
          </w:p>
          <w:p>
            <w:pPr>
              <w:snapToGrid w:val="0"/>
              <w:ind w:firstLine="400" w:firstLineChars="167"/>
              <w:rPr>
                <w:rFonts w:hAnsi="宋体"/>
                <w:color w:val="auto"/>
                <w:sz w:val="24"/>
                <w:highlight w:val="none"/>
              </w:rPr>
            </w:pPr>
            <w:r>
              <w:rPr>
                <w:rFonts w:hint="eastAsia" w:hAnsi="宋体"/>
                <w:color w:val="auto"/>
                <w:sz w:val="24"/>
                <w:highlight w:val="none"/>
              </w:rPr>
              <w:t>对应于采购需求中带“</w:t>
            </w:r>
            <w:r>
              <w:rPr>
                <w:rFonts w:hint="eastAsia" w:ascii="宋体" w:hAnsi="宋体"/>
                <w:color w:val="auto"/>
                <w:highlight w:val="none"/>
              </w:rPr>
              <w:t>▲</w:t>
            </w:r>
            <w:r>
              <w:rPr>
                <w:rFonts w:hAnsi="宋体"/>
                <w:color w:val="auto"/>
                <w:sz w:val="24"/>
                <w:highlight w:val="none"/>
              </w:rPr>
              <w:t>”</w:t>
            </w:r>
            <w:r>
              <w:rPr>
                <w:rFonts w:hint="eastAsia" w:hAnsi="宋体"/>
                <w:color w:val="auto"/>
                <w:sz w:val="24"/>
                <w:highlight w:val="none"/>
              </w:rPr>
              <w:t>号条款不满足采购文件要求的，每一项扣减</w:t>
            </w:r>
            <w:r>
              <w:rPr>
                <w:rFonts w:hint="eastAsia" w:hAnsi="宋体"/>
                <w:color w:val="auto"/>
                <w:sz w:val="24"/>
                <w:highlight w:val="none"/>
                <w:u w:val="single"/>
                <w:lang w:val="en-US" w:eastAsia="zh-CN"/>
              </w:rPr>
              <w:t>4</w:t>
            </w:r>
            <w:r>
              <w:rPr>
                <w:rFonts w:hint="eastAsia" w:hAnsi="宋体"/>
                <w:color w:val="auto"/>
                <w:sz w:val="24"/>
                <w:highlight w:val="none"/>
              </w:rPr>
              <w:t>分，其他条款不满足采购文件要求的，每一项扣减</w:t>
            </w:r>
            <w:r>
              <w:rPr>
                <w:rFonts w:hint="eastAsia" w:hAnsi="宋体"/>
                <w:color w:val="auto"/>
                <w:sz w:val="24"/>
                <w:highlight w:val="none"/>
                <w:u w:val="single"/>
                <w:lang w:val="en-US" w:eastAsia="zh-CN"/>
              </w:rPr>
              <w:t>1</w:t>
            </w:r>
            <w:r>
              <w:rPr>
                <w:rFonts w:hint="eastAsia" w:hAnsi="宋体"/>
                <w:color w:val="auto"/>
                <w:sz w:val="24"/>
                <w:highlight w:val="none"/>
              </w:rPr>
              <w:t>分。本项最高得</w:t>
            </w:r>
            <w:r>
              <w:rPr>
                <w:rFonts w:hint="eastAsia" w:hAnsi="宋体"/>
                <w:color w:val="auto"/>
                <w:sz w:val="24"/>
                <w:highlight w:val="none"/>
                <w:lang w:val="en-US" w:eastAsia="zh-CN"/>
              </w:rPr>
              <w:t>50</w:t>
            </w:r>
            <w:r>
              <w:rPr>
                <w:rFonts w:hint="eastAsia" w:hAnsi="宋体"/>
                <w:color w:val="auto"/>
                <w:sz w:val="24"/>
                <w:highlight w:val="none"/>
                <w:u w:val="single"/>
              </w:rPr>
              <w:t>分</w:t>
            </w:r>
            <w:r>
              <w:rPr>
                <w:rFonts w:hint="eastAsia" w:hAnsi="宋体"/>
                <w:color w:val="auto"/>
                <w:sz w:val="24"/>
                <w:highlight w:val="none"/>
              </w:rPr>
              <w:t>，最低得0分。</w:t>
            </w:r>
          </w:p>
          <w:p>
            <w:pPr>
              <w:snapToGrid w:val="0"/>
              <w:ind w:firstLine="400" w:firstLineChars="167"/>
              <w:rPr>
                <w:rFonts w:hAnsi="宋体"/>
                <w:color w:val="auto"/>
                <w:sz w:val="24"/>
                <w:highlight w:val="none"/>
              </w:rPr>
            </w:pPr>
            <w:r>
              <w:rPr>
                <w:rFonts w:hint="eastAsia" w:hAnsi="宋体"/>
                <w:color w:val="auto"/>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color w:val="auto"/>
                <w:sz w:val="22"/>
                <w:szCs w:val="22"/>
                <w:highlight w:val="none"/>
              </w:rPr>
              <w:t>（有特别注明要求的除外）</w:t>
            </w:r>
            <w:r>
              <w:rPr>
                <w:rFonts w:hint="eastAsia" w:hAnsi="宋体"/>
                <w:color w:val="auto"/>
                <w:sz w:val="24"/>
                <w:highlight w:val="none"/>
              </w:rPr>
              <w:t>：</w:t>
            </w:r>
          </w:p>
          <w:p>
            <w:pPr>
              <w:snapToGrid w:val="0"/>
              <w:ind w:firstLine="400" w:firstLineChars="167"/>
              <w:rPr>
                <w:rFonts w:hAnsi="宋体"/>
                <w:color w:val="auto"/>
                <w:sz w:val="24"/>
                <w:highlight w:val="none"/>
              </w:rPr>
            </w:pPr>
            <w:r>
              <w:rPr>
                <w:rFonts w:hint="eastAsia" w:hAnsi="宋体"/>
                <w:color w:val="auto"/>
                <w:sz w:val="24"/>
                <w:highlight w:val="none"/>
              </w:rPr>
              <w:t>1）生产制造商公开对外宣传的带有响应技术参数或功能的产品彩页，为响应而临时打印的无效。</w:t>
            </w:r>
          </w:p>
          <w:p>
            <w:pPr>
              <w:snapToGrid w:val="0"/>
              <w:ind w:firstLine="400" w:firstLineChars="167"/>
              <w:rPr>
                <w:rFonts w:hAnsi="宋体"/>
                <w:color w:val="auto"/>
                <w:sz w:val="24"/>
                <w:highlight w:val="none"/>
              </w:rPr>
            </w:pPr>
            <w:r>
              <w:rPr>
                <w:rFonts w:hint="eastAsia" w:hAnsi="宋体"/>
                <w:color w:val="auto"/>
                <w:sz w:val="24"/>
                <w:highlight w:val="none"/>
              </w:rPr>
              <w:t>2）加盖生产制造商公章的技术白皮书。</w:t>
            </w:r>
          </w:p>
          <w:p>
            <w:pPr>
              <w:snapToGrid w:val="0"/>
              <w:ind w:firstLine="400" w:firstLineChars="167"/>
              <w:rPr>
                <w:rFonts w:hAnsi="宋体"/>
                <w:color w:val="auto"/>
                <w:sz w:val="24"/>
                <w:highlight w:val="none"/>
              </w:rPr>
            </w:pPr>
            <w:r>
              <w:rPr>
                <w:rFonts w:hint="eastAsia" w:hAnsi="宋体"/>
                <w:color w:val="auto"/>
                <w:sz w:val="24"/>
                <w:highlight w:val="none"/>
              </w:rPr>
              <w:t>3）可在生产制造商官网查询到的产品技术参数或功能，需提供官网截图和网址等信息。</w:t>
            </w:r>
          </w:p>
          <w:p>
            <w:pPr>
              <w:snapToGrid w:val="0"/>
              <w:ind w:firstLine="400" w:firstLineChars="167"/>
              <w:rPr>
                <w:rFonts w:hAnsi="宋体"/>
                <w:color w:val="auto"/>
                <w:sz w:val="24"/>
                <w:highlight w:val="none"/>
              </w:rPr>
            </w:pPr>
            <w:r>
              <w:rPr>
                <w:rFonts w:hint="eastAsia" w:hAnsi="宋体"/>
                <w:color w:val="auto"/>
                <w:sz w:val="24"/>
                <w:highlight w:val="none"/>
              </w:rPr>
              <w:t>4）评审委员会认可的其他有效证明（包括但不限于第三方检测报告、加盖生产制造商的证明材料等）。</w:t>
            </w:r>
          </w:p>
          <w:p>
            <w:pPr>
              <w:snapToGrid w:val="0"/>
              <w:ind w:firstLine="400" w:firstLineChars="167"/>
              <w:rPr>
                <w:rFonts w:hAnsi="宋体"/>
                <w:color w:val="auto"/>
                <w:sz w:val="24"/>
                <w:highlight w:val="none"/>
              </w:rPr>
            </w:pPr>
            <w:r>
              <w:rPr>
                <w:rFonts w:hint="eastAsia" w:hAnsi="宋体"/>
                <w:color w:val="auto"/>
                <w:sz w:val="24"/>
                <w:highlight w:val="none"/>
              </w:rPr>
              <w:t>2、其他项采购要求中有具体数据的，应在《商务技术偏离表》中提供具体数据响应，不能简单响应为“具备”或“有”等，否则视为不满足采购文件要求。</w:t>
            </w:r>
          </w:p>
          <w:p>
            <w:pPr>
              <w:spacing w:line="420" w:lineRule="exact"/>
              <w:jc w:val="left"/>
              <w:rPr>
                <w:color w:val="auto"/>
                <w:highlight w:val="none"/>
              </w:rPr>
            </w:pPr>
            <w:r>
              <w:rPr>
                <w:rFonts w:hint="eastAsia" w:hAnsi="宋体"/>
                <w:color w:val="auto"/>
                <w:sz w:val="24"/>
                <w:highlight w:val="none"/>
              </w:rPr>
              <w:t>3、带“</w:t>
            </w:r>
            <w:r>
              <w:rPr>
                <w:rFonts w:hint="eastAsia" w:ascii="宋体" w:hAnsi="宋体"/>
                <w:color w:val="auto"/>
                <w:highlight w:val="none"/>
              </w:rPr>
              <w:t>▲</w:t>
            </w:r>
            <w:r>
              <w:rPr>
                <w:rFonts w:hAnsi="宋体"/>
                <w:color w:val="auto"/>
                <w:sz w:val="24"/>
                <w:highlight w:val="none"/>
              </w:rPr>
              <w:t>”</w:t>
            </w:r>
            <w:r>
              <w:rPr>
                <w:rFonts w:hint="eastAsia" w:hAnsi="宋体"/>
                <w:color w:val="auto"/>
                <w:sz w:val="24"/>
                <w:highlight w:val="none"/>
              </w:rPr>
              <w:t>号项提供满足技术参数的佐证资料并在偏离表中标明佐证资料页码。</w:t>
            </w:r>
          </w:p>
        </w:tc>
        <w:tc>
          <w:tcPr>
            <w:tcW w:w="792" w:type="dxa"/>
            <w:vAlign w:val="center"/>
          </w:tcPr>
          <w:p>
            <w:pPr>
              <w:spacing w:before="156" w:beforeLines="50" w:after="156" w:afterLines="50"/>
              <w:jc w:val="center"/>
              <w:rPr>
                <w:bCs/>
                <w:color w:val="auto"/>
                <w:sz w:val="24"/>
                <w:highlight w:val="none"/>
              </w:rPr>
            </w:pPr>
            <w:r>
              <w:rPr>
                <w:rFonts w:hint="eastAsia" w:hAnsi="宋体"/>
                <w:bCs/>
                <w:color w:val="auto"/>
                <w:sz w:val="24"/>
                <w:highlight w:val="none"/>
                <w:u w:val="single"/>
                <w:lang w:val="en-US" w:eastAsia="zh-CN"/>
              </w:rPr>
              <w:t>50</w:t>
            </w:r>
            <w:r>
              <w:rPr>
                <w:rFonts w:hint="eastAsia" w:hAnsi="宋体"/>
                <w:bCs/>
                <w:color w:val="auto"/>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auto"/>
                <w:sz w:val="24"/>
                <w:highlight w:val="none"/>
              </w:rPr>
            </w:pPr>
            <w:r>
              <w:rPr>
                <w:rFonts w:hint="eastAsia"/>
                <w:color w:val="auto"/>
                <w:sz w:val="24"/>
                <w:highlight w:val="none"/>
              </w:rPr>
              <w:t>3、</w:t>
            </w:r>
          </w:p>
        </w:tc>
        <w:tc>
          <w:tcPr>
            <w:tcW w:w="6828" w:type="dxa"/>
            <w:vAlign w:val="center"/>
          </w:tcPr>
          <w:p>
            <w:pPr>
              <w:rPr>
                <w:color w:val="auto"/>
                <w:sz w:val="24"/>
                <w:highlight w:val="none"/>
              </w:rPr>
            </w:pPr>
            <w:r>
              <w:rPr>
                <w:rFonts w:hint="eastAsia" w:ascii="宋体" w:hAnsi="宋体"/>
                <w:color w:val="auto"/>
                <w:sz w:val="24"/>
                <w:highlight w:val="none"/>
              </w:rPr>
              <w:t>【主观分】</w:t>
            </w:r>
          </w:p>
          <w:p>
            <w:pPr>
              <w:rPr>
                <w:color w:val="auto"/>
                <w:sz w:val="24"/>
                <w:highlight w:val="none"/>
              </w:rPr>
            </w:pPr>
            <w:r>
              <w:rPr>
                <w:rFonts w:hint="eastAsia"/>
                <w:color w:val="auto"/>
                <w:sz w:val="24"/>
                <w:highlight w:val="none"/>
              </w:rPr>
              <w:t>售后服务：</w:t>
            </w:r>
          </w:p>
          <w:p>
            <w:pPr>
              <w:rPr>
                <w:color w:val="auto"/>
                <w:sz w:val="24"/>
                <w:highlight w:val="none"/>
              </w:rPr>
            </w:pPr>
            <w:r>
              <w:rPr>
                <w:rFonts w:hint="eastAsia"/>
                <w:color w:val="auto"/>
                <w:sz w:val="24"/>
                <w:highlight w:val="none"/>
              </w:rPr>
              <w:t>1、售后服务方案：提供详细售后服务方案，如售后服务网点的分布情况、售后服务机构备品备件储备，售后服务机构技术服务人员情况、开展定期巡检、故障解决方案、应急措施等综合评审。</w:t>
            </w:r>
          </w:p>
          <w:p>
            <w:pPr>
              <w:rPr>
                <w:color w:val="auto"/>
                <w:sz w:val="24"/>
                <w:highlight w:val="none"/>
              </w:rPr>
            </w:pPr>
            <w:r>
              <w:rPr>
                <w:rFonts w:hint="eastAsia"/>
                <w:color w:val="auto"/>
                <w:sz w:val="24"/>
                <w:highlight w:val="none"/>
              </w:rPr>
              <w:t>要求响应时间短，解决方案充分，备品备件储备充足，人员配备合理售后服务经验丰富。（评分范围：5，4，3，2，1，0）。</w:t>
            </w:r>
          </w:p>
          <w:p>
            <w:pPr>
              <w:rPr>
                <w:color w:val="auto"/>
                <w:sz w:val="24"/>
                <w:highlight w:val="none"/>
              </w:rPr>
            </w:pPr>
            <w:r>
              <w:rPr>
                <w:rFonts w:hint="eastAsia"/>
                <w:color w:val="auto"/>
                <w:sz w:val="24"/>
                <w:highlight w:val="none"/>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olor w:val="auto"/>
                <w:sz w:val="24"/>
                <w:highlight w:val="none"/>
                <w:lang w:val="en-US" w:eastAsia="zh-CN"/>
              </w:rPr>
              <w:t>5，</w:t>
            </w:r>
            <w:r>
              <w:rPr>
                <w:rFonts w:hint="eastAsia"/>
                <w:color w:val="auto"/>
                <w:sz w:val="24"/>
                <w:highlight w:val="none"/>
              </w:rPr>
              <w:t>4，3，2，1，0）。</w:t>
            </w:r>
          </w:p>
        </w:tc>
        <w:tc>
          <w:tcPr>
            <w:tcW w:w="792" w:type="dxa"/>
            <w:vAlign w:val="center"/>
          </w:tcPr>
          <w:p>
            <w:pPr>
              <w:spacing w:before="156" w:beforeLines="50" w:after="156" w:afterLines="50"/>
              <w:jc w:val="center"/>
              <w:rPr>
                <w:b/>
                <w:bCs/>
                <w:color w:val="auto"/>
                <w:sz w:val="24"/>
                <w:highlight w:val="none"/>
              </w:rPr>
            </w:pPr>
            <w:r>
              <w:rPr>
                <w:rFonts w:hint="eastAsia" w:hAnsi="宋体"/>
                <w:bCs/>
                <w:color w:val="auto"/>
                <w:sz w:val="24"/>
                <w:highlight w:val="none"/>
                <w:u w:val="single"/>
                <w:lang w:val="en-US" w:eastAsia="zh-CN"/>
              </w:rPr>
              <w:t>10</w:t>
            </w:r>
            <w:r>
              <w:rPr>
                <w:rFonts w:hint="eastAsia" w:hAnsi="宋体"/>
                <w:bCs/>
                <w:color w:val="auto"/>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color w:val="auto"/>
                <w:sz w:val="24"/>
                <w:highlight w:val="none"/>
              </w:rPr>
            </w:pPr>
            <w:r>
              <w:rPr>
                <w:rFonts w:hint="eastAsia"/>
                <w:color w:val="auto"/>
                <w:sz w:val="24"/>
                <w:highlight w:val="none"/>
              </w:rPr>
              <w:t>4、</w:t>
            </w:r>
          </w:p>
        </w:tc>
        <w:tc>
          <w:tcPr>
            <w:tcW w:w="6828" w:type="dxa"/>
          </w:tcPr>
          <w:p>
            <w:pPr>
              <w:rPr>
                <w:rFonts w:ascii="宋体" w:hAnsi="宋体"/>
                <w:color w:val="auto"/>
                <w:sz w:val="24"/>
                <w:highlight w:val="none"/>
              </w:rPr>
            </w:pPr>
            <w:r>
              <w:rPr>
                <w:rFonts w:hint="eastAsia" w:ascii="宋体" w:hAnsi="宋体"/>
                <w:color w:val="auto"/>
                <w:sz w:val="24"/>
                <w:highlight w:val="none"/>
              </w:rPr>
              <w:t>【主观分】</w:t>
            </w:r>
          </w:p>
          <w:p>
            <w:pPr>
              <w:rPr>
                <w:rFonts w:ascii="宋体" w:hAnsi="宋体"/>
                <w:color w:val="auto"/>
                <w:sz w:val="24"/>
                <w:highlight w:val="none"/>
              </w:rPr>
            </w:pPr>
            <w:r>
              <w:rPr>
                <w:rFonts w:hint="eastAsia" w:ascii="宋体" w:hAnsi="宋体"/>
                <w:color w:val="auto"/>
                <w:sz w:val="24"/>
                <w:highlight w:val="none"/>
              </w:rPr>
              <w:t>安装调试及验收方案：</w:t>
            </w:r>
          </w:p>
          <w:p>
            <w:pPr>
              <w:rPr>
                <w:color w:val="auto"/>
                <w:sz w:val="24"/>
                <w:highlight w:val="none"/>
              </w:rPr>
            </w:pPr>
            <w:r>
              <w:rPr>
                <w:rFonts w:hint="eastAsia"/>
                <w:color w:val="auto"/>
                <w:sz w:val="24"/>
                <w:highlight w:val="none"/>
              </w:rPr>
              <w:t>根据商务要求中的</w:t>
            </w:r>
            <w:r>
              <w:rPr>
                <w:rFonts w:hint="eastAsia" w:ascii="宋体" w:hAnsi="宋体"/>
                <w:color w:val="auto"/>
                <w:sz w:val="24"/>
                <w:highlight w:val="none"/>
              </w:rPr>
              <w:t>安装调试</w:t>
            </w:r>
            <w:r>
              <w:rPr>
                <w:rFonts w:hint="eastAsia"/>
                <w:color w:val="auto"/>
                <w:sz w:val="24"/>
                <w:highlight w:val="none"/>
              </w:rPr>
              <w:t>要求和</w:t>
            </w:r>
            <w:r>
              <w:rPr>
                <w:rFonts w:hint="eastAsia" w:ascii="宋体" w:hAnsi="宋体"/>
                <w:color w:val="auto"/>
                <w:sz w:val="24"/>
                <w:highlight w:val="none"/>
              </w:rPr>
              <w:t>验收要求</w:t>
            </w:r>
            <w:r>
              <w:rPr>
                <w:rFonts w:hint="eastAsia"/>
                <w:color w:val="auto"/>
                <w:sz w:val="24"/>
                <w:highlight w:val="none"/>
              </w:rPr>
              <w:t>，提供详细的</w:t>
            </w:r>
            <w:r>
              <w:rPr>
                <w:rFonts w:hint="eastAsia" w:ascii="宋体" w:hAnsi="宋体"/>
                <w:color w:val="auto"/>
                <w:sz w:val="24"/>
                <w:highlight w:val="none"/>
              </w:rPr>
              <w:t>安装调试方案和验收方案</w:t>
            </w:r>
            <w:r>
              <w:rPr>
                <w:rFonts w:hint="eastAsia"/>
                <w:color w:val="auto"/>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156" w:beforeLines="50" w:after="156" w:afterLines="50" w:line="276" w:lineRule="auto"/>
              <w:jc w:val="center"/>
              <w:rPr>
                <w:bCs/>
                <w:color w:val="auto"/>
                <w:sz w:val="24"/>
                <w:highlight w:val="none"/>
              </w:rPr>
            </w:pPr>
            <w:r>
              <w:rPr>
                <w:rFonts w:hint="eastAsia" w:hAnsi="宋体"/>
                <w:bCs/>
                <w:color w:val="auto"/>
                <w:sz w:val="24"/>
                <w:highlight w:val="none"/>
                <w:u w:val="single"/>
                <w:lang w:val="en-US" w:eastAsia="zh-CN"/>
              </w:rPr>
              <w:t>4</w:t>
            </w:r>
            <w:r>
              <w:rPr>
                <w:rFonts w:hint="eastAsia" w:hAnsi="宋体"/>
                <w:bCs/>
                <w:color w:val="auto"/>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color w:val="auto"/>
                <w:sz w:val="24"/>
                <w:highlight w:val="none"/>
              </w:rPr>
            </w:pPr>
            <w:r>
              <w:rPr>
                <w:rFonts w:hint="eastAsia" w:cs="宋体"/>
                <w:color w:val="auto"/>
                <w:sz w:val="24"/>
                <w:highlight w:val="none"/>
              </w:rPr>
              <w:t>5、</w:t>
            </w:r>
          </w:p>
        </w:tc>
        <w:tc>
          <w:tcPr>
            <w:tcW w:w="6828" w:type="dxa"/>
            <w:vAlign w:val="center"/>
          </w:tcPr>
          <w:p>
            <w:pPr>
              <w:rPr>
                <w:rFonts w:ascii="宋体" w:hAnsi="宋体"/>
                <w:color w:val="auto"/>
                <w:sz w:val="24"/>
                <w:highlight w:val="none"/>
              </w:rPr>
            </w:pPr>
            <w:r>
              <w:rPr>
                <w:rFonts w:hint="eastAsia" w:ascii="宋体" w:hAnsi="宋体"/>
                <w:color w:val="auto"/>
                <w:sz w:val="24"/>
                <w:highlight w:val="none"/>
              </w:rPr>
              <w:t>【主观分】</w:t>
            </w:r>
          </w:p>
          <w:p>
            <w:pPr>
              <w:rPr>
                <w:color w:val="auto"/>
                <w:sz w:val="24"/>
                <w:highlight w:val="none"/>
              </w:rPr>
            </w:pPr>
            <w:r>
              <w:rPr>
                <w:rFonts w:hint="eastAsia"/>
                <w:color w:val="auto"/>
                <w:sz w:val="24"/>
                <w:highlight w:val="none"/>
              </w:rPr>
              <w:t>培训方案：</w:t>
            </w:r>
          </w:p>
          <w:p>
            <w:pPr>
              <w:rPr>
                <w:rFonts w:ascii="宋体" w:hAnsi="宋体"/>
                <w:color w:val="auto"/>
                <w:sz w:val="24"/>
                <w:highlight w:val="none"/>
              </w:rPr>
            </w:pPr>
            <w:r>
              <w:rPr>
                <w:rFonts w:hint="eastAsia"/>
                <w:color w:val="auto"/>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bCs/>
                <w:color w:val="auto"/>
                <w:sz w:val="24"/>
                <w:highlight w:val="none"/>
              </w:rPr>
            </w:pPr>
            <w:r>
              <w:rPr>
                <w:rFonts w:hint="eastAsia"/>
                <w:bCs/>
                <w:color w:val="auto"/>
                <w:sz w:val="24"/>
                <w:highlight w:val="none"/>
                <w:u w:val="single"/>
                <w:lang w:val="en-US" w:eastAsia="zh-CN"/>
              </w:rPr>
              <w:t>4</w:t>
            </w:r>
            <w:r>
              <w:rPr>
                <w:rFonts w:hint="eastAsia"/>
                <w:bCs/>
                <w:color w:val="auto"/>
                <w:sz w:val="24"/>
                <w:highlight w:val="none"/>
                <w:u w:val="single"/>
              </w:rPr>
              <w:t>分</w:t>
            </w:r>
          </w:p>
        </w:tc>
      </w:tr>
    </w:tbl>
    <w:p>
      <w:pPr>
        <w:rPr>
          <w:color w:val="auto"/>
          <w:highlight w:val="none"/>
        </w:rPr>
      </w:pPr>
    </w:p>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pStyle w:val="2"/>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63A10"/>
    <w:rsid w:val="01EC2C57"/>
    <w:rsid w:val="024F7FEB"/>
    <w:rsid w:val="026B2E25"/>
    <w:rsid w:val="026F5F9E"/>
    <w:rsid w:val="02824D4D"/>
    <w:rsid w:val="02A95A35"/>
    <w:rsid w:val="02DC4B10"/>
    <w:rsid w:val="02DD76CE"/>
    <w:rsid w:val="02F36323"/>
    <w:rsid w:val="02F5619C"/>
    <w:rsid w:val="0313324A"/>
    <w:rsid w:val="0326446A"/>
    <w:rsid w:val="032D5555"/>
    <w:rsid w:val="036634D2"/>
    <w:rsid w:val="03CA4BC5"/>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311A4C"/>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233D3"/>
    <w:rsid w:val="17557BEF"/>
    <w:rsid w:val="175A00C7"/>
    <w:rsid w:val="17B370D5"/>
    <w:rsid w:val="17C93091"/>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713184"/>
    <w:rsid w:val="1BA209CF"/>
    <w:rsid w:val="1BB4777D"/>
    <w:rsid w:val="1BD75AB8"/>
    <w:rsid w:val="1C0459C2"/>
    <w:rsid w:val="1C1B3B4A"/>
    <w:rsid w:val="1C88086E"/>
    <w:rsid w:val="1CBB1BB0"/>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5C4B99"/>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A53EC8"/>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6C41A1"/>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3D3FF1"/>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40C6C"/>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5CF7EB5"/>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8B3467"/>
    <w:rsid w:val="47B025FA"/>
    <w:rsid w:val="48054938"/>
    <w:rsid w:val="4809698F"/>
    <w:rsid w:val="480A1FEE"/>
    <w:rsid w:val="480A20FF"/>
    <w:rsid w:val="4811697D"/>
    <w:rsid w:val="481F54E4"/>
    <w:rsid w:val="487A3E25"/>
    <w:rsid w:val="488B5503"/>
    <w:rsid w:val="48937E21"/>
    <w:rsid w:val="48975984"/>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176EFD"/>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04398A"/>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B7FCE"/>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1375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0C274B"/>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7256A0"/>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CD3516"/>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文本 31"/>
    <w:basedOn w:val="1"/>
    <w:qFormat/>
    <w:uiPriority w:val="0"/>
    <w:pPr>
      <w:spacing w:after="120"/>
    </w:pPr>
    <w:rPr>
      <w:sz w:val="16"/>
      <w:szCs w:val="16"/>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15"/>
    <w:qFormat/>
    <w:uiPriority w:val="99"/>
    <w:pPr>
      <w:ind w:firstLine="420"/>
    </w:pPr>
    <w:rPr>
      <w:rFonts w:hAnsi="Calibri" w:cs="Times New Roman"/>
      <w:snapToGrid/>
      <w:szCs w:val="20"/>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basedOn w:val="73"/>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1</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2025-07-09T06:53:05Z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