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cs="宋体"/>
          <w:b/>
          <w:bCs/>
          <w:sz w:val="48"/>
          <w:szCs w:val="48"/>
          <w:lang w:eastAsia="zh-CN"/>
        </w:rPr>
      </w:pPr>
      <w:r>
        <w:rPr>
          <w:rFonts w:hint="eastAsia" w:ascii="宋体" w:hAnsi="宋体" w:cs="宋体"/>
          <w:b/>
          <w:bCs/>
          <w:sz w:val="48"/>
          <w:szCs w:val="48"/>
        </w:rPr>
        <w:t>诸暨市</w:t>
      </w:r>
      <w:r>
        <w:rPr>
          <w:rFonts w:hint="eastAsia" w:ascii="宋体" w:hAnsi="宋体" w:cs="宋体"/>
          <w:b/>
          <w:bCs/>
          <w:sz w:val="48"/>
          <w:szCs w:val="48"/>
          <w:lang w:eastAsia="zh-CN"/>
        </w:rPr>
        <w:t>第三人民医院医疗器械</w:t>
      </w:r>
    </w:p>
    <w:p>
      <w:pPr>
        <w:adjustRightInd/>
        <w:spacing w:line="360" w:lineRule="auto"/>
        <w:jc w:val="center"/>
        <w:rPr>
          <w:rFonts w:ascii="宋体" w:hAnsi="宋体" w:cs="宋体"/>
          <w:b/>
          <w:bCs/>
          <w:sz w:val="48"/>
          <w:szCs w:val="48"/>
        </w:rPr>
      </w:pPr>
      <w:r>
        <w:rPr>
          <w:rFonts w:hint="eastAsia" w:ascii="宋体" w:hAnsi="宋体" w:cs="宋体"/>
          <w:b/>
          <w:bCs/>
          <w:sz w:val="48"/>
          <w:szCs w:val="48"/>
        </w:rPr>
        <w:t>采购项目</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Cs/>
          <w:sz w:val="44"/>
          <w:szCs w:val="44"/>
        </w:rPr>
        <w:t>（电子招投标）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编号:诸政采202</w:t>
      </w:r>
      <w:r>
        <w:rPr>
          <w:rFonts w:hint="eastAsia" w:ascii="宋体" w:hAnsi="宋体" w:cs="宋体"/>
          <w:sz w:val="30"/>
          <w:szCs w:val="30"/>
          <w:lang w:val="en-US" w:eastAsia="zh-CN"/>
        </w:rPr>
        <w:t>5</w:t>
      </w:r>
      <w:r>
        <w:rPr>
          <w:rFonts w:hint="eastAsia" w:ascii="宋体" w:hAnsi="宋体" w:cs="宋体"/>
          <w:sz w:val="30"/>
          <w:szCs w:val="30"/>
        </w:rPr>
        <w:t>-</w:t>
      </w:r>
      <w:r>
        <w:rPr>
          <w:rFonts w:hint="eastAsia" w:ascii="宋体" w:hAnsi="宋体" w:cs="宋体"/>
          <w:sz w:val="30"/>
          <w:szCs w:val="30"/>
          <w:lang w:val="en-US" w:eastAsia="zh-CN"/>
        </w:rPr>
        <w:t>07-15</w:t>
      </w:r>
    </w:p>
    <w:p>
      <w:pPr>
        <w:adjustRightInd/>
        <w:spacing w:line="360" w:lineRule="auto"/>
        <w:rPr>
          <w:rFonts w:ascii="仿宋" w:hAnsi="仿宋" w:eastAsia="仿宋" w:cs="仿宋_GB2312"/>
          <w:sz w:val="28"/>
          <w:szCs w:val="20"/>
        </w:rPr>
      </w:pPr>
    </w:p>
    <w:p>
      <w:pPr>
        <w:adjustRightInd/>
        <w:spacing w:line="360" w:lineRule="auto"/>
        <w:jc w:val="center"/>
        <w:rPr>
          <w:rFonts w:ascii="仿宋" w:hAnsi="仿宋" w:eastAsia="仿宋" w:cs="仿宋"/>
          <w:b/>
          <w:bCs/>
          <w:sz w:val="72"/>
          <w:szCs w:val="72"/>
        </w:rPr>
      </w:pP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招</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标</w:t>
      </w:r>
    </w:p>
    <w:p>
      <w:pPr>
        <w:adjustRightInd/>
        <w:spacing w:line="360" w:lineRule="auto"/>
        <w:jc w:val="center"/>
        <w:rPr>
          <w:rFonts w:ascii="仿宋" w:hAnsi="仿宋" w:eastAsia="仿宋" w:cs="仿宋"/>
          <w:b/>
          <w:bCs/>
          <w:sz w:val="72"/>
          <w:szCs w:val="72"/>
        </w:rPr>
      </w:pPr>
      <w:r>
        <w:rPr>
          <w:rFonts w:hint="eastAsia" w:ascii="仿宋" w:hAnsi="仿宋" w:eastAsia="仿宋" w:cs="仿宋"/>
          <w:b/>
          <w:bCs/>
          <w:sz w:val="72"/>
          <w:szCs w:val="72"/>
        </w:rPr>
        <w:t>文</w:t>
      </w:r>
    </w:p>
    <w:p>
      <w:pPr>
        <w:spacing w:line="360" w:lineRule="auto"/>
        <w:jc w:val="center"/>
        <w:rPr>
          <w:rFonts w:ascii="仿宋" w:hAnsi="仿宋" w:eastAsia="仿宋" w:cs="仿宋_GB2312"/>
          <w:b/>
          <w:sz w:val="44"/>
          <w:szCs w:val="44"/>
        </w:rPr>
      </w:pPr>
      <w:r>
        <w:rPr>
          <w:rFonts w:hint="eastAsia" w:ascii="仿宋" w:hAnsi="仿宋" w:eastAsia="仿宋" w:cs="仿宋"/>
          <w:b/>
          <w:bCs/>
          <w:sz w:val="72"/>
          <w:szCs w:val="72"/>
        </w:rPr>
        <w:t>件</w:t>
      </w: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诸暨市</w:t>
      </w:r>
      <w:r>
        <w:rPr>
          <w:rFonts w:hint="eastAsia" w:ascii="宋体" w:hAnsi="宋体" w:cs="宋体"/>
          <w:bCs/>
          <w:sz w:val="32"/>
          <w:szCs w:val="32"/>
          <w:lang w:eastAsia="zh-CN"/>
        </w:rPr>
        <w:t>第三人民医院</w:t>
      </w:r>
    </w:p>
    <w:p>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诸暨市公共资源交易中心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spacing w:line="360" w:lineRule="auto"/>
        <w:jc w:val="center"/>
        <w:rPr>
          <w:rFonts w:ascii="仿宋" w:hAnsi="仿宋" w:eastAsia="仿宋" w:cs="仿宋_GB2312"/>
          <w:b/>
          <w:sz w:val="48"/>
          <w:szCs w:val="48"/>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0" w:name="_Hlt91233176"/>
      <w:bookmarkEnd w:id="0"/>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宋体" w:hAnsi="宋体" w:cs="宋体"/>
          <w:b/>
          <w:sz w:val="36"/>
          <w:szCs w:val="20"/>
        </w:rPr>
      </w:pPr>
      <w:bookmarkStart w:id="2" w:name="第一部分"/>
      <w:r>
        <w:rPr>
          <w:rFonts w:ascii="仿宋" w:hAnsi="仿宋" w:eastAsia="仿宋" w:cs="仿宋_GB2312"/>
          <w:b/>
          <w:sz w:val="36"/>
          <w:szCs w:val="36"/>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bookmarkStart w:id="10" w:name="OLE_LINK1"/>
      <w:r>
        <w:rPr>
          <w:rFonts w:hint="eastAsia" w:ascii="宋体" w:hAnsi="宋体" w:cs="宋体"/>
          <w:sz w:val="24"/>
          <w:u w:val="single"/>
        </w:rPr>
        <w:t>诸暨市</w:t>
      </w:r>
      <w:r>
        <w:rPr>
          <w:rFonts w:hint="eastAsia" w:ascii="宋体" w:hAnsi="宋体" w:cs="宋体"/>
          <w:sz w:val="24"/>
          <w:u w:val="single"/>
          <w:lang w:eastAsia="zh-CN"/>
        </w:rPr>
        <w:t>第三人民医院医疗器械</w:t>
      </w:r>
      <w:r>
        <w:rPr>
          <w:rFonts w:hint="eastAsia" w:ascii="宋体" w:hAnsi="宋体" w:cs="宋体"/>
          <w:sz w:val="24"/>
          <w:u w:val="single"/>
        </w:rPr>
        <w:t>采购项目</w:t>
      </w:r>
      <w:r>
        <w:rPr>
          <w:rFonts w:hint="eastAsia" w:ascii="宋体" w:hAnsi="宋体" w:cs="宋体"/>
          <w:sz w:val="24"/>
        </w:rPr>
        <w:t>的潜在投标人应在浙江政府采购网“政府采购云平台”</w:t>
      </w:r>
      <w:r>
        <w:fldChar w:fldCharType="begin"/>
      </w:r>
      <w:r>
        <w:instrText xml:space="preserve"> HYPERLINK "https://www.zcygov.cn/）获取（下载）招标文件，并于2021年" </w:instrText>
      </w:r>
      <w:r>
        <w:fldChar w:fldCharType="separate"/>
      </w:r>
      <w:r>
        <w:rPr>
          <w:rStyle w:val="79"/>
          <w:rFonts w:hint="eastAsia" w:ascii="宋体" w:hAnsi="宋体" w:eastAsia="宋体" w:cs="宋体"/>
          <w:color w:val="auto"/>
          <w:sz w:val="24"/>
        </w:rPr>
        <w:t>获取（下载）招标文件，并于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ab/>
      </w:r>
      <w:r>
        <w:rPr>
          <w:rFonts w:hint="eastAsia" w:ascii="宋体" w:hAnsi="宋体" w:cs="宋体"/>
          <w:sz w:val="24"/>
          <w:u w:val="single"/>
          <w:lang w:val="en-US" w:eastAsia="zh-CN"/>
        </w:rPr>
        <w:t>13</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bookmarkEnd w:id="10"/>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rPr>
        <w:t>诸政采202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07</w:t>
      </w:r>
      <w:r>
        <w:rPr>
          <w:rFonts w:hint="eastAsia" w:ascii="宋体" w:hAnsi="宋体" w:cs="宋体"/>
          <w:sz w:val="24"/>
        </w:rPr>
        <w:t>-</w:t>
      </w:r>
      <w:r>
        <w:rPr>
          <w:rFonts w:hint="eastAsia" w:ascii="宋体" w:hAnsi="宋体" w:cs="宋体"/>
          <w:sz w:val="24"/>
          <w:lang w:val="en-US" w:eastAsia="zh-CN"/>
        </w:rPr>
        <w:t>15</w:t>
      </w:r>
    </w:p>
    <w:p>
      <w:pPr>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诸暨市</w:t>
      </w:r>
      <w:r>
        <w:rPr>
          <w:rFonts w:hint="eastAsia" w:ascii="宋体" w:hAnsi="宋体" w:cs="宋体"/>
          <w:sz w:val="24"/>
          <w:lang w:eastAsia="zh-CN"/>
        </w:rPr>
        <w:t>第三人民医院医疗器械</w:t>
      </w:r>
      <w:r>
        <w:rPr>
          <w:rFonts w:hint="eastAsia" w:ascii="宋体" w:hAnsi="宋体" w:cs="宋体"/>
          <w:sz w:val="24"/>
        </w:rPr>
        <w:t>采购项目</w:t>
      </w:r>
    </w:p>
    <w:p>
      <w:pPr>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sz w:val="24"/>
          <w:lang w:val="en-US" w:eastAsia="zh-CN"/>
        </w:rPr>
        <w:t>2100000元</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2100000元</w:t>
      </w:r>
    </w:p>
    <w:p>
      <w:pPr>
        <w:pStyle w:val="800"/>
        <w:autoSpaceDE w:val="0"/>
        <w:autoSpaceDN w:val="0"/>
        <w:adjustRightInd w:val="0"/>
        <w:spacing w:after="120"/>
        <w:rPr>
          <w:rFonts w:ascii="宋体" w:hAnsi="宋体" w:cs="宋体"/>
          <w:szCs w:val="24"/>
        </w:rPr>
      </w:pPr>
      <w:r>
        <w:rPr>
          <w:rFonts w:hint="eastAsia" w:ascii="宋体" w:hAnsi="宋体" w:cs="宋体"/>
          <w:b/>
        </w:rPr>
        <w:t>采购需求：</w:t>
      </w:r>
      <w:r>
        <w:rPr>
          <w:rFonts w:hint="eastAsia" w:ascii="宋体" w:hAnsi="宋体" w:cs="宋体"/>
          <w:szCs w:val="24"/>
        </w:rPr>
        <w:t>详见采购文件第三部分采购需求。</w:t>
      </w:r>
    </w:p>
    <w:p>
      <w:pPr>
        <w:spacing w:line="360" w:lineRule="auto"/>
        <w:ind w:firstLine="482" w:firstLineChars="200"/>
        <w:rPr>
          <w:rFonts w:ascii="宋体" w:hAnsi="宋体" w:cs="宋体"/>
          <w:b/>
          <w:sz w:val="24"/>
        </w:rPr>
      </w:pPr>
      <w:r>
        <w:rPr>
          <w:rFonts w:hint="eastAsia" w:ascii="宋体" w:hAnsi="宋体" w:cs="宋体"/>
          <w:b/>
          <w:sz w:val="24"/>
        </w:rPr>
        <w:t>合同履约期限：</w:t>
      </w:r>
      <w:r>
        <w:rPr>
          <w:rFonts w:hint="eastAsia" w:ascii="宋体" w:hAnsi="宋体" w:cs="宋体"/>
          <w:snapToGrid w:val="0"/>
          <w:kern w:val="28"/>
          <w:sz w:val="24"/>
        </w:rPr>
        <w:t>详见招标</w:t>
      </w:r>
      <w:r>
        <w:rPr>
          <w:rFonts w:hint="eastAsia" w:ascii="宋体" w:hAnsi="宋体" w:cs="宋体"/>
          <w:sz w:val="24"/>
        </w:rPr>
        <w:t>文件第三部分采购需求</w:t>
      </w:r>
      <w:r>
        <w:rPr>
          <w:rFonts w:hint="eastAsia" w:ascii="宋体" w:hAnsi="宋体" w:cs="宋体"/>
          <w:snapToGrid w:val="0"/>
          <w:kern w:val="28"/>
          <w:sz w:val="24"/>
        </w:rPr>
        <w:t>。</w:t>
      </w:r>
    </w:p>
    <w:p>
      <w:pPr>
        <w:pStyle w:val="5"/>
        <w:spacing w:line="360" w:lineRule="auto"/>
        <w:ind w:firstLine="482" w:firstLineChars="200"/>
        <w:rPr>
          <w:rFonts w:hAnsi="宋体" w:cs="宋体"/>
          <w:b/>
          <w:sz w:val="24"/>
        </w:rPr>
      </w:pPr>
      <w:r>
        <w:rPr>
          <w:rFonts w:hint="eastAsia" w:hAnsi="宋体" w:cs="宋体"/>
          <w:b/>
          <w:color w:val="auto"/>
          <w:sz w:val="24"/>
        </w:rPr>
        <w:t>本项目接受联合体投标：</w:t>
      </w:r>
      <w:sdt>
        <w:sdtPr>
          <w:rPr>
            <w:rFonts w:hint="eastAsia" w:hAnsi="宋体" w:cs="宋体"/>
            <w:color w:val="auto"/>
            <w:kern w:val="0"/>
            <w:sz w:val="24"/>
          </w:rPr>
          <w:id w:val="172823124"/>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bCs/>
          <w:sz w:val="24"/>
        </w:rPr>
      </w:pPr>
      <w:r>
        <w:rPr>
          <w:rFonts w:hint="eastAsia" w:ascii="宋体" w:hAnsi="宋体" w:cs="宋体"/>
          <w:bCs/>
          <w:sz w:val="24"/>
        </w:rPr>
        <w:t>1. 满足《中华人民共和国政府采购法》第二十二条规定；</w:t>
      </w:r>
    </w:p>
    <w:p>
      <w:pPr>
        <w:spacing w:line="360" w:lineRule="auto"/>
        <w:ind w:firstLine="480"/>
        <w:rPr>
          <w:rFonts w:ascii="宋体" w:hAnsi="宋体" w:cs="宋体"/>
          <w:bCs/>
          <w:sz w:val="24"/>
        </w:rPr>
      </w:pPr>
      <w:r>
        <w:rPr>
          <w:rFonts w:hint="eastAsia" w:ascii="宋体" w:hAnsi="宋体" w:cs="宋体"/>
          <w:bCs/>
          <w:sz w:val="24"/>
        </w:rPr>
        <w:t>2.未被“信用中国”（www.creditchina.gov.cn)、中国政府采购网（www.ccgp.gov.cn）列入失信被执行人、重大税收违法</w:t>
      </w:r>
      <w:r>
        <w:rPr>
          <w:rFonts w:hint="eastAsia" w:ascii="宋体" w:hAnsi="宋体" w:cs="宋体"/>
          <w:bCs/>
          <w:sz w:val="24"/>
          <w:lang w:eastAsia="zh-CN"/>
        </w:rPr>
        <w:t>失信主体</w:t>
      </w:r>
      <w:r>
        <w:rPr>
          <w:rFonts w:hint="eastAsia" w:ascii="宋体" w:hAnsi="宋体" w:cs="宋体"/>
          <w:bCs/>
          <w:sz w:val="24"/>
        </w:rPr>
        <w:t>名单、政府采购严重违法失信行为记录名单。</w:t>
      </w:r>
    </w:p>
    <w:p>
      <w:pPr>
        <w:spacing w:line="360" w:lineRule="auto"/>
        <w:ind w:firstLine="480"/>
        <w:rPr>
          <w:rFonts w:hint="eastAsia" w:ascii="宋体" w:hAnsi="宋体" w:cs="宋体"/>
          <w:bCs/>
          <w:sz w:val="24"/>
        </w:rPr>
      </w:pPr>
      <w:r>
        <w:rPr>
          <w:rFonts w:hint="eastAsia" w:ascii="宋体" w:hAnsi="宋体" w:cs="宋体"/>
          <w:bCs/>
          <w:sz w:val="24"/>
        </w:rPr>
        <w:t>3.落实政府采购政策需满足的资格要求：</w:t>
      </w:r>
    </w:p>
    <w:p>
      <w:pPr>
        <w:spacing w:line="360" w:lineRule="auto"/>
        <w:ind w:firstLine="480"/>
        <w:rPr>
          <w:rFonts w:hint="eastAsia" w:eastAsia="宋体"/>
          <w:b w:val="0"/>
          <w:sz w:val="24"/>
          <w:szCs w:val="24"/>
          <w:lang w:val="en-US" w:eastAsia="zh-CN"/>
        </w:rPr>
      </w:pPr>
      <w:r>
        <w:rPr>
          <w:rFonts w:hint="eastAsia" w:ascii="宋体" w:hAnsi="Wingdings" w:cs="宋体"/>
          <w:bCs/>
          <w:sz w:val="24"/>
        </w:rPr>
        <w:sym w:font="Wingdings" w:char="F0FE"/>
      </w:r>
      <w:r>
        <w:rPr>
          <w:rFonts w:hint="eastAsia" w:ascii="宋体" w:hAnsi="宋体" w:cs="宋体"/>
          <w:bCs/>
          <w:sz w:val="24"/>
        </w:rPr>
        <w:t>无</w:t>
      </w:r>
    </w:p>
    <w:p>
      <w:pPr>
        <w:spacing w:line="360" w:lineRule="auto"/>
        <w:ind w:firstLine="480"/>
        <w:rPr>
          <w:rFonts w:ascii="宋体" w:hAnsi="宋体" w:cs="宋体"/>
          <w:bCs/>
          <w:sz w:val="24"/>
        </w:rPr>
      </w:pPr>
      <w:r>
        <w:rPr>
          <w:rFonts w:hint="eastAsia" w:ascii="宋体" w:hAnsi="宋体" w:cs="宋体"/>
          <w:bCs/>
          <w:sz w:val="24"/>
        </w:rPr>
        <w:t>4.本项目的特定资格要求：具有所投标的相应国家规定必备的资质、资格</w:t>
      </w:r>
      <w:r>
        <w:rPr>
          <w:rFonts w:hint="eastAsia" w:ascii="宋体" w:hAnsi="宋体" w:cs="宋体"/>
          <w:bCs/>
          <w:sz w:val="24"/>
          <w:lang w:eastAsia="zh-CN"/>
        </w:rPr>
        <w:t>。</w:t>
      </w:r>
    </w:p>
    <w:p>
      <w:pPr>
        <w:spacing w:line="360" w:lineRule="auto"/>
        <w:rPr>
          <w:rFonts w:ascii="宋体" w:hAnsi="宋体" w:cs="宋体"/>
          <w:b/>
          <w:sz w:val="24"/>
        </w:rPr>
      </w:pPr>
      <w:r>
        <w:rPr>
          <w:rFonts w:hint="eastAsia" w:ascii="宋体" w:hAnsi="宋体" w:cs="宋体"/>
          <w:b/>
          <w:sz w:val="24"/>
        </w:rPr>
        <w:t xml:space="preserve">三、获取招标文件 </w:t>
      </w:r>
    </w:p>
    <w:p>
      <w:pPr>
        <w:pStyle w:val="35"/>
        <w:spacing w:line="360" w:lineRule="auto"/>
        <w:ind w:firstLine="482" w:firstLineChars="200"/>
        <w:rPr>
          <w:rFonts w:hAnsi="宋体" w:cs="宋体"/>
          <w:sz w:val="24"/>
        </w:rPr>
      </w:pPr>
      <w:r>
        <w:rPr>
          <w:rFonts w:hint="eastAsia" w:hAnsi="宋体" w:cs="宋体"/>
          <w:b/>
          <w:sz w:val="24"/>
        </w:rPr>
        <w:t>时间：</w:t>
      </w:r>
      <w:r>
        <w:rPr>
          <w:rFonts w:hint="eastAsia" w:hAnsi="宋体" w:cs="宋体"/>
          <w:sz w:val="24"/>
          <w:u w:val="single"/>
        </w:rPr>
        <w:t>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16</w:t>
      </w:r>
      <w:r>
        <w:rPr>
          <w:rFonts w:hint="eastAsia" w:hAnsi="宋体" w:cs="宋体"/>
          <w:sz w:val="24"/>
          <w:u w:val="single"/>
        </w:rPr>
        <w:t>日至202</w:t>
      </w:r>
      <w:r>
        <w:rPr>
          <w:rFonts w:hint="eastAsia" w:hAnsi="宋体" w:cs="宋体"/>
          <w:sz w:val="24"/>
          <w:u w:val="single"/>
          <w:lang w:val="en-US" w:eastAsia="zh-CN"/>
        </w:rPr>
        <w:t>5</w:t>
      </w:r>
      <w:r>
        <w:rPr>
          <w:rFonts w:hint="eastAsia" w:hAnsi="宋体" w:cs="宋体"/>
          <w:sz w:val="24"/>
          <w:u w:val="single"/>
        </w:rPr>
        <w:t>年</w:t>
      </w:r>
      <w:r>
        <w:rPr>
          <w:rFonts w:hint="eastAsia" w:hAnsi="宋体" w:cs="宋体"/>
          <w:sz w:val="24"/>
          <w:u w:val="single"/>
          <w:lang w:val="en-US" w:eastAsia="zh-CN"/>
        </w:rPr>
        <w:t>7</w:t>
      </w:r>
      <w:r>
        <w:rPr>
          <w:rFonts w:hint="eastAsia" w:hAnsi="宋体" w:cs="宋体"/>
          <w:sz w:val="24"/>
          <w:u w:val="single"/>
        </w:rPr>
        <w:t>月</w:t>
      </w:r>
      <w:r>
        <w:rPr>
          <w:rFonts w:hint="eastAsia" w:hAnsi="宋体" w:cs="宋体"/>
          <w:sz w:val="24"/>
          <w:u w:val="single"/>
          <w:lang w:val="en-US" w:eastAsia="zh-CN"/>
        </w:rPr>
        <w:t>23</w:t>
      </w:r>
      <w:bookmarkStart w:id="399" w:name="_GoBack"/>
      <w:bookmarkEnd w:id="399"/>
      <w:r>
        <w:rPr>
          <w:rFonts w:hint="eastAsia" w:hAnsi="宋体" w:cs="宋体"/>
          <w:sz w:val="24"/>
          <w:u w:val="single"/>
        </w:rPr>
        <w:t>日</w:t>
      </w:r>
      <w:r>
        <w:rPr>
          <w:rFonts w:hint="eastAsia" w:hAnsi="宋体" w:cs="宋体"/>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napToGrid w:val="0"/>
          <w:sz w:val="24"/>
          <w:szCs w:val="21"/>
        </w:rPr>
        <w:t>浙江政府采购网（http://zfcg.czt.zj.gov.cn/）</w:t>
      </w:r>
      <w:r>
        <w:rPr>
          <w:rFonts w:hint="eastAsia" w:ascii="宋体" w:hAnsi="宋体" w:cs="宋体"/>
          <w:sz w:val="24"/>
        </w:rPr>
        <w:t xml:space="preserve"> </w:t>
      </w:r>
    </w:p>
    <w:p>
      <w:pPr>
        <w:spacing w:line="360" w:lineRule="auto"/>
        <w:ind w:firstLine="482" w:firstLineChars="200"/>
        <w:rPr>
          <w:rFonts w:ascii="宋体" w:hAnsi="宋体" w:cs="宋体"/>
          <w:snapToGrid w:val="0"/>
          <w:sz w:val="24"/>
          <w:szCs w:val="21"/>
        </w:rPr>
      </w:pPr>
      <w:r>
        <w:rPr>
          <w:rFonts w:hint="eastAsia" w:ascii="宋体" w:hAnsi="宋体" w:cs="宋体"/>
          <w:b/>
          <w:sz w:val="24"/>
        </w:rPr>
        <w:t>方式：</w:t>
      </w:r>
      <w:r>
        <w:rPr>
          <w:rFonts w:hint="eastAsia" w:ascii="宋体" w:hAnsi="宋体" w:cs="宋体"/>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ascii="宋体" w:hAnsi="宋体" w:cs="宋体"/>
          <w:sz w:val="24"/>
        </w:rPr>
      </w:pPr>
      <w:r>
        <w:rPr>
          <w:rFonts w:hint="eastAsia" w:ascii="宋体" w:hAnsi="宋体" w:cs="宋体"/>
          <w:b/>
          <w:sz w:val="24"/>
        </w:rPr>
        <w:t>售价：</w:t>
      </w:r>
      <w:r>
        <w:rPr>
          <w:rFonts w:hint="eastAsia" w:ascii="宋体" w:hAnsi="宋体" w:cs="宋体"/>
          <w:snapToGrid w:val="0"/>
          <w:sz w:val="24"/>
          <w:szCs w:val="21"/>
        </w:rPr>
        <w:t>0 元。</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pStyle w:val="35"/>
        <w:spacing w:line="360" w:lineRule="auto"/>
        <w:ind w:firstLine="482" w:firstLineChars="200"/>
        <w:rPr>
          <w:rFonts w:hAnsi="宋体" w:cs="宋体"/>
          <w:sz w:val="24"/>
        </w:rPr>
      </w:pPr>
      <w:r>
        <w:rPr>
          <w:rFonts w:hint="eastAsia" w:hAnsi="宋体" w:cs="宋体"/>
          <w:b/>
          <w:snapToGrid/>
          <w:sz w:val="24"/>
          <w:szCs w:val="24"/>
        </w:rPr>
        <w:t>提交投标文件截止时间及开标时间：</w:t>
      </w:r>
      <w:r>
        <w:rPr>
          <w:rFonts w:hint="eastAsia" w:hAnsi="宋体" w:cs="宋体"/>
          <w:sz w:val="24"/>
        </w:rPr>
        <w:t>投标人应于202</w:t>
      </w:r>
      <w:r>
        <w:rPr>
          <w:rFonts w:hint="eastAsia" w:hAnsi="宋体" w:cs="宋体"/>
          <w:sz w:val="24"/>
          <w:lang w:val="en-US" w:eastAsia="zh-CN"/>
        </w:rPr>
        <w:t>5</w:t>
      </w:r>
      <w:r>
        <w:rPr>
          <w:rFonts w:hint="eastAsia" w:hAnsi="宋体" w:cs="宋体"/>
          <w:sz w:val="24"/>
        </w:rPr>
        <w:t>年</w:t>
      </w:r>
      <w:r>
        <w:rPr>
          <w:rFonts w:hint="eastAsia" w:hAnsi="宋体" w:cs="宋体"/>
          <w:sz w:val="24"/>
          <w:lang w:val="en-US" w:eastAsia="zh-CN"/>
        </w:rPr>
        <w:t>8</w:t>
      </w:r>
      <w:r>
        <w:rPr>
          <w:rFonts w:hint="eastAsia" w:hAnsi="宋体" w:cs="宋体"/>
          <w:sz w:val="24"/>
        </w:rPr>
        <w:t>月</w:t>
      </w:r>
      <w:r>
        <w:rPr>
          <w:rFonts w:hint="eastAsia" w:hAnsi="宋体" w:cs="宋体"/>
          <w:sz w:val="24"/>
          <w:lang w:val="en-US" w:eastAsia="zh-CN"/>
        </w:rPr>
        <w:t>13</w:t>
      </w:r>
      <w:r>
        <w:rPr>
          <w:rFonts w:hint="eastAsia" w:hAnsi="宋体" w:cs="宋体"/>
          <w:sz w:val="24"/>
        </w:rPr>
        <w:t>日</w:t>
      </w:r>
      <w:r>
        <w:rPr>
          <w:rFonts w:hint="eastAsia" w:hAnsi="宋体" w:cs="宋体"/>
          <w:sz w:val="24"/>
          <w:lang w:val="en-US" w:eastAsia="zh-CN"/>
        </w:rPr>
        <w:t>9</w:t>
      </w:r>
      <w:r>
        <w:rPr>
          <w:rFonts w:hint="eastAsia" w:hAnsi="宋体" w:cs="宋体"/>
          <w:sz w:val="24"/>
        </w:rPr>
        <w:t>时</w:t>
      </w:r>
      <w:r>
        <w:rPr>
          <w:rFonts w:hint="eastAsia" w:hAnsi="宋体" w:cs="宋体"/>
          <w:sz w:val="24"/>
          <w:lang w:val="en-US" w:eastAsia="zh-CN"/>
        </w:rPr>
        <w:t>00</w:t>
      </w:r>
      <w:r>
        <w:rPr>
          <w:rFonts w:hint="eastAsia" w:hAnsi="宋体" w:cs="宋体"/>
          <w:sz w:val="24"/>
        </w:rPr>
        <w:t>分（北京时间）前按照电子投标要求将电子加密标书上传到政府采购云平台，逾期或未上传成功的将导致无法投标或投标无效。</w:t>
      </w:r>
    </w:p>
    <w:p>
      <w:pPr>
        <w:pStyle w:val="35"/>
        <w:spacing w:line="360" w:lineRule="auto"/>
        <w:ind w:firstLine="482" w:firstLineChars="200"/>
        <w:rPr>
          <w:rFonts w:hAnsi="宋体" w:cs="宋体"/>
          <w:sz w:val="24"/>
        </w:rPr>
      </w:pPr>
      <w:r>
        <w:rPr>
          <w:rFonts w:hint="eastAsia" w:hAnsi="宋体" w:cs="宋体"/>
          <w:b/>
          <w:snapToGrid/>
          <w:sz w:val="24"/>
          <w:szCs w:val="24"/>
        </w:rPr>
        <w:t>开标地点：</w:t>
      </w:r>
      <w:r>
        <w:rPr>
          <w:rFonts w:hint="eastAsia" w:hAnsi="宋体" w:cs="宋体"/>
          <w:sz w:val="24"/>
        </w:rPr>
        <w:t>政府采购云平台（www.zcygov.cn）。所有投标人均须准时在“政府采购云平台”在线参加。</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sz w:val="24"/>
        </w:rPr>
      </w:pPr>
      <w:r>
        <w:rPr>
          <w:rFonts w:hint="eastAsia" w:ascii="宋体" w:hAnsi="宋体" w:cs="宋体"/>
          <w:sz w:val="24"/>
        </w:rPr>
        <w:t>2.《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宋体" w:hAnsi="宋体" w:cs="宋体"/>
          <w:b/>
          <w:bCs/>
          <w:sz w:val="24"/>
        </w:rPr>
        <w:t>备份投标文件的制作、递交详见招标文件第二部分第15点—“备份投标文件”；</w:t>
      </w:r>
      <w:r>
        <w:rPr>
          <w:rFonts w:hint="eastAsia" w:ascii="宋体" w:hAnsi="宋体" w:cs="宋体"/>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hint="eastAsia" w:ascii="宋体" w:hAnsi="宋体" w:cs="宋体"/>
          <w:sz w:val="24"/>
        </w:rPr>
      </w:pPr>
      <w:r>
        <w:rPr>
          <w:rFonts w:hint="eastAsia" w:ascii="宋体" w:hAnsi="宋体" w:cs="宋体"/>
          <w:sz w:val="24"/>
        </w:rPr>
        <w:t>1.采购人信息</w:t>
      </w:r>
    </w:p>
    <w:p>
      <w:pPr>
        <w:spacing w:line="360" w:lineRule="auto"/>
        <w:ind w:firstLine="480" w:firstLineChars="200"/>
        <w:rPr>
          <w:rFonts w:hint="eastAsia" w:ascii="宋体" w:hAnsi="宋体" w:cs="宋体"/>
          <w:sz w:val="24"/>
        </w:rPr>
      </w:pPr>
      <w:r>
        <w:rPr>
          <w:rFonts w:hint="eastAsia" w:ascii="宋体" w:hAnsi="宋体" w:cs="宋体"/>
          <w:sz w:val="24"/>
        </w:rPr>
        <w:t>名    称：诸暨市</w:t>
      </w:r>
      <w:r>
        <w:rPr>
          <w:rFonts w:hint="eastAsia" w:ascii="宋体" w:hAnsi="宋体" w:cs="宋体"/>
          <w:sz w:val="24"/>
          <w:lang w:eastAsia="zh-CN"/>
        </w:rPr>
        <w:t>第三人民医院</w:t>
      </w:r>
    </w:p>
    <w:p>
      <w:pPr>
        <w:spacing w:line="360" w:lineRule="auto"/>
        <w:ind w:firstLine="480" w:firstLineChars="200"/>
        <w:rPr>
          <w:rFonts w:hint="eastAsia" w:ascii="宋体" w:hAnsi="宋体" w:cs="宋体"/>
          <w:sz w:val="24"/>
        </w:rPr>
      </w:pPr>
      <w:r>
        <w:rPr>
          <w:rFonts w:hint="eastAsia" w:ascii="宋体" w:hAnsi="宋体" w:cs="宋体"/>
          <w:sz w:val="24"/>
        </w:rPr>
        <w:t>地    址：诸暨市牌头镇光明路12号</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项目联系人（询问）：王岭 </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项目联系方式（询问）：13757556805</w:t>
      </w:r>
    </w:p>
    <w:p>
      <w:pPr>
        <w:spacing w:line="360" w:lineRule="auto"/>
        <w:ind w:firstLine="480" w:firstLineChars="200"/>
        <w:rPr>
          <w:rFonts w:hint="eastAsia" w:ascii="宋体" w:hAnsi="宋体" w:cs="宋体"/>
          <w:sz w:val="24"/>
        </w:rPr>
      </w:pPr>
      <w:r>
        <w:rPr>
          <w:rFonts w:hint="eastAsia" w:ascii="宋体" w:hAnsi="宋体" w:cs="宋体"/>
          <w:sz w:val="24"/>
        </w:rPr>
        <w:t xml:space="preserve">质疑联系人: </w:t>
      </w:r>
      <w:sdt>
        <w:sdtPr>
          <w:rPr>
            <w:rFonts w:hint="eastAsia" w:ascii="宋体" w:hAnsi="宋体" w:cs="宋体"/>
            <w:sz w:val="24"/>
          </w:rPr>
          <w:id w:val="147467253"/>
        </w:sdtPr>
        <w:sdtEndPr>
          <w:rPr>
            <w:rFonts w:hint="eastAsia" w:ascii="宋体" w:hAnsi="宋体" w:cs="宋体"/>
            <w:sz w:val="24"/>
            <w:lang w:val="en-US"/>
          </w:rPr>
        </w:sdtEndPr>
        <w:sdtContent/>
      </w:sdt>
      <w:r>
        <w:rPr>
          <w:rFonts w:hint="eastAsia" w:ascii="宋体" w:hAnsi="宋体" w:cs="宋体"/>
          <w:sz w:val="24"/>
          <w:lang w:val="en-US" w:eastAsia="zh-CN"/>
        </w:rPr>
        <w:t>张许岳</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质疑联系方式：13957555491</w:t>
      </w:r>
    </w:p>
    <w:p>
      <w:pPr>
        <w:spacing w:line="360" w:lineRule="auto"/>
        <w:ind w:left="479" w:leftChars="228" w:firstLine="64" w:firstLineChars="27"/>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ascii="宋体" w:hAnsi="宋体" w:cs="宋体"/>
          <w:sz w:val="24"/>
        </w:rPr>
      </w:pPr>
      <w:r>
        <w:rPr>
          <w:rFonts w:hint="eastAsia" w:ascii="宋体" w:hAnsi="宋体" w:cs="宋体"/>
          <w:sz w:val="24"/>
        </w:rPr>
        <w:t xml:space="preserve">名    称：诸暨市公共资源交易中心 </w:t>
      </w:r>
    </w:p>
    <w:p>
      <w:pPr>
        <w:spacing w:line="360" w:lineRule="auto"/>
        <w:ind w:firstLine="480"/>
        <w:rPr>
          <w:rFonts w:ascii="宋体" w:hAnsi="宋体" w:cs="宋体"/>
          <w:sz w:val="24"/>
        </w:rPr>
      </w:pPr>
      <w:r>
        <w:rPr>
          <w:rFonts w:hint="eastAsia" w:ascii="宋体" w:hAnsi="宋体" w:cs="宋体"/>
          <w:sz w:val="24"/>
        </w:rPr>
        <w:t>地    址：诸暨市暨东路58号北602室</w:t>
      </w:r>
    </w:p>
    <w:p>
      <w:pPr>
        <w:spacing w:line="360" w:lineRule="auto"/>
        <w:ind w:firstLine="465"/>
        <w:rPr>
          <w:rFonts w:ascii="宋体" w:hAnsi="宋体" w:cs="宋体"/>
          <w:sz w:val="24"/>
        </w:rPr>
      </w:pPr>
      <w:r>
        <w:rPr>
          <w:rFonts w:hint="eastAsia" w:ascii="宋体" w:hAnsi="宋体" w:cs="宋体"/>
          <w:sz w:val="24"/>
        </w:rPr>
        <w:t>传    真：0575-87221107</w:t>
      </w:r>
    </w:p>
    <w:p>
      <w:pPr>
        <w:spacing w:line="360" w:lineRule="auto"/>
        <w:ind w:firstLine="465"/>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eastAsia="zh-CN"/>
        </w:rPr>
        <w:t>杨晔</w:t>
      </w:r>
      <w:r>
        <w:rPr>
          <w:rFonts w:hint="eastAsia" w:ascii="宋体" w:hAnsi="宋体" w:cs="宋体"/>
          <w:sz w:val="24"/>
          <w:lang w:val="en-US" w:eastAsia="zh-CN"/>
        </w:rPr>
        <w:t xml:space="preserve"> </w:t>
      </w:r>
      <w:r>
        <w:rPr>
          <w:rFonts w:hint="eastAsia" w:ascii="宋体" w:hAnsi="宋体" w:cs="宋体"/>
          <w:sz w:val="24"/>
        </w:rPr>
        <w:t xml:space="preserve">   项目联系方式（询问）：0575-</w:t>
      </w:r>
      <w:r>
        <w:rPr>
          <w:rFonts w:hint="eastAsia" w:ascii="宋体" w:hAnsi="宋体" w:cs="宋体"/>
          <w:sz w:val="24"/>
          <w:lang w:val="en-US" w:eastAsia="zh-CN"/>
        </w:rPr>
        <w:t>89006366</w:t>
      </w:r>
    </w:p>
    <w:p>
      <w:pPr>
        <w:spacing w:line="360" w:lineRule="auto"/>
        <w:rPr>
          <w:rFonts w:ascii="宋体" w:hAnsi="宋体" w:cs="宋体"/>
          <w:sz w:val="24"/>
        </w:rPr>
      </w:pPr>
      <w:r>
        <w:rPr>
          <w:rFonts w:hint="eastAsia" w:ascii="宋体" w:hAnsi="宋体" w:cs="宋体"/>
          <w:sz w:val="24"/>
        </w:rPr>
        <w:t xml:space="preserve">    质疑联系人：王小林           质疑联系方式： 0575-87253016 </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称：诸暨市财政局政府采购监管科</w:t>
      </w:r>
    </w:p>
    <w:p>
      <w:pPr>
        <w:spacing w:line="360" w:lineRule="auto"/>
        <w:rPr>
          <w:rFonts w:ascii="宋体" w:hAnsi="宋体" w:cs="宋体"/>
          <w:sz w:val="24"/>
        </w:rPr>
      </w:pPr>
      <w:r>
        <w:rPr>
          <w:rFonts w:hint="eastAsia" w:ascii="宋体" w:hAnsi="宋体" w:cs="宋体"/>
          <w:sz w:val="24"/>
        </w:rPr>
        <w:t xml:space="preserve">    地    址：诸暨市人民中路356号</w:t>
      </w:r>
    </w:p>
    <w:p>
      <w:pPr>
        <w:spacing w:line="360" w:lineRule="auto"/>
        <w:ind w:firstLine="240" w:firstLineChars="100"/>
        <w:rPr>
          <w:rFonts w:ascii="宋体" w:hAnsi="宋体" w:cs="宋体"/>
          <w:sz w:val="24"/>
        </w:rPr>
      </w:pPr>
      <w:r>
        <w:rPr>
          <w:rFonts w:hint="eastAsia" w:ascii="宋体" w:hAnsi="宋体" w:cs="宋体"/>
          <w:sz w:val="24"/>
        </w:rPr>
        <w:t xml:space="preserve">  传    真： 0575-87023633</w:t>
      </w:r>
    </w:p>
    <w:p>
      <w:pPr>
        <w:spacing w:line="360" w:lineRule="auto"/>
        <w:rPr>
          <w:rFonts w:ascii="宋体" w:hAnsi="宋体" w:cs="宋体"/>
          <w:sz w:val="24"/>
        </w:rPr>
      </w:pPr>
      <w:r>
        <w:rPr>
          <w:rFonts w:hint="eastAsia" w:ascii="宋体" w:hAnsi="宋体" w:cs="宋体"/>
          <w:sz w:val="24"/>
        </w:rPr>
        <w:t xml:space="preserve">    联系人 ：吕</w:t>
      </w:r>
      <w:r>
        <w:rPr>
          <w:rFonts w:hint="eastAsia" w:ascii="宋体" w:hAnsi="宋体" w:cs="宋体"/>
          <w:sz w:val="24"/>
          <w:lang w:eastAsia="zh-CN"/>
        </w:rPr>
        <w:t>雅玲</w:t>
      </w:r>
      <w:r>
        <w:rPr>
          <w:rFonts w:hint="eastAsia" w:ascii="宋体" w:hAnsi="宋体" w:cs="宋体"/>
          <w:sz w:val="24"/>
        </w:rPr>
        <w:t xml:space="preserve">   监督投诉电话：0575-8711</w:t>
      </w:r>
      <w:r>
        <w:rPr>
          <w:rFonts w:hint="eastAsia" w:ascii="宋体" w:hAnsi="宋体" w:cs="宋体"/>
          <w:sz w:val="24"/>
          <w:lang w:val="en-US" w:eastAsia="zh-CN"/>
        </w:rPr>
        <w:t>3461</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8"/>
        <w:gridCol w:w="1760"/>
        <w:gridCol w:w="67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1</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评标办法</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kern w:val="0"/>
                <w:sz w:val="24"/>
                <w:lang w:val="zh-CN"/>
              </w:rPr>
              <w:t>本项目采用</w:t>
            </w:r>
            <w:r>
              <w:rPr>
                <w:rFonts w:hint="eastAsia" w:ascii="宋体" w:hAnsi="宋体" w:cs="宋体"/>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p>
          <w:p>
            <w:pPr>
              <w:snapToGrid w:val="0"/>
              <w:spacing w:line="360" w:lineRule="auto"/>
              <w:jc w:val="left"/>
              <w:rPr>
                <w:rFonts w:ascii="宋体" w:hAnsi="宋体" w:cs="宋体"/>
                <w:kern w:val="0"/>
                <w:sz w:val="24"/>
                <w:lang w:val="zh-CN"/>
              </w:rPr>
            </w:pP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w:t>
            </w:r>
          </w:p>
          <w:p>
            <w:pPr>
              <w:snapToGrid w:val="0"/>
              <w:spacing w:line="360" w:lineRule="auto"/>
              <w:jc w:val="left"/>
              <w:rPr>
                <w:rFonts w:ascii="宋体" w:hAnsi="宋体" w:cs="宋体"/>
                <w:kern w:val="0"/>
                <w:sz w:val="24"/>
                <w:lang w:val="zh-CN"/>
              </w:rPr>
            </w:pPr>
            <w:r>
              <w:rPr>
                <w:rFonts w:hint="eastAsia" w:ascii="宋体" w:hAnsi="宋体" w:cs="宋体"/>
                <w:kern w:val="0"/>
                <w:sz w:val="24"/>
                <w:lang w:val="zh-CN"/>
              </w:rPr>
              <w:t>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投标文件出现不是唯一的、有选择性投标报价的；</w:t>
            </w:r>
          </w:p>
          <w:p>
            <w:pPr>
              <w:pStyle w:val="280"/>
              <w:numPr>
                <w:ilvl w:val="0"/>
                <w:numId w:val="2"/>
              </w:numPr>
              <w:snapToGrid w:val="0"/>
              <w:ind w:firstLineChars="0"/>
              <w:jc w:val="left"/>
              <w:rPr>
                <w:rFonts w:ascii="宋体" w:hAnsi="宋体" w:eastAsia="宋体" w:cs="宋体"/>
                <w:bCs/>
                <w:kern w:val="0"/>
                <w:lang w:val="zh-CN"/>
              </w:rPr>
            </w:pPr>
            <w:r>
              <w:rPr>
                <w:rFonts w:hint="eastAsia" w:ascii="宋体" w:hAnsi="宋体" w:eastAsia="宋体" w:cs="宋体"/>
                <w:bCs/>
                <w:kern w:val="0"/>
                <w:lang w:val="zh-CN"/>
              </w:rPr>
              <w:t>投标报价超过招标文件中规定的预算金额或者最高限价的;</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0"/>
              <w:numPr>
                <w:ilvl w:val="0"/>
                <w:numId w:val="2"/>
              </w:numPr>
              <w:ind w:firstLineChars="0"/>
              <w:rPr>
                <w:rFonts w:ascii="宋体" w:hAnsi="宋体" w:eastAsia="宋体" w:cs="宋体"/>
                <w:bCs/>
                <w:kern w:val="0"/>
                <w:lang w:val="zh-CN"/>
              </w:rPr>
            </w:pPr>
            <w:r>
              <w:rPr>
                <w:rFonts w:hint="eastAsia" w:ascii="宋体" w:hAnsi="宋体" w:eastAsia="宋体" w:cs="宋体"/>
                <w:bCs/>
                <w:kern w:val="0"/>
              </w:rPr>
              <w:t>投标人对根据修正原则修正后的报价不确认的</w:t>
            </w:r>
            <w:r>
              <w:rPr>
                <w:rFonts w:hint="eastAsia" w:ascii="宋体" w:hAnsi="宋体" w:eastAsia="宋体" w:cs="宋体"/>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7"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投标人应当提供的资格文件</w:t>
            </w:r>
          </w:p>
        </w:tc>
        <w:tc>
          <w:tcPr>
            <w:tcW w:w="6715" w:type="dxa"/>
            <w:tcBorders>
              <w:top w:val="single" w:color="000000" w:sz="8" w:space="0"/>
              <w:left w:val="single" w:color="000000" w:sz="2" w:space="0"/>
              <w:right w:val="single" w:color="000000" w:sz="8" w:space="0"/>
            </w:tcBorders>
            <w:vAlign w:val="center"/>
          </w:tcPr>
          <w:p>
            <w:pPr>
              <w:snapToGrid w:val="0"/>
              <w:rPr>
                <w:rFonts w:ascii="仿宋_GB2312" w:hAnsi="仿宋" w:eastAsia="仿宋_GB2312" w:cs="Arial"/>
                <w:kern w:val="0"/>
                <w:sz w:val="24"/>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1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①</w:t>
            </w:r>
            <w:r>
              <w:rPr>
                <w:rFonts w:ascii="仿宋_GB2312" w:hAnsi="仿宋" w:eastAsia="仿宋_GB2312" w:cs="Arial"/>
                <w:kern w:val="0"/>
                <w:sz w:val="24"/>
              </w:rPr>
              <w:fldChar w:fldCharType="end"/>
            </w:r>
            <w:r>
              <w:rPr>
                <w:rFonts w:ascii="仿宋_GB2312" w:hAnsi="仿宋" w:eastAsia="仿宋_GB2312" w:cs="Arial"/>
                <w:kern w:val="0"/>
                <w:sz w:val="24"/>
              </w:rPr>
              <w:t>符合参加政府采购活动应当具备的一般条件的承诺函；</w:t>
            </w:r>
          </w:p>
          <w:p>
            <w:pPr>
              <w:snapToGrid w:val="0"/>
              <w:rPr>
                <w:rFonts w:hint="eastAsia" w:ascii="仿宋_GB2312" w:hAnsi="仿宋" w:eastAsia="仿宋_GB2312" w:cs="Arial"/>
                <w:kern w:val="0"/>
                <w:sz w:val="24"/>
                <w:lang w:val="en-US" w:eastAsia="zh-CN"/>
              </w:rPr>
            </w:pPr>
            <w:r>
              <w:rPr>
                <w:rFonts w:ascii="仿宋_GB2312" w:hAnsi="仿宋" w:eastAsia="仿宋_GB2312" w:cs="Arial"/>
                <w:kern w:val="0"/>
                <w:sz w:val="24"/>
              </w:rPr>
              <w:fldChar w:fldCharType="begin"/>
            </w:r>
            <w:r>
              <w:rPr>
                <w:rFonts w:ascii="仿宋_GB2312" w:hAnsi="仿宋" w:eastAsia="仿宋_GB2312" w:cs="Arial"/>
                <w:kern w:val="0"/>
                <w:sz w:val="24"/>
              </w:rPr>
              <w:instrText xml:space="preserve"> </w:instrText>
            </w:r>
            <w:r>
              <w:rPr>
                <w:rFonts w:hint="eastAsia" w:ascii="仿宋_GB2312" w:hAnsi="仿宋" w:eastAsia="仿宋_GB2312" w:cs="Arial"/>
                <w:kern w:val="0"/>
                <w:sz w:val="24"/>
              </w:rPr>
              <w:instrText xml:space="preserve">= 2 \* GB3</w:instrText>
            </w:r>
            <w:r>
              <w:rPr>
                <w:rFonts w:ascii="仿宋_GB2312" w:hAnsi="仿宋" w:eastAsia="仿宋_GB2312" w:cs="Arial"/>
                <w:kern w:val="0"/>
                <w:sz w:val="24"/>
              </w:rPr>
              <w:instrText xml:space="preserve"> </w:instrText>
            </w:r>
            <w:r>
              <w:rPr>
                <w:rFonts w:ascii="仿宋_GB2312" w:hAnsi="仿宋" w:eastAsia="仿宋_GB2312" w:cs="Arial"/>
                <w:kern w:val="0"/>
                <w:sz w:val="24"/>
              </w:rPr>
              <w:fldChar w:fldCharType="separate"/>
            </w:r>
            <w:r>
              <w:rPr>
                <w:rFonts w:hint="eastAsia" w:ascii="仿宋_GB2312" w:hAnsi="仿宋" w:eastAsia="仿宋_GB2312" w:cs="Arial"/>
                <w:kern w:val="0"/>
                <w:sz w:val="24"/>
              </w:rPr>
              <w:t>②</w:t>
            </w:r>
            <w:r>
              <w:rPr>
                <w:rFonts w:ascii="仿宋_GB2312" w:hAnsi="仿宋" w:eastAsia="仿宋_GB2312" w:cs="Arial"/>
                <w:kern w:val="0"/>
                <w:sz w:val="24"/>
              </w:rPr>
              <w:fldChar w:fldCharType="end"/>
            </w:r>
            <w:r>
              <w:rPr>
                <w:rFonts w:ascii="仿宋_GB2312" w:hAnsi="仿宋" w:eastAsia="仿宋_GB2312" w:cs="Arial"/>
                <w:kern w:val="0"/>
                <w:sz w:val="24"/>
              </w:rPr>
              <w:t>本项目的特定资格要求</w:t>
            </w:r>
            <w:r>
              <w:rPr>
                <w:rFonts w:hint="eastAsia" w:ascii="仿宋_GB2312" w:hAnsi="仿宋" w:eastAsia="仿宋_GB2312" w:cs="Arial"/>
                <w:kern w:val="0"/>
                <w:sz w:val="24"/>
              </w:rPr>
              <w:t>：</w:t>
            </w:r>
            <w:r>
              <w:rPr>
                <w:rFonts w:ascii="仿宋_GB2312" w:hAnsi="仿宋" w:eastAsia="仿宋_GB2312" w:cs="Arial"/>
                <w:kern w:val="0"/>
                <w:sz w:val="24"/>
              </w:rPr>
              <w:t>具有所投标的相应国家规定必备的资质、资格</w:t>
            </w:r>
            <w:r>
              <w:rPr>
                <w:rFonts w:hint="eastAsia" w:ascii="仿宋_GB2312" w:hAnsi="仿宋" w:eastAsia="仿宋_GB2312" w:cs="Arial"/>
                <w:kern w:val="0"/>
                <w:sz w:val="24"/>
              </w:rPr>
              <w:t>（如医疗器械经营许可证等）。</w:t>
            </w:r>
          </w:p>
          <w:p>
            <w:pPr>
              <w:pStyle w:val="280"/>
              <w:numPr>
                <w:ilvl w:val="0"/>
                <w:numId w:val="0"/>
              </w:numPr>
              <w:snapToGrid w:val="0"/>
              <w:ind w:leftChars="0"/>
              <w:rPr>
                <w:rFonts w:hint="default" w:ascii="宋体" w:hAnsi="宋体" w:eastAsia="宋体" w:cs="宋体"/>
                <w:lang w:val="en-US" w:eastAsia="zh-CN"/>
              </w:rPr>
            </w:pPr>
            <w:r>
              <w:rPr>
                <w:rFonts w:hint="eastAsia" w:ascii="仿宋_GB2312" w:hAnsi="仿宋" w:eastAsia="仿宋_GB2312"/>
                <w:b/>
                <w:kern w:val="0"/>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9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投标人应当提供的商务技术文件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投标函；</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授权委托书或法定代表人（单位负责人、自然人本人）身份证明；</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符合性审查资料；</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评标标准相应的商务技术资料（如需）；</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rPr>
              <w:t>商务技术偏离表；</w:t>
            </w:r>
          </w:p>
          <w:p>
            <w:pPr>
              <w:pStyle w:val="280"/>
              <w:numPr>
                <w:ilvl w:val="0"/>
                <w:numId w:val="3"/>
              </w:numPr>
              <w:snapToGrid w:val="0"/>
              <w:ind w:firstLineChars="0"/>
              <w:rPr>
                <w:rFonts w:ascii="宋体" w:hAnsi="宋体" w:eastAsia="宋体" w:cs="宋体"/>
                <w:lang w:val="zh-CN"/>
              </w:rPr>
            </w:pPr>
            <w:r>
              <w:rPr>
                <w:rFonts w:hint="eastAsia" w:ascii="宋体" w:hAnsi="宋体" w:eastAsia="宋体" w:cs="宋体"/>
                <w:lang w:val="zh-CN"/>
              </w:rPr>
              <w:t>政府采购供应商廉洁自律承诺书。</w:t>
            </w:r>
          </w:p>
          <w:p>
            <w:pPr>
              <w:spacing w:line="360" w:lineRule="auto"/>
              <w:rPr>
                <w:rFonts w:ascii="宋体" w:hAnsi="宋体" w:cs="宋体"/>
                <w:lang w:val="zh-CN"/>
              </w:rPr>
            </w:pPr>
            <w:r>
              <w:rPr>
                <w:rFonts w:hint="eastAsia" w:ascii="宋体" w:hAnsi="宋体" w:cs="宋体"/>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98" w:type="dxa"/>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760" w:type="dxa"/>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投标人应当提供的报价文件</w:t>
            </w:r>
          </w:p>
        </w:tc>
        <w:tc>
          <w:tcPr>
            <w:tcW w:w="6715" w:type="dxa"/>
            <w:tcBorders>
              <w:top w:val="single" w:color="000000" w:sz="8" w:space="0"/>
              <w:left w:val="single" w:color="000000" w:sz="2" w:space="0"/>
              <w:right w:val="single" w:color="000000" w:sz="8" w:space="0"/>
            </w:tcBorders>
            <w:vAlign w:val="center"/>
          </w:tcPr>
          <w:p>
            <w:pPr>
              <w:pStyle w:val="280"/>
              <w:numPr>
                <w:ilvl w:val="0"/>
                <w:numId w:val="4"/>
              </w:numPr>
              <w:snapToGrid w:val="0"/>
              <w:ind w:firstLineChars="0"/>
              <w:rPr>
                <w:rFonts w:ascii="宋体" w:hAnsi="宋体" w:cs="宋体"/>
              </w:rPr>
            </w:pPr>
            <w:r>
              <w:rPr>
                <w:rFonts w:hint="eastAsia" w:ascii="宋体" w:hAnsi="宋体" w:eastAsia="宋体" w:cs="宋体"/>
              </w:rPr>
              <w:t>开标一览表（报价表）</w:t>
            </w:r>
            <w:r>
              <w:rPr>
                <w:rFonts w:hint="eastAsia" w:ascii="宋体" w:hAnsi="宋体" w:eastAsia="宋体" w:cs="宋体"/>
                <w:lang w:eastAsia="zh-CN"/>
              </w:rPr>
              <w:t>；</w:t>
            </w:r>
          </w:p>
          <w:p>
            <w:pPr>
              <w:pStyle w:val="280"/>
              <w:numPr>
                <w:ilvl w:val="0"/>
                <w:numId w:val="4"/>
              </w:numPr>
              <w:snapToGrid w:val="0"/>
              <w:ind w:firstLineChars="0"/>
              <w:rPr>
                <w:rFonts w:ascii="宋体" w:hAnsi="宋体" w:cs="宋体"/>
              </w:rPr>
            </w:pPr>
            <w:r>
              <w:rPr>
                <w:rFonts w:hint="eastAsia" w:ascii="宋体" w:hAnsi="宋体" w:eastAsia="宋体" w:cs="宋体"/>
                <w:lang w:eastAsia="zh-CN"/>
              </w:rPr>
              <w:t>《中小企业声明函》（如需）。</w:t>
            </w:r>
          </w:p>
          <w:p>
            <w:pPr>
              <w:pStyle w:val="280"/>
              <w:numPr>
                <w:ilvl w:val="0"/>
                <w:numId w:val="0"/>
              </w:numPr>
              <w:snapToGrid w:val="0"/>
              <w:ind w:leftChars="0"/>
              <w:rPr>
                <w:rFonts w:ascii="宋体" w:hAnsi="宋体" w:cs="宋体"/>
              </w:rPr>
            </w:pPr>
            <w:r>
              <w:rPr>
                <w:rFonts w:hint="eastAsia" w:ascii="宋体" w:hAnsi="宋体" w:cs="宋体"/>
                <w:b/>
                <w:kern w:val="0"/>
                <w:sz w:val="24"/>
                <w:lang w:val="zh-CN"/>
              </w:rPr>
              <w:t>投标文件含有采购人不能接受的附加条件的，将视为无效投标。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0"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6"/>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5"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7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lang w:val="en-US" w:eastAsia="zh-CN"/>
              </w:rPr>
            </w:pPr>
            <w:sdt>
              <w:sdtPr>
                <w:rPr>
                  <w:rFonts w:hint="eastAsia" w:ascii="宋体" w:hAnsi="宋体" w:cs="宋体"/>
                  <w:kern w:val="0"/>
                  <w:sz w:val="24"/>
                </w:rPr>
                <w:id w:val="7"/>
              </w:sdtPr>
              <w:sdtEndPr>
                <w:rPr>
                  <w:rFonts w:hint="eastAsia" w:ascii="宋体" w:hAnsi="宋体" w:cs="宋体"/>
                  <w:kern w:val="0"/>
                  <w:sz w:val="24"/>
                </w:rPr>
              </w:sdtEndPr>
              <w:sdtContent>
                <w:sdt>
                  <w:sdtPr>
                    <w:rPr>
                      <w:rFonts w:hint="eastAsia" w:ascii="宋体" w:hAnsi="宋体" w:cs="宋体"/>
                      <w:kern w:val="0"/>
                      <w:sz w:val="24"/>
                    </w:rPr>
                    <w:id w:val="805436019"/>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r>
              <w:rPr>
                <w:rFonts w:hint="eastAsia" w:ascii="宋体" w:hAnsi="宋体" w:cs="宋体"/>
                <w:kern w:val="0"/>
                <w:sz w:val="24"/>
                <w:lang w:val="en-US" w:eastAsia="zh-CN"/>
              </w:rPr>
              <w:t>A不</w:t>
            </w:r>
            <w:r>
              <w:rPr>
                <w:rFonts w:hint="eastAsia" w:ascii="宋体" w:hAnsi="宋体" w:cs="宋体"/>
                <w:kern w:val="0"/>
                <w:sz w:val="24"/>
              </w:rPr>
              <w:t>要求提供</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041241"/>
              </w:sdtPr>
              <w:sdtEndPr>
                <w:rPr>
                  <w:rFonts w:hint="eastAsia" w:ascii="宋体" w:hAnsi="宋体" w:cs="宋体"/>
                  <w:kern w:val="0"/>
                  <w:sz w:val="24"/>
                </w:rPr>
              </w:sdtEndPr>
              <w:sdtContent>
                <w:sdt>
                  <w:sdtPr>
                    <w:rPr>
                      <w:rFonts w:hint="eastAsia" w:ascii="宋体" w:hAnsi="宋体" w:cs="宋体"/>
                      <w:kern w:val="0"/>
                      <w:sz w:val="24"/>
                    </w:rPr>
                    <w:id w:val="8041242"/>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 xml:space="preserve"> 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FF0000"/>
                <w:sz w:val="24"/>
              </w:rPr>
            </w:pPr>
            <w:r>
              <w:rPr>
                <w:rFonts w:hint="eastAsia" w:ascii="宋体" w:hAnsi="宋体" w:cs="宋体"/>
                <w:sz w:val="24"/>
              </w:rPr>
              <w:t>10</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保证金收取</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本项目不收取投标保证金。</w:t>
            </w:r>
          </w:p>
          <w:p>
            <w:pPr>
              <w:snapToGrid w:val="0"/>
              <w:spacing w:line="360" w:lineRule="auto"/>
              <w:rPr>
                <w:rFonts w:ascii="宋体" w:hAnsi="宋体" w:cs="宋体"/>
              </w:rPr>
            </w:pPr>
            <w:r>
              <w:rPr>
                <w:rFonts w:hint="eastAsia" w:ascii="宋体" w:hAnsi="宋体" w:cs="宋体"/>
                <w:kern w:val="0"/>
                <w:sz w:val="24"/>
              </w:rPr>
              <w:t>签订合同时，中标供应商按要求向采购人缴纳不超过中标价1%的履约保证金。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采购进口产品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rPr>
            </w:pPr>
            <w:r>
              <w:rPr>
                <w:rFonts w:hint="eastAsia" w:ascii="宋体" w:hAnsi="宋体" w:cs="宋体"/>
                <w:kern w:val="0"/>
                <w:sz w:val="24"/>
              </w:rPr>
              <w:t>除招标文件中（采购需求）有特别说明，一般不允许采购进口产品。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sdt>
              <w:sdtPr>
                <w:rPr>
                  <w:rFonts w:hint="eastAsia" w:ascii="宋体" w:hAnsi="宋体" w:cs="宋体"/>
                  <w:kern w:val="0"/>
                  <w:sz w:val="24"/>
                </w:rPr>
                <w:id w:val="349594683"/>
              </w:sdtPr>
              <w:sdtEndPr>
                <w:rPr>
                  <w:rFonts w:hint="eastAsia" w:ascii="宋体" w:hAnsi="宋体" w:cs="宋体"/>
                  <w:kern w:val="0"/>
                  <w:sz w:val="24"/>
                </w:rPr>
              </w:sdtEndPr>
              <w:sdtContent>
                <w:sdt>
                  <w:sdtPr>
                    <w:rPr>
                      <w:rFonts w:hint="eastAsia" w:ascii="宋体" w:hAnsi="宋体" w:cs="宋体"/>
                      <w:kern w:val="0"/>
                      <w:sz w:val="24"/>
                    </w:rPr>
                    <w:id w:val="349594685"/>
                  </w:sdtPr>
                  <w:sdtEndPr>
                    <w:rPr>
                      <w:rFonts w:hint="eastAsia" w:ascii="宋体" w:hAnsi="宋体" w:cs="宋体"/>
                      <w:kern w:val="0"/>
                      <w:sz w:val="24"/>
                    </w:rPr>
                  </w:sdtEndPr>
                  <w:sdtContent>
                    <w:r>
                      <w:rPr>
                        <w:rFonts w:hint="eastAsia" w:ascii="宋体" w:hAnsi="宋体" w:cs="宋体"/>
                        <w:kern w:val="0"/>
                        <w:sz w:val="24"/>
                      </w:rPr>
                      <w:t></w:t>
                    </w:r>
                  </w:sdtContent>
                </w:sdt>
              </w:sdtContent>
            </w:sdt>
            <w:r>
              <w:rPr>
                <w:rFonts w:hint="eastAsia" w:ascii="宋体" w:hAnsi="宋体" w:cs="宋体"/>
                <w:kern w:val="0"/>
                <w:sz w:val="24"/>
              </w:rPr>
              <w:t>A货物类，单一产品或核心产品为：</w:t>
            </w:r>
            <w:r>
              <w:rPr>
                <w:rFonts w:hint="eastAsia" w:ascii="宋体" w:hAnsi="宋体" w:cs="宋体"/>
                <w:kern w:val="0"/>
                <w:sz w:val="24"/>
                <w:u w:val="single"/>
                <w:lang w:val="en-US" w:eastAsia="zh-CN"/>
              </w:rPr>
              <w:t>/</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中小企业划分标准所属行业</w:t>
            </w:r>
          </w:p>
        </w:tc>
        <w:tc>
          <w:tcPr>
            <w:tcW w:w="671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p>
            <w:pPr>
              <w:snapToGrid w:val="0"/>
              <w:spacing w:line="360" w:lineRule="auto"/>
              <w:rPr>
                <w:rFonts w:ascii="宋体" w:hAnsi="宋体" w:cs="宋体"/>
                <w:kern w:val="0"/>
                <w:sz w:val="24"/>
              </w:rPr>
            </w:pPr>
            <w:r>
              <w:rPr>
                <w:rFonts w:hint="eastAsia" w:ascii="宋体" w:hAnsi="宋体" w:cs="宋体"/>
                <w:kern w:val="0"/>
                <w:sz w:val="24"/>
              </w:rPr>
              <w:t>供应商在出具《中小企业声明函》前，可通过工业和信息化部官网公共服务平台“中小企业规模类型自测小程序”自测企业规模类型。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1" w:hRule="atLeast"/>
          <w:tblHeader/>
          <w:jc w:val="center"/>
        </w:trPr>
        <w:tc>
          <w:tcPr>
            <w:tcW w:w="698"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760"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w:t>
            </w:r>
          </w:p>
          <w:p>
            <w:pPr>
              <w:snapToGrid w:val="0"/>
              <w:spacing w:line="360" w:lineRule="auto"/>
              <w:jc w:val="center"/>
              <w:rPr>
                <w:rFonts w:ascii="宋体" w:hAnsi="宋体" w:cs="宋体"/>
                <w:b/>
                <w:sz w:val="24"/>
              </w:rPr>
            </w:pPr>
            <w:r>
              <w:rPr>
                <w:rFonts w:hint="eastAsia" w:ascii="宋体" w:hAnsi="宋体" w:cs="宋体"/>
                <w:b/>
                <w:sz w:val="24"/>
              </w:rPr>
              <w:t>融资</w:t>
            </w:r>
          </w:p>
        </w:tc>
        <w:tc>
          <w:tcPr>
            <w:tcW w:w="6715" w:type="dxa"/>
            <w:tcBorders>
              <w:top w:val="single" w:color="000000" w:sz="8" w:space="0"/>
              <w:left w:val="single" w:color="000000" w:sz="2"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15</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 </w:t>
            </w:r>
          </w:p>
        </w:tc>
        <w:tc>
          <w:tcPr>
            <w:tcW w:w="671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b/>
                <w:snapToGrid/>
                <w:sz w:val="24"/>
                <w:szCs w:val="24"/>
              </w:rPr>
            </w:pPr>
            <w:r>
              <w:rPr>
                <w:rFonts w:hint="eastAsia" w:hAnsi="宋体" w:cs="宋体"/>
                <w:b/>
                <w:snapToGrid/>
                <w:sz w:val="24"/>
                <w:szCs w:val="24"/>
              </w:rPr>
              <w:t>诸暨市公共资源交易中心邮箱（</w:t>
            </w:r>
            <w:r>
              <w:fldChar w:fldCharType="begin"/>
            </w:r>
            <w:r>
              <w:instrText xml:space="preserve"> HYPERLINK "mailto:zjztb001@aliyun.com" </w:instrText>
            </w:r>
            <w:r>
              <w:fldChar w:fldCharType="separate"/>
            </w:r>
            <w:r>
              <w:rPr>
                <w:rStyle w:val="79"/>
                <w:rFonts w:hint="eastAsia" w:ascii="宋体" w:hAnsi="宋体" w:eastAsia="宋体" w:cs="宋体"/>
                <w:b/>
                <w:kern w:val="2"/>
                <w:sz w:val="24"/>
                <w:szCs w:val="24"/>
              </w:rPr>
              <w:t>zjztb001@aliyun.com</w:t>
            </w:r>
            <w:r>
              <w:rPr>
                <w:rStyle w:val="79"/>
                <w:rFonts w:hint="eastAsia" w:ascii="宋体" w:hAnsi="宋体" w:eastAsia="宋体" w:cs="宋体"/>
                <w:b/>
                <w:kern w:val="2"/>
                <w:sz w:val="24"/>
                <w:szCs w:val="24"/>
              </w:rPr>
              <w:fldChar w:fldCharType="end"/>
            </w:r>
            <w:r>
              <w:rPr>
                <w:rFonts w:hint="eastAsia" w:hAnsi="宋体" w:cs="宋体"/>
                <w:b/>
                <w:snapToGrid/>
                <w:sz w:val="24"/>
                <w:szCs w:val="24"/>
              </w:rPr>
              <w:t>）。</w:t>
            </w:r>
          </w:p>
          <w:p>
            <w:pPr>
              <w:pStyle w:val="35"/>
              <w:spacing w:line="360" w:lineRule="auto"/>
              <w:rPr>
                <w:rFonts w:hAnsi="宋体" w:cs="宋体"/>
                <w:kern w:val="28"/>
                <w:sz w:val="24"/>
              </w:rPr>
            </w:pPr>
            <w:r>
              <w:rPr>
                <w:rFonts w:hint="eastAsia" w:hAnsi="宋体" w:cs="宋体"/>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9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16</w:t>
            </w:r>
          </w:p>
        </w:tc>
        <w:tc>
          <w:tcPr>
            <w:tcW w:w="17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71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b/>
                <w:bCs/>
              </w:rPr>
              <w:t>无</w:t>
            </w:r>
          </w:p>
        </w:tc>
      </w:tr>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rPr>
          <w:rFonts w:ascii="宋体" w:hAnsi="宋体" w:eastAsia="宋体" w:cs="宋体"/>
          <w:lang w:val="en-US"/>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9"/>
    <w:p>
      <w:pPr>
        <w:adjustRightInd/>
        <w:spacing w:line="360" w:lineRule="auto"/>
        <w:ind w:firstLine="3845" w:firstLineChars="1197"/>
        <w:outlineLvl w:val="0"/>
        <w:rPr>
          <w:rFonts w:hint="eastAsia" w:ascii="宋体" w:hAnsi="宋体" w:cs="宋体"/>
          <w:b/>
          <w:sz w:val="32"/>
          <w:szCs w:val="20"/>
        </w:rPr>
      </w:pPr>
      <w:bookmarkStart w:id="11" w:name="_Toc164416483"/>
      <w:bookmarkStart w:id="12"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sz w:val="24"/>
          </w:rPr>
          <w:id w:val="512970236"/>
        </w:sdtPr>
        <w:sdtEndPr>
          <w:rPr>
            <w:rFonts w:hint="eastAsia" w:ascii="宋体" w:hAnsi="宋体" w:cs="宋体"/>
            <w:sz w:val="24"/>
          </w:rPr>
        </w:sdtEndPr>
        <w:sdtContent>
          <w:sdt>
            <w:sdtPr>
              <w:rPr>
                <w:rFonts w:hint="eastAsia" w:ascii="宋体" w:hAnsi="宋体" w:cs="宋体"/>
                <w:kern w:val="0"/>
                <w:sz w:val="24"/>
              </w:rPr>
              <w:id w:val="14"/>
            </w:sdtPr>
            <w:sdtEndPr>
              <w:rPr>
                <w:rFonts w:hint="eastAsia" w:ascii="宋体" w:hAnsi="宋体" w:cs="宋体"/>
                <w:kern w:val="0"/>
                <w:sz w:val="24"/>
              </w:rPr>
            </w:sdtEndPr>
            <w:sdtContent>
              <w:sdt>
                <w:sdtPr>
                  <w:rPr>
                    <w:rFonts w:hint="eastAsia" w:ascii="宋体" w:hAnsi="宋体" w:cs="宋体"/>
                    <w:kern w:val="0"/>
                    <w:sz w:val="24"/>
                  </w:rPr>
                  <w:id w:val="147461281"/>
                </w:sdtPr>
                <w:sdtEndPr>
                  <w:rPr>
                    <w:rFonts w:hint="eastAsia" w:ascii="宋体" w:hAnsi="宋体" w:cs="宋体"/>
                    <w:kern w:val="0"/>
                    <w:sz w:val="24"/>
                  </w:rPr>
                </w:sdtEndPr>
                <w:sdtContent>
                  <w:r>
                    <w:rPr>
                      <w:rFonts w:hint="eastAsia" w:ascii="宋体" w:hAnsi="宋体" w:cs="宋体"/>
                      <w:kern w:val="0"/>
                      <w:sz w:val="24"/>
                    </w:rPr>
                    <w:sym w:font="Wingdings" w:char="00FE"/>
                  </w:r>
                </w:sdtContent>
              </w:sdt>
            </w:sdtContent>
          </w:sdt>
        </w:sdtContent>
      </w:sdt>
      <w:r>
        <w:rPr>
          <w:rFonts w:hint="eastAsia" w:ascii="宋体" w:hAnsi="宋体" w:cs="宋体"/>
          <w:sz w:val="24"/>
        </w:rPr>
        <w:t>” 系指适用本项目的要求，“</w:t>
      </w:r>
      <w:sdt>
        <w:sdtPr>
          <w:rPr>
            <w:rFonts w:hint="eastAsia" w:ascii="宋体" w:hAnsi="宋体" w:cs="宋体"/>
            <w:sz w:val="24"/>
          </w:rPr>
          <w:id w:val="404888855"/>
        </w:sdtPr>
        <w:sdtEndPr>
          <w:rPr>
            <w:rFonts w:hint="eastAsia" w:ascii="宋体" w:hAnsi="宋体" w:cs="宋体"/>
            <w:sz w:val="24"/>
          </w:rPr>
        </w:sdtEndPr>
        <w:sdtContent>
          <w:r>
            <w:rPr>
              <w:rFonts w:hint="eastAsia" w:ascii="宋体" w:hAnsi="宋体" w:cs="宋体"/>
              <w:sz w:val="24"/>
            </w:rPr>
            <w:t>☐</w:t>
          </w:r>
        </w:sdtContent>
      </w:sdt>
      <w:r>
        <w:rPr>
          <w:rFonts w:hint="eastAsia" w:ascii="宋体" w:hAnsi="宋体" w:cs="宋体"/>
          <w:sz w:val="24"/>
        </w:rPr>
        <w:t>” 系指不适用本项目的要求。</w:t>
      </w:r>
    </w:p>
    <w:p>
      <w:pPr>
        <w:spacing w:line="360" w:lineRule="auto"/>
        <w:rPr>
          <w:rFonts w:ascii="宋体" w:hAnsi="宋体" w:cs="宋体"/>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或未按照要求提供的，不享受中小企业扶持政策。声明内容不实，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ascii="宋体" w:hAnsi="宋体" w:cs="宋体"/>
          <w:sz w:val="24"/>
        </w:rPr>
      </w:pPr>
      <w:r>
        <w:rPr>
          <w:rFonts w:hint="eastAsia" w:ascii="宋体" w:hAnsi="宋体" w:cs="宋体"/>
          <w:sz w:val="24"/>
        </w:rPr>
        <w:t>3.3.8采购人严格贯彻落实《保障中小企业款项支付条例》、《浙江省财政厅关于进一步发挥政府采购政策功能全力推动经济稳进提质的通知》，按规定向中小企业支付款项。</w:t>
      </w:r>
    </w:p>
    <w:p>
      <w:pPr>
        <w:spacing w:line="360" w:lineRule="auto"/>
        <w:ind w:firstLine="480" w:firstLineChars="200"/>
        <w:rPr>
          <w:rFonts w:ascii="宋体" w:hAnsi="宋体" w:cs="宋体"/>
          <w:sz w:val="24"/>
        </w:rPr>
      </w:pPr>
      <w:r>
        <w:rPr>
          <w:rFonts w:hint="eastAsia" w:ascii="宋体" w:hAnsi="宋体" w:cs="宋体"/>
          <w:sz w:val="24"/>
        </w:rPr>
        <w:t>3.3.9中小企业信用融资：供应商中标后可在政府采购云平台申请政采贷：操作路径：登录政府采购云平台-金融服务中心-【融资服务】。</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b/>
          <w:sz w:val="24"/>
        </w:rPr>
        <w:t>4. 询问、质疑、投诉</w:t>
      </w:r>
    </w:p>
    <w:p>
      <w:pPr>
        <w:spacing w:line="360" w:lineRule="auto"/>
        <w:ind w:firstLine="480" w:firstLineChars="200"/>
        <w:rPr>
          <w:rFonts w:ascii="宋体" w:hAnsi="宋体" w:cs="宋体"/>
          <w:b/>
          <w:sz w:val="24"/>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2" w:firstLineChars="200"/>
        <w:rPr>
          <w:rFonts w:hAnsi="宋体" w:cs="宋体"/>
          <w:b/>
          <w:sz w:val="24"/>
        </w:rPr>
      </w:pPr>
      <w:r>
        <w:rPr>
          <w:rFonts w:hint="eastAsia" w:hAnsi="宋体" w:cs="宋体"/>
          <w:b/>
          <w:sz w:val="24"/>
        </w:rPr>
        <w:t>4.2.2.4针对采购文件中特定资格条件、采购需求、评分办法提出的质疑，应向采购人提出；对采购文件中其他内容、采购过程、采购结果提出的质疑，应向采购代理机构提出。</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3.6提出质疑的日期。</w:t>
      </w:r>
    </w:p>
    <w:p>
      <w:pPr>
        <w:pStyle w:val="35"/>
        <w:spacing w:line="360" w:lineRule="auto"/>
        <w:ind w:firstLine="480" w:firstLineChars="200"/>
        <w:rPr>
          <w:rFonts w:hAnsi="宋体" w:cs="宋体"/>
          <w:sz w:val="24"/>
        </w:rPr>
      </w:pPr>
      <w:r>
        <w:rPr>
          <w:rFonts w:hint="eastAsia" w:hAnsi="宋体" w:cs="宋体"/>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5"/>
        <w:spacing w:line="360" w:lineRule="auto"/>
        <w:ind w:firstLine="480" w:firstLineChars="200"/>
        <w:rPr>
          <w:rFonts w:hAnsi="宋体" w:cs="宋体"/>
          <w:sz w:val="24"/>
        </w:rPr>
      </w:pPr>
      <w:r>
        <w:rPr>
          <w:rFonts w:hint="eastAsia" w:hAnsi="宋体" w:cs="宋体"/>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5"/>
        <w:spacing w:line="360" w:lineRule="auto"/>
        <w:ind w:firstLine="480" w:firstLineChars="200"/>
        <w:rPr>
          <w:rFonts w:hAnsi="宋体" w:cs="宋体"/>
          <w:sz w:val="24"/>
        </w:rPr>
      </w:pPr>
      <w:r>
        <w:rPr>
          <w:rFonts w:hint="eastAsia" w:hAnsi="宋体" w:cs="宋体"/>
          <w:sz w:val="24"/>
        </w:rPr>
        <w:t>4.2.5询问或者质疑事项可能影响采购结果的，采购人应当暂停签订合同，已经签订合同的，应当中止履行合同。</w:t>
      </w:r>
    </w:p>
    <w:p>
      <w:pPr>
        <w:pStyle w:val="35"/>
        <w:spacing w:line="360" w:lineRule="auto"/>
        <w:ind w:firstLine="480" w:firstLineChars="200"/>
        <w:rPr>
          <w:rFonts w:hAnsi="宋体" w:cs="宋体"/>
          <w:sz w:val="24"/>
        </w:rPr>
      </w:pPr>
      <w:r>
        <w:rPr>
          <w:rFonts w:hint="eastAsia" w:hAnsi="宋体" w:cs="宋体"/>
          <w:sz w:val="24"/>
        </w:rPr>
        <w:t>4.3质疑供应商投诉</w:t>
      </w:r>
    </w:p>
    <w:p>
      <w:pPr>
        <w:pStyle w:val="35"/>
        <w:spacing w:line="360" w:lineRule="auto"/>
        <w:ind w:firstLine="480" w:firstLineChars="200"/>
        <w:rPr>
          <w:rFonts w:hAnsi="宋体" w:cs="宋体"/>
          <w:sz w:val="24"/>
        </w:rPr>
      </w:pPr>
      <w:r>
        <w:rPr>
          <w:rFonts w:hint="eastAsia" w:hAnsi="宋体" w:cs="宋体"/>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5"/>
        <w:spacing w:line="360" w:lineRule="auto"/>
        <w:ind w:firstLine="480" w:firstLineChars="200"/>
        <w:rPr>
          <w:rFonts w:hAnsi="宋体" w:cs="宋体"/>
          <w:sz w:val="24"/>
        </w:rPr>
      </w:pPr>
      <w:r>
        <w:rPr>
          <w:rFonts w:hint="eastAsia" w:hAnsi="宋体" w:cs="宋体"/>
          <w:sz w:val="24"/>
        </w:rPr>
        <w:t>4.3.2供应商投诉的事项不得超出已质疑事项的范围，基于质疑答复内容提出的投诉事项除外。</w:t>
      </w:r>
    </w:p>
    <w:p>
      <w:pPr>
        <w:pStyle w:val="35"/>
        <w:spacing w:line="360" w:lineRule="auto"/>
        <w:ind w:firstLine="480" w:firstLineChars="200"/>
        <w:rPr>
          <w:rFonts w:hAnsi="宋体" w:cs="宋体"/>
          <w:sz w:val="24"/>
        </w:rPr>
      </w:pPr>
      <w:r>
        <w:rPr>
          <w:rFonts w:hint="eastAsia" w:hAnsi="宋体" w:cs="宋体"/>
          <w:sz w:val="24"/>
        </w:rPr>
        <w:t>4.3.3供应商投诉应当有明确的请求和必要的证明材料。</w:t>
      </w:r>
    </w:p>
    <w:p>
      <w:pPr>
        <w:pStyle w:val="35"/>
        <w:spacing w:line="360" w:lineRule="auto"/>
        <w:ind w:firstLine="480" w:firstLineChars="200"/>
        <w:rPr>
          <w:rFonts w:hAnsi="宋体" w:cs="宋体"/>
          <w:sz w:val="24"/>
        </w:rPr>
      </w:pPr>
      <w:r>
        <w:rPr>
          <w:rFonts w:hint="eastAsia" w:hAnsi="宋体" w:cs="宋体"/>
          <w:sz w:val="24"/>
        </w:rPr>
        <w:t>4.3.5 以联合体形式参加政府采购活动的，其投诉应当由组成联合体的所有供应商共同提出。投诉书范本及制作说明详见附件3。</w:t>
      </w:r>
    </w:p>
    <w:p>
      <w:pPr>
        <w:pStyle w:val="35"/>
        <w:spacing w:line="360" w:lineRule="auto"/>
        <w:ind w:firstLine="480" w:firstLineChars="200"/>
        <w:rPr>
          <w:rFonts w:hAnsi="宋体" w:cs="宋体"/>
          <w:sz w:val="24"/>
        </w:rPr>
      </w:pPr>
      <w:r>
        <w:rPr>
          <w:rFonts w:hint="eastAsia" w:hAnsi="宋体" w:cs="宋体"/>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二、招标文件的构成、澄清、补充、修改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澄清、补充、修改的内容为招标文件的组成部分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招标文件的澄清、补充、修改</w:t>
      </w:r>
    </w:p>
    <w:p>
      <w:pPr>
        <w:pStyle w:val="16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62"/>
        <w:snapToGrid w:val="0"/>
        <w:spacing w:before="0"/>
        <w:ind w:firstLine="480"/>
        <w:rPr>
          <w:rFonts w:ascii="宋体" w:hAnsi="宋体" w:cs="宋体"/>
        </w:rPr>
      </w:pPr>
      <w:r>
        <w:rPr>
          <w:rFonts w:hint="eastAsia" w:ascii="宋体" w:hAnsi="宋体" w:cs="宋体"/>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62"/>
        <w:snapToGrid w:val="0"/>
        <w:spacing w:before="0"/>
        <w:ind w:firstLine="480"/>
        <w:rPr>
          <w:rFonts w:ascii="宋体" w:hAnsi="宋体" w:cs="宋体"/>
        </w:rPr>
      </w:pPr>
      <w:r>
        <w:rPr>
          <w:rFonts w:hint="eastAsia" w:ascii="宋体" w:hAnsi="宋体" w:cs="宋体"/>
        </w:rPr>
        <w:t>6.3当招标文件与澄清、补充、修改就同一内容表述不一致的以最后发出的文件或公告为准。</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11.1.2落实政府采购政策需满足的资格要求（如需）；</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11.1.3本项目的特定资格要求（如需）。</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11.2.4评标标准相应的商务技术资料（如需）；</w:t>
      </w:r>
    </w:p>
    <w:p>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11.3.2中小企业声明函（如需）。</w:t>
      </w:r>
    </w:p>
    <w:p>
      <w:pPr>
        <w:spacing w:line="360" w:lineRule="auto"/>
        <w:ind w:firstLine="482" w:firstLineChars="200"/>
        <w:rPr>
          <w:rFonts w:ascii="宋体" w:hAnsi="宋体" w:cs="宋体"/>
          <w:b/>
          <w:sz w:val="24"/>
        </w:rPr>
      </w:pPr>
      <w:r>
        <w:rPr>
          <w:rFonts w:hint="eastAsia" w:ascii="宋体" w:hAnsi="宋体" w:cs="宋体"/>
          <w:b/>
          <w:sz w:val="24"/>
        </w:rPr>
        <w:t>11.4投标文件含有采购人不能接受的附加条件的，投标无效；投标人提供虚假材料投标的，投标无效。</w:t>
      </w:r>
    </w:p>
    <w:p>
      <w:pPr>
        <w:pStyle w:val="162"/>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6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6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6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62"/>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6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2"/>
        <w:spacing w:before="0"/>
        <w:ind w:firstLine="480"/>
        <w:rPr>
          <w:rFonts w:ascii="宋体" w:hAnsi="宋体" w:cs="宋体"/>
          <w:color w:val="FF0000"/>
          <w:szCs w:val="24"/>
          <w:u w:val="single"/>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15.1投标人在电子交易平台传输递交投标文件后，还可以在投标截止时间前向</w:t>
      </w:r>
      <w:r>
        <w:rPr>
          <w:rFonts w:hint="eastAsia" w:hAnsi="宋体" w:cs="宋体"/>
          <w:bCs/>
          <w:snapToGrid/>
          <w:sz w:val="24"/>
          <w:szCs w:val="24"/>
        </w:rPr>
        <w:t>诸暨</w:t>
      </w:r>
      <w:r>
        <w:rPr>
          <w:rFonts w:hint="eastAsia" w:hAnsi="宋体" w:cs="宋体"/>
          <w:bCs/>
          <w:sz w:val="24"/>
          <w:szCs w:val="24"/>
        </w:rPr>
        <w:t>市公共资源交易中心邮箱（</w:t>
      </w:r>
      <w:r>
        <w:rPr>
          <w:rFonts w:hint="eastAsia" w:hAnsi="宋体" w:cs="宋体"/>
          <w:sz w:val="24"/>
          <w:szCs w:val="24"/>
        </w:rPr>
        <w:t>zjztb001@aliyun.com）递交备份投标文件1份，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w:t>
      </w:r>
      <w:r>
        <w:rPr>
          <w:rFonts w:hint="eastAsia" w:hAnsi="宋体" w:cs="宋体"/>
          <w:b/>
          <w:sz w:val="24"/>
          <w:szCs w:val="24"/>
        </w:rPr>
        <w:t xml:space="preserve"> </w:t>
      </w:r>
    </w:p>
    <w:p>
      <w:pPr>
        <w:pStyle w:val="35"/>
        <w:spacing w:line="360" w:lineRule="auto"/>
        <w:ind w:firstLine="480" w:firstLineChars="200"/>
        <w:rPr>
          <w:rFonts w:hAnsi="宋体" w:cs="宋体"/>
          <w:sz w:val="24"/>
          <w:szCs w:val="24"/>
        </w:rPr>
      </w:pPr>
      <w:r>
        <w:rPr>
          <w:rFonts w:hint="eastAsia" w:hAnsi="宋体" w:cs="宋体"/>
          <w:sz w:val="24"/>
          <w:szCs w:val="24"/>
        </w:rPr>
        <w:t>15.3采购代理机构将拒绝接受逾期送达的备份投标文件。</w:t>
      </w:r>
    </w:p>
    <w:p>
      <w:pPr>
        <w:pStyle w:val="35"/>
        <w:spacing w:line="360" w:lineRule="auto"/>
        <w:ind w:firstLine="479" w:firstLineChars="199"/>
        <w:rPr>
          <w:rFonts w:hAnsi="宋体" w:cs="宋体"/>
          <w:b/>
          <w:sz w:val="24"/>
          <w:szCs w:val="24"/>
        </w:rPr>
      </w:pPr>
      <w:r>
        <w:rPr>
          <w:rFonts w:hint="eastAsia" w:hAnsi="宋体" w:cs="宋体"/>
          <w:b/>
          <w:sz w:val="24"/>
          <w:szCs w:val="24"/>
        </w:rPr>
        <w:t>15.4投标人仅提交备份投标文件，没有在电子交易平台传输递交投标文件的，投标无效。</w:t>
      </w:r>
    </w:p>
    <w:p>
      <w:pPr>
        <w:pStyle w:val="35"/>
        <w:spacing w:line="360" w:lineRule="auto"/>
        <w:ind w:firstLine="477" w:firstLineChars="199"/>
        <w:rPr>
          <w:rFonts w:hAnsi="宋体" w:cs="宋体"/>
          <w:sz w:val="24"/>
          <w:szCs w:val="24"/>
        </w:rPr>
      </w:pPr>
      <w:r>
        <w:rPr>
          <w:rFonts w:hint="eastAsia" w:hAnsi="宋体" w:cs="宋体"/>
          <w:sz w:val="24"/>
          <w:szCs w:val="24"/>
        </w:rPr>
        <w:t>15.5投标文件如有补充、修改，备份投标文件应同步调整并再次提交，采购代理机构以最新备份投标文件为准。</w:t>
      </w:r>
    </w:p>
    <w:p>
      <w:pPr>
        <w:pStyle w:val="162"/>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hint="eastAsia" w:cs="宋体"/>
        </w:rPr>
        <w:t>第4.2项规定</w:t>
      </w:r>
      <w:r>
        <w:rPr>
          <w:rFonts w:hint="eastAsia" w:cs="宋体"/>
          <w:szCs w:val="21"/>
        </w:rPr>
        <w:t>的情形之一的，投标无效。</w:t>
      </w:r>
    </w:p>
    <w:p>
      <w:pPr>
        <w:pStyle w:val="162"/>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rPr>
        <w:t>★</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62"/>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6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2"/>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62"/>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18.2开标时，电子交易平台按开标时间自动提取所有投标文件。采购代理机构依托电子交易平台发起开始解密指令，投标人按照平台提示在招标文件规定时间内完成在线解密。</w:t>
      </w:r>
    </w:p>
    <w:p>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投标文件未按时解密，投标人提供了备份投标文件的，经投标人同意后以备份投标文件作为依据，否则视为投标文件撤回。投标文件已按时解密的，备份投标文件自动失效。</w:t>
      </w:r>
    </w:p>
    <w:p>
      <w:pPr>
        <w:pStyle w:val="562"/>
        <w:spacing w:before="0" w:line="360" w:lineRule="auto"/>
        <w:ind w:left="0" w:firstLine="0"/>
        <w:contextualSpacing/>
        <w:rPr>
          <w:rFonts w:ascii="宋体" w:hAnsi="宋体" w:cs="宋体"/>
          <w:b/>
          <w:sz w:val="24"/>
        </w:rPr>
      </w:pPr>
      <w:r>
        <w:rPr>
          <w:rFonts w:hint="eastAsia" w:ascii="宋体" w:hAnsi="宋体" w:cs="宋体"/>
          <w:b/>
          <w:sz w:val="24"/>
        </w:rPr>
        <w:t>19</w:t>
      </w:r>
      <w:r>
        <w:rPr>
          <w:rFonts w:hint="eastAsia" w:ascii="宋体" w:hAnsi="宋体" w:cs="宋体"/>
          <w:b/>
          <w:sz w:val="24"/>
          <w:szCs w:val="24"/>
        </w:rPr>
        <w:t>.</w:t>
      </w:r>
      <w:r>
        <w:rPr>
          <w:rFonts w:hint="eastAsia" w:ascii="宋体" w:hAnsi="宋体" w:cs="宋体"/>
          <w:b/>
          <w:sz w:val="24"/>
        </w:rPr>
        <w:t>资格审查</w:t>
      </w:r>
    </w:p>
    <w:p>
      <w:pPr>
        <w:pStyle w:val="162"/>
        <w:spacing w:before="0"/>
        <w:ind w:firstLine="480"/>
        <w:rPr>
          <w:rFonts w:ascii="宋体" w:hAnsi="宋体" w:cs="宋体"/>
          <w:kern w:val="0"/>
          <w:szCs w:val="24"/>
        </w:rPr>
      </w:pPr>
      <w:r>
        <w:rPr>
          <w:rFonts w:hint="eastAsia" w:ascii="宋体" w:hAnsi="宋体" w:cs="宋体"/>
          <w:kern w:val="0"/>
          <w:szCs w:val="24"/>
        </w:rPr>
        <w:t>19.1开标后，采购人或采购代理机构将依法对投标人的资格进行审查。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采购人或采购代理机构依据法律法规和招标文件的规定，对投标人的基本资格条件、特定资格条件进行审查。</w:t>
      </w:r>
    </w:p>
    <w:p>
      <w:pPr>
        <w:pStyle w:val="162"/>
        <w:spacing w:before="0"/>
        <w:ind w:firstLine="480"/>
        <w:rPr>
          <w:rFonts w:ascii="宋体" w:hAnsi="宋体" w:cs="宋体"/>
          <w:kern w:val="0"/>
          <w:szCs w:val="24"/>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有效资格证明材料的，视为投标人不具备招标文件中规定的资格要求，其投标无效。</w:t>
      </w:r>
    </w:p>
    <w:p>
      <w:pPr>
        <w:pStyle w:val="162"/>
        <w:spacing w:before="0"/>
        <w:ind w:firstLine="480"/>
        <w:rPr>
          <w:rFonts w:ascii="宋体" w:hAnsi="宋体" w:cs="宋体"/>
          <w:kern w:val="0"/>
          <w:szCs w:val="24"/>
        </w:rPr>
      </w:pPr>
      <w:r>
        <w:rPr>
          <w:rFonts w:hint="eastAsia" w:ascii="宋体" w:hAnsi="宋体" w:cs="宋体"/>
          <w:kern w:val="0"/>
          <w:szCs w:val="24"/>
        </w:rPr>
        <w:t>19.4对未通过资格审查的投标人，采购人或采购代理机构告知其未通过的原因。</w:t>
      </w:r>
    </w:p>
    <w:p>
      <w:pPr>
        <w:pStyle w:val="162"/>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62"/>
        <w:spacing w:before="0"/>
        <w:ind w:firstLine="0" w:firstLineChars="0"/>
        <w:rPr>
          <w:rFonts w:ascii="宋体" w:hAnsi="宋体" w:cs="宋体"/>
          <w:b/>
          <w:szCs w:val="24"/>
        </w:rPr>
      </w:pPr>
      <w:r>
        <w:rPr>
          <w:rFonts w:hint="eastAsia" w:ascii="宋体" w:hAnsi="宋体" w:cs="宋体"/>
          <w:b/>
          <w:szCs w:val="24"/>
        </w:rPr>
        <w:t>20.信用信息查询</w:t>
      </w:r>
    </w:p>
    <w:p>
      <w:pPr>
        <w:pStyle w:val="16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20.1信用信息查询渠道及截止时间：采购代理机构将通过“信用中国”网站(www.creditchina.gov.cn)、中国政府采购网(www.ccgp.gov.cn)渠道查询投标人投标截止时间当天的信用记录。</w:t>
      </w:r>
    </w:p>
    <w:p>
      <w:pPr>
        <w:pStyle w:val="16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6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6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cs="宋体"/>
          <w:b/>
          <w:sz w:val="24"/>
        </w:rPr>
        <w:t>详见招标文件第四部分评标办法。</w:t>
      </w: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六、定标</w:t>
      </w:r>
    </w:p>
    <w:p>
      <w:pPr>
        <w:pStyle w:val="26"/>
        <w:spacing w:line="360" w:lineRule="auto"/>
        <w:ind w:left="479" w:hanging="479" w:hangingChars="199"/>
        <w:rPr>
          <w:rFonts w:cs="宋体"/>
          <w:b/>
        </w:rPr>
      </w:pPr>
      <w:r>
        <w:rPr>
          <w:rFonts w:hint="eastAsia" w:cs="宋体"/>
          <w:b/>
        </w:rPr>
        <w:t>22. 确定中标供应商</w:t>
      </w:r>
    </w:p>
    <w:p>
      <w:pPr>
        <w:pStyle w:val="162"/>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采购人将自收到评审报告之日起5个工作日内通过电子交易平台在评审报告推荐的中标候选人中确定中标供应商，并将结果确认书面提交给采购代理机构。</w:t>
      </w:r>
    </w:p>
    <w:p>
      <w:pPr>
        <w:pStyle w:val="16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采购人与中标人应当在中标通知书发出之日起三十日内，按照招标文件确定的事项签订政府采购合同，并在合同签订之日起2个工作日内依法发布合同公告。</w:t>
      </w:r>
    </w:p>
    <w:p>
      <w:pPr>
        <w:pStyle w:val="162"/>
        <w:snapToGrid w:val="0"/>
        <w:spacing w:before="0"/>
        <w:ind w:firstLine="480"/>
        <w:rPr>
          <w:rFonts w:ascii="宋体" w:hAnsi="宋体" w:cs="宋体"/>
          <w:kern w:val="0"/>
          <w:lang w:val="zh-CN"/>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2"/>
        <w:snapToGrid w:val="0"/>
        <w:spacing w:before="0"/>
        <w:ind w:firstLine="480"/>
        <w:rPr>
          <w:rFonts w:ascii="宋体" w:hAnsi="宋体" w:cs="宋体"/>
          <w:kern w:val="0"/>
        </w:rPr>
      </w:pPr>
      <w:r>
        <w:rPr>
          <w:rFonts w:hint="eastAsia" w:ascii="宋体" w:hAnsi="宋体" w:cs="宋体"/>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2"/>
        <w:snapToGrid w:val="0"/>
        <w:spacing w:before="0"/>
        <w:ind w:firstLine="480"/>
        <w:rPr>
          <w:rFonts w:ascii="宋体" w:hAnsi="宋体" w:cs="宋体"/>
        </w:rPr>
      </w:pPr>
      <w:r>
        <w:rPr>
          <w:rFonts w:hint="eastAsia" w:ascii="宋体" w:hAnsi="宋体" w:cs="宋体"/>
        </w:rPr>
        <w:t>25.4如签订合同并生效后，供应商无故拒绝或延期，除按照合同条款处理外，将上报政府采购监管部门予以处理。</w:t>
      </w:r>
    </w:p>
    <w:p>
      <w:pPr>
        <w:pStyle w:val="162"/>
        <w:snapToGrid w:val="0"/>
        <w:spacing w:before="0"/>
        <w:ind w:firstLine="480"/>
        <w:rPr>
          <w:rFonts w:ascii="宋体" w:hAnsi="宋体" w:cs="宋体"/>
        </w:rPr>
      </w:pPr>
      <w:r>
        <w:rPr>
          <w:rFonts w:hint="eastAsia" w:ascii="宋体" w:hAnsi="宋体" w:cs="宋体"/>
        </w:rPr>
        <w:t>25.5中标供应商拒绝与采购人签订合同的，采购人应当重新开展政府采购活动。</w:t>
      </w:r>
    </w:p>
    <w:p>
      <w:pPr>
        <w:pStyle w:val="162"/>
        <w:snapToGrid w:val="0"/>
        <w:spacing w:before="0" w:after="120"/>
        <w:ind w:firstLine="480"/>
        <w:rPr>
          <w:rFonts w:ascii="宋体" w:hAnsi="宋体" w:cs="宋体"/>
        </w:rPr>
      </w:pPr>
      <w:r>
        <w:rPr>
          <w:rFonts w:hint="eastAsia" w:ascii="宋体" w:hAnsi="宋体" w:cs="宋体"/>
        </w:rPr>
        <w:t>25.6采购合同由采购人与中标供应商根据招标文件、投标文件等内容签订并公告。</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tabs>
          <w:tab w:val="left" w:pos="0"/>
        </w:tabs>
        <w:spacing w:line="360" w:lineRule="auto"/>
        <w:ind w:firstLine="482"/>
        <w:rPr>
          <w:rFonts w:ascii="宋体" w:hAnsi="宋体" w:cs="宋体"/>
          <w:b/>
          <w:sz w:val="32"/>
        </w:rPr>
      </w:pPr>
      <w:r>
        <w:rPr>
          <w:rFonts w:hint="eastAsia" w:ascii="宋体" w:hAnsi="宋体" w:cs="宋体"/>
          <w:kern w:val="0"/>
          <w:sz w:val="24"/>
        </w:rPr>
        <w:t>供应商可登录政府采购云平台-【金融服务】—【我的项目】—【已备案合同】以保函形式提供。政府采购云平台金融专线400-903-9583。</w:t>
      </w:r>
    </w:p>
    <w:p>
      <w:pPr>
        <w:snapToGrid w:val="0"/>
        <w:spacing w:line="360" w:lineRule="auto"/>
        <w:jc w:val="center"/>
        <w:rPr>
          <w:rFonts w:ascii="宋体" w:hAnsi="宋体" w:cs="宋体"/>
          <w:b/>
          <w:sz w:val="24"/>
        </w:rPr>
      </w:pPr>
      <w:r>
        <w:rPr>
          <w:rFonts w:hint="eastAsia" w:ascii="宋体" w:hAnsi="宋体" w:cs="宋体"/>
          <w:b/>
          <w:sz w:val="32"/>
        </w:rPr>
        <w:t>八、电子交易活动的中止</w:t>
      </w:r>
    </w:p>
    <w:p>
      <w:pPr>
        <w:pStyle w:val="162"/>
        <w:snapToGrid w:val="0"/>
        <w:spacing w:before="0"/>
        <w:ind w:firstLine="0" w:firstLineChars="0"/>
        <w:rPr>
          <w:rFonts w:ascii="宋体" w:hAnsi="宋体" w:cs="宋体"/>
        </w:rPr>
      </w:pPr>
      <w:r>
        <w:rPr>
          <w:rFonts w:hint="eastAsia" w:ascii="宋体" w:hAnsi="宋体" w:cs="宋体"/>
          <w:b/>
          <w:bCs/>
        </w:rPr>
        <w:t xml:space="preserve">27. </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62"/>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62"/>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62"/>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62"/>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62"/>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62"/>
        <w:snapToGrid w:val="0"/>
        <w:spacing w:before="0"/>
        <w:ind w:firstLine="0" w:firstLineChars="0"/>
        <w:rPr>
          <w:rFonts w:ascii="宋体" w:hAnsi="宋体" w:cs="宋体"/>
        </w:rPr>
      </w:pPr>
      <w:r>
        <w:rPr>
          <w:rFonts w:hint="eastAsia" w:ascii="宋体" w:hAnsi="宋体" w:cs="宋体"/>
          <w:b/>
          <w:bCs/>
        </w:rPr>
        <w:t>28.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b/>
          <w:sz w:val="36"/>
          <w:szCs w:val="36"/>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290"/>
      <w:bookmarkEnd w:id="14"/>
      <w:bookmarkStart w:id="15" w:name="_Hlt74730295"/>
      <w:bookmarkEnd w:id="15"/>
      <w:bookmarkStart w:id="16" w:name="_Hlt68072990"/>
      <w:bookmarkEnd w:id="16"/>
      <w:bookmarkStart w:id="17" w:name="_Hlt74714665"/>
      <w:bookmarkEnd w:id="17"/>
      <w:bookmarkStart w:id="18" w:name="_Hlt68057669"/>
      <w:bookmarkEnd w:id="18"/>
      <w:bookmarkStart w:id="19" w:name="_Hlt75236101"/>
      <w:bookmarkEnd w:id="19"/>
      <w:bookmarkStart w:id="20" w:name="_Hlt68072998"/>
      <w:bookmarkEnd w:id="20"/>
      <w:bookmarkStart w:id="21" w:name="_Hlt68403820"/>
      <w:bookmarkEnd w:id="21"/>
      <w:bookmarkStart w:id="22" w:name="_Hlt74729768"/>
      <w:bookmarkEnd w:id="22"/>
      <w:bookmarkStart w:id="23" w:name="_Hlt68073093"/>
      <w:bookmarkEnd w:id="23"/>
      <w:bookmarkStart w:id="24" w:name="_Hlt74707468"/>
      <w:bookmarkEnd w:id="24"/>
      <w:bookmarkStart w:id="25" w:name="_Hlt75236011"/>
      <w:bookmarkEnd w:id="25"/>
    </w:p>
    <w:bookmarkEnd w:id="11"/>
    <w:bookmarkEnd w:id="12"/>
    <w:p>
      <w:pPr>
        <w:numPr>
          <w:ilvl w:val="0"/>
          <w:numId w:val="5"/>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采购需求</w:t>
      </w:r>
    </w:p>
    <w:p>
      <w:pPr>
        <w:numPr>
          <w:ilvl w:val="0"/>
          <w:numId w:val="0"/>
        </w:numPr>
        <w:spacing w:line="360" w:lineRule="auto"/>
        <w:outlineLvl w:val="0"/>
        <w:rPr>
          <w:rFonts w:hint="eastAsia"/>
          <w:sz w:val="28"/>
          <w:szCs w:val="28"/>
        </w:rPr>
      </w:pPr>
      <w:r>
        <w:rPr>
          <w:rFonts w:hint="eastAsia"/>
          <w:sz w:val="28"/>
          <w:szCs w:val="28"/>
        </w:rPr>
        <w:t>一、采购内容：</w:t>
      </w:r>
    </w:p>
    <w:tbl>
      <w:tblPr>
        <w:tblStyle w:val="65"/>
        <w:tblW w:w="852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6"/>
        <w:gridCol w:w="1977"/>
        <w:gridCol w:w="2444"/>
        <w:gridCol w:w="1816"/>
        <w:gridCol w:w="12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0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outlineLvl w:val="0"/>
              <w:rPr>
                <w:rFonts w:ascii="宋体" w:hAnsi="宋体" w:cs="宋体"/>
                <w:spacing w:val="-4"/>
                <w:szCs w:val="21"/>
              </w:rPr>
            </w:pPr>
            <w:r>
              <w:rPr>
                <w:rFonts w:hint="eastAsia" w:ascii="宋体" w:hAnsi="宋体" w:cs="宋体"/>
                <w:spacing w:val="-4"/>
                <w:szCs w:val="21"/>
              </w:rPr>
              <w:t>标项号</w:t>
            </w:r>
          </w:p>
        </w:tc>
        <w:tc>
          <w:tcPr>
            <w:tcW w:w="197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spacing w:val="-4"/>
                <w:szCs w:val="21"/>
              </w:rPr>
            </w:pPr>
            <w:r>
              <w:rPr>
                <w:rFonts w:hint="eastAsia" w:ascii="宋体" w:hAnsi="宋体" w:cs="宋体"/>
                <w:spacing w:val="-4"/>
                <w:szCs w:val="21"/>
              </w:rPr>
              <w:t>采购内容</w:t>
            </w:r>
          </w:p>
        </w:tc>
        <w:tc>
          <w:tcPr>
            <w:tcW w:w="24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spacing w:val="-4"/>
                <w:szCs w:val="21"/>
              </w:rPr>
            </w:pPr>
            <w:r>
              <w:rPr>
                <w:rFonts w:hint="eastAsia" w:ascii="宋体" w:hAnsi="宋体" w:cs="宋体"/>
                <w:spacing w:val="-4"/>
                <w:szCs w:val="21"/>
              </w:rPr>
              <w:t>数量及单位</w:t>
            </w:r>
          </w:p>
        </w:tc>
        <w:tc>
          <w:tcPr>
            <w:tcW w:w="18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spacing w:val="-4"/>
                <w:szCs w:val="21"/>
              </w:rPr>
            </w:pPr>
            <w:r>
              <w:rPr>
                <w:rFonts w:hint="eastAsia" w:ascii="宋体" w:hAnsi="宋体" w:cs="宋体"/>
                <w:szCs w:val="21"/>
              </w:rPr>
              <w:t>总金额（万元）</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outlineLvl w:val="0"/>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6" w:type="dxa"/>
            <w:tcBorders>
              <w:top w:val="single" w:color="auto" w:sz="4" w:space="0"/>
              <w:left w:val="single" w:color="auto" w:sz="4" w:space="0"/>
              <w:bottom w:val="single" w:color="auto" w:sz="4" w:space="0"/>
              <w:right w:val="single" w:color="auto" w:sz="4" w:space="0"/>
            </w:tcBorders>
            <w:vAlign w:val="center"/>
          </w:tcPr>
          <w:p>
            <w:pPr>
              <w:pStyle w:val="334"/>
              <w:ind w:firstLine="420"/>
              <w:rPr>
                <w:rFonts w:hAnsi="宋体" w:eastAsia="宋体" w:cs="宋体"/>
                <w:sz w:val="21"/>
                <w:szCs w:val="21"/>
              </w:rPr>
            </w:pPr>
            <w:r>
              <w:rPr>
                <w:rFonts w:hint="eastAsia" w:hAnsi="宋体" w:eastAsia="宋体" w:cs="宋体"/>
                <w:sz w:val="21"/>
                <w:szCs w:val="21"/>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电子胃肠镜等设备</w:t>
            </w:r>
          </w:p>
        </w:tc>
        <w:tc>
          <w:tcPr>
            <w:tcW w:w="24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1台</w:t>
            </w:r>
          </w:p>
        </w:tc>
        <w:tc>
          <w:tcPr>
            <w:tcW w:w="1816" w:type="dxa"/>
            <w:tcBorders>
              <w:top w:val="single" w:color="auto" w:sz="4" w:space="0"/>
              <w:left w:val="single" w:color="auto" w:sz="4" w:space="0"/>
              <w:bottom w:val="single" w:color="auto" w:sz="4" w:space="0"/>
              <w:right w:val="single" w:color="auto" w:sz="4" w:space="0"/>
            </w:tcBorders>
            <w:vAlign w:val="center"/>
          </w:tcPr>
          <w:p>
            <w:pPr>
              <w:pStyle w:val="334"/>
              <w:ind w:firstLine="420"/>
              <w:rPr>
                <w:rFonts w:hAnsi="宋体" w:eastAsia="宋体" w:cs="宋体"/>
                <w:sz w:val="21"/>
                <w:szCs w:val="21"/>
                <w:u w:val="single"/>
              </w:rPr>
            </w:pPr>
            <w:r>
              <w:rPr>
                <w:rFonts w:hint="eastAsia" w:hAnsi="宋体" w:eastAsia="宋体" w:cs="宋体"/>
                <w:sz w:val="21"/>
                <w:szCs w:val="21"/>
                <w:u w:val="single"/>
              </w:rPr>
              <w:t>210</w:t>
            </w:r>
          </w:p>
        </w:tc>
        <w:tc>
          <w:tcPr>
            <w:tcW w:w="1274" w:type="dxa"/>
            <w:tcBorders>
              <w:top w:val="single" w:color="auto" w:sz="4" w:space="0"/>
              <w:left w:val="single" w:color="auto" w:sz="4" w:space="0"/>
              <w:bottom w:val="single" w:color="auto" w:sz="4" w:space="0"/>
              <w:right w:val="single" w:color="auto" w:sz="4" w:space="0"/>
            </w:tcBorders>
            <w:vAlign w:val="center"/>
          </w:tcPr>
          <w:p>
            <w:pPr>
              <w:pStyle w:val="334"/>
              <w:ind w:firstLine="0" w:firstLineChars="0"/>
              <w:rPr>
                <w:rFonts w:hAnsi="宋体" w:eastAsia="宋体" w:cs="宋体"/>
                <w:sz w:val="21"/>
                <w:szCs w:val="21"/>
                <w:u w:val="single"/>
              </w:rPr>
            </w:pPr>
            <w:r>
              <w:rPr>
                <w:rFonts w:hint="eastAsia" w:hAnsi="宋体" w:eastAsia="宋体" w:cs="宋体"/>
                <w:sz w:val="21"/>
                <w:szCs w:val="21"/>
                <w:u w:val="single"/>
              </w:rPr>
              <w:t>否</w:t>
            </w:r>
          </w:p>
        </w:tc>
      </w:tr>
    </w:tbl>
    <w:p>
      <w:pPr>
        <w:numPr>
          <w:ilvl w:val="0"/>
          <w:numId w:val="6"/>
        </w:numPr>
        <w:spacing w:line="360" w:lineRule="auto"/>
        <w:outlineLvl w:val="0"/>
        <w:rPr>
          <w:rFonts w:asciiTheme="minorEastAsia" w:hAnsiTheme="minorEastAsia" w:eastAsiaTheme="minorEastAsia" w:cstheme="minorEastAsia"/>
          <w:b/>
          <w:bCs/>
          <w:sz w:val="24"/>
        </w:rPr>
      </w:pPr>
      <w:r>
        <w:rPr>
          <w:rFonts w:hint="eastAsia"/>
          <w:sz w:val="28"/>
          <w:szCs w:val="28"/>
        </w:rPr>
        <w:t>技术参数要求</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spacing w:line="40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7524" w:type="dxa"/>
          </w:tcPr>
          <w:p>
            <w:pPr>
              <w:spacing w:line="400" w:lineRule="exact"/>
              <w:rPr>
                <w:rFonts w:asciiTheme="minorEastAsia" w:hAnsiTheme="minorEastAsia" w:eastAsiaTheme="minorEastAsia" w:cstheme="minorEastAsia"/>
                <w:b/>
                <w:bCs/>
                <w:sz w:val="24"/>
              </w:rPr>
            </w:pPr>
            <w:r>
              <w:rPr>
                <w:rFonts w:hint="eastAsia" w:ascii="宋体" w:hAnsi="宋体" w:cs="宋体"/>
                <w:b/>
                <w:sz w:val="24"/>
              </w:rPr>
              <w:t>详细规格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1.</w:t>
            </w:r>
          </w:p>
        </w:tc>
        <w:tc>
          <w:tcPr>
            <w:tcW w:w="7524" w:type="dxa"/>
            <w:vAlign w:val="center"/>
          </w:tcPr>
          <w:p>
            <w:pPr>
              <w:spacing w:before="62" w:beforeLines="20" w:after="62" w:afterLines="20"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数字化内窥镜图像处理器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w:t>
            </w:r>
          </w:p>
        </w:tc>
        <w:tc>
          <w:tcPr>
            <w:tcW w:w="7524" w:type="dxa"/>
            <w:vAlign w:val="center"/>
          </w:tcPr>
          <w:p>
            <w:pPr>
              <w:spacing w:before="62" w:beforeLines="20" w:after="62" w:afterLines="20"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color w:val="000000"/>
                <w:kern w:val="0"/>
                <w:sz w:val="24"/>
              </w:rPr>
              <w:t>整体设计理念：图像处理器与冷光源一体式设计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vAlign w:val="center"/>
          </w:tcPr>
          <w:p>
            <w:pPr>
              <w:spacing w:line="400" w:lineRule="exact"/>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color w:val="000000"/>
                <w:sz w:val="24"/>
              </w:rPr>
              <w:t>1.2</w:t>
            </w:r>
          </w:p>
        </w:tc>
        <w:tc>
          <w:tcPr>
            <w:tcW w:w="7524" w:type="dxa"/>
            <w:vAlign w:val="center"/>
          </w:tcPr>
          <w:p>
            <w:pPr>
              <w:spacing w:line="3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色域：NTSC/PAL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1.3</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color w:val="000000" w:themeColor="text1"/>
                <w:sz w:val="24"/>
                <w14:textFill>
                  <w14:solidFill>
                    <w14:schemeClr w14:val="tx1"/>
                  </w14:solidFill>
                </w14:textFill>
              </w:rPr>
              <w:t>数字HDTV：DVI-D: 2（1920*1080P）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1.4</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模拟/数字HDTV：DVI-I: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1.5</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color w:val="000000" w:themeColor="text1"/>
                <w:sz w:val="24"/>
                <w14:textFill>
                  <w14:solidFill>
                    <w14:schemeClr w14:val="tx1"/>
                  </w14:solidFill>
                </w14:textFill>
              </w:rPr>
              <w:t>模拟SDTV：RGB TV: 1, S VIDEO: 1, VIDEO: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1.6</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屏幕分辨率：SXGA(默认)，全高清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1.7</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色彩调节：亮度，RGB，红色色调，色度9档可调（-4 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1.8</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对比度：3档可调（-1至+1）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1.9</w:t>
            </w:r>
          </w:p>
        </w:tc>
        <w:tc>
          <w:tcPr>
            <w:tcW w:w="7524" w:type="dxa"/>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测光模式：平均测光：控制普通画面亮度</w:t>
            </w:r>
          </w:p>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峰值测光：控制高亮区域亮度</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自动测光：自动设置光学光圈的平均测光或者峰值测光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1.10</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结构强调：SE≥4级，DH：-4至+4，DL：-4至+4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1.11</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色彩强调：</w:t>
            </w:r>
            <w:r>
              <w:rPr>
                <w:rFonts w:hint="eastAsia" w:asciiTheme="minorEastAsia" w:hAnsiTheme="minorEastAsia" w:eastAsiaTheme="minorEastAsia" w:cstheme="minorEastAsia"/>
                <w:color w:val="000000"/>
                <w:kern w:val="0"/>
                <w:sz w:val="24"/>
              </w:rPr>
              <w:t>ON/OFF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1.12</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图像放大：</w:t>
            </w:r>
            <w:r>
              <w:rPr>
                <w:rFonts w:hint="eastAsia" w:asciiTheme="minorEastAsia" w:hAnsiTheme="minorEastAsia" w:eastAsiaTheme="minorEastAsia" w:cstheme="minorEastAsia"/>
                <w:color w:val="000000"/>
                <w:kern w:val="0"/>
                <w:sz w:val="24"/>
              </w:rPr>
              <w:t>≥2倍，≥10级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1.13</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特殊光模式：</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BLI、LCI</w:t>
            </w:r>
            <w:r>
              <w:rPr>
                <w:rFonts w:hint="eastAsia" w:asciiTheme="minorEastAsia" w:hAnsiTheme="minorEastAsia" w:eastAsiaTheme="minorEastAsia" w:cstheme="minorEastAsia"/>
                <w:color w:val="000000"/>
                <w:kern w:val="0"/>
                <w:sz w:val="24"/>
              </w:rPr>
              <w:t>或NBI或i-SCAN或STI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1.14</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color w:val="000000"/>
                <w:kern w:val="0"/>
                <w:sz w:val="24"/>
              </w:rPr>
              <w:t>分光图像强调技术：具备，≥10档预设可调。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1.15</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图像类型：</w:t>
            </w:r>
            <w:r>
              <w:rPr>
                <w:rFonts w:hint="eastAsia" w:asciiTheme="minorEastAsia" w:hAnsiTheme="minorEastAsia" w:eastAsiaTheme="minorEastAsia" w:cstheme="minorEastAsia"/>
                <w:color w:val="000000" w:themeColor="text1"/>
                <w:sz w:val="24"/>
                <w14:textFill>
                  <w14:solidFill>
                    <w14:schemeClr w14:val="tx1"/>
                  </w14:solidFill>
                </w14:textFill>
              </w:rPr>
              <w:t>具备</w:t>
            </w:r>
            <w:r>
              <w:rPr>
                <w:rFonts w:hint="eastAsia" w:asciiTheme="minorEastAsia" w:hAnsiTheme="minorEastAsia" w:eastAsiaTheme="minorEastAsia" w:cstheme="minorEastAsia"/>
                <w:color w:val="000000"/>
                <w:kern w:val="0"/>
                <w:sz w:val="24"/>
              </w:rPr>
              <w:t>Type1，Type2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1.16</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冻结模式：实时冻结，分为场冻结和帧冻结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1.17</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快门速度：正常1/60-1/200，高1/100-1/800，高（放大镜）1/100-1/800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1.18</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切换按键：内镜按键（1-5），面板多功能键（1,2）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1.19</w:t>
            </w:r>
          </w:p>
        </w:tc>
        <w:tc>
          <w:tcPr>
            <w:tcW w:w="7524" w:type="dxa"/>
            <w:vAlign w:val="center"/>
          </w:tcPr>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其他功能：电子放大功能，画中画功能，双画面同屏显示功能,</w:t>
            </w:r>
            <w:r>
              <w:rPr>
                <w:rFonts w:hint="eastAsia" w:asciiTheme="minorEastAsia" w:hAnsiTheme="minorEastAsia" w:eastAsiaTheme="minorEastAsia" w:cstheme="minorEastAsia"/>
                <w:color w:val="000000"/>
                <w:kern w:val="0"/>
                <w:sz w:val="24"/>
              </w:rPr>
              <w:t xml:space="preserve"> 主机支持DICOM。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w:t>
            </w:r>
          </w:p>
        </w:tc>
        <w:tc>
          <w:tcPr>
            <w:tcW w:w="7524" w:type="dxa"/>
            <w:shd w:val="clear" w:color="auto" w:fill="auto"/>
            <w:vAlign w:val="center"/>
          </w:tcPr>
          <w:p>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兼容内窥镜：可兼容同品牌电子胃镜，电子肠镜，电子十二指肠镜，电子支气管镜，电子气囊小肠镜，电子鼻咽喉镜等。</w:t>
            </w:r>
          </w:p>
          <w:p>
            <w:pPr>
              <w:autoSpaceDE w:val="0"/>
              <w:autoSpaceDN w:val="0"/>
              <w:adjustRightIn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（提供内窥镜二类或三类注册证证明）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w:t>
            </w:r>
          </w:p>
        </w:tc>
        <w:tc>
          <w:tcPr>
            <w:tcW w:w="7524" w:type="dxa"/>
            <w:shd w:val="clear" w:color="auto" w:fill="auto"/>
            <w:vAlign w:val="center"/>
          </w:tcPr>
          <w:p>
            <w:pPr>
              <w:pStyle w:val="46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超声内镜兼容：可兼容同品牌超声支气管镜、超声环扫镜，超声扇扫镜等。（提供产品三类注册证证明）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w:t>
            </w:r>
          </w:p>
        </w:tc>
        <w:tc>
          <w:tcPr>
            <w:tcW w:w="7524" w:type="dxa"/>
            <w:shd w:val="clear" w:color="auto" w:fill="auto"/>
            <w:vAlign w:val="center"/>
          </w:tcPr>
          <w:p>
            <w:pPr>
              <w:pStyle w:val="46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兼容超声主机：可兼容同品牌超声主机，同品牌超声小探头主机。</w:t>
            </w:r>
          </w:p>
          <w:p>
            <w:pPr>
              <w:pStyle w:val="463"/>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(提供产品三类注册证证明）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w:t>
            </w:r>
          </w:p>
        </w:tc>
        <w:tc>
          <w:tcPr>
            <w:tcW w:w="7524" w:type="dxa"/>
            <w:shd w:val="clear" w:color="auto" w:fill="auto"/>
            <w:vAlign w:val="center"/>
          </w:tcPr>
          <w:p>
            <w:pPr>
              <w:autoSpaceDE w:val="0"/>
              <w:autoSpaceDN w:val="0"/>
              <w:adjustRightInd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主机具有DICOM通用输出接口：可实现与医院的数字网络连接，实现数字化影像管理。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1.24</w:t>
            </w:r>
          </w:p>
        </w:tc>
        <w:tc>
          <w:tcPr>
            <w:tcW w:w="7524" w:type="dxa"/>
            <w:shd w:val="clear" w:color="auto" w:fill="auto"/>
            <w:vAlign w:val="center"/>
          </w:tcPr>
          <w:p>
            <w:pPr>
              <w:autoSpaceDE w:val="0"/>
              <w:autoSpaceDN w:val="0"/>
              <w:adjustRightInd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主机适配摄像元件：≥2种百万像素图像传感器。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▲1.25</w:t>
            </w:r>
          </w:p>
        </w:tc>
        <w:tc>
          <w:tcPr>
            <w:tcW w:w="7524" w:type="dxa"/>
            <w:shd w:val="clear" w:color="auto" w:fill="auto"/>
            <w:vAlign w:val="center"/>
          </w:tcPr>
          <w:p>
            <w:pPr>
              <w:autoSpaceDE w:val="0"/>
              <w:autoSpaceDN w:val="0"/>
              <w:adjustRightInd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兼容同品牌不同规格超声探头：≥7种不同规格型号小探头，满足胃，肠，小肠，支气管等不同部位诊断需求。</w:t>
            </w:r>
          </w:p>
          <w:p>
            <w:pPr>
              <w:autoSpaceDE w:val="0"/>
              <w:autoSpaceDN w:val="0"/>
              <w:adjustRightInd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(提供产品三类注册证证明）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▲1.26</w:t>
            </w:r>
          </w:p>
        </w:tc>
        <w:tc>
          <w:tcPr>
            <w:tcW w:w="7524" w:type="dxa"/>
            <w:shd w:val="clear" w:color="auto" w:fill="auto"/>
            <w:vAlign w:val="center"/>
          </w:tcPr>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具备早期癌症精查功能，能凸显细微血管，具备BLI或NBI或STI或MSI或i-scanOE成像模式。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1.27</w:t>
            </w:r>
          </w:p>
        </w:tc>
        <w:tc>
          <w:tcPr>
            <w:tcW w:w="7524" w:type="dxa"/>
            <w:shd w:val="clear" w:color="auto" w:fill="auto"/>
            <w:vAlign w:val="center"/>
          </w:tcPr>
          <w:p>
            <w:pPr>
              <w:autoSpaceDE w:val="0"/>
              <w:autoSpaceDN w:val="0"/>
              <w:adjustRightInd w:val="0"/>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000000" w:themeColor="text1"/>
                <w:sz w:val="24"/>
                <w14:textFill>
                  <w14:solidFill>
                    <w14:schemeClr w14:val="tx1"/>
                  </w14:solidFill>
                </w14:textFill>
              </w:rPr>
              <w:t>具备早期癌症筛查功能，能增强血红蛋白，具备LCI或NBI或STI或MSI或i-scanCE成像模式。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2.</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sz w:val="24"/>
              </w:rPr>
              <w:t>内窥镜处理器光源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照明光源：≥3色 LED灯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2.2</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灯泡使用寿命：≥14000小时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照明系统: 切换控制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光源控制: LED自动能量控制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光源冷却方式: 强制空气冷却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3.</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高清电子胃镜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观察方向：0 °( 直视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3.2</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视野角度：≥140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.3</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观察景深： 2 ～ 100mm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.4</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头端部外径：Ф≤9.2mm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3.5</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 xml:space="preserve">插入最大部外径：Ф≤9.3mm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3.6</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有效长度：≥ 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ind w:firstLine="240" w:firstLineChars="1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3.7</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全长：≥ 1400mm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3.8</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弯曲角度：≥上： 210 °、下： 90 °、左： 100 °、右：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.9</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钳道直径：Ф≥ 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.10</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感光元件：CMOS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3.11</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具备早期癌症精查功能，能凸显细微血管，具备BLI或NBI或STI或MSI或i-scanOE成像模式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▲3.12</w:t>
            </w:r>
          </w:p>
        </w:tc>
        <w:tc>
          <w:tcPr>
            <w:tcW w:w="7524" w:type="dxa"/>
            <w:shd w:val="clear" w:color="auto" w:fill="auto"/>
            <w:vAlign w:val="center"/>
          </w:tcPr>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具备早期癌症筛查功能，能增强血红蛋白，具备LCI或NBI或STI或MSI或i-scanCE成像模式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▲3.13</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可兼容同品牌</w:t>
            </w:r>
            <w:r>
              <w:rPr>
                <w:rFonts w:hint="eastAsia" w:asciiTheme="minorEastAsia" w:hAnsiTheme="minorEastAsia" w:eastAsiaTheme="minorEastAsia" w:cstheme="minorEastAsia"/>
                <w:bCs/>
                <w:sz w:val="24"/>
              </w:rPr>
              <w:t>锥形帽</w:t>
            </w:r>
            <w:r>
              <w:rPr>
                <w:rFonts w:hint="eastAsia" w:asciiTheme="minorEastAsia" w:hAnsiTheme="minorEastAsia" w:eastAsiaTheme="minorEastAsia" w:cstheme="minorEastAsia"/>
                <w:color w:val="000000" w:themeColor="text1"/>
                <w:sz w:val="24"/>
                <w14:textFill>
                  <w14:solidFill>
                    <w14:schemeClr w14:val="tx1"/>
                  </w14:solidFill>
                </w14:textFill>
              </w:rPr>
              <w:t>（投标文件中需提供注册证证明)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3.14</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前射水功能  具有前射水功能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4.</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sz w:val="24"/>
              </w:rPr>
              <w:t>高清电子肠镜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 xml:space="preserve">观察方向： 0 ° ( 直视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sz w:val="24"/>
              </w:rPr>
              <w:t>.2</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视野角度：≥170°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sz w:val="24"/>
              </w:rPr>
              <w:t>.3</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观察景深： 2 ～ 100mm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头端部外径：Ф≤12.0mm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插入最大部外径：Ф≤12.0mm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4.6</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有效长度：≥ 1330mm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sz w:val="24"/>
              </w:rPr>
              <w:t>.7</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全长：≥ 1630mm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w:t>
            </w:r>
            <w:r>
              <w:rPr>
                <w:rFonts w:hint="eastAsia" w:asciiTheme="minorEastAsia" w:hAnsiTheme="minorEastAsia" w:eastAsiaTheme="minorEastAsia" w:cstheme="minorEastAsia"/>
                <w:sz w:val="24"/>
              </w:rPr>
              <w:t>.8</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弯曲角度：≥上： 180 °、下： 180 °、左： 160 °、右： 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4.9</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钳道直径：Ф≥ 3.8mm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4.10</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前送水功能：具有前送水功能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4.11</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感光元件：CMOS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4.13</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硬度可调：≥3档硬度可调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4.14</w:t>
            </w:r>
          </w:p>
        </w:tc>
        <w:tc>
          <w:tcPr>
            <w:tcW w:w="7524" w:type="dxa"/>
            <w:shd w:val="clear" w:color="auto" w:fill="auto"/>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具备早期癌症精查功能，能凸显细微血管，具备BLI或NBI或STI或MSI或i-scanOE成像模式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▲4.15</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具备早期癌症筛查功能，能增强血红蛋白，具备LCI或NBI或STI或MSI或i-scanCE成像模式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5</w:t>
            </w:r>
          </w:p>
        </w:tc>
        <w:tc>
          <w:tcPr>
            <w:tcW w:w="7524" w:type="dxa"/>
            <w:shd w:val="clear" w:color="auto" w:fill="auto"/>
            <w:vAlign w:val="center"/>
          </w:tcPr>
          <w:p>
            <w:pPr>
              <w:spacing w:line="360" w:lineRule="auto"/>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sz w:val="24"/>
              </w:rPr>
              <w:t>内镜洗消间配置等离子体空气消毒净化新风机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w:t>
            </w:r>
          </w:p>
        </w:tc>
        <w:tc>
          <w:tcPr>
            <w:tcW w:w="7524" w:type="dxa"/>
            <w:shd w:val="clear" w:color="auto" w:fill="auto"/>
            <w:vAlign w:val="center"/>
          </w:tcPr>
          <w:p>
            <w:pPr>
              <w:spacing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等离子体发生器寿命：等离子体发生器使用寿命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00"/>
                <w:sz w:val="24"/>
              </w:rPr>
              <w:t>45000小时；（提供第三方机构检测报告）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sz w:val="24"/>
              </w:rPr>
              <w:t>开机39min，对冠状病毒的清除率＞99.99% ；（提供第三方机构检测报告）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sz w:val="24"/>
              </w:rPr>
              <w:t>设备控制系统：采用线控面板5寸触摸液晶彩色显示屏，实时检测室内的氧气饱和量、TVOC、微生物、PM2.5、温度、湿度、压差，送排风状态等；（提供产品显示屏拍照图片佐证）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6</w:t>
            </w:r>
          </w:p>
        </w:tc>
        <w:tc>
          <w:tcPr>
            <w:tcW w:w="7524" w:type="dxa"/>
            <w:shd w:val="clear" w:color="auto" w:fill="auto"/>
            <w:vAlign w:val="center"/>
          </w:tcPr>
          <w:p>
            <w:pPr>
              <w:spacing w:line="360" w:lineRule="auto"/>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sz w:val="24"/>
              </w:rPr>
              <w:t>可视喉镜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w:t>
            </w:r>
          </w:p>
        </w:tc>
        <w:tc>
          <w:tcPr>
            <w:tcW w:w="7524" w:type="dxa"/>
            <w:shd w:val="clear" w:color="auto" w:fill="auto"/>
            <w:vAlign w:val="center"/>
          </w:tcPr>
          <w:p>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kern w:val="1"/>
                <w:sz w:val="24"/>
              </w:rPr>
              <w:t>摄像头成像能力：</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1"/>
                <w:sz w:val="24"/>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w:t>
            </w:r>
          </w:p>
        </w:tc>
        <w:tc>
          <w:tcPr>
            <w:tcW w:w="7524" w:type="dxa"/>
            <w:shd w:val="clear" w:color="auto" w:fill="auto"/>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1"/>
                <w:sz w:val="24"/>
              </w:rPr>
              <w:t>电池：锂离子电池，容量</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1"/>
                <w:sz w:val="24"/>
              </w:rPr>
              <w:t>3400mAh，电压3.7V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w:t>
            </w:r>
          </w:p>
        </w:tc>
        <w:tc>
          <w:tcPr>
            <w:tcW w:w="7524" w:type="dxa"/>
            <w:shd w:val="clear" w:color="auto" w:fill="auto"/>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1"/>
                <w:sz w:val="24"/>
              </w:rPr>
              <w:t>光源</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1"/>
                <w:sz w:val="24"/>
              </w:rPr>
              <w:t>3个LED灯，光源：色温</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1"/>
                <w:sz w:val="24"/>
              </w:rPr>
              <w:t>5800K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before="62" w:beforeLines="20" w:after="62" w:afterLines="20"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w:t>
            </w:r>
          </w:p>
        </w:tc>
        <w:tc>
          <w:tcPr>
            <w:tcW w:w="7524" w:type="dxa"/>
            <w:shd w:val="clear" w:color="auto" w:fill="auto"/>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1"/>
                <w:sz w:val="24"/>
                <w:lang w:eastAsia="ar-SA"/>
              </w:rPr>
              <w:t>产品效期：</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1"/>
                <w:sz w:val="24"/>
                <w:lang w:eastAsia="ar-SA"/>
              </w:rPr>
              <w:t>6年</w:t>
            </w:r>
            <w:r>
              <w:rPr>
                <w:rFonts w:hint="eastAsia" w:asciiTheme="minorEastAsia" w:hAnsiTheme="minorEastAsia" w:eastAsiaTheme="minorEastAsia" w:cstheme="minorEastAsia"/>
                <w:kern w:val="1"/>
                <w:sz w:val="24"/>
              </w:rPr>
              <w:t>，</w:t>
            </w:r>
            <w:r>
              <w:rPr>
                <w:rFonts w:hint="eastAsia" w:asciiTheme="minorEastAsia" w:hAnsiTheme="minorEastAsia" w:eastAsiaTheme="minorEastAsia" w:cstheme="minorEastAsia"/>
                <w:kern w:val="1"/>
                <w:sz w:val="24"/>
                <w:lang w:eastAsia="ar-SA"/>
              </w:rPr>
              <w:t>需在说明书中体现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7</w:t>
            </w:r>
          </w:p>
        </w:tc>
        <w:tc>
          <w:tcPr>
            <w:tcW w:w="7524" w:type="dxa"/>
            <w:shd w:val="clear" w:color="auto" w:fill="auto"/>
            <w:vAlign w:val="center"/>
          </w:tcPr>
          <w:p>
            <w:pPr>
              <w:spacing w:line="360" w:lineRule="auto"/>
              <w:rPr>
                <w:rFonts w:asciiTheme="minorEastAsia" w:hAnsiTheme="minorEastAsia" w:eastAsiaTheme="minorEastAsia" w:cstheme="minorEastAsia"/>
                <w:b/>
                <w:bCs/>
                <w:color w:val="000000"/>
                <w:sz w:val="24"/>
                <w:lang w:eastAsia="ar-SA"/>
              </w:rPr>
            </w:pPr>
            <w:r>
              <w:rPr>
                <w:rFonts w:hint="eastAsia" w:asciiTheme="minorEastAsia" w:hAnsiTheme="minorEastAsia" w:eastAsiaTheme="minorEastAsia" w:cstheme="minorEastAsia"/>
                <w:b/>
                <w:bCs/>
                <w:color w:val="000000"/>
                <w:sz w:val="24"/>
              </w:rPr>
              <w:t>内镜中心配套设备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sz w:val="24"/>
                <w:szCs w:val="24"/>
                <w:lang w:val="en-US" w:eastAsia="zh-CN"/>
              </w:rPr>
              <w:t>7.1</w:t>
            </w:r>
          </w:p>
        </w:tc>
        <w:tc>
          <w:tcPr>
            <w:tcW w:w="7524" w:type="dxa"/>
            <w:shd w:val="clear" w:color="auto" w:fill="auto"/>
            <w:vAlign w:val="center"/>
          </w:tcPr>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要求有内镜专用切割模式即ENDO CUT IQ,分别适用于内镜下十二指肠乳头切开和息肉切除；模块化设计，可升级氩气刀。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w:t>
            </w:r>
          </w:p>
        </w:tc>
        <w:tc>
          <w:tcPr>
            <w:tcW w:w="7524" w:type="dxa"/>
            <w:shd w:val="clear" w:color="auto" w:fill="auto"/>
            <w:vAlign w:val="center"/>
          </w:tcPr>
          <w:p>
            <w:pPr>
              <w:spacing w:line="360" w:lineRule="auto"/>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单极凝血最高电压≤4300V；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shd w:val="clear" w:color="auto" w:fill="auto"/>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w:t>
            </w:r>
          </w:p>
        </w:tc>
        <w:tc>
          <w:tcPr>
            <w:tcW w:w="7524" w:type="dxa"/>
            <w:shd w:val="clear" w:color="auto" w:fill="auto"/>
            <w:vAlign w:val="center"/>
          </w:tcPr>
          <w:p>
            <w:pPr>
              <w:spacing w:line="360" w:lineRule="auto"/>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具有最小功率输出控制系统和功率峰值补偿系统</w:t>
            </w:r>
          </w:p>
        </w:tc>
      </w:tr>
    </w:tbl>
    <w:p>
      <w:pPr>
        <w:spacing w:line="400" w:lineRule="exact"/>
        <w:rPr>
          <w:rFonts w:asciiTheme="minorEastAsia" w:hAnsiTheme="minorEastAsia" w:eastAsiaTheme="minorEastAsia" w:cstheme="minorEastAsia"/>
          <w:b/>
          <w:bCs/>
          <w:sz w:val="24"/>
        </w:rPr>
      </w:pPr>
    </w:p>
    <w:p>
      <w:pPr>
        <w:spacing w:line="360" w:lineRule="auto"/>
        <w:outlineLvl w:val="0"/>
        <w:rPr>
          <w:sz w:val="28"/>
          <w:szCs w:val="28"/>
        </w:rPr>
      </w:pPr>
      <w:r>
        <w:rPr>
          <w:rFonts w:hint="eastAsia"/>
          <w:sz w:val="28"/>
          <w:szCs w:val="28"/>
        </w:rPr>
        <w:t>★三、</w:t>
      </w:r>
      <w:r>
        <w:rPr>
          <w:rFonts w:hint="eastAsia" w:ascii="宋体" w:hAnsi="宋体"/>
          <w:bCs/>
          <w:sz w:val="28"/>
          <w:szCs w:val="28"/>
        </w:rPr>
        <w:t>配置要求</w:t>
      </w:r>
    </w:p>
    <w:tbl>
      <w:tblPr>
        <w:tblStyle w:val="65"/>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7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959" w:type="dxa"/>
            <w:vAlign w:val="center"/>
          </w:tcPr>
          <w:p>
            <w:pPr>
              <w:adjustRightInd w:val="0"/>
              <w:spacing w:line="360" w:lineRule="auto"/>
              <w:jc w:val="center"/>
              <w:rPr>
                <w:rFonts w:ascii="宋体" w:hAnsi="宋体" w:cs="宋体"/>
                <w:b/>
                <w:sz w:val="24"/>
              </w:rPr>
            </w:pPr>
            <w:r>
              <w:rPr>
                <w:rFonts w:hAnsi="宋体"/>
                <w:b/>
                <w:sz w:val="24"/>
              </w:rPr>
              <w:t>序号</w:t>
            </w:r>
          </w:p>
        </w:tc>
        <w:tc>
          <w:tcPr>
            <w:tcW w:w="7652" w:type="dxa"/>
            <w:tcBorders>
              <w:right w:val="single" w:color="auto" w:sz="4" w:space="0"/>
            </w:tcBorders>
            <w:vAlign w:val="center"/>
          </w:tcPr>
          <w:p>
            <w:pPr>
              <w:adjustRightInd w:val="0"/>
              <w:spacing w:line="360" w:lineRule="auto"/>
              <w:jc w:val="center"/>
              <w:rPr>
                <w:rFonts w:ascii="宋体" w:hAnsi="宋体" w:cs="宋体"/>
                <w:b/>
                <w:sz w:val="24"/>
              </w:rPr>
            </w:pPr>
            <w:r>
              <w:rPr>
                <w:rFonts w:hint="eastAsia" w:ascii="宋体" w:hAnsi="宋体" w:cs="宋体"/>
                <w:b/>
                <w:sz w:val="24"/>
              </w:rPr>
              <w:t>配置要求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1</w:t>
            </w:r>
          </w:p>
        </w:tc>
        <w:tc>
          <w:tcPr>
            <w:tcW w:w="7652" w:type="dxa"/>
            <w:tcBorders>
              <w:right w:val="single" w:color="auto" w:sz="4" w:space="0"/>
            </w:tcBorders>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sz w:val="24"/>
              </w:rPr>
              <w:t>数字化内窥镜图像处理器：1套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2</w:t>
            </w:r>
          </w:p>
        </w:tc>
        <w:tc>
          <w:tcPr>
            <w:tcW w:w="7652" w:type="dxa"/>
            <w:tcBorders>
              <w:right w:val="single" w:color="auto" w:sz="4" w:space="0"/>
            </w:tcBorders>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sz w:val="24"/>
              </w:rPr>
              <w:t>内窥镜处理器光源：1套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3</w:t>
            </w:r>
          </w:p>
        </w:tc>
        <w:tc>
          <w:tcPr>
            <w:tcW w:w="7652" w:type="dxa"/>
            <w:tcBorders>
              <w:right w:val="single" w:color="auto" w:sz="4" w:space="0"/>
            </w:tcBorders>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sz w:val="24"/>
              </w:rPr>
              <w:t>高清电子胃镜</w:t>
            </w:r>
            <w:r>
              <w:rPr>
                <w:rFonts w:hint="eastAsia" w:asciiTheme="minorEastAsia" w:hAnsiTheme="minorEastAsia" w:eastAsiaTheme="minorEastAsia" w:cstheme="minorEastAsia"/>
                <w:bCs/>
                <w:color w:val="000000"/>
                <w:sz w:val="24"/>
              </w:rPr>
              <w:t>：2根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4</w:t>
            </w:r>
          </w:p>
        </w:tc>
        <w:tc>
          <w:tcPr>
            <w:tcW w:w="7652" w:type="dxa"/>
            <w:tcBorders>
              <w:right w:val="single" w:color="auto" w:sz="4" w:space="0"/>
            </w:tcBorders>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color w:val="000000"/>
                <w:sz w:val="24"/>
              </w:rPr>
              <w:t>高清电子肠镜：2根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5</w:t>
            </w:r>
          </w:p>
        </w:tc>
        <w:tc>
          <w:tcPr>
            <w:tcW w:w="7652" w:type="dxa"/>
            <w:tcBorders>
              <w:right w:val="single" w:color="auto" w:sz="4" w:space="0"/>
            </w:tcBorders>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sz w:val="24"/>
              </w:rPr>
              <w:t>医用监视器：1台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959" w:type="dxa"/>
            <w:vAlign w:val="center"/>
          </w:tcPr>
          <w:p>
            <w:pPr>
              <w:spacing w:before="62" w:beforeLines="20" w:after="62" w:afterLines="20" w:line="360" w:lineRule="auto"/>
              <w:jc w:val="center"/>
              <w:rPr>
                <w:rFonts w:ascii="宋体" w:hAnsi="宋体" w:eastAsiaTheme="minorEastAsia"/>
                <w:szCs w:val="21"/>
              </w:rPr>
            </w:pPr>
            <w:r>
              <w:rPr>
                <w:rFonts w:hint="eastAsia" w:asciiTheme="minorEastAsia" w:hAnsiTheme="minorEastAsia" w:eastAsiaTheme="minorEastAsia" w:cstheme="minorEastAsia"/>
                <w:sz w:val="24"/>
              </w:rPr>
              <w:t>6</w:t>
            </w:r>
          </w:p>
        </w:tc>
        <w:tc>
          <w:tcPr>
            <w:tcW w:w="7652" w:type="dxa"/>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color w:val="000000"/>
                <w:sz w:val="24"/>
              </w:rPr>
              <w:t>吊塔：1台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7</w:t>
            </w:r>
          </w:p>
        </w:tc>
        <w:tc>
          <w:tcPr>
            <w:tcW w:w="7652" w:type="dxa"/>
            <w:shd w:val="clear" w:color="auto" w:fill="auto"/>
            <w:vAlign w:val="center"/>
          </w:tcPr>
          <w:p>
            <w:pPr>
              <w:spacing w:before="62" w:beforeLines="20" w:after="62" w:afterLines="20" w:line="360" w:lineRule="auto"/>
              <w:jc w:val="left"/>
              <w:rPr>
                <w:rFonts w:ascii="仿宋" w:hAnsi="仿宋" w:eastAsia="仿宋" w:cs="仿宋"/>
                <w:sz w:val="24"/>
              </w:rPr>
            </w:pPr>
            <w:r>
              <w:rPr>
                <w:rFonts w:hint="eastAsia" w:asciiTheme="minorEastAsia" w:hAnsiTheme="minorEastAsia" w:eastAsiaTheme="minorEastAsia" w:cstheme="minorEastAsia"/>
                <w:bCs/>
                <w:sz w:val="24"/>
              </w:rPr>
              <w:t>送水装置：1套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8</w:t>
            </w:r>
          </w:p>
        </w:tc>
        <w:tc>
          <w:tcPr>
            <w:tcW w:w="7652" w:type="dxa"/>
            <w:shd w:val="clear" w:color="auto" w:fill="auto"/>
            <w:vAlign w:val="center"/>
          </w:tcPr>
          <w:p>
            <w:pPr>
              <w:spacing w:before="62" w:beforeLines="20" w:after="62" w:afterLines="20" w:line="360" w:lineRule="auto"/>
              <w:jc w:val="left"/>
              <w:rPr>
                <w:rFonts w:ascii="仿宋" w:hAnsi="仿宋" w:eastAsia="仿宋" w:cs="仿宋"/>
                <w:bCs/>
                <w:kern w:val="0"/>
                <w:sz w:val="24"/>
              </w:rPr>
            </w:pPr>
            <w:r>
              <w:rPr>
                <w:rFonts w:hint="eastAsia" w:asciiTheme="minorEastAsia" w:hAnsiTheme="minorEastAsia" w:eastAsiaTheme="minorEastAsia" w:cstheme="minorEastAsia"/>
                <w:bCs/>
                <w:sz w:val="24"/>
              </w:rPr>
              <w:t>内镜附件（送水送气，吸引按钮）：5套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959" w:type="dxa"/>
            <w:vAlign w:val="center"/>
          </w:tcPr>
          <w:p>
            <w:pPr>
              <w:spacing w:before="62" w:beforeLines="20" w:after="62" w:afterLines="20" w:line="360" w:lineRule="auto"/>
              <w:jc w:val="center"/>
              <w:rPr>
                <w:rFonts w:ascii="宋体" w:hAnsi="宋体"/>
                <w:szCs w:val="21"/>
              </w:rPr>
            </w:pPr>
            <w:r>
              <w:rPr>
                <w:rFonts w:hint="eastAsia" w:asciiTheme="minorEastAsia" w:hAnsiTheme="minorEastAsia" w:eastAsiaTheme="minorEastAsia" w:cstheme="minorEastAsia"/>
                <w:sz w:val="24"/>
              </w:rPr>
              <w:t>9</w:t>
            </w:r>
          </w:p>
        </w:tc>
        <w:tc>
          <w:tcPr>
            <w:tcW w:w="7652" w:type="dxa"/>
            <w:shd w:val="clear" w:color="auto" w:fill="auto"/>
            <w:vAlign w:val="center"/>
          </w:tcPr>
          <w:p>
            <w:pPr>
              <w:spacing w:before="62" w:beforeLines="20" w:after="62" w:afterLines="20" w:line="360" w:lineRule="auto"/>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内镜中心配套设备</w:t>
            </w:r>
          </w:p>
          <w:p>
            <w:pPr>
              <w:spacing w:before="62" w:beforeLines="20" w:after="62" w:afterLines="20" w:line="360" w:lineRule="auto"/>
              <w:jc w:val="left"/>
              <w:rPr>
                <w:rFonts w:ascii="仿宋" w:hAnsi="仿宋" w:eastAsia="仿宋" w:cs="仿宋"/>
                <w:bCs/>
                <w:kern w:val="0"/>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color w:val="000000"/>
                <w:sz w:val="24"/>
              </w:rPr>
              <w:t>等离子体空气消毒净化新风机1台； 2）</w:t>
            </w:r>
            <w:r>
              <w:rPr>
                <w:rFonts w:hint="eastAsia" w:asciiTheme="minorEastAsia" w:hAnsiTheme="minorEastAsia" w:eastAsiaTheme="minorEastAsia" w:cstheme="minorEastAsia"/>
                <w:bCs/>
                <w:sz w:val="24"/>
              </w:rPr>
              <w:t>可视喉镜1台；3）内镜下专用治疗设备1台；4）储镜柜1台；5）纯水机2台； 6）采集卡1套；7）端口开放；8）治疗推床6张；9）病人推床5张。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8611" w:type="dxa"/>
            <w:gridSpan w:val="2"/>
            <w:vAlign w:val="center"/>
          </w:tcPr>
          <w:p>
            <w:pPr>
              <w:spacing w:before="62" w:beforeLines="20" w:after="62" w:afterLines="20" w:line="360" w:lineRule="auto"/>
              <w:jc w:val="left"/>
              <w:rPr>
                <w:rFonts w:ascii="仿宋" w:hAnsi="仿宋" w:eastAsia="仿宋" w:cs="仿宋"/>
                <w:bCs/>
                <w:kern w:val="0"/>
                <w:sz w:val="24"/>
              </w:rPr>
            </w:pPr>
            <w:r>
              <w:rPr>
                <w:rFonts w:hint="eastAsia" w:ascii="仿宋" w:hAnsi="仿宋" w:eastAsia="仿宋" w:cs="仿宋"/>
                <w:bCs/>
                <w:kern w:val="0"/>
                <w:sz w:val="24"/>
              </w:rPr>
              <w:t>注：1.数字化内窥镜图像处理器：须提供医疗器械注册证；内窥镜处理器光源：须提供医疗器械注册证；高清电子胃镜：须提供医疗器械注册证；高清电子肠镜：须提供医疗器械注册证；等离子体空气消毒净化新风机：提供消毒产品生产许可证和相同产品网上备案凭证；可视喉镜：须提供医疗器械注册证；内镜下专用治疗设备：须提供医疗器械注册证；病人推床：提供备案凭证。</w:t>
            </w:r>
          </w:p>
          <w:p>
            <w:pPr>
              <w:spacing w:before="62" w:beforeLines="20" w:after="62" w:afterLines="20" w:line="360" w:lineRule="auto"/>
              <w:jc w:val="left"/>
            </w:pPr>
            <w:r>
              <w:rPr>
                <w:rFonts w:hint="eastAsia" w:ascii="仿宋" w:hAnsi="仿宋" w:eastAsia="仿宋" w:cs="仿宋"/>
                <w:bCs/>
                <w:kern w:val="0"/>
                <w:sz w:val="24"/>
              </w:rPr>
              <w:t>2.其他配置未在采购文件中明确，但国家有明确规定须具有与投标产品相应的医疗器械注册证（备案证），必须在合同签订前向采购人提供相应注册证（备案证）。</w:t>
            </w:r>
          </w:p>
        </w:tc>
      </w:tr>
    </w:tbl>
    <w:p>
      <w:pPr>
        <w:spacing w:line="360" w:lineRule="auto"/>
        <w:outlineLvl w:val="0"/>
        <w:rPr>
          <w:sz w:val="28"/>
          <w:szCs w:val="28"/>
        </w:rPr>
      </w:pPr>
      <w:r>
        <w:rPr>
          <w:rFonts w:hint="eastAsia"/>
          <w:sz w:val="28"/>
          <w:szCs w:val="28"/>
        </w:rPr>
        <w:t>四、商务要求</w:t>
      </w:r>
    </w:p>
    <w:tbl>
      <w:tblPr>
        <w:tblStyle w:val="65"/>
        <w:tblW w:w="85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13" w:type="dxa"/>
          <w:bottom w:w="57" w:type="dxa"/>
          <w:right w:w="113" w:type="dxa"/>
        </w:tblCellMar>
      </w:tblPr>
      <w:tblGrid>
        <w:gridCol w:w="1138"/>
        <w:gridCol w:w="74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469" w:hRule="atLeast"/>
          <w:jc w:val="center"/>
        </w:trPr>
        <w:tc>
          <w:tcPr>
            <w:tcW w:w="1138" w:type="dxa"/>
            <w:vAlign w:val="center"/>
          </w:tcPr>
          <w:p>
            <w:pPr>
              <w:jc w:val="center"/>
              <w:rPr>
                <w:b/>
                <w:sz w:val="28"/>
                <w:szCs w:val="28"/>
              </w:rPr>
            </w:pPr>
            <w:r>
              <w:rPr>
                <w:rFonts w:hAnsi="宋体"/>
                <w:b/>
                <w:sz w:val="28"/>
                <w:szCs w:val="28"/>
              </w:rPr>
              <w:t>序号</w:t>
            </w:r>
          </w:p>
        </w:tc>
        <w:tc>
          <w:tcPr>
            <w:tcW w:w="7461" w:type="dxa"/>
            <w:tcBorders>
              <w:right w:val="single" w:color="auto" w:sz="4" w:space="0"/>
            </w:tcBorders>
            <w:vAlign w:val="center"/>
          </w:tcPr>
          <w:p>
            <w:pPr>
              <w:jc w:val="center"/>
              <w:rPr>
                <w:b/>
                <w:sz w:val="28"/>
                <w:szCs w:val="28"/>
              </w:rPr>
            </w:pPr>
            <w:r>
              <w:rPr>
                <w:rFonts w:hint="eastAsia"/>
                <w:b/>
                <w:sz w:val="28"/>
                <w:szCs w:val="28"/>
              </w:rPr>
              <w:t>商务要求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
                <w:sz w:val="24"/>
              </w:rPr>
            </w:pPr>
            <w:r>
              <w:rPr>
                <w:rFonts w:hint="eastAsia" w:hAnsi="宋体"/>
                <w:b/>
                <w:sz w:val="28"/>
                <w:szCs w:val="28"/>
              </w:rPr>
              <w:t>1</w:t>
            </w:r>
          </w:p>
        </w:tc>
        <w:tc>
          <w:tcPr>
            <w:tcW w:w="7461" w:type="dxa"/>
            <w:tcBorders>
              <w:right w:val="single" w:color="auto" w:sz="4" w:space="0"/>
            </w:tcBorders>
            <w:vAlign w:val="center"/>
          </w:tcPr>
          <w:p>
            <w:pPr>
              <w:jc w:val="left"/>
              <w:rPr>
                <w:rFonts w:ascii="Calibri" w:hAnsi="Calibri"/>
                <w:b/>
                <w:color w:val="000000"/>
                <w:sz w:val="24"/>
              </w:rPr>
            </w:pPr>
            <w:r>
              <w:rPr>
                <w:rFonts w:hint="eastAsia" w:ascii="Calibri" w:hAnsi="Calibri"/>
                <w:b/>
                <w:color w:val="000000"/>
                <w:sz w:val="24"/>
              </w:rPr>
              <w:t>质量保证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1.1</w:t>
            </w:r>
          </w:p>
        </w:tc>
        <w:tc>
          <w:tcPr>
            <w:tcW w:w="7461" w:type="dxa"/>
            <w:tcBorders>
              <w:right w:val="single" w:color="auto" w:sz="4" w:space="0"/>
            </w:tcBorders>
            <w:vAlign w:val="center"/>
          </w:tcPr>
          <w:p>
            <w:pPr>
              <w:jc w:val="left"/>
              <w:rPr>
                <w:rFonts w:ascii="Calibri" w:hAnsi="Calibri"/>
                <w:b/>
                <w:color w:val="000000"/>
                <w:sz w:val="24"/>
              </w:rPr>
            </w:pPr>
            <w:r>
              <w:rPr>
                <w:rFonts w:hint="eastAsia" w:ascii="宋体" w:hAnsi="宋体"/>
                <w:sz w:val="24"/>
              </w:rPr>
              <w:t>货物使用期限：自货物生产日期起，不少于6年；提供铭牌标识、照片或说明书相关页面复印件；货物无使用期限的，提供说明。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1.2</w:t>
            </w:r>
          </w:p>
        </w:tc>
        <w:tc>
          <w:tcPr>
            <w:tcW w:w="7461" w:type="dxa"/>
            <w:tcBorders>
              <w:right w:val="single" w:color="auto" w:sz="4" w:space="0"/>
            </w:tcBorders>
            <w:vAlign w:val="center"/>
          </w:tcPr>
          <w:p>
            <w:pPr>
              <w:jc w:val="left"/>
              <w:rPr>
                <w:rFonts w:ascii="宋体" w:hAnsi="宋体"/>
                <w:sz w:val="24"/>
              </w:rPr>
            </w:pPr>
            <w:r>
              <w:rPr>
                <w:rFonts w:hint="eastAsia" w:ascii="宋体" w:hAnsi="宋体"/>
                <w:sz w:val="24"/>
              </w:rPr>
              <w:t>货物生产日期（以产品标签、标识为准）：货物到达买方机房之日</w:t>
            </w:r>
            <w:r>
              <w:rPr>
                <w:rFonts w:hint="eastAsia" w:ascii="宋体" w:hAnsi="宋体"/>
                <w:sz w:val="24"/>
                <w:u w:val="single"/>
              </w:rPr>
              <w:t>前12个月内（国产产品）、18个月内（进口产品）。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1.3</w:t>
            </w:r>
          </w:p>
        </w:tc>
        <w:tc>
          <w:tcPr>
            <w:tcW w:w="7461" w:type="dxa"/>
            <w:tcBorders>
              <w:right w:val="single" w:color="auto" w:sz="4" w:space="0"/>
            </w:tcBorders>
            <w:vAlign w:val="center"/>
          </w:tcPr>
          <w:p>
            <w:pPr>
              <w:spacing w:line="380" w:lineRule="exact"/>
              <w:rPr>
                <w:rFonts w:ascii="宋体" w:hAnsi="宋体"/>
                <w:b/>
                <w:sz w:val="24"/>
              </w:rPr>
            </w:pPr>
            <w:r>
              <w:rPr>
                <w:rFonts w:hint="eastAsia" w:ascii="宋体" w:hAnsi="宋体"/>
                <w:sz w:val="24"/>
              </w:rPr>
              <w:t>卖方提供的所有货物必须是全新未使用过的。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2</w:t>
            </w:r>
          </w:p>
        </w:tc>
        <w:tc>
          <w:tcPr>
            <w:tcW w:w="7461" w:type="dxa"/>
            <w:vAlign w:val="center"/>
          </w:tcPr>
          <w:p>
            <w:pPr>
              <w:spacing w:line="380" w:lineRule="exact"/>
              <w:rPr>
                <w:rFonts w:ascii="宋体" w:hAnsi="宋体"/>
                <w:sz w:val="24"/>
              </w:rPr>
            </w:pPr>
            <w:r>
              <w:rPr>
                <w:rFonts w:hint="eastAsia" w:ascii="Calibri" w:hAnsi="Calibri"/>
                <w:b/>
                <w:color w:val="000000"/>
                <w:sz w:val="24"/>
              </w:rPr>
              <w:t>保质期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ascii="Arial" w:hAnsi="Arial" w:cs="Arial"/>
                <w:szCs w:val="21"/>
              </w:rPr>
              <w:t>★</w:t>
            </w:r>
            <w:r>
              <w:rPr>
                <w:rFonts w:hint="eastAsia" w:hAnsi="宋体"/>
                <w:bCs/>
                <w:sz w:val="24"/>
              </w:rPr>
              <w:t>2.1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设备验收合格后免费保修：≥3年。供应商报价须包含保质期内的所有服务及配件费用。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保修期内，维修响应时间</w:t>
            </w:r>
            <w:r>
              <w:rPr>
                <w:rFonts w:hint="eastAsia" w:ascii="宋体" w:hAnsi="宋体"/>
                <w:sz w:val="24"/>
                <w:u w:val="single"/>
              </w:rPr>
              <w:t>＜12小时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2.3</w:t>
            </w:r>
          </w:p>
        </w:tc>
        <w:tc>
          <w:tcPr>
            <w:tcW w:w="7461" w:type="dxa"/>
            <w:vAlign w:val="center"/>
          </w:tcPr>
          <w:p>
            <w:pPr>
              <w:spacing w:line="380" w:lineRule="exact"/>
              <w:rPr>
                <w:rFonts w:ascii="宋体" w:hAnsi="宋体"/>
                <w:sz w:val="24"/>
              </w:rPr>
            </w:pPr>
            <w:r>
              <w:rPr>
                <w:rFonts w:hint="eastAsia" w:ascii="宋体" w:hAnsi="宋体"/>
                <w:sz w:val="24"/>
              </w:rPr>
              <w:t>保修期内开机率</w:t>
            </w:r>
            <w:r>
              <w:rPr>
                <w:rFonts w:hint="eastAsia" w:ascii="宋体" w:hAnsi="宋体"/>
                <w:sz w:val="24"/>
                <w:u w:val="single"/>
              </w:rPr>
              <w:t>≥95%</w:t>
            </w:r>
            <w:r>
              <w:rPr>
                <w:rFonts w:hint="eastAsia" w:ascii="宋体" w:hAnsi="宋体"/>
                <w:sz w:val="24"/>
              </w:rPr>
              <w:t>，若设备未达到以上开机率保证，则停机每超过一天则延长</w:t>
            </w:r>
            <w:r>
              <w:rPr>
                <w:rFonts w:hint="eastAsia" w:ascii="宋体" w:hAnsi="宋体"/>
                <w:sz w:val="24"/>
                <w:u w:val="single"/>
              </w:rPr>
              <w:t>十天</w:t>
            </w:r>
            <w:r>
              <w:rPr>
                <w:rFonts w:hint="eastAsia" w:ascii="宋体" w:hAnsi="宋体"/>
                <w:sz w:val="24"/>
              </w:rPr>
              <w:t>保修时间。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
                <w:sz w:val="28"/>
                <w:szCs w:val="28"/>
              </w:rPr>
              <w:t>3</w:t>
            </w:r>
          </w:p>
        </w:tc>
        <w:tc>
          <w:tcPr>
            <w:tcW w:w="7461" w:type="dxa"/>
            <w:vAlign w:val="center"/>
          </w:tcPr>
          <w:p>
            <w:pPr>
              <w:spacing w:line="380" w:lineRule="exact"/>
              <w:rPr>
                <w:rFonts w:ascii="宋体" w:hAnsi="宋体"/>
                <w:sz w:val="24"/>
              </w:rPr>
            </w:pPr>
            <w:r>
              <w:rPr>
                <w:rFonts w:hint="eastAsia" w:ascii="Calibri" w:hAnsi="Calibri"/>
                <w:b/>
                <w:color w:val="000000"/>
                <w:sz w:val="24"/>
              </w:rPr>
              <w:t>售后服务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3.1</w:t>
            </w:r>
          </w:p>
        </w:tc>
        <w:tc>
          <w:tcPr>
            <w:tcW w:w="7461" w:type="dxa"/>
            <w:vAlign w:val="center"/>
          </w:tcPr>
          <w:p>
            <w:pPr>
              <w:spacing w:line="380" w:lineRule="exact"/>
              <w:rPr>
                <w:rFonts w:ascii="Calibri" w:hAnsi="Calibri"/>
                <w:b/>
                <w:color w:val="000000"/>
                <w:sz w:val="24"/>
              </w:rPr>
            </w:pPr>
            <w:r>
              <w:rPr>
                <w:rFonts w:hint="eastAsia" w:ascii="宋体" w:hAnsi="宋体"/>
                <w:sz w:val="24"/>
              </w:rPr>
              <w:t>供应商应在响应文件中提供详细售后服务方案，如售后服务网点的分布情况、售后服务机构备品备件储备，售后服务机构技术服务人员情况、开展定期巡检等。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3.2</w:t>
            </w:r>
          </w:p>
        </w:tc>
        <w:tc>
          <w:tcPr>
            <w:tcW w:w="7461" w:type="dxa"/>
            <w:vAlign w:val="center"/>
          </w:tcPr>
          <w:p>
            <w:pPr>
              <w:spacing w:line="380" w:lineRule="exact"/>
              <w:rPr>
                <w:rFonts w:ascii="宋体" w:hAnsi="宋体"/>
                <w:sz w:val="24"/>
              </w:rPr>
            </w:pPr>
            <w:r>
              <w:rPr>
                <w:rFonts w:hint="eastAsia" w:ascii="宋体" w:hAnsi="宋体"/>
                <w:sz w:val="24"/>
              </w:rPr>
              <w:t>供应商应在响应文件中提供详细收费标准，包括出保后保修方案、消耗品价格、设备配件价格，维修服务费等。如未列明则默认为日后日常使用中免费提供。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3.3</w:t>
            </w:r>
          </w:p>
        </w:tc>
        <w:tc>
          <w:tcPr>
            <w:tcW w:w="7461" w:type="dxa"/>
            <w:vAlign w:val="center"/>
          </w:tcPr>
          <w:p>
            <w:pPr>
              <w:spacing w:line="380" w:lineRule="exact"/>
              <w:rPr>
                <w:rFonts w:ascii="宋体" w:hAnsi="宋体"/>
                <w:sz w:val="24"/>
              </w:rPr>
            </w:pPr>
            <w:r>
              <w:rPr>
                <w:rFonts w:hint="eastAsia" w:ascii="宋体" w:hAnsi="宋体"/>
                <w:sz w:val="24"/>
              </w:rPr>
              <w:t>在整个设备使用期内，卖方应确保设备的正常使用，在接到用户维修要求后应立即作出回应，通过电话联系无法解决的，须</w:t>
            </w:r>
            <w:r>
              <w:rPr>
                <w:rFonts w:hint="eastAsia" w:ascii="宋体" w:hAnsi="宋体"/>
                <w:sz w:val="24"/>
                <w:u w:val="single"/>
              </w:rPr>
              <w:t>24小时内</w:t>
            </w:r>
            <w:r>
              <w:rPr>
                <w:rFonts w:hint="eastAsia" w:ascii="宋体" w:hAnsi="宋体"/>
                <w:sz w:val="24"/>
              </w:rPr>
              <w:t>赶赴买方现场处理。维修过程中所需零配件，非特殊情况，供应商应在接到通知后最长不超过3天必须送达采购人。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jc w:val="center"/>
              <w:rPr>
                <w:rFonts w:hAnsi="宋体"/>
                <w:bCs/>
                <w:sz w:val="24"/>
              </w:rPr>
            </w:pPr>
            <w:r>
              <w:rPr>
                <w:rFonts w:hint="eastAsia" w:hAnsi="宋体"/>
                <w:bCs/>
                <w:sz w:val="24"/>
              </w:rPr>
              <w:t>3.4</w:t>
            </w:r>
          </w:p>
        </w:tc>
        <w:tc>
          <w:tcPr>
            <w:tcW w:w="7461" w:type="dxa"/>
            <w:vAlign w:val="center"/>
          </w:tcPr>
          <w:p>
            <w:pPr>
              <w:spacing w:line="380" w:lineRule="exact"/>
              <w:rPr>
                <w:rFonts w:ascii="Calibri" w:hAnsi="Calibri"/>
                <w:b/>
                <w:sz w:val="24"/>
              </w:rPr>
            </w:pPr>
            <w:r>
              <w:rPr>
                <w:rFonts w:hint="eastAsia" w:ascii="宋体" w:hAnsi="宋体"/>
                <w:sz w:val="24"/>
              </w:rPr>
              <w:t>保证易耗品及零配件供应</w:t>
            </w:r>
            <w:r>
              <w:rPr>
                <w:rFonts w:hint="eastAsia" w:ascii="宋体" w:hAnsi="宋体"/>
                <w:sz w:val="24"/>
                <w:u w:val="single"/>
              </w:rPr>
              <w:t>8年</w:t>
            </w:r>
            <w:r>
              <w:rPr>
                <w:rFonts w:hint="eastAsia" w:ascii="宋体" w:hAnsi="宋体"/>
                <w:sz w:val="24"/>
              </w:rPr>
              <w:t>以上，</w:t>
            </w:r>
            <w:r>
              <w:rPr>
                <w:rFonts w:ascii="宋体" w:hAnsi="宋体"/>
                <w:sz w:val="24"/>
              </w:rPr>
              <w:t>终身维护，软件终身免费升级</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4</w:t>
            </w:r>
          </w:p>
        </w:tc>
        <w:tc>
          <w:tcPr>
            <w:tcW w:w="7461" w:type="dxa"/>
            <w:vAlign w:val="center"/>
          </w:tcPr>
          <w:p>
            <w:pPr>
              <w:snapToGrid w:val="0"/>
              <w:rPr>
                <w:rFonts w:ascii="宋体" w:hAnsi="宋体"/>
                <w:b/>
                <w:sz w:val="24"/>
              </w:rPr>
            </w:pPr>
            <w:r>
              <w:rPr>
                <w:rFonts w:hint="eastAsia" w:ascii="宋体" w:hAnsi="宋体" w:cs="宋体"/>
                <w:b/>
                <w:kern w:val="0"/>
                <w:sz w:val="24"/>
              </w:rPr>
              <w:t>交货时间、地点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4.1</w:t>
            </w:r>
          </w:p>
        </w:tc>
        <w:tc>
          <w:tcPr>
            <w:tcW w:w="7461" w:type="dxa"/>
            <w:vAlign w:val="center"/>
          </w:tcPr>
          <w:p>
            <w:pPr>
              <w:spacing w:line="380" w:lineRule="exact"/>
              <w:rPr>
                <w:rFonts w:ascii="宋体" w:hAnsi="宋体"/>
                <w:sz w:val="24"/>
              </w:rPr>
            </w:pPr>
            <w:r>
              <w:rPr>
                <w:rFonts w:hint="eastAsia" w:ascii="宋体" w:hAnsi="宋体"/>
                <w:sz w:val="24"/>
              </w:rPr>
              <w:t>交货时间：合同签订后，接到甲方通知后</w:t>
            </w:r>
            <w:r>
              <w:rPr>
                <w:rFonts w:hint="eastAsia" w:ascii="宋体" w:hAnsi="宋体"/>
                <w:sz w:val="24"/>
                <w:u w:val="single"/>
              </w:rPr>
              <w:t>90天内</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4.2</w:t>
            </w:r>
          </w:p>
        </w:tc>
        <w:tc>
          <w:tcPr>
            <w:tcW w:w="7461" w:type="dxa"/>
            <w:vAlign w:val="center"/>
          </w:tcPr>
          <w:p>
            <w:pPr>
              <w:spacing w:line="380" w:lineRule="exact"/>
              <w:rPr>
                <w:rFonts w:ascii="宋体" w:hAnsi="宋体"/>
                <w:sz w:val="24"/>
              </w:rPr>
            </w:pPr>
            <w:r>
              <w:rPr>
                <w:rFonts w:hint="eastAsia" w:ascii="宋体" w:hAnsi="宋体"/>
                <w:sz w:val="24"/>
              </w:rPr>
              <w:t>交货地点：采购人指定地点。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5</w:t>
            </w:r>
          </w:p>
        </w:tc>
        <w:tc>
          <w:tcPr>
            <w:tcW w:w="7461" w:type="dxa"/>
            <w:vAlign w:val="center"/>
          </w:tcPr>
          <w:p>
            <w:pPr>
              <w:spacing w:line="380" w:lineRule="exact"/>
              <w:rPr>
                <w:rFonts w:ascii="宋体" w:hAnsi="宋体"/>
                <w:b/>
                <w:sz w:val="24"/>
              </w:rPr>
            </w:pPr>
            <w:r>
              <w:rPr>
                <w:rFonts w:hint="eastAsia" w:ascii="宋体" w:hAnsi="宋体"/>
                <w:b/>
                <w:sz w:val="24"/>
              </w:rPr>
              <w:t>安装调试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5.1</w:t>
            </w:r>
          </w:p>
        </w:tc>
        <w:tc>
          <w:tcPr>
            <w:tcW w:w="7461" w:type="dxa"/>
            <w:vAlign w:val="center"/>
          </w:tcPr>
          <w:p>
            <w:pPr>
              <w:spacing w:line="380" w:lineRule="exact"/>
              <w:rPr>
                <w:rFonts w:ascii="宋体" w:hAnsi="宋体"/>
                <w:b/>
                <w:sz w:val="24"/>
              </w:rPr>
            </w:pPr>
            <w:r>
              <w:rPr>
                <w:rFonts w:ascii="Calibri" w:hAnsi="宋体"/>
                <w:bCs/>
                <w:sz w:val="24"/>
              </w:rPr>
              <w:t>安装地点：</w:t>
            </w: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5.2</w:t>
            </w:r>
          </w:p>
        </w:tc>
        <w:tc>
          <w:tcPr>
            <w:tcW w:w="7461" w:type="dxa"/>
            <w:vAlign w:val="center"/>
          </w:tcPr>
          <w:p>
            <w:pPr>
              <w:spacing w:line="380" w:lineRule="exact"/>
              <w:rPr>
                <w:rFonts w:ascii="宋体" w:hAnsi="宋体"/>
                <w:b/>
                <w:sz w:val="24"/>
              </w:rPr>
            </w:pPr>
            <w:r>
              <w:rPr>
                <w:rFonts w:hint="eastAsia" w:ascii="Calibri" w:hAnsi="宋体"/>
                <w:bCs/>
                <w:sz w:val="24"/>
              </w:rPr>
              <w:t>卖方须对买方现场进行查勘，在合同签定后</w:t>
            </w:r>
            <w:r>
              <w:rPr>
                <w:rFonts w:hint="eastAsia" w:ascii="Calibri" w:hAnsi="宋体"/>
                <w:bCs/>
                <w:sz w:val="24"/>
                <w:u w:val="single"/>
              </w:rPr>
              <w:t>10个工作日</w:t>
            </w:r>
            <w:r>
              <w:rPr>
                <w:rFonts w:hint="eastAsia" w:ascii="Calibri" w:hAnsi="宋体"/>
                <w:bCs/>
                <w:sz w:val="24"/>
              </w:rPr>
              <w:t>内书面提供买方认可的运输方案及安装方案</w:t>
            </w:r>
            <w:r>
              <w:rPr>
                <w:rFonts w:hint="eastAsia" w:ascii="Calibri" w:hAnsi="宋体"/>
                <w:bCs/>
                <w:sz w:val="24"/>
                <w:u w:val="single"/>
              </w:rPr>
              <w:t>（按需提供）</w:t>
            </w:r>
            <w:r>
              <w:rPr>
                <w:rFonts w:hint="eastAsia" w:ascii="Calibri" w:hAnsi="宋体"/>
                <w:bCs/>
                <w:sz w:val="24"/>
              </w:rPr>
              <w:t>，费用含在合同总价中。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5.3</w:t>
            </w:r>
          </w:p>
        </w:tc>
        <w:tc>
          <w:tcPr>
            <w:tcW w:w="7461" w:type="dxa"/>
            <w:vAlign w:val="center"/>
          </w:tcPr>
          <w:p>
            <w:pPr>
              <w:spacing w:line="380" w:lineRule="exact"/>
              <w:rPr>
                <w:rFonts w:ascii="宋体" w:hAnsi="宋体"/>
                <w:b/>
                <w:sz w:val="24"/>
              </w:rPr>
            </w:pPr>
            <w:r>
              <w:rPr>
                <w:rFonts w:hint="eastAsia" w:ascii="Calibri" w:hAnsi="宋体"/>
                <w:sz w:val="24"/>
              </w:rPr>
              <w:t>安装完成时间：卖方在货物到货后</w:t>
            </w:r>
            <w:r>
              <w:rPr>
                <w:rFonts w:hint="eastAsia" w:ascii="Calibri" w:hAnsi="宋体"/>
                <w:sz w:val="24"/>
                <w:u w:val="single"/>
              </w:rPr>
              <w:t>45个工作日内</w:t>
            </w:r>
            <w:r>
              <w:rPr>
                <w:rFonts w:hint="eastAsia" w:ascii="Calibri" w:hAnsi="宋体"/>
                <w:sz w:val="24"/>
              </w:rPr>
              <w:t>完成安装调试（其他约定除外），并正常运行，如果超出上述期限，卖方负责由此给买方造成的所有损失。所有设施设备及软件要求安装调试到位，直至能够正常运行，且符合环境安全要求，达到验收标准。软件系统在正式使用前进行试运行，达到采购文件规定的使用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5.4</w:t>
            </w:r>
          </w:p>
        </w:tc>
        <w:tc>
          <w:tcPr>
            <w:tcW w:w="7461" w:type="dxa"/>
            <w:vAlign w:val="center"/>
          </w:tcPr>
          <w:p>
            <w:pPr>
              <w:spacing w:line="380" w:lineRule="exact"/>
              <w:rPr>
                <w:rFonts w:ascii="宋体" w:hAnsi="宋体"/>
                <w:b/>
                <w:sz w:val="24"/>
              </w:rPr>
            </w:pPr>
            <w:r>
              <w:rPr>
                <w:rFonts w:ascii="Calibri" w:hAnsi="宋体"/>
                <w:bCs/>
                <w:sz w:val="24"/>
              </w:rPr>
              <w:t>安装标准：符合我国国家有关技术规范要求和技术标准</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5.5</w:t>
            </w:r>
          </w:p>
        </w:tc>
        <w:tc>
          <w:tcPr>
            <w:tcW w:w="7461" w:type="dxa"/>
            <w:vAlign w:val="center"/>
          </w:tcPr>
          <w:p>
            <w:pPr>
              <w:spacing w:line="380" w:lineRule="exact"/>
              <w:rPr>
                <w:rFonts w:ascii="宋体" w:hAnsi="宋体"/>
                <w:b/>
                <w:sz w:val="24"/>
              </w:rPr>
            </w:pPr>
            <w:r>
              <w:rPr>
                <w:rFonts w:ascii="Calibri" w:hAnsi="宋体"/>
                <w:bCs/>
                <w:sz w:val="24"/>
              </w:rPr>
              <w:t>安装过程中发生的</w:t>
            </w:r>
            <w:r>
              <w:rPr>
                <w:rFonts w:hint="eastAsia" w:ascii="Calibri" w:hAnsi="宋体"/>
                <w:bCs/>
                <w:sz w:val="24"/>
              </w:rPr>
              <w:t>装卸、搬运和设备保险等</w:t>
            </w:r>
            <w:r>
              <w:rPr>
                <w:rFonts w:ascii="Calibri" w:hAnsi="宋体"/>
                <w:bCs/>
                <w:sz w:val="24"/>
              </w:rPr>
              <w:t>费用</w:t>
            </w:r>
            <w:r>
              <w:rPr>
                <w:rFonts w:hint="eastAsia" w:ascii="Calibri" w:hAnsi="宋体"/>
                <w:bCs/>
                <w:sz w:val="24"/>
              </w:rPr>
              <w:t>全部</w:t>
            </w:r>
            <w:r>
              <w:rPr>
                <w:rFonts w:ascii="Calibri" w:hAnsi="宋体"/>
                <w:bCs/>
                <w:sz w:val="24"/>
              </w:rPr>
              <w:t>由</w:t>
            </w:r>
            <w:r>
              <w:rPr>
                <w:rFonts w:hint="eastAsia" w:ascii="Calibri" w:hAnsi="宋体"/>
                <w:bCs/>
                <w:sz w:val="24"/>
              </w:rPr>
              <w:t>卖</w:t>
            </w:r>
            <w:r>
              <w:rPr>
                <w:rFonts w:ascii="Calibri" w:hAnsi="宋体"/>
                <w:bCs/>
                <w:sz w:val="24"/>
              </w:rPr>
              <w:t>方负责</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6</w:t>
            </w:r>
          </w:p>
        </w:tc>
        <w:tc>
          <w:tcPr>
            <w:tcW w:w="7461" w:type="dxa"/>
            <w:vAlign w:val="center"/>
          </w:tcPr>
          <w:p>
            <w:pPr>
              <w:spacing w:line="380" w:lineRule="exact"/>
              <w:rPr>
                <w:rFonts w:ascii="宋体" w:hAnsi="宋体"/>
                <w:b/>
                <w:sz w:val="24"/>
              </w:rPr>
            </w:pPr>
            <w:r>
              <w:rPr>
                <w:rFonts w:hint="eastAsia" w:ascii="宋体" w:hAnsi="宋体"/>
                <w:b/>
                <w:sz w:val="24"/>
              </w:rPr>
              <w:t>验收</w:t>
            </w:r>
            <w:r>
              <w:rPr>
                <w:rFonts w:hint="eastAsia" w:ascii="宋体" w:hAnsi="宋体"/>
                <w:b/>
                <w:sz w:val="24"/>
                <w:u w:val="single"/>
              </w:rPr>
              <w:t>（由验收部门视情况而定）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6.1</w:t>
            </w:r>
          </w:p>
        </w:tc>
        <w:tc>
          <w:tcPr>
            <w:tcW w:w="7461" w:type="dxa"/>
            <w:vAlign w:val="center"/>
          </w:tcPr>
          <w:p>
            <w:pPr>
              <w:spacing w:line="380" w:lineRule="exact"/>
              <w:rPr>
                <w:rFonts w:ascii="宋体" w:hAnsi="宋体"/>
                <w:b/>
                <w:sz w:val="24"/>
              </w:rPr>
            </w:pPr>
            <w:r>
              <w:rPr>
                <w:rFonts w:hint="eastAsia" w:ascii="Calibri" w:hAnsi="宋体"/>
                <w:sz w:val="24"/>
              </w:rPr>
              <w:t>如属计量器具、放射类设备，则卖方提供经买方认可的且具有资质的检测机构出具的计量、放射防护检测合格报告，检测费用包含在合同总价中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6.2</w:t>
            </w:r>
          </w:p>
        </w:tc>
        <w:tc>
          <w:tcPr>
            <w:tcW w:w="7461" w:type="dxa"/>
            <w:vAlign w:val="center"/>
          </w:tcPr>
          <w:p>
            <w:pPr>
              <w:spacing w:line="380" w:lineRule="exact"/>
              <w:rPr>
                <w:rFonts w:ascii="Calibri" w:hAnsi="宋体"/>
                <w:sz w:val="24"/>
              </w:rPr>
            </w:pPr>
            <w:r>
              <w:rPr>
                <w:rFonts w:hint="eastAsia" w:ascii="宋体" w:hAnsi="宋体"/>
                <w:sz w:val="24"/>
              </w:rPr>
              <w:t>货物应符合国家相关标准、采购文件的技术和商务要求，并根据合同条款逐项验收。买方对设备验收合格后，双方共同签署验收报告。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6.3</w:t>
            </w:r>
          </w:p>
        </w:tc>
        <w:tc>
          <w:tcPr>
            <w:tcW w:w="7461" w:type="dxa"/>
            <w:vAlign w:val="center"/>
          </w:tcPr>
          <w:p>
            <w:pPr>
              <w:spacing w:line="380" w:lineRule="exact"/>
              <w:rPr>
                <w:rFonts w:ascii="宋体" w:hAnsi="宋体"/>
                <w:b/>
                <w:sz w:val="24"/>
              </w:rPr>
            </w:pPr>
            <w:r>
              <w:rPr>
                <w:rFonts w:hint="eastAsia" w:ascii="Calibri" w:hAnsi="宋体"/>
                <w:sz w:val="24"/>
              </w:rPr>
              <w:t>验收过程中发现货物性能或功能达不到要求，卖方必须更换有关部件，使货物最终达到规定的性能指标和功能要求，但必须在发现问题后</w:t>
            </w:r>
            <w:r>
              <w:rPr>
                <w:rFonts w:hint="eastAsia" w:ascii="Calibri" w:hAnsi="宋体"/>
                <w:sz w:val="24"/>
                <w:u w:val="single"/>
              </w:rPr>
              <w:t>15个工作日</w:t>
            </w:r>
            <w:r>
              <w:rPr>
                <w:rFonts w:hint="eastAsia" w:ascii="Calibri" w:hAnsi="宋体"/>
                <w:sz w:val="24"/>
              </w:rPr>
              <w:t>内完成，如涉及虚假响应的，则按相关规定处理。货物安装完毕试运行正常</w:t>
            </w:r>
            <w:r>
              <w:rPr>
                <w:rFonts w:ascii="Calibri" w:hAnsi="宋体"/>
                <w:sz w:val="24"/>
              </w:rPr>
              <w:t>30</w:t>
            </w:r>
            <w:r>
              <w:rPr>
                <w:rFonts w:hint="eastAsia" w:ascii="Calibri" w:hAnsi="宋体"/>
                <w:sz w:val="24"/>
              </w:rPr>
              <w:t>个工作日，在</w:t>
            </w:r>
            <w:r>
              <w:rPr>
                <w:rFonts w:ascii="Calibri" w:hAnsi="宋体"/>
                <w:sz w:val="24"/>
              </w:rPr>
              <w:t>1</w:t>
            </w:r>
            <w:r>
              <w:rPr>
                <w:rFonts w:hint="eastAsia" w:ascii="Calibri" w:hAnsi="宋体"/>
                <w:sz w:val="24"/>
              </w:rPr>
              <w:t>周内双方签订验收报告。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8"/>
                <w:szCs w:val="28"/>
              </w:rPr>
              <w:t>7</w:t>
            </w:r>
          </w:p>
        </w:tc>
        <w:tc>
          <w:tcPr>
            <w:tcW w:w="7461" w:type="dxa"/>
            <w:vAlign w:val="center"/>
          </w:tcPr>
          <w:p>
            <w:pPr>
              <w:spacing w:line="380" w:lineRule="exact"/>
              <w:rPr>
                <w:rFonts w:ascii="宋体" w:hAnsi="宋体"/>
                <w:b/>
                <w:sz w:val="24"/>
              </w:rPr>
            </w:pPr>
            <w:r>
              <w:rPr>
                <w:rFonts w:hint="eastAsia" w:ascii="宋体" w:hAnsi="宋体"/>
                <w:b/>
                <w:sz w:val="24"/>
              </w:rPr>
              <w:t>培训</w:t>
            </w:r>
            <w:r>
              <w:rPr>
                <w:rFonts w:hint="eastAsia" w:ascii="宋体" w:hAnsi="宋体"/>
                <w:b/>
                <w:sz w:val="24"/>
                <w:u w:val="single"/>
              </w:rPr>
              <w:t>（由使用部门视情况而定）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7.1</w:t>
            </w:r>
          </w:p>
        </w:tc>
        <w:tc>
          <w:tcPr>
            <w:tcW w:w="7461" w:type="dxa"/>
            <w:vAlign w:val="center"/>
          </w:tcPr>
          <w:p>
            <w:pPr>
              <w:snapToGrid w:val="0"/>
              <w:rPr>
                <w:rFonts w:ascii="宋体" w:hAnsi="宋体"/>
                <w:bCs/>
                <w:sz w:val="24"/>
              </w:rPr>
            </w:pPr>
            <w:r>
              <w:rPr>
                <w:rFonts w:hint="eastAsia" w:ascii="宋体" w:hAnsi="宋体"/>
                <w:sz w:val="24"/>
              </w:rPr>
              <w:t>操作应用培训：卖方负责在医院现场提供累计不少于</w:t>
            </w:r>
            <w:r>
              <w:rPr>
                <w:rFonts w:ascii="宋体" w:hAnsi="宋体"/>
                <w:sz w:val="24"/>
                <w:u w:val="single"/>
              </w:rPr>
              <w:t>5</w:t>
            </w:r>
            <w:r>
              <w:rPr>
                <w:rFonts w:hint="eastAsia" w:ascii="宋体" w:hAnsi="宋体"/>
                <w:sz w:val="24"/>
                <w:u w:val="single"/>
              </w:rPr>
              <w:t>个工作日</w:t>
            </w:r>
            <w:r>
              <w:rPr>
                <w:rFonts w:hint="eastAsia" w:ascii="宋体" w:hAnsi="宋体"/>
                <w:sz w:val="24"/>
              </w:rPr>
              <w:t>的操作和临床应用培训，使操作人员熟练掌握设备的操作规程及临床应用，并提供操作教学视频、操作规程、培训记录。操作教学视频应涵盖设备的所有操作及应用，且通俗易懂。所有培训费用已含入总价中。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7.2</w:t>
            </w:r>
          </w:p>
        </w:tc>
        <w:tc>
          <w:tcPr>
            <w:tcW w:w="7461" w:type="dxa"/>
            <w:vAlign w:val="center"/>
          </w:tcPr>
          <w:p>
            <w:pPr>
              <w:snapToGrid w:val="0"/>
              <w:rPr>
                <w:rFonts w:ascii="宋体" w:hAnsi="宋体"/>
                <w:bCs/>
                <w:sz w:val="24"/>
              </w:rPr>
            </w:pPr>
            <w:r>
              <w:rPr>
                <w:rFonts w:hint="eastAsia" w:ascii="宋体" w:hAnsi="宋体"/>
                <w:sz w:val="24"/>
              </w:rPr>
              <w:t>维修保养培训：卖方负责在医院现场提供维修人员的培训，使医院维修工程人员掌握设备参数设置、日常保养、常见故障排除等技能。卖方须提供涵盖上述内容的培训资料。所有培训费用已含入总价中。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7.3</w:t>
            </w:r>
          </w:p>
        </w:tc>
        <w:tc>
          <w:tcPr>
            <w:tcW w:w="7461" w:type="dxa"/>
            <w:vAlign w:val="center"/>
          </w:tcPr>
          <w:p>
            <w:pPr>
              <w:snapToGrid w:val="0"/>
              <w:rPr>
                <w:rFonts w:ascii="宋体" w:hAnsi="宋体"/>
                <w:bCs/>
                <w:sz w:val="24"/>
              </w:rPr>
            </w:pPr>
            <w:r>
              <w:rPr>
                <w:rFonts w:hint="eastAsia" w:ascii="宋体" w:hAnsi="宋体"/>
                <w:sz w:val="24"/>
              </w:rPr>
              <w:t>培训完成后，卖方须提供详细培训记录，培训记录应有培训内容、参加人员（签字）、培训地点、培训时间以及操作人员考核情况。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7.4</w:t>
            </w:r>
          </w:p>
        </w:tc>
        <w:tc>
          <w:tcPr>
            <w:tcW w:w="7461" w:type="dxa"/>
            <w:vAlign w:val="center"/>
          </w:tcPr>
          <w:p>
            <w:pPr>
              <w:snapToGrid w:val="0"/>
              <w:rPr>
                <w:rFonts w:ascii="宋体" w:hAnsi="宋体"/>
                <w:bCs/>
                <w:sz w:val="24"/>
              </w:rPr>
            </w:pPr>
            <w:r>
              <w:rPr>
                <w:rFonts w:hint="eastAsia" w:ascii="宋体" w:hAnsi="宋体"/>
                <w:sz w:val="24"/>
              </w:rPr>
              <w:t>技能考核：卖方提供试题及考核评估方案，对医院操作人员和维修工程人员进行技能考核。考核完成后，卖方须提供详细考核记录，考核记录应有考核内容、参加人员（签字）、考核地点、考核时间以及考核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8</w:t>
            </w:r>
          </w:p>
        </w:tc>
        <w:tc>
          <w:tcPr>
            <w:tcW w:w="7461" w:type="dxa"/>
            <w:vAlign w:val="center"/>
          </w:tcPr>
          <w:p>
            <w:pPr>
              <w:spacing w:line="380" w:lineRule="exact"/>
              <w:rPr>
                <w:rFonts w:ascii="宋体" w:hAnsi="宋体"/>
                <w:b/>
                <w:sz w:val="24"/>
              </w:rPr>
            </w:pPr>
            <w:r>
              <w:rPr>
                <w:rFonts w:hint="eastAsia" w:ascii="宋体" w:hAnsi="宋体" w:cs="宋体"/>
                <w:b/>
                <w:kern w:val="0"/>
                <w:sz w:val="24"/>
              </w:rPr>
              <w:t>技术支持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8.1</w:t>
            </w:r>
          </w:p>
        </w:tc>
        <w:tc>
          <w:tcPr>
            <w:tcW w:w="7461" w:type="dxa"/>
            <w:vAlign w:val="center"/>
          </w:tcPr>
          <w:p>
            <w:pPr>
              <w:spacing w:line="380" w:lineRule="exact"/>
              <w:rPr>
                <w:rFonts w:ascii="宋体" w:hAnsi="宋体" w:cs="宋体"/>
                <w:kern w:val="0"/>
                <w:sz w:val="24"/>
              </w:rPr>
            </w:pPr>
            <w:r>
              <w:rPr>
                <w:rFonts w:hint="eastAsia" w:ascii="Calibri" w:hAnsi="宋体"/>
                <w:sz w:val="24"/>
              </w:rPr>
              <w:t>提供所有软件终生免费安装（含硬件更换后软件重新安装调试）、调试、维护服务。供应商负有网络安全防护义务，承诺无条件及时修复出现的安全漏洞，报价须包含软件升级费用。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8.2</w:t>
            </w:r>
          </w:p>
        </w:tc>
        <w:tc>
          <w:tcPr>
            <w:tcW w:w="7461" w:type="dxa"/>
            <w:vAlign w:val="center"/>
          </w:tcPr>
          <w:p>
            <w:pPr>
              <w:spacing w:line="380" w:lineRule="exact"/>
              <w:rPr>
                <w:rFonts w:ascii="宋体" w:hAnsi="宋体"/>
                <w:sz w:val="24"/>
              </w:rPr>
            </w:pPr>
            <w:r>
              <w:rPr>
                <w:rFonts w:hint="eastAsia" w:ascii="宋体" w:hAnsi="宋体"/>
                <w:sz w:val="24"/>
              </w:rPr>
              <w:t>每台设备都应提供完整的中文技术资料，包括操作手册2套、维修手册1套、软件手册1套和附件使用手册1套等，同时应提供原厂的出厂配置清单、设备出厂检验报告和质量合格证书等及电子版的操作规程，如系进口产品，还应提供报关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9</w:t>
            </w:r>
          </w:p>
        </w:tc>
        <w:tc>
          <w:tcPr>
            <w:tcW w:w="7461" w:type="dxa"/>
            <w:vAlign w:val="center"/>
          </w:tcPr>
          <w:p>
            <w:pPr>
              <w:spacing w:line="380" w:lineRule="exact"/>
              <w:rPr>
                <w:rFonts w:ascii="宋体" w:hAnsi="宋体"/>
                <w:b/>
                <w:sz w:val="24"/>
              </w:rPr>
            </w:pPr>
            <w:r>
              <w:rPr>
                <w:rFonts w:hint="eastAsia" w:ascii="宋体" w:hAnsi="宋体"/>
                <w:b/>
                <w:sz w:val="24"/>
              </w:rPr>
              <w:t>产权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9.1</w:t>
            </w:r>
          </w:p>
        </w:tc>
        <w:tc>
          <w:tcPr>
            <w:tcW w:w="7461" w:type="dxa"/>
            <w:vAlign w:val="center"/>
          </w:tcPr>
          <w:p>
            <w:pPr>
              <w:spacing w:line="380" w:lineRule="exact"/>
              <w:rPr>
                <w:rFonts w:ascii="宋体" w:hAnsi="宋体"/>
                <w:sz w:val="24"/>
              </w:rPr>
            </w:pPr>
            <w:r>
              <w:rPr>
                <w:rFonts w:hint="eastAsia" w:ascii="Calibri" w:hAnsi="宋体"/>
                <w:bCs/>
                <w:sz w:val="24"/>
              </w:rPr>
              <w:t>卖方所提供的产品应具有知识产权的合法产品，且卖</w:t>
            </w:r>
            <w:r>
              <w:rPr>
                <w:rFonts w:ascii="Calibri" w:hAnsi="宋体"/>
                <w:bCs/>
                <w:sz w:val="24"/>
              </w:rPr>
              <w:t>方保证所提供的</w:t>
            </w:r>
            <w:r>
              <w:rPr>
                <w:rFonts w:hint="eastAsia" w:ascii="Calibri" w:hAnsi="宋体"/>
                <w:bCs/>
                <w:sz w:val="24"/>
              </w:rPr>
              <w:t>设备</w:t>
            </w:r>
            <w:r>
              <w:rPr>
                <w:rFonts w:ascii="Calibri" w:hAnsi="宋体"/>
                <w:bCs/>
                <w:sz w:val="24"/>
              </w:rPr>
              <w:t>或其任何一部分均不会侵犯任何第三方的知识产权</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9.2</w:t>
            </w:r>
          </w:p>
        </w:tc>
        <w:tc>
          <w:tcPr>
            <w:tcW w:w="7461" w:type="dxa"/>
            <w:vAlign w:val="center"/>
          </w:tcPr>
          <w:p>
            <w:pPr>
              <w:spacing w:line="380" w:lineRule="exact"/>
              <w:rPr>
                <w:rFonts w:ascii="Calibri" w:hAnsi="宋体"/>
                <w:bCs/>
                <w:sz w:val="24"/>
              </w:rPr>
            </w:pPr>
            <w:r>
              <w:rPr>
                <w:rFonts w:ascii="Calibri" w:hAnsi="宋体"/>
                <w:bCs/>
                <w:sz w:val="24"/>
              </w:rPr>
              <w:t>卖方保证所交付的</w:t>
            </w:r>
            <w:r>
              <w:rPr>
                <w:rFonts w:hint="eastAsia" w:ascii="Calibri" w:hAnsi="宋体"/>
                <w:bCs/>
                <w:sz w:val="24"/>
              </w:rPr>
              <w:t>所有设备</w:t>
            </w:r>
            <w:r>
              <w:rPr>
                <w:rFonts w:ascii="Calibri" w:hAnsi="宋体"/>
                <w:bCs/>
                <w:sz w:val="24"/>
              </w:rPr>
              <w:t>的所有权完全属于卖方且无任何抵押、查封等产权瑕疵</w:t>
            </w:r>
            <w:r>
              <w:rPr>
                <w:rFonts w:hint="eastAsia" w:ascii="Calibri" w:hAnsi="宋体"/>
                <w:bCs/>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10</w:t>
            </w:r>
          </w:p>
        </w:tc>
        <w:tc>
          <w:tcPr>
            <w:tcW w:w="7461" w:type="dxa"/>
            <w:vAlign w:val="center"/>
          </w:tcPr>
          <w:p>
            <w:pPr>
              <w:spacing w:line="380" w:lineRule="exact"/>
              <w:rPr>
                <w:rFonts w:ascii="宋体" w:hAnsi="宋体"/>
                <w:sz w:val="24"/>
              </w:rPr>
            </w:pPr>
            <w:r>
              <w:rPr>
                <w:rFonts w:hint="eastAsia" w:ascii="宋体" w:hAnsi="宋体" w:cs="宋体"/>
                <w:b/>
                <w:kern w:val="0"/>
                <w:sz w:val="24"/>
              </w:rPr>
              <w:t>付款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10.1</w:t>
            </w:r>
          </w:p>
        </w:tc>
        <w:tc>
          <w:tcPr>
            <w:tcW w:w="7461" w:type="dxa"/>
            <w:vAlign w:val="center"/>
          </w:tcPr>
          <w:p>
            <w:pPr>
              <w:rPr>
                <w:rFonts w:ascii="宋体" w:hAnsi="宋体" w:cs="宋体"/>
                <w:sz w:val="24"/>
              </w:rPr>
            </w:pPr>
            <w:r>
              <w:rPr>
                <w:rFonts w:hint="eastAsia" w:ascii="宋体" w:hAnsi="宋体" w:cs="宋体"/>
                <w:sz w:val="24"/>
              </w:rPr>
              <w:t>1、签订合同时，供应商应向采购人支付预付款保函。采购人在收到预付款保函、合同生效且项目具备实施条件后支付合同金额的40%作为预付款；货物安装验收合格后付清余款。（适用中小企业投标）</w:t>
            </w:r>
          </w:p>
          <w:p>
            <w:pPr>
              <w:rPr>
                <w:rFonts w:ascii="宋体" w:hAnsi="宋体" w:cs="宋体"/>
                <w:sz w:val="24"/>
              </w:rPr>
            </w:pPr>
            <w:r>
              <w:rPr>
                <w:rFonts w:hint="eastAsia" w:ascii="宋体" w:hAnsi="宋体" w:cs="宋体"/>
                <w:sz w:val="24"/>
              </w:rPr>
              <w:t>2、合同生效且项目具备实施条件后，采购人支付合同金额的40%作为预付款；货物安装验收合格后付清余款。（适用中小企业投标）</w:t>
            </w:r>
          </w:p>
          <w:p>
            <w:pPr>
              <w:rPr>
                <w:rFonts w:ascii="宋体" w:hAnsi="宋体"/>
                <w:sz w:val="24"/>
              </w:rPr>
            </w:pPr>
            <w:r>
              <w:rPr>
                <w:rFonts w:hint="eastAsia" w:ascii="宋体" w:hAnsi="宋体" w:cs="宋体"/>
                <w:sz w:val="24"/>
              </w:rPr>
              <w:t>3、合同生效、项目具备实施条件且装机验收合格后，付全款的40%，余款一年后付清。（适用大型企业投标）</w:t>
            </w:r>
            <w:r>
              <w:rPr>
                <w:rFonts w:hint="eastAsia" w:asciiTheme="minorEastAsia" w:hAnsiTheme="minorEastAsia" w:eastAsiaTheme="minorEastAsia" w:cstheme="minorEastAsia"/>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10.2</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sz w:val="24"/>
              </w:rPr>
              <w:t>在签订合同时，供应商明确表示无需预付款或者主动要求降低预付款比例的，不适用前述规定。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10.3</w:t>
            </w:r>
          </w:p>
        </w:tc>
        <w:tc>
          <w:tcPr>
            <w:tcW w:w="7461" w:type="dxa"/>
            <w:vAlign w:val="center"/>
          </w:tcPr>
          <w:p>
            <w:pPr>
              <w:widowControl/>
              <w:spacing w:before="100" w:beforeAutospacing="1" w:after="100" w:afterAutospacing="1"/>
              <w:rPr>
                <w:rFonts w:ascii="宋体" w:hAnsi="宋体" w:cs="宋体"/>
                <w:sz w:val="24"/>
              </w:rPr>
            </w:pPr>
            <w:r>
              <w:rPr>
                <w:rFonts w:ascii="宋体" w:hAnsi="宋体" w:cs="宋体"/>
                <w:sz w:val="24"/>
              </w:rPr>
              <w:t>签订合同后3日内，供应商交纳1%的履约保证金；履约保证金在</w:t>
            </w:r>
            <w:r>
              <w:rPr>
                <w:rFonts w:hint="eastAsia" w:ascii="宋体" w:hAnsi="宋体" w:cs="宋体"/>
                <w:sz w:val="24"/>
              </w:rPr>
              <w:t>保质一年</w:t>
            </w:r>
            <w:r>
              <w:rPr>
                <w:rFonts w:ascii="宋体" w:hAnsi="宋体" w:cs="宋体"/>
                <w:sz w:val="24"/>
              </w:rPr>
              <w:t>期满后（从项目整体验收合格之日算起）无质量问题、无售后服务问题并符合合同约定，无息退还。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kern w:val="0"/>
                <w:sz w:val="28"/>
                <w:szCs w:val="28"/>
              </w:rPr>
              <w:t>11</w:t>
            </w:r>
          </w:p>
        </w:tc>
        <w:tc>
          <w:tcPr>
            <w:tcW w:w="7461" w:type="dxa"/>
            <w:vAlign w:val="center"/>
          </w:tcPr>
          <w:p>
            <w:pPr>
              <w:widowControl/>
              <w:spacing w:before="100" w:beforeAutospacing="1" w:after="100" w:afterAutospacing="1"/>
              <w:rPr>
                <w:rFonts w:ascii="宋体" w:hAnsi="宋体"/>
                <w:b/>
                <w:sz w:val="24"/>
              </w:rPr>
            </w:pPr>
            <w:r>
              <w:rPr>
                <w:rFonts w:hint="eastAsia" w:ascii="宋体" w:hAnsi="宋体" w:cs="宋体"/>
                <w:b/>
                <w:color w:val="000000"/>
                <w:kern w:val="0"/>
                <w:sz w:val="24"/>
              </w:rPr>
              <w:t>其他要求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11.1</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若设备有信息系统接口，则全部免费开放，并无条件配合采购人接入信息管理网络系统。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11.2</w:t>
            </w:r>
          </w:p>
        </w:tc>
        <w:tc>
          <w:tcPr>
            <w:tcW w:w="7461" w:type="dxa"/>
            <w:vAlign w:val="center"/>
          </w:tcPr>
          <w:p>
            <w:pPr>
              <w:widowControl/>
              <w:spacing w:before="100" w:beforeAutospacing="1" w:after="100" w:afterAutospacing="1"/>
              <w:rPr>
                <w:rFonts w:ascii="宋体" w:hAnsi="宋体"/>
                <w:sz w:val="24"/>
              </w:rPr>
            </w:pPr>
            <w:r>
              <w:rPr>
                <w:rFonts w:hint="eastAsia" w:ascii="宋体" w:hAnsi="宋体"/>
                <w:sz w:val="24"/>
              </w:rPr>
              <w:t>采购文件中未提及的某些属标配的功能、软件，必须无条件提供。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13" w:type="dxa"/>
            <w:bottom w:w="57" w:type="dxa"/>
            <w:right w:w="113" w:type="dxa"/>
          </w:tblCellMar>
        </w:tblPrEx>
        <w:trPr>
          <w:trHeight w:val="390" w:hRule="atLeast"/>
          <w:jc w:val="center"/>
        </w:trPr>
        <w:tc>
          <w:tcPr>
            <w:tcW w:w="1138" w:type="dxa"/>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11.3</w:t>
            </w:r>
          </w:p>
        </w:tc>
        <w:tc>
          <w:tcPr>
            <w:tcW w:w="7461" w:type="dxa"/>
            <w:vAlign w:val="center"/>
          </w:tcPr>
          <w:p>
            <w:pPr>
              <w:widowControl/>
              <w:spacing w:before="100" w:beforeAutospacing="1" w:after="100" w:afterAutospacing="1"/>
              <w:rPr>
                <w:rFonts w:hint="eastAsia" w:ascii="宋体" w:hAnsi="宋体"/>
                <w:sz w:val="24"/>
              </w:rPr>
            </w:pPr>
            <w:r>
              <w:rPr>
                <w:rFonts w:hint="eastAsia" w:ascii="宋体" w:hAnsi="宋体"/>
                <w:sz w:val="24"/>
              </w:rPr>
              <w:t>和系统软件匹配的硬件，必须无条件提供。</w:t>
            </w:r>
          </w:p>
        </w:tc>
      </w:tr>
    </w:tbl>
    <w:p>
      <w:pPr>
        <w:spacing w:line="400" w:lineRule="exact"/>
        <w:rPr>
          <w:rFonts w:asciiTheme="minorEastAsia" w:hAnsiTheme="minorEastAsia" w:eastAsiaTheme="minorEastAsia" w:cstheme="minorEastAsia"/>
          <w:b/>
          <w:bCs/>
          <w:sz w:val="24"/>
        </w:rPr>
      </w:pPr>
    </w:p>
    <w:p>
      <w:pPr>
        <w:spacing w:line="360" w:lineRule="auto"/>
        <w:rPr>
          <w:rFonts w:ascii="Calibri" w:hAnsi="Calibri"/>
          <w:b/>
          <w:sz w:val="24"/>
        </w:rPr>
      </w:pPr>
      <w:r>
        <w:rPr>
          <w:rFonts w:hint="eastAsia" w:ascii="Calibri" w:hAnsi="Calibri"/>
          <w:b/>
          <w:sz w:val="24"/>
        </w:rPr>
        <w:t>五、其他要求</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带“★”号项为实质性响应要求，如不满足将作无效投标处理。针对带“★”号技术参数要求，供应商需提供充分的证明材料，未提供充分证明材料的，评审委员会有权视为不满足采购文件要求。采购需求中已明确要求提供佐证材料的，按采购需求中的要求提供，采购需求中未明确具体佐证材料的，证明材料可以是以下四项中任一项：</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1）生产制造商公开对外宣传的带有响应技术参数或功能的产品彩页，为响应而临时打印的无效。</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2）加盖生产制造商公章的技术白皮书。</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3）可在生产制造商官网查询到的产品技术参数或功能，需提供官网截图和网址等信息。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4）评审委员会认可的其他有效证明（包括但不限于第三方检测报告、加盖生产制造商的证明材料等）。</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2、针对“★”提供满足技术参数的佐证资料并在偏离表中标明佐证资料页码。</w:t>
      </w:r>
    </w:p>
    <w:p>
      <w:pPr>
        <w:ind w:firstLine="241" w:firstLineChars="100"/>
        <w:rPr>
          <w:rFonts w:asciiTheme="minorEastAsia" w:hAnsiTheme="minorEastAsia" w:eastAsiaTheme="minorEastAsia" w:cstheme="minorEastAsia"/>
          <w:b/>
          <w:sz w:val="24"/>
        </w:rPr>
      </w:pPr>
    </w:p>
    <w:p>
      <w:pPr>
        <w:spacing w:line="360" w:lineRule="auto"/>
        <w:rPr>
          <w:rFonts w:hint="eastAsia" w:ascii="Calibri" w:hAnsi="Calibri"/>
          <w:b/>
          <w:sz w:val="24"/>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center"/>
        <w:rPr>
          <w:rFonts w:hint="eastAsia" w:ascii="宋体" w:hAnsi="宋体" w:cs="宋体"/>
          <w:b/>
          <w:sz w:val="36"/>
          <w:szCs w:val="36"/>
        </w:rPr>
      </w:pPr>
    </w:p>
    <w:p>
      <w:pPr>
        <w:snapToGrid w:val="0"/>
        <w:spacing w:line="360" w:lineRule="auto"/>
        <w:jc w:val="both"/>
        <w:rPr>
          <w:rFonts w:hint="eastAsia" w:ascii="宋体" w:hAnsi="宋体" w:cs="宋体"/>
          <w:b/>
          <w:sz w:val="36"/>
          <w:szCs w:val="36"/>
        </w:rPr>
      </w:pPr>
    </w:p>
    <w:p>
      <w:pPr>
        <w:snapToGrid w:val="0"/>
        <w:spacing w:line="360" w:lineRule="auto"/>
        <w:jc w:val="both"/>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7" w:name="_Toc184310272"/>
      <w:bookmarkEnd w:id="27"/>
      <w:bookmarkStart w:id="28" w:name="_Toc184308095"/>
      <w:bookmarkEnd w:id="28"/>
      <w:bookmarkStart w:id="29" w:name="_Toc184308104"/>
      <w:bookmarkEnd w:id="29"/>
      <w:bookmarkStart w:id="30" w:name="_Toc184314421"/>
      <w:bookmarkEnd w:id="30"/>
      <w:bookmarkStart w:id="31" w:name="_Toc184310306"/>
      <w:bookmarkEnd w:id="31"/>
      <w:bookmarkStart w:id="32" w:name="_Toc184312137"/>
      <w:bookmarkEnd w:id="32"/>
      <w:bookmarkStart w:id="33" w:name="_Toc184308055"/>
      <w:bookmarkEnd w:id="33"/>
      <w:bookmarkStart w:id="34" w:name="_Toc184310324"/>
      <w:bookmarkEnd w:id="34"/>
      <w:bookmarkStart w:id="35" w:name="_Toc184310292"/>
      <w:bookmarkEnd w:id="35"/>
      <w:bookmarkStart w:id="36" w:name="_Toc184312068"/>
      <w:bookmarkEnd w:id="36"/>
      <w:bookmarkStart w:id="37" w:name="_Toc184310339"/>
      <w:bookmarkEnd w:id="37"/>
      <w:bookmarkStart w:id="38" w:name="_Toc184313254"/>
      <w:bookmarkEnd w:id="38"/>
      <w:bookmarkStart w:id="39" w:name="_Toc184312088"/>
      <w:bookmarkEnd w:id="39"/>
      <w:bookmarkStart w:id="40" w:name="_Toc184312086"/>
      <w:bookmarkEnd w:id="40"/>
      <w:bookmarkStart w:id="41" w:name="_Toc184308087"/>
      <w:bookmarkEnd w:id="41"/>
      <w:bookmarkStart w:id="42" w:name="_Toc184314459"/>
      <w:bookmarkEnd w:id="42"/>
      <w:bookmarkStart w:id="43" w:name="_Toc184312079"/>
      <w:bookmarkEnd w:id="43"/>
      <w:bookmarkStart w:id="44" w:name="_Toc184308098"/>
      <w:bookmarkEnd w:id="44"/>
      <w:bookmarkStart w:id="45" w:name="_Toc184313274"/>
      <w:bookmarkEnd w:id="45"/>
      <w:bookmarkStart w:id="46" w:name="_Toc184312124"/>
      <w:bookmarkEnd w:id="46"/>
      <w:bookmarkStart w:id="47" w:name="_Toc184310311"/>
      <w:bookmarkEnd w:id="47"/>
      <w:bookmarkStart w:id="48" w:name="_Toc184312080"/>
      <w:bookmarkEnd w:id="48"/>
      <w:bookmarkStart w:id="49" w:name="_Toc184314429"/>
      <w:bookmarkEnd w:id="49"/>
      <w:bookmarkStart w:id="50" w:name="_Toc184312126"/>
      <w:bookmarkEnd w:id="50"/>
      <w:bookmarkStart w:id="51" w:name="_Toc184308105"/>
      <w:bookmarkEnd w:id="51"/>
      <w:bookmarkStart w:id="52" w:name="_Toc184313307"/>
      <w:bookmarkEnd w:id="52"/>
      <w:bookmarkStart w:id="53" w:name="_Toc184312097"/>
      <w:bookmarkEnd w:id="53"/>
      <w:bookmarkStart w:id="54" w:name="_Toc184313251"/>
      <w:bookmarkEnd w:id="54"/>
      <w:bookmarkStart w:id="55" w:name="_Toc184310317"/>
      <w:bookmarkEnd w:id="55"/>
      <w:bookmarkStart w:id="56" w:name="_Toc184313244"/>
      <w:bookmarkEnd w:id="56"/>
      <w:bookmarkStart w:id="57" w:name="_Toc184308050"/>
      <w:bookmarkEnd w:id="57"/>
      <w:bookmarkStart w:id="58" w:name="_Toc184308080"/>
      <w:bookmarkEnd w:id="58"/>
      <w:bookmarkStart w:id="59" w:name="_Toc184308103"/>
      <w:bookmarkEnd w:id="59"/>
      <w:bookmarkStart w:id="60" w:name="_Toc184308076"/>
      <w:bookmarkEnd w:id="60"/>
      <w:bookmarkStart w:id="61" w:name="_Toc184310315"/>
      <w:bookmarkEnd w:id="61"/>
      <w:bookmarkStart w:id="62" w:name="_Toc184312092"/>
      <w:bookmarkEnd w:id="62"/>
      <w:bookmarkStart w:id="63" w:name="_Toc184310298"/>
      <w:bookmarkEnd w:id="63"/>
      <w:bookmarkStart w:id="64" w:name="_Toc184310319"/>
      <w:bookmarkEnd w:id="64"/>
      <w:bookmarkStart w:id="65" w:name="_Toc184313250"/>
      <w:bookmarkEnd w:id="65"/>
      <w:bookmarkStart w:id="66" w:name="_Toc184314443"/>
      <w:bookmarkEnd w:id="66"/>
      <w:bookmarkStart w:id="67" w:name="_Toc184313280"/>
      <w:bookmarkEnd w:id="67"/>
      <w:bookmarkStart w:id="68" w:name="_Toc184312087"/>
      <w:bookmarkEnd w:id="68"/>
      <w:bookmarkStart w:id="69" w:name="_Toc184314441"/>
      <w:bookmarkEnd w:id="69"/>
      <w:bookmarkStart w:id="70" w:name="_Toc184314455"/>
      <w:bookmarkEnd w:id="70"/>
      <w:bookmarkStart w:id="71" w:name="_Toc184308063"/>
      <w:bookmarkEnd w:id="71"/>
      <w:bookmarkStart w:id="72" w:name="_Toc184314470"/>
      <w:bookmarkEnd w:id="72"/>
      <w:bookmarkStart w:id="73" w:name="_Toc184310283"/>
      <w:bookmarkEnd w:id="73"/>
      <w:bookmarkStart w:id="74" w:name="_Toc184314415"/>
      <w:bookmarkEnd w:id="74"/>
      <w:bookmarkStart w:id="75" w:name="_Toc184308068"/>
      <w:bookmarkEnd w:id="75"/>
      <w:bookmarkStart w:id="76" w:name="_Toc184310309"/>
      <w:bookmarkEnd w:id="76"/>
      <w:bookmarkStart w:id="77" w:name="_Toc184314463"/>
      <w:bookmarkEnd w:id="77"/>
      <w:bookmarkStart w:id="78" w:name="_Toc184310338"/>
      <w:bookmarkEnd w:id="78"/>
      <w:bookmarkStart w:id="79" w:name="_Toc184310287"/>
      <w:bookmarkEnd w:id="79"/>
      <w:bookmarkStart w:id="80" w:name="_Toc184314469"/>
      <w:bookmarkEnd w:id="80"/>
      <w:bookmarkStart w:id="81" w:name="_Toc184310313"/>
      <w:bookmarkEnd w:id="81"/>
      <w:bookmarkStart w:id="82" w:name="_Toc184313241"/>
      <w:bookmarkEnd w:id="82"/>
      <w:bookmarkStart w:id="83" w:name="_Toc184313302"/>
      <w:bookmarkEnd w:id="83"/>
      <w:bookmarkStart w:id="84" w:name="_Toc184312107"/>
      <w:bookmarkEnd w:id="84"/>
      <w:bookmarkStart w:id="85" w:name="_Toc184308060"/>
      <w:bookmarkEnd w:id="85"/>
      <w:bookmarkStart w:id="86" w:name="_Toc184310334"/>
      <w:bookmarkEnd w:id="86"/>
      <w:bookmarkStart w:id="87" w:name="_Toc184310289"/>
      <w:bookmarkEnd w:id="87"/>
      <w:bookmarkStart w:id="88" w:name="_Toc184310327"/>
      <w:bookmarkEnd w:id="88"/>
      <w:bookmarkStart w:id="89" w:name="_Toc184313268"/>
      <w:bookmarkEnd w:id="89"/>
      <w:bookmarkStart w:id="90" w:name="_Toc184308090"/>
      <w:bookmarkEnd w:id="90"/>
      <w:bookmarkStart w:id="91" w:name="_Toc184314480"/>
      <w:bookmarkEnd w:id="91"/>
      <w:bookmarkStart w:id="92" w:name="_Toc184308092"/>
      <w:bookmarkEnd w:id="92"/>
      <w:bookmarkStart w:id="93" w:name="_Toc184312116"/>
      <w:bookmarkEnd w:id="93"/>
      <w:bookmarkStart w:id="94" w:name="_Toc184312071"/>
      <w:bookmarkEnd w:id="94"/>
      <w:bookmarkStart w:id="95" w:name="_Toc184310329"/>
      <w:bookmarkEnd w:id="95"/>
      <w:bookmarkStart w:id="96" w:name="_Toc184308046"/>
      <w:bookmarkEnd w:id="96"/>
      <w:bookmarkStart w:id="97" w:name="_Toc184312129"/>
      <w:bookmarkEnd w:id="97"/>
      <w:bookmarkStart w:id="98" w:name="_Toc184313304"/>
      <w:bookmarkEnd w:id="98"/>
      <w:bookmarkStart w:id="99" w:name="_Toc184314471"/>
      <w:bookmarkEnd w:id="99"/>
      <w:bookmarkStart w:id="100" w:name="_Toc184312112"/>
      <w:bookmarkEnd w:id="100"/>
      <w:bookmarkStart w:id="101" w:name="_Toc184312118"/>
      <w:bookmarkEnd w:id="101"/>
      <w:bookmarkStart w:id="102" w:name="_Toc184314423"/>
      <w:bookmarkEnd w:id="102"/>
      <w:bookmarkStart w:id="103" w:name="_Toc184312091"/>
      <w:bookmarkEnd w:id="103"/>
      <w:bookmarkStart w:id="104" w:name="_Toc184312115"/>
      <w:bookmarkEnd w:id="104"/>
      <w:bookmarkStart w:id="105" w:name="_Toc184314452"/>
      <w:bookmarkEnd w:id="105"/>
      <w:bookmarkStart w:id="106" w:name="_Toc184313286"/>
      <w:bookmarkEnd w:id="106"/>
      <w:bookmarkStart w:id="107" w:name="_Toc184308037"/>
      <w:bookmarkEnd w:id="107"/>
      <w:bookmarkStart w:id="108" w:name="_Toc184314444"/>
      <w:bookmarkEnd w:id="108"/>
      <w:bookmarkStart w:id="109" w:name="_Toc184308096"/>
      <w:bookmarkEnd w:id="109"/>
      <w:bookmarkStart w:id="110" w:name="_Toc184310291"/>
      <w:bookmarkEnd w:id="110"/>
      <w:bookmarkStart w:id="111" w:name="_Toc184310294"/>
      <w:bookmarkEnd w:id="111"/>
      <w:bookmarkStart w:id="112" w:name="_Toc184313285"/>
      <w:bookmarkEnd w:id="112"/>
      <w:bookmarkStart w:id="113" w:name="_Toc184308097"/>
      <w:bookmarkEnd w:id="113"/>
      <w:bookmarkStart w:id="114" w:name="_Toc184314467"/>
      <w:bookmarkEnd w:id="114"/>
      <w:bookmarkStart w:id="115" w:name="_Toc184308081"/>
      <w:bookmarkEnd w:id="115"/>
      <w:bookmarkStart w:id="116" w:name="_Toc184312084"/>
      <w:bookmarkEnd w:id="116"/>
      <w:bookmarkStart w:id="117" w:name="_Toc184312114"/>
      <w:bookmarkEnd w:id="117"/>
      <w:bookmarkStart w:id="118" w:name="_Toc184314450"/>
      <w:bookmarkEnd w:id="118"/>
      <w:bookmarkStart w:id="119" w:name="_Toc184310276"/>
      <w:bookmarkEnd w:id="119"/>
      <w:bookmarkStart w:id="120" w:name="_Toc184310307"/>
      <w:bookmarkEnd w:id="120"/>
      <w:bookmarkStart w:id="121" w:name="_Toc184313297"/>
      <w:bookmarkEnd w:id="121"/>
      <w:bookmarkStart w:id="122" w:name="_Toc184310290"/>
      <w:bookmarkEnd w:id="122"/>
      <w:bookmarkStart w:id="123" w:name="_Toc184314430"/>
      <w:bookmarkEnd w:id="123"/>
      <w:bookmarkStart w:id="124" w:name="_Toc184308085"/>
      <w:bookmarkEnd w:id="124"/>
      <w:bookmarkStart w:id="125" w:name="_Toc184308044"/>
      <w:bookmarkEnd w:id="125"/>
      <w:bookmarkStart w:id="126" w:name="_Toc184314456"/>
      <w:bookmarkEnd w:id="126"/>
      <w:bookmarkStart w:id="127" w:name="_Toc184310326"/>
      <w:bookmarkEnd w:id="127"/>
      <w:bookmarkStart w:id="128" w:name="_Toc184313267"/>
      <w:bookmarkEnd w:id="128"/>
      <w:bookmarkStart w:id="129" w:name="_Toc184312111"/>
      <w:bookmarkEnd w:id="129"/>
      <w:bookmarkStart w:id="130" w:name="_Toc184308093"/>
      <w:bookmarkEnd w:id="130"/>
      <w:bookmarkStart w:id="131" w:name="_Toc184310279"/>
      <w:bookmarkEnd w:id="131"/>
      <w:bookmarkStart w:id="132" w:name="_Toc184312078"/>
      <w:bookmarkEnd w:id="132"/>
      <w:bookmarkStart w:id="133" w:name="_Toc184310312"/>
      <w:bookmarkEnd w:id="133"/>
      <w:bookmarkStart w:id="134" w:name="_Toc184310343"/>
      <w:bookmarkEnd w:id="134"/>
      <w:bookmarkStart w:id="135" w:name="_Toc184314435"/>
      <w:bookmarkEnd w:id="135"/>
      <w:bookmarkStart w:id="136" w:name="_Toc184312138"/>
      <w:bookmarkEnd w:id="136"/>
      <w:bookmarkStart w:id="137" w:name="_Toc184310341"/>
      <w:bookmarkEnd w:id="137"/>
      <w:bookmarkStart w:id="138" w:name="_Toc184310273"/>
      <w:bookmarkEnd w:id="138"/>
      <w:bookmarkStart w:id="139" w:name="_Toc184314431"/>
      <w:bookmarkEnd w:id="139"/>
      <w:bookmarkStart w:id="140" w:name="_Toc184314481"/>
      <w:bookmarkEnd w:id="140"/>
      <w:bookmarkStart w:id="141" w:name="_Toc184312121"/>
      <w:bookmarkEnd w:id="141"/>
      <w:bookmarkStart w:id="142" w:name="_Toc184308094"/>
      <w:bookmarkEnd w:id="142"/>
      <w:bookmarkStart w:id="143" w:name="_Toc184310305"/>
      <w:bookmarkEnd w:id="143"/>
      <w:bookmarkStart w:id="144" w:name="_Toc184308036"/>
      <w:bookmarkEnd w:id="144"/>
      <w:bookmarkStart w:id="145" w:name="_Toc184314454"/>
      <w:bookmarkEnd w:id="145"/>
      <w:bookmarkStart w:id="146" w:name="_Toc184310296"/>
      <w:bookmarkEnd w:id="146"/>
      <w:bookmarkStart w:id="147" w:name="_Toc184314479"/>
      <w:bookmarkEnd w:id="147"/>
      <w:bookmarkStart w:id="148" w:name="_Toc184314428"/>
      <w:bookmarkEnd w:id="148"/>
      <w:bookmarkStart w:id="149" w:name="_Toc184314440"/>
      <w:bookmarkEnd w:id="149"/>
      <w:bookmarkStart w:id="150" w:name="_Toc184313272"/>
      <w:bookmarkEnd w:id="150"/>
      <w:bookmarkStart w:id="151" w:name="_Toc184312128"/>
      <w:bookmarkEnd w:id="151"/>
      <w:bookmarkStart w:id="152" w:name="_Toc184312120"/>
      <w:bookmarkEnd w:id="152"/>
      <w:bookmarkStart w:id="153" w:name="_Toc184312099"/>
      <w:bookmarkEnd w:id="153"/>
      <w:bookmarkStart w:id="154" w:name="_Toc184308051"/>
      <w:bookmarkEnd w:id="154"/>
      <w:bookmarkStart w:id="155" w:name="_Toc184314419"/>
      <w:bookmarkEnd w:id="155"/>
      <w:bookmarkStart w:id="156" w:name="_Toc184313310"/>
      <w:bookmarkEnd w:id="156"/>
      <w:bookmarkStart w:id="157" w:name="_Toc184313288"/>
      <w:bookmarkEnd w:id="157"/>
      <w:bookmarkStart w:id="158" w:name="_Toc184314472"/>
      <w:bookmarkEnd w:id="158"/>
      <w:bookmarkStart w:id="159" w:name="_Toc184313277"/>
      <w:bookmarkEnd w:id="159"/>
      <w:bookmarkStart w:id="160" w:name="_Toc184312070"/>
      <w:bookmarkEnd w:id="160"/>
      <w:bookmarkStart w:id="161" w:name="_Toc184308088"/>
      <w:bookmarkEnd w:id="161"/>
      <w:bookmarkStart w:id="162" w:name="_Toc184314462"/>
      <w:bookmarkEnd w:id="162"/>
      <w:bookmarkStart w:id="163" w:name="_Toc184313263"/>
      <w:bookmarkEnd w:id="163"/>
      <w:bookmarkStart w:id="164" w:name="_Toc184310281"/>
      <w:bookmarkEnd w:id="164"/>
      <w:bookmarkStart w:id="165" w:name="_Toc184312081"/>
      <w:bookmarkEnd w:id="165"/>
      <w:bookmarkStart w:id="166" w:name="_Toc184314432"/>
      <w:bookmarkEnd w:id="166"/>
      <w:bookmarkStart w:id="167" w:name="_Toc184310308"/>
      <w:bookmarkEnd w:id="167"/>
      <w:bookmarkStart w:id="168" w:name="_Toc184308082"/>
      <w:bookmarkEnd w:id="168"/>
      <w:bookmarkStart w:id="169" w:name="_Toc184308061"/>
      <w:bookmarkEnd w:id="169"/>
      <w:bookmarkStart w:id="170" w:name="_Toc184310293"/>
      <w:bookmarkEnd w:id="170"/>
      <w:bookmarkStart w:id="171" w:name="_Toc184310328"/>
      <w:bookmarkEnd w:id="171"/>
      <w:bookmarkStart w:id="172" w:name="_Toc184314411"/>
      <w:bookmarkEnd w:id="172"/>
      <w:bookmarkStart w:id="173" w:name="_Toc184314474"/>
      <w:bookmarkEnd w:id="173"/>
      <w:bookmarkStart w:id="174" w:name="_Toc184314416"/>
      <w:bookmarkEnd w:id="174"/>
      <w:bookmarkStart w:id="175" w:name="_Toc184314482"/>
      <w:bookmarkEnd w:id="175"/>
      <w:bookmarkStart w:id="176" w:name="_Toc184312085"/>
      <w:bookmarkEnd w:id="176"/>
      <w:bookmarkStart w:id="177" w:name="_Toc184313261"/>
      <w:bookmarkEnd w:id="177"/>
      <w:bookmarkStart w:id="178" w:name="_Toc184312106"/>
      <w:bookmarkEnd w:id="178"/>
      <w:bookmarkStart w:id="179" w:name="_Toc184313303"/>
      <w:bookmarkEnd w:id="179"/>
      <w:bookmarkStart w:id="180" w:name="_Toc184310316"/>
      <w:bookmarkEnd w:id="180"/>
      <w:bookmarkStart w:id="181" w:name="_Toc184308100"/>
      <w:bookmarkEnd w:id="181"/>
      <w:bookmarkStart w:id="182" w:name="_Toc184312098"/>
      <w:bookmarkEnd w:id="182"/>
      <w:bookmarkStart w:id="183" w:name="_Toc184310322"/>
      <w:bookmarkEnd w:id="183"/>
      <w:bookmarkStart w:id="184" w:name="_Toc184313292"/>
      <w:bookmarkEnd w:id="184"/>
      <w:bookmarkStart w:id="185" w:name="_Toc184312139"/>
      <w:bookmarkEnd w:id="185"/>
      <w:bookmarkStart w:id="186" w:name="_Toc184308053"/>
      <w:bookmarkEnd w:id="186"/>
      <w:bookmarkStart w:id="187" w:name="_Toc184313279"/>
      <w:bookmarkEnd w:id="187"/>
      <w:bookmarkStart w:id="188" w:name="_Toc184312123"/>
      <w:bookmarkEnd w:id="188"/>
      <w:bookmarkStart w:id="189" w:name="_Toc184313309"/>
      <w:bookmarkEnd w:id="189"/>
      <w:bookmarkStart w:id="190" w:name="_Toc184313283"/>
      <w:bookmarkEnd w:id="190"/>
      <w:bookmarkStart w:id="191" w:name="_Toc184314466"/>
      <w:bookmarkEnd w:id="191"/>
      <w:bookmarkStart w:id="192" w:name="_Toc184313256"/>
      <w:bookmarkEnd w:id="192"/>
      <w:bookmarkStart w:id="193" w:name="_Toc184308040"/>
      <w:bookmarkEnd w:id="193"/>
      <w:bookmarkStart w:id="194" w:name="_Toc184314451"/>
      <w:bookmarkEnd w:id="194"/>
      <w:bookmarkStart w:id="195" w:name="_Toc184312117"/>
      <w:bookmarkEnd w:id="195"/>
      <w:bookmarkStart w:id="196" w:name="_Toc184308048"/>
      <w:bookmarkEnd w:id="196"/>
      <w:bookmarkStart w:id="197" w:name="_Toc184308066"/>
      <w:bookmarkEnd w:id="197"/>
      <w:bookmarkStart w:id="198" w:name="_Toc184314410"/>
      <w:bookmarkEnd w:id="198"/>
      <w:bookmarkStart w:id="199" w:name="_Toc184314445"/>
      <w:bookmarkEnd w:id="199"/>
      <w:bookmarkStart w:id="200" w:name="_Toc184308089"/>
      <w:bookmarkEnd w:id="200"/>
      <w:bookmarkStart w:id="201" w:name="_Toc184312104"/>
      <w:bookmarkEnd w:id="201"/>
      <w:bookmarkStart w:id="202" w:name="_Toc184312109"/>
      <w:bookmarkEnd w:id="202"/>
      <w:bookmarkStart w:id="203" w:name="_Toc184313238"/>
      <w:bookmarkEnd w:id="203"/>
      <w:bookmarkStart w:id="204" w:name="_Toc184308058"/>
      <w:bookmarkEnd w:id="204"/>
      <w:bookmarkStart w:id="205" w:name="_Toc184313249"/>
      <w:bookmarkEnd w:id="205"/>
      <w:bookmarkStart w:id="206" w:name="_Toc184310303"/>
      <w:bookmarkEnd w:id="206"/>
      <w:bookmarkStart w:id="207" w:name="_Toc184312108"/>
      <w:bookmarkEnd w:id="207"/>
      <w:bookmarkStart w:id="208" w:name="_Toc184308078"/>
      <w:bookmarkEnd w:id="208"/>
      <w:bookmarkStart w:id="209" w:name="_Toc184314465"/>
      <w:bookmarkEnd w:id="209"/>
      <w:bookmarkStart w:id="210" w:name="_Toc184313259"/>
      <w:bookmarkEnd w:id="210"/>
      <w:bookmarkStart w:id="211" w:name="_Toc184310275"/>
      <w:bookmarkEnd w:id="211"/>
      <w:bookmarkStart w:id="212" w:name="_Toc184314460"/>
      <w:bookmarkEnd w:id="212"/>
      <w:bookmarkStart w:id="213" w:name="_Toc184314461"/>
      <w:bookmarkEnd w:id="213"/>
      <w:bookmarkStart w:id="214" w:name="_Toc184313242"/>
      <w:bookmarkEnd w:id="214"/>
      <w:bookmarkStart w:id="215" w:name="_Toc184314422"/>
      <w:bookmarkEnd w:id="215"/>
      <w:bookmarkStart w:id="216" w:name="_Toc184308102"/>
      <w:bookmarkEnd w:id="216"/>
      <w:bookmarkStart w:id="217" w:name="_Toc184313291"/>
      <w:bookmarkEnd w:id="217"/>
      <w:bookmarkStart w:id="218" w:name="_Toc184313275"/>
      <w:bookmarkEnd w:id="218"/>
      <w:bookmarkStart w:id="219" w:name="_Toc184310336"/>
      <w:bookmarkEnd w:id="219"/>
      <w:bookmarkStart w:id="220" w:name="_Toc184313295"/>
      <w:bookmarkEnd w:id="220"/>
      <w:bookmarkStart w:id="221" w:name="_Toc184312136"/>
      <w:bookmarkEnd w:id="221"/>
      <w:bookmarkStart w:id="222" w:name="_Toc184310333"/>
      <w:bookmarkEnd w:id="222"/>
      <w:bookmarkStart w:id="223" w:name="_Toc184308084"/>
      <w:bookmarkEnd w:id="223"/>
      <w:bookmarkStart w:id="224" w:name="_Toc184314417"/>
      <w:bookmarkEnd w:id="224"/>
      <w:bookmarkStart w:id="225" w:name="_Toc184312125"/>
      <w:bookmarkEnd w:id="225"/>
      <w:bookmarkStart w:id="226" w:name="_Toc184314447"/>
      <w:bookmarkEnd w:id="226"/>
      <w:bookmarkStart w:id="227" w:name="_Toc184313246"/>
      <w:bookmarkEnd w:id="227"/>
      <w:bookmarkStart w:id="228" w:name="_Toc184313300"/>
      <w:bookmarkEnd w:id="228"/>
      <w:bookmarkStart w:id="229" w:name="_Toc184312072"/>
      <w:bookmarkEnd w:id="229"/>
      <w:bookmarkStart w:id="230" w:name="_Toc184308065"/>
      <w:bookmarkEnd w:id="230"/>
      <w:bookmarkStart w:id="231" w:name="_Toc184313265"/>
      <w:bookmarkEnd w:id="231"/>
      <w:bookmarkStart w:id="232" w:name="_Toc184313243"/>
      <w:bookmarkEnd w:id="232"/>
      <w:bookmarkStart w:id="233" w:name="_Toc184314433"/>
      <w:bookmarkEnd w:id="233"/>
      <w:bookmarkStart w:id="234" w:name="_Toc184310284"/>
      <w:bookmarkEnd w:id="234"/>
      <w:bookmarkStart w:id="235" w:name="_Toc184308039"/>
      <w:bookmarkEnd w:id="235"/>
      <w:bookmarkStart w:id="236" w:name="_Toc184312095"/>
      <w:bookmarkEnd w:id="236"/>
      <w:bookmarkStart w:id="237" w:name="_Toc184314436"/>
      <w:bookmarkEnd w:id="237"/>
      <w:bookmarkStart w:id="238" w:name="_Toc184314453"/>
      <w:bookmarkEnd w:id="238"/>
      <w:bookmarkStart w:id="239" w:name="_Toc184314449"/>
      <w:bookmarkEnd w:id="239"/>
      <w:bookmarkStart w:id="240" w:name="_Toc184310331"/>
      <w:bookmarkEnd w:id="240"/>
      <w:bookmarkStart w:id="241" w:name="_Toc184314476"/>
      <w:bookmarkEnd w:id="241"/>
      <w:bookmarkStart w:id="242" w:name="_Toc184313306"/>
      <w:bookmarkEnd w:id="242"/>
      <w:bookmarkStart w:id="243" w:name="_Toc184310300"/>
      <w:bookmarkEnd w:id="243"/>
      <w:bookmarkStart w:id="244" w:name="_Toc184308054"/>
      <w:bookmarkEnd w:id="244"/>
      <w:bookmarkStart w:id="245" w:name="_Toc184310320"/>
      <w:bookmarkEnd w:id="245"/>
      <w:bookmarkStart w:id="246" w:name="_Toc184313269"/>
      <w:bookmarkEnd w:id="246"/>
      <w:bookmarkStart w:id="247" w:name="_Toc184308071"/>
      <w:bookmarkEnd w:id="247"/>
      <w:bookmarkStart w:id="248" w:name="_Toc184312105"/>
      <w:bookmarkEnd w:id="248"/>
      <w:bookmarkStart w:id="249" w:name="_Toc184312110"/>
      <w:bookmarkEnd w:id="249"/>
      <w:bookmarkStart w:id="250" w:name="_Toc184312103"/>
      <w:bookmarkEnd w:id="250"/>
      <w:bookmarkStart w:id="251" w:name="_Toc184308052"/>
      <w:bookmarkEnd w:id="251"/>
      <w:bookmarkStart w:id="252" w:name="_Toc184310344"/>
      <w:bookmarkEnd w:id="252"/>
      <w:bookmarkStart w:id="253" w:name="_Toc184310310"/>
      <w:bookmarkEnd w:id="253"/>
      <w:bookmarkStart w:id="254" w:name="_Toc184308056"/>
      <w:bookmarkEnd w:id="254"/>
      <w:bookmarkStart w:id="255" w:name="_Toc184314442"/>
      <w:bookmarkEnd w:id="255"/>
      <w:bookmarkStart w:id="256" w:name="_Toc184308106"/>
      <w:bookmarkEnd w:id="256"/>
      <w:bookmarkStart w:id="257" w:name="_Toc184314412"/>
      <w:bookmarkEnd w:id="257"/>
      <w:bookmarkStart w:id="258" w:name="_Toc184314458"/>
      <w:bookmarkEnd w:id="258"/>
      <w:bookmarkStart w:id="259" w:name="_Toc184308038"/>
      <w:bookmarkEnd w:id="259"/>
      <w:bookmarkStart w:id="260" w:name="_Toc184310337"/>
      <w:bookmarkEnd w:id="260"/>
      <w:bookmarkStart w:id="261" w:name="_Toc184313281"/>
      <w:bookmarkEnd w:id="261"/>
      <w:bookmarkStart w:id="262" w:name="_Toc184312069"/>
      <w:bookmarkEnd w:id="262"/>
      <w:bookmarkStart w:id="263" w:name="_Toc184313273"/>
      <w:bookmarkEnd w:id="263"/>
      <w:bookmarkStart w:id="264" w:name="_Toc184310314"/>
      <w:bookmarkEnd w:id="264"/>
      <w:bookmarkStart w:id="265" w:name="_Toc184310286"/>
      <w:bookmarkEnd w:id="265"/>
      <w:bookmarkStart w:id="266" w:name="_Toc184313266"/>
      <w:bookmarkEnd w:id="266"/>
      <w:bookmarkStart w:id="267" w:name="_Toc184308047"/>
      <w:bookmarkEnd w:id="267"/>
      <w:bookmarkStart w:id="268" w:name="_Toc184313247"/>
      <w:bookmarkEnd w:id="268"/>
      <w:bookmarkStart w:id="269" w:name="_Toc184308045"/>
      <w:bookmarkEnd w:id="269"/>
      <w:bookmarkStart w:id="270" w:name="_Toc184310304"/>
      <w:bookmarkEnd w:id="270"/>
      <w:bookmarkStart w:id="271" w:name="_Toc184313260"/>
      <w:bookmarkEnd w:id="271"/>
      <w:bookmarkStart w:id="272" w:name="_Toc184308059"/>
      <w:bookmarkEnd w:id="272"/>
      <w:bookmarkStart w:id="273" w:name="_Toc184308079"/>
      <w:bookmarkEnd w:id="273"/>
      <w:bookmarkStart w:id="274" w:name="_Toc184310318"/>
      <w:bookmarkEnd w:id="274"/>
      <w:bookmarkStart w:id="275" w:name="_Toc184310335"/>
      <w:bookmarkEnd w:id="275"/>
      <w:bookmarkStart w:id="276" w:name="_Toc184314434"/>
      <w:bookmarkEnd w:id="276"/>
      <w:bookmarkStart w:id="277" w:name="_Toc184314439"/>
      <w:bookmarkEnd w:id="277"/>
      <w:bookmarkStart w:id="278" w:name="_Toc184314427"/>
      <w:bookmarkEnd w:id="278"/>
      <w:bookmarkStart w:id="279" w:name="_Toc184308074"/>
      <w:bookmarkEnd w:id="279"/>
      <w:bookmarkStart w:id="280" w:name="_Toc184314475"/>
      <w:bookmarkEnd w:id="280"/>
      <w:bookmarkStart w:id="281" w:name="_Toc184312113"/>
      <w:bookmarkEnd w:id="281"/>
      <w:bookmarkStart w:id="282" w:name="_Toc184313276"/>
      <w:bookmarkEnd w:id="282"/>
      <w:bookmarkStart w:id="283" w:name="_Toc184313278"/>
      <w:bookmarkEnd w:id="283"/>
      <w:bookmarkStart w:id="284" w:name="_Toc184310288"/>
      <w:bookmarkEnd w:id="284"/>
      <w:bookmarkStart w:id="285" w:name="_Toc184314438"/>
      <w:bookmarkEnd w:id="285"/>
      <w:bookmarkStart w:id="286" w:name="_Toc184312075"/>
      <w:bookmarkEnd w:id="286"/>
      <w:bookmarkStart w:id="287" w:name="_Toc184314468"/>
      <w:bookmarkEnd w:id="287"/>
      <w:bookmarkStart w:id="288" w:name="_Toc184308070"/>
      <w:bookmarkEnd w:id="288"/>
      <w:bookmarkStart w:id="289" w:name="_Toc184312073"/>
      <w:bookmarkEnd w:id="289"/>
      <w:bookmarkStart w:id="290" w:name="_Toc184313284"/>
      <w:bookmarkEnd w:id="290"/>
      <w:bookmarkStart w:id="291" w:name="_Toc184313264"/>
      <w:bookmarkEnd w:id="291"/>
      <w:bookmarkStart w:id="292" w:name="_Toc184312090"/>
      <w:bookmarkEnd w:id="292"/>
      <w:bookmarkStart w:id="293" w:name="_Toc184310280"/>
      <w:bookmarkEnd w:id="293"/>
      <w:bookmarkStart w:id="294" w:name="_Toc184314473"/>
      <w:bookmarkEnd w:id="294"/>
      <w:bookmarkStart w:id="295" w:name="_Toc184312089"/>
      <w:bookmarkEnd w:id="295"/>
      <w:bookmarkStart w:id="296" w:name="_Toc184308099"/>
      <w:bookmarkEnd w:id="296"/>
      <w:bookmarkStart w:id="297" w:name="_Toc184310301"/>
      <w:bookmarkEnd w:id="297"/>
      <w:bookmarkStart w:id="298" w:name="_Toc184314437"/>
      <w:bookmarkEnd w:id="298"/>
      <w:bookmarkStart w:id="299" w:name="_Toc184313290"/>
      <w:bookmarkEnd w:id="299"/>
      <w:bookmarkStart w:id="300" w:name="_Toc184308073"/>
      <w:bookmarkEnd w:id="300"/>
      <w:bookmarkStart w:id="301" w:name="_Toc184310299"/>
      <w:bookmarkEnd w:id="301"/>
      <w:bookmarkStart w:id="302" w:name="_Toc184314426"/>
      <w:bookmarkEnd w:id="302"/>
      <w:bookmarkStart w:id="303" w:name="_Toc184312135"/>
      <w:bookmarkEnd w:id="303"/>
      <w:bookmarkStart w:id="304" w:name="_Toc184310278"/>
      <w:bookmarkEnd w:id="304"/>
      <w:bookmarkStart w:id="305" w:name="_Toc184313245"/>
      <w:bookmarkEnd w:id="305"/>
      <w:bookmarkStart w:id="306" w:name="_Toc184312102"/>
      <w:bookmarkEnd w:id="306"/>
      <w:bookmarkStart w:id="307" w:name="_Toc184313296"/>
      <w:bookmarkEnd w:id="307"/>
      <w:bookmarkStart w:id="308" w:name="_Toc184310302"/>
      <w:bookmarkEnd w:id="308"/>
      <w:bookmarkStart w:id="309" w:name="_Toc184308075"/>
      <w:bookmarkEnd w:id="309"/>
      <w:bookmarkStart w:id="310" w:name="_Toc184313255"/>
      <w:bookmarkEnd w:id="310"/>
      <w:bookmarkStart w:id="311" w:name="_Toc184312076"/>
      <w:bookmarkEnd w:id="311"/>
      <w:bookmarkStart w:id="312" w:name="_Toc184308062"/>
      <w:bookmarkEnd w:id="312"/>
      <w:bookmarkStart w:id="313" w:name="_Toc184312077"/>
      <w:bookmarkEnd w:id="313"/>
      <w:bookmarkStart w:id="314" w:name="_Toc184314446"/>
      <w:bookmarkEnd w:id="314"/>
      <w:bookmarkStart w:id="315" w:name="_Toc184314425"/>
      <w:bookmarkEnd w:id="315"/>
      <w:bookmarkStart w:id="316" w:name="_Toc184314418"/>
      <w:bookmarkEnd w:id="316"/>
      <w:bookmarkStart w:id="317" w:name="_Toc184314414"/>
      <w:bookmarkEnd w:id="317"/>
      <w:bookmarkStart w:id="318" w:name="_Toc184314477"/>
      <w:bookmarkEnd w:id="318"/>
      <w:bookmarkStart w:id="319" w:name="_Toc184312132"/>
      <w:bookmarkEnd w:id="319"/>
      <w:bookmarkStart w:id="320" w:name="_Toc184310277"/>
      <w:bookmarkEnd w:id="320"/>
      <w:bookmarkStart w:id="321" w:name="_Toc184308042"/>
      <w:bookmarkEnd w:id="321"/>
      <w:bookmarkStart w:id="322" w:name="_Toc184310340"/>
      <w:bookmarkEnd w:id="322"/>
      <w:bookmarkStart w:id="323" w:name="_Toc184313282"/>
      <w:bookmarkEnd w:id="323"/>
      <w:bookmarkStart w:id="324" w:name="_Toc184312122"/>
      <w:bookmarkEnd w:id="324"/>
      <w:bookmarkStart w:id="325" w:name="_Toc184308108"/>
      <w:bookmarkEnd w:id="325"/>
      <w:bookmarkStart w:id="326" w:name="_Toc184314478"/>
      <w:bookmarkEnd w:id="326"/>
      <w:bookmarkStart w:id="327" w:name="_Toc184312130"/>
      <w:bookmarkEnd w:id="327"/>
      <w:bookmarkStart w:id="328" w:name="_Toc184310330"/>
      <w:bookmarkEnd w:id="328"/>
      <w:bookmarkStart w:id="329" w:name="_Toc184314424"/>
      <w:bookmarkEnd w:id="329"/>
      <w:bookmarkStart w:id="330" w:name="_Toc184312096"/>
      <w:bookmarkEnd w:id="330"/>
      <w:bookmarkStart w:id="331" w:name="_Toc184314448"/>
      <w:bookmarkEnd w:id="331"/>
      <w:bookmarkStart w:id="332" w:name="_Toc184313289"/>
      <w:bookmarkEnd w:id="332"/>
      <w:bookmarkStart w:id="333" w:name="_Toc184313262"/>
      <w:bookmarkEnd w:id="333"/>
      <w:bookmarkStart w:id="334" w:name="_Toc184313287"/>
      <w:bookmarkEnd w:id="334"/>
      <w:bookmarkStart w:id="335" w:name="_Toc184312067"/>
      <w:bookmarkEnd w:id="335"/>
      <w:bookmarkStart w:id="336" w:name="_Toc184308067"/>
      <w:bookmarkEnd w:id="336"/>
      <w:bookmarkStart w:id="337" w:name="_Toc184313239"/>
      <w:bookmarkEnd w:id="337"/>
      <w:bookmarkStart w:id="338" w:name="_Toc184310297"/>
      <w:bookmarkEnd w:id="338"/>
      <w:bookmarkStart w:id="339" w:name="_Toc184314457"/>
      <w:bookmarkEnd w:id="339"/>
      <w:bookmarkStart w:id="340" w:name="_Toc184308041"/>
      <w:bookmarkEnd w:id="340"/>
      <w:bookmarkStart w:id="341" w:name="_Toc184312094"/>
      <w:bookmarkEnd w:id="341"/>
      <w:bookmarkStart w:id="342" w:name="_Toc184313257"/>
      <w:bookmarkEnd w:id="342"/>
      <w:bookmarkStart w:id="343" w:name="_Toc184314413"/>
      <w:bookmarkEnd w:id="343"/>
      <w:bookmarkStart w:id="344" w:name="_Toc184312131"/>
      <w:bookmarkEnd w:id="344"/>
      <w:bookmarkStart w:id="345" w:name="_Toc184313298"/>
      <w:bookmarkEnd w:id="345"/>
      <w:bookmarkStart w:id="346" w:name="_Toc184312074"/>
      <w:bookmarkEnd w:id="346"/>
      <w:bookmarkStart w:id="347" w:name="_Toc184313258"/>
      <w:bookmarkEnd w:id="347"/>
      <w:bookmarkStart w:id="348" w:name="_Toc184310285"/>
      <w:bookmarkEnd w:id="348"/>
      <w:bookmarkStart w:id="349" w:name="_Toc184310342"/>
      <w:bookmarkEnd w:id="349"/>
      <w:bookmarkStart w:id="350" w:name="_Toc184308043"/>
      <w:bookmarkEnd w:id="350"/>
      <w:bookmarkStart w:id="351" w:name="_Toc184313248"/>
      <w:bookmarkEnd w:id="351"/>
      <w:bookmarkStart w:id="352" w:name="_Toc184314420"/>
      <w:bookmarkEnd w:id="352"/>
      <w:bookmarkStart w:id="353" w:name="_Toc184308107"/>
      <w:bookmarkEnd w:id="353"/>
      <w:bookmarkStart w:id="354" w:name="_Toc184312134"/>
      <w:bookmarkEnd w:id="354"/>
      <w:bookmarkStart w:id="355" w:name="_Toc184310321"/>
      <w:bookmarkEnd w:id="355"/>
      <w:bookmarkStart w:id="356" w:name="_Toc184312093"/>
      <w:bookmarkEnd w:id="356"/>
      <w:bookmarkStart w:id="357" w:name="_Toc184310274"/>
      <w:bookmarkEnd w:id="357"/>
      <w:bookmarkStart w:id="358" w:name="_Toc184308091"/>
      <w:bookmarkEnd w:id="358"/>
      <w:bookmarkStart w:id="359" w:name="_Toc184312101"/>
      <w:bookmarkEnd w:id="359"/>
      <w:bookmarkStart w:id="360" w:name="_Toc184313253"/>
      <w:bookmarkEnd w:id="360"/>
      <w:bookmarkStart w:id="361" w:name="_Toc184313271"/>
      <w:bookmarkEnd w:id="361"/>
      <w:bookmarkStart w:id="362" w:name="_Toc184310332"/>
      <w:bookmarkEnd w:id="362"/>
      <w:bookmarkStart w:id="363" w:name="_Toc184308072"/>
      <w:bookmarkEnd w:id="363"/>
      <w:bookmarkStart w:id="364" w:name="_Toc184308086"/>
      <w:bookmarkEnd w:id="364"/>
      <w:bookmarkStart w:id="365" w:name="_Toc184310323"/>
      <w:bookmarkEnd w:id="365"/>
      <w:bookmarkStart w:id="366" w:name="_Toc184310282"/>
      <w:bookmarkEnd w:id="366"/>
      <w:bookmarkStart w:id="367" w:name="_Toc184310295"/>
      <w:bookmarkEnd w:id="367"/>
      <w:bookmarkStart w:id="368" w:name="_Toc184313308"/>
      <w:bookmarkEnd w:id="368"/>
      <w:bookmarkStart w:id="369" w:name="_Toc184313299"/>
      <w:bookmarkEnd w:id="369"/>
      <w:bookmarkStart w:id="370" w:name="_Toc184308064"/>
      <w:bookmarkEnd w:id="370"/>
      <w:bookmarkStart w:id="371" w:name="_Toc184313270"/>
      <w:bookmarkEnd w:id="371"/>
      <w:bookmarkStart w:id="372" w:name="_Toc184308083"/>
      <w:bookmarkEnd w:id="372"/>
      <w:bookmarkStart w:id="373" w:name="_Toc184313252"/>
      <w:bookmarkEnd w:id="373"/>
      <w:bookmarkStart w:id="374" w:name="_Toc184308057"/>
      <w:bookmarkEnd w:id="374"/>
      <w:bookmarkStart w:id="375" w:name="_Toc184313305"/>
      <w:bookmarkEnd w:id="375"/>
      <w:bookmarkStart w:id="376" w:name="_Toc184308049"/>
      <w:bookmarkEnd w:id="376"/>
      <w:bookmarkStart w:id="377" w:name="_Toc184312133"/>
      <w:bookmarkEnd w:id="377"/>
      <w:bookmarkStart w:id="378" w:name="_Toc184314464"/>
      <w:bookmarkEnd w:id="378"/>
      <w:bookmarkStart w:id="379" w:name="_Toc184312083"/>
      <w:bookmarkEnd w:id="379"/>
      <w:bookmarkStart w:id="380" w:name="_Toc184313294"/>
      <w:bookmarkEnd w:id="380"/>
      <w:bookmarkStart w:id="381" w:name="_Toc184313293"/>
      <w:bookmarkEnd w:id="381"/>
      <w:bookmarkStart w:id="382" w:name="_Toc184312100"/>
      <w:bookmarkEnd w:id="382"/>
      <w:bookmarkStart w:id="383" w:name="_Toc184310325"/>
      <w:bookmarkEnd w:id="383"/>
      <w:bookmarkStart w:id="384" w:name="_Toc184308101"/>
      <w:bookmarkEnd w:id="384"/>
      <w:bookmarkStart w:id="385" w:name="_Toc184312082"/>
      <w:bookmarkEnd w:id="385"/>
      <w:bookmarkStart w:id="386" w:name="_Toc184313301"/>
      <w:bookmarkEnd w:id="386"/>
      <w:bookmarkStart w:id="387" w:name="_Toc184313240"/>
      <w:bookmarkEnd w:id="387"/>
      <w:bookmarkStart w:id="388" w:name="_Toc184308077"/>
      <w:bookmarkEnd w:id="388"/>
      <w:bookmarkStart w:id="389" w:name="_Toc184312119"/>
      <w:bookmarkEnd w:id="389"/>
      <w:bookmarkStart w:id="390" w:name="_Toc184312127"/>
      <w:bookmarkEnd w:id="390"/>
      <w:bookmarkStart w:id="391" w:name="_Toc184308069"/>
      <w:bookmarkEnd w:id="391"/>
      <w:r>
        <w:rPr>
          <w:rFonts w:hint="eastAsia" w:ascii="宋体" w:hAnsi="宋体" w:cs="宋体"/>
          <w:b/>
          <w:sz w:val="36"/>
          <w:szCs w:val="36"/>
        </w:rPr>
        <w:t>评标办法</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500" w:lineRule="exact"/>
        <w:ind w:firstLine="482" w:firstLineChars="200"/>
        <w:rPr>
          <w:rFonts w:ascii="宋体" w:hAnsi="宋体" w:cs="宋体"/>
          <w:kern w:val="0"/>
          <w:sz w:val="24"/>
        </w:rPr>
      </w:pPr>
      <w:r>
        <w:rPr>
          <w:rFonts w:hint="eastAsia" w:ascii="宋体" w:hAnsi="宋体" w:cs="宋体"/>
          <w:b/>
          <w:kern w:val="0"/>
          <w:sz w:val="24"/>
        </w:rPr>
        <w:t>1.</w:t>
      </w:r>
      <w:r>
        <w:rPr>
          <w:rFonts w:hint="eastAsia" w:ascii="宋体" w:hAnsi="宋体" w:cs="宋体"/>
          <w:kern w:val="0"/>
          <w:sz w:val="24"/>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评分过程中采用四舍五入法，并保留小数2位。</w:t>
      </w:r>
    </w:p>
    <w:p>
      <w:pPr>
        <w:spacing w:line="500" w:lineRule="exact"/>
        <w:ind w:firstLine="482" w:firstLineChars="200"/>
        <w:rPr>
          <w:rFonts w:ascii="宋体" w:hAnsi="宋体" w:cs="宋体"/>
          <w:kern w:val="0"/>
          <w:sz w:val="24"/>
        </w:rPr>
      </w:pPr>
      <w:r>
        <w:rPr>
          <w:rFonts w:hint="eastAsia" w:ascii="宋体" w:hAnsi="宋体" w:cs="宋体"/>
          <w:b/>
          <w:kern w:val="0"/>
          <w:sz w:val="24"/>
        </w:rPr>
        <w:t>2.</w:t>
      </w:r>
      <w:r>
        <w:rPr>
          <w:rFonts w:hint="eastAsia" w:ascii="宋体" w:hAnsi="宋体" w:cs="宋体"/>
          <w:kern w:val="0"/>
          <w:sz w:val="24"/>
        </w:rPr>
        <w:t>评分办法</w:t>
      </w:r>
    </w:p>
    <w:p>
      <w:pPr>
        <w:spacing w:line="500" w:lineRule="exact"/>
        <w:ind w:firstLine="480" w:firstLineChars="200"/>
        <w:rPr>
          <w:rFonts w:ascii="宋体" w:hAnsi="宋体" w:cs="宋体"/>
          <w:kern w:val="0"/>
          <w:sz w:val="24"/>
        </w:rPr>
      </w:pPr>
      <w:r>
        <w:rPr>
          <w:rFonts w:hint="eastAsia" w:ascii="宋体" w:hAnsi="宋体" w:cs="宋体"/>
          <w:kern w:val="0"/>
          <w:sz w:val="24"/>
        </w:rPr>
        <w:t>（1）满分为100分。总得分=技术、商务得分+报价得分；</w:t>
      </w:r>
    </w:p>
    <w:p>
      <w:pPr>
        <w:spacing w:line="500" w:lineRule="exact"/>
        <w:ind w:firstLine="480" w:firstLineChars="200"/>
        <w:rPr>
          <w:rFonts w:ascii="宋体" w:hAnsi="宋体" w:cs="宋体"/>
          <w:kern w:val="0"/>
          <w:sz w:val="24"/>
        </w:rPr>
      </w:pPr>
      <w:r>
        <w:rPr>
          <w:rFonts w:hint="eastAsia" w:ascii="宋体" w:hAnsi="宋体" w:cs="宋体"/>
          <w:kern w:val="0"/>
          <w:sz w:val="24"/>
        </w:rPr>
        <w:t>（2）技术、商务得分=技术、商务评分，技术、商务评分=各评委的有效评分的算术平均数；</w:t>
      </w:r>
    </w:p>
    <w:p>
      <w:pPr>
        <w:spacing w:line="500" w:lineRule="exact"/>
        <w:ind w:firstLine="480" w:firstLineChars="200"/>
        <w:rPr>
          <w:rFonts w:ascii="宋体" w:hAnsi="宋体" w:cs="宋体"/>
          <w:kern w:val="0"/>
          <w:sz w:val="24"/>
        </w:rPr>
      </w:pPr>
      <w:r>
        <w:rPr>
          <w:rFonts w:hint="eastAsia" w:ascii="宋体" w:hAnsi="宋体" w:cs="宋体"/>
          <w:kern w:val="0"/>
          <w:sz w:val="24"/>
        </w:rPr>
        <w:t>（3）报价得分=（评标基准价/投标报价）*价格权值*100，评标基准价=有效投标人的最低投标报价，价格权值=30%；</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（4）技术、商务分评分细则（70分）：</w:t>
      </w:r>
    </w:p>
    <w:tbl>
      <w:tblPr>
        <w:tblStyle w:val="65"/>
        <w:tblpPr w:leftFromText="180" w:rightFromText="180" w:vertAnchor="text" w:horzAnchor="page" w:tblpX="1747" w:tblpY="3"/>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13" w:type="dxa"/>
          <w:bottom w:w="57" w:type="dxa"/>
          <w:right w:w="113" w:type="dxa"/>
        </w:tblCellMar>
      </w:tblPr>
      <w:tblGrid>
        <w:gridCol w:w="935"/>
        <w:gridCol w:w="629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248" w:hRule="atLeast"/>
        </w:trPr>
        <w:tc>
          <w:tcPr>
            <w:tcW w:w="935" w:type="dxa"/>
          </w:tcPr>
          <w:p>
            <w:pPr>
              <w:spacing w:before="156" w:beforeLines="50" w:after="156" w:afterLines="5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6296" w:type="dxa"/>
          </w:tcPr>
          <w:p>
            <w:pPr>
              <w:spacing w:before="156" w:beforeLines="50" w:after="156" w:afterLines="5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评审内容及标准</w:t>
            </w:r>
          </w:p>
        </w:tc>
        <w:tc>
          <w:tcPr>
            <w:tcW w:w="1359" w:type="dxa"/>
            <w:vAlign w:val="center"/>
          </w:tcPr>
          <w:p>
            <w:pPr>
              <w:spacing w:before="156" w:beforeLines="50" w:after="156" w:afterLines="5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621" w:hRule="atLeast"/>
        </w:trPr>
        <w:tc>
          <w:tcPr>
            <w:tcW w:w="935" w:type="dxa"/>
          </w:tcPr>
          <w:p>
            <w:pPr>
              <w:spacing w:before="156" w:beforeLines="50" w:after="156" w:afterLine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6296"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销售业绩：</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合同签订时间自</w:t>
            </w:r>
            <w:r>
              <w:rPr>
                <w:rFonts w:hint="eastAsia" w:asciiTheme="minorEastAsia" w:hAnsiTheme="minorEastAsia" w:eastAsiaTheme="minorEastAsia" w:cstheme="minorEastAsia"/>
                <w:sz w:val="24"/>
                <w:u w:val="single"/>
              </w:rPr>
              <w:t>2022</w:t>
            </w:r>
            <w:r>
              <w:rPr>
                <w:rFonts w:hint="eastAsia" w:asciiTheme="minorEastAsia" w:hAnsiTheme="minorEastAsia" w:eastAsiaTheme="minorEastAsia" w:cstheme="minorEastAsia"/>
                <w:sz w:val="24"/>
              </w:rPr>
              <w:t>年1月1日以来的，与最终用户签订的销售业绩，每提供一份与投标同品牌同型号（电子胃肠镜）产品销售业绩得</w:t>
            </w:r>
            <w:r>
              <w:rPr>
                <w:rFonts w:hint="eastAsia" w:asciiTheme="minorEastAsia" w:hAnsiTheme="minorEastAsia" w:eastAsiaTheme="minorEastAsia" w:cstheme="minorEastAsia"/>
                <w:sz w:val="24"/>
                <w:u w:val="single"/>
              </w:rPr>
              <w:t>1</w:t>
            </w:r>
            <w:r>
              <w:rPr>
                <w:rFonts w:hint="eastAsia" w:asciiTheme="minorEastAsia" w:hAnsiTheme="minorEastAsia" w:eastAsiaTheme="minorEastAsia" w:cstheme="minorEastAsia"/>
                <w:sz w:val="24"/>
              </w:rPr>
              <w:t>分，最高得</w:t>
            </w:r>
            <w:r>
              <w:rPr>
                <w:rFonts w:hint="eastAsia" w:asciiTheme="minorEastAsia" w:hAnsiTheme="minorEastAsia" w:eastAsiaTheme="minorEastAsia" w:cstheme="minorEastAsia"/>
                <w:sz w:val="24"/>
                <w:u w:val="single"/>
              </w:rPr>
              <w:t>2</w:t>
            </w:r>
            <w:r>
              <w:rPr>
                <w:rFonts w:hint="eastAsia" w:asciiTheme="minorEastAsia" w:hAnsiTheme="minorEastAsia" w:eastAsiaTheme="minorEastAsia" w:cstheme="minorEastAsia"/>
                <w:sz w:val="24"/>
              </w:rPr>
              <w:t>分。（要求提供完整的合同复印件，能清楚辨析设备名称型号）</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对省级以上主管部门认定的首台套产品，自纳入《省推广应用指导目录》起三年内参加政府采购活动，视同已具备相应销售业绩，业绩分为满分。（提供证明材料）</w:t>
            </w:r>
          </w:p>
        </w:tc>
        <w:tc>
          <w:tcPr>
            <w:tcW w:w="1359" w:type="dxa"/>
            <w:vAlign w:val="center"/>
          </w:tcPr>
          <w:p>
            <w:pPr>
              <w:spacing w:before="156" w:beforeLines="50" w:after="156" w:afterLines="5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u w:val="single"/>
              </w:rPr>
              <w:t>2</w:t>
            </w:r>
            <w:r>
              <w:rPr>
                <w:rFonts w:hint="eastAsia" w:asciiTheme="minorEastAsia" w:hAnsiTheme="minorEastAsia" w:eastAsiaTheme="minorEastAsia" w:cs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80" w:hRule="atLeast"/>
        </w:trPr>
        <w:tc>
          <w:tcPr>
            <w:tcW w:w="935" w:type="dxa"/>
          </w:tcPr>
          <w:p>
            <w:pPr>
              <w:spacing w:before="156" w:beforeLines="50" w:after="156" w:afterLine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6296" w:type="dxa"/>
          </w:tcPr>
          <w:p>
            <w:pPr>
              <w:adjustRightInd w:val="0"/>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【客观分】</w:t>
            </w:r>
          </w:p>
          <w:p>
            <w:pPr>
              <w:adjustRightInd w:val="0"/>
              <w:snapToGrid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采购需求符合度：(需在偏离表中标明佐证资料页码)</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对应于采购文件中商务技术及配置要求，带“★”号项为实质性响应要求，如不满足将作无效投标处理。带“▲”号需求响应不满足采购文件要求的，每一项扣减</w:t>
            </w:r>
            <w:r>
              <w:rPr>
                <w:rFonts w:hint="eastAsia" w:asciiTheme="minorEastAsia" w:hAnsiTheme="minorEastAsia" w:eastAsiaTheme="minorEastAsia" w:cstheme="minorEastAsia"/>
                <w:sz w:val="24"/>
                <w:u w:val="single"/>
              </w:rPr>
              <w:t>4</w:t>
            </w:r>
            <w:r>
              <w:rPr>
                <w:rFonts w:hint="eastAsia" w:asciiTheme="minorEastAsia" w:hAnsiTheme="minorEastAsia" w:eastAsiaTheme="minorEastAsia" w:cstheme="minorEastAsia"/>
                <w:sz w:val="24"/>
              </w:rPr>
              <w:t xml:space="preserve">分，其他需求响应不满足采购文件要求的，每一项扣减 </w:t>
            </w:r>
            <w:r>
              <w:rPr>
                <w:rFonts w:hint="eastAsia" w:asciiTheme="minorEastAsia" w:hAnsiTheme="minorEastAsia" w:eastAsiaTheme="minorEastAsia" w:cstheme="minorEastAsia"/>
                <w:sz w:val="24"/>
                <w:u w:val="single"/>
              </w:rPr>
              <w:t xml:space="preserve">1 </w:t>
            </w:r>
            <w:r>
              <w:rPr>
                <w:rFonts w:hint="eastAsia" w:asciiTheme="minorEastAsia" w:hAnsiTheme="minorEastAsia" w:eastAsiaTheme="minorEastAsia" w:cstheme="minorEastAsia"/>
                <w:sz w:val="24"/>
              </w:rPr>
              <w:t>分。本项最高得50</w:t>
            </w:r>
            <w:r>
              <w:rPr>
                <w:rFonts w:hint="eastAsia" w:asciiTheme="minorEastAsia" w:hAnsiTheme="minorEastAsia" w:eastAsiaTheme="minorEastAsia" w:cstheme="minorEastAsia"/>
                <w:sz w:val="24"/>
                <w:u w:val="single"/>
              </w:rPr>
              <w:t>分</w:t>
            </w:r>
            <w:r>
              <w:rPr>
                <w:rFonts w:hint="eastAsia" w:asciiTheme="minorEastAsia" w:hAnsiTheme="minorEastAsia" w:eastAsiaTheme="minorEastAsia" w:cstheme="minorEastAsia"/>
                <w:sz w:val="24"/>
              </w:rPr>
              <w:t>，最低得0分。</w:t>
            </w:r>
          </w:p>
          <w:p>
            <w:pPr>
              <w:adjustRightInd w:val="0"/>
              <w:snapToGrid w:val="0"/>
              <w:ind w:firstLine="400" w:firstLineChars="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针对带“▲”号项需求，供应商需提供充分的证明材料，未提供充分证明材料的，评审委员会有权视为不满足采购文件要求。采购需求中已明确要求提供佐证材料的，按采购需求中的要求提供，采购需求中未明确具体佐证材料的，证明材料可以是以下四项中任一项：</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1）生产制造商公开对外宣传的带有响应技术参数或功能的产品彩页，为响应而临时打印的无效。</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2）加盖生产制造商公章的技术白皮书。</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3）可在生产制造商官网查询到的产品技术参数或功能，需提供官网截图和网址等信息。</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4）评审委员会认可的其他有效证明（包括但不限于第三方检测报告、加盖生产制造商的证明材料等）。</w:t>
            </w:r>
          </w:p>
          <w:p>
            <w:pPr>
              <w:adjustRightInd w:val="0"/>
              <w:snapToGrid w:val="0"/>
              <w:ind w:firstLine="400" w:firstLine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2、其他项采购要求中有具体数据的，应在《商务技术偏离表》中提供具体数据响应，不能简单响应为“具备”或“有”等，否则视为不满足采购文件要求。</w:t>
            </w:r>
          </w:p>
          <w:p>
            <w:pPr>
              <w:spacing w:line="420" w:lineRule="exact"/>
              <w:jc w:val="left"/>
              <w:rPr>
                <w:rFonts w:asciiTheme="minorEastAsia" w:hAnsiTheme="minorEastAsia" w:eastAsiaTheme="minorEastAsia" w:cstheme="minorEastAsia"/>
                <w:sz w:val="24"/>
              </w:rPr>
            </w:pPr>
          </w:p>
        </w:tc>
        <w:tc>
          <w:tcPr>
            <w:tcW w:w="1359" w:type="dxa"/>
            <w:vAlign w:val="center"/>
          </w:tcPr>
          <w:p>
            <w:pPr>
              <w:spacing w:before="156" w:beforeLines="50" w:after="156" w:afterLines="5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 w:hRule="atLeast"/>
        </w:trPr>
        <w:tc>
          <w:tcPr>
            <w:tcW w:w="935" w:type="dxa"/>
          </w:tcPr>
          <w:p>
            <w:pPr>
              <w:spacing w:before="156" w:beforeLines="50" w:after="156" w:afterLines="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6296"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1、售后服务方案：提供详细售后服务方案，如售后服务网点的分布情况、售后服务机构备品备件储备，售后服务机构技术服务人员情况、开展定期巡检、故障解决方案、应急措施等综合评审。</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要求响应时间短，解决方案充分，备品备件储备充足，人员配备合理售后服务经验丰富。最高得</w:t>
            </w:r>
            <w:r>
              <w:rPr>
                <w:rFonts w:hint="eastAsia" w:asciiTheme="minorEastAsia" w:hAnsiTheme="minorEastAsia" w:eastAsiaTheme="minorEastAsia" w:cstheme="minorEastAsia"/>
                <w:sz w:val="24"/>
                <w:u w:val="single"/>
              </w:rPr>
              <w:t>5分</w:t>
            </w:r>
            <w:r>
              <w:rPr>
                <w:rFonts w:hint="eastAsia" w:asciiTheme="minorEastAsia" w:hAnsiTheme="minorEastAsia" w:eastAsiaTheme="minorEastAsia" w:cstheme="minorEastAsia"/>
                <w:sz w:val="24"/>
              </w:rPr>
              <w:t>。（评分范围：5，4，3，2，1，0）</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运行及维修成本：提供消耗品或易耗品的使用周期、价格；提供出保后保修方案，包括保修价格、设备配件价格，维修服务费等维修价格。要求消耗品或易耗品报价合理运行成本低，保修方案合理，配件报价合理维修成本低。最高得</w:t>
            </w:r>
            <w:r>
              <w:rPr>
                <w:rFonts w:hint="eastAsia" w:asciiTheme="minorEastAsia" w:hAnsiTheme="minorEastAsia" w:eastAsiaTheme="minorEastAsia" w:cstheme="minorEastAsia"/>
                <w:sz w:val="24"/>
                <w:u w:val="single"/>
              </w:rPr>
              <w:t>5分</w:t>
            </w:r>
            <w:r>
              <w:rPr>
                <w:rFonts w:hint="eastAsia" w:asciiTheme="minorEastAsia" w:hAnsiTheme="minorEastAsia" w:eastAsiaTheme="minorEastAsia" w:cstheme="minorEastAsia"/>
                <w:sz w:val="24"/>
              </w:rPr>
              <w:t>。（评分范围：5，4，3，2，1，0）</w:t>
            </w:r>
          </w:p>
        </w:tc>
        <w:tc>
          <w:tcPr>
            <w:tcW w:w="1359" w:type="dxa"/>
            <w:vAlign w:val="center"/>
          </w:tcPr>
          <w:p>
            <w:pPr>
              <w:spacing w:before="156" w:beforeLines="50" w:after="156" w:afterLines="5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Cs/>
                <w:sz w:val="24"/>
                <w:u w:val="singl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35" w:type="dxa"/>
          </w:tcPr>
          <w:p>
            <w:pPr>
              <w:spacing w:before="156" w:beforeLines="50" w:after="156" w:afterLines="50"/>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4、</w:t>
            </w:r>
          </w:p>
        </w:tc>
        <w:tc>
          <w:tcPr>
            <w:tcW w:w="6296" w:type="dxa"/>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安装调试及验收方案：</w:t>
            </w:r>
          </w:p>
          <w:p>
            <w:pPr>
              <w:pStyle w:val="2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根据商务要求中的</w:t>
            </w:r>
            <w:r>
              <w:rPr>
                <w:rFonts w:hint="eastAsia" w:asciiTheme="minorEastAsia" w:hAnsiTheme="minorEastAsia" w:eastAsiaTheme="minorEastAsia" w:cstheme="minorEastAsia"/>
                <w:b/>
                <w:sz w:val="24"/>
              </w:rPr>
              <w:t>安装调试要求和验收要求</w:t>
            </w:r>
            <w:r>
              <w:rPr>
                <w:rFonts w:hint="eastAsia" w:asciiTheme="minorEastAsia" w:hAnsiTheme="minorEastAsia" w:eastAsiaTheme="minorEastAsia" w:cstheme="minorEastAsia"/>
                <w:sz w:val="24"/>
              </w:rPr>
              <w:t>，提供详细的安装调试方案和验收方案，包括对场地环境的了解、人员的安排、时间进度的规划，对设备的调试进度安排，调试的步骤、措施，验收标准、验收的流程，问题的解决方案等。要求方案考虑充分，措施有效，能充分满足采购人实际需求。最高得</w:t>
            </w:r>
            <w:r>
              <w:rPr>
                <w:rFonts w:hint="eastAsia" w:asciiTheme="minorEastAsia" w:hAnsiTheme="minorEastAsia" w:eastAsiaTheme="minorEastAsia" w:cstheme="minorEastAsia"/>
                <w:sz w:val="24"/>
                <w:u w:val="single"/>
              </w:rPr>
              <w:t>4分</w:t>
            </w:r>
            <w:r>
              <w:rPr>
                <w:rFonts w:hint="eastAsia" w:asciiTheme="minorEastAsia" w:hAnsiTheme="minorEastAsia" w:eastAsiaTheme="minorEastAsia" w:cstheme="minorEastAsia"/>
                <w:sz w:val="24"/>
              </w:rPr>
              <w:t>。（评分范围：4，3，2，1，0）</w:t>
            </w:r>
          </w:p>
          <w:p>
            <w:pPr>
              <w:rPr>
                <w:rFonts w:asciiTheme="minorEastAsia" w:hAnsiTheme="minorEastAsia" w:eastAsiaTheme="minorEastAsia" w:cstheme="minorEastAsia"/>
                <w:sz w:val="24"/>
              </w:rPr>
            </w:pPr>
          </w:p>
        </w:tc>
        <w:tc>
          <w:tcPr>
            <w:tcW w:w="1359" w:type="dxa"/>
            <w:vAlign w:val="center"/>
          </w:tcPr>
          <w:p>
            <w:pPr>
              <w:spacing w:before="156" w:beforeLines="50" w:after="156" w:afterLines="50" w:line="276"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189" w:hRule="atLeast"/>
        </w:trPr>
        <w:tc>
          <w:tcPr>
            <w:tcW w:w="935" w:type="dxa"/>
          </w:tcPr>
          <w:p>
            <w:pPr>
              <w:spacing w:before="156" w:beforeLines="50" w:after="156" w:afterLine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6296" w:type="dxa"/>
            <w:vAlign w:val="center"/>
          </w:tcPr>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【主观分】</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培训方案：</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根据商务要求中的</w:t>
            </w:r>
            <w:r>
              <w:rPr>
                <w:rFonts w:hint="eastAsia" w:asciiTheme="minorEastAsia" w:hAnsiTheme="minorEastAsia" w:eastAsiaTheme="minorEastAsia" w:cstheme="minorEastAsia"/>
                <w:b/>
                <w:sz w:val="24"/>
              </w:rPr>
              <w:t>操作应用培训要求和维修保养培训要求</w:t>
            </w:r>
            <w:r>
              <w:rPr>
                <w:rFonts w:hint="eastAsia" w:asciiTheme="minorEastAsia" w:hAnsiTheme="minorEastAsia" w:eastAsiaTheme="minorEastAsia" w:cstheme="minorEastAsia"/>
                <w:sz w:val="24"/>
              </w:rPr>
              <w:t>，提供详细的培训方案，包括培训对象、课时内容安排、师资力量安排，培训的形式等。要求培训方案考虑充分，贴合实际，师资充分，课程详实，安排有效。最高得</w:t>
            </w:r>
            <w:r>
              <w:rPr>
                <w:rFonts w:hint="eastAsia" w:asciiTheme="minorEastAsia" w:hAnsiTheme="minorEastAsia" w:eastAsiaTheme="minorEastAsia" w:cstheme="minorEastAsia"/>
                <w:sz w:val="24"/>
                <w:u w:val="single"/>
              </w:rPr>
              <w:t>4分</w:t>
            </w:r>
            <w:r>
              <w:rPr>
                <w:rFonts w:hint="eastAsia" w:asciiTheme="minorEastAsia" w:hAnsiTheme="minorEastAsia" w:eastAsiaTheme="minorEastAsia" w:cstheme="minorEastAsia"/>
                <w:sz w:val="24"/>
              </w:rPr>
              <w:t>。（评分范围：4，3，2，1，0）</w:t>
            </w:r>
          </w:p>
        </w:tc>
        <w:tc>
          <w:tcPr>
            <w:tcW w:w="1359" w:type="dxa"/>
            <w:vAlign w:val="center"/>
          </w:tcPr>
          <w:p>
            <w:pPr>
              <w:spacing w:before="156" w:beforeLines="50" w:after="156" w:afterLines="5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u w:val="single"/>
              </w:rPr>
              <w:t>4分</w:t>
            </w:r>
          </w:p>
        </w:tc>
      </w:tr>
    </w:tbl>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62"/>
        <w:spacing w:before="0"/>
        <w:ind w:firstLine="508" w:firstLineChars="212"/>
        <w:rPr>
          <w:rFonts w:ascii="宋体" w:hAnsi="宋体" w:cs="宋体"/>
          <w:kern w:val="0"/>
          <w:szCs w:val="24"/>
        </w:rPr>
      </w:pPr>
      <w:r>
        <w:rPr>
          <w:rFonts w:hint="eastAsia" w:ascii="宋体" w:hAnsi="宋体" w:cs="宋体"/>
          <w:kern w:val="0"/>
        </w:rPr>
        <w:t>3.4</w:t>
      </w:r>
      <w:r>
        <w:rPr>
          <w:rFonts w:hint="eastAsia" w:ascii="宋体" w:hAnsi="宋体" w:cs="宋体"/>
          <w:kern w:val="0"/>
          <w:szCs w:val="24"/>
        </w:rPr>
        <w:t>.1投标文件报价出现前后不一致的，按照下列规定修正：</w:t>
      </w:r>
    </w:p>
    <w:p>
      <w:pPr>
        <w:pStyle w:val="16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6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6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6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6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62"/>
        <w:spacing w:before="0"/>
        <w:ind w:firstLine="480"/>
        <w:rPr>
          <w:rFonts w:hint="eastAsia"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2"/>
        <w:spacing w:before="0"/>
        <w:ind w:firstLine="480"/>
        <w:rPr>
          <w:rFonts w:hint="eastAsia" w:ascii="宋体" w:hAnsi="宋体" w:cs="宋体"/>
          <w:kern w:val="0"/>
          <w:szCs w:val="24"/>
        </w:rPr>
      </w:pPr>
      <w:r>
        <w:rPr>
          <w:rFonts w:hint="eastAsia" w:ascii="宋体" w:hAnsi="宋体" w:cs="宋体"/>
          <w:kern w:val="0"/>
          <w:szCs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r>
        <w:rPr>
          <w:rFonts w:hint="eastAsia" w:ascii="宋体" w:hAnsi="宋体" w:cs="宋体"/>
          <w:kern w:val="0"/>
          <w:szCs w:val="24"/>
        </w:rPr>
        <w:br w:type="textWrapping"/>
      </w:r>
      <w:r>
        <w:rPr>
          <w:rFonts w:hint="eastAsia" w:ascii="宋体" w:hAnsi="宋体" w:cs="宋体"/>
          <w:kern w:val="0"/>
          <w:szCs w:val="24"/>
          <w:lang w:val="en-US" w:eastAsia="zh-CN"/>
        </w:rPr>
        <w:t xml:space="preserve">    </w:t>
      </w:r>
      <w:r>
        <w:rPr>
          <w:rFonts w:hint="eastAsia" w:ascii="宋体" w:hAnsi="宋体" w:cs="宋体"/>
          <w:kern w:val="0"/>
          <w:szCs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pStyle w:val="16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6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4.2.14</w:t>
      </w:r>
      <w:r>
        <w:rPr>
          <w:rFonts w:hint="eastAsia" w:ascii="宋体" w:hAnsi="宋体" w:eastAsia="宋体" w:cs="宋体"/>
          <w:b w:val="0"/>
          <w:bCs w:val="0"/>
          <w:kern w:val="0"/>
          <w:sz w:val="24"/>
          <w:szCs w:val="24"/>
          <w:lang w:val="en-US"/>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4.3.废标。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4.3.1符合专业条件的供应商或者对招标文件作实质响应的供应商不足3家的；</w:t>
      </w:r>
    </w:p>
    <w:p>
      <w:pPr>
        <w:pStyle w:val="26"/>
        <w:snapToGrid w:val="0"/>
        <w:spacing w:line="360" w:lineRule="auto"/>
        <w:rPr>
          <w:rFonts w:cs="宋体"/>
        </w:rPr>
      </w:pPr>
      <w:r>
        <w:rPr>
          <w:rFonts w:hint="eastAsia" w:cs="宋体"/>
        </w:rPr>
        <w:t>4.3.2出现影响采购公正的违法、违规行为的；</w:t>
      </w:r>
    </w:p>
    <w:p>
      <w:pPr>
        <w:pStyle w:val="26"/>
        <w:snapToGrid w:val="0"/>
        <w:spacing w:line="360" w:lineRule="auto"/>
        <w:rPr>
          <w:rFonts w:cs="宋体"/>
        </w:rPr>
      </w:pPr>
      <w:r>
        <w:rPr>
          <w:rFonts w:hint="eastAsia" w:cs="宋体"/>
        </w:rPr>
        <w:t>4.3.3投标人的报价均超过了采购预算，采购人不能支付的；</w:t>
      </w:r>
    </w:p>
    <w:p>
      <w:pPr>
        <w:pStyle w:val="26"/>
        <w:snapToGrid w:val="0"/>
        <w:spacing w:line="360" w:lineRule="auto"/>
        <w:rPr>
          <w:rFonts w:cs="宋体"/>
        </w:rPr>
      </w:pPr>
      <w:r>
        <w:rPr>
          <w:rFonts w:hint="eastAsia" w:cs="宋体"/>
        </w:rPr>
        <w:t>4.3.4因重大变故，采购任务取消的。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482"/>
        <w:rPr>
          <w:rFonts w:cs="宋体"/>
        </w:rPr>
      </w:pPr>
      <w:r>
        <w:rPr>
          <w:rFonts w:hint="eastAsia" w:cs="宋体"/>
          <w:b/>
        </w:rPr>
        <w:t>4.4.修改招标文件，重新组织采购活动。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4.5.重新开展采购。</w:t>
      </w:r>
      <w:r>
        <w:rPr>
          <w:rFonts w:hint="eastAsia" w:cs="宋体"/>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cs="宋体"/>
        </w:rPr>
      </w:pPr>
      <w:r>
        <w:rPr>
          <w:rFonts w:hint="eastAsia" w:cs="宋体"/>
        </w:rPr>
        <w:t>4.5.1未确定中标或者中标人的，终止本次政府采购活动，重新开展政府采购活动。</w:t>
      </w:r>
    </w:p>
    <w:p>
      <w:pPr>
        <w:pStyle w:val="26"/>
        <w:snapToGrid w:val="0"/>
        <w:spacing w:line="360" w:lineRule="auto"/>
        <w:ind w:firstLine="600" w:firstLineChars="250"/>
        <w:rPr>
          <w:rFonts w:cs="宋体"/>
        </w:rPr>
      </w:pPr>
      <w:r>
        <w:rPr>
          <w:rFonts w:hint="eastAsia" w:cs="宋体"/>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cs="宋体"/>
        </w:rPr>
      </w:pPr>
      <w:r>
        <w:rPr>
          <w:rFonts w:hint="eastAsia" w:cs="宋体"/>
        </w:rPr>
        <w:t>4.5.3政府采购合同已签订但尚未履行的，撤销合同，从合格的中标或者成交候选人中另行确定中标或者中标人；没有合格的中标或者成交候选人的，重新开展政府采购活动。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cs="宋体"/>
        </w:rPr>
      </w:pPr>
      <w:r>
        <w:rPr>
          <w:rFonts w:hint="eastAsia" w:cs="宋体"/>
        </w:rPr>
        <w:t>4.5.4政府采购合同已经履行，给采购人、供应商造成损失的，由责任人承担赔偿责任。</w:t>
      </w:r>
    </w:p>
    <w:p>
      <w:pPr>
        <w:pStyle w:val="26"/>
        <w:snapToGrid w:val="0"/>
        <w:spacing w:line="360" w:lineRule="auto"/>
        <w:rPr>
          <w:rFonts w:hint="eastAsia" w:ascii="宋体" w:hAnsi="宋体" w:cs="宋体"/>
          <w:b/>
          <w:sz w:val="36"/>
          <w:szCs w:val="36"/>
        </w:rPr>
      </w:pPr>
      <w:r>
        <w:rPr>
          <w:rFonts w:hint="eastAsia" w:cs="宋体"/>
        </w:rPr>
        <w:t>4.5.5政府采购当事人有其他违反政府采购法或者政府采购法实施条例等法律法规规定的行为，经改正后仍然影响或者可能影响中标、成交结果或者依法被认定为中标、成交无效的，依照4.5.1-4.5.4规定处理。</w:t>
      </w:r>
      <w:bookmarkEnd w:id="26"/>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hint="eastAsia"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11"/>
        <w:rPr>
          <w:rFonts w:ascii="宋体" w:hAnsi="宋体" w:cs="宋体"/>
          <w:szCs w:val="24"/>
        </w:rPr>
      </w:pPr>
    </w:p>
    <w:p>
      <w:pPr>
        <w:pStyle w:val="711"/>
        <w:rPr>
          <w:rFonts w:ascii="宋体" w:hAnsi="宋体" w:cs="宋体"/>
          <w:szCs w:val="24"/>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26"/>
        <w:rPr>
          <w:rFonts w:cs="宋体"/>
        </w:rPr>
      </w:pPr>
    </w:p>
    <w:p>
      <w:pPr>
        <w:pStyle w:val="711"/>
        <w:jc w:val="center"/>
        <w:rPr>
          <w:rFonts w:ascii="宋体" w:hAnsi="宋体" w:cs="宋体"/>
          <w:szCs w:val="24"/>
        </w:rPr>
      </w:pPr>
    </w:p>
    <w:p>
      <w:pPr>
        <w:pStyle w:val="26"/>
        <w:rPr>
          <w:rFonts w:cs="宋体"/>
        </w:rPr>
      </w:pPr>
    </w:p>
    <w:p>
      <w:pPr>
        <w:pStyle w:val="711"/>
        <w:ind w:firstLine="2843" w:firstLineChars="1180"/>
        <w:rPr>
          <w:rFonts w:ascii="宋体" w:hAnsi="宋体" w:cs="宋体"/>
          <w:b/>
          <w:szCs w:val="24"/>
        </w:rPr>
      </w:pPr>
      <w:r>
        <w:rPr>
          <w:rFonts w:hint="eastAsia" w:ascii="宋体" w:hAnsi="宋体" w:cs="宋体"/>
          <w:b/>
          <w:szCs w:val="24"/>
        </w:rPr>
        <w:t>通用合同书</w:t>
      </w:r>
    </w:p>
    <w:p>
      <w:pPr>
        <w:pStyle w:val="711"/>
        <w:rPr>
          <w:rFonts w:ascii="宋体" w:hAnsi="宋体" w:cs="宋体"/>
          <w:szCs w:val="24"/>
        </w:rPr>
      </w:pPr>
    </w:p>
    <w:p>
      <w:pPr>
        <w:pStyle w:val="711"/>
        <w:rPr>
          <w:rFonts w:ascii="宋体" w:hAnsi="宋体" w:cs="宋体"/>
          <w:szCs w:val="24"/>
        </w:rPr>
      </w:pPr>
    </w:p>
    <w:p>
      <w:pPr>
        <w:pStyle w:val="26"/>
        <w:rPr>
          <w:rFonts w:cs="宋体"/>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605"/>
        <w:spacing w:before="120" w:line="22" w:lineRule="atLeast"/>
        <w:rPr>
          <w:rFonts w:ascii="宋体" w:hAnsi="宋体" w:eastAsia="宋体" w:cs="宋体"/>
          <w:szCs w:val="24"/>
        </w:rPr>
      </w:pPr>
    </w:p>
    <w:p>
      <w:pPr>
        <w:pStyle w:val="605"/>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pStyle w:val="3"/>
        <w:rPr>
          <w:rFonts w:ascii="宋体" w:hAnsi="宋体" w:eastAsia="宋体" w:cs="宋体"/>
          <w:lang w:val="en-US"/>
        </w:rPr>
      </w:pPr>
    </w:p>
    <w:p>
      <w:pPr>
        <w:ind w:firstLine="420" w:firstLineChars="200"/>
        <w:rPr>
          <w:rFonts w:ascii="宋体" w:hAnsi="宋体" w:cs="宋体"/>
          <w:u w:val="single"/>
        </w:rPr>
      </w:pPr>
      <w:r>
        <w:rPr>
          <w:rFonts w:hint="eastAsia" w:ascii="宋体" w:hAnsi="宋体" w:cs="宋体"/>
          <w:u w:val="single"/>
        </w:rPr>
        <w:t xml:space="preserve">                      </w:t>
      </w:r>
      <w:r>
        <w:rPr>
          <w:rFonts w:hint="eastAsia" w:ascii="宋体" w:hAnsi="宋体" w:cs="宋体"/>
        </w:rPr>
        <w:t>（甲方）</w:t>
      </w:r>
      <w:r>
        <w:rPr>
          <w:rFonts w:hint="eastAsia" w:ascii="宋体" w:hAnsi="宋体" w:cs="宋体"/>
          <w:u w:val="single"/>
        </w:rPr>
        <w:t xml:space="preserve">                    </w:t>
      </w:r>
      <w:r>
        <w:rPr>
          <w:rFonts w:hint="eastAsia" w:ascii="宋体" w:hAnsi="宋体" w:cs="宋体"/>
        </w:rPr>
        <w:t xml:space="preserve"> （项目名称）经诸暨市公共资源交易中心以招标文件（编号：诸政采20</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号）进行公开招标。甲方确定</w:t>
      </w:r>
      <w:r>
        <w:rPr>
          <w:rFonts w:hint="eastAsia" w:ascii="宋体" w:hAnsi="宋体" w:cs="宋体"/>
          <w:u w:val="single"/>
        </w:rPr>
        <w:t xml:space="preserve">                              </w:t>
      </w:r>
      <w:r>
        <w:rPr>
          <w:rFonts w:hint="eastAsia" w:ascii="宋体" w:hAnsi="宋体" w:cs="宋体"/>
        </w:rPr>
        <w:t>（乙方）为中标人。甲、乙双方依据《中华人民共和国政府采购法》、《中华人民共和国民法典》，在平等自愿的基础上，同意按照下面的条款和条件，签署本合同。</w:t>
      </w:r>
    </w:p>
    <w:p>
      <w:pPr>
        <w:rPr>
          <w:rFonts w:ascii="宋体" w:hAnsi="宋体" w:cs="宋体"/>
          <w:b/>
          <w:bCs/>
          <w:u w:val="single"/>
        </w:rPr>
      </w:pPr>
      <w:r>
        <w:rPr>
          <w:rFonts w:hint="eastAsia" w:ascii="宋体" w:hAnsi="宋体" w:cs="宋体"/>
          <w:b/>
          <w:bCs/>
        </w:rPr>
        <w:t>（一）项目采购依据</w:t>
      </w:r>
    </w:p>
    <w:p>
      <w:pPr>
        <w:ind w:firstLine="420" w:firstLineChars="200"/>
        <w:rPr>
          <w:rFonts w:ascii="宋体" w:hAnsi="宋体" w:cs="宋体"/>
        </w:rPr>
      </w:pPr>
      <w:r>
        <w:rPr>
          <w:rFonts w:hint="eastAsia" w:ascii="宋体" w:hAnsi="宋体" w:cs="宋体"/>
        </w:rPr>
        <w:t xml:space="preserve">政府采购预算执行确认书。 </w:t>
      </w:r>
    </w:p>
    <w:p>
      <w:pPr>
        <w:rPr>
          <w:rFonts w:ascii="宋体" w:hAnsi="宋体" w:cs="宋体"/>
          <w:b/>
          <w:bCs/>
        </w:rPr>
      </w:pPr>
      <w:r>
        <w:rPr>
          <w:rFonts w:hint="eastAsia" w:ascii="宋体" w:hAnsi="宋体" w:cs="宋体"/>
          <w:b/>
          <w:bCs/>
        </w:rPr>
        <w:t>（二）下列文件构成本合同的组成部分</w:t>
      </w:r>
    </w:p>
    <w:p>
      <w:pPr>
        <w:ind w:firstLine="420" w:firstLineChars="200"/>
        <w:rPr>
          <w:rFonts w:ascii="宋体" w:hAnsi="宋体" w:cs="宋体"/>
        </w:rPr>
      </w:pPr>
      <w:r>
        <w:rPr>
          <w:rFonts w:hint="eastAsia" w:ascii="宋体" w:hAnsi="宋体" w:cs="宋体"/>
        </w:rPr>
        <w:t>以下文件为本合同的组成部分，应该认为是一个整体，彼此相互解释，相互补充。</w:t>
      </w:r>
    </w:p>
    <w:p>
      <w:pPr>
        <w:ind w:firstLine="420" w:firstLineChars="200"/>
        <w:rPr>
          <w:rFonts w:ascii="宋体" w:hAnsi="宋体" w:cs="宋体"/>
        </w:rPr>
      </w:pPr>
      <w:r>
        <w:rPr>
          <w:rFonts w:hint="eastAsia" w:ascii="宋体" w:hAnsi="宋体" w:cs="宋体"/>
        </w:rPr>
        <w:t>a. 本合同书</w:t>
      </w:r>
    </w:p>
    <w:p>
      <w:pPr>
        <w:ind w:firstLine="420" w:firstLineChars="200"/>
        <w:rPr>
          <w:rFonts w:ascii="宋体" w:hAnsi="宋体" w:cs="宋体"/>
        </w:rPr>
      </w:pPr>
      <w:r>
        <w:rPr>
          <w:rFonts w:hint="eastAsia" w:ascii="宋体" w:hAnsi="宋体" w:cs="宋体"/>
        </w:rPr>
        <w:t>b. 中标通知书</w:t>
      </w:r>
    </w:p>
    <w:p>
      <w:pPr>
        <w:ind w:firstLine="420" w:firstLineChars="200"/>
        <w:rPr>
          <w:rFonts w:ascii="宋体" w:hAnsi="宋体" w:cs="宋体"/>
        </w:rPr>
      </w:pPr>
      <w:r>
        <w:rPr>
          <w:rFonts w:hint="eastAsia" w:ascii="宋体" w:hAnsi="宋体" w:cs="宋体"/>
        </w:rPr>
        <w:t>c. 询标承诺</w:t>
      </w:r>
    </w:p>
    <w:p>
      <w:pPr>
        <w:ind w:firstLine="420" w:firstLineChars="200"/>
        <w:rPr>
          <w:rFonts w:ascii="宋体" w:hAnsi="宋体" w:cs="宋体"/>
        </w:rPr>
      </w:pPr>
      <w:r>
        <w:rPr>
          <w:rFonts w:hint="eastAsia" w:ascii="宋体" w:hAnsi="宋体" w:cs="宋体"/>
        </w:rPr>
        <w:t>d. 投标文件</w:t>
      </w:r>
    </w:p>
    <w:p>
      <w:pPr>
        <w:ind w:firstLine="420" w:firstLineChars="200"/>
        <w:rPr>
          <w:rFonts w:ascii="宋体" w:hAnsi="宋体" w:cs="宋体"/>
        </w:rPr>
      </w:pPr>
      <w:r>
        <w:rPr>
          <w:rFonts w:hint="eastAsia" w:ascii="宋体" w:hAnsi="宋体" w:cs="宋体"/>
        </w:rPr>
        <w:t>e. 招标文件</w:t>
      </w:r>
    </w:p>
    <w:p>
      <w:pPr>
        <w:rPr>
          <w:rFonts w:ascii="宋体" w:hAnsi="宋体" w:cs="宋体"/>
          <w:b/>
          <w:bCs/>
        </w:rPr>
      </w:pPr>
      <w:r>
        <w:rPr>
          <w:rFonts w:hint="eastAsia" w:ascii="宋体" w:hAnsi="宋体" w:cs="宋体"/>
          <w:b/>
          <w:bCs/>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宋体" w:hAnsi="宋体" w:cs="宋体"/>
              </w:rPr>
            </w:pPr>
            <w:r>
              <w:rPr>
                <w:rFonts w:hint="eastAsia" w:ascii="宋体" w:hAnsi="宋体" w:cs="宋体"/>
              </w:rPr>
              <w:t>产品名称</w:t>
            </w:r>
          </w:p>
        </w:tc>
        <w:tc>
          <w:tcPr>
            <w:tcW w:w="3960" w:type="dxa"/>
            <w:vAlign w:val="center"/>
          </w:tcPr>
          <w:p>
            <w:pPr>
              <w:jc w:val="center"/>
              <w:rPr>
                <w:rFonts w:ascii="宋体" w:hAnsi="宋体" w:cs="宋体"/>
              </w:rPr>
            </w:pPr>
            <w:r>
              <w:rPr>
                <w:rFonts w:hint="eastAsia" w:ascii="宋体" w:hAnsi="宋体" w:cs="宋体"/>
              </w:rPr>
              <w:t>规格、型号（或服务内容）</w:t>
            </w:r>
          </w:p>
        </w:tc>
        <w:tc>
          <w:tcPr>
            <w:tcW w:w="1080" w:type="dxa"/>
            <w:vAlign w:val="center"/>
          </w:tcPr>
          <w:p>
            <w:pPr>
              <w:jc w:val="center"/>
              <w:rPr>
                <w:rFonts w:ascii="宋体" w:hAnsi="宋体" w:cs="宋体"/>
              </w:rPr>
            </w:pPr>
            <w:r>
              <w:rPr>
                <w:rFonts w:hint="eastAsia" w:ascii="宋体" w:hAnsi="宋体" w:cs="宋体"/>
              </w:rPr>
              <w:t>数量</w:t>
            </w:r>
          </w:p>
        </w:tc>
        <w:tc>
          <w:tcPr>
            <w:tcW w:w="1260" w:type="dxa"/>
            <w:vAlign w:val="center"/>
          </w:tcPr>
          <w:p>
            <w:pPr>
              <w:jc w:val="center"/>
              <w:rPr>
                <w:rFonts w:ascii="宋体" w:hAnsi="宋体" w:cs="宋体"/>
              </w:rPr>
            </w:pPr>
            <w:r>
              <w:rPr>
                <w:rFonts w:hint="eastAsia" w:ascii="宋体" w:hAnsi="宋体" w:cs="宋体"/>
              </w:rPr>
              <w:t>单价（元）</w:t>
            </w:r>
          </w:p>
        </w:tc>
        <w:tc>
          <w:tcPr>
            <w:tcW w:w="1440" w:type="dxa"/>
            <w:vAlign w:val="center"/>
          </w:tcPr>
          <w:p>
            <w:pPr>
              <w:jc w:val="center"/>
              <w:rPr>
                <w:rFonts w:ascii="宋体" w:hAnsi="宋体" w:cs="宋体"/>
              </w:rPr>
            </w:pPr>
            <w:r>
              <w:rPr>
                <w:rFonts w:hint="eastAsia" w:ascii="宋体" w:hAnsi="宋体" w:cs="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宋体" w:hAnsi="宋体" w:cs="宋体"/>
              </w:rPr>
            </w:pPr>
          </w:p>
        </w:tc>
        <w:tc>
          <w:tcPr>
            <w:tcW w:w="3960" w:type="dxa"/>
          </w:tcPr>
          <w:p>
            <w:pPr>
              <w:jc w:val="center"/>
              <w:rPr>
                <w:rFonts w:ascii="宋体" w:hAnsi="宋体" w:cs="宋体"/>
              </w:rPr>
            </w:pPr>
          </w:p>
        </w:tc>
        <w:tc>
          <w:tcPr>
            <w:tcW w:w="1080" w:type="dxa"/>
          </w:tcPr>
          <w:p>
            <w:pPr>
              <w:jc w:val="center"/>
              <w:rPr>
                <w:rFonts w:ascii="宋体" w:hAnsi="宋体" w:cs="宋体"/>
              </w:rPr>
            </w:pPr>
          </w:p>
        </w:tc>
        <w:tc>
          <w:tcPr>
            <w:tcW w:w="1260" w:type="dxa"/>
          </w:tcPr>
          <w:p>
            <w:pPr>
              <w:jc w:val="center"/>
              <w:rPr>
                <w:rFonts w:ascii="宋体" w:hAnsi="宋体" w:cs="宋体"/>
              </w:rPr>
            </w:pPr>
          </w:p>
        </w:tc>
        <w:tc>
          <w:tcPr>
            <w:tcW w:w="1440" w:type="dxa"/>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（具体标的物或服务内容可根据实际修改）</w:t>
      </w:r>
    </w:p>
    <w:p>
      <w:pPr>
        <w:rPr>
          <w:rFonts w:ascii="宋体" w:hAnsi="宋体" w:cs="宋体"/>
          <w:b/>
          <w:bCs/>
        </w:rPr>
      </w:pPr>
      <w:r>
        <w:rPr>
          <w:rFonts w:hint="eastAsia" w:ascii="宋体" w:hAnsi="宋体" w:cs="宋体"/>
          <w:b/>
          <w:bCs/>
        </w:rPr>
        <w:t>（四）合同总价</w:t>
      </w:r>
    </w:p>
    <w:p>
      <w:pPr>
        <w:ind w:firstLine="420" w:firstLineChars="200"/>
        <w:rPr>
          <w:rFonts w:ascii="宋体" w:hAnsi="宋体" w:cs="宋体"/>
        </w:rPr>
      </w:pPr>
      <w:r>
        <w:rPr>
          <w:rFonts w:hint="eastAsia" w:ascii="宋体" w:hAnsi="宋体" w:cs="宋体"/>
        </w:rPr>
        <w:t>本合同总价为</w:t>
      </w:r>
      <w:r>
        <w:rPr>
          <w:rFonts w:hint="eastAsia" w:ascii="宋体" w:hAnsi="宋体" w:cs="宋体"/>
          <w:u w:val="single"/>
        </w:rPr>
        <w:t xml:space="preserve">       </w:t>
      </w:r>
      <w:r>
        <w:rPr>
          <w:rFonts w:hint="eastAsia" w:ascii="宋体" w:hAnsi="宋体" w:cs="宋体"/>
        </w:rPr>
        <w:t>元人民币，大写</w:t>
      </w:r>
      <w:r>
        <w:rPr>
          <w:rFonts w:hint="eastAsia" w:ascii="宋体" w:hAnsi="宋体" w:cs="宋体"/>
          <w:u w:val="single"/>
        </w:rPr>
        <w:t xml:space="preserve">                                    </w:t>
      </w:r>
      <w:r>
        <w:rPr>
          <w:rFonts w:hint="eastAsia" w:ascii="宋体" w:hAnsi="宋体" w:cs="宋体"/>
        </w:rPr>
        <w:t>。</w:t>
      </w:r>
    </w:p>
    <w:p>
      <w:pPr>
        <w:rPr>
          <w:rFonts w:ascii="宋体" w:hAnsi="宋体" w:cs="宋体"/>
          <w:b/>
          <w:bCs/>
        </w:rPr>
      </w:pPr>
      <w:r>
        <w:rPr>
          <w:rFonts w:hint="eastAsia" w:ascii="宋体" w:hAnsi="宋体" w:cs="宋体"/>
          <w:b/>
          <w:bCs/>
        </w:rPr>
        <w:t>（五）合同价款的支付</w:t>
      </w:r>
    </w:p>
    <w:p>
      <w:pPr>
        <w:ind w:firstLine="420" w:firstLineChars="200"/>
        <w:rPr>
          <w:rFonts w:ascii="宋体" w:hAnsi="宋体" w:cs="宋体"/>
        </w:rPr>
      </w:pPr>
      <w:r>
        <w:rPr>
          <w:rFonts w:hint="eastAsia" w:ascii="宋体" w:hAnsi="宋体" w:cs="宋体"/>
        </w:rPr>
        <w:t>1.本合同中甲乙双方之间所发生的一切费用以人民币进行结算。</w:t>
      </w:r>
    </w:p>
    <w:p>
      <w:pPr>
        <w:ind w:firstLine="420" w:firstLineChars="200"/>
        <w:rPr>
          <w:rFonts w:ascii="宋体" w:hAnsi="宋体" w:cs="宋体"/>
        </w:rPr>
      </w:pPr>
      <w:r>
        <w:rPr>
          <w:rFonts w:hint="eastAsia" w:ascii="宋体" w:hAnsi="宋体" w:cs="宋体"/>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付款次数</w:t>
            </w:r>
          </w:p>
        </w:tc>
        <w:tc>
          <w:tcPr>
            <w:tcW w:w="1985" w:type="dxa"/>
            <w:vAlign w:val="center"/>
          </w:tcPr>
          <w:p>
            <w:pPr>
              <w:jc w:val="center"/>
              <w:rPr>
                <w:rFonts w:ascii="宋体" w:hAnsi="宋体" w:cs="宋体"/>
              </w:rPr>
            </w:pPr>
            <w:r>
              <w:rPr>
                <w:rFonts w:hint="eastAsia" w:ascii="宋体" w:hAnsi="宋体" w:cs="宋体"/>
              </w:rPr>
              <w:t>约定支付条件</w:t>
            </w:r>
          </w:p>
        </w:tc>
        <w:tc>
          <w:tcPr>
            <w:tcW w:w="4394" w:type="dxa"/>
            <w:vAlign w:val="center"/>
          </w:tcPr>
          <w:p>
            <w:pPr>
              <w:jc w:val="center"/>
              <w:rPr>
                <w:rFonts w:ascii="宋体" w:hAnsi="宋体" w:cs="宋体"/>
              </w:rPr>
            </w:pPr>
            <w:r>
              <w:rPr>
                <w:rFonts w:hint="eastAsia" w:ascii="宋体" w:hAnsi="宋体" w:cs="宋体"/>
              </w:rPr>
              <w:t>付款条件</w:t>
            </w:r>
          </w:p>
        </w:tc>
        <w:tc>
          <w:tcPr>
            <w:tcW w:w="1413" w:type="dxa"/>
            <w:vAlign w:val="center"/>
          </w:tcPr>
          <w:p>
            <w:pPr>
              <w:jc w:val="center"/>
              <w:rPr>
                <w:rFonts w:ascii="宋体" w:hAnsi="宋体" w:cs="宋体"/>
              </w:rPr>
            </w:pPr>
            <w:r>
              <w:rPr>
                <w:rFonts w:hint="eastAsia" w:ascii="宋体" w:hAnsi="宋体" w:cs="宋体"/>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1</w:t>
            </w:r>
          </w:p>
        </w:tc>
        <w:tc>
          <w:tcPr>
            <w:tcW w:w="1985" w:type="dxa"/>
            <w:vAlign w:val="center"/>
          </w:tcPr>
          <w:p>
            <w:pPr>
              <w:jc w:val="center"/>
              <w:rPr>
                <w:rFonts w:ascii="宋体" w:hAnsi="宋体" w:cs="宋体"/>
              </w:rPr>
            </w:pPr>
            <w:r>
              <w:rPr>
                <w:rFonts w:hint="eastAsia" w:ascii="宋体" w:hAnsi="宋体" w:cs="宋体"/>
              </w:rPr>
              <w:t>合同签订后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满足合同约定支付条件，甲方收到乙方提供的同等金额的正规发票后 7 个工作日内，向乙方支付合同总价</w:t>
            </w:r>
            <w:r>
              <w:rPr>
                <w:rFonts w:hint="eastAsia" w:ascii="宋体" w:hAnsi="宋体" w:cs="宋体"/>
                <w:u w:val="single"/>
              </w:rPr>
              <w:t xml:space="preserve">     </w:t>
            </w:r>
            <w:r>
              <w:rPr>
                <w:rFonts w:hint="eastAsia" w:ascii="宋体" w:hAnsi="宋体" w:cs="宋体"/>
              </w:rPr>
              <w:t>%的预付款；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2</w:t>
            </w:r>
          </w:p>
        </w:tc>
        <w:tc>
          <w:tcPr>
            <w:tcW w:w="1985" w:type="dxa"/>
            <w:vAlign w:val="center"/>
          </w:tcPr>
          <w:p>
            <w:pPr>
              <w:jc w:val="center"/>
              <w:rPr>
                <w:rFonts w:ascii="宋体" w:hAnsi="宋体" w:cs="宋体"/>
              </w:rPr>
            </w:pPr>
            <w:r>
              <w:rPr>
                <w:rFonts w:hint="eastAsia" w:ascii="宋体" w:hAnsi="宋体" w:cs="宋体"/>
              </w:rPr>
              <w:t>项目验收合格后</w:t>
            </w:r>
          </w:p>
        </w:tc>
        <w:tc>
          <w:tcPr>
            <w:tcW w:w="4394" w:type="dxa"/>
            <w:vAlign w:val="center"/>
          </w:tcPr>
          <w:p>
            <w:pPr>
              <w:jc w:val="center"/>
              <w:rPr>
                <w:rFonts w:ascii="宋体" w:hAnsi="宋体" w:cs="宋体"/>
              </w:rPr>
            </w:pPr>
            <w:r>
              <w:rPr>
                <w:rFonts w:hint="eastAsia" w:ascii="宋体" w:hAnsi="宋体" w:cs="宋体"/>
              </w:rPr>
              <w:t>满足合同约定支付条件，甲方收到乙方提供</w:t>
            </w:r>
          </w:p>
          <w:p>
            <w:pPr>
              <w:jc w:val="center"/>
              <w:rPr>
                <w:rFonts w:ascii="宋体" w:hAnsi="宋体" w:cs="宋体"/>
              </w:rPr>
            </w:pPr>
            <w:r>
              <w:rPr>
                <w:rFonts w:hint="eastAsia" w:ascii="宋体" w:hAnsi="宋体" w:cs="宋体"/>
              </w:rPr>
              <w:t>的同等金额的正规发票后 7 个工作日内，向</w:t>
            </w:r>
          </w:p>
          <w:p>
            <w:pPr>
              <w:jc w:val="center"/>
              <w:rPr>
                <w:rFonts w:ascii="宋体" w:hAnsi="宋体" w:cs="宋体"/>
              </w:rPr>
            </w:pPr>
            <w:r>
              <w:rPr>
                <w:rFonts w:hint="eastAsia" w:ascii="宋体" w:hAnsi="宋体" w:cs="宋体"/>
              </w:rPr>
              <w:t>乙方支付合同总价</w:t>
            </w:r>
            <w:r>
              <w:rPr>
                <w:rFonts w:hint="eastAsia" w:ascii="宋体" w:hAnsi="宋体" w:cs="宋体"/>
                <w:u w:val="single"/>
              </w:rPr>
              <w:t xml:space="preserve">      </w:t>
            </w:r>
            <w:r>
              <w:rPr>
                <w:rFonts w:hint="eastAsia" w:ascii="宋体" w:hAnsi="宋体" w:cs="宋体"/>
              </w:rPr>
              <w:t>%的合同款。</w:t>
            </w:r>
          </w:p>
        </w:tc>
        <w:tc>
          <w:tcPr>
            <w:tcW w:w="14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宋体" w:hAnsi="宋体" w:cs="宋体"/>
              </w:rPr>
            </w:pPr>
            <w:r>
              <w:rPr>
                <w:rFonts w:hint="eastAsia" w:ascii="宋体" w:hAnsi="宋体" w:cs="宋体"/>
              </w:rPr>
              <w:t>3</w:t>
            </w:r>
          </w:p>
        </w:tc>
        <w:tc>
          <w:tcPr>
            <w:tcW w:w="1985" w:type="dxa"/>
            <w:vAlign w:val="center"/>
          </w:tcPr>
          <w:p>
            <w:pPr>
              <w:rPr>
                <w:rFonts w:ascii="宋体" w:hAnsi="宋体" w:cs="宋体"/>
              </w:rPr>
            </w:pPr>
          </w:p>
        </w:tc>
        <w:tc>
          <w:tcPr>
            <w:tcW w:w="4394" w:type="dxa"/>
            <w:vAlign w:val="center"/>
          </w:tcPr>
          <w:p>
            <w:pPr>
              <w:jc w:val="center"/>
              <w:rPr>
                <w:rFonts w:ascii="宋体" w:hAnsi="宋体" w:cs="宋体"/>
              </w:rPr>
            </w:pPr>
          </w:p>
        </w:tc>
        <w:tc>
          <w:tcPr>
            <w:tcW w:w="1413" w:type="dxa"/>
            <w:vAlign w:val="center"/>
          </w:tcPr>
          <w:p>
            <w:pPr>
              <w:jc w:val="center"/>
              <w:rPr>
                <w:rFonts w:ascii="宋体" w:hAnsi="宋体" w:cs="宋体"/>
              </w:rPr>
            </w:pPr>
          </w:p>
        </w:tc>
      </w:tr>
    </w:tbl>
    <w:p>
      <w:pPr>
        <w:ind w:firstLine="420" w:firstLineChars="200"/>
        <w:rPr>
          <w:rFonts w:ascii="宋体" w:hAnsi="宋体" w:cs="宋体"/>
        </w:rPr>
      </w:pPr>
      <w:r>
        <w:rPr>
          <w:rFonts w:hint="eastAsia" w:ascii="宋体" w:hAnsi="宋体" w:cs="宋体"/>
        </w:rPr>
        <w:t>3.甲方应付合同款至以下乙方指定的银行账户：</w:t>
      </w:r>
    </w:p>
    <w:p>
      <w:pPr>
        <w:ind w:firstLine="420" w:firstLineChars="200"/>
        <w:rPr>
          <w:rFonts w:ascii="宋体" w:hAnsi="宋体" w:cs="宋体"/>
        </w:rPr>
      </w:pPr>
      <w:r>
        <w:rPr>
          <w:rFonts w:hint="eastAsia" w:ascii="宋体" w:hAnsi="宋体" w:cs="宋体"/>
        </w:rPr>
        <w:t>开户名称：</w:t>
      </w:r>
    </w:p>
    <w:p>
      <w:pPr>
        <w:ind w:firstLine="420" w:firstLineChars="200"/>
        <w:rPr>
          <w:rFonts w:ascii="宋体" w:hAnsi="宋体" w:cs="宋体"/>
        </w:rPr>
      </w:pPr>
      <w:r>
        <w:rPr>
          <w:rFonts w:hint="eastAsia" w:ascii="宋体" w:hAnsi="宋体" w:cs="宋体"/>
        </w:rPr>
        <w:t>开户银行：</w:t>
      </w:r>
    </w:p>
    <w:p>
      <w:pPr>
        <w:ind w:firstLine="420" w:firstLineChars="200"/>
        <w:rPr>
          <w:rFonts w:ascii="宋体" w:hAnsi="宋体" w:cs="宋体"/>
        </w:rPr>
      </w:pPr>
      <w:r>
        <w:rPr>
          <w:rFonts w:hint="eastAsia" w:ascii="宋体" w:hAnsi="宋体" w:cs="宋体"/>
        </w:rPr>
        <w:t>账 号：</w:t>
      </w:r>
    </w:p>
    <w:p>
      <w:pPr>
        <w:rPr>
          <w:rFonts w:ascii="宋体" w:hAnsi="宋体" w:cs="宋体"/>
          <w:b/>
          <w:bCs/>
        </w:rPr>
      </w:pPr>
      <w:r>
        <w:rPr>
          <w:rFonts w:hint="eastAsia" w:ascii="宋体" w:hAnsi="宋体" w:cs="宋体"/>
          <w:b/>
          <w:bCs/>
        </w:rPr>
        <w:t>（六）履约保证金</w:t>
      </w:r>
    </w:p>
    <w:p>
      <w:pPr>
        <w:ind w:firstLine="420" w:firstLineChars="200"/>
        <w:rPr>
          <w:rFonts w:ascii="宋体" w:hAnsi="宋体" w:cs="宋体"/>
        </w:rPr>
      </w:pPr>
      <w:r>
        <w:rPr>
          <w:rFonts w:hint="eastAsia" w:ascii="宋体" w:hAnsi="宋体" w:cs="宋体"/>
        </w:rPr>
        <w:t>1.乙方应在合同签订后 5 个工作日内向甲方提交履约保证金为【/】元。</w:t>
      </w:r>
    </w:p>
    <w:p>
      <w:pPr>
        <w:ind w:firstLine="420" w:firstLineChars="200"/>
        <w:rPr>
          <w:rFonts w:ascii="宋体" w:hAnsi="宋体" w:cs="宋体"/>
        </w:rPr>
      </w:pPr>
      <w:r>
        <w:rPr>
          <w:rFonts w:hint="eastAsia" w:ascii="宋体" w:hAnsi="宋体" w:cs="宋体"/>
        </w:rPr>
        <w:t>2.履约保证金用于补偿甲方因乙方不能履行其合同义务而蒙受的损失。</w:t>
      </w:r>
    </w:p>
    <w:p>
      <w:pPr>
        <w:ind w:firstLine="420" w:firstLineChars="200"/>
        <w:rPr>
          <w:rFonts w:ascii="宋体" w:hAnsi="宋体" w:cs="宋体"/>
        </w:rPr>
      </w:pPr>
      <w:r>
        <w:rPr>
          <w:rFonts w:hint="eastAsia" w:ascii="宋体" w:hAnsi="宋体" w:cs="宋体"/>
        </w:rPr>
        <w:t>3.履约保证金有效期限：合同签订之日起至项目通过甲方验收后结束。</w:t>
      </w:r>
    </w:p>
    <w:p>
      <w:pPr>
        <w:ind w:firstLine="420" w:firstLineChars="200"/>
        <w:rPr>
          <w:rFonts w:ascii="宋体" w:hAnsi="宋体" w:cs="宋体"/>
        </w:rPr>
      </w:pPr>
      <w:r>
        <w:rPr>
          <w:rFonts w:hint="eastAsia" w:ascii="宋体" w:hAnsi="宋体" w:cs="宋体"/>
        </w:rPr>
        <w:t>4.履约保证金退还：有效期限满后，按合同约定扣除相关款项（如有）后无息退还。</w:t>
      </w:r>
    </w:p>
    <w:p>
      <w:pPr>
        <w:rPr>
          <w:rFonts w:ascii="宋体" w:hAnsi="宋体" w:cs="宋体"/>
          <w:b/>
          <w:bCs/>
        </w:rPr>
      </w:pPr>
      <w:r>
        <w:rPr>
          <w:rFonts w:hint="eastAsia" w:ascii="宋体" w:hAnsi="宋体" w:cs="宋体"/>
          <w:b/>
          <w:bCs/>
        </w:rPr>
        <w:t>（七）服务要求</w:t>
      </w:r>
    </w:p>
    <w:p>
      <w:pPr>
        <w:ind w:firstLine="420" w:firstLineChars="200"/>
        <w:rPr>
          <w:rFonts w:ascii="宋体" w:hAnsi="宋体" w:cs="宋体"/>
        </w:rPr>
      </w:pPr>
      <w:r>
        <w:rPr>
          <w:rFonts w:hint="eastAsia" w:ascii="宋体" w:hAnsi="宋体" w:cs="宋体"/>
        </w:rPr>
        <w:t>服务期内，乙方应在充分了解甲方现有环境基础上，提供规范化、高质量的服务，具体服务内容与要求详见附件。</w:t>
      </w:r>
    </w:p>
    <w:p>
      <w:pPr>
        <w:ind w:firstLine="420" w:firstLineChars="200"/>
        <w:rPr>
          <w:rFonts w:ascii="宋体" w:hAnsi="宋体" w:cs="宋体"/>
        </w:rPr>
      </w:pPr>
      <w:r>
        <w:rPr>
          <w:rFonts w:hint="eastAsia" w:ascii="宋体" w:hAnsi="宋体" w:cs="宋体"/>
        </w:rPr>
        <w:t>履行期限：</w:t>
      </w:r>
    </w:p>
    <w:p>
      <w:pPr>
        <w:ind w:firstLine="420" w:firstLineChars="200"/>
        <w:rPr>
          <w:rFonts w:ascii="宋体" w:hAnsi="宋体" w:cs="宋体"/>
        </w:rPr>
      </w:pPr>
      <w:r>
        <w:rPr>
          <w:rFonts w:hint="eastAsia" w:ascii="宋体" w:hAnsi="宋体" w:cs="宋体"/>
        </w:rPr>
        <w:t>履行地点：</w:t>
      </w:r>
    </w:p>
    <w:p>
      <w:pPr>
        <w:rPr>
          <w:rFonts w:ascii="宋体" w:hAnsi="宋体" w:cs="宋体"/>
          <w:b/>
          <w:bCs/>
        </w:rPr>
      </w:pPr>
      <w:r>
        <w:rPr>
          <w:rFonts w:hint="eastAsia" w:ascii="宋体" w:hAnsi="宋体" w:cs="宋体"/>
          <w:b/>
          <w:bCs/>
        </w:rPr>
        <w:t>（八）服务人员</w:t>
      </w:r>
    </w:p>
    <w:p>
      <w:pPr>
        <w:ind w:firstLine="420" w:firstLineChars="200"/>
        <w:rPr>
          <w:rFonts w:ascii="宋体" w:hAnsi="宋体" w:cs="宋体"/>
        </w:rPr>
      </w:pPr>
      <w:r>
        <w:rPr>
          <w:rFonts w:hint="eastAsia" w:ascii="宋体" w:hAnsi="宋体" w:cs="宋体"/>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rPr>
          <w:rFonts w:ascii="宋体" w:hAnsi="宋体" w:cs="宋体"/>
        </w:rPr>
      </w:pPr>
      <w:r>
        <w:rPr>
          <w:rFonts w:hint="eastAsia" w:ascii="宋体" w:hAnsi="宋体" w:cs="宋体"/>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rPr>
          <w:rFonts w:ascii="宋体" w:hAnsi="宋体" w:cs="宋体"/>
        </w:rPr>
      </w:pPr>
      <w:r>
        <w:rPr>
          <w:rFonts w:hint="eastAsia" w:ascii="宋体" w:hAnsi="宋体" w:cs="宋体"/>
        </w:rPr>
        <w:t>甲乙双方指定代表，作为履行本合同服务事宜的主要联系人。</w:t>
      </w:r>
    </w:p>
    <w:p>
      <w:pPr>
        <w:ind w:firstLine="420" w:firstLineChars="200"/>
        <w:rPr>
          <w:rFonts w:ascii="宋体" w:hAnsi="宋体" w:cs="宋体"/>
          <w:u w:val="single"/>
        </w:rPr>
      </w:pPr>
      <w:r>
        <w:rPr>
          <w:rFonts w:hint="eastAsia" w:ascii="宋体" w:hAnsi="宋体" w:cs="宋体"/>
        </w:rPr>
        <w:t>甲方代表：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ind w:firstLine="420" w:firstLineChars="200"/>
        <w:rPr>
          <w:rFonts w:ascii="宋体" w:hAnsi="宋体" w:cs="宋体"/>
          <w:u w:val="single"/>
        </w:rPr>
      </w:pPr>
      <w:r>
        <w:rPr>
          <w:rFonts w:hint="eastAsia" w:ascii="宋体" w:hAnsi="宋体" w:cs="宋体"/>
        </w:rPr>
        <w:t>乙方代表：</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pPr>
        <w:rPr>
          <w:rFonts w:ascii="宋体" w:hAnsi="宋体" w:cs="宋体"/>
          <w:b/>
          <w:bCs/>
        </w:rPr>
      </w:pPr>
      <w:r>
        <w:rPr>
          <w:rFonts w:hint="eastAsia" w:ascii="宋体" w:hAnsi="宋体" w:cs="宋体"/>
          <w:b/>
          <w:bCs/>
        </w:rPr>
        <w:t>（九）服务考核</w:t>
      </w:r>
    </w:p>
    <w:p>
      <w:pPr>
        <w:ind w:firstLine="420" w:firstLineChars="200"/>
        <w:rPr>
          <w:rFonts w:ascii="宋体" w:hAnsi="宋体" w:cs="宋体"/>
        </w:rPr>
      </w:pPr>
      <w:r>
        <w:rPr>
          <w:rFonts w:hint="eastAsia" w:ascii="宋体" w:hAnsi="宋体" w:cs="宋体"/>
        </w:rPr>
        <w:t>甲方对乙方服务质量进行客观评估，具体考核办法（如有）作为合同附件。</w:t>
      </w:r>
    </w:p>
    <w:p>
      <w:pPr>
        <w:ind w:firstLine="420" w:firstLineChars="200"/>
        <w:rPr>
          <w:rFonts w:ascii="宋体" w:hAnsi="宋体" w:cs="宋体"/>
        </w:rPr>
      </w:pPr>
      <w:r>
        <w:rPr>
          <w:rFonts w:hint="eastAsia" w:ascii="宋体" w:hAnsi="宋体" w:cs="宋体"/>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rPr>
          <w:rFonts w:ascii="宋体" w:hAnsi="宋体" w:cs="宋体"/>
          <w:b/>
          <w:bCs/>
        </w:rPr>
      </w:pPr>
      <w:r>
        <w:rPr>
          <w:rFonts w:hint="eastAsia" w:ascii="宋体" w:hAnsi="宋体" w:cs="宋体"/>
          <w:b/>
          <w:bCs/>
        </w:rPr>
        <w:t>（十）违约责任</w:t>
      </w:r>
    </w:p>
    <w:p>
      <w:pPr>
        <w:ind w:firstLine="420" w:firstLineChars="200"/>
        <w:rPr>
          <w:rFonts w:ascii="宋体" w:hAnsi="宋体" w:cs="宋体"/>
        </w:rPr>
      </w:pPr>
      <w:r>
        <w:rPr>
          <w:rFonts w:hint="eastAsia" w:ascii="宋体" w:hAnsi="宋体" w:cs="宋体"/>
        </w:rPr>
        <w:t>除合同规定的不可抗力外，如果乙方没有按照合同规定的时间提供服务，甲方可要求乙方支付违约金。违约金按每周合同款的</w:t>
      </w:r>
      <w:r>
        <w:rPr>
          <w:rFonts w:hint="eastAsia" w:ascii="宋体" w:hAnsi="宋体" w:cs="宋体"/>
          <w:u w:val="single"/>
        </w:rPr>
        <w:t xml:space="preserve">     </w:t>
      </w:r>
      <w:r>
        <w:rPr>
          <w:rFonts w:hint="eastAsia" w:ascii="宋体" w:hAnsi="宋体" w:cs="宋体"/>
        </w:rPr>
        <w:t>%计收。但违约金的最高限额为合同价的</w:t>
      </w:r>
      <w:r>
        <w:rPr>
          <w:rFonts w:hint="eastAsia" w:ascii="宋体" w:hAnsi="宋体" w:cs="宋体"/>
          <w:u w:val="single"/>
        </w:rPr>
        <w:t xml:space="preserve">    </w:t>
      </w:r>
      <w:r>
        <w:rPr>
          <w:rFonts w:hint="eastAsia" w:ascii="宋体" w:hAnsi="宋体" w:cs="宋体"/>
        </w:rPr>
        <w:t>%。一周按 7 天计算，不足 7 天按一周计算。如果达到最高限额，甲方有权解除合同。</w:t>
      </w:r>
    </w:p>
    <w:p>
      <w:pPr>
        <w:ind w:firstLine="420" w:firstLineChars="200"/>
        <w:rPr>
          <w:rFonts w:ascii="宋体" w:hAnsi="宋体" w:cs="宋体"/>
        </w:rPr>
      </w:pPr>
      <w:r>
        <w:rPr>
          <w:rFonts w:hint="eastAsia" w:ascii="宋体" w:hAnsi="宋体" w:cs="宋体"/>
        </w:rPr>
        <w:t>项目结束时验收不合格，乙方应在收到甲方通知后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%支付违约金。</w:t>
      </w:r>
    </w:p>
    <w:p>
      <w:pPr>
        <w:ind w:firstLine="420" w:firstLineChars="200"/>
        <w:rPr>
          <w:rFonts w:ascii="宋体" w:hAnsi="宋体" w:cs="宋体"/>
        </w:rPr>
      </w:pPr>
      <w:r>
        <w:rPr>
          <w:rFonts w:hint="eastAsia" w:ascii="宋体" w:hAnsi="宋体" w:cs="宋体"/>
        </w:rPr>
        <w:t>其他违约条款双方协商确定：</w:t>
      </w:r>
      <w:r>
        <w:rPr>
          <w:rFonts w:hint="eastAsia" w:ascii="宋体" w:hAnsi="宋体" w:cs="宋体"/>
          <w:u w:val="single"/>
        </w:rPr>
        <w:t xml:space="preserve">                             。</w:t>
      </w:r>
    </w:p>
    <w:p>
      <w:pPr>
        <w:rPr>
          <w:rFonts w:ascii="宋体" w:hAnsi="宋体" w:cs="宋体"/>
          <w:b/>
          <w:bCs/>
        </w:rPr>
      </w:pPr>
      <w:r>
        <w:rPr>
          <w:rFonts w:hint="eastAsia" w:ascii="宋体" w:hAnsi="宋体" w:cs="宋体"/>
          <w:b/>
          <w:bCs/>
        </w:rPr>
        <w:t>（十一）解决争议的方法</w:t>
      </w:r>
    </w:p>
    <w:p>
      <w:pPr>
        <w:ind w:firstLine="420" w:firstLineChars="200"/>
        <w:rPr>
          <w:rFonts w:ascii="宋体" w:hAnsi="宋体" w:cs="宋体"/>
          <w:u w:val="none"/>
        </w:rPr>
      </w:pPr>
      <w:r>
        <w:rPr>
          <w:rFonts w:hint="eastAsia" w:ascii="宋体" w:hAnsi="宋体" w:cs="宋体"/>
        </w:rPr>
        <w:t>因合同履行中发生的争议，可通过合同当事人双方友好协商解决。如自协商开始之起 15 日内得不到解决，双方应将争议提交政府采购监管部门调解。调解不成的</w:t>
      </w:r>
      <w:r>
        <w:rPr>
          <w:rFonts w:hint="eastAsia" w:ascii="宋体" w:hAnsi="宋体" w:cs="宋体"/>
          <w:u w:val="none"/>
        </w:rPr>
        <w:t>，可向绍兴市仲裁委员会申请仲裁。</w:t>
      </w:r>
    </w:p>
    <w:p>
      <w:pPr>
        <w:rPr>
          <w:rFonts w:ascii="宋体" w:hAnsi="宋体" w:cs="宋体"/>
          <w:b/>
          <w:bCs/>
        </w:rPr>
      </w:pPr>
      <w:r>
        <w:rPr>
          <w:rFonts w:hint="eastAsia" w:ascii="宋体" w:hAnsi="宋体" w:cs="宋体"/>
          <w:b/>
          <w:bCs/>
        </w:rPr>
        <w:t>（十二）违约解除合同</w:t>
      </w:r>
    </w:p>
    <w:p>
      <w:pPr>
        <w:ind w:firstLine="420" w:firstLineChars="200"/>
        <w:rPr>
          <w:rFonts w:ascii="宋体" w:hAnsi="宋体" w:cs="宋体"/>
        </w:rPr>
      </w:pPr>
      <w:r>
        <w:rPr>
          <w:rFonts w:hint="eastAsia" w:ascii="宋体" w:hAnsi="宋体" w:cs="宋体"/>
        </w:rPr>
        <w:t>1.在乙方违约的情况下，甲方可向乙方发出书面通知，部分或全部终止合同,同时保留向乙方追诉的权利：</w:t>
      </w:r>
    </w:p>
    <w:p>
      <w:pPr>
        <w:ind w:firstLine="420" w:firstLineChars="200"/>
        <w:rPr>
          <w:rFonts w:ascii="宋体" w:hAnsi="宋体" w:cs="宋体"/>
        </w:rPr>
      </w:pPr>
      <w:r>
        <w:rPr>
          <w:rFonts w:hint="eastAsia" w:ascii="宋体" w:hAnsi="宋体" w:cs="宋体"/>
        </w:rPr>
        <w:t>乙方未能在合同规定的限期或甲方同意延长的限期内，提供全部或部分标的物的；</w:t>
      </w:r>
    </w:p>
    <w:p>
      <w:pPr>
        <w:ind w:firstLine="420" w:firstLineChars="200"/>
        <w:rPr>
          <w:rFonts w:ascii="宋体" w:hAnsi="宋体" w:cs="宋体"/>
        </w:rPr>
      </w:pPr>
      <w:r>
        <w:rPr>
          <w:rFonts w:hint="eastAsia" w:ascii="宋体" w:hAnsi="宋体" w:cs="宋体"/>
        </w:rPr>
        <w:t>乙方未能履行合同规定的其它主要义务的；</w:t>
      </w:r>
    </w:p>
    <w:p>
      <w:pPr>
        <w:ind w:firstLine="420" w:firstLineChars="200"/>
        <w:rPr>
          <w:rFonts w:ascii="宋体" w:hAnsi="宋体" w:cs="宋体"/>
        </w:rPr>
      </w:pPr>
      <w:r>
        <w:rPr>
          <w:rFonts w:hint="eastAsia" w:ascii="宋体" w:hAnsi="宋体" w:cs="宋体"/>
        </w:rPr>
        <w:t>甲方认为乙方在本合同履行过程中有腐败和欺诈等行为的。</w:t>
      </w:r>
    </w:p>
    <w:p>
      <w:pPr>
        <w:ind w:firstLine="420" w:firstLineChars="200"/>
        <w:rPr>
          <w:rFonts w:ascii="宋体" w:hAnsi="宋体" w:cs="宋体"/>
        </w:rPr>
      </w:pPr>
      <w:r>
        <w:rPr>
          <w:rFonts w:hint="eastAsia" w:ascii="宋体" w:hAnsi="宋体" w:cs="宋体"/>
        </w:rPr>
        <w:t>2.甲方解除合同的，合同于甲方发出书面解除合同通知书送达乙方之日起解除。乙方应在合同解除后</w:t>
      </w:r>
      <w:r>
        <w:rPr>
          <w:rFonts w:hint="eastAsia" w:ascii="宋体" w:hAnsi="宋体" w:cs="宋体"/>
          <w:u w:val="single"/>
        </w:rPr>
        <w:t xml:space="preserve"> 7 </w:t>
      </w:r>
      <w:r>
        <w:rPr>
          <w:rFonts w:hint="eastAsia" w:ascii="宋体" w:hAnsi="宋体" w:cs="宋体"/>
        </w:rPr>
        <w:t>日内退还甲方已支付的合同款，逾期退还合同款的，每日按未退还金额的</w:t>
      </w:r>
      <w:r>
        <w:rPr>
          <w:rFonts w:hint="eastAsia" w:ascii="宋体" w:hAnsi="宋体" w:cs="宋体"/>
          <w:u w:val="single"/>
        </w:rPr>
        <w:t xml:space="preserve">    </w:t>
      </w:r>
      <w:r>
        <w:rPr>
          <w:rFonts w:hint="eastAsia" w:ascii="宋体" w:hAnsi="宋体" w:cs="宋体"/>
        </w:rPr>
        <w:t xml:space="preserve"> %支付违约金。</w:t>
      </w:r>
    </w:p>
    <w:p>
      <w:pPr>
        <w:rPr>
          <w:rFonts w:ascii="宋体" w:hAnsi="宋体" w:cs="宋体"/>
          <w:b/>
          <w:bCs/>
        </w:rPr>
      </w:pPr>
      <w:r>
        <w:rPr>
          <w:rFonts w:hint="eastAsia" w:ascii="宋体" w:hAnsi="宋体" w:cs="宋体"/>
          <w:b/>
          <w:bCs/>
        </w:rPr>
        <w:t>（十三）破产终止合同</w:t>
      </w:r>
    </w:p>
    <w:p>
      <w:pPr>
        <w:ind w:firstLine="420" w:firstLineChars="200"/>
        <w:rPr>
          <w:rFonts w:ascii="宋体" w:hAnsi="宋体" w:cs="宋体"/>
        </w:rPr>
      </w:pPr>
      <w:r>
        <w:rPr>
          <w:rFonts w:hint="eastAsia" w:ascii="宋体" w:hAnsi="宋体" w:cs="宋体"/>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rFonts w:ascii="宋体" w:hAnsi="宋体" w:cs="宋体"/>
          <w:b/>
          <w:bCs/>
        </w:rPr>
      </w:pPr>
      <w:r>
        <w:rPr>
          <w:rFonts w:hint="eastAsia" w:ascii="宋体" w:hAnsi="宋体" w:cs="宋体"/>
          <w:b/>
          <w:bCs/>
        </w:rPr>
        <w:t>（十四）转让和分包</w:t>
      </w:r>
    </w:p>
    <w:p>
      <w:pPr>
        <w:ind w:firstLine="420" w:firstLineChars="200"/>
        <w:rPr>
          <w:rFonts w:ascii="宋体" w:hAnsi="宋体" w:cs="宋体"/>
        </w:rPr>
      </w:pPr>
      <w:r>
        <w:rPr>
          <w:rFonts w:hint="eastAsia" w:ascii="宋体" w:hAnsi="宋体" w:cs="宋体"/>
        </w:rPr>
        <w:t>1.政府采购合同不能转让。</w:t>
      </w:r>
    </w:p>
    <w:p>
      <w:pPr>
        <w:ind w:firstLine="420" w:firstLineChars="200"/>
        <w:rPr>
          <w:rFonts w:ascii="宋体" w:hAnsi="宋体" w:cs="宋体"/>
        </w:rPr>
      </w:pPr>
      <w:r>
        <w:rPr>
          <w:rFonts w:hint="eastAsia" w:ascii="宋体" w:hAnsi="宋体" w:cs="宋体"/>
        </w:rPr>
        <w:t>2.本项目内容</w:t>
      </w:r>
      <w:r>
        <w:rPr>
          <w:rFonts w:hint="eastAsia" w:ascii="宋体" w:hAnsi="宋体" w:cs="宋体"/>
          <w:u w:val="single"/>
        </w:rPr>
        <w:t>不</w:t>
      </w:r>
      <w:r>
        <w:rPr>
          <w:rFonts w:hint="eastAsia" w:ascii="宋体" w:hAnsi="宋体" w:cs="宋体"/>
        </w:rPr>
        <w:t>允许分包（按照招标文件要求）。</w:t>
      </w:r>
    </w:p>
    <w:p>
      <w:pPr>
        <w:rPr>
          <w:rFonts w:ascii="宋体" w:hAnsi="宋体" w:cs="宋体"/>
          <w:b/>
          <w:bCs/>
        </w:rPr>
      </w:pPr>
      <w:r>
        <w:rPr>
          <w:rFonts w:hint="eastAsia" w:ascii="宋体" w:hAnsi="宋体" w:cs="宋体"/>
          <w:b/>
          <w:bCs/>
        </w:rPr>
        <w:t>（十五）合同变更、解除</w:t>
      </w:r>
    </w:p>
    <w:p>
      <w:pPr>
        <w:ind w:firstLine="420" w:firstLineChars="200"/>
        <w:rPr>
          <w:rFonts w:ascii="宋体" w:hAnsi="宋体" w:cs="宋体"/>
        </w:rPr>
      </w:pPr>
      <w:r>
        <w:rPr>
          <w:rFonts w:hint="eastAsia" w:ascii="宋体" w:hAnsi="宋体" w:cs="宋体"/>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rPr>
          <w:rFonts w:ascii="宋体" w:hAnsi="宋体" w:cs="宋体"/>
          <w:b/>
          <w:bCs/>
        </w:rPr>
      </w:pPr>
      <w:r>
        <w:rPr>
          <w:rFonts w:hint="eastAsia" w:ascii="宋体" w:hAnsi="宋体" w:cs="宋体"/>
          <w:b/>
          <w:bCs/>
        </w:rPr>
        <w:t>（十六）通知</w:t>
      </w:r>
    </w:p>
    <w:p>
      <w:pPr>
        <w:ind w:firstLine="420" w:firstLineChars="200"/>
        <w:rPr>
          <w:rFonts w:ascii="宋体" w:hAnsi="宋体" w:cs="宋体"/>
        </w:rPr>
      </w:pPr>
      <w:r>
        <w:rPr>
          <w:rFonts w:hint="eastAsia" w:ascii="宋体" w:hAnsi="宋体" w:cs="宋体"/>
        </w:rPr>
        <w:t>本合同任何一方给另一方的通知，都应以书面形式发送，而另一方也应以书面形式确认并发送到对方明确的地址。</w:t>
      </w:r>
    </w:p>
    <w:p>
      <w:pPr>
        <w:rPr>
          <w:rFonts w:ascii="宋体" w:hAnsi="宋体" w:cs="宋体"/>
          <w:b/>
          <w:bCs/>
        </w:rPr>
      </w:pPr>
      <w:r>
        <w:rPr>
          <w:rFonts w:hint="eastAsia" w:ascii="宋体" w:hAnsi="宋体" w:cs="宋体"/>
          <w:b/>
          <w:bCs/>
        </w:rPr>
        <w:t>（十七）计量单位</w:t>
      </w:r>
    </w:p>
    <w:p>
      <w:pPr>
        <w:ind w:firstLine="420" w:firstLineChars="200"/>
        <w:rPr>
          <w:rFonts w:ascii="宋体" w:hAnsi="宋体" w:cs="宋体"/>
        </w:rPr>
      </w:pPr>
      <w:r>
        <w:rPr>
          <w:rFonts w:hint="eastAsia" w:ascii="宋体" w:hAnsi="宋体" w:cs="宋体"/>
        </w:rPr>
        <w:t>除技术规范中另有规定外，计量单位均使用国家法定计量单位。</w:t>
      </w:r>
    </w:p>
    <w:p>
      <w:pPr>
        <w:rPr>
          <w:rFonts w:ascii="宋体" w:hAnsi="宋体" w:cs="宋体"/>
          <w:b/>
          <w:bCs/>
        </w:rPr>
      </w:pPr>
      <w:r>
        <w:rPr>
          <w:rFonts w:hint="eastAsia" w:ascii="宋体" w:hAnsi="宋体" w:cs="宋体"/>
          <w:b/>
          <w:bCs/>
        </w:rPr>
        <w:t>（十八）不可抗力</w:t>
      </w:r>
    </w:p>
    <w:p>
      <w:pPr>
        <w:ind w:firstLine="420" w:firstLineChars="200"/>
        <w:rPr>
          <w:rFonts w:ascii="宋体" w:hAnsi="宋体" w:cs="宋体"/>
        </w:rPr>
      </w:pPr>
      <w:r>
        <w:rPr>
          <w:rFonts w:hint="eastAsia" w:ascii="宋体" w:hAnsi="宋体" w:cs="宋体"/>
        </w:rPr>
        <w:t>1.如果双方中任何一方遭遇法律规定的不可抗力，致使合同履行受阻时，履行合同的期限应予延长，延长的期限应相当于不可抗力所影响的时间。</w:t>
      </w:r>
    </w:p>
    <w:p>
      <w:pPr>
        <w:ind w:firstLine="420" w:firstLineChars="200"/>
        <w:rPr>
          <w:rFonts w:ascii="宋体" w:hAnsi="宋体" w:cs="宋体"/>
        </w:rPr>
      </w:pPr>
      <w:r>
        <w:rPr>
          <w:rFonts w:hint="eastAsia" w:ascii="宋体" w:hAnsi="宋体" w:cs="宋体"/>
        </w:rPr>
        <w:t>2.受事故影响的一方应在不可抗力的事故发生后尽快书面形式通知另一方，并在事故发生后合同规定时间内，将有关部门出具的证明文件送达另一方。</w:t>
      </w:r>
    </w:p>
    <w:p>
      <w:pPr>
        <w:ind w:firstLine="420" w:firstLineChars="200"/>
        <w:rPr>
          <w:rFonts w:ascii="宋体" w:hAnsi="宋体" w:cs="宋体"/>
        </w:rPr>
      </w:pPr>
      <w:r>
        <w:rPr>
          <w:rFonts w:hint="eastAsia" w:ascii="宋体" w:hAnsi="宋体" w:cs="宋体"/>
        </w:rPr>
        <w:t>3.不可抗力使合同的某些内容有变更必要的，双方应通过协商达成进一步履行合同的协议，因不可抗力致使合同不能履行的，合同终止。</w:t>
      </w:r>
    </w:p>
    <w:p>
      <w:pPr>
        <w:rPr>
          <w:rFonts w:ascii="宋体" w:hAnsi="宋体" w:cs="宋体"/>
          <w:b/>
          <w:bCs/>
        </w:rPr>
      </w:pPr>
      <w:r>
        <w:rPr>
          <w:rFonts w:hint="eastAsia" w:ascii="宋体" w:hAnsi="宋体" w:cs="宋体"/>
          <w:b/>
          <w:bCs/>
        </w:rPr>
        <w:t>（十九）合同解释</w:t>
      </w:r>
    </w:p>
    <w:p>
      <w:pPr>
        <w:ind w:firstLine="420" w:firstLineChars="200"/>
        <w:rPr>
          <w:rFonts w:ascii="宋体" w:hAnsi="宋体" w:cs="宋体"/>
        </w:rPr>
      </w:pPr>
      <w:r>
        <w:rPr>
          <w:rFonts w:hint="eastAsia" w:ascii="宋体" w:hAnsi="宋体" w:cs="宋体"/>
        </w:rPr>
        <w:t>本合同应按照《中华人民共和国政府采购法》、《中华人民共和国民法典》、《浙江省政府采购合同暂行办法》等进行解释。</w:t>
      </w:r>
    </w:p>
    <w:p>
      <w:pPr>
        <w:rPr>
          <w:rFonts w:ascii="宋体" w:hAnsi="宋体" w:cs="宋体"/>
        </w:rPr>
      </w:pPr>
      <w:r>
        <w:rPr>
          <w:rFonts w:hint="eastAsia" w:ascii="宋体" w:hAnsi="宋体" w:cs="宋体"/>
          <w:b/>
          <w:bCs/>
        </w:rPr>
        <w:t>（二十）合同的生效及其他</w:t>
      </w:r>
    </w:p>
    <w:p>
      <w:pPr>
        <w:ind w:firstLine="420" w:firstLineChars="200"/>
        <w:rPr>
          <w:rFonts w:ascii="宋体" w:hAnsi="宋体" w:cs="宋体"/>
        </w:rPr>
      </w:pPr>
      <w:r>
        <w:rPr>
          <w:rFonts w:hint="eastAsia" w:ascii="宋体" w:hAnsi="宋体" w:cs="宋体"/>
        </w:rPr>
        <w:t>政府采购项目的采购合同内容的确定应以招标文件和投标文件为基础，不得违背其实质性内容。</w:t>
      </w:r>
    </w:p>
    <w:p>
      <w:pPr>
        <w:rPr>
          <w:rFonts w:ascii="宋体" w:hAnsi="宋体" w:cs="宋体"/>
        </w:rPr>
      </w:pPr>
      <w:r>
        <w:rPr>
          <w:rFonts w:hint="eastAsia" w:ascii="宋体" w:hAnsi="宋体" w:cs="宋体"/>
        </w:rPr>
        <w:t>合同将在双方签字盖章后开始生效。授权代表签署的应附法定代表人授权书。</w:t>
      </w:r>
    </w:p>
    <w:p>
      <w:pPr>
        <w:rPr>
          <w:rFonts w:ascii="宋体" w:hAnsi="宋体" w:cs="宋体"/>
          <w:b/>
          <w:bCs/>
        </w:rPr>
      </w:pPr>
      <w:r>
        <w:rPr>
          <w:rFonts w:hint="eastAsia" w:ascii="宋体" w:hAnsi="宋体" w:cs="宋体"/>
          <w:b/>
          <w:bCs/>
        </w:rPr>
        <w:t>（二十一）合同附件（如有）</w:t>
      </w:r>
    </w:p>
    <w:p>
      <w:pPr>
        <w:rPr>
          <w:rFonts w:ascii="宋体" w:hAnsi="宋体" w:cs="宋体"/>
          <w:b/>
          <w:bCs/>
        </w:rPr>
      </w:pPr>
      <w:r>
        <w:rPr>
          <w:rFonts w:hint="eastAsia" w:ascii="宋体" w:hAnsi="宋体" w:cs="宋体"/>
          <w:b/>
          <w:bCs/>
        </w:rPr>
        <w:t>（二十二）合同份数</w:t>
      </w:r>
    </w:p>
    <w:p>
      <w:pPr>
        <w:rPr>
          <w:rFonts w:ascii="宋体" w:hAnsi="宋体" w:cs="宋体"/>
        </w:rPr>
      </w:pPr>
      <w:r>
        <w:rPr>
          <w:rFonts w:hint="eastAsia" w:ascii="宋体" w:hAnsi="宋体" w:cs="宋体"/>
        </w:rPr>
        <w:t>本合同一式</w:t>
      </w:r>
      <w:r>
        <w:rPr>
          <w:rFonts w:hint="eastAsia" w:ascii="宋体" w:hAnsi="宋体" w:cs="宋体"/>
          <w:u w:val="single"/>
        </w:rPr>
        <w:t>五</w:t>
      </w:r>
      <w:r>
        <w:rPr>
          <w:rFonts w:hint="eastAsia" w:ascii="宋体" w:hAnsi="宋体" w:cs="宋体"/>
        </w:rPr>
        <w:t>份，具同等法律效力。</w:t>
      </w:r>
    </w:p>
    <w:tbl>
      <w:tblPr>
        <w:tblStyle w:val="65"/>
        <w:tblW w:w="8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rPr>
                <w:rFonts w:ascii="宋体" w:hAnsi="宋体" w:cs="宋体"/>
              </w:rPr>
            </w:pPr>
            <w:r>
              <w:rPr>
                <w:rFonts w:hint="eastAsia" w:ascii="宋体" w:hAnsi="宋体" w:cs="宋体"/>
              </w:rPr>
              <w:t>甲方</w:t>
            </w:r>
          </w:p>
        </w:tc>
        <w:tc>
          <w:tcPr>
            <w:tcW w:w="4234" w:type="dxa"/>
            <w:vAlign w:val="center"/>
          </w:tcPr>
          <w:p>
            <w:pPr>
              <w:jc w:val="center"/>
              <w:rPr>
                <w:rFonts w:ascii="宋体" w:hAnsi="宋体" w:cs="宋体"/>
              </w:rPr>
            </w:pPr>
            <w:r>
              <w:rPr>
                <w:rFonts w:hint="eastAsia" w:ascii="宋体" w:hAnsi="宋体" w:cs="宋体"/>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c>
          <w:tcPr>
            <w:tcW w:w="4234" w:type="dxa"/>
          </w:tcPr>
          <w:p>
            <w:pPr>
              <w:rPr>
                <w:rFonts w:ascii="宋体" w:hAnsi="宋体" w:cs="宋体"/>
              </w:rPr>
            </w:pPr>
            <w:r>
              <w:rPr>
                <w:rFonts w:hint="eastAsia" w:ascii="宋体" w:hAnsi="宋体" w:cs="宋体"/>
              </w:rPr>
              <w:t>单位名称（盖章）</w:t>
            </w:r>
          </w:p>
          <w:p>
            <w:pPr>
              <w:rPr>
                <w:rFonts w:ascii="宋体" w:hAnsi="宋体" w:cs="宋体"/>
              </w:rPr>
            </w:pPr>
            <w:r>
              <w:rPr>
                <w:rFonts w:hint="eastAsia" w:ascii="宋体" w:hAnsi="宋体" w:cs="宋体"/>
              </w:rPr>
              <w:t>单位地址：</w:t>
            </w:r>
          </w:p>
          <w:p>
            <w:pPr>
              <w:rPr>
                <w:rFonts w:ascii="宋体" w:hAnsi="宋体" w:cs="宋体"/>
              </w:rPr>
            </w:pPr>
            <w:r>
              <w:rPr>
                <w:rFonts w:hint="eastAsia" w:ascii="宋体" w:hAnsi="宋体" w:cs="宋体"/>
              </w:rPr>
              <w:t>法定代表人：</w:t>
            </w:r>
          </w:p>
          <w:p>
            <w:pPr>
              <w:rPr>
                <w:rFonts w:ascii="宋体" w:hAnsi="宋体" w:cs="宋体"/>
              </w:rPr>
            </w:pPr>
            <w:r>
              <w:rPr>
                <w:rFonts w:hint="eastAsia" w:ascii="宋体" w:hAnsi="宋体" w:cs="宋体"/>
              </w:rPr>
              <w:t>委托代理人：</w:t>
            </w:r>
          </w:p>
          <w:p>
            <w:pPr>
              <w:rPr>
                <w:rFonts w:ascii="宋体" w:hAnsi="宋体" w:cs="宋体"/>
              </w:rPr>
            </w:pPr>
            <w:r>
              <w:rPr>
                <w:rFonts w:hint="eastAsia" w:ascii="宋体" w:hAnsi="宋体" w:cs="宋体"/>
              </w:rPr>
              <w:t>联系电话：</w:t>
            </w:r>
          </w:p>
          <w:p>
            <w:pPr>
              <w:rPr>
                <w:rFonts w:ascii="宋体" w:hAnsi="宋体" w:cs="宋体"/>
              </w:rPr>
            </w:pPr>
            <w:r>
              <w:rPr>
                <w:rFonts w:hint="eastAsia" w:ascii="宋体" w:hAnsi="宋体" w:cs="宋体"/>
              </w:rPr>
              <w:t>传真号码：</w:t>
            </w:r>
          </w:p>
          <w:p>
            <w:pPr>
              <w:rPr>
                <w:rFonts w:ascii="宋体" w:hAnsi="宋体" w:cs="宋体"/>
              </w:rPr>
            </w:pPr>
            <w:r>
              <w:rPr>
                <w:rFonts w:hint="eastAsia" w:ascii="宋体" w:hAnsi="宋体" w:cs="宋体"/>
              </w:rPr>
              <w:t>邮政编码：</w:t>
            </w:r>
          </w:p>
          <w:p>
            <w:pPr>
              <w:rPr>
                <w:rFonts w:ascii="宋体" w:hAnsi="宋体" w:cs="宋体"/>
              </w:rPr>
            </w:pPr>
            <w:r>
              <w:rPr>
                <w:rFonts w:hint="eastAsia" w:ascii="宋体" w:hAnsi="宋体" w:cs="宋体"/>
              </w:rPr>
              <w:t>开户银行：</w:t>
            </w:r>
          </w:p>
          <w:p>
            <w:pPr>
              <w:rPr>
                <w:rFonts w:ascii="宋体" w:hAnsi="宋体" w:cs="宋体"/>
              </w:rPr>
            </w:pPr>
            <w:r>
              <w:rPr>
                <w:rFonts w:hint="eastAsia" w:ascii="宋体" w:hAnsi="宋体" w:cs="宋体"/>
              </w:rPr>
              <w:t>账    号：</w:t>
            </w:r>
          </w:p>
          <w:p>
            <w:pPr>
              <w:rPr>
                <w:rFonts w:ascii="宋体" w:hAnsi="宋体" w:cs="宋体"/>
              </w:rPr>
            </w:pPr>
            <w:r>
              <w:rPr>
                <w:rFonts w:hint="eastAsia" w:ascii="宋体" w:hAnsi="宋体" w:cs="宋体"/>
              </w:rPr>
              <w:t>税    号：</w:t>
            </w:r>
          </w:p>
          <w:p>
            <w:pPr>
              <w:rPr>
                <w:rFonts w:ascii="宋体" w:hAnsi="宋体" w:cs="宋体"/>
              </w:rPr>
            </w:pPr>
            <w:r>
              <w:rPr>
                <w:rFonts w:hint="eastAsia" w:ascii="宋体" w:hAnsi="宋体" w:cs="宋体"/>
              </w:rPr>
              <w:t>签订时间：</w:t>
            </w:r>
          </w:p>
        </w:tc>
      </w:tr>
    </w:tbl>
    <w:p>
      <w:pPr>
        <w:rPr>
          <w:rFonts w:ascii="宋体" w:hAnsi="宋体" w:cs="宋体"/>
        </w:rPr>
      </w:pPr>
    </w:p>
    <w:p>
      <w:pPr>
        <w:rPr>
          <w:rFonts w:ascii="宋体" w:hAnsi="宋体" w:cs="宋体"/>
        </w:rPr>
      </w:pPr>
    </w:p>
    <w:p>
      <w:pPr>
        <w:ind w:firstLine="422" w:firstLineChars="200"/>
        <w:rPr>
          <w:rFonts w:ascii="宋体" w:hAnsi="宋体" w:cs="宋体"/>
          <w:b/>
          <w:color w:val="FF0000"/>
        </w:rPr>
      </w:pPr>
      <w:r>
        <w:rPr>
          <w:rFonts w:hint="eastAsia" w:ascii="宋体" w:hAnsi="宋体" w:cs="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宋体" w:hAnsi="宋体" w:cs="宋体"/>
          <w:sz w:val="24"/>
        </w:rPr>
      </w:pPr>
    </w:p>
    <w:p>
      <w:pPr>
        <w:pStyle w:val="3"/>
        <w:rPr>
          <w:rFonts w:ascii="宋体" w:hAnsi="宋体" w:eastAsia="宋体" w:cs="宋体"/>
          <w:lang w:val="en-US"/>
        </w:rPr>
      </w:pPr>
    </w:p>
    <w:p>
      <w:pPr>
        <w:rPr>
          <w:rFonts w:ascii="宋体" w:hAnsi="宋体" w:cs="宋体"/>
        </w:rPr>
      </w:pPr>
    </w:p>
    <w:p>
      <w:pPr>
        <w:spacing w:line="360" w:lineRule="auto"/>
        <w:outlineLvl w:val="0"/>
        <w:rPr>
          <w:rFonts w:hint="eastAsia" w:ascii="宋体" w:hAnsi="宋体" w:cs="宋体"/>
          <w:b/>
          <w:sz w:val="36"/>
          <w:szCs w:val="20"/>
        </w:rPr>
      </w:pPr>
    </w:p>
    <w:p>
      <w:pPr>
        <w:spacing w:line="360" w:lineRule="auto"/>
        <w:ind w:left="720" w:firstLine="723" w:firstLineChars="200"/>
        <w:outlineLvl w:val="0"/>
        <w:rPr>
          <w:rFonts w:hint="eastAsia"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 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符合参加政府采购活动应当具备的一般条件的承诺函……………（页码）</w:t>
      </w:r>
    </w:p>
    <w:p>
      <w:pPr>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hint="eastAsia" w:ascii="宋体" w:hAnsi="宋体" w:cs="宋体"/>
          <w:sz w:val="24"/>
        </w:rPr>
      </w:pPr>
      <w:r>
        <w:rPr>
          <w:rFonts w:hint="eastAsia" w:ascii="宋体" w:hAnsi="宋体" w:cs="宋体"/>
          <w:sz w:val="24"/>
        </w:rPr>
        <w:t>落实政府采购政策需满足的资格要求（如需）……………………（页码）</w:t>
      </w:r>
    </w:p>
    <w:p>
      <w:pPr>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ascii="仿宋_GB2312" w:hAnsi="仿宋" w:eastAsia="仿宋_GB2312" w:cs="仿宋_GB2312"/>
          <w:sz w:val="24"/>
        </w:rPr>
      </w:pPr>
      <w:r>
        <w:rPr>
          <w:rFonts w:hint="eastAsia" w:ascii="宋体" w:hAnsi="宋体" w:cs="宋体"/>
          <w:sz w:val="24"/>
        </w:rPr>
        <w:t>本项目的特定资格要求（如需）……………………………………（页码）</w:t>
      </w: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（一）具备《中华人民共和国政府采购法》第二十二条规定的以下条件：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宋体" w:hAnsi="宋体" w:cs="宋体"/>
          <w:b w:val="0"/>
          <w:bCs/>
          <w:sz w:val="24"/>
        </w:rPr>
      </w:pPr>
      <w:r>
        <w:rPr>
          <w:rFonts w:hint="eastAsia" w:ascii="宋体" w:hAnsi="宋体" w:cs="宋体"/>
          <w:b w:val="0"/>
          <w:bCs/>
          <w:sz w:val="24"/>
        </w:rPr>
        <w:t xml:space="preserve"> </w:t>
      </w: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sz w:val="24"/>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rPr>
          <w:rFonts w:ascii="宋体" w:hAnsi="宋体" w:eastAsia="宋体" w:cs="宋体"/>
          <w:lang w:val="en-US"/>
        </w:rPr>
      </w:pPr>
    </w:p>
    <w:p>
      <w:pPr>
        <w:rPr>
          <w:rFonts w:ascii="宋体" w:hAnsi="宋体" w:cs="宋体"/>
        </w:rPr>
      </w:pPr>
    </w:p>
    <w:p>
      <w:pPr>
        <w:pStyle w:val="3"/>
        <w:ind w:left="0" w:firstLine="0"/>
        <w:rPr>
          <w:rFonts w:ascii="宋体" w:hAnsi="宋体" w:eastAsia="宋体" w:cs="宋体"/>
          <w:lang w:val="en-US"/>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（4）评标标准相应的商务技术资料（如需）</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rPr>
          <w:rFonts w:hint="eastAsia" w:ascii="宋体" w:hAnsi="宋体" w:cs="宋体"/>
          <w:b/>
          <w:kern w:val="0"/>
          <w:sz w:val="32"/>
          <w:szCs w:val="32"/>
          <w:lang w:val="zh-CN"/>
        </w:rPr>
      </w:pPr>
      <w:r>
        <w:rPr>
          <w:rFonts w:hint="eastAsia" w:ascii="宋体" w:hAnsi="宋体" w:cs="宋体"/>
          <w:sz w:val="24"/>
        </w:rPr>
        <w:t>投标人名称（电子签名）：                           日期：  年   月   日</w:t>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8"/>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Ansi="宋体" w:cs="宋体"/>
                <w:bCs/>
                <w:sz w:val="24"/>
              </w:rPr>
            </w:pPr>
            <w:r>
              <w:rPr>
                <w:rFonts w:hint="eastAsia" w:hAnsi="宋体" w:cs="宋体"/>
                <w:bCs/>
                <w:sz w:val="24"/>
              </w:rPr>
              <w:t>正面：                                 反面：</w:t>
            </w:r>
          </w:p>
          <w:p>
            <w:pPr>
              <w:pStyle w:val="17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714"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3714"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714" w:type="dxa"/>
            <w:vAlign w:val="center"/>
          </w:tcPr>
          <w:p>
            <w:pPr>
              <w:spacing w:line="360" w:lineRule="auto"/>
              <w:rPr>
                <w:rFonts w:ascii="宋体" w:hAnsi="宋体" w:cs="宋体"/>
                <w:sz w:val="24"/>
              </w:rPr>
            </w:pPr>
            <w:r>
              <w:rPr>
                <w:rFonts w:hint="eastAsia" w:ascii="宋体" w:hAnsi="宋体" w:cs="宋体"/>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ascii="宋体" w:hAnsi="宋体" w:cs="宋体"/>
                <w:sz w:val="24"/>
              </w:rPr>
            </w:pPr>
            <w:r>
              <w:rPr>
                <w:rFonts w:hint="eastAsia" w:ascii="宋体" w:hAnsi="宋体" w:cs="宋体"/>
                <w:sz w:val="24"/>
              </w:rPr>
              <w:t>4</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3714" w:type="dxa"/>
            <w:vAlign w:val="center"/>
          </w:tcPr>
          <w:p>
            <w:pPr>
              <w:spacing w:line="360" w:lineRule="auto"/>
              <w:rPr>
                <w:rFonts w:ascii="宋体" w:hAnsi="宋体" w:cs="宋体"/>
                <w:sz w:val="24"/>
              </w:rPr>
            </w:pPr>
            <w:r>
              <w:rPr>
                <w:rFonts w:hint="eastAsia" w:ascii="宋体" w:hAnsi="宋体" w:cs="宋体"/>
                <w:sz w:val="24"/>
              </w:rPr>
              <w:t>招标文件其它实质性要求相应的材料（“★” 系指实质性要求条款，招标文件无其它实质性要求的，无需提供）</w:t>
            </w:r>
          </w:p>
        </w:tc>
      </w:tr>
    </w:tbl>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kern w:val="0"/>
        </w:rPr>
      </w:pPr>
    </w:p>
    <w:p>
      <w:pPr>
        <w:rPr>
          <w:rFonts w:ascii="宋体" w:hAnsi="宋体" w:cs="宋体"/>
          <w:b/>
          <w:kern w:val="0"/>
          <w:sz w:val="32"/>
          <w:szCs w:val="32"/>
        </w:rPr>
      </w:pPr>
    </w:p>
    <w:p>
      <w:pPr>
        <w:pStyle w:val="3"/>
        <w:rPr>
          <w:rFonts w:ascii="宋体" w:hAnsi="宋体" w:eastAsia="宋体" w:cs="宋体"/>
          <w:kern w:val="0"/>
        </w:rPr>
      </w:pPr>
    </w:p>
    <w:p>
      <w:pPr>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3"/>
        <w:rPr>
          <w:rFonts w:ascii="宋体" w:hAnsi="宋体" w:eastAsia="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五、商务技术偏离表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289" w:type="dxa"/>
          </w:tcPr>
          <w:p>
            <w:pPr>
              <w:jc w:val="center"/>
              <w:rPr>
                <w:rFonts w:ascii="宋体" w:hAnsi="宋体" w:cs="宋体"/>
                <w:b/>
                <w:bCs/>
                <w:sz w:val="24"/>
              </w:rPr>
            </w:pPr>
            <w:r>
              <w:rPr>
                <w:rFonts w:hint="eastAsia" w:ascii="宋体" w:hAnsi="宋体" w:cs="宋体"/>
                <w:b/>
                <w:bCs/>
                <w:sz w:val="24"/>
              </w:rPr>
              <w:t>招标文件章节及具体内容</w:t>
            </w:r>
          </w:p>
        </w:tc>
        <w:tc>
          <w:tcPr>
            <w:tcW w:w="3940" w:type="dxa"/>
          </w:tcPr>
          <w:p>
            <w:pPr>
              <w:jc w:val="center"/>
              <w:rPr>
                <w:rFonts w:ascii="宋体" w:hAnsi="宋体" w:cs="宋体"/>
                <w:b/>
                <w:bCs/>
                <w:sz w:val="24"/>
              </w:rPr>
            </w:pPr>
            <w:r>
              <w:rPr>
                <w:rFonts w:hint="eastAsia" w:ascii="宋体" w:hAnsi="宋体" w:cs="宋体"/>
                <w:b/>
                <w:bCs/>
                <w:sz w:val="24"/>
              </w:rPr>
              <w:t>投标文件章节（页码）及具体内容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1</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289" w:type="dxa"/>
          </w:tcPr>
          <w:p>
            <w:pPr>
              <w:jc w:val="center"/>
              <w:rPr>
                <w:rFonts w:ascii="宋体" w:hAnsi="宋体" w:cs="宋体"/>
                <w:b/>
                <w:kern w:val="0"/>
                <w:sz w:val="32"/>
                <w:szCs w:val="32"/>
              </w:rPr>
            </w:pPr>
          </w:p>
        </w:tc>
        <w:tc>
          <w:tcPr>
            <w:tcW w:w="3940"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pStyle w:val="35"/>
        <w:spacing w:line="400" w:lineRule="atLeast"/>
        <w:rPr>
          <w:rFonts w:hAnsi="宋体" w:cs="宋体"/>
          <w:snapToGrid/>
          <w:kern w:val="0"/>
          <w:sz w:val="24"/>
          <w:szCs w:val="24"/>
        </w:rPr>
      </w:pPr>
      <w:r>
        <w:rPr>
          <w:rFonts w:hint="eastAsia" w:hAnsi="宋体" w:cs="宋体"/>
          <w:snapToGrid/>
          <w:kern w:val="0"/>
          <w:sz w:val="24"/>
          <w:szCs w:val="24"/>
        </w:rPr>
        <w:t>注：</w:t>
      </w:r>
    </w:p>
    <w:p>
      <w:pPr>
        <w:pStyle w:val="35"/>
        <w:spacing w:line="400" w:lineRule="atLeast"/>
        <w:rPr>
          <w:rFonts w:hAnsi="宋体" w:cs="宋体"/>
          <w:snapToGrid/>
          <w:kern w:val="0"/>
          <w:sz w:val="24"/>
          <w:szCs w:val="24"/>
        </w:rPr>
      </w:pPr>
      <w:r>
        <w:rPr>
          <w:rFonts w:hint="eastAsia" w:hAnsi="宋体" w:cs="宋体"/>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5"/>
        <w:spacing w:line="400" w:lineRule="atLeast"/>
        <w:rPr>
          <w:rFonts w:hAnsi="宋体" w:cs="宋体"/>
          <w:snapToGrid/>
          <w:kern w:val="0"/>
          <w:sz w:val="24"/>
          <w:szCs w:val="24"/>
        </w:rPr>
      </w:pPr>
      <w:r>
        <w:rPr>
          <w:rFonts w:hint="eastAsia" w:hAnsi="宋体" w:cs="宋体"/>
          <w:snapToGrid/>
          <w:kern w:val="0"/>
          <w:sz w:val="24"/>
          <w:szCs w:val="24"/>
        </w:rPr>
        <w:t>2、投标人递交的技术规格书中必须真实逐条列明，否则由投标人自行承担相关风险。</w:t>
      </w:r>
    </w:p>
    <w:p>
      <w:pPr>
        <w:pStyle w:val="35"/>
        <w:spacing w:line="400" w:lineRule="atLeast"/>
        <w:rPr>
          <w:rFonts w:hAnsi="宋体" w:cs="宋体"/>
          <w:snapToGrid/>
          <w:kern w:val="0"/>
          <w:sz w:val="24"/>
          <w:szCs w:val="24"/>
        </w:rPr>
      </w:pPr>
      <w:r>
        <w:rPr>
          <w:rFonts w:hint="eastAsia" w:hAnsi="宋体" w:cs="宋体"/>
          <w:snapToGrid/>
          <w:kern w:val="0"/>
          <w:sz w:val="24"/>
          <w:szCs w:val="24"/>
        </w:rPr>
        <w:t>3、此表在不改变格式的情况下可自行制作。</w:t>
      </w:r>
    </w:p>
    <w:p>
      <w:pPr>
        <w:pStyle w:val="35"/>
        <w:spacing w:line="400" w:lineRule="atLeast"/>
        <w:rPr>
          <w:rFonts w:hAnsi="宋体" w:cs="宋体"/>
          <w:snapToGrid/>
          <w:kern w:val="0"/>
          <w:sz w:val="24"/>
          <w:szCs w:val="24"/>
        </w:rPr>
      </w:pPr>
      <w:r>
        <w:rPr>
          <w:rFonts w:hint="eastAsia" w:hAnsi="宋体" w:cs="宋体"/>
          <w:snapToGrid/>
          <w:kern w:val="0"/>
          <w:sz w:val="24"/>
          <w:szCs w:val="24"/>
        </w:rPr>
        <w:t>4、此表置于商务技术文件中。</w:t>
      </w:r>
    </w:p>
    <w:p>
      <w:pPr>
        <w:jc w:val="left"/>
        <w:rPr>
          <w:rFonts w:ascii="宋体" w:hAnsi="宋体" w:cs="宋体"/>
          <w:b/>
          <w:kern w:val="0"/>
          <w:sz w:val="24"/>
        </w:rPr>
      </w:pPr>
      <w:r>
        <w:rPr>
          <w:rFonts w:hint="eastAsia" w:ascii="宋体" w:hAnsi="宋体" w:cs="宋体"/>
          <w:b/>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六、</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pPr>
        <w:pStyle w:val="2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（2）中小企业声明函（如需）</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numPr>
          <w:ilvl w:val="0"/>
          <w:numId w:val="9"/>
        </w:numPr>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开标一览表（报价表）</w:t>
      </w:r>
    </w:p>
    <w:p>
      <w:pPr>
        <w:pStyle w:val="702"/>
        <w:keepNext w:val="0"/>
        <w:pageBreakBefore w:val="0"/>
        <w:tabs>
          <w:tab w:val="clear" w:pos="720"/>
        </w:tabs>
        <w:snapToGrid w:val="0"/>
        <w:spacing w:before="120" w:after="120"/>
        <w:jc w:val="both"/>
        <w:outlineLvl w:val="9"/>
        <w:rPr>
          <w:rFonts w:ascii="宋体" w:hAnsi="宋体" w:eastAsia="宋体" w:cs="宋体"/>
          <w:kern w:val="2"/>
          <w:sz w:val="32"/>
          <w:szCs w:val="32"/>
        </w:rPr>
      </w:pP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规格型号（或具体服务）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服务要求（年限）</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p>
    <w:p>
      <w:pPr>
        <w:snapToGrid w:val="0"/>
        <w:spacing w:line="360" w:lineRule="auto"/>
        <w:ind w:firstLine="8674" w:firstLineChars="3600"/>
        <w:rPr>
          <w:rFonts w:ascii="宋体" w:hAnsi="宋体" w:cs="宋体"/>
          <w:b/>
          <w:kern w:val="0"/>
          <w:sz w:val="24"/>
          <w:lang w:val="zh-CN"/>
        </w:rPr>
      </w:pPr>
      <w:r>
        <w:rPr>
          <w:rFonts w:hint="eastAsia" w:ascii="宋体" w:hAnsi="宋体" w:cs="宋体"/>
          <w:b/>
          <w:kern w:val="0"/>
          <w:sz w:val="24"/>
          <w:lang w:val="zh-CN"/>
        </w:rPr>
        <w:t>投标人名称（电子签名）：</w:t>
      </w:r>
    </w:p>
    <w:p>
      <w:pPr>
        <w:snapToGrid w:val="0"/>
        <w:spacing w:line="360" w:lineRule="auto"/>
        <w:ind w:firstLine="9638" w:firstLineChars="4000"/>
        <w:rPr>
          <w:rFonts w:ascii="宋体" w:hAnsi="宋体" w:cs="宋体"/>
          <w:b/>
          <w:kern w:val="0"/>
          <w:sz w:val="24"/>
          <w:lang w:val="zh-CN"/>
        </w:rPr>
      </w:pPr>
      <w:r>
        <w:rPr>
          <w:rFonts w:hint="eastAsia" w:ascii="宋体" w:hAnsi="宋体" w:cs="宋体"/>
          <w:b/>
          <w:kern w:val="0"/>
          <w:sz w:val="24"/>
          <w:lang w:val="zh-CN"/>
        </w:rPr>
        <w:t>日  期：</w:t>
      </w:r>
    </w:p>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1、投标人需按本表格式填写，单位统一均为人民币元。</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70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70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70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rPr>
      </w:pPr>
      <w:bookmarkStart w:id="392" w:name="_Toc465665161"/>
      <w:r>
        <w:rPr>
          <w:rFonts w:hint="eastAsia" w:ascii="宋体" w:hAnsi="宋体" w:cs="宋体"/>
        </w:rPr>
        <w:t>附件</w:t>
      </w:r>
      <w:bookmarkEnd w:id="392"/>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3" w:name="OLE_LINK13"/>
      <w:bookmarkStart w:id="394" w:name="OLE_LINK14"/>
      <w:r>
        <w:rPr>
          <w:rFonts w:hint="eastAsia" w:ascii="宋体" w:hAnsi="宋体" w:cs="宋体"/>
          <w:b/>
          <w:spacing w:val="6"/>
          <w:sz w:val="32"/>
          <w:szCs w:val="32"/>
        </w:rPr>
        <w:t>残疾人福利性单位声明函</w:t>
      </w:r>
    </w:p>
    <w:bookmarkEnd w:id="393"/>
    <w:bookmarkEnd w:id="39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outlineLvl w:val="0"/>
        <w:rPr>
          <w:rFonts w:ascii="宋体" w:hAnsi="宋体" w:cs="宋体"/>
          <w:b/>
          <w:sz w:val="32"/>
          <w:szCs w:val="32"/>
        </w:rPr>
      </w:pPr>
    </w:p>
    <w:sectPr>
      <w:headerReference r:id="rId17" w:type="first"/>
      <w:footerReference r:id="rId20" w:type="first"/>
      <w:headerReference r:id="rId16" w:type="default"/>
      <w:footerReference r:id="rId18" w:type="default"/>
      <w:footerReference r:id="rId19" w:type="even"/>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正文 CS 字体)">
    <w:altName w:val="宋体"/>
    <w:panose1 w:val="00000000000000000000"/>
    <w:charset w:val="86"/>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395" w:name="_Toc131845147"/>
    <w:bookmarkStart w:id="396" w:name="_Toc91899912"/>
    <w:bookmarkStart w:id="397" w:name="_Toc36110187"/>
    <w:bookmarkStart w:id="398" w:name="_Toc164085800"/>
    <w:r>
      <w:rPr>
        <w:rFonts w:hint="eastAsia" w:ascii="仿宋_GB2312" w:eastAsia="仿宋_GB2312"/>
        <w:kern w:val="0"/>
        <w:szCs w:val="21"/>
      </w:rPr>
      <w:t xml:space="preserve"> 页</w:t>
    </w:r>
    <w:bookmarkEnd w:id="395"/>
    <w:bookmarkEnd w:id="396"/>
    <w:bookmarkEnd w:id="397"/>
    <w:bookmarkEnd w:id="3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5"/>
      </w:rPr>
    </w:pPr>
    <w:r>
      <w:fldChar w:fldCharType="begin"/>
    </w:r>
    <w:r>
      <w:rPr>
        <w:rStyle w:val="75"/>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诸暨</w:t>
    </w:r>
    <w:r>
      <w:t>市政府采购公开招标文件</w:t>
    </w:r>
  </w:p>
  <w:p>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w:t>
    </w:r>
    <w:r>
      <w:rPr>
        <w:rFonts w:hint="eastAsia"/>
      </w:rPr>
      <w:t>诸暨</w:t>
    </w:r>
    <w: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C346F"/>
    <w:multiLevelType w:val="singleLevel"/>
    <w:tmpl w:val="9A4C346F"/>
    <w:lvl w:ilvl="0" w:tentative="0">
      <w:start w:val="1"/>
      <w:numFmt w:val="decimal"/>
      <w:suff w:val="nothing"/>
      <w:lvlText w:val="（%1）"/>
      <w:lvlJc w:val="left"/>
    </w:lvl>
  </w:abstractNum>
  <w:abstractNum w:abstractNumId="1">
    <w:nsid w:val="B4E0F267"/>
    <w:multiLevelType w:val="singleLevel"/>
    <w:tmpl w:val="B4E0F267"/>
    <w:lvl w:ilvl="0" w:tentative="0">
      <w:start w:val="2"/>
      <w:numFmt w:val="chineseCounting"/>
      <w:suff w:val="nothing"/>
      <w:lvlText w:val="%1、"/>
      <w:lvlJc w:val="left"/>
      <w:rPr>
        <w:rFonts w:hint="eastAsia"/>
      </w:rPr>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B14F21"/>
    <w:multiLevelType w:val="multilevel"/>
    <w:tmpl w:val="19B14F21"/>
    <w:lvl w:ilvl="0" w:tentative="0">
      <w:start w:val="1"/>
      <w:numFmt w:val="decimal"/>
      <w:suff w:val="space"/>
      <w:lvlText w:val="第%1章"/>
      <w:lvlJc w:val="left"/>
      <w:pPr>
        <w:ind w:left="425" w:hanging="425"/>
      </w:pPr>
      <w:rPr>
        <w:rFonts w:hint="eastAsia"/>
      </w:rPr>
    </w:lvl>
    <w:lvl w:ilvl="1" w:tentative="0">
      <w:start w:val="1"/>
      <w:numFmt w:val="decimal"/>
      <w:pStyle w:val="972"/>
      <w:suff w:val="space"/>
      <w:lvlText w:val="%1.%2"/>
      <w:lvlJc w:val="left"/>
      <w:pPr>
        <w:ind w:left="425" w:hanging="425"/>
      </w:pPr>
      <w:rPr>
        <w:rFonts w:hint="eastAsia"/>
      </w:rPr>
    </w:lvl>
    <w:lvl w:ilvl="2" w:tentative="0">
      <w:start w:val="1"/>
      <w:numFmt w:val="decimal"/>
      <w:suff w:val="space"/>
      <w:lvlText w:val="%1.%2.%3"/>
      <w:lvlJc w:val="left"/>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425" w:hanging="425"/>
      </w:pPr>
      <w:rPr>
        <w:rFonts w:hint="eastAsia"/>
      </w:rPr>
    </w:lvl>
    <w:lvl w:ilvl="4" w:tentative="0">
      <w:start w:val="1"/>
      <w:numFmt w:val="decimal"/>
      <w:suff w:val="space"/>
      <w:lvlText w:val="%1.%2.%3.%4.%5"/>
      <w:lvlJc w:val="left"/>
      <w:pPr>
        <w:ind w:left="425" w:hanging="425"/>
      </w:pPr>
      <w:rPr>
        <w:rFonts w:hint="eastAsia"/>
      </w:rPr>
    </w:lvl>
    <w:lvl w:ilvl="5" w:tentative="0">
      <w:start w:val="1"/>
      <w:numFmt w:val="decimal"/>
      <w:suff w:val="spac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292C9865"/>
    <w:multiLevelType w:val="singleLevel"/>
    <w:tmpl w:val="292C9865"/>
    <w:lvl w:ilvl="0" w:tentative="0">
      <w:start w:val="3"/>
      <w:numFmt w:val="chineseCounting"/>
      <w:suff w:val="space"/>
      <w:lvlText w:val="第%1部分"/>
      <w:lvlJc w:val="left"/>
      <w:rPr>
        <w:rFonts w:hint="eastAsia"/>
      </w:rPr>
    </w:lvl>
  </w:abstractNum>
  <w:abstractNum w:abstractNumId="5">
    <w:nsid w:val="3D09490B"/>
    <w:multiLevelType w:val="singleLevel"/>
    <w:tmpl w:val="3D09490B"/>
    <w:lvl w:ilvl="0" w:tentative="0">
      <w:start w:val="1"/>
      <w:numFmt w:val="decimal"/>
      <w:suff w:val="nothing"/>
      <w:lvlText w:val="（%1）"/>
      <w:lvlJc w:val="left"/>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465744"/>
    <w:multiLevelType w:val="singleLevel"/>
    <w:tmpl w:val="4E465744"/>
    <w:lvl w:ilvl="0" w:tentative="0">
      <w:start w:val="1"/>
      <w:numFmt w:val="chineseCounting"/>
      <w:suff w:val="nothing"/>
      <w:lvlText w:val="%1、"/>
      <w:lvlJc w:val="left"/>
      <w:rPr>
        <w:rFonts w:hint="eastAsia"/>
      </w:rPr>
    </w:lvl>
  </w:abstractNum>
  <w:abstractNum w:abstractNumId="8">
    <w:nsid w:val="4EAF669B"/>
    <w:multiLevelType w:val="multilevel"/>
    <w:tmpl w:val="4EAF669B"/>
    <w:lvl w:ilvl="0" w:tentative="0">
      <w:start w:val="1"/>
      <w:numFmt w:val="decimalEnclosedCircle"/>
      <w:pStyle w:val="995"/>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8"/>
  </w:num>
  <w:num w:numId="3">
    <w:abstractNumId w:val="2"/>
  </w:num>
  <w:num w:numId="4">
    <w:abstractNumId w:val="6"/>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lM2U3ZGRjZjE4ODZmNTI2NGM3OGE2YmMwOTcifQ=="/>
    <w:docVar w:name="KSO_WPS_MARK_KEY" w:val="e71b2c5b-7556-4a53-bbc9-4409bb2c7efb"/>
  </w:docVars>
  <w:rsids>
    <w:rsidRoot w:val="00172A27"/>
    <w:rsid w:val="00000451"/>
    <w:rsid w:val="000004F6"/>
    <w:rsid w:val="00000B83"/>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F76"/>
    <w:rsid w:val="000232FD"/>
    <w:rsid w:val="00023323"/>
    <w:rsid w:val="000233E4"/>
    <w:rsid w:val="00023495"/>
    <w:rsid w:val="00023777"/>
    <w:rsid w:val="000240F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18D"/>
    <w:rsid w:val="000326A7"/>
    <w:rsid w:val="00032EA0"/>
    <w:rsid w:val="000331B0"/>
    <w:rsid w:val="000336D4"/>
    <w:rsid w:val="00033EBA"/>
    <w:rsid w:val="00034FA7"/>
    <w:rsid w:val="0003533D"/>
    <w:rsid w:val="000357E4"/>
    <w:rsid w:val="00035ACA"/>
    <w:rsid w:val="00040447"/>
    <w:rsid w:val="00040494"/>
    <w:rsid w:val="00040B70"/>
    <w:rsid w:val="00041CB7"/>
    <w:rsid w:val="00042441"/>
    <w:rsid w:val="00042533"/>
    <w:rsid w:val="00042DBB"/>
    <w:rsid w:val="00042E65"/>
    <w:rsid w:val="00043351"/>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7D0"/>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428"/>
    <w:rsid w:val="00064278"/>
    <w:rsid w:val="000646CA"/>
    <w:rsid w:val="000665C4"/>
    <w:rsid w:val="00067057"/>
    <w:rsid w:val="00067821"/>
    <w:rsid w:val="0006785E"/>
    <w:rsid w:val="00067F92"/>
    <w:rsid w:val="00067FA7"/>
    <w:rsid w:val="0007038E"/>
    <w:rsid w:val="0007077C"/>
    <w:rsid w:val="00070825"/>
    <w:rsid w:val="0007164A"/>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0B"/>
    <w:rsid w:val="00081671"/>
    <w:rsid w:val="00082AD4"/>
    <w:rsid w:val="00083E07"/>
    <w:rsid w:val="00084D27"/>
    <w:rsid w:val="00084ED6"/>
    <w:rsid w:val="000854EC"/>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9A"/>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CF8"/>
    <w:rsid w:val="000A4F22"/>
    <w:rsid w:val="000A5674"/>
    <w:rsid w:val="000A5A46"/>
    <w:rsid w:val="000A7299"/>
    <w:rsid w:val="000A752E"/>
    <w:rsid w:val="000B0E04"/>
    <w:rsid w:val="000B1095"/>
    <w:rsid w:val="000B1328"/>
    <w:rsid w:val="000B268D"/>
    <w:rsid w:val="000B291B"/>
    <w:rsid w:val="000B3153"/>
    <w:rsid w:val="000B383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92"/>
    <w:rsid w:val="000C64CC"/>
    <w:rsid w:val="000C65B0"/>
    <w:rsid w:val="000C6688"/>
    <w:rsid w:val="000C692E"/>
    <w:rsid w:val="000C6B28"/>
    <w:rsid w:val="000C6C0C"/>
    <w:rsid w:val="000C6E6D"/>
    <w:rsid w:val="000C7BEB"/>
    <w:rsid w:val="000D0124"/>
    <w:rsid w:val="000D11E5"/>
    <w:rsid w:val="000D19E8"/>
    <w:rsid w:val="000D1FA1"/>
    <w:rsid w:val="000D2834"/>
    <w:rsid w:val="000D2CAC"/>
    <w:rsid w:val="000D34C8"/>
    <w:rsid w:val="000D34FD"/>
    <w:rsid w:val="000D3BE5"/>
    <w:rsid w:val="000D3C37"/>
    <w:rsid w:val="000D4086"/>
    <w:rsid w:val="000D43FE"/>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1AE8"/>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D35"/>
    <w:rsid w:val="00101E6C"/>
    <w:rsid w:val="00101FFB"/>
    <w:rsid w:val="00103251"/>
    <w:rsid w:val="00103509"/>
    <w:rsid w:val="0010393D"/>
    <w:rsid w:val="00103EBD"/>
    <w:rsid w:val="00104486"/>
    <w:rsid w:val="00104699"/>
    <w:rsid w:val="00104E5B"/>
    <w:rsid w:val="00104EEC"/>
    <w:rsid w:val="001050DC"/>
    <w:rsid w:val="00105482"/>
    <w:rsid w:val="001056A5"/>
    <w:rsid w:val="00105BA9"/>
    <w:rsid w:val="00105C46"/>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579"/>
    <w:rsid w:val="0012153F"/>
    <w:rsid w:val="0012159D"/>
    <w:rsid w:val="00121804"/>
    <w:rsid w:val="00121EC9"/>
    <w:rsid w:val="00122146"/>
    <w:rsid w:val="001224FE"/>
    <w:rsid w:val="001231D3"/>
    <w:rsid w:val="001232A7"/>
    <w:rsid w:val="00123F7C"/>
    <w:rsid w:val="001240F0"/>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E3"/>
    <w:rsid w:val="00145BC8"/>
    <w:rsid w:val="00145C6D"/>
    <w:rsid w:val="001460FC"/>
    <w:rsid w:val="00146151"/>
    <w:rsid w:val="00146326"/>
    <w:rsid w:val="00147032"/>
    <w:rsid w:val="001470CB"/>
    <w:rsid w:val="00147255"/>
    <w:rsid w:val="00147EA7"/>
    <w:rsid w:val="00151820"/>
    <w:rsid w:val="00151B2F"/>
    <w:rsid w:val="00152104"/>
    <w:rsid w:val="001524DC"/>
    <w:rsid w:val="001525E5"/>
    <w:rsid w:val="00153859"/>
    <w:rsid w:val="00153915"/>
    <w:rsid w:val="001539F0"/>
    <w:rsid w:val="00154BBA"/>
    <w:rsid w:val="00155B95"/>
    <w:rsid w:val="00156853"/>
    <w:rsid w:val="00156C61"/>
    <w:rsid w:val="00157432"/>
    <w:rsid w:val="00161185"/>
    <w:rsid w:val="001620BA"/>
    <w:rsid w:val="001623AC"/>
    <w:rsid w:val="00162BAA"/>
    <w:rsid w:val="001632DE"/>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18E"/>
    <w:rsid w:val="001752DB"/>
    <w:rsid w:val="001755DC"/>
    <w:rsid w:val="00175942"/>
    <w:rsid w:val="00176AA6"/>
    <w:rsid w:val="00177063"/>
    <w:rsid w:val="00177AB0"/>
    <w:rsid w:val="00177F6E"/>
    <w:rsid w:val="00180A47"/>
    <w:rsid w:val="001815C0"/>
    <w:rsid w:val="001827B7"/>
    <w:rsid w:val="001827EF"/>
    <w:rsid w:val="00182982"/>
    <w:rsid w:val="001829BC"/>
    <w:rsid w:val="00182D68"/>
    <w:rsid w:val="00183031"/>
    <w:rsid w:val="00183468"/>
    <w:rsid w:val="0018397E"/>
    <w:rsid w:val="00184466"/>
    <w:rsid w:val="00184DBF"/>
    <w:rsid w:val="001852A8"/>
    <w:rsid w:val="001858E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A61"/>
    <w:rsid w:val="00196CD6"/>
    <w:rsid w:val="0019736B"/>
    <w:rsid w:val="0019756A"/>
    <w:rsid w:val="001A06B5"/>
    <w:rsid w:val="001A07F8"/>
    <w:rsid w:val="001A0A23"/>
    <w:rsid w:val="001A0C98"/>
    <w:rsid w:val="001A128B"/>
    <w:rsid w:val="001A1475"/>
    <w:rsid w:val="001A1F0E"/>
    <w:rsid w:val="001A3335"/>
    <w:rsid w:val="001A402C"/>
    <w:rsid w:val="001A470F"/>
    <w:rsid w:val="001A473A"/>
    <w:rsid w:val="001A4ED9"/>
    <w:rsid w:val="001A5785"/>
    <w:rsid w:val="001A5FD7"/>
    <w:rsid w:val="001A6643"/>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31"/>
    <w:rsid w:val="001C08DB"/>
    <w:rsid w:val="001C10BD"/>
    <w:rsid w:val="001C1F01"/>
    <w:rsid w:val="001C2092"/>
    <w:rsid w:val="001C232F"/>
    <w:rsid w:val="001C2544"/>
    <w:rsid w:val="001C2A17"/>
    <w:rsid w:val="001C31F5"/>
    <w:rsid w:val="001C6047"/>
    <w:rsid w:val="001C6698"/>
    <w:rsid w:val="001C6C5B"/>
    <w:rsid w:val="001C7179"/>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D77A1"/>
    <w:rsid w:val="001E12F9"/>
    <w:rsid w:val="001E17E3"/>
    <w:rsid w:val="001E2052"/>
    <w:rsid w:val="001E2492"/>
    <w:rsid w:val="001E257C"/>
    <w:rsid w:val="001E286C"/>
    <w:rsid w:val="001E2F34"/>
    <w:rsid w:val="001E35EE"/>
    <w:rsid w:val="001E3DAD"/>
    <w:rsid w:val="001E4B2C"/>
    <w:rsid w:val="001E507F"/>
    <w:rsid w:val="001E56C2"/>
    <w:rsid w:val="001E59FB"/>
    <w:rsid w:val="001E6BF0"/>
    <w:rsid w:val="001E7F81"/>
    <w:rsid w:val="001F06D6"/>
    <w:rsid w:val="001F0FD1"/>
    <w:rsid w:val="001F1526"/>
    <w:rsid w:val="001F19D1"/>
    <w:rsid w:val="001F1CB9"/>
    <w:rsid w:val="001F1F18"/>
    <w:rsid w:val="001F210D"/>
    <w:rsid w:val="001F255D"/>
    <w:rsid w:val="001F2D1E"/>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D5D"/>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5C"/>
    <w:rsid w:val="00217A44"/>
    <w:rsid w:val="00217E1F"/>
    <w:rsid w:val="002204BC"/>
    <w:rsid w:val="00220F7B"/>
    <w:rsid w:val="002213CE"/>
    <w:rsid w:val="00221AF7"/>
    <w:rsid w:val="00222494"/>
    <w:rsid w:val="00222775"/>
    <w:rsid w:val="002227C0"/>
    <w:rsid w:val="00222A31"/>
    <w:rsid w:val="00222CF6"/>
    <w:rsid w:val="00222F64"/>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1A7"/>
    <w:rsid w:val="002359FC"/>
    <w:rsid w:val="002361C8"/>
    <w:rsid w:val="00236690"/>
    <w:rsid w:val="0023669D"/>
    <w:rsid w:val="002370CB"/>
    <w:rsid w:val="00237EAE"/>
    <w:rsid w:val="00237FA2"/>
    <w:rsid w:val="002403D5"/>
    <w:rsid w:val="00240C1F"/>
    <w:rsid w:val="00240F55"/>
    <w:rsid w:val="00240F67"/>
    <w:rsid w:val="00241144"/>
    <w:rsid w:val="00242510"/>
    <w:rsid w:val="00242F79"/>
    <w:rsid w:val="00243AB6"/>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2"/>
    <w:rsid w:val="0026119C"/>
    <w:rsid w:val="00261AFE"/>
    <w:rsid w:val="0026212A"/>
    <w:rsid w:val="002621D7"/>
    <w:rsid w:val="00262996"/>
    <w:rsid w:val="00263044"/>
    <w:rsid w:val="00263759"/>
    <w:rsid w:val="002638BD"/>
    <w:rsid w:val="00264660"/>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718"/>
    <w:rsid w:val="00271C53"/>
    <w:rsid w:val="0027244F"/>
    <w:rsid w:val="00273052"/>
    <w:rsid w:val="002739CE"/>
    <w:rsid w:val="00273C5F"/>
    <w:rsid w:val="002741D4"/>
    <w:rsid w:val="0027438F"/>
    <w:rsid w:val="002743AC"/>
    <w:rsid w:val="0027499D"/>
    <w:rsid w:val="00274E9D"/>
    <w:rsid w:val="002751CA"/>
    <w:rsid w:val="0027544D"/>
    <w:rsid w:val="00277196"/>
    <w:rsid w:val="002775ED"/>
    <w:rsid w:val="002778AB"/>
    <w:rsid w:val="002802A5"/>
    <w:rsid w:val="00280564"/>
    <w:rsid w:val="002809E3"/>
    <w:rsid w:val="00280CFB"/>
    <w:rsid w:val="00280D24"/>
    <w:rsid w:val="002815C4"/>
    <w:rsid w:val="00281BCB"/>
    <w:rsid w:val="00281C76"/>
    <w:rsid w:val="00282201"/>
    <w:rsid w:val="0028316D"/>
    <w:rsid w:val="00283296"/>
    <w:rsid w:val="00284F3A"/>
    <w:rsid w:val="0028583E"/>
    <w:rsid w:val="00285853"/>
    <w:rsid w:val="00285B1A"/>
    <w:rsid w:val="00285FF3"/>
    <w:rsid w:val="002866EC"/>
    <w:rsid w:val="0028744E"/>
    <w:rsid w:val="002876D2"/>
    <w:rsid w:val="00287936"/>
    <w:rsid w:val="00287BB7"/>
    <w:rsid w:val="002903C5"/>
    <w:rsid w:val="0029041B"/>
    <w:rsid w:val="00290746"/>
    <w:rsid w:val="00290A99"/>
    <w:rsid w:val="00290EAF"/>
    <w:rsid w:val="00290F91"/>
    <w:rsid w:val="00291363"/>
    <w:rsid w:val="0029159A"/>
    <w:rsid w:val="00291CF1"/>
    <w:rsid w:val="00292AA1"/>
    <w:rsid w:val="00294012"/>
    <w:rsid w:val="002945B0"/>
    <w:rsid w:val="0029499D"/>
    <w:rsid w:val="00294A13"/>
    <w:rsid w:val="00294B10"/>
    <w:rsid w:val="00294DF9"/>
    <w:rsid w:val="00295073"/>
    <w:rsid w:val="00295468"/>
    <w:rsid w:val="00296604"/>
    <w:rsid w:val="00296B02"/>
    <w:rsid w:val="00296C32"/>
    <w:rsid w:val="002977CE"/>
    <w:rsid w:val="00297AF5"/>
    <w:rsid w:val="002A0134"/>
    <w:rsid w:val="002A02D6"/>
    <w:rsid w:val="002A07C4"/>
    <w:rsid w:val="002A0921"/>
    <w:rsid w:val="002A0CB3"/>
    <w:rsid w:val="002A1887"/>
    <w:rsid w:val="002A2001"/>
    <w:rsid w:val="002A4060"/>
    <w:rsid w:val="002A4868"/>
    <w:rsid w:val="002A4A05"/>
    <w:rsid w:val="002A4D71"/>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2F8"/>
    <w:rsid w:val="002C643D"/>
    <w:rsid w:val="002C66B8"/>
    <w:rsid w:val="002C70E7"/>
    <w:rsid w:val="002C79BF"/>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4D"/>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36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D19"/>
    <w:rsid w:val="00305E21"/>
    <w:rsid w:val="003066C6"/>
    <w:rsid w:val="003066FA"/>
    <w:rsid w:val="00306AD6"/>
    <w:rsid w:val="003077F4"/>
    <w:rsid w:val="00307DC7"/>
    <w:rsid w:val="00307FF2"/>
    <w:rsid w:val="00310EDB"/>
    <w:rsid w:val="00311C51"/>
    <w:rsid w:val="00311D56"/>
    <w:rsid w:val="00311FBD"/>
    <w:rsid w:val="00312016"/>
    <w:rsid w:val="00312340"/>
    <w:rsid w:val="00312DFC"/>
    <w:rsid w:val="0031318C"/>
    <w:rsid w:val="003135FD"/>
    <w:rsid w:val="00313C9D"/>
    <w:rsid w:val="0031430C"/>
    <w:rsid w:val="00314484"/>
    <w:rsid w:val="00314919"/>
    <w:rsid w:val="00314C5A"/>
    <w:rsid w:val="0031531A"/>
    <w:rsid w:val="00315394"/>
    <w:rsid w:val="00315533"/>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422"/>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590"/>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767"/>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9D2"/>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77D8E"/>
    <w:rsid w:val="00381014"/>
    <w:rsid w:val="00381604"/>
    <w:rsid w:val="00381C68"/>
    <w:rsid w:val="00381F60"/>
    <w:rsid w:val="00383204"/>
    <w:rsid w:val="00383AB0"/>
    <w:rsid w:val="003847BB"/>
    <w:rsid w:val="00384814"/>
    <w:rsid w:val="00384836"/>
    <w:rsid w:val="00384C0A"/>
    <w:rsid w:val="0038537C"/>
    <w:rsid w:val="00385B16"/>
    <w:rsid w:val="00385B96"/>
    <w:rsid w:val="0038637D"/>
    <w:rsid w:val="003868F6"/>
    <w:rsid w:val="003869DC"/>
    <w:rsid w:val="00386C07"/>
    <w:rsid w:val="00386F58"/>
    <w:rsid w:val="0038700D"/>
    <w:rsid w:val="0038702A"/>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C2D"/>
    <w:rsid w:val="003971A1"/>
    <w:rsid w:val="00397B07"/>
    <w:rsid w:val="003A0F6B"/>
    <w:rsid w:val="003A12B6"/>
    <w:rsid w:val="003A1C44"/>
    <w:rsid w:val="003A20D5"/>
    <w:rsid w:val="003A24CC"/>
    <w:rsid w:val="003A2512"/>
    <w:rsid w:val="003A2A53"/>
    <w:rsid w:val="003A2EE8"/>
    <w:rsid w:val="003A373C"/>
    <w:rsid w:val="003A5378"/>
    <w:rsid w:val="003A553C"/>
    <w:rsid w:val="003A56DF"/>
    <w:rsid w:val="003A592A"/>
    <w:rsid w:val="003A6008"/>
    <w:rsid w:val="003A703F"/>
    <w:rsid w:val="003A7E2B"/>
    <w:rsid w:val="003A7E40"/>
    <w:rsid w:val="003B0336"/>
    <w:rsid w:val="003B0A3A"/>
    <w:rsid w:val="003B0D79"/>
    <w:rsid w:val="003B2930"/>
    <w:rsid w:val="003B2B84"/>
    <w:rsid w:val="003B31A7"/>
    <w:rsid w:val="003B3243"/>
    <w:rsid w:val="003B4587"/>
    <w:rsid w:val="003B4B51"/>
    <w:rsid w:val="003B4FE1"/>
    <w:rsid w:val="003B514E"/>
    <w:rsid w:val="003B52D1"/>
    <w:rsid w:val="003B5531"/>
    <w:rsid w:val="003B636A"/>
    <w:rsid w:val="003B67D7"/>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833"/>
    <w:rsid w:val="003E006E"/>
    <w:rsid w:val="003E0947"/>
    <w:rsid w:val="003E0E96"/>
    <w:rsid w:val="003E1762"/>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3DF6"/>
    <w:rsid w:val="003F42FF"/>
    <w:rsid w:val="003F4B48"/>
    <w:rsid w:val="003F4DDC"/>
    <w:rsid w:val="003F56B8"/>
    <w:rsid w:val="003F5F1A"/>
    <w:rsid w:val="003F6327"/>
    <w:rsid w:val="003F7425"/>
    <w:rsid w:val="003F765B"/>
    <w:rsid w:val="003F7CB8"/>
    <w:rsid w:val="00400CB4"/>
    <w:rsid w:val="00401359"/>
    <w:rsid w:val="00401386"/>
    <w:rsid w:val="004013E6"/>
    <w:rsid w:val="00401E31"/>
    <w:rsid w:val="00402BBA"/>
    <w:rsid w:val="0040313F"/>
    <w:rsid w:val="0040353A"/>
    <w:rsid w:val="004035D0"/>
    <w:rsid w:val="0040361D"/>
    <w:rsid w:val="00403795"/>
    <w:rsid w:val="004041FB"/>
    <w:rsid w:val="0040443E"/>
    <w:rsid w:val="004044E9"/>
    <w:rsid w:val="004056B6"/>
    <w:rsid w:val="00405764"/>
    <w:rsid w:val="00406745"/>
    <w:rsid w:val="0040674B"/>
    <w:rsid w:val="00406B32"/>
    <w:rsid w:val="004074FA"/>
    <w:rsid w:val="004078AC"/>
    <w:rsid w:val="00407A56"/>
    <w:rsid w:val="00407FCC"/>
    <w:rsid w:val="0041035A"/>
    <w:rsid w:val="00410E76"/>
    <w:rsid w:val="004112D1"/>
    <w:rsid w:val="004113C9"/>
    <w:rsid w:val="00411D1E"/>
    <w:rsid w:val="00411DF2"/>
    <w:rsid w:val="00411F3A"/>
    <w:rsid w:val="004120DF"/>
    <w:rsid w:val="0041224F"/>
    <w:rsid w:val="004126B5"/>
    <w:rsid w:val="0041442F"/>
    <w:rsid w:val="00414909"/>
    <w:rsid w:val="00415034"/>
    <w:rsid w:val="00415B1A"/>
    <w:rsid w:val="00415DFD"/>
    <w:rsid w:val="00416208"/>
    <w:rsid w:val="0041627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297"/>
    <w:rsid w:val="00425341"/>
    <w:rsid w:val="004255FE"/>
    <w:rsid w:val="00425674"/>
    <w:rsid w:val="00425A82"/>
    <w:rsid w:val="00425C60"/>
    <w:rsid w:val="00426B2C"/>
    <w:rsid w:val="00427FA8"/>
    <w:rsid w:val="0043009D"/>
    <w:rsid w:val="0043026B"/>
    <w:rsid w:val="00430299"/>
    <w:rsid w:val="004306D4"/>
    <w:rsid w:val="00431A2A"/>
    <w:rsid w:val="00432DA0"/>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3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EA0"/>
    <w:rsid w:val="00455967"/>
    <w:rsid w:val="00455F71"/>
    <w:rsid w:val="00456272"/>
    <w:rsid w:val="0045637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83B"/>
    <w:rsid w:val="00466978"/>
    <w:rsid w:val="00466ABA"/>
    <w:rsid w:val="00467254"/>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E80"/>
    <w:rsid w:val="0047471E"/>
    <w:rsid w:val="004749DA"/>
    <w:rsid w:val="00474DEF"/>
    <w:rsid w:val="00475729"/>
    <w:rsid w:val="004758E7"/>
    <w:rsid w:val="00475BAB"/>
    <w:rsid w:val="00476422"/>
    <w:rsid w:val="004764C6"/>
    <w:rsid w:val="00476AC1"/>
    <w:rsid w:val="00476F97"/>
    <w:rsid w:val="00477247"/>
    <w:rsid w:val="004776BB"/>
    <w:rsid w:val="004776FB"/>
    <w:rsid w:val="0048055E"/>
    <w:rsid w:val="00480C2B"/>
    <w:rsid w:val="00480DC5"/>
    <w:rsid w:val="00480FD9"/>
    <w:rsid w:val="0048131D"/>
    <w:rsid w:val="00481D0B"/>
    <w:rsid w:val="0048233E"/>
    <w:rsid w:val="00482498"/>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C71"/>
    <w:rsid w:val="0049117E"/>
    <w:rsid w:val="00492503"/>
    <w:rsid w:val="004925C8"/>
    <w:rsid w:val="00492AF9"/>
    <w:rsid w:val="00492B52"/>
    <w:rsid w:val="00492B76"/>
    <w:rsid w:val="0049333E"/>
    <w:rsid w:val="0049418F"/>
    <w:rsid w:val="0049570D"/>
    <w:rsid w:val="00495C48"/>
    <w:rsid w:val="00495DC6"/>
    <w:rsid w:val="00496CCE"/>
    <w:rsid w:val="00497303"/>
    <w:rsid w:val="004978C1"/>
    <w:rsid w:val="00497AAD"/>
    <w:rsid w:val="00497BD7"/>
    <w:rsid w:val="00497D1A"/>
    <w:rsid w:val="00497D46"/>
    <w:rsid w:val="004A00C9"/>
    <w:rsid w:val="004A03D0"/>
    <w:rsid w:val="004A1009"/>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909"/>
    <w:rsid w:val="004B0BE8"/>
    <w:rsid w:val="004B0C6D"/>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52"/>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E8D"/>
    <w:rsid w:val="004E6F69"/>
    <w:rsid w:val="004E72F7"/>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C23"/>
    <w:rsid w:val="004F4FAC"/>
    <w:rsid w:val="004F4FE8"/>
    <w:rsid w:val="004F5056"/>
    <w:rsid w:val="004F531B"/>
    <w:rsid w:val="004F560C"/>
    <w:rsid w:val="004F5DBB"/>
    <w:rsid w:val="004F5EA8"/>
    <w:rsid w:val="004F60B4"/>
    <w:rsid w:val="004F61A3"/>
    <w:rsid w:val="004F6874"/>
    <w:rsid w:val="004F7922"/>
    <w:rsid w:val="004F7A1F"/>
    <w:rsid w:val="004F7B47"/>
    <w:rsid w:val="0050079C"/>
    <w:rsid w:val="0050106A"/>
    <w:rsid w:val="005010BC"/>
    <w:rsid w:val="00501848"/>
    <w:rsid w:val="00502B31"/>
    <w:rsid w:val="0050434C"/>
    <w:rsid w:val="00504BDA"/>
    <w:rsid w:val="0050537D"/>
    <w:rsid w:val="0050591C"/>
    <w:rsid w:val="005059BD"/>
    <w:rsid w:val="005060AE"/>
    <w:rsid w:val="0050790B"/>
    <w:rsid w:val="00507FDF"/>
    <w:rsid w:val="0051037C"/>
    <w:rsid w:val="005104F6"/>
    <w:rsid w:val="0051050F"/>
    <w:rsid w:val="0051058B"/>
    <w:rsid w:val="00510DDC"/>
    <w:rsid w:val="00511166"/>
    <w:rsid w:val="00511327"/>
    <w:rsid w:val="00512217"/>
    <w:rsid w:val="00512459"/>
    <w:rsid w:val="005125F5"/>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5F"/>
    <w:rsid w:val="005224BC"/>
    <w:rsid w:val="00522928"/>
    <w:rsid w:val="00522FF1"/>
    <w:rsid w:val="00523946"/>
    <w:rsid w:val="0052397A"/>
    <w:rsid w:val="005256D6"/>
    <w:rsid w:val="00525AD8"/>
    <w:rsid w:val="00526429"/>
    <w:rsid w:val="005266C1"/>
    <w:rsid w:val="005267F4"/>
    <w:rsid w:val="005269D3"/>
    <w:rsid w:val="005269E5"/>
    <w:rsid w:val="00527317"/>
    <w:rsid w:val="00527ED6"/>
    <w:rsid w:val="0053024F"/>
    <w:rsid w:val="00530F6C"/>
    <w:rsid w:val="00531064"/>
    <w:rsid w:val="005312CB"/>
    <w:rsid w:val="005313B2"/>
    <w:rsid w:val="00531911"/>
    <w:rsid w:val="00531E92"/>
    <w:rsid w:val="005324D7"/>
    <w:rsid w:val="005326F0"/>
    <w:rsid w:val="00532764"/>
    <w:rsid w:val="00532AA5"/>
    <w:rsid w:val="00532C5F"/>
    <w:rsid w:val="00532E35"/>
    <w:rsid w:val="00533233"/>
    <w:rsid w:val="00533417"/>
    <w:rsid w:val="00533499"/>
    <w:rsid w:val="005335A2"/>
    <w:rsid w:val="00533D13"/>
    <w:rsid w:val="00533DEC"/>
    <w:rsid w:val="00534026"/>
    <w:rsid w:val="00534D55"/>
    <w:rsid w:val="00535B53"/>
    <w:rsid w:val="00535BC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88D"/>
    <w:rsid w:val="00546BF8"/>
    <w:rsid w:val="00547BA2"/>
    <w:rsid w:val="00550AC5"/>
    <w:rsid w:val="00550B7E"/>
    <w:rsid w:val="00551052"/>
    <w:rsid w:val="00551451"/>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85A"/>
    <w:rsid w:val="00564DA7"/>
    <w:rsid w:val="00565204"/>
    <w:rsid w:val="00565473"/>
    <w:rsid w:val="00565DAC"/>
    <w:rsid w:val="00565F0D"/>
    <w:rsid w:val="005662DC"/>
    <w:rsid w:val="00566329"/>
    <w:rsid w:val="00566716"/>
    <w:rsid w:val="005668B9"/>
    <w:rsid w:val="00566E39"/>
    <w:rsid w:val="0056704E"/>
    <w:rsid w:val="00567623"/>
    <w:rsid w:val="005701C2"/>
    <w:rsid w:val="005702D9"/>
    <w:rsid w:val="00570763"/>
    <w:rsid w:val="0057200B"/>
    <w:rsid w:val="00572297"/>
    <w:rsid w:val="0057345D"/>
    <w:rsid w:val="0057347D"/>
    <w:rsid w:val="00573560"/>
    <w:rsid w:val="005749E6"/>
    <w:rsid w:val="00574E7B"/>
    <w:rsid w:val="00574F36"/>
    <w:rsid w:val="0057656F"/>
    <w:rsid w:val="00576B5C"/>
    <w:rsid w:val="005770CC"/>
    <w:rsid w:val="005802F9"/>
    <w:rsid w:val="005806D5"/>
    <w:rsid w:val="00580DFC"/>
    <w:rsid w:val="0058134C"/>
    <w:rsid w:val="005815CD"/>
    <w:rsid w:val="00581F7F"/>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AFC"/>
    <w:rsid w:val="00592CC3"/>
    <w:rsid w:val="00594437"/>
    <w:rsid w:val="00594B70"/>
    <w:rsid w:val="0059593B"/>
    <w:rsid w:val="00596CFA"/>
    <w:rsid w:val="00596E5B"/>
    <w:rsid w:val="00596EC6"/>
    <w:rsid w:val="005975CE"/>
    <w:rsid w:val="005A0088"/>
    <w:rsid w:val="005A04F6"/>
    <w:rsid w:val="005A06CC"/>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45"/>
    <w:rsid w:val="005B1A8A"/>
    <w:rsid w:val="005B1AAB"/>
    <w:rsid w:val="005B2578"/>
    <w:rsid w:val="005B2930"/>
    <w:rsid w:val="005B2B87"/>
    <w:rsid w:val="005B2FAA"/>
    <w:rsid w:val="005B3378"/>
    <w:rsid w:val="005B33C8"/>
    <w:rsid w:val="005B387B"/>
    <w:rsid w:val="005B3B01"/>
    <w:rsid w:val="005B4333"/>
    <w:rsid w:val="005B48BE"/>
    <w:rsid w:val="005B58F7"/>
    <w:rsid w:val="005B5981"/>
    <w:rsid w:val="005B5994"/>
    <w:rsid w:val="005B6474"/>
    <w:rsid w:val="005B666D"/>
    <w:rsid w:val="005B667A"/>
    <w:rsid w:val="005B6865"/>
    <w:rsid w:val="005B7F2B"/>
    <w:rsid w:val="005C039B"/>
    <w:rsid w:val="005C059F"/>
    <w:rsid w:val="005C07CE"/>
    <w:rsid w:val="005C0B8F"/>
    <w:rsid w:val="005C0E5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9E"/>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1FD7"/>
    <w:rsid w:val="005E255B"/>
    <w:rsid w:val="005E2CF7"/>
    <w:rsid w:val="005E3D51"/>
    <w:rsid w:val="005E4543"/>
    <w:rsid w:val="005E4A1C"/>
    <w:rsid w:val="005E56C9"/>
    <w:rsid w:val="005E5CF7"/>
    <w:rsid w:val="005E5FF0"/>
    <w:rsid w:val="005E6422"/>
    <w:rsid w:val="005E642A"/>
    <w:rsid w:val="005E65A7"/>
    <w:rsid w:val="005E721E"/>
    <w:rsid w:val="005F0857"/>
    <w:rsid w:val="005F1470"/>
    <w:rsid w:val="005F15A9"/>
    <w:rsid w:val="005F2807"/>
    <w:rsid w:val="005F2CD5"/>
    <w:rsid w:val="005F3382"/>
    <w:rsid w:val="005F3720"/>
    <w:rsid w:val="005F3B02"/>
    <w:rsid w:val="005F5506"/>
    <w:rsid w:val="005F5A0D"/>
    <w:rsid w:val="005F60DF"/>
    <w:rsid w:val="005F615B"/>
    <w:rsid w:val="005F61DF"/>
    <w:rsid w:val="005F66CC"/>
    <w:rsid w:val="005F680A"/>
    <w:rsid w:val="005F6880"/>
    <w:rsid w:val="005F6B3E"/>
    <w:rsid w:val="005F6ED2"/>
    <w:rsid w:val="005F6EE8"/>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33"/>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407"/>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2C0"/>
    <w:rsid w:val="00692416"/>
    <w:rsid w:val="00692AFF"/>
    <w:rsid w:val="00692D2D"/>
    <w:rsid w:val="00693B73"/>
    <w:rsid w:val="006945A1"/>
    <w:rsid w:val="00694A53"/>
    <w:rsid w:val="00694E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1AE"/>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107"/>
    <w:rsid w:val="006B2823"/>
    <w:rsid w:val="006B2870"/>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2"/>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0C1"/>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1D"/>
    <w:rsid w:val="006F7974"/>
    <w:rsid w:val="006F7C2C"/>
    <w:rsid w:val="006F7FD5"/>
    <w:rsid w:val="00700405"/>
    <w:rsid w:val="00700D18"/>
    <w:rsid w:val="0070168D"/>
    <w:rsid w:val="00701BC8"/>
    <w:rsid w:val="00701C36"/>
    <w:rsid w:val="00702F2D"/>
    <w:rsid w:val="0070353F"/>
    <w:rsid w:val="0070415E"/>
    <w:rsid w:val="00704631"/>
    <w:rsid w:val="00704B79"/>
    <w:rsid w:val="00704E7D"/>
    <w:rsid w:val="00705060"/>
    <w:rsid w:val="00705351"/>
    <w:rsid w:val="00705619"/>
    <w:rsid w:val="00705992"/>
    <w:rsid w:val="00705E93"/>
    <w:rsid w:val="00705ECF"/>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4B"/>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237"/>
    <w:rsid w:val="00733772"/>
    <w:rsid w:val="00733A43"/>
    <w:rsid w:val="00733AE4"/>
    <w:rsid w:val="00733D5F"/>
    <w:rsid w:val="00734932"/>
    <w:rsid w:val="00735D53"/>
    <w:rsid w:val="0073618A"/>
    <w:rsid w:val="007364A3"/>
    <w:rsid w:val="00736740"/>
    <w:rsid w:val="00737316"/>
    <w:rsid w:val="007378FD"/>
    <w:rsid w:val="007400A5"/>
    <w:rsid w:val="007403FE"/>
    <w:rsid w:val="007404D2"/>
    <w:rsid w:val="007413EB"/>
    <w:rsid w:val="007413FB"/>
    <w:rsid w:val="00742D32"/>
    <w:rsid w:val="00742E9B"/>
    <w:rsid w:val="007432BD"/>
    <w:rsid w:val="007444E6"/>
    <w:rsid w:val="0074592C"/>
    <w:rsid w:val="00745C91"/>
    <w:rsid w:val="00746098"/>
    <w:rsid w:val="00746D58"/>
    <w:rsid w:val="00747578"/>
    <w:rsid w:val="0075096B"/>
    <w:rsid w:val="00750D12"/>
    <w:rsid w:val="00750D33"/>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F60"/>
    <w:rsid w:val="0076216B"/>
    <w:rsid w:val="00762948"/>
    <w:rsid w:val="00762A81"/>
    <w:rsid w:val="00763137"/>
    <w:rsid w:val="00763726"/>
    <w:rsid w:val="00763AED"/>
    <w:rsid w:val="00763F8B"/>
    <w:rsid w:val="007640F3"/>
    <w:rsid w:val="0076417E"/>
    <w:rsid w:val="0076497F"/>
    <w:rsid w:val="00765820"/>
    <w:rsid w:val="007660EC"/>
    <w:rsid w:val="007662C7"/>
    <w:rsid w:val="00766862"/>
    <w:rsid w:val="00767512"/>
    <w:rsid w:val="007675DD"/>
    <w:rsid w:val="007702BF"/>
    <w:rsid w:val="007705F0"/>
    <w:rsid w:val="00770FBB"/>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24B"/>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2F32"/>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C13"/>
    <w:rsid w:val="007A3D85"/>
    <w:rsid w:val="007A3E0D"/>
    <w:rsid w:val="007A42B4"/>
    <w:rsid w:val="007A436D"/>
    <w:rsid w:val="007A4791"/>
    <w:rsid w:val="007A5335"/>
    <w:rsid w:val="007A54F6"/>
    <w:rsid w:val="007A55FE"/>
    <w:rsid w:val="007A582C"/>
    <w:rsid w:val="007A5950"/>
    <w:rsid w:val="007A6D91"/>
    <w:rsid w:val="007A7618"/>
    <w:rsid w:val="007B00C9"/>
    <w:rsid w:val="007B02C7"/>
    <w:rsid w:val="007B0306"/>
    <w:rsid w:val="007B08E4"/>
    <w:rsid w:val="007B0D86"/>
    <w:rsid w:val="007B273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801"/>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A16"/>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31"/>
    <w:rsid w:val="007D4DED"/>
    <w:rsid w:val="007D508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76"/>
    <w:rsid w:val="00812657"/>
    <w:rsid w:val="00812A1A"/>
    <w:rsid w:val="00812DFF"/>
    <w:rsid w:val="0081362F"/>
    <w:rsid w:val="0081383A"/>
    <w:rsid w:val="0081497F"/>
    <w:rsid w:val="00814B90"/>
    <w:rsid w:val="00814FC7"/>
    <w:rsid w:val="00815D93"/>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809"/>
    <w:rsid w:val="00832B44"/>
    <w:rsid w:val="00832EC9"/>
    <w:rsid w:val="00833307"/>
    <w:rsid w:val="00833583"/>
    <w:rsid w:val="00833B5B"/>
    <w:rsid w:val="00833E9A"/>
    <w:rsid w:val="00834419"/>
    <w:rsid w:val="00834FEF"/>
    <w:rsid w:val="0083506E"/>
    <w:rsid w:val="00835AA0"/>
    <w:rsid w:val="00836323"/>
    <w:rsid w:val="0083655A"/>
    <w:rsid w:val="008367FF"/>
    <w:rsid w:val="00837D3D"/>
    <w:rsid w:val="00837E1B"/>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AD"/>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EE"/>
    <w:rsid w:val="00871333"/>
    <w:rsid w:val="00871390"/>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01"/>
    <w:rsid w:val="008856C5"/>
    <w:rsid w:val="00886112"/>
    <w:rsid w:val="008864B1"/>
    <w:rsid w:val="008866D0"/>
    <w:rsid w:val="008872B3"/>
    <w:rsid w:val="00887392"/>
    <w:rsid w:val="00887D75"/>
    <w:rsid w:val="00890A64"/>
    <w:rsid w:val="00890A96"/>
    <w:rsid w:val="00890C40"/>
    <w:rsid w:val="0089122E"/>
    <w:rsid w:val="008912A7"/>
    <w:rsid w:val="0089183A"/>
    <w:rsid w:val="008920B4"/>
    <w:rsid w:val="008925EB"/>
    <w:rsid w:val="0089275E"/>
    <w:rsid w:val="00892B43"/>
    <w:rsid w:val="00893432"/>
    <w:rsid w:val="00893936"/>
    <w:rsid w:val="00893CE2"/>
    <w:rsid w:val="00893F41"/>
    <w:rsid w:val="00895144"/>
    <w:rsid w:val="00895615"/>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A85"/>
    <w:rsid w:val="008B06A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A58"/>
    <w:rsid w:val="008C6E0C"/>
    <w:rsid w:val="008C7273"/>
    <w:rsid w:val="008C78F8"/>
    <w:rsid w:val="008C7B81"/>
    <w:rsid w:val="008D05DF"/>
    <w:rsid w:val="008D09E8"/>
    <w:rsid w:val="008D0E65"/>
    <w:rsid w:val="008D0FF4"/>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0FD3"/>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7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C3"/>
    <w:rsid w:val="00902B29"/>
    <w:rsid w:val="009033B2"/>
    <w:rsid w:val="00903C83"/>
    <w:rsid w:val="00903D77"/>
    <w:rsid w:val="0090408F"/>
    <w:rsid w:val="0090446A"/>
    <w:rsid w:val="00904537"/>
    <w:rsid w:val="00904DC3"/>
    <w:rsid w:val="0090534A"/>
    <w:rsid w:val="00905469"/>
    <w:rsid w:val="00906078"/>
    <w:rsid w:val="0090629C"/>
    <w:rsid w:val="00906653"/>
    <w:rsid w:val="009066BA"/>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D97"/>
    <w:rsid w:val="00923E1A"/>
    <w:rsid w:val="009245CC"/>
    <w:rsid w:val="0092490A"/>
    <w:rsid w:val="00925A3E"/>
    <w:rsid w:val="009261DB"/>
    <w:rsid w:val="00926939"/>
    <w:rsid w:val="00926F4C"/>
    <w:rsid w:val="00927330"/>
    <w:rsid w:val="00927710"/>
    <w:rsid w:val="009307CA"/>
    <w:rsid w:val="00930C00"/>
    <w:rsid w:val="009312F9"/>
    <w:rsid w:val="00931445"/>
    <w:rsid w:val="009318E1"/>
    <w:rsid w:val="00931AB8"/>
    <w:rsid w:val="00931C19"/>
    <w:rsid w:val="00931C63"/>
    <w:rsid w:val="00931D10"/>
    <w:rsid w:val="0093218A"/>
    <w:rsid w:val="0093386D"/>
    <w:rsid w:val="00934C8E"/>
    <w:rsid w:val="00935194"/>
    <w:rsid w:val="009364A3"/>
    <w:rsid w:val="00936EA5"/>
    <w:rsid w:val="00937114"/>
    <w:rsid w:val="0094015D"/>
    <w:rsid w:val="009405EB"/>
    <w:rsid w:val="00940916"/>
    <w:rsid w:val="00940FB4"/>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5FB"/>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A4D"/>
    <w:rsid w:val="00962FB8"/>
    <w:rsid w:val="00963183"/>
    <w:rsid w:val="0096373F"/>
    <w:rsid w:val="00964007"/>
    <w:rsid w:val="00964283"/>
    <w:rsid w:val="009642A4"/>
    <w:rsid w:val="009643F4"/>
    <w:rsid w:val="009645A6"/>
    <w:rsid w:val="00964DFD"/>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9B2"/>
    <w:rsid w:val="009804D0"/>
    <w:rsid w:val="0098055B"/>
    <w:rsid w:val="00980B30"/>
    <w:rsid w:val="009810BE"/>
    <w:rsid w:val="009817BC"/>
    <w:rsid w:val="009819A7"/>
    <w:rsid w:val="0098220A"/>
    <w:rsid w:val="00982E75"/>
    <w:rsid w:val="00983337"/>
    <w:rsid w:val="009836AA"/>
    <w:rsid w:val="0098432C"/>
    <w:rsid w:val="009846BF"/>
    <w:rsid w:val="009851F5"/>
    <w:rsid w:val="0098534B"/>
    <w:rsid w:val="00985616"/>
    <w:rsid w:val="00986019"/>
    <w:rsid w:val="00986281"/>
    <w:rsid w:val="00986F59"/>
    <w:rsid w:val="00986FC9"/>
    <w:rsid w:val="0098764E"/>
    <w:rsid w:val="00987683"/>
    <w:rsid w:val="00987826"/>
    <w:rsid w:val="00987B4F"/>
    <w:rsid w:val="00987D58"/>
    <w:rsid w:val="00987D8D"/>
    <w:rsid w:val="0099010A"/>
    <w:rsid w:val="0099034B"/>
    <w:rsid w:val="009906D4"/>
    <w:rsid w:val="00990A8E"/>
    <w:rsid w:val="00990EB7"/>
    <w:rsid w:val="00990EDF"/>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774"/>
    <w:rsid w:val="00994DA1"/>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0AB"/>
    <w:rsid w:val="009A754E"/>
    <w:rsid w:val="009A7B8A"/>
    <w:rsid w:val="009A7E7C"/>
    <w:rsid w:val="009B001A"/>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08"/>
    <w:rsid w:val="009F33DC"/>
    <w:rsid w:val="009F4550"/>
    <w:rsid w:val="009F56C0"/>
    <w:rsid w:val="009F5C76"/>
    <w:rsid w:val="009F66EA"/>
    <w:rsid w:val="009F677C"/>
    <w:rsid w:val="00A000C5"/>
    <w:rsid w:val="00A007B4"/>
    <w:rsid w:val="00A00930"/>
    <w:rsid w:val="00A00CA0"/>
    <w:rsid w:val="00A00E00"/>
    <w:rsid w:val="00A01221"/>
    <w:rsid w:val="00A012A8"/>
    <w:rsid w:val="00A012F1"/>
    <w:rsid w:val="00A016FF"/>
    <w:rsid w:val="00A01886"/>
    <w:rsid w:val="00A0207F"/>
    <w:rsid w:val="00A021AF"/>
    <w:rsid w:val="00A027B1"/>
    <w:rsid w:val="00A028C9"/>
    <w:rsid w:val="00A02B3F"/>
    <w:rsid w:val="00A0307A"/>
    <w:rsid w:val="00A03A7C"/>
    <w:rsid w:val="00A044AA"/>
    <w:rsid w:val="00A0700C"/>
    <w:rsid w:val="00A102F8"/>
    <w:rsid w:val="00A10A20"/>
    <w:rsid w:val="00A11510"/>
    <w:rsid w:val="00A117D5"/>
    <w:rsid w:val="00A11C11"/>
    <w:rsid w:val="00A123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D4"/>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2DB"/>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31F2"/>
    <w:rsid w:val="00A54909"/>
    <w:rsid w:val="00A54DC0"/>
    <w:rsid w:val="00A550C9"/>
    <w:rsid w:val="00A55228"/>
    <w:rsid w:val="00A55410"/>
    <w:rsid w:val="00A55A04"/>
    <w:rsid w:val="00A564DE"/>
    <w:rsid w:val="00A6054E"/>
    <w:rsid w:val="00A60799"/>
    <w:rsid w:val="00A60A26"/>
    <w:rsid w:val="00A60EB1"/>
    <w:rsid w:val="00A6170B"/>
    <w:rsid w:val="00A61991"/>
    <w:rsid w:val="00A61B7F"/>
    <w:rsid w:val="00A61B91"/>
    <w:rsid w:val="00A61C3A"/>
    <w:rsid w:val="00A620E8"/>
    <w:rsid w:val="00A63335"/>
    <w:rsid w:val="00A634EB"/>
    <w:rsid w:val="00A63685"/>
    <w:rsid w:val="00A63EA5"/>
    <w:rsid w:val="00A64545"/>
    <w:rsid w:val="00A645AC"/>
    <w:rsid w:val="00A647C5"/>
    <w:rsid w:val="00A64C79"/>
    <w:rsid w:val="00A65EFB"/>
    <w:rsid w:val="00A66E28"/>
    <w:rsid w:val="00A67220"/>
    <w:rsid w:val="00A67239"/>
    <w:rsid w:val="00A67429"/>
    <w:rsid w:val="00A677E7"/>
    <w:rsid w:val="00A678F1"/>
    <w:rsid w:val="00A67CE9"/>
    <w:rsid w:val="00A70590"/>
    <w:rsid w:val="00A7062E"/>
    <w:rsid w:val="00A70834"/>
    <w:rsid w:val="00A71542"/>
    <w:rsid w:val="00A7171F"/>
    <w:rsid w:val="00A71FA0"/>
    <w:rsid w:val="00A71FBD"/>
    <w:rsid w:val="00A7201C"/>
    <w:rsid w:val="00A72727"/>
    <w:rsid w:val="00A727D8"/>
    <w:rsid w:val="00A72C1A"/>
    <w:rsid w:val="00A72FCE"/>
    <w:rsid w:val="00A732FB"/>
    <w:rsid w:val="00A7463E"/>
    <w:rsid w:val="00A758E2"/>
    <w:rsid w:val="00A765B1"/>
    <w:rsid w:val="00A772F2"/>
    <w:rsid w:val="00A7755C"/>
    <w:rsid w:val="00A77828"/>
    <w:rsid w:val="00A77BAA"/>
    <w:rsid w:val="00A800F9"/>
    <w:rsid w:val="00A803A6"/>
    <w:rsid w:val="00A8073D"/>
    <w:rsid w:val="00A807A1"/>
    <w:rsid w:val="00A80D02"/>
    <w:rsid w:val="00A815FB"/>
    <w:rsid w:val="00A81AEB"/>
    <w:rsid w:val="00A82411"/>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20B"/>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D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D08"/>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A2E"/>
    <w:rsid w:val="00AD5F0A"/>
    <w:rsid w:val="00AD6A5B"/>
    <w:rsid w:val="00AD6B4F"/>
    <w:rsid w:val="00AD6D19"/>
    <w:rsid w:val="00AD7812"/>
    <w:rsid w:val="00AD7B2C"/>
    <w:rsid w:val="00AD7C42"/>
    <w:rsid w:val="00AD7CFA"/>
    <w:rsid w:val="00AE06B0"/>
    <w:rsid w:val="00AE0BD6"/>
    <w:rsid w:val="00AE11C1"/>
    <w:rsid w:val="00AE163D"/>
    <w:rsid w:val="00AE1A42"/>
    <w:rsid w:val="00AE1C5C"/>
    <w:rsid w:val="00AE315E"/>
    <w:rsid w:val="00AE319F"/>
    <w:rsid w:val="00AE31D9"/>
    <w:rsid w:val="00AE3CF0"/>
    <w:rsid w:val="00AE4546"/>
    <w:rsid w:val="00AE48E9"/>
    <w:rsid w:val="00AE64D4"/>
    <w:rsid w:val="00AE6575"/>
    <w:rsid w:val="00AE71EE"/>
    <w:rsid w:val="00AF03CF"/>
    <w:rsid w:val="00AF0A0A"/>
    <w:rsid w:val="00AF14FC"/>
    <w:rsid w:val="00AF180F"/>
    <w:rsid w:val="00AF1ED2"/>
    <w:rsid w:val="00AF1F4E"/>
    <w:rsid w:val="00AF1F70"/>
    <w:rsid w:val="00AF2302"/>
    <w:rsid w:val="00AF262A"/>
    <w:rsid w:val="00AF3557"/>
    <w:rsid w:val="00AF3F86"/>
    <w:rsid w:val="00AF4CEE"/>
    <w:rsid w:val="00AF4F4A"/>
    <w:rsid w:val="00AF584C"/>
    <w:rsid w:val="00AF5D84"/>
    <w:rsid w:val="00AF5F16"/>
    <w:rsid w:val="00AF6476"/>
    <w:rsid w:val="00AF669D"/>
    <w:rsid w:val="00AF672C"/>
    <w:rsid w:val="00AF673E"/>
    <w:rsid w:val="00AF6ABE"/>
    <w:rsid w:val="00AF7389"/>
    <w:rsid w:val="00AF79DF"/>
    <w:rsid w:val="00AF7C37"/>
    <w:rsid w:val="00B00378"/>
    <w:rsid w:val="00B006FB"/>
    <w:rsid w:val="00B00D91"/>
    <w:rsid w:val="00B00E81"/>
    <w:rsid w:val="00B00E84"/>
    <w:rsid w:val="00B01A2E"/>
    <w:rsid w:val="00B01DC4"/>
    <w:rsid w:val="00B01DD9"/>
    <w:rsid w:val="00B01F0E"/>
    <w:rsid w:val="00B038F1"/>
    <w:rsid w:val="00B03C1B"/>
    <w:rsid w:val="00B04678"/>
    <w:rsid w:val="00B047C9"/>
    <w:rsid w:val="00B04A04"/>
    <w:rsid w:val="00B04B78"/>
    <w:rsid w:val="00B04C37"/>
    <w:rsid w:val="00B04F00"/>
    <w:rsid w:val="00B05AA7"/>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B7"/>
    <w:rsid w:val="00B14561"/>
    <w:rsid w:val="00B14F47"/>
    <w:rsid w:val="00B15282"/>
    <w:rsid w:val="00B15286"/>
    <w:rsid w:val="00B1539F"/>
    <w:rsid w:val="00B1550D"/>
    <w:rsid w:val="00B15F6C"/>
    <w:rsid w:val="00B15FC0"/>
    <w:rsid w:val="00B163E8"/>
    <w:rsid w:val="00B1767E"/>
    <w:rsid w:val="00B20760"/>
    <w:rsid w:val="00B210C7"/>
    <w:rsid w:val="00B2125C"/>
    <w:rsid w:val="00B21676"/>
    <w:rsid w:val="00B219E1"/>
    <w:rsid w:val="00B21ECF"/>
    <w:rsid w:val="00B22150"/>
    <w:rsid w:val="00B226DE"/>
    <w:rsid w:val="00B22FB5"/>
    <w:rsid w:val="00B23635"/>
    <w:rsid w:val="00B241D5"/>
    <w:rsid w:val="00B24BE9"/>
    <w:rsid w:val="00B2551D"/>
    <w:rsid w:val="00B25F6D"/>
    <w:rsid w:val="00B25F8C"/>
    <w:rsid w:val="00B260BE"/>
    <w:rsid w:val="00B26677"/>
    <w:rsid w:val="00B26A96"/>
    <w:rsid w:val="00B274E3"/>
    <w:rsid w:val="00B2765C"/>
    <w:rsid w:val="00B27C4B"/>
    <w:rsid w:val="00B30563"/>
    <w:rsid w:val="00B3069E"/>
    <w:rsid w:val="00B30A76"/>
    <w:rsid w:val="00B31246"/>
    <w:rsid w:val="00B32295"/>
    <w:rsid w:val="00B336FD"/>
    <w:rsid w:val="00B338B3"/>
    <w:rsid w:val="00B33AB5"/>
    <w:rsid w:val="00B3412E"/>
    <w:rsid w:val="00B343E0"/>
    <w:rsid w:val="00B35B6D"/>
    <w:rsid w:val="00B35D53"/>
    <w:rsid w:val="00B36492"/>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EE2"/>
    <w:rsid w:val="00B47FF3"/>
    <w:rsid w:val="00B503D6"/>
    <w:rsid w:val="00B51520"/>
    <w:rsid w:val="00B515C3"/>
    <w:rsid w:val="00B517C2"/>
    <w:rsid w:val="00B518CE"/>
    <w:rsid w:val="00B51BD7"/>
    <w:rsid w:val="00B51F56"/>
    <w:rsid w:val="00B52234"/>
    <w:rsid w:val="00B53623"/>
    <w:rsid w:val="00B53D1D"/>
    <w:rsid w:val="00B53E98"/>
    <w:rsid w:val="00B53F9B"/>
    <w:rsid w:val="00B5406E"/>
    <w:rsid w:val="00B54B19"/>
    <w:rsid w:val="00B55F64"/>
    <w:rsid w:val="00B56ECA"/>
    <w:rsid w:val="00B57003"/>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4524"/>
    <w:rsid w:val="00B65788"/>
    <w:rsid w:val="00B65844"/>
    <w:rsid w:val="00B66054"/>
    <w:rsid w:val="00B6677F"/>
    <w:rsid w:val="00B66C7A"/>
    <w:rsid w:val="00B672EA"/>
    <w:rsid w:val="00B6747B"/>
    <w:rsid w:val="00B70200"/>
    <w:rsid w:val="00B702D7"/>
    <w:rsid w:val="00B70389"/>
    <w:rsid w:val="00B70E01"/>
    <w:rsid w:val="00B72CF0"/>
    <w:rsid w:val="00B7380E"/>
    <w:rsid w:val="00B73EFC"/>
    <w:rsid w:val="00B740F6"/>
    <w:rsid w:val="00B74615"/>
    <w:rsid w:val="00B74789"/>
    <w:rsid w:val="00B755B6"/>
    <w:rsid w:val="00B75977"/>
    <w:rsid w:val="00B75A48"/>
    <w:rsid w:val="00B75CC0"/>
    <w:rsid w:val="00B76021"/>
    <w:rsid w:val="00B76FCD"/>
    <w:rsid w:val="00B7764D"/>
    <w:rsid w:val="00B804F8"/>
    <w:rsid w:val="00B8095A"/>
    <w:rsid w:val="00B80AF0"/>
    <w:rsid w:val="00B80D52"/>
    <w:rsid w:val="00B81274"/>
    <w:rsid w:val="00B815D3"/>
    <w:rsid w:val="00B81742"/>
    <w:rsid w:val="00B817B5"/>
    <w:rsid w:val="00B81E9D"/>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3E4"/>
    <w:rsid w:val="00B93849"/>
    <w:rsid w:val="00B938BD"/>
    <w:rsid w:val="00B93BE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14"/>
    <w:rsid w:val="00BC0A5A"/>
    <w:rsid w:val="00BC0E64"/>
    <w:rsid w:val="00BC2110"/>
    <w:rsid w:val="00BC25D1"/>
    <w:rsid w:val="00BC2DBD"/>
    <w:rsid w:val="00BC3200"/>
    <w:rsid w:val="00BC3BCB"/>
    <w:rsid w:val="00BC3C44"/>
    <w:rsid w:val="00BC3CF1"/>
    <w:rsid w:val="00BC428A"/>
    <w:rsid w:val="00BC4C40"/>
    <w:rsid w:val="00BC5A29"/>
    <w:rsid w:val="00BC5AE3"/>
    <w:rsid w:val="00BC5BAD"/>
    <w:rsid w:val="00BC692A"/>
    <w:rsid w:val="00BC6C68"/>
    <w:rsid w:val="00BC76C5"/>
    <w:rsid w:val="00BC7E5B"/>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F7E"/>
    <w:rsid w:val="00BE7F4D"/>
    <w:rsid w:val="00BF016E"/>
    <w:rsid w:val="00BF03C0"/>
    <w:rsid w:val="00BF0EBF"/>
    <w:rsid w:val="00BF1534"/>
    <w:rsid w:val="00BF2021"/>
    <w:rsid w:val="00BF21D4"/>
    <w:rsid w:val="00BF2DDC"/>
    <w:rsid w:val="00BF32DE"/>
    <w:rsid w:val="00BF3F71"/>
    <w:rsid w:val="00BF4A15"/>
    <w:rsid w:val="00BF4E0E"/>
    <w:rsid w:val="00BF4E27"/>
    <w:rsid w:val="00BF4F7C"/>
    <w:rsid w:val="00BF537B"/>
    <w:rsid w:val="00BF5901"/>
    <w:rsid w:val="00BF5A41"/>
    <w:rsid w:val="00BF626A"/>
    <w:rsid w:val="00BF688E"/>
    <w:rsid w:val="00BF6D77"/>
    <w:rsid w:val="00BF739A"/>
    <w:rsid w:val="00BF7EF5"/>
    <w:rsid w:val="00C00BF6"/>
    <w:rsid w:val="00C019E5"/>
    <w:rsid w:val="00C0234A"/>
    <w:rsid w:val="00C0247B"/>
    <w:rsid w:val="00C0378E"/>
    <w:rsid w:val="00C042AE"/>
    <w:rsid w:val="00C04314"/>
    <w:rsid w:val="00C04BD0"/>
    <w:rsid w:val="00C054A5"/>
    <w:rsid w:val="00C05730"/>
    <w:rsid w:val="00C05AF4"/>
    <w:rsid w:val="00C05AFD"/>
    <w:rsid w:val="00C060EA"/>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EE2"/>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3E88"/>
    <w:rsid w:val="00C3499A"/>
    <w:rsid w:val="00C34C45"/>
    <w:rsid w:val="00C34C47"/>
    <w:rsid w:val="00C34FCE"/>
    <w:rsid w:val="00C3517E"/>
    <w:rsid w:val="00C35411"/>
    <w:rsid w:val="00C35EED"/>
    <w:rsid w:val="00C36B2C"/>
    <w:rsid w:val="00C3701A"/>
    <w:rsid w:val="00C376D2"/>
    <w:rsid w:val="00C379EF"/>
    <w:rsid w:val="00C405C8"/>
    <w:rsid w:val="00C40C2F"/>
    <w:rsid w:val="00C415AC"/>
    <w:rsid w:val="00C4297A"/>
    <w:rsid w:val="00C4360C"/>
    <w:rsid w:val="00C439B8"/>
    <w:rsid w:val="00C43A0B"/>
    <w:rsid w:val="00C43EDA"/>
    <w:rsid w:val="00C43FEC"/>
    <w:rsid w:val="00C4414C"/>
    <w:rsid w:val="00C4443C"/>
    <w:rsid w:val="00C44B5D"/>
    <w:rsid w:val="00C44FA9"/>
    <w:rsid w:val="00C45512"/>
    <w:rsid w:val="00C45FD3"/>
    <w:rsid w:val="00C4602B"/>
    <w:rsid w:val="00C46564"/>
    <w:rsid w:val="00C46BFA"/>
    <w:rsid w:val="00C46DDF"/>
    <w:rsid w:val="00C500A1"/>
    <w:rsid w:val="00C50A02"/>
    <w:rsid w:val="00C51149"/>
    <w:rsid w:val="00C5117E"/>
    <w:rsid w:val="00C512D1"/>
    <w:rsid w:val="00C51856"/>
    <w:rsid w:val="00C51B04"/>
    <w:rsid w:val="00C51DB5"/>
    <w:rsid w:val="00C53CE9"/>
    <w:rsid w:val="00C54042"/>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A00"/>
    <w:rsid w:val="00C62B88"/>
    <w:rsid w:val="00C62CD3"/>
    <w:rsid w:val="00C634AA"/>
    <w:rsid w:val="00C634F9"/>
    <w:rsid w:val="00C63B44"/>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CE"/>
    <w:rsid w:val="00C75A8F"/>
    <w:rsid w:val="00C76129"/>
    <w:rsid w:val="00C76732"/>
    <w:rsid w:val="00C76C0C"/>
    <w:rsid w:val="00C76FFC"/>
    <w:rsid w:val="00C774E0"/>
    <w:rsid w:val="00C776BA"/>
    <w:rsid w:val="00C7791E"/>
    <w:rsid w:val="00C80A8A"/>
    <w:rsid w:val="00C81716"/>
    <w:rsid w:val="00C832CB"/>
    <w:rsid w:val="00C84085"/>
    <w:rsid w:val="00C845DA"/>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350"/>
    <w:rsid w:val="00CA1FEA"/>
    <w:rsid w:val="00CA2528"/>
    <w:rsid w:val="00CA35AF"/>
    <w:rsid w:val="00CA3B07"/>
    <w:rsid w:val="00CA3CAB"/>
    <w:rsid w:val="00CA3FC0"/>
    <w:rsid w:val="00CA533F"/>
    <w:rsid w:val="00CA5685"/>
    <w:rsid w:val="00CA6A2E"/>
    <w:rsid w:val="00CA6B56"/>
    <w:rsid w:val="00CA6F45"/>
    <w:rsid w:val="00CA7D3E"/>
    <w:rsid w:val="00CB0317"/>
    <w:rsid w:val="00CB0662"/>
    <w:rsid w:val="00CB0A82"/>
    <w:rsid w:val="00CB0F2F"/>
    <w:rsid w:val="00CB1556"/>
    <w:rsid w:val="00CB2913"/>
    <w:rsid w:val="00CB3970"/>
    <w:rsid w:val="00CB42B9"/>
    <w:rsid w:val="00CB4550"/>
    <w:rsid w:val="00CB4F39"/>
    <w:rsid w:val="00CB51C4"/>
    <w:rsid w:val="00CB52A4"/>
    <w:rsid w:val="00CB537C"/>
    <w:rsid w:val="00CB5A26"/>
    <w:rsid w:val="00CB645B"/>
    <w:rsid w:val="00CB6A93"/>
    <w:rsid w:val="00CB6C79"/>
    <w:rsid w:val="00CB77C3"/>
    <w:rsid w:val="00CB7E9C"/>
    <w:rsid w:val="00CC0072"/>
    <w:rsid w:val="00CC027A"/>
    <w:rsid w:val="00CC0915"/>
    <w:rsid w:val="00CC104F"/>
    <w:rsid w:val="00CC1398"/>
    <w:rsid w:val="00CC1AF5"/>
    <w:rsid w:val="00CC1B74"/>
    <w:rsid w:val="00CC291E"/>
    <w:rsid w:val="00CC2D03"/>
    <w:rsid w:val="00CC2EB0"/>
    <w:rsid w:val="00CC4701"/>
    <w:rsid w:val="00CC56B4"/>
    <w:rsid w:val="00CC5F95"/>
    <w:rsid w:val="00CC642A"/>
    <w:rsid w:val="00CC6AC7"/>
    <w:rsid w:val="00CC6D5A"/>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5E97"/>
    <w:rsid w:val="00CD64E1"/>
    <w:rsid w:val="00CD66BA"/>
    <w:rsid w:val="00CD699D"/>
    <w:rsid w:val="00CD6BA3"/>
    <w:rsid w:val="00CD70DB"/>
    <w:rsid w:val="00CD7544"/>
    <w:rsid w:val="00CD78D4"/>
    <w:rsid w:val="00CE0697"/>
    <w:rsid w:val="00CE0BE3"/>
    <w:rsid w:val="00CE11E7"/>
    <w:rsid w:val="00CE14CB"/>
    <w:rsid w:val="00CE2E2E"/>
    <w:rsid w:val="00CE3202"/>
    <w:rsid w:val="00CE3A51"/>
    <w:rsid w:val="00CE41F9"/>
    <w:rsid w:val="00CE48B4"/>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A35"/>
    <w:rsid w:val="00CF5008"/>
    <w:rsid w:val="00CF5069"/>
    <w:rsid w:val="00CF5E34"/>
    <w:rsid w:val="00CF638E"/>
    <w:rsid w:val="00CF6707"/>
    <w:rsid w:val="00CF7101"/>
    <w:rsid w:val="00CF7327"/>
    <w:rsid w:val="00CF7385"/>
    <w:rsid w:val="00CF7539"/>
    <w:rsid w:val="00CF75C6"/>
    <w:rsid w:val="00CF7B77"/>
    <w:rsid w:val="00CF7DF5"/>
    <w:rsid w:val="00D001D2"/>
    <w:rsid w:val="00D006F7"/>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10A"/>
    <w:rsid w:val="00D2371E"/>
    <w:rsid w:val="00D237E0"/>
    <w:rsid w:val="00D23A17"/>
    <w:rsid w:val="00D25037"/>
    <w:rsid w:val="00D25382"/>
    <w:rsid w:val="00D25676"/>
    <w:rsid w:val="00D2579F"/>
    <w:rsid w:val="00D2580E"/>
    <w:rsid w:val="00D265A7"/>
    <w:rsid w:val="00D2690C"/>
    <w:rsid w:val="00D26D88"/>
    <w:rsid w:val="00D27129"/>
    <w:rsid w:val="00D276CF"/>
    <w:rsid w:val="00D279E7"/>
    <w:rsid w:val="00D27C8C"/>
    <w:rsid w:val="00D27F75"/>
    <w:rsid w:val="00D3040B"/>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47F6F"/>
    <w:rsid w:val="00D5064C"/>
    <w:rsid w:val="00D50C94"/>
    <w:rsid w:val="00D511E7"/>
    <w:rsid w:val="00D517ED"/>
    <w:rsid w:val="00D5251C"/>
    <w:rsid w:val="00D52F56"/>
    <w:rsid w:val="00D539DA"/>
    <w:rsid w:val="00D54A50"/>
    <w:rsid w:val="00D54FFD"/>
    <w:rsid w:val="00D5552C"/>
    <w:rsid w:val="00D5556D"/>
    <w:rsid w:val="00D556E7"/>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2C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5C3"/>
    <w:rsid w:val="00D83C0D"/>
    <w:rsid w:val="00D83C80"/>
    <w:rsid w:val="00D83F5B"/>
    <w:rsid w:val="00D85E32"/>
    <w:rsid w:val="00D85FDE"/>
    <w:rsid w:val="00D8665E"/>
    <w:rsid w:val="00D869C1"/>
    <w:rsid w:val="00D869F2"/>
    <w:rsid w:val="00D86EC6"/>
    <w:rsid w:val="00D872FB"/>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F17"/>
    <w:rsid w:val="00D9384E"/>
    <w:rsid w:val="00D93AEE"/>
    <w:rsid w:val="00D9413E"/>
    <w:rsid w:val="00D94C8D"/>
    <w:rsid w:val="00D95C9B"/>
    <w:rsid w:val="00D95F88"/>
    <w:rsid w:val="00D96698"/>
    <w:rsid w:val="00D96876"/>
    <w:rsid w:val="00D96940"/>
    <w:rsid w:val="00D96B12"/>
    <w:rsid w:val="00D96F59"/>
    <w:rsid w:val="00DA0175"/>
    <w:rsid w:val="00DA099C"/>
    <w:rsid w:val="00DA0F18"/>
    <w:rsid w:val="00DA20F4"/>
    <w:rsid w:val="00DA2125"/>
    <w:rsid w:val="00DA21EC"/>
    <w:rsid w:val="00DA24DE"/>
    <w:rsid w:val="00DA270C"/>
    <w:rsid w:val="00DA281F"/>
    <w:rsid w:val="00DA3030"/>
    <w:rsid w:val="00DA3C5B"/>
    <w:rsid w:val="00DA3CA6"/>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89"/>
    <w:rsid w:val="00DB440B"/>
    <w:rsid w:val="00DB4426"/>
    <w:rsid w:val="00DB4522"/>
    <w:rsid w:val="00DB4B40"/>
    <w:rsid w:val="00DB4F12"/>
    <w:rsid w:val="00DB4F21"/>
    <w:rsid w:val="00DB4F42"/>
    <w:rsid w:val="00DB540C"/>
    <w:rsid w:val="00DB6F96"/>
    <w:rsid w:val="00DB71B9"/>
    <w:rsid w:val="00DB7662"/>
    <w:rsid w:val="00DB7E46"/>
    <w:rsid w:val="00DB7F0D"/>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C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117"/>
    <w:rsid w:val="00E01377"/>
    <w:rsid w:val="00E014E7"/>
    <w:rsid w:val="00E0232F"/>
    <w:rsid w:val="00E026A9"/>
    <w:rsid w:val="00E0356F"/>
    <w:rsid w:val="00E03B42"/>
    <w:rsid w:val="00E03BE1"/>
    <w:rsid w:val="00E03C10"/>
    <w:rsid w:val="00E0479F"/>
    <w:rsid w:val="00E04816"/>
    <w:rsid w:val="00E04982"/>
    <w:rsid w:val="00E04D6A"/>
    <w:rsid w:val="00E052C6"/>
    <w:rsid w:val="00E058DB"/>
    <w:rsid w:val="00E05950"/>
    <w:rsid w:val="00E05CD4"/>
    <w:rsid w:val="00E05DE8"/>
    <w:rsid w:val="00E06100"/>
    <w:rsid w:val="00E0614E"/>
    <w:rsid w:val="00E06E97"/>
    <w:rsid w:val="00E06F23"/>
    <w:rsid w:val="00E0765A"/>
    <w:rsid w:val="00E07B8F"/>
    <w:rsid w:val="00E10712"/>
    <w:rsid w:val="00E10DD1"/>
    <w:rsid w:val="00E1224C"/>
    <w:rsid w:val="00E1254C"/>
    <w:rsid w:val="00E12BDF"/>
    <w:rsid w:val="00E12D39"/>
    <w:rsid w:val="00E13326"/>
    <w:rsid w:val="00E13463"/>
    <w:rsid w:val="00E13601"/>
    <w:rsid w:val="00E13D07"/>
    <w:rsid w:val="00E14356"/>
    <w:rsid w:val="00E14961"/>
    <w:rsid w:val="00E14D76"/>
    <w:rsid w:val="00E14EE9"/>
    <w:rsid w:val="00E15183"/>
    <w:rsid w:val="00E152D5"/>
    <w:rsid w:val="00E15D6C"/>
    <w:rsid w:val="00E1702C"/>
    <w:rsid w:val="00E1720B"/>
    <w:rsid w:val="00E203DE"/>
    <w:rsid w:val="00E20CE7"/>
    <w:rsid w:val="00E213EC"/>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8F0"/>
    <w:rsid w:val="00E3394F"/>
    <w:rsid w:val="00E33A0B"/>
    <w:rsid w:val="00E34A2F"/>
    <w:rsid w:val="00E35A45"/>
    <w:rsid w:val="00E35DD3"/>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69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9C2"/>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2BF"/>
    <w:rsid w:val="00E66E11"/>
    <w:rsid w:val="00E672C6"/>
    <w:rsid w:val="00E70192"/>
    <w:rsid w:val="00E70C55"/>
    <w:rsid w:val="00E70E34"/>
    <w:rsid w:val="00E71809"/>
    <w:rsid w:val="00E71BBF"/>
    <w:rsid w:val="00E71D1E"/>
    <w:rsid w:val="00E726F2"/>
    <w:rsid w:val="00E728E2"/>
    <w:rsid w:val="00E738FA"/>
    <w:rsid w:val="00E739B6"/>
    <w:rsid w:val="00E74A2B"/>
    <w:rsid w:val="00E74F8F"/>
    <w:rsid w:val="00E75667"/>
    <w:rsid w:val="00E756D3"/>
    <w:rsid w:val="00E75A5A"/>
    <w:rsid w:val="00E76004"/>
    <w:rsid w:val="00E7608F"/>
    <w:rsid w:val="00E760D7"/>
    <w:rsid w:val="00E769CC"/>
    <w:rsid w:val="00E77124"/>
    <w:rsid w:val="00E77341"/>
    <w:rsid w:val="00E7783E"/>
    <w:rsid w:val="00E778B8"/>
    <w:rsid w:val="00E800C7"/>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5E9A"/>
    <w:rsid w:val="00E875A7"/>
    <w:rsid w:val="00E87A37"/>
    <w:rsid w:val="00E87B30"/>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551"/>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65A"/>
    <w:rsid w:val="00EC1E8A"/>
    <w:rsid w:val="00EC240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F31"/>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79C"/>
    <w:rsid w:val="00EE2989"/>
    <w:rsid w:val="00EE2A9D"/>
    <w:rsid w:val="00EE32D5"/>
    <w:rsid w:val="00EE3384"/>
    <w:rsid w:val="00EE4236"/>
    <w:rsid w:val="00EE499F"/>
    <w:rsid w:val="00EE56E2"/>
    <w:rsid w:val="00EE5FCD"/>
    <w:rsid w:val="00EE63BF"/>
    <w:rsid w:val="00EE6D45"/>
    <w:rsid w:val="00EE6E89"/>
    <w:rsid w:val="00EE79F7"/>
    <w:rsid w:val="00EF0D4B"/>
    <w:rsid w:val="00EF0FE6"/>
    <w:rsid w:val="00EF1130"/>
    <w:rsid w:val="00EF1432"/>
    <w:rsid w:val="00EF1511"/>
    <w:rsid w:val="00EF1F01"/>
    <w:rsid w:val="00EF2686"/>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5BA"/>
    <w:rsid w:val="00F04D19"/>
    <w:rsid w:val="00F050A3"/>
    <w:rsid w:val="00F06340"/>
    <w:rsid w:val="00F0665D"/>
    <w:rsid w:val="00F06D42"/>
    <w:rsid w:val="00F07134"/>
    <w:rsid w:val="00F0724D"/>
    <w:rsid w:val="00F07378"/>
    <w:rsid w:val="00F106D7"/>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17FA3"/>
    <w:rsid w:val="00F2005E"/>
    <w:rsid w:val="00F20197"/>
    <w:rsid w:val="00F20369"/>
    <w:rsid w:val="00F20607"/>
    <w:rsid w:val="00F208BB"/>
    <w:rsid w:val="00F20C9E"/>
    <w:rsid w:val="00F213D8"/>
    <w:rsid w:val="00F21A5D"/>
    <w:rsid w:val="00F21C13"/>
    <w:rsid w:val="00F22362"/>
    <w:rsid w:val="00F22796"/>
    <w:rsid w:val="00F2296A"/>
    <w:rsid w:val="00F234A4"/>
    <w:rsid w:val="00F2363A"/>
    <w:rsid w:val="00F23863"/>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76"/>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20"/>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2DD"/>
    <w:rsid w:val="00F51A82"/>
    <w:rsid w:val="00F51B78"/>
    <w:rsid w:val="00F51BDD"/>
    <w:rsid w:val="00F52065"/>
    <w:rsid w:val="00F521CE"/>
    <w:rsid w:val="00F5253E"/>
    <w:rsid w:val="00F5254B"/>
    <w:rsid w:val="00F5294F"/>
    <w:rsid w:val="00F52CB7"/>
    <w:rsid w:val="00F53A44"/>
    <w:rsid w:val="00F54E5E"/>
    <w:rsid w:val="00F551DB"/>
    <w:rsid w:val="00F556B3"/>
    <w:rsid w:val="00F55810"/>
    <w:rsid w:val="00F5594D"/>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3F3"/>
    <w:rsid w:val="00F85683"/>
    <w:rsid w:val="00F85841"/>
    <w:rsid w:val="00F85F4D"/>
    <w:rsid w:val="00F86079"/>
    <w:rsid w:val="00F8610A"/>
    <w:rsid w:val="00F87282"/>
    <w:rsid w:val="00F878CD"/>
    <w:rsid w:val="00F87905"/>
    <w:rsid w:val="00F87A66"/>
    <w:rsid w:val="00F90C1F"/>
    <w:rsid w:val="00F912D9"/>
    <w:rsid w:val="00F91A44"/>
    <w:rsid w:val="00F91BFA"/>
    <w:rsid w:val="00F91F8F"/>
    <w:rsid w:val="00F9217B"/>
    <w:rsid w:val="00F931A6"/>
    <w:rsid w:val="00F97A34"/>
    <w:rsid w:val="00F97E4A"/>
    <w:rsid w:val="00F97EA1"/>
    <w:rsid w:val="00FA003A"/>
    <w:rsid w:val="00FA05C8"/>
    <w:rsid w:val="00FA0678"/>
    <w:rsid w:val="00FA0711"/>
    <w:rsid w:val="00FA0DB6"/>
    <w:rsid w:val="00FA1475"/>
    <w:rsid w:val="00FA23F7"/>
    <w:rsid w:val="00FA27EB"/>
    <w:rsid w:val="00FA35B6"/>
    <w:rsid w:val="00FA3A64"/>
    <w:rsid w:val="00FA3EBC"/>
    <w:rsid w:val="00FA423C"/>
    <w:rsid w:val="00FA44D0"/>
    <w:rsid w:val="00FA4590"/>
    <w:rsid w:val="00FA55A2"/>
    <w:rsid w:val="00FA672F"/>
    <w:rsid w:val="00FA775E"/>
    <w:rsid w:val="00FA7792"/>
    <w:rsid w:val="00FA79AB"/>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2AF"/>
    <w:rsid w:val="00FC38D4"/>
    <w:rsid w:val="00FC391E"/>
    <w:rsid w:val="00FC39B3"/>
    <w:rsid w:val="00FC3BB7"/>
    <w:rsid w:val="00FC4345"/>
    <w:rsid w:val="00FC444A"/>
    <w:rsid w:val="00FC453D"/>
    <w:rsid w:val="00FC4A89"/>
    <w:rsid w:val="00FC4D5C"/>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1B"/>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000"/>
    <w:rsid w:val="00FE713E"/>
    <w:rsid w:val="00FE735F"/>
    <w:rsid w:val="00FE7877"/>
    <w:rsid w:val="00FE7DD1"/>
    <w:rsid w:val="00FF0B4F"/>
    <w:rsid w:val="00FF0E03"/>
    <w:rsid w:val="00FF0F58"/>
    <w:rsid w:val="00FF183C"/>
    <w:rsid w:val="00FF1A06"/>
    <w:rsid w:val="00FF1AD3"/>
    <w:rsid w:val="00FF1B46"/>
    <w:rsid w:val="00FF219D"/>
    <w:rsid w:val="00FF2A7B"/>
    <w:rsid w:val="00FF30A8"/>
    <w:rsid w:val="00FF3D2B"/>
    <w:rsid w:val="00FF49B4"/>
    <w:rsid w:val="00FF49F4"/>
    <w:rsid w:val="00FF5538"/>
    <w:rsid w:val="00FF5AAE"/>
    <w:rsid w:val="00FF5C6A"/>
    <w:rsid w:val="00FF651D"/>
    <w:rsid w:val="00FF6843"/>
    <w:rsid w:val="00FF6C25"/>
    <w:rsid w:val="010651D9"/>
    <w:rsid w:val="010C0C1E"/>
    <w:rsid w:val="011F6449"/>
    <w:rsid w:val="01236AFB"/>
    <w:rsid w:val="014852B3"/>
    <w:rsid w:val="014D28C9"/>
    <w:rsid w:val="016E5688"/>
    <w:rsid w:val="019F7441"/>
    <w:rsid w:val="01B37585"/>
    <w:rsid w:val="01C85005"/>
    <w:rsid w:val="01D55165"/>
    <w:rsid w:val="01DF6BF8"/>
    <w:rsid w:val="01EC2C57"/>
    <w:rsid w:val="024F7FEB"/>
    <w:rsid w:val="026B2E25"/>
    <w:rsid w:val="026F5F9E"/>
    <w:rsid w:val="02824D4D"/>
    <w:rsid w:val="029D60A3"/>
    <w:rsid w:val="02A95A35"/>
    <w:rsid w:val="02DC4B10"/>
    <w:rsid w:val="02DD76CE"/>
    <w:rsid w:val="02F36323"/>
    <w:rsid w:val="02F5619C"/>
    <w:rsid w:val="0313324A"/>
    <w:rsid w:val="0326446A"/>
    <w:rsid w:val="032D5555"/>
    <w:rsid w:val="036634D2"/>
    <w:rsid w:val="03DD35E4"/>
    <w:rsid w:val="03F175F7"/>
    <w:rsid w:val="04076900"/>
    <w:rsid w:val="040F7C4B"/>
    <w:rsid w:val="041A5A3B"/>
    <w:rsid w:val="042311BA"/>
    <w:rsid w:val="0428084E"/>
    <w:rsid w:val="042B157A"/>
    <w:rsid w:val="045255E4"/>
    <w:rsid w:val="048E097B"/>
    <w:rsid w:val="048F763B"/>
    <w:rsid w:val="049F330E"/>
    <w:rsid w:val="04AA775C"/>
    <w:rsid w:val="04AD4D18"/>
    <w:rsid w:val="04AF1889"/>
    <w:rsid w:val="04BC7CCF"/>
    <w:rsid w:val="04EC05E2"/>
    <w:rsid w:val="04F66F48"/>
    <w:rsid w:val="05251E14"/>
    <w:rsid w:val="05526201"/>
    <w:rsid w:val="059B671E"/>
    <w:rsid w:val="059D5987"/>
    <w:rsid w:val="059E79E0"/>
    <w:rsid w:val="05A16594"/>
    <w:rsid w:val="05A7762D"/>
    <w:rsid w:val="05FE5673"/>
    <w:rsid w:val="060E5941"/>
    <w:rsid w:val="06110FAF"/>
    <w:rsid w:val="061B7EBC"/>
    <w:rsid w:val="06493CA7"/>
    <w:rsid w:val="065A6178"/>
    <w:rsid w:val="066F1CF3"/>
    <w:rsid w:val="067508F8"/>
    <w:rsid w:val="067511C9"/>
    <w:rsid w:val="06930BB8"/>
    <w:rsid w:val="06A9274F"/>
    <w:rsid w:val="06DC36D6"/>
    <w:rsid w:val="070A234B"/>
    <w:rsid w:val="07245D42"/>
    <w:rsid w:val="07264C62"/>
    <w:rsid w:val="072B6851"/>
    <w:rsid w:val="0779354C"/>
    <w:rsid w:val="07C27AF6"/>
    <w:rsid w:val="08007E8A"/>
    <w:rsid w:val="08061376"/>
    <w:rsid w:val="08452D77"/>
    <w:rsid w:val="086401F8"/>
    <w:rsid w:val="08751CAA"/>
    <w:rsid w:val="087E4C40"/>
    <w:rsid w:val="08923755"/>
    <w:rsid w:val="08B35201"/>
    <w:rsid w:val="08D66AD6"/>
    <w:rsid w:val="08DA33A3"/>
    <w:rsid w:val="08E80F13"/>
    <w:rsid w:val="091B2CE5"/>
    <w:rsid w:val="09335624"/>
    <w:rsid w:val="0944690F"/>
    <w:rsid w:val="09535675"/>
    <w:rsid w:val="095F057D"/>
    <w:rsid w:val="09642282"/>
    <w:rsid w:val="09733572"/>
    <w:rsid w:val="09772C16"/>
    <w:rsid w:val="098353B5"/>
    <w:rsid w:val="09A15E77"/>
    <w:rsid w:val="09A664D0"/>
    <w:rsid w:val="09A92330"/>
    <w:rsid w:val="09AE03C9"/>
    <w:rsid w:val="09B06B87"/>
    <w:rsid w:val="09C13146"/>
    <w:rsid w:val="09E04166"/>
    <w:rsid w:val="09F102DE"/>
    <w:rsid w:val="0A1C0718"/>
    <w:rsid w:val="0A3E7710"/>
    <w:rsid w:val="0A5B7E63"/>
    <w:rsid w:val="0AA374A5"/>
    <w:rsid w:val="0AAB7649"/>
    <w:rsid w:val="0ABC5606"/>
    <w:rsid w:val="0AD34C9C"/>
    <w:rsid w:val="0B30404E"/>
    <w:rsid w:val="0B4C6C14"/>
    <w:rsid w:val="0B631A88"/>
    <w:rsid w:val="0B683D45"/>
    <w:rsid w:val="0B7F3F11"/>
    <w:rsid w:val="0B884417"/>
    <w:rsid w:val="0B9068A4"/>
    <w:rsid w:val="0BF6188C"/>
    <w:rsid w:val="0BF73C91"/>
    <w:rsid w:val="0C170175"/>
    <w:rsid w:val="0C484FB1"/>
    <w:rsid w:val="0C571A41"/>
    <w:rsid w:val="0C5C1171"/>
    <w:rsid w:val="0C5E1CBC"/>
    <w:rsid w:val="0C615B50"/>
    <w:rsid w:val="0C8445DA"/>
    <w:rsid w:val="0C87121B"/>
    <w:rsid w:val="0C9532D5"/>
    <w:rsid w:val="0C9615C8"/>
    <w:rsid w:val="0CC007F7"/>
    <w:rsid w:val="0CD26CBE"/>
    <w:rsid w:val="0CFE707A"/>
    <w:rsid w:val="0D063BDA"/>
    <w:rsid w:val="0D08375F"/>
    <w:rsid w:val="0D184CFB"/>
    <w:rsid w:val="0D2B64A6"/>
    <w:rsid w:val="0D3C2EA1"/>
    <w:rsid w:val="0D4070BC"/>
    <w:rsid w:val="0D4A7419"/>
    <w:rsid w:val="0D827401"/>
    <w:rsid w:val="0D84094E"/>
    <w:rsid w:val="0D8A00E9"/>
    <w:rsid w:val="0D8D589E"/>
    <w:rsid w:val="0DA01C73"/>
    <w:rsid w:val="0DA4150C"/>
    <w:rsid w:val="0DCE5B61"/>
    <w:rsid w:val="0DD63300"/>
    <w:rsid w:val="0DF50604"/>
    <w:rsid w:val="0DF702FE"/>
    <w:rsid w:val="0E0375E6"/>
    <w:rsid w:val="0E060E51"/>
    <w:rsid w:val="0E5604B2"/>
    <w:rsid w:val="0E697CC6"/>
    <w:rsid w:val="0E6D5D79"/>
    <w:rsid w:val="0E794EDC"/>
    <w:rsid w:val="0E9D0089"/>
    <w:rsid w:val="0EB803EE"/>
    <w:rsid w:val="0EF94D4B"/>
    <w:rsid w:val="0F4958DC"/>
    <w:rsid w:val="0F515DF7"/>
    <w:rsid w:val="0F596BA8"/>
    <w:rsid w:val="0F5A075C"/>
    <w:rsid w:val="0F6248D2"/>
    <w:rsid w:val="0F693536"/>
    <w:rsid w:val="0F764839"/>
    <w:rsid w:val="0F7B0511"/>
    <w:rsid w:val="0F7B76D9"/>
    <w:rsid w:val="0F816ACD"/>
    <w:rsid w:val="0F9832DB"/>
    <w:rsid w:val="0FB934D6"/>
    <w:rsid w:val="0FBF3FD2"/>
    <w:rsid w:val="0FBF7FF3"/>
    <w:rsid w:val="0FDB631B"/>
    <w:rsid w:val="10646583"/>
    <w:rsid w:val="107D4B15"/>
    <w:rsid w:val="108A3C80"/>
    <w:rsid w:val="10C26171"/>
    <w:rsid w:val="10C62435"/>
    <w:rsid w:val="10DA3734"/>
    <w:rsid w:val="10F33360"/>
    <w:rsid w:val="10F5413D"/>
    <w:rsid w:val="10FC16EA"/>
    <w:rsid w:val="110F1D40"/>
    <w:rsid w:val="11266F33"/>
    <w:rsid w:val="118963A1"/>
    <w:rsid w:val="11AB34D8"/>
    <w:rsid w:val="11C6522A"/>
    <w:rsid w:val="11E104CC"/>
    <w:rsid w:val="11E20309"/>
    <w:rsid w:val="12255233"/>
    <w:rsid w:val="124E105C"/>
    <w:rsid w:val="12530213"/>
    <w:rsid w:val="127723A9"/>
    <w:rsid w:val="12862074"/>
    <w:rsid w:val="12883966"/>
    <w:rsid w:val="129E45B4"/>
    <w:rsid w:val="12D81596"/>
    <w:rsid w:val="13072A44"/>
    <w:rsid w:val="135F4BE2"/>
    <w:rsid w:val="13745F96"/>
    <w:rsid w:val="139B1A0A"/>
    <w:rsid w:val="139D25C7"/>
    <w:rsid w:val="139E1761"/>
    <w:rsid w:val="13A7787D"/>
    <w:rsid w:val="13BF3CE4"/>
    <w:rsid w:val="13EF24DD"/>
    <w:rsid w:val="141008D8"/>
    <w:rsid w:val="14125FE6"/>
    <w:rsid w:val="146D271E"/>
    <w:rsid w:val="14982588"/>
    <w:rsid w:val="149A5AD9"/>
    <w:rsid w:val="14A7619D"/>
    <w:rsid w:val="14B0757C"/>
    <w:rsid w:val="150536C3"/>
    <w:rsid w:val="150C1963"/>
    <w:rsid w:val="151447A0"/>
    <w:rsid w:val="152C4604"/>
    <w:rsid w:val="154A6454"/>
    <w:rsid w:val="15762120"/>
    <w:rsid w:val="15E1432B"/>
    <w:rsid w:val="161E16D5"/>
    <w:rsid w:val="163D5A89"/>
    <w:rsid w:val="16473A09"/>
    <w:rsid w:val="1655368D"/>
    <w:rsid w:val="16A8729C"/>
    <w:rsid w:val="16B33777"/>
    <w:rsid w:val="16BC70A7"/>
    <w:rsid w:val="16C6339E"/>
    <w:rsid w:val="172A7D8D"/>
    <w:rsid w:val="172F2D79"/>
    <w:rsid w:val="17557BEF"/>
    <w:rsid w:val="175A00C7"/>
    <w:rsid w:val="17B370D5"/>
    <w:rsid w:val="17D349C1"/>
    <w:rsid w:val="1830729E"/>
    <w:rsid w:val="185614BD"/>
    <w:rsid w:val="1870062C"/>
    <w:rsid w:val="18817102"/>
    <w:rsid w:val="18830A15"/>
    <w:rsid w:val="18852B28"/>
    <w:rsid w:val="188B5321"/>
    <w:rsid w:val="18974964"/>
    <w:rsid w:val="18F71505"/>
    <w:rsid w:val="19397AAF"/>
    <w:rsid w:val="193C4195"/>
    <w:rsid w:val="195D0141"/>
    <w:rsid w:val="19813530"/>
    <w:rsid w:val="19932372"/>
    <w:rsid w:val="199944A6"/>
    <w:rsid w:val="19A20DD5"/>
    <w:rsid w:val="19AE03F1"/>
    <w:rsid w:val="1A071A03"/>
    <w:rsid w:val="1A0A7F67"/>
    <w:rsid w:val="1A1F16AE"/>
    <w:rsid w:val="1A3B5C77"/>
    <w:rsid w:val="1A4772FE"/>
    <w:rsid w:val="1A8A2B61"/>
    <w:rsid w:val="1A984BAD"/>
    <w:rsid w:val="1AB8220E"/>
    <w:rsid w:val="1ABC02E6"/>
    <w:rsid w:val="1AE4166C"/>
    <w:rsid w:val="1AF06CFB"/>
    <w:rsid w:val="1AF11B8D"/>
    <w:rsid w:val="1B11359C"/>
    <w:rsid w:val="1B1C5E28"/>
    <w:rsid w:val="1B2A271F"/>
    <w:rsid w:val="1B5003E0"/>
    <w:rsid w:val="1B530544"/>
    <w:rsid w:val="1B713184"/>
    <w:rsid w:val="1BA209CF"/>
    <w:rsid w:val="1BB4777D"/>
    <w:rsid w:val="1BD75AB8"/>
    <w:rsid w:val="1C0459C2"/>
    <w:rsid w:val="1C1B3B4A"/>
    <w:rsid w:val="1C88086E"/>
    <w:rsid w:val="1CFC7225"/>
    <w:rsid w:val="1D266CE1"/>
    <w:rsid w:val="1D3963AF"/>
    <w:rsid w:val="1D6A673C"/>
    <w:rsid w:val="1D9247AE"/>
    <w:rsid w:val="1D995E92"/>
    <w:rsid w:val="1D9F5E77"/>
    <w:rsid w:val="1DB567EC"/>
    <w:rsid w:val="1DED0C42"/>
    <w:rsid w:val="1DF51A98"/>
    <w:rsid w:val="1E3D060F"/>
    <w:rsid w:val="1E3F7D2E"/>
    <w:rsid w:val="1E4134E4"/>
    <w:rsid w:val="1E5062B3"/>
    <w:rsid w:val="1E523514"/>
    <w:rsid w:val="1E714A66"/>
    <w:rsid w:val="1E774BE5"/>
    <w:rsid w:val="1E802593"/>
    <w:rsid w:val="1EA703CC"/>
    <w:rsid w:val="1EB65E96"/>
    <w:rsid w:val="1EB7330C"/>
    <w:rsid w:val="1EDC730E"/>
    <w:rsid w:val="1EF044E7"/>
    <w:rsid w:val="1EF8433E"/>
    <w:rsid w:val="1F0A0FF3"/>
    <w:rsid w:val="1F2C6B8B"/>
    <w:rsid w:val="1F5771FF"/>
    <w:rsid w:val="1F9B252E"/>
    <w:rsid w:val="1FB50C47"/>
    <w:rsid w:val="1FB96AC5"/>
    <w:rsid w:val="1FE868A9"/>
    <w:rsid w:val="20030393"/>
    <w:rsid w:val="20034907"/>
    <w:rsid w:val="200E1FA8"/>
    <w:rsid w:val="20167C6C"/>
    <w:rsid w:val="20173E4B"/>
    <w:rsid w:val="201C761C"/>
    <w:rsid w:val="20254CE5"/>
    <w:rsid w:val="204E48BC"/>
    <w:rsid w:val="205B2614"/>
    <w:rsid w:val="208921B3"/>
    <w:rsid w:val="20973DEB"/>
    <w:rsid w:val="20A77729"/>
    <w:rsid w:val="20B26522"/>
    <w:rsid w:val="20B44310"/>
    <w:rsid w:val="21017557"/>
    <w:rsid w:val="211116EB"/>
    <w:rsid w:val="212C1E0B"/>
    <w:rsid w:val="213469E8"/>
    <w:rsid w:val="215238B8"/>
    <w:rsid w:val="216133FC"/>
    <w:rsid w:val="21950E25"/>
    <w:rsid w:val="21D56769"/>
    <w:rsid w:val="21E52EF3"/>
    <w:rsid w:val="21F20BF7"/>
    <w:rsid w:val="21FB5D7B"/>
    <w:rsid w:val="220B1C3D"/>
    <w:rsid w:val="221D1D20"/>
    <w:rsid w:val="22334A87"/>
    <w:rsid w:val="22480C77"/>
    <w:rsid w:val="22505FD7"/>
    <w:rsid w:val="2267372D"/>
    <w:rsid w:val="226825D6"/>
    <w:rsid w:val="22BE6801"/>
    <w:rsid w:val="22EB3226"/>
    <w:rsid w:val="22EC1AEA"/>
    <w:rsid w:val="23270BB3"/>
    <w:rsid w:val="233500BF"/>
    <w:rsid w:val="23377FF7"/>
    <w:rsid w:val="236B425F"/>
    <w:rsid w:val="23836192"/>
    <w:rsid w:val="23901F29"/>
    <w:rsid w:val="239C0061"/>
    <w:rsid w:val="23B908A4"/>
    <w:rsid w:val="23E95BEF"/>
    <w:rsid w:val="23FD0064"/>
    <w:rsid w:val="2423153B"/>
    <w:rsid w:val="2446055D"/>
    <w:rsid w:val="245375B0"/>
    <w:rsid w:val="24642C0A"/>
    <w:rsid w:val="24A8218C"/>
    <w:rsid w:val="24B22173"/>
    <w:rsid w:val="24B95AD9"/>
    <w:rsid w:val="24BE24DA"/>
    <w:rsid w:val="24BF0290"/>
    <w:rsid w:val="24CF5825"/>
    <w:rsid w:val="24D663E6"/>
    <w:rsid w:val="24D77F2B"/>
    <w:rsid w:val="24FF2904"/>
    <w:rsid w:val="2532334C"/>
    <w:rsid w:val="254A7C7B"/>
    <w:rsid w:val="25516B86"/>
    <w:rsid w:val="255E36B3"/>
    <w:rsid w:val="2570310A"/>
    <w:rsid w:val="258117EC"/>
    <w:rsid w:val="258775C5"/>
    <w:rsid w:val="258B00E2"/>
    <w:rsid w:val="25A917A6"/>
    <w:rsid w:val="25BE27CC"/>
    <w:rsid w:val="25CC2FCE"/>
    <w:rsid w:val="25F74A5C"/>
    <w:rsid w:val="26274342"/>
    <w:rsid w:val="2628662C"/>
    <w:rsid w:val="262D45DE"/>
    <w:rsid w:val="263C4B36"/>
    <w:rsid w:val="26886B42"/>
    <w:rsid w:val="26920223"/>
    <w:rsid w:val="26A53EF9"/>
    <w:rsid w:val="26A94201"/>
    <w:rsid w:val="26AC274F"/>
    <w:rsid w:val="27044A29"/>
    <w:rsid w:val="271523A6"/>
    <w:rsid w:val="271D34C8"/>
    <w:rsid w:val="276142BF"/>
    <w:rsid w:val="2773246A"/>
    <w:rsid w:val="27783712"/>
    <w:rsid w:val="2788120C"/>
    <w:rsid w:val="27907362"/>
    <w:rsid w:val="27BB00CE"/>
    <w:rsid w:val="27EF19D3"/>
    <w:rsid w:val="27F56181"/>
    <w:rsid w:val="28126C76"/>
    <w:rsid w:val="28333E1D"/>
    <w:rsid w:val="28454BD6"/>
    <w:rsid w:val="28455253"/>
    <w:rsid w:val="28551971"/>
    <w:rsid w:val="28575C58"/>
    <w:rsid w:val="285B1C53"/>
    <w:rsid w:val="28963B35"/>
    <w:rsid w:val="289F7086"/>
    <w:rsid w:val="28C32028"/>
    <w:rsid w:val="28CC490F"/>
    <w:rsid w:val="28DE40AA"/>
    <w:rsid w:val="290E6CE7"/>
    <w:rsid w:val="29226266"/>
    <w:rsid w:val="29345E77"/>
    <w:rsid w:val="294C65AD"/>
    <w:rsid w:val="296872E8"/>
    <w:rsid w:val="29806583"/>
    <w:rsid w:val="298B3C4C"/>
    <w:rsid w:val="29A60575"/>
    <w:rsid w:val="29B91F2E"/>
    <w:rsid w:val="29D77713"/>
    <w:rsid w:val="29F26D24"/>
    <w:rsid w:val="2A0101CE"/>
    <w:rsid w:val="2A15033F"/>
    <w:rsid w:val="2A157B78"/>
    <w:rsid w:val="2A16136A"/>
    <w:rsid w:val="2A1662C1"/>
    <w:rsid w:val="2A1C7367"/>
    <w:rsid w:val="2A2815FA"/>
    <w:rsid w:val="2A6D6092"/>
    <w:rsid w:val="2A7D76B4"/>
    <w:rsid w:val="2B437463"/>
    <w:rsid w:val="2B564F27"/>
    <w:rsid w:val="2B565B9C"/>
    <w:rsid w:val="2B7807EE"/>
    <w:rsid w:val="2BBF00EC"/>
    <w:rsid w:val="2BC37CFD"/>
    <w:rsid w:val="2BD5237F"/>
    <w:rsid w:val="2BE03C2F"/>
    <w:rsid w:val="2BE536CE"/>
    <w:rsid w:val="2BE758D9"/>
    <w:rsid w:val="2BE772F2"/>
    <w:rsid w:val="2C09049E"/>
    <w:rsid w:val="2C0A653C"/>
    <w:rsid w:val="2C191F85"/>
    <w:rsid w:val="2C4C0953"/>
    <w:rsid w:val="2C9611C0"/>
    <w:rsid w:val="2C972AC7"/>
    <w:rsid w:val="2CA53E3F"/>
    <w:rsid w:val="2CD70A53"/>
    <w:rsid w:val="2CE82D6F"/>
    <w:rsid w:val="2D013CE9"/>
    <w:rsid w:val="2D343236"/>
    <w:rsid w:val="2D583A36"/>
    <w:rsid w:val="2D866DA4"/>
    <w:rsid w:val="2DD15014"/>
    <w:rsid w:val="2DE81CB4"/>
    <w:rsid w:val="2DF72DE4"/>
    <w:rsid w:val="2E0220AF"/>
    <w:rsid w:val="2E1707A2"/>
    <w:rsid w:val="2E4B082A"/>
    <w:rsid w:val="2E5D4E86"/>
    <w:rsid w:val="2E5D790B"/>
    <w:rsid w:val="2E873790"/>
    <w:rsid w:val="2E9A3C18"/>
    <w:rsid w:val="2EBB0FEE"/>
    <w:rsid w:val="2EC63002"/>
    <w:rsid w:val="2F0A6B38"/>
    <w:rsid w:val="2F6A1F78"/>
    <w:rsid w:val="2F946CCB"/>
    <w:rsid w:val="2FD25781"/>
    <w:rsid w:val="2FFD7934"/>
    <w:rsid w:val="301E6522"/>
    <w:rsid w:val="30496D5A"/>
    <w:rsid w:val="305A331C"/>
    <w:rsid w:val="305C3CC4"/>
    <w:rsid w:val="306C3A94"/>
    <w:rsid w:val="30733ACD"/>
    <w:rsid w:val="30893773"/>
    <w:rsid w:val="308C3862"/>
    <w:rsid w:val="309379D8"/>
    <w:rsid w:val="30A270F7"/>
    <w:rsid w:val="30DF1478"/>
    <w:rsid w:val="30EC586F"/>
    <w:rsid w:val="313D505F"/>
    <w:rsid w:val="314B0F76"/>
    <w:rsid w:val="31895FB8"/>
    <w:rsid w:val="318A4759"/>
    <w:rsid w:val="31954974"/>
    <w:rsid w:val="31977E71"/>
    <w:rsid w:val="319C6071"/>
    <w:rsid w:val="31AC537E"/>
    <w:rsid w:val="31C42F48"/>
    <w:rsid w:val="31C460C7"/>
    <w:rsid w:val="31E3679B"/>
    <w:rsid w:val="31E57E30"/>
    <w:rsid w:val="31E732FD"/>
    <w:rsid w:val="32517576"/>
    <w:rsid w:val="327F0285"/>
    <w:rsid w:val="32BE5C2C"/>
    <w:rsid w:val="32DC0EB2"/>
    <w:rsid w:val="32FB6478"/>
    <w:rsid w:val="33263B3F"/>
    <w:rsid w:val="336963EB"/>
    <w:rsid w:val="33782CB8"/>
    <w:rsid w:val="33816EEB"/>
    <w:rsid w:val="33DE722D"/>
    <w:rsid w:val="33EB55CD"/>
    <w:rsid w:val="33EC4C02"/>
    <w:rsid w:val="33F33909"/>
    <w:rsid w:val="340D2360"/>
    <w:rsid w:val="3410665D"/>
    <w:rsid w:val="34211214"/>
    <w:rsid w:val="34256AA5"/>
    <w:rsid w:val="342E63AB"/>
    <w:rsid w:val="34950E68"/>
    <w:rsid w:val="34986E94"/>
    <w:rsid w:val="34AF62C9"/>
    <w:rsid w:val="34CB4388"/>
    <w:rsid w:val="34D02781"/>
    <w:rsid w:val="34FA6E12"/>
    <w:rsid w:val="34FC0D73"/>
    <w:rsid w:val="350A3A1E"/>
    <w:rsid w:val="350D1B8D"/>
    <w:rsid w:val="358D5588"/>
    <w:rsid w:val="35B8262E"/>
    <w:rsid w:val="35EB014E"/>
    <w:rsid w:val="360A255B"/>
    <w:rsid w:val="36224544"/>
    <w:rsid w:val="362F7E33"/>
    <w:rsid w:val="363A3B40"/>
    <w:rsid w:val="365302AE"/>
    <w:rsid w:val="36607A0A"/>
    <w:rsid w:val="366E227C"/>
    <w:rsid w:val="366F2E0D"/>
    <w:rsid w:val="367B6A5C"/>
    <w:rsid w:val="36A74ADA"/>
    <w:rsid w:val="36AD60D5"/>
    <w:rsid w:val="36B224F9"/>
    <w:rsid w:val="36D80507"/>
    <w:rsid w:val="36EC0CC9"/>
    <w:rsid w:val="36F823B4"/>
    <w:rsid w:val="373F410B"/>
    <w:rsid w:val="37665E6B"/>
    <w:rsid w:val="376A44BC"/>
    <w:rsid w:val="37706505"/>
    <w:rsid w:val="37EE7094"/>
    <w:rsid w:val="37F56CD0"/>
    <w:rsid w:val="38296C89"/>
    <w:rsid w:val="382D38D9"/>
    <w:rsid w:val="383002EB"/>
    <w:rsid w:val="38586797"/>
    <w:rsid w:val="38AA2C17"/>
    <w:rsid w:val="38BC0149"/>
    <w:rsid w:val="38BC2936"/>
    <w:rsid w:val="38BD5663"/>
    <w:rsid w:val="38D4307D"/>
    <w:rsid w:val="38D87D1C"/>
    <w:rsid w:val="38FD5265"/>
    <w:rsid w:val="3954645C"/>
    <w:rsid w:val="39636459"/>
    <w:rsid w:val="396B7F6C"/>
    <w:rsid w:val="398E660D"/>
    <w:rsid w:val="39B417A9"/>
    <w:rsid w:val="39FC5695"/>
    <w:rsid w:val="3A006D8E"/>
    <w:rsid w:val="3A2C1606"/>
    <w:rsid w:val="3A3651E5"/>
    <w:rsid w:val="3A3F4E87"/>
    <w:rsid w:val="3A3F7071"/>
    <w:rsid w:val="3A744481"/>
    <w:rsid w:val="3A8C7BEF"/>
    <w:rsid w:val="3A906246"/>
    <w:rsid w:val="3AED6D29"/>
    <w:rsid w:val="3B08394C"/>
    <w:rsid w:val="3B14115C"/>
    <w:rsid w:val="3B2349B7"/>
    <w:rsid w:val="3B616CFF"/>
    <w:rsid w:val="3B6259F6"/>
    <w:rsid w:val="3B976654"/>
    <w:rsid w:val="3BC01EFC"/>
    <w:rsid w:val="3BCA786A"/>
    <w:rsid w:val="3BD31E2F"/>
    <w:rsid w:val="3BF15831"/>
    <w:rsid w:val="3C103F97"/>
    <w:rsid w:val="3C105946"/>
    <w:rsid w:val="3C2F7467"/>
    <w:rsid w:val="3C471448"/>
    <w:rsid w:val="3C5F759A"/>
    <w:rsid w:val="3C634773"/>
    <w:rsid w:val="3C6C525A"/>
    <w:rsid w:val="3CCE23CB"/>
    <w:rsid w:val="3CD17D17"/>
    <w:rsid w:val="3D0D445B"/>
    <w:rsid w:val="3D3C7F39"/>
    <w:rsid w:val="3D440F09"/>
    <w:rsid w:val="3D4504A0"/>
    <w:rsid w:val="3D5F318D"/>
    <w:rsid w:val="3D6023EE"/>
    <w:rsid w:val="3D8734BB"/>
    <w:rsid w:val="3D9A11D4"/>
    <w:rsid w:val="3DA16D89"/>
    <w:rsid w:val="3DA364BE"/>
    <w:rsid w:val="3DD73EFB"/>
    <w:rsid w:val="3DE041CB"/>
    <w:rsid w:val="3E0876D6"/>
    <w:rsid w:val="3E0D48F6"/>
    <w:rsid w:val="3E1868B4"/>
    <w:rsid w:val="3E377251"/>
    <w:rsid w:val="3E42664B"/>
    <w:rsid w:val="3E5A7334"/>
    <w:rsid w:val="3E7B5D6B"/>
    <w:rsid w:val="3E843E66"/>
    <w:rsid w:val="3E865B5F"/>
    <w:rsid w:val="3E8F51FE"/>
    <w:rsid w:val="3E926F87"/>
    <w:rsid w:val="3E936991"/>
    <w:rsid w:val="3E9A59DE"/>
    <w:rsid w:val="3EAF4836"/>
    <w:rsid w:val="3EC33DFA"/>
    <w:rsid w:val="3ED20EB5"/>
    <w:rsid w:val="3EE15E23"/>
    <w:rsid w:val="3F060E16"/>
    <w:rsid w:val="3F1D1096"/>
    <w:rsid w:val="3F2F0234"/>
    <w:rsid w:val="3F2F1811"/>
    <w:rsid w:val="3F4754DF"/>
    <w:rsid w:val="3F6363FE"/>
    <w:rsid w:val="3F756B8F"/>
    <w:rsid w:val="3F8A0269"/>
    <w:rsid w:val="3F8B3496"/>
    <w:rsid w:val="3F95482B"/>
    <w:rsid w:val="3F9D7E77"/>
    <w:rsid w:val="3FBE06D4"/>
    <w:rsid w:val="4019356B"/>
    <w:rsid w:val="404E1296"/>
    <w:rsid w:val="40592157"/>
    <w:rsid w:val="406E1CAE"/>
    <w:rsid w:val="40A0133A"/>
    <w:rsid w:val="40C31A53"/>
    <w:rsid w:val="40FF545D"/>
    <w:rsid w:val="410067C8"/>
    <w:rsid w:val="41096F36"/>
    <w:rsid w:val="418F0D2A"/>
    <w:rsid w:val="41B94703"/>
    <w:rsid w:val="41D01505"/>
    <w:rsid w:val="41DC533E"/>
    <w:rsid w:val="41FF713B"/>
    <w:rsid w:val="42474939"/>
    <w:rsid w:val="424C3C57"/>
    <w:rsid w:val="42613FF3"/>
    <w:rsid w:val="42660D96"/>
    <w:rsid w:val="428667D2"/>
    <w:rsid w:val="42B11A90"/>
    <w:rsid w:val="42BB1594"/>
    <w:rsid w:val="42BE0438"/>
    <w:rsid w:val="42CD1CE0"/>
    <w:rsid w:val="42D27868"/>
    <w:rsid w:val="42E1381E"/>
    <w:rsid w:val="42ED6459"/>
    <w:rsid w:val="42FE58DD"/>
    <w:rsid w:val="43174B3D"/>
    <w:rsid w:val="43190CA5"/>
    <w:rsid w:val="434B790E"/>
    <w:rsid w:val="4360274F"/>
    <w:rsid w:val="43977AB6"/>
    <w:rsid w:val="43A3342B"/>
    <w:rsid w:val="43C77C27"/>
    <w:rsid w:val="43DE09EE"/>
    <w:rsid w:val="44002FAD"/>
    <w:rsid w:val="449101DD"/>
    <w:rsid w:val="44930ACE"/>
    <w:rsid w:val="44CA0F6F"/>
    <w:rsid w:val="44D04B5D"/>
    <w:rsid w:val="44D75902"/>
    <w:rsid w:val="44DE1391"/>
    <w:rsid w:val="451119CC"/>
    <w:rsid w:val="451B225C"/>
    <w:rsid w:val="452410C9"/>
    <w:rsid w:val="45317DFB"/>
    <w:rsid w:val="45586B4B"/>
    <w:rsid w:val="45613CC5"/>
    <w:rsid w:val="45665056"/>
    <w:rsid w:val="456D3CE4"/>
    <w:rsid w:val="45717C44"/>
    <w:rsid w:val="4579042C"/>
    <w:rsid w:val="457F0571"/>
    <w:rsid w:val="45851176"/>
    <w:rsid w:val="45BB5E5B"/>
    <w:rsid w:val="45C63B94"/>
    <w:rsid w:val="460E7DA5"/>
    <w:rsid w:val="462555FD"/>
    <w:rsid w:val="46422483"/>
    <w:rsid w:val="46500769"/>
    <w:rsid w:val="4654035E"/>
    <w:rsid w:val="4659254A"/>
    <w:rsid w:val="465B0637"/>
    <w:rsid w:val="465E3F0D"/>
    <w:rsid w:val="466A16E6"/>
    <w:rsid w:val="46893F2B"/>
    <w:rsid w:val="468F43C9"/>
    <w:rsid w:val="468F7C7E"/>
    <w:rsid w:val="469F7F19"/>
    <w:rsid w:val="46C4686E"/>
    <w:rsid w:val="46FD1F0B"/>
    <w:rsid w:val="47017063"/>
    <w:rsid w:val="4737285C"/>
    <w:rsid w:val="476702CB"/>
    <w:rsid w:val="477B778F"/>
    <w:rsid w:val="478203EC"/>
    <w:rsid w:val="47B025FA"/>
    <w:rsid w:val="48054938"/>
    <w:rsid w:val="4809698F"/>
    <w:rsid w:val="480A1FEE"/>
    <w:rsid w:val="480A20FF"/>
    <w:rsid w:val="4811697D"/>
    <w:rsid w:val="481F54E4"/>
    <w:rsid w:val="487A3E25"/>
    <w:rsid w:val="488B5503"/>
    <w:rsid w:val="48937E21"/>
    <w:rsid w:val="489A0361"/>
    <w:rsid w:val="48B94FF3"/>
    <w:rsid w:val="48E37AAB"/>
    <w:rsid w:val="48E5448B"/>
    <w:rsid w:val="48F826E7"/>
    <w:rsid w:val="48FD4B4C"/>
    <w:rsid w:val="490A68E0"/>
    <w:rsid w:val="491055FE"/>
    <w:rsid w:val="492841F7"/>
    <w:rsid w:val="49407FB8"/>
    <w:rsid w:val="495F5B3E"/>
    <w:rsid w:val="496F77D7"/>
    <w:rsid w:val="497654FD"/>
    <w:rsid w:val="49B64211"/>
    <w:rsid w:val="49C24A8D"/>
    <w:rsid w:val="49DD1431"/>
    <w:rsid w:val="49F41BE5"/>
    <w:rsid w:val="49F6167F"/>
    <w:rsid w:val="4A064FA0"/>
    <w:rsid w:val="4A16615C"/>
    <w:rsid w:val="4A2D63C1"/>
    <w:rsid w:val="4A4424D7"/>
    <w:rsid w:val="4A5A22AE"/>
    <w:rsid w:val="4AB82D0F"/>
    <w:rsid w:val="4AEB7664"/>
    <w:rsid w:val="4AF17250"/>
    <w:rsid w:val="4AFD7C19"/>
    <w:rsid w:val="4B0567D1"/>
    <w:rsid w:val="4B0E0A49"/>
    <w:rsid w:val="4B236AAE"/>
    <w:rsid w:val="4B3355ED"/>
    <w:rsid w:val="4B707271"/>
    <w:rsid w:val="4B930986"/>
    <w:rsid w:val="4B9739F7"/>
    <w:rsid w:val="4BBA7B60"/>
    <w:rsid w:val="4BC43B2D"/>
    <w:rsid w:val="4BEE2503"/>
    <w:rsid w:val="4C0849EF"/>
    <w:rsid w:val="4C172E84"/>
    <w:rsid w:val="4C245A30"/>
    <w:rsid w:val="4C440CF1"/>
    <w:rsid w:val="4C5F56F0"/>
    <w:rsid w:val="4C871DB8"/>
    <w:rsid w:val="4CA0556E"/>
    <w:rsid w:val="4CB6685F"/>
    <w:rsid w:val="4CC367FE"/>
    <w:rsid w:val="4D077F3C"/>
    <w:rsid w:val="4D082101"/>
    <w:rsid w:val="4D123355"/>
    <w:rsid w:val="4D2A3B31"/>
    <w:rsid w:val="4D2C2C5D"/>
    <w:rsid w:val="4D312C52"/>
    <w:rsid w:val="4D3362FA"/>
    <w:rsid w:val="4D5B3C7A"/>
    <w:rsid w:val="4D7F5C7B"/>
    <w:rsid w:val="4D905305"/>
    <w:rsid w:val="4D964A72"/>
    <w:rsid w:val="4D9C1254"/>
    <w:rsid w:val="4DED1A85"/>
    <w:rsid w:val="4E793892"/>
    <w:rsid w:val="4E7E7563"/>
    <w:rsid w:val="4E800872"/>
    <w:rsid w:val="4EC569ED"/>
    <w:rsid w:val="4ED50EA1"/>
    <w:rsid w:val="4EEC050C"/>
    <w:rsid w:val="4F104EC3"/>
    <w:rsid w:val="4F296B9B"/>
    <w:rsid w:val="4F3A75B6"/>
    <w:rsid w:val="4F47354A"/>
    <w:rsid w:val="4F911C54"/>
    <w:rsid w:val="4FA94148"/>
    <w:rsid w:val="4FE625E0"/>
    <w:rsid w:val="5015734F"/>
    <w:rsid w:val="5021480F"/>
    <w:rsid w:val="502A6491"/>
    <w:rsid w:val="502D4F37"/>
    <w:rsid w:val="50962ECB"/>
    <w:rsid w:val="50A42E38"/>
    <w:rsid w:val="50A4577F"/>
    <w:rsid w:val="50B73D1F"/>
    <w:rsid w:val="50BD5BC9"/>
    <w:rsid w:val="50C11EEE"/>
    <w:rsid w:val="50E97CFC"/>
    <w:rsid w:val="50F15B5F"/>
    <w:rsid w:val="50FA4028"/>
    <w:rsid w:val="510D65B7"/>
    <w:rsid w:val="511157AB"/>
    <w:rsid w:val="512E1286"/>
    <w:rsid w:val="5142540C"/>
    <w:rsid w:val="51436F5E"/>
    <w:rsid w:val="51445F9B"/>
    <w:rsid w:val="515D27D6"/>
    <w:rsid w:val="5178302C"/>
    <w:rsid w:val="518832C8"/>
    <w:rsid w:val="51A0432A"/>
    <w:rsid w:val="51A86090"/>
    <w:rsid w:val="51B7396D"/>
    <w:rsid w:val="51C84B65"/>
    <w:rsid w:val="51F00EFE"/>
    <w:rsid w:val="522E4CC3"/>
    <w:rsid w:val="52424206"/>
    <w:rsid w:val="5244713B"/>
    <w:rsid w:val="524D15AE"/>
    <w:rsid w:val="52584D6B"/>
    <w:rsid w:val="52615633"/>
    <w:rsid w:val="52977FD4"/>
    <w:rsid w:val="52A25790"/>
    <w:rsid w:val="52A96B6F"/>
    <w:rsid w:val="52B45975"/>
    <w:rsid w:val="52BC43BE"/>
    <w:rsid w:val="52D94AA4"/>
    <w:rsid w:val="52EA3A62"/>
    <w:rsid w:val="52EA3EE8"/>
    <w:rsid w:val="52F50BB8"/>
    <w:rsid w:val="52FF2A79"/>
    <w:rsid w:val="53097272"/>
    <w:rsid w:val="53140861"/>
    <w:rsid w:val="53544462"/>
    <w:rsid w:val="53571680"/>
    <w:rsid w:val="538968E9"/>
    <w:rsid w:val="5397158E"/>
    <w:rsid w:val="53CB1124"/>
    <w:rsid w:val="54013861"/>
    <w:rsid w:val="5406215C"/>
    <w:rsid w:val="540B2159"/>
    <w:rsid w:val="54487265"/>
    <w:rsid w:val="544D6070"/>
    <w:rsid w:val="54605E1E"/>
    <w:rsid w:val="54AC5520"/>
    <w:rsid w:val="54B3506A"/>
    <w:rsid w:val="54CA0D16"/>
    <w:rsid w:val="54DD4057"/>
    <w:rsid w:val="54E7490F"/>
    <w:rsid w:val="550764A4"/>
    <w:rsid w:val="550B2BF6"/>
    <w:rsid w:val="55214EB5"/>
    <w:rsid w:val="5523531A"/>
    <w:rsid w:val="55364EFD"/>
    <w:rsid w:val="554777BD"/>
    <w:rsid w:val="555A4531"/>
    <w:rsid w:val="555D4828"/>
    <w:rsid w:val="5560764A"/>
    <w:rsid w:val="557A4C8B"/>
    <w:rsid w:val="558931E1"/>
    <w:rsid w:val="55923347"/>
    <w:rsid w:val="55925180"/>
    <w:rsid w:val="55983B1B"/>
    <w:rsid w:val="55A8376B"/>
    <w:rsid w:val="55DC29B6"/>
    <w:rsid w:val="55DD4241"/>
    <w:rsid w:val="55FA7859"/>
    <w:rsid w:val="561B265E"/>
    <w:rsid w:val="5633378F"/>
    <w:rsid w:val="563F32AF"/>
    <w:rsid w:val="56614C19"/>
    <w:rsid w:val="566B6D1E"/>
    <w:rsid w:val="56984DAC"/>
    <w:rsid w:val="56FB2858"/>
    <w:rsid w:val="57032A2C"/>
    <w:rsid w:val="570F5219"/>
    <w:rsid w:val="574A7800"/>
    <w:rsid w:val="575D12B5"/>
    <w:rsid w:val="57610A87"/>
    <w:rsid w:val="57727583"/>
    <w:rsid w:val="577B1140"/>
    <w:rsid w:val="577B7F21"/>
    <w:rsid w:val="577F181B"/>
    <w:rsid w:val="57921984"/>
    <w:rsid w:val="579737F0"/>
    <w:rsid w:val="57AB7B30"/>
    <w:rsid w:val="57AF5251"/>
    <w:rsid w:val="57B26373"/>
    <w:rsid w:val="57B63F04"/>
    <w:rsid w:val="57CD20C2"/>
    <w:rsid w:val="57D675AB"/>
    <w:rsid w:val="57D95FDD"/>
    <w:rsid w:val="57DF79F0"/>
    <w:rsid w:val="580B64C0"/>
    <w:rsid w:val="58217789"/>
    <w:rsid w:val="586E0A5D"/>
    <w:rsid w:val="588F4504"/>
    <w:rsid w:val="58917D2F"/>
    <w:rsid w:val="5894085C"/>
    <w:rsid w:val="58AE4F0C"/>
    <w:rsid w:val="58AE691E"/>
    <w:rsid w:val="58B85899"/>
    <w:rsid w:val="58E363A9"/>
    <w:rsid w:val="59442DCF"/>
    <w:rsid w:val="595E1678"/>
    <w:rsid w:val="596D5BD4"/>
    <w:rsid w:val="597E3DD8"/>
    <w:rsid w:val="59F80043"/>
    <w:rsid w:val="5A09252F"/>
    <w:rsid w:val="5A0B2778"/>
    <w:rsid w:val="5A2A7C7B"/>
    <w:rsid w:val="5A306671"/>
    <w:rsid w:val="5A3E2560"/>
    <w:rsid w:val="5A5D3B6E"/>
    <w:rsid w:val="5A637A76"/>
    <w:rsid w:val="5A657E66"/>
    <w:rsid w:val="5A6D33BA"/>
    <w:rsid w:val="5A792B1F"/>
    <w:rsid w:val="5A874767"/>
    <w:rsid w:val="5A971D38"/>
    <w:rsid w:val="5AAD6F28"/>
    <w:rsid w:val="5AD63A24"/>
    <w:rsid w:val="5AE26D53"/>
    <w:rsid w:val="5B0D5B7E"/>
    <w:rsid w:val="5B2A30A1"/>
    <w:rsid w:val="5B2E1A1D"/>
    <w:rsid w:val="5B667984"/>
    <w:rsid w:val="5B7E23D6"/>
    <w:rsid w:val="5B843A1C"/>
    <w:rsid w:val="5B873E3F"/>
    <w:rsid w:val="5BD913E8"/>
    <w:rsid w:val="5C02690E"/>
    <w:rsid w:val="5C196DA7"/>
    <w:rsid w:val="5C2A048C"/>
    <w:rsid w:val="5C80234E"/>
    <w:rsid w:val="5C8A680C"/>
    <w:rsid w:val="5D0C4701"/>
    <w:rsid w:val="5D0F0395"/>
    <w:rsid w:val="5D1F0C2E"/>
    <w:rsid w:val="5D221076"/>
    <w:rsid w:val="5D397964"/>
    <w:rsid w:val="5D4D2245"/>
    <w:rsid w:val="5D5A391C"/>
    <w:rsid w:val="5D5F10C0"/>
    <w:rsid w:val="5D746389"/>
    <w:rsid w:val="5D891B7B"/>
    <w:rsid w:val="5DA87DE0"/>
    <w:rsid w:val="5DAD38EE"/>
    <w:rsid w:val="5DAE6B28"/>
    <w:rsid w:val="5E006862"/>
    <w:rsid w:val="5E0207B9"/>
    <w:rsid w:val="5E165FC7"/>
    <w:rsid w:val="5E1834A1"/>
    <w:rsid w:val="5E1C1A26"/>
    <w:rsid w:val="5E261785"/>
    <w:rsid w:val="5E4A7017"/>
    <w:rsid w:val="5E514AB7"/>
    <w:rsid w:val="5E552BBA"/>
    <w:rsid w:val="5E611C10"/>
    <w:rsid w:val="5EDA66BF"/>
    <w:rsid w:val="5EFC7377"/>
    <w:rsid w:val="5F06174D"/>
    <w:rsid w:val="5F3A3602"/>
    <w:rsid w:val="5F6277C6"/>
    <w:rsid w:val="5F6D0B1D"/>
    <w:rsid w:val="5F8D0B82"/>
    <w:rsid w:val="5FCC5339"/>
    <w:rsid w:val="5FE34A5B"/>
    <w:rsid w:val="5FFE1E36"/>
    <w:rsid w:val="60232584"/>
    <w:rsid w:val="607330CE"/>
    <w:rsid w:val="60825176"/>
    <w:rsid w:val="609F2AC4"/>
    <w:rsid w:val="60FA2EE8"/>
    <w:rsid w:val="60FB0DD0"/>
    <w:rsid w:val="61054A27"/>
    <w:rsid w:val="610A52BC"/>
    <w:rsid w:val="611D2366"/>
    <w:rsid w:val="61421856"/>
    <w:rsid w:val="615227C4"/>
    <w:rsid w:val="61654E3F"/>
    <w:rsid w:val="6182292A"/>
    <w:rsid w:val="619F7F92"/>
    <w:rsid w:val="61A22F73"/>
    <w:rsid w:val="61F94C26"/>
    <w:rsid w:val="62000E56"/>
    <w:rsid w:val="62467FCB"/>
    <w:rsid w:val="624F3E49"/>
    <w:rsid w:val="62632286"/>
    <w:rsid w:val="62883E4C"/>
    <w:rsid w:val="62885958"/>
    <w:rsid w:val="62935A48"/>
    <w:rsid w:val="629C79CA"/>
    <w:rsid w:val="62F40B65"/>
    <w:rsid w:val="62FC2CFE"/>
    <w:rsid w:val="63024505"/>
    <w:rsid w:val="635B1DB5"/>
    <w:rsid w:val="63711FED"/>
    <w:rsid w:val="63880DDC"/>
    <w:rsid w:val="638D750D"/>
    <w:rsid w:val="63AC6CC0"/>
    <w:rsid w:val="63E16E6D"/>
    <w:rsid w:val="64055776"/>
    <w:rsid w:val="64184B19"/>
    <w:rsid w:val="64240056"/>
    <w:rsid w:val="643E143A"/>
    <w:rsid w:val="64577091"/>
    <w:rsid w:val="648B6EEF"/>
    <w:rsid w:val="64C158BF"/>
    <w:rsid w:val="64CE2EAA"/>
    <w:rsid w:val="64DD0CB7"/>
    <w:rsid w:val="653C3090"/>
    <w:rsid w:val="65476D23"/>
    <w:rsid w:val="65854376"/>
    <w:rsid w:val="658767BE"/>
    <w:rsid w:val="65892531"/>
    <w:rsid w:val="65B83ECB"/>
    <w:rsid w:val="66195831"/>
    <w:rsid w:val="662E75B1"/>
    <w:rsid w:val="66342C2E"/>
    <w:rsid w:val="66370B21"/>
    <w:rsid w:val="663E784C"/>
    <w:rsid w:val="66513A18"/>
    <w:rsid w:val="66747D26"/>
    <w:rsid w:val="667A5D8F"/>
    <w:rsid w:val="668B6A45"/>
    <w:rsid w:val="66A83866"/>
    <w:rsid w:val="66B52605"/>
    <w:rsid w:val="66B6109C"/>
    <w:rsid w:val="66F757BC"/>
    <w:rsid w:val="672F3F24"/>
    <w:rsid w:val="673E055F"/>
    <w:rsid w:val="67462B87"/>
    <w:rsid w:val="67516FFC"/>
    <w:rsid w:val="67551CE3"/>
    <w:rsid w:val="675D170D"/>
    <w:rsid w:val="67A22552"/>
    <w:rsid w:val="67AB0BF9"/>
    <w:rsid w:val="67B22DCC"/>
    <w:rsid w:val="67BC0DDE"/>
    <w:rsid w:val="67BE71AA"/>
    <w:rsid w:val="67D90273"/>
    <w:rsid w:val="67DE5875"/>
    <w:rsid w:val="67DF6F78"/>
    <w:rsid w:val="67E55852"/>
    <w:rsid w:val="67EB1AB4"/>
    <w:rsid w:val="67EB36EB"/>
    <w:rsid w:val="67FA1285"/>
    <w:rsid w:val="68551F4F"/>
    <w:rsid w:val="68583E7F"/>
    <w:rsid w:val="68757336"/>
    <w:rsid w:val="687C10C9"/>
    <w:rsid w:val="68840C16"/>
    <w:rsid w:val="68876EFB"/>
    <w:rsid w:val="68884654"/>
    <w:rsid w:val="689F444F"/>
    <w:rsid w:val="68B96DBB"/>
    <w:rsid w:val="68C12039"/>
    <w:rsid w:val="68CA2805"/>
    <w:rsid w:val="68CB062F"/>
    <w:rsid w:val="68DB2550"/>
    <w:rsid w:val="68E937A3"/>
    <w:rsid w:val="69085BD7"/>
    <w:rsid w:val="6927379B"/>
    <w:rsid w:val="693E15D3"/>
    <w:rsid w:val="69627681"/>
    <w:rsid w:val="6977531D"/>
    <w:rsid w:val="699B2886"/>
    <w:rsid w:val="69B30239"/>
    <w:rsid w:val="69CC2BFF"/>
    <w:rsid w:val="69FD55B8"/>
    <w:rsid w:val="6A0073B7"/>
    <w:rsid w:val="6A0B1C62"/>
    <w:rsid w:val="6A2406C8"/>
    <w:rsid w:val="6A942CE9"/>
    <w:rsid w:val="6ACC6E9F"/>
    <w:rsid w:val="6ADE0BD1"/>
    <w:rsid w:val="6AE96859"/>
    <w:rsid w:val="6B147746"/>
    <w:rsid w:val="6B24787C"/>
    <w:rsid w:val="6B573233"/>
    <w:rsid w:val="6B5B6274"/>
    <w:rsid w:val="6B5E227E"/>
    <w:rsid w:val="6B722BC0"/>
    <w:rsid w:val="6B8A5AA7"/>
    <w:rsid w:val="6B935D53"/>
    <w:rsid w:val="6B9813C7"/>
    <w:rsid w:val="6B9D1138"/>
    <w:rsid w:val="6BC02799"/>
    <w:rsid w:val="6BE7662F"/>
    <w:rsid w:val="6BFB3534"/>
    <w:rsid w:val="6C196F71"/>
    <w:rsid w:val="6C226FCB"/>
    <w:rsid w:val="6C31226F"/>
    <w:rsid w:val="6C552F0B"/>
    <w:rsid w:val="6C866E31"/>
    <w:rsid w:val="6C8C67B7"/>
    <w:rsid w:val="6C9D744C"/>
    <w:rsid w:val="6CBF6EF4"/>
    <w:rsid w:val="6CDF66FB"/>
    <w:rsid w:val="6D167928"/>
    <w:rsid w:val="6D1E5C16"/>
    <w:rsid w:val="6D26299B"/>
    <w:rsid w:val="6D4772EC"/>
    <w:rsid w:val="6D8B160E"/>
    <w:rsid w:val="6D9078AF"/>
    <w:rsid w:val="6DA062BE"/>
    <w:rsid w:val="6DAA3FEF"/>
    <w:rsid w:val="6DC0172B"/>
    <w:rsid w:val="6DCB690C"/>
    <w:rsid w:val="6DD41A5B"/>
    <w:rsid w:val="6DF43C2E"/>
    <w:rsid w:val="6DF51CA3"/>
    <w:rsid w:val="6E3334FB"/>
    <w:rsid w:val="6E4F15C5"/>
    <w:rsid w:val="6E677844"/>
    <w:rsid w:val="6E8335BD"/>
    <w:rsid w:val="6E8E12EF"/>
    <w:rsid w:val="6E972936"/>
    <w:rsid w:val="6EC5542C"/>
    <w:rsid w:val="6ED30867"/>
    <w:rsid w:val="6ED446C5"/>
    <w:rsid w:val="6EFC52D8"/>
    <w:rsid w:val="6F1528CB"/>
    <w:rsid w:val="6F2A116E"/>
    <w:rsid w:val="6F2A1F70"/>
    <w:rsid w:val="6F2A7D94"/>
    <w:rsid w:val="6F8331F1"/>
    <w:rsid w:val="6F843CD1"/>
    <w:rsid w:val="6FAB3EAC"/>
    <w:rsid w:val="6FAE1A09"/>
    <w:rsid w:val="6FC023DB"/>
    <w:rsid w:val="6FD75BF8"/>
    <w:rsid w:val="6FE131D6"/>
    <w:rsid w:val="70027824"/>
    <w:rsid w:val="702C1C49"/>
    <w:rsid w:val="707723D0"/>
    <w:rsid w:val="70BB2E58"/>
    <w:rsid w:val="70F5661B"/>
    <w:rsid w:val="7107761A"/>
    <w:rsid w:val="71337846"/>
    <w:rsid w:val="71360107"/>
    <w:rsid w:val="713B688E"/>
    <w:rsid w:val="716167CC"/>
    <w:rsid w:val="71725BB0"/>
    <w:rsid w:val="71A37ADC"/>
    <w:rsid w:val="71D43752"/>
    <w:rsid w:val="71F1796A"/>
    <w:rsid w:val="72154626"/>
    <w:rsid w:val="72262B5D"/>
    <w:rsid w:val="72283FF7"/>
    <w:rsid w:val="722E7212"/>
    <w:rsid w:val="723A0474"/>
    <w:rsid w:val="725923E4"/>
    <w:rsid w:val="725B3886"/>
    <w:rsid w:val="727E1F06"/>
    <w:rsid w:val="72864BF7"/>
    <w:rsid w:val="729023FC"/>
    <w:rsid w:val="72953D27"/>
    <w:rsid w:val="72C11B09"/>
    <w:rsid w:val="72F23335"/>
    <w:rsid w:val="739E54A5"/>
    <w:rsid w:val="73C0646E"/>
    <w:rsid w:val="742222F5"/>
    <w:rsid w:val="74476126"/>
    <w:rsid w:val="74706664"/>
    <w:rsid w:val="747F3682"/>
    <w:rsid w:val="749C4185"/>
    <w:rsid w:val="74A831CF"/>
    <w:rsid w:val="74B35591"/>
    <w:rsid w:val="75067759"/>
    <w:rsid w:val="752E6DCD"/>
    <w:rsid w:val="7551380D"/>
    <w:rsid w:val="75600BE5"/>
    <w:rsid w:val="7564475C"/>
    <w:rsid w:val="7583797F"/>
    <w:rsid w:val="75A576CA"/>
    <w:rsid w:val="75BA79F6"/>
    <w:rsid w:val="75C238C0"/>
    <w:rsid w:val="75D20F1D"/>
    <w:rsid w:val="75D64CCD"/>
    <w:rsid w:val="75DA2C18"/>
    <w:rsid w:val="75F54412"/>
    <w:rsid w:val="761D08E0"/>
    <w:rsid w:val="761D6B5F"/>
    <w:rsid w:val="765D347C"/>
    <w:rsid w:val="76826699"/>
    <w:rsid w:val="769311B5"/>
    <w:rsid w:val="76B51631"/>
    <w:rsid w:val="76C87133"/>
    <w:rsid w:val="76CD08D5"/>
    <w:rsid w:val="76DB4B92"/>
    <w:rsid w:val="76F507BA"/>
    <w:rsid w:val="77052AA4"/>
    <w:rsid w:val="77136511"/>
    <w:rsid w:val="772B3DEC"/>
    <w:rsid w:val="77340A39"/>
    <w:rsid w:val="77351FD0"/>
    <w:rsid w:val="77472422"/>
    <w:rsid w:val="777F31F2"/>
    <w:rsid w:val="777F5BFE"/>
    <w:rsid w:val="779108EB"/>
    <w:rsid w:val="77D1700D"/>
    <w:rsid w:val="77DC7793"/>
    <w:rsid w:val="77EC04CC"/>
    <w:rsid w:val="781B3416"/>
    <w:rsid w:val="784D6120"/>
    <w:rsid w:val="78775729"/>
    <w:rsid w:val="78952C85"/>
    <w:rsid w:val="78A42DB0"/>
    <w:rsid w:val="78A656AB"/>
    <w:rsid w:val="78B2245C"/>
    <w:rsid w:val="78C5569C"/>
    <w:rsid w:val="78DF4BA6"/>
    <w:rsid w:val="78E172CC"/>
    <w:rsid w:val="78EA1D1F"/>
    <w:rsid w:val="7904172F"/>
    <w:rsid w:val="790F7E27"/>
    <w:rsid w:val="792A231A"/>
    <w:rsid w:val="79316829"/>
    <w:rsid w:val="797E66A9"/>
    <w:rsid w:val="79A97383"/>
    <w:rsid w:val="79D41CE6"/>
    <w:rsid w:val="79DB7B69"/>
    <w:rsid w:val="79E27E8B"/>
    <w:rsid w:val="79F850CE"/>
    <w:rsid w:val="79FD443C"/>
    <w:rsid w:val="7A1D1975"/>
    <w:rsid w:val="7A3E5150"/>
    <w:rsid w:val="7A4670D6"/>
    <w:rsid w:val="7A483DC6"/>
    <w:rsid w:val="7A534B63"/>
    <w:rsid w:val="7A615382"/>
    <w:rsid w:val="7A67303B"/>
    <w:rsid w:val="7A903524"/>
    <w:rsid w:val="7AAB1D04"/>
    <w:rsid w:val="7ABA2ABD"/>
    <w:rsid w:val="7ABA4368"/>
    <w:rsid w:val="7AD05746"/>
    <w:rsid w:val="7B257FFD"/>
    <w:rsid w:val="7B343476"/>
    <w:rsid w:val="7B5A2978"/>
    <w:rsid w:val="7B5A7E4C"/>
    <w:rsid w:val="7B667AF9"/>
    <w:rsid w:val="7B7468F8"/>
    <w:rsid w:val="7B9D48A5"/>
    <w:rsid w:val="7BC04ED5"/>
    <w:rsid w:val="7BE87ABD"/>
    <w:rsid w:val="7BEE0103"/>
    <w:rsid w:val="7C0304AA"/>
    <w:rsid w:val="7C0A0FE4"/>
    <w:rsid w:val="7C254906"/>
    <w:rsid w:val="7C590818"/>
    <w:rsid w:val="7C7C10F6"/>
    <w:rsid w:val="7C853BEA"/>
    <w:rsid w:val="7C881368"/>
    <w:rsid w:val="7CE27788"/>
    <w:rsid w:val="7D036989"/>
    <w:rsid w:val="7D097D0A"/>
    <w:rsid w:val="7D0C32F1"/>
    <w:rsid w:val="7D0F408D"/>
    <w:rsid w:val="7D491C6C"/>
    <w:rsid w:val="7D502836"/>
    <w:rsid w:val="7D5429C0"/>
    <w:rsid w:val="7D6577CA"/>
    <w:rsid w:val="7D6E6D43"/>
    <w:rsid w:val="7DB57A34"/>
    <w:rsid w:val="7DE60973"/>
    <w:rsid w:val="7DEF0916"/>
    <w:rsid w:val="7DF34C50"/>
    <w:rsid w:val="7DF51EF5"/>
    <w:rsid w:val="7DF60B84"/>
    <w:rsid w:val="7E1E5218"/>
    <w:rsid w:val="7E4915CE"/>
    <w:rsid w:val="7E9A4E1F"/>
    <w:rsid w:val="7EA7723A"/>
    <w:rsid w:val="7EF56FBB"/>
    <w:rsid w:val="7F0768EB"/>
    <w:rsid w:val="7F1158A2"/>
    <w:rsid w:val="7F143BEC"/>
    <w:rsid w:val="7F674D34"/>
    <w:rsid w:val="7F6A0049"/>
    <w:rsid w:val="7F715AF2"/>
    <w:rsid w:val="7F886E69"/>
    <w:rsid w:val="7F927DE0"/>
    <w:rsid w:val="7FD652B4"/>
    <w:rsid w:val="BB7FA927"/>
    <w:rsid w:val="F5FFD31F"/>
    <w:rsid w:val="F6DC9B7C"/>
    <w:rsid w:val="FDFE2A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link w:val="84"/>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9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List Bullet"/>
    <w:basedOn w:val="1"/>
    <w:qFormat/>
    <w:uiPriority w:val="0"/>
    <w:pPr>
      <w:tabs>
        <w:tab w:val="left" w:pos="360"/>
      </w:tabs>
      <w:adjustRightInd/>
      <w:spacing w:line="360" w:lineRule="auto"/>
      <w:ind w:left="360" w:hanging="360" w:hangingChars="200"/>
    </w:pPr>
    <w:rPr>
      <w:rFonts w:ascii="Times New Roman (正文 CS 字体)" w:hAnsi="Times New Roman (正文 CS 字体)" w:eastAsia="等线" w:cs="Times New Roman (正文 CS 字体)"/>
      <w:sz w:val="24"/>
    </w:r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3"/>
    <w:qFormat/>
    <w:uiPriority w:val="0"/>
    <w:pPr>
      <w:jc w:val="left"/>
    </w:pPr>
  </w:style>
  <w:style w:type="paragraph" w:styleId="22">
    <w:name w:val="Salutation"/>
    <w:basedOn w:val="1"/>
    <w:next w:val="1"/>
    <w:link w:val="94"/>
    <w:qFormat/>
    <w:uiPriority w:val="0"/>
    <w:rPr>
      <w:rFonts w:ascii="仿宋_GB2312" w:eastAsia="仿宋_GB2312"/>
      <w:sz w:val="28"/>
      <w:szCs w:val="20"/>
    </w:rPr>
  </w:style>
  <w:style w:type="paragraph" w:styleId="23">
    <w:name w:val="Body Text 3"/>
    <w:basedOn w:val="1"/>
    <w:link w:val="95"/>
    <w:qFormat/>
    <w:uiPriority w:val="99"/>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6"/>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97"/>
    <w:qFormat/>
    <w:uiPriority w:val="99"/>
    <w:pPr>
      <w:spacing w:line="480" w:lineRule="exact"/>
      <w:ind w:firstLine="480" w:firstLineChars="200"/>
    </w:pPr>
    <w:rPr>
      <w:rFonts w:ascii="宋体" w:hAnsi="宋体"/>
      <w:sz w:val="24"/>
    </w:rPr>
  </w:style>
  <w:style w:type="paragraph" w:styleId="27">
    <w:name w:val="Body Text First Indent 2"/>
    <w:basedOn w:val="26"/>
    <w:next w:val="1"/>
    <w:link w:val="115"/>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9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9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00"/>
    <w:qFormat/>
    <w:uiPriority w:val="0"/>
    <w:pPr>
      <w:ind w:left="100" w:leftChars="2500"/>
    </w:pPr>
    <w:rPr>
      <w:rFonts w:ascii="宋体"/>
      <w:sz w:val="24"/>
      <w:szCs w:val="21"/>
      <w:lang w:val="zh-CN"/>
    </w:rPr>
  </w:style>
  <w:style w:type="paragraph" w:styleId="39">
    <w:name w:val="Body Text Indent 2"/>
    <w:basedOn w:val="1"/>
    <w:link w:val="101"/>
    <w:qFormat/>
    <w:uiPriority w:val="0"/>
    <w:pPr>
      <w:spacing w:line="360" w:lineRule="auto"/>
      <w:ind w:firstLine="601"/>
      <w:textAlignment w:val="baseline"/>
    </w:pPr>
    <w:rPr>
      <w:rFonts w:ascii="宋体"/>
      <w:kern w:val="0"/>
      <w:sz w:val="28"/>
      <w:szCs w:val="20"/>
    </w:rPr>
  </w:style>
  <w:style w:type="paragraph" w:styleId="40">
    <w:name w:val="endnote text"/>
    <w:basedOn w:val="1"/>
    <w:link w:val="102"/>
    <w:qFormat/>
    <w:uiPriority w:val="0"/>
    <w:rPr>
      <w:lang w:val="zh-CN"/>
    </w:rPr>
  </w:style>
  <w:style w:type="paragraph" w:styleId="41">
    <w:name w:val="Balloon Text"/>
    <w:basedOn w:val="1"/>
    <w:link w:val="103"/>
    <w:qFormat/>
    <w:uiPriority w:val="0"/>
    <w:rPr>
      <w:sz w:val="18"/>
      <w:szCs w:val="18"/>
    </w:rPr>
  </w:style>
  <w:style w:type="paragraph" w:styleId="42">
    <w:name w:val="footer"/>
    <w:basedOn w:val="1"/>
    <w:link w:val="104"/>
    <w:qFormat/>
    <w:uiPriority w:val="0"/>
    <w:pPr>
      <w:tabs>
        <w:tab w:val="center" w:pos="4153"/>
        <w:tab w:val="right" w:pos="8306"/>
      </w:tabs>
      <w:snapToGrid w:val="0"/>
      <w:jc w:val="left"/>
    </w:pPr>
    <w:rPr>
      <w:sz w:val="18"/>
      <w:szCs w:val="18"/>
    </w:rPr>
  </w:style>
  <w:style w:type="paragraph" w:styleId="43">
    <w:name w:val="header"/>
    <w:basedOn w:val="1"/>
    <w:link w:val="10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0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0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1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109"/>
    <w:qFormat/>
    <w:uiPriority w:val="0"/>
    <w:pPr>
      <w:spacing w:line="360" w:lineRule="auto"/>
      <w:ind w:firstLine="420"/>
    </w:pPr>
    <w:rPr>
      <w:sz w:val="24"/>
      <w:szCs w:val="20"/>
    </w:rPr>
  </w:style>
  <w:style w:type="paragraph" w:styleId="56">
    <w:name w:val="index 7"/>
    <w:basedOn w:val="1"/>
    <w:next w:val="1"/>
    <w:qFormat/>
    <w:uiPriority w:val="0"/>
    <w:pPr>
      <w:adjustRightInd/>
      <w:ind w:left="1200" w:leftChars="1200"/>
    </w:pPr>
    <w:rPr>
      <w:rFonts w:ascii="Times New Roman (正文 CS 字体)" w:hAnsi="Times New Roman (正文 CS 字体)" w:eastAsia="等线" w:cs="Times New Roman (正文 CS 字体)"/>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110"/>
    <w:qFormat/>
    <w:uiPriority w:val="0"/>
    <w:pPr>
      <w:spacing w:after="120" w:line="480" w:lineRule="auto"/>
    </w:pPr>
  </w:style>
  <w:style w:type="paragraph" w:styleId="60">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link w:val="1014"/>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2"/>
    <w:qFormat/>
    <w:uiPriority w:val="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3"/>
    <w:qFormat/>
    <w:uiPriority w:val="0"/>
    <w:rPr>
      <w:b/>
      <w:bCs/>
    </w:rPr>
  </w:style>
  <w:style w:type="paragraph" w:styleId="64">
    <w:name w:val="Body Text First Indent"/>
    <w:basedOn w:val="25"/>
    <w:next w:val="1"/>
    <w:link w:val="114"/>
    <w:qFormat/>
    <w:uiPriority w:val="99"/>
    <w:pPr>
      <w:ind w:firstLine="420"/>
    </w:pPr>
    <w:rPr>
      <w:rFonts w:hAnsi="Calibri" w:cs="Times New Roman"/>
      <w:snapToGrid/>
      <w:szCs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2"/>
    <w:link w:val="2"/>
    <w:qFormat/>
    <w:uiPriority w:val="9"/>
    <w:rPr>
      <w:b/>
      <w:bCs/>
      <w:kern w:val="44"/>
      <w:sz w:val="44"/>
      <w:szCs w:val="44"/>
    </w:rPr>
  </w:style>
  <w:style w:type="character" w:customStyle="1" w:styleId="83">
    <w:name w:val="正文缩进 字符2"/>
    <w:link w:val="5"/>
    <w:qFormat/>
    <w:uiPriority w:val="0"/>
    <w:rPr>
      <w:rFonts w:ascii="宋体" w:eastAsia="宋体"/>
      <w:snapToGrid w:val="0"/>
      <w:color w:val="000000"/>
      <w:kern w:val="28"/>
      <w:sz w:val="28"/>
      <w:lang w:val="en-US" w:eastAsia="zh-CN" w:bidi="ar-SA"/>
    </w:rPr>
  </w:style>
  <w:style w:type="character" w:customStyle="1" w:styleId="84">
    <w:name w:val="标题 3 字符1"/>
    <w:basedOn w:val="72"/>
    <w:link w:val="4"/>
    <w:qFormat/>
    <w:uiPriority w:val="9"/>
    <w:rPr>
      <w:b/>
      <w:bCs/>
      <w:kern w:val="2"/>
      <w:sz w:val="32"/>
      <w:szCs w:val="32"/>
    </w:rPr>
  </w:style>
  <w:style w:type="character" w:customStyle="1" w:styleId="85">
    <w:name w:val="标题 4 字符1"/>
    <w:link w:val="6"/>
    <w:qFormat/>
    <w:uiPriority w:val="9"/>
    <w:rPr>
      <w:rFonts w:ascii="Arial" w:hAnsi="Arial" w:eastAsia="黑体"/>
      <w:b/>
      <w:bCs/>
      <w:kern w:val="2"/>
      <w:sz w:val="28"/>
      <w:szCs w:val="28"/>
      <w:lang w:val="zh-CN"/>
    </w:rPr>
  </w:style>
  <w:style w:type="character" w:customStyle="1" w:styleId="86">
    <w:name w:val="标题 5 字符1"/>
    <w:link w:val="7"/>
    <w:qFormat/>
    <w:uiPriority w:val="9"/>
    <w:rPr>
      <w:b/>
      <w:bCs/>
      <w:kern w:val="2"/>
      <w:sz w:val="28"/>
      <w:szCs w:val="28"/>
    </w:rPr>
  </w:style>
  <w:style w:type="character" w:customStyle="1" w:styleId="87">
    <w:name w:val="标题 6 字符1"/>
    <w:link w:val="8"/>
    <w:qFormat/>
    <w:uiPriority w:val="0"/>
    <w:rPr>
      <w:rFonts w:ascii="Arial" w:hAnsi="Arial" w:eastAsia="黑体"/>
      <w:b/>
      <w:bCs/>
      <w:kern w:val="2"/>
      <w:sz w:val="24"/>
      <w:szCs w:val="24"/>
    </w:rPr>
  </w:style>
  <w:style w:type="character" w:customStyle="1" w:styleId="88">
    <w:name w:val="标题 7 字符1"/>
    <w:link w:val="9"/>
    <w:qFormat/>
    <w:uiPriority w:val="0"/>
    <w:rPr>
      <w:b/>
      <w:bCs/>
      <w:kern w:val="2"/>
      <w:sz w:val="24"/>
      <w:szCs w:val="24"/>
    </w:rPr>
  </w:style>
  <w:style w:type="character" w:customStyle="1" w:styleId="89">
    <w:name w:val="标题 8 字符1"/>
    <w:link w:val="10"/>
    <w:qFormat/>
    <w:uiPriority w:val="0"/>
    <w:rPr>
      <w:rFonts w:ascii="Arial" w:hAnsi="Arial" w:eastAsia="黑体"/>
      <w:kern w:val="2"/>
      <w:sz w:val="24"/>
      <w:szCs w:val="24"/>
    </w:rPr>
  </w:style>
  <w:style w:type="character" w:customStyle="1" w:styleId="90">
    <w:name w:val="标题 9 字符1"/>
    <w:link w:val="11"/>
    <w:qFormat/>
    <w:uiPriority w:val="0"/>
    <w:rPr>
      <w:rFonts w:ascii="Arial" w:hAnsi="Arial" w:eastAsia="黑体"/>
      <w:kern w:val="2"/>
      <w:sz w:val="21"/>
      <w:szCs w:val="21"/>
    </w:rPr>
  </w:style>
  <w:style w:type="character" w:customStyle="1" w:styleId="91">
    <w:name w:val="题注 字符"/>
    <w:link w:val="16"/>
    <w:qFormat/>
    <w:uiPriority w:val="0"/>
    <w:rPr>
      <w:b/>
      <w:kern w:val="2"/>
      <w:sz w:val="28"/>
    </w:rPr>
  </w:style>
  <w:style w:type="character" w:customStyle="1" w:styleId="92">
    <w:name w:val="文档结构图 字符2"/>
    <w:link w:val="19"/>
    <w:qFormat/>
    <w:uiPriority w:val="0"/>
    <w:rPr>
      <w:kern w:val="2"/>
      <w:sz w:val="21"/>
      <w:szCs w:val="24"/>
      <w:shd w:val="clear" w:color="auto" w:fill="000080"/>
    </w:rPr>
  </w:style>
  <w:style w:type="character" w:customStyle="1" w:styleId="93">
    <w:name w:val="批注文字 字符1"/>
    <w:link w:val="21"/>
    <w:qFormat/>
    <w:uiPriority w:val="0"/>
    <w:rPr>
      <w:kern w:val="2"/>
      <w:sz w:val="21"/>
      <w:szCs w:val="24"/>
    </w:rPr>
  </w:style>
  <w:style w:type="character" w:customStyle="1" w:styleId="94">
    <w:name w:val="称呼 字符"/>
    <w:link w:val="22"/>
    <w:qFormat/>
    <w:uiPriority w:val="0"/>
    <w:rPr>
      <w:rFonts w:ascii="仿宋_GB2312" w:eastAsia="仿宋_GB2312"/>
      <w:kern w:val="2"/>
      <w:sz w:val="28"/>
    </w:rPr>
  </w:style>
  <w:style w:type="character" w:customStyle="1" w:styleId="95">
    <w:name w:val="正文文本 3 字符"/>
    <w:link w:val="23"/>
    <w:qFormat/>
    <w:uiPriority w:val="99"/>
    <w:rPr>
      <w:kern w:val="2"/>
      <w:sz w:val="21"/>
    </w:rPr>
  </w:style>
  <w:style w:type="character" w:customStyle="1" w:styleId="96">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7">
    <w:name w:val="正文文本缩进 字符2"/>
    <w:link w:val="26"/>
    <w:qFormat/>
    <w:uiPriority w:val="0"/>
    <w:rPr>
      <w:rFonts w:ascii="宋体" w:hAnsi="宋体"/>
      <w:kern w:val="2"/>
      <w:sz w:val="24"/>
      <w:szCs w:val="24"/>
    </w:rPr>
  </w:style>
  <w:style w:type="character" w:customStyle="1" w:styleId="98">
    <w:name w:val="HTML 地址 字符"/>
    <w:link w:val="32"/>
    <w:qFormat/>
    <w:uiPriority w:val="0"/>
    <w:rPr>
      <w:rFonts w:ascii="宋体" w:hAnsi="宋体"/>
      <w:i/>
      <w:iCs/>
      <w:sz w:val="24"/>
      <w:szCs w:val="24"/>
    </w:rPr>
  </w:style>
  <w:style w:type="character" w:customStyle="1" w:styleId="99">
    <w:name w:val="纯文本 字符2"/>
    <w:link w:val="35"/>
    <w:qFormat/>
    <w:uiPriority w:val="0"/>
    <w:rPr>
      <w:rFonts w:ascii="宋体" w:hAnsi="Courier New" w:eastAsia="宋体" w:cs="Arial"/>
      <w:snapToGrid w:val="0"/>
      <w:kern w:val="2"/>
      <w:sz w:val="21"/>
      <w:szCs w:val="21"/>
      <w:lang w:val="en-US" w:eastAsia="zh-CN" w:bidi="ar-SA"/>
    </w:rPr>
  </w:style>
  <w:style w:type="character" w:customStyle="1" w:styleId="100">
    <w:name w:val="日期 字符"/>
    <w:link w:val="38"/>
    <w:qFormat/>
    <w:uiPriority w:val="0"/>
    <w:rPr>
      <w:rFonts w:ascii="宋体"/>
      <w:kern w:val="2"/>
      <w:sz w:val="24"/>
      <w:szCs w:val="21"/>
      <w:lang w:val="zh-CN"/>
    </w:rPr>
  </w:style>
  <w:style w:type="character" w:customStyle="1" w:styleId="101">
    <w:name w:val="正文文本缩进 2 字符1"/>
    <w:link w:val="39"/>
    <w:qFormat/>
    <w:uiPriority w:val="0"/>
    <w:rPr>
      <w:rFonts w:ascii="宋体"/>
      <w:sz w:val="28"/>
    </w:rPr>
  </w:style>
  <w:style w:type="character" w:customStyle="1" w:styleId="102">
    <w:name w:val="尾注文本 字符"/>
    <w:link w:val="40"/>
    <w:qFormat/>
    <w:uiPriority w:val="0"/>
    <w:rPr>
      <w:kern w:val="2"/>
      <w:sz w:val="21"/>
      <w:szCs w:val="24"/>
      <w:lang w:val="zh-CN"/>
    </w:rPr>
  </w:style>
  <w:style w:type="character" w:customStyle="1" w:styleId="103">
    <w:name w:val="批注框文本 字符1"/>
    <w:link w:val="41"/>
    <w:qFormat/>
    <w:uiPriority w:val="0"/>
    <w:rPr>
      <w:kern w:val="2"/>
      <w:sz w:val="18"/>
      <w:szCs w:val="18"/>
    </w:rPr>
  </w:style>
  <w:style w:type="character" w:customStyle="1" w:styleId="104">
    <w:name w:val="页脚 字符2"/>
    <w:link w:val="42"/>
    <w:qFormat/>
    <w:locked/>
    <w:uiPriority w:val="99"/>
    <w:rPr>
      <w:kern w:val="2"/>
      <w:sz w:val="18"/>
      <w:szCs w:val="18"/>
    </w:rPr>
  </w:style>
  <w:style w:type="character" w:customStyle="1" w:styleId="105">
    <w:name w:val="页眉 字符2"/>
    <w:link w:val="43"/>
    <w:qFormat/>
    <w:uiPriority w:val="99"/>
    <w:rPr>
      <w:kern w:val="2"/>
      <w:sz w:val="18"/>
      <w:szCs w:val="18"/>
    </w:rPr>
  </w:style>
  <w:style w:type="character" w:customStyle="1" w:styleId="106">
    <w:name w:val="签名 字符"/>
    <w:link w:val="44"/>
    <w:qFormat/>
    <w:uiPriority w:val="0"/>
    <w:rPr>
      <w:rFonts w:eastAsia="仿宋_GB2312"/>
      <w:sz w:val="24"/>
    </w:rPr>
  </w:style>
  <w:style w:type="character" w:customStyle="1" w:styleId="107">
    <w:name w:val="副标题 字符"/>
    <w:link w:val="49"/>
    <w:qFormat/>
    <w:uiPriority w:val="0"/>
    <w:rPr>
      <w:rFonts w:ascii="Arial" w:hAnsi="Arial" w:eastAsia="隶书"/>
      <w:b/>
      <w:bCs/>
      <w:kern w:val="28"/>
      <w:sz w:val="44"/>
      <w:szCs w:val="32"/>
      <w:lang w:val="en-US" w:eastAsia="zh-CN" w:bidi="ar-SA"/>
    </w:rPr>
  </w:style>
  <w:style w:type="character" w:customStyle="1" w:styleId="108">
    <w:name w:val="脚注文本 字符"/>
    <w:link w:val="52"/>
    <w:qFormat/>
    <w:uiPriority w:val="0"/>
    <w:rPr>
      <w:color w:val="0000FF"/>
      <w:sz w:val="21"/>
    </w:rPr>
  </w:style>
  <w:style w:type="character" w:customStyle="1" w:styleId="109">
    <w:name w:val="正文文本缩进 3 字符"/>
    <w:link w:val="55"/>
    <w:qFormat/>
    <w:uiPriority w:val="0"/>
    <w:rPr>
      <w:kern w:val="2"/>
      <w:sz w:val="24"/>
    </w:rPr>
  </w:style>
  <w:style w:type="character" w:customStyle="1" w:styleId="110">
    <w:name w:val="正文文本 2 字符1"/>
    <w:link w:val="59"/>
    <w:qFormat/>
    <w:uiPriority w:val="0"/>
    <w:rPr>
      <w:kern w:val="2"/>
      <w:sz w:val="21"/>
      <w:szCs w:val="24"/>
    </w:rPr>
  </w:style>
  <w:style w:type="character" w:customStyle="1" w:styleId="111">
    <w:name w:val="HTML 预设格式 字符"/>
    <w:link w:val="60"/>
    <w:qFormat/>
    <w:uiPriority w:val="0"/>
    <w:rPr>
      <w:rFonts w:ascii="黑体" w:hAnsi="Courier New" w:eastAsia="黑体"/>
    </w:rPr>
  </w:style>
  <w:style w:type="character" w:customStyle="1" w:styleId="112">
    <w:name w:val="标题 字符1"/>
    <w:link w:val="62"/>
    <w:qFormat/>
    <w:uiPriority w:val="0"/>
    <w:rPr>
      <w:b/>
      <w:sz w:val="24"/>
      <w:lang w:val="en-GB"/>
    </w:rPr>
  </w:style>
  <w:style w:type="character" w:customStyle="1" w:styleId="113">
    <w:name w:val="批注主题 字符1"/>
    <w:link w:val="63"/>
    <w:qFormat/>
    <w:uiPriority w:val="0"/>
    <w:rPr>
      <w:b/>
      <w:bCs/>
      <w:kern w:val="2"/>
      <w:sz w:val="21"/>
      <w:szCs w:val="24"/>
    </w:rPr>
  </w:style>
  <w:style w:type="character" w:customStyle="1" w:styleId="114">
    <w:name w:val="正文首行缩进 字符"/>
    <w:link w:val="64"/>
    <w:qFormat/>
    <w:uiPriority w:val="99"/>
    <w:rPr>
      <w:rFonts w:ascii="宋体"/>
      <w:kern w:val="2"/>
      <w:sz w:val="24"/>
      <w:lang w:val="zh-CN"/>
    </w:rPr>
  </w:style>
  <w:style w:type="character" w:customStyle="1" w:styleId="115">
    <w:name w:val="正文首行缩进 2 字符"/>
    <w:link w:val="27"/>
    <w:qFormat/>
    <w:uiPriority w:val="0"/>
    <w:rPr>
      <w:rFonts w:ascii="宋体" w:hAnsi="宋体"/>
      <w:kern w:val="2"/>
      <w:sz w:val="21"/>
      <w:szCs w:val="24"/>
    </w:rPr>
  </w:style>
  <w:style w:type="character" w:customStyle="1" w:styleId="116">
    <w:name w:val="表格非标题文字 Char"/>
    <w:link w:val="117"/>
    <w:qFormat/>
    <w:uiPriority w:val="0"/>
    <w:rPr>
      <w:rFonts w:ascii="Futura Bk" w:hAnsi="Futura Bk"/>
      <w:kern w:val="2"/>
      <w:sz w:val="18"/>
      <w:szCs w:val="21"/>
      <w:lang w:val="en-US" w:eastAsia="zh-CN" w:bidi="ar-SA"/>
    </w:rPr>
  </w:style>
  <w:style w:type="paragraph" w:customStyle="1" w:styleId="117">
    <w:name w:val="表格非标题文字"/>
    <w:link w:val="11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8">
    <w:name w:val="*正文 Char"/>
    <w:link w:val="119"/>
    <w:qFormat/>
    <w:locked/>
    <w:uiPriority w:val="0"/>
    <w:rPr>
      <w:rFonts w:ascii="宋体" w:hAnsi="宋体"/>
      <w:sz w:val="24"/>
    </w:rPr>
  </w:style>
  <w:style w:type="paragraph" w:customStyle="1" w:styleId="119">
    <w:name w:val="*正文"/>
    <w:basedOn w:val="1"/>
    <w:link w:val="118"/>
    <w:qFormat/>
    <w:uiPriority w:val="0"/>
    <w:pPr>
      <w:snapToGrid w:val="0"/>
      <w:spacing w:line="360" w:lineRule="auto"/>
      <w:ind w:firstLine="482"/>
      <w:jc w:val="left"/>
    </w:pPr>
    <w:rPr>
      <w:rFonts w:ascii="宋体" w:hAnsi="宋体"/>
      <w:kern w:val="0"/>
      <w:sz w:val="24"/>
      <w:szCs w:val="20"/>
    </w:rPr>
  </w:style>
  <w:style w:type="character" w:customStyle="1" w:styleId="120">
    <w:name w:val="Char Char71"/>
    <w:semiHidden/>
    <w:qFormat/>
    <w:uiPriority w:val="0"/>
    <w:rPr>
      <w:rFonts w:eastAsia="宋体"/>
      <w:kern w:val="2"/>
      <w:sz w:val="21"/>
      <w:szCs w:val="24"/>
      <w:lang w:val="en-US" w:eastAsia="zh-CN" w:bidi="ar-SA"/>
    </w:rPr>
  </w:style>
  <w:style w:type="character" w:customStyle="1" w:styleId="121">
    <w:name w:val="Char Char6"/>
    <w:qFormat/>
    <w:uiPriority w:val="0"/>
    <w:rPr>
      <w:rFonts w:eastAsia="宋体"/>
      <w:kern w:val="2"/>
      <w:sz w:val="21"/>
      <w:szCs w:val="24"/>
      <w:lang w:val="en-US" w:eastAsia="zh-CN" w:bidi="ar-SA"/>
    </w:rPr>
  </w:style>
  <w:style w:type="character" w:customStyle="1" w:styleId="122">
    <w:name w:val="正文缩进 Char"/>
    <w:qFormat/>
    <w:uiPriority w:val="0"/>
    <w:rPr>
      <w:rFonts w:eastAsia="宋体"/>
      <w:kern w:val="2"/>
      <w:sz w:val="21"/>
      <w:lang w:val="en-US" w:eastAsia="zh-CN"/>
    </w:rPr>
  </w:style>
  <w:style w:type="character" w:customStyle="1" w:styleId="123">
    <w:name w:val="正文首行缩进 Char1"/>
    <w:qFormat/>
    <w:uiPriority w:val="0"/>
    <w:rPr>
      <w:rFonts w:ascii="宋体" w:hAnsi="Times New Roman" w:eastAsia="宋体" w:cs="Times New Roman"/>
      <w:snapToGrid w:val="0"/>
      <w:kern w:val="2"/>
      <w:sz w:val="24"/>
      <w:szCs w:val="21"/>
      <w:lang w:val="zh-CN"/>
    </w:rPr>
  </w:style>
  <w:style w:type="character" w:customStyle="1" w:styleId="124">
    <w:name w:val="Char Char28"/>
    <w:qFormat/>
    <w:uiPriority w:val="6"/>
    <w:rPr>
      <w:rFonts w:ascii="仿宋_GB2312" w:hAnsi="仿宋_GB2312" w:eastAsia="仿宋_GB2312"/>
      <w:kern w:val="1"/>
      <w:sz w:val="28"/>
    </w:rPr>
  </w:style>
  <w:style w:type="character" w:customStyle="1" w:styleId="1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6">
    <w:name w:val="Heading 1 Char"/>
    <w:qFormat/>
    <w:uiPriority w:val="6"/>
    <w:rPr>
      <w:rFonts w:ascii="Times New Roman" w:hAnsi="Times New Roman" w:eastAsia="黑体" w:cs="Times New Roman"/>
      <w:b/>
      <w:kern w:val="0"/>
      <w:sz w:val="24"/>
      <w:szCs w:val="24"/>
    </w:rPr>
  </w:style>
  <w:style w:type="character" w:customStyle="1" w:styleId="127">
    <w:name w:val="U_正文 Char"/>
    <w:link w:val="128"/>
    <w:qFormat/>
    <w:uiPriority w:val="0"/>
    <w:rPr>
      <w:sz w:val="24"/>
      <w:szCs w:val="24"/>
    </w:rPr>
  </w:style>
  <w:style w:type="paragraph" w:customStyle="1" w:styleId="128">
    <w:name w:val="U_正文"/>
    <w:basedOn w:val="1"/>
    <w:link w:val="127"/>
    <w:qFormat/>
    <w:uiPriority w:val="0"/>
    <w:pPr>
      <w:adjustRightInd/>
      <w:spacing w:beforeLines="20" w:afterLines="20" w:line="300" w:lineRule="auto"/>
      <w:ind w:firstLine="200" w:firstLineChars="200"/>
    </w:pPr>
    <w:rPr>
      <w:kern w:val="0"/>
      <w:sz w:val="24"/>
    </w:rPr>
  </w:style>
  <w:style w:type="character" w:customStyle="1" w:styleId="129">
    <w:name w:val="HTML 地址 Char1"/>
    <w:qFormat/>
    <w:uiPriority w:val="0"/>
    <w:rPr>
      <w:rFonts w:ascii="Times New Roman" w:hAnsi="Times New Roman" w:eastAsia="宋体" w:cs="Times New Roman"/>
      <w:i/>
      <w:iCs/>
      <w:szCs w:val="24"/>
    </w:rPr>
  </w:style>
  <w:style w:type="character" w:customStyle="1" w:styleId="130">
    <w:name w:val="Char Char51"/>
    <w:qFormat/>
    <w:uiPriority w:val="0"/>
    <w:rPr>
      <w:rFonts w:ascii="宋体" w:hAnsi="Courier New" w:eastAsia="宋体"/>
      <w:kern w:val="2"/>
      <w:sz w:val="21"/>
      <w:lang w:val="en-US" w:eastAsia="zh-CN"/>
    </w:rPr>
  </w:style>
  <w:style w:type="character" w:customStyle="1" w:styleId="131">
    <w:name w:val="表正文 Char"/>
    <w:qFormat/>
    <w:uiPriority w:val="0"/>
    <w:rPr>
      <w:rFonts w:ascii="宋体" w:eastAsia="宋体"/>
      <w:snapToGrid w:val="0"/>
      <w:color w:val="000000"/>
      <w:kern w:val="28"/>
      <w:sz w:val="28"/>
      <w:lang w:val="en-US" w:eastAsia="zh-CN" w:bidi="ar-SA"/>
    </w:rPr>
  </w:style>
  <w:style w:type="character" w:customStyle="1" w:styleId="132">
    <w:name w:val="Char Char34"/>
    <w:qFormat/>
    <w:uiPriority w:val="6"/>
    <w:rPr>
      <w:b/>
      <w:kern w:val="1"/>
      <w:sz w:val="28"/>
      <w:szCs w:val="28"/>
    </w:rPr>
  </w:style>
  <w:style w:type="character" w:customStyle="1" w:styleId="1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4">
    <w:name w:val="哈哈正文 Char"/>
    <w:link w:val="135"/>
    <w:qFormat/>
    <w:uiPriority w:val="0"/>
    <w:rPr>
      <w:rFonts w:ascii="宋体" w:hAnsi="宋体" w:eastAsia="宋体"/>
      <w:kern w:val="2"/>
      <w:sz w:val="24"/>
      <w:lang w:bidi="ar-SA"/>
    </w:rPr>
  </w:style>
  <w:style w:type="paragraph" w:customStyle="1" w:styleId="135">
    <w:name w:val="哈哈正文"/>
    <w:basedOn w:val="1"/>
    <w:link w:val="134"/>
    <w:qFormat/>
    <w:uiPriority w:val="0"/>
    <w:pPr>
      <w:adjustRightInd/>
      <w:spacing w:line="360" w:lineRule="auto"/>
      <w:ind w:firstLine="200" w:firstLineChars="200"/>
    </w:pPr>
    <w:rPr>
      <w:rFonts w:ascii="宋体" w:hAnsi="宋体"/>
      <w:sz w:val="24"/>
      <w:szCs w:val="20"/>
    </w:rPr>
  </w:style>
  <w:style w:type="character" w:customStyle="1" w:styleId="136">
    <w:name w:val="未处理的提及1"/>
    <w:qFormat/>
    <w:uiPriority w:val="0"/>
    <w:rPr>
      <w:color w:val="808080"/>
      <w:shd w:val="clear" w:color="auto" w:fill="E6E6E6"/>
    </w:rPr>
  </w:style>
  <w:style w:type="character" w:customStyle="1" w:styleId="137">
    <w:name w:val="txt"/>
    <w:qFormat/>
    <w:uiPriority w:val="0"/>
    <w:rPr>
      <w:rFonts w:ascii="仿宋_GB2312" w:eastAsia="微软雅黑"/>
      <w:b/>
      <w:kern w:val="2"/>
      <w:sz w:val="32"/>
      <w:szCs w:val="32"/>
      <w:lang w:val="en-US" w:eastAsia="zh-CN" w:bidi="ar-SA"/>
    </w:rPr>
  </w:style>
  <w:style w:type="character" w:customStyle="1" w:styleId="138">
    <w:name w:val="二级标题 Char Char"/>
    <w:qFormat/>
    <w:uiPriority w:val="0"/>
    <w:rPr>
      <w:rFonts w:ascii="宋体" w:hAnsi="宋体" w:eastAsia="宋体"/>
      <w:b/>
      <w:snapToGrid w:val="0"/>
      <w:kern w:val="2"/>
      <w:sz w:val="24"/>
      <w:szCs w:val="24"/>
      <w:lang w:val="en-US" w:eastAsia="zh-CN" w:bidi="ar-SA"/>
    </w:rPr>
  </w:style>
  <w:style w:type="character" w:customStyle="1" w:styleId="139">
    <w:name w:val="Char Char32"/>
    <w:qFormat/>
    <w:uiPriority w:val="6"/>
    <w:rPr>
      <w:b/>
      <w:kern w:val="1"/>
      <w:sz w:val="24"/>
      <w:szCs w:val="24"/>
    </w:rPr>
  </w:style>
  <w:style w:type="character" w:customStyle="1" w:styleId="140">
    <w:name w:val="PI Char1"/>
    <w:qFormat/>
    <w:uiPriority w:val="0"/>
    <w:rPr>
      <w:rFonts w:ascii="宋体" w:hAnsi="宋体"/>
      <w:kern w:val="2"/>
      <w:sz w:val="24"/>
      <w:szCs w:val="24"/>
    </w:rPr>
  </w:style>
  <w:style w:type="character" w:customStyle="1" w:styleId="141">
    <w:name w:val="tw4winTerm"/>
    <w:qFormat/>
    <w:uiPriority w:val="0"/>
    <w:rPr>
      <w:color w:val="0000FF"/>
    </w:rPr>
  </w:style>
  <w:style w:type="character" w:customStyle="1" w:styleId="142">
    <w:name w:val="Footer Char"/>
    <w:qFormat/>
    <w:locked/>
    <w:uiPriority w:val="0"/>
    <w:rPr>
      <w:rFonts w:eastAsia="宋体"/>
      <w:kern w:val="2"/>
      <w:sz w:val="18"/>
      <w:lang w:val="en-US" w:eastAsia="zh-CN" w:bidi="ar-SA"/>
    </w:rPr>
  </w:style>
  <w:style w:type="character" w:customStyle="1" w:styleId="143">
    <w:name w:val="普通文字 Char Char1"/>
    <w:qFormat/>
    <w:uiPriority w:val="0"/>
    <w:rPr>
      <w:rFonts w:ascii="宋体" w:hAnsi="Courier New"/>
      <w:kern w:val="2"/>
      <w:sz w:val="21"/>
    </w:rPr>
  </w:style>
  <w:style w:type="character" w:customStyle="1" w:styleId="144">
    <w:name w:val="Char Char101"/>
    <w:qFormat/>
    <w:uiPriority w:val="6"/>
    <w:rPr>
      <w:rFonts w:ascii="宋体" w:hAnsi="宋体"/>
      <w:kern w:val="2"/>
      <w:sz w:val="21"/>
      <w:szCs w:val="24"/>
      <w:lang w:val="en-US" w:eastAsia="zh-CN"/>
    </w:rPr>
  </w:style>
  <w:style w:type="character" w:customStyle="1" w:styleId="145">
    <w:name w:val="标题 4 Char"/>
    <w:qFormat/>
    <w:uiPriority w:val="0"/>
    <w:rPr>
      <w:rFonts w:ascii="Arial" w:hAnsi="Arial" w:eastAsia="黑体"/>
      <w:b/>
      <w:kern w:val="2"/>
      <w:sz w:val="28"/>
    </w:rPr>
  </w:style>
  <w:style w:type="character" w:customStyle="1" w:styleId="146">
    <w:name w:val="链接"/>
    <w:qFormat/>
    <w:uiPriority w:val="0"/>
    <w:rPr>
      <w:color w:val="0000FF"/>
      <w:sz w:val="21"/>
      <w:szCs w:val="21"/>
      <w:u w:val="single"/>
    </w:rPr>
  </w:style>
  <w:style w:type="character" w:customStyle="1" w:styleId="147">
    <w:name w:val="h4 Char"/>
    <w:qFormat/>
    <w:uiPriority w:val="0"/>
    <w:rPr>
      <w:rFonts w:ascii="Arial" w:hAnsi="Arial" w:eastAsia="黑体"/>
      <w:b/>
      <w:bCs/>
      <w:kern w:val="2"/>
      <w:sz w:val="28"/>
      <w:szCs w:val="28"/>
      <w:lang w:val="zh-CN" w:eastAsia="zh-CN" w:bidi="ar-SA"/>
    </w:rPr>
  </w:style>
  <w:style w:type="character" w:customStyle="1" w:styleId="148">
    <w:name w:val="5正文 Char"/>
    <w:link w:val="149"/>
    <w:qFormat/>
    <w:uiPriority w:val="0"/>
    <w:rPr>
      <w:rFonts w:ascii="仿宋_GB2312" w:hAnsi="微软雅黑" w:eastAsia="仿宋_GB2312"/>
      <w:sz w:val="28"/>
      <w:szCs w:val="21"/>
    </w:rPr>
  </w:style>
  <w:style w:type="paragraph" w:customStyle="1" w:styleId="149">
    <w:name w:val="5正文"/>
    <w:basedOn w:val="1"/>
    <w:link w:val="14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50">
    <w:name w:val="标题 3 字符"/>
    <w:qFormat/>
    <w:uiPriority w:val="9"/>
    <w:rPr>
      <w:b/>
      <w:bCs/>
      <w:kern w:val="2"/>
      <w:sz w:val="32"/>
      <w:szCs w:val="32"/>
    </w:rPr>
  </w:style>
  <w:style w:type="character" w:customStyle="1" w:styleId="151">
    <w:name w:val="样式6 Char"/>
    <w:qFormat/>
    <w:uiPriority w:val="0"/>
    <w:rPr>
      <w:rFonts w:ascii="仿宋_GB2312" w:hAnsi="宋体" w:eastAsia="仿宋_GB2312"/>
      <w:b/>
      <w:bCs/>
      <w:kern w:val="2"/>
      <w:sz w:val="24"/>
      <w:szCs w:val="24"/>
      <w:lang w:val="en-US" w:eastAsia="zh-CN" w:bidi="ar-SA"/>
    </w:rPr>
  </w:style>
  <w:style w:type="character" w:customStyle="1" w:styleId="152">
    <w:name w:val="Char Char14"/>
    <w:qFormat/>
    <w:uiPriority w:val="6"/>
    <w:rPr>
      <w:rFonts w:ascii="黑体" w:hAnsi="黑体" w:eastAsia="黑体"/>
    </w:rPr>
  </w:style>
  <w:style w:type="character" w:customStyle="1" w:styleId="153">
    <w:name w:val="Heading 2 Hidden Char"/>
    <w:qFormat/>
    <w:uiPriority w:val="0"/>
    <w:rPr>
      <w:rFonts w:ascii="仿宋_GB2312" w:eastAsia="仿宋_GB2312"/>
      <w:b/>
      <w:bCs/>
      <w:kern w:val="2"/>
      <w:sz w:val="24"/>
      <w:szCs w:val="24"/>
      <w:lang w:val="zh-CN" w:eastAsia="zh-CN" w:bidi="ar-SA"/>
    </w:rPr>
  </w:style>
  <w:style w:type="character" w:customStyle="1" w:styleId="154">
    <w:name w:val="font11"/>
    <w:basedOn w:val="72"/>
    <w:qFormat/>
    <w:uiPriority w:val="0"/>
    <w:rPr>
      <w:rFonts w:hint="default" w:ascii="Times New Roman" w:hAnsi="Times New Roman" w:cs="Times New Roman"/>
      <w:color w:val="000000"/>
      <w:sz w:val="22"/>
      <w:szCs w:val="22"/>
      <w:u w:val="none"/>
    </w:rPr>
  </w:style>
  <w:style w:type="character" w:customStyle="1" w:styleId="155">
    <w:name w:val="表正文 Char1"/>
    <w:qFormat/>
    <w:uiPriority w:val="0"/>
    <w:rPr>
      <w:rFonts w:ascii="宋体" w:eastAsia="宋体"/>
      <w:snapToGrid w:val="0"/>
      <w:color w:val="000000"/>
      <w:kern w:val="28"/>
      <w:sz w:val="28"/>
    </w:rPr>
  </w:style>
  <w:style w:type="character" w:customStyle="1" w:styleId="156">
    <w:name w:val="blue1"/>
    <w:basedOn w:val="72"/>
    <w:qFormat/>
    <w:uiPriority w:val="0"/>
    <w:rPr>
      <w:rFonts w:ascii="Arial" w:hAnsi="Arial" w:eastAsia="黑体" w:cs="Arial"/>
      <w:snapToGrid w:val="0"/>
      <w:kern w:val="0"/>
      <w:szCs w:val="21"/>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样式5 Char"/>
    <w:qFormat/>
    <w:uiPriority w:val="0"/>
    <w:rPr>
      <w:rFonts w:ascii="仿宋_GB2312" w:hAnsi="仿宋" w:eastAsia="仿宋_GB2312"/>
      <w:kern w:val="2"/>
      <w:sz w:val="24"/>
      <w:szCs w:val="24"/>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插图说明 Char"/>
    <w:qFormat/>
    <w:uiPriority w:val="0"/>
    <w:rPr>
      <w:rFonts w:eastAsia="黑体"/>
      <w:sz w:val="24"/>
      <w:lang w:val="en-US" w:eastAsia="zh-CN"/>
    </w:rPr>
  </w:style>
  <w:style w:type="character" w:customStyle="1" w:styleId="161">
    <w:name w:val="正文2 Char Char"/>
    <w:link w:val="162"/>
    <w:qFormat/>
    <w:uiPriority w:val="0"/>
    <w:rPr>
      <w:rFonts w:eastAsia="宋体"/>
      <w:kern w:val="2"/>
      <w:sz w:val="24"/>
      <w:lang w:val="en-US" w:eastAsia="zh-CN" w:bidi="ar-SA"/>
    </w:rPr>
  </w:style>
  <w:style w:type="paragraph" w:customStyle="1" w:styleId="162">
    <w:name w:val="正文2"/>
    <w:basedOn w:val="1"/>
    <w:link w:val="161"/>
    <w:qFormat/>
    <w:uiPriority w:val="0"/>
    <w:pPr>
      <w:spacing w:before="156" w:line="360" w:lineRule="auto"/>
      <w:ind w:firstLine="510" w:firstLineChars="200"/>
    </w:pPr>
    <w:rPr>
      <w:sz w:val="24"/>
      <w:szCs w:val="20"/>
    </w:rPr>
  </w:style>
  <w:style w:type="character" w:customStyle="1" w:styleId="163">
    <w:name w:val="Char Char24"/>
    <w:qFormat/>
    <w:uiPriority w:val="6"/>
    <w:rPr>
      <w:kern w:val="1"/>
      <w:sz w:val="21"/>
    </w:rPr>
  </w:style>
  <w:style w:type="character" w:customStyle="1" w:styleId="164">
    <w:name w:val="普通文字 Char1 Char"/>
    <w:qFormat/>
    <w:uiPriority w:val="0"/>
    <w:rPr>
      <w:rFonts w:ascii="宋体" w:hAnsi="Courier New" w:eastAsia="宋体"/>
      <w:kern w:val="2"/>
      <w:sz w:val="21"/>
      <w:szCs w:val="24"/>
      <w:lang w:val="en-US" w:eastAsia="zh-CN" w:bidi="ar-SA"/>
    </w:rPr>
  </w:style>
  <w:style w:type="character" w:customStyle="1" w:styleId="165">
    <w:name w:val="h3 Char1"/>
    <w:qFormat/>
    <w:uiPriority w:val="0"/>
    <w:rPr>
      <w:rFonts w:eastAsia="宋体"/>
      <w:b/>
      <w:bCs/>
      <w:kern w:val="2"/>
      <w:sz w:val="32"/>
      <w:szCs w:val="32"/>
      <w:lang w:bidi="ar-SA"/>
    </w:rPr>
  </w:style>
  <w:style w:type="character" w:customStyle="1" w:styleId="166">
    <w:name w:val="标题 Char1"/>
    <w:qFormat/>
    <w:uiPriority w:val="0"/>
    <w:rPr>
      <w:rFonts w:ascii="Cambria" w:hAnsi="Cambria" w:eastAsia="宋体" w:cs="Times New Roman"/>
      <w:b/>
      <w:bCs/>
      <w:sz w:val="32"/>
      <w:szCs w:val="32"/>
      <w:lang w:bidi="ar-SA"/>
    </w:rPr>
  </w:style>
  <w:style w:type="character" w:customStyle="1" w:styleId="167">
    <w:name w:val="gf正文1 Char"/>
    <w:qFormat/>
    <w:uiPriority w:val="0"/>
    <w:rPr>
      <w:rFonts w:ascii="宋体" w:hAnsi="宋体" w:eastAsia="宋体" w:cs="宋体"/>
      <w:kern w:val="2"/>
      <w:sz w:val="24"/>
      <w:szCs w:val="24"/>
      <w:lang w:val="en-US" w:eastAsia="zh-CN" w:bidi="ar-SA"/>
    </w:rPr>
  </w:style>
  <w:style w:type="character" w:customStyle="1" w:styleId="168">
    <w:name w:val="正文文本缩进 Char1"/>
    <w:qFormat/>
    <w:uiPriority w:val="0"/>
    <w:rPr>
      <w:rFonts w:ascii="Calibri" w:hAnsi="Calibri"/>
      <w:sz w:val="28"/>
    </w:rPr>
  </w:style>
  <w:style w:type="character" w:customStyle="1" w:styleId="169">
    <w:name w:val="No Spacing Char"/>
    <w:link w:val="170"/>
    <w:qFormat/>
    <w:uiPriority w:val="1"/>
    <w:rPr>
      <w:sz w:val="22"/>
      <w:szCs w:val="22"/>
      <w:lang w:val="en-US" w:eastAsia="zh-CN" w:bidi="ar-SA"/>
    </w:rPr>
  </w:style>
  <w:style w:type="paragraph" w:customStyle="1" w:styleId="170">
    <w:name w:val="无间隔1"/>
    <w:link w:val="169"/>
    <w:qFormat/>
    <w:uiPriority w:val="1"/>
    <w:rPr>
      <w:rFonts w:ascii="Times New Roman" w:hAnsi="Times New Roman" w:eastAsia="宋体" w:cs="Times New Roman"/>
      <w:sz w:val="22"/>
      <w:szCs w:val="22"/>
      <w:lang w:val="en-US" w:eastAsia="zh-CN"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Char Char7"/>
    <w:semiHidden/>
    <w:qFormat/>
    <w:uiPriority w:val="0"/>
    <w:rPr>
      <w:rFonts w:eastAsia="宋体"/>
      <w:kern w:val="2"/>
      <w:sz w:val="21"/>
      <w:szCs w:val="24"/>
      <w:lang w:val="en-US" w:eastAsia="zh-CN" w:bidi="ar-SA"/>
    </w:rPr>
  </w:style>
  <w:style w:type="character" w:customStyle="1" w:styleId="174">
    <w:name w:val="表名 Char"/>
    <w:qFormat/>
    <w:uiPriority w:val="0"/>
    <w:rPr>
      <w:rFonts w:eastAsia="宋体"/>
      <w:b/>
      <w:bCs/>
      <w:kern w:val="2"/>
      <w:sz w:val="24"/>
      <w:szCs w:val="24"/>
      <w:lang w:val="en-US" w:eastAsia="zh-CN" w:bidi="ar-SA"/>
    </w:rPr>
  </w:style>
  <w:style w:type="character" w:customStyle="1" w:styleId="175">
    <w:name w:val="Document Map Char"/>
    <w:qFormat/>
    <w:locked/>
    <w:uiPriority w:val="0"/>
    <w:rPr>
      <w:rFonts w:eastAsia="宋体"/>
      <w:kern w:val="2"/>
      <w:sz w:val="21"/>
      <w:szCs w:val="24"/>
      <w:lang w:val="en-US" w:eastAsia="zh-CN" w:bidi="ar-SA"/>
    </w:rPr>
  </w:style>
  <w:style w:type="character" w:customStyle="1" w:styleId="176">
    <w:name w:val="font41"/>
    <w:qFormat/>
    <w:uiPriority w:val="0"/>
    <w:rPr>
      <w:rFonts w:hint="eastAsia" w:ascii="仿宋_GB2312" w:eastAsia="仿宋_GB2312" w:cs="仿宋_GB2312"/>
      <w:color w:val="000000"/>
      <w:sz w:val="22"/>
      <w:szCs w:val="22"/>
      <w:u w:val="none"/>
    </w:rPr>
  </w:style>
  <w:style w:type="character" w:customStyle="1" w:styleId="177">
    <w:name w:val="纯文本 Char_0"/>
    <w:link w:val="178"/>
    <w:qFormat/>
    <w:uiPriority w:val="0"/>
    <w:rPr>
      <w:rFonts w:ascii="宋体" w:hAnsi="Courier New"/>
      <w:kern w:val="2"/>
      <w:sz w:val="21"/>
      <w:szCs w:val="21"/>
      <w:lang w:val="en-US" w:eastAsia="zh-CN"/>
    </w:rPr>
  </w:style>
  <w:style w:type="paragraph" w:customStyle="1" w:styleId="178">
    <w:name w:val="纯文本_0_0"/>
    <w:basedOn w:val="179"/>
    <w:link w:val="177"/>
    <w:qFormat/>
    <w:uiPriority w:val="0"/>
    <w:rPr>
      <w:rFonts w:ascii="宋体" w:hAnsi="Courier New"/>
      <w:szCs w:val="21"/>
    </w:rPr>
  </w:style>
  <w:style w:type="paragraph" w:customStyle="1" w:styleId="17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Balloon Text Char"/>
    <w:qFormat/>
    <w:locked/>
    <w:uiPriority w:val="0"/>
    <w:rPr>
      <w:rFonts w:eastAsia="宋体"/>
      <w:kern w:val="2"/>
      <w:sz w:val="18"/>
      <w:szCs w:val="18"/>
      <w:lang w:val="en-US" w:eastAsia="zh-CN" w:bidi="ar-SA"/>
    </w:rPr>
  </w:style>
  <w:style w:type="character" w:customStyle="1" w:styleId="181">
    <w:name w:val="正文 项目2 Char"/>
    <w:basedOn w:val="182"/>
    <w:qFormat/>
    <w:uiPriority w:val="0"/>
    <w:rPr>
      <w:rFonts w:ascii="仿宋_GB2312" w:hAnsi="仿宋_GB2312" w:eastAsia="仿宋_GB2312"/>
      <w:kern w:val="2"/>
      <w:sz w:val="24"/>
      <w:lang w:bidi="ar-SA"/>
    </w:rPr>
  </w:style>
  <w:style w:type="character" w:customStyle="1" w:styleId="182">
    <w:name w:val="正文 项目 Char"/>
    <w:qFormat/>
    <w:uiPriority w:val="0"/>
    <w:rPr>
      <w:rFonts w:ascii="仿宋_GB2312" w:hAnsi="仿宋_GB2312" w:eastAsia="仿宋_GB2312"/>
      <w:kern w:val="2"/>
      <w:sz w:val="24"/>
      <w:lang w:bidi="ar-SA"/>
    </w:rPr>
  </w:style>
  <w:style w:type="character" w:customStyle="1" w:styleId="183">
    <w:name w:val="h Char Char1"/>
    <w:qFormat/>
    <w:uiPriority w:val="0"/>
    <w:rPr>
      <w:rFonts w:eastAsia="宋体"/>
      <w:kern w:val="2"/>
      <w:sz w:val="18"/>
      <w:szCs w:val="18"/>
      <w:lang w:val="en-US" w:eastAsia="zh-CN" w:bidi="ar-SA"/>
    </w:rPr>
  </w:style>
  <w:style w:type="character" w:customStyle="1" w:styleId="184">
    <w:name w:val="Char Char27"/>
    <w:qFormat/>
    <w:uiPriority w:val="6"/>
    <w:rPr>
      <w:rFonts w:ascii="宋体" w:hAnsi="宋体" w:eastAsia="宋体"/>
      <w:color w:val="000000"/>
      <w:kern w:val="1"/>
      <w:sz w:val="28"/>
      <w:lang w:val="en-US" w:eastAsia="zh-CN" w:bidi="ar-SA"/>
    </w:rPr>
  </w:style>
  <w:style w:type="character" w:customStyle="1" w:styleId="185">
    <w:name w:val="px14"/>
    <w:qFormat/>
    <w:uiPriority w:val="0"/>
    <w:rPr>
      <w:rFonts w:ascii="仿宋_GB2312" w:eastAsia="微软雅黑" w:cs="Times New Roman"/>
      <w:b/>
      <w:kern w:val="2"/>
      <w:sz w:val="32"/>
      <w:szCs w:val="32"/>
      <w:lang w:val="en-US" w:eastAsia="zh-CN" w:bidi="ar-SA"/>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普通文字 Char1"/>
    <w:qFormat/>
    <w:uiPriority w:val="0"/>
    <w:rPr>
      <w:rFonts w:ascii="宋体" w:hAnsi="Courier New" w:eastAsia="宋体"/>
      <w:kern w:val="2"/>
      <w:sz w:val="21"/>
      <w:lang w:val="en-US" w:eastAsia="zh-CN"/>
    </w:rPr>
  </w:style>
  <w:style w:type="character" w:customStyle="1" w:styleId="188">
    <w:name w:val="hei16b1"/>
    <w:qFormat/>
    <w:uiPriority w:val="0"/>
    <w:rPr>
      <w:rFonts w:hint="default" w:ascii="Arial" w:hAnsi="Arial" w:cs="Arial"/>
      <w:b/>
      <w:bCs/>
      <w:color w:val="000000"/>
      <w:sz w:val="24"/>
      <w:szCs w:val="24"/>
    </w:rPr>
  </w:style>
  <w:style w:type="character" w:customStyle="1" w:styleId="189">
    <w:name w:val="正文（绿盟科技） Char"/>
    <w:link w:val="190"/>
    <w:qFormat/>
    <w:uiPriority w:val="0"/>
    <w:rPr>
      <w:rFonts w:ascii="Arial" w:hAnsi="Arial"/>
      <w:sz w:val="21"/>
      <w:szCs w:val="21"/>
    </w:rPr>
  </w:style>
  <w:style w:type="paragraph" w:customStyle="1" w:styleId="190">
    <w:name w:val="正文（绿盟科技）"/>
    <w:link w:val="189"/>
    <w:qFormat/>
    <w:uiPriority w:val="0"/>
    <w:pPr>
      <w:spacing w:line="300" w:lineRule="auto"/>
    </w:pPr>
    <w:rPr>
      <w:rFonts w:ascii="Arial" w:hAnsi="Arial" w:eastAsia="宋体" w:cs="Times New Roman"/>
      <w:sz w:val="21"/>
      <w:szCs w:val="21"/>
      <w:lang w:val="en-US" w:eastAsia="zh-CN" w:bidi="ar-SA"/>
    </w:rPr>
  </w:style>
  <w:style w:type="character" w:customStyle="1" w:styleId="191">
    <w:name w:val="Char Char19"/>
    <w:qFormat/>
    <w:uiPriority w:val="6"/>
    <w:rPr>
      <w:rFonts w:ascii="宋体" w:hAnsi="宋体"/>
      <w:i/>
      <w:sz w:val="24"/>
      <w:szCs w:val="24"/>
    </w:rPr>
  </w:style>
  <w:style w:type="character" w:customStyle="1" w:styleId="192">
    <w:name w:val="页脚 Char"/>
    <w:qFormat/>
    <w:uiPriority w:val="99"/>
    <w:rPr>
      <w:rFonts w:eastAsia="仿宋_GB2312"/>
      <w:kern w:val="2"/>
      <w:sz w:val="18"/>
      <w:lang w:val="en-US" w:eastAsia="zh-CN"/>
    </w:rPr>
  </w:style>
  <w:style w:type="character" w:customStyle="1" w:styleId="193">
    <w:name w:val="批注主题 Char"/>
    <w:qFormat/>
    <w:uiPriority w:val="0"/>
    <w:rPr>
      <w:rFonts w:eastAsia="宋体"/>
      <w:b/>
      <w:bCs/>
      <w:kern w:val="2"/>
      <w:sz w:val="21"/>
      <w:szCs w:val="24"/>
      <w:lang w:val="en-US" w:eastAsia="zh-CN" w:bidi="ar-SA"/>
    </w:rPr>
  </w:style>
  <w:style w:type="character" w:customStyle="1" w:styleId="194">
    <w:name w:val="Comment Text Char"/>
    <w:qFormat/>
    <w:locked/>
    <w:uiPriority w:val="0"/>
    <w:rPr>
      <w:rFonts w:ascii="宋体" w:hAnsi="宋体" w:eastAsia="宋体"/>
      <w:kern w:val="2"/>
      <w:sz w:val="24"/>
      <w:lang w:val="en-US" w:eastAsia="zh-CN" w:bidi="ar-SA"/>
    </w:rPr>
  </w:style>
  <w:style w:type="character" w:customStyle="1" w:styleId="195">
    <w:name w:val="标题 2 字符"/>
    <w:qFormat/>
    <w:uiPriority w:val="1"/>
    <w:rPr>
      <w:rFonts w:ascii="仿宋_GB2312" w:hAnsi="Times New Roman" w:eastAsia="仿宋_GB2312" w:cs="Times New Roman"/>
      <w:b/>
      <w:kern w:val="2"/>
      <w:sz w:val="24"/>
      <w:lang w:val="zh-CN"/>
    </w:rPr>
  </w:style>
  <w:style w:type="character" w:customStyle="1" w:styleId="196">
    <w:name w:val="Char Char72"/>
    <w:qFormat/>
    <w:uiPriority w:val="0"/>
    <w:rPr>
      <w:rFonts w:eastAsia="宋体"/>
      <w:kern w:val="2"/>
      <w:sz w:val="21"/>
      <w:szCs w:val="24"/>
      <w:lang w:val="en-US" w:eastAsia="zh-CN" w:bidi="ar-SA"/>
    </w:rPr>
  </w:style>
  <w:style w:type="character" w:customStyle="1" w:styleId="197">
    <w:name w:val="正文文本缩进 Char2"/>
    <w:qFormat/>
    <w:uiPriority w:val="0"/>
    <w:rPr>
      <w:rFonts w:ascii="Times New Roman" w:hAnsi="Times New Roman" w:eastAsia="宋体" w:cs="Times New Roman"/>
      <w:snapToGrid w:val="0"/>
      <w:kern w:val="0"/>
      <w:szCs w:val="24"/>
    </w:rPr>
  </w:style>
  <w:style w:type="character" w:customStyle="1" w:styleId="198">
    <w:name w:val="样式2 Char"/>
    <w:qFormat/>
    <w:uiPriority w:val="0"/>
    <w:rPr>
      <w:rFonts w:ascii="仿宋_GB2312" w:hAnsi="仿宋" w:eastAsia="仿宋_GB2312" w:cs="仿宋_GB2312"/>
      <w:b/>
      <w:bCs/>
      <w:sz w:val="32"/>
      <w:szCs w:val="30"/>
      <w:lang w:val="zh-CN"/>
    </w:rPr>
  </w:style>
  <w:style w:type="character" w:customStyle="1" w:styleId="199">
    <w:name w:val="表格名称[858D7CFB-ED40-4347-BF05-701D383B685F]"/>
    <w:link w:val="200"/>
    <w:qFormat/>
    <w:uiPriority w:val="0"/>
    <w:rPr>
      <w:sz w:val="32"/>
    </w:rPr>
  </w:style>
  <w:style w:type="paragraph" w:customStyle="1" w:styleId="200">
    <w:name w:val="表格名称"/>
    <w:basedOn w:val="3"/>
    <w:link w:val="19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201">
    <w:name w:val="Char Char4"/>
    <w:qFormat/>
    <w:uiPriority w:val="0"/>
    <w:rPr>
      <w:rFonts w:eastAsia="宋体"/>
      <w:b/>
      <w:sz w:val="24"/>
      <w:lang w:val="en-GB" w:eastAsia="zh-CN" w:bidi="ar-SA"/>
    </w:rPr>
  </w:style>
  <w:style w:type="character" w:customStyle="1" w:styleId="202">
    <w:name w:val="c7 style3"/>
    <w:qFormat/>
    <w:uiPriority w:val="0"/>
  </w:style>
  <w:style w:type="character" w:customStyle="1" w:styleId="203">
    <w:name w:val="正文文本 3 Char1"/>
    <w:semiHidden/>
    <w:qFormat/>
    <w:uiPriority w:val="99"/>
    <w:rPr>
      <w:rFonts w:ascii="Times New Roman" w:hAnsi="Times New Roman" w:eastAsia="宋体" w:cs="Times New Roman"/>
      <w:sz w:val="16"/>
      <w:szCs w:val="16"/>
    </w:rPr>
  </w:style>
  <w:style w:type="character" w:customStyle="1" w:styleId="204">
    <w:name w:val="tw4winInternal"/>
    <w:qFormat/>
    <w:uiPriority w:val="0"/>
    <w:rPr>
      <w:rFonts w:ascii="Courier New" w:hAnsi="Courier New" w:cs="Courier New"/>
      <w:color w:val="FF0000"/>
      <w:lang w:val="en-US" w:eastAsia="zh-CN"/>
    </w:rPr>
  </w:style>
  <w:style w:type="character" w:customStyle="1" w:styleId="205">
    <w:name w:val="Char Char10"/>
    <w:semiHidden/>
    <w:qFormat/>
    <w:uiPriority w:val="0"/>
    <w:rPr>
      <w:rFonts w:ascii="宋体" w:hAnsi="宋体"/>
      <w:kern w:val="2"/>
      <w:sz w:val="21"/>
      <w:szCs w:val="24"/>
      <w:lang w:val="en-US" w:eastAsia="zh-CN"/>
    </w:rPr>
  </w:style>
  <w:style w:type="character" w:customStyle="1" w:styleId="206">
    <w:name w:val="shadow11"/>
    <w:qFormat/>
    <w:uiPriority w:val="0"/>
    <w:rPr>
      <w:color w:val="000000"/>
      <w:sz w:val="21"/>
    </w:rPr>
  </w:style>
  <w:style w:type="character" w:customStyle="1" w:styleId="207">
    <w:name w:val="正文非缩进 Char3"/>
    <w:qFormat/>
    <w:uiPriority w:val="0"/>
    <w:rPr>
      <w:rFonts w:ascii="宋体" w:eastAsia="宋体"/>
      <w:snapToGrid w:val="0"/>
      <w:color w:val="000000"/>
      <w:kern w:val="28"/>
      <w:sz w:val="28"/>
      <w:lang w:val="en-US" w:eastAsia="zh-CN" w:bidi="ar-SA"/>
    </w:rPr>
  </w:style>
  <w:style w:type="character" w:customStyle="1" w:styleId="208">
    <w:name w:val="Char Char"/>
    <w:qFormat/>
    <w:uiPriority w:val="0"/>
    <w:rPr>
      <w:rFonts w:ascii="宋体" w:hAnsi="Courier New" w:eastAsia="宋体"/>
      <w:kern w:val="2"/>
      <w:sz w:val="21"/>
      <w:lang w:val="en-US" w:eastAsia="zh-CN" w:bidi="ar-SA"/>
    </w:rPr>
  </w:style>
  <w:style w:type="character" w:customStyle="1" w:styleId="209">
    <w:name w:val="签名 Char1"/>
    <w:qFormat/>
    <w:uiPriority w:val="0"/>
    <w:rPr>
      <w:rFonts w:ascii="Times New Roman" w:hAnsi="Times New Roman" w:eastAsia="宋体" w:cs="Times New Roman"/>
      <w:szCs w:val="24"/>
    </w:rPr>
  </w:style>
  <w:style w:type="character" w:customStyle="1" w:styleId="210">
    <w:name w:val="Char Char18"/>
    <w:qFormat/>
    <w:uiPriority w:val="6"/>
    <w:rPr>
      <w:rFonts w:ascii="宋体" w:hAnsi="宋体"/>
      <w:sz w:val="28"/>
    </w:rPr>
  </w:style>
  <w:style w:type="character" w:customStyle="1" w:styleId="211">
    <w:name w:val="批注文字 Char"/>
    <w:qFormat/>
    <w:uiPriority w:val="99"/>
    <w:rPr>
      <w:kern w:val="2"/>
      <w:sz w:val="21"/>
      <w:szCs w:val="24"/>
    </w:rPr>
  </w:style>
  <w:style w:type="character" w:customStyle="1" w:styleId="212">
    <w:name w:val="Char Char22"/>
    <w:qFormat/>
    <w:uiPriority w:val="6"/>
    <w:rPr>
      <w:rFonts w:ascii="宋体" w:hAnsi="宋体"/>
      <w:kern w:val="1"/>
      <w:sz w:val="24"/>
      <w:szCs w:val="24"/>
    </w:rPr>
  </w:style>
  <w:style w:type="character" w:customStyle="1" w:styleId="213">
    <w:name w:val="pt141"/>
    <w:qFormat/>
    <w:uiPriority w:val="0"/>
    <w:rPr>
      <w:color w:val="330066"/>
      <w:sz w:val="22"/>
      <w:szCs w:val="22"/>
    </w:rPr>
  </w:style>
  <w:style w:type="character" w:customStyle="1" w:styleId="214">
    <w:name w:val="正文文本缩进 2 Char1"/>
    <w:semiHidden/>
    <w:qFormat/>
    <w:uiPriority w:val="99"/>
    <w:rPr>
      <w:rFonts w:ascii="Times New Roman" w:hAnsi="Times New Roman" w:eastAsia="宋体" w:cs="Times New Roman"/>
      <w:szCs w:val="24"/>
    </w:rPr>
  </w:style>
  <w:style w:type="character" w:customStyle="1" w:styleId="215">
    <w:name w:val="Char Char611"/>
    <w:qFormat/>
    <w:uiPriority w:val="0"/>
    <w:rPr>
      <w:rFonts w:eastAsia="宋体"/>
      <w:kern w:val="2"/>
      <w:sz w:val="21"/>
      <w:szCs w:val="24"/>
      <w:lang w:val="en-US" w:eastAsia="zh-CN" w:bidi="ar-SA"/>
    </w:rPr>
  </w:style>
  <w:style w:type="character" w:customStyle="1" w:styleId="216">
    <w:name w:val="highlight1"/>
    <w:qFormat/>
    <w:uiPriority w:val="0"/>
    <w:rPr>
      <w:rFonts w:ascii="仿宋_GB2312" w:eastAsia="微软雅黑"/>
      <w:b/>
      <w:kern w:val="2"/>
      <w:sz w:val="23"/>
      <w:szCs w:val="23"/>
      <w:lang w:val="en-US" w:eastAsia="zh-CN" w:bidi="ar-SA"/>
    </w:rPr>
  </w:style>
  <w:style w:type="character" w:customStyle="1" w:styleId="217">
    <w:name w:val="my正文 Char"/>
    <w:link w:val="218"/>
    <w:qFormat/>
    <w:locked/>
    <w:uiPriority w:val="0"/>
    <w:rPr>
      <w:rFonts w:ascii="Tahoma" w:hAnsi="Tahoma"/>
      <w:sz w:val="24"/>
      <w:szCs w:val="24"/>
    </w:rPr>
  </w:style>
  <w:style w:type="paragraph" w:customStyle="1" w:styleId="218">
    <w:name w:val="my正文"/>
    <w:basedOn w:val="1"/>
    <w:link w:val="217"/>
    <w:qFormat/>
    <w:uiPriority w:val="0"/>
    <w:pPr>
      <w:adjustRightInd/>
      <w:spacing w:line="360" w:lineRule="auto"/>
      <w:ind w:firstLine="480" w:firstLineChars="200"/>
    </w:pPr>
    <w:rPr>
      <w:rFonts w:ascii="Tahoma" w:hAnsi="Tahoma"/>
      <w:kern w:val="0"/>
      <w:sz w:val="24"/>
    </w:rPr>
  </w:style>
  <w:style w:type="character" w:customStyle="1" w:styleId="219">
    <w:name w:val="Used by Word for text of Help footnotes Char Char1"/>
    <w:qFormat/>
    <w:uiPriority w:val="0"/>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0"/>
    <w:rPr>
      <w:rFonts w:hAnsi="宋体"/>
      <w:kern w:val="2"/>
      <w:sz w:val="24"/>
      <w:lang w:bidi="ar-SA"/>
    </w:rPr>
  </w:style>
  <w:style w:type="character" w:customStyle="1" w:styleId="222">
    <w:name w:val="纯文本 字符"/>
    <w:qFormat/>
    <w:uiPriority w:val="99"/>
    <w:rPr>
      <w:rFonts w:ascii="宋体" w:hAnsi="Courier New" w:eastAsia="宋体" w:cs="Arial"/>
      <w:snapToGrid w:val="0"/>
      <w:kern w:val="2"/>
      <w:sz w:val="21"/>
      <w:szCs w:val="21"/>
      <w:lang w:val="en-US" w:eastAsia="zh-CN" w:bidi="ar-SA"/>
    </w:rPr>
  </w:style>
  <w:style w:type="character" w:customStyle="1" w:styleId="223">
    <w:name w:val="3级 Char"/>
    <w:link w:val="224"/>
    <w:qFormat/>
    <w:uiPriority w:val="0"/>
    <w:rPr>
      <w:rFonts w:ascii="宋体" w:hAnsi="宋体"/>
      <w:b/>
      <w:bCs/>
      <w:snapToGrid/>
      <w:sz w:val="28"/>
    </w:rPr>
  </w:style>
  <w:style w:type="paragraph" w:customStyle="1" w:styleId="224">
    <w:name w:val="3级"/>
    <w:basedOn w:val="225"/>
    <w:link w:val="223"/>
    <w:qFormat/>
    <w:uiPriority w:val="0"/>
    <w:pPr>
      <w:ind w:left="0" w:right="466" w:firstLine="288"/>
    </w:pPr>
    <w:rPr>
      <w:rFonts w:hAnsi="宋体"/>
      <w:snapToGrid/>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myp11"/>
    <w:qFormat/>
    <w:uiPriority w:val="0"/>
    <w:rPr>
      <w:rFonts w:ascii="仿宋_GB2312" w:eastAsia="微软雅黑"/>
      <w:b/>
      <w:kern w:val="2"/>
      <w:sz w:val="32"/>
      <w:szCs w:val="32"/>
      <w:lang w:val="en-US" w:eastAsia="zh-CN" w:bidi="ar-SA"/>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2"/>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标题 2 Char"/>
    <w:qFormat/>
    <w:uiPriority w:val="9"/>
    <w:rPr>
      <w:rFonts w:ascii="Arial" w:hAnsi="Arial" w:eastAsia="黑体"/>
      <w:b/>
      <w:kern w:val="2"/>
      <w:sz w:val="32"/>
      <w:lang w:val="en-US" w:eastAsia="zh-CN"/>
    </w:rPr>
  </w:style>
  <w:style w:type="character" w:customStyle="1" w:styleId="234">
    <w:name w:val="maywed421"/>
    <w:qFormat/>
    <w:uiPriority w:val="0"/>
    <w:rPr>
      <w:color w:val="366FB6"/>
      <w:u w:val="none"/>
    </w:rPr>
  </w:style>
  <w:style w:type="character" w:customStyle="1" w:styleId="235">
    <w:name w:val="正文文本缩进 Char"/>
    <w:qFormat/>
    <w:uiPriority w:val="99"/>
    <w:rPr>
      <w:rFonts w:ascii="宋体" w:hAnsi="宋体"/>
      <w:kern w:val="2"/>
      <w:sz w:val="24"/>
      <w:szCs w:val="24"/>
    </w:rPr>
  </w:style>
  <w:style w:type="character" w:customStyle="1" w:styleId="236">
    <w:name w:val="Char Char102"/>
    <w:semiHidden/>
    <w:qFormat/>
    <w:uiPriority w:val="0"/>
    <w:rPr>
      <w:rFonts w:ascii="宋体" w:hAnsi="宋体"/>
      <w:kern w:val="2"/>
      <w:sz w:val="21"/>
      <w:szCs w:val="24"/>
      <w:lang w:val="en-US" w:eastAsia="zh-CN"/>
    </w:rPr>
  </w:style>
  <w:style w:type="character" w:customStyle="1" w:styleId="237">
    <w:name w:val="页眉 Char1"/>
    <w:qFormat/>
    <w:uiPriority w:val="0"/>
    <w:rPr>
      <w:rFonts w:eastAsia="宋体"/>
      <w:kern w:val="2"/>
      <w:sz w:val="18"/>
      <w:szCs w:val="18"/>
      <w:lang w:val="en-US" w:eastAsia="zh-CN" w:bidi="ar-SA"/>
    </w:rPr>
  </w:style>
  <w:style w:type="character" w:customStyle="1" w:styleId="238">
    <w:name w:val="md"/>
    <w:basedOn w:val="72"/>
    <w:qFormat/>
    <w:uiPriority w:val="0"/>
    <w:rPr>
      <w:rFonts w:ascii="Arial" w:hAnsi="Arial" w:eastAsia="黑体" w:cs="Arial"/>
      <w:snapToGrid w:val="0"/>
      <w:kern w:val="0"/>
      <w:szCs w:val="21"/>
    </w:rPr>
  </w:style>
  <w:style w:type="character" w:customStyle="1" w:styleId="239">
    <w:name w:val="big1"/>
    <w:qFormat/>
    <w:uiPriority w:val="0"/>
    <w:rPr>
      <w:rFonts w:hint="eastAsia" w:ascii="宋体" w:hAnsi="宋体" w:eastAsia="宋体"/>
      <w:color w:val="333333"/>
      <w:sz w:val="22"/>
      <w:szCs w:val="22"/>
    </w:rPr>
  </w:style>
  <w:style w:type="character" w:customStyle="1" w:styleId="240">
    <w:name w:val="Char Char311"/>
    <w:qFormat/>
    <w:uiPriority w:val="0"/>
    <w:rPr>
      <w:rFonts w:eastAsia="宋体"/>
      <w:kern w:val="2"/>
      <w:sz w:val="21"/>
      <w:szCs w:val="24"/>
      <w:lang w:val="en-US" w:eastAsia="zh-CN" w:bidi="ar-SA"/>
    </w:rPr>
  </w:style>
  <w:style w:type="character" w:customStyle="1" w:styleId="241">
    <w:name w:val="Char Char81"/>
    <w:qFormat/>
    <w:uiPriority w:val="6"/>
    <w:rPr>
      <w:rFonts w:eastAsia="宋体"/>
      <w:b/>
      <w:sz w:val="24"/>
      <w:lang w:val="en-GB" w:eastAsia="zh-CN"/>
    </w:rPr>
  </w:style>
  <w:style w:type="character" w:customStyle="1" w:styleId="242">
    <w:name w:val="样式3 Char"/>
    <w:basedOn w:val="198"/>
    <w:qFormat/>
    <w:uiPriority w:val="0"/>
    <w:rPr>
      <w:rFonts w:ascii="仿宋_GB2312" w:hAnsi="仿宋" w:eastAsia="仿宋_GB2312" w:cs="仿宋_GB2312"/>
      <w:sz w:val="32"/>
      <w:szCs w:val="30"/>
      <w:lang w:val="zh-CN"/>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6"/>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普通文字 Char3"/>
    <w:qFormat/>
    <w:uiPriority w:val="0"/>
    <w:rPr>
      <w:rFonts w:ascii="宋体" w:hAnsi="Courier New" w:eastAsia="宋体"/>
      <w:kern w:val="2"/>
      <w:sz w:val="21"/>
      <w:lang w:val="en-US" w:eastAsia="zh-CN" w:bidi="ar-SA"/>
    </w:rPr>
  </w:style>
  <w:style w:type="character" w:customStyle="1" w:styleId="253">
    <w:name w:val="公文正文 Char"/>
    <w:qFormat/>
    <w:uiPriority w:val="0"/>
    <w:rPr>
      <w:rFonts w:ascii="仿宋_GB2312" w:eastAsia="仿宋_GB2312"/>
      <w:kern w:val="2"/>
      <w:sz w:val="24"/>
      <w:szCs w:val="24"/>
      <w:lang w:val="en-US" w:eastAsia="zh-CN" w:bidi="ar-SA"/>
    </w:rPr>
  </w:style>
  <w:style w:type="character" w:customStyle="1" w:styleId="254">
    <w:name w:val="正文首行缩进 Char Char Char Char Char"/>
    <w:qFormat/>
    <w:uiPriority w:val="0"/>
    <w:rPr>
      <w:rFonts w:ascii="宋体"/>
      <w:kern w:val="2"/>
      <w:sz w:val="24"/>
      <w:lang w:val="zh-CN"/>
    </w:rPr>
  </w:style>
  <w:style w:type="character" w:customStyle="1" w:styleId="255">
    <w:name w:val="PI Char"/>
    <w:qFormat/>
    <w:uiPriority w:val="0"/>
    <w:rPr>
      <w:rFonts w:ascii="宋体" w:hAnsi="宋体" w:eastAsia="宋体"/>
      <w:kern w:val="2"/>
      <w:sz w:val="24"/>
      <w:szCs w:val="24"/>
      <w:lang w:val="en-US" w:eastAsia="zh-CN" w:bidi="ar-SA"/>
    </w:rPr>
  </w:style>
  <w:style w:type="character" w:customStyle="1" w:styleId="256">
    <w:name w:val="Default Char"/>
    <w:link w:val="257"/>
    <w:qFormat/>
    <w:uiPriority w:val="0"/>
    <w:rPr>
      <w:rFonts w:ascii="仿宋_GB2312" w:eastAsia="仿宋_GB2312" w:cs="仿宋_GB2312"/>
      <w:color w:val="000000"/>
      <w:sz w:val="24"/>
      <w:szCs w:val="24"/>
      <w:lang w:val="en-US" w:eastAsia="zh-CN" w:bidi="ar-SA"/>
    </w:rPr>
  </w:style>
  <w:style w:type="paragraph" w:customStyle="1" w:styleId="257">
    <w:name w:val="Default"/>
    <w:link w:val="256"/>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8">
    <w:name w:val="style91"/>
    <w:qFormat/>
    <w:uiPriority w:val="0"/>
    <w:rPr>
      <w:color w:val="333333"/>
    </w:rPr>
  </w:style>
  <w:style w:type="character" w:customStyle="1" w:styleId="259">
    <w:name w:val="列出段落 Char2"/>
    <w:qFormat/>
    <w:uiPriority w:val="34"/>
    <w:rPr>
      <w:rFonts w:ascii="Calibri" w:hAnsi="Calibri"/>
      <w:kern w:val="2"/>
      <w:sz w:val="28"/>
    </w:rPr>
  </w:style>
  <w:style w:type="character" w:customStyle="1" w:styleId="260">
    <w:name w:val="mdeck"/>
    <w:qFormat/>
    <w:uiPriority w:val="0"/>
    <w:rPr>
      <w:rFonts w:ascii="仿宋_GB2312" w:eastAsia="微软雅黑"/>
      <w:b/>
      <w:kern w:val="2"/>
      <w:sz w:val="32"/>
      <w:szCs w:val="32"/>
      <w:lang w:val="en-US" w:eastAsia="zh-CN" w:bidi="ar-SA"/>
    </w:rPr>
  </w:style>
  <w:style w:type="character" w:customStyle="1" w:styleId="261">
    <w:name w:val="unnamed11"/>
    <w:qFormat/>
    <w:uiPriority w:val="0"/>
    <w:rPr>
      <w:sz w:val="20"/>
      <w:szCs w:val="20"/>
    </w:rPr>
  </w:style>
  <w:style w:type="character" w:customStyle="1" w:styleId="262">
    <w:name w:val="正文文本 Char2"/>
    <w:semiHidden/>
    <w:qFormat/>
    <w:uiPriority w:val="99"/>
    <w:rPr>
      <w:rFonts w:ascii="Times New Roman" w:hAnsi="Times New Roman" w:eastAsia="宋体" w:cs="Times New Roman"/>
      <w:snapToGrid w:val="0"/>
      <w:kern w:val="0"/>
      <w:szCs w:val="24"/>
    </w:rPr>
  </w:style>
  <w:style w:type="character" w:customStyle="1" w:styleId="263">
    <w:name w:val="标书正文格式 Char"/>
    <w:qFormat/>
    <w:uiPriority w:val="0"/>
    <w:rPr>
      <w:rFonts w:eastAsia="楷体_GB2312"/>
      <w:kern w:val="2"/>
      <w:sz w:val="24"/>
      <w:szCs w:val="24"/>
      <w:lang w:bidi="ar-SA"/>
    </w:rPr>
  </w:style>
  <w:style w:type="character" w:customStyle="1" w:styleId="264">
    <w:name w:val="Char Char11"/>
    <w:qFormat/>
    <w:locked/>
    <w:uiPriority w:val="0"/>
    <w:rPr>
      <w:rFonts w:ascii="宋体" w:hAnsi="宋体" w:eastAsia="宋体"/>
      <w:b/>
      <w:kern w:val="2"/>
      <w:sz w:val="24"/>
      <w:szCs w:val="24"/>
      <w:lang w:val="en-US" w:eastAsia="zh-CN" w:bidi="ar-SA"/>
    </w:rPr>
  </w:style>
  <w:style w:type="character" w:customStyle="1" w:styleId="265">
    <w:name w:val="ca-131"/>
    <w:qFormat/>
    <w:uiPriority w:val="0"/>
    <w:rPr>
      <w:rFonts w:hint="eastAsia" w:ascii="仿宋_GB2312" w:eastAsia="仿宋_GB2312"/>
      <w:b/>
      <w:bCs/>
      <w:color w:val="000000"/>
      <w:spacing w:val="-20"/>
      <w:sz w:val="24"/>
      <w:szCs w:val="24"/>
    </w:rPr>
  </w:style>
  <w:style w:type="character" w:customStyle="1" w:styleId="266">
    <w:name w:val="tw4winMark"/>
    <w:qFormat/>
    <w:uiPriority w:val="0"/>
    <w:rPr>
      <w:rFonts w:ascii="Courier New" w:hAnsi="Courier New" w:cs="Courier New"/>
      <w:vanish/>
      <w:color w:val="800080"/>
      <w:sz w:val="24"/>
      <w:szCs w:val="24"/>
      <w:vertAlign w:val="subscript"/>
    </w:rPr>
  </w:style>
  <w:style w:type="character" w:customStyle="1" w:styleId="267">
    <w:name w:val="正文样式 Char"/>
    <w:link w:val="268"/>
    <w:qFormat/>
    <w:uiPriority w:val="0"/>
    <w:rPr>
      <w:rFonts w:ascii="Calibri" w:hAnsi="Calibri"/>
      <w:sz w:val="24"/>
      <w:szCs w:val="24"/>
    </w:rPr>
  </w:style>
  <w:style w:type="paragraph" w:customStyle="1" w:styleId="268">
    <w:name w:val="正文样式"/>
    <w:basedOn w:val="1"/>
    <w:link w:val="267"/>
    <w:qFormat/>
    <w:uiPriority w:val="0"/>
    <w:pPr>
      <w:adjustRightInd/>
      <w:spacing w:line="360" w:lineRule="auto"/>
      <w:ind w:firstLine="480" w:firstLineChars="200"/>
    </w:pPr>
    <w:rPr>
      <w:kern w:val="0"/>
      <w:sz w:val="24"/>
    </w:rPr>
  </w:style>
  <w:style w:type="character" w:customStyle="1" w:styleId="269">
    <w:name w:val="表正文 Char3"/>
    <w:qFormat/>
    <w:uiPriority w:val="0"/>
    <w:rPr>
      <w:rFonts w:eastAsia="宋体"/>
    </w:rPr>
  </w:style>
  <w:style w:type="character" w:customStyle="1" w:styleId="270">
    <w:name w:val="H5 Char"/>
    <w:qFormat/>
    <w:uiPriority w:val="0"/>
    <w:rPr>
      <w:b/>
      <w:bCs/>
      <w:kern w:val="2"/>
      <w:sz w:val="28"/>
      <w:szCs w:val="28"/>
    </w:rPr>
  </w:style>
  <w:style w:type="character" w:customStyle="1" w:styleId="271">
    <w:name w:val="Char Char3"/>
    <w:qFormat/>
    <w:uiPriority w:val="0"/>
    <w:rPr>
      <w:rFonts w:eastAsia="宋体"/>
      <w:kern w:val="2"/>
      <w:sz w:val="21"/>
      <w:szCs w:val="24"/>
      <w:lang w:val="en-US" w:eastAsia="zh-CN" w:bidi="ar-SA"/>
    </w:rPr>
  </w:style>
  <w:style w:type="character" w:customStyle="1" w:styleId="272">
    <w:name w:val="正文 编号 Char"/>
    <w:qFormat/>
    <w:uiPriority w:val="0"/>
    <w:rPr>
      <w:rFonts w:ascii="仿宋_GB2312" w:hAnsi="仿宋_GB2312" w:eastAsia="仿宋_GB2312"/>
      <w:kern w:val="2"/>
      <w:sz w:val="24"/>
      <w:lang w:bidi="ar-SA"/>
    </w:rPr>
  </w:style>
  <w:style w:type="character" w:customStyle="1" w:styleId="273">
    <w:name w:val="question-title2"/>
    <w:qFormat/>
    <w:uiPriority w:val="6"/>
    <w:rPr>
      <w:rFonts w:ascii="Arial" w:hAnsi="Arial" w:eastAsia="黑体" w:cs="Arial"/>
      <w:snapToGrid w:val="0"/>
      <w:kern w:val="0"/>
      <w:szCs w:val="21"/>
    </w:rPr>
  </w:style>
  <w:style w:type="character" w:customStyle="1" w:styleId="274">
    <w:name w:val="gf正文1 Char Char"/>
    <w:link w:val="275"/>
    <w:qFormat/>
    <w:uiPriority w:val="0"/>
    <w:rPr>
      <w:rFonts w:ascii="宋体" w:hAnsi="宋体" w:cs="宋体"/>
      <w:kern w:val="2"/>
      <w:sz w:val="24"/>
      <w:szCs w:val="24"/>
    </w:rPr>
  </w:style>
  <w:style w:type="paragraph" w:customStyle="1" w:styleId="275">
    <w:name w:val="gf正文1"/>
    <w:basedOn w:val="1"/>
    <w:link w:val="27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6">
    <w:name w:val="Char Char15"/>
    <w:qFormat/>
    <w:uiPriority w:val="6"/>
    <w:rPr>
      <w:rFonts w:ascii="宋体" w:hAnsi="宋体"/>
      <w:kern w:val="1"/>
      <w:sz w:val="21"/>
    </w:rPr>
  </w:style>
  <w:style w:type="character" w:customStyle="1" w:styleId="277">
    <w:name w:val="正文缩进 Char3"/>
    <w:qFormat/>
    <w:uiPriority w:val="0"/>
    <w:rPr>
      <w:rFonts w:ascii="宋体" w:eastAsia="宋体"/>
      <w:snapToGrid w:val="0"/>
      <w:color w:val="000000"/>
      <w:kern w:val="28"/>
      <w:sz w:val="28"/>
      <w:lang w:val="en-US" w:eastAsia="zh-CN" w:bidi="ar-SA"/>
    </w:rPr>
  </w:style>
  <w:style w:type="character" w:customStyle="1" w:styleId="278">
    <w:name w:val="列出段落 Char1"/>
    <w:link w:val="279"/>
    <w:qFormat/>
    <w:uiPriority w:val="0"/>
    <w:rPr>
      <w:rFonts w:ascii="Calibri" w:hAnsi="Calibri"/>
      <w:sz w:val="24"/>
      <w:lang w:eastAsia="en-US"/>
    </w:rPr>
  </w:style>
  <w:style w:type="paragraph" w:customStyle="1" w:styleId="279">
    <w:name w:val="列表1"/>
    <w:basedOn w:val="1"/>
    <w:next w:val="280"/>
    <w:link w:val="278"/>
    <w:qFormat/>
    <w:uiPriority w:val="0"/>
    <w:pPr>
      <w:widowControl/>
      <w:adjustRightInd/>
      <w:spacing w:after="200" w:line="360" w:lineRule="auto"/>
      <w:ind w:left="720" w:firstLine="200" w:firstLineChars="200"/>
      <w:jc w:val="left"/>
    </w:pPr>
    <w:rPr>
      <w:kern w:val="0"/>
      <w:sz w:val="24"/>
      <w:szCs w:val="20"/>
      <w:lang w:eastAsia="en-US"/>
    </w:rPr>
  </w:style>
  <w:style w:type="paragraph" w:styleId="280">
    <w:name w:val="List Paragraph"/>
    <w:basedOn w:val="1"/>
    <w:qFormat/>
    <w:uiPriority w:val="99"/>
    <w:pPr>
      <w:spacing w:line="360" w:lineRule="auto"/>
      <w:ind w:firstLine="200" w:firstLineChars="200"/>
    </w:pPr>
    <w:rPr>
      <w:rFonts w:eastAsia="楷体_GB2312" w:cs="Lucida Sans"/>
      <w:sz w:val="24"/>
    </w:rPr>
  </w:style>
  <w:style w:type="character" w:customStyle="1" w:styleId="281">
    <w:name w:val="Char Char8"/>
    <w:qFormat/>
    <w:uiPriority w:val="0"/>
    <w:rPr>
      <w:rFonts w:eastAsia="宋体"/>
      <w:b/>
      <w:sz w:val="24"/>
      <w:lang w:val="en-GB" w:eastAsia="zh-CN"/>
    </w:rPr>
  </w:style>
  <w:style w:type="character" w:customStyle="1" w:styleId="282">
    <w:name w:val="Normal Indent Char Char"/>
    <w:qFormat/>
    <w:uiPriority w:val="0"/>
    <w:rPr>
      <w:rFonts w:eastAsia="宋体"/>
      <w:kern w:val="2"/>
      <w:sz w:val="21"/>
      <w:lang w:val="en-US" w:eastAsia="zh-CN" w:bidi="ar-SA"/>
    </w:rPr>
  </w:style>
  <w:style w:type="character" w:customStyle="1" w:styleId="283">
    <w:name w:val="列表段落 字符"/>
    <w:link w:val="284"/>
    <w:qFormat/>
    <w:uiPriority w:val="34"/>
  </w:style>
  <w:style w:type="paragraph" w:customStyle="1" w:styleId="284">
    <w:name w:val="_Style 280"/>
    <w:basedOn w:val="1"/>
    <w:next w:val="280"/>
    <w:link w:val="283"/>
    <w:qFormat/>
    <w:uiPriority w:val="34"/>
    <w:pPr>
      <w:adjustRightInd/>
      <w:ind w:firstLine="420" w:firstLineChars="200"/>
    </w:pPr>
    <w:rPr>
      <w:rFonts w:ascii="Calibri" w:hAnsi="Calibri"/>
      <w:szCs w:val="22"/>
    </w:rPr>
  </w:style>
  <w:style w:type="character" w:customStyle="1" w:styleId="285">
    <w:name w:val="Ò³Ã¼ Char Char1"/>
    <w:qFormat/>
    <w:uiPriority w:val="0"/>
    <w:rPr>
      <w:rFonts w:eastAsia="宋体"/>
      <w:kern w:val="2"/>
      <w:sz w:val="18"/>
      <w:szCs w:val="18"/>
      <w:lang w:val="en-US" w:eastAsia="zh-CN" w:bidi="ar-SA"/>
    </w:rPr>
  </w:style>
  <w:style w:type="character" w:customStyle="1" w:styleId="286">
    <w:name w:val="方案正文 Char"/>
    <w:qFormat/>
    <w:uiPriority w:val="0"/>
    <w:rPr>
      <w:rFonts w:ascii="仿宋_GB2312" w:eastAsia="仿宋_GB2312"/>
      <w:b/>
      <w:color w:val="000000"/>
      <w:kern w:val="2"/>
      <w:sz w:val="24"/>
      <w:lang w:val="en-US" w:eastAsia="zh-CN" w:bidi="ar-SA"/>
    </w:rPr>
  </w:style>
  <w:style w:type="character" w:customStyle="1" w:styleId="287">
    <w:name w:val="Char Char30"/>
    <w:qFormat/>
    <w:uiPriority w:val="6"/>
    <w:rPr>
      <w:rFonts w:ascii="Arial" w:hAnsi="Arial" w:eastAsia="黑体"/>
      <w:kern w:val="1"/>
      <w:sz w:val="21"/>
      <w:szCs w:val="21"/>
    </w:rPr>
  </w:style>
  <w:style w:type="character" w:customStyle="1" w:styleId="288">
    <w:name w:val="font01"/>
    <w:basedOn w:val="72"/>
    <w:qFormat/>
    <w:uiPriority w:val="0"/>
    <w:rPr>
      <w:rFonts w:hint="eastAsia" w:ascii="微软雅黑" w:hAnsi="微软雅黑" w:eastAsia="微软雅黑" w:cs="微软雅黑"/>
      <w:color w:val="000000"/>
      <w:sz w:val="20"/>
      <w:szCs w:val="20"/>
      <w:u w:val="none"/>
    </w:rPr>
  </w:style>
  <w:style w:type="character" w:customStyle="1" w:styleId="289">
    <w:name w:val="Char Char20"/>
    <w:qFormat/>
    <w:uiPriority w:val="6"/>
    <w:rPr>
      <w:kern w:val="1"/>
      <w:sz w:val="24"/>
    </w:rPr>
  </w:style>
  <w:style w:type="character" w:customStyle="1" w:styleId="290">
    <w:name w:val="tw4winExternal"/>
    <w:qFormat/>
    <w:uiPriority w:val="0"/>
    <w:rPr>
      <w:rFonts w:ascii="Courier New" w:hAnsi="Courier New" w:cs="Courier New"/>
      <w:color w:val="808080"/>
      <w:lang w:val="en-US" w:eastAsia="zh-CN"/>
    </w:rPr>
  </w:style>
  <w:style w:type="character" w:customStyle="1" w:styleId="291">
    <w:name w:val="标题 4 Char1"/>
    <w:qFormat/>
    <w:uiPriority w:val="9"/>
    <w:rPr>
      <w:rFonts w:ascii="Cambria" w:hAnsi="Cambria" w:eastAsia="宋体" w:cs="Times New Roman"/>
      <w:b/>
      <w:bCs/>
      <w:kern w:val="2"/>
      <w:sz w:val="28"/>
      <w:szCs w:val="28"/>
    </w:rPr>
  </w:style>
  <w:style w:type="character" w:customStyle="1" w:styleId="292">
    <w:name w:val="批注文字 Char2"/>
    <w:qFormat/>
    <w:uiPriority w:val="99"/>
    <w:rPr>
      <w:rFonts w:ascii="Times New Roman" w:hAnsi="Times New Roman" w:eastAsia="宋体" w:cs="Times New Roman"/>
      <w:snapToGrid w:val="0"/>
      <w:kern w:val="0"/>
      <w:szCs w:val="24"/>
    </w:rPr>
  </w:style>
  <w:style w:type="character" w:customStyle="1" w:styleId="293">
    <w:name w:val="正文文本 2 Char"/>
    <w:qFormat/>
    <w:uiPriority w:val="0"/>
    <w:rPr>
      <w:rFonts w:eastAsia="宋体"/>
      <w:kern w:val="2"/>
      <w:sz w:val="21"/>
      <w:szCs w:val="24"/>
      <w:lang w:val="en-US" w:eastAsia="zh-CN" w:bidi="ar-SA"/>
    </w:rPr>
  </w:style>
  <w:style w:type="character" w:customStyle="1" w:styleId="294">
    <w:name w:val="Ò³Ã¼ Char Char"/>
    <w:qFormat/>
    <w:uiPriority w:val="0"/>
    <w:rPr>
      <w:rFonts w:eastAsia="宋体"/>
      <w:kern w:val="2"/>
      <w:sz w:val="18"/>
      <w:lang w:val="en-US" w:eastAsia="zh-CN" w:bidi="ar-SA"/>
    </w:rPr>
  </w:style>
  <w:style w:type="character" w:customStyle="1" w:styleId="295">
    <w:name w:val="message1"/>
    <w:qFormat/>
    <w:uiPriority w:val="0"/>
    <w:rPr>
      <w:rFonts w:hint="default" w:ascii="Tahoma" w:hAnsi="Tahoma" w:cs="Tahoma"/>
      <w:sz w:val="18"/>
      <w:szCs w:val="18"/>
    </w:rPr>
  </w:style>
  <w:style w:type="character" w:customStyle="1" w:styleId="296">
    <w:name w:val="Char Char23"/>
    <w:qFormat/>
    <w:uiPriority w:val="6"/>
    <w:rPr>
      <w:color w:val="0000FF"/>
      <w:sz w:val="21"/>
    </w:rPr>
  </w:style>
  <w:style w:type="character" w:customStyle="1" w:styleId="297">
    <w:name w:val="批注框文本 字符"/>
    <w:qFormat/>
    <w:uiPriority w:val="0"/>
    <w:rPr>
      <w:rFonts w:ascii="Arial" w:hAnsi="Arial" w:eastAsia="黑体" w:cs="Arial"/>
      <w:snapToGrid w:val="0"/>
      <w:kern w:val="0"/>
      <w:sz w:val="18"/>
      <w:szCs w:val="18"/>
    </w:rPr>
  </w:style>
  <w:style w:type="character" w:customStyle="1" w:styleId="298">
    <w:name w:val="纯文本 Char2"/>
    <w:semiHidden/>
    <w:qFormat/>
    <w:uiPriority w:val="99"/>
    <w:rPr>
      <w:rFonts w:ascii="宋体" w:hAnsi="Courier New" w:eastAsia="宋体" w:cs="Courier New"/>
    </w:rPr>
  </w:style>
  <w:style w:type="character" w:customStyle="1" w:styleId="299">
    <w:name w:val="Char Char25"/>
    <w:qFormat/>
    <w:uiPriority w:val="6"/>
    <w:rPr>
      <w:rFonts w:ascii="宋体" w:hAnsi="宋体"/>
      <w:kern w:val="1"/>
      <w:sz w:val="24"/>
      <w:lang w:val="zh-CN"/>
    </w:rPr>
  </w:style>
  <w:style w:type="character" w:customStyle="1" w:styleId="300">
    <w:name w:val="Char Char411"/>
    <w:qFormat/>
    <w:uiPriority w:val="0"/>
    <w:rPr>
      <w:rFonts w:eastAsia="宋体"/>
      <w:b/>
      <w:sz w:val="24"/>
      <w:lang w:val="en-GB" w:eastAsia="zh-CN" w:bidi="ar-SA"/>
    </w:rPr>
  </w:style>
  <w:style w:type="character" w:customStyle="1" w:styleId="301">
    <w:name w:val="Heading 7 Char"/>
    <w:qFormat/>
    <w:locked/>
    <w:uiPriority w:val="0"/>
    <w:rPr>
      <w:rFonts w:ascii="宋体" w:hAnsi="宋体" w:eastAsia="宋体"/>
      <w:b/>
      <w:bCs/>
      <w:kern w:val="2"/>
      <w:sz w:val="24"/>
      <w:szCs w:val="24"/>
      <w:lang w:val="en-US" w:eastAsia="zh-CN" w:bidi="ar-SA"/>
    </w:rPr>
  </w:style>
  <w:style w:type="character" w:customStyle="1" w:styleId="302">
    <w:name w:val="此正文 Char"/>
    <w:link w:val="303"/>
    <w:qFormat/>
    <w:uiPriority w:val="0"/>
    <w:rPr>
      <w:kern w:val="2"/>
      <w:sz w:val="24"/>
      <w:szCs w:val="24"/>
    </w:rPr>
  </w:style>
  <w:style w:type="paragraph" w:customStyle="1" w:styleId="303">
    <w:name w:val="此正文"/>
    <w:basedOn w:val="1"/>
    <w:link w:val="302"/>
    <w:qFormat/>
    <w:uiPriority w:val="0"/>
    <w:pPr>
      <w:adjustRightInd/>
      <w:spacing w:line="360" w:lineRule="auto"/>
      <w:ind w:firstLine="200" w:firstLineChars="200"/>
    </w:pPr>
    <w:rPr>
      <w:sz w:val="24"/>
    </w:rPr>
  </w:style>
  <w:style w:type="character" w:customStyle="1" w:styleId="304">
    <w:name w:val="Char Char2"/>
    <w:qFormat/>
    <w:uiPriority w:val="0"/>
    <w:rPr>
      <w:rFonts w:eastAsia="宋体"/>
      <w:b/>
      <w:bCs/>
      <w:kern w:val="2"/>
      <w:sz w:val="21"/>
      <w:szCs w:val="24"/>
      <w:lang w:val="en-US" w:eastAsia="zh-CN" w:bidi="ar-SA"/>
    </w:rPr>
  </w:style>
  <w:style w:type="character" w:customStyle="1" w:styleId="305">
    <w:name w:val="Footer-Even Char1"/>
    <w:qFormat/>
    <w:uiPriority w:val="0"/>
    <w:rPr>
      <w:rFonts w:eastAsia="宋体"/>
      <w:kern w:val="2"/>
      <w:sz w:val="18"/>
      <w:szCs w:val="18"/>
      <w:lang w:val="en-US" w:eastAsia="zh-CN" w:bidi="ar-SA"/>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font81"/>
    <w:qFormat/>
    <w:uiPriority w:val="0"/>
    <w:rPr>
      <w:rFonts w:ascii="微软雅黑" w:hAnsi="微软雅黑" w:eastAsia="微软雅黑" w:cs="微软雅黑"/>
      <w:color w:val="000000"/>
      <w:sz w:val="20"/>
      <w:szCs w:val="20"/>
      <w:u w:val="none"/>
    </w:rPr>
  </w:style>
  <w:style w:type="character" w:customStyle="1" w:styleId="308">
    <w:name w:val="Char Char312"/>
    <w:qFormat/>
    <w:uiPriority w:val="0"/>
    <w:rPr>
      <w:rFonts w:ascii="Times New Roman" w:hAnsi="Times New Roman" w:eastAsia="宋体" w:cs="Times New Roman"/>
      <w:b/>
      <w:kern w:val="2"/>
      <w:sz w:val="32"/>
      <w:szCs w:val="24"/>
      <w:lang w:val="en-US" w:eastAsia="zh-CN" w:bidi="ar-SA"/>
    </w:rPr>
  </w:style>
  <w:style w:type="character" w:customStyle="1" w:styleId="309">
    <w:name w:val="t21"/>
    <w:qFormat/>
    <w:uiPriority w:val="0"/>
    <w:rPr>
      <w:rFonts w:ascii="仿宋_GB2312" w:eastAsia="微软雅黑"/>
      <w:b/>
      <w:kern w:val="2"/>
      <w:sz w:val="23"/>
      <w:szCs w:val="23"/>
      <w:lang w:val="en-US" w:eastAsia="zh-CN" w:bidi="ar-SA"/>
    </w:rPr>
  </w:style>
  <w:style w:type="character" w:customStyle="1" w:styleId="310">
    <w:name w:val="样式8 Char"/>
    <w:qFormat/>
    <w:uiPriority w:val="0"/>
    <w:rPr>
      <w:rFonts w:ascii="仿宋_GB2312" w:hAnsi="宋体" w:eastAsia="仿宋_GB2312"/>
      <w:b/>
      <w:bCs/>
      <w:kern w:val="2"/>
      <w:sz w:val="24"/>
      <w:szCs w:val="24"/>
    </w:rPr>
  </w:style>
  <w:style w:type="character" w:customStyle="1" w:styleId="311">
    <w:name w:val="表格 Char Char"/>
    <w:qFormat/>
    <w:uiPriority w:val="0"/>
    <w:rPr>
      <w:rFonts w:ascii="宋体" w:hAnsi="宋体" w:eastAsia="宋体"/>
      <w:lang w:bidi="ar-SA"/>
    </w:rPr>
  </w:style>
  <w:style w:type="character" w:customStyle="1" w:styleId="312">
    <w:name w:val="正文文本 字符1"/>
    <w:qFormat/>
    <w:uiPriority w:val="0"/>
    <w:rPr>
      <w:rFonts w:ascii="Calibri" w:hAnsi="Calibri" w:eastAsia="黑体" w:cs="Arial"/>
      <w:snapToGrid w:val="0"/>
      <w:kern w:val="2"/>
      <w:sz w:val="28"/>
      <w:szCs w:val="21"/>
    </w:rPr>
  </w:style>
  <w:style w:type="character" w:customStyle="1" w:styleId="313">
    <w:name w:val="标题 6 Char1"/>
    <w:qFormat/>
    <w:uiPriority w:val="0"/>
    <w:rPr>
      <w:rFonts w:ascii="Arial" w:hAnsi="Arial" w:eastAsia="黑体" w:cs="Times New Roman"/>
      <w:b/>
      <w:sz w:val="24"/>
      <w:szCs w:val="20"/>
      <w:lang w:bidi="ar-SA"/>
    </w:rPr>
  </w:style>
  <w:style w:type="character" w:customStyle="1" w:styleId="314">
    <w:name w:val="带编号样式 Char"/>
    <w:qFormat/>
    <w:uiPriority w:val="0"/>
    <w:rPr>
      <w:rFonts w:ascii="仿宋_GB2312" w:eastAsia="仿宋_GB2312"/>
      <w:color w:val="000000"/>
      <w:sz w:val="24"/>
      <w:lang w:bidi="ar-SA"/>
    </w:rPr>
  </w:style>
  <w:style w:type="character" w:customStyle="1" w:styleId="315">
    <w:name w:val="unnamed31"/>
    <w:qFormat/>
    <w:uiPriority w:val="0"/>
    <w:rPr>
      <w:rFonts w:ascii="Tahoma" w:hAnsi="Tahoma" w:eastAsia="宋体"/>
      <w:b/>
      <w:kern w:val="2"/>
      <w:sz w:val="24"/>
      <w:szCs w:val="32"/>
      <w:u w:val="none"/>
      <w:lang w:val="en-US" w:eastAsia="zh-CN" w:bidi="ar-SA"/>
    </w:rPr>
  </w:style>
  <w:style w:type="character" w:customStyle="1" w:styleId="316">
    <w:name w:val="正文首行缩进 Char Char Char Char Char Char1"/>
    <w:qFormat/>
    <w:uiPriority w:val="0"/>
    <w:rPr>
      <w:rFonts w:ascii="宋体" w:eastAsia="宋体"/>
      <w:kern w:val="2"/>
      <w:sz w:val="24"/>
      <w:szCs w:val="24"/>
      <w:lang w:val="zh-CN" w:bidi="ar-SA"/>
    </w:rPr>
  </w:style>
  <w:style w:type="character" w:customStyle="1" w:styleId="317">
    <w:name w:val="文本正文 Char Char"/>
    <w:qFormat/>
    <w:locked/>
    <w:uiPriority w:val="0"/>
    <w:rPr>
      <w:sz w:val="24"/>
      <w:lang w:bidi="ar-SA"/>
    </w:rPr>
  </w:style>
  <w:style w:type="character" w:customStyle="1" w:styleId="318">
    <w:name w:val="正文缩进 字符"/>
    <w:qFormat/>
    <w:uiPriority w:val="0"/>
    <w:rPr>
      <w:rFonts w:ascii="宋体" w:eastAsia="宋体"/>
      <w:snapToGrid w:val="0"/>
      <w:color w:val="000000"/>
      <w:kern w:val="28"/>
      <w:sz w:val="28"/>
      <w:lang w:val="en-US" w:eastAsia="zh-CN" w:bidi="ar-SA"/>
    </w:rPr>
  </w:style>
  <w:style w:type="character" w:customStyle="1" w:styleId="319">
    <w:name w:val="样式 样式 标题 4h4H4Fab-4T5Ref Heading 1rh1Heading sqlsect 1.2.3.... +... Char"/>
    <w:link w:val="320"/>
    <w:qFormat/>
    <w:uiPriority w:val="0"/>
    <w:rPr>
      <w:rFonts w:ascii="微软雅黑" w:hAnsi="微软雅黑" w:eastAsia="微软雅黑"/>
      <w:b/>
      <w:bCs/>
      <w:kern w:val="2"/>
      <w:sz w:val="24"/>
      <w:szCs w:val="28"/>
    </w:rPr>
  </w:style>
  <w:style w:type="paragraph" w:customStyle="1" w:styleId="320">
    <w:name w:val="样式 样式 标题 4h4H4Fab-4T5Ref Heading 1rh1Heading sqlsect 1.2.3.... +..."/>
    <w:basedOn w:val="321"/>
    <w:link w:val="319"/>
    <w:qFormat/>
    <w:uiPriority w:val="0"/>
    <w:pPr>
      <w:tabs>
        <w:tab w:val="left" w:pos="2356"/>
      </w:tabs>
    </w:pPr>
  </w:style>
  <w:style w:type="paragraph" w:customStyle="1" w:styleId="321">
    <w:name w:val="样式 标题 4h4H4Fab-4T5Ref Heading 1rh1Heading sqlsect 1.2.3...."/>
    <w:basedOn w:val="6"/>
    <w:link w:val="3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2">
    <w:name w:val="样式 标题 4h4H4Fab-4T5Ref Heading 1rh1Heading sqlsect 1.2.3.... Char"/>
    <w:link w:val="321"/>
    <w:qFormat/>
    <w:uiPriority w:val="0"/>
    <w:rPr>
      <w:rFonts w:ascii="微软雅黑" w:hAnsi="微软雅黑" w:eastAsia="微软雅黑"/>
      <w:b/>
      <w:bCs/>
      <w:kern w:val="2"/>
      <w:sz w:val="24"/>
      <w:szCs w:val="28"/>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Char Char5"/>
    <w:qFormat/>
    <w:uiPriority w:val="0"/>
    <w:rPr>
      <w:rFonts w:ascii="宋体" w:hAnsi="Courier New" w:eastAsia="宋体"/>
      <w:kern w:val="2"/>
      <w:sz w:val="21"/>
      <w:lang w:val="en-US" w:eastAsia="zh-CN"/>
    </w:rPr>
  </w:style>
  <w:style w:type="character" w:customStyle="1" w:styleId="325">
    <w:name w:val="称呼 Char1"/>
    <w:qFormat/>
    <w:uiPriority w:val="0"/>
    <w:rPr>
      <w:rFonts w:ascii="Times New Roman" w:hAnsi="Times New Roman" w:eastAsia="宋体" w:cs="Times New Roman"/>
      <w:szCs w:val="24"/>
    </w:rPr>
  </w:style>
  <w:style w:type="character" w:customStyle="1" w:styleId="326">
    <w:name w:val="正文1 Char"/>
    <w:qFormat/>
    <w:uiPriority w:val="0"/>
    <w:rPr>
      <w:rFonts w:ascii="宋体" w:eastAsia="宋体"/>
      <w:snapToGrid w:val="0"/>
      <w:color w:val="000000"/>
      <w:kern w:val="28"/>
      <w:sz w:val="28"/>
      <w:lang w:val="en-US" w:eastAsia="zh-CN" w:bidi="ar-SA"/>
    </w:rPr>
  </w:style>
  <w:style w:type="character" w:customStyle="1" w:styleId="327">
    <w:name w:val="正文缩进 Char1"/>
    <w:qFormat/>
    <w:uiPriority w:val="0"/>
    <w:rPr>
      <w:rFonts w:ascii="宋体" w:eastAsia="宋体"/>
      <w:snapToGrid w:val="0"/>
      <w:color w:val="000000"/>
      <w:kern w:val="28"/>
      <w:sz w:val="28"/>
      <w:lang w:val="en-US" w:eastAsia="zh-CN" w:bidi="ar-SA"/>
    </w:rPr>
  </w:style>
  <w:style w:type="character" w:customStyle="1" w:styleId="328">
    <w:name w:val="font21"/>
    <w:qFormat/>
    <w:uiPriority w:val="0"/>
    <w:rPr>
      <w:rFonts w:hint="eastAsia" w:ascii="宋体" w:hAnsi="宋体" w:eastAsia="宋体"/>
      <w:kern w:val="2"/>
      <w:sz w:val="28"/>
      <w:szCs w:val="28"/>
      <w:lang w:val="en-US" w:eastAsia="zh-CN" w:bidi="ar-SA"/>
    </w:rPr>
  </w:style>
  <w:style w:type="character" w:customStyle="1" w:styleId="329">
    <w:name w:val="Char Char26"/>
    <w:qFormat/>
    <w:uiPriority w:val="6"/>
    <w:rPr>
      <w:kern w:val="1"/>
      <w:sz w:val="21"/>
      <w:szCs w:val="24"/>
    </w:rPr>
  </w:style>
  <w:style w:type="character" w:customStyle="1" w:styleId="330">
    <w:name w:val="Item List Char"/>
    <w:link w:val="331"/>
    <w:qFormat/>
    <w:uiPriority w:val="0"/>
    <w:rPr>
      <w:rFonts w:ascii="Arial"/>
      <w:bCs/>
      <w:sz w:val="21"/>
      <w:szCs w:val="21"/>
      <w:lang w:val="en-US" w:eastAsia="zh-CN" w:bidi="ar-SA"/>
    </w:rPr>
  </w:style>
  <w:style w:type="paragraph" w:customStyle="1" w:styleId="331">
    <w:name w:val="Item List"/>
    <w:link w:val="3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2">
    <w:name w:val="批注框文本 Char1"/>
    <w:qFormat/>
    <w:uiPriority w:val="0"/>
    <w:rPr>
      <w:rFonts w:ascii="Times New Roman" w:hAnsi="Times New Roman" w:eastAsia="宋体" w:cs="Times New Roman"/>
      <w:sz w:val="18"/>
      <w:szCs w:val="18"/>
    </w:rPr>
  </w:style>
  <w:style w:type="character" w:customStyle="1" w:styleId="333">
    <w:name w:val="纯文本 Char1"/>
    <w:link w:val="334"/>
    <w:qFormat/>
    <w:uiPriority w:val="0"/>
    <w:rPr>
      <w:rFonts w:ascii="宋体" w:hAnsi="Courier New"/>
    </w:rPr>
  </w:style>
  <w:style w:type="paragraph" w:customStyle="1" w:styleId="334">
    <w:name w:val="纯文本1"/>
    <w:basedOn w:val="335"/>
    <w:link w:val="333"/>
    <w:qFormat/>
    <w:uiPriority w:val="0"/>
    <w:pPr>
      <w:tabs>
        <w:tab w:val="right" w:leader="dot" w:pos="8268"/>
      </w:tabs>
      <w:adjustRightInd/>
    </w:pPr>
    <w:rPr>
      <w:rFonts w:ascii="宋体" w:hAnsi="Courier New"/>
      <w:kern w:val="0"/>
      <w:sz w:val="20"/>
      <w:szCs w:val="20"/>
    </w:rPr>
  </w:style>
  <w:style w:type="paragraph" w:customStyle="1" w:styleId="335">
    <w:name w:val="正文1"/>
    <w:basedOn w:val="34"/>
    <w:qFormat/>
    <w:uiPriority w:val="0"/>
    <w:pPr>
      <w:ind w:left="0" w:leftChars="0" w:firstLine="480" w:firstLineChars="200"/>
    </w:pPr>
    <w:rPr>
      <w:rFonts w:ascii="仿宋_GB2312" w:hAnsi="Courier New" w:eastAsia="仿宋_GB2312"/>
      <w:kern w:val="28"/>
      <w:sz w:val="24"/>
    </w:rPr>
  </w:style>
  <w:style w:type="character" w:customStyle="1" w:styleId="336">
    <w:name w:val="h3 Char"/>
    <w:qFormat/>
    <w:uiPriority w:val="0"/>
    <w:rPr>
      <w:rFonts w:eastAsia="宋体"/>
      <w:b/>
      <w:kern w:val="2"/>
      <w:sz w:val="32"/>
      <w:lang w:val="en-US" w:eastAsia="zh-CN" w:bidi="ar-SA"/>
    </w:rPr>
  </w:style>
  <w:style w:type="character" w:customStyle="1" w:styleId="337">
    <w:name w:val="dandyren_title1"/>
    <w:qFormat/>
    <w:uiPriority w:val="0"/>
    <w:rPr>
      <w:b/>
      <w:bCs/>
      <w:color w:val="FF6633"/>
      <w:sz w:val="18"/>
      <w:szCs w:val="18"/>
    </w:rPr>
  </w:style>
  <w:style w:type="character" w:customStyle="1" w:styleId="338">
    <w:name w:val="Char Char31"/>
    <w:qFormat/>
    <w:uiPriority w:val="6"/>
    <w:rPr>
      <w:rFonts w:ascii="Arial" w:hAnsi="Arial" w:eastAsia="黑体"/>
      <w:kern w:val="1"/>
      <w:sz w:val="24"/>
      <w:szCs w:val="24"/>
    </w:rPr>
  </w:style>
  <w:style w:type="character" w:customStyle="1" w:styleId="339">
    <w:name w:val="h Char1"/>
    <w:qFormat/>
    <w:uiPriority w:val="0"/>
    <w:rPr>
      <w:sz w:val="18"/>
      <w:szCs w:val="18"/>
    </w:rPr>
  </w:style>
  <w:style w:type="character" w:customStyle="1" w:styleId="340">
    <w:name w:val="solutionfonts"/>
    <w:qFormat/>
    <w:uiPriority w:val="0"/>
  </w:style>
  <w:style w:type="character" w:customStyle="1" w:styleId="341">
    <w:name w:val="首行缩进 Char"/>
    <w:qFormat/>
    <w:uiPriority w:val="0"/>
    <w:rPr>
      <w:rFonts w:ascii="宋体" w:eastAsia="宋体"/>
      <w:kern w:val="2"/>
      <w:sz w:val="24"/>
      <w:lang w:val="en-US" w:eastAsia="zh-CN" w:bidi="ar-SA"/>
    </w:rPr>
  </w:style>
  <w:style w:type="character" w:customStyle="1" w:styleId="342">
    <w:name w:val="Char Char52"/>
    <w:qFormat/>
    <w:uiPriority w:val="0"/>
    <w:rPr>
      <w:rFonts w:ascii="宋体" w:hAnsi="Courier New" w:eastAsia="宋体"/>
      <w:kern w:val="2"/>
      <w:sz w:val="21"/>
      <w:lang w:val="en-US" w:eastAsia="zh-CN"/>
    </w:rPr>
  </w:style>
  <w:style w:type="character" w:customStyle="1" w:styleId="343">
    <w:name w:val="font31"/>
    <w:basedOn w:val="72"/>
    <w:qFormat/>
    <w:uiPriority w:val="0"/>
    <w:rPr>
      <w:rFonts w:hint="eastAsia" w:ascii="仿宋" w:hAnsi="仿宋" w:eastAsia="仿宋" w:cs="仿宋"/>
      <w:color w:val="000000"/>
      <w:sz w:val="20"/>
      <w:szCs w:val="20"/>
      <w:u w:val="none"/>
    </w:rPr>
  </w:style>
  <w:style w:type="character" w:customStyle="1" w:styleId="344">
    <w:name w:val="正文说明 Char"/>
    <w:link w:val="345"/>
    <w:qFormat/>
    <w:uiPriority w:val="0"/>
    <w:rPr>
      <w:sz w:val="24"/>
      <w:szCs w:val="24"/>
    </w:rPr>
  </w:style>
  <w:style w:type="paragraph" w:customStyle="1" w:styleId="345">
    <w:name w:val="正文说明"/>
    <w:basedOn w:val="1"/>
    <w:link w:val="344"/>
    <w:qFormat/>
    <w:uiPriority w:val="0"/>
    <w:pPr>
      <w:adjustRightInd/>
      <w:spacing w:line="360" w:lineRule="auto"/>
    </w:pPr>
    <w:rPr>
      <w:kern w:val="0"/>
      <w:sz w:val="24"/>
    </w:rPr>
  </w:style>
  <w:style w:type="character" w:customStyle="1" w:styleId="346">
    <w:name w:val="脚注文本 Char1"/>
    <w:qFormat/>
    <w:uiPriority w:val="0"/>
    <w:rPr>
      <w:rFonts w:ascii="Times New Roman" w:hAnsi="Times New Roman" w:eastAsia="宋体" w:cs="Times New Roman"/>
      <w:sz w:val="18"/>
      <w:szCs w:val="18"/>
    </w:rPr>
  </w:style>
  <w:style w:type="character" w:customStyle="1" w:styleId="347">
    <w:name w:val="Char Char1211"/>
    <w:qFormat/>
    <w:uiPriority w:val="0"/>
    <w:rPr>
      <w:rFonts w:ascii="仿宋_GB2312" w:eastAsia="仿宋_GB2312"/>
      <w:b/>
      <w:bCs/>
      <w:kern w:val="2"/>
      <w:sz w:val="24"/>
      <w:szCs w:val="24"/>
      <w:lang w:val="zh-CN" w:eastAsia="zh-CN" w:bidi="ar-SA"/>
    </w:rPr>
  </w:style>
  <w:style w:type="character" w:customStyle="1" w:styleId="348">
    <w:name w:val="标题 Char"/>
    <w:qFormat/>
    <w:uiPriority w:val="0"/>
    <w:rPr>
      <w:rFonts w:eastAsia="宋体"/>
      <w:b/>
      <w:sz w:val="24"/>
      <w:lang w:val="en-GB" w:eastAsia="zh-CN" w:bidi="ar-SA"/>
    </w:rPr>
  </w:style>
  <w:style w:type="character" w:customStyle="1" w:styleId="349">
    <w:name w:val="Char Char35"/>
    <w:qFormat/>
    <w:uiPriority w:val="6"/>
    <w:rPr>
      <w:rFonts w:ascii="Arial" w:hAnsi="Arial" w:eastAsia="黑体"/>
      <w:b/>
      <w:kern w:val="1"/>
      <w:sz w:val="28"/>
      <w:szCs w:val="28"/>
      <w:lang w:val="zh-CN"/>
    </w:rPr>
  </w:style>
  <w:style w:type="character" w:customStyle="1" w:styleId="350">
    <w:name w:val="纯文本 Char Char Char"/>
    <w:qFormat/>
    <w:uiPriority w:val="0"/>
    <w:rPr>
      <w:rFonts w:ascii="宋体" w:hAnsi="Courier New" w:eastAsia="宋体"/>
      <w:kern w:val="2"/>
      <w:sz w:val="21"/>
      <w:lang w:val="en-US" w:eastAsia="zh-CN" w:bidi="ar-SA"/>
    </w:rPr>
  </w:style>
  <w:style w:type="character" w:customStyle="1" w:styleId="351">
    <w:name w:val="Table Text Char"/>
    <w:link w:val="352"/>
    <w:qFormat/>
    <w:uiPriority w:val="0"/>
    <w:rPr>
      <w:sz w:val="24"/>
      <w:szCs w:val="24"/>
    </w:rPr>
  </w:style>
  <w:style w:type="paragraph" w:customStyle="1" w:styleId="352">
    <w:name w:val="Table Text"/>
    <w:basedOn w:val="1"/>
    <w:link w:val="351"/>
    <w:qFormat/>
    <w:uiPriority w:val="0"/>
    <w:pPr>
      <w:widowControl/>
      <w:spacing w:before="60" w:after="60"/>
      <w:jc w:val="left"/>
    </w:pPr>
    <w:rPr>
      <w:kern w:val="0"/>
      <w:sz w:val="24"/>
    </w:rPr>
  </w:style>
  <w:style w:type="character" w:customStyle="1" w:styleId="353">
    <w:name w:val="正文1 Char1"/>
    <w:qFormat/>
    <w:uiPriority w:val="0"/>
    <w:rPr>
      <w:rFonts w:ascii="仿宋_GB2312" w:hAnsi="Courier New" w:eastAsia="仿宋_GB2312"/>
      <w:kern w:val="28"/>
      <w:sz w:val="24"/>
      <w:szCs w:val="24"/>
      <w:lang w:val="en-US" w:eastAsia="zh-CN"/>
    </w:rPr>
  </w:style>
  <w:style w:type="character" w:customStyle="1" w:styleId="354">
    <w:name w:val="页脚 Char1"/>
    <w:qFormat/>
    <w:uiPriority w:val="0"/>
    <w:rPr>
      <w:rFonts w:eastAsia="宋体"/>
      <w:kern w:val="2"/>
      <w:sz w:val="18"/>
      <w:szCs w:val="18"/>
      <w:lang w:val="en-US" w:eastAsia="zh-CN" w:bidi="ar-SA"/>
    </w:rPr>
  </w:style>
  <w:style w:type="character" w:customStyle="1" w:styleId="355">
    <w:name w:val="Bold"/>
    <w:qFormat/>
    <w:uiPriority w:val="0"/>
    <w:rPr>
      <w:rFonts w:ascii="Arial" w:hAnsi="Arial" w:eastAsia="黑体" w:cs="Times New Roman"/>
      <w:b/>
      <w:kern w:val="2"/>
      <w:sz w:val="32"/>
      <w:szCs w:val="32"/>
      <w:lang w:val="en-US" w:eastAsia="zh-CN" w:bidi="ar-SA"/>
    </w:rPr>
  </w:style>
  <w:style w:type="character" w:customStyle="1" w:styleId="356">
    <w:name w:val="hui3"/>
    <w:qFormat/>
    <w:uiPriority w:val="0"/>
    <w:rPr>
      <w:color w:val="333333"/>
    </w:rPr>
  </w:style>
  <w:style w:type="character" w:customStyle="1" w:styleId="357">
    <w:name w:val="Char Char17"/>
    <w:qFormat/>
    <w:uiPriority w:val="6"/>
    <w:rPr>
      <w:rFonts w:eastAsia="仿宋_GB2312"/>
      <w:sz w:val="24"/>
    </w:rPr>
  </w:style>
  <w:style w:type="character" w:customStyle="1" w:styleId="358">
    <w:name w:val="标题 4 字符"/>
    <w:qFormat/>
    <w:uiPriority w:val="9"/>
    <w:rPr>
      <w:rFonts w:ascii="等线 Light" w:hAnsi="等线 Light" w:eastAsia="等线 Light" w:cs="Times New Roman"/>
      <w:b/>
      <w:bCs/>
      <w:snapToGrid w:val="0"/>
      <w:kern w:val="0"/>
      <w:sz w:val="28"/>
      <w:szCs w:val="28"/>
    </w:rPr>
  </w:style>
  <w:style w:type="character" w:customStyle="1" w:styleId="359">
    <w:name w:val="Char Char37"/>
    <w:qFormat/>
    <w:uiPriority w:val="6"/>
    <w:rPr>
      <w:b/>
      <w:kern w:val="1"/>
      <w:sz w:val="44"/>
      <w:szCs w:val="44"/>
    </w:rPr>
  </w:style>
  <w:style w:type="character" w:customStyle="1" w:styleId="360">
    <w:name w:val="列出段落 Char"/>
    <w:qFormat/>
    <w:uiPriority w:val="0"/>
    <w:rPr>
      <w:rFonts w:eastAsia="楷体_GB2312" w:cs="Lucida Sans"/>
      <w:kern w:val="2"/>
      <w:sz w:val="24"/>
      <w:szCs w:val="24"/>
      <w:lang w:val="en-US" w:eastAsia="zh-CN" w:bidi="ar-SA"/>
    </w:rPr>
  </w:style>
  <w:style w:type="character" w:customStyle="1" w:styleId="361">
    <w:name w:val="正文文本缩进 3 Char1"/>
    <w:semiHidden/>
    <w:qFormat/>
    <w:uiPriority w:val="99"/>
    <w:rPr>
      <w:rFonts w:ascii="Times New Roman" w:hAnsi="Times New Roman" w:eastAsia="宋体" w:cs="Times New Roman"/>
      <w:sz w:val="16"/>
      <w:szCs w:val="16"/>
    </w:rPr>
  </w:style>
  <w:style w:type="character" w:customStyle="1" w:styleId="362">
    <w:name w:val="公文正文 Char Char"/>
    <w:link w:val="363"/>
    <w:qFormat/>
    <w:uiPriority w:val="0"/>
    <w:rPr>
      <w:rFonts w:ascii="仿宋_GB2312" w:eastAsia="仿宋_GB2312"/>
      <w:kern w:val="2"/>
      <w:sz w:val="24"/>
      <w:szCs w:val="24"/>
    </w:rPr>
  </w:style>
  <w:style w:type="paragraph" w:customStyle="1" w:styleId="363">
    <w:name w:val="公文正文"/>
    <w:basedOn w:val="1"/>
    <w:link w:val="362"/>
    <w:qFormat/>
    <w:uiPriority w:val="0"/>
    <w:pPr>
      <w:adjustRightInd/>
      <w:spacing w:before="156" w:line="360" w:lineRule="auto"/>
      <w:ind w:firstLine="360" w:firstLineChars="200"/>
    </w:pPr>
    <w:rPr>
      <w:rFonts w:ascii="仿宋_GB2312" w:eastAsia="仿宋_GB2312"/>
      <w:sz w:val="24"/>
    </w:rPr>
  </w:style>
  <w:style w:type="character" w:customStyle="1" w:styleId="364">
    <w:name w:val="Table Text Char1"/>
    <w:qFormat/>
    <w:uiPriority w:val="0"/>
    <w:rPr>
      <w:rFonts w:eastAsia="宋体"/>
      <w:sz w:val="24"/>
      <w:szCs w:val="24"/>
      <w:lang w:val="en-US" w:eastAsia="zh-CN" w:bidi="ar-SA"/>
    </w:rPr>
  </w:style>
  <w:style w:type="character" w:customStyle="1" w:styleId="365">
    <w:name w:val="标题 1 Char Char"/>
    <w:qFormat/>
    <w:uiPriority w:val="0"/>
    <w:rPr>
      <w:rFonts w:hint="eastAsia" w:ascii="宋体" w:hAnsi="宋体" w:eastAsia="宋体"/>
      <w:b/>
      <w:spacing w:val="-2"/>
      <w:sz w:val="24"/>
      <w:lang w:val="en-US" w:eastAsia="zh-CN" w:bidi="ar-SA"/>
    </w:rPr>
  </w:style>
  <w:style w:type="character" w:customStyle="1" w:styleId="366">
    <w:name w:val="正文（缩进2汉字） Char"/>
    <w:link w:val="367"/>
    <w:qFormat/>
    <w:uiPriority w:val="0"/>
    <w:rPr>
      <w:rFonts w:ascii="宋体"/>
    </w:rPr>
  </w:style>
  <w:style w:type="paragraph" w:customStyle="1" w:styleId="367">
    <w:name w:val="正文（缩进2汉字）"/>
    <w:basedOn w:val="1"/>
    <w:link w:val="3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0"/>
    <w:rPr>
      <w:kern w:val="2"/>
      <w:sz w:val="21"/>
      <w:szCs w:val="24"/>
      <w:lang w:bidi="ar-SA"/>
    </w:rPr>
  </w:style>
  <w:style w:type="character" w:customStyle="1" w:styleId="369">
    <w:name w:val="tw4winError"/>
    <w:qFormat/>
    <w:uiPriority w:val="0"/>
    <w:rPr>
      <w:rFonts w:ascii="Courier New" w:hAnsi="Courier New" w:cs="Courier New"/>
      <w:color w:val="00FF00"/>
      <w:sz w:val="40"/>
      <w:szCs w:val="40"/>
    </w:rPr>
  </w:style>
  <w:style w:type="character" w:customStyle="1" w:styleId="370">
    <w:name w:val="Body Text(ch) Char Char"/>
    <w:qFormat/>
    <w:uiPriority w:val="0"/>
    <w:rPr>
      <w:rFonts w:ascii="宋体"/>
      <w:kern w:val="2"/>
      <w:sz w:val="24"/>
      <w:szCs w:val="21"/>
      <w:lang w:val="zh-CN"/>
    </w:rPr>
  </w:style>
  <w:style w:type="character" w:customStyle="1" w:styleId="371">
    <w:name w:val="正文首行缩进两字 Char"/>
    <w:qFormat/>
    <w:uiPriority w:val="0"/>
    <w:rPr>
      <w:sz w:val="24"/>
      <w:szCs w:val="24"/>
      <w:lang w:val="en-US" w:eastAsia="zh-CN" w:bidi="ar-SA"/>
    </w:rPr>
  </w:style>
  <w:style w:type="character" w:customStyle="1" w:styleId="372">
    <w:name w:val="正文文本 Char"/>
    <w:qFormat/>
    <w:uiPriority w:val="0"/>
    <w:rPr>
      <w:rFonts w:eastAsia="宋体"/>
      <w:kern w:val="2"/>
      <w:sz w:val="24"/>
      <w:szCs w:val="24"/>
      <w:lang w:val="en-US" w:eastAsia="zh-CN" w:bidi="ar-SA"/>
    </w:rPr>
  </w:style>
  <w:style w:type="character" w:customStyle="1" w:styleId="373">
    <w:name w:val="文档结构图 字符1"/>
    <w:qFormat/>
    <w:uiPriority w:val="0"/>
    <w:rPr>
      <w:rFonts w:ascii="宋体" w:hAnsi="Calibri" w:eastAsia="黑体" w:cs="Arial"/>
      <w:snapToGrid w:val="0"/>
      <w:kern w:val="2"/>
      <w:sz w:val="18"/>
      <w:szCs w:val="18"/>
    </w:rPr>
  </w:style>
  <w:style w:type="character" w:customStyle="1" w:styleId="374">
    <w:name w:val="content"/>
    <w:qFormat/>
    <w:uiPriority w:val="0"/>
  </w:style>
  <w:style w:type="character" w:customStyle="1" w:styleId="375">
    <w:name w:val="tw4winPopup"/>
    <w:qFormat/>
    <w:uiPriority w:val="0"/>
    <w:rPr>
      <w:rFonts w:ascii="Courier New" w:hAnsi="Courier New" w:cs="Courier New"/>
      <w:color w:val="008000"/>
      <w:lang w:val="en-US" w:eastAsia="zh-CN"/>
    </w:rPr>
  </w:style>
  <w:style w:type="character" w:customStyle="1" w:styleId="376">
    <w:name w:val="param-name"/>
    <w:qFormat/>
    <w:uiPriority w:val="99"/>
    <w:rPr>
      <w:rFonts w:ascii="Arial" w:hAnsi="Arial" w:eastAsia="黑体" w:cs="Arial"/>
      <w:snapToGrid w:val="0"/>
      <w:kern w:val="0"/>
      <w:szCs w:val="21"/>
    </w:rPr>
  </w:style>
  <w:style w:type="character" w:customStyle="1" w:styleId="377">
    <w:name w:val="标准正文格式 Char"/>
    <w:qFormat/>
    <w:uiPriority w:val="0"/>
    <w:rPr>
      <w:rFonts w:ascii="宋体" w:eastAsia="仿宋_GB2312" w:cs="宋体"/>
      <w:color w:val="000000"/>
      <w:sz w:val="24"/>
      <w:lang w:val="en-US" w:eastAsia="zh-CN" w:bidi="ar-SA"/>
    </w:rPr>
  </w:style>
  <w:style w:type="character" w:customStyle="1" w:styleId="378">
    <w:name w:val="Char Char212"/>
    <w:qFormat/>
    <w:uiPriority w:val="0"/>
    <w:rPr>
      <w:rFonts w:eastAsia="宋体"/>
      <w:b/>
      <w:bCs/>
      <w:kern w:val="2"/>
      <w:sz w:val="21"/>
      <w:szCs w:val="24"/>
      <w:lang w:val="en-US" w:eastAsia="zh-CN" w:bidi="ar-SA"/>
    </w:rPr>
  </w:style>
  <w:style w:type="character" w:customStyle="1" w:styleId="379">
    <w:name w:val="文档结构图 Char"/>
    <w:qFormat/>
    <w:uiPriority w:val="0"/>
    <w:rPr>
      <w:rFonts w:eastAsia="宋体"/>
      <w:kern w:val="2"/>
      <w:sz w:val="21"/>
      <w:szCs w:val="24"/>
      <w:lang w:val="en-US" w:eastAsia="zh-CN" w:bidi="ar-SA"/>
    </w:rPr>
  </w:style>
  <w:style w:type="character" w:customStyle="1" w:styleId="380">
    <w:name w:val="zbggmain style9"/>
    <w:qFormat/>
    <w:uiPriority w:val="0"/>
  </w:style>
  <w:style w:type="character" w:customStyle="1" w:styleId="381">
    <w:name w:val="Char Char16"/>
    <w:qFormat/>
    <w:uiPriority w:val="6"/>
    <w:rPr>
      <w:kern w:val="1"/>
      <w:sz w:val="18"/>
      <w:szCs w:val="18"/>
    </w:rPr>
  </w:style>
  <w:style w:type="character" w:customStyle="1" w:styleId="382">
    <w:name w:val="font51"/>
    <w:qFormat/>
    <w:uiPriority w:val="0"/>
    <w:rPr>
      <w:rFonts w:hint="eastAsia" w:ascii="仿宋" w:hAnsi="仿宋" w:eastAsia="仿宋" w:cs="仿宋"/>
      <w:color w:val="000000"/>
      <w:sz w:val="20"/>
      <w:szCs w:val="20"/>
      <w:u w:val="none"/>
    </w:rPr>
  </w:style>
  <w:style w:type="character" w:customStyle="1" w:styleId="383">
    <w:name w:val="Char Char82"/>
    <w:qFormat/>
    <w:uiPriority w:val="0"/>
    <w:rPr>
      <w:rFonts w:eastAsia="宋体"/>
      <w:b/>
      <w:sz w:val="24"/>
      <w:lang w:val="en-GB" w:eastAsia="zh-CN"/>
    </w:rPr>
  </w:style>
  <w:style w:type="character" w:customStyle="1" w:styleId="384">
    <w:name w:val="日期 Char1"/>
    <w:semiHidden/>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2"/>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gray6"/>
    <w:basedOn w:val="72"/>
    <w:qFormat/>
    <w:uiPriority w:val="0"/>
    <w:rPr>
      <w:rFonts w:ascii="Arial" w:hAnsi="Arial" w:eastAsia="黑体" w:cs="Arial"/>
      <w:snapToGrid w:val="0"/>
      <w:kern w:val="0"/>
      <w:szCs w:val="21"/>
    </w:rPr>
  </w:style>
  <w:style w:type="character" w:customStyle="1" w:styleId="436">
    <w:name w:val="hui"/>
    <w:basedOn w:val="72"/>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35"/>
    <w:qFormat/>
    <w:uiPriority w:val="0"/>
    <w:pPr>
      <w:tabs>
        <w:tab w:val="left" w:pos="2790"/>
        <w:tab w:val="left" w:pos="4230"/>
      </w:tabs>
      <w:spacing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outlineLvl w:val="5"/>
    </w:pPr>
  </w:style>
  <w:style w:type="paragraph" w:customStyle="1" w:styleId="478">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9">
    <w:name w:val="4级标题"/>
    <w:basedOn w:val="2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488"/>
    <w:qFormat/>
    <w:uiPriority w:val="1"/>
    <w:rPr>
      <w:szCs w:val="22"/>
    </w:rPr>
  </w:style>
  <w:style w:type="character" w:customStyle="1" w:styleId="488">
    <w:name w:val="无间隔 字符"/>
    <w:link w:val="487"/>
    <w:qFormat/>
    <w:uiPriority w:val="99"/>
    <w:rPr>
      <w:kern w:val="2"/>
      <w:sz w:val="21"/>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3"/>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7"/>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62"/>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6"/>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Char"/>
    <w:basedOn w:val="1"/>
    <w:qFormat/>
    <w:uiPriority w:val="0"/>
    <w:rPr>
      <w:rFonts w:ascii="仿宋_GB2312" w:eastAsia="仿宋_GB2312"/>
      <w:b/>
      <w:sz w:val="32"/>
      <w:szCs w:val="32"/>
    </w:rPr>
  </w:style>
  <w:style w:type="paragraph" w:customStyle="1" w:styleId="56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qFormat/>
    <w:uiPriority w:val="0"/>
    <w:rPr>
      <w:szCs w:val="20"/>
    </w:rPr>
  </w:style>
  <w:style w:type="paragraph" w:customStyle="1" w:styleId="564">
    <w:name w:val="正文标准"/>
    <w:basedOn w:val="1"/>
    <w:qFormat/>
    <w:uiPriority w:val="0"/>
    <w:pPr>
      <w:adjustRightInd/>
      <w:spacing w:line="360" w:lineRule="auto"/>
      <w:ind w:firstLine="200" w:firstLineChars="200"/>
    </w:pPr>
    <w:rPr>
      <w:rFonts w:ascii="宋体" w:hAnsi="Calibri"/>
      <w:sz w:val="24"/>
    </w:rPr>
  </w:style>
  <w:style w:type="paragraph" w:customStyle="1" w:styleId="56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9">
    <w:name w:val="_正文段落"/>
    <w:basedOn w:val="1"/>
    <w:link w:val="580"/>
    <w:qFormat/>
    <w:uiPriority w:val="0"/>
    <w:pPr>
      <w:adjustRightInd/>
      <w:ind w:firstLine="560"/>
    </w:pPr>
    <w:rPr>
      <w:rFonts w:ascii="仿宋_GB2312" w:hAnsi="仿宋" w:eastAsia="仿宋_GB2312"/>
      <w:kern w:val="0"/>
      <w:sz w:val="28"/>
      <w:szCs w:val="28"/>
    </w:rPr>
  </w:style>
  <w:style w:type="character" w:customStyle="1" w:styleId="580">
    <w:name w:val="_正文段落 Char"/>
    <w:link w:val="579"/>
    <w:qFormat/>
    <w:uiPriority w:val="0"/>
    <w:rPr>
      <w:rFonts w:ascii="仿宋_GB2312" w:hAnsi="仿宋" w:eastAsia="仿宋_GB2312"/>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link w:val="610"/>
    <w:qFormat/>
    <w:uiPriority w:val="0"/>
    <w:pPr>
      <w:spacing w:line="480" w:lineRule="atLeast"/>
      <w:ind w:firstLine="567"/>
      <w:textAlignment w:val="baseline"/>
    </w:pPr>
    <w:rPr>
      <w:kern w:val="0"/>
      <w:sz w:val="24"/>
      <w:szCs w:val="20"/>
    </w:rPr>
  </w:style>
  <w:style w:type="character" w:customStyle="1" w:styleId="610">
    <w:name w:val="文档正文 Char"/>
    <w:link w:val="609"/>
    <w:qFormat/>
    <w:uiPriority w:val="0"/>
    <w:rPr>
      <w:sz w:val="24"/>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632"/>
    <w:qFormat/>
    <w:uiPriority w:val="0"/>
    <w:pPr>
      <w:adjustRightInd/>
      <w:spacing w:before="60" w:after="60" w:line="360" w:lineRule="auto"/>
      <w:ind w:firstLine="200" w:firstLineChars="200"/>
    </w:pPr>
    <w:rPr>
      <w:sz w:val="28"/>
      <w:szCs w:val="20"/>
    </w:rPr>
  </w:style>
  <w:style w:type="paragraph" w:customStyle="1" w:styleId="632">
    <w:name w:val="9"/>
    <w:next w:val="25"/>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33">
    <w:name w:val="MM Topic 1"/>
    <w:basedOn w:val="2"/>
    <w:qFormat/>
    <w:uiPriority w:val="0"/>
    <w:pPr>
      <w:tabs>
        <w:tab w:val="left" w:pos="840"/>
      </w:tabs>
      <w:adjustRightInd/>
      <w:ind w:left="840" w:hanging="420"/>
    </w:pPr>
  </w:style>
  <w:style w:type="paragraph" w:customStyle="1" w:styleId="63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qFormat/>
    <w:uiPriority w:val="0"/>
    <w:pPr>
      <w:spacing w:line="360" w:lineRule="auto"/>
      <w:ind w:firstLine="200" w:firstLineChars="200"/>
    </w:pPr>
    <w:rPr>
      <w:kern w:val="0"/>
      <w:sz w:val="24"/>
      <w:szCs w:val="20"/>
    </w:rPr>
  </w:style>
  <w:style w:type="paragraph" w:customStyle="1" w:styleId="636">
    <w:name w:val="表格"/>
    <w:basedOn w:val="1"/>
    <w:link w:val="637"/>
    <w:qFormat/>
    <w:uiPriority w:val="0"/>
    <w:pPr>
      <w:snapToGrid w:val="0"/>
      <w:ind w:firstLine="42" w:firstLineChars="21"/>
    </w:pPr>
    <w:rPr>
      <w:rFonts w:ascii="宋体" w:hAnsi="宋体"/>
      <w:kern w:val="0"/>
      <w:sz w:val="20"/>
      <w:szCs w:val="20"/>
    </w:rPr>
  </w:style>
  <w:style w:type="character" w:customStyle="1" w:styleId="637">
    <w:name w:val="表格 字符"/>
    <w:basedOn w:val="72"/>
    <w:link w:val="636"/>
    <w:qFormat/>
    <w:uiPriority w:val="0"/>
    <w:rPr>
      <w:rFonts w:ascii="宋体" w:hAnsi="宋体"/>
    </w:rPr>
  </w:style>
  <w:style w:type="paragraph" w:customStyle="1" w:styleId="63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qFormat/>
    <w:uiPriority w:val="0"/>
    <w:pPr>
      <w:adjustRightInd/>
      <w:spacing w:line="300" w:lineRule="auto"/>
      <w:jc w:val="center"/>
    </w:pPr>
  </w:style>
  <w:style w:type="paragraph" w:customStyle="1" w:styleId="643">
    <w:name w:val="_Style 6"/>
    <w:basedOn w:val="1"/>
    <w:qFormat/>
    <w:uiPriority w:val="34"/>
    <w:pPr>
      <w:adjustRightInd/>
      <w:ind w:firstLine="420" w:firstLineChars="200"/>
    </w:pPr>
    <w:rPr>
      <w:rFonts w:eastAsia="仿宋_GB2312"/>
      <w:sz w:val="28"/>
    </w:rPr>
  </w:style>
  <w:style w:type="paragraph" w:customStyle="1" w:styleId="64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1">
    <w:name w:val="trademark"/>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qFormat/>
    <w:uiPriority w:val="0"/>
    <w:rPr>
      <w:rFonts w:ascii="仿宋_GB2312" w:eastAsia="仿宋_GB2312"/>
      <w:b/>
      <w:sz w:val="32"/>
      <w:szCs w:val="20"/>
    </w:rPr>
  </w:style>
  <w:style w:type="paragraph" w:customStyle="1" w:styleId="65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qFormat/>
    <w:uiPriority w:val="0"/>
    <w:pPr>
      <w:adjustRightInd/>
      <w:ind w:firstLine="200" w:firstLineChars="200"/>
    </w:pPr>
    <w:rPr>
      <w:rFonts w:ascii="Tahoma" w:hAnsi="Tahoma"/>
      <w:sz w:val="24"/>
      <w:szCs w:val="20"/>
    </w:rPr>
  </w:style>
  <w:style w:type="paragraph" w:customStyle="1" w:styleId="656">
    <w:name w:val="a1"/>
    <w:basedOn w:val="1"/>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qFormat/>
    <w:uiPriority w:val="0"/>
    <w:pPr>
      <w:spacing w:afterLines="50"/>
      <w:jc w:val="left"/>
      <w:outlineLvl w:val="3"/>
    </w:pPr>
    <w:rPr>
      <w:sz w:val="24"/>
      <w:szCs w:val="24"/>
    </w:rPr>
  </w:style>
  <w:style w:type="paragraph" w:customStyle="1" w:styleId="65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qFormat/>
    <w:uiPriority w:val="0"/>
    <w:pPr>
      <w:tabs>
        <w:tab w:val="left" w:pos="1260"/>
        <w:tab w:val="left" w:pos="1680"/>
        <w:tab w:val="left" w:pos="2100"/>
      </w:tabs>
      <w:ind w:left="0"/>
      <w:outlineLvl w:val="3"/>
    </w:pPr>
  </w:style>
  <w:style w:type="paragraph" w:customStyle="1" w:styleId="666">
    <w:name w:val="一级条标题"/>
    <w:basedOn w:val="667"/>
    <w:next w:val="649"/>
    <w:qFormat/>
    <w:uiPriority w:val="0"/>
    <w:pPr>
      <w:tabs>
        <w:tab w:val="left" w:pos="1260"/>
        <w:tab w:val="left" w:pos="1680"/>
      </w:tabs>
      <w:spacing w:beforeLines="0" w:afterLines="0"/>
      <w:ind w:left="1680"/>
      <w:outlineLvl w:val="2"/>
    </w:pPr>
  </w:style>
  <w:style w:type="paragraph" w:customStyle="1" w:styleId="667">
    <w:name w:val="章标题"/>
    <w:next w:val="6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Lines="50"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5"/>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39"/>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0"/>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0"/>
    <w:rPr>
      <w:rFonts w:ascii="仿宋_GB2312" w:eastAsia="仿宋_GB2312"/>
      <w:b/>
      <w:sz w:val="32"/>
      <w:szCs w:val="20"/>
    </w:rPr>
  </w:style>
  <w:style w:type="paragraph" w:customStyle="1" w:styleId="74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0"/>
    <w:rPr>
      <w:rFonts w:ascii="仿宋_GB2312" w:eastAsia="仿宋_GB2312"/>
      <w:b/>
      <w:sz w:val="32"/>
      <w:szCs w:val="32"/>
    </w:rPr>
  </w:style>
  <w:style w:type="paragraph" w:customStyle="1" w:styleId="745">
    <w:name w:val="Char3 Char Char Char1"/>
    <w:basedOn w:val="1"/>
    <w:qFormat/>
    <w:uiPriority w:val="6"/>
    <w:pPr>
      <w:widowControl/>
      <w:adjustRightInd/>
      <w:spacing w:after="160" w:line="240" w:lineRule="exact"/>
      <w:jc w:val="left"/>
    </w:pPr>
    <w:rPr>
      <w:szCs w:val="20"/>
    </w:rPr>
  </w:style>
  <w:style w:type="paragraph" w:customStyle="1" w:styleId="746">
    <w:name w:val="Char1 Char Char Char21"/>
    <w:basedOn w:val="1"/>
    <w:qFormat/>
    <w:uiPriority w:val="0"/>
    <w:rPr>
      <w:rFonts w:ascii="Tahoma" w:hAnsi="Tahoma"/>
      <w:sz w:val="24"/>
      <w:szCs w:val="20"/>
    </w:rPr>
  </w:style>
  <w:style w:type="paragraph" w:customStyle="1" w:styleId="74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8">
    <w:name w:val="正文（标题三）"/>
    <w:basedOn w:val="1"/>
    <w:qFormat/>
    <w:uiPriority w:val="0"/>
    <w:pPr>
      <w:spacing w:line="360" w:lineRule="auto"/>
      <w:ind w:firstLine="200" w:firstLineChars="200"/>
    </w:pPr>
    <w:rPr>
      <w:sz w:val="24"/>
    </w:rPr>
  </w:style>
  <w:style w:type="paragraph" w:customStyle="1" w:styleId="74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0"/>
    <w:pPr>
      <w:adjustRightInd/>
      <w:ind w:firstLine="200" w:firstLineChars="200"/>
    </w:pPr>
    <w:rPr>
      <w:rFonts w:ascii="Tahoma" w:hAnsi="Tahoma"/>
      <w:sz w:val="24"/>
      <w:szCs w:val="20"/>
    </w:rPr>
  </w:style>
  <w:style w:type="paragraph" w:customStyle="1" w:styleId="755">
    <w:name w:val="_标题2"/>
    <w:basedOn w:val="722"/>
    <w:next w:val="72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0"/>
    <w:pPr>
      <w:adjustRightInd/>
      <w:spacing w:line="360" w:lineRule="auto"/>
    </w:pPr>
    <w:rPr>
      <w:rFonts w:ascii="宋体" w:hAnsi="宋体"/>
      <w:szCs w:val="20"/>
    </w:rPr>
  </w:style>
  <w:style w:type="paragraph" w:customStyle="1" w:styleId="76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0"/>
    <w:pPr>
      <w:adjustRightInd/>
    </w:pPr>
    <w:rPr>
      <w:rFonts w:ascii="Tahoma" w:hAnsi="Tahoma"/>
      <w:sz w:val="24"/>
    </w:rPr>
  </w:style>
  <w:style w:type="paragraph" w:customStyle="1" w:styleId="763">
    <w:name w:val="Char Char Char Char11"/>
    <w:basedOn w:val="1"/>
    <w:qFormat/>
    <w:uiPriority w:val="0"/>
    <w:rPr>
      <w:rFonts w:ascii="Tahoma" w:hAnsi="Tahoma"/>
      <w:sz w:val="24"/>
      <w:szCs w:val="20"/>
    </w:rPr>
  </w:style>
  <w:style w:type="paragraph" w:customStyle="1" w:styleId="76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0"/>
    <w:rPr>
      <w:rFonts w:ascii="Tahoma" w:hAnsi="Tahoma"/>
      <w:sz w:val="24"/>
      <w:szCs w:val="20"/>
    </w:rPr>
  </w:style>
  <w:style w:type="paragraph" w:customStyle="1" w:styleId="76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0"/>
    <w:pPr>
      <w:adjustRightInd/>
    </w:pPr>
    <w:rPr>
      <w:szCs w:val="20"/>
    </w:rPr>
  </w:style>
  <w:style w:type="paragraph" w:customStyle="1" w:styleId="76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34"/>
    <w:pPr>
      <w:adjustRightInd/>
      <w:ind w:firstLine="420" w:firstLineChars="200"/>
    </w:pPr>
    <w:rPr>
      <w:rFonts w:eastAsia="仿宋_GB2312"/>
      <w:sz w:val="28"/>
    </w:rPr>
  </w:style>
  <w:style w:type="paragraph" w:customStyle="1" w:styleId="77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0"/>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0"/>
    <w:rPr>
      <w:rFonts w:ascii="Times New Roman" w:hAnsi="Times New Roman" w:eastAsia="宋体" w:cs="Times New Roman"/>
      <w:kern w:val="2"/>
      <w:sz w:val="21"/>
      <w:lang w:val="en-US" w:eastAsia="zh-CN" w:bidi="ar-SA"/>
    </w:rPr>
  </w:style>
  <w:style w:type="paragraph" w:customStyle="1" w:styleId="77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0"/>
    <w:rPr>
      <w:rFonts w:ascii="宋体" w:hAnsi="Times New Roman" w:eastAsia="宋体" w:cs="Times New Roman"/>
      <w:kern w:val="2"/>
      <w:lang w:val="en-US" w:eastAsia="zh-CN" w:bidi="ar-SA"/>
    </w:rPr>
  </w:style>
  <w:style w:type="paragraph" w:customStyle="1" w:styleId="781">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0"/>
    <w:pPr>
      <w:tabs>
        <w:tab w:val="left" w:pos="360"/>
      </w:tabs>
    </w:pPr>
    <w:rPr>
      <w:sz w:val="24"/>
      <w:szCs w:val="20"/>
    </w:rPr>
  </w:style>
  <w:style w:type="paragraph" w:customStyle="1" w:styleId="78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0">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9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0"/>
    <w:pPr>
      <w:widowControl/>
      <w:adjustRightInd/>
    </w:pPr>
    <w:rPr>
      <w:kern w:val="0"/>
      <w:szCs w:val="21"/>
    </w:rPr>
  </w:style>
  <w:style w:type="paragraph" w:customStyle="1" w:styleId="794">
    <w:name w:val="Char6"/>
    <w:basedOn w:val="1"/>
    <w:qFormat/>
    <w:uiPriority w:val="0"/>
    <w:rPr>
      <w:rFonts w:ascii="仿宋_GB2312" w:eastAsia="仿宋_GB2312"/>
      <w:b/>
      <w:sz w:val="32"/>
      <w:szCs w:val="32"/>
    </w:rPr>
  </w:style>
  <w:style w:type="paragraph" w:customStyle="1" w:styleId="795">
    <w:name w:val="Char111"/>
    <w:basedOn w:val="1"/>
    <w:qFormat/>
    <w:uiPriority w:val="0"/>
    <w:rPr>
      <w:rFonts w:ascii="仿宋_GB2312" w:eastAsia="仿宋_GB2312"/>
      <w:b/>
      <w:sz w:val="32"/>
      <w:szCs w:val="32"/>
    </w:rPr>
  </w:style>
  <w:style w:type="paragraph" w:customStyle="1" w:styleId="796">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0"/>
    <w:pPr>
      <w:adjustRightInd/>
      <w:ind w:firstLine="200" w:firstLineChars="200"/>
    </w:pPr>
    <w:rPr>
      <w:rFonts w:ascii="Tahoma" w:hAnsi="Tahoma"/>
      <w:sz w:val="24"/>
      <w:szCs w:val="20"/>
    </w:rPr>
  </w:style>
  <w:style w:type="paragraph" w:customStyle="1" w:styleId="800">
    <w:name w:val="列出段落1"/>
    <w:basedOn w:val="1"/>
    <w:link w:val="801"/>
    <w:qFormat/>
    <w:uiPriority w:val="34"/>
    <w:pPr>
      <w:adjustRightInd/>
      <w:spacing w:line="360" w:lineRule="auto"/>
      <w:ind w:firstLine="420" w:firstLineChars="200"/>
    </w:pPr>
    <w:rPr>
      <w:rFonts w:ascii="Calibri" w:hAnsi="Calibri"/>
      <w:sz w:val="24"/>
      <w:szCs w:val="22"/>
    </w:rPr>
  </w:style>
  <w:style w:type="character" w:customStyle="1" w:styleId="801">
    <w:name w:val="列出段落 字符"/>
    <w:link w:val="800"/>
    <w:qFormat/>
    <w:locked/>
    <w:uiPriority w:val="0"/>
    <w:rPr>
      <w:rFonts w:ascii="Calibri" w:hAnsi="Calibri"/>
      <w:kern w:val="2"/>
      <w:sz w:val="24"/>
      <w:szCs w:val="22"/>
    </w:rPr>
  </w:style>
  <w:style w:type="paragraph" w:customStyle="1" w:styleId="8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3">
    <w:name w:val="Char Char Char Char Char Char Char2"/>
    <w:basedOn w:val="1"/>
    <w:qFormat/>
    <w:uiPriority w:val="0"/>
    <w:rPr>
      <w:rFonts w:ascii="仿宋_GB2312" w:eastAsia="仿宋_GB2312"/>
      <w:b/>
      <w:sz w:val="32"/>
      <w:szCs w:val="32"/>
    </w:rPr>
  </w:style>
  <w:style w:type="paragraph" w:customStyle="1" w:styleId="804">
    <w:name w:val="五级条标题"/>
    <w:basedOn w:val="805"/>
    <w:next w:val="649"/>
    <w:qFormat/>
    <w:uiPriority w:val="0"/>
    <w:pPr>
      <w:tabs>
        <w:tab w:val="left" w:pos="1260"/>
        <w:tab w:val="left" w:pos="1680"/>
        <w:tab w:val="left" w:pos="2100"/>
        <w:tab w:val="left" w:pos="2940"/>
        <w:tab w:val="left" w:pos="3360"/>
      </w:tabs>
      <w:ind w:left="3360"/>
      <w:outlineLvl w:val="6"/>
    </w:pPr>
  </w:style>
  <w:style w:type="paragraph" w:customStyle="1" w:styleId="805">
    <w:name w:val="四级条标题"/>
    <w:basedOn w:val="664"/>
    <w:next w:val="649"/>
    <w:qFormat/>
    <w:uiPriority w:val="0"/>
    <w:pPr>
      <w:tabs>
        <w:tab w:val="left" w:pos="2940"/>
        <w:tab w:val="clear" w:pos="2520"/>
      </w:tabs>
      <w:ind w:left="2940"/>
      <w:outlineLvl w:val="5"/>
    </w:pPr>
  </w:style>
  <w:style w:type="paragraph" w:customStyle="1" w:styleId="80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qFormat/>
    <w:uiPriority w:val="0"/>
    <w:rPr>
      <w:rFonts w:ascii="仿宋_GB2312" w:eastAsia="仿宋_GB2312"/>
      <w:b/>
      <w:sz w:val="32"/>
      <w:szCs w:val="32"/>
    </w:rPr>
  </w:style>
  <w:style w:type="paragraph" w:customStyle="1" w:styleId="80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0">
    <w:name w:val="首行缩进"/>
    <w:basedOn w:val="1"/>
    <w:qFormat/>
    <w:uiPriority w:val="0"/>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2">
    <w:name w:val="单元格左对齐"/>
    <w:basedOn w:val="1"/>
    <w:qFormat/>
    <w:uiPriority w:val="0"/>
    <w:pPr>
      <w:adjustRightInd/>
      <w:spacing w:line="360" w:lineRule="auto"/>
    </w:pPr>
    <w:rPr>
      <w:sz w:val="24"/>
    </w:rPr>
  </w:style>
  <w:style w:type="paragraph" w:customStyle="1" w:styleId="813">
    <w:name w:val="正文主体"/>
    <w:basedOn w:val="631"/>
    <w:qFormat/>
    <w:uiPriority w:val="0"/>
  </w:style>
  <w:style w:type="paragraph" w:customStyle="1" w:styleId="81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qFormat/>
    <w:uiPriority w:val="0"/>
    <w:pPr>
      <w:adjustRightInd/>
      <w:spacing w:line="360" w:lineRule="auto"/>
      <w:ind w:firstLine="480" w:firstLineChars="200"/>
    </w:pPr>
    <w:rPr>
      <w:sz w:val="24"/>
      <w:szCs w:val="20"/>
    </w:rPr>
  </w:style>
  <w:style w:type="paragraph" w:customStyle="1" w:styleId="818">
    <w:name w:val="P1"/>
    <w:basedOn w:val="1"/>
    <w:qFormat/>
    <w:uiPriority w:val="0"/>
    <w:pPr>
      <w:adjustRightInd/>
      <w:spacing w:line="288" w:lineRule="auto"/>
      <w:ind w:firstLine="425" w:firstLineChars="200"/>
    </w:p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Char Char11 Char Char Char1"/>
    <w:basedOn w:val="1"/>
    <w:qFormat/>
    <w:uiPriority w:val="6"/>
    <w:pPr>
      <w:spacing w:line="360" w:lineRule="auto"/>
    </w:pPr>
    <w:rPr>
      <w:szCs w:val="20"/>
    </w:rPr>
  </w:style>
  <w:style w:type="paragraph" w:customStyle="1" w:styleId="82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qFormat/>
    <w:uiPriority w:val="0"/>
    <w:pPr>
      <w:spacing w:line="360" w:lineRule="auto"/>
    </w:pPr>
    <w:rPr>
      <w:szCs w:val="20"/>
    </w:rPr>
  </w:style>
  <w:style w:type="paragraph" w:customStyle="1" w:styleId="82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qFormat/>
    <w:uiPriority w:val="0"/>
    <w:rPr>
      <w:rFonts w:ascii="仿宋_GB2312" w:eastAsia="仿宋_GB2312"/>
      <w:b/>
      <w:sz w:val="32"/>
      <w:szCs w:val="32"/>
    </w:rPr>
  </w:style>
  <w:style w:type="paragraph" w:customStyle="1" w:styleId="8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2">
    <w:name w:val="正文 首行缩进:  2 字符 Char"/>
    <w:basedOn w:val="1"/>
    <w:qFormat/>
    <w:uiPriority w:val="0"/>
    <w:pPr>
      <w:adjustRightInd/>
      <w:spacing w:line="360" w:lineRule="auto"/>
      <w:ind w:firstLine="480"/>
    </w:pPr>
    <w:rPr>
      <w:rFonts w:cs="宋体"/>
      <w:sz w:val="24"/>
      <w:szCs w:val="20"/>
    </w:rPr>
  </w:style>
  <w:style w:type="paragraph" w:customStyle="1" w:styleId="833">
    <w:name w:val="Char Char4 Char Char"/>
    <w:basedOn w:val="1"/>
    <w:qFormat/>
    <w:uiPriority w:val="0"/>
    <w:pPr>
      <w:widowControl/>
      <w:adjustRightInd/>
      <w:spacing w:after="160" w:line="240" w:lineRule="exact"/>
      <w:jc w:val="left"/>
    </w:pPr>
  </w:style>
  <w:style w:type="paragraph" w:customStyle="1" w:styleId="83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qFormat/>
    <w:uiPriority w:val="0"/>
    <w:pPr>
      <w:spacing w:line="360" w:lineRule="auto"/>
    </w:pPr>
    <w:rPr>
      <w:szCs w:val="20"/>
    </w:rPr>
  </w:style>
  <w:style w:type="paragraph" w:customStyle="1" w:styleId="83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0"/>
    <w:pPr>
      <w:adjustRightInd/>
      <w:ind w:firstLine="200" w:firstLineChars="200"/>
    </w:pPr>
    <w:rPr>
      <w:rFonts w:ascii="Tahoma" w:hAnsi="Tahoma"/>
      <w:sz w:val="24"/>
      <w:szCs w:val="20"/>
    </w:rPr>
  </w:style>
  <w:style w:type="paragraph" w:customStyle="1" w:styleId="84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4">
    <w:name w:val="正文 内标"/>
    <w:basedOn w:val="759"/>
    <w:qFormat/>
    <w:uiPriority w:val="0"/>
    <w:pPr>
      <w:tabs>
        <w:tab w:val="left" w:pos="0"/>
      </w:tabs>
      <w:ind w:left="900" w:firstLine="0" w:firstLineChars="0"/>
    </w:pPr>
  </w:style>
  <w:style w:type="paragraph" w:customStyle="1" w:styleId="845">
    <w:name w:val="Bulleted List"/>
    <w:basedOn w:val="1"/>
    <w:qFormat/>
    <w:uiPriority w:val="0"/>
    <w:pPr>
      <w:tabs>
        <w:tab w:val="left" w:pos="1260"/>
      </w:tabs>
      <w:adjustRightInd/>
      <w:ind w:left="1260" w:hanging="420"/>
    </w:pPr>
  </w:style>
  <w:style w:type="paragraph" w:customStyle="1" w:styleId="84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2"/>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0"/>
    <w:rPr>
      <w:rFonts w:ascii="Tahoma" w:hAnsi="Tahoma" w:cs="仿宋_GB2312"/>
      <w:sz w:val="24"/>
      <w:szCs w:val="20"/>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8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1">
    <w:name w:val="_Style 12"/>
    <w:basedOn w:val="19"/>
    <w:qFormat/>
    <w:uiPriority w:val="0"/>
    <w:pPr>
      <w:snapToGrid w:val="0"/>
      <w:spacing w:line="360" w:lineRule="auto"/>
    </w:pPr>
  </w:style>
  <w:style w:type="paragraph" w:customStyle="1" w:styleId="88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0"/>
    <w:qFormat/>
    <w:uiPriority w:val="34"/>
    <w:pPr>
      <w:adjustRightInd/>
      <w:spacing w:line="360" w:lineRule="auto"/>
      <w:ind w:firstLine="200" w:firstLineChars="200"/>
    </w:pPr>
    <w:rPr>
      <w:rFonts w:ascii="Calibri" w:hAnsi="Calibri"/>
      <w:sz w:val="28"/>
      <w:szCs w:val="20"/>
    </w:rPr>
  </w:style>
  <w:style w:type="paragraph" w:customStyle="1" w:styleId="8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1"/>
    <w:qFormat/>
    <w:uiPriority w:val="0"/>
    <w:pPr>
      <w:outlineLvl w:val="2"/>
    </w:pPr>
  </w:style>
  <w:style w:type="paragraph" w:customStyle="1" w:styleId="88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qFormat/>
    <w:uiPriority w:val="0"/>
    <w:pPr>
      <w:adjustRightInd/>
      <w:ind w:firstLine="200" w:firstLineChars="200"/>
    </w:pPr>
    <w:rPr>
      <w:rFonts w:ascii="Tahoma" w:hAnsi="Tahoma"/>
      <w:sz w:val="24"/>
      <w:szCs w:val="20"/>
    </w:rPr>
  </w:style>
  <w:style w:type="paragraph" w:customStyle="1" w:styleId="89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2">
    <w:name w:val="MM Empty"/>
    <w:basedOn w:val="1"/>
    <w:qFormat/>
    <w:uiPriority w:val="0"/>
    <w:pPr>
      <w:adjustRightInd/>
    </w:pPr>
  </w:style>
  <w:style w:type="paragraph" w:customStyle="1" w:styleId="893">
    <w:name w:val="Char24"/>
    <w:basedOn w:val="1"/>
    <w:qFormat/>
    <w:uiPriority w:val="0"/>
    <w:rPr>
      <w:rFonts w:ascii="仿宋_GB2312" w:eastAsia="仿宋_GB2312"/>
      <w:b/>
      <w:sz w:val="32"/>
      <w:szCs w:val="32"/>
    </w:rPr>
  </w:style>
  <w:style w:type="paragraph" w:customStyle="1" w:styleId="894">
    <w:name w:val="正文箭头"/>
    <w:basedOn w:val="543"/>
    <w:qFormat/>
    <w:uiPriority w:val="0"/>
  </w:style>
  <w:style w:type="paragraph" w:customStyle="1" w:styleId="895">
    <w:name w:val="U_编号2"/>
    <w:basedOn w:val="1"/>
    <w:qFormat/>
    <w:uiPriority w:val="0"/>
    <w:pPr>
      <w:tabs>
        <w:tab w:val="left" w:pos="785"/>
      </w:tabs>
      <w:adjustRightInd/>
      <w:spacing w:beforeLines="10" w:afterLines="10" w:line="300" w:lineRule="auto"/>
    </w:pPr>
    <w:rPr>
      <w:sz w:val="24"/>
    </w:rPr>
  </w:style>
  <w:style w:type="paragraph" w:customStyle="1" w:styleId="89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qFormat/>
    <w:uiPriority w:val="34"/>
    <w:pPr>
      <w:adjustRightInd/>
      <w:ind w:firstLine="420" w:firstLineChars="200"/>
    </w:pPr>
    <w:rPr>
      <w:rFonts w:eastAsia="仿宋_GB2312"/>
      <w:sz w:val="28"/>
    </w:rPr>
  </w:style>
  <w:style w:type="paragraph" w:customStyle="1" w:styleId="901">
    <w:name w:val="表格 内容"/>
    <w:basedOn w:val="738"/>
    <w:qFormat/>
    <w:uiPriority w:val="0"/>
    <w:rPr>
      <w:b w:val="0"/>
      <w:sz w:val="20"/>
    </w:rPr>
  </w:style>
  <w:style w:type="paragraph" w:customStyle="1" w:styleId="90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4">
    <w:name w:val="数字标题5"/>
    <w:basedOn w:val="7"/>
    <w:next w:val="1"/>
    <w:qFormat/>
    <w:uiPriority w:val="0"/>
    <w:pPr>
      <w:tabs>
        <w:tab w:val="left" w:pos="1080"/>
      </w:tabs>
      <w:ind w:left="1080" w:hanging="1080"/>
    </w:pPr>
  </w:style>
  <w:style w:type="paragraph" w:customStyle="1" w:styleId="905">
    <w:name w:val="数字标题1"/>
    <w:basedOn w:val="2"/>
    <w:next w:val="1"/>
    <w:qFormat/>
    <w:uiPriority w:val="0"/>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qFormat/>
    <w:uiPriority w:val="0"/>
    <w:pPr>
      <w:widowControl/>
    </w:pPr>
    <w:rPr>
      <w:kern w:val="0"/>
      <w:sz w:val="24"/>
      <w:szCs w:val="20"/>
    </w:rPr>
  </w:style>
  <w:style w:type="paragraph" w:customStyle="1" w:styleId="913">
    <w:name w:val="Char Char113"/>
    <w:basedOn w:val="1"/>
    <w:qFormat/>
    <w:uiPriority w:val="0"/>
    <w:pPr>
      <w:widowControl/>
      <w:spacing w:after="160" w:line="240" w:lineRule="exact"/>
      <w:jc w:val="left"/>
    </w:pPr>
    <w:rPr>
      <w:rFonts w:eastAsia="仿宋_GB2312"/>
      <w:sz w:val="28"/>
    </w:rPr>
  </w:style>
  <w:style w:type="paragraph" w:customStyle="1" w:styleId="91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47"/>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67"/>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8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character" w:customStyle="1" w:styleId="970">
    <w:name w:val="未处理的提及2"/>
    <w:basedOn w:val="72"/>
    <w:semiHidden/>
    <w:unhideWhenUsed/>
    <w:qFormat/>
    <w:uiPriority w:val="99"/>
    <w:rPr>
      <w:color w:val="605E5C"/>
      <w:shd w:val="clear" w:color="auto" w:fill="E1DFDD"/>
    </w:rPr>
  </w:style>
  <w:style w:type="character" w:customStyle="1" w:styleId="971">
    <w:name w:val="纯文本 字符1"/>
    <w:qFormat/>
    <w:locked/>
    <w:uiPriority w:val="0"/>
    <w:rPr>
      <w:rFonts w:eastAsia="宋体"/>
      <w:kern w:val="2"/>
      <w:sz w:val="24"/>
      <w:lang w:val="en-US" w:eastAsia="zh-CN" w:bidi="ar-SA"/>
    </w:rPr>
  </w:style>
  <w:style w:type="paragraph" w:customStyle="1" w:styleId="972">
    <w:name w:val="2级"/>
    <w:basedOn w:val="1"/>
    <w:next w:val="1"/>
    <w:qFormat/>
    <w:uiPriority w:val="0"/>
    <w:pPr>
      <w:numPr>
        <w:ilvl w:val="1"/>
        <w:numId w:val="1"/>
      </w:numPr>
      <w:adjustRightInd/>
      <w:spacing w:beforeLines="50" w:afterLines="50" w:line="360" w:lineRule="auto"/>
      <w:ind w:firstLine="200" w:firstLineChars="200"/>
      <w:outlineLvl w:val="1"/>
    </w:pPr>
    <w:rPr>
      <w:b/>
      <w:sz w:val="28"/>
    </w:rPr>
  </w:style>
  <w:style w:type="paragraph" w:customStyle="1" w:styleId="973">
    <w:name w:val="纯文本_0"/>
    <w:basedOn w:val="1"/>
    <w:unhideWhenUsed/>
    <w:qFormat/>
    <w:uiPriority w:val="0"/>
    <w:pPr>
      <w:adjustRightInd/>
      <w:spacing w:line="360" w:lineRule="auto"/>
      <w:ind w:firstLine="200" w:firstLineChars="200"/>
    </w:pPr>
    <w:rPr>
      <w:rFonts w:ascii="宋体" w:hAnsi="Courier New"/>
      <w:kern w:val="0"/>
      <w:sz w:val="20"/>
      <w:szCs w:val="20"/>
    </w:rPr>
  </w:style>
  <w:style w:type="paragraph" w:customStyle="1" w:styleId="974">
    <w:name w:val="Body Text First Indent 21"/>
    <w:basedOn w:val="975"/>
    <w:qFormat/>
    <w:uiPriority w:val="0"/>
    <w:pPr>
      <w:ind w:firstLine="420"/>
    </w:pPr>
    <w:rPr>
      <w:rFonts w:cs="宋体"/>
    </w:rPr>
  </w:style>
  <w:style w:type="paragraph" w:customStyle="1" w:styleId="975">
    <w:name w:val="Body Text Indent1"/>
    <w:basedOn w:val="1"/>
    <w:next w:val="1"/>
    <w:qFormat/>
    <w:uiPriority w:val="0"/>
    <w:pPr>
      <w:adjustRightInd/>
      <w:spacing w:after="120" w:line="360" w:lineRule="auto"/>
      <w:ind w:left="420" w:leftChars="200" w:firstLine="200" w:firstLineChars="200"/>
    </w:pPr>
    <w:rPr>
      <w:sz w:val="24"/>
    </w:rPr>
  </w:style>
  <w:style w:type="character" w:customStyle="1" w:styleId="976">
    <w:name w:val="标题 5 字符"/>
    <w:qFormat/>
    <w:uiPriority w:val="9"/>
    <w:rPr>
      <w:rFonts w:ascii="Wingdings" w:hAnsi="Wingdings" w:eastAsia="Wingdings"/>
      <w:b/>
      <w:bCs/>
      <w:kern w:val="2"/>
      <w:sz w:val="28"/>
      <w:szCs w:val="28"/>
    </w:rPr>
  </w:style>
  <w:style w:type="character" w:customStyle="1" w:styleId="977">
    <w:name w:val="标题 6 字符"/>
    <w:qFormat/>
    <w:uiPriority w:val="0"/>
    <w:rPr>
      <w:rFonts w:ascii="Helvetica" w:hAnsi="Helvetica" w:eastAsia="Helvetica"/>
      <w:b/>
      <w:bCs/>
      <w:kern w:val="2"/>
      <w:sz w:val="24"/>
      <w:szCs w:val="24"/>
    </w:rPr>
  </w:style>
  <w:style w:type="character" w:customStyle="1" w:styleId="978">
    <w:name w:val="标题 7 字符"/>
    <w:qFormat/>
    <w:uiPriority w:val="9"/>
    <w:rPr>
      <w:rFonts w:ascii="Wingdings" w:hAnsi="Wingdings" w:eastAsia="Wingdings"/>
      <w:b/>
      <w:bCs/>
      <w:kern w:val="2"/>
      <w:sz w:val="24"/>
      <w:szCs w:val="24"/>
    </w:rPr>
  </w:style>
  <w:style w:type="character" w:customStyle="1" w:styleId="979">
    <w:name w:val="标题 8 字符"/>
    <w:qFormat/>
    <w:uiPriority w:val="9"/>
    <w:rPr>
      <w:rFonts w:ascii="Helvetica" w:hAnsi="Helvetica" w:eastAsia="Helvetica"/>
      <w:kern w:val="2"/>
      <w:sz w:val="24"/>
      <w:szCs w:val="24"/>
    </w:rPr>
  </w:style>
  <w:style w:type="character" w:customStyle="1" w:styleId="980">
    <w:name w:val="标题 9 字符"/>
    <w:qFormat/>
    <w:uiPriority w:val="9"/>
    <w:rPr>
      <w:rFonts w:ascii="Helvetica" w:hAnsi="Helvetica" w:eastAsia="Helvetica"/>
      <w:kern w:val="2"/>
      <w:sz w:val="21"/>
      <w:szCs w:val="21"/>
    </w:rPr>
  </w:style>
  <w:style w:type="character" w:customStyle="1" w:styleId="981">
    <w:name w:val="文档结构图 字符"/>
    <w:qFormat/>
    <w:uiPriority w:val="99"/>
    <w:rPr>
      <w:rFonts w:ascii="Wingdings" w:hAnsi="仿宋_GB2312"/>
      <w:kern w:val="2"/>
      <w:sz w:val="18"/>
      <w:szCs w:val="18"/>
    </w:rPr>
  </w:style>
  <w:style w:type="paragraph" w:customStyle="1" w:styleId="982">
    <w:name w:val="_Style 979"/>
    <w:basedOn w:val="1"/>
    <w:next w:val="280"/>
    <w:qFormat/>
    <w:uiPriority w:val="0"/>
    <w:pPr>
      <w:adjustRightInd/>
      <w:ind w:firstLine="420" w:firstLineChars="200"/>
    </w:pPr>
    <w:rPr>
      <w:rFonts w:ascii="仿宋_GB2312" w:hAnsi="仿宋_GB2312" w:eastAsia="等线"/>
    </w:rPr>
  </w:style>
  <w:style w:type="character" w:customStyle="1" w:styleId="983">
    <w:name w:val="正文文本缩进 2 字符"/>
    <w:qFormat/>
    <w:uiPriority w:val="0"/>
    <w:rPr>
      <w:kern w:val="2"/>
      <w:sz w:val="21"/>
      <w:szCs w:val="22"/>
    </w:rPr>
  </w:style>
  <w:style w:type="character" w:customStyle="1" w:styleId="984">
    <w:name w:val="标题 字符"/>
    <w:qFormat/>
    <w:uiPriority w:val="10"/>
    <w:rPr>
      <w:rFonts w:ascii="Helvetica" w:hAnsi="Helvetica" w:eastAsia="Helvetica"/>
      <w:b/>
      <w:bCs/>
      <w:kern w:val="2"/>
      <w:sz w:val="32"/>
      <w:szCs w:val="32"/>
    </w:rPr>
  </w:style>
  <w:style w:type="character" w:customStyle="1" w:styleId="985">
    <w:name w:val="批注主题 字符"/>
    <w:qFormat/>
    <w:uiPriority w:val="99"/>
    <w:rPr>
      <w:b/>
      <w:bCs/>
      <w:kern w:val="2"/>
      <w:sz w:val="21"/>
      <w:szCs w:val="22"/>
    </w:rPr>
  </w:style>
  <w:style w:type="paragraph" w:customStyle="1" w:styleId="986">
    <w:name w:val="正文首行缩进 21"/>
    <w:basedOn w:val="1"/>
    <w:qFormat/>
    <w:uiPriority w:val="0"/>
    <w:pPr>
      <w:adjustRightInd/>
      <w:spacing w:after="120"/>
      <w:ind w:left="420" w:leftChars="200" w:firstLine="420"/>
    </w:pPr>
    <w:rPr>
      <w:rFonts w:ascii="Times New Roman (正文 CS 字体)" w:hAnsi="Times New Roman (正文 CS 字体)" w:eastAsia="等线" w:cs="Wingdings"/>
      <w:szCs w:val="22"/>
    </w:rPr>
  </w:style>
  <w:style w:type="paragraph" w:customStyle="1" w:styleId="987">
    <w:name w:val="列表段落2"/>
    <w:basedOn w:val="1"/>
    <w:link w:val="988"/>
    <w:qFormat/>
    <w:uiPriority w:val="0"/>
    <w:pPr>
      <w:adjustRightInd/>
      <w:ind w:firstLine="420" w:firstLineChars="200"/>
    </w:pPr>
    <w:rPr>
      <w:rFonts w:ascii="Times New Roman (正文 CS 字体)" w:hAnsi="Times New Roman (正文 CS 字体)" w:eastAsia="等线"/>
      <w:szCs w:val="22"/>
    </w:rPr>
  </w:style>
  <w:style w:type="character" w:customStyle="1" w:styleId="988">
    <w:name w:val="List Paragraph Char"/>
    <w:link w:val="987"/>
    <w:qFormat/>
    <w:uiPriority w:val="0"/>
    <w:rPr>
      <w:rFonts w:ascii="Times New Roman (正文 CS 字体)" w:hAnsi="Times New Roman (正文 CS 字体)" w:eastAsia="等线"/>
      <w:kern w:val="2"/>
      <w:sz w:val="21"/>
      <w:szCs w:val="22"/>
    </w:rPr>
  </w:style>
  <w:style w:type="paragraph" w:customStyle="1" w:styleId="989">
    <w:name w:val="正文文本首行缩进 21"/>
    <w:basedOn w:val="990"/>
    <w:qFormat/>
    <w:uiPriority w:val="0"/>
    <w:pPr>
      <w:ind w:firstLine="420"/>
    </w:pPr>
    <w:rPr>
      <w:rFonts w:eastAsia="Wingdings" w:cs="Wingdings"/>
    </w:rPr>
  </w:style>
  <w:style w:type="paragraph" w:customStyle="1" w:styleId="990">
    <w:name w:val="正文文本缩进1"/>
    <w:basedOn w:val="1"/>
    <w:next w:val="1"/>
    <w:qFormat/>
    <w:uiPriority w:val="0"/>
    <w:pPr>
      <w:adjustRightInd/>
      <w:spacing w:after="120"/>
      <w:ind w:left="420" w:leftChars="200"/>
    </w:pPr>
    <w:rPr>
      <w:rFonts w:ascii="Times New Roman (正文 CS 字体)" w:hAnsi="Times New Roman (正文 CS 字体)" w:eastAsia="等线" w:cs="Times New Roman (正文 CS 字体)"/>
      <w:color w:val="000000"/>
      <w:szCs w:val="21"/>
    </w:rPr>
  </w:style>
  <w:style w:type="paragraph" w:customStyle="1" w:styleId="991">
    <w:name w:val="无间隔3"/>
    <w:qFormat/>
    <w:uiPriority w:val="99"/>
    <w:pPr>
      <w:widowControl w:val="0"/>
      <w:jc w:val="both"/>
    </w:pPr>
    <w:rPr>
      <w:rFonts w:ascii="Times New Roman (正文 CS 字体)" w:hAnsi="Times New Roman (正文 CS 字体)" w:eastAsia="等线" w:cs="Times New Roman (正文 CS 字体)"/>
      <w:kern w:val="2"/>
      <w:sz w:val="21"/>
      <w:szCs w:val="24"/>
      <w:lang w:val="en-US" w:eastAsia="zh-CN" w:bidi="ar-SA"/>
    </w:rPr>
  </w:style>
  <w:style w:type="character" w:customStyle="1" w:styleId="992">
    <w:name w:val="标题 1 字符1"/>
    <w:qFormat/>
    <w:uiPriority w:val="9"/>
    <w:rPr>
      <w:rFonts w:eastAsia="Times New Roman (正文 CS 字体)"/>
      <w:b/>
      <w:bCs/>
      <w:kern w:val="44"/>
      <w:sz w:val="44"/>
      <w:szCs w:val="44"/>
    </w:rPr>
  </w:style>
  <w:style w:type="character" w:customStyle="1" w:styleId="993">
    <w:name w:val="标题 2 字符1"/>
    <w:qFormat/>
    <w:uiPriority w:val="9"/>
    <w:rPr>
      <w:rFonts w:ascii="Times New Roman (正文 CS 字体)" w:hAnsi="Times New Roman (正文 CS 字体)" w:eastAsia="Times New Roman (正文 CS 字体)"/>
      <w:b/>
      <w:bCs/>
      <w:kern w:val="2"/>
      <w:sz w:val="36"/>
      <w:szCs w:val="32"/>
    </w:rPr>
  </w:style>
  <w:style w:type="paragraph" w:customStyle="1" w:styleId="994">
    <w:name w:val="yj正文"/>
    <w:basedOn w:val="1"/>
    <w:qFormat/>
    <w:uiPriority w:val="0"/>
    <w:pPr>
      <w:adjustRightInd/>
      <w:spacing w:beforeLines="50"/>
      <w:ind w:left="420"/>
      <w:jc w:val="left"/>
    </w:pPr>
    <w:rPr>
      <w:rFonts w:ascii="Helvetica" w:hAnsi="Helvetica" w:eastAsia="Helvetica" w:cs="Times New Roman (正文 CS 字体)"/>
      <w:sz w:val="24"/>
    </w:rPr>
  </w:style>
  <w:style w:type="paragraph" w:customStyle="1" w:styleId="995">
    <w:name w:val="Bullet 1"/>
    <w:basedOn w:val="1"/>
    <w:qFormat/>
    <w:uiPriority w:val="0"/>
    <w:pPr>
      <w:widowControl/>
      <w:numPr>
        <w:ilvl w:val="0"/>
        <w:numId w:val="2"/>
      </w:numPr>
      <w:tabs>
        <w:tab w:val="left" w:pos="720"/>
      </w:tabs>
      <w:adjustRightInd/>
      <w:spacing w:line="290" w:lineRule="atLeast"/>
      <w:jc w:val="left"/>
    </w:pPr>
    <w:rPr>
      <w:rFonts w:ascii="Times New Roman (正文 CS 字体)" w:hAnsi="Times New Roman (正文 CS 字体)" w:eastAsia="Times New Roman (正文 CS 字体)" w:cs="Times New Roman (正文 CS 字体)"/>
      <w:kern w:val="0"/>
      <w:sz w:val="24"/>
      <w:lang w:eastAsia="en-US"/>
    </w:rPr>
  </w:style>
  <w:style w:type="character" w:customStyle="1" w:styleId="996">
    <w:name w:val="样式 正文缩进 + 首行缩进:  2 字符 Char"/>
    <w:qFormat/>
    <w:uiPriority w:val="0"/>
    <w:rPr>
      <w:sz w:val="24"/>
    </w:rPr>
  </w:style>
  <w:style w:type="paragraph" w:customStyle="1" w:styleId="997">
    <w:name w:val="GHC 正文"/>
    <w:basedOn w:val="1"/>
    <w:link w:val="998"/>
    <w:qFormat/>
    <w:uiPriority w:val="0"/>
    <w:pPr>
      <w:adjustRightInd/>
      <w:spacing w:line="360" w:lineRule="auto"/>
      <w:ind w:firstLine="420" w:firstLineChars="200"/>
    </w:pPr>
    <w:rPr>
      <w:rFonts w:ascii="Wingdings" w:hAnsi="Wingdings" w:eastAsia="等线"/>
      <w:sz w:val="24"/>
      <w:lang w:val="en-AU"/>
    </w:rPr>
  </w:style>
  <w:style w:type="character" w:customStyle="1" w:styleId="998">
    <w:name w:val="GHC 正文 Char"/>
    <w:link w:val="997"/>
    <w:qFormat/>
    <w:uiPriority w:val="0"/>
    <w:rPr>
      <w:rFonts w:ascii="Wingdings" w:hAnsi="Wingdings" w:eastAsia="等线"/>
      <w:kern w:val="2"/>
      <w:sz w:val="24"/>
      <w:szCs w:val="24"/>
      <w:lang w:val="en-AU"/>
    </w:rPr>
  </w:style>
  <w:style w:type="paragraph" w:customStyle="1" w:styleId="999">
    <w:name w:val="正文_0"/>
    <w:qFormat/>
    <w:uiPriority w:val="0"/>
    <w:pPr>
      <w:widowControl w:val="0"/>
      <w:spacing w:line="360" w:lineRule="auto"/>
      <w:ind w:firstLine="200" w:firstLineChars="200"/>
      <w:jc w:val="both"/>
    </w:pPr>
    <w:rPr>
      <w:rFonts w:ascii="Times New Roman (正文 CS 字体)" w:hAnsi="Times New Roman (正文 CS 字体)" w:eastAsia="等线" w:cs="Times New Roman (正文 CS 字体)"/>
      <w:kern w:val="2"/>
      <w:sz w:val="24"/>
      <w:szCs w:val="24"/>
      <w:lang w:val="en-US" w:eastAsia="zh-CN" w:bidi="ar-SA"/>
    </w:rPr>
  </w:style>
  <w:style w:type="paragraph" w:customStyle="1" w:styleId="1000">
    <w:name w:val="0段落文字"/>
    <w:basedOn w:val="999"/>
    <w:qFormat/>
    <w:uiPriority w:val="0"/>
  </w:style>
  <w:style w:type="paragraph" w:customStyle="1" w:styleId="1001">
    <w:name w:val="标题 2_0"/>
    <w:basedOn w:val="1"/>
    <w:next w:val="1"/>
    <w:qFormat/>
    <w:uiPriority w:val="0"/>
    <w:pPr>
      <w:keepNext/>
      <w:keepLines/>
      <w:adjustRightInd/>
      <w:spacing w:before="260" w:after="260" w:line="416" w:lineRule="auto"/>
      <w:outlineLvl w:val="1"/>
    </w:pPr>
    <w:rPr>
      <w:rFonts w:ascii="Helvetica" w:hAnsi="Helvetica" w:eastAsia="等线" w:cs="Times New Roman (正文 CS 字体)"/>
      <w:b/>
      <w:bCs/>
      <w:sz w:val="32"/>
      <w:szCs w:val="32"/>
    </w:rPr>
  </w:style>
  <w:style w:type="paragraph" w:customStyle="1" w:styleId="1002">
    <w:name w:val="标题 3_0"/>
    <w:basedOn w:val="1"/>
    <w:next w:val="1"/>
    <w:qFormat/>
    <w:uiPriority w:val="0"/>
    <w:pPr>
      <w:keepNext/>
      <w:keepLines/>
      <w:adjustRightInd/>
      <w:spacing w:before="260" w:after="260" w:line="416" w:lineRule="auto"/>
      <w:outlineLvl w:val="2"/>
    </w:pPr>
    <w:rPr>
      <w:rFonts w:ascii="仿宋_GB2312" w:hAnsi="仿宋_GB2312" w:eastAsia="等线" w:cs="Times New Roman (正文 CS 字体)"/>
      <w:b/>
      <w:bCs/>
      <w:sz w:val="32"/>
      <w:szCs w:val="32"/>
    </w:rPr>
  </w:style>
  <w:style w:type="character" w:customStyle="1" w:styleId="1003">
    <w:name w:val="letter list Char"/>
    <w:qFormat/>
    <w:uiPriority w:val="0"/>
    <w:rPr>
      <w:b/>
      <w:bCs/>
      <w:sz w:val="24"/>
      <w:szCs w:val="24"/>
    </w:rPr>
  </w:style>
  <w:style w:type="character" w:customStyle="1" w:styleId="1004">
    <w:name w:val="Legal Level 1.1.1. Char"/>
    <w:qFormat/>
    <w:uiPriority w:val="0"/>
    <w:rPr>
      <w:rFonts w:ascii="Helvetica" w:hAnsi="Helvetica" w:eastAsia="Wingdings" w:cs="Times New Roman (正文 CS 字体)"/>
      <w:sz w:val="24"/>
      <w:szCs w:val="24"/>
    </w:rPr>
  </w:style>
  <w:style w:type="character" w:customStyle="1" w:styleId="1005">
    <w:name w:val="三级标题 Char"/>
    <w:qFormat/>
    <w:uiPriority w:val="0"/>
    <w:rPr>
      <w:rFonts w:ascii="Helvetica" w:hAnsi="Helvetica" w:eastAsia="Wingdings" w:cs="Times New Roman (正文 CS 字体)"/>
      <w:szCs w:val="21"/>
    </w:rPr>
  </w:style>
  <w:style w:type="character" w:customStyle="1" w:styleId="1006">
    <w:name w:val="正文文本缩进 字符1"/>
    <w:qFormat/>
    <w:uiPriority w:val="0"/>
    <w:rPr>
      <w:kern w:val="2"/>
      <w:sz w:val="21"/>
      <w:szCs w:val="22"/>
    </w:rPr>
  </w:style>
  <w:style w:type="character" w:customStyle="1" w:styleId="1007">
    <w:name w:val="列出段落 字符1"/>
    <w:qFormat/>
    <w:uiPriority w:val="0"/>
    <w:rPr>
      <w:rFonts w:ascii="Times New Roman (正文 CS 字体)" w:hAnsi="Times New Roman (正文 CS 字体)" w:eastAsia="Wingdings" w:cs="Times New Roman (正文 CS 字体)"/>
      <w:szCs w:val="24"/>
    </w:rPr>
  </w:style>
  <w:style w:type="paragraph" w:customStyle="1" w:styleId="1008">
    <w:name w:val="浅色网格 - 强调文字颜色 31"/>
    <w:basedOn w:val="1"/>
    <w:qFormat/>
    <w:uiPriority w:val="0"/>
    <w:pPr>
      <w:adjustRightInd/>
      <w:ind w:firstLine="420" w:firstLineChars="200"/>
    </w:pPr>
    <w:rPr>
      <w:rFonts w:ascii="Times New Roman (正文 CS 字体)" w:hAnsi="Times New Roman (正文 CS 字体)" w:eastAsia="等线" w:cs="Times New Roman (正文 CS 字体)"/>
      <w:szCs w:val="21"/>
    </w:rPr>
  </w:style>
  <w:style w:type="paragraph" w:customStyle="1" w:styleId="1009">
    <w:name w:val="TOC 标题2"/>
    <w:basedOn w:val="2"/>
    <w:next w:val="1"/>
    <w:unhideWhenUsed/>
    <w:qFormat/>
    <w:uiPriority w:val="0"/>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0">
    <w:name w:val="技术方案正文样式"/>
    <w:basedOn w:val="1"/>
    <w:qFormat/>
    <w:uiPriority w:val="0"/>
    <w:pPr>
      <w:widowControl/>
      <w:autoSpaceDE w:val="0"/>
      <w:autoSpaceDN w:val="0"/>
      <w:adjustRightInd/>
      <w:spacing w:line="400" w:lineRule="exact"/>
      <w:ind w:firstLine="480"/>
    </w:pPr>
    <w:rPr>
      <w:rFonts w:ascii="Wingdings" w:hAnsi="Wingdings" w:eastAsia="等线" w:cs="Wingdings"/>
      <w:kern w:val="0"/>
      <w:sz w:val="24"/>
    </w:rPr>
  </w:style>
  <w:style w:type="paragraph" w:customStyle="1" w:styleId="1011">
    <w:name w:val="中等深浅网格 2 - 强调文字颜色 11"/>
    <w:qFormat/>
    <w:uiPriority w:val="1"/>
    <w:pPr>
      <w:widowControl w:val="0"/>
      <w:jc w:val="both"/>
    </w:pPr>
    <w:rPr>
      <w:rFonts w:ascii="仿宋_GB2312" w:hAnsi="仿宋_GB2312" w:eastAsia="仿宋_GB2312" w:cs="Times New Roman (正文 CS 字体)"/>
      <w:kern w:val="2"/>
      <w:sz w:val="24"/>
      <w:szCs w:val="22"/>
      <w:lang w:val="en-US" w:eastAsia="zh-CN" w:bidi="ar-SA"/>
    </w:rPr>
  </w:style>
  <w:style w:type="paragraph" w:customStyle="1" w:styleId="1012">
    <w:name w:val="TOC 标题3"/>
    <w:basedOn w:val="2"/>
    <w:next w:val="1"/>
    <w:qFormat/>
    <w:uiPriority w:val="39"/>
    <w:pPr>
      <w:widowControl/>
      <w:tabs>
        <w:tab w:val="clear" w:pos="432"/>
      </w:tabs>
      <w:adjustRightInd/>
      <w:spacing w:before="240" w:after="0" w:line="259" w:lineRule="auto"/>
      <w:ind w:left="425" w:hanging="425"/>
      <w:jc w:val="left"/>
      <w:outlineLvl w:val="9"/>
    </w:pPr>
    <w:rPr>
      <w:rFonts w:ascii="Helvetica" w:hAnsi="Helvetica" w:eastAsia="Helvetica"/>
      <w:b w:val="0"/>
      <w:bCs w:val="0"/>
      <w:color w:val="2F5496"/>
      <w:kern w:val="0"/>
      <w:sz w:val="32"/>
      <w:szCs w:val="32"/>
    </w:rPr>
  </w:style>
  <w:style w:type="paragraph" w:customStyle="1" w:styleId="1013">
    <w:name w:val="修订4"/>
    <w:semiHidden/>
    <w:qFormat/>
    <w:uiPriority w:val="99"/>
    <w:rPr>
      <w:rFonts w:ascii="仿宋_GB2312" w:hAnsi="仿宋_GB2312" w:eastAsia="等线" w:cs="Times New Roman (正文 CS 字体)"/>
      <w:kern w:val="2"/>
      <w:sz w:val="24"/>
      <w:szCs w:val="22"/>
      <w:lang w:val="en-US" w:eastAsia="zh-CN" w:bidi="ar-SA"/>
    </w:rPr>
  </w:style>
  <w:style w:type="character" w:customStyle="1" w:styleId="1014">
    <w:name w:val="普通(网站) 字符"/>
    <w:link w:val="61"/>
    <w:qFormat/>
    <w:uiPriority w:val="0"/>
    <w:rPr>
      <w:rFonts w:ascii="宋体" w:hAnsi="宋体"/>
      <w:sz w:val="24"/>
      <w:szCs w:val="24"/>
    </w:rPr>
  </w:style>
  <w:style w:type="character" w:customStyle="1" w:styleId="1015">
    <w:name w:val="NormalCharacter"/>
    <w:qFormat/>
    <w:uiPriority w:val="0"/>
  </w:style>
  <w:style w:type="paragraph" w:customStyle="1" w:styleId="1016">
    <w:name w:val="UserStyle_20"/>
    <w:basedOn w:val="1"/>
    <w:next w:val="1"/>
    <w:qFormat/>
    <w:uiPriority w:val="0"/>
    <w:pPr>
      <w:widowControl/>
      <w:adjustRightInd/>
      <w:spacing w:line="360" w:lineRule="auto"/>
      <w:ind w:firstLine="480" w:firstLineChars="200"/>
      <w:textAlignment w:val="baseline"/>
    </w:pPr>
    <w:rPr>
      <w:sz w:val="24"/>
      <w:szCs w:val="21"/>
    </w:rPr>
  </w:style>
  <w:style w:type="paragraph" w:customStyle="1" w:styleId="1017">
    <w:name w:val="文本正文宋体缩进"/>
    <w:basedOn w:val="1"/>
    <w:next w:val="1"/>
    <w:qFormat/>
    <w:uiPriority w:val="0"/>
    <w:pPr>
      <w:adjustRightInd/>
      <w:spacing w:line="360" w:lineRule="auto"/>
      <w:ind w:firstLine="480" w:firstLineChars="200"/>
    </w:pPr>
    <w:rPr>
      <w:sz w:val="24"/>
      <w:szCs w:val="21"/>
    </w:rPr>
  </w:style>
  <w:style w:type="paragraph" w:customStyle="1" w:styleId="1018">
    <w:name w:val="msolistparagraph"/>
    <w:basedOn w:val="1"/>
    <w:qFormat/>
    <w:uiPriority w:val="0"/>
    <w:pPr>
      <w:ind w:firstLine="420" w:firstLineChars="200"/>
    </w:pPr>
  </w:style>
  <w:style w:type="paragraph" w:customStyle="1" w:styleId="1019">
    <w:name w:val="正文文本 31"/>
    <w:basedOn w:val="1"/>
    <w:qFormat/>
    <w:uiPriority w:val="0"/>
    <w:pPr>
      <w:spacing w:after="120"/>
    </w:pPr>
    <w:rPr>
      <w:sz w:val="16"/>
      <w:szCs w:val="16"/>
    </w:rPr>
  </w:style>
  <w:style w:type="paragraph" w:customStyle="1" w:styleId="1020">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1021">
    <w:name w:val="Plain Text"/>
    <w:basedOn w:val="1022"/>
    <w:qFormat/>
    <w:uiPriority w:val="0"/>
    <w:pPr>
      <w:widowControl/>
      <w:jc w:val="left"/>
    </w:pPr>
    <w:rPr>
      <w:rFonts w:ascii="宋体" w:hAnsi="Courier New"/>
    </w:rPr>
  </w:style>
  <w:style w:type="paragraph" w:customStyle="1" w:styleId="102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23">
    <w:name w:val="_Style 10"/>
    <w:basedOn w:val="1"/>
    <w:qFormat/>
    <w:uiPriority w:val="99"/>
  </w:style>
  <w:style w:type="paragraph" w:customStyle="1" w:styleId="1024">
    <w:name w:val="目录 71"/>
    <w:next w:val="1"/>
    <w:qFormat/>
    <w:uiPriority w:val="0"/>
    <w:pPr>
      <w:wordWrap w:val="0"/>
      <w:ind w:left="2550"/>
      <w:jc w:val="both"/>
    </w:pPr>
    <w:rPr>
      <w:rFonts w:ascii="Calibri" w:hAnsi="Calibri" w:eastAsia="宋体" w:cs="Times New Roman"/>
      <w:sz w:val="21"/>
      <w:szCs w:val="22"/>
      <w:lang w:val="en-US" w:eastAsia="zh-CN" w:bidi="ar-SA"/>
    </w:rPr>
  </w:style>
  <w:style w:type="table" w:customStyle="1" w:styleId="1025">
    <w:name w:val="Table Normal"/>
    <w:semiHidden/>
    <w:unhideWhenUsed/>
    <w:qFormat/>
    <w:uiPriority w:val="0"/>
    <w:tblPr>
      <w:tblCellMar>
        <w:top w:w="0" w:type="dxa"/>
        <w:left w:w="0" w:type="dxa"/>
        <w:bottom w:w="0" w:type="dxa"/>
        <w:right w:w="0" w:type="dxa"/>
      </w:tblCellMar>
    </w:tblPr>
  </w:style>
  <w:style w:type="paragraph" w:customStyle="1" w:styleId="1026">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65</Pages>
  <Words>3221</Words>
  <Characters>3550</Characters>
  <Lines>328</Lines>
  <Paragraphs>92</Paragraphs>
  <TotalTime>145</TotalTime>
  <ScaleCrop>false</ScaleCrop>
  <LinksUpToDate>false</LinksUpToDate>
  <CharactersWithSpaces>3758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2023-05-20T15:00:00Z</dcterms:created>
  <dc:creator>玥</dc:creator>
  <cp:lastModifiedBy>晔</cp:lastModifiedBy>
  <cp:lastPrinted>2025-07-15T00:37:00Z</cp:lastPrinted>
  <dcterms:modified xsi:type="dcterms:W3CDTF">2025-07-16T06:04:35Z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E5253BBCCFA34BE480A46A6AB6DBEC97</vt:lpwstr>
  </property>
  <property fmtid="{D5CDD505-2E9C-101B-9397-08002B2CF9AE}" pid="5" name="KSOTemplateDocerSaveRecord">
    <vt:lpwstr>eyJoZGlkIjoiNzZkNzQ4ZmNiNTJlZmVhNzYyZTQ4Njc4N2E1YmYwODMiLCJ1c2VySWQiOiIzNTUyNzEwMDAifQ==</vt:lpwstr>
  </property>
</Properties>
</file>