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bCs/>
          <w:sz w:val="48"/>
          <w:szCs w:val="48"/>
        </w:rPr>
      </w:pPr>
      <w:r>
        <w:rPr>
          <w:rFonts w:hint="eastAsia" w:ascii="宋体" w:hAnsi="宋体" w:cs="宋体"/>
          <w:b/>
          <w:bCs/>
          <w:sz w:val="48"/>
          <w:szCs w:val="48"/>
          <w:lang w:val="en-US" w:eastAsia="zh-CN"/>
        </w:rPr>
        <w:t xml:space="preserve">   </w:t>
      </w:r>
      <w:r>
        <w:rPr>
          <w:rFonts w:hint="eastAsia" w:ascii="宋体" w:hAnsi="宋体" w:cs="宋体"/>
          <w:b/>
          <w:bCs/>
          <w:sz w:val="48"/>
          <w:szCs w:val="48"/>
        </w:rPr>
        <w:t>诸暨市</w:t>
      </w:r>
      <w:r>
        <w:rPr>
          <w:rFonts w:hint="eastAsia" w:ascii="宋体" w:hAnsi="宋体" w:cs="宋体"/>
          <w:b/>
          <w:bCs/>
          <w:sz w:val="48"/>
          <w:szCs w:val="48"/>
          <w:lang w:eastAsia="zh-CN"/>
        </w:rPr>
        <w:t>人民医院医疗器械</w:t>
      </w:r>
      <w:r>
        <w:rPr>
          <w:rFonts w:hint="eastAsia" w:ascii="宋体" w:hAnsi="宋体" w:cs="宋体"/>
          <w:b/>
          <w:bCs/>
          <w:sz w:val="48"/>
          <w:szCs w:val="48"/>
        </w:rPr>
        <w:t>采购项目</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w:t>
      </w:r>
      <w:r>
        <w:rPr>
          <w:rFonts w:hint="eastAsia" w:ascii="宋体" w:hAnsi="宋体" w:cs="宋体"/>
          <w:bCs/>
          <w:sz w:val="44"/>
          <w:szCs w:val="44"/>
        </w:rPr>
        <w:t>（电子招投标）</w:t>
      </w:r>
    </w:p>
    <w:p>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编号:诸政采202</w:t>
      </w:r>
      <w:r>
        <w:rPr>
          <w:rFonts w:hint="eastAsia" w:ascii="宋体" w:hAnsi="宋体" w:cs="宋体"/>
          <w:sz w:val="30"/>
          <w:szCs w:val="30"/>
          <w:lang w:val="en-US" w:eastAsia="zh-CN"/>
        </w:rPr>
        <w:t>5</w:t>
      </w:r>
      <w:r>
        <w:rPr>
          <w:rFonts w:hint="eastAsia" w:ascii="宋体" w:hAnsi="宋体" w:cs="宋体"/>
          <w:sz w:val="30"/>
          <w:szCs w:val="30"/>
        </w:rPr>
        <w:t>-</w:t>
      </w:r>
      <w:r>
        <w:rPr>
          <w:rFonts w:hint="eastAsia" w:ascii="宋体" w:hAnsi="宋体" w:cs="宋体"/>
          <w:sz w:val="30"/>
          <w:szCs w:val="30"/>
          <w:lang w:val="en-US" w:eastAsia="zh-CN"/>
        </w:rPr>
        <w:t>07-07</w:t>
      </w:r>
    </w:p>
    <w:p>
      <w:pPr>
        <w:adjustRightInd/>
        <w:spacing w:line="360" w:lineRule="auto"/>
        <w:rPr>
          <w:rFonts w:ascii="仿宋" w:hAnsi="仿宋" w:eastAsia="仿宋" w:cs="仿宋_GB2312"/>
          <w:sz w:val="28"/>
          <w:szCs w:val="20"/>
        </w:rPr>
      </w:pPr>
    </w:p>
    <w:p>
      <w:pPr>
        <w:adjustRightInd/>
        <w:spacing w:line="360" w:lineRule="auto"/>
        <w:jc w:val="center"/>
        <w:rPr>
          <w:rFonts w:ascii="仿宋" w:hAnsi="仿宋" w:eastAsia="仿宋" w:cs="仿宋"/>
          <w:b/>
          <w:bCs/>
          <w:sz w:val="72"/>
          <w:szCs w:val="72"/>
        </w:rPr>
      </w:pP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招</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标</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文</w:t>
      </w:r>
    </w:p>
    <w:p>
      <w:pPr>
        <w:spacing w:line="360" w:lineRule="auto"/>
        <w:jc w:val="center"/>
        <w:rPr>
          <w:rFonts w:ascii="仿宋" w:hAnsi="仿宋" w:eastAsia="仿宋" w:cs="仿宋_GB2312"/>
          <w:b/>
          <w:sz w:val="44"/>
          <w:szCs w:val="44"/>
        </w:rPr>
      </w:pPr>
      <w:r>
        <w:rPr>
          <w:rFonts w:hint="eastAsia" w:ascii="仿宋" w:hAnsi="仿宋" w:eastAsia="仿宋" w:cs="仿宋"/>
          <w:b/>
          <w:bCs/>
          <w:sz w:val="72"/>
          <w:szCs w:val="72"/>
        </w:rPr>
        <w:t>件</w:t>
      </w:r>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bCs/>
          <w:sz w:val="32"/>
          <w:szCs w:val="32"/>
        </w:rPr>
      </w:pPr>
    </w:p>
    <w:p>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rPr>
        <w:t>诸暨市</w:t>
      </w:r>
      <w:r>
        <w:rPr>
          <w:rFonts w:hint="eastAsia" w:ascii="宋体" w:hAnsi="宋体" w:cs="宋体"/>
          <w:bCs/>
          <w:sz w:val="32"/>
          <w:szCs w:val="32"/>
          <w:lang w:eastAsia="zh-CN"/>
        </w:rPr>
        <w:t>人民医院</w:t>
      </w:r>
    </w:p>
    <w:p>
      <w:pPr>
        <w:spacing w:line="360" w:lineRule="auto"/>
        <w:jc w:val="center"/>
        <w:rPr>
          <w:rFonts w:ascii="宋体" w:hAnsi="宋体" w:cs="宋体"/>
          <w:bCs/>
          <w:sz w:val="32"/>
          <w:szCs w:val="32"/>
        </w:rPr>
      </w:pPr>
      <w:r>
        <w:rPr>
          <w:rFonts w:hint="eastAsia" w:ascii="宋体" w:hAnsi="宋体" w:cs="宋体"/>
          <w:bCs/>
          <w:sz w:val="32"/>
          <w:szCs w:val="32"/>
          <w:lang w:val="en-US" w:eastAsia="zh-CN"/>
        </w:rPr>
        <w:t xml:space="preserve"> </w:t>
      </w:r>
      <w:r>
        <w:rPr>
          <w:rFonts w:hint="eastAsia" w:ascii="宋体" w:hAnsi="宋体" w:cs="宋体"/>
          <w:bCs/>
          <w:sz w:val="32"/>
          <w:szCs w:val="32"/>
        </w:rPr>
        <w:t>诸暨市公共资源交易中心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pPr>
        <w:spacing w:line="360" w:lineRule="auto"/>
        <w:jc w:val="center"/>
        <w:rPr>
          <w:rFonts w:ascii="仿宋" w:hAnsi="仿宋" w:eastAsia="仿宋" w:cs="仿宋_GB2312"/>
          <w:b/>
          <w:sz w:val="48"/>
          <w:szCs w:val="48"/>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0" w:name="_Hlt91233176"/>
      <w:bookmarkEnd w:id="0"/>
      <w:bookmarkStart w:id="1"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宋体" w:hAnsi="宋体" w:cs="宋体"/>
          <w:b/>
          <w:sz w:val="36"/>
          <w:szCs w:val="20"/>
        </w:rPr>
      </w:pPr>
      <w:bookmarkStart w:id="2" w:name="第一部分"/>
      <w:r>
        <w:rPr>
          <w:rFonts w:ascii="仿宋" w:hAnsi="仿宋" w:eastAsia="仿宋" w:cs="仿宋_GB2312"/>
          <w:b/>
          <w:sz w:val="36"/>
          <w:szCs w:val="36"/>
        </w:rPr>
        <w:br w:type="page"/>
      </w:r>
      <w:bookmarkEnd w:id="1"/>
      <w:bookmarkEnd w:id="2"/>
      <w:bookmarkStart w:id="3" w:name="_Hlt74707423"/>
      <w:bookmarkEnd w:id="3"/>
      <w:bookmarkStart w:id="4" w:name="_Hlt74729822"/>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诸暨市</w:t>
      </w:r>
      <w:r>
        <w:rPr>
          <w:rFonts w:hint="eastAsia" w:ascii="宋体" w:hAnsi="宋体" w:cs="宋体"/>
          <w:sz w:val="24"/>
          <w:u w:val="single"/>
          <w:lang w:eastAsia="zh-CN"/>
        </w:rPr>
        <w:t>人民医院医疗器械</w:t>
      </w:r>
      <w:r>
        <w:rPr>
          <w:rFonts w:hint="eastAsia" w:ascii="宋体" w:hAnsi="宋体" w:cs="宋体"/>
          <w:sz w:val="24"/>
          <w:u w:val="single"/>
        </w:rPr>
        <w:t>采购项目</w:t>
      </w:r>
      <w:r>
        <w:rPr>
          <w:rFonts w:hint="eastAsia" w:ascii="宋体" w:hAnsi="宋体" w:cs="宋体"/>
          <w:sz w:val="24"/>
        </w:rPr>
        <w:t>的潜在投标人应在浙江政府采购网“政府采购云平台”</w:t>
      </w:r>
      <w:r>
        <w:fldChar w:fldCharType="begin"/>
      </w:r>
      <w:r>
        <w:instrText xml:space="preserve"> HYPERLINK "https://www.zcygov.cn/）获取（下载）招标文件，并于2021年" </w:instrText>
      </w:r>
      <w:r>
        <w:fldChar w:fldCharType="separate"/>
      </w:r>
      <w:r>
        <w:rPr>
          <w:rStyle w:val="79"/>
          <w:rFonts w:hint="eastAsia" w:ascii="宋体" w:hAnsi="宋体" w:eastAsia="宋体" w:cs="宋体"/>
          <w:color w:val="auto"/>
          <w:sz w:val="24"/>
        </w:rPr>
        <w:t>获取（下载）招标文件，并于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30</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项目编号：</w:t>
      </w:r>
      <w:r>
        <w:rPr>
          <w:rFonts w:hint="eastAsia" w:ascii="宋体" w:hAnsi="宋体" w:cs="宋体"/>
          <w:sz w:val="24"/>
        </w:rPr>
        <w:t>诸政采202</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07</w:t>
      </w:r>
      <w:r>
        <w:rPr>
          <w:rFonts w:hint="eastAsia" w:ascii="宋体" w:hAnsi="宋体" w:cs="宋体"/>
          <w:sz w:val="24"/>
        </w:rPr>
        <w:t>-</w:t>
      </w:r>
      <w:r>
        <w:rPr>
          <w:rFonts w:hint="eastAsia" w:ascii="宋体" w:hAnsi="宋体" w:cs="宋体"/>
          <w:sz w:val="24"/>
          <w:lang w:val="en-US" w:eastAsia="zh-CN"/>
        </w:rPr>
        <w:t>07</w:t>
      </w:r>
    </w:p>
    <w:p>
      <w:pPr>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诸暨市</w:t>
      </w:r>
      <w:r>
        <w:rPr>
          <w:rFonts w:hint="eastAsia" w:ascii="宋体" w:hAnsi="宋体" w:cs="宋体"/>
          <w:sz w:val="24"/>
          <w:lang w:eastAsia="zh-CN"/>
        </w:rPr>
        <w:t>人民医院医疗器械</w:t>
      </w:r>
      <w:r>
        <w:rPr>
          <w:rFonts w:hint="eastAsia" w:ascii="宋体" w:hAnsi="宋体" w:cs="宋体"/>
          <w:sz w:val="24"/>
        </w:rPr>
        <w:t>采购项目</w:t>
      </w:r>
    </w:p>
    <w:p>
      <w:pPr>
        <w:spacing w:line="360" w:lineRule="auto"/>
        <w:ind w:firstLine="482" w:firstLineChars="200"/>
        <w:rPr>
          <w:rFonts w:hint="default" w:ascii="宋体" w:hAnsi="宋体" w:cs="宋体"/>
          <w:b/>
          <w:sz w:val="24"/>
          <w:lang w:val="en-US" w:eastAsia="zh-CN"/>
        </w:rPr>
      </w:pPr>
      <w:r>
        <w:rPr>
          <w:rFonts w:hint="eastAsia" w:ascii="宋体" w:hAnsi="宋体" w:cs="宋体"/>
          <w:b/>
          <w:sz w:val="24"/>
        </w:rPr>
        <w:t>预算金额（元）：</w:t>
      </w:r>
      <w:r>
        <w:rPr>
          <w:rFonts w:hint="eastAsia" w:ascii="宋体" w:hAnsi="宋体" w:cs="宋体"/>
          <w:b/>
          <w:sz w:val="24"/>
          <w:lang w:val="en-US" w:eastAsia="zh-CN"/>
        </w:rPr>
        <w:t>430000、330000</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b/>
          <w:sz w:val="24"/>
          <w:lang w:val="en-US" w:eastAsia="zh-CN"/>
        </w:rPr>
        <w:t>430000、330000</w:t>
      </w:r>
    </w:p>
    <w:p>
      <w:pPr>
        <w:pStyle w:val="800"/>
        <w:autoSpaceDE w:val="0"/>
        <w:autoSpaceDN w:val="0"/>
        <w:adjustRightInd w:val="0"/>
        <w:spacing w:after="120"/>
        <w:rPr>
          <w:rFonts w:ascii="宋体" w:hAnsi="宋体" w:cs="宋体"/>
          <w:szCs w:val="24"/>
        </w:rPr>
      </w:pPr>
      <w:r>
        <w:rPr>
          <w:rFonts w:hint="eastAsia" w:ascii="宋体" w:hAnsi="宋体" w:cs="宋体"/>
          <w:b/>
        </w:rPr>
        <w:t>采购需求：</w:t>
      </w:r>
      <w:r>
        <w:rPr>
          <w:rFonts w:hint="eastAsia" w:ascii="宋体" w:hAnsi="宋体" w:cs="宋体"/>
          <w:szCs w:val="24"/>
        </w:rPr>
        <w:t>详见采购文件第三部分采购需求。</w:t>
      </w:r>
    </w:p>
    <w:p>
      <w:pPr>
        <w:spacing w:line="360" w:lineRule="auto"/>
        <w:ind w:firstLine="482" w:firstLineChars="200"/>
        <w:rPr>
          <w:rFonts w:ascii="宋体" w:hAnsi="宋体" w:cs="宋体"/>
          <w:b/>
          <w:sz w:val="24"/>
        </w:rPr>
      </w:pPr>
      <w:r>
        <w:rPr>
          <w:rFonts w:hint="eastAsia" w:ascii="宋体" w:hAnsi="宋体" w:cs="宋体"/>
          <w:b/>
          <w:sz w:val="24"/>
        </w:rPr>
        <w:t>合同履约期限：</w:t>
      </w:r>
      <w:r>
        <w:rPr>
          <w:rFonts w:hint="eastAsia" w:ascii="宋体" w:hAnsi="宋体" w:cs="宋体"/>
          <w:snapToGrid w:val="0"/>
          <w:kern w:val="28"/>
          <w:sz w:val="24"/>
        </w:rPr>
        <w:t>详见招标</w:t>
      </w:r>
      <w:r>
        <w:rPr>
          <w:rFonts w:hint="eastAsia" w:ascii="宋体" w:hAnsi="宋体" w:cs="宋体"/>
          <w:sz w:val="24"/>
        </w:rPr>
        <w:t>文件第三部分采购需求</w:t>
      </w:r>
      <w:r>
        <w:rPr>
          <w:rFonts w:hint="eastAsia" w:ascii="宋体" w:hAnsi="宋体" w:cs="宋体"/>
          <w:snapToGrid w:val="0"/>
          <w:kern w:val="28"/>
          <w:sz w:val="24"/>
        </w:rPr>
        <w:t>。</w:t>
      </w:r>
    </w:p>
    <w:p>
      <w:pPr>
        <w:pStyle w:val="5"/>
        <w:spacing w:line="360" w:lineRule="auto"/>
        <w:ind w:firstLine="482" w:firstLineChars="200"/>
        <w:rPr>
          <w:rFonts w:hAnsi="宋体" w:cs="宋体"/>
          <w:b/>
          <w:sz w:val="24"/>
        </w:rPr>
      </w:pPr>
      <w:r>
        <w:rPr>
          <w:rFonts w:hint="eastAsia" w:hAnsi="宋体" w:cs="宋体"/>
          <w:b/>
          <w:color w:val="auto"/>
          <w:sz w:val="24"/>
        </w:rPr>
        <w:t>本项目接受联合体投标：</w:t>
      </w:r>
      <w:sdt>
        <w:sdtPr>
          <w:rPr>
            <w:rFonts w:hint="eastAsia" w:hAnsi="宋体" w:cs="宋体"/>
            <w:color w:val="auto"/>
            <w:kern w:val="0"/>
            <w:sz w:val="24"/>
          </w:rPr>
          <w:id w:val="172823124"/>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bCs/>
          <w:sz w:val="24"/>
        </w:rPr>
      </w:pPr>
      <w:r>
        <w:rPr>
          <w:rFonts w:hint="eastAsia" w:ascii="宋体" w:hAnsi="宋体" w:cs="宋体"/>
          <w:bCs/>
          <w:sz w:val="24"/>
        </w:rPr>
        <w:t>1. 满足《中华人民共和国政府采购法》第二十二条规定；</w:t>
      </w:r>
    </w:p>
    <w:p>
      <w:pPr>
        <w:spacing w:line="360" w:lineRule="auto"/>
        <w:ind w:firstLine="480"/>
        <w:rPr>
          <w:rFonts w:ascii="宋体" w:hAnsi="宋体" w:cs="宋体"/>
          <w:bCs/>
          <w:sz w:val="24"/>
        </w:rPr>
      </w:pPr>
      <w:r>
        <w:rPr>
          <w:rFonts w:hint="eastAsia" w:ascii="宋体" w:hAnsi="宋体" w:cs="宋体"/>
          <w:bCs/>
          <w:sz w:val="24"/>
        </w:rPr>
        <w:t>2.未被“信用中国”（www.creditchina.gov.cn)、中国政府采购网（www.ccgp.gov.cn）列入失信被执行人、重大税收违法</w:t>
      </w:r>
      <w:r>
        <w:rPr>
          <w:rFonts w:hint="eastAsia" w:ascii="宋体" w:hAnsi="宋体" w:cs="宋体"/>
          <w:bCs/>
          <w:sz w:val="24"/>
          <w:lang w:eastAsia="zh-CN"/>
        </w:rPr>
        <w:t>失信主体</w:t>
      </w:r>
      <w:r>
        <w:rPr>
          <w:rFonts w:hint="eastAsia" w:ascii="宋体" w:hAnsi="宋体" w:cs="宋体"/>
          <w:bCs/>
          <w:sz w:val="24"/>
        </w:rPr>
        <w:t>名单、政府采购严重违法失信行为记录名单。</w:t>
      </w:r>
    </w:p>
    <w:p>
      <w:pPr>
        <w:spacing w:line="360" w:lineRule="auto"/>
        <w:ind w:firstLine="480"/>
        <w:rPr>
          <w:rFonts w:hint="eastAsia" w:ascii="宋体" w:hAnsi="宋体" w:cs="宋体"/>
          <w:bCs/>
          <w:sz w:val="24"/>
        </w:rPr>
      </w:pPr>
      <w:r>
        <w:rPr>
          <w:rFonts w:hint="eastAsia" w:ascii="宋体" w:hAnsi="宋体" w:cs="宋体"/>
          <w:bCs/>
          <w:sz w:val="24"/>
        </w:rPr>
        <w:t>3.落实政府采购政策需满足的资格要求：</w:t>
      </w:r>
    </w:p>
    <w:p>
      <w:pPr>
        <w:spacing w:line="360" w:lineRule="auto"/>
        <w:ind w:firstLine="480" w:firstLineChars="200"/>
        <w:rPr>
          <w:rFonts w:hint="eastAsia"/>
          <w:b w:val="0"/>
          <w:sz w:val="24"/>
          <w:szCs w:val="24"/>
          <w:lang w:val="en-US" w:eastAsia="zh-CN"/>
        </w:rPr>
      </w:pPr>
      <w:r>
        <w:rPr>
          <w:rFonts w:hint="eastAsia"/>
          <w:b w:val="0"/>
          <w:sz w:val="24"/>
          <w:szCs w:val="24"/>
          <w:lang w:val="en-US" w:eastAsia="zh-CN"/>
        </w:rPr>
        <w:t>标一：无。</w:t>
      </w:r>
    </w:p>
    <w:p>
      <w:pPr>
        <w:spacing w:line="360" w:lineRule="auto"/>
        <w:ind w:firstLine="480" w:firstLineChars="200"/>
        <w:rPr>
          <w:rFonts w:hint="eastAsia" w:ascii="宋体" w:hAnsi="宋体" w:eastAsia="宋体" w:cs="宋体"/>
          <w:bCs/>
          <w:sz w:val="24"/>
          <w:lang w:val="en-US" w:eastAsia="zh-CN"/>
        </w:rPr>
      </w:pPr>
      <w:r>
        <w:rPr>
          <w:rFonts w:hint="eastAsia"/>
          <w:b w:val="0"/>
          <w:sz w:val="24"/>
          <w:szCs w:val="24"/>
          <w:lang w:val="en-US" w:eastAsia="zh-CN"/>
        </w:rPr>
        <w:t>标二：</w:t>
      </w:r>
      <w:r>
        <w:rPr>
          <w:rFonts w:hint="eastAsia"/>
          <w:b w:val="0"/>
          <w:sz w:val="24"/>
          <w:szCs w:val="24"/>
          <w:lang w:val="en-US"/>
        </w:rPr>
        <w:t>专门面向中小企业。</w:t>
      </w:r>
    </w:p>
    <w:p>
      <w:pPr>
        <w:spacing w:line="360" w:lineRule="auto"/>
        <w:ind w:firstLine="480"/>
        <w:rPr>
          <w:rFonts w:ascii="宋体" w:hAnsi="宋体" w:cs="宋体"/>
          <w:bCs/>
          <w:sz w:val="24"/>
        </w:rPr>
      </w:pPr>
      <w:r>
        <w:rPr>
          <w:rFonts w:hint="eastAsia" w:ascii="宋体" w:hAnsi="宋体" w:cs="宋体"/>
          <w:bCs/>
          <w:sz w:val="24"/>
        </w:rPr>
        <w:t>4.本项目的特定资格要求：具有所投标的相应国家规定必备的资质、资格</w:t>
      </w:r>
      <w:r>
        <w:rPr>
          <w:rFonts w:hint="eastAsia" w:ascii="宋体" w:hAnsi="宋体" w:cs="宋体"/>
          <w:bCs/>
          <w:sz w:val="24"/>
          <w:lang w:eastAsia="zh-CN"/>
        </w:rPr>
        <w:t>。</w:t>
      </w:r>
    </w:p>
    <w:p>
      <w:pPr>
        <w:spacing w:line="360" w:lineRule="auto"/>
        <w:rPr>
          <w:rFonts w:ascii="宋体" w:hAnsi="宋体" w:cs="宋体"/>
          <w:b/>
          <w:sz w:val="24"/>
        </w:rPr>
      </w:pPr>
      <w:r>
        <w:rPr>
          <w:rFonts w:hint="eastAsia" w:ascii="宋体" w:hAnsi="宋体" w:cs="宋体"/>
          <w:b/>
          <w:sz w:val="24"/>
        </w:rPr>
        <w:t xml:space="preserve">三、获取招标文件 </w:t>
      </w:r>
    </w:p>
    <w:p>
      <w:pPr>
        <w:pStyle w:val="36"/>
        <w:spacing w:line="360" w:lineRule="auto"/>
        <w:ind w:firstLine="482" w:firstLineChars="200"/>
        <w:rPr>
          <w:rFonts w:hAnsi="宋体" w:cs="宋体"/>
          <w:sz w:val="24"/>
        </w:rPr>
      </w:pPr>
      <w:r>
        <w:rPr>
          <w:rFonts w:hint="eastAsia" w:hAnsi="宋体" w:cs="宋体"/>
          <w:b/>
          <w:sz w:val="24"/>
        </w:rPr>
        <w:t>时间：</w:t>
      </w:r>
      <w:r>
        <w:rPr>
          <w:rFonts w:hint="eastAsia" w:hAnsi="宋体" w:cs="宋体"/>
          <w:sz w:val="24"/>
          <w:u w:val="single"/>
        </w:rPr>
        <w:t>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7</w:t>
      </w:r>
      <w:r>
        <w:rPr>
          <w:rFonts w:hint="eastAsia" w:hAnsi="宋体" w:cs="宋体"/>
          <w:sz w:val="24"/>
          <w:u w:val="single"/>
        </w:rPr>
        <w:t>月</w:t>
      </w:r>
      <w:r>
        <w:rPr>
          <w:rFonts w:hint="eastAsia" w:hAnsi="宋体" w:cs="宋体"/>
          <w:sz w:val="24"/>
          <w:u w:val="single"/>
          <w:lang w:val="en-US" w:eastAsia="zh-CN"/>
        </w:rPr>
        <w:t>4</w:t>
      </w:r>
      <w:r>
        <w:rPr>
          <w:rFonts w:hint="eastAsia" w:hAnsi="宋体" w:cs="宋体"/>
          <w:sz w:val="24"/>
          <w:u w:val="single"/>
        </w:rPr>
        <w:t>日至202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7</w:t>
      </w:r>
      <w:r>
        <w:rPr>
          <w:rFonts w:hint="eastAsia" w:hAnsi="宋体" w:cs="宋体"/>
          <w:sz w:val="24"/>
          <w:u w:val="single"/>
        </w:rPr>
        <w:t>月</w:t>
      </w:r>
      <w:r>
        <w:rPr>
          <w:rFonts w:hint="eastAsia" w:hAnsi="宋体" w:cs="宋体"/>
          <w:sz w:val="24"/>
          <w:u w:val="single"/>
          <w:lang w:val="en-US" w:eastAsia="zh-CN"/>
        </w:rPr>
        <w:t>11</w:t>
      </w:r>
      <w:r>
        <w:rPr>
          <w:rFonts w:hint="eastAsia" w:hAnsi="宋体" w:cs="宋体"/>
          <w:sz w:val="24"/>
          <w:u w:val="single"/>
        </w:rPr>
        <w:t>日</w:t>
      </w:r>
      <w:r>
        <w:rPr>
          <w:rFonts w:hint="eastAsia" w:hAnsi="宋体" w:cs="宋体"/>
          <w:sz w:val="24"/>
        </w:rPr>
        <w:t>，每天上午00:00至12:00 ，下午12:00至23:59（北京时间，线上获取法定节假日均可）。招标文件发布截止时间之后有潜在供应商提出要求获取招标文件的，允许获取。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浙江政府采购网（http://zfcg.czt.zj.gov.cn/）</w:t>
      </w:r>
      <w:r>
        <w:rPr>
          <w:rFonts w:hint="eastAsia" w:ascii="宋体" w:hAnsi="宋体" w:cs="宋体"/>
          <w:sz w:val="24"/>
        </w:rPr>
        <w:t xml:space="preserve"> </w:t>
      </w:r>
    </w:p>
    <w:p>
      <w:pPr>
        <w:spacing w:line="360" w:lineRule="auto"/>
        <w:ind w:firstLine="482" w:firstLineChars="200"/>
        <w:rPr>
          <w:rFonts w:ascii="宋体" w:hAns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宋体" w:hAnsi="宋体" w:cs="宋体"/>
          <w:sz w:val="24"/>
        </w:rPr>
      </w:pPr>
      <w:r>
        <w:rPr>
          <w:rFonts w:hint="eastAsia" w:ascii="宋体" w:hAnsi="宋体" w:cs="宋体"/>
          <w:b/>
          <w:sz w:val="24"/>
        </w:rPr>
        <w:t>售价：</w:t>
      </w:r>
      <w:r>
        <w:rPr>
          <w:rFonts w:hint="eastAsia" w:ascii="宋体" w:hAnsi="宋体" w:cs="宋体"/>
          <w:snapToGrid w:val="0"/>
          <w:sz w:val="24"/>
          <w:szCs w:val="21"/>
        </w:rPr>
        <w:t>0 元。</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pStyle w:val="36"/>
        <w:spacing w:line="360" w:lineRule="auto"/>
        <w:ind w:firstLine="482" w:firstLineChars="200"/>
        <w:rPr>
          <w:rFonts w:hAnsi="宋体" w:cs="宋体"/>
          <w:sz w:val="24"/>
        </w:rPr>
      </w:pPr>
      <w:r>
        <w:rPr>
          <w:rFonts w:hint="eastAsia" w:hAnsi="宋体" w:cs="宋体"/>
          <w:b/>
          <w:snapToGrid/>
          <w:sz w:val="24"/>
          <w:szCs w:val="24"/>
        </w:rPr>
        <w:t>提交投标文件截止时间及开标时间：</w:t>
      </w:r>
      <w:r>
        <w:rPr>
          <w:rFonts w:hint="eastAsia" w:hAnsi="宋体" w:cs="宋体"/>
          <w:sz w:val="24"/>
        </w:rPr>
        <w:t>投标人应于202</w:t>
      </w:r>
      <w:r>
        <w:rPr>
          <w:rFonts w:hint="eastAsia" w:hAnsi="宋体" w:cs="宋体"/>
          <w:sz w:val="24"/>
          <w:lang w:val="en-US" w:eastAsia="zh-CN"/>
        </w:rPr>
        <w:t>5</w:t>
      </w:r>
      <w:r>
        <w:rPr>
          <w:rFonts w:hint="eastAsia" w:hAnsi="宋体" w:cs="宋体"/>
          <w:sz w:val="24"/>
        </w:rPr>
        <w:t>年</w:t>
      </w:r>
      <w:r>
        <w:rPr>
          <w:rFonts w:hint="eastAsia" w:hAnsi="宋体" w:cs="宋体"/>
          <w:sz w:val="24"/>
          <w:lang w:val="en-US" w:eastAsia="zh-CN"/>
        </w:rPr>
        <w:t>7</w:t>
      </w:r>
      <w:r>
        <w:rPr>
          <w:rFonts w:hint="eastAsia" w:hAnsi="宋体" w:cs="宋体"/>
          <w:sz w:val="24"/>
        </w:rPr>
        <w:t>月</w:t>
      </w:r>
      <w:r>
        <w:rPr>
          <w:rFonts w:hint="eastAsia" w:hAnsi="宋体" w:cs="宋体"/>
          <w:sz w:val="24"/>
          <w:lang w:val="en-US" w:eastAsia="zh-CN"/>
        </w:rPr>
        <w:t>30</w:t>
      </w:r>
      <w:r>
        <w:rPr>
          <w:rFonts w:hint="eastAsia" w:hAnsi="宋体" w:cs="宋体"/>
          <w:sz w:val="24"/>
        </w:rPr>
        <w:t>日</w:t>
      </w:r>
      <w:r>
        <w:rPr>
          <w:rFonts w:hint="eastAsia" w:hAnsi="宋体" w:cs="宋体"/>
          <w:sz w:val="24"/>
          <w:lang w:val="en-US" w:eastAsia="zh-CN"/>
        </w:rPr>
        <w:t>9</w:t>
      </w:r>
      <w:r>
        <w:rPr>
          <w:rFonts w:hint="eastAsia" w:hAnsi="宋体" w:cs="宋体"/>
          <w:sz w:val="24"/>
        </w:rPr>
        <w:t>时</w:t>
      </w:r>
      <w:r>
        <w:rPr>
          <w:rFonts w:hint="eastAsia" w:hAnsi="宋体" w:cs="宋体"/>
          <w:sz w:val="24"/>
          <w:lang w:val="en-US" w:eastAsia="zh-CN"/>
        </w:rPr>
        <w:t>30</w:t>
      </w:r>
      <w:r>
        <w:rPr>
          <w:rFonts w:hint="eastAsia" w:hAnsi="宋体" w:cs="宋体"/>
          <w:sz w:val="24"/>
        </w:rPr>
        <w:t>分（北京时间）前按照电子投标要求将电子加密标书上传到政府采购云平台，逾期或未上传成功的将导致无法投标或投标无效。</w:t>
      </w:r>
    </w:p>
    <w:p>
      <w:pPr>
        <w:pStyle w:val="36"/>
        <w:spacing w:line="360" w:lineRule="auto"/>
        <w:ind w:firstLine="482" w:firstLineChars="200"/>
        <w:rPr>
          <w:rFonts w:hAnsi="宋体" w:cs="宋体"/>
          <w:sz w:val="24"/>
        </w:rPr>
      </w:pPr>
      <w:r>
        <w:rPr>
          <w:rFonts w:hint="eastAsia" w:hAnsi="宋体" w:cs="宋体"/>
          <w:b/>
          <w:snapToGrid/>
          <w:sz w:val="24"/>
          <w:szCs w:val="24"/>
        </w:rPr>
        <w:t>开标地点：</w:t>
      </w:r>
      <w:r>
        <w:rPr>
          <w:rFonts w:hint="eastAsia" w:hAnsi="宋体" w:cs="宋体"/>
          <w:sz w:val="24"/>
        </w:rPr>
        <w:t>政府采购云平台（www.zcygov.cn）。所有投标人均须准时在“政府采购云平台”在线参加。</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sz w:val="24"/>
        </w:rPr>
      </w:pPr>
      <w:r>
        <w:rPr>
          <w:rFonts w:hint="eastAsia" w:ascii="宋体" w:hAnsi="宋体" w:cs="宋体"/>
          <w:sz w:val="24"/>
        </w:rPr>
        <w:t>2.《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宋体" w:hAnsi="宋体" w:cs="宋体"/>
          <w:b/>
          <w:bCs/>
          <w:sz w:val="24"/>
        </w:rPr>
        <w:t>备份投标文件的制作、递交详见招标文件第二部分第15点—“备份投标文件”；</w:t>
      </w:r>
      <w:r>
        <w:rPr>
          <w:rFonts w:hint="eastAsia" w:ascii="宋体" w:hAnsi="宋体" w:cs="宋体"/>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hint="eastAsia" w:ascii="宋体" w:hAnsi="宋体" w:cs="宋体"/>
          <w:sz w:val="24"/>
        </w:rPr>
      </w:pPr>
      <w:r>
        <w:rPr>
          <w:rFonts w:hint="eastAsia" w:ascii="宋体" w:hAnsi="宋体" w:cs="宋体"/>
          <w:sz w:val="24"/>
        </w:rPr>
        <w:t>1.采购人信息</w:t>
      </w:r>
    </w:p>
    <w:p>
      <w:pPr>
        <w:spacing w:line="360" w:lineRule="auto"/>
        <w:ind w:left="479" w:leftChars="228" w:firstLine="64" w:firstLineChars="27"/>
        <w:rPr>
          <w:rFonts w:hint="eastAsia" w:ascii="宋体" w:hAnsi="宋体" w:cs="宋体"/>
          <w:sz w:val="24"/>
        </w:rPr>
      </w:pPr>
      <w:r>
        <w:rPr>
          <w:rFonts w:hint="eastAsia" w:ascii="宋体" w:hAnsi="宋体" w:cs="宋体"/>
          <w:sz w:val="24"/>
        </w:rPr>
        <w:t>名    称：诸暨市</w:t>
      </w:r>
      <w:r>
        <w:rPr>
          <w:rFonts w:hint="eastAsia" w:ascii="宋体" w:hAnsi="宋体" w:cs="宋体"/>
          <w:sz w:val="24"/>
          <w:lang w:eastAsia="zh-CN"/>
        </w:rPr>
        <w:t>人民医院</w:t>
      </w:r>
    </w:p>
    <w:p>
      <w:pPr>
        <w:spacing w:line="360" w:lineRule="auto"/>
        <w:ind w:left="479" w:leftChars="228" w:firstLine="64" w:firstLineChars="27"/>
        <w:rPr>
          <w:rFonts w:hint="eastAsia" w:ascii="宋体" w:hAnsi="宋体" w:cs="宋体"/>
          <w:sz w:val="24"/>
        </w:rPr>
      </w:pPr>
      <w:r>
        <w:rPr>
          <w:rFonts w:hint="eastAsia" w:ascii="宋体" w:hAnsi="宋体" w:cs="宋体"/>
          <w:sz w:val="24"/>
        </w:rPr>
        <w:t>地    址：诸暨市健民路9号</w:t>
      </w:r>
    </w:p>
    <w:p>
      <w:pPr>
        <w:spacing w:line="360" w:lineRule="auto"/>
        <w:ind w:left="479" w:leftChars="228" w:firstLine="64" w:firstLineChars="27"/>
        <w:rPr>
          <w:rFonts w:hint="eastAsia" w:ascii="宋体" w:hAnsi="宋体" w:cs="宋体"/>
          <w:sz w:val="24"/>
        </w:rPr>
      </w:pPr>
      <w:r>
        <w:rPr>
          <w:rFonts w:hint="eastAsia" w:ascii="宋体" w:hAnsi="宋体" w:cs="宋体"/>
          <w:sz w:val="24"/>
        </w:rPr>
        <w:t>项目联系人（询问）：</w:t>
      </w:r>
      <w:r>
        <w:rPr>
          <w:rFonts w:hint="eastAsia" w:ascii="宋体" w:hAnsi="宋体" w:cs="宋体"/>
          <w:sz w:val="24"/>
          <w:lang w:eastAsia="zh-CN"/>
        </w:rPr>
        <w:t>袁望</w:t>
      </w:r>
      <w:r>
        <w:rPr>
          <w:rFonts w:hint="eastAsia" w:ascii="宋体" w:hAnsi="宋体" w:cs="宋体"/>
          <w:sz w:val="24"/>
        </w:rPr>
        <w:t xml:space="preserve"> </w:t>
      </w:r>
    </w:p>
    <w:p>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0575-81782756</w:t>
      </w:r>
    </w:p>
    <w:p>
      <w:pPr>
        <w:spacing w:line="360" w:lineRule="auto"/>
        <w:ind w:left="479" w:leftChars="228" w:firstLine="64" w:firstLineChars="27"/>
        <w:rPr>
          <w:rFonts w:hint="eastAsia" w:ascii="宋体" w:hAnsi="宋体" w:cs="宋体"/>
          <w:sz w:val="24"/>
        </w:rPr>
      </w:pPr>
      <w:r>
        <w:rPr>
          <w:rFonts w:hint="eastAsia" w:ascii="宋体" w:hAnsi="宋体" w:cs="宋体"/>
          <w:sz w:val="24"/>
        </w:rPr>
        <w:t xml:space="preserve">质疑联系人: </w:t>
      </w:r>
      <w:sdt>
        <w:sdtPr>
          <w:rPr>
            <w:rFonts w:hint="eastAsia" w:ascii="宋体" w:hAnsi="宋体" w:cs="宋体"/>
            <w:sz w:val="24"/>
          </w:rPr>
          <w:id w:val="147467253"/>
        </w:sdtPr>
        <w:sdtEndPr>
          <w:rPr>
            <w:rFonts w:hint="eastAsia" w:ascii="宋体" w:hAnsi="宋体" w:cs="宋体"/>
            <w:sz w:val="24"/>
            <w:lang w:val="en-US"/>
          </w:rPr>
        </w:sdtEndPr>
        <w:sdtContent>
          <w:r>
            <w:rPr>
              <w:rFonts w:hint="eastAsia" w:ascii="宋体" w:hAnsi="宋体" w:cs="宋体"/>
              <w:sz w:val="24"/>
              <w:lang w:val="en-US" w:eastAsia="zh-CN"/>
            </w:rPr>
            <w:t>赵小芳</w:t>
          </w:r>
        </w:sdtContent>
      </w:sdt>
    </w:p>
    <w:p>
      <w:pPr>
        <w:spacing w:line="360" w:lineRule="auto"/>
        <w:ind w:left="479" w:leftChars="228" w:firstLine="64" w:firstLineChars="27"/>
        <w:rPr>
          <w:rFonts w:hint="eastAsia" w:ascii="宋体" w:hAnsi="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0575-81782817</w:t>
      </w:r>
    </w:p>
    <w:p>
      <w:pPr>
        <w:spacing w:line="360" w:lineRule="auto"/>
        <w:ind w:left="479" w:leftChars="228" w:firstLine="64" w:firstLineChars="27"/>
        <w:rPr>
          <w:rFonts w:ascii="宋体" w:hAnsi="宋体" w:cs="宋体"/>
          <w:sz w:val="24"/>
        </w:rPr>
      </w:pPr>
      <w:r>
        <w:rPr>
          <w:rFonts w:hint="eastAsia" w:ascii="宋体" w:hAnsi="宋体" w:cs="宋体"/>
          <w:sz w:val="24"/>
        </w:rPr>
        <w:t xml:space="preserve">2.采购代理机构信息            </w:t>
      </w:r>
    </w:p>
    <w:p>
      <w:pPr>
        <w:spacing w:line="360" w:lineRule="auto"/>
        <w:ind w:firstLine="480"/>
        <w:rPr>
          <w:rFonts w:ascii="宋体" w:hAnsi="宋体" w:cs="宋体"/>
          <w:sz w:val="24"/>
        </w:rPr>
      </w:pPr>
      <w:r>
        <w:rPr>
          <w:rFonts w:hint="eastAsia" w:ascii="宋体" w:hAnsi="宋体" w:cs="宋体"/>
          <w:sz w:val="24"/>
        </w:rPr>
        <w:t xml:space="preserve">名    称：诸暨市公共资源交易中心 </w:t>
      </w:r>
    </w:p>
    <w:p>
      <w:pPr>
        <w:spacing w:line="360" w:lineRule="auto"/>
        <w:ind w:firstLine="480"/>
        <w:rPr>
          <w:rFonts w:ascii="宋体" w:hAnsi="宋体" w:cs="宋体"/>
          <w:sz w:val="24"/>
        </w:rPr>
      </w:pPr>
      <w:r>
        <w:rPr>
          <w:rFonts w:hint="eastAsia" w:ascii="宋体" w:hAnsi="宋体" w:cs="宋体"/>
          <w:sz w:val="24"/>
        </w:rPr>
        <w:t>地    址：诸暨市暨东路58号北602室</w:t>
      </w:r>
    </w:p>
    <w:p>
      <w:pPr>
        <w:spacing w:line="360" w:lineRule="auto"/>
        <w:ind w:firstLine="465"/>
        <w:rPr>
          <w:rFonts w:ascii="宋体" w:hAnsi="宋体" w:cs="宋体"/>
          <w:sz w:val="24"/>
        </w:rPr>
      </w:pPr>
      <w:r>
        <w:rPr>
          <w:rFonts w:hint="eastAsia" w:ascii="宋体" w:hAnsi="宋体" w:cs="宋体"/>
          <w:sz w:val="24"/>
        </w:rPr>
        <w:t>传    真：0575-87221107</w:t>
      </w:r>
    </w:p>
    <w:p>
      <w:pPr>
        <w:spacing w:line="360" w:lineRule="auto"/>
        <w:ind w:firstLine="465"/>
        <w:rPr>
          <w:rFonts w:hint="default" w:ascii="宋体" w:hAnsi="宋体" w:eastAsia="宋体" w:cs="宋体"/>
          <w:sz w:val="24"/>
          <w:lang w:val="en-US" w:eastAsia="zh-CN"/>
        </w:rPr>
      </w:pPr>
      <w:r>
        <w:rPr>
          <w:rFonts w:hint="eastAsia" w:ascii="宋体" w:hAnsi="宋体" w:cs="宋体"/>
          <w:sz w:val="24"/>
        </w:rPr>
        <w:t>项目联系人（询问）：</w:t>
      </w:r>
      <w:r>
        <w:rPr>
          <w:rFonts w:hint="eastAsia" w:ascii="宋体" w:hAnsi="宋体" w:cs="宋体"/>
          <w:sz w:val="24"/>
          <w:lang w:eastAsia="zh-CN"/>
        </w:rPr>
        <w:t>杨工</w:t>
      </w:r>
      <w:r>
        <w:rPr>
          <w:rFonts w:hint="eastAsia" w:ascii="宋体" w:hAnsi="宋体" w:cs="宋体"/>
          <w:sz w:val="24"/>
          <w:lang w:val="en-US" w:eastAsia="zh-CN"/>
        </w:rPr>
        <w:t xml:space="preserve">  </w:t>
      </w:r>
      <w:r>
        <w:rPr>
          <w:rFonts w:hint="eastAsia" w:ascii="宋体" w:hAnsi="宋体" w:cs="宋体"/>
          <w:sz w:val="24"/>
        </w:rPr>
        <w:t xml:space="preserve">   项目联系方式（询问）：0575-</w:t>
      </w:r>
      <w:r>
        <w:rPr>
          <w:rFonts w:hint="eastAsia" w:ascii="宋体" w:hAnsi="宋体" w:cs="宋体"/>
          <w:sz w:val="24"/>
          <w:lang w:val="en-US" w:eastAsia="zh-CN"/>
        </w:rPr>
        <w:t>89006366</w:t>
      </w:r>
    </w:p>
    <w:p>
      <w:pPr>
        <w:spacing w:line="360" w:lineRule="auto"/>
        <w:rPr>
          <w:rFonts w:ascii="宋体" w:hAnsi="宋体" w:cs="宋体"/>
          <w:sz w:val="24"/>
        </w:rPr>
      </w:pPr>
      <w:r>
        <w:rPr>
          <w:rFonts w:hint="eastAsia" w:ascii="宋体" w:hAnsi="宋体" w:cs="宋体"/>
          <w:sz w:val="24"/>
        </w:rPr>
        <w:t xml:space="preserve">    质疑联系人：王小林           质疑联系方式： 0575-87253016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称：诸暨市财政局政府采购监管科</w:t>
      </w:r>
    </w:p>
    <w:p>
      <w:pPr>
        <w:spacing w:line="360" w:lineRule="auto"/>
        <w:rPr>
          <w:rFonts w:ascii="宋体" w:hAnsi="宋体" w:cs="宋体"/>
          <w:sz w:val="24"/>
        </w:rPr>
      </w:pPr>
      <w:r>
        <w:rPr>
          <w:rFonts w:hint="eastAsia" w:ascii="宋体" w:hAnsi="宋体" w:cs="宋体"/>
          <w:sz w:val="24"/>
        </w:rPr>
        <w:t xml:space="preserve">    地    址：诸暨市人民中路356号</w:t>
      </w:r>
    </w:p>
    <w:p>
      <w:pPr>
        <w:spacing w:line="360" w:lineRule="auto"/>
        <w:ind w:firstLine="240" w:firstLineChars="100"/>
        <w:rPr>
          <w:rFonts w:ascii="宋体" w:hAnsi="宋体" w:cs="宋体"/>
          <w:sz w:val="24"/>
        </w:rPr>
      </w:pPr>
      <w:r>
        <w:rPr>
          <w:rFonts w:hint="eastAsia" w:ascii="宋体" w:hAnsi="宋体" w:cs="宋体"/>
          <w:sz w:val="24"/>
        </w:rPr>
        <w:t xml:space="preserve">  传    真： 0575-87023633</w:t>
      </w:r>
    </w:p>
    <w:p>
      <w:pPr>
        <w:spacing w:line="360" w:lineRule="auto"/>
        <w:rPr>
          <w:rFonts w:ascii="宋体" w:hAnsi="宋体" w:cs="宋体"/>
          <w:sz w:val="24"/>
        </w:rPr>
      </w:pPr>
      <w:r>
        <w:rPr>
          <w:rFonts w:hint="eastAsia" w:ascii="宋体" w:hAnsi="宋体" w:cs="宋体"/>
          <w:sz w:val="24"/>
        </w:rPr>
        <w:t xml:space="preserve">    联系人 ：吕</w:t>
      </w:r>
      <w:r>
        <w:rPr>
          <w:rFonts w:hint="eastAsia" w:ascii="宋体" w:hAnsi="宋体" w:cs="宋体"/>
          <w:sz w:val="24"/>
          <w:lang w:eastAsia="zh-CN"/>
        </w:rPr>
        <w:t>雅玲</w:t>
      </w:r>
      <w:r>
        <w:rPr>
          <w:rFonts w:hint="eastAsia" w:ascii="宋体" w:hAnsi="宋体" w:cs="宋体"/>
          <w:sz w:val="24"/>
        </w:rPr>
        <w:t xml:space="preserve">   监督投诉电话：0575-8711</w:t>
      </w:r>
      <w:r>
        <w:rPr>
          <w:rFonts w:hint="eastAsia" w:ascii="宋体" w:hAnsi="宋体" w:cs="宋体"/>
          <w:sz w:val="24"/>
          <w:lang w:val="en-US" w:eastAsia="zh-CN"/>
        </w:rPr>
        <w:t>3461</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4.若对项目采购电子交易系统操作有疑问，可登录政府采购云平台（https://www.zcygov.cn/），点击右侧咨询小采，获取采小蜜智能服务管家帮助，或拨打服务热线400-881-7190获取热线服务帮助。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5"/>
        <w:tblW w:w="9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67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评标办法</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kern w:val="0"/>
                <w:sz w:val="24"/>
                <w:lang w:val="zh-CN"/>
              </w:rPr>
              <w:t>本项目采用</w:t>
            </w:r>
            <w:r>
              <w:rPr>
                <w:rFonts w:hint="eastAsia" w:ascii="宋体" w:hAnsi="宋体" w:cs="宋体"/>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p>
          <w:p>
            <w:pPr>
              <w:snapToGrid w:val="0"/>
              <w:spacing w:line="360" w:lineRule="auto"/>
              <w:jc w:val="left"/>
              <w:rPr>
                <w:rFonts w:ascii="宋体" w:hAns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pStyle w:val="280"/>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pPr>
              <w:pStyle w:val="280"/>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p>
          <w:p>
            <w:pPr>
              <w:pStyle w:val="280"/>
              <w:numPr>
                <w:ilvl w:val="0"/>
                <w:numId w:val="2"/>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0"/>
              <w:numPr>
                <w:ilvl w:val="0"/>
                <w:numId w:val="2"/>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5"/>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投标人应当提供的资格文件</w:t>
            </w:r>
          </w:p>
        </w:tc>
        <w:tc>
          <w:tcPr>
            <w:tcW w:w="6715" w:type="dxa"/>
            <w:tcBorders>
              <w:top w:val="single" w:color="000000" w:sz="8" w:space="0"/>
              <w:left w:val="single" w:color="000000" w:sz="2" w:space="0"/>
              <w:right w:val="single" w:color="000000" w:sz="8" w:space="0"/>
            </w:tcBorders>
            <w:vAlign w:val="center"/>
          </w:tcPr>
          <w:p>
            <w:pPr>
              <w:snapToGrid w:val="0"/>
              <w:rPr>
                <w:rFonts w:hint="eastAsia" w:ascii="仿宋_GB2312" w:hAnsi="仿宋" w:eastAsia="仿宋_GB2312" w:cs="Arial"/>
                <w:kern w:val="0"/>
                <w:sz w:val="24"/>
                <w:lang w:eastAsia="zh-CN"/>
              </w:rPr>
            </w:pPr>
            <w:r>
              <w:rPr>
                <w:rFonts w:hint="eastAsia" w:ascii="仿宋_GB2312" w:hAnsi="仿宋" w:eastAsia="仿宋_GB2312" w:cs="Arial"/>
                <w:kern w:val="0"/>
                <w:sz w:val="24"/>
                <w:lang w:eastAsia="zh-CN"/>
              </w:rPr>
              <w:t>标一：</w:t>
            </w:r>
          </w:p>
          <w:p>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1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①</w:t>
            </w:r>
            <w:r>
              <w:rPr>
                <w:rFonts w:ascii="仿宋_GB2312" w:hAnsi="仿宋" w:eastAsia="仿宋_GB2312" w:cs="Arial"/>
                <w:kern w:val="0"/>
                <w:sz w:val="24"/>
              </w:rPr>
              <w:fldChar w:fldCharType="end"/>
            </w:r>
            <w:r>
              <w:rPr>
                <w:rFonts w:ascii="仿宋_GB2312" w:hAnsi="仿宋" w:eastAsia="仿宋_GB2312" w:cs="Arial"/>
                <w:kern w:val="0"/>
                <w:sz w:val="24"/>
              </w:rPr>
              <w:t>符合参加政府采购活动应当具备的一般条件的承诺函；</w:t>
            </w:r>
          </w:p>
          <w:p>
            <w:pPr>
              <w:snapToGrid w:val="0"/>
              <w:rPr>
                <w:rFonts w:hint="eastAsia" w:ascii="仿宋_GB2312" w:hAnsi="仿宋" w:eastAsia="仿宋_GB2312" w:cs="Arial"/>
                <w:kern w:val="0"/>
                <w:sz w:val="24"/>
                <w:lang w:val="en-US" w:eastAsia="zh-CN"/>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2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②</w:t>
            </w:r>
            <w:r>
              <w:rPr>
                <w:rFonts w:ascii="仿宋_GB2312" w:hAnsi="仿宋" w:eastAsia="仿宋_GB2312" w:cs="Arial"/>
                <w:kern w:val="0"/>
                <w:sz w:val="24"/>
              </w:rPr>
              <w:fldChar w:fldCharType="end"/>
            </w:r>
            <w:r>
              <w:rPr>
                <w:rFonts w:ascii="仿宋_GB2312" w:hAnsi="仿宋" w:eastAsia="仿宋_GB2312" w:cs="Arial"/>
                <w:kern w:val="0"/>
                <w:sz w:val="24"/>
              </w:rPr>
              <w:t>本项目的特定资格要求</w:t>
            </w:r>
            <w:r>
              <w:rPr>
                <w:rFonts w:hint="eastAsia" w:ascii="仿宋_GB2312" w:hAnsi="仿宋" w:eastAsia="仿宋_GB2312" w:cs="Arial"/>
                <w:kern w:val="0"/>
                <w:sz w:val="24"/>
              </w:rPr>
              <w:t>：</w:t>
            </w:r>
            <w:r>
              <w:rPr>
                <w:rFonts w:ascii="仿宋_GB2312" w:hAnsi="仿宋" w:eastAsia="仿宋_GB2312" w:cs="Arial"/>
                <w:kern w:val="0"/>
                <w:sz w:val="24"/>
              </w:rPr>
              <w:t>具有所投标的相应国家规定必备的资质、资格</w:t>
            </w:r>
            <w:r>
              <w:rPr>
                <w:rFonts w:hint="eastAsia" w:ascii="仿宋_GB2312" w:hAnsi="仿宋" w:eastAsia="仿宋_GB2312" w:cs="Arial"/>
                <w:kern w:val="0"/>
                <w:sz w:val="24"/>
              </w:rPr>
              <w:t>（如医疗器械经营许可证等）。</w:t>
            </w:r>
          </w:p>
          <w:p>
            <w:pPr>
              <w:snapToGrid w:val="0"/>
              <w:rPr>
                <w:rFonts w:ascii="仿宋_GB2312" w:hAnsi="仿宋" w:eastAsia="仿宋_GB2312" w:cs="Arial"/>
                <w:kern w:val="0"/>
                <w:sz w:val="24"/>
              </w:rPr>
            </w:pPr>
          </w:p>
          <w:p>
            <w:pPr>
              <w:snapToGrid w:val="0"/>
              <w:rPr>
                <w:rFonts w:hint="eastAsia" w:ascii="仿宋_GB2312" w:hAnsi="仿宋" w:eastAsia="仿宋_GB2312" w:cs="Arial"/>
                <w:kern w:val="0"/>
                <w:sz w:val="24"/>
                <w:lang w:eastAsia="zh-CN"/>
              </w:rPr>
            </w:pPr>
            <w:r>
              <w:rPr>
                <w:rFonts w:hint="eastAsia" w:ascii="仿宋_GB2312" w:hAnsi="仿宋" w:eastAsia="仿宋_GB2312" w:cs="Arial"/>
                <w:kern w:val="0"/>
                <w:sz w:val="24"/>
                <w:lang w:eastAsia="zh-CN"/>
              </w:rPr>
              <w:t>标二：</w:t>
            </w:r>
          </w:p>
          <w:p>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1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①</w:t>
            </w:r>
            <w:r>
              <w:rPr>
                <w:rFonts w:ascii="仿宋_GB2312" w:hAnsi="仿宋" w:eastAsia="仿宋_GB2312" w:cs="Arial"/>
                <w:kern w:val="0"/>
                <w:sz w:val="24"/>
              </w:rPr>
              <w:fldChar w:fldCharType="end"/>
            </w:r>
            <w:r>
              <w:rPr>
                <w:rFonts w:ascii="仿宋_GB2312" w:hAnsi="仿宋" w:eastAsia="仿宋_GB2312" w:cs="Arial"/>
                <w:kern w:val="0"/>
                <w:sz w:val="24"/>
              </w:rPr>
              <w:t>符合参加政府采购活动应当具备的一般条件的承诺函；</w:t>
            </w:r>
          </w:p>
          <w:p>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2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②</w:t>
            </w:r>
            <w:r>
              <w:rPr>
                <w:rFonts w:ascii="仿宋_GB2312" w:hAnsi="仿宋" w:eastAsia="仿宋_GB2312" w:cs="Arial"/>
                <w:kern w:val="0"/>
                <w:sz w:val="24"/>
              </w:rPr>
              <w:fldChar w:fldCharType="end"/>
            </w:r>
            <w:r>
              <w:rPr>
                <w:rFonts w:hint="eastAsia" w:ascii="仿宋_GB2312" w:hAnsi="仿宋" w:eastAsia="仿宋_GB2312" w:cs="Arial"/>
                <w:kern w:val="0"/>
                <w:sz w:val="24"/>
              </w:rPr>
              <w:t>中小企业声明函；</w:t>
            </w:r>
          </w:p>
          <w:p>
            <w:pPr>
              <w:snapToGrid w:val="0"/>
              <w:rPr>
                <w:rFonts w:hint="eastAsia" w:ascii="仿宋_GB2312" w:hAnsi="仿宋" w:eastAsia="仿宋_GB2312" w:cs="Arial"/>
                <w:kern w:val="0"/>
                <w:sz w:val="24"/>
                <w:lang w:val="en-US" w:eastAsia="zh-CN"/>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3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③</w:t>
            </w:r>
            <w:r>
              <w:rPr>
                <w:rFonts w:ascii="仿宋_GB2312" w:hAnsi="仿宋" w:eastAsia="仿宋_GB2312" w:cs="Arial"/>
                <w:kern w:val="0"/>
                <w:sz w:val="24"/>
              </w:rPr>
              <w:fldChar w:fldCharType="end"/>
            </w:r>
            <w:r>
              <w:rPr>
                <w:rFonts w:ascii="仿宋_GB2312" w:hAnsi="仿宋" w:eastAsia="仿宋_GB2312" w:cs="Arial"/>
                <w:kern w:val="0"/>
                <w:sz w:val="24"/>
              </w:rPr>
              <w:t>本项目的特定资格要求</w:t>
            </w:r>
            <w:r>
              <w:rPr>
                <w:rFonts w:hint="eastAsia" w:ascii="仿宋_GB2312" w:hAnsi="仿宋" w:eastAsia="仿宋_GB2312" w:cs="Arial"/>
                <w:kern w:val="0"/>
                <w:sz w:val="24"/>
              </w:rPr>
              <w:t>：</w:t>
            </w:r>
            <w:r>
              <w:rPr>
                <w:rFonts w:ascii="仿宋_GB2312" w:hAnsi="仿宋" w:eastAsia="仿宋_GB2312" w:cs="Arial"/>
                <w:kern w:val="0"/>
                <w:sz w:val="24"/>
              </w:rPr>
              <w:t>具有所投标的相应国家规定必备的资质、资格</w:t>
            </w:r>
            <w:r>
              <w:rPr>
                <w:rFonts w:hint="eastAsia" w:ascii="仿宋_GB2312" w:hAnsi="仿宋" w:eastAsia="仿宋_GB2312" w:cs="Arial"/>
                <w:kern w:val="0"/>
                <w:sz w:val="24"/>
              </w:rPr>
              <w:t>（如医疗器械经营许可证等）。</w:t>
            </w:r>
          </w:p>
          <w:p>
            <w:pPr>
              <w:pStyle w:val="280"/>
              <w:numPr>
                <w:ilvl w:val="0"/>
                <w:numId w:val="0"/>
              </w:numPr>
              <w:snapToGrid w:val="0"/>
              <w:ind w:leftChars="0"/>
              <w:rPr>
                <w:rFonts w:hint="default" w:ascii="宋体" w:hAnsi="宋体" w:eastAsia="宋体" w:cs="宋体"/>
                <w:lang w:val="en-US" w:eastAsia="zh-CN"/>
              </w:rPr>
            </w:pPr>
            <w:r>
              <w:rPr>
                <w:rFonts w:hint="eastAsia" w:ascii="仿宋_GB2312" w:hAnsi="仿宋" w:eastAsia="仿宋_GB2312"/>
                <w:b/>
                <w:kern w:val="0"/>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投标人应当提供的商务技术文件</w:t>
            </w:r>
          </w:p>
        </w:tc>
        <w:tc>
          <w:tcPr>
            <w:tcW w:w="6715" w:type="dxa"/>
            <w:tcBorders>
              <w:top w:val="single" w:color="000000" w:sz="8" w:space="0"/>
              <w:left w:val="single" w:color="000000" w:sz="2" w:space="0"/>
              <w:right w:val="single" w:color="000000" w:sz="8" w:space="0"/>
            </w:tcBorders>
            <w:vAlign w:val="center"/>
          </w:tcPr>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投标函；</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符合性审查资料；</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商务技术偏离表；</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pPr>
              <w:spacing w:line="360" w:lineRule="auto"/>
              <w:rPr>
                <w:rFonts w:ascii="宋体" w:hAnsi="宋体" w:cs="宋体"/>
                <w:lang w:val="zh-CN"/>
              </w:rPr>
            </w:pPr>
            <w:r>
              <w:rPr>
                <w:rFonts w:hint="eastAsia" w:ascii="宋体" w:hAnsi="宋体" w:cs="宋体"/>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投标人应当提供的报价文件</w:t>
            </w:r>
          </w:p>
        </w:tc>
        <w:tc>
          <w:tcPr>
            <w:tcW w:w="6715" w:type="dxa"/>
            <w:tcBorders>
              <w:top w:val="single" w:color="000000" w:sz="8" w:space="0"/>
              <w:left w:val="single" w:color="000000" w:sz="2" w:space="0"/>
              <w:right w:val="single" w:color="000000" w:sz="8" w:space="0"/>
            </w:tcBorders>
            <w:vAlign w:val="center"/>
          </w:tcPr>
          <w:p>
            <w:pPr>
              <w:pStyle w:val="280"/>
              <w:numPr>
                <w:ilvl w:val="0"/>
                <w:numId w:val="4"/>
              </w:numPr>
              <w:snapToGrid w:val="0"/>
              <w:ind w:firstLineChars="0"/>
              <w:rPr>
                <w:rFonts w:ascii="宋体" w:hAnsi="宋体" w:cs="宋体"/>
              </w:rPr>
            </w:pPr>
            <w:r>
              <w:rPr>
                <w:rFonts w:hint="eastAsia" w:ascii="宋体" w:hAnsi="宋体" w:eastAsia="宋体" w:cs="宋体"/>
              </w:rPr>
              <w:t>开标一览表（报价表）</w:t>
            </w:r>
            <w:r>
              <w:rPr>
                <w:rFonts w:hint="eastAsia" w:ascii="宋体" w:hAnsi="宋体" w:eastAsia="宋体" w:cs="宋体"/>
                <w:lang w:eastAsia="zh-CN"/>
              </w:rPr>
              <w:t>；</w:t>
            </w:r>
          </w:p>
          <w:p>
            <w:pPr>
              <w:pStyle w:val="280"/>
              <w:numPr>
                <w:ilvl w:val="0"/>
                <w:numId w:val="4"/>
              </w:numPr>
              <w:snapToGrid w:val="0"/>
              <w:ind w:firstLineChars="0"/>
              <w:rPr>
                <w:rFonts w:ascii="宋体" w:hAnsi="宋体" w:cs="宋体"/>
              </w:rPr>
            </w:pPr>
            <w:r>
              <w:rPr>
                <w:rFonts w:hint="eastAsia" w:ascii="宋体" w:hAnsi="宋体" w:eastAsia="宋体" w:cs="宋体"/>
                <w:lang w:eastAsia="zh-CN"/>
              </w:rPr>
              <w:t>《中小企业声明函》（如需）。</w:t>
            </w:r>
          </w:p>
          <w:p>
            <w:pPr>
              <w:pStyle w:val="280"/>
              <w:numPr>
                <w:ilvl w:val="0"/>
                <w:numId w:val="0"/>
              </w:numPr>
              <w:snapToGrid w:val="0"/>
              <w:ind w:leftChars="0"/>
              <w:rPr>
                <w:rFonts w:ascii="宋体" w:hAnsi="宋体" w:cs="宋体"/>
              </w:rPr>
            </w:pPr>
            <w:r>
              <w:rPr>
                <w:rFonts w:hint="eastAsia" w:ascii="宋体" w:hAnsi="宋体" w:cs="宋体"/>
                <w:b/>
                <w:kern w:val="0"/>
                <w:sz w:val="24"/>
                <w:lang w:val="zh-CN"/>
              </w:rPr>
              <w:t>投标文件含有采购人不能接受的附加条件的，将视为无效投标。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lang w:val="en-US" w:eastAsia="zh-CN"/>
              </w:rPr>
            </w:pPr>
            <w:sdt>
              <w:sdtPr>
                <w:rPr>
                  <w:rFonts w:hint="eastAsia" w:ascii="宋体" w:hAnsi="宋体" w:cs="宋体"/>
                  <w:kern w:val="0"/>
                  <w:sz w:val="24"/>
                </w:rPr>
                <w:id w:val="7"/>
              </w:sdtPr>
              <w:sdtEndPr>
                <w:rPr>
                  <w:rFonts w:hint="eastAsia" w:ascii="宋体" w:hAnsi="宋体" w:cs="宋体"/>
                  <w:kern w:val="0"/>
                  <w:sz w:val="24"/>
                </w:rPr>
              </w:sdtEndPr>
              <w:sdtContent>
                <w:sdt>
                  <w:sdtPr>
                    <w:rPr>
                      <w:rFonts w:hint="eastAsia" w:ascii="宋体" w:hAnsi="宋体" w:cs="宋体"/>
                      <w:kern w:val="0"/>
                      <w:sz w:val="24"/>
                    </w:rPr>
                    <w:id w:val="805436019"/>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kern w:val="0"/>
                <w:sz w:val="24"/>
                <w:lang w:val="en-US" w:eastAsia="zh-CN"/>
              </w:rPr>
              <w:t>A不</w:t>
            </w:r>
            <w:r>
              <w:rPr>
                <w:rFonts w:hint="eastAsia" w:ascii="宋体" w:hAnsi="宋体" w:cs="宋体"/>
                <w:kern w:val="0"/>
                <w:sz w:val="24"/>
              </w:rPr>
              <w:t>要求提供</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1"/>
              </w:sdtPr>
              <w:sdtEndPr>
                <w:rPr>
                  <w:rFonts w:hint="eastAsia" w:ascii="宋体" w:hAnsi="宋体" w:cs="宋体"/>
                  <w:kern w:val="0"/>
                  <w:sz w:val="24"/>
                </w:rPr>
              </w:sdtEndPr>
              <w:sdtContent>
                <w:sdt>
                  <w:sdtPr>
                    <w:rPr>
                      <w:rFonts w:hint="eastAsia" w:ascii="宋体" w:hAnsi="宋体" w:cs="宋体"/>
                      <w:kern w:val="0"/>
                      <w:sz w:val="24"/>
                    </w:rPr>
                    <w:id w:val="8041242"/>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 xml:space="preserve"> 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FF0000"/>
                <w:sz w:val="24"/>
              </w:rPr>
            </w:pPr>
            <w:r>
              <w:rPr>
                <w:rFonts w:hint="eastAsia" w:ascii="宋体" w:hAnsi="宋体" w:cs="宋体"/>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保证金收取</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本项目不收取投标保证金。</w:t>
            </w:r>
          </w:p>
          <w:p>
            <w:pPr>
              <w:snapToGrid w:val="0"/>
              <w:spacing w:line="360" w:lineRule="auto"/>
              <w:rPr>
                <w:rFonts w:ascii="宋体" w:hAnsi="宋体" w:cs="宋体"/>
              </w:rPr>
            </w:pPr>
            <w:r>
              <w:rPr>
                <w:rFonts w:hint="eastAsia" w:ascii="宋体" w:hAnsi="宋体" w:cs="宋体"/>
                <w:kern w:val="0"/>
                <w:sz w:val="24"/>
              </w:rPr>
              <w:t>签订合同时，中标供应商按要求向采购人缴纳不超过中标价1%的履约保证金。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采购进口产品</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rPr>
            </w:pPr>
            <w:r>
              <w:rPr>
                <w:rFonts w:hint="eastAsia" w:ascii="宋体" w:hAnsi="宋体" w:cs="宋体"/>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sdt>
              <w:sdtPr>
                <w:rPr>
                  <w:rFonts w:hint="eastAsia" w:ascii="宋体" w:hAnsi="宋体" w:cs="宋体"/>
                  <w:kern w:val="0"/>
                  <w:sz w:val="24"/>
                </w:rPr>
                <w:id w:val="349594683"/>
              </w:sdtPr>
              <w:sdtEndPr>
                <w:rPr>
                  <w:rFonts w:hint="eastAsia" w:ascii="宋体" w:hAnsi="宋体" w:cs="宋体"/>
                  <w:kern w:val="0"/>
                  <w:sz w:val="24"/>
                </w:rPr>
              </w:sdtEndPr>
              <w:sdtContent>
                <w:sdt>
                  <w:sdtPr>
                    <w:rPr>
                      <w:rFonts w:hint="eastAsia" w:ascii="宋体" w:hAnsi="宋体" w:cs="宋体"/>
                      <w:kern w:val="0"/>
                      <w:sz w:val="24"/>
                    </w:rPr>
                    <w:id w:val="349594685"/>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A货物类，单一产品或核心产品为：</w:t>
            </w:r>
            <w:r>
              <w:rPr>
                <w:rFonts w:hint="eastAsia" w:ascii="宋体" w:hAnsi="宋体" w:cs="宋体"/>
                <w:kern w:val="0"/>
                <w:sz w:val="24"/>
                <w:u w:val="single"/>
                <w:lang w:val="en-US" w:eastAsia="zh-CN"/>
              </w:rPr>
              <w:t>/</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中小企业划分标准所属行业</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pPr>
              <w:snapToGrid w:val="0"/>
              <w:spacing w:line="360" w:lineRule="auto"/>
              <w:rPr>
                <w:rFonts w:ascii="宋体" w:hAnsi="宋体" w:cs="宋体"/>
                <w:kern w:val="0"/>
                <w:sz w:val="24"/>
              </w:rPr>
            </w:pPr>
            <w:r>
              <w:rPr>
                <w:rFonts w:hint="eastAsia" w:ascii="宋体" w:hAnsi="宋体" w:cs="宋体"/>
                <w:kern w:val="0"/>
                <w:sz w:val="24"/>
              </w:rPr>
              <w:t>供应商在出具《中小企业声明函》前，可通过工业和信息化部官网公共服务平台“中小企业规模类型自测小程序”自测企业规模类型。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w:t>
            </w:r>
          </w:p>
          <w:p>
            <w:pPr>
              <w:snapToGrid w:val="0"/>
              <w:spacing w:line="360" w:lineRule="auto"/>
              <w:jc w:val="center"/>
              <w:rPr>
                <w:rFonts w:ascii="宋体" w:hAnsi="宋体" w:cs="宋体"/>
                <w:b/>
                <w:sz w:val="24"/>
              </w:rPr>
            </w:pPr>
            <w:r>
              <w:rPr>
                <w:rFonts w:hint="eastAsia" w:ascii="宋体" w:hAnsi="宋体" w:cs="宋体"/>
                <w:b/>
                <w:sz w:val="24"/>
              </w:rPr>
              <w:t>融资</w:t>
            </w:r>
          </w:p>
        </w:tc>
        <w:tc>
          <w:tcPr>
            <w:tcW w:w="6715" w:type="dxa"/>
            <w:tcBorders>
              <w:top w:val="single" w:color="000000" w:sz="8" w:space="0"/>
              <w:left w:val="single" w:color="000000" w:sz="2" w:space="0"/>
              <w:right w:val="single" w:color="000000" w:sz="8" w:space="0"/>
            </w:tcBorders>
            <w:vAlign w:val="center"/>
          </w:tcPr>
          <w:p>
            <w:pPr>
              <w:spacing w:line="360" w:lineRule="auto"/>
              <w:rPr>
                <w:rFonts w:ascii="宋体" w:hAnsi="宋体" w:cs="宋体"/>
                <w:sz w:val="24"/>
              </w:rPr>
            </w:pPr>
            <w:r>
              <w:rPr>
                <w:rFonts w:hint="eastAsia" w:ascii="宋体" w:hAnsi="宋体" w:cs="宋体"/>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 </w:t>
            </w:r>
          </w:p>
        </w:tc>
        <w:tc>
          <w:tcPr>
            <w:tcW w:w="671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hAnsi="宋体" w:cs="宋体"/>
                <w:b/>
                <w:snapToGrid/>
                <w:sz w:val="24"/>
                <w:szCs w:val="24"/>
              </w:rPr>
            </w:pPr>
            <w:r>
              <w:rPr>
                <w:rFonts w:hint="eastAsia" w:hAnsi="宋体" w:cs="宋体"/>
                <w:b/>
                <w:snapToGrid/>
                <w:sz w:val="24"/>
                <w:szCs w:val="24"/>
              </w:rPr>
              <w:t>诸暨市公共资源交易中心邮箱（</w:t>
            </w:r>
            <w:r>
              <w:fldChar w:fldCharType="begin"/>
            </w:r>
            <w:r>
              <w:instrText xml:space="preserve"> HYPERLINK "mailto:zjztb001@aliyun.com" </w:instrText>
            </w:r>
            <w:r>
              <w:fldChar w:fldCharType="separate"/>
            </w:r>
            <w:r>
              <w:rPr>
                <w:rStyle w:val="79"/>
                <w:rFonts w:hint="eastAsia" w:ascii="宋体" w:hAnsi="宋体" w:eastAsia="宋体" w:cs="宋体"/>
                <w:b/>
                <w:kern w:val="2"/>
                <w:sz w:val="24"/>
                <w:szCs w:val="24"/>
              </w:rPr>
              <w:t>zjztb001@aliyun.com</w:t>
            </w:r>
            <w:r>
              <w:rPr>
                <w:rStyle w:val="79"/>
                <w:rFonts w:hint="eastAsia" w:ascii="宋体" w:hAnsi="宋体" w:eastAsia="宋体" w:cs="宋体"/>
                <w:b/>
                <w:kern w:val="2"/>
                <w:sz w:val="24"/>
                <w:szCs w:val="24"/>
              </w:rPr>
              <w:fldChar w:fldCharType="end"/>
            </w:r>
            <w:r>
              <w:rPr>
                <w:rFonts w:hint="eastAsia" w:hAnsi="宋体" w:cs="宋体"/>
                <w:b/>
                <w:snapToGrid/>
                <w:sz w:val="24"/>
                <w:szCs w:val="24"/>
              </w:rPr>
              <w:t>）。</w:t>
            </w:r>
          </w:p>
          <w:p>
            <w:pPr>
              <w:pStyle w:val="36"/>
              <w:spacing w:line="360" w:lineRule="auto"/>
              <w:rPr>
                <w:rFonts w:hAnsi="宋体" w:cs="宋体"/>
                <w:kern w:val="28"/>
                <w:sz w:val="24"/>
              </w:rPr>
            </w:pPr>
            <w:r>
              <w:rPr>
                <w:rFonts w:hint="eastAsia" w:hAnsi="宋体" w:cs="宋体"/>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b/>
                <w:bCs/>
              </w:rPr>
              <w:t>无</w:t>
            </w: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3"/>
        <w:rPr>
          <w:rFonts w:ascii="宋体" w:hAnsi="宋体" w:eastAsia="宋体" w:cs="宋体"/>
          <w:lang w:val="en-US"/>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bookmarkEnd w:id="9"/>
    <w:p>
      <w:pPr>
        <w:adjustRightInd/>
        <w:spacing w:line="360" w:lineRule="auto"/>
        <w:ind w:firstLine="3845" w:firstLineChars="1197"/>
        <w:outlineLvl w:val="0"/>
        <w:rPr>
          <w:rFonts w:hint="eastAsia" w:ascii="宋体" w:hAnsi="宋体" w:cs="宋体"/>
          <w:b/>
          <w:sz w:val="32"/>
          <w:szCs w:val="20"/>
        </w:rPr>
      </w:pPr>
      <w:bookmarkStart w:id="10" w:name="第三部分"/>
      <w:bookmarkStart w:id="11" w:name="_Toc164416483"/>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sz w:val="24"/>
          </w:rPr>
          <w:id w:val="512970236"/>
        </w:sdtPr>
        <w:sdtEndPr>
          <w:rPr>
            <w:rFonts w:hint="eastAsia" w:ascii="宋体" w:hAnsi="宋体" w:cs="宋体"/>
            <w:sz w:val="24"/>
          </w:rPr>
        </w:sdtEndPr>
        <w:sdtContent>
          <w:sdt>
            <w:sdtPr>
              <w:rPr>
                <w:rFonts w:hint="eastAsia" w:ascii="宋体" w:hAnsi="宋体" w:cs="宋体"/>
                <w:kern w:val="0"/>
                <w:sz w:val="24"/>
              </w:rPr>
              <w:id w:val="14"/>
            </w:sdtPr>
            <w:sdtEndPr>
              <w:rPr>
                <w:rFonts w:hint="eastAsia" w:ascii="宋体" w:hAnsi="宋体" w:cs="宋体"/>
                <w:kern w:val="0"/>
                <w:sz w:val="24"/>
              </w:rPr>
            </w:sdtEndPr>
            <w:sdtContent>
              <w:sdt>
                <w:sdtPr>
                  <w:rPr>
                    <w:rFonts w:hint="eastAsia" w:ascii="宋体" w:hAnsi="宋体" w:cs="宋体"/>
                    <w:kern w:val="0"/>
                    <w:sz w:val="24"/>
                  </w:rPr>
                  <w:id w:val="147461281"/>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sdtContent>
      </w:sdt>
      <w:r>
        <w:rPr>
          <w:rFonts w:hint="eastAsia" w:ascii="宋体" w:hAnsi="宋体" w:cs="宋体"/>
          <w:sz w:val="24"/>
        </w:rPr>
        <w:t>” 系指适用本项目的要求，“</w:t>
      </w:r>
      <w:sdt>
        <w:sdtPr>
          <w:rPr>
            <w:rFonts w:hint="eastAsia" w:ascii="宋体" w:hAnsi="宋体" w:cs="宋体"/>
            <w:sz w:val="24"/>
          </w:rPr>
          <w:id w:val="404888855"/>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 系指不适用本项目的要求。</w:t>
      </w:r>
    </w:p>
    <w:p>
      <w:pPr>
        <w:spacing w:line="360" w:lineRule="auto"/>
        <w:rPr>
          <w:rFonts w:ascii="宋体" w:hAnsi="宋体" w:cs="宋体"/>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或未按照要求提供的，不享受中小企业扶持政策。声明内容不实，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 xml:space="preserve">3.3.7中小企业享受扶持政策获得政府采购合同的，小微企业不得将合同分包给大中型企业，中型企业不得将合同分包给大型企业。 </w:t>
      </w:r>
    </w:p>
    <w:p>
      <w:pPr>
        <w:spacing w:line="360" w:lineRule="auto"/>
        <w:ind w:firstLine="480" w:firstLineChars="200"/>
        <w:rPr>
          <w:rFonts w:ascii="宋体" w:hAnsi="宋体" w:cs="宋体"/>
          <w:sz w:val="24"/>
        </w:rPr>
      </w:pPr>
      <w:r>
        <w:rPr>
          <w:rFonts w:hint="eastAsia" w:ascii="宋体" w:hAnsi="宋体" w:cs="宋体"/>
          <w:sz w:val="24"/>
        </w:rPr>
        <w:t>3.3.8采购人严格贯彻落实《保障中小企业款项支付条例》、《浙江省财政厅关于进一步发挥政府采购政策功能全力推动经济稳进提质的通知》，按规定向中小企业支付款项。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宋体" w:hAnsi="宋体" w:cs="宋体"/>
          <w:sz w:val="24"/>
        </w:rPr>
      </w:pPr>
      <w:r>
        <w:rPr>
          <w:rFonts w:hint="eastAsia" w:ascii="宋体" w:hAnsi="宋体" w:cs="宋体"/>
          <w:sz w:val="24"/>
        </w:rPr>
        <w:t>3.3.9中小企业信用融资：供应商中标后可在政府采购云平台申请政采贷：操作路径：登录政府采购云平台-金融服务中心-【融资服务】。</w:t>
      </w:r>
    </w:p>
    <w:p>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b/>
          <w:sz w:val="24"/>
        </w:rPr>
        <w:t>4. 询问、质疑、投诉</w:t>
      </w:r>
    </w:p>
    <w:p>
      <w:pPr>
        <w:spacing w:line="360" w:lineRule="auto"/>
        <w:ind w:firstLine="480" w:firstLineChars="200"/>
        <w:rPr>
          <w:rFonts w:ascii="宋体" w:hAnsi="宋体" w:cs="宋体"/>
          <w:b/>
          <w:sz w:val="24"/>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pPr>
        <w:pStyle w:val="36"/>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6"/>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6"/>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6"/>
        <w:spacing w:line="360" w:lineRule="auto"/>
        <w:ind w:firstLine="482" w:firstLineChars="200"/>
        <w:rPr>
          <w:rFonts w:hAnsi="宋体" w:cs="宋体"/>
          <w:b/>
          <w:sz w:val="24"/>
        </w:rPr>
      </w:pPr>
      <w:r>
        <w:rPr>
          <w:rFonts w:hint="eastAsia" w:hAnsi="宋体" w:cs="宋体"/>
          <w:b/>
          <w:sz w:val="24"/>
        </w:rPr>
        <w:t>4.2.2.4针对采购文件中特定资格条件、采购需求、评分办法提出的质疑，应向采购人提出；对采购文件中其他内容、采购过程、采购结果提出的质疑，应向采购代理机构提出。</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6"/>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3.6提出质疑的日期。</w:t>
      </w:r>
    </w:p>
    <w:p>
      <w:pPr>
        <w:pStyle w:val="36"/>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6"/>
        <w:spacing w:line="360" w:lineRule="auto"/>
        <w:ind w:firstLine="480" w:firstLineChars="200"/>
        <w:rPr>
          <w:rFonts w:hAnsi="宋体" w:cs="宋体"/>
          <w:sz w:val="24"/>
        </w:rPr>
      </w:pPr>
      <w:r>
        <w:rPr>
          <w:rFonts w:hint="eastAsia" w:hAnsi="宋体" w:cs="宋体"/>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6"/>
        <w:spacing w:line="360" w:lineRule="auto"/>
        <w:ind w:firstLine="480" w:firstLineChars="200"/>
        <w:rPr>
          <w:rFonts w:hAnsi="宋体" w:cs="宋体"/>
          <w:sz w:val="24"/>
        </w:rPr>
      </w:pPr>
      <w:r>
        <w:rPr>
          <w:rFonts w:hint="eastAsia" w:hAnsi="宋体" w:cs="宋体"/>
          <w:sz w:val="24"/>
        </w:rPr>
        <w:t>4.2.5询问或者质疑事项可能影响采购结果的，采购人应当暂停签订合同，已经签订合同的，应当中止履行合同。</w:t>
      </w:r>
    </w:p>
    <w:p>
      <w:pPr>
        <w:pStyle w:val="36"/>
        <w:spacing w:line="360" w:lineRule="auto"/>
        <w:ind w:firstLine="480" w:firstLineChars="200"/>
        <w:rPr>
          <w:rFonts w:hAnsi="宋体" w:cs="宋体"/>
          <w:sz w:val="24"/>
        </w:rPr>
      </w:pPr>
      <w:r>
        <w:rPr>
          <w:rFonts w:hint="eastAsia" w:hAnsi="宋体" w:cs="宋体"/>
          <w:sz w:val="24"/>
        </w:rPr>
        <w:t>4.3质疑供应商投诉</w:t>
      </w:r>
    </w:p>
    <w:p>
      <w:pPr>
        <w:pStyle w:val="36"/>
        <w:spacing w:line="360" w:lineRule="auto"/>
        <w:ind w:firstLine="480" w:firstLineChars="200"/>
        <w:rPr>
          <w:rFonts w:hAnsi="宋体" w:cs="宋体"/>
          <w:sz w:val="24"/>
        </w:rPr>
      </w:pPr>
      <w:r>
        <w:rPr>
          <w:rFonts w:hint="eastAsia" w:hAnsi="宋体" w:cs="宋体"/>
          <w:sz w:val="24"/>
        </w:rPr>
        <w:t>4.3.1质疑供应商对采购人、采购代理机构的答复不满意或者采购人、采购代理机构未在规定的时间内作出答复的，可以在答复期满后十五个工作日内向同级政府采购监督管理部门提出投诉。</w:t>
      </w:r>
    </w:p>
    <w:p>
      <w:pPr>
        <w:pStyle w:val="36"/>
        <w:spacing w:line="360" w:lineRule="auto"/>
        <w:ind w:firstLine="480" w:firstLineChars="200"/>
        <w:rPr>
          <w:rFonts w:hAnsi="宋体" w:cs="宋体"/>
          <w:sz w:val="24"/>
        </w:rPr>
      </w:pPr>
      <w:r>
        <w:rPr>
          <w:rFonts w:hint="eastAsia" w:hAnsi="宋体" w:cs="宋体"/>
          <w:sz w:val="24"/>
        </w:rPr>
        <w:t>4.3.2供应商投诉的事项不得超出已质疑事项的范围，基于质疑答复内容提出的投诉事项除外。</w:t>
      </w:r>
    </w:p>
    <w:p>
      <w:pPr>
        <w:pStyle w:val="36"/>
        <w:spacing w:line="360" w:lineRule="auto"/>
        <w:ind w:firstLine="480" w:firstLineChars="200"/>
        <w:rPr>
          <w:rFonts w:hAnsi="宋体" w:cs="宋体"/>
          <w:sz w:val="24"/>
        </w:rPr>
      </w:pPr>
      <w:r>
        <w:rPr>
          <w:rFonts w:hint="eastAsia" w:hAnsi="宋体" w:cs="宋体"/>
          <w:sz w:val="24"/>
        </w:rPr>
        <w:t>4.3.3供应商投诉应当有明确的请求和必要的证明材料。</w:t>
      </w:r>
    </w:p>
    <w:p>
      <w:pPr>
        <w:pStyle w:val="36"/>
        <w:spacing w:line="360" w:lineRule="auto"/>
        <w:ind w:firstLine="480" w:firstLineChars="200"/>
        <w:rPr>
          <w:rFonts w:hAnsi="宋体" w:cs="宋体"/>
          <w:sz w:val="24"/>
        </w:rPr>
      </w:pPr>
      <w:r>
        <w:rPr>
          <w:rFonts w:hint="eastAsia" w:hAnsi="宋体" w:cs="宋体"/>
          <w:sz w:val="24"/>
        </w:rPr>
        <w:t>4.3.5 以联合体形式参加政府采购活动的，其投诉应当由组成联合体的所有供应商共同提出。投诉书范本及制作说明详见附件3。</w:t>
      </w:r>
    </w:p>
    <w:p>
      <w:pPr>
        <w:pStyle w:val="36"/>
        <w:spacing w:line="360" w:lineRule="auto"/>
        <w:ind w:firstLine="480" w:firstLineChars="200"/>
        <w:rPr>
          <w:rFonts w:hAnsi="宋体" w:cs="宋体"/>
          <w:sz w:val="24"/>
        </w:rPr>
      </w:pPr>
      <w:r>
        <w:rPr>
          <w:rFonts w:hint="eastAsia" w:hAnsi="宋体" w:cs="宋体"/>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二、招标文件的构成、澄清、补充、修改</w:t>
      </w:r>
    </w:p>
    <w:p>
      <w:pPr>
        <w:pStyle w:val="36"/>
        <w:spacing w:line="360" w:lineRule="auto"/>
        <w:rPr>
          <w:rFonts w:hAnsi="宋体" w:cs="宋体"/>
          <w:b/>
          <w:sz w:val="24"/>
          <w:szCs w:val="24"/>
        </w:rPr>
      </w:pPr>
      <w:r>
        <w:rPr>
          <w:rFonts w:hint="eastAsia" w:hAnsi="宋体" w:cs="宋体"/>
          <w:b/>
          <w:sz w:val="24"/>
          <w:szCs w:val="24"/>
        </w:rPr>
        <w:t>5．招标文件的构成</w:t>
      </w:r>
    </w:p>
    <w:p>
      <w:pPr>
        <w:pStyle w:val="36"/>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pPr>
        <w:pStyle w:val="36"/>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pPr>
        <w:pStyle w:val="36"/>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澄清、补充、修改的内容为招标文件的组成部分</w:t>
      </w:r>
      <w:r>
        <w:rPr>
          <w:rFonts w:hint="eastAsia" w:ascii="宋体" w:hAnsi="宋体" w:cs="宋体"/>
          <w:sz w:val="24"/>
        </w:rPr>
        <w:t>。</w:t>
      </w:r>
    </w:p>
    <w:p>
      <w:pPr>
        <w:pStyle w:val="36"/>
        <w:spacing w:line="360" w:lineRule="auto"/>
        <w:rPr>
          <w:rFonts w:hAnsi="宋体" w:cs="宋体"/>
          <w:b/>
          <w:sz w:val="24"/>
          <w:szCs w:val="24"/>
        </w:rPr>
      </w:pPr>
      <w:r>
        <w:rPr>
          <w:rFonts w:hint="eastAsia" w:hAnsi="宋体" w:cs="宋体"/>
          <w:b/>
          <w:sz w:val="24"/>
          <w:szCs w:val="24"/>
        </w:rPr>
        <w:t>6. 招标文件的澄清、补充、修改</w:t>
      </w:r>
    </w:p>
    <w:p>
      <w:pPr>
        <w:pStyle w:val="16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62"/>
        <w:snapToGrid w:val="0"/>
        <w:spacing w:before="0"/>
        <w:ind w:firstLine="480"/>
        <w:rPr>
          <w:rFonts w:ascii="宋体" w:hAnsi="宋体" w:cs="宋体"/>
        </w:rPr>
      </w:pPr>
      <w:r>
        <w:rPr>
          <w:rFonts w:hint="eastAsia" w:ascii="宋体" w:hAnsi="宋体" w:cs="宋体"/>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62"/>
        <w:snapToGrid w:val="0"/>
        <w:spacing w:before="0"/>
        <w:ind w:firstLine="480"/>
        <w:rPr>
          <w:rFonts w:ascii="宋体" w:hAnsi="宋体" w:cs="宋体"/>
        </w:rPr>
      </w:pPr>
      <w:r>
        <w:rPr>
          <w:rFonts w:hint="eastAsia" w:ascii="宋体" w:hAnsi="宋体" w:cs="宋体"/>
        </w:rPr>
        <w:t>6.3当招标文件与澄清、补充、修改就同一内容表述不一致的以最后发出的文件或公告为准。</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6"/>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6"/>
        <w:spacing w:line="360" w:lineRule="auto"/>
        <w:rPr>
          <w:rFonts w:hAnsi="宋体" w:cs="宋体"/>
          <w:b/>
          <w:sz w:val="24"/>
          <w:szCs w:val="24"/>
        </w:rPr>
      </w:pPr>
      <w:r>
        <w:rPr>
          <w:rFonts w:hint="eastAsia" w:hAnsi="宋体" w:cs="宋体"/>
          <w:b/>
          <w:sz w:val="24"/>
          <w:szCs w:val="24"/>
        </w:rPr>
        <w:t>8.开标前答疑会或现场考察</w:t>
      </w:r>
    </w:p>
    <w:p>
      <w:pPr>
        <w:pStyle w:val="3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6"/>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6"/>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11.1.2落实政府采购政策需满足的资格要求（如需）；</w:t>
      </w:r>
    </w:p>
    <w:p>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11.1.3本项目的特定资格要求（如需）。</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480" w:firstLineChars="2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480" w:firstLineChars="200"/>
        <w:rPr>
          <w:rFonts w:ascii="宋体" w:hAnsi="宋体" w:cs="宋体"/>
          <w:sz w:val="24"/>
        </w:rPr>
      </w:pPr>
      <w:r>
        <w:rPr>
          <w:rFonts w:hint="eastAsia" w:ascii="宋体" w:hAnsi="宋体" w:cs="宋体"/>
          <w:sz w:val="24"/>
        </w:rPr>
        <w:t>11.2.3符合性审查资料；</w:t>
      </w:r>
    </w:p>
    <w:p>
      <w:pPr>
        <w:snapToGrid w:val="0"/>
        <w:spacing w:line="360" w:lineRule="auto"/>
        <w:ind w:firstLine="480" w:firstLineChars="200"/>
        <w:rPr>
          <w:rFonts w:ascii="宋体" w:hAnsi="宋体" w:cs="宋体"/>
          <w:sz w:val="24"/>
        </w:rPr>
      </w:pPr>
      <w:r>
        <w:rPr>
          <w:rFonts w:hint="eastAsia" w:ascii="宋体" w:hAnsi="宋体" w:cs="宋体"/>
          <w:sz w:val="24"/>
        </w:rPr>
        <w:t>11.2.4评标标准相应的商务技术资料（如需）；</w:t>
      </w:r>
    </w:p>
    <w:p>
      <w:pPr>
        <w:snapToGrid w:val="0"/>
        <w:spacing w:line="360" w:lineRule="auto"/>
        <w:ind w:firstLine="480" w:firstLineChars="200"/>
        <w:rPr>
          <w:rFonts w:ascii="宋体" w:hAnsi="宋体" w:cs="宋体"/>
          <w:sz w:val="24"/>
        </w:rPr>
      </w:pPr>
      <w:r>
        <w:rPr>
          <w:rFonts w:hint="eastAsia" w:ascii="宋体" w:hAnsi="宋体" w:cs="宋体"/>
          <w:sz w:val="24"/>
        </w:rPr>
        <w:t>11.2.5商务技术偏离表；</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pPr>
        <w:snapToGrid w:val="0"/>
        <w:spacing w:line="360"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 xml:space="preserve">报价文件： </w:t>
      </w:r>
    </w:p>
    <w:p>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11.3.2中小企业声明函（如需）。</w:t>
      </w:r>
    </w:p>
    <w:p>
      <w:pPr>
        <w:spacing w:line="360" w:lineRule="auto"/>
        <w:ind w:firstLine="482" w:firstLineChars="200"/>
        <w:rPr>
          <w:rFonts w:ascii="宋体" w:hAnsi="宋体" w:cs="宋体"/>
          <w:b/>
          <w:sz w:val="24"/>
        </w:rPr>
      </w:pPr>
      <w:r>
        <w:rPr>
          <w:rFonts w:hint="eastAsia" w:ascii="宋体" w:hAnsi="宋体" w:cs="宋体"/>
          <w:b/>
          <w:sz w:val="24"/>
        </w:rPr>
        <w:t>11.4投标文件含有采购人不能接受的附加条件的，投标无效；投标人提供虚假材料投标的，投标无效。</w:t>
      </w:r>
    </w:p>
    <w:p>
      <w:pPr>
        <w:pStyle w:val="16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12.4投标人应充分考虑完成平台注册、申领CA证书等所需时间，如未在“政府采购云平台”系统内完成相关流程，而引起的投标或响应无效的责任自负。</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6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6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6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62"/>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6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2"/>
        <w:spacing w:before="0"/>
        <w:ind w:firstLine="480"/>
        <w:rPr>
          <w:rFonts w:ascii="宋体" w:hAnsi="宋体" w:cs="宋体"/>
          <w:color w:val="FF0000"/>
          <w:szCs w:val="24"/>
          <w:u w:val="single"/>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6"/>
        <w:spacing w:line="360" w:lineRule="auto"/>
        <w:rPr>
          <w:rFonts w:hAnsi="宋体" w:cs="宋体"/>
          <w:b/>
          <w:sz w:val="24"/>
          <w:szCs w:val="24"/>
        </w:rPr>
      </w:pPr>
      <w:r>
        <w:rPr>
          <w:rFonts w:hint="eastAsia" w:hAnsi="宋体" w:cs="宋体"/>
          <w:b/>
          <w:sz w:val="24"/>
          <w:szCs w:val="24"/>
        </w:rPr>
        <w:t>15.备份投标文件</w:t>
      </w:r>
    </w:p>
    <w:p>
      <w:pPr>
        <w:pStyle w:val="36"/>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15.1投标人在电子交易平台传输递交投标文件后，还可以在投标截止时间前向</w:t>
      </w:r>
      <w:r>
        <w:rPr>
          <w:rFonts w:hint="eastAsia" w:hAnsi="宋体" w:cs="宋体"/>
          <w:bCs/>
          <w:snapToGrid/>
          <w:sz w:val="24"/>
          <w:szCs w:val="24"/>
        </w:rPr>
        <w:t>诸暨</w:t>
      </w:r>
      <w:r>
        <w:rPr>
          <w:rFonts w:hint="eastAsia" w:hAnsi="宋体" w:cs="宋体"/>
          <w:bCs/>
          <w:sz w:val="24"/>
          <w:szCs w:val="24"/>
        </w:rPr>
        <w:t>市公共资源交易中心邮箱（</w:t>
      </w:r>
      <w:r>
        <w:rPr>
          <w:rFonts w:hint="eastAsia" w:hAnsi="宋体" w:cs="宋体"/>
          <w:sz w:val="24"/>
          <w:szCs w:val="24"/>
        </w:rPr>
        <w:t>zjztb001@aliyun.com）递交备份投标文件1份，</w:t>
      </w:r>
      <w:r>
        <w:rPr>
          <w:rFonts w:hint="eastAsia" w:hAnsi="宋体" w:cs="宋体"/>
          <w:b/>
          <w:sz w:val="24"/>
          <w:szCs w:val="24"/>
        </w:rPr>
        <w:t>但采购人、采购代理机构不强制或变相强制投标人提交备份投标文件。</w:t>
      </w:r>
    </w:p>
    <w:p>
      <w:pPr>
        <w:pStyle w:val="36"/>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w:t>
      </w:r>
      <w:r>
        <w:rPr>
          <w:rFonts w:hint="eastAsia" w:hAnsi="宋体" w:cs="宋体"/>
          <w:b/>
          <w:sz w:val="24"/>
          <w:szCs w:val="24"/>
        </w:rPr>
        <w:t xml:space="preserve"> </w:t>
      </w:r>
    </w:p>
    <w:p>
      <w:pPr>
        <w:pStyle w:val="36"/>
        <w:spacing w:line="360" w:lineRule="auto"/>
        <w:ind w:firstLine="480" w:firstLineChars="200"/>
        <w:rPr>
          <w:rFonts w:hAnsi="宋体" w:cs="宋体"/>
          <w:sz w:val="24"/>
          <w:szCs w:val="24"/>
        </w:rPr>
      </w:pPr>
      <w:r>
        <w:rPr>
          <w:rFonts w:hint="eastAsia" w:hAnsi="宋体" w:cs="宋体"/>
          <w:sz w:val="24"/>
          <w:szCs w:val="24"/>
        </w:rPr>
        <w:t>15.3采购代理机构将拒绝接受逾期送达的备份投标文件。</w:t>
      </w:r>
    </w:p>
    <w:p>
      <w:pPr>
        <w:pStyle w:val="36"/>
        <w:spacing w:line="360" w:lineRule="auto"/>
        <w:ind w:firstLine="479" w:firstLineChars="199"/>
        <w:rPr>
          <w:rFonts w:hAnsi="宋体" w:cs="宋体"/>
          <w:b/>
          <w:sz w:val="24"/>
          <w:szCs w:val="24"/>
        </w:rPr>
      </w:pPr>
      <w:r>
        <w:rPr>
          <w:rFonts w:hint="eastAsia" w:hAnsi="宋体" w:cs="宋体"/>
          <w:b/>
          <w:sz w:val="24"/>
          <w:szCs w:val="24"/>
        </w:rPr>
        <w:t>15.4投标人仅提交备份投标文件，没有在电子交易平台传输递交投标文件的，投标无效。</w:t>
      </w:r>
    </w:p>
    <w:p>
      <w:pPr>
        <w:pStyle w:val="36"/>
        <w:spacing w:line="360" w:lineRule="auto"/>
        <w:ind w:firstLine="477" w:firstLineChars="199"/>
        <w:rPr>
          <w:rFonts w:hAnsi="宋体" w:cs="宋体"/>
          <w:sz w:val="24"/>
          <w:szCs w:val="24"/>
        </w:rPr>
      </w:pPr>
      <w:r>
        <w:rPr>
          <w:rFonts w:hint="eastAsia" w:hAnsi="宋体" w:cs="宋体"/>
          <w:sz w:val="24"/>
          <w:szCs w:val="24"/>
        </w:rPr>
        <w:t>15.5投标文件如有补充、修改，备份投标文件应同步调整并再次提交，采购代理机构以最新备份投标文件为准。</w:t>
      </w:r>
    </w:p>
    <w:p>
      <w:pPr>
        <w:pStyle w:val="162"/>
        <w:spacing w:before="0"/>
        <w:ind w:firstLine="0" w:firstLineChars="0"/>
        <w:rPr>
          <w:rFonts w:ascii="宋体" w:hAnsi="宋体" w:cs="宋体"/>
          <w:b/>
          <w:szCs w:val="24"/>
        </w:rPr>
      </w:pPr>
      <w:r>
        <w:rPr>
          <w:rFonts w:hint="eastAsia" w:ascii="宋体" w:hAnsi="宋体" w:cs="宋体"/>
          <w:b/>
          <w:szCs w:val="24"/>
        </w:rPr>
        <w:t>16.投标文件的无效处理</w:t>
      </w:r>
    </w:p>
    <w:p>
      <w:pPr>
        <w:pStyle w:val="27"/>
        <w:spacing w:line="360" w:lineRule="auto"/>
        <w:ind w:firstLine="360" w:firstLineChars="150"/>
        <w:rPr>
          <w:rFonts w:cs="宋体"/>
          <w:szCs w:val="21"/>
        </w:rPr>
      </w:pPr>
      <w:r>
        <w:rPr>
          <w:rFonts w:hint="eastAsia" w:cs="宋体"/>
          <w:szCs w:val="21"/>
        </w:rPr>
        <w:t>有招标文件第四部分</w:t>
      </w:r>
      <w:r>
        <w:rPr>
          <w:rFonts w:hint="eastAsia" w:cs="宋体"/>
        </w:rPr>
        <w:t>第4.2项规定</w:t>
      </w:r>
      <w:r>
        <w:rPr>
          <w:rFonts w:hint="eastAsia" w:cs="宋体"/>
          <w:szCs w:val="21"/>
        </w:rPr>
        <w:t>的情形之一的，投标无效。</w:t>
      </w:r>
    </w:p>
    <w:p>
      <w:pPr>
        <w:pStyle w:val="162"/>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62"/>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62"/>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2"/>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62"/>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62"/>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62"/>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18.2开标时，电子交易平台按开标时间自动提取所有投标文件。采购代理机构依托电子交易平台发起开始解密指令，投标人按照平台提示在招标文件规定时间内完成在线解密。</w:t>
      </w:r>
    </w:p>
    <w:p>
      <w:pPr>
        <w:pStyle w:val="562"/>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pPr>
        <w:pStyle w:val="562"/>
        <w:spacing w:before="0" w:line="360" w:lineRule="auto"/>
        <w:ind w:left="0" w:firstLine="0"/>
        <w:contextualSpacing/>
        <w:rPr>
          <w:rFonts w:ascii="宋体" w:hAnsi="宋体" w:cs="宋体"/>
          <w:b/>
          <w:sz w:val="24"/>
        </w:rPr>
      </w:pPr>
      <w:r>
        <w:rPr>
          <w:rFonts w:hint="eastAsia" w:ascii="宋体" w:hAnsi="宋体" w:cs="宋体"/>
          <w:b/>
          <w:sz w:val="24"/>
        </w:rPr>
        <w:t>19</w:t>
      </w:r>
      <w:r>
        <w:rPr>
          <w:rFonts w:hint="eastAsia" w:ascii="宋体" w:hAnsi="宋体" w:cs="宋体"/>
          <w:b/>
          <w:sz w:val="24"/>
          <w:szCs w:val="24"/>
        </w:rPr>
        <w:t>.</w:t>
      </w:r>
      <w:r>
        <w:rPr>
          <w:rFonts w:hint="eastAsia" w:ascii="宋体" w:hAnsi="宋体" w:cs="宋体"/>
          <w:b/>
          <w:sz w:val="24"/>
        </w:rPr>
        <w:t>资格审查</w:t>
      </w:r>
    </w:p>
    <w:p>
      <w:pPr>
        <w:pStyle w:val="162"/>
        <w:spacing w:before="0"/>
        <w:ind w:firstLine="480"/>
        <w:rPr>
          <w:rFonts w:ascii="宋体" w:hAnsi="宋体" w:cs="宋体"/>
          <w:kern w:val="0"/>
          <w:szCs w:val="24"/>
        </w:rPr>
      </w:pPr>
      <w:r>
        <w:rPr>
          <w:rFonts w:hint="eastAsia" w:ascii="宋体" w:hAnsi="宋体" w:cs="宋体"/>
          <w:kern w:val="0"/>
          <w:szCs w:val="24"/>
        </w:rPr>
        <w:t>19.1开标后，采购人或采购代理机构将依法对投标人的资格进行审查。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62"/>
        <w:spacing w:before="0"/>
        <w:ind w:firstLine="480"/>
        <w:rPr>
          <w:rFonts w:ascii="宋体" w:hAnsi="宋体" w:cs="宋体"/>
          <w:kern w:val="0"/>
          <w:szCs w:val="24"/>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pPr>
        <w:pStyle w:val="162"/>
        <w:spacing w:before="0"/>
        <w:ind w:firstLine="480"/>
        <w:rPr>
          <w:rFonts w:ascii="宋体" w:hAnsi="宋体" w:cs="宋体"/>
          <w:kern w:val="0"/>
          <w:szCs w:val="24"/>
        </w:rPr>
      </w:pPr>
      <w:r>
        <w:rPr>
          <w:rFonts w:hint="eastAsia" w:ascii="宋体" w:hAnsi="宋体" w:cs="宋体"/>
          <w:kern w:val="0"/>
          <w:szCs w:val="24"/>
        </w:rPr>
        <w:t>19.4对未通过资格审查的投标人，采购人或采购代理机构告知其未通过的原因。</w:t>
      </w:r>
    </w:p>
    <w:p>
      <w:pPr>
        <w:pStyle w:val="162"/>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62"/>
        <w:spacing w:before="0"/>
        <w:ind w:firstLine="0" w:firstLineChars="0"/>
        <w:rPr>
          <w:rFonts w:ascii="宋体" w:hAnsi="宋体" w:cs="宋体"/>
          <w:b/>
          <w:szCs w:val="24"/>
        </w:rPr>
      </w:pPr>
      <w:r>
        <w:rPr>
          <w:rFonts w:hint="eastAsia" w:ascii="宋体" w:hAnsi="宋体" w:cs="宋体"/>
          <w:b/>
          <w:szCs w:val="24"/>
        </w:rPr>
        <w:t>20.信用信息查询</w:t>
      </w:r>
    </w:p>
    <w:p>
      <w:pPr>
        <w:pStyle w:val="16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20.1信用信息查询渠道及截止时间：采购代理机构将通过“信用中国”网站(www.creditchina.gov.cn)、中国政府采购网(www.ccgp.gov.cn)渠道查询投标人投标截止时间当天的信用记录。</w:t>
      </w:r>
    </w:p>
    <w:p>
      <w:pPr>
        <w:pStyle w:val="16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6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6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六、定标</w:t>
      </w:r>
    </w:p>
    <w:p>
      <w:pPr>
        <w:pStyle w:val="27"/>
        <w:spacing w:line="360" w:lineRule="auto"/>
        <w:ind w:left="479" w:hanging="479" w:hangingChars="199"/>
        <w:rPr>
          <w:rFonts w:cs="宋体"/>
          <w:b/>
        </w:rPr>
      </w:pPr>
      <w:r>
        <w:rPr>
          <w:rFonts w:hint="eastAsia" w:cs="宋体"/>
          <w:b/>
        </w:rPr>
        <w:t>22. 确定中标供应商</w:t>
      </w:r>
    </w:p>
    <w:p>
      <w:pPr>
        <w:pStyle w:val="162"/>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采购人将自收到评审报告之日起5个工作日内通过电子交易平台在评审报告推荐的中标候选人中确定中标供应商，并将结果确认书面提交给采购代理机构。</w:t>
      </w:r>
    </w:p>
    <w:p>
      <w:pPr>
        <w:pStyle w:val="16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23.2公告期限为1个工作日。</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7"/>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7"/>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采购人与中标人应当在中标通知书发出之日起三十日内，按照招标文件确定的事项签订政府采购合同，并在合同签订之日起2个工作日内依法发布合同公告。</w:t>
      </w:r>
    </w:p>
    <w:p>
      <w:pPr>
        <w:pStyle w:val="162"/>
        <w:snapToGrid w:val="0"/>
        <w:spacing w:before="0"/>
        <w:ind w:firstLine="480"/>
        <w:rPr>
          <w:rFonts w:ascii="宋体" w:hAnsi="宋体" w:cs="宋体"/>
          <w:kern w:val="0"/>
          <w:lang w:val="zh-CN"/>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62"/>
        <w:snapToGrid w:val="0"/>
        <w:spacing w:before="0"/>
        <w:ind w:firstLine="480"/>
        <w:rPr>
          <w:rFonts w:ascii="宋体" w:hAnsi="宋体" w:cs="宋体"/>
          <w:kern w:val="0"/>
        </w:rPr>
      </w:pPr>
      <w:r>
        <w:rPr>
          <w:rFonts w:hint="eastAsia" w:ascii="宋体" w:hAnsi="宋体" w:cs="宋体"/>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pPr>
        <w:pStyle w:val="162"/>
        <w:snapToGrid w:val="0"/>
        <w:spacing w:before="0"/>
        <w:ind w:firstLine="480"/>
        <w:rPr>
          <w:rFonts w:ascii="宋体" w:hAnsi="宋体" w:cs="宋体"/>
        </w:rPr>
      </w:pPr>
      <w:r>
        <w:rPr>
          <w:rFonts w:hint="eastAsia" w:ascii="宋体" w:hAnsi="宋体" w:cs="宋体"/>
        </w:rPr>
        <w:t>25.4如签订合同并生效后，供应商无故拒绝或延期，除按照合同条款处理外，将上报政府采购监管部门予以处理。</w:t>
      </w:r>
    </w:p>
    <w:p>
      <w:pPr>
        <w:pStyle w:val="162"/>
        <w:snapToGrid w:val="0"/>
        <w:spacing w:before="0"/>
        <w:ind w:firstLine="480"/>
        <w:rPr>
          <w:rFonts w:ascii="宋体" w:hAnsi="宋体" w:cs="宋体"/>
        </w:rPr>
      </w:pPr>
      <w:r>
        <w:rPr>
          <w:rFonts w:hint="eastAsia" w:ascii="宋体" w:hAnsi="宋体" w:cs="宋体"/>
        </w:rPr>
        <w:t>25.5中标供应商拒绝与采购人签订合同的，采购人应当重新开展政府采购活动。</w:t>
      </w:r>
    </w:p>
    <w:p>
      <w:pPr>
        <w:pStyle w:val="162"/>
        <w:snapToGrid w:val="0"/>
        <w:spacing w:before="0" w:after="120"/>
        <w:ind w:firstLine="480"/>
        <w:rPr>
          <w:rFonts w:ascii="宋体" w:hAnsi="宋体" w:cs="宋体"/>
        </w:rPr>
      </w:pPr>
      <w:r>
        <w:rPr>
          <w:rFonts w:hint="eastAsia" w:ascii="宋体" w:hAnsi="宋体" w:cs="宋体"/>
        </w:rPr>
        <w:t>25.6采购合同由采购人与中标供应商根据招标文件、投标文件等内容签订并公告。</w:t>
      </w:r>
    </w:p>
    <w:p>
      <w:pPr>
        <w:pStyle w:val="27"/>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hAnsi="宋体" w:cs="宋体"/>
          <w:b/>
          <w:sz w:val="32"/>
        </w:rPr>
      </w:pPr>
      <w:r>
        <w:rPr>
          <w:rFonts w:hint="eastAsia" w:ascii="宋体" w:hAnsi="宋体" w:cs="宋体"/>
          <w:kern w:val="0"/>
          <w:sz w:val="24"/>
        </w:rPr>
        <w:t>供应商可登录政府采购云平台-【金融服务】—【我的项目】—【已备案合同】以保函形式提供。政府采购云平台金融专线400-903-9583。</w:t>
      </w: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62"/>
        <w:snapToGrid w:val="0"/>
        <w:spacing w:before="0"/>
        <w:ind w:firstLine="0" w:firstLineChars="0"/>
        <w:rPr>
          <w:rFonts w:ascii="宋体" w:hAnsi="宋体" w:cs="宋体"/>
        </w:rPr>
      </w:pPr>
      <w:r>
        <w:rPr>
          <w:rFonts w:hint="eastAsia"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62"/>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62"/>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62"/>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62"/>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62"/>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62"/>
        <w:snapToGrid w:val="0"/>
        <w:spacing w:before="0"/>
        <w:ind w:firstLine="0" w:firstLineChars="0"/>
        <w:rPr>
          <w:rFonts w:ascii="宋体" w:hAnsi="宋体" w:cs="宋体"/>
        </w:rPr>
      </w:pPr>
      <w:r>
        <w:rPr>
          <w:rFonts w:hint="eastAsia"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7"/>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宋体" w:hAnsi="宋体" w:eastAsia="宋体" w:cs="宋体"/>
          <w:b/>
          <w:sz w:val="36"/>
          <w:szCs w:val="36"/>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bookmarkStart w:id="13" w:name="_Hlt74707468"/>
      <w:bookmarkEnd w:id="13"/>
      <w:bookmarkStart w:id="14" w:name="_Hlt68072998"/>
      <w:bookmarkEnd w:id="14"/>
      <w:bookmarkStart w:id="15" w:name="_Hlt68073093"/>
      <w:bookmarkEnd w:id="15"/>
      <w:bookmarkStart w:id="16" w:name="_Hlt74714665"/>
      <w:bookmarkEnd w:id="16"/>
      <w:bookmarkStart w:id="17" w:name="_Hlt68057669"/>
      <w:bookmarkEnd w:id="17"/>
      <w:bookmarkStart w:id="18" w:name="_Hlt75236011"/>
      <w:bookmarkEnd w:id="18"/>
      <w:bookmarkStart w:id="19" w:name="_Hlt75236290"/>
      <w:bookmarkEnd w:id="19"/>
      <w:bookmarkStart w:id="20" w:name="_Hlt68403820"/>
      <w:bookmarkEnd w:id="20"/>
      <w:bookmarkStart w:id="21" w:name="_Hlt68072990"/>
      <w:bookmarkEnd w:id="21"/>
      <w:bookmarkStart w:id="22" w:name="_Hlt74730295"/>
      <w:bookmarkEnd w:id="22"/>
      <w:bookmarkStart w:id="23" w:name="_Hlt74729768"/>
      <w:bookmarkEnd w:id="23"/>
      <w:bookmarkStart w:id="24" w:name="_Hlt75236101"/>
      <w:bookmarkEnd w:id="24"/>
    </w:p>
    <w:bookmarkEnd w:id="10"/>
    <w:bookmarkEnd w:id="11"/>
    <w:p>
      <w:pPr>
        <w:numPr>
          <w:ilvl w:val="0"/>
          <w:numId w:val="5"/>
        </w:numPr>
        <w:spacing w:line="360" w:lineRule="auto"/>
        <w:jc w:val="center"/>
        <w:outlineLvl w:val="0"/>
        <w:rPr>
          <w:rFonts w:hint="eastAsia" w:ascii="宋体" w:hAnsi="宋体" w:cs="宋体"/>
          <w:b/>
          <w:sz w:val="36"/>
          <w:szCs w:val="36"/>
        </w:rPr>
      </w:pPr>
      <w:bookmarkStart w:id="25" w:name="第四部分"/>
      <w:r>
        <w:rPr>
          <w:rFonts w:hint="eastAsia" w:ascii="宋体" w:hAnsi="宋体" w:cs="宋体"/>
          <w:b/>
          <w:sz w:val="36"/>
          <w:szCs w:val="36"/>
        </w:rPr>
        <w:t>采购需求</w:t>
      </w: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r>
        <w:rPr>
          <w:rFonts w:hint="eastAsia" w:ascii="宋体" w:hAnsi="宋体"/>
          <w:color w:val="000000" w:themeColor="text1"/>
          <w:spacing w:val="-4"/>
          <w:sz w:val="28"/>
          <w:szCs w:val="28"/>
          <w:lang w:eastAsia="zh-CN"/>
          <w14:textFill>
            <w14:solidFill>
              <w14:schemeClr w14:val="tx1"/>
            </w14:solidFill>
          </w14:textFill>
        </w:rPr>
        <w:t>标一：</w:t>
      </w:r>
    </w:p>
    <w:p>
      <w:pPr>
        <w:rPr>
          <w:rFonts w:hint="eastAsia" w:ascii="宋体" w:hAnsi="宋体" w:eastAsia="宋体"/>
          <w:b/>
          <w:sz w:val="28"/>
          <w:szCs w:val="28"/>
          <w:lang w:val="en-US" w:eastAsia="zh-CN"/>
        </w:rPr>
      </w:pPr>
      <w:r>
        <w:rPr>
          <w:rFonts w:hint="eastAsia" w:ascii="宋体" w:hAnsi="宋体"/>
          <w:b/>
          <w:sz w:val="28"/>
          <w:szCs w:val="28"/>
        </w:rPr>
        <w:t>一、采购内容：</w:t>
      </w:r>
      <w:r>
        <w:rPr>
          <w:rFonts w:hint="eastAsia" w:ascii="宋体" w:hAnsi="宋体"/>
          <w:b/>
          <w:sz w:val="24"/>
          <w:szCs w:val="24"/>
          <w:lang w:val="en-US" w:eastAsia="zh-CN"/>
        </w:rPr>
        <w:t>(不专门面向中小型企业）</w:t>
      </w:r>
    </w:p>
    <w:tbl>
      <w:tblPr>
        <w:tblStyle w:val="65"/>
        <w:tblW w:w="8527"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6"/>
        <w:gridCol w:w="1977"/>
        <w:gridCol w:w="2444"/>
        <w:gridCol w:w="1816"/>
        <w:gridCol w:w="12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01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标项号</w:t>
            </w:r>
          </w:p>
        </w:tc>
        <w:tc>
          <w:tcPr>
            <w:tcW w:w="197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360" w:lineRule="auto"/>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采购内容</w:t>
            </w:r>
          </w:p>
        </w:tc>
        <w:tc>
          <w:tcPr>
            <w:tcW w:w="244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360" w:lineRule="auto"/>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数量及单位</w:t>
            </w:r>
          </w:p>
        </w:tc>
        <w:tc>
          <w:tcPr>
            <w:tcW w:w="181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360" w:lineRule="auto"/>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z w:val="24"/>
              </w:rPr>
              <w:t>总金额（万元）</w:t>
            </w: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360" w:lineRule="auto"/>
              <w:jc w:val="center"/>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是否允许进口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16" w:type="dxa"/>
            <w:tcBorders>
              <w:top w:val="single" w:color="auto" w:sz="4" w:space="0"/>
              <w:left w:val="single" w:color="auto" w:sz="4" w:space="0"/>
              <w:bottom w:val="single" w:color="auto" w:sz="4" w:space="0"/>
              <w:right w:val="single" w:color="auto" w:sz="4" w:space="0"/>
            </w:tcBorders>
            <w:vAlign w:val="center"/>
          </w:tcPr>
          <w:p>
            <w:pPr>
              <w:pStyle w:val="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气压治疗泵</w:t>
            </w:r>
          </w:p>
        </w:tc>
        <w:tc>
          <w:tcPr>
            <w:tcW w:w="244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40台</w:t>
            </w:r>
          </w:p>
        </w:tc>
        <w:tc>
          <w:tcPr>
            <w:tcW w:w="1816" w:type="dxa"/>
            <w:tcBorders>
              <w:top w:val="single" w:color="auto" w:sz="4" w:space="0"/>
              <w:left w:val="single" w:color="auto" w:sz="4" w:space="0"/>
              <w:bottom w:val="single" w:color="auto" w:sz="4" w:space="0"/>
              <w:right w:val="single" w:color="auto" w:sz="4" w:space="0"/>
            </w:tcBorders>
            <w:vAlign w:val="center"/>
          </w:tcPr>
          <w:p>
            <w:pPr>
              <w:pStyle w:val="334"/>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43</w:t>
            </w:r>
          </w:p>
        </w:tc>
        <w:tc>
          <w:tcPr>
            <w:tcW w:w="1274" w:type="dxa"/>
            <w:tcBorders>
              <w:top w:val="single" w:color="auto" w:sz="4" w:space="0"/>
              <w:left w:val="single" w:color="auto" w:sz="4" w:space="0"/>
              <w:bottom w:val="single" w:color="auto" w:sz="4" w:space="0"/>
              <w:right w:val="single" w:color="auto" w:sz="4" w:space="0"/>
            </w:tcBorders>
            <w:vAlign w:val="center"/>
          </w:tcPr>
          <w:p>
            <w:pPr>
              <w:pStyle w:val="334"/>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否</w:t>
            </w:r>
          </w:p>
        </w:tc>
      </w:tr>
    </w:tbl>
    <w:p>
      <w:pPr>
        <w:autoSpaceDE w:val="0"/>
        <w:autoSpaceDN w:val="0"/>
        <w:spacing w:line="360" w:lineRule="auto"/>
        <w:textAlignment w:val="bottom"/>
        <w:rPr>
          <w:rFonts w:ascii="宋体" w:hAnsi="宋体"/>
          <w:b/>
          <w:sz w:val="24"/>
        </w:rPr>
      </w:pPr>
    </w:p>
    <w:p>
      <w:pPr>
        <w:rPr>
          <w:rFonts w:ascii="宋体" w:hAnsi="宋体"/>
          <w:b/>
          <w:sz w:val="28"/>
          <w:szCs w:val="28"/>
        </w:rPr>
      </w:pPr>
      <w:r>
        <w:rPr>
          <w:rFonts w:hint="eastAsia" w:ascii="宋体" w:hAnsi="宋体"/>
          <w:b/>
          <w:sz w:val="28"/>
          <w:szCs w:val="28"/>
        </w:rPr>
        <w:t>二、技术参数要求</w:t>
      </w:r>
    </w:p>
    <w:tbl>
      <w:tblPr>
        <w:tblStyle w:val="65"/>
        <w:tblW w:w="85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06"/>
        <w:gridCol w:w="758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006" w:type="dxa"/>
            <w:vAlign w:val="center"/>
          </w:tcPr>
          <w:p>
            <w:pPr>
              <w:jc w:val="left"/>
              <w:rPr>
                <w:b/>
                <w:sz w:val="24"/>
              </w:rPr>
            </w:pPr>
            <w:r>
              <w:rPr>
                <w:rFonts w:hAnsi="宋体"/>
                <w:b/>
                <w:sz w:val="24"/>
              </w:rPr>
              <w:t>序号</w:t>
            </w:r>
          </w:p>
        </w:tc>
        <w:tc>
          <w:tcPr>
            <w:tcW w:w="7585" w:type="dxa"/>
            <w:tcBorders>
              <w:right w:val="single" w:color="auto" w:sz="4" w:space="0"/>
            </w:tcBorders>
            <w:vAlign w:val="center"/>
          </w:tcPr>
          <w:p>
            <w:pPr>
              <w:jc w:val="center"/>
              <w:rPr>
                <w:b/>
                <w:sz w:val="24"/>
              </w:rPr>
            </w:pPr>
            <w:r>
              <w:rPr>
                <w:rFonts w:hint="eastAsia" w:hAnsi="宋体"/>
                <w:b/>
                <w:sz w:val="24"/>
              </w:rPr>
              <w:t>详细</w:t>
            </w:r>
            <w:r>
              <w:rPr>
                <w:rFonts w:hAnsi="宋体"/>
                <w:b/>
                <w:sz w:val="24"/>
              </w:rPr>
              <w:t>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4" w:hRule="atLeast"/>
        </w:trPr>
        <w:tc>
          <w:tcPr>
            <w:tcW w:w="1006" w:type="dxa"/>
          </w:tcPr>
          <w:p>
            <w:pPr>
              <w:spacing w:afterLines="170" w:line="480" w:lineRule="auto"/>
              <w:jc w:val="left"/>
              <w:rPr>
                <w:rFonts w:ascii="宋体" w:hAnsi="宋体" w:cs="宋体"/>
                <w:szCs w:val="21"/>
              </w:rPr>
            </w:pPr>
            <w:r>
              <w:rPr>
                <w:rFonts w:hint="eastAsia" w:ascii="宋体" w:hAnsi="宋体" w:cs="宋体"/>
                <w:bCs/>
                <w:szCs w:val="21"/>
              </w:rPr>
              <w:t>★</w:t>
            </w:r>
            <w:r>
              <w:rPr>
                <w:rFonts w:hint="eastAsia" w:ascii="宋体" w:hAnsi="宋体" w:cs="宋体"/>
                <w:szCs w:val="21"/>
              </w:rPr>
              <w:t>1.1</w:t>
            </w:r>
          </w:p>
        </w:tc>
        <w:tc>
          <w:tcPr>
            <w:tcW w:w="7585" w:type="dxa"/>
            <w:tcBorders>
              <w:right w:val="single" w:color="auto" w:sz="4" w:space="0"/>
            </w:tcBorders>
            <w:vAlign w:val="center"/>
          </w:tcPr>
          <w:p>
            <w:pPr>
              <w:widowControl/>
              <w:snapToGrid w:val="0"/>
              <w:spacing w:line="276" w:lineRule="auto"/>
              <w:jc w:val="left"/>
              <w:rPr>
                <w:rFonts w:ascii="宋体" w:hAnsi="宋体" w:cs="宋体"/>
                <w:szCs w:val="21"/>
              </w:rPr>
            </w:pPr>
            <w:r>
              <w:rPr>
                <w:rFonts w:hint="eastAsia" w:ascii="宋体" w:hAnsi="宋体" w:cs="宋体"/>
                <w:bCs/>
                <w:szCs w:val="21"/>
              </w:rPr>
              <w:t>具有间歇脉冲加压抗栓系统功能，空气压力波治疗仪功能，足底泵功能（单独使用足底部位）。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06" w:type="dxa"/>
          </w:tcPr>
          <w:p>
            <w:pPr>
              <w:spacing w:line="480" w:lineRule="auto"/>
              <w:jc w:val="left"/>
              <w:rPr>
                <w:rFonts w:ascii="宋体" w:hAnsi="宋体" w:cs="宋体"/>
                <w:szCs w:val="21"/>
              </w:rPr>
            </w:pPr>
            <w:r>
              <w:rPr>
                <w:rFonts w:hint="eastAsia" w:ascii="宋体" w:hAnsi="宋体" w:cs="宋体"/>
                <w:bCs/>
                <w:szCs w:val="21"/>
              </w:rPr>
              <w:t>▲</w:t>
            </w:r>
            <w:r>
              <w:rPr>
                <w:rFonts w:hint="eastAsia" w:ascii="宋体" w:hAnsi="宋体" w:cs="宋体"/>
                <w:szCs w:val="21"/>
              </w:rPr>
              <w:t>1.2</w:t>
            </w:r>
          </w:p>
        </w:tc>
        <w:tc>
          <w:tcPr>
            <w:tcW w:w="7585" w:type="dxa"/>
            <w:tcBorders>
              <w:right w:val="single" w:color="auto" w:sz="4" w:space="0"/>
            </w:tcBorders>
            <w:vAlign w:val="center"/>
          </w:tcPr>
          <w:p>
            <w:pPr>
              <w:widowControl/>
              <w:snapToGrid w:val="0"/>
              <w:spacing w:line="276" w:lineRule="auto"/>
              <w:jc w:val="left"/>
              <w:rPr>
                <w:rFonts w:ascii="宋体" w:hAnsi="宋体" w:cs="宋体"/>
                <w:szCs w:val="21"/>
              </w:rPr>
            </w:pPr>
            <w:r>
              <w:rPr>
                <w:rFonts w:hint="eastAsia" w:ascii="宋体" w:hAnsi="宋体" w:cs="宋体"/>
                <w:bCs/>
                <w:szCs w:val="21"/>
              </w:rPr>
              <w:t>治疗模式：具有梯度治疗、标准治疗、组合治疗、高级治疗等13种模式，30种治疗方案可选。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06" w:type="dxa"/>
            <w:shd w:val="clear" w:color="auto" w:fill="auto"/>
          </w:tcPr>
          <w:p>
            <w:pPr>
              <w:spacing w:line="480" w:lineRule="auto"/>
              <w:jc w:val="left"/>
              <w:rPr>
                <w:rFonts w:ascii="宋体" w:hAnsi="宋体" w:cs="宋体"/>
                <w:szCs w:val="21"/>
              </w:rPr>
            </w:pPr>
            <w:r>
              <w:rPr>
                <w:rFonts w:hint="eastAsia" w:ascii="宋体" w:hAnsi="宋体" w:cs="宋体"/>
                <w:szCs w:val="21"/>
              </w:rPr>
              <w:t>1.3</w:t>
            </w:r>
          </w:p>
        </w:tc>
        <w:tc>
          <w:tcPr>
            <w:tcW w:w="7585" w:type="dxa"/>
            <w:tcBorders>
              <w:right w:val="single" w:color="auto" w:sz="4" w:space="0"/>
            </w:tcBorders>
            <w:vAlign w:val="center"/>
          </w:tcPr>
          <w:p>
            <w:pPr>
              <w:widowControl/>
              <w:snapToGrid w:val="0"/>
              <w:spacing w:line="276" w:lineRule="auto"/>
              <w:jc w:val="left"/>
              <w:rPr>
                <w:rFonts w:ascii="宋体" w:hAnsi="宋体" w:cs="宋体"/>
                <w:b/>
                <w:bCs/>
                <w:szCs w:val="21"/>
              </w:rPr>
            </w:pPr>
            <w:r>
              <w:rPr>
                <w:rFonts w:hint="eastAsia" w:ascii="宋体" w:hAnsi="宋体" w:cs="宋体"/>
                <w:bCs/>
                <w:szCs w:val="21"/>
              </w:rPr>
              <w:t>治疗部位选择：手部、足部、臂部、腿部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06" w:type="dxa"/>
          </w:tcPr>
          <w:p>
            <w:pPr>
              <w:spacing w:line="480" w:lineRule="auto"/>
              <w:jc w:val="left"/>
              <w:rPr>
                <w:rFonts w:ascii="宋体" w:hAnsi="宋体" w:cs="宋体"/>
                <w:szCs w:val="21"/>
              </w:rPr>
            </w:pPr>
            <w:r>
              <w:rPr>
                <w:rFonts w:hint="eastAsia" w:ascii="宋体" w:hAnsi="宋体" w:cs="宋体"/>
                <w:bCs/>
                <w:szCs w:val="21"/>
              </w:rPr>
              <w:t>▲</w:t>
            </w:r>
            <w:r>
              <w:rPr>
                <w:rFonts w:hint="eastAsia" w:ascii="宋体" w:hAnsi="宋体" w:cs="宋体"/>
                <w:szCs w:val="21"/>
              </w:rPr>
              <w:t>1.4</w:t>
            </w:r>
          </w:p>
        </w:tc>
        <w:tc>
          <w:tcPr>
            <w:tcW w:w="7585" w:type="dxa"/>
            <w:tcBorders>
              <w:right w:val="single" w:color="auto" w:sz="4" w:space="0"/>
            </w:tcBorders>
            <w:vAlign w:val="center"/>
          </w:tcPr>
          <w:p>
            <w:pPr>
              <w:widowControl/>
              <w:snapToGrid w:val="0"/>
              <w:spacing w:line="276" w:lineRule="auto"/>
              <w:jc w:val="left"/>
              <w:rPr>
                <w:rFonts w:ascii="宋体" w:hAnsi="宋体" w:cs="宋体"/>
                <w:bCs/>
                <w:szCs w:val="21"/>
              </w:rPr>
            </w:pPr>
            <w:r>
              <w:rPr>
                <w:rFonts w:hint="eastAsia" w:ascii="宋体" w:hAnsi="宋体" w:cs="宋体"/>
                <w:bCs/>
                <w:szCs w:val="21"/>
              </w:rPr>
              <w:t>压力传感器测量精度：≤±5mmHg</w:t>
            </w:r>
          </w:p>
          <w:p>
            <w:pPr>
              <w:widowControl/>
              <w:snapToGrid w:val="0"/>
              <w:spacing w:line="276" w:lineRule="auto"/>
              <w:jc w:val="left"/>
              <w:rPr>
                <w:rStyle w:val="1015"/>
                <w:rFonts w:ascii="宋体" w:hAnsi="宋体" w:cs="宋体"/>
                <w:color w:val="000000"/>
                <w:szCs w:val="21"/>
              </w:rPr>
            </w:pPr>
            <w:r>
              <w:rPr>
                <w:rFonts w:hint="eastAsia" w:ascii="宋体" w:hAnsi="宋体" w:cs="宋体"/>
                <w:bCs/>
                <w:szCs w:val="21"/>
              </w:rPr>
              <w:t>附件加压压力精度：±10mmHg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06" w:type="dxa"/>
            <w:shd w:val="clear" w:color="auto" w:fill="auto"/>
          </w:tcPr>
          <w:p>
            <w:pPr>
              <w:spacing w:line="480" w:lineRule="auto"/>
              <w:jc w:val="left"/>
              <w:rPr>
                <w:rFonts w:ascii="宋体" w:hAnsi="宋体" w:cs="宋体"/>
                <w:b/>
                <w:szCs w:val="21"/>
              </w:rPr>
            </w:pPr>
            <w:r>
              <w:rPr>
                <w:rFonts w:hint="eastAsia" w:ascii="宋体" w:hAnsi="宋体" w:cs="宋体"/>
                <w:bCs/>
                <w:szCs w:val="21"/>
              </w:rPr>
              <w:t>▲</w:t>
            </w:r>
            <w:r>
              <w:rPr>
                <w:rFonts w:hint="eastAsia" w:ascii="宋体" w:hAnsi="宋体" w:cs="宋体"/>
                <w:szCs w:val="21"/>
              </w:rPr>
              <w:t>1.5</w:t>
            </w:r>
          </w:p>
        </w:tc>
        <w:tc>
          <w:tcPr>
            <w:tcW w:w="7585" w:type="dxa"/>
            <w:tcBorders>
              <w:right w:val="single" w:color="auto" w:sz="4" w:space="0"/>
            </w:tcBorders>
            <w:shd w:val="clear" w:color="auto" w:fill="auto"/>
            <w:vAlign w:val="center"/>
          </w:tcPr>
          <w:p>
            <w:pPr>
              <w:widowControl/>
              <w:snapToGrid w:val="0"/>
              <w:spacing w:line="276" w:lineRule="auto"/>
              <w:jc w:val="left"/>
              <w:rPr>
                <w:rFonts w:ascii="宋体" w:hAnsi="宋体" w:cs="宋体"/>
                <w:b/>
                <w:szCs w:val="21"/>
              </w:rPr>
            </w:pPr>
            <w:r>
              <w:rPr>
                <w:rFonts w:hint="eastAsia" w:ascii="宋体" w:hAnsi="宋体" w:cs="宋体"/>
                <w:bCs/>
                <w:szCs w:val="21"/>
              </w:rPr>
              <w:t>治疗压力设置范围：0mmHg-280mmHg可调，误差：≤±5mmHg；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06" w:type="dxa"/>
            <w:shd w:val="clear" w:color="auto" w:fill="auto"/>
          </w:tcPr>
          <w:p>
            <w:pPr>
              <w:spacing w:line="480" w:lineRule="auto"/>
              <w:jc w:val="left"/>
              <w:rPr>
                <w:rFonts w:ascii="宋体" w:hAnsi="宋体" w:cs="宋体"/>
                <w:color w:val="000000"/>
                <w:szCs w:val="21"/>
              </w:rPr>
            </w:pPr>
            <w:r>
              <w:rPr>
                <w:rFonts w:hint="eastAsia" w:ascii="宋体" w:hAnsi="宋体" w:cs="宋体"/>
                <w:bCs/>
                <w:szCs w:val="21"/>
              </w:rPr>
              <w:t>▲</w:t>
            </w:r>
            <w:r>
              <w:rPr>
                <w:rFonts w:hint="eastAsia" w:ascii="宋体" w:hAnsi="宋体" w:cs="宋体"/>
                <w:szCs w:val="21"/>
              </w:rPr>
              <w:t>1.6</w:t>
            </w:r>
          </w:p>
        </w:tc>
        <w:tc>
          <w:tcPr>
            <w:tcW w:w="7585" w:type="dxa"/>
            <w:tcBorders>
              <w:right w:val="single" w:color="auto" w:sz="4" w:space="0"/>
            </w:tcBorders>
            <w:shd w:val="clear" w:color="auto" w:fill="auto"/>
            <w:vAlign w:val="center"/>
          </w:tcPr>
          <w:p>
            <w:pPr>
              <w:widowControl/>
              <w:snapToGrid w:val="0"/>
              <w:spacing w:line="276" w:lineRule="auto"/>
              <w:jc w:val="left"/>
              <w:rPr>
                <w:rFonts w:ascii="宋体" w:hAnsi="宋体" w:cs="宋体"/>
                <w:szCs w:val="21"/>
              </w:rPr>
            </w:pPr>
            <w:r>
              <w:rPr>
                <w:rFonts w:hint="eastAsia" w:ascii="宋体" w:hAnsi="宋体" w:cs="宋体"/>
                <w:bCs/>
                <w:szCs w:val="21"/>
              </w:rPr>
              <w:t>治疗时间设置范围：0min-1440min可调。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06" w:type="dxa"/>
            <w:shd w:val="clear" w:color="auto" w:fill="auto"/>
          </w:tcPr>
          <w:p>
            <w:pPr>
              <w:spacing w:line="480" w:lineRule="auto"/>
              <w:jc w:val="left"/>
              <w:rPr>
                <w:rFonts w:ascii="宋体" w:hAnsi="宋体" w:cs="宋体"/>
                <w:szCs w:val="21"/>
              </w:rPr>
            </w:pPr>
            <w:r>
              <w:rPr>
                <w:rFonts w:hint="eastAsia" w:ascii="宋体" w:hAnsi="宋体" w:cs="宋体"/>
                <w:szCs w:val="21"/>
              </w:rPr>
              <w:t>1.7</w:t>
            </w:r>
          </w:p>
        </w:tc>
        <w:tc>
          <w:tcPr>
            <w:tcW w:w="7585" w:type="dxa"/>
            <w:tcBorders>
              <w:right w:val="single" w:color="auto" w:sz="4" w:space="0"/>
            </w:tcBorders>
            <w:shd w:val="clear" w:color="auto" w:fill="auto"/>
            <w:vAlign w:val="center"/>
          </w:tcPr>
          <w:p>
            <w:pPr>
              <w:widowControl/>
              <w:snapToGrid w:val="0"/>
              <w:spacing w:line="276" w:lineRule="auto"/>
              <w:jc w:val="left"/>
              <w:rPr>
                <w:rFonts w:ascii="宋体" w:hAnsi="宋体" w:cs="宋体"/>
                <w:szCs w:val="21"/>
              </w:rPr>
            </w:pPr>
            <w:r>
              <w:rPr>
                <w:rFonts w:hint="eastAsia" w:ascii="宋体" w:hAnsi="宋体" w:cs="宋体"/>
                <w:bCs/>
                <w:szCs w:val="21"/>
              </w:rPr>
              <w:t>支持手动设置静脉再充盈时间，设置范围20s-70s。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06" w:type="dxa"/>
            <w:shd w:val="clear" w:color="auto" w:fill="auto"/>
          </w:tcPr>
          <w:p>
            <w:pPr>
              <w:spacing w:line="480" w:lineRule="auto"/>
              <w:jc w:val="left"/>
              <w:rPr>
                <w:rFonts w:ascii="宋体" w:hAnsi="宋体" w:cs="宋体"/>
                <w:szCs w:val="21"/>
              </w:rPr>
            </w:pPr>
            <w:r>
              <w:rPr>
                <w:rFonts w:hint="eastAsia" w:ascii="宋体" w:hAnsi="宋体" w:cs="宋体"/>
                <w:szCs w:val="21"/>
              </w:rPr>
              <w:t>1.8</w:t>
            </w:r>
          </w:p>
        </w:tc>
        <w:tc>
          <w:tcPr>
            <w:tcW w:w="7585" w:type="dxa"/>
            <w:tcBorders>
              <w:right w:val="single" w:color="auto" w:sz="4" w:space="0"/>
            </w:tcBorders>
            <w:shd w:val="clear" w:color="auto" w:fill="auto"/>
            <w:vAlign w:val="center"/>
          </w:tcPr>
          <w:p>
            <w:pPr>
              <w:snapToGrid w:val="0"/>
              <w:spacing w:line="276" w:lineRule="auto"/>
              <w:rPr>
                <w:rFonts w:ascii="宋体" w:hAnsi="宋体" w:cs="宋体"/>
                <w:szCs w:val="21"/>
              </w:rPr>
            </w:pPr>
            <w:r>
              <w:rPr>
                <w:rFonts w:hint="eastAsia" w:ascii="宋体" w:hAnsi="宋体" w:cs="宋体"/>
                <w:bCs/>
                <w:szCs w:val="21"/>
              </w:rPr>
              <w:t>充气速度：1-6级可选，能适应对充气速度快慢不同耐受度的病人使用。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06" w:type="dxa"/>
            <w:shd w:val="clear" w:color="auto" w:fill="auto"/>
          </w:tcPr>
          <w:p>
            <w:pPr>
              <w:spacing w:line="480" w:lineRule="auto"/>
              <w:jc w:val="left"/>
              <w:rPr>
                <w:rFonts w:ascii="宋体" w:hAnsi="宋体" w:cs="宋体"/>
                <w:szCs w:val="21"/>
              </w:rPr>
            </w:pPr>
            <w:r>
              <w:rPr>
                <w:rFonts w:hint="eastAsia" w:ascii="宋体" w:hAnsi="宋体" w:cs="宋体"/>
                <w:szCs w:val="21"/>
              </w:rPr>
              <w:t>1.9</w:t>
            </w:r>
          </w:p>
        </w:tc>
        <w:tc>
          <w:tcPr>
            <w:tcW w:w="7585" w:type="dxa"/>
            <w:tcBorders>
              <w:right w:val="single" w:color="auto" w:sz="4" w:space="0"/>
            </w:tcBorders>
            <w:shd w:val="clear" w:color="auto" w:fill="auto"/>
            <w:vAlign w:val="center"/>
          </w:tcPr>
          <w:p>
            <w:pPr>
              <w:widowControl/>
              <w:snapToGrid w:val="0"/>
              <w:spacing w:line="276" w:lineRule="auto"/>
              <w:jc w:val="left"/>
              <w:rPr>
                <w:rFonts w:ascii="宋体" w:hAnsi="宋体" w:cs="宋体"/>
                <w:szCs w:val="21"/>
              </w:rPr>
            </w:pPr>
            <w:r>
              <w:rPr>
                <w:rFonts w:hint="eastAsia" w:ascii="宋体" w:hAnsi="宋体" w:cs="宋体"/>
                <w:bCs/>
                <w:szCs w:val="21"/>
              </w:rPr>
              <w:t>治疗部位：支持手掌、手臂（又分为手腕、前臂、上臂）、脚掌、腿部（又分为脚踝、小腿、大腿）四个部位，四肢均可单独选用。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06" w:type="dxa"/>
            <w:shd w:val="clear" w:color="auto" w:fill="auto"/>
          </w:tcPr>
          <w:p>
            <w:pPr>
              <w:spacing w:line="480" w:lineRule="auto"/>
              <w:jc w:val="left"/>
              <w:rPr>
                <w:rFonts w:ascii="宋体" w:hAnsi="宋体" w:cs="宋体"/>
                <w:szCs w:val="21"/>
              </w:rPr>
            </w:pPr>
            <w:r>
              <w:rPr>
                <w:rFonts w:hint="eastAsia" w:ascii="宋体" w:hAnsi="宋体" w:cs="宋体"/>
                <w:bCs/>
                <w:szCs w:val="21"/>
              </w:rPr>
              <w:t>▲</w:t>
            </w:r>
            <w:r>
              <w:rPr>
                <w:rFonts w:hint="eastAsia" w:ascii="宋体" w:hAnsi="宋体" w:cs="宋体"/>
                <w:szCs w:val="21"/>
              </w:rPr>
              <w:t>1.10</w:t>
            </w:r>
          </w:p>
        </w:tc>
        <w:tc>
          <w:tcPr>
            <w:tcW w:w="7585" w:type="dxa"/>
            <w:tcBorders>
              <w:right w:val="single" w:color="auto" w:sz="4" w:space="0"/>
            </w:tcBorders>
            <w:shd w:val="clear" w:color="auto" w:fill="auto"/>
            <w:vAlign w:val="center"/>
          </w:tcPr>
          <w:p>
            <w:pPr>
              <w:widowControl/>
              <w:snapToGrid w:val="0"/>
              <w:spacing w:line="276" w:lineRule="auto"/>
              <w:jc w:val="left"/>
              <w:rPr>
                <w:rFonts w:ascii="宋体" w:hAnsi="宋体" w:cs="宋体"/>
                <w:szCs w:val="21"/>
              </w:rPr>
            </w:pPr>
            <w:r>
              <w:rPr>
                <w:rFonts w:hint="eastAsia" w:ascii="宋体" w:hAnsi="宋体" w:cs="宋体"/>
                <w:bCs/>
                <w:szCs w:val="21"/>
              </w:rPr>
              <w:t>具有治疗模式演示功能，在选择治疗模式后可实时演示所选模式的先后治疗部位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06" w:type="dxa"/>
            <w:shd w:val="clear" w:color="auto" w:fill="auto"/>
          </w:tcPr>
          <w:p>
            <w:pPr>
              <w:spacing w:line="480" w:lineRule="auto"/>
              <w:jc w:val="left"/>
              <w:rPr>
                <w:rFonts w:ascii="宋体" w:hAnsi="宋体" w:cs="宋体"/>
                <w:szCs w:val="21"/>
              </w:rPr>
            </w:pPr>
            <w:r>
              <w:rPr>
                <w:rFonts w:hint="eastAsia" w:ascii="宋体" w:hAnsi="宋体" w:cs="宋体"/>
                <w:szCs w:val="21"/>
              </w:rPr>
              <w:t>1.10</w:t>
            </w:r>
          </w:p>
        </w:tc>
        <w:tc>
          <w:tcPr>
            <w:tcW w:w="7585" w:type="dxa"/>
            <w:tcBorders>
              <w:right w:val="single" w:color="auto" w:sz="4" w:space="0"/>
            </w:tcBorders>
            <w:shd w:val="clear" w:color="auto" w:fill="auto"/>
            <w:vAlign w:val="center"/>
          </w:tcPr>
          <w:p>
            <w:pPr>
              <w:widowControl/>
              <w:snapToGrid w:val="0"/>
              <w:spacing w:line="276" w:lineRule="auto"/>
              <w:jc w:val="left"/>
              <w:rPr>
                <w:rFonts w:ascii="宋体" w:hAnsi="宋体" w:cs="宋体"/>
                <w:szCs w:val="21"/>
              </w:rPr>
            </w:pPr>
            <w:r>
              <w:rPr>
                <w:rFonts w:hint="eastAsia" w:ascii="宋体" w:hAnsi="宋体" w:cs="宋体"/>
                <w:bCs/>
                <w:szCs w:val="21"/>
              </w:rPr>
              <w:t>具有取消创伤部位不加压治疗功能。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06" w:type="dxa"/>
            <w:shd w:val="clear" w:color="auto" w:fill="auto"/>
          </w:tcPr>
          <w:p>
            <w:pPr>
              <w:spacing w:line="480" w:lineRule="auto"/>
              <w:jc w:val="left"/>
              <w:rPr>
                <w:rFonts w:ascii="宋体" w:hAnsi="宋体" w:cs="宋体"/>
                <w:szCs w:val="21"/>
              </w:rPr>
            </w:pPr>
            <w:r>
              <w:rPr>
                <w:rFonts w:hint="eastAsia" w:ascii="宋体" w:hAnsi="宋体" w:cs="宋体"/>
                <w:szCs w:val="21"/>
              </w:rPr>
              <w:t>1.11</w:t>
            </w:r>
          </w:p>
        </w:tc>
        <w:tc>
          <w:tcPr>
            <w:tcW w:w="7585" w:type="dxa"/>
            <w:tcBorders>
              <w:right w:val="single" w:color="auto" w:sz="4" w:space="0"/>
            </w:tcBorders>
            <w:shd w:val="clear" w:color="auto" w:fill="auto"/>
            <w:vAlign w:val="center"/>
          </w:tcPr>
          <w:p>
            <w:pPr>
              <w:widowControl/>
              <w:snapToGrid w:val="0"/>
              <w:spacing w:line="276" w:lineRule="auto"/>
              <w:jc w:val="left"/>
              <w:rPr>
                <w:rFonts w:ascii="宋体" w:hAnsi="宋体" w:cs="宋体"/>
                <w:szCs w:val="21"/>
              </w:rPr>
            </w:pPr>
            <w:r>
              <w:rPr>
                <w:rFonts w:hint="eastAsia" w:ascii="宋体" w:hAnsi="宋体" w:cs="宋体"/>
                <w:bCs/>
                <w:szCs w:val="21"/>
              </w:rPr>
              <w:t>具有治疗部位动态指示功能。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06" w:type="dxa"/>
            <w:shd w:val="clear" w:color="auto" w:fill="auto"/>
          </w:tcPr>
          <w:p>
            <w:pPr>
              <w:spacing w:line="480" w:lineRule="auto"/>
              <w:jc w:val="left"/>
              <w:rPr>
                <w:rFonts w:ascii="宋体" w:hAnsi="宋体" w:cs="宋体"/>
                <w:szCs w:val="21"/>
              </w:rPr>
            </w:pPr>
            <w:r>
              <w:rPr>
                <w:rFonts w:hint="eastAsia" w:ascii="宋体" w:hAnsi="宋体" w:cs="宋体"/>
                <w:szCs w:val="21"/>
              </w:rPr>
              <w:t>1.12</w:t>
            </w:r>
          </w:p>
        </w:tc>
        <w:tc>
          <w:tcPr>
            <w:tcW w:w="7585" w:type="dxa"/>
            <w:tcBorders>
              <w:right w:val="single" w:color="auto" w:sz="4" w:space="0"/>
            </w:tcBorders>
            <w:shd w:val="clear" w:color="auto" w:fill="auto"/>
            <w:vAlign w:val="center"/>
          </w:tcPr>
          <w:p>
            <w:pPr>
              <w:widowControl/>
              <w:snapToGrid w:val="0"/>
              <w:spacing w:line="276" w:lineRule="auto"/>
              <w:jc w:val="left"/>
              <w:rPr>
                <w:rFonts w:ascii="宋体" w:hAnsi="宋体" w:cs="宋体"/>
                <w:szCs w:val="21"/>
              </w:rPr>
            </w:pPr>
            <w:r>
              <w:rPr>
                <w:rFonts w:hint="eastAsia" w:ascii="宋体" w:hAnsi="宋体" w:cs="宋体"/>
                <w:bCs/>
                <w:szCs w:val="21"/>
              </w:rPr>
              <w:t>具有压强指示功能，以提示当前气囊内产生的实时治疗压强。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06" w:type="dxa"/>
            <w:shd w:val="clear" w:color="auto" w:fill="auto"/>
          </w:tcPr>
          <w:p>
            <w:pPr>
              <w:spacing w:line="480" w:lineRule="auto"/>
              <w:jc w:val="left"/>
              <w:rPr>
                <w:rFonts w:ascii="宋体" w:hAnsi="宋体" w:cs="宋体"/>
                <w:szCs w:val="21"/>
              </w:rPr>
            </w:pPr>
            <w:r>
              <w:rPr>
                <w:rFonts w:hint="eastAsia" w:ascii="宋体" w:hAnsi="宋体" w:cs="宋体"/>
                <w:bCs/>
                <w:szCs w:val="21"/>
              </w:rPr>
              <w:t>★</w:t>
            </w:r>
            <w:r>
              <w:rPr>
                <w:rFonts w:hint="eastAsia" w:ascii="宋体" w:hAnsi="宋体" w:cs="宋体"/>
                <w:szCs w:val="21"/>
              </w:rPr>
              <w:t>1.13</w:t>
            </w:r>
          </w:p>
        </w:tc>
        <w:tc>
          <w:tcPr>
            <w:tcW w:w="7585" w:type="dxa"/>
            <w:tcBorders>
              <w:right w:val="single" w:color="auto" w:sz="4" w:space="0"/>
            </w:tcBorders>
            <w:shd w:val="clear" w:color="auto" w:fill="auto"/>
            <w:vAlign w:val="center"/>
          </w:tcPr>
          <w:p>
            <w:pPr>
              <w:widowControl/>
              <w:snapToGrid w:val="0"/>
              <w:spacing w:line="276" w:lineRule="auto"/>
              <w:jc w:val="left"/>
              <w:rPr>
                <w:rFonts w:ascii="宋体" w:hAnsi="宋体" w:cs="宋体"/>
                <w:szCs w:val="21"/>
              </w:rPr>
            </w:pPr>
            <w:r>
              <w:rPr>
                <w:rFonts w:hint="eastAsia" w:ascii="宋体" w:hAnsi="宋体" w:cs="宋体"/>
                <w:bCs/>
                <w:szCs w:val="21"/>
              </w:rPr>
              <w:t>主机重量≤2.0kg。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006" w:type="dxa"/>
            <w:shd w:val="clear" w:color="auto" w:fill="auto"/>
          </w:tcPr>
          <w:p>
            <w:pPr>
              <w:spacing w:line="480" w:lineRule="auto"/>
              <w:jc w:val="left"/>
              <w:rPr>
                <w:rFonts w:ascii="宋体" w:hAnsi="宋体" w:cs="宋体"/>
                <w:szCs w:val="21"/>
              </w:rPr>
            </w:pPr>
            <w:r>
              <w:rPr>
                <w:rFonts w:hint="eastAsia" w:ascii="宋体" w:hAnsi="宋体" w:cs="宋体"/>
                <w:szCs w:val="21"/>
              </w:rPr>
              <w:t>1.14</w:t>
            </w:r>
          </w:p>
        </w:tc>
        <w:tc>
          <w:tcPr>
            <w:tcW w:w="7585" w:type="dxa"/>
            <w:tcBorders>
              <w:right w:val="single" w:color="auto" w:sz="4" w:space="0"/>
            </w:tcBorders>
            <w:shd w:val="clear" w:color="auto" w:fill="auto"/>
            <w:vAlign w:val="center"/>
          </w:tcPr>
          <w:p>
            <w:pPr>
              <w:widowControl/>
              <w:snapToGrid w:val="0"/>
              <w:spacing w:line="276" w:lineRule="auto"/>
              <w:jc w:val="left"/>
              <w:rPr>
                <w:rFonts w:ascii="宋体" w:hAnsi="宋体" w:cs="宋体"/>
                <w:szCs w:val="21"/>
              </w:rPr>
            </w:pPr>
            <w:r>
              <w:rPr>
                <w:rFonts w:hint="eastAsia" w:ascii="宋体" w:hAnsi="宋体" w:cs="宋体"/>
                <w:bCs/>
                <w:szCs w:val="21"/>
              </w:rPr>
              <w:t>不小于4.3英寸彩色触摸显示屏。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06" w:type="dxa"/>
            <w:shd w:val="clear" w:color="auto" w:fill="auto"/>
          </w:tcPr>
          <w:p>
            <w:pPr>
              <w:spacing w:line="480" w:lineRule="auto"/>
              <w:jc w:val="left"/>
              <w:rPr>
                <w:rFonts w:ascii="宋体" w:hAnsi="宋体" w:cs="宋体"/>
                <w:szCs w:val="21"/>
              </w:rPr>
            </w:pPr>
            <w:r>
              <w:rPr>
                <w:rFonts w:hint="eastAsia" w:ascii="宋体" w:hAnsi="宋体" w:cs="宋体"/>
                <w:szCs w:val="21"/>
              </w:rPr>
              <w:t>1.15</w:t>
            </w:r>
          </w:p>
        </w:tc>
        <w:tc>
          <w:tcPr>
            <w:tcW w:w="7585" w:type="dxa"/>
            <w:tcBorders>
              <w:right w:val="single" w:color="auto" w:sz="4" w:space="0"/>
            </w:tcBorders>
            <w:shd w:val="clear" w:color="auto" w:fill="auto"/>
            <w:vAlign w:val="center"/>
          </w:tcPr>
          <w:p>
            <w:pPr>
              <w:widowControl/>
              <w:snapToGrid w:val="0"/>
              <w:spacing w:line="276" w:lineRule="auto"/>
              <w:jc w:val="left"/>
              <w:rPr>
                <w:rFonts w:ascii="宋体" w:hAnsi="宋体" w:cs="宋体"/>
                <w:szCs w:val="21"/>
              </w:rPr>
            </w:pPr>
            <w:r>
              <w:rPr>
                <w:rFonts w:hint="eastAsia" w:ascii="宋体" w:hAnsi="宋体" w:cs="宋体"/>
                <w:bCs/>
                <w:szCs w:val="21"/>
              </w:rPr>
              <w:t>电容触摸屏技术。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06" w:type="dxa"/>
            <w:shd w:val="clear" w:color="auto" w:fill="auto"/>
          </w:tcPr>
          <w:p>
            <w:pPr>
              <w:spacing w:line="480" w:lineRule="auto"/>
              <w:jc w:val="left"/>
              <w:rPr>
                <w:rFonts w:ascii="宋体" w:hAnsi="宋体" w:cs="宋体"/>
                <w:szCs w:val="21"/>
              </w:rPr>
            </w:pPr>
            <w:r>
              <w:rPr>
                <w:rFonts w:hint="eastAsia" w:ascii="宋体" w:hAnsi="宋体" w:cs="宋体"/>
                <w:szCs w:val="21"/>
              </w:rPr>
              <w:t>1.16</w:t>
            </w:r>
          </w:p>
        </w:tc>
        <w:tc>
          <w:tcPr>
            <w:tcW w:w="7585" w:type="dxa"/>
            <w:tcBorders>
              <w:right w:val="single" w:color="auto" w:sz="4" w:space="0"/>
            </w:tcBorders>
            <w:shd w:val="clear" w:color="auto" w:fill="auto"/>
            <w:vAlign w:val="center"/>
          </w:tcPr>
          <w:p>
            <w:pPr>
              <w:widowControl/>
              <w:snapToGrid w:val="0"/>
              <w:spacing w:line="276" w:lineRule="auto"/>
              <w:jc w:val="left"/>
              <w:rPr>
                <w:rFonts w:ascii="宋体" w:hAnsi="宋体" w:cs="宋体"/>
                <w:szCs w:val="21"/>
              </w:rPr>
            </w:pPr>
            <w:r>
              <w:rPr>
                <w:rFonts w:hint="eastAsia" w:ascii="宋体" w:hAnsi="宋体" w:cs="宋体"/>
                <w:bCs/>
                <w:szCs w:val="21"/>
              </w:rPr>
              <w:t>超静音设计，一键式操作。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06" w:type="dxa"/>
            <w:shd w:val="clear" w:color="auto" w:fill="auto"/>
          </w:tcPr>
          <w:p>
            <w:pPr>
              <w:spacing w:line="480" w:lineRule="auto"/>
              <w:jc w:val="left"/>
              <w:rPr>
                <w:rFonts w:ascii="宋体" w:hAnsi="宋体" w:cs="宋体"/>
                <w:szCs w:val="21"/>
              </w:rPr>
            </w:pPr>
            <w:r>
              <w:rPr>
                <w:rFonts w:hint="eastAsia" w:ascii="宋体" w:hAnsi="宋体" w:cs="宋体"/>
                <w:szCs w:val="21"/>
              </w:rPr>
              <w:t>1.17</w:t>
            </w:r>
          </w:p>
        </w:tc>
        <w:tc>
          <w:tcPr>
            <w:tcW w:w="7585" w:type="dxa"/>
            <w:tcBorders>
              <w:right w:val="single" w:color="auto" w:sz="4" w:space="0"/>
            </w:tcBorders>
            <w:shd w:val="clear" w:color="auto" w:fill="auto"/>
            <w:vAlign w:val="center"/>
          </w:tcPr>
          <w:p>
            <w:pPr>
              <w:widowControl/>
              <w:snapToGrid w:val="0"/>
              <w:spacing w:line="276" w:lineRule="auto"/>
              <w:jc w:val="left"/>
              <w:rPr>
                <w:rFonts w:ascii="宋体" w:hAnsi="宋体" w:cs="宋体"/>
                <w:szCs w:val="21"/>
              </w:rPr>
            </w:pPr>
            <w:r>
              <w:rPr>
                <w:rFonts w:hint="eastAsia" w:ascii="宋体" w:hAnsi="宋体" w:cs="宋体"/>
                <w:bCs/>
                <w:szCs w:val="21"/>
              </w:rPr>
              <w:t>附件具有重复性和单人型可选，根据患者实际情况有不同规格与型号选择。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06" w:type="dxa"/>
            <w:shd w:val="clear" w:color="auto" w:fill="auto"/>
          </w:tcPr>
          <w:p>
            <w:pPr>
              <w:spacing w:line="480" w:lineRule="auto"/>
              <w:jc w:val="left"/>
              <w:rPr>
                <w:rFonts w:ascii="宋体" w:hAnsi="宋体" w:cs="宋体"/>
                <w:szCs w:val="21"/>
              </w:rPr>
            </w:pPr>
            <w:r>
              <w:rPr>
                <w:rFonts w:hint="eastAsia" w:ascii="宋体" w:hAnsi="宋体" w:cs="宋体"/>
                <w:szCs w:val="21"/>
              </w:rPr>
              <w:t>1.18</w:t>
            </w:r>
          </w:p>
        </w:tc>
        <w:tc>
          <w:tcPr>
            <w:tcW w:w="7585" w:type="dxa"/>
            <w:tcBorders>
              <w:right w:val="single" w:color="auto" w:sz="4" w:space="0"/>
            </w:tcBorders>
            <w:shd w:val="clear" w:color="auto" w:fill="auto"/>
            <w:vAlign w:val="center"/>
          </w:tcPr>
          <w:p>
            <w:pPr>
              <w:widowControl/>
              <w:snapToGrid w:val="0"/>
              <w:spacing w:line="276" w:lineRule="auto"/>
              <w:jc w:val="left"/>
              <w:rPr>
                <w:rFonts w:ascii="宋体" w:hAnsi="宋体" w:cs="宋体"/>
                <w:szCs w:val="21"/>
              </w:rPr>
            </w:pPr>
            <w:r>
              <w:rPr>
                <w:rFonts w:hint="eastAsia" w:ascii="宋体" w:hAnsi="宋体" w:cs="宋体"/>
                <w:bCs/>
                <w:szCs w:val="21"/>
              </w:rPr>
              <w:t>事件记录：可回顾显示最近200条故障事件。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06" w:type="dxa"/>
            <w:shd w:val="clear" w:color="auto" w:fill="auto"/>
          </w:tcPr>
          <w:p>
            <w:pPr>
              <w:spacing w:line="480" w:lineRule="auto"/>
              <w:jc w:val="left"/>
              <w:rPr>
                <w:rFonts w:ascii="宋体" w:hAnsi="宋体" w:cs="宋体"/>
                <w:szCs w:val="21"/>
              </w:rPr>
            </w:pPr>
            <w:r>
              <w:rPr>
                <w:rFonts w:hint="eastAsia" w:ascii="宋体" w:hAnsi="宋体" w:cs="宋体"/>
                <w:bCs/>
                <w:szCs w:val="21"/>
              </w:rPr>
              <w:t>▲</w:t>
            </w:r>
            <w:r>
              <w:rPr>
                <w:rFonts w:hint="eastAsia" w:ascii="宋体" w:hAnsi="宋体" w:cs="宋体"/>
                <w:szCs w:val="21"/>
              </w:rPr>
              <w:t>1.19</w:t>
            </w:r>
          </w:p>
        </w:tc>
        <w:tc>
          <w:tcPr>
            <w:tcW w:w="7585" w:type="dxa"/>
            <w:tcBorders>
              <w:right w:val="single" w:color="auto" w:sz="4" w:space="0"/>
            </w:tcBorders>
            <w:shd w:val="clear" w:color="auto" w:fill="auto"/>
            <w:vAlign w:val="center"/>
          </w:tcPr>
          <w:p>
            <w:pPr>
              <w:pStyle w:val="280"/>
              <w:widowControl/>
              <w:snapToGrid w:val="0"/>
              <w:spacing w:line="276" w:lineRule="auto"/>
              <w:ind w:firstLine="0" w:firstLineChars="0"/>
              <w:jc w:val="left"/>
              <w:rPr>
                <w:rFonts w:ascii="宋体" w:hAnsi="宋体" w:eastAsia="宋体" w:cs="宋体"/>
                <w:sz w:val="21"/>
                <w:szCs w:val="21"/>
              </w:rPr>
            </w:pPr>
            <w:r>
              <w:rPr>
                <w:rFonts w:hint="eastAsia" w:ascii="宋体" w:hAnsi="宋体" w:eastAsia="宋体" w:cs="宋体"/>
                <w:bCs/>
                <w:sz w:val="21"/>
                <w:szCs w:val="21"/>
              </w:rPr>
              <w:t>具有软件过压保护和硬件过压保护双重保护措施，保证治疗安全。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06" w:type="dxa"/>
            <w:shd w:val="clear" w:color="auto" w:fill="auto"/>
          </w:tcPr>
          <w:p>
            <w:pPr>
              <w:spacing w:line="480" w:lineRule="auto"/>
              <w:jc w:val="left"/>
              <w:rPr>
                <w:rFonts w:ascii="宋体" w:hAnsi="宋体" w:cs="宋体"/>
                <w:szCs w:val="21"/>
              </w:rPr>
            </w:pPr>
            <w:r>
              <w:rPr>
                <w:rFonts w:hint="eastAsia" w:ascii="宋体" w:hAnsi="宋体" w:cs="宋体"/>
                <w:szCs w:val="21"/>
              </w:rPr>
              <w:t>1.20</w:t>
            </w:r>
          </w:p>
        </w:tc>
        <w:tc>
          <w:tcPr>
            <w:tcW w:w="7585" w:type="dxa"/>
            <w:tcBorders>
              <w:right w:val="single" w:color="auto" w:sz="4" w:space="0"/>
            </w:tcBorders>
            <w:shd w:val="clear" w:color="auto" w:fill="auto"/>
            <w:vAlign w:val="center"/>
          </w:tcPr>
          <w:p>
            <w:pPr>
              <w:widowControl/>
              <w:snapToGrid w:val="0"/>
              <w:spacing w:line="276" w:lineRule="auto"/>
              <w:jc w:val="left"/>
              <w:rPr>
                <w:rFonts w:ascii="宋体" w:hAnsi="宋体" w:cs="宋体"/>
                <w:szCs w:val="21"/>
              </w:rPr>
            </w:pPr>
            <w:r>
              <w:rPr>
                <w:rFonts w:hint="eastAsia" w:ascii="宋体" w:hAnsi="宋体" w:cs="宋体"/>
                <w:bCs/>
                <w:szCs w:val="21"/>
              </w:rPr>
              <w:t>过压保护值≥300mmHg（软件过压保护+硬件过压保护，双重保护）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06" w:type="dxa"/>
            <w:shd w:val="clear" w:color="auto" w:fill="auto"/>
          </w:tcPr>
          <w:p>
            <w:pPr>
              <w:spacing w:line="480" w:lineRule="auto"/>
              <w:jc w:val="left"/>
              <w:rPr>
                <w:rFonts w:ascii="宋体" w:hAnsi="宋体" w:cs="宋体"/>
                <w:szCs w:val="21"/>
              </w:rPr>
            </w:pPr>
            <w:r>
              <w:rPr>
                <w:rFonts w:hint="eastAsia" w:ascii="宋体" w:hAnsi="宋体" w:cs="宋体"/>
                <w:bCs/>
                <w:szCs w:val="21"/>
              </w:rPr>
              <w:t>▲</w:t>
            </w:r>
            <w:r>
              <w:rPr>
                <w:rFonts w:hint="eastAsia" w:ascii="宋体" w:hAnsi="宋体" w:cs="宋体"/>
                <w:szCs w:val="21"/>
              </w:rPr>
              <w:t>1.21</w:t>
            </w:r>
          </w:p>
        </w:tc>
        <w:tc>
          <w:tcPr>
            <w:tcW w:w="7585" w:type="dxa"/>
            <w:tcBorders>
              <w:right w:val="single" w:color="auto" w:sz="4" w:space="0"/>
            </w:tcBorders>
            <w:shd w:val="clear" w:color="auto" w:fill="auto"/>
            <w:vAlign w:val="center"/>
          </w:tcPr>
          <w:p>
            <w:pPr>
              <w:widowControl/>
              <w:snapToGrid w:val="0"/>
              <w:spacing w:line="276" w:lineRule="auto"/>
              <w:jc w:val="left"/>
              <w:rPr>
                <w:rFonts w:ascii="宋体" w:hAnsi="宋体" w:cs="宋体"/>
                <w:szCs w:val="21"/>
              </w:rPr>
            </w:pPr>
            <w:r>
              <w:rPr>
                <w:rFonts w:hint="eastAsia" w:ascii="宋体" w:hAnsi="宋体" w:cs="宋体"/>
                <w:bCs/>
                <w:szCs w:val="21"/>
              </w:rPr>
              <w:t>大容量锂电池，工作时间≥4小时。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06" w:type="dxa"/>
            <w:shd w:val="clear" w:color="auto" w:fill="auto"/>
          </w:tcPr>
          <w:p>
            <w:pPr>
              <w:spacing w:line="480" w:lineRule="auto"/>
              <w:jc w:val="left"/>
              <w:rPr>
                <w:rFonts w:ascii="宋体" w:hAnsi="宋体" w:cs="宋体"/>
                <w:szCs w:val="21"/>
              </w:rPr>
            </w:pPr>
            <w:r>
              <w:rPr>
                <w:rFonts w:hint="eastAsia" w:ascii="宋体" w:hAnsi="宋体" w:cs="宋体"/>
                <w:szCs w:val="21"/>
              </w:rPr>
              <w:t>1.22</w:t>
            </w:r>
          </w:p>
        </w:tc>
        <w:tc>
          <w:tcPr>
            <w:tcW w:w="7585" w:type="dxa"/>
            <w:tcBorders>
              <w:right w:val="single" w:color="auto" w:sz="4" w:space="0"/>
            </w:tcBorders>
            <w:shd w:val="clear" w:color="auto" w:fill="auto"/>
            <w:vAlign w:val="center"/>
          </w:tcPr>
          <w:p>
            <w:pPr>
              <w:widowControl/>
              <w:snapToGrid w:val="0"/>
              <w:spacing w:line="276" w:lineRule="auto"/>
              <w:jc w:val="left"/>
              <w:rPr>
                <w:rFonts w:ascii="宋体" w:hAnsi="宋体" w:cs="宋体"/>
                <w:szCs w:val="21"/>
              </w:rPr>
            </w:pPr>
            <w:r>
              <w:rPr>
                <w:rFonts w:hint="eastAsia" w:ascii="宋体" w:hAnsi="宋体" w:cs="宋体"/>
                <w:bCs/>
                <w:szCs w:val="21"/>
              </w:rPr>
              <w:t>可配置升降式移动台车。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06" w:type="dxa"/>
            <w:shd w:val="clear" w:color="auto" w:fill="auto"/>
          </w:tcPr>
          <w:p>
            <w:pPr>
              <w:spacing w:line="480" w:lineRule="auto"/>
              <w:jc w:val="left"/>
              <w:rPr>
                <w:rFonts w:hint="eastAsia" w:ascii="宋体" w:hAnsi="宋体" w:eastAsia="宋体" w:cs="宋体"/>
                <w:szCs w:val="21"/>
                <w:lang w:val="en-US" w:eastAsia="zh-CN"/>
              </w:rPr>
            </w:pPr>
            <w:r>
              <w:rPr>
                <w:rFonts w:hint="eastAsia" w:ascii="宋体" w:hAnsi="宋体" w:cs="宋体"/>
                <w:szCs w:val="21"/>
              </w:rPr>
              <w:t>1.2</w:t>
            </w:r>
            <w:r>
              <w:rPr>
                <w:rFonts w:hint="eastAsia" w:ascii="宋体" w:hAnsi="宋体" w:cs="宋体"/>
                <w:szCs w:val="21"/>
                <w:lang w:val="en-US" w:eastAsia="zh-CN"/>
              </w:rPr>
              <w:t>3</w:t>
            </w:r>
          </w:p>
        </w:tc>
        <w:tc>
          <w:tcPr>
            <w:tcW w:w="7585" w:type="dxa"/>
            <w:tcBorders>
              <w:right w:val="single" w:color="auto" w:sz="4" w:space="0"/>
            </w:tcBorders>
            <w:shd w:val="clear" w:color="auto" w:fill="auto"/>
            <w:vAlign w:val="center"/>
          </w:tcPr>
          <w:p>
            <w:pPr>
              <w:snapToGrid w:val="0"/>
              <w:spacing w:line="276" w:lineRule="auto"/>
              <w:rPr>
                <w:rFonts w:ascii="宋体" w:hAnsi="宋体" w:cs="宋体"/>
                <w:szCs w:val="21"/>
              </w:rPr>
            </w:pPr>
            <w:r>
              <w:rPr>
                <w:rFonts w:hint="eastAsia" w:ascii="宋体" w:hAnsi="宋体" w:cs="宋体"/>
                <w:bCs/>
                <w:szCs w:val="21"/>
              </w:rPr>
              <w:t>启动/暂停实体按键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06" w:type="dxa"/>
            <w:shd w:val="clear" w:color="auto" w:fill="auto"/>
          </w:tcPr>
          <w:p>
            <w:pPr>
              <w:spacing w:line="480" w:lineRule="auto"/>
              <w:jc w:val="left"/>
              <w:rPr>
                <w:rFonts w:hint="eastAsia" w:ascii="宋体" w:hAnsi="宋体" w:eastAsia="宋体" w:cs="宋体"/>
                <w:szCs w:val="21"/>
                <w:lang w:val="en-US" w:eastAsia="zh-CN"/>
              </w:rPr>
            </w:pPr>
            <w:r>
              <w:rPr>
                <w:rFonts w:hint="eastAsia" w:ascii="宋体" w:hAnsi="宋体" w:cs="宋体"/>
                <w:szCs w:val="21"/>
              </w:rPr>
              <w:t>1.2</w:t>
            </w:r>
            <w:r>
              <w:rPr>
                <w:rFonts w:hint="eastAsia" w:ascii="宋体" w:hAnsi="宋体" w:cs="宋体"/>
                <w:szCs w:val="21"/>
                <w:lang w:val="en-US" w:eastAsia="zh-CN"/>
              </w:rPr>
              <w:t>4</w:t>
            </w:r>
          </w:p>
        </w:tc>
        <w:tc>
          <w:tcPr>
            <w:tcW w:w="7585" w:type="dxa"/>
            <w:tcBorders>
              <w:right w:val="single" w:color="auto" w:sz="4" w:space="0"/>
            </w:tcBorders>
            <w:shd w:val="clear" w:color="auto" w:fill="auto"/>
            <w:vAlign w:val="center"/>
          </w:tcPr>
          <w:p>
            <w:pPr>
              <w:snapToGrid w:val="0"/>
              <w:spacing w:line="276" w:lineRule="auto"/>
              <w:rPr>
                <w:rFonts w:ascii="宋体" w:hAnsi="宋体" w:cs="宋体"/>
                <w:szCs w:val="21"/>
              </w:rPr>
            </w:pPr>
            <w:r>
              <w:rPr>
                <w:rFonts w:hint="eastAsia" w:ascii="宋体" w:hAnsi="宋体" w:cs="宋体"/>
                <w:bCs/>
                <w:szCs w:val="21"/>
              </w:rPr>
              <w:t>支持屏幕亮度调节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06" w:type="dxa"/>
            <w:shd w:val="clear" w:color="auto" w:fill="auto"/>
          </w:tcPr>
          <w:p>
            <w:pPr>
              <w:spacing w:line="480" w:lineRule="auto"/>
              <w:jc w:val="left"/>
              <w:rPr>
                <w:rFonts w:hint="eastAsia" w:ascii="宋体" w:hAnsi="宋体" w:eastAsia="宋体" w:cs="宋体"/>
                <w:szCs w:val="21"/>
                <w:lang w:val="en-US" w:eastAsia="zh-CN"/>
              </w:rPr>
            </w:pPr>
            <w:r>
              <w:rPr>
                <w:rFonts w:hint="eastAsia" w:ascii="宋体" w:hAnsi="宋体" w:cs="宋体"/>
                <w:szCs w:val="21"/>
              </w:rPr>
              <w:t>1.2</w:t>
            </w:r>
            <w:r>
              <w:rPr>
                <w:rFonts w:hint="eastAsia" w:ascii="宋体" w:hAnsi="宋体" w:cs="宋体"/>
                <w:szCs w:val="21"/>
                <w:lang w:val="en-US" w:eastAsia="zh-CN"/>
              </w:rPr>
              <w:t>5</w:t>
            </w:r>
          </w:p>
        </w:tc>
        <w:tc>
          <w:tcPr>
            <w:tcW w:w="7585" w:type="dxa"/>
            <w:tcBorders>
              <w:right w:val="single" w:color="auto" w:sz="4" w:space="0"/>
            </w:tcBorders>
            <w:shd w:val="clear" w:color="auto" w:fill="auto"/>
            <w:vAlign w:val="center"/>
          </w:tcPr>
          <w:p>
            <w:pPr>
              <w:snapToGrid w:val="0"/>
              <w:spacing w:line="276" w:lineRule="auto"/>
              <w:rPr>
                <w:rFonts w:ascii="宋体" w:hAnsi="宋体" w:cs="宋体"/>
                <w:szCs w:val="21"/>
              </w:rPr>
            </w:pPr>
            <w:r>
              <w:rPr>
                <w:rFonts w:hint="eastAsia" w:ascii="宋体" w:hAnsi="宋体" w:cs="宋体"/>
                <w:bCs/>
                <w:szCs w:val="21"/>
              </w:rPr>
              <w:t>支持在线升级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06" w:type="dxa"/>
            <w:shd w:val="clear" w:color="auto" w:fill="auto"/>
          </w:tcPr>
          <w:p>
            <w:pPr>
              <w:spacing w:line="480" w:lineRule="auto"/>
              <w:jc w:val="left"/>
              <w:rPr>
                <w:rFonts w:hint="eastAsia" w:ascii="宋体" w:hAnsi="宋体" w:eastAsia="宋体" w:cs="宋体"/>
                <w:szCs w:val="21"/>
                <w:lang w:val="en-US" w:eastAsia="zh-CN"/>
              </w:rPr>
            </w:pPr>
            <w:r>
              <w:rPr>
                <w:rFonts w:hint="eastAsia" w:ascii="宋体" w:hAnsi="宋体" w:cs="宋体"/>
                <w:szCs w:val="21"/>
              </w:rPr>
              <w:t>1.2</w:t>
            </w:r>
            <w:r>
              <w:rPr>
                <w:rFonts w:hint="eastAsia" w:ascii="宋体" w:hAnsi="宋体" w:cs="宋体"/>
                <w:szCs w:val="21"/>
                <w:lang w:val="en-US" w:eastAsia="zh-CN"/>
              </w:rPr>
              <w:t>6</w:t>
            </w:r>
          </w:p>
        </w:tc>
        <w:tc>
          <w:tcPr>
            <w:tcW w:w="7585" w:type="dxa"/>
            <w:tcBorders>
              <w:right w:val="single" w:color="auto" w:sz="4" w:space="0"/>
            </w:tcBorders>
            <w:shd w:val="clear" w:color="auto" w:fill="auto"/>
            <w:vAlign w:val="center"/>
          </w:tcPr>
          <w:p>
            <w:pPr>
              <w:snapToGrid w:val="0"/>
              <w:spacing w:line="276" w:lineRule="auto"/>
              <w:rPr>
                <w:rFonts w:ascii="宋体" w:hAnsi="宋体" w:cs="宋体"/>
                <w:szCs w:val="21"/>
              </w:rPr>
            </w:pPr>
            <w:r>
              <w:rPr>
                <w:rFonts w:hint="eastAsia" w:ascii="宋体" w:hAnsi="宋体" w:cs="宋体"/>
                <w:bCs/>
                <w:szCs w:val="21"/>
              </w:rPr>
              <w:t>支持病人数据保存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06" w:type="dxa"/>
            <w:shd w:val="clear" w:color="auto" w:fill="auto"/>
          </w:tcPr>
          <w:p>
            <w:pPr>
              <w:spacing w:line="480" w:lineRule="auto"/>
              <w:jc w:val="left"/>
              <w:rPr>
                <w:rFonts w:hint="eastAsia" w:ascii="宋体" w:hAnsi="宋体" w:eastAsia="宋体" w:cs="宋体"/>
                <w:szCs w:val="21"/>
                <w:lang w:val="en-US" w:eastAsia="zh-CN"/>
              </w:rPr>
            </w:pPr>
            <w:r>
              <w:rPr>
                <w:rFonts w:hint="eastAsia" w:ascii="宋体" w:hAnsi="宋体" w:cs="宋体"/>
                <w:szCs w:val="21"/>
              </w:rPr>
              <w:t>1.2</w:t>
            </w:r>
            <w:r>
              <w:rPr>
                <w:rFonts w:hint="eastAsia" w:ascii="宋体" w:hAnsi="宋体" w:cs="宋体"/>
                <w:szCs w:val="21"/>
                <w:lang w:val="en-US" w:eastAsia="zh-CN"/>
              </w:rPr>
              <w:t>7</w:t>
            </w:r>
          </w:p>
        </w:tc>
        <w:tc>
          <w:tcPr>
            <w:tcW w:w="7585" w:type="dxa"/>
            <w:tcBorders>
              <w:right w:val="single" w:color="auto" w:sz="4" w:space="0"/>
            </w:tcBorders>
            <w:shd w:val="clear" w:color="auto" w:fill="auto"/>
            <w:vAlign w:val="center"/>
          </w:tcPr>
          <w:p>
            <w:pPr>
              <w:widowControl/>
              <w:textAlignment w:val="center"/>
              <w:rPr>
                <w:rFonts w:ascii="宋体" w:hAnsi="宋体" w:cs="宋体"/>
                <w:szCs w:val="21"/>
              </w:rPr>
            </w:pPr>
            <w:r>
              <w:rPr>
                <w:rFonts w:hint="eastAsia" w:ascii="宋体" w:hAnsi="宋体" w:cs="宋体"/>
                <w:bCs/>
                <w:szCs w:val="21"/>
              </w:rPr>
              <w:t>支持锁屏功能，防止非专业人员操作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006" w:type="dxa"/>
            <w:shd w:val="clear" w:color="auto" w:fill="auto"/>
          </w:tcPr>
          <w:p>
            <w:pPr>
              <w:spacing w:line="480" w:lineRule="auto"/>
              <w:jc w:val="left"/>
              <w:rPr>
                <w:rFonts w:hint="default"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28</w:t>
            </w:r>
          </w:p>
        </w:tc>
        <w:tc>
          <w:tcPr>
            <w:tcW w:w="7585" w:type="dxa"/>
            <w:tcBorders>
              <w:right w:val="single" w:color="auto" w:sz="4" w:space="0"/>
            </w:tcBorders>
            <w:shd w:val="clear" w:color="auto" w:fill="auto"/>
            <w:vAlign w:val="center"/>
          </w:tcPr>
          <w:p>
            <w:pPr>
              <w:widowControl/>
              <w:textAlignment w:val="center"/>
              <w:rPr>
                <w:rFonts w:ascii="宋体" w:hAnsi="宋体" w:cs="宋体"/>
                <w:szCs w:val="21"/>
              </w:rPr>
            </w:pPr>
            <w:r>
              <w:rPr>
                <w:rFonts w:hint="eastAsia" w:ascii="宋体" w:hAnsi="宋体" w:cs="宋体"/>
                <w:bCs/>
                <w:szCs w:val="21"/>
              </w:rPr>
              <w:t>维护功能包括：压力检验、漏气检测、气密性检测、硬件检测</w:t>
            </w:r>
          </w:p>
        </w:tc>
      </w:tr>
    </w:tbl>
    <w:p>
      <w:pPr>
        <w:rPr>
          <w:rFonts w:ascii="宋体" w:hAnsi="宋体" w:cs="宋体"/>
          <w:szCs w:val="21"/>
        </w:rPr>
      </w:pPr>
    </w:p>
    <w:p>
      <w:pPr>
        <w:rPr>
          <w:rFonts w:ascii="宋体" w:hAnsi="宋体" w:cs="宋体"/>
          <w:b/>
          <w:szCs w:val="21"/>
        </w:rPr>
      </w:pPr>
      <w:r>
        <w:rPr>
          <w:rFonts w:hint="eastAsia" w:ascii="宋体" w:hAnsi="宋体" w:cs="宋体"/>
          <w:szCs w:val="21"/>
        </w:rPr>
        <w:t>★</w:t>
      </w:r>
      <w:r>
        <w:rPr>
          <w:rFonts w:hint="eastAsia" w:ascii="宋体" w:hAnsi="宋体" w:cs="宋体"/>
          <w:b/>
          <w:szCs w:val="21"/>
        </w:rPr>
        <w:t>三、配置要求</w:t>
      </w:r>
    </w:p>
    <w:tbl>
      <w:tblPr>
        <w:tblStyle w:val="65"/>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pPr>
              <w:spacing w:line="360" w:lineRule="auto"/>
              <w:jc w:val="center"/>
              <w:rPr>
                <w:rFonts w:ascii="宋体" w:hAnsi="宋体" w:cs="宋体"/>
                <w:b/>
                <w:szCs w:val="21"/>
              </w:rPr>
            </w:pPr>
            <w:r>
              <w:rPr>
                <w:rFonts w:hint="eastAsia" w:ascii="宋体" w:hAnsi="宋体" w:cs="宋体"/>
                <w:b/>
                <w:szCs w:val="21"/>
              </w:rPr>
              <w:t>序号</w:t>
            </w:r>
          </w:p>
        </w:tc>
        <w:tc>
          <w:tcPr>
            <w:tcW w:w="7652" w:type="dxa"/>
            <w:tcBorders>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ascii="宋体" w:hAnsi="宋体" w:cs="宋体"/>
                <w:szCs w:val="21"/>
              </w:rPr>
            </w:pPr>
            <w:r>
              <w:rPr>
                <w:rFonts w:hint="eastAsia" w:ascii="宋体" w:hAnsi="宋体"/>
                <w:szCs w:val="21"/>
              </w:rPr>
              <w:t>1</w:t>
            </w:r>
          </w:p>
        </w:tc>
        <w:tc>
          <w:tcPr>
            <w:tcW w:w="7652" w:type="dxa"/>
            <w:tcBorders>
              <w:right w:val="single" w:color="auto" w:sz="4" w:space="0"/>
            </w:tcBorders>
            <w:vAlign w:val="center"/>
          </w:tcPr>
          <w:p>
            <w:pPr>
              <w:rPr>
                <w:rFonts w:ascii="宋体" w:hAnsi="宋体" w:cs="宋体"/>
                <w:szCs w:val="21"/>
              </w:rPr>
            </w:pPr>
            <w:r>
              <w:rPr>
                <w:rFonts w:hint="eastAsia" w:ascii="宋体" w:hAnsi="宋体" w:cs="宋体"/>
                <w:sz w:val="24"/>
              </w:rPr>
              <w:t>主机</w:t>
            </w:r>
            <w:r>
              <w:rPr>
                <w:rFonts w:hint="eastAsia" w:ascii="宋体" w:hAnsi="宋体" w:cs="宋体"/>
                <w:color w:val="000000"/>
                <w:kern w:val="0"/>
                <w:sz w:val="24"/>
              </w:rPr>
              <w:t>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ascii="宋体" w:hAnsi="宋体" w:cs="宋体"/>
                <w:szCs w:val="21"/>
              </w:rPr>
            </w:pPr>
            <w:r>
              <w:rPr>
                <w:rFonts w:hint="eastAsia" w:ascii="宋体" w:hAnsi="宋体"/>
                <w:szCs w:val="21"/>
              </w:rPr>
              <w:t>2</w:t>
            </w:r>
          </w:p>
        </w:tc>
        <w:tc>
          <w:tcPr>
            <w:tcW w:w="7652" w:type="dxa"/>
            <w:tcBorders>
              <w:right w:val="single" w:color="auto" w:sz="4" w:space="0"/>
            </w:tcBorders>
            <w:vAlign w:val="center"/>
          </w:tcPr>
          <w:p>
            <w:pPr>
              <w:rPr>
                <w:rFonts w:ascii="宋体" w:hAnsi="宋体" w:cs="宋体"/>
                <w:szCs w:val="21"/>
              </w:rPr>
            </w:pPr>
            <w:r>
              <w:rPr>
                <w:rFonts w:hint="eastAsia" w:ascii="宋体" w:hAnsi="宋体" w:cs="宋体"/>
                <w:sz w:val="24"/>
              </w:rPr>
              <w:t>台车</w:t>
            </w:r>
            <w:r>
              <w:rPr>
                <w:rFonts w:hint="eastAsia" w:ascii="宋体" w:hAnsi="宋体" w:cs="宋体"/>
                <w:color w:val="000000"/>
                <w:kern w:val="0"/>
                <w:sz w:val="24"/>
              </w:rPr>
              <w:t>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ascii="宋体" w:hAnsi="宋体" w:cs="宋体"/>
                <w:szCs w:val="21"/>
              </w:rPr>
            </w:pPr>
            <w:r>
              <w:rPr>
                <w:rFonts w:hint="eastAsia" w:ascii="宋体" w:hAnsi="宋体"/>
                <w:szCs w:val="21"/>
              </w:rPr>
              <w:t>3</w:t>
            </w:r>
          </w:p>
        </w:tc>
        <w:tc>
          <w:tcPr>
            <w:tcW w:w="7652" w:type="dxa"/>
            <w:tcBorders>
              <w:right w:val="single" w:color="auto" w:sz="4" w:space="0"/>
            </w:tcBorders>
            <w:vAlign w:val="center"/>
          </w:tcPr>
          <w:p>
            <w:pPr>
              <w:rPr>
                <w:rFonts w:ascii="宋体" w:hAnsi="宋体" w:cs="宋体"/>
                <w:szCs w:val="21"/>
              </w:rPr>
            </w:pPr>
            <w:r>
              <w:rPr>
                <w:rFonts w:hint="eastAsia" w:ascii="宋体" w:hAnsi="宋体" w:cs="宋体"/>
                <w:sz w:val="24"/>
              </w:rPr>
              <w:t>导气延长管</w:t>
            </w:r>
            <w:r>
              <w:rPr>
                <w:rFonts w:hint="eastAsia" w:ascii="宋体" w:hAnsi="宋体" w:cs="宋体"/>
                <w:color w:val="000000"/>
                <w:kern w:val="0"/>
                <w:sz w:val="24"/>
              </w:rPr>
              <w:t>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ascii="宋体" w:hAnsi="宋体" w:cs="宋体"/>
                <w:color w:val="auto"/>
                <w:szCs w:val="21"/>
                <w:highlight w:val="none"/>
              </w:rPr>
            </w:pPr>
            <w:r>
              <w:rPr>
                <w:rFonts w:hint="eastAsia" w:ascii="宋体" w:hAnsi="宋体"/>
                <w:color w:val="auto"/>
                <w:szCs w:val="21"/>
                <w:highlight w:val="none"/>
              </w:rPr>
              <w:t>4</w:t>
            </w:r>
          </w:p>
        </w:tc>
        <w:tc>
          <w:tcPr>
            <w:tcW w:w="7652" w:type="dxa"/>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 w:val="24"/>
                <w:highlight w:val="none"/>
              </w:rPr>
              <w:t>小腿套（下肢，重复性使用）</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rPr>
                <w:rFonts w:ascii="宋体" w:hAnsi="宋体" w:cs="宋体"/>
                <w:szCs w:val="21"/>
              </w:rPr>
            </w:pPr>
            <w:r>
              <w:rPr>
                <w:rFonts w:hint="eastAsia" w:ascii="宋体" w:hAnsi="宋体"/>
                <w:szCs w:val="21"/>
              </w:rPr>
              <w:t>5</w:t>
            </w:r>
          </w:p>
        </w:tc>
        <w:tc>
          <w:tcPr>
            <w:tcW w:w="7652" w:type="dxa"/>
            <w:tcBorders>
              <w:right w:val="single" w:color="auto" w:sz="4" w:space="0"/>
            </w:tcBorders>
            <w:vAlign w:val="center"/>
          </w:tcPr>
          <w:p>
            <w:pPr>
              <w:widowControl/>
              <w:textAlignment w:val="center"/>
              <w:rPr>
                <w:rFonts w:ascii="宋体" w:hAnsi="宋体" w:cs="宋体"/>
                <w:szCs w:val="21"/>
              </w:rPr>
            </w:pPr>
            <w:r>
              <w:rPr>
                <w:rFonts w:hint="eastAsia" w:ascii="宋体" w:hAnsi="宋体" w:cs="宋体"/>
                <w:sz w:val="24"/>
              </w:rPr>
              <w:t>国标电源线</w:t>
            </w:r>
            <w:r>
              <w:rPr>
                <w:rFonts w:hint="eastAsia" w:ascii="宋体" w:hAnsi="宋体" w:cs="宋体"/>
                <w:color w:val="000000"/>
                <w:kern w:val="0"/>
                <w:sz w:val="24"/>
              </w:rPr>
              <w:t>1根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8611" w:type="dxa"/>
            <w:gridSpan w:val="2"/>
            <w:tcBorders>
              <w:right w:val="single" w:color="auto" w:sz="4" w:space="0"/>
            </w:tcBorders>
            <w:vAlign w:val="center"/>
          </w:tcPr>
          <w:p>
            <w:pPr>
              <w:widowControl/>
              <w:textAlignment w:val="center"/>
              <w:rPr>
                <w:rFonts w:hint="eastAsia" w:ascii="宋体" w:hAnsi="宋体" w:cs="宋体"/>
                <w:sz w:val="24"/>
              </w:rPr>
            </w:pPr>
            <w:r>
              <w:rPr>
                <w:rFonts w:hint="eastAsia"/>
                <w:lang w:val="en-US" w:eastAsia="zh-CN"/>
              </w:rPr>
              <w:t>注：</w:t>
            </w:r>
            <w:r>
              <w:t>1、</w:t>
            </w:r>
            <w:r>
              <w:rPr>
                <w:rFonts w:hint="eastAsia" w:asciiTheme="minorEastAsia" w:hAnsiTheme="minorEastAsia" w:eastAsiaTheme="minorEastAsia" w:cstheme="minorEastAsia"/>
                <w:bCs/>
                <w:sz w:val="21"/>
                <w:szCs w:val="21"/>
              </w:rPr>
              <w:t>气压治疗泵</w:t>
            </w:r>
            <w:r>
              <w:rPr>
                <w:sz w:val="21"/>
                <w:szCs w:val="21"/>
              </w:rPr>
              <w:t>须在投标文件中提供医疗器械注册证（备案证）。2、其他配置未在采购文件中明确，但国家有明确规定须具有与投标产品相应的医疗器械注册证（备案证），必须在合同签订前向采购人提供相应注册证（备案证）</w:t>
            </w:r>
            <w:r>
              <w:t>。</w:t>
            </w:r>
          </w:p>
        </w:tc>
      </w:tr>
    </w:tbl>
    <w:p>
      <w:pPr>
        <w:rPr>
          <w:rFonts w:hint="eastAsia" w:ascii="宋体" w:hAnsi="宋体" w:cs="宋体"/>
          <w:b/>
          <w:szCs w:val="21"/>
        </w:rPr>
      </w:pPr>
    </w:p>
    <w:p>
      <w:pPr>
        <w:rPr>
          <w:rFonts w:ascii="宋体" w:hAnsi="宋体" w:cs="宋体"/>
          <w:b/>
          <w:szCs w:val="21"/>
        </w:rPr>
      </w:pPr>
      <w:r>
        <w:rPr>
          <w:rFonts w:hint="eastAsia" w:ascii="宋体" w:hAnsi="宋体" w:cs="宋体"/>
          <w:b/>
          <w:szCs w:val="21"/>
        </w:rPr>
        <w:t>四、商务要求</w:t>
      </w:r>
    </w:p>
    <w:tbl>
      <w:tblPr>
        <w:tblStyle w:val="65"/>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033"/>
        <w:gridCol w:w="75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033" w:type="dxa"/>
            <w:vAlign w:val="center"/>
          </w:tcPr>
          <w:p>
            <w:pPr>
              <w:jc w:val="center"/>
              <w:rPr>
                <w:rFonts w:ascii="宋体" w:hAnsi="宋体" w:cs="宋体"/>
                <w:b/>
                <w:szCs w:val="21"/>
              </w:rPr>
            </w:pPr>
            <w:r>
              <w:rPr>
                <w:rFonts w:hint="eastAsia" w:ascii="宋体" w:hAnsi="宋体" w:cs="宋体"/>
                <w:b/>
                <w:szCs w:val="21"/>
              </w:rPr>
              <w:t>序号</w:t>
            </w:r>
          </w:p>
        </w:tc>
        <w:tc>
          <w:tcPr>
            <w:tcW w:w="7566" w:type="dxa"/>
            <w:tcBorders>
              <w:right w:val="single" w:color="auto" w:sz="4" w:space="0"/>
            </w:tcBorders>
            <w:vAlign w:val="center"/>
          </w:tcPr>
          <w:p>
            <w:pPr>
              <w:jc w:val="center"/>
              <w:rPr>
                <w:rFonts w:ascii="宋体" w:hAnsi="宋体" w:cs="宋体"/>
                <w:b/>
                <w:szCs w:val="21"/>
              </w:rPr>
            </w:pPr>
            <w:r>
              <w:rPr>
                <w:rFonts w:hint="eastAsia" w:ascii="宋体" w:hAnsi="宋体" w:cs="宋体"/>
                <w:b/>
                <w:szCs w:val="21"/>
              </w:rPr>
              <w:t>商务要求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jc w:val="center"/>
              <w:rPr>
                <w:rFonts w:ascii="宋体" w:hAnsi="宋体" w:cs="宋体"/>
                <w:b/>
                <w:szCs w:val="21"/>
              </w:rPr>
            </w:pPr>
            <w:r>
              <w:rPr>
                <w:rFonts w:hint="eastAsia" w:ascii="宋体" w:hAnsi="宋体" w:cs="宋体"/>
                <w:b/>
                <w:szCs w:val="21"/>
              </w:rPr>
              <w:t>1</w:t>
            </w:r>
          </w:p>
        </w:tc>
        <w:tc>
          <w:tcPr>
            <w:tcW w:w="7566" w:type="dxa"/>
            <w:tcBorders>
              <w:right w:val="single" w:color="auto" w:sz="4" w:space="0"/>
            </w:tcBorders>
            <w:vAlign w:val="center"/>
          </w:tcPr>
          <w:p>
            <w:pPr>
              <w:jc w:val="left"/>
              <w:rPr>
                <w:rFonts w:ascii="宋体" w:hAnsi="宋体" w:cs="宋体"/>
                <w:b/>
                <w:color w:val="000000"/>
                <w:szCs w:val="21"/>
              </w:rPr>
            </w:pPr>
            <w:r>
              <w:rPr>
                <w:rFonts w:hint="eastAsia" w:ascii="宋体" w:hAnsi="宋体" w:cs="宋体"/>
                <w:b/>
                <w:color w:val="000000"/>
                <w:szCs w:val="21"/>
              </w:rPr>
              <w:t>质量保证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jc w:val="center"/>
              <w:rPr>
                <w:rFonts w:ascii="宋体" w:hAnsi="宋体" w:cs="宋体"/>
                <w:bCs/>
                <w:szCs w:val="21"/>
              </w:rPr>
            </w:pPr>
            <w:r>
              <w:rPr>
                <w:rFonts w:hint="eastAsia" w:ascii="宋体" w:hAnsi="宋体" w:cs="宋体"/>
                <w:bCs/>
                <w:szCs w:val="21"/>
              </w:rPr>
              <w:t>1.1</w:t>
            </w:r>
          </w:p>
        </w:tc>
        <w:tc>
          <w:tcPr>
            <w:tcW w:w="7566" w:type="dxa"/>
            <w:tcBorders>
              <w:right w:val="single" w:color="auto" w:sz="4" w:space="0"/>
            </w:tcBorders>
            <w:vAlign w:val="center"/>
          </w:tcPr>
          <w:p>
            <w:pPr>
              <w:jc w:val="left"/>
              <w:rPr>
                <w:rFonts w:ascii="宋体" w:hAnsi="宋体" w:cs="宋体"/>
                <w:b/>
                <w:color w:val="000000"/>
                <w:szCs w:val="21"/>
              </w:rPr>
            </w:pPr>
            <w:r>
              <w:rPr>
                <w:rFonts w:hint="eastAsia" w:ascii="宋体" w:hAnsi="宋体" w:cs="宋体"/>
                <w:szCs w:val="21"/>
              </w:rPr>
              <w:t>货物使用期限：自货物生产日期起，</w:t>
            </w:r>
            <w:r>
              <w:rPr>
                <w:rFonts w:hint="eastAsia" w:ascii="宋体" w:hAnsi="宋体" w:cs="宋体"/>
                <w:color w:val="000000" w:themeColor="text1"/>
                <w:szCs w:val="21"/>
                <w14:textFill>
                  <w14:solidFill>
                    <w14:schemeClr w14:val="tx1"/>
                  </w14:solidFill>
                </w14:textFill>
              </w:rPr>
              <w:t>不少于10年</w:t>
            </w:r>
            <w:r>
              <w:rPr>
                <w:rFonts w:hint="eastAsia" w:ascii="宋体" w:hAnsi="宋体" w:cs="宋体"/>
                <w:szCs w:val="21"/>
              </w:rPr>
              <w:t>；提供铭牌标识、照片或说明书相关页面复印件；货物无使用期限的，提供说明。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jc w:val="center"/>
              <w:rPr>
                <w:rFonts w:ascii="宋体" w:hAnsi="宋体" w:cs="宋体"/>
                <w:bCs/>
                <w:szCs w:val="21"/>
              </w:rPr>
            </w:pPr>
            <w:r>
              <w:rPr>
                <w:rFonts w:hint="eastAsia" w:ascii="宋体" w:hAnsi="宋体" w:cs="宋体"/>
                <w:bCs/>
                <w:szCs w:val="21"/>
              </w:rPr>
              <w:t>1.2</w:t>
            </w:r>
          </w:p>
        </w:tc>
        <w:tc>
          <w:tcPr>
            <w:tcW w:w="7566" w:type="dxa"/>
            <w:tcBorders>
              <w:right w:val="single" w:color="auto" w:sz="4" w:space="0"/>
            </w:tcBorders>
            <w:vAlign w:val="center"/>
          </w:tcPr>
          <w:p>
            <w:pPr>
              <w:jc w:val="left"/>
              <w:rPr>
                <w:rFonts w:ascii="宋体" w:hAnsi="宋体" w:cs="宋体"/>
                <w:szCs w:val="21"/>
              </w:rPr>
            </w:pPr>
            <w:r>
              <w:rPr>
                <w:rFonts w:hint="eastAsia" w:ascii="宋体" w:hAnsi="宋体" w:cs="宋体"/>
                <w:szCs w:val="21"/>
              </w:rPr>
              <w:t>货物生产日期（以产品标签、标识为准）：货物到达买方机房之日</w:t>
            </w:r>
            <w:r>
              <w:rPr>
                <w:rFonts w:hint="eastAsia" w:ascii="宋体" w:hAnsi="宋体" w:cs="宋体"/>
                <w:szCs w:val="21"/>
                <w:u w:val="single"/>
              </w:rPr>
              <w:t>前12个月内（国产产品）、18个月内（进口产品）。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112" w:hRule="atLeast"/>
          <w:jc w:val="center"/>
        </w:trPr>
        <w:tc>
          <w:tcPr>
            <w:tcW w:w="1033" w:type="dxa"/>
            <w:vAlign w:val="center"/>
          </w:tcPr>
          <w:p>
            <w:pPr>
              <w:jc w:val="center"/>
              <w:rPr>
                <w:rFonts w:ascii="宋体" w:hAnsi="宋体" w:cs="宋体"/>
                <w:bCs/>
                <w:szCs w:val="21"/>
              </w:rPr>
            </w:pPr>
            <w:r>
              <w:rPr>
                <w:rFonts w:hint="eastAsia" w:ascii="宋体" w:hAnsi="宋体" w:cs="宋体"/>
                <w:bCs/>
                <w:szCs w:val="21"/>
              </w:rPr>
              <w:t>1.3</w:t>
            </w:r>
          </w:p>
        </w:tc>
        <w:tc>
          <w:tcPr>
            <w:tcW w:w="7566" w:type="dxa"/>
            <w:tcBorders>
              <w:right w:val="single" w:color="auto" w:sz="4" w:space="0"/>
            </w:tcBorders>
            <w:vAlign w:val="center"/>
          </w:tcPr>
          <w:p>
            <w:pPr>
              <w:spacing w:line="380" w:lineRule="exact"/>
              <w:rPr>
                <w:rFonts w:ascii="宋体" w:hAnsi="宋体" w:cs="宋体"/>
                <w:b/>
                <w:szCs w:val="21"/>
              </w:rPr>
            </w:pPr>
            <w:r>
              <w:rPr>
                <w:rFonts w:hint="eastAsia" w:ascii="宋体" w:hAnsi="宋体" w:cs="宋体"/>
                <w:szCs w:val="21"/>
              </w:rPr>
              <w:t>卖方提供的所有货物必须是全新未使用过的。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208" w:hRule="atLeast"/>
          <w:jc w:val="center"/>
        </w:trPr>
        <w:tc>
          <w:tcPr>
            <w:tcW w:w="1033" w:type="dxa"/>
            <w:vAlign w:val="center"/>
          </w:tcPr>
          <w:p>
            <w:pPr>
              <w:jc w:val="center"/>
              <w:rPr>
                <w:rFonts w:ascii="宋体" w:hAnsi="宋体" w:cs="宋体"/>
                <w:bCs/>
                <w:szCs w:val="21"/>
              </w:rPr>
            </w:pPr>
            <w:r>
              <w:rPr>
                <w:rFonts w:hint="eastAsia" w:ascii="宋体" w:hAnsi="宋体" w:cs="宋体"/>
                <w:b/>
                <w:szCs w:val="21"/>
              </w:rPr>
              <w:t>2</w:t>
            </w:r>
          </w:p>
        </w:tc>
        <w:tc>
          <w:tcPr>
            <w:tcW w:w="7566" w:type="dxa"/>
            <w:vAlign w:val="center"/>
          </w:tcPr>
          <w:p>
            <w:pPr>
              <w:spacing w:line="380" w:lineRule="exact"/>
              <w:rPr>
                <w:rFonts w:ascii="宋体" w:hAnsi="宋体" w:cs="宋体"/>
                <w:szCs w:val="21"/>
              </w:rPr>
            </w:pPr>
            <w:r>
              <w:rPr>
                <w:rFonts w:hint="eastAsia" w:ascii="宋体" w:hAnsi="宋体" w:cs="宋体"/>
                <w:b/>
                <w:color w:val="000000"/>
                <w:szCs w:val="21"/>
              </w:rPr>
              <w:t>保质期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jc w:val="center"/>
              <w:rPr>
                <w:rFonts w:ascii="宋体" w:hAnsi="宋体" w:cs="宋体"/>
                <w:bCs/>
                <w:szCs w:val="21"/>
              </w:rPr>
            </w:pPr>
            <w:r>
              <w:rPr>
                <w:rFonts w:hint="eastAsia" w:ascii="宋体" w:hAnsi="宋体" w:cs="宋体"/>
                <w:szCs w:val="21"/>
              </w:rPr>
              <w:t>★</w:t>
            </w:r>
            <w:r>
              <w:rPr>
                <w:rFonts w:hint="eastAsia" w:ascii="宋体" w:hAnsi="宋体" w:cs="宋体"/>
                <w:bCs/>
                <w:szCs w:val="21"/>
              </w:rPr>
              <w:t>2.1</w:t>
            </w:r>
          </w:p>
        </w:tc>
        <w:tc>
          <w:tcPr>
            <w:tcW w:w="7566" w:type="dxa"/>
            <w:vAlign w:val="center"/>
          </w:tcPr>
          <w:p>
            <w:pPr>
              <w:widowControl/>
              <w:spacing w:before="100" w:beforeAutospacing="1" w:after="100" w:afterAutospacing="1"/>
              <w:rPr>
                <w:rFonts w:ascii="宋体" w:hAnsi="宋体" w:cs="宋体"/>
                <w:szCs w:val="21"/>
              </w:rPr>
            </w:pPr>
            <w:r>
              <w:rPr>
                <w:rFonts w:hint="eastAsia" w:ascii="宋体" w:hAnsi="宋体" w:cs="宋体"/>
                <w:szCs w:val="21"/>
              </w:rPr>
              <w:t>设备验收合格后免费保修：</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u w:val="single"/>
                <w14:textFill>
                  <w14:solidFill>
                    <w14:schemeClr w14:val="tx1"/>
                  </w14:solidFill>
                </w14:textFill>
              </w:rPr>
              <w:t>年</w:t>
            </w:r>
            <w:r>
              <w:rPr>
                <w:rFonts w:hint="eastAsia" w:ascii="宋体" w:hAnsi="宋体" w:cs="宋体"/>
                <w:szCs w:val="21"/>
              </w:rPr>
              <w:t>。供应商报价须包含保质期内的所有服务及配件费用。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jc w:val="center"/>
              <w:rPr>
                <w:rFonts w:ascii="宋体" w:hAnsi="宋体" w:cs="宋体"/>
                <w:bCs/>
                <w:szCs w:val="21"/>
              </w:rPr>
            </w:pPr>
            <w:r>
              <w:rPr>
                <w:rFonts w:hint="eastAsia" w:ascii="宋体" w:hAnsi="宋体" w:cs="宋体"/>
                <w:bCs/>
                <w:szCs w:val="21"/>
              </w:rPr>
              <w:t>2.2</w:t>
            </w:r>
          </w:p>
        </w:tc>
        <w:tc>
          <w:tcPr>
            <w:tcW w:w="7566" w:type="dxa"/>
            <w:vAlign w:val="center"/>
          </w:tcPr>
          <w:p>
            <w:pPr>
              <w:widowControl/>
              <w:spacing w:before="100" w:beforeAutospacing="1" w:after="100" w:afterAutospacing="1"/>
              <w:rPr>
                <w:rFonts w:ascii="宋体" w:hAnsi="宋体" w:cs="宋体"/>
                <w:szCs w:val="21"/>
              </w:rPr>
            </w:pPr>
            <w:r>
              <w:rPr>
                <w:rFonts w:hint="eastAsia" w:ascii="宋体" w:hAnsi="宋体" w:cs="宋体"/>
                <w:szCs w:val="21"/>
              </w:rPr>
              <w:t>保修期内，维修响应时间</w:t>
            </w:r>
            <w:r>
              <w:rPr>
                <w:rFonts w:hint="eastAsia" w:ascii="宋体" w:hAnsi="宋体" w:cs="宋体"/>
                <w:szCs w:val="21"/>
                <w:u w:val="single"/>
              </w:rPr>
              <w:t>＜12小时</w:t>
            </w:r>
            <w:r>
              <w:rPr>
                <w:rFonts w:hint="eastAsia" w:ascii="宋体" w:hAnsi="宋体" w:cs="宋体"/>
                <w:szCs w:val="21"/>
              </w:rPr>
              <w:t>，</w:t>
            </w:r>
            <w:r>
              <w:rPr>
                <w:rFonts w:hint="eastAsia" w:ascii="宋体" w:hAnsi="宋体" w:cs="宋体"/>
                <w:szCs w:val="21"/>
                <w:u w:val="single"/>
              </w:rPr>
              <w:t>12工作小时</w:t>
            </w:r>
            <w:r>
              <w:rPr>
                <w:rFonts w:hint="eastAsia" w:ascii="宋体" w:hAnsi="宋体" w:cs="宋体"/>
                <w:szCs w:val="21"/>
              </w:rPr>
              <w:t>未能修复，则无偿提供备件或备机。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jc w:val="center"/>
              <w:rPr>
                <w:rFonts w:ascii="宋体" w:hAnsi="宋体" w:cs="宋体"/>
                <w:bCs/>
                <w:szCs w:val="21"/>
              </w:rPr>
            </w:pPr>
            <w:r>
              <w:rPr>
                <w:rFonts w:hint="eastAsia" w:ascii="宋体" w:hAnsi="宋体" w:cs="宋体"/>
                <w:bCs/>
                <w:szCs w:val="21"/>
              </w:rPr>
              <w:t>2.3</w:t>
            </w:r>
          </w:p>
        </w:tc>
        <w:tc>
          <w:tcPr>
            <w:tcW w:w="7566" w:type="dxa"/>
            <w:vAlign w:val="center"/>
          </w:tcPr>
          <w:p>
            <w:pPr>
              <w:spacing w:line="380" w:lineRule="exact"/>
              <w:rPr>
                <w:rFonts w:ascii="宋体" w:hAnsi="宋体" w:cs="宋体"/>
                <w:szCs w:val="21"/>
              </w:rPr>
            </w:pPr>
            <w:r>
              <w:rPr>
                <w:rFonts w:hint="eastAsia" w:ascii="宋体" w:hAnsi="宋体" w:cs="宋体"/>
                <w:szCs w:val="21"/>
              </w:rPr>
              <w:t>保修期内开机率</w:t>
            </w:r>
            <w:r>
              <w:rPr>
                <w:rFonts w:hint="eastAsia" w:ascii="宋体" w:hAnsi="宋体" w:cs="宋体"/>
                <w:szCs w:val="21"/>
                <w:u w:val="single"/>
              </w:rPr>
              <w:t>≥95%</w:t>
            </w:r>
            <w:r>
              <w:rPr>
                <w:rFonts w:hint="eastAsia" w:ascii="宋体" w:hAnsi="宋体" w:cs="宋体"/>
                <w:szCs w:val="21"/>
              </w:rPr>
              <w:t>，若设备未达到以上开机率保证，则停机每超过一天则延长</w:t>
            </w:r>
            <w:r>
              <w:rPr>
                <w:rFonts w:hint="eastAsia" w:ascii="宋体" w:hAnsi="宋体" w:cs="宋体"/>
                <w:szCs w:val="21"/>
                <w:u w:val="single"/>
              </w:rPr>
              <w:t>十天</w:t>
            </w:r>
            <w:r>
              <w:rPr>
                <w:rFonts w:hint="eastAsia" w:ascii="宋体" w:hAnsi="宋体" w:cs="宋体"/>
                <w:szCs w:val="21"/>
              </w:rPr>
              <w:t>保修时间。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129" w:hRule="atLeast"/>
          <w:jc w:val="center"/>
        </w:trPr>
        <w:tc>
          <w:tcPr>
            <w:tcW w:w="1033" w:type="dxa"/>
            <w:vAlign w:val="center"/>
          </w:tcPr>
          <w:p>
            <w:pPr>
              <w:jc w:val="center"/>
              <w:rPr>
                <w:rFonts w:ascii="宋体" w:hAnsi="宋体" w:cs="宋体"/>
                <w:bCs/>
                <w:szCs w:val="21"/>
              </w:rPr>
            </w:pPr>
            <w:r>
              <w:rPr>
                <w:rFonts w:hint="eastAsia" w:ascii="宋体" w:hAnsi="宋体" w:cs="宋体"/>
                <w:b/>
                <w:szCs w:val="21"/>
              </w:rPr>
              <w:t>3</w:t>
            </w:r>
          </w:p>
        </w:tc>
        <w:tc>
          <w:tcPr>
            <w:tcW w:w="7566" w:type="dxa"/>
            <w:vAlign w:val="center"/>
          </w:tcPr>
          <w:p>
            <w:pPr>
              <w:spacing w:line="380" w:lineRule="exact"/>
              <w:rPr>
                <w:rFonts w:ascii="宋体" w:hAnsi="宋体" w:cs="宋体"/>
                <w:szCs w:val="21"/>
              </w:rPr>
            </w:pPr>
            <w:r>
              <w:rPr>
                <w:rFonts w:hint="eastAsia" w:ascii="宋体" w:hAnsi="宋体" w:cs="宋体"/>
                <w:b/>
                <w:color w:val="000000"/>
                <w:szCs w:val="21"/>
              </w:rPr>
              <w:t>售后服务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924" w:hRule="atLeast"/>
          <w:jc w:val="center"/>
        </w:trPr>
        <w:tc>
          <w:tcPr>
            <w:tcW w:w="1033" w:type="dxa"/>
            <w:vAlign w:val="center"/>
          </w:tcPr>
          <w:p>
            <w:pPr>
              <w:jc w:val="center"/>
              <w:rPr>
                <w:rFonts w:ascii="宋体" w:hAnsi="宋体" w:cs="宋体"/>
                <w:bCs/>
                <w:szCs w:val="21"/>
              </w:rPr>
            </w:pPr>
            <w:r>
              <w:rPr>
                <w:rFonts w:hint="eastAsia" w:ascii="宋体" w:hAnsi="宋体" w:cs="宋体"/>
                <w:bCs/>
                <w:szCs w:val="21"/>
              </w:rPr>
              <w:t>3.1</w:t>
            </w:r>
          </w:p>
        </w:tc>
        <w:tc>
          <w:tcPr>
            <w:tcW w:w="7566" w:type="dxa"/>
            <w:vAlign w:val="center"/>
          </w:tcPr>
          <w:p>
            <w:pPr>
              <w:spacing w:line="380" w:lineRule="exact"/>
              <w:rPr>
                <w:rFonts w:ascii="宋体" w:hAnsi="宋体" w:cs="宋体"/>
                <w:b/>
                <w:color w:val="000000"/>
                <w:szCs w:val="21"/>
              </w:rPr>
            </w:pPr>
            <w:r>
              <w:rPr>
                <w:rFonts w:hint="eastAsia" w:ascii="宋体" w:hAnsi="宋体" w:cs="宋体"/>
                <w:szCs w:val="21"/>
              </w:rPr>
              <w:t>供应商应在响应文件中提供详细售后服务方案，如售后服务网点的分布情况、售后服务机构备品备件储备，售后服务机构技术服务人员情况、开展定期巡检等。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jc w:val="center"/>
              <w:rPr>
                <w:rFonts w:ascii="宋体" w:hAnsi="宋体" w:cs="宋体"/>
                <w:bCs/>
                <w:szCs w:val="21"/>
              </w:rPr>
            </w:pPr>
            <w:r>
              <w:rPr>
                <w:rFonts w:hint="eastAsia" w:ascii="宋体" w:hAnsi="宋体" w:cs="宋体"/>
                <w:bCs/>
                <w:szCs w:val="21"/>
              </w:rPr>
              <w:t>3.2</w:t>
            </w:r>
          </w:p>
        </w:tc>
        <w:tc>
          <w:tcPr>
            <w:tcW w:w="7566" w:type="dxa"/>
            <w:vAlign w:val="center"/>
          </w:tcPr>
          <w:p>
            <w:pPr>
              <w:spacing w:line="380" w:lineRule="exact"/>
              <w:rPr>
                <w:rFonts w:ascii="宋体" w:hAnsi="宋体" w:cs="宋体"/>
                <w:szCs w:val="21"/>
              </w:rPr>
            </w:pPr>
            <w:r>
              <w:rPr>
                <w:rFonts w:hint="eastAsia" w:ascii="宋体" w:hAnsi="宋体" w:cs="宋体"/>
                <w:szCs w:val="21"/>
              </w:rPr>
              <w:t>供应商应在响应文件中提供详细收费标准，包括出保后保修方案、消耗品价格、设备配件价格，维修服务费等。如未列明则默认为日后日常使用中免费提供。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jc w:val="center"/>
              <w:rPr>
                <w:rFonts w:ascii="宋体" w:hAnsi="宋体" w:cs="宋体"/>
                <w:bCs/>
                <w:szCs w:val="21"/>
              </w:rPr>
            </w:pPr>
            <w:r>
              <w:rPr>
                <w:rFonts w:hint="eastAsia" w:ascii="宋体" w:hAnsi="宋体" w:cs="宋体"/>
                <w:bCs/>
                <w:szCs w:val="21"/>
              </w:rPr>
              <w:t>3.3</w:t>
            </w:r>
          </w:p>
        </w:tc>
        <w:tc>
          <w:tcPr>
            <w:tcW w:w="7566" w:type="dxa"/>
            <w:vAlign w:val="center"/>
          </w:tcPr>
          <w:p>
            <w:pPr>
              <w:spacing w:line="380" w:lineRule="exact"/>
              <w:rPr>
                <w:rFonts w:ascii="宋体" w:hAnsi="宋体" w:cs="宋体"/>
                <w:szCs w:val="21"/>
              </w:rPr>
            </w:pPr>
            <w:r>
              <w:rPr>
                <w:rFonts w:hint="eastAsia" w:ascii="宋体" w:hAnsi="宋体" w:cs="宋体"/>
                <w:szCs w:val="21"/>
              </w:rPr>
              <w:t>在整个设备使用期内，卖方应确保设备的正常使用，在接到用户维修要求后应立即作出回应，通过电话联系无法解决的，须</w:t>
            </w:r>
            <w:r>
              <w:rPr>
                <w:rFonts w:hint="eastAsia" w:ascii="宋体" w:hAnsi="宋体" w:cs="宋体"/>
                <w:szCs w:val="21"/>
                <w:u w:val="single"/>
              </w:rPr>
              <w:t>24小时内</w:t>
            </w:r>
            <w:r>
              <w:rPr>
                <w:rFonts w:hint="eastAsia" w:ascii="宋体" w:hAnsi="宋体" w:cs="宋体"/>
                <w:szCs w:val="21"/>
              </w:rPr>
              <w:t>赶赴卖方现场处理。维修过程中所需零配件，非特殊情况，供应商应在接到通知后最长不超过3天必须送达采购人。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jc w:val="center"/>
              <w:rPr>
                <w:rFonts w:ascii="宋体" w:hAnsi="宋体" w:cs="宋体"/>
                <w:bCs/>
                <w:szCs w:val="21"/>
              </w:rPr>
            </w:pPr>
            <w:r>
              <w:rPr>
                <w:rFonts w:hint="eastAsia" w:ascii="宋体" w:hAnsi="宋体" w:cs="宋体"/>
                <w:bCs/>
                <w:szCs w:val="21"/>
              </w:rPr>
              <w:t>3.4</w:t>
            </w:r>
          </w:p>
        </w:tc>
        <w:tc>
          <w:tcPr>
            <w:tcW w:w="7566" w:type="dxa"/>
            <w:vAlign w:val="center"/>
          </w:tcPr>
          <w:p>
            <w:pPr>
              <w:spacing w:line="380" w:lineRule="exact"/>
              <w:rPr>
                <w:rFonts w:ascii="宋体" w:hAnsi="宋体" w:cs="宋体"/>
                <w:b/>
                <w:szCs w:val="21"/>
              </w:rPr>
            </w:pPr>
            <w:r>
              <w:rPr>
                <w:rFonts w:hint="eastAsia" w:ascii="宋体" w:hAnsi="宋体" w:cs="宋体"/>
                <w:szCs w:val="21"/>
              </w:rPr>
              <w:t>保证易耗品及零配件供应</w:t>
            </w:r>
            <w:r>
              <w:rPr>
                <w:rFonts w:hint="eastAsia" w:ascii="宋体" w:hAnsi="宋体" w:cs="宋体"/>
                <w:color w:val="000000" w:themeColor="text1"/>
                <w:szCs w:val="21"/>
                <w:u w:val="single"/>
                <w14:textFill>
                  <w14:solidFill>
                    <w14:schemeClr w14:val="tx1"/>
                  </w14:solidFill>
                </w14:textFill>
              </w:rPr>
              <w:t>10年</w:t>
            </w:r>
            <w:r>
              <w:rPr>
                <w:rFonts w:hint="eastAsia" w:ascii="宋体" w:hAnsi="宋体" w:cs="宋体"/>
                <w:color w:val="000000" w:themeColor="text1"/>
                <w:szCs w:val="21"/>
                <w14:textFill>
                  <w14:solidFill>
                    <w14:schemeClr w14:val="tx1"/>
                  </w14:solidFill>
                </w14:textFill>
              </w:rPr>
              <w:t>以上</w:t>
            </w:r>
            <w:r>
              <w:rPr>
                <w:rFonts w:hint="eastAsia" w:ascii="宋体" w:hAnsi="宋体" w:cs="宋体"/>
                <w:szCs w:val="21"/>
              </w:rPr>
              <w:t>，终身维护，软件终身免费升级。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242" w:hRule="atLeast"/>
          <w:jc w:val="center"/>
        </w:trPr>
        <w:tc>
          <w:tcPr>
            <w:tcW w:w="103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
                <w:kern w:val="0"/>
                <w:szCs w:val="21"/>
              </w:rPr>
              <w:t>4</w:t>
            </w:r>
          </w:p>
        </w:tc>
        <w:tc>
          <w:tcPr>
            <w:tcW w:w="7566" w:type="dxa"/>
            <w:vAlign w:val="center"/>
          </w:tcPr>
          <w:p>
            <w:pPr>
              <w:snapToGrid w:val="0"/>
              <w:rPr>
                <w:rFonts w:ascii="宋体" w:hAnsi="宋体" w:cs="宋体"/>
                <w:b/>
                <w:szCs w:val="21"/>
              </w:rPr>
            </w:pPr>
            <w:r>
              <w:rPr>
                <w:rFonts w:hint="eastAsia" w:ascii="宋体" w:hAnsi="宋体" w:cs="宋体"/>
                <w:b/>
                <w:kern w:val="0"/>
                <w:szCs w:val="21"/>
              </w:rPr>
              <w:t>交货时间、地点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18" w:hRule="atLeast"/>
          <w:jc w:val="center"/>
        </w:trPr>
        <w:tc>
          <w:tcPr>
            <w:tcW w:w="103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4.1</w:t>
            </w:r>
          </w:p>
        </w:tc>
        <w:tc>
          <w:tcPr>
            <w:tcW w:w="7566" w:type="dxa"/>
            <w:vAlign w:val="center"/>
          </w:tcPr>
          <w:p>
            <w:pPr>
              <w:spacing w:line="380" w:lineRule="exact"/>
              <w:rPr>
                <w:rFonts w:ascii="宋体" w:hAnsi="宋体" w:cs="宋体"/>
                <w:szCs w:val="21"/>
              </w:rPr>
            </w:pPr>
            <w:r>
              <w:rPr>
                <w:rFonts w:hint="eastAsia" w:ascii="宋体" w:hAnsi="宋体" w:cs="宋体"/>
                <w:szCs w:val="21"/>
              </w:rPr>
              <w:t>交货时间：合同签订后，接到甲方通知后</w:t>
            </w:r>
            <w:r>
              <w:rPr>
                <w:rFonts w:hint="eastAsia" w:ascii="宋体" w:hAnsi="宋体" w:cs="宋体"/>
                <w:szCs w:val="21"/>
                <w:u w:val="single"/>
              </w:rPr>
              <w:t>90天内</w:t>
            </w:r>
            <w:r>
              <w:rPr>
                <w:rFonts w:hint="eastAsia" w:ascii="宋体" w:hAnsi="宋体" w:cs="宋体"/>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4.2</w:t>
            </w:r>
          </w:p>
        </w:tc>
        <w:tc>
          <w:tcPr>
            <w:tcW w:w="7566" w:type="dxa"/>
            <w:vAlign w:val="center"/>
          </w:tcPr>
          <w:p>
            <w:pPr>
              <w:spacing w:line="380" w:lineRule="exact"/>
              <w:rPr>
                <w:rFonts w:ascii="宋体" w:hAnsi="宋体" w:cs="宋体"/>
                <w:szCs w:val="21"/>
              </w:rPr>
            </w:pPr>
            <w:r>
              <w:rPr>
                <w:rFonts w:hint="eastAsia" w:ascii="宋体" w:hAnsi="宋体" w:cs="宋体"/>
                <w:szCs w:val="21"/>
              </w:rPr>
              <w:t>交货地点：采购人指定地点。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122" w:hRule="atLeast"/>
          <w:jc w:val="center"/>
        </w:trPr>
        <w:tc>
          <w:tcPr>
            <w:tcW w:w="103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
                <w:kern w:val="0"/>
                <w:szCs w:val="21"/>
              </w:rPr>
              <w:t>5</w:t>
            </w:r>
          </w:p>
        </w:tc>
        <w:tc>
          <w:tcPr>
            <w:tcW w:w="7566" w:type="dxa"/>
            <w:vAlign w:val="center"/>
          </w:tcPr>
          <w:p>
            <w:pPr>
              <w:spacing w:line="380" w:lineRule="exact"/>
              <w:rPr>
                <w:rFonts w:ascii="宋体" w:hAnsi="宋体" w:cs="宋体"/>
                <w:b/>
                <w:szCs w:val="21"/>
              </w:rPr>
            </w:pPr>
            <w:r>
              <w:rPr>
                <w:rFonts w:hint="eastAsia" w:ascii="宋体" w:hAnsi="宋体" w:cs="宋体"/>
                <w:b/>
                <w:szCs w:val="21"/>
              </w:rPr>
              <w:t>安装调试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5.1</w:t>
            </w:r>
          </w:p>
        </w:tc>
        <w:tc>
          <w:tcPr>
            <w:tcW w:w="7566" w:type="dxa"/>
            <w:vAlign w:val="center"/>
          </w:tcPr>
          <w:p>
            <w:pPr>
              <w:spacing w:line="380" w:lineRule="exact"/>
              <w:rPr>
                <w:rFonts w:ascii="宋体" w:hAnsi="宋体" w:cs="宋体"/>
                <w:b/>
                <w:szCs w:val="21"/>
              </w:rPr>
            </w:pPr>
            <w:r>
              <w:rPr>
                <w:rFonts w:hint="eastAsia" w:ascii="宋体" w:hAnsi="宋体" w:cs="宋体"/>
                <w:bCs/>
                <w:szCs w:val="21"/>
              </w:rPr>
              <w:t>安装地点：</w:t>
            </w:r>
            <w:r>
              <w:rPr>
                <w:rFonts w:hint="eastAsia" w:ascii="宋体" w:hAnsi="宋体" w:cs="宋体"/>
                <w:szCs w:val="21"/>
              </w:rPr>
              <w:t>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5.2</w:t>
            </w:r>
          </w:p>
        </w:tc>
        <w:tc>
          <w:tcPr>
            <w:tcW w:w="7566" w:type="dxa"/>
            <w:vAlign w:val="center"/>
          </w:tcPr>
          <w:p>
            <w:pPr>
              <w:spacing w:line="380" w:lineRule="exact"/>
              <w:rPr>
                <w:rFonts w:ascii="宋体" w:hAnsi="宋体" w:cs="宋体"/>
                <w:b/>
                <w:szCs w:val="21"/>
              </w:rPr>
            </w:pPr>
            <w:r>
              <w:rPr>
                <w:rFonts w:hint="eastAsia" w:ascii="宋体" w:hAnsi="宋体" w:cs="宋体"/>
                <w:bCs/>
                <w:szCs w:val="21"/>
              </w:rPr>
              <w:t>卖方须对买方现场进行查勘，在合同签定后</w:t>
            </w:r>
            <w:r>
              <w:rPr>
                <w:rFonts w:hint="eastAsia" w:ascii="宋体" w:hAnsi="宋体" w:cs="宋体"/>
                <w:bCs/>
                <w:szCs w:val="21"/>
                <w:u w:val="single"/>
              </w:rPr>
              <w:t>10个工作日</w:t>
            </w:r>
            <w:r>
              <w:rPr>
                <w:rFonts w:hint="eastAsia" w:ascii="宋体" w:hAnsi="宋体" w:cs="宋体"/>
                <w:bCs/>
                <w:szCs w:val="21"/>
              </w:rPr>
              <w:t>内书面提供买方认可的运输方案及安装方案</w:t>
            </w:r>
            <w:r>
              <w:rPr>
                <w:rFonts w:hint="eastAsia" w:ascii="宋体" w:hAnsi="宋体" w:cs="宋体"/>
                <w:bCs/>
                <w:szCs w:val="21"/>
                <w:u w:val="single"/>
              </w:rPr>
              <w:t>（按需提供）</w:t>
            </w:r>
            <w:r>
              <w:rPr>
                <w:rFonts w:hint="eastAsia" w:ascii="宋体" w:hAnsi="宋体" w:cs="宋体"/>
                <w:bCs/>
                <w:szCs w:val="21"/>
              </w:rPr>
              <w:t>，费用含在合同总价中。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5.3</w:t>
            </w:r>
          </w:p>
        </w:tc>
        <w:tc>
          <w:tcPr>
            <w:tcW w:w="7566" w:type="dxa"/>
            <w:vAlign w:val="center"/>
          </w:tcPr>
          <w:p>
            <w:pPr>
              <w:spacing w:line="380" w:lineRule="exact"/>
              <w:rPr>
                <w:rFonts w:ascii="宋体" w:hAnsi="宋体" w:cs="宋体"/>
                <w:b/>
                <w:szCs w:val="21"/>
              </w:rPr>
            </w:pPr>
            <w:r>
              <w:rPr>
                <w:rFonts w:hint="eastAsia" w:ascii="宋体" w:hAnsi="宋体" w:cs="宋体"/>
                <w:szCs w:val="21"/>
              </w:rPr>
              <w:t>安装完成时间：卖方在货物到货后</w:t>
            </w:r>
            <w:r>
              <w:rPr>
                <w:rFonts w:hint="eastAsia" w:ascii="宋体" w:hAnsi="宋体" w:cs="宋体"/>
                <w:szCs w:val="21"/>
                <w:u w:val="single"/>
              </w:rPr>
              <w:t>20个工作日内</w:t>
            </w:r>
            <w:r>
              <w:rPr>
                <w:rFonts w:hint="eastAsia" w:ascii="宋体" w:hAnsi="宋体" w:cs="宋体"/>
                <w:szCs w:val="21"/>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5.4</w:t>
            </w:r>
          </w:p>
        </w:tc>
        <w:tc>
          <w:tcPr>
            <w:tcW w:w="7566" w:type="dxa"/>
            <w:vAlign w:val="center"/>
          </w:tcPr>
          <w:p>
            <w:pPr>
              <w:spacing w:line="380" w:lineRule="exact"/>
              <w:rPr>
                <w:rFonts w:ascii="宋体" w:hAnsi="宋体" w:cs="宋体"/>
                <w:b/>
                <w:szCs w:val="21"/>
              </w:rPr>
            </w:pPr>
            <w:r>
              <w:rPr>
                <w:rFonts w:hint="eastAsia" w:ascii="宋体" w:hAnsi="宋体" w:cs="宋体"/>
                <w:bCs/>
                <w:szCs w:val="21"/>
              </w:rPr>
              <w:t>安装标准：符合我国国家有关技术规范要求和技术标准。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5.5</w:t>
            </w:r>
          </w:p>
        </w:tc>
        <w:tc>
          <w:tcPr>
            <w:tcW w:w="7566" w:type="dxa"/>
            <w:vAlign w:val="center"/>
          </w:tcPr>
          <w:p>
            <w:pPr>
              <w:spacing w:line="380" w:lineRule="exact"/>
              <w:rPr>
                <w:rFonts w:ascii="宋体" w:hAnsi="宋体" w:cs="宋体"/>
                <w:b/>
                <w:szCs w:val="21"/>
              </w:rPr>
            </w:pPr>
            <w:r>
              <w:rPr>
                <w:rFonts w:hint="eastAsia" w:ascii="宋体" w:hAnsi="宋体" w:cs="宋体"/>
                <w:bCs/>
                <w:szCs w:val="21"/>
              </w:rPr>
              <w:t>安装过程中发生的装卸、搬运和设备保险等费用全部由卖方负责。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
                <w:kern w:val="0"/>
                <w:szCs w:val="21"/>
              </w:rPr>
              <w:t>6</w:t>
            </w:r>
          </w:p>
        </w:tc>
        <w:tc>
          <w:tcPr>
            <w:tcW w:w="7566" w:type="dxa"/>
            <w:vAlign w:val="center"/>
          </w:tcPr>
          <w:p>
            <w:pPr>
              <w:spacing w:line="380" w:lineRule="exact"/>
              <w:rPr>
                <w:rFonts w:ascii="宋体" w:hAnsi="宋体" w:cs="宋体"/>
                <w:b/>
                <w:szCs w:val="21"/>
              </w:rPr>
            </w:pPr>
            <w:r>
              <w:rPr>
                <w:rFonts w:hint="eastAsia" w:ascii="宋体" w:hAnsi="宋体" w:cs="宋体"/>
                <w:b/>
                <w:szCs w:val="21"/>
              </w:rPr>
              <w:t>验收</w:t>
            </w:r>
            <w:r>
              <w:rPr>
                <w:rFonts w:hint="eastAsia" w:ascii="宋体" w:hAnsi="宋体" w:cs="宋体"/>
                <w:b/>
                <w:szCs w:val="21"/>
                <w:u w:val="single"/>
              </w:rPr>
              <w:t>（由验收部门视情况而定）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6.1</w:t>
            </w:r>
          </w:p>
        </w:tc>
        <w:tc>
          <w:tcPr>
            <w:tcW w:w="7566" w:type="dxa"/>
            <w:vAlign w:val="center"/>
          </w:tcPr>
          <w:p>
            <w:pPr>
              <w:spacing w:line="380" w:lineRule="exact"/>
              <w:rPr>
                <w:rFonts w:ascii="宋体" w:hAnsi="宋体" w:cs="宋体"/>
                <w:b/>
                <w:szCs w:val="21"/>
              </w:rPr>
            </w:pPr>
            <w:r>
              <w:rPr>
                <w:rFonts w:hint="eastAsia" w:ascii="宋体" w:hAnsi="宋体" w:cs="宋体"/>
                <w:szCs w:val="21"/>
              </w:rPr>
              <w:t>如属计量器具、放射类设备，则卖方提供经买方认可的且具有资质的检测机构出具的计量、放射防护检测合格报告，检测费用包含在合同总价中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6.2</w:t>
            </w:r>
          </w:p>
        </w:tc>
        <w:tc>
          <w:tcPr>
            <w:tcW w:w="7566" w:type="dxa"/>
            <w:vAlign w:val="center"/>
          </w:tcPr>
          <w:p>
            <w:pPr>
              <w:spacing w:line="380" w:lineRule="exact"/>
              <w:rPr>
                <w:rFonts w:ascii="宋体" w:hAnsi="宋体" w:cs="宋体"/>
                <w:szCs w:val="21"/>
              </w:rPr>
            </w:pPr>
            <w:r>
              <w:rPr>
                <w:rFonts w:hint="eastAsia" w:ascii="宋体" w:hAnsi="宋体" w:cs="宋体"/>
                <w:szCs w:val="21"/>
              </w:rPr>
              <w:t>货物应符合国家相关标准、采购文件的技术和商务要求，并根据合同条款逐项验收。买方对设备验收合格后，双方共同签署验收报告。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6.3</w:t>
            </w:r>
          </w:p>
        </w:tc>
        <w:tc>
          <w:tcPr>
            <w:tcW w:w="7566" w:type="dxa"/>
            <w:vAlign w:val="center"/>
          </w:tcPr>
          <w:p>
            <w:pPr>
              <w:spacing w:line="380" w:lineRule="exact"/>
              <w:rPr>
                <w:rFonts w:ascii="宋体" w:hAnsi="宋体" w:cs="宋体"/>
                <w:b/>
                <w:szCs w:val="21"/>
              </w:rPr>
            </w:pPr>
            <w:r>
              <w:rPr>
                <w:rFonts w:hint="eastAsia" w:ascii="宋体" w:hAnsi="宋体" w:cs="宋体"/>
                <w:szCs w:val="21"/>
              </w:rPr>
              <w:t>验收过程中发现货物性能或功能达不到要求，卖方必须更换有关部件，使货物最终达到规定的性能指标和功能要求，但必须在发现问题后</w:t>
            </w:r>
            <w:r>
              <w:rPr>
                <w:rFonts w:hint="eastAsia" w:ascii="宋体" w:hAnsi="宋体" w:cs="宋体"/>
                <w:szCs w:val="21"/>
                <w:u w:val="single"/>
              </w:rPr>
              <w:t>15个工作日</w:t>
            </w:r>
            <w:r>
              <w:rPr>
                <w:rFonts w:hint="eastAsia" w:ascii="宋体" w:hAnsi="宋体" w:cs="宋体"/>
                <w:szCs w:val="21"/>
              </w:rPr>
              <w:t>内完成，如涉及虚假响应的，则按相关规定处理。货物安装完毕试运行正常30个工作日，在1周内双方签订验收报告。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kern w:val="0"/>
                <w:szCs w:val="21"/>
              </w:rPr>
              <w:t>7</w:t>
            </w:r>
          </w:p>
        </w:tc>
        <w:tc>
          <w:tcPr>
            <w:tcW w:w="7566" w:type="dxa"/>
            <w:vAlign w:val="center"/>
          </w:tcPr>
          <w:p>
            <w:pPr>
              <w:spacing w:line="380" w:lineRule="exact"/>
              <w:rPr>
                <w:rFonts w:ascii="宋体" w:hAnsi="宋体" w:cs="宋体"/>
                <w:b/>
                <w:szCs w:val="21"/>
              </w:rPr>
            </w:pPr>
            <w:r>
              <w:rPr>
                <w:rFonts w:hint="eastAsia" w:ascii="宋体" w:hAnsi="宋体" w:cs="宋体"/>
                <w:b/>
                <w:szCs w:val="21"/>
              </w:rPr>
              <w:t>培训</w:t>
            </w:r>
            <w:r>
              <w:rPr>
                <w:rFonts w:hint="eastAsia" w:ascii="宋体" w:hAnsi="宋体" w:cs="宋体"/>
                <w:b/>
                <w:szCs w:val="21"/>
                <w:u w:val="single"/>
              </w:rPr>
              <w:t>（由使用部门视情况而定）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7.1</w:t>
            </w:r>
          </w:p>
        </w:tc>
        <w:tc>
          <w:tcPr>
            <w:tcW w:w="7566" w:type="dxa"/>
            <w:vAlign w:val="center"/>
          </w:tcPr>
          <w:p>
            <w:pPr>
              <w:snapToGrid w:val="0"/>
              <w:rPr>
                <w:rFonts w:ascii="宋体" w:hAnsi="宋体" w:cs="宋体"/>
                <w:bCs/>
                <w:szCs w:val="21"/>
              </w:rPr>
            </w:pPr>
            <w:r>
              <w:rPr>
                <w:rFonts w:hint="eastAsia" w:ascii="宋体" w:hAnsi="宋体" w:cs="宋体"/>
                <w:szCs w:val="21"/>
              </w:rPr>
              <w:t>操作应用培训：卖方负责在医院现场提供累计不少于</w:t>
            </w:r>
            <w:r>
              <w:rPr>
                <w:rFonts w:hint="eastAsia" w:ascii="宋体" w:hAnsi="宋体" w:cs="宋体"/>
                <w:szCs w:val="21"/>
                <w:u w:val="single"/>
              </w:rPr>
              <w:t>5个工作日</w:t>
            </w:r>
            <w:r>
              <w:rPr>
                <w:rFonts w:hint="eastAsia" w:ascii="宋体" w:hAnsi="宋体" w:cs="宋体"/>
                <w:szCs w:val="21"/>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7.2</w:t>
            </w:r>
          </w:p>
        </w:tc>
        <w:tc>
          <w:tcPr>
            <w:tcW w:w="7566" w:type="dxa"/>
            <w:vAlign w:val="center"/>
          </w:tcPr>
          <w:p>
            <w:pPr>
              <w:snapToGrid w:val="0"/>
              <w:rPr>
                <w:rFonts w:ascii="宋体" w:hAnsi="宋体" w:cs="宋体"/>
                <w:bCs/>
                <w:szCs w:val="21"/>
              </w:rPr>
            </w:pPr>
            <w:r>
              <w:rPr>
                <w:rFonts w:hint="eastAsia" w:ascii="宋体" w:hAnsi="宋体" w:cs="宋体"/>
                <w:szCs w:val="21"/>
              </w:rPr>
              <w:t>维修保养培训：卖方负责在医院现场提供维修人员的培训，使医院维修工程人员掌握设备参数设置、日常保养、常见故障排除等技能。卖方须提供涵盖上述内容的培训资料。所有培训费用已含入总价中。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7.3</w:t>
            </w:r>
          </w:p>
        </w:tc>
        <w:tc>
          <w:tcPr>
            <w:tcW w:w="7566" w:type="dxa"/>
            <w:vAlign w:val="center"/>
          </w:tcPr>
          <w:p>
            <w:pPr>
              <w:snapToGrid w:val="0"/>
              <w:rPr>
                <w:rFonts w:ascii="宋体" w:hAnsi="宋体" w:cs="宋体"/>
                <w:bCs/>
                <w:szCs w:val="21"/>
              </w:rPr>
            </w:pPr>
            <w:r>
              <w:rPr>
                <w:rFonts w:hint="eastAsia" w:ascii="宋体" w:hAnsi="宋体" w:cs="宋体"/>
                <w:szCs w:val="21"/>
              </w:rPr>
              <w:t>培训完成后，卖方须提供详细培训记录，培训记录应有培训内容、参加人员（签字）、培训地点、培训时间以及操作人员考核情况。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7.4</w:t>
            </w:r>
          </w:p>
        </w:tc>
        <w:tc>
          <w:tcPr>
            <w:tcW w:w="7566" w:type="dxa"/>
            <w:vAlign w:val="center"/>
          </w:tcPr>
          <w:p>
            <w:pPr>
              <w:snapToGrid w:val="0"/>
              <w:rPr>
                <w:rFonts w:ascii="宋体" w:hAnsi="宋体" w:cs="宋体"/>
                <w:bCs/>
                <w:szCs w:val="21"/>
              </w:rPr>
            </w:pPr>
            <w:r>
              <w:rPr>
                <w:rFonts w:hint="eastAsia" w:ascii="宋体" w:hAnsi="宋体" w:cs="宋体"/>
                <w:szCs w:val="21"/>
              </w:rPr>
              <w:t>技能考核：卖方提供试题及考核评估方案，对医院操作人员和维修工程人员进行技能考核。考核完成后，卖方须提供详细考核记录，考核记录应有考核内容、参加人员（签字）、考核地点、考核时间以及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
                <w:kern w:val="0"/>
                <w:szCs w:val="21"/>
              </w:rPr>
              <w:t>8</w:t>
            </w:r>
          </w:p>
        </w:tc>
        <w:tc>
          <w:tcPr>
            <w:tcW w:w="7566" w:type="dxa"/>
            <w:vAlign w:val="center"/>
          </w:tcPr>
          <w:p>
            <w:pPr>
              <w:spacing w:line="380" w:lineRule="exact"/>
              <w:rPr>
                <w:rFonts w:ascii="宋体" w:hAnsi="宋体" w:cs="宋体"/>
                <w:b/>
                <w:szCs w:val="21"/>
              </w:rPr>
            </w:pPr>
            <w:r>
              <w:rPr>
                <w:rFonts w:hint="eastAsia" w:ascii="宋体" w:hAnsi="宋体" w:cs="宋体"/>
                <w:b/>
                <w:kern w:val="0"/>
                <w:szCs w:val="21"/>
              </w:rPr>
              <w:t>技术支持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8.1</w:t>
            </w:r>
          </w:p>
        </w:tc>
        <w:tc>
          <w:tcPr>
            <w:tcW w:w="7566" w:type="dxa"/>
            <w:vAlign w:val="center"/>
          </w:tcPr>
          <w:p>
            <w:pPr>
              <w:spacing w:line="380" w:lineRule="exact"/>
              <w:rPr>
                <w:rFonts w:ascii="宋体" w:hAnsi="宋体" w:cs="宋体"/>
                <w:kern w:val="0"/>
                <w:szCs w:val="21"/>
              </w:rPr>
            </w:pPr>
            <w:r>
              <w:rPr>
                <w:rFonts w:hint="eastAsia" w:ascii="宋体" w:hAnsi="宋体" w:cs="宋体"/>
                <w:szCs w:val="21"/>
              </w:rPr>
              <w:t>提供所有软件终生免费安装（含硬件更换后软件重新安装调试）、调试、维护服务。供应商负有网络安全防护义务，承诺无条件及时修复出现的安全漏洞，报价须包含软件升级费用。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8.2</w:t>
            </w:r>
          </w:p>
        </w:tc>
        <w:tc>
          <w:tcPr>
            <w:tcW w:w="7566" w:type="dxa"/>
            <w:vAlign w:val="center"/>
          </w:tcPr>
          <w:p>
            <w:pPr>
              <w:spacing w:line="380" w:lineRule="exact"/>
              <w:rPr>
                <w:rFonts w:ascii="宋体" w:hAnsi="宋体" w:cs="宋体"/>
                <w:szCs w:val="21"/>
              </w:rPr>
            </w:pPr>
            <w:r>
              <w:rPr>
                <w:rFonts w:hint="eastAsia" w:ascii="宋体" w:hAnsi="宋体" w:cs="宋体"/>
                <w:szCs w:val="21"/>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
                <w:kern w:val="0"/>
                <w:szCs w:val="21"/>
              </w:rPr>
              <w:t>9</w:t>
            </w:r>
          </w:p>
        </w:tc>
        <w:tc>
          <w:tcPr>
            <w:tcW w:w="7566" w:type="dxa"/>
            <w:vAlign w:val="center"/>
          </w:tcPr>
          <w:p>
            <w:pPr>
              <w:spacing w:line="380" w:lineRule="exact"/>
              <w:rPr>
                <w:rFonts w:ascii="宋体" w:hAnsi="宋体" w:cs="宋体"/>
                <w:b/>
                <w:szCs w:val="21"/>
              </w:rPr>
            </w:pPr>
            <w:r>
              <w:rPr>
                <w:rFonts w:hint="eastAsia" w:ascii="宋体" w:hAnsi="宋体" w:cs="宋体"/>
                <w:b/>
                <w:szCs w:val="21"/>
              </w:rPr>
              <w:t>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9.1</w:t>
            </w:r>
          </w:p>
        </w:tc>
        <w:tc>
          <w:tcPr>
            <w:tcW w:w="7566" w:type="dxa"/>
            <w:vAlign w:val="center"/>
          </w:tcPr>
          <w:p>
            <w:pPr>
              <w:spacing w:line="380" w:lineRule="exact"/>
              <w:rPr>
                <w:rFonts w:ascii="宋体" w:hAnsi="宋体" w:cs="宋体"/>
                <w:szCs w:val="21"/>
              </w:rPr>
            </w:pPr>
            <w:r>
              <w:rPr>
                <w:rFonts w:hint="eastAsia" w:ascii="宋体" w:hAnsi="宋体" w:cs="宋体"/>
                <w:bCs/>
                <w:szCs w:val="21"/>
              </w:rPr>
              <w:t>卖方所提供的产品应具有知识产权的合法产品，且卖方保证所提供的设备或其任何一部分均不会侵犯任何第三方的知识产权。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9.2</w:t>
            </w:r>
          </w:p>
        </w:tc>
        <w:tc>
          <w:tcPr>
            <w:tcW w:w="7566" w:type="dxa"/>
            <w:vAlign w:val="center"/>
          </w:tcPr>
          <w:p>
            <w:pPr>
              <w:spacing w:line="380" w:lineRule="exact"/>
              <w:rPr>
                <w:rFonts w:ascii="宋体" w:hAnsi="宋体" w:cs="宋体"/>
                <w:bCs/>
                <w:szCs w:val="21"/>
              </w:rPr>
            </w:pPr>
            <w:r>
              <w:rPr>
                <w:rFonts w:hint="eastAsia" w:ascii="宋体" w:hAnsi="宋体" w:cs="宋体"/>
                <w:bCs/>
                <w:szCs w:val="21"/>
              </w:rPr>
              <w:t>卖方保证所交付的所有设备的所有权完全属于卖方且无任何抵押、查封等产权瑕疵。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
                <w:kern w:val="0"/>
                <w:szCs w:val="21"/>
              </w:rPr>
              <w:t>10</w:t>
            </w:r>
          </w:p>
        </w:tc>
        <w:tc>
          <w:tcPr>
            <w:tcW w:w="7566" w:type="dxa"/>
            <w:vAlign w:val="center"/>
          </w:tcPr>
          <w:p>
            <w:pPr>
              <w:spacing w:line="380" w:lineRule="exact"/>
              <w:rPr>
                <w:rFonts w:ascii="宋体" w:hAnsi="宋体" w:cs="宋体"/>
                <w:szCs w:val="21"/>
              </w:rPr>
            </w:pPr>
            <w:r>
              <w:rPr>
                <w:rFonts w:hint="eastAsia" w:ascii="宋体" w:hAnsi="宋体" w:cs="宋体"/>
                <w:b/>
                <w:kern w:val="0"/>
                <w:szCs w:val="21"/>
              </w:rPr>
              <w:t>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10.1</w:t>
            </w:r>
          </w:p>
        </w:tc>
        <w:tc>
          <w:tcPr>
            <w:tcW w:w="7566" w:type="dxa"/>
            <w:vAlign w:val="center"/>
          </w:tcPr>
          <w:p>
            <w:pPr>
              <w:rPr>
                <w:rFonts w:ascii="宋体" w:hAnsi="宋体" w:cs="宋体"/>
                <w:szCs w:val="21"/>
              </w:rPr>
            </w:pPr>
            <w:r>
              <w:rPr>
                <w:rFonts w:hint="eastAsia" w:ascii="宋体" w:hAnsi="宋体" w:cs="宋体"/>
                <w:szCs w:val="21"/>
              </w:rPr>
              <w:t>1、签订合同时，供应商应向采购人支付预付款保函。采购人在收到预付款保函、合同生效且项目具备实施条件后支付合同金额的40%作为预付款；货物安装验收合格后付清余款。（适用中小企业投标）</w:t>
            </w:r>
          </w:p>
          <w:p>
            <w:pPr>
              <w:rPr>
                <w:rFonts w:ascii="宋体" w:hAnsi="宋体" w:cs="宋体"/>
                <w:szCs w:val="21"/>
              </w:rPr>
            </w:pPr>
            <w:r>
              <w:rPr>
                <w:rFonts w:hint="eastAsia" w:ascii="宋体" w:hAnsi="宋体" w:cs="宋体"/>
                <w:szCs w:val="21"/>
              </w:rPr>
              <w:t>2、合同生效且项目具备实施条件后，采购人支付合同金额的40%作为预付款；货物安装验收合格后付清余款。（适用中小企业投标）</w:t>
            </w:r>
          </w:p>
          <w:p>
            <w:pPr>
              <w:rPr>
                <w:rFonts w:ascii="宋体" w:hAnsi="宋体" w:cs="宋体"/>
                <w:szCs w:val="21"/>
              </w:rPr>
            </w:pPr>
            <w:r>
              <w:rPr>
                <w:rFonts w:hint="eastAsia" w:ascii="宋体" w:hAnsi="宋体" w:cs="宋体"/>
                <w:szCs w:val="21"/>
              </w:rPr>
              <w:t>3、验收合格后付全款。（适用大型企业投标）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10.2</w:t>
            </w:r>
          </w:p>
        </w:tc>
        <w:tc>
          <w:tcPr>
            <w:tcW w:w="7566" w:type="dxa"/>
            <w:vAlign w:val="center"/>
          </w:tcPr>
          <w:p>
            <w:pPr>
              <w:widowControl/>
              <w:spacing w:before="100" w:beforeAutospacing="1" w:after="100" w:afterAutospacing="1"/>
              <w:rPr>
                <w:rFonts w:ascii="宋体" w:hAnsi="宋体" w:cs="宋体"/>
                <w:b/>
                <w:szCs w:val="21"/>
              </w:rPr>
            </w:pPr>
            <w:r>
              <w:rPr>
                <w:rFonts w:hint="eastAsia" w:ascii="宋体" w:hAnsi="宋体" w:cs="宋体"/>
                <w:szCs w:val="21"/>
              </w:rPr>
              <w:t>在签订合同时，供应商明确表示无需预付款或者主动要求降低预付款比例的，不适用前述规定。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10.3</w:t>
            </w:r>
          </w:p>
        </w:tc>
        <w:tc>
          <w:tcPr>
            <w:tcW w:w="7566" w:type="dxa"/>
            <w:vAlign w:val="center"/>
          </w:tcPr>
          <w:p>
            <w:pPr>
              <w:rPr>
                <w:rFonts w:ascii="宋体" w:hAnsi="宋体" w:cs="宋体"/>
                <w:szCs w:val="21"/>
              </w:rPr>
            </w:pPr>
            <w:r>
              <w:rPr>
                <w:rFonts w:hint="eastAsia" w:ascii="宋体" w:hAnsi="宋体" w:cs="宋体"/>
                <w:szCs w:val="21"/>
              </w:rPr>
              <w:t>签订合同后3日内，供应商交纳1%的履约保证金；履约保证金在保质期满后（从项目整体验收合格之日算起）无质量问题、无售后服务问题并符合合同约定，无息退还。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b/>
                <w:kern w:val="0"/>
                <w:szCs w:val="21"/>
              </w:rPr>
              <w:t>11</w:t>
            </w:r>
          </w:p>
        </w:tc>
        <w:tc>
          <w:tcPr>
            <w:tcW w:w="7566" w:type="dxa"/>
            <w:vAlign w:val="center"/>
          </w:tcPr>
          <w:p>
            <w:pPr>
              <w:widowControl/>
              <w:spacing w:before="100" w:beforeAutospacing="1" w:after="100" w:afterAutospacing="1"/>
              <w:rPr>
                <w:rFonts w:ascii="宋体" w:hAnsi="宋体" w:cs="宋体"/>
                <w:b/>
                <w:szCs w:val="21"/>
              </w:rPr>
            </w:pPr>
            <w:r>
              <w:rPr>
                <w:rFonts w:hint="eastAsia" w:ascii="宋体" w:hAnsi="宋体" w:cs="宋体"/>
                <w:b/>
                <w:color w:val="000000"/>
                <w:kern w:val="0"/>
                <w:szCs w:val="21"/>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11.1</w:t>
            </w:r>
          </w:p>
        </w:tc>
        <w:tc>
          <w:tcPr>
            <w:tcW w:w="7566" w:type="dxa"/>
            <w:vAlign w:val="center"/>
          </w:tcPr>
          <w:p>
            <w:pPr>
              <w:widowControl/>
              <w:spacing w:before="100" w:beforeAutospacing="1" w:after="100" w:afterAutospacing="1"/>
              <w:rPr>
                <w:rFonts w:ascii="宋体" w:hAnsi="宋体" w:cs="宋体"/>
                <w:szCs w:val="21"/>
              </w:rPr>
            </w:pPr>
            <w:r>
              <w:rPr>
                <w:rFonts w:hint="eastAsia" w:ascii="宋体" w:hAnsi="宋体" w:cs="宋体"/>
                <w:szCs w:val="21"/>
              </w:rPr>
              <w:t>若设备有信息系统接口，则全部免费开放，并无条件配合采购人接入信息管理网络系统。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03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11.2</w:t>
            </w:r>
          </w:p>
        </w:tc>
        <w:tc>
          <w:tcPr>
            <w:tcW w:w="7566" w:type="dxa"/>
            <w:vAlign w:val="center"/>
          </w:tcPr>
          <w:p>
            <w:pPr>
              <w:widowControl/>
              <w:spacing w:before="100" w:beforeAutospacing="1" w:after="100" w:afterAutospacing="1"/>
              <w:rPr>
                <w:rFonts w:ascii="宋体" w:hAnsi="宋体" w:cs="宋体"/>
                <w:szCs w:val="21"/>
              </w:rPr>
            </w:pPr>
            <w:r>
              <w:rPr>
                <w:rFonts w:hint="eastAsia" w:ascii="宋体" w:hAnsi="宋体" w:cs="宋体"/>
                <w:szCs w:val="21"/>
              </w:rPr>
              <w:t>采购文件中未提及的某些属标配的功能、软件，必须无条件提供。</w:t>
            </w:r>
          </w:p>
        </w:tc>
      </w:tr>
    </w:tbl>
    <w:p>
      <w:pPr>
        <w:spacing w:line="360" w:lineRule="auto"/>
        <w:rPr>
          <w:rFonts w:hint="eastAsia" w:ascii="Calibri" w:hAnsi="Calibri"/>
          <w:b/>
          <w:color w:val="auto"/>
          <w:sz w:val="24"/>
        </w:rPr>
      </w:pPr>
    </w:p>
    <w:p>
      <w:pPr>
        <w:spacing w:line="360" w:lineRule="auto"/>
        <w:rPr>
          <w:rFonts w:ascii="Calibri" w:hAnsi="Calibri"/>
          <w:b/>
          <w:color w:val="auto"/>
          <w:sz w:val="24"/>
        </w:rPr>
      </w:pPr>
      <w:r>
        <w:rPr>
          <w:rFonts w:hint="eastAsia" w:ascii="Calibri" w:hAnsi="Calibri"/>
          <w:b/>
          <w:color w:val="auto"/>
          <w:sz w:val="24"/>
        </w:rPr>
        <w:t>五、其他要求</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带“★”号项为实质性响应要求，如不满足将作无效投标处理。针对带“★”号技术参数要求，供应商需提供充分的证明材料，未提供充分证明材料的，评审委员会有权视为不满足采购文件要求。证明材料可以是以下四项中任一项：</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1）生产制造商公开对外宣传的带有响应技术参数或功能的产品彩页，为响应而临时打印的无效。</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2）加盖生产制造商公章的技术白皮书。</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3）可在生产制造商官网查询到的产品技术参数或功能，需提供官网截图和网址等信息。</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4）评审委员会认可的其他有效证明（包括但不限于第三方检测报告、加盖生产制造商的证明材料等）。</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2、针对“★”提供满足技术参数的佐证资料并在偏离表中标明佐证资料页码。</w:t>
      </w: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p>
    <w:p>
      <w:pPr>
        <w:snapToGrid w:val="0"/>
        <w:spacing w:line="360" w:lineRule="auto"/>
        <w:jc w:val="both"/>
        <w:rPr>
          <w:rFonts w:hint="eastAsia" w:ascii="宋体" w:hAnsi="宋体"/>
          <w:color w:val="000000" w:themeColor="text1"/>
          <w:spacing w:val="-4"/>
          <w:sz w:val="28"/>
          <w:szCs w:val="28"/>
          <w:lang w:eastAsia="zh-CN"/>
          <w14:textFill>
            <w14:solidFill>
              <w14:schemeClr w14:val="tx1"/>
            </w14:solidFill>
          </w14:textFill>
        </w:rPr>
      </w:pPr>
      <w:r>
        <w:rPr>
          <w:rFonts w:hint="eastAsia" w:ascii="宋体" w:hAnsi="宋体"/>
          <w:color w:val="000000" w:themeColor="text1"/>
          <w:spacing w:val="-4"/>
          <w:sz w:val="28"/>
          <w:szCs w:val="28"/>
          <w:lang w:eastAsia="zh-CN"/>
          <w14:textFill>
            <w14:solidFill>
              <w14:schemeClr w14:val="tx1"/>
            </w14:solidFill>
          </w14:textFill>
        </w:rPr>
        <w:t>标二：</w:t>
      </w:r>
    </w:p>
    <w:p>
      <w:pPr>
        <w:rPr>
          <w:rFonts w:ascii="宋体" w:hAnsi="宋体"/>
          <w:b/>
          <w:sz w:val="28"/>
          <w:szCs w:val="28"/>
        </w:rPr>
      </w:pPr>
      <w:r>
        <w:rPr>
          <w:rFonts w:hint="eastAsia" w:ascii="宋体" w:hAnsi="宋体"/>
          <w:b/>
          <w:sz w:val="28"/>
          <w:szCs w:val="28"/>
        </w:rPr>
        <w:t>一、采购内容：</w:t>
      </w:r>
    </w:p>
    <w:tbl>
      <w:tblPr>
        <w:tblStyle w:val="65"/>
        <w:tblW w:w="85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6"/>
        <w:gridCol w:w="1977"/>
        <w:gridCol w:w="2444"/>
        <w:gridCol w:w="1816"/>
        <w:gridCol w:w="12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1"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标项号</w:t>
            </w:r>
          </w:p>
        </w:tc>
        <w:tc>
          <w:tcPr>
            <w:tcW w:w="197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采购内容</w:t>
            </w:r>
          </w:p>
        </w:tc>
        <w:tc>
          <w:tcPr>
            <w:tcW w:w="24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4"/>
                <w:sz w:val="24"/>
              </w:rPr>
              <w:t>数量及单位</w:t>
            </w:r>
          </w:p>
        </w:tc>
        <w:tc>
          <w:tcPr>
            <w:tcW w:w="181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asciiTheme="minorEastAsia" w:hAnsiTheme="minorEastAsia" w:eastAsiaTheme="minorEastAsia" w:cstheme="minorEastAsia"/>
                <w:spacing w:val="-4"/>
                <w:sz w:val="24"/>
              </w:rPr>
            </w:pPr>
            <w:r>
              <w:rPr>
                <w:rFonts w:hint="eastAsia" w:asciiTheme="minorEastAsia" w:hAnsiTheme="minorEastAsia" w:eastAsiaTheme="minorEastAsia" w:cstheme="minorEastAsia"/>
                <w:sz w:val="24"/>
              </w:rPr>
              <w:t>总金额（万元）</w:t>
            </w: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是否允许进口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pStyle w:val="3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 w:val="0"/>
                <w:bCs w:val="0"/>
                <w:color w:val="000000"/>
                <w:sz w:val="24"/>
                <w:szCs w:val="24"/>
              </w:rPr>
              <w:t>染色封片一体机</w:t>
            </w:r>
          </w:p>
        </w:tc>
        <w:tc>
          <w:tcPr>
            <w:tcW w:w="244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1台</w:t>
            </w: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33</w:t>
            </w:r>
          </w:p>
        </w:tc>
        <w:tc>
          <w:tcPr>
            <w:tcW w:w="1274" w:type="dxa"/>
            <w:tcBorders>
              <w:top w:val="single" w:color="auto" w:sz="4" w:space="0"/>
              <w:left w:val="single" w:color="auto" w:sz="4" w:space="0"/>
              <w:bottom w:val="single" w:color="auto" w:sz="4" w:space="0"/>
              <w:right w:val="single" w:color="auto" w:sz="4" w:space="0"/>
            </w:tcBorders>
            <w:vAlign w:val="center"/>
          </w:tcPr>
          <w:p>
            <w:pPr>
              <w:pStyle w:val="334"/>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否</w:t>
            </w:r>
          </w:p>
        </w:tc>
      </w:tr>
    </w:tbl>
    <w:p>
      <w:pPr>
        <w:autoSpaceDE w:val="0"/>
        <w:autoSpaceDN w:val="0"/>
        <w:spacing w:line="360" w:lineRule="auto"/>
        <w:textAlignment w:val="bottom"/>
        <w:rPr>
          <w:rFonts w:ascii="宋体" w:hAnsi="宋体"/>
          <w:b/>
          <w:sz w:val="24"/>
        </w:rPr>
      </w:pPr>
    </w:p>
    <w:p>
      <w:pPr>
        <w:rPr>
          <w:rFonts w:ascii="宋体" w:hAnsi="宋体"/>
          <w:b/>
          <w:sz w:val="28"/>
          <w:szCs w:val="28"/>
        </w:rPr>
      </w:pPr>
      <w:r>
        <w:rPr>
          <w:rFonts w:hint="eastAsia" w:ascii="宋体" w:hAnsi="宋体"/>
          <w:b/>
          <w:sz w:val="28"/>
          <w:szCs w:val="28"/>
        </w:rPr>
        <w:t>二、技术参数要求</w:t>
      </w:r>
    </w:p>
    <w:tbl>
      <w:tblPr>
        <w:tblStyle w:val="65"/>
        <w:tblW w:w="85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84"/>
        <w:gridCol w:w="720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84" w:type="dxa"/>
            <w:vAlign w:val="center"/>
          </w:tcPr>
          <w:p>
            <w:pPr>
              <w:jc w:val="center"/>
              <w:rPr>
                <w:b/>
                <w:sz w:val="24"/>
              </w:rPr>
            </w:pPr>
            <w:r>
              <w:rPr>
                <w:rFonts w:hAnsi="宋体"/>
                <w:b/>
                <w:sz w:val="24"/>
              </w:rPr>
              <w:t>序号</w:t>
            </w:r>
          </w:p>
        </w:tc>
        <w:tc>
          <w:tcPr>
            <w:tcW w:w="7207" w:type="dxa"/>
            <w:tcBorders>
              <w:right w:val="single" w:color="auto" w:sz="4" w:space="0"/>
            </w:tcBorders>
            <w:vAlign w:val="center"/>
          </w:tcPr>
          <w:p>
            <w:pPr>
              <w:jc w:val="center"/>
              <w:rPr>
                <w:b/>
                <w:sz w:val="24"/>
              </w:rPr>
            </w:pPr>
            <w:r>
              <w:rPr>
                <w:rFonts w:hint="eastAsia" w:hAnsi="宋体"/>
                <w:b/>
                <w:sz w:val="24"/>
              </w:rPr>
              <w:t>详细</w:t>
            </w:r>
            <w:r>
              <w:rPr>
                <w:rFonts w:hAnsi="宋体"/>
                <w:b/>
                <w:sz w:val="24"/>
              </w:rPr>
              <w:t>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widowControl/>
              <w:jc w:val="left"/>
              <w:rPr>
                <w:rFonts w:hint="default"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（一）</w:t>
            </w:r>
          </w:p>
        </w:tc>
        <w:tc>
          <w:tcPr>
            <w:tcW w:w="7207" w:type="dxa"/>
            <w:tcBorders>
              <w:right w:val="single" w:color="auto" w:sz="4" w:space="0"/>
            </w:tcBorders>
            <w:shd w:val="clear" w:color="auto" w:fill="auto"/>
            <w:vAlign w:val="center"/>
          </w:tcPr>
          <w:p>
            <w:pPr>
              <w:widowControl/>
              <w:rPr>
                <w:rFonts w:hint="default"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基本要求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widowControl/>
              <w:jc w:val="left"/>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kern w:val="0"/>
                <w:sz w:val="24"/>
                <w:szCs w:val="24"/>
              </w:rPr>
              <w:t>★</w:t>
            </w:r>
            <w:r>
              <w:rPr>
                <w:rFonts w:hint="eastAsia" w:asciiTheme="minorEastAsia" w:hAnsiTheme="minorEastAsia" w:eastAsiaTheme="minorEastAsia" w:cstheme="minorEastAsia"/>
                <w:b w:val="0"/>
                <w:bCs w:val="0"/>
                <w:color w:val="000000"/>
                <w:sz w:val="24"/>
                <w:szCs w:val="24"/>
              </w:rPr>
              <w:t>1.</w:t>
            </w:r>
          </w:p>
        </w:tc>
        <w:tc>
          <w:tcPr>
            <w:tcW w:w="7207" w:type="dxa"/>
            <w:tcBorders>
              <w:right w:val="single" w:color="auto" w:sz="4" w:space="0"/>
            </w:tcBorders>
            <w:shd w:val="clear" w:color="auto" w:fill="auto"/>
            <w:vAlign w:val="center"/>
          </w:tcPr>
          <w:p>
            <w:pPr>
              <w:widowControl/>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sz w:val="24"/>
                <w:szCs w:val="24"/>
              </w:rPr>
              <w:t>满足病理科每日同时处理≥</w:t>
            </w:r>
            <w:r>
              <w:rPr>
                <w:rFonts w:hint="eastAsia" w:asciiTheme="minorEastAsia" w:hAnsiTheme="minorEastAsia" w:eastAsiaTheme="minorEastAsia" w:cstheme="minorEastAsia"/>
                <w:b w:val="0"/>
                <w:bCs w:val="0"/>
                <w:sz w:val="24"/>
                <w:szCs w:val="24"/>
                <w:lang w:val="en-US" w:eastAsia="zh-CN"/>
              </w:rPr>
              <w:t>300</w:t>
            </w:r>
            <w:r>
              <w:rPr>
                <w:rFonts w:hint="eastAsia" w:asciiTheme="minorEastAsia" w:hAnsiTheme="minorEastAsia" w:eastAsiaTheme="minorEastAsia" w:cstheme="minorEastAsia"/>
                <w:b w:val="0"/>
                <w:bCs w:val="0"/>
                <w:sz w:val="24"/>
                <w:szCs w:val="24"/>
              </w:rPr>
              <w:t>张</w:t>
            </w:r>
            <w:r>
              <w:rPr>
                <w:rFonts w:hint="eastAsia" w:asciiTheme="minorEastAsia" w:hAnsiTheme="minorEastAsia" w:eastAsiaTheme="minorEastAsia" w:cstheme="minorEastAsia"/>
                <w:b w:val="0"/>
                <w:bCs w:val="0"/>
                <w:sz w:val="24"/>
                <w:szCs w:val="24"/>
                <w:lang w:val="en-US" w:eastAsia="zh-CN"/>
              </w:rPr>
              <w:t>切片染色的需求</w:t>
            </w:r>
            <w:r>
              <w:rPr>
                <w:rFonts w:hint="eastAsia" w:asciiTheme="minorEastAsia" w:hAnsiTheme="minorEastAsia" w:eastAsiaTheme="minorEastAsia" w:cstheme="minorEastAsia"/>
                <w:b w:val="0"/>
                <w:bCs w:val="0"/>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widowControl/>
              <w:jc w:val="left"/>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kern w:val="0"/>
                <w:sz w:val="24"/>
                <w:szCs w:val="24"/>
              </w:rPr>
              <w:t>★2.</w:t>
            </w:r>
          </w:p>
        </w:tc>
        <w:tc>
          <w:tcPr>
            <w:tcW w:w="7207" w:type="dxa"/>
            <w:tcBorders>
              <w:right w:val="single" w:color="auto" w:sz="4" w:space="0"/>
            </w:tcBorders>
            <w:shd w:val="clear" w:color="auto" w:fill="auto"/>
            <w:vAlign w:val="center"/>
          </w:tcPr>
          <w:p>
            <w:pPr>
              <w:widowControl/>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rPr>
              <w:t>染色机和封片机可组成一体化工作站，工作站的染色、盖片部分，既可单独使用，也可组合使用。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rPr>
              <w:t>★</w:t>
            </w:r>
            <w:r>
              <w:rPr>
                <w:rFonts w:hint="eastAsia" w:asciiTheme="minorEastAsia" w:hAnsiTheme="minorEastAsia" w:eastAsiaTheme="minorEastAsia" w:cstheme="minorEastAsia"/>
                <w:b w:val="0"/>
                <w:bCs w:val="0"/>
                <w:kern w:val="0"/>
                <w:sz w:val="24"/>
                <w:szCs w:val="24"/>
                <w:lang w:val="en-US" w:eastAsia="zh-CN"/>
              </w:rPr>
              <w:t>3.</w:t>
            </w:r>
          </w:p>
        </w:tc>
        <w:tc>
          <w:tcPr>
            <w:tcW w:w="7207" w:type="dxa"/>
            <w:tcBorders>
              <w:right w:val="single" w:color="auto" w:sz="4" w:space="0"/>
            </w:tcBorders>
            <w:shd w:val="clear" w:color="auto" w:fill="auto"/>
            <w:vAlign w:val="center"/>
          </w:tcPr>
          <w:p>
            <w:pPr>
              <w:widowControl/>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rPr>
              <w:t>台式染色封片一体机尺寸，应确保机器可放置通风柜中（通风柜长215cm；宽90cm；高105cm）。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widowControl/>
              <w:jc w:val="left"/>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（二）</w:t>
            </w:r>
          </w:p>
        </w:tc>
        <w:tc>
          <w:tcPr>
            <w:tcW w:w="7207" w:type="dxa"/>
            <w:tcBorders>
              <w:right w:val="single" w:color="auto" w:sz="4" w:space="0"/>
            </w:tcBorders>
            <w:shd w:val="clear" w:color="auto" w:fill="auto"/>
            <w:vAlign w:val="center"/>
          </w:tcPr>
          <w:p>
            <w:pPr>
              <w:widowControl/>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具体</w:t>
            </w:r>
            <w:r>
              <w:rPr>
                <w:rFonts w:hint="eastAsia" w:asciiTheme="minorEastAsia" w:hAnsiTheme="minorEastAsia" w:eastAsiaTheme="minorEastAsia" w:cstheme="minorEastAsia"/>
                <w:b w:val="0"/>
                <w:bCs w:val="0"/>
                <w:color w:val="000000"/>
                <w:sz w:val="24"/>
                <w:szCs w:val="24"/>
                <w:lang w:val="en-US" w:eastAsia="zh-CN"/>
              </w:rPr>
              <w:t>技术</w:t>
            </w:r>
            <w:r>
              <w:rPr>
                <w:rFonts w:hint="eastAsia" w:asciiTheme="minorEastAsia" w:hAnsiTheme="minorEastAsia" w:eastAsiaTheme="minorEastAsia" w:cstheme="minorEastAsia"/>
                <w:b w:val="0"/>
                <w:bCs w:val="0"/>
                <w:color w:val="000000"/>
                <w:sz w:val="24"/>
                <w:szCs w:val="24"/>
              </w:rPr>
              <w:t>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widowControl/>
              <w:jc w:val="left"/>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1</w:t>
            </w:r>
          </w:p>
        </w:tc>
        <w:tc>
          <w:tcPr>
            <w:tcW w:w="7207" w:type="dxa"/>
            <w:tcBorders>
              <w:right w:val="single" w:color="auto" w:sz="4" w:space="0"/>
            </w:tcBorders>
            <w:shd w:val="clear" w:color="auto" w:fill="auto"/>
            <w:vAlign w:val="center"/>
          </w:tcPr>
          <w:p>
            <w:pPr>
              <w:widowControl/>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染色区设备技术</w:t>
            </w:r>
            <w:r>
              <w:rPr>
                <w:rFonts w:hint="eastAsia" w:asciiTheme="minorEastAsia" w:hAnsiTheme="minorEastAsia" w:eastAsiaTheme="minorEastAsia" w:cstheme="minorEastAsia"/>
                <w:b w:val="0"/>
                <w:bCs w:val="0"/>
                <w:color w:val="000000"/>
                <w:sz w:val="24"/>
                <w:szCs w:val="24"/>
              </w:rPr>
              <w:t>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widowControl/>
              <w:jc w:val="left"/>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▲1.1</w:t>
            </w:r>
          </w:p>
        </w:tc>
        <w:tc>
          <w:tcPr>
            <w:tcW w:w="7207" w:type="dxa"/>
            <w:tcBorders>
              <w:right w:val="single" w:color="auto" w:sz="4" w:space="0"/>
            </w:tcBorders>
            <w:shd w:val="clear" w:color="auto" w:fill="auto"/>
            <w:vAlign w:val="center"/>
          </w:tcPr>
          <w:p>
            <w:pPr>
              <w:widowControl/>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sz w:val="24"/>
                <w:szCs w:val="24"/>
              </w:rPr>
              <w:t>可连续加载≥20只染色架</w:t>
            </w:r>
            <w:r>
              <w:rPr>
                <w:rFonts w:hint="eastAsia" w:asciiTheme="minorEastAsia" w:hAnsiTheme="minorEastAsia" w:eastAsiaTheme="minorEastAsia" w:cstheme="minorEastAsia"/>
                <w:b w:val="0"/>
                <w:bCs w:val="0"/>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widowControl/>
              <w:jc w:val="left"/>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▲1.2</w:t>
            </w:r>
          </w:p>
        </w:tc>
        <w:tc>
          <w:tcPr>
            <w:tcW w:w="7207" w:type="dxa"/>
            <w:tcBorders>
              <w:right w:val="single" w:color="auto" w:sz="4" w:space="0"/>
            </w:tcBorders>
            <w:shd w:val="clear" w:color="auto" w:fill="FFFFFF"/>
            <w:vAlign w:val="top"/>
          </w:tcPr>
          <w:p>
            <w:pPr>
              <w:widowControl/>
              <w:jc w:val="left"/>
              <w:rPr>
                <w:rFonts w:hint="eastAsia" w:asciiTheme="minorEastAsia" w:hAnsiTheme="minorEastAsia" w:eastAsiaTheme="minorEastAsia" w:cstheme="minorEastAsia"/>
                <w:b w:val="0"/>
                <w:bCs w:val="0"/>
                <w:color w:val="000000"/>
                <w:kern w:val="2"/>
                <w:sz w:val="24"/>
                <w:szCs w:val="24"/>
                <w:highlight w:val="yellow"/>
                <w:lang w:val="en-US" w:eastAsia="zh-CN" w:bidi="ar-SA"/>
              </w:rPr>
            </w:pPr>
            <w:r>
              <w:rPr>
                <w:rFonts w:hint="eastAsia" w:asciiTheme="minorEastAsia" w:hAnsiTheme="minorEastAsia" w:eastAsiaTheme="minorEastAsia" w:cstheme="minorEastAsia"/>
                <w:b w:val="0"/>
                <w:bCs w:val="0"/>
                <w:sz w:val="24"/>
                <w:szCs w:val="24"/>
              </w:rPr>
              <w:t>染色架容量：≥30片/架</w:t>
            </w:r>
            <w:r>
              <w:rPr>
                <w:rFonts w:hint="eastAsia" w:asciiTheme="minorEastAsia" w:hAnsiTheme="minorEastAsia" w:eastAsiaTheme="minorEastAsia" w:cstheme="minorEastAsia"/>
                <w:b w:val="0"/>
                <w:bCs w:val="0"/>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jc w:val="left"/>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▲1.3</w:t>
            </w:r>
          </w:p>
        </w:tc>
        <w:tc>
          <w:tcPr>
            <w:tcW w:w="7207" w:type="dxa"/>
            <w:tcBorders>
              <w:right w:val="single" w:color="auto" w:sz="4" w:space="0"/>
            </w:tcBorders>
            <w:shd w:val="clear" w:color="auto" w:fill="auto"/>
            <w:vAlign w:val="top"/>
          </w:tcPr>
          <w:p>
            <w:pPr>
              <w:widowControl/>
              <w:rPr>
                <w:rFonts w:hint="eastAsia" w:asciiTheme="minorEastAsia" w:hAnsiTheme="minorEastAsia" w:eastAsiaTheme="minorEastAsia" w:cstheme="minorEastAsia"/>
                <w:b w:val="0"/>
                <w:bCs w:val="0"/>
                <w:color w:val="000000" w:themeColor="text1"/>
                <w:kern w:val="2"/>
                <w:sz w:val="24"/>
                <w:szCs w:val="24"/>
                <w:highlight w:val="yellow"/>
                <w:lang w:val="en-US" w:eastAsia="zh-CN" w:bidi="ar-SA"/>
                <w14:textFill>
                  <w14:solidFill>
                    <w14:schemeClr w14:val="tx1"/>
                  </w14:solidFill>
                </w14:textFill>
              </w:rPr>
            </w:pPr>
            <w:r>
              <w:rPr>
                <w:rFonts w:hint="eastAsia" w:asciiTheme="minorEastAsia" w:hAnsiTheme="minorEastAsia" w:eastAsiaTheme="minorEastAsia" w:cstheme="minorEastAsia"/>
                <w:b w:val="0"/>
                <w:bCs w:val="0"/>
                <w:sz w:val="24"/>
                <w:szCs w:val="24"/>
              </w:rPr>
              <w:t>染色机单缸载玻片加载量≥60片</w:t>
            </w:r>
            <w:r>
              <w:rPr>
                <w:rFonts w:hint="eastAsia" w:asciiTheme="minorEastAsia" w:hAnsiTheme="minorEastAsia" w:eastAsiaTheme="minorEastAsia" w:cstheme="minorEastAsia"/>
                <w:b w:val="0"/>
                <w:bCs w:val="0"/>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jc w:val="left"/>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1.4</w:t>
            </w:r>
          </w:p>
        </w:tc>
        <w:tc>
          <w:tcPr>
            <w:tcW w:w="7207" w:type="dxa"/>
            <w:tcBorders>
              <w:right w:val="single" w:color="auto" w:sz="4" w:space="0"/>
            </w:tcBorders>
            <w:shd w:val="clear" w:color="auto" w:fill="auto"/>
            <w:vAlign w:val="top"/>
          </w:tcPr>
          <w:p>
            <w:pPr>
              <w:widowControl/>
              <w:tabs>
                <w:tab w:val="left" w:pos="18"/>
              </w:tabs>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kern w:val="0"/>
                <w:sz w:val="24"/>
                <w:szCs w:val="24"/>
                <w:lang w:val="en-US" w:eastAsia="zh-CN"/>
              </w:rPr>
              <w:t>试剂缸容量≤850ml，可大小缸替换。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jc w:val="left"/>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1.5</w:t>
            </w:r>
          </w:p>
        </w:tc>
        <w:tc>
          <w:tcPr>
            <w:tcW w:w="7207" w:type="dxa"/>
            <w:tcBorders>
              <w:right w:val="single" w:color="auto" w:sz="4" w:space="0"/>
            </w:tcBorders>
            <w:shd w:val="clear" w:color="auto" w:fill="auto"/>
            <w:vAlign w:val="top"/>
          </w:tcPr>
          <w:p>
            <w:pPr>
              <w:widowControl/>
              <w:tabs>
                <w:tab w:val="left" w:pos="1248"/>
              </w:tabs>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sz w:val="24"/>
                <w:szCs w:val="24"/>
              </w:rPr>
              <w:t>可实时监控试剂的染色效果，当试剂质量无法满足染色需要时，</w:t>
            </w:r>
            <w:r>
              <w:rPr>
                <w:rFonts w:hint="eastAsia" w:asciiTheme="minorEastAsia" w:hAnsiTheme="minorEastAsia" w:eastAsiaTheme="minorEastAsia" w:cstheme="minorEastAsia"/>
                <w:b w:val="0"/>
                <w:bCs w:val="0"/>
                <w:sz w:val="24"/>
                <w:szCs w:val="24"/>
                <w:lang w:val="en-US" w:eastAsia="zh-CN"/>
              </w:rPr>
              <w:t>有</w:t>
            </w:r>
            <w:r>
              <w:rPr>
                <w:rFonts w:hint="eastAsia" w:asciiTheme="minorEastAsia" w:hAnsiTheme="minorEastAsia" w:eastAsiaTheme="minorEastAsia" w:cstheme="minorEastAsia"/>
                <w:b w:val="0"/>
                <w:bCs w:val="0"/>
                <w:sz w:val="24"/>
                <w:szCs w:val="24"/>
              </w:rPr>
              <w:t>界面呈现报警信息提示</w:t>
            </w:r>
            <w:r>
              <w:rPr>
                <w:rFonts w:hint="eastAsia" w:asciiTheme="minorEastAsia" w:hAnsiTheme="minorEastAsia" w:eastAsiaTheme="minorEastAsia" w:cstheme="minorEastAsia"/>
                <w:b w:val="0"/>
                <w:bCs w:val="0"/>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jc w:val="left"/>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1.6</w:t>
            </w:r>
          </w:p>
        </w:tc>
        <w:tc>
          <w:tcPr>
            <w:tcW w:w="7207" w:type="dxa"/>
            <w:tcBorders>
              <w:right w:val="single" w:color="auto" w:sz="4" w:space="0"/>
            </w:tcBorders>
            <w:shd w:val="clear" w:color="auto" w:fill="auto"/>
            <w:vAlign w:val="top"/>
          </w:tcPr>
          <w:p>
            <w:pPr>
              <w:widowControl/>
              <w:tabs>
                <w:tab w:val="left" w:pos="1248"/>
              </w:tabs>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sz w:val="24"/>
                <w:szCs w:val="24"/>
              </w:rPr>
              <w:t>可存储≥10套染色程序</w:t>
            </w:r>
            <w:r>
              <w:rPr>
                <w:rFonts w:hint="eastAsia" w:asciiTheme="minorEastAsia" w:hAnsiTheme="minorEastAsia" w:eastAsiaTheme="minorEastAsia" w:cstheme="minorEastAsia"/>
                <w:b w:val="0"/>
                <w:bCs w:val="0"/>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384" w:type="dxa"/>
            <w:shd w:val="clear" w:color="auto" w:fill="auto"/>
            <w:vAlign w:val="center"/>
          </w:tcPr>
          <w:p>
            <w:pPr>
              <w:jc w:val="left"/>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1.7</w:t>
            </w:r>
          </w:p>
        </w:tc>
        <w:tc>
          <w:tcPr>
            <w:tcW w:w="7207" w:type="dxa"/>
            <w:tcBorders>
              <w:right w:val="single" w:color="auto" w:sz="4" w:space="0"/>
            </w:tcBorders>
            <w:shd w:val="clear" w:color="auto" w:fill="auto"/>
            <w:vAlign w:val="top"/>
          </w:tcPr>
          <w:p>
            <w:pPr>
              <w:keepNext w:val="0"/>
              <w:keepLines w:val="0"/>
              <w:pageBreakBefore w:val="0"/>
              <w:widowControl/>
              <w:tabs>
                <w:tab w:val="left" w:pos="1248"/>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sz w:val="24"/>
                <w:szCs w:val="24"/>
              </w:rPr>
              <w:t>可配置为自动运行染色程序模式，只需将染色架放入机器内，无需任何操作，自动运行指定的染色程序</w:t>
            </w:r>
            <w:r>
              <w:rPr>
                <w:rFonts w:hint="eastAsia" w:asciiTheme="minorEastAsia" w:hAnsiTheme="minorEastAsia" w:eastAsiaTheme="minorEastAsia" w:cstheme="minorEastAsia"/>
                <w:b w:val="0"/>
                <w:bCs w:val="0"/>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jc w:val="left"/>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1.8</w:t>
            </w:r>
          </w:p>
        </w:tc>
        <w:tc>
          <w:tcPr>
            <w:tcW w:w="7207" w:type="dxa"/>
            <w:tcBorders>
              <w:right w:val="single" w:color="auto" w:sz="4" w:space="0"/>
            </w:tcBorders>
            <w:shd w:val="clear" w:color="auto" w:fill="auto"/>
            <w:vAlign w:val="top"/>
          </w:tcPr>
          <w:p>
            <w:pPr>
              <w:widowControl/>
              <w:tabs>
                <w:tab w:val="left" w:pos="1248"/>
              </w:tabs>
              <w:spacing w:line="360" w:lineRule="auto"/>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val="0"/>
                <w:bCs w:val="0"/>
                <w:kern w:val="0"/>
                <w:sz w:val="24"/>
                <w:szCs w:val="24"/>
                <w:lang w:val="en-US" w:eastAsia="zh-CN"/>
              </w:rPr>
              <w:t>配置彩色触摸控制屏，中文操作界面。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jc w:val="left"/>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2</w:t>
            </w:r>
          </w:p>
        </w:tc>
        <w:tc>
          <w:tcPr>
            <w:tcW w:w="7207" w:type="dxa"/>
            <w:shd w:val="clear" w:color="auto" w:fill="auto"/>
            <w:vAlign w:val="center"/>
          </w:tcPr>
          <w:p>
            <w:pP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封片区设备技术</w:t>
            </w:r>
            <w:r>
              <w:rPr>
                <w:rFonts w:hint="eastAsia" w:asciiTheme="minorEastAsia" w:hAnsiTheme="minorEastAsia" w:eastAsiaTheme="minorEastAsia" w:cstheme="minorEastAsia"/>
                <w:b w:val="0"/>
                <w:bCs w:val="0"/>
                <w:color w:val="000000"/>
                <w:sz w:val="24"/>
                <w:szCs w:val="24"/>
              </w:rPr>
              <w:t>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jc w:val="left"/>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▲2.1</w:t>
            </w:r>
          </w:p>
        </w:tc>
        <w:tc>
          <w:tcPr>
            <w:tcW w:w="7207" w:type="dxa"/>
            <w:shd w:val="clear" w:color="auto" w:fill="auto"/>
            <w:vAlign w:val="center"/>
          </w:tcPr>
          <w:p>
            <w:pP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sz w:val="24"/>
                <w:szCs w:val="24"/>
              </w:rPr>
              <w:t>玻片架收集站点≥1</w:t>
            </w:r>
            <w:r>
              <w:rPr>
                <w:rFonts w:hint="eastAsia" w:asciiTheme="minorEastAsia" w:hAnsiTheme="minorEastAsia" w:eastAsiaTheme="minorEastAsia" w:cstheme="minorEastAsia"/>
                <w:b w:val="0"/>
                <w:bCs w:val="0"/>
                <w:sz w:val="24"/>
                <w:szCs w:val="24"/>
                <w:lang w:val="en-US" w:eastAsia="zh-CN"/>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jc w:val="left"/>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2.2</w:t>
            </w:r>
          </w:p>
        </w:tc>
        <w:tc>
          <w:tcPr>
            <w:tcW w:w="7207" w:type="dxa"/>
            <w:shd w:val="clear" w:color="auto" w:fill="auto"/>
            <w:vAlign w:val="center"/>
          </w:tcPr>
          <w:p>
            <w:pP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sz w:val="24"/>
                <w:szCs w:val="24"/>
              </w:rPr>
              <w:t>盖玻片存储盒容量：≥</w:t>
            </w:r>
            <w:r>
              <w:rPr>
                <w:rFonts w:hint="eastAsia" w:asciiTheme="minorEastAsia" w:hAnsiTheme="minorEastAsia" w:eastAsiaTheme="minorEastAsia" w:cstheme="minorEastAsia"/>
                <w:b w:val="0"/>
                <w:bCs w:val="0"/>
                <w:sz w:val="24"/>
                <w:szCs w:val="24"/>
                <w:lang w:val="en-US" w:eastAsia="zh-CN"/>
              </w:rPr>
              <w:t>500</w:t>
            </w:r>
            <w:r>
              <w:rPr>
                <w:rFonts w:hint="eastAsia" w:asciiTheme="minorEastAsia" w:hAnsiTheme="minorEastAsia" w:eastAsiaTheme="minorEastAsia" w:cstheme="minorEastAsia"/>
                <w:b w:val="0"/>
                <w:bCs w:val="0"/>
                <w:sz w:val="24"/>
                <w:szCs w:val="24"/>
              </w:rPr>
              <w:t>片/次</w:t>
            </w:r>
            <w:r>
              <w:rPr>
                <w:rFonts w:hint="eastAsia" w:asciiTheme="minorEastAsia" w:hAnsiTheme="minorEastAsia" w:eastAsiaTheme="minorEastAsia" w:cstheme="minorEastAsia"/>
                <w:b w:val="0"/>
                <w:bCs w:val="0"/>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jc w:val="left"/>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2.3</w:t>
            </w:r>
          </w:p>
        </w:tc>
        <w:tc>
          <w:tcPr>
            <w:tcW w:w="7207" w:type="dxa"/>
            <w:shd w:val="clear" w:color="auto" w:fill="auto"/>
            <w:vAlign w:val="center"/>
          </w:tcPr>
          <w:p>
            <w:p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直接推片，原架进出</w:t>
            </w:r>
            <w:r>
              <w:rPr>
                <w:rFonts w:hint="eastAsia" w:asciiTheme="minorEastAsia" w:hAnsiTheme="minorEastAsia" w:eastAsiaTheme="minorEastAsia" w:cstheme="minorEastAsia"/>
                <w:b w:val="0"/>
                <w:bCs w:val="0"/>
                <w:sz w:val="24"/>
                <w:szCs w:val="24"/>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jc w:val="left"/>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2.4</w:t>
            </w:r>
          </w:p>
        </w:tc>
        <w:tc>
          <w:tcPr>
            <w:tcW w:w="7207" w:type="dxa"/>
            <w:shd w:val="clear" w:color="auto" w:fill="auto"/>
            <w:vAlign w:val="center"/>
          </w:tcPr>
          <w:p>
            <w:pP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sz w:val="24"/>
                <w:szCs w:val="24"/>
              </w:rPr>
              <w:t>具有坏盖玻片检测、无盖玻片检测功能，盖玻片即将用完前的预提醒功能</w:t>
            </w:r>
            <w:r>
              <w:rPr>
                <w:rFonts w:hint="eastAsia" w:asciiTheme="minorEastAsia" w:hAnsiTheme="minorEastAsia" w:eastAsiaTheme="minorEastAsia" w:cstheme="minorEastAsia"/>
                <w:b w:val="0"/>
                <w:bCs w:val="0"/>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jc w:val="left"/>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2.5</w:t>
            </w:r>
          </w:p>
        </w:tc>
        <w:tc>
          <w:tcPr>
            <w:tcW w:w="7207" w:type="dxa"/>
            <w:shd w:val="clear" w:color="auto" w:fill="auto"/>
            <w:vAlign w:val="center"/>
          </w:tcPr>
          <w:p>
            <w:pP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sz w:val="24"/>
                <w:szCs w:val="24"/>
              </w:rPr>
              <w:t>具有载玻片回位是否正常检测功能</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highlight w:val="none"/>
              </w:rPr>
              <w:t>采用</w:t>
            </w:r>
            <w:r>
              <w:rPr>
                <w:rFonts w:hint="eastAsia" w:asciiTheme="minorEastAsia" w:hAnsiTheme="minorEastAsia" w:eastAsiaTheme="minorEastAsia" w:cstheme="minorEastAsia"/>
                <w:b w:val="0"/>
                <w:bCs w:val="0"/>
                <w:sz w:val="24"/>
                <w:szCs w:val="24"/>
                <w:highlight w:val="none"/>
                <w:lang w:val="en-US" w:eastAsia="zh-CN"/>
              </w:rPr>
              <w:t>碎片</w:t>
            </w:r>
            <w:r>
              <w:rPr>
                <w:rFonts w:hint="eastAsia" w:asciiTheme="minorEastAsia" w:hAnsiTheme="minorEastAsia" w:eastAsiaTheme="minorEastAsia" w:cstheme="minorEastAsia"/>
                <w:b w:val="0"/>
                <w:bCs w:val="0"/>
                <w:sz w:val="24"/>
                <w:szCs w:val="24"/>
                <w:highlight w:val="none"/>
              </w:rPr>
              <w:t>检测传感器，对破损盖玻片进行自检</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lang w:val="en-US" w:eastAsia="zh-CN"/>
              </w:rPr>
              <w:t>出现问题自动报警提示。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jc w:val="left"/>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2.6</w:t>
            </w:r>
          </w:p>
        </w:tc>
        <w:tc>
          <w:tcPr>
            <w:tcW w:w="7207" w:type="dxa"/>
            <w:shd w:val="clear" w:color="auto" w:fill="auto"/>
            <w:vAlign w:val="center"/>
          </w:tcPr>
          <w:p>
            <w:pP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多</w:t>
            </w:r>
            <w:r>
              <w:rPr>
                <w:rFonts w:hint="eastAsia" w:asciiTheme="minorEastAsia" w:hAnsiTheme="minorEastAsia" w:eastAsiaTheme="minorEastAsia" w:cstheme="minorEastAsia"/>
                <w:b w:val="0"/>
                <w:bCs w:val="0"/>
                <w:sz w:val="24"/>
                <w:szCs w:val="24"/>
              </w:rPr>
              <w:t>种封片模式</w:t>
            </w:r>
            <w:r>
              <w:rPr>
                <w:rFonts w:hint="eastAsia" w:asciiTheme="minorEastAsia" w:hAnsiTheme="minorEastAsia" w:eastAsiaTheme="minorEastAsia" w:cstheme="minorEastAsia"/>
                <w:b w:val="0"/>
                <w:bCs w:val="0"/>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jc w:val="left"/>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2.7</w:t>
            </w:r>
          </w:p>
        </w:tc>
        <w:tc>
          <w:tcPr>
            <w:tcW w:w="7207" w:type="dxa"/>
            <w:shd w:val="clear" w:color="auto" w:fill="auto"/>
            <w:vAlign w:val="center"/>
          </w:tcPr>
          <w:p>
            <w:pP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sz w:val="24"/>
                <w:szCs w:val="24"/>
              </w:rPr>
              <w:t>封片速度≥600片/小时</w:t>
            </w:r>
            <w:r>
              <w:rPr>
                <w:rFonts w:hint="eastAsia" w:asciiTheme="minorEastAsia" w:hAnsiTheme="minorEastAsia" w:eastAsiaTheme="minorEastAsia" w:cstheme="minorEastAsia"/>
                <w:b w:val="0"/>
                <w:bCs w:val="0"/>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jc w:val="left"/>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2.8</w:t>
            </w:r>
          </w:p>
        </w:tc>
        <w:tc>
          <w:tcPr>
            <w:tcW w:w="7207" w:type="dxa"/>
            <w:shd w:val="clear" w:color="auto" w:fill="auto"/>
            <w:vAlign w:val="center"/>
          </w:tcPr>
          <w:p>
            <w:p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rPr>
              <w:t>载玻片容量≥30片，且封完的载玻片存储在染色时用的染色架内</w:t>
            </w:r>
            <w:r>
              <w:rPr>
                <w:rFonts w:hint="eastAsia" w:asciiTheme="minorEastAsia" w:hAnsiTheme="minorEastAsia" w:eastAsiaTheme="minorEastAsia" w:cstheme="minorEastAsia"/>
                <w:b w:val="0"/>
                <w:bCs w:val="0"/>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jc w:val="left"/>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2.9</w:t>
            </w:r>
          </w:p>
        </w:tc>
        <w:tc>
          <w:tcPr>
            <w:tcW w:w="7207" w:type="dxa"/>
            <w:shd w:val="clear" w:color="auto" w:fill="auto"/>
            <w:vAlign w:val="center"/>
          </w:tcPr>
          <w:p>
            <w:p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highlight w:val="none"/>
                <w:lang w:val="en-US" w:eastAsia="zh-CN"/>
              </w:rPr>
              <w:t>封固剂瓶、清洗剂瓶具有液位传感器，可</w:t>
            </w:r>
            <w:r>
              <w:rPr>
                <w:rFonts w:hint="eastAsia" w:asciiTheme="minorEastAsia" w:hAnsiTheme="minorEastAsia" w:eastAsiaTheme="minorEastAsia" w:cstheme="minorEastAsia"/>
                <w:b w:val="0"/>
                <w:bCs w:val="0"/>
                <w:color w:val="auto"/>
                <w:sz w:val="24"/>
                <w:szCs w:val="24"/>
                <w:highlight w:val="none"/>
                <w:lang w:val="en-US" w:eastAsia="zh-CN"/>
              </w:rPr>
              <w:t>实时监测清洗液和封固剂余量，并显示在屏幕上。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jc w:val="left"/>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2.10</w:t>
            </w:r>
          </w:p>
        </w:tc>
        <w:tc>
          <w:tcPr>
            <w:tcW w:w="7207" w:type="dxa"/>
            <w:shd w:val="clear" w:color="auto" w:fill="auto"/>
            <w:vAlign w:val="center"/>
          </w:tcPr>
          <w:p>
            <w:pP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sz w:val="24"/>
                <w:szCs w:val="24"/>
              </w:rPr>
              <w:t>可与单体染色机放在一起组成染色封片工作站，无任何连接装置</w:t>
            </w:r>
            <w:r>
              <w:rPr>
                <w:rFonts w:hint="eastAsia" w:asciiTheme="minorEastAsia" w:hAnsiTheme="minorEastAsia" w:eastAsiaTheme="minorEastAsia" w:cstheme="minorEastAsia"/>
                <w:b w:val="0"/>
                <w:bCs w:val="0"/>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84" w:type="dxa"/>
            <w:shd w:val="clear" w:color="auto" w:fill="auto"/>
            <w:vAlign w:val="center"/>
          </w:tcPr>
          <w:p>
            <w:pPr>
              <w:jc w:val="left"/>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2.11</w:t>
            </w:r>
          </w:p>
        </w:tc>
        <w:tc>
          <w:tcPr>
            <w:tcW w:w="7207" w:type="dxa"/>
            <w:shd w:val="clear" w:color="auto" w:fill="auto"/>
            <w:vAlign w:val="center"/>
          </w:tcPr>
          <w:p>
            <w:p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highlight w:val="none"/>
                <w:lang w:val="en-US" w:eastAsia="zh-CN"/>
              </w:rPr>
              <w:t>封片可</w:t>
            </w:r>
            <w:r>
              <w:rPr>
                <w:rFonts w:hint="eastAsia" w:asciiTheme="minorEastAsia" w:hAnsiTheme="minorEastAsia" w:eastAsiaTheme="minorEastAsia" w:cstheme="minorEastAsia"/>
                <w:b w:val="0"/>
                <w:bCs w:val="0"/>
                <w:sz w:val="24"/>
                <w:szCs w:val="24"/>
                <w:highlight w:val="none"/>
              </w:rPr>
              <w:t>兼容市面上</w:t>
            </w:r>
            <w:r>
              <w:rPr>
                <w:rFonts w:hint="eastAsia" w:asciiTheme="minorEastAsia" w:hAnsiTheme="minorEastAsia" w:eastAsiaTheme="minorEastAsia" w:cstheme="minorEastAsia"/>
                <w:b w:val="0"/>
                <w:bCs w:val="0"/>
                <w:sz w:val="24"/>
                <w:szCs w:val="24"/>
                <w:highlight w:val="none"/>
                <w:lang w:val="en-US" w:eastAsia="zh-CN"/>
              </w:rPr>
              <w:t>大多数</w:t>
            </w:r>
            <w:r>
              <w:rPr>
                <w:rFonts w:hint="eastAsia" w:asciiTheme="minorEastAsia" w:hAnsiTheme="minorEastAsia" w:eastAsiaTheme="minorEastAsia" w:cstheme="minorEastAsia"/>
                <w:b w:val="0"/>
                <w:bCs w:val="0"/>
                <w:sz w:val="24"/>
                <w:szCs w:val="24"/>
                <w:highlight w:val="none"/>
              </w:rPr>
              <w:t>品牌的盖玻片、</w:t>
            </w:r>
            <w:r>
              <w:rPr>
                <w:rFonts w:hint="eastAsia" w:asciiTheme="minorEastAsia" w:hAnsiTheme="minorEastAsia" w:eastAsiaTheme="minorEastAsia" w:cstheme="minorEastAsia"/>
                <w:b w:val="0"/>
                <w:bCs w:val="0"/>
                <w:sz w:val="24"/>
                <w:szCs w:val="24"/>
                <w:highlight w:val="none"/>
                <w:lang w:val="en-US" w:eastAsia="zh-CN"/>
              </w:rPr>
              <w:t>封固剂</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lang w:val="en-US" w:eastAsia="zh-CN"/>
              </w:rPr>
              <w:t>耗材兼容性强</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lang w:val="en-US" w:eastAsia="zh-CN"/>
              </w:rPr>
              <w:t>可</w:t>
            </w:r>
            <w:r>
              <w:rPr>
                <w:rFonts w:hint="eastAsia" w:asciiTheme="minorEastAsia" w:hAnsiTheme="minorEastAsia" w:eastAsiaTheme="minorEastAsia" w:cstheme="minorEastAsia"/>
                <w:b w:val="0"/>
                <w:bCs w:val="0"/>
                <w:sz w:val="24"/>
                <w:szCs w:val="24"/>
                <w:highlight w:val="none"/>
                <w:lang w:eastAsia="zh-CN"/>
              </w:rPr>
              <w:t>完全开放</w:t>
            </w:r>
            <w:r>
              <w:rPr>
                <w:rFonts w:hint="eastAsia" w:asciiTheme="minorEastAsia" w:hAnsiTheme="minorEastAsia" w:eastAsiaTheme="minorEastAsia" w:cstheme="minorEastAsia"/>
                <w:b w:val="0"/>
                <w:bCs w:val="0"/>
                <w:sz w:val="24"/>
                <w:szCs w:val="24"/>
                <w:highlight w:val="none"/>
                <w:lang w:val="en-US" w:eastAsia="zh-CN"/>
              </w:rPr>
              <w:t>耗材</w:t>
            </w:r>
            <w:r>
              <w:rPr>
                <w:rFonts w:hint="eastAsia" w:asciiTheme="minorEastAsia" w:hAnsiTheme="minorEastAsia" w:eastAsiaTheme="minorEastAsia" w:cstheme="minorEastAsia"/>
                <w:b w:val="0"/>
                <w:bCs w:val="0"/>
                <w:sz w:val="24"/>
                <w:szCs w:val="24"/>
                <w:highlight w:val="none"/>
              </w:rPr>
              <w:t>。</w:t>
            </w:r>
          </w:p>
        </w:tc>
      </w:tr>
    </w:tbl>
    <w:p>
      <w:pPr>
        <w:rPr>
          <w:rFonts w:ascii="Arial" w:hAnsi="Arial" w:cs="Arial"/>
          <w:szCs w:val="21"/>
        </w:rPr>
      </w:pPr>
    </w:p>
    <w:p>
      <w:pPr>
        <w:rPr>
          <w:rFonts w:ascii="Arial" w:hAnsi="Arial" w:cs="Arial"/>
          <w:szCs w:val="21"/>
        </w:rPr>
      </w:pPr>
    </w:p>
    <w:p>
      <w:pPr>
        <w:rPr>
          <w:rFonts w:ascii="宋体" w:hAnsi="宋体"/>
          <w:b/>
          <w:sz w:val="28"/>
          <w:szCs w:val="28"/>
        </w:rPr>
      </w:pPr>
      <w:r>
        <w:rPr>
          <w:rFonts w:hint="eastAsia" w:ascii="Arial" w:hAnsi="Arial" w:cs="Arial"/>
          <w:szCs w:val="21"/>
        </w:rPr>
        <w:t>★</w:t>
      </w:r>
      <w:r>
        <w:rPr>
          <w:rFonts w:hint="eastAsia" w:ascii="宋体" w:hAnsi="宋体"/>
          <w:b/>
          <w:sz w:val="28"/>
          <w:szCs w:val="28"/>
        </w:rPr>
        <w:t>三、配置要求</w:t>
      </w:r>
    </w:p>
    <w:tbl>
      <w:tblPr>
        <w:tblStyle w:val="65"/>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pPr>
              <w:spacing w:line="360" w:lineRule="auto"/>
              <w:jc w:val="center"/>
              <w:rPr>
                <w:rFonts w:ascii="宋体" w:hAnsi="宋体" w:cs="宋体"/>
                <w:b/>
                <w:sz w:val="24"/>
              </w:rPr>
            </w:pPr>
            <w:r>
              <w:rPr>
                <w:rFonts w:hAnsi="宋体"/>
                <w:b/>
                <w:sz w:val="24"/>
              </w:rPr>
              <w:t>序号</w:t>
            </w:r>
          </w:p>
        </w:tc>
        <w:tc>
          <w:tcPr>
            <w:tcW w:w="7652" w:type="dxa"/>
            <w:tcBorders>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pPr>
              <w:adjustRightInd w:val="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rPr>
              <w:t>1</w:t>
            </w:r>
          </w:p>
        </w:tc>
        <w:tc>
          <w:tcPr>
            <w:tcW w:w="7652" w:type="dxa"/>
            <w:tcBorders>
              <w:right w:val="single" w:color="auto" w:sz="4" w:space="0"/>
            </w:tcBorders>
            <w:shd w:val="clear" w:color="auto" w:fill="auto"/>
            <w:vAlign w:val="center"/>
          </w:tcPr>
          <w:p>
            <w:pPr>
              <w:spacing w:line="276" w:lineRule="auto"/>
              <w:jc w:val="left"/>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全自动染色封片一体机主机1套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pPr>
              <w:adjustRightInd w:val="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rPr>
              <w:t>2</w:t>
            </w:r>
          </w:p>
        </w:tc>
        <w:tc>
          <w:tcPr>
            <w:tcW w:w="7652" w:type="dxa"/>
            <w:tcBorders>
              <w:right w:val="single" w:color="auto" w:sz="4" w:space="0"/>
            </w:tcBorders>
            <w:shd w:val="clear" w:color="auto" w:fill="auto"/>
            <w:vAlign w:val="center"/>
          </w:tcPr>
          <w:p>
            <w:pPr>
              <w:spacing w:line="276" w:lineRule="auto"/>
              <w:jc w:val="left"/>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水洗缸满足机器运转状态下更替使用2套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pPr>
              <w:adjustRightInd w:val="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rPr>
              <w:t>3</w:t>
            </w:r>
          </w:p>
        </w:tc>
        <w:tc>
          <w:tcPr>
            <w:tcW w:w="7652" w:type="dxa"/>
            <w:tcBorders>
              <w:right w:val="single" w:color="auto" w:sz="4" w:space="0"/>
            </w:tcBorders>
            <w:shd w:val="clear" w:color="auto" w:fill="auto"/>
            <w:vAlign w:val="center"/>
          </w:tcPr>
          <w:p>
            <w:pPr>
              <w:spacing w:line="276" w:lineRule="auto"/>
              <w:jc w:val="left"/>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试剂缸满足机器运转状态下更替使用2套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pPr>
              <w:adjustRightInd w:val="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rPr>
              <w:t>4</w:t>
            </w:r>
          </w:p>
        </w:tc>
        <w:tc>
          <w:tcPr>
            <w:tcW w:w="7652" w:type="dxa"/>
            <w:tcBorders>
              <w:right w:val="single" w:color="auto" w:sz="4" w:space="0"/>
            </w:tcBorders>
            <w:shd w:val="clear" w:color="auto" w:fill="auto"/>
            <w:vAlign w:val="center"/>
          </w:tcPr>
          <w:p>
            <w:pPr>
              <w:spacing w:line="276" w:lineRule="auto"/>
              <w:jc w:val="left"/>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玻片染色架可承载≥1000张玻片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shd w:val="clear" w:color="auto" w:fill="auto"/>
            <w:vAlign w:val="center"/>
          </w:tcPr>
          <w:p>
            <w:pPr>
              <w:adjustRightInd w:val="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rPr>
              <w:t>5</w:t>
            </w:r>
          </w:p>
        </w:tc>
        <w:tc>
          <w:tcPr>
            <w:tcW w:w="7652" w:type="dxa"/>
            <w:tcBorders>
              <w:right w:val="single" w:color="auto" w:sz="4" w:space="0"/>
            </w:tcBorders>
            <w:shd w:val="clear" w:color="auto" w:fill="auto"/>
            <w:vAlign w:val="center"/>
          </w:tcPr>
          <w:p>
            <w:pPr>
              <w:spacing w:line="276" w:lineRule="auto"/>
              <w:jc w:val="left"/>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 xml:space="preserve">试剂缸盖满足机器运转状态下更替使用2套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0" w:type="auto"/>
            <w:shd w:val="clear" w:color="auto" w:fill="auto"/>
            <w:vAlign w:val="center"/>
          </w:tcPr>
          <w:p>
            <w:pPr>
              <w:adjustRightInd w:val="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6</w:t>
            </w:r>
          </w:p>
        </w:tc>
        <w:tc>
          <w:tcPr>
            <w:tcW w:w="0" w:type="auto"/>
            <w:shd w:val="clear" w:color="auto" w:fill="auto"/>
            <w:vAlign w:val="center"/>
          </w:tcPr>
          <w:p>
            <w:pPr>
              <w:spacing w:line="276" w:lineRule="auto"/>
              <w:jc w:val="left"/>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盖玻片加载盒5盒装载盖玻片≥1000张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0" w:type="auto"/>
            <w:shd w:val="clear" w:color="auto" w:fill="auto"/>
            <w:vAlign w:val="center"/>
          </w:tcPr>
          <w:p>
            <w:pPr>
              <w:adjustRightInd w:val="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7</w:t>
            </w:r>
          </w:p>
        </w:tc>
        <w:tc>
          <w:tcPr>
            <w:tcW w:w="0" w:type="auto"/>
            <w:shd w:val="clear" w:color="auto" w:fill="auto"/>
            <w:vAlign w:val="center"/>
          </w:tcPr>
          <w:p>
            <w:pPr>
              <w:spacing w:line="276" w:lineRule="auto"/>
              <w:jc w:val="left"/>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封片剂试剂瓶≥3个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0" w:type="auto"/>
            <w:shd w:val="clear" w:color="auto" w:fill="auto"/>
            <w:vAlign w:val="center"/>
          </w:tcPr>
          <w:p>
            <w:pPr>
              <w:adjustRightInd w:val="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8</w:t>
            </w:r>
          </w:p>
        </w:tc>
        <w:tc>
          <w:tcPr>
            <w:tcW w:w="0" w:type="auto"/>
            <w:shd w:val="clear" w:color="auto" w:fill="auto"/>
            <w:vAlign w:val="center"/>
          </w:tcPr>
          <w:p>
            <w:pPr>
              <w:spacing w:line="276" w:lineRule="auto"/>
              <w:jc w:val="left"/>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废弃盒≥3个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0" w:type="auto"/>
            <w:shd w:val="clear" w:color="auto" w:fill="auto"/>
            <w:vAlign w:val="center"/>
          </w:tcPr>
          <w:p>
            <w:pPr>
              <w:adjustRightInd w:val="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9</w:t>
            </w:r>
          </w:p>
        </w:tc>
        <w:tc>
          <w:tcPr>
            <w:tcW w:w="0" w:type="auto"/>
            <w:shd w:val="clear" w:color="auto" w:fill="auto"/>
            <w:vAlign w:val="center"/>
          </w:tcPr>
          <w:p>
            <w:pPr>
              <w:spacing w:line="276" w:lineRule="auto"/>
              <w:jc w:val="left"/>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保证机器运转所需安装工具及附件1套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0" w:type="auto"/>
            <w:shd w:val="clear" w:color="auto" w:fill="auto"/>
            <w:vAlign w:val="center"/>
          </w:tcPr>
          <w:p>
            <w:pPr>
              <w:adjustRightInd w:val="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10</w:t>
            </w:r>
          </w:p>
        </w:tc>
        <w:tc>
          <w:tcPr>
            <w:tcW w:w="0" w:type="auto"/>
            <w:shd w:val="clear" w:color="auto" w:fill="auto"/>
            <w:vAlign w:val="center"/>
          </w:tcPr>
          <w:p>
            <w:pPr>
              <w:spacing w:line="276" w:lineRule="auto"/>
              <w:jc w:val="left"/>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保养配件每年按需更换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8611" w:type="dxa"/>
            <w:gridSpan w:val="2"/>
            <w:shd w:val="clear" w:color="auto" w:fill="auto"/>
            <w:vAlign w:val="center"/>
          </w:tcPr>
          <w:p>
            <w:pPr>
              <w:spacing w:line="276" w:lineRule="auto"/>
              <w:jc w:val="left"/>
              <w:rPr>
                <w:rFonts w:hint="eastAsia" w:asciiTheme="minorEastAsia" w:hAnsiTheme="minorEastAsia" w:eastAsiaTheme="minorEastAsia" w:cstheme="minorEastAsia"/>
                <w:b w:val="0"/>
                <w:bCs w:val="0"/>
                <w:sz w:val="24"/>
                <w:szCs w:val="24"/>
                <w:lang w:val="en-US" w:eastAsia="zh-CN"/>
              </w:rPr>
            </w:pPr>
            <w:r>
              <w:rPr>
                <w:rFonts w:hint="eastAsia"/>
                <w:sz w:val="21"/>
                <w:szCs w:val="21"/>
                <w:lang w:val="en-US" w:eastAsia="zh-CN"/>
              </w:rPr>
              <w:t>注：</w:t>
            </w:r>
            <w:r>
              <w:rPr>
                <w:sz w:val="21"/>
                <w:szCs w:val="21"/>
              </w:rPr>
              <w:t>1、</w:t>
            </w:r>
            <w:r>
              <w:rPr>
                <w:rFonts w:hint="eastAsia" w:asciiTheme="minorEastAsia" w:hAnsiTheme="minorEastAsia" w:eastAsiaTheme="minorEastAsia" w:cstheme="minorEastAsia"/>
                <w:b w:val="0"/>
                <w:bCs w:val="0"/>
                <w:color w:val="000000"/>
                <w:sz w:val="21"/>
                <w:szCs w:val="21"/>
              </w:rPr>
              <w:t>染色封片一体机</w:t>
            </w:r>
            <w:r>
              <w:rPr>
                <w:sz w:val="21"/>
                <w:szCs w:val="21"/>
              </w:rPr>
              <w:t>须在投标文件中提供医疗器械注册证（备案证）。2、其他配置未在采购文件中明确，但国家有明确规定须具有与投标产品相应的医疗器械注册证（备案证），必须在合同签订前向采购人提供相应注册证（备案证）。</w:t>
            </w:r>
          </w:p>
        </w:tc>
      </w:tr>
    </w:tbl>
    <w:p>
      <w:pPr>
        <w:autoSpaceDE w:val="0"/>
        <w:autoSpaceDN w:val="0"/>
        <w:spacing w:line="360" w:lineRule="auto"/>
        <w:textAlignment w:val="bottom"/>
        <w:rPr>
          <w:rFonts w:ascii="宋体" w:hAnsi="宋体"/>
          <w:b/>
          <w:sz w:val="24"/>
        </w:rPr>
      </w:pPr>
    </w:p>
    <w:p>
      <w:pPr>
        <w:rPr>
          <w:rFonts w:ascii="宋体" w:hAnsi="宋体"/>
          <w:b/>
          <w:sz w:val="28"/>
          <w:szCs w:val="28"/>
        </w:rPr>
      </w:pPr>
      <w:r>
        <w:rPr>
          <w:rFonts w:hint="eastAsia" w:ascii="宋体" w:hAnsi="宋体"/>
          <w:b/>
          <w:sz w:val="28"/>
          <w:szCs w:val="28"/>
        </w:rPr>
        <w:t>四、商务要求</w:t>
      </w:r>
    </w:p>
    <w:tbl>
      <w:tblPr>
        <w:tblStyle w:val="65"/>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pPr>
              <w:jc w:val="center"/>
              <w:rPr>
                <w:b/>
                <w:sz w:val="28"/>
                <w:szCs w:val="28"/>
              </w:rPr>
            </w:pPr>
            <w:r>
              <w:rPr>
                <w:rFonts w:hAnsi="宋体"/>
                <w:b/>
                <w:sz w:val="28"/>
                <w:szCs w:val="28"/>
              </w:rPr>
              <w:t>序号</w:t>
            </w:r>
          </w:p>
        </w:tc>
        <w:tc>
          <w:tcPr>
            <w:tcW w:w="7461" w:type="dxa"/>
            <w:tcBorders>
              <w:right w:val="single" w:color="auto" w:sz="4" w:space="0"/>
            </w:tcBorders>
            <w:vAlign w:val="center"/>
          </w:tcPr>
          <w:p>
            <w:pPr>
              <w:jc w:val="center"/>
              <w:rPr>
                <w:b/>
                <w:sz w:val="28"/>
                <w:szCs w:val="28"/>
              </w:rPr>
            </w:pPr>
            <w:r>
              <w:rPr>
                <w:rFonts w:hint="eastAsia"/>
                <w:b/>
                <w:sz w:val="28"/>
                <w:szCs w:val="28"/>
              </w:rPr>
              <w:t>商务要求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
                <w:sz w:val="24"/>
              </w:rPr>
            </w:pPr>
            <w:r>
              <w:rPr>
                <w:rFonts w:hint="eastAsia" w:hAnsi="宋体"/>
                <w:b/>
                <w:sz w:val="28"/>
                <w:szCs w:val="28"/>
              </w:rPr>
              <w:t>1</w:t>
            </w:r>
          </w:p>
        </w:tc>
        <w:tc>
          <w:tcPr>
            <w:tcW w:w="7461" w:type="dxa"/>
            <w:tcBorders>
              <w:right w:val="single" w:color="auto" w:sz="4" w:space="0"/>
            </w:tcBorders>
            <w:vAlign w:val="center"/>
          </w:tcPr>
          <w:p>
            <w:pPr>
              <w:jc w:val="left"/>
              <w:rPr>
                <w:rFonts w:ascii="Calibri" w:hAnsi="Calibri"/>
                <w:b/>
                <w:color w:val="000000"/>
                <w:sz w:val="24"/>
              </w:rPr>
            </w:pPr>
            <w:r>
              <w:rPr>
                <w:rFonts w:hint="eastAsia" w:ascii="Calibri" w:hAnsi="Calibri"/>
                <w:b/>
                <w:color w:val="000000"/>
                <w:sz w:val="24"/>
              </w:rPr>
              <w:t>质量保证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1.1</w:t>
            </w:r>
          </w:p>
        </w:tc>
        <w:tc>
          <w:tcPr>
            <w:tcW w:w="7461" w:type="dxa"/>
            <w:tcBorders>
              <w:right w:val="single" w:color="auto" w:sz="4" w:space="0"/>
            </w:tcBorders>
            <w:vAlign w:val="center"/>
          </w:tcPr>
          <w:p>
            <w:pPr>
              <w:jc w:val="left"/>
              <w:rPr>
                <w:rFonts w:ascii="Calibri" w:hAnsi="Calibri"/>
                <w:b/>
                <w:color w:val="000000"/>
                <w:sz w:val="24"/>
                <w:highlight w:val="none"/>
              </w:rPr>
            </w:pPr>
            <w:r>
              <w:rPr>
                <w:rFonts w:hint="eastAsia" w:ascii="宋体" w:hAnsi="宋体"/>
                <w:sz w:val="24"/>
                <w:highlight w:val="none"/>
              </w:rPr>
              <w:t>货物使用期限：自货物生产日期起，</w:t>
            </w:r>
            <w:r>
              <w:rPr>
                <w:rFonts w:hint="eastAsia" w:ascii="宋体" w:hAnsi="宋体"/>
                <w:color w:val="000000" w:themeColor="text1"/>
                <w:sz w:val="24"/>
                <w:highlight w:val="none"/>
                <w14:textFill>
                  <w14:solidFill>
                    <w14:schemeClr w14:val="tx1"/>
                  </w14:solidFill>
                </w14:textFill>
              </w:rPr>
              <w:t>不少于</w:t>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年</w:t>
            </w:r>
            <w:r>
              <w:rPr>
                <w:rFonts w:hint="eastAsia" w:ascii="宋体" w:hAnsi="宋体"/>
                <w:sz w:val="24"/>
                <w:highlight w:val="none"/>
              </w:rPr>
              <w:t>；提供铭牌标识、照片或说明书相关页面复印件；货物无使用期限的，提供说明。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1.2</w:t>
            </w:r>
          </w:p>
        </w:tc>
        <w:tc>
          <w:tcPr>
            <w:tcW w:w="7461" w:type="dxa"/>
            <w:tcBorders>
              <w:right w:val="single" w:color="auto" w:sz="4" w:space="0"/>
            </w:tcBorders>
            <w:vAlign w:val="center"/>
          </w:tcPr>
          <w:p>
            <w:pPr>
              <w:jc w:val="left"/>
              <w:rPr>
                <w:rFonts w:ascii="宋体" w:hAnsi="宋体"/>
                <w:sz w:val="24"/>
              </w:rPr>
            </w:pPr>
            <w:r>
              <w:rPr>
                <w:rFonts w:hint="eastAsia" w:ascii="宋体" w:hAnsi="宋体"/>
                <w:sz w:val="24"/>
              </w:rPr>
              <w:t>货物生产日期（以产品标签、标识为准）：货物到达买方机房之日</w:t>
            </w:r>
            <w:r>
              <w:rPr>
                <w:rFonts w:hint="eastAsia" w:ascii="宋体" w:hAnsi="宋体"/>
                <w:sz w:val="24"/>
                <w:u w:val="single"/>
              </w:rPr>
              <w:t>前12个月内（国产产品）、18个月内（进口产品）。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1.3</w:t>
            </w:r>
          </w:p>
        </w:tc>
        <w:tc>
          <w:tcPr>
            <w:tcW w:w="7461" w:type="dxa"/>
            <w:tcBorders>
              <w:right w:val="single" w:color="auto" w:sz="4" w:space="0"/>
            </w:tcBorders>
            <w:vAlign w:val="center"/>
          </w:tcPr>
          <w:p>
            <w:pPr>
              <w:spacing w:line="380" w:lineRule="exact"/>
              <w:rPr>
                <w:rFonts w:ascii="宋体" w:hAnsi="宋体"/>
                <w:b/>
                <w:sz w:val="24"/>
              </w:rPr>
            </w:pPr>
            <w:r>
              <w:rPr>
                <w:rFonts w:hint="eastAsia" w:ascii="宋体" w:hAnsi="宋体"/>
                <w:sz w:val="24"/>
              </w:rPr>
              <w:t>卖方提供的所有货物必须是全新未使用过的。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
                <w:sz w:val="28"/>
                <w:szCs w:val="28"/>
              </w:rPr>
              <w:t>2</w:t>
            </w:r>
          </w:p>
        </w:tc>
        <w:tc>
          <w:tcPr>
            <w:tcW w:w="7461" w:type="dxa"/>
            <w:vAlign w:val="center"/>
          </w:tcPr>
          <w:p>
            <w:pPr>
              <w:spacing w:line="380" w:lineRule="exact"/>
              <w:rPr>
                <w:rFonts w:ascii="宋体" w:hAnsi="宋体"/>
                <w:sz w:val="24"/>
              </w:rPr>
            </w:pPr>
            <w:r>
              <w:rPr>
                <w:rFonts w:hint="eastAsia" w:ascii="Calibri" w:hAnsi="Calibri"/>
                <w:b/>
                <w:color w:val="000000"/>
                <w:sz w:val="24"/>
              </w:rPr>
              <w:t>保质期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ascii="Arial" w:hAnsi="Arial" w:cs="Arial"/>
                <w:szCs w:val="21"/>
              </w:rPr>
              <w:t>★</w:t>
            </w:r>
            <w:r>
              <w:rPr>
                <w:rFonts w:hint="eastAsia" w:hAnsi="宋体"/>
                <w:bCs/>
                <w:sz w:val="24"/>
              </w:rPr>
              <w:t>2.1</w:t>
            </w:r>
          </w:p>
        </w:tc>
        <w:tc>
          <w:tcPr>
            <w:tcW w:w="7461" w:type="dxa"/>
            <w:vAlign w:val="center"/>
          </w:tcPr>
          <w:p>
            <w:pPr>
              <w:widowControl/>
              <w:spacing w:before="100" w:beforeAutospacing="1" w:after="100" w:afterAutospacing="1"/>
              <w:rPr>
                <w:rFonts w:ascii="宋体" w:hAnsi="宋体"/>
                <w:sz w:val="24"/>
                <w:highlight w:val="none"/>
              </w:rPr>
            </w:pPr>
            <w:r>
              <w:rPr>
                <w:rFonts w:hint="eastAsia" w:ascii="宋体" w:hAnsi="宋体"/>
                <w:sz w:val="24"/>
                <w:highlight w:val="none"/>
              </w:rPr>
              <w:t>设备验收合格后免费保修：</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sz w:val="24"/>
                <w:highlight w:val="none"/>
              </w:rPr>
              <w:t>。供应商报价须包含保质期内的所有服务及配件费用。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2.2</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保修期内，维修响应时间</w:t>
            </w:r>
            <w:r>
              <w:rPr>
                <w:rFonts w:hint="eastAsia" w:ascii="宋体" w:hAnsi="宋体"/>
                <w:sz w:val="24"/>
                <w:u w:val="single"/>
              </w:rPr>
              <w:t>＜12小时</w:t>
            </w:r>
            <w:r>
              <w:rPr>
                <w:rFonts w:hint="eastAsia" w:ascii="宋体" w:hAnsi="宋体"/>
                <w:sz w:val="24"/>
              </w:rPr>
              <w:t>，</w:t>
            </w:r>
            <w:r>
              <w:rPr>
                <w:rFonts w:hint="eastAsia" w:ascii="宋体" w:hAnsi="宋体"/>
                <w:sz w:val="24"/>
                <w:u w:val="single"/>
              </w:rPr>
              <w:t>12工作小时</w:t>
            </w:r>
            <w:r>
              <w:rPr>
                <w:rFonts w:hint="eastAsia" w:ascii="宋体" w:hAnsi="宋体"/>
                <w:sz w:val="24"/>
              </w:rPr>
              <w:t>未能修复，则无偿提供备件或备机。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2.3</w:t>
            </w:r>
          </w:p>
        </w:tc>
        <w:tc>
          <w:tcPr>
            <w:tcW w:w="7461" w:type="dxa"/>
            <w:vAlign w:val="center"/>
          </w:tcPr>
          <w:p>
            <w:pPr>
              <w:spacing w:line="380" w:lineRule="exact"/>
              <w:rPr>
                <w:rFonts w:ascii="宋体" w:hAnsi="宋体"/>
                <w:sz w:val="24"/>
              </w:rPr>
            </w:pPr>
            <w:r>
              <w:rPr>
                <w:rFonts w:hint="eastAsia" w:ascii="宋体" w:hAnsi="宋体"/>
                <w:sz w:val="24"/>
              </w:rPr>
              <w:t>保修期内开机率</w:t>
            </w:r>
            <w:r>
              <w:rPr>
                <w:rFonts w:hint="eastAsia" w:ascii="宋体" w:hAnsi="宋体"/>
                <w:sz w:val="24"/>
                <w:u w:val="single"/>
              </w:rPr>
              <w:t>≥95%</w:t>
            </w:r>
            <w:r>
              <w:rPr>
                <w:rFonts w:hint="eastAsia" w:ascii="宋体" w:hAnsi="宋体"/>
                <w:sz w:val="24"/>
              </w:rPr>
              <w:t>，若设备未达到以上开机率保证，则停机每超过一天则延长</w:t>
            </w:r>
            <w:r>
              <w:rPr>
                <w:rFonts w:hint="eastAsia" w:ascii="宋体" w:hAnsi="宋体"/>
                <w:sz w:val="24"/>
                <w:u w:val="single"/>
              </w:rPr>
              <w:t>十天</w:t>
            </w:r>
            <w:r>
              <w:rPr>
                <w:rFonts w:hint="eastAsia" w:ascii="宋体" w:hAnsi="宋体"/>
                <w:sz w:val="24"/>
              </w:rPr>
              <w:t>保修时间。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
                <w:sz w:val="28"/>
                <w:szCs w:val="28"/>
              </w:rPr>
              <w:t>3</w:t>
            </w:r>
          </w:p>
        </w:tc>
        <w:tc>
          <w:tcPr>
            <w:tcW w:w="7461" w:type="dxa"/>
            <w:vAlign w:val="center"/>
          </w:tcPr>
          <w:p>
            <w:pPr>
              <w:spacing w:line="380" w:lineRule="exact"/>
              <w:rPr>
                <w:rFonts w:ascii="宋体" w:hAnsi="宋体"/>
                <w:sz w:val="24"/>
              </w:rPr>
            </w:pPr>
            <w:r>
              <w:rPr>
                <w:rFonts w:hint="eastAsia" w:ascii="Calibri" w:hAnsi="Calibri"/>
                <w:b/>
                <w:color w:val="000000"/>
                <w:sz w:val="24"/>
              </w:rPr>
              <w:t>售后服务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3.1</w:t>
            </w:r>
          </w:p>
        </w:tc>
        <w:tc>
          <w:tcPr>
            <w:tcW w:w="7461" w:type="dxa"/>
            <w:vAlign w:val="center"/>
          </w:tcPr>
          <w:p>
            <w:pPr>
              <w:spacing w:line="380" w:lineRule="exact"/>
              <w:rPr>
                <w:rFonts w:ascii="Calibri" w:hAnsi="Calibri"/>
                <w:b/>
                <w:color w:val="000000"/>
                <w:sz w:val="24"/>
              </w:rPr>
            </w:pPr>
            <w:r>
              <w:rPr>
                <w:rFonts w:hint="eastAsia" w:ascii="宋体" w:hAnsi="宋体"/>
                <w:sz w:val="24"/>
              </w:rPr>
              <w:t>供应商应在响应文件中提供详细售后服务方案，如售后服务网点的分布情况、售后服务机构备品备件储备，售后服务机构技术服务人员情况、开展定期巡检等。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3.2</w:t>
            </w:r>
          </w:p>
        </w:tc>
        <w:tc>
          <w:tcPr>
            <w:tcW w:w="7461" w:type="dxa"/>
            <w:vAlign w:val="center"/>
          </w:tcPr>
          <w:p>
            <w:pPr>
              <w:spacing w:line="380" w:lineRule="exact"/>
              <w:rPr>
                <w:rFonts w:ascii="宋体" w:hAnsi="宋体"/>
                <w:sz w:val="24"/>
              </w:rPr>
            </w:pPr>
            <w:r>
              <w:rPr>
                <w:rFonts w:hint="eastAsia" w:ascii="宋体" w:hAnsi="宋体"/>
                <w:sz w:val="24"/>
              </w:rPr>
              <w:t>供应商应在响应文件中提供详细收费标准，包括出保后保修方案、消耗品价格、设备配件价格，维修服务费等。如未列明则默认为日后日常使用中免费提供。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3.3</w:t>
            </w:r>
          </w:p>
        </w:tc>
        <w:tc>
          <w:tcPr>
            <w:tcW w:w="7461" w:type="dxa"/>
            <w:vAlign w:val="center"/>
          </w:tcPr>
          <w:p>
            <w:pPr>
              <w:spacing w:line="380" w:lineRule="exact"/>
              <w:rPr>
                <w:rFonts w:ascii="宋体" w:hAnsi="宋体"/>
                <w:sz w:val="24"/>
              </w:rPr>
            </w:pPr>
            <w:r>
              <w:rPr>
                <w:rFonts w:hint="eastAsia" w:ascii="宋体" w:hAnsi="宋体"/>
                <w:sz w:val="24"/>
              </w:rPr>
              <w:t>在整个设备使用期内，卖方应确保设备的正常使用，在接到用户维修要求后应立即作出回应，通过电话联系无法解决的，须</w:t>
            </w:r>
            <w:r>
              <w:rPr>
                <w:rFonts w:hint="eastAsia" w:ascii="宋体" w:hAnsi="宋体"/>
                <w:sz w:val="24"/>
                <w:u w:val="single"/>
              </w:rPr>
              <w:t>24小时内</w:t>
            </w:r>
            <w:r>
              <w:rPr>
                <w:rFonts w:hint="eastAsia" w:ascii="宋体" w:hAnsi="宋体"/>
                <w:sz w:val="24"/>
              </w:rPr>
              <w:t>赶赴卖方现场处理。维修过程中所需零配件，非特殊情况，供应商应在接到通知后最长不超过3天必须送达采购人。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3.4</w:t>
            </w:r>
          </w:p>
        </w:tc>
        <w:tc>
          <w:tcPr>
            <w:tcW w:w="7461" w:type="dxa"/>
            <w:vAlign w:val="center"/>
          </w:tcPr>
          <w:p>
            <w:pPr>
              <w:spacing w:line="380" w:lineRule="exact"/>
              <w:rPr>
                <w:rFonts w:ascii="Calibri" w:hAnsi="Calibri"/>
                <w:b/>
                <w:sz w:val="24"/>
                <w:highlight w:val="none"/>
              </w:rPr>
            </w:pPr>
            <w:r>
              <w:rPr>
                <w:rFonts w:hint="eastAsia" w:ascii="宋体" w:hAnsi="宋体"/>
                <w:sz w:val="24"/>
                <w:highlight w:val="none"/>
              </w:rPr>
              <w:t>保证易耗品及零配件供应</w:t>
            </w:r>
            <w:r>
              <w:rPr>
                <w:rFonts w:hint="eastAsia" w:ascii="宋体" w:hAnsi="宋体"/>
                <w:color w:val="000000" w:themeColor="text1"/>
                <w:sz w:val="24"/>
                <w:highlight w:val="none"/>
                <w:u w:val="single"/>
                <w:lang w:val="en-US" w:eastAsia="zh-CN"/>
                <w14:textFill>
                  <w14:solidFill>
                    <w14:schemeClr w14:val="tx1"/>
                  </w14:solidFill>
                </w14:textFill>
              </w:rPr>
              <w:t>7</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以上</w:t>
            </w:r>
            <w:r>
              <w:rPr>
                <w:rFonts w:hint="eastAsia" w:ascii="宋体" w:hAnsi="宋体"/>
                <w:sz w:val="24"/>
                <w:highlight w:val="none"/>
              </w:rPr>
              <w:t>，</w:t>
            </w:r>
            <w:r>
              <w:rPr>
                <w:rFonts w:ascii="宋体" w:hAnsi="宋体"/>
                <w:sz w:val="24"/>
                <w:highlight w:val="none"/>
              </w:rPr>
              <w:t>终身维护，软件终身免费升级</w:t>
            </w:r>
            <w:r>
              <w:rPr>
                <w:rFonts w:hint="eastAsia" w:ascii="宋体" w:hAnsi="宋体"/>
                <w:sz w:val="24"/>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4</w:t>
            </w:r>
          </w:p>
        </w:tc>
        <w:tc>
          <w:tcPr>
            <w:tcW w:w="7461" w:type="dxa"/>
            <w:vAlign w:val="center"/>
          </w:tcPr>
          <w:p>
            <w:pPr>
              <w:snapToGrid w:val="0"/>
              <w:rPr>
                <w:rFonts w:ascii="宋体" w:hAnsi="宋体"/>
                <w:b/>
                <w:sz w:val="24"/>
              </w:rPr>
            </w:pPr>
            <w:r>
              <w:rPr>
                <w:rFonts w:hint="eastAsia" w:ascii="宋体" w:hAnsi="宋体" w:cs="宋体"/>
                <w:b/>
                <w:kern w:val="0"/>
                <w:sz w:val="24"/>
              </w:rPr>
              <w:t>交货时间、地点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4.1</w:t>
            </w:r>
          </w:p>
        </w:tc>
        <w:tc>
          <w:tcPr>
            <w:tcW w:w="7461" w:type="dxa"/>
            <w:vAlign w:val="center"/>
          </w:tcPr>
          <w:p>
            <w:pPr>
              <w:spacing w:line="380" w:lineRule="exact"/>
              <w:rPr>
                <w:rFonts w:ascii="宋体" w:hAnsi="宋体"/>
                <w:sz w:val="24"/>
              </w:rPr>
            </w:pPr>
            <w:r>
              <w:rPr>
                <w:rFonts w:hint="eastAsia" w:ascii="宋体" w:hAnsi="宋体"/>
                <w:sz w:val="24"/>
              </w:rPr>
              <w:t>交货时间：合同签订后，接到甲方通知后</w:t>
            </w:r>
            <w:r>
              <w:rPr>
                <w:rFonts w:hint="eastAsia" w:ascii="宋体" w:hAnsi="宋体"/>
                <w:sz w:val="24"/>
                <w:u w:val="single"/>
              </w:rPr>
              <w:t>90天内</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4.2</w:t>
            </w:r>
          </w:p>
        </w:tc>
        <w:tc>
          <w:tcPr>
            <w:tcW w:w="7461" w:type="dxa"/>
            <w:vAlign w:val="center"/>
          </w:tcPr>
          <w:p>
            <w:pPr>
              <w:spacing w:line="380" w:lineRule="exact"/>
              <w:rPr>
                <w:rFonts w:ascii="宋体" w:hAnsi="宋体"/>
                <w:sz w:val="24"/>
              </w:rPr>
            </w:pPr>
            <w:r>
              <w:rPr>
                <w:rFonts w:hint="eastAsia" w:ascii="宋体" w:hAnsi="宋体"/>
                <w:sz w:val="24"/>
              </w:rPr>
              <w:t>交货地点：采购人指定地点。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5</w:t>
            </w:r>
          </w:p>
        </w:tc>
        <w:tc>
          <w:tcPr>
            <w:tcW w:w="7461" w:type="dxa"/>
            <w:vAlign w:val="center"/>
          </w:tcPr>
          <w:p>
            <w:pPr>
              <w:spacing w:line="380" w:lineRule="exact"/>
              <w:rPr>
                <w:rFonts w:ascii="宋体" w:hAnsi="宋体"/>
                <w:b/>
                <w:sz w:val="24"/>
              </w:rPr>
            </w:pPr>
            <w:r>
              <w:rPr>
                <w:rFonts w:hint="eastAsia" w:ascii="宋体" w:hAnsi="宋体"/>
                <w:b/>
                <w:sz w:val="24"/>
              </w:rPr>
              <w:t>安装调试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5.1</w:t>
            </w:r>
          </w:p>
        </w:tc>
        <w:tc>
          <w:tcPr>
            <w:tcW w:w="7461" w:type="dxa"/>
            <w:vAlign w:val="center"/>
          </w:tcPr>
          <w:p>
            <w:pPr>
              <w:spacing w:line="380" w:lineRule="exact"/>
              <w:rPr>
                <w:rFonts w:ascii="宋体" w:hAnsi="宋体"/>
                <w:b/>
                <w:sz w:val="24"/>
              </w:rPr>
            </w:pPr>
            <w:r>
              <w:rPr>
                <w:rFonts w:ascii="Calibri" w:hAnsi="宋体"/>
                <w:bCs/>
                <w:sz w:val="24"/>
              </w:rPr>
              <w:t>安装地点：</w:t>
            </w:r>
            <w:r>
              <w:rPr>
                <w:rFonts w:hint="eastAsia" w:ascii="宋体" w:hAnsi="宋体"/>
                <w:sz w:val="24"/>
              </w:rPr>
              <w:t>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5.2</w:t>
            </w:r>
          </w:p>
        </w:tc>
        <w:tc>
          <w:tcPr>
            <w:tcW w:w="7461" w:type="dxa"/>
            <w:vAlign w:val="center"/>
          </w:tcPr>
          <w:p>
            <w:pPr>
              <w:spacing w:line="380" w:lineRule="exact"/>
              <w:rPr>
                <w:rFonts w:ascii="宋体" w:hAnsi="宋体"/>
                <w:b/>
                <w:sz w:val="24"/>
              </w:rPr>
            </w:pPr>
            <w:r>
              <w:rPr>
                <w:rFonts w:hint="eastAsia" w:ascii="Calibri" w:hAnsi="宋体"/>
                <w:bCs/>
                <w:sz w:val="24"/>
              </w:rPr>
              <w:t>卖方须对买方现场进行查勘，在合同签定后</w:t>
            </w:r>
            <w:r>
              <w:rPr>
                <w:rFonts w:hint="eastAsia" w:ascii="Calibri" w:hAnsi="宋体"/>
                <w:bCs/>
                <w:sz w:val="24"/>
                <w:u w:val="single"/>
              </w:rPr>
              <w:t>10个工作日</w:t>
            </w:r>
            <w:r>
              <w:rPr>
                <w:rFonts w:hint="eastAsia" w:ascii="Calibri" w:hAnsi="宋体"/>
                <w:bCs/>
                <w:sz w:val="24"/>
              </w:rPr>
              <w:t>内书面提供买方认可的运输方案及安装方案</w:t>
            </w:r>
            <w:r>
              <w:rPr>
                <w:rFonts w:hint="eastAsia" w:ascii="Calibri" w:hAnsi="宋体"/>
                <w:bCs/>
                <w:sz w:val="24"/>
                <w:u w:val="single"/>
              </w:rPr>
              <w:t>（按需提供）</w:t>
            </w:r>
            <w:r>
              <w:rPr>
                <w:rFonts w:hint="eastAsia" w:ascii="Calibri" w:hAnsi="宋体"/>
                <w:bCs/>
                <w:sz w:val="24"/>
              </w:rPr>
              <w:t>，费用含在合同总价中。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5.3</w:t>
            </w:r>
          </w:p>
        </w:tc>
        <w:tc>
          <w:tcPr>
            <w:tcW w:w="7461" w:type="dxa"/>
            <w:vAlign w:val="center"/>
          </w:tcPr>
          <w:p>
            <w:pPr>
              <w:spacing w:line="380" w:lineRule="exact"/>
              <w:rPr>
                <w:rFonts w:ascii="宋体" w:hAnsi="宋体"/>
                <w:b/>
                <w:sz w:val="24"/>
              </w:rPr>
            </w:pPr>
            <w:r>
              <w:rPr>
                <w:rFonts w:hint="eastAsia" w:ascii="Calibri" w:hAnsi="宋体"/>
                <w:sz w:val="24"/>
              </w:rPr>
              <w:t>安装完成时间：卖方在货物到货后</w:t>
            </w:r>
            <w:r>
              <w:rPr>
                <w:rFonts w:hint="eastAsia" w:ascii="Calibri" w:hAnsi="宋体"/>
                <w:sz w:val="24"/>
                <w:u w:val="single"/>
              </w:rPr>
              <w:t>20个工作日内</w:t>
            </w:r>
            <w:r>
              <w:rPr>
                <w:rFonts w:hint="eastAsia" w:ascii="Calibri" w:hAnsi="宋体"/>
                <w:sz w:val="24"/>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5.4</w:t>
            </w:r>
          </w:p>
        </w:tc>
        <w:tc>
          <w:tcPr>
            <w:tcW w:w="7461" w:type="dxa"/>
            <w:vAlign w:val="center"/>
          </w:tcPr>
          <w:p>
            <w:pPr>
              <w:spacing w:line="380" w:lineRule="exact"/>
              <w:rPr>
                <w:rFonts w:ascii="宋体" w:hAnsi="宋体"/>
                <w:b/>
                <w:sz w:val="24"/>
              </w:rPr>
            </w:pPr>
            <w:r>
              <w:rPr>
                <w:rFonts w:ascii="Calibri" w:hAnsi="宋体"/>
                <w:bCs/>
                <w:sz w:val="24"/>
              </w:rPr>
              <w:t>安装标准：符合我国国家有关技术规范要求和技术标准</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5.5</w:t>
            </w:r>
          </w:p>
        </w:tc>
        <w:tc>
          <w:tcPr>
            <w:tcW w:w="7461" w:type="dxa"/>
            <w:vAlign w:val="center"/>
          </w:tcPr>
          <w:p>
            <w:pPr>
              <w:spacing w:line="380" w:lineRule="exact"/>
              <w:rPr>
                <w:rFonts w:ascii="宋体" w:hAnsi="宋体"/>
                <w:b/>
                <w:sz w:val="24"/>
              </w:rPr>
            </w:pPr>
            <w:r>
              <w:rPr>
                <w:rFonts w:ascii="Calibri" w:hAnsi="宋体"/>
                <w:bCs/>
                <w:sz w:val="24"/>
              </w:rPr>
              <w:t>安装过程中发生的</w:t>
            </w:r>
            <w:r>
              <w:rPr>
                <w:rFonts w:hint="eastAsia" w:ascii="Calibri" w:hAnsi="宋体"/>
                <w:bCs/>
                <w:sz w:val="24"/>
              </w:rPr>
              <w:t>装卸、搬运和设备保险等</w:t>
            </w:r>
            <w:r>
              <w:rPr>
                <w:rFonts w:ascii="Calibri" w:hAnsi="宋体"/>
                <w:bCs/>
                <w:sz w:val="24"/>
              </w:rPr>
              <w:t>费用</w:t>
            </w:r>
            <w:r>
              <w:rPr>
                <w:rFonts w:hint="eastAsia" w:ascii="Calibri" w:hAnsi="宋体"/>
                <w:bCs/>
                <w:sz w:val="24"/>
              </w:rPr>
              <w:t>全部</w:t>
            </w:r>
            <w:r>
              <w:rPr>
                <w:rFonts w:ascii="Calibri" w:hAnsi="宋体"/>
                <w:bCs/>
                <w:sz w:val="24"/>
              </w:rPr>
              <w:t>由</w:t>
            </w:r>
            <w:r>
              <w:rPr>
                <w:rFonts w:hint="eastAsia" w:ascii="Calibri" w:hAnsi="宋体"/>
                <w:bCs/>
                <w:sz w:val="24"/>
              </w:rPr>
              <w:t>卖</w:t>
            </w:r>
            <w:r>
              <w:rPr>
                <w:rFonts w:ascii="Calibri" w:hAnsi="宋体"/>
                <w:bCs/>
                <w:sz w:val="24"/>
              </w:rPr>
              <w:t>方负责</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6</w:t>
            </w:r>
          </w:p>
        </w:tc>
        <w:tc>
          <w:tcPr>
            <w:tcW w:w="7461" w:type="dxa"/>
            <w:vAlign w:val="center"/>
          </w:tcPr>
          <w:p>
            <w:pPr>
              <w:spacing w:line="380" w:lineRule="exact"/>
              <w:rPr>
                <w:rFonts w:ascii="宋体" w:hAnsi="宋体"/>
                <w:b/>
                <w:sz w:val="24"/>
              </w:rPr>
            </w:pPr>
            <w:r>
              <w:rPr>
                <w:rFonts w:hint="eastAsia" w:ascii="宋体" w:hAnsi="宋体"/>
                <w:b/>
                <w:sz w:val="24"/>
              </w:rPr>
              <w:t>验收</w:t>
            </w:r>
            <w:r>
              <w:rPr>
                <w:rFonts w:hint="eastAsia" w:ascii="宋体" w:hAnsi="宋体"/>
                <w:b/>
                <w:sz w:val="24"/>
                <w:u w:val="single"/>
              </w:rPr>
              <w:t>（由验收部门视情况而定）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6.1</w:t>
            </w:r>
          </w:p>
        </w:tc>
        <w:tc>
          <w:tcPr>
            <w:tcW w:w="7461" w:type="dxa"/>
            <w:vAlign w:val="center"/>
          </w:tcPr>
          <w:p>
            <w:pPr>
              <w:spacing w:line="380" w:lineRule="exact"/>
              <w:rPr>
                <w:rFonts w:ascii="宋体" w:hAnsi="宋体"/>
                <w:b/>
                <w:sz w:val="24"/>
              </w:rPr>
            </w:pPr>
            <w:r>
              <w:rPr>
                <w:rFonts w:hint="eastAsia" w:ascii="Calibri" w:hAnsi="宋体"/>
                <w:sz w:val="24"/>
              </w:rPr>
              <w:t>如属计量器具、放射类设备，则卖方提供经买方认可的且具有资质的检测机构出具的计量、放射防护检测合格报告，检测费用包含在合同总价中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6.2</w:t>
            </w:r>
          </w:p>
        </w:tc>
        <w:tc>
          <w:tcPr>
            <w:tcW w:w="7461" w:type="dxa"/>
            <w:vAlign w:val="center"/>
          </w:tcPr>
          <w:p>
            <w:pPr>
              <w:spacing w:line="380" w:lineRule="exact"/>
              <w:rPr>
                <w:rFonts w:ascii="Calibri" w:hAnsi="宋体"/>
                <w:sz w:val="24"/>
              </w:rPr>
            </w:pPr>
            <w:r>
              <w:rPr>
                <w:rFonts w:hint="eastAsia" w:ascii="宋体" w:hAnsi="宋体"/>
                <w:sz w:val="24"/>
              </w:rPr>
              <w:t>货物应符合国家相关标准、采购文件的技术和商务要求，并根据合同条款逐项验收。买方对设备验收合格后，双方共同签署验收报告。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6.3</w:t>
            </w:r>
          </w:p>
        </w:tc>
        <w:tc>
          <w:tcPr>
            <w:tcW w:w="7461" w:type="dxa"/>
            <w:vAlign w:val="center"/>
          </w:tcPr>
          <w:p>
            <w:pPr>
              <w:spacing w:line="380" w:lineRule="exact"/>
              <w:rPr>
                <w:rFonts w:ascii="宋体" w:hAnsi="宋体"/>
                <w:b/>
                <w:sz w:val="24"/>
              </w:rPr>
            </w:pPr>
            <w:r>
              <w:rPr>
                <w:rFonts w:hint="eastAsia" w:ascii="Calibri" w:hAnsi="宋体"/>
                <w:sz w:val="24"/>
              </w:rPr>
              <w:t>验收过程中发现货物性能或功能达不到要求，卖方必须更换有关部件，使货物最终达到规定的性能指标和功能要求，但必须在发现问题后</w:t>
            </w:r>
            <w:r>
              <w:rPr>
                <w:rFonts w:hint="eastAsia" w:ascii="Calibri" w:hAnsi="宋体"/>
                <w:sz w:val="24"/>
                <w:u w:val="single"/>
              </w:rPr>
              <w:t>15个工作日</w:t>
            </w:r>
            <w:r>
              <w:rPr>
                <w:rFonts w:hint="eastAsia" w:ascii="Calibri" w:hAnsi="宋体"/>
                <w:sz w:val="24"/>
              </w:rPr>
              <w:t>内完成，如涉及虚假响应的，则按相关规定处理。货物安装完毕试运行正常</w:t>
            </w:r>
            <w:r>
              <w:rPr>
                <w:rFonts w:ascii="Calibri" w:hAnsi="宋体"/>
                <w:sz w:val="24"/>
              </w:rPr>
              <w:t>30</w:t>
            </w:r>
            <w:r>
              <w:rPr>
                <w:rFonts w:hint="eastAsia" w:ascii="Calibri" w:hAnsi="宋体"/>
                <w:sz w:val="24"/>
              </w:rPr>
              <w:t>个工作日，在</w:t>
            </w:r>
            <w:r>
              <w:rPr>
                <w:rFonts w:ascii="Calibri" w:hAnsi="宋体"/>
                <w:sz w:val="24"/>
              </w:rPr>
              <w:t>1</w:t>
            </w:r>
            <w:r>
              <w:rPr>
                <w:rFonts w:hint="eastAsia" w:ascii="Calibri" w:hAnsi="宋体"/>
                <w:sz w:val="24"/>
              </w:rPr>
              <w:t>周内双方签订验收报告。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8"/>
                <w:szCs w:val="28"/>
              </w:rPr>
              <w:t>7</w:t>
            </w:r>
          </w:p>
        </w:tc>
        <w:tc>
          <w:tcPr>
            <w:tcW w:w="7461" w:type="dxa"/>
            <w:vAlign w:val="center"/>
          </w:tcPr>
          <w:p>
            <w:pPr>
              <w:spacing w:line="380" w:lineRule="exact"/>
              <w:rPr>
                <w:rFonts w:ascii="宋体" w:hAnsi="宋体"/>
                <w:b/>
                <w:sz w:val="24"/>
              </w:rPr>
            </w:pPr>
            <w:r>
              <w:rPr>
                <w:rFonts w:hint="eastAsia" w:ascii="宋体" w:hAnsi="宋体"/>
                <w:b/>
                <w:sz w:val="24"/>
              </w:rPr>
              <w:t>培训</w:t>
            </w:r>
            <w:r>
              <w:rPr>
                <w:rFonts w:hint="eastAsia" w:ascii="宋体" w:hAnsi="宋体"/>
                <w:b/>
                <w:sz w:val="24"/>
                <w:u w:val="single"/>
              </w:rPr>
              <w:t>（由使用部门视情况而定）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7.1</w:t>
            </w:r>
          </w:p>
        </w:tc>
        <w:tc>
          <w:tcPr>
            <w:tcW w:w="7461" w:type="dxa"/>
            <w:vAlign w:val="center"/>
          </w:tcPr>
          <w:p>
            <w:pPr>
              <w:snapToGrid w:val="0"/>
              <w:rPr>
                <w:rFonts w:ascii="宋体" w:hAnsi="宋体"/>
                <w:bCs/>
                <w:sz w:val="24"/>
              </w:rPr>
            </w:pPr>
            <w:r>
              <w:rPr>
                <w:rFonts w:hint="eastAsia" w:ascii="宋体" w:hAnsi="宋体"/>
                <w:sz w:val="24"/>
              </w:rPr>
              <w:t>操作应用培训：卖方负责在医院现场提供累计不少于</w:t>
            </w:r>
            <w:r>
              <w:rPr>
                <w:rFonts w:ascii="宋体" w:hAnsi="宋体"/>
                <w:sz w:val="24"/>
                <w:u w:val="single"/>
              </w:rPr>
              <w:t>5</w:t>
            </w:r>
            <w:r>
              <w:rPr>
                <w:rFonts w:hint="eastAsia" w:ascii="宋体" w:hAnsi="宋体"/>
                <w:sz w:val="24"/>
                <w:u w:val="single"/>
              </w:rPr>
              <w:t>个工作日</w:t>
            </w:r>
            <w:r>
              <w:rPr>
                <w:rFonts w:hint="eastAsia" w:ascii="宋体" w:hAnsi="宋体"/>
                <w:sz w:val="24"/>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7.2</w:t>
            </w:r>
          </w:p>
        </w:tc>
        <w:tc>
          <w:tcPr>
            <w:tcW w:w="7461" w:type="dxa"/>
            <w:vAlign w:val="center"/>
          </w:tcPr>
          <w:p>
            <w:pPr>
              <w:snapToGrid w:val="0"/>
              <w:rPr>
                <w:rFonts w:ascii="宋体" w:hAnsi="宋体"/>
                <w:bCs/>
                <w:sz w:val="24"/>
              </w:rPr>
            </w:pPr>
            <w:r>
              <w:rPr>
                <w:rFonts w:hint="eastAsia" w:ascii="宋体" w:hAnsi="宋体"/>
                <w:sz w:val="24"/>
              </w:rPr>
              <w:t>维修保养培训：卖方负责在医院现场提供维修人员的培训，使医院维修工程人员掌握设备参数设置、日常保养、常见故障排除等技能。卖方须提供涵盖上述内容的培训资料。所有培训费用已含入总价中。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7.3</w:t>
            </w:r>
          </w:p>
        </w:tc>
        <w:tc>
          <w:tcPr>
            <w:tcW w:w="7461" w:type="dxa"/>
            <w:vAlign w:val="center"/>
          </w:tcPr>
          <w:p>
            <w:pPr>
              <w:snapToGrid w:val="0"/>
              <w:rPr>
                <w:rFonts w:ascii="宋体" w:hAnsi="宋体"/>
                <w:bCs/>
                <w:sz w:val="24"/>
              </w:rPr>
            </w:pPr>
            <w:r>
              <w:rPr>
                <w:rFonts w:hint="eastAsia" w:ascii="宋体" w:hAnsi="宋体"/>
                <w:sz w:val="24"/>
              </w:rPr>
              <w:t>培训完成后，卖方须提供详细培训记录，培训记录应有培训内容、参加人员（签字）、培训地点、培训时间以及操作人员考核情况。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7.4</w:t>
            </w:r>
          </w:p>
        </w:tc>
        <w:tc>
          <w:tcPr>
            <w:tcW w:w="7461" w:type="dxa"/>
            <w:vAlign w:val="center"/>
          </w:tcPr>
          <w:p>
            <w:pPr>
              <w:snapToGrid w:val="0"/>
              <w:rPr>
                <w:rFonts w:ascii="宋体" w:hAnsi="宋体"/>
                <w:bCs/>
                <w:sz w:val="24"/>
              </w:rPr>
            </w:pPr>
            <w:r>
              <w:rPr>
                <w:rFonts w:hint="eastAsia" w:ascii="宋体" w:hAnsi="宋体"/>
                <w:sz w:val="24"/>
              </w:rPr>
              <w:t>技能考核：卖方提供试题及考核评估方案，对医院操作人员和维修工程人员进行技能考核。考核完成后，卖方须提供详细考核记录，考核记录应有考核内容、参加人员（签字）、考核地点、考核时间以及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8</w:t>
            </w:r>
          </w:p>
        </w:tc>
        <w:tc>
          <w:tcPr>
            <w:tcW w:w="7461" w:type="dxa"/>
            <w:vAlign w:val="center"/>
          </w:tcPr>
          <w:p>
            <w:pPr>
              <w:spacing w:line="380" w:lineRule="exact"/>
              <w:rPr>
                <w:rFonts w:ascii="宋体" w:hAnsi="宋体"/>
                <w:b/>
                <w:sz w:val="24"/>
              </w:rPr>
            </w:pPr>
            <w:r>
              <w:rPr>
                <w:rFonts w:hint="eastAsia" w:ascii="宋体" w:hAnsi="宋体" w:cs="宋体"/>
                <w:b/>
                <w:kern w:val="0"/>
                <w:sz w:val="24"/>
              </w:rPr>
              <w:t>技术支持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8.1</w:t>
            </w:r>
          </w:p>
        </w:tc>
        <w:tc>
          <w:tcPr>
            <w:tcW w:w="7461" w:type="dxa"/>
            <w:vAlign w:val="center"/>
          </w:tcPr>
          <w:p>
            <w:pPr>
              <w:spacing w:line="380" w:lineRule="exact"/>
              <w:rPr>
                <w:rFonts w:ascii="宋体" w:hAnsi="宋体" w:cs="宋体"/>
                <w:kern w:val="0"/>
                <w:sz w:val="24"/>
              </w:rPr>
            </w:pPr>
            <w:r>
              <w:rPr>
                <w:rFonts w:hint="eastAsia" w:ascii="Calibri" w:hAnsi="宋体"/>
                <w:sz w:val="24"/>
              </w:rPr>
              <w:t>提供所有软件终生免费安装（含硬件更换后软件重新安装调试）、调试、维护服务。供应商负有网络安全防护义务，承诺无条件及时修复出现的安全漏洞，报价须包含软件升级费用。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8.2</w:t>
            </w:r>
          </w:p>
        </w:tc>
        <w:tc>
          <w:tcPr>
            <w:tcW w:w="7461" w:type="dxa"/>
            <w:vAlign w:val="center"/>
          </w:tcPr>
          <w:p>
            <w:pPr>
              <w:spacing w:line="380" w:lineRule="exact"/>
              <w:rPr>
                <w:rFonts w:ascii="宋体" w:hAnsi="宋体"/>
                <w:sz w:val="24"/>
              </w:rPr>
            </w:pPr>
            <w:r>
              <w:rPr>
                <w:rFonts w:hint="eastAsia" w:ascii="宋体" w:hAnsi="宋体"/>
                <w:sz w:val="24"/>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9</w:t>
            </w:r>
          </w:p>
        </w:tc>
        <w:tc>
          <w:tcPr>
            <w:tcW w:w="7461" w:type="dxa"/>
            <w:vAlign w:val="center"/>
          </w:tcPr>
          <w:p>
            <w:pPr>
              <w:spacing w:line="380" w:lineRule="exact"/>
              <w:rPr>
                <w:rFonts w:ascii="宋体" w:hAnsi="宋体"/>
                <w:b/>
                <w:sz w:val="24"/>
              </w:rPr>
            </w:pPr>
            <w:r>
              <w:rPr>
                <w:rFonts w:hint="eastAsia" w:ascii="宋体" w:hAnsi="宋体"/>
                <w:b/>
                <w:sz w:val="24"/>
              </w:rPr>
              <w:t>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9.1</w:t>
            </w:r>
          </w:p>
        </w:tc>
        <w:tc>
          <w:tcPr>
            <w:tcW w:w="7461" w:type="dxa"/>
            <w:vAlign w:val="center"/>
          </w:tcPr>
          <w:p>
            <w:pPr>
              <w:spacing w:line="380" w:lineRule="exact"/>
              <w:rPr>
                <w:rFonts w:ascii="宋体" w:hAnsi="宋体"/>
                <w:sz w:val="24"/>
              </w:rPr>
            </w:pPr>
            <w:r>
              <w:rPr>
                <w:rFonts w:hint="eastAsia" w:ascii="Calibri" w:hAnsi="宋体"/>
                <w:bCs/>
                <w:sz w:val="24"/>
              </w:rPr>
              <w:t>卖方所提供的产品应具有知识产权的合法产品，且卖</w:t>
            </w:r>
            <w:r>
              <w:rPr>
                <w:rFonts w:ascii="Calibri" w:hAnsi="宋体"/>
                <w:bCs/>
                <w:sz w:val="24"/>
              </w:rPr>
              <w:t>方保证所提供的</w:t>
            </w:r>
            <w:r>
              <w:rPr>
                <w:rFonts w:hint="eastAsia" w:ascii="Calibri" w:hAnsi="宋体"/>
                <w:bCs/>
                <w:sz w:val="24"/>
              </w:rPr>
              <w:t>设备</w:t>
            </w:r>
            <w:r>
              <w:rPr>
                <w:rFonts w:ascii="Calibri" w:hAnsi="宋体"/>
                <w:bCs/>
                <w:sz w:val="24"/>
              </w:rPr>
              <w:t>或其任何一部分均不会侵犯任何第三方的知识产权</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9.2</w:t>
            </w:r>
          </w:p>
        </w:tc>
        <w:tc>
          <w:tcPr>
            <w:tcW w:w="7461" w:type="dxa"/>
            <w:vAlign w:val="center"/>
          </w:tcPr>
          <w:p>
            <w:pPr>
              <w:spacing w:line="380" w:lineRule="exact"/>
              <w:rPr>
                <w:rFonts w:ascii="Calibri" w:hAnsi="宋体"/>
                <w:bCs/>
                <w:sz w:val="24"/>
              </w:rPr>
            </w:pPr>
            <w:r>
              <w:rPr>
                <w:rFonts w:ascii="Calibri" w:hAnsi="宋体"/>
                <w:bCs/>
                <w:sz w:val="24"/>
              </w:rPr>
              <w:t>卖方保证所交付的</w:t>
            </w:r>
            <w:r>
              <w:rPr>
                <w:rFonts w:hint="eastAsia" w:ascii="Calibri" w:hAnsi="宋体"/>
                <w:bCs/>
                <w:sz w:val="24"/>
              </w:rPr>
              <w:t>所有设备</w:t>
            </w:r>
            <w:r>
              <w:rPr>
                <w:rFonts w:ascii="Calibri" w:hAnsi="宋体"/>
                <w:bCs/>
                <w:sz w:val="24"/>
              </w:rPr>
              <w:t>的所有权完全属于卖方且无任何抵押、查封等产权瑕疵</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10</w:t>
            </w:r>
          </w:p>
        </w:tc>
        <w:tc>
          <w:tcPr>
            <w:tcW w:w="7461" w:type="dxa"/>
            <w:vAlign w:val="center"/>
          </w:tcPr>
          <w:p>
            <w:pPr>
              <w:spacing w:line="380" w:lineRule="exact"/>
              <w:rPr>
                <w:rFonts w:ascii="宋体" w:hAnsi="宋体"/>
                <w:sz w:val="24"/>
              </w:rPr>
            </w:pPr>
            <w:r>
              <w:rPr>
                <w:rFonts w:hint="eastAsia" w:ascii="宋体" w:hAnsi="宋体" w:cs="宋体"/>
                <w:b/>
                <w:kern w:val="0"/>
                <w:sz w:val="24"/>
              </w:rPr>
              <w:t>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10.1</w:t>
            </w:r>
          </w:p>
        </w:tc>
        <w:tc>
          <w:tcPr>
            <w:tcW w:w="7461" w:type="dxa"/>
            <w:vAlign w:val="center"/>
          </w:tcPr>
          <w:p>
            <w:pPr>
              <w:rPr>
                <w:rFonts w:ascii="宋体" w:hAnsi="宋体" w:cs="宋体"/>
                <w:sz w:val="24"/>
              </w:rPr>
            </w:pPr>
            <w:r>
              <w:rPr>
                <w:rFonts w:hint="eastAsia" w:ascii="宋体" w:hAnsi="宋体" w:cs="宋体"/>
                <w:sz w:val="24"/>
              </w:rPr>
              <w:t>1、签订合同时，供应商应向采购人支付预付款保函。采购人在收到预付款保函、合同生效且项目具备实施条件后支付合同金额的40%作为预付款；货物安装验收合格后付清余款。（适用中小企业投标）</w:t>
            </w:r>
          </w:p>
          <w:p>
            <w:pPr>
              <w:rPr>
                <w:rFonts w:ascii="宋体" w:hAnsi="宋体" w:cs="宋体"/>
                <w:sz w:val="24"/>
              </w:rPr>
            </w:pPr>
            <w:r>
              <w:rPr>
                <w:rFonts w:hint="eastAsia" w:ascii="宋体" w:hAnsi="宋体" w:cs="宋体"/>
                <w:sz w:val="24"/>
              </w:rPr>
              <w:t>2、合同生效且项目具备实施条件后，采购人支付合同金额的40%作为预付款；货物安装验收合格后付清余款。（适用中小企业投标）</w:t>
            </w:r>
          </w:p>
          <w:p>
            <w:pPr>
              <w:rPr>
                <w:rFonts w:ascii="宋体" w:hAnsi="宋体"/>
                <w:sz w:val="24"/>
              </w:rPr>
            </w:pPr>
            <w:r>
              <w:rPr>
                <w:rFonts w:hint="eastAsia" w:ascii="宋体" w:hAnsi="宋体" w:cs="宋体"/>
                <w:sz w:val="24"/>
              </w:rPr>
              <w:t>3、验收合格后付全款。（适用大型企业投标）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10.2</w:t>
            </w:r>
          </w:p>
        </w:tc>
        <w:tc>
          <w:tcPr>
            <w:tcW w:w="7461" w:type="dxa"/>
            <w:vAlign w:val="center"/>
          </w:tcPr>
          <w:p>
            <w:pPr>
              <w:widowControl/>
              <w:spacing w:before="100" w:beforeAutospacing="1" w:after="100" w:afterAutospacing="1"/>
              <w:rPr>
                <w:rFonts w:ascii="宋体" w:hAnsi="宋体"/>
                <w:b/>
                <w:sz w:val="24"/>
              </w:rPr>
            </w:pPr>
            <w:r>
              <w:rPr>
                <w:rFonts w:hint="eastAsia" w:ascii="宋体" w:hAnsi="宋体" w:cs="宋体"/>
                <w:sz w:val="24"/>
              </w:rPr>
              <w:t>在签订合同时，供应商明确表示无需预付款或者主动要求降低预付款比例的，不适用前述规定。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10.3</w:t>
            </w:r>
          </w:p>
        </w:tc>
        <w:tc>
          <w:tcPr>
            <w:tcW w:w="7461" w:type="dxa"/>
            <w:vAlign w:val="center"/>
          </w:tcPr>
          <w:p>
            <w:pPr>
              <w:rPr>
                <w:rFonts w:ascii="宋体" w:hAnsi="宋体" w:cs="宋体"/>
                <w:sz w:val="24"/>
              </w:rPr>
            </w:pPr>
            <w:r>
              <w:rPr>
                <w:rFonts w:ascii="宋体" w:hAnsi="宋体" w:cs="宋体"/>
                <w:sz w:val="24"/>
              </w:rPr>
              <w:t>签订合同后3日内，供应商交纳1%的履约保证金；履约保证金在</w:t>
            </w:r>
            <w:r>
              <w:rPr>
                <w:rFonts w:hint="eastAsia" w:ascii="宋体" w:hAnsi="宋体" w:cs="宋体"/>
                <w:sz w:val="24"/>
              </w:rPr>
              <w:t>保质</w:t>
            </w:r>
            <w:r>
              <w:rPr>
                <w:rFonts w:ascii="宋体" w:hAnsi="宋体" w:cs="宋体"/>
                <w:sz w:val="24"/>
              </w:rPr>
              <w:t>期满后（从项目整体验收合格之日算起）无质量问题、无售后服务问题并符合合同约定，无息退还。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11</w:t>
            </w:r>
          </w:p>
        </w:tc>
        <w:tc>
          <w:tcPr>
            <w:tcW w:w="7461" w:type="dxa"/>
            <w:vAlign w:val="center"/>
          </w:tcPr>
          <w:p>
            <w:pPr>
              <w:widowControl/>
              <w:spacing w:before="100" w:beforeAutospacing="1" w:after="100" w:afterAutospacing="1"/>
              <w:rPr>
                <w:rFonts w:ascii="宋体" w:hAnsi="宋体"/>
                <w:b/>
                <w:sz w:val="24"/>
              </w:rPr>
            </w:pPr>
            <w:r>
              <w:rPr>
                <w:rFonts w:hint="eastAsia" w:ascii="宋体" w:hAnsi="宋体" w:cs="宋体"/>
                <w:b/>
                <w:color w:val="000000"/>
                <w:kern w:val="0"/>
                <w:sz w:val="24"/>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11.1</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若设备有信息系统接口，则全部免费开放，并无条件配合采购人接入信息管理网络系统。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11.2</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采购文件中未提及的某些属标配的功能、软件，必须无条件提供。</w:t>
            </w:r>
          </w:p>
        </w:tc>
      </w:tr>
    </w:tbl>
    <w:p>
      <w:pPr>
        <w:spacing w:line="360" w:lineRule="auto"/>
        <w:rPr>
          <w:rFonts w:hint="eastAsia" w:ascii="Calibri" w:hAnsi="Calibri"/>
          <w:b/>
          <w:color w:val="000000" w:themeColor="text1"/>
          <w:sz w:val="24"/>
          <w14:textFill>
            <w14:solidFill>
              <w14:schemeClr w14:val="tx1"/>
            </w14:solidFill>
          </w14:textFill>
        </w:rPr>
      </w:pPr>
    </w:p>
    <w:p>
      <w:pPr>
        <w:spacing w:line="360" w:lineRule="auto"/>
        <w:rPr>
          <w:rFonts w:ascii="Calibri" w:hAnsi="Calibri"/>
          <w:b/>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五、其他要求</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带“★”号项为实质性响应要求，如不满足将作无效投标处理。针对带“★”号技术参数要求，供应商需提供充分的证明材料，未提供充分证明材料的，评审委员会有权视为不满足采购文件要求。证明材料可以是以下四项中任一项：</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1）生产制造商公开对外宣传的带有响应技术参数或功能的产品彩页，为响应而临时打印的无效。</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2）加盖生产制造商公章的技术白皮书。</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3）可在生产制造商官网查询到的产品技术参数或功能，需提供官网截图和网址等信息。</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4）评审委员会认可的其他有效证明（包括但不限于第三方检测报告、加盖生产制造商的证明材料等）。</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2、针对“★”提供满足技术参数的佐证资料并在偏离表中标明佐证资料页码。</w:t>
      </w: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6" w:name="_Toc184313308"/>
      <w:bookmarkEnd w:id="26"/>
      <w:bookmarkStart w:id="27" w:name="_Toc184314464"/>
      <w:bookmarkEnd w:id="27"/>
      <w:bookmarkStart w:id="28" w:name="_Toc184312101"/>
      <w:bookmarkEnd w:id="28"/>
      <w:bookmarkStart w:id="29" w:name="_Toc184313248"/>
      <w:bookmarkEnd w:id="29"/>
      <w:bookmarkStart w:id="30" w:name="_Toc184310321"/>
      <w:bookmarkEnd w:id="30"/>
      <w:bookmarkStart w:id="31" w:name="_Toc184312082"/>
      <w:bookmarkEnd w:id="31"/>
      <w:bookmarkStart w:id="32" w:name="_Toc184308069"/>
      <w:bookmarkEnd w:id="32"/>
      <w:bookmarkStart w:id="33" w:name="_Toc184310297"/>
      <w:bookmarkEnd w:id="33"/>
      <w:bookmarkStart w:id="34" w:name="_Toc184313252"/>
      <w:bookmarkEnd w:id="34"/>
      <w:bookmarkStart w:id="35" w:name="_Toc184308107"/>
      <w:bookmarkEnd w:id="35"/>
      <w:bookmarkStart w:id="36" w:name="_Toc184312134"/>
      <w:bookmarkEnd w:id="36"/>
      <w:bookmarkStart w:id="37" w:name="_Toc184310285"/>
      <w:bookmarkEnd w:id="37"/>
      <w:bookmarkStart w:id="38" w:name="_Toc184308108"/>
      <w:bookmarkEnd w:id="38"/>
      <w:bookmarkStart w:id="39" w:name="_Toc184313271"/>
      <w:bookmarkEnd w:id="39"/>
      <w:bookmarkStart w:id="40" w:name="_Toc184312074"/>
      <w:bookmarkEnd w:id="40"/>
      <w:bookmarkStart w:id="41" w:name="_Toc184313298"/>
      <w:bookmarkEnd w:id="41"/>
      <w:bookmarkStart w:id="42" w:name="_Toc184313270"/>
      <w:bookmarkEnd w:id="42"/>
      <w:bookmarkStart w:id="43" w:name="_Toc184313299"/>
      <w:bookmarkEnd w:id="43"/>
      <w:bookmarkStart w:id="44" w:name="_Toc184312131"/>
      <w:bookmarkEnd w:id="44"/>
      <w:bookmarkStart w:id="45" w:name="_Toc184314420"/>
      <w:bookmarkEnd w:id="45"/>
      <w:bookmarkStart w:id="46" w:name="_Toc184313258"/>
      <w:bookmarkEnd w:id="46"/>
      <w:bookmarkStart w:id="47" w:name="_Toc184308086"/>
      <w:bookmarkEnd w:id="47"/>
      <w:bookmarkStart w:id="48" w:name="_Toc184312094"/>
      <w:bookmarkEnd w:id="48"/>
      <w:bookmarkStart w:id="49" w:name="_Toc184308072"/>
      <w:bookmarkEnd w:id="49"/>
      <w:bookmarkStart w:id="50" w:name="_Toc184313239"/>
      <w:bookmarkEnd w:id="50"/>
      <w:bookmarkStart w:id="51" w:name="_Toc184313277"/>
      <w:bookmarkEnd w:id="51"/>
      <w:bookmarkStart w:id="52" w:name="_Toc184313257"/>
      <w:bookmarkEnd w:id="52"/>
      <w:bookmarkStart w:id="53" w:name="_Toc184310342"/>
      <w:bookmarkEnd w:id="53"/>
      <w:bookmarkStart w:id="54" w:name="_Toc184314413"/>
      <w:bookmarkEnd w:id="54"/>
      <w:bookmarkStart w:id="55" w:name="_Toc184308043"/>
      <w:bookmarkEnd w:id="55"/>
      <w:bookmarkStart w:id="56" w:name="_Toc184310332"/>
      <w:bookmarkEnd w:id="56"/>
      <w:bookmarkStart w:id="57" w:name="_Toc184308067"/>
      <w:bookmarkEnd w:id="57"/>
      <w:bookmarkStart w:id="58" w:name="_Toc184310282"/>
      <w:bookmarkEnd w:id="58"/>
      <w:bookmarkStart w:id="59" w:name="_Toc184312078"/>
      <w:bookmarkEnd w:id="59"/>
      <w:bookmarkStart w:id="60" w:name="_Toc184313253"/>
      <w:bookmarkEnd w:id="60"/>
      <w:bookmarkStart w:id="61" w:name="_Toc184308041"/>
      <w:bookmarkEnd w:id="61"/>
      <w:bookmarkStart w:id="62" w:name="_Toc184310283"/>
      <w:bookmarkEnd w:id="62"/>
      <w:bookmarkStart w:id="63" w:name="_Toc184312067"/>
      <w:bookmarkEnd w:id="63"/>
      <w:bookmarkStart w:id="64" w:name="_Toc184312128"/>
      <w:bookmarkEnd w:id="64"/>
      <w:bookmarkStart w:id="65" w:name="_Toc184310323"/>
      <w:bookmarkEnd w:id="65"/>
      <w:bookmarkStart w:id="66" w:name="_Toc184314457"/>
      <w:bookmarkEnd w:id="66"/>
      <w:bookmarkStart w:id="67" w:name="_Toc184313263"/>
      <w:bookmarkEnd w:id="67"/>
      <w:bookmarkStart w:id="68" w:name="_Toc184312099"/>
      <w:bookmarkEnd w:id="68"/>
      <w:bookmarkStart w:id="69" w:name="_Toc184314428"/>
      <w:bookmarkEnd w:id="69"/>
      <w:bookmarkStart w:id="70" w:name="_Toc184312120"/>
      <w:bookmarkEnd w:id="70"/>
      <w:bookmarkStart w:id="71" w:name="_Toc184314482"/>
      <w:bookmarkEnd w:id="71"/>
      <w:bookmarkStart w:id="72" w:name="_Toc184313288"/>
      <w:bookmarkEnd w:id="72"/>
      <w:bookmarkStart w:id="73" w:name="_Toc184312081"/>
      <w:bookmarkEnd w:id="73"/>
      <w:bookmarkStart w:id="74" w:name="_Toc184313310"/>
      <w:bookmarkEnd w:id="74"/>
      <w:bookmarkStart w:id="75" w:name="_Toc184308088"/>
      <w:bookmarkEnd w:id="75"/>
      <w:bookmarkStart w:id="76" w:name="_Toc184308051"/>
      <w:bookmarkEnd w:id="76"/>
      <w:bookmarkStart w:id="77" w:name="_Toc184312070"/>
      <w:bookmarkEnd w:id="77"/>
      <w:bookmarkStart w:id="78" w:name="_Toc184314419"/>
      <w:bookmarkEnd w:id="78"/>
      <w:bookmarkStart w:id="79" w:name="_Toc184313272"/>
      <w:bookmarkEnd w:id="79"/>
      <w:bookmarkStart w:id="80" w:name="_Toc184313261"/>
      <w:bookmarkEnd w:id="80"/>
      <w:bookmarkStart w:id="81" w:name="_Toc184314455"/>
      <w:bookmarkEnd w:id="81"/>
      <w:bookmarkStart w:id="82" w:name="_Toc184314440"/>
      <w:bookmarkEnd w:id="82"/>
      <w:bookmarkStart w:id="83" w:name="_Toc184308063"/>
      <w:bookmarkEnd w:id="83"/>
      <w:bookmarkStart w:id="84" w:name="_Toc184313280"/>
      <w:bookmarkEnd w:id="84"/>
      <w:bookmarkStart w:id="85" w:name="_Toc184310281"/>
      <w:bookmarkEnd w:id="85"/>
      <w:bookmarkStart w:id="86" w:name="_Toc184313295"/>
      <w:bookmarkEnd w:id="86"/>
      <w:bookmarkStart w:id="87" w:name="_Toc184314432"/>
      <w:bookmarkEnd w:id="87"/>
      <w:bookmarkStart w:id="88" w:name="_Toc184314474"/>
      <w:bookmarkEnd w:id="88"/>
      <w:bookmarkStart w:id="89" w:name="_Toc184310319"/>
      <w:bookmarkEnd w:id="89"/>
      <w:bookmarkStart w:id="90" w:name="_Toc184314463"/>
      <w:bookmarkEnd w:id="90"/>
      <w:bookmarkStart w:id="91" w:name="_Toc184313283"/>
      <w:bookmarkEnd w:id="91"/>
      <w:bookmarkStart w:id="92" w:name="_Toc184312106"/>
      <w:bookmarkEnd w:id="92"/>
      <w:bookmarkStart w:id="93" w:name="_Toc184310308"/>
      <w:bookmarkEnd w:id="93"/>
      <w:bookmarkStart w:id="94" w:name="_Toc184314441"/>
      <w:bookmarkEnd w:id="94"/>
      <w:bookmarkStart w:id="95" w:name="_Toc184314416"/>
      <w:bookmarkEnd w:id="95"/>
      <w:bookmarkStart w:id="96" w:name="_Toc184310298"/>
      <w:bookmarkEnd w:id="96"/>
      <w:bookmarkStart w:id="97" w:name="_Toc184313250"/>
      <w:bookmarkEnd w:id="97"/>
      <w:bookmarkStart w:id="98" w:name="_Toc184310328"/>
      <w:bookmarkEnd w:id="98"/>
      <w:bookmarkStart w:id="99" w:name="_Toc184312098"/>
      <w:bookmarkEnd w:id="99"/>
      <w:bookmarkStart w:id="100" w:name="_Toc184313238"/>
      <w:bookmarkEnd w:id="100"/>
      <w:bookmarkStart w:id="101" w:name="_Toc184314451"/>
      <w:bookmarkEnd w:id="101"/>
      <w:bookmarkStart w:id="102" w:name="_Toc184310316"/>
      <w:bookmarkEnd w:id="102"/>
      <w:bookmarkStart w:id="103" w:name="_Toc184312085"/>
      <w:bookmarkEnd w:id="103"/>
      <w:bookmarkStart w:id="104" w:name="_Toc184308040"/>
      <w:bookmarkEnd w:id="104"/>
      <w:bookmarkStart w:id="105" w:name="_Toc184308082"/>
      <w:bookmarkEnd w:id="105"/>
      <w:bookmarkStart w:id="106" w:name="_Toc184312117"/>
      <w:bookmarkEnd w:id="106"/>
      <w:bookmarkStart w:id="107" w:name="_Toc184308061"/>
      <w:bookmarkEnd w:id="107"/>
      <w:bookmarkStart w:id="108" w:name="_Toc184313309"/>
      <w:bookmarkEnd w:id="108"/>
      <w:bookmarkStart w:id="109" w:name="_Toc184314466"/>
      <w:bookmarkEnd w:id="109"/>
      <w:bookmarkStart w:id="110" w:name="_Toc184308100"/>
      <w:bookmarkEnd w:id="110"/>
      <w:bookmarkStart w:id="111" w:name="_Toc184310293"/>
      <w:bookmarkEnd w:id="111"/>
      <w:bookmarkStart w:id="112" w:name="_Toc184313292"/>
      <w:bookmarkEnd w:id="112"/>
      <w:bookmarkStart w:id="113" w:name="_Toc184314411"/>
      <w:bookmarkEnd w:id="113"/>
      <w:bookmarkStart w:id="114" w:name="_Toc184312123"/>
      <w:bookmarkEnd w:id="114"/>
      <w:bookmarkStart w:id="115" w:name="_Toc184312104"/>
      <w:bookmarkEnd w:id="115"/>
      <w:bookmarkStart w:id="116" w:name="_Toc184313249"/>
      <w:bookmarkEnd w:id="116"/>
      <w:bookmarkStart w:id="117" w:name="_Toc184313256"/>
      <w:bookmarkEnd w:id="117"/>
      <w:bookmarkStart w:id="118" w:name="_Toc184310322"/>
      <w:bookmarkEnd w:id="118"/>
      <w:bookmarkStart w:id="119" w:name="_Toc184314445"/>
      <w:bookmarkEnd w:id="119"/>
      <w:bookmarkStart w:id="120" w:name="_Toc184314465"/>
      <w:bookmarkEnd w:id="120"/>
      <w:bookmarkStart w:id="121" w:name="_Toc184313303"/>
      <w:bookmarkEnd w:id="121"/>
      <w:bookmarkStart w:id="122" w:name="_Toc184308048"/>
      <w:bookmarkEnd w:id="122"/>
      <w:bookmarkStart w:id="123" w:name="_Toc184310303"/>
      <w:bookmarkEnd w:id="123"/>
      <w:bookmarkStart w:id="124" w:name="_Toc184314410"/>
      <w:bookmarkEnd w:id="124"/>
      <w:bookmarkStart w:id="125" w:name="_Toc184310275"/>
      <w:bookmarkEnd w:id="125"/>
      <w:bookmarkStart w:id="126" w:name="_Toc184313259"/>
      <w:bookmarkEnd w:id="126"/>
      <w:bookmarkStart w:id="127" w:name="_Toc184308053"/>
      <w:bookmarkEnd w:id="127"/>
      <w:bookmarkStart w:id="128" w:name="_Toc184308089"/>
      <w:bookmarkEnd w:id="128"/>
      <w:bookmarkStart w:id="129" w:name="_Toc184308078"/>
      <w:bookmarkEnd w:id="129"/>
      <w:bookmarkStart w:id="130" w:name="_Toc184312139"/>
      <w:bookmarkEnd w:id="130"/>
      <w:bookmarkStart w:id="131" w:name="_Toc184308096"/>
      <w:bookmarkEnd w:id="131"/>
      <w:bookmarkStart w:id="132" w:name="_Toc184314422"/>
      <w:bookmarkEnd w:id="132"/>
      <w:bookmarkStart w:id="133" w:name="_Toc184312109"/>
      <w:bookmarkEnd w:id="133"/>
      <w:bookmarkStart w:id="134" w:name="_Toc184313275"/>
      <w:bookmarkEnd w:id="134"/>
      <w:bookmarkStart w:id="135" w:name="_Toc184310291"/>
      <w:bookmarkEnd w:id="135"/>
      <w:bookmarkStart w:id="136" w:name="_Toc184313242"/>
      <w:bookmarkEnd w:id="136"/>
      <w:bookmarkStart w:id="137" w:name="_Toc184314460"/>
      <w:bookmarkEnd w:id="137"/>
      <w:bookmarkStart w:id="138" w:name="_Toc184313291"/>
      <w:bookmarkEnd w:id="138"/>
      <w:bookmarkStart w:id="139" w:name="_Toc184308066"/>
      <w:bookmarkEnd w:id="139"/>
      <w:bookmarkStart w:id="140" w:name="_Toc184310333"/>
      <w:bookmarkEnd w:id="140"/>
      <w:bookmarkStart w:id="141" w:name="_Toc184310336"/>
      <w:bookmarkEnd w:id="141"/>
      <w:bookmarkStart w:id="142" w:name="_Toc184312108"/>
      <w:bookmarkEnd w:id="142"/>
      <w:bookmarkStart w:id="143" w:name="_Toc184313279"/>
      <w:bookmarkEnd w:id="143"/>
      <w:bookmarkStart w:id="144" w:name="_Toc184308058"/>
      <w:bookmarkEnd w:id="144"/>
      <w:bookmarkStart w:id="145" w:name="_Toc184312136"/>
      <w:bookmarkEnd w:id="145"/>
      <w:bookmarkStart w:id="146" w:name="_Toc184308102"/>
      <w:bookmarkEnd w:id="146"/>
      <w:bookmarkStart w:id="147" w:name="_Toc184312119"/>
      <w:bookmarkEnd w:id="147"/>
      <w:bookmarkStart w:id="148" w:name="_Toc184313305"/>
      <w:bookmarkEnd w:id="148"/>
      <w:bookmarkStart w:id="149" w:name="_Toc184308094"/>
      <w:bookmarkEnd w:id="149"/>
      <w:bookmarkStart w:id="150" w:name="_Toc184313293"/>
      <w:bookmarkEnd w:id="150"/>
      <w:bookmarkStart w:id="151" w:name="_Toc184308057"/>
      <w:bookmarkEnd w:id="151"/>
      <w:bookmarkStart w:id="152" w:name="_Toc184312133"/>
      <w:bookmarkEnd w:id="152"/>
      <w:bookmarkStart w:id="153" w:name="_Toc184310274"/>
      <w:bookmarkEnd w:id="153"/>
      <w:bookmarkStart w:id="154" w:name="_Toc184310295"/>
      <w:bookmarkEnd w:id="154"/>
      <w:bookmarkStart w:id="155" w:name="_Toc184308083"/>
      <w:bookmarkEnd w:id="155"/>
      <w:bookmarkStart w:id="156" w:name="_Toc184313294"/>
      <w:bookmarkEnd w:id="156"/>
      <w:bookmarkStart w:id="157" w:name="_Toc184312093"/>
      <w:bookmarkEnd w:id="157"/>
      <w:bookmarkStart w:id="158" w:name="_Toc184308077"/>
      <w:bookmarkEnd w:id="158"/>
      <w:bookmarkStart w:id="159" w:name="_Toc184310325"/>
      <w:bookmarkEnd w:id="159"/>
      <w:bookmarkStart w:id="160" w:name="_Toc184312083"/>
      <w:bookmarkEnd w:id="160"/>
      <w:bookmarkStart w:id="161" w:name="_Toc184312138"/>
      <w:bookmarkEnd w:id="161"/>
      <w:bookmarkStart w:id="162" w:name="_Toc184308091"/>
      <w:bookmarkEnd w:id="162"/>
      <w:bookmarkStart w:id="163" w:name="_Toc184308049"/>
      <w:bookmarkEnd w:id="163"/>
      <w:bookmarkStart w:id="164" w:name="_Toc184310273"/>
      <w:bookmarkEnd w:id="164"/>
      <w:bookmarkStart w:id="165" w:name="_Toc184314481"/>
      <w:bookmarkEnd w:id="165"/>
      <w:bookmarkStart w:id="166" w:name="_Toc184312127"/>
      <w:bookmarkEnd w:id="166"/>
      <w:bookmarkStart w:id="167" w:name="_Toc184314435"/>
      <w:bookmarkEnd w:id="167"/>
      <w:bookmarkStart w:id="168" w:name="_Toc184310279"/>
      <w:bookmarkEnd w:id="168"/>
      <w:bookmarkStart w:id="169" w:name="_Toc184310341"/>
      <w:bookmarkEnd w:id="169"/>
      <w:bookmarkStart w:id="170" w:name="_Toc184308101"/>
      <w:bookmarkEnd w:id="170"/>
      <w:bookmarkStart w:id="171" w:name="_Toc184313240"/>
      <w:bookmarkEnd w:id="171"/>
      <w:bookmarkStart w:id="172" w:name="_Toc184312121"/>
      <w:bookmarkEnd w:id="172"/>
      <w:bookmarkStart w:id="173" w:name="_Toc184310296"/>
      <w:bookmarkEnd w:id="173"/>
      <w:bookmarkStart w:id="174" w:name="_Toc184312100"/>
      <w:bookmarkEnd w:id="174"/>
      <w:bookmarkStart w:id="175" w:name="_Toc184313301"/>
      <w:bookmarkEnd w:id="175"/>
      <w:bookmarkStart w:id="176" w:name="_Toc184308064"/>
      <w:bookmarkEnd w:id="176"/>
      <w:bookmarkStart w:id="177" w:name="_Toc184314472"/>
      <w:bookmarkEnd w:id="177"/>
      <w:bookmarkStart w:id="178" w:name="_Toc184310305"/>
      <w:bookmarkEnd w:id="178"/>
      <w:bookmarkStart w:id="179" w:name="_Toc184314467"/>
      <w:bookmarkEnd w:id="179"/>
      <w:bookmarkStart w:id="180" w:name="_Toc184314479"/>
      <w:bookmarkEnd w:id="180"/>
      <w:bookmarkStart w:id="181" w:name="_Toc184314454"/>
      <w:bookmarkEnd w:id="181"/>
      <w:bookmarkStart w:id="182" w:name="_Toc184314431"/>
      <w:bookmarkEnd w:id="182"/>
      <w:bookmarkStart w:id="183" w:name="_Toc184314462"/>
      <w:bookmarkEnd w:id="183"/>
      <w:bookmarkStart w:id="184" w:name="_Toc184308036"/>
      <w:bookmarkEnd w:id="184"/>
      <w:bookmarkStart w:id="185" w:name="_Toc184312118"/>
      <w:bookmarkEnd w:id="185"/>
      <w:bookmarkStart w:id="186" w:name="_Toc184314461"/>
      <w:bookmarkEnd w:id="186"/>
      <w:bookmarkStart w:id="187" w:name="_Toc184314450"/>
      <w:bookmarkEnd w:id="187"/>
      <w:bookmarkStart w:id="188" w:name="_Toc184313304"/>
      <w:bookmarkEnd w:id="188"/>
      <w:bookmarkStart w:id="189" w:name="_Toc184312107"/>
      <w:bookmarkEnd w:id="189"/>
      <w:bookmarkStart w:id="190" w:name="_Toc184310343"/>
      <w:bookmarkEnd w:id="190"/>
      <w:bookmarkStart w:id="191" w:name="_Toc184312112"/>
      <w:bookmarkEnd w:id="191"/>
      <w:bookmarkStart w:id="192" w:name="_Toc184313267"/>
      <w:bookmarkEnd w:id="192"/>
      <w:bookmarkStart w:id="193" w:name="_Toc184310326"/>
      <w:bookmarkEnd w:id="193"/>
      <w:bookmarkStart w:id="194" w:name="_Toc184310312"/>
      <w:bookmarkEnd w:id="194"/>
      <w:bookmarkStart w:id="195" w:name="_Toc184313268"/>
      <w:bookmarkEnd w:id="195"/>
      <w:bookmarkStart w:id="196" w:name="_Toc184310309"/>
      <w:bookmarkEnd w:id="196"/>
      <w:bookmarkStart w:id="197" w:name="_Toc184308085"/>
      <w:bookmarkEnd w:id="197"/>
      <w:bookmarkStart w:id="198" w:name="_Toc184308092"/>
      <w:bookmarkEnd w:id="198"/>
      <w:bookmarkStart w:id="199" w:name="_Toc184313302"/>
      <w:bookmarkEnd w:id="199"/>
      <w:bookmarkStart w:id="200" w:name="_Toc184314423"/>
      <w:bookmarkEnd w:id="200"/>
      <w:bookmarkStart w:id="201" w:name="_Toc184308060"/>
      <w:bookmarkEnd w:id="201"/>
      <w:bookmarkStart w:id="202" w:name="_Toc184310327"/>
      <w:bookmarkEnd w:id="202"/>
      <w:bookmarkStart w:id="203" w:name="_Toc184308090"/>
      <w:bookmarkEnd w:id="203"/>
      <w:bookmarkStart w:id="204" w:name="_Toc184310334"/>
      <w:bookmarkEnd w:id="204"/>
      <w:bookmarkStart w:id="205" w:name="_Toc184314444"/>
      <w:bookmarkEnd w:id="205"/>
      <w:bookmarkStart w:id="206" w:name="_Toc184314480"/>
      <w:bookmarkEnd w:id="206"/>
      <w:bookmarkStart w:id="207" w:name="_Toc184313241"/>
      <w:bookmarkEnd w:id="207"/>
      <w:bookmarkStart w:id="208" w:name="_Toc184310287"/>
      <w:bookmarkEnd w:id="208"/>
      <w:bookmarkStart w:id="209" w:name="_Toc184312071"/>
      <w:bookmarkEnd w:id="209"/>
      <w:bookmarkStart w:id="210" w:name="_Toc184310294"/>
      <w:bookmarkEnd w:id="210"/>
      <w:bookmarkStart w:id="211" w:name="_Toc184308046"/>
      <w:bookmarkEnd w:id="211"/>
      <w:bookmarkStart w:id="212" w:name="_Toc184312115"/>
      <w:bookmarkEnd w:id="212"/>
      <w:bookmarkStart w:id="213" w:name="_Toc184310329"/>
      <w:bookmarkEnd w:id="213"/>
      <w:bookmarkStart w:id="214" w:name="_Toc184313286"/>
      <w:bookmarkEnd w:id="214"/>
      <w:bookmarkStart w:id="215" w:name="_Toc184312129"/>
      <w:bookmarkEnd w:id="215"/>
      <w:bookmarkStart w:id="216" w:name="_Toc184312116"/>
      <w:bookmarkEnd w:id="216"/>
      <w:bookmarkStart w:id="217" w:name="_Toc184313285"/>
      <w:bookmarkEnd w:id="217"/>
      <w:bookmarkStart w:id="218" w:name="_Toc184314424"/>
      <w:bookmarkEnd w:id="218"/>
      <w:bookmarkStart w:id="219" w:name="_Toc184314443"/>
      <w:bookmarkEnd w:id="219"/>
      <w:bookmarkStart w:id="220" w:name="_Toc184314415"/>
      <w:bookmarkEnd w:id="220"/>
      <w:bookmarkStart w:id="221" w:name="_Toc184310289"/>
      <w:bookmarkEnd w:id="221"/>
      <w:bookmarkStart w:id="222" w:name="_Toc184312091"/>
      <w:bookmarkEnd w:id="222"/>
      <w:bookmarkStart w:id="223" w:name="_Toc184310338"/>
      <w:bookmarkEnd w:id="223"/>
      <w:bookmarkStart w:id="224" w:name="_Toc184310330"/>
      <w:bookmarkEnd w:id="224"/>
      <w:bookmarkStart w:id="225" w:name="_Toc184314469"/>
      <w:bookmarkEnd w:id="225"/>
      <w:bookmarkStart w:id="226" w:name="_Toc184310313"/>
      <w:bookmarkEnd w:id="226"/>
      <w:bookmarkStart w:id="227" w:name="_Toc184308097"/>
      <w:bookmarkEnd w:id="227"/>
      <w:bookmarkStart w:id="228" w:name="_Toc184314471"/>
      <w:bookmarkEnd w:id="228"/>
      <w:bookmarkStart w:id="229" w:name="_Toc184314470"/>
      <w:bookmarkEnd w:id="229"/>
      <w:bookmarkStart w:id="230" w:name="_Toc184308103"/>
      <w:bookmarkEnd w:id="230"/>
      <w:bookmarkStart w:id="231" w:name="_Toc184312130"/>
      <w:bookmarkEnd w:id="231"/>
      <w:bookmarkStart w:id="232" w:name="_Toc184312092"/>
      <w:bookmarkEnd w:id="232"/>
      <w:bookmarkStart w:id="233" w:name="_Toc184314452"/>
      <w:bookmarkEnd w:id="233"/>
      <w:bookmarkStart w:id="234" w:name="_Toc184308080"/>
      <w:bookmarkEnd w:id="234"/>
      <w:bookmarkStart w:id="235" w:name="_Toc184312087"/>
      <w:bookmarkEnd w:id="235"/>
      <w:bookmarkStart w:id="236" w:name="_Toc184308037"/>
      <w:bookmarkEnd w:id="236"/>
      <w:bookmarkStart w:id="237" w:name="_Toc184312122"/>
      <w:bookmarkEnd w:id="237"/>
      <w:bookmarkStart w:id="238" w:name="_Toc184313297"/>
      <w:bookmarkEnd w:id="238"/>
      <w:bookmarkStart w:id="239" w:name="_Toc184310340"/>
      <w:bookmarkEnd w:id="239"/>
      <w:bookmarkStart w:id="240" w:name="_Toc184312132"/>
      <w:bookmarkEnd w:id="240"/>
      <w:bookmarkStart w:id="241" w:name="_Toc184308076"/>
      <w:bookmarkEnd w:id="241"/>
      <w:bookmarkStart w:id="242" w:name="_Toc184308068"/>
      <w:bookmarkEnd w:id="242"/>
      <w:bookmarkStart w:id="243" w:name="_Toc184312084"/>
      <w:bookmarkEnd w:id="243"/>
      <w:bookmarkStart w:id="244" w:name="_Toc184312080"/>
      <w:bookmarkEnd w:id="244"/>
      <w:bookmarkStart w:id="245" w:name="_Toc184310311"/>
      <w:bookmarkEnd w:id="245"/>
      <w:bookmarkStart w:id="246" w:name="_Toc184312114"/>
      <w:bookmarkEnd w:id="246"/>
      <w:bookmarkStart w:id="247" w:name="_Toc184310276"/>
      <w:bookmarkEnd w:id="247"/>
      <w:bookmarkStart w:id="248" w:name="_Toc184308044"/>
      <w:bookmarkEnd w:id="248"/>
      <w:bookmarkStart w:id="249" w:name="_Toc184310307"/>
      <w:bookmarkEnd w:id="249"/>
      <w:bookmarkStart w:id="250" w:name="_Toc184312097"/>
      <w:bookmarkEnd w:id="250"/>
      <w:bookmarkStart w:id="251" w:name="_Toc184308087"/>
      <w:bookmarkEnd w:id="251"/>
      <w:bookmarkStart w:id="252" w:name="_Toc184314430"/>
      <w:bookmarkEnd w:id="252"/>
      <w:bookmarkStart w:id="253" w:name="_Toc184308098"/>
      <w:bookmarkEnd w:id="253"/>
      <w:bookmarkStart w:id="254" w:name="_Toc184312088"/>
      <w:bookmarkEnd w:id="254"/>
      <w:bookmarkStart w:id="255" w:name="_Toc184312086"/>
      <w:bookmarkEnd w:id="255"/>
      <w:bookmarkStart w:id="256" w:name="_Toc184314456"/>
      <w:bookmarkEnd w:id="256"/>
      <w:bookmarkStart w:id="257" w:name="_Toc184310315"/>
      <w:bookmarkEnd w:id="257"/>
      <w:bookmarkStart w:id="258" w:name="_Toc184310317"/>
      <w:bookmarkEnd w:id="258"/>
      <w:bookmarkStart w:id="259" w:name="_Toc184308095"/>
      <w:bookmarkEnd w:id="259"/>
      <w:bookmarkStart w:id="260" w:name="_Toc184312124"/>
      <w:bookmarkEnd w:id="260"/>
      <w:bookmarkStart w:id="261" w:name="_Toc184308039"/>
      <w:bookmarkEnd w:id="261"/>
      <w:bookmarkStart w:id="262" w:name="_Toc184314429"/>
      <w:bookmarkEnd w:id="262"/>
      <w:bookmarkStart w:id="263" w:name="_Toc184312079"/>
      <w:bookmarkEnd w:id="263"/>
      <w:bookmarkStart w:id="264" w:name="_Toc184310290"/>
      <w:bookmarkEnd w:id="264"/>
      <w:bookmarkStart w:id="265" w:name="_Toc184310306"/>
      <w:bookmarkEnd w:id="265"/>
      <w:bookmarkStart w:id="266" w:name="_Toc184314459"/>
      <w:bookmarkEnd w:id="266"/>
      <w:bookmarkStart w:id="267" w:name="_Toc184310292"/>
      <w:bookmarkEnd w:id="267"/>
      <w:bookmarkStart w:id="268" w:name="_Toc184313274"/>
      <w:bookmarkEnd w:id="268"/>
      <w:bookmarkStart w:id="269" w:name="_Toc184312126"/>
      <w:bookmarkEnd w:id="269"/>
      <w:bookmarkStart w:id="270" w:name="_Toc184310324"/>
      <w:bookmarkEnd w:id="270"/>
      <w:bookmarkStart w:id="271" w:name="_Toc184308081"/>
      <w:bookmarkEnd w:id="271"/>
      <w:bookmarkStart w:id="272" w:name="_Toc184314447"/>
      <w:bookmarkEnd w:id="272"/>
      <w:bookmarkStart w:id="273" w:name="_Toc184313251"/>
      <w:bookmarkEnd w:id="273"/>
      <w:bookmarkStart w:id="274" w:name="_Toc184313307"/>
      <w:bookmarkEnd w:id="274"/>
      <w:bookmarkStart w:id="275" w:name="_Toc184314453"/>
      <w:bookmarkEnd w:id="275"/>
      <w:bookmarkStart w:id="276" w:name="_Toc184314421"/>
      <w:bookmarkEnd w:id="276"/>
      <w:bookmarkStart w:id="277" w:name="_Toc184310339"/>
      <w:bookmarkEnd w:id="277"/>
      <w:bookmarkStart w:id="278" w:name="_Toc184313243"/>
      <w:bookmarkEnd w:id="278"/>
      <w:bookmarkStart w:id="279" w:name="_Toc184308105"/>
      <w:bookmarkEnd w:id="279"/>
      <w:bookmarkStart w:id="280" w:name="_Toc184310272"/>
      <w:bookmarkEnd w:id="280"/>
      <w:bookmarkStart w:id="281" w:name="_Toc184314436"/>
      <w:bookmarkEnd w:id="281"/>
      <w:bookmarkStart w:id="282" w:name="_Toc184313254"/>
      <w:bookmarkEnd w:id="282"/>
      <w:bookmarkStart w:id="283" w:name="_Toc184313246"/>
      <w:bookmarkEnd w:id="283"/>
      <w:bookmarkStart w:id="284" w:name="_Toc184308055"/>
      <w:bookmarkEnd w:id="284"/>
      <w:bookmarkStart w:id="285" w:name="_Toc184314417"/>
      <w:bookmarkEnd w:id="285"/>
      <w:bookmarkStart w:id="286" w:name="_Toc184312068"/>
      <w:bookmarkEnd w:id="286"/>
      <w:bookmarkStart w:id="287" w:name="_Toc184308104"/>
      <w:bookmarkEnd w:id="287"/>
      <w:bookmarkStart w:id="288" w:name="_Toc184313244"/>
      <w:bookmarkEnd w:id="288"/>
      <w:bookmarkStart w:id="289" w:name="_Toc184313265"/>
      <w:bookmarkEnd w:id="289"/>
      <w:bookmarkStart w:id="290" w:name="_Toc184314433"/>
      <w:bookmarkEnd w:id="290"/>
      <w:bookmarkStart w:id="291" w:name="_Toc184310344"/>
      <w:bookmarkEnd w:id="291"/>
      <w:bookmarkStart w:id="292" w:name="_Toc184314449"/>
      <w:bookmarkEnd w:id="292"/>
      <w:bookmarkStart w:id="293" w:name="_Toc184308065"/>
      <w:bookmarkEnd w:id="293"/>
      <w:bookmarkStart w:id="294" w:name="_Toc184312137"/>
      <w:bookmarkEnd w:id="294"/>
      <w:bookmarkStart w:id="295" w:name="_Toc184313306"/>
      <w:bookmarkEnd w:id="295"/>
      <w:bookmarkStart w:id="296" w:name="_Toc184308050"/>
      <w:bookmarkEnd w:id="296"/>
      <w:bookmarkStart w:id="297" w:name="_Toc184310304"/>
      <w:bookmarkEnd w:id="297"/>
      <w:bookmarkStart w:id="298" w:name="_Toc184310320"/>
      <w:bookmarkEnd w:id="298"/>
      <w:bookmarkStart w:id="299" w:name="_Toc184312105"/>
      <w:bookmarkEnd w:id="299"/>
      <w:bookmarkStart w:id="300" w:name="_Toc184310331"/>
      <w:bookmarkEnd w:id="300"/>
      <w:bookmarkStart w:id="301" w:name="_Toc184308056"/>
      <w:bookmarkEnd w:id="301"/>
      <w:bookmarkStart w:id="302" w:name="_Toc184312125"/>
      <w:bookmarkEnd w:id="302"/>
      <w:bookmarkStart w:id="303" w:name="_Toc184308071"/>
      <w:bookmarkEnd w:id="303"/>
      <w:bookmarkStart w:id="304" w:name="_Toc184314476"/>
      <w:bookmarkEnd w:id="304"/>
      <w:bookmarkStart w:id="305" w:name="_Toc184312072"/>
      <w:bookmarkEnd w:id="305"/>
      <w:bookmarkStart w:id="306" w:name="_Toc184308054"/>
      <w:bookmarkEnd w:id="306"/>
      <w:bookmarkStart w:id="307" w:name="_Toc184308052"/>
      <w:bookmarkEnd w:id="307"/>
      <w:bookmarkStart w:id="308" w:name="_Toc184310310"/>
      <w:bookmarkEnd w:id="308"/>
      <w:bookmarkStart w:id="309" w:name="_Toc184313247"/>
      <w:bookmarkEnd w:id="309"/>
      <w:bookmarkStart w:id="310" w:name="_Toc184312110"/>
      <w:bookmarkEnd w:id="310"/>
      <w:bookmarkStart w:id="311" w:name="_Toc184310337"/>
      <w:bookmarkEnd w:id="311"/>
      <w:bookmarkStart w:id="312" w:name="_Toc184310286"/>
      <w:bookmarkEnd w:id="312"/>
      <w:bookmarkStart w:id="313" w:name="_Toc184314442"/>
      <w:bookmarkEnd w:id="313"/>
      <w:bookmarkStart w:id="314" w:name="_Toc184312095"/>
      <w:bookmarkEnd w:id="314"/>
      <w:bookmarkStart w:id="315" w:name="_Toc184313300"/>
      <w:bookmarkEnd w:id="315"/>
      <w:bookmarkStart w:id="316" w:name="_Toc184308045"/>
      <w:bookmarkEnd w:id="316"/>
      <w:bookmarkStart w:id="317" w:name="_Toc184310284"/>
      <w:bookmarkEnd w:id="317"/>
      <w:bookmarkStart w:id="318" w:name="_Toc184308106"/>
      <w:bookmarkEnd w:id="318"/>
      <w:bookmarkStart w:id="319" w:name="_Toc184308084"/>
      <w:bookmarkEnd w:id="319"/>
      <w:bookmarkStart w:id="320" w:name="_Toc184313281"/>
      <w:bookmarkEnd w:id="320"/>
      <w:bookmarkStart w:id="321" w:name="_Toc184314458"/>
      <w:bookmarkEnd w:id="321"/>
      <w:bookmarkStart w:id="322" w:name="_Toc184313276"/>
      <w:bookmarkEnd w:id="322"/>
      <w:bookmarkStart w:id="323" w:name="_Toc184310314"/>
      <w:bookmarkEnd w:id="323"/>
      <w:bookmarkStart w:id="324" w:name="_Toc184313278"/>
      <w:bookmarkEnd w:id="324"/>
      <w:bookmarkStart w:id="325" w:name="_Toc184314438"/>
      <w:bookmarkEnd w:id="325"/>
      <w:bookmarkStart w:id="326" w:name="_Toc184310288"/>
      <w:bookmarkEnd w:id="326"/>
      <w:bookmarkStart w:id="327" w:name="_Toc184310300"/>
      <w:bookmarkEnd w:id="327"/>
      <w:bookmarkStart w:id="328" w:name="_Toc184310318"/>
      <w:bookmarkEnd w:id="328"/>
      <w:bookmarkStart w:id="329" w:name="_Toc184313266"/>
      <w:bookmarkEnd w:id="329"/>
      <w:bookmarkStart w:id="330" w:name="_Toc184314439"/>
      <w:bookmarkEnd w:id="330"/>
      <w:bookmarkStart w:id="331" w:name="_Toc184308038"/>
      <w:bookmarkEnd w:id="331"/>
      <w:bookmarkStart w:id="332" w:name="_Toc184312103"/>
      <w:bookmarkEnd w:id="332"/>
      <w:bookmarkStart w:id="333" w:name="_Toc184312069"/>
      <w:bookmarkEnd w:id="333"/>
      <w:bookmarkStart w:id="334" w:name="_Toc184314412"/>
      <w:bookmarkEnd w:id="334"/>
      <w:bookmarkStart w:id="335" w:name="_Toc184312113"/>
      <w:bookmarkEnd w:id="335"/>
      <w:bookmarkStart w:id="336" w:name="_Toc184314475"/>
      <w:bookmarkEnd w:id="336"/>
      <w:bookmarkStart w:id="337" w:name="_Toc184313269"/>
      <w:bookmarkEnd w:id="337"/>
      <w:bookmarkStart w:id="338" w:name="_Toc184313273"/>
      <w:bookmarkEnd w:id="338"/>
      <w:bookmarkStart w:id="339" w:name="_Toc184312090"/>
      <w:bookmarkEnd w:id="339"/>
      <w:bookmarkStart w:id="340" w:name="_Toc184308047"/>
      <w:bookmarkEnd w:id="340"/>
      <w:bookmarkStart w:id="341" w:name="_Toc184312075"/>
      <w:bookmarkEnd w:id="341"/>
      <w:bookmarkStart w:id="342" w:name="_Toc184308070"/>
      <w:bookmarkEnd w:id="342"/>
      <w:bookmarkStart w:id="343" w:name="_Toc184312073"/>
      <w:bookmarkEnd w:id="343"/>
      <w:bookmarkStart w:id="344" w:name="_Toc184308059"/>
      <w:bookmarkEnd w:id="344"/>
      <w:bookmarkStart w:id="345" w:name="_Toc184314468"/>
      <w:bookmarkEnd w:id="345"/>
      <w:bookmarkStart w:id="346" w:name="_Toc184310280"/>
      <w:bookmarkEnd w:id="346"/>
      <w:bookmarkStart w:id="347" w:name="_Toc184314427"/>
      <w:bookmarkEnd w:id="347"/>
      <w:bookmarkStart w:id="348" w:name="_Toc184314473"/>
      <w:bookmarkEnd w:id="348"/>
      <w:bookmarkStart w:id="349" w:name="_Toc184308079"/>
      <w:bookmarkEnd w:id="349"/>
      <w:bookmarkStart w:id="350" w:name="_Toc184313255"/>
      <w:bookmarkEnd w:id="350"/>
      <w:bookmarkStart w:id="351" w:name="_Toc184314437"/>
      <w:bookmarkEnd w:id="351"/>
      <w:bookmarkStart w:id="352" w:name="_Toc184310301"/>
      <w:bookmarkEnd w:id="352"/>
      <w:bookmarkStart w:id="353" w:name="_Toc184314434"/>
      <w:bookmarkEnd w:id="353"/>
      <w:bookmarkStart w:id="354" w:name="_Toc184308074"/>
      <w:bookmarkEnd w:id="354"/>
      <w:bookmarkStart w:id="355" w:name="_Toc184310302"/>
      <w:bookmarkEnd w:id="355"/>
      <w:bookmarkStart w:id="356" w:name="_Toc184310335"/>
      <w:bookmarkEnd w:id="356"/>
      <w:bookmarkStart w:id="357" w:name="_Toc184308062"/>
      <w:bookmarkEnd w:id="357"/>
      <w:bookmarkStart w:id="358" w:name="_Toc184313284"/>
      <w:bookmarkEnd w:id="358"/>
      <w:bookmarkStart w:id="359" w:name="_Toc184308073"/>
      <w:bookmarkEnd w:id="359"/>
      <w:bookmarkStart w:id="360" w:name="_Toc184312076"/>
      <w:bookmarkEnd w:id="360"/>
      <w:bookmarkStart w:id="361" w:name="_Toc184312089"/>
      <w:bookmarkEnd w:id="361"/>
      <w:bookmarkStart w:id="362" w:name="_Toc184313260"/>
      <w:bookmarkEnd w:id="362"/>
      <w:bookmarkStart w:id="363" w:name="_Toc184310299"/>
      <w:bookmarkEnd w:id="363"/>
      <w:bookmarkStart w:id="364" w:name="_Toc184314446"/>
      <w:bookmarkEnd w:id="364"/>
      <w:bookmarkStart w:id="365" w:name="_Toc184313264"/>
      <w:bookmarkEnd w:id="365"/>
      <w:bookmarkStart w:id="366" w:name="_Toc184313290"/>
      <w:bookmarkEnd w:id="366"/>
      <w:bookmarkStart w:id="367" w:name="_Toc184314426"/>
      <w:bookmarkEnd w:id="367"/>
      <w:bookmarkStart w:id="368" w:name="_Toc184312077"/>
      <w:bookmarkEnd w:id="368"/>
      <w:bookmarkStart w:id="369" w:name="_Toc184313245"/>
      <w:bookmarkEnd w:id="369"/>
      <w:bookmarkStart w:id="370" w:name="_Toc184312102"/>
      <w:bookmarkEnd w:id="370"/>
      <w:bookmarkStart w:id="371" w:name="_Toc184310278"/>
      <w:bookmarkEnd w:id="371"/>
      <w:bookmarkStart w:id="372" w:name="_Toc184310277"/>
      <w:bookmarkEnd w:id="372"/>
      <w:bookmarkStart w:id="373" w:name="_Toc184313287"/>
      <w:bookmarkEnd w:id="373"/>
      <w:bookmarkStart w:id="374" w:name="_Toc184314425"/>
      <w:bookmarkEnd w:id="374"/>
      <w:bookmarkStart w:id="375" w:name="_Toc184312096"/>
      <w:bookmarkEnd w:id="375"/>
      <w:bookmarkStart w:id="376" w:name="_Toc184314418"/>
      <w:bookmarkEnd w:id="376"/>
      <w:bookmarkStart w:id="377" w:name="_Toc184314414"/>
      <w:bookmarkEnd w:id="377"/>
      <w:bookmarkStart w:id="378" w:name="_Toc184312135"/>
      <w:bookmarkEnd w:id="378"/>
      <w:bookmarkStart w:id="379" w:name="_Toc184313262"/>
      <w:bookmarkEnd w:id="379"/>
      <w:bookmarkStart w:id="380" w:name="_Toc184308093"/>
      <w:bookmarkEnd w:id="380"/>
      <w:bookmarkStart w:id="381" w:name="_Toc184312111"/>
      <w:bookmarkEnd w:id="381"/>
      <w:bookmarkStart w:id="382" w:name="_Toc184313289"/>
      <w:bookmarkEnd w:id="382"/>
      <w:bookmarkStart w:id="383" w:name="_Toc184308099"/>
      <w:bookmarkEnd w:id="383"/>
      <w:bookmarkStart w:id="384" w:name="_Toc184313282"/>
      <w:bookmarkEnd w:id="384"/>
      <w:bookmarkStart w:id="385" w:name="_Toc184313296"/>
      <w:bookmarkEnd w:id="385"/>
      <w:bookmarkStart w:id="386" w:name="_Toc184314477"/>
      <w:bookmarkEnd w:id="386"/>
      <w:bookmarkStart w:id="387" w:name="_Toc184314448"/>
      <w:bookmarkEnd w:id="387"/>
      <w:bookmarkStart w:id="388" w:name="_Toc184308075"/>
      <w:bookmarkEnd w:id="388"/>
      <w:bookmarkStart w:id="389" w:name="_Toc184314478"/>
      <w:bookmarkEnd w:id="389"/>
      <w:bookmarkStart w:id="390" w:name="_Toc184308042"/>
      <w:bookmarkEnd w:id="390"/>
      <w:r>
        <w:rPr>
          <w:rFonts w:hint="eastAsia" w:ascii="宋体" w:hAnsi="宋体" w:cs="宋体"/>
          <w:b/>
          <w:sz w:val="36"/>
          <w:szCs w:val="36"/>
        </w:rPr>
        <w:t>评标办法</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500" w:lineRule="exact"/>
        <w:ind w:firstLine="482" w:firstLineChars="200"/>
        <w:rPr>
          <w:rFonts w:ascii="宋体" w:hAnsi="宋体" w:cs="宋体"/>
          <w:kern w:val="0"/>
          <w:sz w:val="24"/>
        </w:rPr>
      </w:pPr>
      <w:r>
        <w:rPr>
          <w:rFonts w:hint="eastAsia" w:ascii="宋体" w:hAnsi="宋体" w:cs="宋体"/>
          <w:b/>
          <w:kern w:val="0"/>
          <w:sz w:val="24"/>
        </w:rPr>
        <w:t>1.</w:t>
      </w:r>
      <w:r>
        <w:rPr>
          <w:rFonts w:hint="eastAsia" w:ascii="宋体" w:hAnsi="宋体" w:cs="宋体"/>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pPr>
        <w:spacing w:line="500" w:lineRule="exact"/>
        <w:ind w:firstLine="482" w:firstLineChars="200"/>
        <w:rPr>
          <w:rFonts w:ascii="宋体" w:hAnsi="宋体" w:cs="宋体"/>
          <w:kern w:val="0"/>
          <w:sz w:val="24"/>
        </w:rPr>
      </w:pPr>
      <w:r>
        <w:rPr>
          <w:rFonts w:hint="eastAsia" w:ascii="宋体" w:hAnsi="宋体" w:cs="宋体"/>
          <w:b/>
          <w:kern w:val="0"/>
          <w:sz w:val="24"/>
        </w:rPr>
        <w:t>2.</w:t>
      </w:r>
      <w:r>
        <w:rPr>
          <w:rFonts w:hint="eastAsia" w:ascii="宋体" w:hAnsi="宋体" w:cs="宋体"/>
          <w:kern w:val="0"/>
          <w:sz w:val="24"/>
        </w:rPr>
        <w:t>评分办法</w:t>
      </w:r>
    </w:p>
    <w:p>
      <w:pPr>
        <w:spacing w:line="500" w:lineRule="exact"/>
        <w:ind w:firstLine="480" w:firstLineChars="200"/>
        <w:rPr>
          <w:rFonts w:ascii="宋体" w:hAnsi="宋体" w:cs="宋体"/>
          <w:kern w:val="0"/>
          <w:sz w:val="24"/>
        </w:rPr>
      </w:pPr>
      <w:r>
        <w:rPr>
          <w:rFonts w:hint="eastAsia" w:ascii="宋体" w:hAnsi="宋体" w:cs="宋体"/>
          <w:kern w:val="0"/>
          <w:sz w:val="24"/>
        </w:rPr>
        <w:t>（1）满分为100分。总得分=技术、商务得分+报价得分；</w:t>
      </w:r>
    </w:p>
    <w:p>
      <w:pPr>
        <w:spacing w:line="500" w:lineRule="exact"/>
        <w:ind w:firstLine="480" w:firstLineChars="200"/>
        <w:rPr>
          <w:rFonts w:ascii="宋体" w:hAnsi="宋体" w:cs="宋体"/>
          <w:kern w:val="0"/>
          <w:sz w:val="24"/>
        </w:rPr>
      </w:pPr>
      <w:r>
        <w:rPr>
          <w:rFonts w:hint="eastAsia" w:ascii="宋体" w:hAnsi="宋体" w:cs="宋体"/>
          <w:kern w:val="0"/>
          <w:sz w:val="24"/>
        </w:rPr>
        <w:t>（2）技术、商务得分=技术、商务评分，技术、商务评分=各评委的有效评分的算术平均数；</w:t>
      </w:r>
    </w:p>
    <w:p>
      <w:pPr>
        <w:spacing w:line="500" w:lineRule="exact"/>
        <w:ind w:firstLine="480" w:firstLineChars="200"/>
        <w:rPr>
          <w:rFonts w:ascii="宋体" w:hAnsi="宋体" w:cs="宋体"/>
          <w:kern w:val="0"/>
          <w:sz w:val="24"/>
        </w:rPr>
      </w:pPr>
      <w:r>
        <w:rPr>
          <w:rFonts w:hint="eastAsia" w:ascii="宋体" w:hAnsi="宋体" w:cs="宋体"/>
          <w:kern w:val="0"/>
          <w:sz w:val="24"/>
        </w:rPr>
        <w:t>（3）报价得分=（评标基准价/投标报价）*价格权值*100，评标基准价=有效投标人的最低投标报价，价格权值=30%；</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（4）技术、商务分评分细则（70分）：</w:t>
      </w:r>
    </w:p>
    <w:p>
      <w:pPr>
        <w:rPr>
          <w:rFonts w:hint="eastAsia" w:ascii="宋体" w:hAnsi="宋体" w:eastAsia="宋体" w:cs="宋体"/>
          <w:b w:val="0"/>
          <w:bCs w:val="0"/>
          <w:kern w:val="0"/>
          <w:sz w:val="24"/>
          <w:lang w:eastAsia="zh-CN"/>
        </w:rPr>
      </w:pPr>
      <w:r>
        <w:rPr>
          <w:rFonts w:hint="eastAsia" w:ascii="宋体" w:hAnsi="宋体" w:eastAsia="宋体" w:cs="宋体"/>
          <w:b w:val="0"/>
          <w:bCs w:val="0"/>
          <w:kern w:val="0"/>
          <w:sz w:val="24"/>
          <w:lang w:eastAsia="zh-CN"/>
        </w:rPr>
        <w:t>标一：</w:t>
      </w:r>
    </w:p>
    <w:p>
      <w:pPr>
        <w:ind w:firstLine="480" w:firstLineChars="200"/>
        <w:rPr>
          <w:rFonts w:ascii="仿宋_GB2312" w:hAnsi="仿宋" w:eastAsia="仿宋_GB2312" w:cs="Arial"/>
          <w:kern w:val="0"/>
          <w:sz w:val="24"/>
        </w:rPr>
      </w:pPr>
    </w:p>
    <w:tbl>
      <w:tblPr>
        <w:tblStyle w:val="65"/>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vAlign w:val="center"/>
          </w:tcPr>
          <w:p>
            <w:pPr>
              <w:spacing w:beforeLines="50" w:afterLines="50"/>
              <w:jc w:val="center"/>
              <w:rPr>
                <w:b/>
                <w:bCs/>
                <w:sz w:val="24"/>
              </w:rPr>
            </w:pPr>
            <w:r>
              <w:rPr>
                <w:rFonts w:hint="eastAsia" w:hAnsi="宋体"/>
                <w:b/>
                <w:bCs/>
                <w:sz w:val="24"/>
              </w:rPr>
              <w:t>序号</w:t>
            </w:r>
          </w:p>
        </w:tc>
        <w:tc>
          <w:tcPr>
            <w:tcW w:w="6828" w:type="dxa"/>
          </w:tcPr>
          <w:p>
            <w:pPr>
              <w:spacing w:beforeLines="50" w:afterLines="50"/>
              <w:jc w:val="center"/>
              <w:rPr>
                <w:b/>
                <w:bCs/>
                <w:sz w:val="24"/>
              </w:rPr>
            </w:pPr>
            <w:r>
              <w:rPr>
                <w:rFonts w:hint="eastAsia" w:hAnsi="宋体"/>
                <w:b/>
                <w:bCs/>
                <w:sz w:val="24"/>
              </w:rPr>
              <w:t>评审内容及标准</w:t>
            </w:r>
          </w:p>
        </w:tc>
        <w:tc>
          <w:tcPr>
            <w:tcW w:w="792" w:type="dxa"/>
            <w:vAlign w:val="center"/>
          </w:tcPr>
          <w:p>
            <w:pPr>
              <w:spacing w:beforeLines="50" w:afterLines="50"/>
              <w:jc w:val="center"/>
              <w:rPr>
                <w:b/>
                <w:bCs/>
                <w:sz w:val="24"/>
              </w:rPr>
            </w:pPr>
            <w:r>
              <w:rPr>
                <w:rFonts w:hint="eastAsia" w:hAnsi="宋体"/>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pPr>
              <w:spacing w:beforeLines="50" w:afterLines="50"/>
              <w:jc w:val="center"/>
              <w:rPr>
                <w:sz w:val="24"/>
              </w:rPr>
            </w:pPr>
            <w:r>
              <w:rPr>
                <w:rFonts w:hint="eastAsia"/>
                <w:sz w:val="24"/>
              </w:rPr>
              <w:t>1、</w:t>
            </w:r>
          </w:p>
        </w:tc>
        <w:tc>
          <w:tcPr>
            <w:tcW w:w="6828" w:type="dxa"/>
            <w:vAlign w:val="center"/>
          </w:tcPr>
          <w:p>
            <w:pPr>
              <w:rPr>
                <w:sz w:val="24"/>
              </w:rPr>
            </w:pPr>
            <w:r>
              <w:rPr>
                <w:rFonts w:hint="eastAsia"/>
                <w:sz w:val="24"/>
              </w:rPr>
              <w:t>【客观分】</w:t>
            </w:r>
          </w:p>
          <w:p>
            <w:pPr>
              <w:rPr>
                <w:sz w:val="24"/>
              </w:rPr>
            </w:pPr>
            <w:r>
              <w:rPr>
                <w:rFonts w:hint="eastAsia"/>
                <w:sz w:val="24"/>
              </w:rPr>
              <w:t>销售业绩：</w:t>
            </w:r>
          </w:p>
          <w:p>
            <w:pPr>
              <w:rPr>
                <w:sz w:val="24"/>
              </w:rPr>
            </w:pPr>
            <w:r>
              <w:rPr>
                <w:rFonts w:hint="eastAsia"/>
                <w:sz w:val="24"/>
              </w:rPr>
              <w:t>合同签订时间自</w:t>
            </w:r>
            <w:r>
              <w:rPr>
                <w:rFonts w:hint="eastAsia"/>
                <w:sz w:val="24"/>
                <w:u w:val="single"/>
              </w:rPr>
              <w:t>2022</w:t>
            </w:r>
            <w:r>
              <w:rPr>
                <w:rFonts w:hint="eastAsia"/>
                <w:sz w:val="24"/>
              </w:rPr>
              <w:t>年1月1日以来的，与最终用户签订的销售业绩，每提供一份与投标同品牌同型号产品销售业绩得</w:t>
            </w:r>
            <w:r>
              <w:rPr>
                <w:rFonts w:hint="eastAsia"/>
                <w:sz w:val="24"/>
                <w:u w:val="single"/>
              </w:rPr>
              <w:t>1</w:t>
            </w:r>
            <w:r>
              <w:rPr>
                <w:rFonts w:hint="eastAsia"/>
                <w:sz w:val="24"/>
              </w:rPr>
              <w:t>分，最高得</w:t>
            </w:r>
            <w:r>
              <w:rPr>
                <w:rFonts w:hint="eastAsia"/>
                <w:sz w:val="24"/>
                <w:u w:val="single"/>
              </w:rPr>
              <w:t>2</w:t>
            </w:r>
            <w:r>
              <w:rPr>
                <w:rFonts w:hint="eastAsia"/>
                <w:sz w:val="24"/>
              </w:rPr>
              <w:t>分。（要求提供完整的合同复印件，能清楚辨析设备名称型号）</w:t>
            </w:r>
          </w:p>
          <w:p>
            <w:pPr>
              <w:rPr>
                <w:sz w:val="24"/>
              </w:rPr>
            </w:pPr>
            <w:r>
              <w:rPr>
                <w:rFonts w:hint="eastAsia"/>
                <w:sz w:val="24"/>
              </w:rPr>
              <w:t>对省级以上主管部门认定的首台套产品，自纳入《省推广应用指导目录》起三年内参加政府采购活动，视同已具备相应销售业绩，业绩分为满分。（提供证明材料）</w:t>
            </w:r>
          </w:p>
        </w:tc>
        <w:tc>
          <w:tcPr>
            <w:tcW w:w="792" w:type="dxa"/>
            <w:vAlign w:val="center"/>
          </w:tcPr>
          <w:p>
            <w:pPr>
              <w:spacing w:beforeLines="50" w:afterLines="50"/>
              <w:jc w:val="center"/>
              <w:rPr>
                <w:b/>
                <w:bCs/>
                <w:sz w:val="24"/>
              </w:rPr>
            </w:pPr>
            <w:r>
              <w:rPr>
                <w:rFonts w:hint="eastAsia"/>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pPr>
              <w:spacing w:beforeLines="50" w:afterLines="50"/>
              <w:jc w:val="center"/>
              <w:rPr>
                <w:sz w:val="24"/>
              </w:rPr>
            </w:pPr>
            <w:r>
              <w:rPr>
                <w:rFonts w:hint="eastAsia"/>
                <w:sz w:val="24"/>
              </w:rPr>
              <w:t>2、</w:t>
            </w:r>
          </w:p>
        </w:tc>
        <w:tc>
          <w:tcPr>
            <w:tcW w:w="6828" w:type="dxa"/>
          </w:tcPr>
          <w:p>
            <w:pPr>
              <w:snapToGrid w:val="0"/>
              <w:rPr>
                <w:rFonts w:hAnsi="宋体"/>
                <w:sz w:val="24"/>
              </w:rPr>
            </w:pPr>
            <w:r>
              <w:rPr>
                <w:rFonts w:hint="eastAsia"/>
                <w:sz w:val="24"/>
              </w:rPr>
              <w:t>【客观</w:t>
            </w:r>
            <w:r>
              <w:rPr>
                <w:rFonts w:hint="eastAsia" w:hAnsi="宋体"/>
                <w:sz w:val="24"/>
              </w:rPr>
              <w:t>分】</w:t>
            </w:r>
          </w:p>
          <w:p>
            <w:pPr>
              <w:snapToGrid w:val="0"/>
              <w:rPr>
                <w:rFonts w:hAnsi="宋体"/>
                <w:sz w:val="24"/>
              </w:rPr>
            </w:pPr>
            <w:r>
              <w:rPr>
                <w:rFonts w:hint="eastAsia" w:hAnsi="宋体"/>
                <w:sz w:val="24"/>
              </w:rPr>
              <w:t>采购需求符合度：</w:t>
            </w:r>
          </w:p>
          <w:p>
            <w:pPr>
              <w:snapToGrid w:val="0"/>
              <w:ind w:firstLine="400" w:firstLineChars="167"/>
              <w:rPr>
                <w:rFonts w:hAnsi="宋体"/>
                <w:sz w:val="24"/>
              </w:rPr>
            </w:pPr>
            <w:r>
              <w:rPr>
                <w:rFonts w:hint="eastAsia" w:hAnsi="宋体"/>
                <w:sz w:val="24"/>
              </w:rPr>
              <w:t>对应于采购需求中带“</w:t>
            </w:r>
            <w:r>
              <w:rPr>
                <w:rFonts w:hint="eastAsia" w:ascii="宋体" w:hAnsi="宋体"/>
              </w:rPr>
              <w:t>▲</w:t>
            </w:r>
            <w:r>
              <w:rPr>
                <w:rFonts w:hAnsi="宋体"/>
                <w:sz w:val="24"/>
              </w:rPr>
              <w:t>”</w:t>
            </w:r>
            <w:r>
              <w:rPr>
                <w:rFonts w:hint="eastAsia" w:hAnsi="宋体"/>
                <w:sz w:val="24"/>
              </w:rPr>
              <w:t>号条款不满足采购文件要求的，每一项扣减</w:t>
            </w:r>
            <w:r>
              <w:rPr>
                <w:rFonts w:hint="eastAsia" w:hAnsi="宋体"/>
                <w:sz w:val="24"/>
                <w:u w:val="single"/>
              </w:rPr>
              <w:t>4</w:t>
            </w:r>
            <w:r>
              <w:rPr>
                <w:rFonts w:hint="eastAsia" w:hAnsi="宋体"/>
                <w:sz w:val="24"/>
              </w:rPr>
              <w:t>分，其他条款不满足采购文件要求的，每一项扣减</w:t>
            </w:r>
            <w:r>
              <w:rPr>
                <w:rFonts w:hint="eastAsia" w:hAnsi="宋体"/>
                <w:sz w:val="24"/>
                <w:u w:val="single"/>
                <w:lang w:val="en-US" w:eastAsia="zh-CN"/>
              </w:rPr>
              <w:t>1</w:t>
            </w:r>
            <w:r>
              <w:rPr>
                <w:rFonts w:hint="eastAsia" w:hAnsi="宋体"/>
                <w:sz w:val="24"/>
              </w:rPr>
              <w:t>分。本项最高得</w:t>
            </w:r>
            <w:r>
              <w:rPr>
                <w:rFonts w:hint="eastAsia" w:hAnsi="宋体"/>
                <w:sz w:val="24"/>
                <w:lang w:val="en-US" w:eastAsia="zh-CN"/>
              </w:rPr>
              <w:t>48</w:t>
            </w:r>
            <w:r>
              <w:rPr>
                <w:rFonts w:hint="eastAsia" w:hAnsi="宋体"/>
                <w:sz w:val="24"/>
                <w:u w:val="single"/>
              </w:rPr>
              <w:t>分</w:t>
            </w:r>
            <w:r>
              <w:rPr>
                <w:rFonts w:hint="eastAsia" w:hAnsi="宋体"/>
                <w:sz w:val="24"/>
              </w:rPr>
              <w:t>，最低得0分。</w:t>
            </w:r>
          </w:p>
          <w:p>
            <w:pPr>
              <w:snapToGrid w:val="0"/>
              <w:ind w:firstLine="400" w:firstLineChars="167"/>
              <w:rPr>
                <w:rFonts w:hAnsi="宋体"/>
                <w:sz w:val="24"/>
              </w:rPr>
            </w:pPr>
            <w:r>
              <w:rPr>
                <w:rFonts w:hint="eastAsia" w:hAnsi="宋体"/>
                <w:sz w:val="24"/>
              </w:rPr>
              <w:t>1、针对带“▲”号技术参数要求，供应商需提供充分的证明材料，未提供充分证明材料的，评审委员会有权视为不满足采购文件要求。证明材料可以是以下四项中任一项</w:t>
            </w:r>
            <w:r>
              <w:rPr>
                <w:rFonts w:hint="eastAsia" w:hAnsi="宋体"/>
                <w:sz w:val="22"/>
                <w:szCs w:val="22"/>
              </w:rPr>
              <w:t>（有特别注明要求的除外）</w:t>
            </w:r>
            <w:r>
              <w:rPr>
                <w:rFonts w:hint="eastAsia" w:hAnsi="宋体"/>
                <w:sz w:val="24"/>
              </w:rPr>
              <w:t>：</w:t>
            </w:r>
          </w:p>
          <w:p>
            <w:pPr>
              <w:snapToGrid w:val="0"/>
              <w:ind w:firstLine="400" w:firstLineChars="167"/>
              <w:rPr>
                <w:rFonts w:hAnsi="宋体"/>
                <w:sz w:val="24"/>
              </w:rPr>
            </w:pPr>
            <w:r>
              <w:rPr>
                <w:rFonts w:hint="eastAsia" w:hAnsi="宋体"/>
                <w:sz w:val="24"/>
              </w:rPr>
              <w:t>1）生产制造商公开对外宣传的带有响应技术参数或功能的产品彩页，为响应而临时打印的无效。</w:t>
            </w:r>
          </w:p>
          <w:p>
            <w:pPr>
              <w:snapToGrid w:val="0"/>
              <w:ind w:firstLine="400" w:firstLineChars="167"/>
              <w:rPr>
                <w:rFonts w:hAnsi="宋体"/>
                <w:sz w:val="24"/>
              </w:rPr>
            </w:pPr>
            <w:r>
              <w:rPr>
                <w:rFonts w:hint="eastAsia" w:hAnsi="宋体"/>
                <w:sz w:val="24"/>
              </w:rPr>
              <w:t>2）加盖生产制造商公章的技术白皮书。</w:t>
            </w:r>
          </w:p>
          <w:p>
            <w:pPr>
              <w:snapToGrid w:val="0"/>
              <w:ind w:firstLine="400" w:firstLineChars="167"/>
              <w:rPr>
                <w:rFonts w:hAnsi="宋体"/>
                <w:sz w:val="24"/>
              </w:rPr>
            </w:pPr>
            <w:r>
              <w:rPr>
                <w:rFonts w:hint="eastAsia" w:hAnsi="宋体"/>
                <w:sz w:val="24"/>
              </w:rPr>
              <w:t>3）可在生产制造商官网查询到的产品技术参数或功能，需提供官网截图和网址等信息。</w:t>
            </w:r>
          </w:p>
          <w:p>
            <w:pPr>
              <w:snapToGrid w:val="0"/>
              <w:ind w:firstLine="400" w:firstLineChars="167"/>
              <w:rPr>
                <w:rFonts w:hAnsi="宋体"/>
                <w:sz w:val="24"/>
              </w:rPr>
            </w:pPr>
            <w:r>
              <w:rPr>
                <w:rFonts w:hint="eastAsia" w:hAnsi="宋体"/>
                <w:sz w:val="24"/>
              </w:rPr>
              <w:t>4）评审委员会认可的其他有效证明（包括但不限于第三方检测报告、加盖生产制造商的证明材料等）。</w:t>
            </w:r>
          </w:p>
          <w:p>
            <w:pPr>
              <w:snapToGrid w:val="0"/>
              <w:ind w:firstLine="400" w:firstLineChars="167"/>
              <w:rPr>
                <w:rFonts w:hAnsi="宋体"/>
                <w:sz w:val="24"/>
              </w:rPr>
            </w:pPr>
            <w:r>
              <w:rPr>
                <w:rFonts w:hint="eastAsia" w:hAnsi="宋体"/>
                <w:sz w:val="24"/>
              </w:rPr>
              <w:t>2、其他项采购要求中有具体数据的，应在《商务技术偏离表》中提供具体数据响应，不能简单响应为“具备”或“有”等，否则视为不满足采购文件要求。</w:t>
            </w:r>
          </w:p>
          <w:p>
            <w:pPr>
              <w:spacing w:line="420" w:lineRule="exact"/>
              <w:jc w:val="left"/>
            </w:pPr>
            <w:r>
              <w:rPr>
                <w:rFonts w:hint="eastAsia" w:hAnsi="宋体"/>
                <w:sz w:val="24"/>
              </w:rPr>
              <w:t>3、带“</w:t>
            </w:r>
            <w:r>
              <w:rPr>
                <w:rFonts w:hint="eastAsia" w:ascii="宋体" w:hAnsi="宋体"/>
              </w:rPr>
              <w:t>▲</w:t>
            </w:r>
            <w:r>
              <w:rPr>
                <w:rFonts w:hAnsi="宋体"/>
                <w:sz w:val="24"/>
              </w:rPr>
              <w:t>”</w:t>
            </w:r>
            <w:r>
              <w:rPr>
                <w:rFonts w:hint="eastAsia" w:hAnsi="宋体"/>
                <w:sz w:val="24"/>
              </w:rPr>
              <w:t>号项提供满足技术参数的佐证资料并在偏离表中标明佐证资料页码。</w:t>
            </w:r>
          </w:p>
        </w:tc>
        <w:tc>
          <w:tcPr>
            <w:tcW w:w="792" w:type="dxa"/>
            <w:vAlign w:val="center"/>
          </w:tcPr>
          <w:p>
            <w:pPr>
              <w:spacing w:beforeLines="50" w:afterLines="50"/>
              <w:jc w:val="center"/>
              <w:rPr>
                <w:bCs/>
                <w:sz w:val="24"/>
              </w:rPr>
            </w:pPr>
            <w:r>
              <w:rPr>
                <w:rFonts w:hint="eastAsia" w:hAnsi="宋体"/>
                <w:bCs/>
                <w:sz w:val="24"/>
                <w:u w:val="single"/>
                <w:lang w:val="en-US" w:eastAsia="zh-CN"/>
              </w:rPr>
              <w:t>48</w:t>
            </w:r>
            <w:r>
              <w:rPr>
                <w:rFonts w:hint="eastAsia" w:hAnsi="宋体"/>
                <w:bCs/>
                <w:sz w:val="24"/>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pPr>
              <w:spacing w:beforeLines="50" w:afterLines="5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6828" w:type="dxa"/>
            <w:vAlign w:val="center"/>
          </w:tcPr>
          <w:p>
            <w:pPr>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【主观分】</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售后服务：</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1、售后服务方案：提供详细售后服务方案，如售后服务网点的分布情况、售后服务机构备品备件储备，售后服务机构技术服务人员情况、开展定期巡检、故障解决方案、应急措施等综合评审。</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要求响应时间短，解决方案充分，备品备件储备充足，人员配备合理售后服务经验丰富。（评分范围：</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4，3，2，1，0）。</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运行及维修成本：提供消耗品或易耗品的使用周期、价格；提供出保后保修方案，包括保修价格、设备配件价格，维修服务费等维修价格。要求消耗品或易耗品报价合理运行成本低，保修方案合理，配件报价合理维修成本低。（评分范围：</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4，3，2，1，0）。</w:t>
            </w:r>
          </w:p>
        </w:tc>
        <w:tc>
          <w:tcPr>
            <w:tcW w:w="792" w:type="dxa"/>
            <w:vAlign w:val="center"/>
          </w:tcPr>
          <w:p>
            <w:pPr>
              <w:spacing w:beforeLines="50" w:afterLines="50"/>
              <w:jc w:val="center"/>
              <w:rPr>
                <w:b/>
                <w:bCs/>
                <w:sz w:val="24"/>
              </w:rPr>
            </w:pPr>
            <w:r>
              <w:rPr>
                <w:rFonts w:hint="eastAsia" w:hAnsi="宋体"/>
                <w:bCs/>
                <w:sz w:val="24"/>
                <w:u w:val="single"/>
                <w:lang w:val="en-US" w:eastAsia="zh-CN"/>
              </w:rPr>
              <w:t>10</w:t>
            </w:r>
            <w:r>
              <w:rPr>
                <w:rFonts w:hint="eastAsia" w:hAnsi="宋体"/>
                <w:bCs/>
                <w:sz w:val="24"/>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Lines="50" w:afterLines="50"/>
              <w:jc w:val="center"/>
              <w:rPr>
                <w:b/>
                <w:bCs/>
                <w:sz w:val="24"/>
              </w:rPr>
            </w:pPr>
            <w:r>
              <w:rPr>
                <w:rFonts w:hint="eastAsia"/>
                <w:sz w:val="24"/>
              </w:rPr>
              <w:t>4、</w:t>
            </w:r>
          </w:p>
        </w:tc>
        <w:tc>
          <w:tcPr>
            <w:tcW w:w="6828" w:type="dxa"/>
          </w:tcPr>
          <w:p>
            <w:pPr>
              <w:rPr>
                <w:rFonts w:ascii="宋体" w:hAnsi="宋体"/>
                <w:sz w:val="24"/>
              </w:rPr>
            </w:pPr>
            <w:r>
              <w:rPr>
                <w:rFonts w:hint="eastAsia" w:ascii="宋体" w:hAnsi="宋体"/>
                <w:sz w:val="24"/>
              </w:rPr>
              <w:t>【主观分】</w:t>
            </w:r>
          </w:p>
          <w:p>
            <w:pPr>
              <w:rPr>
                <w:rFonts w:ascii="宋体" w:hAnsi="宋体"/>
                <w:sz w:val="24"/>
              </w:rPr>
            </w:pPr>
            <w:r>
              <w:rPr>
                <w:rFonts w:hint="eastAsia" w:ascii="宋体" w:hAnsi="宋体"/>
                <w:sz w:val="24"/>
              </w:rPr>
              <w:t>安装调试及验收方案：</w:t>
            </w:r>
          </w:p>
          <w:p>
            <w:pPr>
              <w:rPr>
                <w:sz w:val="24"/>
              </w:rPr>
            </w:pPr>
            <w:r>
              <w:rPr>
                <w:rFonts w:hint="eastAsia"/>
                <w:sz w:val="24"/>
              </w:rPr>
              <w:t>根据商务要求中的</w:t>
            </w:r>
            <w:r>
              <w:rPr>
                <w:rFonts w:hint="eastAsia" w:ascii="宋体" w:hAnsi="宋体"/>
                <w:sz w:val="24"/>
              </w:rPr>
              <w:t>安装调试</w:t>
            </w:r>
            <w:r>
              <w:rPr>
                <w:rFonts w:hint="eastAsia"/>
                <w:sz w:val="24"/>
              </w:rPr>
              <w:t>要求和</w:t>
            </w:r>
            <w:r>
              <w:rPr>
                <w:rFonts w:hint="eastAsia" w:ascii="宋体" w:hAnsi="宋体"/>
                <w:sz w:val="24"/>
              </w:rPr>
              <w:t>验收要求</w:t>
            </w:r>
            <w:r>
              <w:rPr>
                <w:rFonts w:hint="eastAsia"/>
                <w:sz w:val="24"/>
              </w:rPr>
              <w:t>，提供详细的</w:t>
            </w:r>
            <w:r>
              <w:rPr>
                <w:rFonts w:hint="eastAsia" w:ascii="宋体" w:hAnsi="宋体"/>
                <w:sz w:val="24"/>
              </w:rPr>
              <w:t>安装调试方案和验收方案</w:t>
            </w:r>
            <w:r>
              <w:rPr>
                <w:rFonts w:hint="eastAsia"/>
                <w:sz w:val="24"/>
              </w:rPr>
              <w:t>，包括对场地环境的了解、人员的安排、时间进度的规划，对设备的调试进度安排，调试的步骤、措施，验收标准、验收的流程，问题的解决方案等。要求方案考虑充分，措施有效，能充分满足采购人实际需求。（评分范围</w:t>
            </w:r>
            <w:r>
              <w:rPr>
                <w:rFonts w:hint="eastAsia"/>
                <w:sz w:val="24"/>
                <w:lang w:val="en-US" w:eastAsia="zh-CN"/>
              </w:rPr>
              <w:t>,5，</w:t>
            </w:r>
            <w:r>
              <w:rPr>
                <w:rFonts w:hint="eastAsia"/>
                <w:sz w:val="24"/>
              </w:rPr>
              <w:t>4，3，2，1，0）。</w:t>
            </w:r>
          </w:p>
        </w:tc>
        <w:tc>
          <w:tcPr>
            <w:tcW w:w="792" w:type="dxa"/>
            <w:vAlign w:val="center"/>
          </w:tcPr>
          <w:p>
            <w:pPr>
              <w:spacing w:beforeLines="50" w:afterLines="50" w:line="276" w:lineRule="auto"/>
              <w:jc w:val="center"/>
              <w:rPr>
                <w:bCs/>
                <w:sz w:val="24"/>
              </w:rPr>
            </w:pPr>
            <w:r>
              <w:rPr>
                <w:rFonts w:hint="eastAsia" w:hAnsi="宋体"/>
                <w:bCs/>
                <w:sz w:val="24"/>
                <w:u w:val="single"/>
                <w:lang w:val="en-US" w:eastAsia="zh-CN"/>
              </w:rPr>
              <w:t>5</w:t>
            </w:r>
            <w:r>
              <w:rPr>
                <w:rFonts w:hint="eastAsia" w:hAnsi="宋体"/>
                <w:bCs/>
                <w:sz w:val="24"/>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Lines="50" w:afterLines="50"/>
              <w:jc w:val="center"/>
              <w:rPr>
                <w:rFonts w:cs="宋体"/>
                <w:sz w:val="24"/>
              </w:rPr>
            </w:pPr>
            <w:r>
              <w:rPr>
                <w:rFonts w:hint="eastAsia" w:cs="宋体"/>
                <w:sz w:val="24"/>
              </w:rPr>
              <w:t>5、</w:t>
            </w:r>
          </w:p>
        </w:tc>
        <w:tc>
          <w:tcPr>
            <w:tcW w:w="6828" w:type="dxa"/>
            <w:vAlign w:val="center"/>
          </w:tcPr>
          <w:p>
            <w:pPr>
              <w:rPr>
                <w:rFonts w:ascii="宋体" w:hAnsi="宋体"/>
                <w:sz w:val="24"/>
              </w:rPr>
            </w:pPr>
            <w:r>
              <w:rPr>
                <w:rFonts w:hint="eastAsia" w:ascii="宋体" w:hAnsi="宋体"/>
                <w:sz w:val="24"/>
              </w:rPr>
              <w:t>【主观分】</w:t>
            </w:r>
          </w:p>
          <w:p>
            <w:pPr>
              <w:rPr>
                <w:sz w:val="24"/>
              </w:rPr>
            </w:pPr>
            <w:r>
              <w:rPr>
                <w:rFonts w:hint="eastAsia"/>
                <w:sz w:val="24"/>
              </w:rPr>
              <w:t>培训方案：</w:t>
            </w:r>
          </w:p>
          <w:p>
            <w:pPr>
              <w:rPr>
                <w:rFonts w:ascii="宋体" w:hAnsi="宋体"/>
                <w:sz w:val="24"/>
              </w:rPr>
            </w:pPr>
            <w:r>
              <w:rPr>
                <w:rFonts w:hint="eastAsia"/>
                <w:sz w:val="24"/>
              </w:rPr>
              <w:t>根据商务要求中的操作应用培训要求和维修保养培训要求，提供详细的培训方案，包括培训对象、课时内容安排、师资力量安排，培训的形式等。要求培训方案考虑充分，贴合实际，师资充分，课程详实，安排有效。（评分范围：</w:t>
            </w:r>
            <w:r>
              <w:rPr>
                <w:rFonts w:hint="eastAsia"/>
                <w:sz w:val="24"/>
                <w:lang w:val="en-US" w:eastAsia="zh-CN"/>
              </w:rPr>
              <w:t>5，</w:t>
            </w:r>
            <w:r>
              <w:rPr>
                <w:rFonts w:hint="eastAsia"/>
                <w:sz w:val="24"/>
              </w:rPr>
              <w:t>4，3，2，1，0）。</w:t>
            </w:r>
          </w:p>
        </w:tc>
        <w:tc>
          <w:tcPr>
            <w:tcW w:w="792" w:type="dxa"/>
            <w:vAlign w:val="center"/>
          </w:tcPr>
          <w:p>
            <w:pPr>
              <w:spacing w:beforeLines="50" w:afterLines="50"/>
              <w:jc w:val="center"/>
              <w:rPr>
                <w:bCs/>
                <w:sz w:val="24"/>
              </w:rPr>
            </w:pPr>
            <w:r>
              <w:rPr>
                <w:rFonts w:hint="eastAsia"/>
                <w:bCs/>
                <w:sz w:val="24"/>
                <w:u w:val="single"/>
                <w:lang w:val="en-US" w:eastAsia="zh-CN"/>
              </w:rPr>
              <w:t>5</w:t>
            </w:r>
            <w:r>
              <w:rPr>
                <w:rFonts w:hint="eastAsia"/>
                <w:bCs/>
                <w:sz w:val="24"/>
                <w:u w:val="single"/>
              </w:rPr>
              <w:t>分</w:t>
            </w:r>
          </w:p>
        </w:tc>
      </w:tr>
    </w:tbl>
    <w:p/>
    <w:p>
      <w:pPr>
        <w:rPr>
          <w:rFonts w:hint="eastAsia" w:ascii="宋体" w:hAnsi="宋体" w:eastAsia="宋体" w:cs="宋体"/>
          <w:b w:val="0"/>
          <w:bCs w:val="0"/>
          <w:kern w:val="0"/>
          <w:sz w:val="24"/>
          <w:lang w:eastAsia="zh-CN"/>
        </w:rPr>
      </w:pPr>
    </w:p>
    <w:p>
      <w:pPr>
        <w:rPr>
          <w:rFonts w:hint="eastAsia" w:ascii="宋体" w:hAnsi="宋体" w:cs="宋体"/>
          <w:b w:val="0"/>
          <w:bCs/>
          <w:sz w:val="24"/>
          <w:szCs w:val="24"/>
          <w:lang w:eastAsia="zh-CN"/>
        </w:rPr>
      </w:pPr>
      <w:r>
        <w:rPr>
          <w:rFonts w:hint="eastAsia" w:ascii="宋体" w:hAnsi="宋体" w:cs="宋体"/>
          <w:b w:val="0"/>
          <w:bCs/>
          <w:sz w:val="24"/>
          <w:szCs w:val="24"/>
          <w:lang w:eastAsia="zh-CN"/>
        </w:rPr>
        <w:t>标二：</w:t>
      </w:r>
    </w:p>
    <w:p>
      <w:pPr>
        <w:ind w:firstLine="480" w:firstLineChars="200"/>
        <w:rPr>
          <w:rFonts w:ascii="仿宋_GB2312" w:hAnsi="仿宋" w:eastAsia="仿宋_GB2312" w:cs="Arial"/>
          <w:kern w:val="0"/>
          <w:sz w:val="24"/>
        </w:rPr>
      </w:pPr>
    </w:p>
    <w:tbl>
      <w:tblPr>
        <w:tblStyle w:val="65"/>
        <w:tblW w:w="860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84"/>
        <w:gridCol w:w="682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84" w:type="dxa"/>
            <w:vAlign w:val="center"/>
          </w:tcPr>
          <w:p>
            <w:pPr>
              <w:spacing w:before="156" w:beforeLines="50" w:after="156" w:afterLines="50"/>
              <w:jc w:val="center"/>
              <w:rPr>
                <w:b/>
                <w:bCs/>
                <w:sz w:val="24"/>
              </w:rPr>
            </w:pPr>
            <w:r>
              <w:rPr>
                <w:rFonts w:hint="eastAsia" w:hAnsi="宋体"/>
                <w:b/>
                <w:bCs/>
                <w:sz w:val="24"/>
              </w:rPr>
              <w:t>序号</w:t>
            </w:r>
          </w:p>
        </w:tc>
        <w:tc>
          <w:tcPr>
            <w:tcW w:w="6828" w:type="dxa"/>
          </w:tcPr>
          <w:p>
            <w:pPr>
              <w:spacing w:before="156" w:beforeLines="50" w:after="156" w:afterLines="50"/>
              <w:jc w:val="center"/>
              <w:rPr>
                <w:b/>
                <w:bCs/>
                <w:sz w:val="24"/>
              </w:rPr>
            </w:pPr>
            <w:r>
              <w:rPr>
                <w:rFonts w:hint="eastAsia" w:hAnsi="宋体"/>
                <w:b/>
                <w:bCs/>
                <w:sz w:val="24"/>
              </w:rPr>
              <w:t>评审内容及标准</w:t>
            </w:r>
          </w:p>
        </w:tc>
        <w:tc>
          <w:tcPr>
            <w:tcW w:w="792" w:type="dxa"/>
            <w:vAlign w:val="center"/>
          </w:tcPr>
          <w:p>
            <w:pPr>
              <w:spacing w:before="156" w:beforeLines="50" w:after="156" w:afterLines="50"/>
              <w:jc w:val="center"/>
              <w:rPr>
                <w:b/>
                <w:bCs/>
                <w:sz w:val="24"/>
              </w:rPr>
            </w:pPr>
            <w:r>
              <w:rPr>
                <w:rFonts w:hint="eastAsia" w:hAnsi="宋体"/>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84" w:type="dxa"/>
            <w:vAlign w:val="center"/>
          </w:tcPr>
          <w:p>
            <w:pPr>
              <w:spacing w:before="156" w:beforeLines="50" w:after="156" w:afterLines="50"/>
              <w:jc w:val="center"/>
              <w:rPr>
                <w:sz w:val="24"/>
              </w:rPr>
            </w:pPr>
            <w:r>
              <w:rPr>
                <w:rFonts w:hint="eastAsia"/>
                <w:sz w:val="24"/>
              </w:rPr>
              <w:t>1、</w:t>
            </w:r>
          </w:p>
        </w:tc>
        <w:tc>
          <w:tcPr>
            <w:tcW w:w="6828" w:type="dxa"/>
            <w:vAlign w:val="center"/>
          </w:tcPr>
          <w:p>
            <w:pPr>
              <w:rPr>
                <w:sz w:val="24"/>
                <w:highlight w:val="none"/>
              </w:rPr>
            </w:pPr>
            <w:r>
              <w:rPr>
                <w:rFonts w:hint="eastAsia"/>
                <w:sz w:val="24"/>
                <w:highlight w:val="none"/>
              </w:rPr>
              <w:t>【客观分】</w:t>
            </w:r>
          </w:p>
          <w:p>
            <w:pPr>
              <w:rPr>
                <w:sz w:val="24"/>
                <w:highlight w:val="none"/>
              </w:rPr>
            </w:pPr>
            <w:r>
              <w:rPr>
                <w:rFonts w:hint="eastAsia"/>
                <w:sz w:val="24"/>
                <w:highlight w:val="none"/>
              </w:rPr>
              <w:t>销售业绩：</w:t>
            </w:r>
          </w:p>
          <w:p>
            <w:pPr>
              <w:rPr>
                <w:sz w:val="24"/>
                <w:highlight w:val="none"/>
              </w:rPr>
            </w:pPr>
            <w:r>
              <w:rPr>
                <w:rFonts w:hint="eastAsia"/>
                <w:sz w:val="24"/>
                <w:highlight w:val="none"/>
              </w:rPr>
              <w:t>合同签订时间自</w:t>
            </w:r>
            <w:r>
              <w:rPr>
                <w:rFonts w:hint="eastAsia"/>
                <w:sz w:val="24"/>
                <w:highlight w:val="none"/>
                <w:u w:val="single"/>
              </w:rPr>
              <w:t>2022</w:t>
            </w:r>
            <w:r>
              <w:rPr>
                <w:rFonts w:hint="eastAsia"/>
                <w:sz w:val="24"/>
                <w:highlight w:val="none"/>
              </w:rPr>
              <w:t>年1月1日以来的，与最终用户签订的销售业绩，每提供一份与投标同品牌同型号产品销售业绩得</w:t>
            </w:r>
            <w:r>
              <w:rPr>
                <w:rFonts w:hint="eastAsia"/>
                <w:sz w:val="24"/>
                <w:highlight w:val="none"/>
                <w:u w:val="single"/>
              </w:rPr>
              <w:t>1</w:t>
            </w:r>
            <w:r>
              <w:rPr>
                <w:rFonts w:hint="eastAsia"/>
                <w:sz w:val="24"/>
                <w:highlight w:val="none"/>
              </w:rPr>
              <w:t>分，最高得</w:t>
            </w:r>
            <w:r>
              <w:rPr>
                <w:rFonts w:hint="eastAsia"/>
                <w:sz w:val="24"/>
                <w:highlight w:val="none"/>
                <w:u w:val="single"/>
              </w:rPr>
              <w:t>2</w:t>
            </w:r>
            <w:r>
              <w:rPr>
                <w:rFonts w:hint="eastAsia"/>
                <w:sz w:val="24"/>
                <w:highlight w:val="none"/>
              </w:rPr>
              <w:t>分。（要求提供完整的合同复印件，能清楚辨析设备名称型号）</w:t>
            </w:r>
          </w:p>
          <w:p>
            <w:pPr>
              <w:rPr>
                <w:sz w:val="24"/>
                <w:highlight w:val="none"/>
              </w:rPr>
            </w:pPr>
            <w:r>
              <w:rPr>
                <w:rFonts w:hint="eastAsia"/>
                <w:sz w:val="24"/>
                <w:highlight w:val="none"/>
              </w:rPr>
              <w:t>对省级以上主管部门认定的首台套产品，自纳入《省推广应用指导目录》起三年内参加政府采购活动，视同已具备相应销售业绩，业绩分为满分。（提供证明材料）</w:t>
            </w:r>
          </w:p>
        </w:tc>
        <w:tc>
          <w:tcPr>
            <w:tcW w:w="792" w:type="dxa"/>
            <w:vAlign w:val="center"/>
          </w:tcPr>
          <w:p>
            <w:pPr>
              <w:spacing w:before="156" w:beforeLines="50" w:after="156" w:afterLines="50"/>
              <w:jc w:val="center"/>
              <w:rPr>
                <w:b/>
                <w:bCs/>
                <w:sz w:val="24"/>
                <w:highlight w:val="none"/>
              </w:rPr>
            </w:pPr>
            <w:r>
              <w:rPr>
                <w:rFonts w:hint="eastAsia"/>
                <w:sz w:val="24"/>
                <w:highlight w:val="none"/>
                <w:lang w:val="en-US" w:eastAsia="zh-CN"/>
              </w:rPr>
              <w:t>2</w:t>
            </w:r>
            <w:r>
              <w:rPr>
                <w:rFonts w:hint="eastAsia"/>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84" w:type="dxa"/>
            <w:vAlign w:val="center"/>
          </w:tcPr>
          <w:p>
            <w:pPr>
              <w:spacing w:before="156" w:beforeLines="50" w:after="156" w:afterLines="50"/>
              <w:jc w:val="center"/>
              <w:rPr>
                <w:sz w:val="24"/>
              </w:rPr>
            </w:pPr>
            <w:r>
              <w:rPr>
                <w:rFonts w:hint="eastAsia"/>
                <w:sz w:val="24"/>
              </w:rPr>
              <w:t>2、</w:t>
            </w:r>
          </w:p>
        </w:tc>
        <w:tc>
          <w:tcPr>
            <w:tcW w:w="6828" w:type="dxa"/>
          </w:tcPr>
          <w:p>
            <w:pPr>
              <w:snapToGrid w:val="0"/>
              <w:rPr>
                <w:rFonts w:hAnsi="宋体"/>
                <w:sz w:val="24"/>
                <w:highlight w:val="none"/>
              </w:rPr>
            </w:pPr>
            <w:r>
              <w:rPr>
                <w:rFonts w:hint="eastAsia"/>
                <w:sz w:val="24"/>
                <w:highlight w:val="none"/>
              </w:rPr>
              <w:t>【客观</w:t>
            </w:r>
            <w:r>
              <w:rPr>
                <w:rFonts w:hint="eastAsia" w:hAnsi="宋体"/>
                <w:sz w:val="24"/>
                <w:highlight w:val="none"/>
              </w:rPr>
              <w:t>分】</w:t>
            </w:r>
          </w:p>
          <w:p>
            <w:pPr>
              <w:snapToGrid w:val="0"/>
              <w:rPr>
                <w:rFonts w:hAnsi="宋体"/>
                <w:sz w:val="24"/>
                <w:highlight w:val="none"/>
              </w:rPr>
            </w:pPr>
            <w:r>
              <w:rPr>
                <w:rFonts w:hint="eastAsia" w:hAnsi="宋体"/>
                <w:sz w:val="24"/>
                <w:highlight w:val="none"/>
              </w:rPr>
              <w:t>采购需求符合度：</w:t>
            </w:r>
          </w:p>
          <w:p>
            <w:pPr>
              <w:snapToGrid w:val="0"/>
              <w:ind w:firstLine="400" w:firstLineChars="167"/>
              <w:rPr>
                <w:rFonts w:hAnsi="宋体"/>
                <w:sz w:val="24"/>
                <w:highlight w:val="none"/>
              </w:rPr>
            </w:pPr>
            <w:r>
              <w:rPr>
                <w:rFonts w:hint="eastAsia" w:hAnsi="宋体"/>
                <w:sz w:val="24"/>
                <w:highlight w:val="none"/>
              </w:rPr>
              <w:t>对应于采购需求中带“</w:t>
            </w:r>
            <w:r>
              <w:rPr>
                <w:rFonts w:hint="eastAsia" w:ascii="宋体" w:hAnsi="宋体"/>
                <w:highlight w:val="none"/>
              </w:rPr>
              <w:t>▲</w:t>
            </w:r>
            <w:r>
              <w:rPr>
                <w:rFonts w:hAnsi="宋体"/>
                <w:sz w:val="24"/>
                <w:highlight w:val="none"/>
              </w:rPr>
              <w:t>”</w:t>
            </w:r>
            <w:r>
              <w:rPr>
                <w:rFonts w:hint="eastAsia" w:hAnsi="宋体"/>
                <w:sz w:val="24"/>
                <w:highlight w:val="none"/>
              </w:rPr>
              <w:t>号条款不满足采购文件要求的，每一项扣减</w:t>
            </w:r>
            <w:r>
              <w:rPr>
                <w:rFonts w:hint="eastAsia" w:hAnsi="宋体"/>
                <w:sz w:val="24"/>
                <w:highlight w:val="none"/>
                <w:u w:val="single"/>
              </w:rPr>
              <w:t>5</w:t>
            </w:r>
            <w:r>
              <w:rPr>
                <w:rFonts w:hint="eastAsia" w:hAnsi="宋体"/>
                <w:sz w:val="24"/>
                <w:highlight w:val="none"/>
              </w:rPr>
              <w:t>分，其他条款不满足采购文件要求的，每一项扣减</w:t>
            </w:r>
            <w:r>
              <w:rPr>
                <w:rFonts w:hint="eastAsia" w:hAnsi="宋体"/>
                <w:sz w:val="24"/>
                <w:highlight w:val="none"/>
                <w:lang w:val="en-US" w:eastAsia="zh-CN"/>
              </w:rPr>
              <w:t>1</w:t>
            </w:r>
            <w:bookmarkStart w:id="400" w:name="_GoBack"/>
            <w:bookmarkEnd w:id="400"/>
            <w:r>
              <w:rPr>
                <w:rFonts w:hint="eastAsia" w:hAnsi="宋体"/>
                <w:sz w:val="24"/>
                <w:highlight w:val="none"/>
                <w:lang w:val="en-US" w:eastAsia="zh-CN"/>
              </w:rPr>
              <w:t>分</w:t>
            </w:r>
            <w:r>
              <w:rPr>
                <w:rFonts w:hint="eastAsia" w:hAnsi="宋体"/>
                <w:sz w:val="24"/>
                <w:highlight w:val="none"/>
              </w:rPr>
              <w:t>。本项最高得</w:t>
            </w:r>
            <w:r>
              <w:rPr>
                <w:rFonts w:hint="eastAsia" w:hAnsi="宋体"/>
                <w:sz w:val="24"/>
                <w:highlight w:val="none"/>
                <w:lang w:val="en-US" w:eastAsia="zh-CN"/>
              </w:rPr>
              <w:t>48</w:t>
            </w:r>
            <w:r>
              <w:rPr>
                <w:rFonts w:hint="eastAsia" w:hAnsi="宋体"/>
                <w:sz w:val="24"/>
                <w:highlight w:val="none"/>
                <w:u w:val="single"/>
              </w:rPr>
              <w:t>分</w:t>
            </w:r>
            <w:r>
              <w:rPr>
                <w:rFonts w:hint="eastAsia" w:hAnsi="宋体"/>
                <w:sz w:val="24"/>
                <w:highlight w:val="none"/>
              </w:rPr>
              <w:t>，最低得0分。</w:t>
            </w:r>
          </w:p>
          <w:p>
            <w:pPr>
              <w:snapToGrid w:val="0"/>
              <w:ind w:firstLine="400" w:firstLineChars="167"/>
              <w:rPr>
                <w:rFonts w:hAnsi="宋体"/>
                <w:sz w:val="24"/>
                <w:highlight w:val="none"/>
              </w:rPr>
            </w:pPr>
            <w:r>
              <w:rPr>
                <w:rFonts w:hint="eastAsia" w:hAnsi="宋体"/>
                <w:sz w:val="24"/>
                <w:highlight w:val="none"/>
              </w:rPr>
              <w:t>1、针对带“▲”号技术参数要求，供应商需提供充分的证明材料，未提供充分证明材料的，评审委员会有权视为不满足采购文件要求。证明材料可以是以下四项中任一项</w:t>
            </w:r>
            <w:r>
              <w:rPr>
                <w:rFonts w:hint="eastAsia" w:hAnsi="宋体"/>
                <w:sz w:val="22"/>
                <w:szCs w:val="22"/>
                <w:highlight w:val="none"/>
              </w:rPr>
              <w:t>（有特别注明要求的除外）</w:t>
            </w:r>
            <w:r>
              <w:rPr>
                <w:rFonts w:hint="eastAsia" w:hAnsi="宋体"/>
                <w:sz w:val="24"/>
                <w:highlight w:val="none"/>
              </w:rPr>
              <w:t>：</w:t>
            </w:r>
          </w:p>
          <w:p>
            <w:pPr>
              <w:snapToGrid w:val="0"/>
              <w:ind w:firstLine="400" w:firstLineChars="167"/>
              <w:rPr>
                <w:rFonts w:hAnsi="宋体"/>
                <w:sz w:val="24"/>
                <w:highlight w:val="none"/>
              </w:rPr>
            </w:pPr>
            <w:r>
              <w:rPr>
                <w:rFonts w:hint="eastAsia" w:hAnsi="宋体"/>
                <w:sz w:val="24"/>
                <w:highlight w:val="none"/>
              </w:rPr>
              <w:t>1）生产制造商公开对外宣传的带有响应技术参数或功能的产品彩页，为响应而临时打印的无效。</w:t>
            </w:r>
          </w:p>
          <w:p>
            <w:pPr>
              <w:snapToGrid w:val="0"/>
              <w:ind w:firstLine="400" w:firstLineChars="167"/>
              <w:rPr>
                <w:rFonts w:hAnsi="宋体"/>
                <w:sz w:val="24"/>
                <w:highlight w:val="none"/>
              </w:rPr>
            </w:pPr>
            <w:r>
              <w:rPr>
                <w:rFonts w:hint="eastAsia" w:hAnsi="宋体"/>
                <w:sz w:val="24"/>
                <w:highlight w:val="none"/>
              </w:rPr>
              <w:t>2）加盖生产制造商公章的技术白皮书。</w:t>
            </w:r>
          </w:p>
          <w:p>
            <w:pPr>
              <w:snapToGrid w:val="0"/>
              <w:ind w:firstLine="400" w:firstLineChars="167"/>
              <w:rPr>
                <w:rFonts w:hAnsi="宋体"/>
                <w:sz w:val="24"/>
                <w:highlight w:val="none"/>
              </w:rPr>
            </w:pPr>
            <w:r>
              <w:rPr>
                <w:rFonts w:hint="eastAsia" w:hAnsi="宋体"/>
                <w:sz w:val="24"/>
                <w:highlight w:val="none"/>
              </w:rPr>
              <w:t>3）可在生产制造商官网查询到的产品技术参数或功能，需提供官网截图和网址等信息。</w:t>
            </w:r>
          </w:p>
          <w:p>
            <w:pPr>
              <w:snapToGrid w:val="0"/>
              <w:ind w:firstLine="400" w:firstLineChars="167"/>
              <w:rPr>
                <w:rFonts w:hAnsi="宋体"/>
                <w:sz w:val="24"/>
                <w:highlight w:val="none"/>
              </w:rPr>
            </w:pPr>
            <w:r>
              <w:rPr>
                <w:rFonts w:hint="eastAsia" w:hAnsi="宋体"/>
                <w:sz w:val="24"/>
                <w:highlight w:val="none"/>
              </w:rPr>
              <w:t>4）评审委员会认可的其他有效证明（包括但不限于第三方检测报告、加盖生产制造商的证明材料等）。</w:t>
            </w:r>
          </w:p>
          <w:p>
            <w:pPr>
              <w:snapToGrid w:val="0"/>
              <w:ind w:firstLine="400" w:firstLineChars="167"/>
              <w:rPr>
                <w:rFonts w:hAnsi="宋体"/>
                <w:sz w:val="24"/>
                <w:highlight w:val="none"/>
              </w:rPr>
            </w:pPr>
            <w:r>
              <w:rPr>
                <w:rFonts w:hint="eastAsia" w:hAnsi="宋体"/>
                <w:sz w:val="24"/>
                <w:highlight w:val="none"/>
              </w:rPr>
              <w:t>2、其他项采购要求中有具体数据的，应在《商务技术偏离表》中提供具体数据响应，不能简单响应为“具备”或“有”等，否则视为不满足采购文件要求。</w:t>
            </w:r>
          </w:p>
          <w:p>
            <w:pPr>
              <w:spacing w:line="420" w:lineRule="exact"/>
              <w:jc w:val="left"/>
              <w:rPr>
                <w:highlight w:val="none"/>
              </w:rPr>
            </w:pPr>
            <w:r>
              <w:rPr>
                <w:rFonts w:hint="eastAsia" w:hAnsi="宋体"/>
                <w:sz w:val="24"/>
                <w:highlight w:val="none"/>
              </w:rPr>
              <w:t>3、带“</w:t>
            </w:r>
            <w:r>
              <w:rPr>
                <w:rFonts w:hint="eastAsia" w:ascii="宋体" w:hAnsi="宋体"/>
                <w:highlight w:val="none"/>
              </w:rPr>
              <w:t>▲</w:t>
            </w:r>
            <w:r>
              <w:rPr>
                <w:rFonts w:hAnsi="宋体"/>
                <w:sz w:val="24"/>
                <w:highlight w:val="none"/>
              </w:rPr>
              <w:t>”</w:t>
            </w:r>
            <w:r>
              <w:rPr>
                <w:rFonts w:hint="eastAsia" w:hAnsi="宋体"/>
                <w:sz w:val="24"/>
                <w:highlight w:val="none"/>
              </w:rPr>
              <w:t>号项提供满足技术参数的佐证资料并在偏离表中标明佐证资料页码。</w:t>
            </w:r>
          </w:p>
        </w:tc>
        <w:tc>
          <w:tcPr>
            <w:tcW w:w="792" w:type="dxa"/>
            <w:vAlign w:val="center"/>
          </w:tcPr>
          <w:p>
            <w:pPr>
              <w:spacing w:before="156" w:beforeLines="50" w:after="156" w:afterLines="50"/>
              <w:jc w:val="center"/>
              <w:rPr>
                <w:bCs/>
                <w:sz w:val="24"/>
                <w:highlight w:val="none"/>
              </w:rPr>
            </w:pPr>
            <w:r>
              <w:rPr>
                <w:rFonts w:hint="eastAsia" w:hAnsi="宋体"/>
                <w:bCs/>
                <w:sz w:val="24"/>
                <w:highlight w:val="none"/>
                <w:u w:val="single"/>
                <w:lang w:val="en-US" w:eastAsia="zh-CN"/>
              </w:rPr>
              <w:t>48</w:t>
            </w:r>
            <w:r>
              <w:rPr>
                <w:rFonts w:hint="eastAsia" w:hAnsi="宋体"/>
                <w:bCs/>
                <w:sz w:val="24"/>
                <w:highlight w:val="none"/>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84" w:type="dxa"/>
            <w:vAlign w:val="center"/>
          </w:tcPr>
          <w:p>
            <w:pPr>
              <w:spacing w:before="156" w:beforeLines="50" w:after="156" w:afterLines="5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6828" w:type="dxa"/>
            <w:vAlign w:val="center"/>
          </w:tcPr>
          <w:p>
            <w:pPr>
              <w:rPr>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【主观分】</w:t>
            </w:r>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售后服务：</w:t>
            </w:r>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1、售后服务方案：提供详细售后服务方案，如售后服务网点的分布情况、售后服务机构备品备件储备，售后服务机构技术服务人员情况、开展定期巡检、故障解决方案、应急措施等综合评审。</w:t>
            </w:r>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要求响应时间短，解决方案充分，备品备件储备充足，人员配备合理售后服务经验丰富。（评分范围：5，4，3，2，1，0）。</w:t>
            </w:r>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运行及维修成本：提供消耗品或易耗品的使用周期、价格；提供出保后保修方案，包括保修价格、设备配件价格，维修服务费等维修价格。要求消耗品或易耗品报价合理运行成本低，保修方案合理，配件报价合理维修成本低。（评分范围：5，4，3，2，1，0）。</w:t>
            </w:r>
          </w:p>
        </w:tc>
        <w:tc>
          <w:tcPr>
            <w:tcW w:w="792" w:type="dxa"/>
            <w:vAlign w:val="center"/>
          </w:tcPr>
          <w:p>
            <w:pPr>
              <w:spacing w:before="156" w:beforeLines="50" w:after="156" w:afterLines="50"/>
              <w:jc w:val="center"/>
              <w:rPr>
                <w:b/>
                <w:bCs/>
                <w:sz w:val="24"/>
                <w:highlight w:val="none"/>
              </w:rPr>
            </w:pPr>
            <w:r>
              <w:rPr>
                <w:rFonts w:hint="eastAsia" w:hAnsi="宋体"/>
                <w:bCs/>
                <w:sz w:val="24"/>
                <w:highlight w:val="none"/>
                <w:u w:val="single"/>
                <w:lang w:val="en-US" w:eastAsia="zh-CN"/>
              </w:rPr>
              <w:t>10</w:t>
            </w:r>
            <w:r>
              <w:rPr>
                <w:rFonts w:hint="eastAsia" w:hAnsi="宋体"/>
                <w:bCs/>
                <w:sz w:val="24"/>
                <w:highlight w:val="none"/>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156" w:beforeLines="50" w:after="156" w:afterLines="50"/>
              <w:jc w:val="center"/>
              <w:rPr>
                <w:b/>
                <w:bCs/>
                <w:sz w:val="24"/>
              </w:rPr>
            </w:pPr>
            <w:r>
              <w:rPr>
                <w:rFonts w:hint="eastAsia"/>
                <w:sz w:val="24"/>
              </w:rPr>
              <w:t>4、</w:t>
            </w:r>
          </w:p>
        </w:tc>
        <w:tc>
          <w:tcPr>
            <w:tcW w:w="6828" w:type="dxa"/>
          </w:tcPr>
          <w:p>
            <w:pPr>
              <w:rPr>
                <w:rFonts w:ascii="宋体" w:hAnsi="宋体"/>
                <w:sz w:val="24"/>
                <w:highlight w:val="none"/>
              </w:rPr>
            </w:pPr>
            <w:r>
              <w:rPr>
                <w:rFonts w:hint="eastAsia" w:ascii="宋体" w:hAnsi="宋体"/>
                <w:sz w:val="24"/>
                <w:highlight w:val="none"/>
              </w:rPr>
              <w:t>【主观分】</w:t>
            </w:r>
          </w:p>
          <w:p>
            <w:pPr>
              <w:rPr>
                <w:rFonts w:ascii="宋体" w:hAnsi="宋体"/>
                <w:sz w:val="24"/>
                <w:highlight w:val="none"/>
              </w:rPr>
            </w:pPr>
            <w:r>
              <w:rPr>
                <w:rFonts w:hint="eastAsia" w:ascii="宋体" w:hAnsi="宋体"/>
                <w:sz w:val="24"/>
                <w:highlight w:val="none"/>
              </w:rPr>
              <w:t>安装调试及验收方案：</w:t>
            </w:r>
          </w:p>
          <w:p>
            <w:pPr>
              <w:rPr>
                <w:sz w:val="24"/>
                <w:highlight w:val="none"/>
              </w:rPr>
            </w:pPr>
            <w:r>
              <w:rPr>
                <w:rFonts w:hint="eastAsia"/>
                <w:sz w:val="24"/>
                <w:highlight w:val="none"/>
              </w:rPr>
              <w:t>根据商务要求中的</w:t>
            </w:r>
            <w:r>
              <w:rPr>
                <w:rFonts w:hint="eastAsia" w:ascii="宋体" w:hAnsi="宋体"/>
                <w:sz w:val="24"/>
                <w:highlight w:val="none"/>
              </w:rPr>
              <w:t>安装调试</w:t>
            </w:r>
            <w:r>
              <w:rPr>
                <w:rFonts w:hint="eastAsia"/>
                <w:sz w:val="24"/>
                <w:highlight w:val="none"/>
              </w:rPr>
              <w:t>要求和</w:t>
            </w:r>
            <w:r>
              <w:rPr>
                <w:rFonts w:hint="eastAsia" w:ascii="宋体" w:hAnsi="宋体"/>
                <w:sz w:val="24"/>
                <w:highlight w:val="none"/>
              </w:rPr>
              <w:t>验收要求</w:t>
            </w:r>
            <w:r>
              <w:rPr>
                <w:rFonts w:hint="eastAsia"/>
                <w:sz w:val="24"/>
                <w:highlight w:val="none"/>
              </w:rPr>
              <w:t>，提供详细的</w:t>
            </w:r>
            <w:r>
              <w:rPr>
                <w:rFonts w:hint="eastAsia" w:ascii="宋体" w:hAnsi="宋体"/>
                <w:sz w:val="24"/>
                <w:highlight w:val="none"/>
              </w:rPr>
              <w:t>安装调试方案和验收方案</w:t>
            </w:r>
            <w:r>
              <w:rPr>
                <w:rFonts w:hint="eastAsia"/>
                <w:sz w:val="24"/>
                <w:highlight w:val="none"/>
              </w:rPr>
              <w:t>，包括对场地环境的了解、人员的安排、时间进度的规划，对设备的调试进度安排，调试的步骤、措施，验收标准、验收的流程，问题的解决方案等。要求方案考虑充分，措施有效，能充分满足采购人实际需求。（评分范围：5，4，3，2，1，0）。</w:t>
            </w:r>
          </w:p>
        </w:tc>
        <w:tc>
          <w:tcPr>
            <w:tcW w:w="792" w:type="dxa"/>
            <w:vAlign w:val="center"/>
          </w:tcPr>
          <w:p>
            <w:pPr>
              <w:spacing w:before="156" w:beforeLines="50" w:after="156" w:afterLines="50" w:line="276" w:lineRule="auto"/>
              <w:jc w:val="center"/>
              <w:rPr>
                <w:bCs/>
                <w:sz w:val="24"/>
                <w:highlight w:val="none"/>
              </w:rPr>
            </w:pPr>
            <w:r>
              <w:rPr>
                <w:rFonts w:hint="eastAsia" w:hAnsi="宋体"/>
                <w:bCs/>
                <w:sz w:val="24"/>
                <w:highlight w:val="none"/>
                <w:u w:val="single"/>
                <w:lang w:val="en-US" w:eastAsia="zh-CN"/>
              </w:rPr>
              <w:t>5</w:t>
            </w:r>
            <w:r>
              <w:rPr>
                <w:rFonts w:hint="eastAsia" w:hAnsi="宋体"/>
                <w:bCs/>
                <w:sz w:val="24"/>
                <w:highlight w:val="none"/>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84" w:type="dxa"/>
            <w:vAlign w:val="center"/>
          </w:tcPr>
          <w:p>
            <w:pPr>
              <w:spacing w:before="156" w:beforeLines="50" w:after="156" w:afterLines="50"/>
              <w:jc w:val="center"/>
              <w:rPr>
                <w:rFonts w:cs="宋体"/>
                <w:sz w:val="24"/>
              </w:rPr>
            </w:pPr>
            <w:r>
              <w:rPr>
                <w:rFonts w:hint="eastAsia" w:cs="宋体"/>
                <w:sz w:val="24"/>
              </w:rPr>
              <w:t>5、</w:t>
            </w:r>
          </w:p>
        </w:tc>
        <w:tc>
          <w:tcPr>
            <w:tcW w:w="6828" w:type="dxa"/>
            <w:vAlign w:val="center"/>
          </w:tcPr>
          <w:p>
            <w:pPr>
              <w:rPr>
                <w:rFonts w:ascii="宋体" w:hAnsi="宋体"/>
                <w:sz w:val="24"/>
                <w:highlight w:val="none"/>
              </w:rPr>
            </w:pPr>
            <w:r>
              <w:rPr>
                <w:rFonts w:hint="eastAsia" w:ascii="宋体" w:hAnsi="宋体"/>
                <w:sz w:val="24"/>
                <w:highlight w:val="none"/>
              </w:rPr>
              <w:t>【主观分】</w:t>
            </w:r>
          </w:p>
          <w:p>
            <w:pPr>
              <w:rPr>
                <w:sz w:val="24"/>
                <w:highlight w:val="none"/>
              </w:rPr>
            </w:pPr>
            <w:r>
              <w:rPr>
                <w:rFonts w:hint="eastAsia"/>
                <w:sz w:val="24"/>
                <w:highlight w:val="none"/>
              </w:rPr>
              <w:t>培训方案：</w:t>
            </w:r>
          </w:p>
          <w:p>
            <w:pPr>
              <w:rPr>
                <w:rFonts w:ascii="宋体" w:hAnsi="宋体"/>
                <w:sz w:val="24"/>
                <w:highlight w:val="none"/>
              </w:rPr>
            </w:pPr>
            <w:r>
              <w:rPr>
                <w:rFonts w:hint="eastAsia"/>
                <w:sz w:val="24"/>
                <w:highlight w:val="none"/>
              </w:rPr>
              <w:t>根据商务要求中的操作应用培训要求和维修保养培训要求，提供详细的培训方案，包括培训对象、课时内容安排、师资力量安排，培训的形式等。要求培训方案考虑充分，贴合实际，师资充分，课程详实，安排有效。（评分范围：</w:t>
            </w:r>
            <w:r>
              <w:rPr>
                <w:rFonts w:hint="eastAsia"/>
                <w:sz w:val="24"/>
                <w:highlight w:val="none"/>
                <w:lang w:val="en-US" w:eastAsia="zh-CN"/>
              </w:rPr>
              <w:t>5，</w:t>
            </w:r>
            <w:r>
              <w:rPr>
                <w:rFonts w:hint="eastAsia"/>
                <w:sz w:val="24"/>
                <w:highlight w:val="none"/>
              </w:rPr>
              <w:t>4，3，2，1，0）。</w:t>
            </w:r>
          </w:p>
        </w:tc>
        <w:tc>
          <w:tcPr>
            <w:tcW w:w="792" w:type="dxa"/>
            <w:vAlign w:val="center"/>
          </w:tcPr>
          <w:p>
            <w:pPr>
              <w:spacing w:before="156" w:beforeLines="50" w:after="156" w:afterLines="50"/>
              <w:jc w:val="center"/>
              <w:rPr>
                <w:bCs/>
                <w:sz w:val="24"/>
                <w:highlight w:val="none"/>
              </w:rPr>
            </w:pPr>
            <w:r>
              <w:rPr>
                <w:rFonts w:hint="eastAsia"/>
                <w:bCs/>
                <w:sz w:val="24"/>
                <w:highlight w:val="none"/>
                <w:u w:val="single"/>
                <w:lang w:val="en-US" w:eastAsia="zh-CN"/>
              </w:rPr>
              <w:t>5</w:t>
            </w:r>
            <w:r>
              <w:rPr>
                <w:rFonts w:hint="eastAsia"/>
                <w:bCs/>
                <w:sz w:val="24"/>
                <w:highlight w:val="none"/>
                <w:u w:val="single"/>
              </w:rPr>
              <w:t>分</w:t>
            </w:r>
          </w:p>
        </w:tc>
      </w:tr>
    </w:tbl>
    <w:p/>
    <w:p>
      <w:pPr>
        <w:rPr>
          <w:rFonts w:hint="eastAsia" w:ascii="宋体" w:hAnsi="宋体" w:cs="宋体"/>
          <w:b w:val="0"/>
          <w:bCs/>
          <w:sz w:val="24"/>
          <w:szCs w:val="24"/>
          <w:lang w:eastAsia="zh-CN"/>
        </w:rPr>
      </w:pP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62"/>
        <w:spacing w:before="0"/>
        <w:ind w:firstLine="508" w:firstLineChars="212"/>
        <w:rPr>
          <w:rFonts w:ascii="宋体" w:hAnsi="宋体" w:cs="宋体"/>
          <w:kern w:val="0"/>
          <w:szCs w:val="24"/>
        </w:rPr>
      </w:pPr>
      <w:r>
        <w:rPr>
          <w:rFonts w:hint="eastAsia" w:ascii="宋体" w:hAnsi="宋体" w:cs="宋体"/>
          <w:kern w:val="0"/>
        </w:rPr>
        <w:t>3.4</w:t>
      </w:r>
      <w:r>
        <w:rPr>
          <w:rFonts w:hint="eastAsia" w:ascii="宋体" w:hAnsi="宋体" w:cs="宋体"/>
          <w:kern w:val="0"/>
          <w:szCs w:val="24"/>
        </w:rPr>
        <w:t>.1投标文件报价出现前后不一致的，按照下列规定修正：</w:t>
      </w:r>
    </w:p>
    <w:p>
      <w:pPr>
        <w:pStyle w:val="16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6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6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6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6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3.4.1.5同时出现两种以上不一致的，按照3.4.1规定的顺序修正。修正后的报价按照《政府采购货物和服务招标投标管理办法》（财政部令第87号）第五十一条第二款的规定经投标人确认后产生约束力。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62"/>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2"/>
        <w:spacing w:before="0"/>
        <w:ind w:firstLine="480"/>
        <w:rPr>
          <w:rFonts w:hint="eastAsia" w:ascii="宋体" w:hAnsi="宋体" w:cs="宋体"/>
          <w:kern w:val="0"/>
          <w:szCs w:val="24"/>
        </w:rPr>
      </w:pPr>
      <w:r>
        <w:rPr>
          <w:rFonts w:hint="eastAsia" w:ascii="宋体" w:hAnsi="宋体" w:cs="宋体"/>
          <w:kern w:val="0"/>
          <w:szCs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r>
        <w:rPr>
          <w:rFonts w:hint="eastAsia" w:ascii="宋体" w:hAnsi="宋体" w:cs="宋体"/>
          <w:kern w:val="0"/>
          <w:szCs w:val="24"/>
        </w:rPr>
        <w:br w:type="textWrapping"/>
      </w:r>
      <w:r>
        <w:rPr>
          <w:rFonts w:hint="eastAsia" w:ascii="宋体" w:hAnsi="宋体" w:cs="宋体"/>
          <w:kern w:val="0"/>
          <w:szCs w:val="24"/>
          <w:lang w:val="en-US" w:eastAsia="zh-CN"/>
        </w:rPr>
        <w:t xml:space="preserve">    </w:t>
      </w:r>
      <w:r>
        <w:rPr>
          <w:rFonts w:hint="eastAsia" w:ascii="宋体" w:hAnsi="宋体" w:cs="宋体"/>
          <w:kern w:val="0"/>
          <w:szCs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pStyle w:val="16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6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3"/>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pStyle w:val="3"/>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eastAsia="zh-CN"/>
        </w:rPr>
        <w:t>4.2.14</w:t>
      </w:r>
      <w:r>
        <w:rPr>
          <w:rFonts w:hint="eastAsia" w:ascii="宋体" w:hAnsi="宋体" w:eastAsia="宋体" w:cs="宋体"/>
          <w:b w:val="0"/>
          <w:bCs w:val="0"/>
          <w:kern w:val="0"/>
          <w:sz w:val="24"/>
          <w:szCs w:val="24"/>
          <w:lang w:val="en-US"/>
        </w:rPr>
        <w:t>参与同一个采购包（标段）的供应商存在下列情形之一且无法合理</w:t>
      </w:r>
    </w:p>
    <w:p>
      <w:pPr>
        <w:pStyle w:val="3"/>
        <w:ind w:left="0" w:leftChars="0" w:firstLine="0" w:firstLineChars="0"/>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rPr>
        <w:t>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pPr>
        <w:pStyle w:val="27"/>
        <w:snapToGrid w:val="0"/>
        <w:spacing w:line="360" w:lineRule="auto"/>
        <w:ind w:firstLine="472" w:firstLineChars="196"/>
        <w:rPr>
          <w:rFonts w:cs="宋体"/>
        </w:rPr>
      </w:pPr>
      <w:r>
        <w:rPr>
          <w:rFonts w:hint="eastAsia" w:cs="宋体"/>
          <w:b/>
        </w:rPr>
        <w:t>4.3.废标。</w:t>
      </w:r>
      <w:r>
        <w:rPr>
          <w:rFonts w:hint="eastAsia" w:cs="宋体"/>
        </w:rPr>
        <w:t>根据《中华人民共和国政府采购法》第三十六条之规定，在采购中，出现下列情形之一的，应予废标：</w:t>
      </w:r>
    </w:p>
    <w:p>
      <w:pPr>
        <w:pStyle w:val="27"/>
        <w:snapToGrid w:val="0"/>
        <w:spacing w:line="360" w:lineRule="auto"/>
        <w:rPr>
          <w:rFonts w:cs="宋体"/>
        </w:rPr>
      </w:pPr>
      <w:r>
        <w:rPr>
          <w:rFonts w:hint="eastAsia" w:cs="宋体"/>
        </w:rPr>
        <w:t>4.3.1符合专业条件的供应商或者对招标文件作实质响应的供应商不足3家的；</w:t>
      </w:r>
    </w:p>
    <w:p>
      <w:pPr>
        <w:pStyle w:val="27"/>
        <w:snapToGrid w:val="0"/>
        <w:spacing w:line="360" w:lineRule="auto"/>
        <w:rPr>
          <w:rFonts w:cs="宋体"/>
        </w:rPr>
      </w:pPr>
      <w:r>
        <w:rPr>
          <w:rFonts w:hint="eastAsia" w:cs="宋体"/>
        </w:rPr>
        <w:t>4.3.2出现影响采购公正的违法、违规行为的；</w:t>
      </w:r>
    </w:p>
    <w:p>
      <w:pPr>
        <w:pStyle w:val="27"/>
        <w:snapToGrid w:val="0"/>
        <w:spacing w:line="360" w:lineRule="auto"/>
        <w:rPr>
          <w:rFonts w:cs="宋体"/>
        </w:rPr>
      </w:pPr>
      <w:r>
        <w:rPr>
          <w:rFonts w:hint="eastAsia" w:cs="宋体"/>
        </w:rPr>
        <w:t>4.3.3投标人的报价均超过了采购预算，采购人不能支付的；</w:t>
      </w:r>
    </w:p>
    <w:p>
      <w:pPr>
        <w:pStyle w:val="27"/>
        <w:snapToGrid w:val="0"/>
        <w:spacing w:line="360" w:lineRule="auto"/>
        <w:rPr>
          <w:rFonts w:cs="宋体"/>
        </w:rPr>
      </w:pPr>
      <w:r>
        <w:rPr>
          <w:rFonts w:hint="eastAsia" w:cs="宋体"/>
        </w:rPr>
        <w:t>4.3.4因重大变故，采购任务取消的。</w:t>
      </w:r>
    </w:p>
    <w:p>
      <w:pPr>
        <w:pStyle w:val="27"/>
        <w:snapToGrid w:val="0"/>
        <w:spacing w:line="360" w:lineRule="auto"/>
        <w:rPr>
          <w:rFonts w:cs="宋体"/>
        </w:rPr>
      </w:pPr>
      <w:r>
        <w:rPr>
          <w:rFonts w:hint="eastAsia" w:cs="宋体"/>
        </w:rPr>
        <w:t>废标后，采购代理机构应当将废标理由通知所有投标人。</w:t>
      </w:r>
    </w:p>
    <w:p>
      <w:pPr>
        <w:pStyle w:val="27"/>
        <w:snapToGrid w:val="0"/>
        <w:spacing w:line="360" w:lineRule="auto"/>
        <w:ind w:firstLine="482"/>
        <w:rPr>
          <w:rFonts w:cs="宋体"/>
        </w:rPr>
      </w:pPr>
      <w:r>
        <w:rPr>
          <w:rFonts w:hint="eastAsia" w:cs="宋体"/>
          <w:b/>
        </w:rPr>
        <w:t>4.4.修改招标文件，重新组织采购活动。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7"/>
        <w:snapToGrid w:val="0"/>
        <w:spacing w:line="360" w:lineRule="auto"/>
        <w:ind w:firstLine="482"/>
        <w:rPr>
          <w:rFonts w:cs="宋体"/>
        </w:rPr>
      </w:pPr>
      <w:r>
        <w:rPr>
          <w:rFonts w:hint="eastAsia" w:cs="宋体"/>
          <w:b/>
          <w:kern w:val="0"/>
        </w:rPr>
        <w:t>4.5.重新开展采购。</w:t>
      </w:r>
      <w:r>
        <w:rPr>
          <w:rFonts w:hint="eastAsia" w:cs="宋体"/>
        </w:rPr>
        <w:t>有政府采购法第七十一条、第七十二条规定的违法行为之一，影响或者可能影响中标、成交结果的，依照下列规定处理：</w:t>
      </w:r>
    </w:p>
    <w:p>
      <w:pPr>
        <w:pStyle w:val="27"/>
        <w:snapToGrid w:val="0"/>
        <w:spacing w:line="360" w:lineRule="auto"/>
        <w:ind w:firstLine="600" w:firstLineChars="250"/>
        <w:rPr>
          <w:rFonts w:cs="宋体"/>
        </w:rPr>
      </w:pPr>
      <w:r>
        <w:rPr>
          <w:rFonts w:hint="eastAsia" w:cs="宋体"/>
        </w:rPr>
        <w:t>4.5.1未确定中标或者中标人的，终止本次政府采购活动，重新开展政府采购活动。</w:t>
      </w:r>
    </w:p>
    <w:p>
      <w:pPr>
        <w:pStyle w:val="27"/>
        <w:snapToGrid w:val="0"/>
        <w:spacing w:line="360" w:lineRule="auto"/>
        <w:ind w:firstLine="600" w:firstLineChars="250"/>
        <w:rPr>
          <w:rFonts w:cs="宋体"/>
        </w:rPr>
      </w:pPr>
      <w:r>
        <w:rPr>
          <w:rFonts w:hint="eastAsia" w:cs="宋体"/>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7"/>
        <w:snapToGrid w:val="0"/>
        <w:spacing w:line="360" w:lineRule="auto"/>
        <w:ind w:firstLine="600" w:firstLineChars="250"/>
        <w:rPr>
          <w:rFonts w:cs="宋体"/>
        </w:rPr>
      </w:pPr>
      <w:r>
        <w:rPr>
          <w:rFonts w:hint="eastAsia" w:cs="宋体"/>
        </w:rPr>
        <w:t>4.5.3政府采购合同已签订但尚未履行的，撤销合同，从合格的中标或者成交候选人中另行确定中标或者中标人；没有合格的中标或者成交候选人的，重新开展政府采购活动。</w:t>
      </w:r>
    </w:p>
    <w:p>
      <w:pPr>
        <w:pStyle w:val="27"/>
        <w:snapToGrid w:val="0"/>
        <w:spacing w:line="360" w:lineRule="auto"/>
        <w:rPr>
          <w:rFonts w:cs="宋体"/>
        </w:rPr>
      </w:pPr>
      <w:r>
        <w:rPr>
          <w:rFonts w:hint="eastAsia" w:cs="宋体"/>
        </w:rPr>
        <w:t>4.5.4政府采购合同已经履行，给采购人、供应商造成损失的，由责任人承担赔偿责任。</w:t>
      </w:r>
    </w:p>
    <w:p>
      <w:pPr>
        <w:pStyle w:val="27"/>
        <w:snapToGrid w:val="0"/>
        <w:spacing w:line="360" w:lineRule="auto"/>
        <w:rPr>
          <w:rFonts w:cs="宋体"/>
        </w:rPr>
      </w:pPr>
      <w:r>
        <w:rPr>
          <w:rFonts w:hint="eastAsia" w:cs="宋体"/>
        </w:rPr>
        <w:t>4.5.5政府采购当事人有其他违反政府采购法或者政府采购法实施条例等法律法规规定的行为，经改正后仍然影响或者可能影响中标、成交结果或者依法被认定为中标、成交无效的，依照4.5.1-4.5.4规定处理。</w:t>
      </w:r>
    </w:p>
    <w:bookmarkEnd w:id="25"/>
    <w:p>
      <w:pPr>
        <w:spacing w:line="360" w:lineRule="auto"/>
        <w:ind w:left="720" w:leftChars="343" w:firstLine="1084" w:firstLineChars="300"/>
        <w:outlineLvl w:val="0"/>
        <w:rPr>
          <w:rFonts w:ascii="宋体" w:hAnsi="宋体" w:cs="宋体"/>
          <w:b/>
          <w:sz w:val="36"/>
          <w:szCs w:val="36"/>
        </w:rPr>
      </w:pPr>
      <w:bookmarkStart w:id="391" w:name="第五部分"/>
      <w:bookmarkStart w:id="392" w:name="_Toc86217003"/>
    </w:p>
    <w:bookmarkEnd w:id="391"/>
    <w:bookmarkEnd w:id="392"/>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11"/>
        <w:rPr>
          <w:rFonts w:ascii="宋体" w:hAnsi="宋体" w:cs="宋体"/>
          <w:szCs w:val="24"/>
        </w:rPr>
      </w:pPr>
    </w:p>
    <w:p>
      <w:pPr>
        <w:pStyle w:val="711"/>
        <w:rPr>
          <w:rFonts w:ascii="宋体" w:hAnsi="宋体" w:cs="宋体"/>
          <w:szCs w:val="24"/>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27"/>
        <w:rPr>
          <w:rFonts w:cs="宋体"/>
        </w:rPr>
      </w:pPr>
    </w:p>
    <w:p>
      <w:pPr>
        <w:pStyle w:val="711"/>
        <w:jc w:val="center"/>
        <w:rPr>
          <w:rFonts w:ascii="宋体" w:hAnsi="宋体" w:cs="宋体"/>
          <w:szCs w:val="24"/>
        </w:rPr>
      </w:pPr>
    </w:p>
    <w:p>
      <w:pPr>
        <w:pStyle w:val="27"/>
        <w:rPr>
          <w:rFonts w:cs="宋体"/>
        </w:rPr>
      </w:pPr>
    </w:p>
    <w:p>
      <w:pPr>
        <w:pStyle w:val="711"/>
        <w:ind w:firstLine="2843" w:firstLineChars="1180"/>
        <w:rPr>
          <w:rFonts w:ascii="宋体" w:hAnsi="宋体" w:cs="宋体"/>
          <w:b/>
          <w:szCs w:val="24"/>
        </w:rPr>
      </w:pPr>
      <w:r>
        <w:rPr>
          <w:rFonts w:hint="eastAsia" w:ascii="宋体" w:hAnsi="宋体" w:cs="宋体"/>
          <w:b/>
          <w:szCs w:val="24"/>
        </w:rPr>
        <w:t>通用合同书</w:t>
      </w:r>
    </w:p>
    <w:p>
      <w:pPr>
        <w:pStyle w:val="711"/>
        <w:rPr>
          <w:rFonts w:ascii="宋体" w:hAnsi="宋体" w:cs="宋体"/>
          <w:szCs w:val="24"/>
        </w:rPr>
      </w:pPr>
    </w:p>
    <w:p>
      <w:pPr>
        <w:pStyle w:val="711"/>
        <w:rPr>
          <w:rFonts w:ascii="宋体" w:hAnsi="宋体" w:cs="宋体"/>
          <w:szCs w:val="24"/>
        </w:rPr>
      </w:pPr>
    </w:p>
    <w:p>
      <w:pPr>
        <w:pStyle w:val="27"/>
        <w:rPr>
          <w:rFonts w:cs="宋体"/>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605"/>
        <w:spacing w:before="120" w:line="22" w:lineRule="atLeast"/>
        <w:rPr>
          <w:rFonts w:ascii="宋体" w:hAnsi="宋体" w:eastAsia="宋体" w:cs="宋体"/>
          <w:szCs w:val="24"/>
        </w:rPr>
      </w:pPr>
    </w:p>
    <w:p>
      <w:pPr>
        <w:pStyle w:val="605"/>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pStyle w:val="3"/>
        <w:rPr>
          <w:rFonts w:ascii="宋体" w:hAnsi="宋体" w:eastAsia="宋体" w:cs="宋体"/>
          <w:lang w:val="en-US"/>
        </w:rPr>
      </w:pPr>
    </w:p>
    <w:p>
      <w:pPr>
        <w:ind w:firstLine="420" w:firstLineChars="200"/>
        <w:rPr>
          <w:rFonts w:ascii="宋体" w:hAnsi="宋体" w:cs="宋体"/>
          <w:u w:val="single"/>
        </w:rPr>
      </w:pPr>
      <w:r>
        <w:rPr>
          <w:rFonts w:hint="eastAsia" w:ascii="宋体" w:hAnsi="宋体" w:cs="宋体"/>
          <w:u w:val="single"/>
        </w:rPr>
        <w:t xml:space="preserve">                      </w:t>
      </w:r>
      <w:r>
        <w:rPr>
          <w:rFonts w:hint="eastAsia" w:ascii="宋体" w:hAnsi="宋体" w:cs="宋体"/>
        </w:rPr>
        <w:t>（甲方）</w:t>
      </w:r>
      <w:r>
        <w:rPr>
          <w:rFonts w:hint="eastAsia" w:ascii="宋体" w:hAnsi="宋体" w:cs="宋体"/>
          <w:u w:val="single"/>
        </w:rPr>
        <w:t xml:space="preserve">                    </w:t>
      </w:r>
      <w:r>
        <w:rPr>
          <w:rFonts w:hint="eastAsia" w:ascii="宋体" w:hAnsi="宋体" w:cs="宋体"/>
        </w:rPr>
        <w:t xml:space="preserve"> （项目名称）经诸暨市公共资源交易中心以招标文件（编号：诸政采20</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号）进行公开招标。甲方确定</w:t>
      </w:r>
      <w:r>
        <w:rPr>
          <w:rFonts w:hint="eastAsia" w:ascii="宋体" w:hAnsi="宋体" w:cs="宋体"/>
          <w:u w:val="single"/>
        </w:rPr>
        <w:t xml:space="preserve">                              </w:t>
      </w:r>
      <w:r>
        <w:rPr>
          <w:rFonts w:hint="eastAsia" w:ascii="宋体" w:hAnsi="宋体" w:cs="宋体"/>
        </w:rPr>
        <w:t>（乙方）为中标人。甲、乙双方依据《中华人民共和国政府采购法》、《中华人民共和国民法典》，在平等自愿的基础上，同意按照下面的条款和条件，签署本合同。</w:t>
      </w:r>
    </w:p>
    <w:p>
      <w:pPr>
        <w:rPr>
          <w:rFonts w:ascii="宋体" w:hAnsi="宋体" w:cs="宋体"/>
          <w:b/>
          <w:bCs/>
          <w:u w:val="single"/>
        </w:rPr>
      </w:pPr>
      <w:r>
        <w:rPr>
          <w:rFonts w:hint="eastAsia" w:ascii="宋体" w:hAnsi="宋体" w:cs="宋体"/>
          <w:b/>
          <w:bCs/>
        </w:rPr>
        <w:t>（一）项目采购依据</w:t>
      </w:r>
    </w:p>
    <w:p>
      <w:pPr>
        <w:ind w:firstLine="420" w:firstLineChars="200"/>
        <w:rPr>
          <w:rFonts w:ascii="宋体" w:hAnsi="宋体" w:cs="宋体"/>
        </w:rPr>
      </w:pPr>
      <w:r>
        <w:rPr>
          <w:rFonts w:hint="eastAsia" w:ascii="宋体" w:hAnsi="宋体" w:cs="宋体"/>
        </w:rPr>
        <w:t xml:space="preserve">政府采购预算执行确认书。 </w:t>
      </w:r>
    </w:p>
    <w:p>
      <w:pPr>
        <w:rPr>
          <w:rFonts w:ascii="宋体" w:hAnsi="宋体" w:cs="宋体"/>
          <w:b/>
          <w:bCs/>
        </w:rPr>
      </w:pPr>
      <w:r>
        <w:rPr>
          <w:rFonts w:hint="eastAsia" w:ascii="宋体" w:hAnsi="宋体" w:cs="宋体"/>
          <w:b/>
          <w:bCs/>
        </w:rPr>
        <w:t>（二）下列文件构成本合同的组成部分</w:t>
      </w:r>
    </w:p>
    <w:p>
      <w:pPr>
        <w:ind w:firstLine="420" w:firstLineChars="200"/>
        <w:rPr>
          <w:rFonts w:ascii="宋体" w:hAnsi="宋体" w:cs="宋体"/>
        </w:rPr>
      </w:pPr>
      <w:r>
        <w:rPr>
          <w:rFonts w:hint="eastAsia" w:ascii="宋体" w:hAnsi="宋体" w:cs="宋体"/>
        </w:rPr>
        <w:t>以下文件为本合同的组成部分，应该认为是一个整体，彼此相互解释，相互补充。</w:t>
      </w:r>
    </w:p>
    <w:p>
      <w:pPr>
        <w:ind w:firstLine="420" w:firstLineChars="200"/>
        <w:rPr>
          <w:rFonts w:ascii="宋体" w:hAnsi="宋体" w:cs="宋体"/>
        </w:rPr>
      </w:pPr>
      <w:r>
        <w:rPr>
          <w:rFonts w:hint="eastAsia" w:ascii="宋体" w:hAnsi="宋体" w:cs="宋体"/>
        </w:rPr>
        <w:t>a. 本合同书</w:t>
      </w:r>
    </w:p>
    <w:p>
      <w:pPr>
        <w:ind w:firstLine="420" w:firstLineChars="200"/>
        <w:rPr>
          <w:rFonts w:ascii="宋体" w:hAnsi="宋体" w:cs="宋体"/>
        </w:rPr>
      </w:pPr>
      <w:r>
        <w:rPr>
          <w:rFonts w:hint="eastAsia" w:ascii="宋体" w:hAnsi="宋体" w:cs="宋体"/>
        </w:rPr>
        <w:t>b. 中标通知书</w:t>
      </w:r>
    </w:p>
    <w:p>
      <w:pPr>
        <w:ind w:firstLine="420" w:firstLineChars="200"/>
        <w:rPr>
          <w:rFonts w:ascii="宋体" w:hAnsi="宋体" w:cs="宋体"/>
        </w:rPr>
      </w:pPr>
      <w:r>
        <w:rPr>
          <w:rFonts w:hint="eastAsia" w:ascii="宋体" w:hAnsi="宋体" w:cs="宋体"/>
        </w:rPr>
        <w:t>c. 询标承诺</w:t>
      </w:r>
    </w:p>
    <w:p>
      <w:pPr>
        <w:ind w:firstLine="420" w:firstLineChars="200"/>
        <w:rPr>
          <w:rFonts w:ascii="宋体" w:hAnsi="宋体" w:cs="宋体"/>
        </w:rPr>
      </w:pPr>
      <w:r>
        <w:rPr>
          <w:rFonts w:hint="eastAsia" w:ascii="宋体" w:hAnsi="宋体" w:cs="宋体"/>
        </w:rPr>
        <w:t>d. 投标文件</w:t>
      </w:r>
    </w:p>
    <w:p>
      <w:pPr>
        <w:ind w:firstLine="420" w:firstLineChars="200"/>
        <w:rPr>
          <w:rFonts w:ascii="宋体" w:hAnsi="宋体" w:cs="宋体"/>
        </w:rPr>
      </w:pPr>
      <w:r>
        <w:rPr>
          <w:rFonts w:hint="eastAsia" w:ascii="宋体" w:hAnsi="宋体" w:cs="宋体"/>
        </w:rPr>
        <w:t>e. 招标文件</w:t>
      </w:r>
    </w:p>
    <w:p>
      <w:pPr>
        <w:rPr>
          <w:rFonts w:ascii="宋体" w:hAnsi="宋体" w:cs="宋体"/>
          <w:b/>
          <w:bCs/>
        </w:rPr>
      </w:pPr>
      <w:r>
        <w:rPr>
          <w:rFonts w:hint="eastAsia" w:ascii="宋体" w:hAnsi="宋体" w:cs="宋体"/>
          <w:b/>
          <w:bCs/>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rPr>
                <w:rFonts w:ascii="宋体" w:hAnsi="宋体" w:cs="宋体"/>
              </w:rPr>
            </w:pPr>
            <w:r>
              <w:rPr>
                <w:rFonts w:hint="eastAsia" w:ascii="宋体" w:hAnsi="宋体" w:cs="宋体"/>
              </w:rPr>
              <w:t>产品名称</w:t>
            </w:r>
          </w:p>
        </w:tc>
        <w:tc>
          <w:tcPr>
            <w:tcW w:w="3960" w:type="dxa"/>
            <w:vAlign w:val="center"/>
          </w:tcPr>
          <w:p>
            <w:pPr>
              <w:jc w:val="center"/>
              <w:rPr>
                <w:rFonts w:ascii="宋体" w:hAnsi="宋体" w:cs="宋体"/>
              </w:rPr>
            </w:pPr>
            <w:r>
              <w:rPr>
                <w:rFonts w:hint="eastAsia" w:ascii="宋体" w:hAnsi="宋体" w:cs="宋体"/>
              </w:rPr>
              <w:t>规格、型号（或服务内容）</w:t>
            </w:r>
          </w:p>
        </w:tc>
        <w:tc>
          <w:tcPr>
            <w:tcW w:w="1080" w:type="dxa"/>
            <w:vAlign w:val="center"/>
          </w:tcPr>
          <w:p>
            <w:pPr>
              <w:jc w:val="center"/>
              <w:rPr>
                <w:rFonts w:ascii="宋体" w:hAnsi="宋体" w:cs="宋体"/>
              </w:rPr>
            </w:pPr>
            <w:r>
              <w:rPr>
                <w:rFonts w:hint="eastAsia" w:ascii="宋体" w:hAnsi="宋体" w:cs="宋体"/>
              </w:rPr>
              <w:t>数量</w:t>
            </w:r>
          </w:p>
        </w:tc>
        <w:tc>
          <w:tcPr>
            <w:tcW w:w="1260" w:type="dxa"/>
            <w:vAlign w:val="center"/>
          </w:tcPr>
          <w:p>
            <w:pPr>
              <w:jc w:val="center"/>
              <w:rPr>
                <w:rFonts w:ascii="宋体" w:hAnsi="宋体" w:cs="宋体"/>
              </w:rPr>
            </w:pPr>
            <w:r>
              <w:rPr>
                <w:rFonts w:hint="eastAsia" w:ascii="宋体" w:hAnsi="宋体" w:cs="宋体"/>
              </w:rPr>
              <w:t>单价（元）</w:t>
            </w:r>
          </w:p>
        </w:tc>
        <w:tc>
          <w:tcPr>
            <w:tcW w:w="1440" w:type="dxa"/>
            <w:vAlign w:val="center"/>
          </w:tcPr>
          <w:p>
            <w:pPr>
              <w:jc w:val="center"/>
              <w:rPr>
                <w:rFonts w:ascii="宋体" w:hAnsi="宋体" w:cs="宋体"/>
              </w:rPr>
            </w:pPr>
            <w:r>
              <w:rPr>
                <w:rFonts w:hint="eastAsia" w:ascii="宋体" w:hAnsi="宋体" w:cs="宋体"/>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（具体标的物或服务内容可根据实际修改）</w:t>
      </w:r>
    </w:p>
    <w:p>
      <w:pPr>
        <w:rPr>
          <w:rFonts w:ascii="宋体" w:hAnsi="宋体" w:cs="宋体"/>
          <w:b/>
          <w:bCs/>
        </w:rPr>
      </w:pPr>
      <w:r>
        <w:rPr>
          <w:rFonts w:hint="eastAsia" w:ascii="宋体" w:hAnsi="宋体" w:cs="宋体"/>
          <w:b/>
          <w:bCs/>
        </w:rPr>
        <w:t>（四）合同总价</w:t>
      </w:r>
    </w:p>
    <w:p>
      <w:pPr>
        <w:ind w:firstLine="420" w:firstLineChars="200"/>
        <w:rPr>
          <w:rFonts w:ascii="宋体" w:hAnsi="宋体" w:cs="宋体"/>
        </w:rPr>
      </w:pPr>
      <w:r>
        <w:rPr>
          <w:rFonts w:hint="eastAsia" w:ascii="宋体" w:hAnsi="宋体" w:cs="宋体"/>
        </w:rPr>
        <w:t>本合同总价为</w:t>
      </w:r>
      <w:r>
        <w:rPr>
          <w:rFonts w:hint="eastAsia" w:ascii="宋体" w:hAnsi="宋体" w:cs="宋体"/>
          <w:u w:val="single"/>
        </w:rPr>
        <w:t xml:space="preserve">       </w:t>
      </w:r>
      <w:r>
        <w:rPr>
          <w:rFonts w:hint="eastAsia" w:ascii="宋体" w:hAnsi="宋体" w:cs="宋体"/>
        </w:rPr>
        <w:t>元人民币，大写</w:t>
      </w:r>
      <w:r>
        <w:rPr>
          <w:rFonts w:hint="eastAsia" w:ascii="宋体" w:hAnsi="宋体" w:cs="宋体"/>
          <w:u w:val="single"/>
        </w:rPr>
        <w:t xml:space="preserve">                                    </w:t>
      </w:r>
      <w:r>
        <w:rPr>
          <w:rFonts w:hint="eastAsia" w:ascii="宋体" w:hAnsi="宋体" w:cs="宋体"/>
        </w:rPr>
        <w:t>。</w:t>
      </w:r>
    </w:p>
    <w:p>
      <w:pPr>
        <w:rPr>
          <w:rFonts w:ascii="宋体" w:hAnsi="宋体" w:cs="宋体"/>
          <w:b/>
          <w:bCs/>
        </w:rPr>
      </w:pPr>
      <w:r>
        <w:rPr>
          <w:rFonts w:hint="eastAsia" w:ascii="宋体" w:hAnsi="宋体" w:cs="宋体"/>
          <w:b/>
          <w:bCs/>
        </w:rPr>
        <w:t>（五）合同价款的支付</w:t>
      </w:r>
    </w:p>
    <w:p>
      <w:pPr>
        <w:ind w:firstLine="420" w:firstLineChars="200"/>
        <w:rPr>
          <w:rFonts w:ascii="宋体" w:hAnsi="宋体" w:cs="宋体"/>
        </w:rPr>
      </w:pPr>
      <w:r>
        <w:rPr>
          <w:rFonts w:hint="eastAsia" w:ascii="宋体" w:hAnsi="宋体" w:cs="宋体"/>
        </w:rPr>
        <w:t>1.本合同中甲乙双方之间所发生的一切费用以人民币进行结算。</w:t>
      </w:r>
    </w:p>
    <w:p>
      <w:pPr>
        <w:ind w:firstLine="420" w:firstLineChars="200"/>
        <w:rPr>
          <w:rFonts w:ascii="宋体" w:hAnsi="宋体" w:cs="宋体"/>
        </w:rPr>
      </w:pPr>
      <w:r>
        <w:rPr>
          <w:rFonts w:hint="eastAsia" w:ascii="宋体" w:hAnsi="宋体" w:cs="宋体"/>
        </w:rPr>
        <w:t>2.支付方式：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付款次数</w:t>
            </w:r>
          </w:p>
        </w:tc>
        <w:tc>
          <w:tcPr>
            <w:tcW w:w="1985" w:type="dxa"/>
            <w:vAlign w:val="center"/>
          </w:tcPr>
          <w:p>
            <w:pPr>
              <w:jc w:val="center"/>
              <w:rPr>
                <w:rFonts w:ascii="宋体" w:hAnsi="宋体" w:cs="宋体"/>
              </w:rPr>
            </w:pPr>
            <w:r>
              <w:rPr>
                <w:rFonts w:hint="eastAsia" w:ascii="宋体" w:hAnsi="宋体" w:cs="宋体"/>
              </w:rPr>
              <w:t>约定支付条件</w:t>
            </w:r>
          </w:p>
        </w:tc>
        <w:tc>
          <w:tcPr>
            <w:tcW w:w="4394" w:type="dxa"/>
            <w:vAlign w:val="center"/>
          </w:tcPr>
          <w:p>
            <w:pPr>
              <w:jc w:val="center"/>
              <w:rPr>
                <w:rFonts w:ascii="宋体" w:hAnsi="宋体" w:cs="宋体"/>
              </w:rPr>
            </w:pPr>
            <w:r>
              <w:rPr>
                <w:rFonts w:hint="eastAsia" w:ascii="宋体" w:hAnsi="宋体" w:cs="宋体"/>
              </w:rPr>
              <w:t>付款条件</w:t>
            </w:r>
          </w:p>
        </w:tc>
        <w:tc>
          <w:tcPr>
            <w:tcW w:w="1413" w:type="dxa"/>
            <w:vAlign w:val="center"/>
          </w:tcPr>
          <w:p>
            <w:pPr>
              <w:jc w:val="center"/>
              <w:rPr>
                <w:rFonts w:ascii="宋体" w:hAnsi="宋体" w:cs="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1</w:t>
            </w:r>
          </w:p>
        </w:tc>
        <w:tc>
          <w:tcPr>
            <w:tcW w:w="1985" w:type="dxa"/>
            <w:vAlign w:val="center"/>
          </w:tcPr>
          <w:p>
            <w:pPr>
              <w:jc w:val="center"/>
              <w:rPr>
                <w:rFonts w:ascii="宋体" w:hAnsi="宋体" w:cs="宋体"/>
              </w:rPr>
            </w:pPr>
            <w:r>
              <w:rPr>
                <w:rFonts w:hint="eastAsia" w:ascii="宋体" w:hAnsi="宋体" w:cs="宋体"/>
              </w:rPr>
              <w:t>合同签订后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满足合同约定支付条件，甲方收到乙方提供的同等金额的正规发票后 7 个工作日内，向乙方支付合同总价</w:t>
            </w:r>
            <w:r>
              <w:rPr>
                <w:rFonts w:hint="eastAsia" w:ascii="宋体" w:hAnsi="宋体" w:cs="宋体"/>
                <w:u w:val="single"/>
              </w:rPr>
              <w:t xml:space="preserve">     </w:t>
            </w:r>
            <w:r>
              <w:rPr>
                <w:rFonts w:hint="eastAsia" w:ascii="宋体" w:hAnsi="宋体" w:cs="宋体"/>
              </w:rPr>
              <w:t>%的预付款；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2</w:t>
            </w:r>
          </w:p>
        </w:tc>
        <w:tc>
          <w:tcPr>
            <w:tcW w:w="1985" w:type="dxa"/>
            <w:vAlign w:val="center"/>
          </w:tcPr>
          <w:p>
            <w:pPr>
              <w:jc w:val="center"/>
              <w:rPr>
                <w:rFonts w:ascii="宋体" w:hAnsi="宋体" w:cs="宋体"/>
              </w:rPr>
            </w:pPr>
            <w:r>
              <w:rPr>
                <w:rFonts w:hint="eastAsia" w:ascii="宋体" w:hAnsi="宋体" w:cs="宋体"/>
              </w:rPr>
              <w:t>项目验收合格后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w:t>
            </w:r>
          </w:p>
          <w:p>
            <w:pPr>
              <w:jc w:val="center"/>
              <w:rPr>
                <w:rFonts w:ascii="宋体" w:hAnsi="宋体" w:cs="宋体"/>
              </w:rPr>
            </w:pPr>
            <w:r>
              <w:rPr>
                <w:rFonts w:hint="eastAsia" w:ascii="宋体" w:hAnsi="宋体" w:cs="宋体"/>
              </w:rPr>
              <w:t>的同等金额的正规发票后 7 个工作日内，向</w:t>
            </w:r>
          </w:p>
          <w:p>
            <w:pPr>
              <w:jc w:val="center"/>
              <w:rPr>
                <w:rFonts w:ascii="宋体" w:hAnsi="宋体" w:cs="宋体"/>
              </w:rPr>
            </w:pPr>
            <w:r>
              <w:rPr>
                <w:rFonts w:hint="eastAsia" w:ascii="宋体" w:hAnsi="宋体" w:cs="宋体"/>
              </w:rPr>
              <w:t>乙方支付合同总价</w:t>
            </w:r>
            <w:r>
              <w:rPr>
                <w:rFonts w:hint="eastAsia" w:ascii="宋体" w:hAnsi="宋体" w:cs="宋体"/>
                <w:u w:val="single"/>
              </w:rPr>
              <w:t xml:space="preserve">      </w:t>
            </w:r>
            <w:r>
              <w:rPr>
                <w:rFonts w:hint="eastAsia" w:ascii="宋体" w:hAnsi="宋体" w:cs="宋体"/>
              </w:rPr>
              <w:t>%的合同款。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3</w:t>
            </w:r>
          </w:p>
        </w:tc>
        <w:tc>
          <w:tcPr>
            <w:tcW w:w="1985" w:type="dxa"/>
            <w:vAlign w:val="center"/>
          </w:tcPr>
          <w:p>
            <w:pPr>
              <w:rPr>
                <w:rFonts w:ascii="宋体" w:hAnsi="宋体" w:cs="宋体"/>
              </w:rPr>
            </w:pPr>
          </w:p>
        </w:tc>
        <w:tc>
          <w:tcPr>
            <w:tcW w:w="4394" w:type="dxa"/>
            <w:vAlign w:val="center"/>
          </w:tcPr>
          <w:p>
            <w:pPr>
              <w:jc w:val="center"/>
              <w:rPr>
                <w:rFonts w:ascii="宋体" w:hAnsi="宋体" w:cs="宋体"/>
              </w:rPr>
            </w:pPr>
          </w:p>
        </w:tc>
        <w:tc>
          <w:tcPr>
            <w:tcW w:w="1413" w:type="dxa"/>
            <w:vAlign w:val="center"/>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3.甲方应付合同款至以下乙方指定的银行账户：</w:t>
      </w:r>
    </w:p>
    <w:p>
      <w:pPr>
        <w:ind w:firstLine="420" w:firstLineChars="200"/>
        <w:rPr>
          <w:rFonts w:ascii="宋体" w:hAnsi="宋体" w:cs="宋体"/>
        </w:rPr>
      </w:pPr>
      <w:r>
        <w:rPr>
          <w:rFonts w:hint="eastAsia" w:ascii="宋体" w:hAnsi="宋体" w:cs="宋体"/>
        </w:rPr>
        <w:t>开户名称：</w:t>
      </w:r>
    </w:p>
    <w:p>
      <w:pPr>
        <w:ind w:firstLine="420" w:firstLineChars="200"/>
        <w:rPr>
          <w:rFonts w:ascii="宋体" w:hAnsi="宋体" w:cs="宋体"/>
        </w:rPr>
      </w:pPr>
      <w:r>
        <w:rPr>
          <w:rFonts w:hint="eastAsia" w:ascii="宋体" w:hAnsi="宋体" w:cs="宋体"/>
        </w:rPr>
        <w:t>开户银行：</w:t>
      </w:r>
    </w:p>
    <w:p>
      <w:pPr>
        <w:ind w:firstLine="420" w:firstLineChars="200"/>
        <w:rPr>
          <w:rFonts w:ascii="宋体" w:hAnsi="宋体" w:cs="宋体"/>
        </w:rPr>
      </w:pPr>
      <w:r>
        <w:rPr>
          <w:rFonts w:hint="eastAsia" w:ascii="宋体" w:hAnsi="宋体" w:cs="宋体"/>
        </w:rPr>
        <w:t>账 号：</w:t>
      </w:r>
    </w:p>
    <w:p>
      <w:pPr>
        <w:rPr>
          <w:rFonts w:ascii="宋体" w:hAnsi="宋体" w:cs="宋体"/>
          <w:b/>
          <w:bCs/>
        </w:rPr>
      </w:pPr>
      <w:r>
        <w:rPr>
          <w:rFonts w:hint="eastAsia" w:ascii="宋体" w:hAnsi="宋体" w:cs="宋体"/>
          <w:b/>
          <w:bCs/>
        </w:rPr>
        <w:t>（六）履约保证金</w:t>
      </w:r>
    </w:p>
    <w:p>
      <w:pPr>
        <w:ind w:firstLine="420" w:firstLineChars="200"/>
        <w:rPr>
          <w:rFonts w:ascii="宋体" w:hAnsi="宋体" w:cs="宋体"/>
        </w:rPr>
      </w:pPr>
      <w:r>
        <w:rPr>
          <w:rFonts w:hint="eastAsia" w:ascii="宋体" w:hAnsi="宋体" w:cs="宋体"/>
        </w:rPr>
        <w:t>1.乙方应在合同签订后 5 个工作日内向甲方提交履约保证金为【/】元。</w:t>
      </w:r>
    </w:p>
    <w:p>
      <w:pPr>
        <w:ind w:firstLine="420" w:firstLineChars="200"/>
        <w:rPr>
          <w:rFonts w:ascii="宋体" w:hAnsi="宋体" w:cs="宋体"/>
        </w:rPr>
      </w:pPr>
      <w:r>
        <w:rPr>
          <w:rFonts w:hint="eastAsia" w:ascii="宋体" w:hAnsi="宋体" w:cs="宋体"/>
        </w:rPr>
        <w:t>2.履约保证金用于补偿甲方因乙方不能履行其合同义务而蒙受的损失。</w:t>
      </w:r>
    </w:p>
    <w:p>
      <w:pPr>
        <w:ind w:firstLine="420" w:firstLineChars="200"/>
        <w:rPr>
          <w:rFonts w:ascii="宋体" w:hAnsi="宋体" w:cs="宋体"/>
        </w:rPr>
      </w:pPr>
      <w:r>
        <w:rPr>
          <w:rFonts w:hint="eastAsia" w:ascii="宋体" w:hAnsi="宋体" w:cs="宋体"/>
        </w:rPr>
        <w:t>3.履约保证金有效期限：合同签订之日起至项目通过甲方验收后结束。</w:t>
      </w:r>
    </w:p>
    <w:p>
      <w:pPr>
        <w:ind w:firstLine="420" w:firstLineChars="200"/>
        <w:rPr>
          <w:rFonts w:ascii="宋体" w:hAnsi="宋体" w:cs="宋体"/>
        </w:rPr>
      </w:pPr>
      <w:r>
        <w:rPr>
          <w:rFonts w:hint="eastAsia" w:ascii="宋体" w:hAnsi="宋体" w:cs="宋体"/>
        </w:rPr>
        <w:t>4.履约保证金退还：有效期限满后，按合同约定扣除相关款项（如有）后无息退还。</w:t>
      </w:r>
    </w:p>
    <w:p>
      <w:pPr>
        <w:rPr>
          <w:rFonts w:ascii="宋体" w:hAnsi="宋体" w:cs="宋体"/>
          <w:b/>
          <w:bCs/>
        </w:rPr>
      </w:pPr>
      <w:r>
        <w:rPr>
          <w:rFonts w:hint="eastAsia" w:ascii="宋体" w:hAnsi="宋体" w:cs="宋体"/>
          <w:b/>
          <w:bCs/>
        </w:rPr>
        <w:t>（七）服务要求</w:t>
      </w:r>
    </w:p>
    <w:p>
      <w:pPr>
        <w:ind w:firstLine="420" w:firstLineChars="200"/>
        <w:rPr>
          <w:rFonts w:ascii="宋体" w:hAnsi="宋体" w:cs="宋体"/>
        </w:rPr>
      </w:pPr>
      <w:r>
        <w:rPr>
          <w:rFonts w:hint="eastAsia" w:ascii="宋体" w:hAnsi="宋体" w:cs="宋体"/>
        </w:rPr>
        <w:t>服务期内，乙方应在充分了解甲方现有环境基础上，提供规范化、高质量的服务，具体服务内容与要求详见附件。</w:t>
      </w:r>
    </w:p>
    <w:p>
      <w:pPr>
        <w:ind w:firstLine="420" w:firstLineChars="200"/>
        <w:rPr>
          <w:rFonts w:ascii="宋体" w:hAnsi="宋体" w:cs="宋体"/>
        </w:rPr>
      </w:pPr>
      <w:r>
        <w:rPr>
          <w:rFonts w:hint="eastAsia" w:ascii="宋体" w:hAnsi="宋体" w:cs="宋体"/>
        </w:rPr>
        <w:t>履行期限：</w:t>
      </w:r>
    </w:p>
    <w:p>
      <w:pPr>
        <w:ind w:firstLine="420" w:firstLineChars="200"/>
        <w:rPr>
          <w:rFonts w:ascii="宋体" w:hAnsi="宋体" w:cs="宋体"/>
        </w:rPr>
      </w:pPr>
      <w:r>
        <w:rPr>
          <w:rFonts w:hint="eastAsia" w:ascii="宋体" w:hAnsi="宋体" w:cs="宋体"/>
        </w:rPr>
        <w:t>履行地点：</w:t>
      </w:r>
    </w:p>
    <w:p>
      <w:pPr>
        <w:rPr>
          <w:rFonts w:ascii="宋体" w:hAnsi="宋体" w:cs="宋体"/>
          <w:b/>
          <w:bCs/>
        </w:rPr>
      </w:pPr>
      <w:r>
        <w:rPr>
          <w:rFonts w:hint="eastAsia" w:ascii="宋体" w:hAnsi="宋体" w:cs="宋体"/>
          <w:b/>
          <w:bCs/>
        </w:rPr>
        <w:t>（八）服务人员</w:t>
      </w:r>
    </w:p>
    <w:p>
      <w:pPr>
        <w:ind w:firstLine="420" w:firstLineChars="200"/>
        <w:rPr>
          <w:rFonts w:ascii="宋体" w:hAnsi="宋体" w:cs="宋体"/>
        </w:rPr>
      </w:pPr>
      <w:r>
        <w:rPr>
          <w:rFonts w:hint="eastAsia" w:ascii="宋体" w:hAnsi="宋体" w:cs="宋体"/>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rPr>
          <w:rFonts w:ascii="宋体" w:hAnsi="宋体" w:cs="宋体"/>
        </w:rPr>
      </w:pPr>
      <w:r>
        <w:rPr>
          <w:rFonts w:hint="eastAsia" w:ascii="宋体" w:hAnsi="宋体" w:cs="宋体"/>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rPr>
          <w:rFonts w:ascii="宋体" w:hAnsi="宋体" w:cs="宋体"/>
        </w:rPr>
      </w:pPr>
      <w:r>
        <w:rPr>
          <w:rFonts w:hint="eastAsia" w:ascii="宋体" w:hAnsi="宋体" w:cs="宋体"/>
        </w:rPr>
        <w:t>甲乙双方指定代表，作为履行本合同服务事宜的主要联系人。</w:t>
      </w:r>
    </w:p>
    <w:p>
      <w:pPr>
        <w:ind w:firstLine="420" w:firstLineChars="200"/>
        <w:rPr>
          <w:rFonts w:ascii="宋体" w:hAnsi="宋体" w:cs="宋体"/>
          <w:u w:val="single"/>
        </w:rPr>
      </w:pPr>
      <w:r>
        <w:rPr>
          <w:rFonts w:hint="eastAsia" w:ascii="宋体" w:hAnsi="宋体" w:cs="宋体"/>
        </w:rPr>
        <w:t>甲方代表：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ind w:firstLine="420" w:firstLineChars="200"/>
        <w:rPr>
          <w:rFonts w:ascii="宋体" w:hAnsi="宋体" w:cs="宋体"/>
          <w:u w:val="single"/>
        </w:rPr>
      </w:pPr>
      <w:r>
        <w:rPr>
          <w:rFonts w:hint="eastAsia" w:ascii="宋体" w:hAnsi="宋体" w:cs="宋体"/>
        </w:rPr>
        <w:t>乙方代表：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rPr>
          <w:rFonts w:ascii="宋体" w:hAnsi="宋体" w:cs="宋体"/>
          <w:b/>
          <w:bCs/>
        </w:rPr>
      </w:pPr>
      <w:r>
        <w:rPr>
          <w:rFonts w:hint="eastAsia" w:ascii="宋体" w:hAnsi="宋体" w:cs="宋体"/>
          <w:b/>
          <w:bCs/>
        </w:rPr>
        <w:t>（九）服务考核</w:t>
      </w:r>
    </w:p>
    <w:p>
      <w:pPr>
        <w:ind w:firstLine="420" w:firstLineChars="200"/>
        <w:rPr>
          <w:rFonts w:ascii="宋体" w:hAnsi="宋体" w:cs="宋体"/>
        </w:rPr>
      </w:pPr>
      <w:r>
        <w:rPr>
          <w:rFonts w:hint="eastAsia" w:ascii="宋体" w:hAnsi="宋体" w:cs="宋体"/>
        </w:rPr>
        <w:t>甲方对乙方服务质量进行客观评估，具体考核办法（如有）作为合同附件。</w:t>
      </w:r>
    </w:p>
    <w:p>
      <w:pPr>
        <w:ind w:firstLine="420" w:firstLineChars="200"/>
        <w:rPr>
          <w:rFonts w:ascii="宋体" w:hAnsi="宋体" w:cs="宋体"/>
        </w:rPr>
      </w:pPr>
      <w:r>
        <w:rPr>
          <w:rFonts w:hint="eastAsia" w:ascii="宋体" w:hAnsi="宋体" w:cs="宋体"/>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pPr>
        <w:rPr>
          <w:rFonts w:ascii="宋体" w:hAnsi="宋体" w:cs="宋体"/>
          <w:b/>
          <w:bCs/>
        </w:rPr>
      </w:pPr>
      <w:r>
        <w:rPr>
          <w:rFonts w:hint="eastAsia" w:ascii="宋体" w:hAnsi="宋体" w:cs="宋体"/>
          <w:b/>
          <w:bCs/>
        </w:rPr>
        <w:t>（十）违约责任</w:t>
      </w:r>
    </w:p>
    <w:p>
      <w:pPr>
        <w:ind w:firstLine="420" w:firstLineChars="200"/>
        <w:rPr>
          <w:rFonts w:ascii="宋体" w:hAnsi="宋体" w:cs="宋体"/>
        </w:rPr>
      </w:pPr>
      <w:r>
        <w:rPr>
          <w:rFonts w:hint="eastAsia" w:ascii="宋体" w:hAnsi="宋体" w:cs="宋体"/>
        </w:rPr>
        <w:t>除合同规定的不可抗力外，如果乙方没有按照合同规定的时间提供服务，甲方可要求乙方支付违约金。违约金按每周合同款的</w:t>
      </w:r>
      <w:r>
        <w:rPr>
          <w:rFonts w:hint="eastAsia" w:ascii="宋体" w:hAnsi="宋体" w:cs="宋体"/>
          <w:u w:val="single"/>
        </w:rPr>
        <w:t xml:space="preserve">     </w:t>
      </w:r>
      <w:r>
        <w:rPr>
          <w:rFonts w:hint="eastAsia" w:ascii="宋体" w:hAnsi="宋体" w:cs="宋体"/>
        </w:rPr>
        <w:t>%计收。但违约金的最高限额为合同价的</w:t>
      </w:r>
      <w:r>
        <w:rPr>
          <w:rFonts w:hint="eastAsia" w:ascii="宋体" w:hAnsi="宋体" w:cs="宋体"/>
          <w:u w:val="single"/>
        </w:rPr>
        <w:t xml:space="preserve">    </w:t>
      </w:r>
      <w:r>
        <w:rPr>
          <w:rFonts w:hint="eastAsia" w:ascii="宋体" w:hAnsi="宋体" w:cs="宋体"/>
        </w:rPr>
        <w:t>%。一周按 7 天计算，不足 7 天按一周计算。如果达到最高限额，甲方有权解除合同。</w:t>
      </w:r>
    </w:p>
    <w:p>
      <w:pPr>
        <w:ind w:firstLine="420" w:firstLineChars="200"/>
        <w:rPr>
          <w:rFonts w:ascii="宋体" w:hAnsi="宋体" w:cs="宋体"/>
        </w:rPr>
      </w:pPr>
      <w:r>
        <w:rPr>
          <w:rFonts w:hint="eastAsia" w:ascii="宋体" w:hAnsi="宋体" w:cs="宋体"/>
        </w:rPr>
        <w:t>项目结束时验收不合格，乙方应在收到甲方通知后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%支付违约金。</w:t>
      </w:r>
    </w:p>
    <w:p>
      <w:pPr>
        <w:ind w:firstLine="420" w:firstLineChars="200"/>
        <w:rPr>
          <w:rFonts w:ascii="宋体" w:hAnsi="宋体" w:cs="宋体"/>
        </w:rPr>
      </w:pPr>
      <w:r>
        <w:rPr>
          <w:rFonts w:hint="eastAsia" w:ascii="宋体" w:hAnsi="宋体" w:cs="宋体"/>
        </w:rPr>
        <w:t>其他违约条款双方协商确定：</w:t>
      </w:r>
      <w:r>
        <w:rPr>
          <w:rFonts w:hint="eastAsia" w:ascii="宋体" w:hAnsi="宋体" w:cs="宋体"/>
          <w:u w:val="single"/>
        </w:rPr>
        <w:t xml:space="preserve">                             。</w:t>
      </w:r>
    </w:p>
    <w:p>
      <w:pPr>
        <w:rPr>
          <w:rFonts w:ascii="宋体" w:hAnsi="宋体" w:cs="宋体"/>
          <w:b/>
          <w:bCs/>
        </w:rPr>
      </w:pPr>
      <w:r>
        <w:rPr>
          <w:rFonts w:hint="eastAsia" w:ascii="宋体" w:hAnsi="宋体" w:cs="宋体"/>
          <w:b/>
          <w:bCs/>
        </w:rPr>
        <w:t>（十一）解决争议的方法</w:t>
      </w:r>
    </w:p>
    <w:p>
      <w:pPr>
        <w:ind w:firstLine="420" w:firstLineChars="200"/>
        <w:rPr>
          <w:rFonts w:ascii="宋体" w:hAnsi="宋体" w:cs="宋体"/>
          <w:u w:val="none"/>
        </w:rPr>
      </w:pPr>
      <w:r>
        <w:rPr>
          <w:rFonts w:hint="eastAsia" w:ascii="宋体" w:hAnsi="宋体" w:cs="宋体"/>
        </w:rPr>
        <w:t>因合同履行中发生的争议，可通过合同当事人双方友好协商解决。如自协商开始之起 15 日内得不到解决，双方应将争议提交政府采购监管部门调解。调解不成的</w:t>
      </w:r>
      <w:r>
        <w:rPr>
          <w:rFonts w:hint="eastAsia" w:ascii="宋体" w:hAnsi="宋体" w:cs="宋体"/>
          <w:u w:val="none"/>
        </w:rPr>
        <w:t>，可向绍兴市仲裁委员会申请仲裁。</w:t>
      </w:r>
    </w:p>
    <w:p>
      <w:pPr>
        <w:rPr>
          <w:rFonts w:ascii="宋体" w:hAnsi="宋体" w:cs="宋体"/>
          <w:b/>
          <w:bCs/>
        </w:rPr>
      </w:pPr>
      <w:r>
        <w:rPr>
          <w:rFonts w:hint="eastAsia" w:ascii="宋体" w:hAnsi="宋体" w:cs="宋体"/>
          <w:b/>
          <w:bCs/>
        </w:rPr>
        <w:t>（十二）违约解除合同</w:t>
      </w:r>
    </w:p>
    <w:p>
      <w:pPr>
        <w:ind w:firstLine="420" w:firstLineChars="200"/>
        <w:rPr>
          <w:rFonts w:ascii="宋体" w:hAnsi="宋体" w:cs="宋体"/>
        </w:rPr>
      </w:pPr>
      <w:r>
        <w:rPr>
          <w:rFonts w:hint="eastAsia" w:ascii="宋体" w:hAnsi="宋体" w:cs="宋体"/>
        </w:rPr>
        <w:t>1.在乙方违约的情况下，甲方可向乙方发出书面通知，部分或全部终止合同,同时保留向乙方追诉的权利：</w:t>
      </w:r>
    </w:p>
    <w:p>
      <w:pPr>
        <w:ind w:firstLine="420" w:firstLineChars="200"/>
        <w:rPr>
          <w:rFonts w:ascii="宋体" w:hAnsi="宋体" w:cs="宋体"/>
        </w:rPr>
      </w:pPr>
      <w:r>
        <w:rPr>
          <w:rFonts w:hint="eastAsia" w:ascii="宋体" w:hAnsi="宋体" w:cs="宋体"/>
        </w:rPr>
        <w:t>乙方未能在合同规定的限期或甲方同意延长的限期内，提供全部或部分标的物的；</w:t>
      </w:r>
    </w:p>
    <w:p>
      <w:pPr>
        <w:ind w:firstLine="420" w:firstLineChars="200"/>
        <w:rPr>
          <w:rFonts w:ascii="宋体" w:hAnsi="宋体" w:cs="宋体"/>
        </w:rPr>
      </w:pPr>
      <w:r>
        <w:rPr>
          <w:rFonts w:hint="eastAsia" w:ascii="宋体" w:hAnsi="宋体" w:cs="宋体"/>
        </w:rPr>
        <w:t>乙方未能履行合同规定的其它主要义务的；</w:t>
      </w:r>
    </w:p>
    <w:p>
      <w:pPr>
        <w:ind w:firstLine="420" w:firstLineChars="200"/>
        <w:rPr>
          <w:rFonts w:ascii="宋体" w:hAnsi="宋体" w:cs="宋体"/>
        </w:rPr>
      </w:pPr>
      <w:r>
        <w:rPr>
          <w:rFonts w:hint="eastAsia" w:ascii="宋体" w:hAnsi="宋体" w:cs="宋体"/>
        </w:rPr>
        <w:t>甲方认为乙方在本合同履行过程中有腐败和欺诈等行为的。</w:t>
      </w:r>
    </w:p>
    <w:p>
      <w:pPr>
        <w:ind w:firstLine="420" w:firstLineChars="200"/>
        <w:rPr>
          <w:rFonts w:ascii="宋体" w:hAnsi="宋体" w:cs="宋体"/>
        </w:rPr>
      </w:pPr>
      <w:r>
        <w:rPr>
          <w:rFonts w:hint="eastAsia" w:ascii="宋体" w:hAnsi="宋体" w:cs="宋体"/>
        </w:rPr>
        <w:t>2.甲方解除合同的，合同于甲方发出书面解除合同通知书送达乙方之日起解除。乙方应在合同解除后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 xml:space="preserve"> %支付违约金。</w:t>
      </w:r>
    </w:p>
    <w:p>
      <w:pPr>
        <w:rPr>
          <w:rFonts w:ascii="宋体" w:hAnsi="宋体" w:cs="宋体"/>
          <w:b/>
          <w:bCs/>
        </w:rPr>
      </w:pPr>
      <w:r>
        <w:rPr>
          <w:rFonts w:hint="eastAsia" w:ascii="宋体" w:hAnsi="宋体" w:cs="宋体"/>
          <w:b/>
          <w:bCs/>
        </w:rPr>
        <w:t>（十三）破产终止合同</w:t>
      </w:r>
    </w:p>
    <w:p>
      <w:pPr>
        <w:ind w:firstLine="420" w:firstLineChars="200"/>
        <w:rPr>
          <w:rFonts w:ascii="宋体" w:hAnsi="宋体" w:cs="宋体"/>
        </w:rPr>
      </w:pPr>
      <w:r>
        <w:rPr>
          <w:rFonts w:hint="eastAsia" w:ascii="宋体" w:hAnsi="宋体" w:cs="宋体"/>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rFonts w:ascii="宋体" w:hAnsi="宋体" w:cs="宋体"/>
          <w:b/>
          <w:bCs/>
        </w:rPr>
      </w:pPr>
      <w:r>
        <w:rPr>
          <w:rFonts w:hint="eastAsia" w:ascii="宋体" w:hAnsi="宋体" w:cs="宋体"/>
          <w:b/>
          <w:bCs/>
        </w:rPr>
        <w:t>（十四）转让和分包</w:t>
      </w:r>
    </w:p>
    <w:p>
      <w:pPr>
        <w:ind w:firstLine="420" w:firstLineChars="200"/>
        <w:rPr>
          <w:rFonts w:ascii="宋体" w:hAnsi="宋体" w:cs="宋体"/>
        </w:rPr>
      </w:pPr>
      <w:r>
        <w:rPr>
          <w:rFonts w:hint="eastAsia" w:ascii="宋体" w:hAnsi="宋体" w:cs="宋体"/>
        </w:rPr>
        <w:t>1.政府采购合同不能转让。</w:t>
      </w:r>
    </w:p>
    <w:p>
      <w:pPr>
        <w:ind w:firstLine="420" w:firstLineChars="200"/>
        <w:rPr>
          <w:rFonts w:ascii="宋体" w:hAnsi="宋体" w:cs="宋体"/>
        </w:rPr>
      </w:pPr>
      <w:r>
        <w:rPr>
          <w:rFonts w:hint="eastAsia" w:ascii="宋体" w:hAnsi="宋体" w:cs="宋体"/>
        </w:rPr>
        <w:t>2.本项目内容</w:t>
      </w:r>
      <w:r>
        <w:rPr>
          <w:rFonts w:hint="eastAsia" w:ascii="宋体" w:hAnsi="宋体" w:cs="宋体"/>
          <w:u w:val="single"/>
        </w:rPr>
        <w:t>不</w:t>
      </w:r>
      <w:r>
        <w:rPr>
          <w:rFonts w:hint="eastAsia" w:ascii="宋体" w:hAnsi="宋体" w:cs="宋体"/>
        </w:rPr>
        <w:t>允许分包（按照招标文件要求）。</w:t>
      </w:r>
    </w:p>
    <w:p>
      <w:pPr>
        <w:rPr>
          <w:rFonts w:ascii="宋体" w:hAnsi="宋体" w:cs="宋体"/>
          <w:b/>
          <w:bCs/>
        </w:rPr>
      </w:pPr>
      <w:r>
        <w:rPr>
          <w:rFonts w:hint="eastAsia" w:ascii="宋体" w:hAnsi="宋体" w:cs="宋体"/>
          <w:b/>
          <w:bCs/>
        </w:rPr>
        <w:t>（十五）合同变更、解除</w:t>
      </w:r>
    </w:p>
    <w:p>
      <w:pPr>
        <w:ind w:firstLine="420" w:firstLineChars="200"/>
        <w:rPr>
          <w:rFonts w:ascii="宋体" w:hAnsi="宋体" w:cs="宋体"/>
        </w:rPr>
      </w:pPr>
      <w:r>
        <w:rPr>
          <w:rFonts w:hint="eastAsia" w:ascii="宋体" w:hAnsi="宋体" w:cs="宋体"/>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pPr>
        <w:rPr>
          <w:rFonts w:ascii="宋体" w:hAnsi="宋体" w:cs="宋体"/>
          <w:b/>
          <w:bCs/>
        </w:rPr>
      </w:pPr>
      <w:r>
        <w:rPr>
          <w:rFonts w:hint="eastAsia" w:ascii="宋体" w:hAnsi="宋体" w:cs="宋体"/>
          <w:b/>
          <w:bCs/>
        </w:rPr>
        <w:t>（十六）通知</w:t>
      </w:r>
    </w:p>
    <w:p>
      <w:pPr>
        <w:ind w:firstLine="420" w:firstLineChars="200"/>
        <w:rPr>
          <w:rFonts w:ascii="宋体" w:hAnsi="宋体" w:cs="宋体"/>
        </w:rPr>
      </w:pPr>
      <w:r>
        <w:rPr>
          <w:rFonts w:hint="eastAsia" w:ascii="宋体" w:hAnsi="宋体" w:cs="宋体"/>
        </w:rPr>
        <w:t>本合同任何一方给另一方的通知，都应以书面形式发送，而另一方也应以书面形式确认并发送到对方明确的地址。</w:t>
      </w:r>
    </w:p>
    <w:p>
      <w:pPr>
        <w:rPr>
          <w:rFonts w:ascii="宋体" w:hAnsi="宋体" w:cs="宋体"/>
          <w:b/>
          <w:bCs/>
        </w:rPr>
      </w:pPr>
      <w:r>
        <w:rPr>
          <w:rFonts w:hint="eastAsia" w:ascii="宋体" w:hAnsi="宋体" w:cs="宋体"/>
          <w:b/>
          <w:bCs/>
        </w:rPr>
        <w:t>（十七）计量单位</w:t>
      </w:r>
    </w:p>
    <w:p>
      <w:pPr>
        <w:ind w:firstLine="420" w:firstLineChars="200"/>
        <w:rPr>
          <w:rFonts w:ascii="宋体" w:hAnsi="宋体" w:cs="宋体"/>
        </w:rPr>
      </w:pPr>
      <w:r>
        <w:rPr>
          <w:rFonts w:hint="eastAsia" w:ascii="宋体" w:hAnsi="宋体" w:cs="宋体"/>
        </w:rPr>
        <w:t>除技术规范中另有规定外，计量单位均使用国家法定计量单位。</w:t>
      </w:r>
    </w:p>
    <w:p>
      <w:pPr>
        <w:rPr>
          <w:rFonts w:ascii="宋体" w:hAnsi="宋体" w:cs="宋体"/>
          <w:b/>
          <w:bCs/>
        </w:rPr>
      </w:pPr>
      <w:r>
        <w:rPr>
          <w:rFonts w:hint="eastAsia" w:ascii="宋体" w:hAnsi="宋体" w:cs="宋体"/>
          <w:b/>
          <w:bCs/>
        </w:rPr>
        <w:t>（十八）不可抗力</w:t>
      </w:r>
    </w:p>
    <w:p>
      <w:pPr>
        <w:ind w:firstLine="420" w:firstLineChars="200"/>
        <w:rPr>
          <w:rFonts w:ascii="宋体" w:hAnsi="宋体" w:cs="宋体"/>
        </w:rPr>
      </w:pPr>
      <w:r>
        <w:rPr>
          <w:rFonts w:hint="eastAsia" w:ascii="宋体" w:hAnsi="宋体" w:cs="宋体"/>
        </w:rPr>
        <w:t>1.如果双方中任何一方遭遇法律规定的不可抗力，致使合同履行受阻时，履行合同的期限应予延长，延长的期限应相当于不可抗力所影响的时间。</w:t>
      </w:r>
    </w:p>
    <w:p>
      <w:pPr>
        <w:ind w:firstLine="420" w:firstLineChars="200"/>
        <w:rPr>
          <w:rFonts w:ascii="宋体" w:hAnsi="宋体" w:cs="宋体"/>
        </w:rPr>
      </w:pPr>
      <w:r>
        <w:rPr>
          <w:rFonts w:hint="eastAsia" w:ascii="宋体" w:hAnsi="宋体" w:cs="宋体"/>
        </w:rPr>
        <w:t>2.受事故影响的一方应在不可抗力的事故发生后尽快书面形式通知另一方，并在事故发生后合同规定时间内，将有关部门出具的证明文件送达另一方。</w:t>
      </w:r>
    </w:p>
    <w:p>
      <w:pPr>
        <w:ind w:firstLine="420" w:firstLineChars="200"/>
        <w:rPr>
          <w:rFonts w:ascii="宋体" w:hAnsi="宋体" w:cs="宋体"/>
        </w:rPr>
      </w:pPr>
      <w:r>
        <w:rPr>
          <w:rFonts w:hint="eastAsia" w:ascii="宋体" w:hAnsi="宋体" w:cs="宋体"/>
        </w:rPr>
        <w:t>3.不可抗力使合同的某些内容有变更必要的，双方应通过协商达成进一步履行合同的协议，因不可抗力致使合同不能履行的，合同终止。</w:t>
      </w:r>
    </w:p>
    <w:p>
      <w:pPr>
        <w:rPr>
          <w:rFonts w:ascii="宋体" w:hAnsi="宋体" w:cs="宋体"/>
          <w:b/>
          <w:bCs/>
        </w:rPr>
      </w:pPr>
      <w:r>
        <w:rPr>
          <w:rFonts w:hint="eastAsia" w:ascii="宋体" w:hAnsi="宋体" w:cs="宋体"/>
          <w:b/>
          <w:bCs/>
        </w:rPr>
        <w:t>（十九）合同解释</w:t>
      </w:r>
    </w:p>
    <w:p>
      <w:pPr>
        <w:ind w:firstLine="420" w:firstLineChars="200"/>
        <w:rPr>
          <w:rFonts w:ascii="宋体" w:hAnsi="宋体" w:cs="宋体"/>
        </w:rPr>
      </w:pPr>
      <w:r>
        <w:rPr>
          <w:rFonts w:hint="eastAsia" w:ascii="宋体" w:hAnsi="宋体" w:cs="宋体"/>
        </w:rPr>
        <w:t>本合同应按照《中华人民共和国政府采购法》、《中华人民共和国民法典》、《浙江省政府采购合同暂行办法》等进行解释。</w:t>
      </w:r>
    </w:p>
    <w:p>
      <w:pPr>
        <w:rPr>
          <w:rFonts w:ascii="宋体" w:hAnsi="宋体" w:cs="宋体"/>
        </w:rPr>
      </w:pPr>
      <w:r>
        <w:rPr>
          <w:rFonts w:hint="eastAsia" w:ascii="宋体" w:hAnsi="宋体" w:cs="宋体"/>
          <w:b/>
          <w:bCs/>
        </w:rPr>
        <w:t>（二十）合同的生效及其他</w:t>
      </w:r>
    </w:p>
    <w:p>
      <w:pPr>
        <w:ind w:firstLine="420" w:firstLineChars="200"/>
        <w:rPr>
          <w:rFonts w:ascii="宋体" w:hAnsi="宋体" w:cs="宋体"/>
        </w:rPr>
      </w:pPr>
      <w:r>
        <w:rPr>
          <w:rFonts w:hint="eastAsia" w:ascii="宋体" w:hAnsi="宋体" w:cs="宋体"/>
        </w:rPr>
        <w:t>政府采购项目的采购合同内容的确定应以招标文件和投标文件为基础，不得违背其实质性内容。</w:t>
      </w:r>
    </w:p>
    <w:p>
      <w:pPr>
        <w:rPr>
          <w:rFonts w:ascii="宋体" w:hAnsi="宋体" w:cs="宋体"/>
        </w:rPr>
      </w:pPr>
      <w:r>
        <w:rPr>
          <w:rFonts w:hint="eastAsia" w:ascii="宋体" w:hAnsi="宋体" w:cs="宋体"/>
        </w:rPr>
        <w:t>合同将在双方签字盖章后开始生效。授权代表签署的应附法定代表人授权书。</w:t>
      </w:r>
    </w:p>
    <w:p>
      <w:pPr>
        <w:rPr>
          <w:rFonts w:ascii="宋体" w:hAnsi="宋体" w:cs="宋体"/>
          <w:b/>
          <w:bCs/>
        </w:rPr>
      </w:pPr>
      <w:r>
        <w:rPr>
          <w:rFonts w:hint="eastAsia" w:ascii="宋体" w:hAnsi="宋体" w:cs="宋体"/>
          <w:b/>
          <w:bCs/>
        </w:rPr>
        <w:t>（二十一）合同附件（如有）</w:t>
      </w:r>
    </w:p>
    <w:p>
      <w:pPr>
        <w:rPr>
          <w:rFonts w:ascii="宋体" w:hAnsi="宋体" w:cs="宋体"/>
          <w:b/>
          <w:bCs/>
        </w:rPr>
      </w:pPr>
      <w:r>
        <w:rPr>
          <w:rFonts w:hint="eastAsia" w:ascii="宋体" w:hAnsi="宋体" w:cs="宋体"/>
          <w:b/>
          <w:bCs/>
        </w:rPr>
        <w:t>（二十二）合同份数</w:t>
      </w:r>
    </w:p>
    <w:p>
      <w:pPr>
        <w:rPr>
          <w:rFonts w:ascii="宋体" w:hAnsi="宋体" w:cs="宋体"/>
        </w:rPr>
      </w:pPr>
      <w:r>
        <w:rPr>
          <w:rFonts w:hint="eastAsia" w:ascii="宋体" w:hAnsi="宋体" w:cs="宋体"/>
        </w:rPr>
        <w:t>本合同一式</w:t>
      </w:r>
      <w:r>
        <w:rPr>
          <w:rFonts w:hint="eastAsia" w:ascii="宋体" w:hAnsi="宋体" w:cs="宋体"/>
          <w:u w:val="single"/>
        </w:rPr>
        <w:t>五</w:t>
      </w:r>
      <w:r>
        <w:rPr>
          <w:rFonts w:hint="eastAsia" w:ascii="宋体" w:hAnsi="宋体" w:cs="宋体"/>
        </w:rPr>
        <w:t>份，具同等法律效力。</w:t>
      </w:r>
    </w:p>
    <w:tbl>
      <w:tblPr>
        <w:tblStyle w:val="65"/>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rPr>
                <w:rFonts w:ascii="宋体" w:hAnsi="宋体" w:cs="宋体"/>
              </w:rPr>
            </w:pPr>
            <w:r>
              <w:rPr>
                <w:rFonts w:hint="eastAsia" w:ascii="宋体" w:hAnsi="宋体" w:cs="宋体"/>
              </w:rPr>
              <w:t>甲方</w:t>
            </w:r>
          </w:p>
        </w:tc>
        <w:tc>
          <w:tcPr>
            <w:tcW w:w="4234" w:type="dxa"/>
            <w:vAlign w:val="center"/>
          </w:tcPr>
          <w:p>
            <w:pPr>
              <w:jc w:val="center"/>
              <w:rPr>
                <w:rFonts w:ascii="宋体" w:hAnsi="宋体" w:cs="宋体"/>
              </w:rPr>
            </w:pPr>
            <w:r>
              <w:rPr>
                <w:rFonts w:hint="eastAsia" w:ascii="宋体" w:hAnsi="宋体" w:cs="宋体"/>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c>
          <w:tcPr>
            <w:tcW w:w="423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r>
    </w:tbl>
    <w:p>
      <w:pPr>
        <w:rPr>
          <w:rFonts w:ascii="宋体" w:hAnsi="宋体" w:cs="宋体"/>
        </w:rPr>
      </w:pPr>
    </w:p>
    <w:p>
      <w:pPr>
        <w:rPr>
          <w:rFonts w:ascii="宋体" w:hAnsi="宋体" w:cs="宋体"/>
        </w:rPr>
      </w:pPr>
    </w:p>
    <w:p>
      <w:pPr>
        <w:ind w:firstLine="422" w:firstLineChars="200"/>
        <w:rPr>
          <w:rFonts w:ascii="宋体" w:hAnsi="宋体" w:cs="宋体"/>
          <w:b/>
          <w:color w:val="FF0000"/>
        </w:rPr>
      </w:pPr>
      <w:r>
        <w:rPr>
          <w:rFonts w:hint="eastAsia" w:ascii="宋体" w:hAnsi="宋体" w:cs="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宋体" w:hAnsi="宋体" w:cs="宋体"/>
          <w:sz w:val="24"/>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rPr>
          <w:rFonts w:ascii="宋体" w:hAnsi="宋体" w:cs="宋体"/>
          <w:b/>
          <w:bCs/>
          <w:sz w:val="32"/>
          <w:szCs w:val="32"/>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 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hint="eastAsia" w:ascii="宋体" w:hAnsi="宋体" w:cs="宋体"/>
          <w:sz w:val="24"/>
        </w:rPr>
      </w:pPr>
      <w:r>
        <w:rPr>
          <w:rFonts w:hint="eastAsia" w:ascii="宋体" w:hAnsi="宋体" w:cs="宋体"/>
          <w:sz w:val="24"/>
        </w:rPr>
        <w:t>符合参加政府采购活动应当具备的一般条件的承诺函……………（页码）</w:t>
      </w:r>
    </w:p>
    <w:p>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hint="eastAsia" w:ascii="宋体" w:hAnsi="宋体" w:cs="宋体"/>
          <w:sz w:val="24"/>
        </w:rPr>
      </w:pPr>
      <w:r>
        <w:rPr>
          <w:rFonts w:hint="eastAsia" w:ascii="宋体" w:hAnsi="宋体" w:cs="宋体"/>
          <w:sz w:val="24"/>
        </w:rPr>
        <w:t>落实政府采购政策需满足的资格要求（如需）……………………（页码）</w:t>
      </w:r>
    </w:p>
    <w:p>
      <w:pPr>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ascii="仿宋_GB2312" w:hAnsi="仿宋" w:eastAsia="仿宋_GB2312" w:cs="仿宋_GB2312"/>
          <w:sz w:val="24"/>
        </w:rPr>
      </w:pPr>
      <w:r>
        <w:rPr>
          <w:rFonts w:hint="eastAsia" w:ascii="宋体" w:hAnsi="宋体" w:cs="宋体"/>
          <w:sz w:val="24"/>
        </w:rPr>
        <w:t>本项目的特定资格要求（如需）……………………………………（页码）</w:t>
      </w: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（一）具备《中华人民共和国政府采购法》第二十二条规定的以下条件：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0" w:firstLineChars="196"/>
        <w:jc w:val="left"/>
        <w:rPr>
          <w:rFonts w:ascii="宋体" w:hAnsi="宋体" w:cs="宋体"/>
          <w:b w:val="0"/>
          <w:bCs/>
          <w:sz w:val="24"/>
        </w:rPr>
      </w:pPr>
      <w:r>
        <w:rPr>
          <w:rFonts w:hint="eastAsia" w:ascii="宋体" w:hAnsi="宋体" w:cs="宋体"/>
          <w:b w:val="0"/>
          <w:bCs/>
          <w:sz w:val="24"/>
        </w:rPr>
        <w:t xml:space="preserve"> </w:t>
      </w: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pStyle w:val="3"/>
        <w:ind w:left="0" w:firstLine="0"/>
        <w:rPr>
          <w:rFonts w:ascii="宋体" w:hAnsi="宋体" w:eastAsia="宋体" w:cs="宋体"/>
          <w:lang w:val="en-US"/>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（5）商务技术偏离表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hint="eastAsia" w:ascii="宋体" w:hAnsi="宋体" w:cs="宋体"/>
          <w:b/>
          <w:kern w:val="0"/>
          <w:sz w:val="32"/>
          <w:szCs w:val="32"/>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8"/>
        <w:spacing w:line="360" w:lineRule="auto"/>
        <w:rPr>
          <w:rFonts w:hAnsi="宋体" w:cs="宋体"/>
          <w:bCs/>
          <w:sz w:val="24"/>
        </w:rPr>
      </w:pPr>
      <w:r>
        <w:rPr>
          <w:rFonts w:hint="eastAsia" w:hAnsi="宋体" w:cs="宋体"/>
          <w:bCs/>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8"/>
              <w:adjustRightInd w:val="0"/>
              <w:spacing w:line="360" w:lineRule="auto"/>
              <w:rPr>
                <w:rFonts w:hAnsi="宋体" w:cs="宋体"/>
                <w:bCs/>
                <w:sz w:val="24"/>
              </w:rPr>
            </w:pPr>
            <w:r>
              <w:rPr>
                <w:rFonts w:hint="eastAsia" w:hAnsi="宋体" w:cs="宋体"/>
                <w:bCs/>
                <w:sz w:val="24"/>
              </w:rPr>
              <w:t>正面：                                 反面：</w:t>
            </w:r>
          </w:p>
          <w:p>
            <w:pPr>
              <w:pStyle w:val="178"/>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714"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3714" w:type="dxa"/>
            <w:vAlign w:val="center"/>
          </w:tcPr>
          <w:p>
            <w:pPr>
              <w:spacing w:line="360" w:lineRule="auto"/>
              <w:rPr>
                <w:rFonts w:ascii="宋体" w:hAnsi="宋体" w:cs="宋体"/>
                <w:sz w:val="24"/>
              </w:rPr>
            </w:pPr>
            <w:r>
              <w:rPr>
                <w:rFonts w:hint="eastAsia" w:ascii="宋体" w:hAnsi="宋体" w:cs="宋体"/>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pPr>
              <w:spacing w:line="360" w:lineRule="auto"/>
              <w:rPr>
                <w:rFonts w:ascii="宋体" w:hAnsi="宋体" w:cs="宋体"/>
                <w:sz w:val="24"/>
              </w:rPr>
            </w:pPr>
            <w:r>
              <w:rPr>
                <w:rFonts w:hint="eastAsia" w:ascii="宋体" w:hAnsi="宋体" w:cs="宋体"/>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3714" w:type="dxa"/>
            <w:vAlign w:val="center"/>
          </w:tcPr>
          <w:p>
            <w:pPr>
              <w:spacing w:line="360" w:lineRule="auto"/>
              <w:rPr>
                <w:rFonts w:ascii="宋体" w:hAnsi="宋体" w:cs="宋体"/>
                <w:sz w:val="24"/>
              </w:rPr>
            </w:pPr>
            <w:r>
              <w:rPr>
                <w:rFonts w:hint="eastAsia" w:ascii="宋体" w:hAnsi="宋体" w:cs="宋体"/>
                <w:sz w:val="24"/>
              </w:rPr>
              <w:t>招标文件其它实质性要求相应的材料（“★” 系指实质性要求条款，招标文件无其它实质性要求的，无需提供）</w:t>
            </w:r>
          </w:p>
        </w:tc>
      </w:tr>
    </w:tbl>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rPr>
          <w:rFonts w:ascii="宋体" w:hAnsi="宋体" w:eastAsia="宋体" w:cs="宋体"/>
          <w:kern w:val="0"/>
        </w:rPr>
      </w:pPr>
    </w:p>
    <w:p>
      <w:pPr>
        <w:rPr>
          <w:rFonts w:ascii="宋体" w:hAnsi="宋体" w:cs="宋体"/>
          <w:b/>
          <w:kern w:val="0"/>
          <w:sz w:val="32"/>
          <w:szCs w:val="32"/>
        </w:rPr>
      </w:pPr>
    </w:p>
    <w:p>
      <w:pPr>
        <w:pStyle w:val="3"/>
        <w:rPr>
          <w:rFonts w:ascii="宋体" w:hAnsi="宋体" w:eastAsia="宋体" w:cs="宋体"/>
          <w:kern w:val="0"/>
        </w:rPr>
      </w:pPr>
    </w:p>
    <w:p>
      <w:pPr>
        <w:rPr>
          <w:rFonts w:ascii="宋体" w:hAnsi="宋体" w:cs="宋体"/>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rPr>
          <w:rFonts w:ascii="宋体" w:hAnsi="宋体" w:eastAsia="宋体" w:cs="宋体"/>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289" w:type="dxa"/>
          </w:tcPr>
          <w:p>
            <w:pPr>
              <w:jc w:val="center"/>
              <w:rPr>
                <w:rFonts w:ascii="宋体" w:hAnsi="宋体" w:cs="宋体"/>
                <w:b/>
                <w:bCs/>
                <w:sz w:val="24"/>
              </w:rPr>
            </w:pPr>
            <w:r>
              <w:rPr>
                <w:rFonts w:hint="eastAsia" w:ascii="宋体" w:hAnsi="宋体" w:cs="宋体"/>
                <w:b/>
                <w:bCs/>
                <w:sz w:val="24"/>
              </w:rPr>
              <w:t>招标文件章节及具体内容</w:t>
            </w:r>
          </w:p>
        </w:tc>
        <w:tc>
          <w:tcPr>
            <w:tcW w:w="3940" w:type="dxa"/>
          </w:tcPr>
          <w:p>
            <w:pPr>
              <w:jc w:val="center"/>
              <w:rPr>
                <w:rFonts w:ascii="宋体" w:hAnsi="宋体" w:cs="宋体"/>
                <w:b/>
                <w:bCs/>
                <w:sz w:val="24"/>
              </w:rPr>
            </w:pPr>
            <w:r>
              <w:rPr>
                <w:rFonts w:hint="eastAsia" w:ascii="宋体" w:hAnsi="宋体" w:cs="宋体"/>
                <w:b/>
                <w:bCs/>
                <w:sz w:val="24"/>
              </w:rPr>
              <w:t>投标文件章节（页码）及具体内容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1</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2</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pStyle w:val="36"/>
        <w:spacing w:line="400" w:lineRule="atLeast"/>
        <w:rPr>
          <w:rFonts w:hAnsi="宋体" w:cs="宋体"/>
          <w:snapToGrid/>
          <w:kern w:val="0"/>
          <w:sz w:val="24"/>
          <w:szCs w:val="24"/>
        </w:rPr>
      </w:pPr>
      <w:r>
        <w:rPr>
          <w:rFonts w:hint="eastAsia" w:hAnsi="宋体" w:cs="宋体"/>
          <w:snapToGrid/>
          <w:kern w:val="0"/>
          <w:sz w:val="24"/>
          <w:szCs w:val="24"/>
        </w:rPr>
        <w:t>注：</w:t>
      </w:r>
    </w:p>
    <w:p>
      <w:pPr>
        <w:pStyle w:val="36"/>
        <w:spacing w:line="400" w:lineRule="atLeast"/>
        <w:rPr>
          <w:rFonts w:hAnsi="宋体" w:cs="宋体"/>
          <w:snapToGrid/>
          <w:kern w:val="0"/>
          <w:sz w:val="24"/>
          <w:szCs w:val="24"/>
        </w:rPr>
      </w:pPr>
      <w:r>
        <w:rPr>
          <w:rFonts w:hint="eastAsia" w:hAnsi="宋体" w:cs="宋体"/>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6"/>
        <w:spacing w:line="400" w:lineRule="atLeast"/>
        <w:rPr>
          <w:rFonts w:hAnsi="宋体" w:cs="宋体"/>
          <w:snapToGrid/>
          <w:kern w:val="0"/>
          <w:sz w:val="24"/>
          <w:szCs w:val="24"/>
        </w:rPr>
      </w:pPr>
      <w:r>
        <w:rPr>
          <w:rFonts w:hint="eastAsia" w:hAnsi="宋体" w:cs="宋体"/>
          <w:snapToGrid/>
          <w:kern w:val="0"/>
          <w:sz w:val="24"/>
          <w:szCs w:val="24"/>
        </w:rPr>
        <w:t>2、投标人递交的技术规格书中必须真实逐条列明，否则由投标人自行承担相关风险。</w:t>
      </w:r>
    </w:p>
    <w:p>
      <w:pPr>
        <w:pStyle w:val="36"/>
        <w:spacing w:line="400" w:lineRule="atLeast"/>
        <w:rPr>
          <w:rFonts w:hAnsi="宋体" w:cs="宋体"/>
          <w:snapToGrid/>
          <w:kern w:val="0"/>
          <w:sz w:val="24"/>
          <w:szCs w:val="24"/>
        </w:rPr>
      </w:pPr>
      <w:r>
        <w:rPr>
          <w:rFonts w:hint="eastAsia" w:hAnsi="宋体" w:cs="宋体"/>
          <w:snapToGrid/>
          <w:kern w:val="0"/>
          <w:sz w:val="24"/>
          <w:szCs w:val="24"/>
        </w:rPr>
        <w:t>3、此表在不改变格式的情况下可自行制作。</w:t>
      </w:r>
    </w:p>
    <w:p>
      <w:pPr>
        <w:pStyle w:val="36"/>
        <w:spacing w:line="400" w:lineRule="atLeast"/>
        <w:rPr>
          <w:rFonts w:hAnsi="宋体" w:cs="宋体"/>
          <w:snapToGrid/>
          <w:kern w:val="0"/>
          <w:sz w:val="24"/>
          <w:szCs w:val="24"/>
        </w:rPr>
      </w:pPr>
      <w:r>
        <w:rPr>
          <w:rFonts w:hint="eastAsia" w:hAnsi="宋体" w:cs="宋体"/>
          <w:snapToGrid/>
          <w:kern w:val="0"/>
          <w:sz w:val="24"/>
          <w:szCs w:val="24"/>
        </w:rPr>
        <w:t>4、此表置于商务技术文件中。</w:t>
      </w:r>
    </w:p>
    <w:p>
      <w:pPr>
        <w:jc w:val="left"/>
        <w:rPr>
          <w:rFonts w:ascii="宋体" w:hAnsi="宋体" w:cs="宋体"/>
          <w:b/>
          <w:kern w:val="0"/>
          <w:sz w:val="24"/>
        </w:rPr>
      </w:pPr>
      <w:r>
        <w:rPr>
          <w:rFonts w:hint="eastAsia" w:ascii="宋体" w:hAnsi="宋体" w:cs="宋体"/>
          <w:b/>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7"/>
        </w:numPr>
        <w:snapToGrid w:val="0"/>
        <w:spacing w:line="360" w:lineRule="auto"/>
        <w:rPr>
          <w:rFonts w:hint="eastAsia" w:ascii="宋体" w:hAnsi="宋体" w:cs="宋体"/>
          <w:sz w:val="24"/>
        </w:rPr>
      </w:pPr>
      <w:r>
        <w:rPr>
          <w:rFonts w:hint="eastAsia" w:ascii="宋体" w:hAnsi="宋体" w:cs="宋体"/>
          <w:sz w:val="24"/>
        </w:rPr>
        <w:t>开标一览表（报价表）………………………………………………………（页码）</w:t>
      </w:r>
    </w:p>
    <w:p>
      <w:pPr>
        <w:pStyle w:val="2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（2）中小企业声明函（如需）</w:t>
      </w:r>
      <w:r>
        <w:rPr>
          <w:rFonts w:hint="eastAsia" w:ascii="宋体" w:hAnsi="宋体" w:cs="宋体"/>
          <w:sz w:val="24"/>
        </w:rPr>
        <w:t>……………………………………………………（页码）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702"/>
        <w:keepNext w:val="0"/>
        <w:pageBreakBefore w:val="0"/>
        <w:numPr>
          <w:ilvl w:val="0"/>
          <w:numId w:val="8"/>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p>
      <w:pPr>
        <w:pStyle w:val="702"/>
        <w:keepNext w:val="0"/>
        <w:pageBreakBefore w:val="0"/>
        <w:tabs>
          <w:tab w:val="clear" w:pos="720"/>
        </w:tabs>
        <w:snapToGrid w:val="0"/>
        <w:spacing w:before="120" w:after="120"/>
        <w:jc w:val="both"/>
        <w:outlineLvl w:val="9"/>
        <w:rPr>
          <w:rFonts w:ascii="宋体" w:hAnsi="宋体" w:eastAsia="宋体" w:cs="宋体"/>
          <w:kern w:val="2"/>
          <w:sz w:val="32"/>
          <w:szCs w:val="32"/>
        </w:rPr>
      </w:pP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服务要求（年限）</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r>
        <w:rPr>
          <w:rFonts w:hint="eastAsia" w:ascii="宋体" w:hAnsi="宋体" w:cs="宋体"/>
          <w:b/>
          <w:kern w:val="0"/>
          <w:sz w:val="24"/>
          <w:lang w:val="zh-CN"/>
        </w:rPr>
        <w:t>投标人名称（电子签名）：</w:t>
      </w:r>
    </w:p>
    <w:p>
      <w:pPr>
        <w:snapToGrid w:val="0"/>
        <w:spacing w:line="360" w:lineRule="auto"/>
        <w:ind w:firstLine="9638" w:firstLineChars="4000"/>
        <w:rPr>
          <w:rFonts w:ascii="宋体" w:hAnsi="宋体" w:cs="宋体"/>
          <w:b/>
          <w:kern w:val="0"/>
          <w:sz w:val="24"/>
          <w:lang w:val="zh-CN"/>
        </w:rPr>
      </w:pPr>
      <w:r>
        <w:rPr>
          <w:rFonts w:hint="eastAsia" w:ascii="宋体" w:hAnsi="宋体" w:cs="宋体"/>
          <w:b/>
          <w:kern w:val="0"/>
          <w:sz w:val="24"/>
          <w:lang w:val="zh-CN"/>
        </w:rPr>
        <w:t>日  期：</w:t>
      </w:r>
    </w:p>
    <w:p>
      <w:pPr>
        <w:snapToGrid w:val="0"/>
        <w:spacing w:line="360" w:lineRule="auto"/>
        <w:ind w:left="480"/>
        <w:rPr>
          <w:rFonts w:ascii="宋体" w:hAnsi="宋体" w:cs="宋体"/>
          <w:b/>
          <w:kern w:val="0"/>
          <w:sz w:val="24"/>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1、投标人需按本表格式填写，单位统一均为人民币元。</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702"/>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702"/>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宋体" w:hAnsi="宋体" w:cs="宋体"/>
          <w:b/>
          <w:bCs/>
          <w:kern w:val="0"/>
          <w:sz w:val="24"/>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393" w:name="_Toc465665161"/>
      <w:r>
        <w:rPr>
          <w:rFonts w:hint="eastAsia" w:ascii="宋体" w:hAnsi="宋体" w:cs="宋体"/>
        </w:rPr>
        <w:t>附件</w:t>
      </w:r>
      <w:bookmarkEnd w:id="393"/>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394" w:name="OLE_LINK14"/>
      <w:bookmarkStart w:id="395" w:name="OLE_LINK13"/>
      <w:r>
        <w:rPr>
          <w:rFonts w:hint="eastAsia" w:ascii="宋体" w:hAnsi="宋体" w:cs="宋体"/>
          <w:b/>
          <w:spacing w:val="6"/>
          <w:sz w:val="32"/>
          <w:szCs w:val="32"/>
        </w:rPr>
        <w:t>残疾人福利性单位声明函</w:t>
      </w:r>
    </w:p>
    <w:bookmarkEnd w:id="394"/>
    <w:bookmarkEnd w:id="39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outlineLvl w:val="0"/>
        <w:rPr>
          <w:rFonts w:ascii="宋体" w:hAnsi="宋体" w:cs="宋体"/>
          <w:b/>
          <w:sz w:val="32"/>
          <w:szCs w:val="32"/>
        </w:rPr>
      </w:pPr>
    </w:p>
    <w:sectPr>
      <w:headerReference r:id="rId17" w:type="first"/>
      <w:footerReference r:id="rId20" w:type="first"/>
      <w:headerReference r:id="rId16" w:type="default"/>
      <w:footerReference r:id="rId18" w:type="default"/>
      <w:footerReference r:id="rId19" w:type="even"/>
      <w:pgSz w:w="11907" w:h="16840"/>
      <w:pgMar w:top="1474" w:right="1814" w:bottom="1474" w:left="1814" w:header="851" w:footer="851"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396" w:name="_Toc164085800"/>
    <w:bookmarkStart w:id="397" w:name="_Toc91899912"/>
    <w:bookmarkStart w:id="398" w:name="_Toc131845147"/>
    <w:bookmarkStart w:id="399" w:name="_Toc36110187"/>
    <w:r>
      <w:rPr>
        <w:rFonts w:hint="eastAsia" w:ascii="仿宋_GB2312" w:eastAsia="仿宋_GB2312"/>
        <w:kern w:val="0"/>
        <w:szCs w:val="21"/>
      </w:rPr>
      <w:t xml:space="preserve"> 页</w:t>
    </w:r>
    <w:bookmarkEnd w:id="396"/>
    <w:bookmarkEnd w:id="397"/>
    <w:bookmarkEnd w:id="398"/>
    <w:bookmarkEnd w:id="39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5"/>
      </w:rPr>
    </w:pPr>
    <w:r>
      <w:fldChar w:fldCharType="begin"/>
    </w:r>
    <w:r>
      <w:rPr>
        <w:rStyle w:val="75"/>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5"/>
      </w:rPr>
    </w:pPr>
    <w:r>
      <w:fldChar w:fldCharType="begin"/>
    </w:r>
    <w:r>
      <w:rPr>
        <w:rStyle w:val="75"/>
      </w:rPr>
      <w:instrText xml:space="preserve">PAGE  </w:instrText>
    </w:r>
    <w:r>
      <w:fldChar w:fldCharType="end"/>
    </w:r>
  </w:p>
  <w:p>
    <w:pPr>
      <w:pStyle w:val="4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诸暨</w:t>
    </w:r>
    <w:r>
      <w:t>市政府采购公开招标文件</w:t>
    </w:r>
  </w:p>
  <w:p>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w:t>
    </w:r>
    <w:r>
      <w:rPr>
        <w:rFonts w:hint="eastAsia"/>
      </w:rPr>
      <w:t>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C346F"/>
    <w:multiLevelType w:val="singleLevel"/>
    <w:tmpl w:val="9A4C346F"/>
    <w:lvl w:ilvl="0" w:tentative="0">
      <w:start w:val="1"/>
      <w:numFmt w:val="decimal"/>
      <w:suff w:val="nothing"/>
      <w:lvlText w:val="（%1）"/>
      <w:lvlJc w:val="left"/>
    </w:lvl>
  </w:abstractNum>
  <w:abstractNum w:abstractNumId="1">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2"/>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3">
    <w:nsid w:val="292C9865"/>
    <w:multiLevelType w:val="singleLevel"/>
    <w:tmpl w:val="292C9865"/>
    <w:lvl w:ilvl="0" w:tentative="0">
      <w:start w:val="3"/>
      <w:numFmt w:val="chineseCounting"/>
      <w:suff w:val="space"/>
      <w:lvlText w:val="第%1部分"/>
      <w:lvlJc w:val="left"/>
      <w:rPr>
        <w:rFonts w:hint="eastAsia"/>
      </w:rPr>
    </w:lvl>
  </w:abstractNum>
  <w:abstractNum w:abstractNumId="4">
    <w:nsid w:val="3D09490B"/>
    <w:multiLevelType w:val="singleLevel"/>
    <w:tmpl w:val="3D09490B"/>
    <w:lvl w:ilvl="0" w:tentative="0">
      <w:start w:val="1"/>
      <w:numFmt w:val="decimal"/>
      <w:suff w:val="nothing"/>
      <w:lvlText w:val="（%1）"/>
      <w:lvlJc w:val="left"/>
    </w:lvl>
  </w:abstractNum>
  <w:abstractNum w:abstractNumId="5">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E465744"/>
    <w:multiLevelType w:val="singleLevel"/>
    <w:tmpl w:val="4E465744"/>
    <w:lvl w:ilvl="0" w:tentative="0">
      <w:start w:val="1"/>
      <w:numFmt w:val="chineseCounting"/>
      <w:suff w:val="nothing"/>
      <w:lvlText w:val="%1、"/>
      <w:lvlJc w:val="left"/>
      <w:rPr>
        <w:rFonts w:hint="eastAsia"/>
      </w:rPr>
    </w:lvl>
  </w:abstractNum>
  <w:abstractNum w:abstractNumId="7">
    <w:nsid w:val="4EAF669B"/>
    <w:multiLevelType w:val="multilevel"/>
    <w:tmpl w:val="4EAF669B"/>
    <w:lvl w:ilvl="0" w:tentative="0">
      <w:start w:val="1"/>
      <w:numFmt w:val="decimalEnclosedCircle"/>
      <w:pStyle w:val="995"/>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7"/>
  </w:num>
  <w:num w:numId="3">
    <w:abstractNumId w:val="1"/>
  </w:num>
  <w:num w:numId="4">
    <w:abstractNumId w:val="5"/>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lM2U3ZGRjZjE4ODZmNTI2NGM3OGE2YmMwOTcifQ=="/>
    <w:docVar w:name="KSO_WPS_MARK_KEY" w:val="e71b2c5b-7556-4a53-bbc9-4409bb2c7efb"/>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1CB7"/>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5B0"/>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E6C"/>
    <w:rsid w:val="00101FFB"/>
    <w:rsid w:val="00103251"/>
    <w:rsid w:val="00103509"/>
    <w:rsid w:val="0010393D"/>
    <w:rsid w:val="00103EBD"/>
    <w:rsid w:val="00104486"/>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179"/>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6D6"/>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A44"/>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762"/>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9E3"/>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C79BF"/>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442F"/>
    <w:rsid w:val="00414909"/>
    <w:rsid w:val="00415034"/>
    <w:rsid w:val="00415B1A"/>
    <w:rsid w:val="00415DFD"/>
    <w:rsid w:val="00416208"/>
    <w:rsid w:val="0041627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DAC"/>
    <w:rsid w:val="00565F0D"/>
    <w:rsid w:val="005662DC"/>
    <w:rsid w:val="00566329"/>
    <w:rsid w:val="00566716"/>
    <w:rsid w:val="005668B9"/>
    <w:rsid w:val="00566E39"/>
    <w:rsid w:val="0056704E"/>
    <w:rsid w:val="00567623"/>
    <w:rsid w:val="005701C2"/>
    <w:rsid w:val="005702D9"/>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801"/>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64B1"/>
    <w:rsid w:val="008866D0"/>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66"/>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EDF"/>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9F677C"/>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20B"/>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F6C"/>
    <w:rsid w:val="00B15FC0"/>
    <w:rsid w:val="00B163E8"/>
    <w:rsid w:val="00B1767E"/>
    <w:rsid w:val="00B20760"/>
    <w:rsid w:val="00B210C7"/>
    <w:rsid w:val="00B2125C"/>
    <w:rsid w:val="00B21676"/>
    <w:rsid w:val="00B219E1"/>
    <w:rsid w:val="00B21ECF"/>
    <w:rsid w:val="00B22150"/>
    <w:rsid w:val="00B226DE"/>
    <w:rsid w:val="00B22FB5"/>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6C68"/>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297A"/>
    <w:rsid w:val="00C4360C"/>
    <w:rsid w:val="00C439B8"/>
    <w:rsid w:val="00C43A0B"/>
    <w:rsid w:val="00C43EDA"/>
    <w:rsid w:val="00C43FEC"/>
    <w:rsid w:val="00C4414C"/>
    <w:rsid w:val="00C4443C"/>
    <w:rsid w:val="00C44B5D"/>
    <w:rsid w:val="00C44FA9"/>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35"/>
    <w:rsid w:val="00CF5008"/>
    <w:rsid w:val="00CF5069"/>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CA6"/>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3EC"/>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4D"/>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5F4D"/>
    <w:rsid w:val="00F86079"/>
    <w:rsid w:val="00F8610A"/>
    <w:rsid w:val="00F87282"/>
    <w:rsid w:val="00F878CD"/>
    <w:rsid w:val="00F87905"/>
    <w:rsid w:val="00F87A66"/>
    <w:rsid w:val="00F90C1F"/>
    <w:rsid w:val="00F912D9"/>
    <w:rsid w:val="00F91A44"/>
    <w:rsid w:val="00F91BFA"/>
    <w:rsid w:val="00F91F8F"/>
    <w:rsid w:val="00F9217B"/>
    <w:rsid w:val="00F931A6"/>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1B"/>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E03"/>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0C0C1E"/>
    <w:rsid w:val="011F6449"/>
    <w:rsid w:val="01236AFB"/>
    <w:rsid w:val="014852B3"/>
    <w:rsid w:val="014D28C9"/>
    <w:rsid w:val="016E5688"/>
    <w:rsid w:val="019F7441"/>
    <w:rsid w:val="01B37585"/>
    <w:rsid w:val="01C85005"/>
    <w:rsid w:val="01D55165"/>
    <w:rsid w:val="01DF6BF8"/>
    <w:rsid w:val="01EC2C57"/>
    <w:rsid w:val="024F7FEB"/>
    <w:rsid w:val="026B2E25"/>
    <w:rsid w:val="026F5F9E"/>
    <w:rsid w:val="02824D4D"/>
    <w:rsid w:val="02A95A35"/>
    <w:rsid w:val="02DC4B10"/>
    <w:rsid w:val="02DD76CE"/>
    <w:rsid w:val="02F36323"/>
    <w:rsid w:val="02F5619C"/>
    <w:rsid w:val="0313324A"/>
    <w:rsid w:val="0326446A"/>
    <w:rsid w:val="032D5555"/>
    <w:rsid w:val="036634D2"/>
    <w:rsid w:val="03DD35E4"/>
    <w:rsid w:val="03F175F7"/>
    <w:rsid w:val="04076900"/>
    <w:rsid w:val="040F7C4B"/>
    <w:rsid w:val="041A5A3B"/>
    <w:rsid w:val="042311BA"/>
    <w:rsid w:val="0428084E"/>
    <w:rsid w:val="042B157A"/>
    <w:rsid w:val="045255E4"/>
    <w:rsid w:val="048E097B"/>
    <w:rsid w:val="048F763B"/>
    <w:rsid w:val="049F330E"/>
    <w:rsid w:val="04AA775C"/>
    <w:rsid w:val="04AD4D18"/>
    <w:rsid w:val="04AF1889"/>
    <w:rsid w:val="04BC7CCF"/>
    <w:rsid w:val="04EC05E2"/>
    <w:rsid w:val="04F66F48"/>
    <w:rsid w:val="05251E14"/>
    <w:rsid w:val="05526201"/>
    <w:rsid w:val="059B671E"/>
    <w:rsid w:val="059D5987"/>
    <w:rsid w:val="059E79E0"/>
    <w:rsid w:val="05A16594"/>
    <w:rsid w:val="05A7762D"/>
    <w:rsid w:val="05FE5673"/>
    <w:rsid w:val="060E5941"/>
    <w:rsid w:val="06110FAF"/>
    <w:rsid w:val="061B7EBC"/>
    <w:rsid w:val="06493CA7"/>
    <w:rsid w:val="065A6178"/>
    <w:rsid w:val="066F1CF3"/>
    <w:rsid w:val="067508F8"/>
    <w:rsid w:val="067511C9"/>
    <w:rsid w:val="06930BB8"/>
    <w:rsid w:val="06DC36D6"/>
    <w:rsid w:val="070A234B"/>
    <w:rsid w:val="07245D42"/>
    <w:rsid w:val="07264C62"/>
    <w:rsid w:val="072B6851"/>
    <w:rsid w:val="07445A80"/>
    <w:rsid w:val="0779354C"/>
    <w:rsid w:val="07C27AF6"/>
    <w:rsid w:val="08007E8A"/>
    <w:rsid w:val="08061376"/>
    <w:rsid w:val="08452D77"/>
    <w:rsid w:val="086401F8"/>
    <w:rsid w:val="08751CAA"/>
    <w:rsid w:val="087E4C40"/>
    <w:rsid w:val="08923755"/>
    <w:rsid w:val="08B35201"/>
    <w:rsid w:val="08D66AD6"/>
    <w:rsid w:val="08DA33A3"/>
    <w:rsid w:val="08E80F13"/>
    <w:rsid w:val="091B2CE5"/>
    <w:rsid w:val="09335624"/>
    <w:rsid w:val="0944690F"/>
    <w:rsid w:val="09535675"/>
    <w:rsid w:val="095F057D"/>
    <w:rsid w:val="09642282"/>
    <w:rsid w:val="09733572"/>
    <w:rsid w:val="09772C16"/>
    <w:rsid w:val="098353B5"/>
    <w:rsid w:val="09A15E77"/>
    <w:rsid w:val="09A664D0"/>
    <w:rsid w:val="09A92330"/>
    <w:rsid w:val="09AE03C9"/>
    <w:rsid w:val="09B06B87"/>
    <w:rsid w:val="09C13146"/>
    <w:rsid w:val="09E04166"/>
    <w:rsid w:val="0A1C0718"/>
    <w:rsid w:val="0A3E7710"/>
    <w:rsid w:val="0A5B7E63"/>
    <w:rsid w:val="0AA374A5"/>
    <w:rsid w:val="0AAB7649"/>
    <w:rsid w:val="0ABC5606"/>
    <w:rsid w:val="0AD34C9C"/>
    <w:rsid w:val="0B30404E"/>
    <w:rsid w:val="0B4C6C14"/>
    <w:rsid w:val="0B631A88"/>
    <w:rsid w:val="0B683D45"/>
    <w:rsid w:val="0B7F3F11"/>
    <w:rsid w:val="0B884417"/>
    <w:rsid w:val="0B9068A4"/>
    <w:rsid w:val="0BF6188C"/>
    <w:rsid w:val="0BF73C91"/>
    <w:rsid w:val="0C170175"/>
    <w:rsid w:val="0C484FB1"/>
    <w:rsid w:val="0C571A41"/>
    <w:rsid w:val="0C5C1171"/>
    <w:rsid w:val="0C5E1CBC"/>
    <w:rsid w:val="0C615B50"/>
    <w:rsid w:val="0C8445DA"/>
    <w:rsid w:val="0C87121B"/>
    <w:rsid w:val="0C9532D5"/>
    <w:rsid w:val="0C9615C8"/>
    <w:rsid w:val="0CC007F7"/>
    <w:rsid w:val="0CD22C8F"/>
    <w:rsid w:val="0CD26CBE"/>
    <w:rsid w:val="0CDC2776"/>
    <w:rsid w:val="0CFE707A"/>
    <w:rsid w:val="0D063BDA"/>
    <w:rsid w:val="0D08375F"/>
    <w:rsid w:val="0D184CFB"/>
    <w:rsid w:val="0D2B64A6"/>
    <w:rsid w:val="0D3C2EA1"/>
    <w:rsid w:val="0D4070BC"/>
    <w:rsid w:val="0D4A7419"/>
    <w:rsid w:val="0D827401"/>
    <w:rsid w:val="0D84094E"/>
    <w:rsid w:val="0D8A00E9"/>
    <w:rsid w:val="0D8D589E"/>
    <w:rsid w:val="0DA01C73"/>
    <w:rsid w:val="0DA4150C"/>
    <w:rsid w:val="0DD63300"/>
    <w:rsid w:val="0DF50604"/>
    <w:rsid w:val="0DF702FE"/>
    <w:rsid w:val="0E0375E6"/>
    <w:rsid w:val="0E060E51"/>
    <w:rsid w:val="0E0A1E13"/>
    <w:rsid w:val="0E5604B2"/>
    <w:rsid w:val="0E697CC6"/>
    <w:rsid w:val="0E6D5D79"/>
    <w:rsid w:val="0E794EDC"/>
    <w:rsid w:val="0E9D0089"/>
    <w:rsid w:val="0EA749DE"/>
    <w:rsid w:val="0EB803EE"/>
    <w:rsid w:val="0EF94D4B"/>
    <w:rsid w:val="0F4958DC"/>
    <w:rsid w:val="0F515DF7"/>
    <w:rsid w:val="0F596BA8"/>
    <w:rsid w:val="0F5A075C"/>
    <w:rsid w:val="0F6248D2"/>
    <w:rsid w:val="0F693536"/>
    <w:rsid w:val="0F764839"/>
    <w:rsid w:val="0F7B0511"/>
    <w:rsid w:val="0F7B76D9"/>
    <w:rsid w:val="0F816ACD"/>
    <w:rsid w:val="0F9832DB"/>
    <w:rsid w:val="0FB934D6"/>
    <w:rsid w:val="0FBF3FD2"/>
    <w:rsid w:val="0FBF7FF3"/>
    <w:rsid w:val="0FDB631B"/>
    <w:rsid w:val="10646583"/>
    <w:rsid w:val="107D4B15"/>
    <w:rsid w:val="108A3C80"/>
    <w:rsid w:val="10C26171"/>
    <w:rsid w:val="10C62435"/>
    <w:rsid w:val="10DA3734"/>
    <w:rsid w:val="10F33360"/>
    <w:rsid w:val="10F5413D"/>
    <w:rsid w:val="10FC16EA"/>
    <w:rsid w:val="110F1D40"/>
    <w:rsid w:val="11266F33"/>
    <w:rsid w:val="118963A1"/>
    <w:rsid w:val="11AB34D8"/>
    <w:rsid w:val="11C6522A"/>
    <w:rsid w:val="11E104CC"/>
    <w:rsid w:val="11E20309"/>
    <w:rsid w:val="12255233"/>
    <w:rsid w:val="124E105C"/>
    <w:rsid w:val="12530213"/>
    <w:rsid w:val="127723A9"/>
    <w:rsid w:val="12862074"/>
    <w:rsid w:val="12883966"/>
    <w:rsid w:val="129E45B4"/>
    <w:rsid w:val="12D81596"/>
    <w:rsid w:val="13072A44"/>
    <w:rsid w:val="135F4BE2"/>
    <w:rsid w:val="13745F96"/>
    <w:rsid w:val="139B1A0A"/>
    <w:rsid w:val="139D25C7"/>
    <w:rsid w:val="139E1761"/>
    <w:rsid w:val="13A7787D"/>
    <w:rsid w:val="13BF3CE4"/>
    <w:rsid w:val="13EF24DD"/>
    <w:rsid w:val="141008D8"/>
    <w:rsid w:val="14125FE6"/>
    <w:rsid w:val="146D271E"/>
    <w:rsid w:val="14982588"/>
    <w:rsid w:val="149A5AD9"/>
    <w:rsid w:val="14A7619D"/>
    <w:rsid w:val="14B0757C"/>
    <w:rsid w:val="14FF2B7F"/>
    <w:rsid w:val="150536C3"/>
    <w:rsid w:val="150C1963"/>
    <w:rsid w:val="151447A0"/>
    <w:rsid w:val="152C4604"/>
    <w:rsid w:val="154A6454"/>
    <w:rsid w:val="15762120"/>
    <w:rsid w:val="15E1432B"/>
    <w:rsid w:val="161E16D5"/>
    <w:rsid w:val="16473A09"/>
    <w:rsid w:val="1655368D"/>
    <w:rsid w:val="16A8729C"/>
    <w:rsid w:val="16B33777"/>
    <w:rsid w:val="16BC70A7"/>
    <w:rsid w:val="16C6339E"/>
    <w:rsid w:val="172A7D8D"/>
    <w:rsid w:val="172F2D79"/>
    <w:rsid w:val="17557BEF"/>
    <w:rsid w:val="175A00C7"/>
    <w:rsid w:val="17B370D5"/>
    <w:rsid w:val="17D349C1"/>
    <w:rsid w:val="1830729E"/>
    <w:rsid w:val="185614BD"/>
    <w:rsid w:val="1870062C"/>
    <w:rsid w:val="18817102"/>
    <w:rsid w:val="18830A15"/>
    <w:rsid w:val="18852B28"/>
    <w:rsid w:val="188B5321"/>
    <w:rsid w:val="18974964"/>
    <w:rsid w:val="18F71505"/>
    <w:rsid w:val="19397AAF"/>
    <w:rsid w:val="19813530"/>
    <w:rsid w:val="19932372"/>
    <w:rsid w:val="199944A6"/>
    <w:rsid w:val="19A20DD5"/>
    <w:rsid w:val="19AE03F1"/>
    <w:rsid w:val="1A071A03"/>
    <w:rsid w:val="1A0A7F67"/>
    <w:rsid w:val="1A1F16AE"/>
    <w:rsid w:val="1A3B5C77"/>
    <w:rsid w:val="1A4772FE"/>
    <w:rsid w:val="1A984BAD"/>
    <w:rsid w:val="1AB8220E"/>
    <w:rsid w:val="1ABC02E6"/>
    <w:rsid w:val="1AE4166C"/>
    <w:rsid w:val="1AF06CFB"/>
    <w:rsid w:val="1AF11B8D"/>
    <w:rsid w:val="1B11359C"/>
    <w:rsid w:val="1B1C5E28"/>
    <w:rsid w:val="1B2A271F"/>
    <w:rsid w:val="1B312D32"/>
    <w:rsid w:val="1B530544"/>
    <w:rsid w:val="1B58704B"/>
    <w:rsid w:val="1B713184"/>
    <w:rsid w:val="1BA209CF"/>
    <w:rsid w:val="1BB4777D"/>
    <w:rsid w:val="1BD75AB8"/>
    <w:rsid w:val="1C0459C2"/>
    <w:rsid w:val="1C1B3B4A"/>
    <w:rsid w:val="1C88086E"/>
    <w:rsid w:val="1D266CE1"/>
    <w:rsid w:val="1D3963AF"/>
    <w:rsid w:val="1D6A673C"/>
    <w:rsid w:val="1D9247AE"/>
    <w:rsid w:val="1D995E92"/>
    <w:rsid w:val="1D9F5E77"/>
    <w:rsid w:val="1DB567EC"/>
    <w:rsid w:val="1DED0C42"/>
    <w:rsid w:val="1DF51A98"/>
    <w:rsid w:val="1E3D060F"/>
    <w:rsid w:val="1E3F7D2E"/>
    <w:rsid w:val="1E4134E4"/>
    <w:rsid w:val="1E5062B3"/>
    <w:rsid w:val="1E523514"/>
    <w:rsid w:val="1E714A66"/>
    <w:rsid w:val="1E774BE5"/>
    <w:rsid w:val="1E802593"/>
    <w:rsid w:val="1EA703CC"/>
    <w:rsid w:val="1EB65E96"/>
    <w:rsid w:val="1EB7330C"/>
    <w:rsid w:val="1EDC730E"/>
    <w:rsid w:val="1EF044E7"/>
    <w:rsid w:val="1EF8433E"/>
    <w:rsid w:val="1F0A0FF3"/>
    <w:rsid w:val="1F2C6B8B"/>
    <w:rsid w:val="1F5771FF"/>
    <w:rsid w:val="1F9B252E"/>
    <w:rsid w:val="1FB50C47"/>
    <w:rsid w:val="1FB96AC5"/>
    <w:rsid w:val="1FE868A9"/>
    <w:rsid w:val="20034907"/>
    <w:rsid w:val="200E1FA8"/>
    <w:rsid w:val="20167C6C"/>
    <w:rsid w:val="20173E4B"/>
    <w:rsid w:val="201C761C"/>
    <w:rsid w:val="204E48BC"/>
    <w:rsid w:val="205B2614"/>
    <w:rsid w:val="208921B3"/>
    <w:rsid w:val="20973DEB"/>
    <w:rsid w:val="20A77729"/>
    <w:rsid w:val="20B26522"/>
    <w:rsid w:val="20B44310"/>
    <w:rsid w:val="21017557"/>
    <w:rsid w:val="211116EB"/>
    <w:rsid w:val="212C1E0B"/>
    <w:rsid w:val="213469E8"/>
    <w:rsid w:val="215238B8"/>
    <w:rsid w:val="216133FC"/>
    <w:rsid w:val="21950E25"/>
    <w:rsid w:val="21D56769"/>
    <w:rsid w:val="21E52EF3"/>
    <w:rsid w:val="21F20BF7"/>
    <w:rsid w:val="21FB5D7B"/>
    <w:rsid w:val="220B1C3D"/>
    <w:rsid w:val="221D1D20"/>
    <w:rsid w:val="22334A87"/>
    <w:rsid w:val="22480C77"/>
    <w:rsid w:val="22505FD7"/>
    <w:rsid w:val="2267372D"/>
    <w:rsid w:val="226825D6"/>
    <w:rsid w:val="22A40984"/>
    <w:rsid w:val="22BE6801"/>
    <w:rsid w:val="22EB3226"/>
    <w:rsid w:val="22EC1AEA"/>
    <w:rsid w:val="23270BB3"/>
    <w:rsid w:val="233500BF"/>
    <w:rsid w:val="23377FF7"/>
    <w:rsid w:val="236B425F"/>
    <w:rsid w:val="23836192"/>
    <w:rsid w:val="23901F29"/>
    <w:rsid w:val="239C0061"/>
    <w:rsid w:val="23B908A4"/>
    <w:rsid w:val="23E95BEF"/>
    <w:rsid w:val="23FD0064"/>
    <w:rsid w:val="2423153B"/>
    <w:rsid w:val="2446055D"/>
    <w:rsid w:val="245375B0"/>
    <w:rsid w:val="24642C0A"/>
    <w:rsid w:val="24B22173"/>
    <w:rsid w:val="24B95AD9"/>
    <w:rsid w:val="24BE24DA"/>
    <w:rsid w:val="24BF0290"/>
    <w:rsid w:val="24CF5825"/>
    <w:rsid w:val="24D663E6"/>
    <w:rsid w:val="24D77F2B"/>
    <w:rsid w:val="24FF2904"/>
    <w:rsid w:val="2532334C"/>
    <w:rsid w:val="254A7C7B"/>
    <w:rsid w:val="25516B86"/>
    <w:rsid w:val="255E36B3"/>
    <w:rsid w:val="2570310A"/>
    <w:rsid w:val="258117EC"/>
    <w:rsid w:val="258775C5"/>
    <w:rsid w:val="258B00E2"/>
    <w:rsid w:val="25A917A6"/>
    <w:rsid w:val="25BE27CC"/>
    <w:rsid w:val="25F74A5C"/>
    <w:rsid w:val="26274342"/>
    <w:rsid w:val="2628662C"/>
    <w:rsid w:val="262D45DE"/>
    <w:rsid w:val="263C4B36"/>
    <w:rsid w:val="26886B42"/>
    <w:rsid w:val="26920223"/>
    <w:rsid w:val="26A53EF9"/>
    <w:rsid w:val="26A94201"/>
    <w:rsid w:val="26AC274F"/>
    <w:rsid w:val="27044A29"/>
    <w:rsid w:val="271D34C8"/>
    <w:rsid w:val="276142BF"/>
    <w:rsid w:val="2773246A"/>
    <w:rsid w:val="27783712"/>
    <w:rsid w:val="2788120C"/>
    <w:rsid w:val="27907362"/>
    <w:rsid w:val="27BB00CE"/>
    <w:rsid w:val="27F56181"/>
    <w:rsid w:val="28126C76"/>
    <w:rsid w:val="28333E1D"/>
    <w:rsid w:val="28454BD6"/>
    <w:rsid w:val="28455253"/>
    <w:rsid w:val="28551971"/>
    <w:rsid w:val="28575C58"/>
    <w:rsid w:val="285B1C53"/>
    <w:rsid w:val="28963B35"/>
    <w:rsid w:val="289F7086"/>
    <w:rsid w:val="28C32028"/>
    <w:rsid w:val="28CC490F"/>
    <w:rsid w:val="28DE40AA"/>
    <w:rsid w:val="290E6CE7"/>
    <w:rsid w:val="29345E77"/>
    <w:rsid w:val="294C65AD"/>
    <w:rsid w:val="296872E8"/>
    <w:rsid w:val="29806583"/>
    <w:rsid w:val="298B3C4C"/>
    <w:rsid w:val="29A60575"/>
    <w:rsid w:val="29D77713"/>
    <w:rsid w:val="29F26D24"/>
    <w:rsid w:val="2A0101CE"/>
    <w:rsid w:val="2A15033F"/>
    <w:rsid w:val="2A16136A"/>
    <w:rsid w:val="2A1662C1"/>
    <w:rsid w:val="2A1C7367"/>
    <w:rsid w:val="2A2815FA"/>
    <w:rsid w:val="2A6D6092"/>
    <w:rsid w:val="2A7D76B4"/>
    <w:rsid w:val="2B437463"/>
    <w:rsid w:val="2B564F27"/>
    <w:rsid w:val="2B565B9C"/>
    <w:rsid w:val="2B7807EE"/>
    <w:rsid w:val="2BBF00EC"/>
    <w:rsid w:val="2BC37CFD"/>
    <w:rsid w:val="2BD5237F"/>
    <w:rsid w:val="2BE03C2F"/>
    <w:rsid w:val="2BE536CE"/>
    <w:rsid w:val="2BE758D9"/>
    <w:rsid w:val="2BE772F2"/>
    <w:rsid w:val="2C09049E"/>
    <w:rsid w:val="2C0A653C"/>
    <w:rsid w:val="2C191F85"/>
    <w:rsid w:val="2C4C0953"/>
    <w:rsid w:val="2C9611C0"/>
    <w:rsid w:val="2C972AC7"/>
    <w:rsid w:val="2CA53E3F"/>
    <w:rsid w:val="2CD70A53"/>
    <w:rsid w:val="2CE82D6F"/>
    <w:rsid w:val="2D013CE9"/>
    <w:rsid w:val="2D0F4C79"/>
    <w:rsid w:val="2D343236"/>
    <w:rsid w:val="2D583A36"/>
    <w:rsid w:val="2D866DA4"/>
    <w:rsid w:val="2DD15014"/>
    <w:rsid w:val="2DE81CB4"/>
    <w:rsid w:val="2DF72DE4"/>
    <w:rsid w:val="2E0220AF"/>
    <w:rsid w:val="2E1707A2"/>
    <w:rsid w:val="2E4B082A"/>
    <w:rsid w:val="2E5D4E86"/>
    <w:rsid w:val="2E5D790B"/>
    <w:rsid w:val="2E873790"/>
    <w:rsid w:val="2E9A3C18"/>
    <w:rsid w:val="2EBB0FEE"/>
    <w:rsid w:val="2EC63002"/>
    <w:rsid w:val="2F0A6B38"/>
    <w:rsid w:val="2F6A1F78"/>
    <w:rsid w:val="2F946CCB"/>
    <w:rsid w:val="2FD25781"/>
    <w:rsid w:val="2FFD7934"/>
    <w:rsid w:val="301E6522"/>
    <w:rsid w:val="30496D5A"/>
    <w:rsid w:val="305A331C"/>
    <w:rsid w:val="305C3CC4"/>
    <w:rsid w:val="306C3A94"/>
    <w:rsid w:val="30733ACD"/>
    <w:rsid w:val="30893773"/>
    <w:rsid w:val="308C3862"/>
    <w:rsid w:val="309379D8"/>
    <w:rsid w:val="30A270F7"/>
    <w:rsid w:val="30DF1478"/>
    <w:rsid w:val="30EC586F"/>
    <w:rsid w:val="313D505F"/>
    <w:rsid w:val="314B0F76"/>
    <w:rsid w:val="31895FB8"/>
    <w:rsid w:val="318A4759"/>
    <w:rsid w:val="31954974"/>
    <w:rsid w:val="31977E71"/>
    <w:rsid w:val="319C6071"/>
    <w:rsid w:val="31AC537E"/>
    <w:rsid w:val="31C42F48"/>
    <w:rsid w:val="31C460C7"/>
    <w:rsid w:val="31E3679B"/>
    <w:rsid w:val="31E732FD"/>
    <w:rsid w:val="32517576"/>
    <w:rsid w:val="327F0285"/>
    <w:rsid w:val="32BE5C2C"/>
    <w:rsid w:val="32DC0EB2"/>
    <w:rsid w:val="32FB6478"/>
    <w:rsid w:val="33263B3F"/>
    <w:rsid w:val="336963EB"/>
    <w:rsid w:val="33782CB8"/>
    <w:rsid w:val="33816EEB"/>
    <w:rsid w:val="33DE722D"/>
    <w:rsid w:val="33EB55CD"/>
    <w:rsid w:val="33EC4C02"/>
    <w:rsid w:val="33F33909"/>
    <w:rsid w:val="340D2360"/>
    <w:rsid w:val="3410665D"/>
    <w:rsid w:val="34211214"/>
    <w:rsid w:val="34256AA5"/>
    <w:rsid w:val="342E63AB"/>
    <w:rsid w:val="34950E68"/>
    <w:rsid w:val="34986E94"/>
    <w:rsid w:val="34AF62C9"/>
    <w:rsid w:val="34CB4388"/>
    <w:rsid w:val="34D02781"/>
    <w:rsid w:val="34FA6E12"/>
    <w:rsid w:val="34FC0D73"/>
    <w:rsid w:val="350A3A1E"/>
    <w:rsid w:val="350D1B8D"/>
    <w:rsid w:val="358D5588"/>
    <w:rsid w:val="35B8262E"/>
    <w:rsid w:val="360A255B"/>
    <w:rsid w:val="36224544"/>
    <w:rsid w:val="362F7E33"/>
    <w:rsid w:val="363A3B40"/>
    <w:rsid w:val="365302AE"/>
    <w:rsid w:val="36607A0A"/>
    <w:rsid w:val="366E227C"/>
    <w:rsid w:val="366F2E0D"/>
    <w:rsid w:val="367B6A5C"/>
    <w:rsid w:val="36A74ADA"/>
    <w:rsid w:val="36AD60D5"/>
    <w:rsid w:val="36B224F9"/>
    <w:rsid w:val="36D80507"/>
    <w:rsid w:val="36EC0CC9"/>
    <w:rsid w:val="373F410B"/>
    <w:rsid w:val="37665E6B"/>
    <w:rsid w:val="376A44BC"/>
    <w:rsid w:val="37706505"/>
    <w:rsid w:val="37EE7094"/>
    <w:rsid w:val="37F56CD0"/>
    <w:rsid w:val="38296C89"/>
    <w:rsid w:val="382D38D9"/>
    <w:rsid w:val="383002EB"/>
    <w:rsid w:val="38586797"/>
    <w:rsid w:val="38AA2C17"/>
    <w:rsid w:val="38BC0149"/>
    <w:rsid w:val="38BC2936"/>
    <w:rsid w:val="38BD5663"/>
    <w:rsid w:val="38D4307D"/>
    <w:rsid w:val="38D87D1C"/>
    <w:rsid w:val="38FD5265"/>
    <w:rsid w:val="3954645C"/>
    <w:rsid w:val="39636459"/>
    <w:rsid w:val="396B7F6C"/>
    <w:rsid w:val="39B417A9"/>
    <w:rsid w:val="39FC5695"/>
    <w:rsid w:val="3A006D8E"/>
    <w:rsid w:val="3A3651E5"/>
    <w:rsid w:val="3A3F4E87"/>
    <w:rsid w:val="3A3F7071"/>
    <w:rsid w:val="3A744481"/>
    <w:rsid w:val="3A8C7BEF"/>
    <w:rsid w:val="3A906246"/>
    <w:rsid w:val="3A9E3C9E"/>
    <w:rsid w:val="3AED6D29"/>
    <w:rsid w:val="3B08394C"/>
    <w:rsid w:val="3B14115C"/>
    <w:rsid w:val="3B2349B7"/>
    <w:rsid w:val="3B616CFF"/>
    <w:rsid w:val="3B6259F6"/>
    <w:rsid w:val="3B976654"/>
    <w:rsid w:val="3BC01EFC"/>
    <w:rsid w:val="3BCA786A"/>
    <w:rsid w:val="3BD31E2F"/>
    <w:rsid w:val="3BF15831"/>
    <w:rsid w:val="3C103F97"/>
    <w:rsid w:val="3C105946"/>
    <w:rsid w:val="3C2F7467"/>
    <w:rsid w:val="3C471448"/>
    <w:rsid w:val="3C5F759A"/>
    <w:rsid w:val="3C634773"/>
    <w:rsid w:val="3C6C525A"/>
    <w:rsid w:val="3CCE23CB"/>
    <w:rsid w:val="3CD17D17"/>
    <w:rsid w:val="3D3C7F39"/>
    <w:rsid w:val="3D440F09"/>
    <w:rsid w:val="3D4504A0"/>
    <w:rsid w:val="3D5F318D"/>
    <w:rsid w:val="3D6023EE"/>
    <w:rsid w:val="3D8734BB"/>
    <w:rsid w:val="3D9A11D4"/>
    <w:rsid w:val="3DA16D89"/>
    <w:rsid w:val="3DA364BE"/>
    <w:rsid w:val="3DD73EFB"/>
    <w:rsid w:val="3DE041CB"/>
    <w:rsid w:val="3E0876D6"/>
    <w:rsid w:val="3E0D48F6"/>
    <w:rsid w:val="3E1868B4"/>
    <w:rsid w:val="3E377251"/>
    <w:rsid w:val="3E42664B"/>
    <w:rsid w:val="3E5A7334"/>
    <w:rsid w:val="3E7B5D6B"/>
    <w:rsid w:val="3E843E66"/>
    <w:rsid w:val="3E865B5F"/>
    <w:rsid w:val="3E8F51FE"/>
    <w:rsid w:val="3E926F87"/>
    <w:rsid w:val="3E936991"/>
    <w:rsid w:val="3E9A59DE"/>
    <w:rsid w:val="3EAF4836"/>
    <w:rsid w:val="3EC33DFA"/>
    <w:rsid w:val="3ED20EB5"/>
    <w:rsid w:val="3EE15E23"/>
    <w:rsid w:val="3F060E16"/>
    <w:rsid w:val="3F1D1096"/>
    <w:rsid w:val="3F2F0234"/>
    <w:rsid w:val="3F2F1811"/>
    <w:rsid w:val="3F4754DF"/>
    <w:rsid w:val="3F6363FE"/>
    <w:rsid w:val="3F756B8F"/>
    <w:rsid w:val="3F8A0269"/>
    <w:rsid w:val="3F8B3496"/>
    <w:rsid w:val="3F95482B"/>
    <w:rsid w:val="3FBE06D4"/>
    <w:rsid w:val="4019356B"/>
    <w:rsid w:val="404E1296"/>
    <w:rsid w:val="40592157"/>
    <w:rsid w:val="406E1CAE"/>
    <w:rsid w:val="40A0133A"/>
    <w:rsid w:val="40C31A53"/>
    <w:rsid w:val="40FF545D"/>
    <w:rsid w:val="410067C8"/>
    <w:rsid w:val="41096F36"/>
    <w:rsid w:val="418F0D2A"/>
    <w:rsid w:val="41B94703"/>
    <w:rsid w:val="41D01505"/>
    <w:rsid w:val="41DC533E"/>
    <w:rsid w:val="42474939"/>
    <w:rsid w:val="424C3C57"/>
    <w:rsid w:val="42613FF3"/>
    <w:rsid w:val="42660D96"/>
    <w:rsid w:val="428667D2"/>
    <w:rsid w:val="42B11A90"/>
    <w:rsid w:val="42BB1594"/>
    <w:rsid w:val="42BE0438"/>
    <w:rsid w:val="42CD1CE0"/>
    <w:rsid w:val="42D27868"/>
    <w:rsid w:val="42E1381E"/>
    <w:rsid w:val="42ED6459"/>
    <w:rsid w:val="42FE58DD"/>
    <w:rsid w:val="43110B39"/>
    <w:rsid w:val="43174B3D"/>
    <w:rsid w:val="43190CA5"/>
    <w:rsid w:val="434B790E"/>
    <w:rsid w:val="4360274F"/>
    <w:rsid w:val="43977AB6"/>
    <w:rsid w:val="43A3342B"/>
    <w:rsid w:val="43C77C27"/>
    <w:rsid w:val="43DE09EE"/>
    <w:rsid w:val="44002FAD"/>
    <w:rsid w:val="449101DD"/>
    <w:rsid w:val="44930ACE"/>
    <w:rsid w:val="44CA0F6F"/>
    <w:rsid w:val="44D04B5D"/>
    <w:rsid w:val="44D75902"/>
    <w:rsid w:val="44DE1391"/>
    <w:rsid w:val="451119CC"/>
    <w:rsid w:val="451B225C"/>
    <w:rsid w:val="452410C9"/>
    <w:rsid w:val="45317DFB"/>
    <w:rsid w:val="45586B4B"/>
    <w:rsid w:val="45613CC5"/>
    <w:rsid w:val="45665056"/>
    <w:rsid w:val="456D3CE4"/>
    <w:rsid w:val="45717C44"/>
    <w:rsid w:val="4579042C"/>
    <w:rsid w:val="457F0571"/>
    <w:rsid w:val="45851176"/>
    <w:rsid w:val="45BB5E5B"/>
    <w:rsid w:val="45C63B94"/>
    <w:rsid w:val="460E7DA5"/>
    <w:rsid w:val="462555FD"/>
    <w:rsid w:val="46422483"/>
    <w:rsid w:val="4654035E"/>
    <w:rsid w:val="4659254A"/>
    <w:rsid w:val="465B0637"/>
    <w:rsid w:val="465E3F0D"/>
    <w:rsid w:val="466A16E6"/>
    <w:rsid w:val="46893F2B"/>
    <w:rsid w:val="468F43C9"/>
    <w:rsid w:val="469F7F19"/>
    <w:rsid w:val="46C4686E"/>
    <w:rsid w:val="46FD1F0B"/>
    <w:rsid w:val="47017063"/>
    <w:rsid w:val="4737285C"/>
    <w:rsid w:val="476702CB"/>
    <w:rsid w:val="477B778F"/>
    <w:rsid w:val="478203EC"/>
    <w:rsid w:val="47B025FA"/>
    <w:rsid w:val="48054938"/>
    <w:rsid w:val="4809698F"/>
    <w:rsid w:val="480A1FEE"/>
    <w:rsid w:val="480A20FF"/>
    <w:rsid w:val="4811697D"/>
    <w:rsid w:val="481F54E4"/>
    <w:rsid w:val="487A3E25"/>
    <w:rsid w:val="488B5503"/>
    <w:rsid w:val="48937E21"/>
    <w:rsid w:val="489A0361"/>
    <w:rsid w:val="48B94FF3"/>
    <w:rsid w:val="48E37AAB"/>
    <w:rsid w:val="48E5448B"/>
    <w:rsid w:val="48F826E7"/>
    <w:rsid w:val="48FD4B4C"/>
    <w:rsid w:val="490A68E0"/>
    <w:rsid w:val="491055FE"/>
    <w:rsid w:val="492841F7"/>
    <w:rsid w:val="49407FB8"/>
    <w:rsid w:val="495F5B3E"/>
    <w:rsid w:val="496F77D7"/>
    <w:rsid w:val="497654FD"/>
    <w:rsid w:val="49B64211"/>
    <w:rsid w:val="49C24A8D"/>
    <w:rsid w:val="49DD1431"/>
    <w:rsid w:val="49F41BE5"/>
    <w:rsid w:val="49F6167F"/>
    <w:rsid w:val="4A064FA0"/>
    <w:rsid w:val="4A16615C"/>
    <w:rsid w:val="4A2D63C1"/>
    <w:rsid w:val="4A4424D7"/>
    <w:rsid w:val="4A5A22AE"/>
    <w:rsid w:val="4AB82D0F"/>
    <w:rsid w:val="4AEB7664"/>
    <w:rsid w:val="4AF17250"/>
    <w:rsid w:val="4AFD7C19"/>
    <w:rsid w:val="4B0567D1"/>
    <w:rsid w:val="4B0E0A49"/>
    <w:rsid w:val="4B236AAE"/>
    <w:rsid w:val="4B707271"/>
    <w:rsid w:val="4B930986"/>
    <w:rsid w:val="4B9739F7"/>
    <w:rsid w:val="4BBA7B60"/>
    <w:rsid w:val="4BC43B2D"/>
    <w:rsid w:val="4BEE2503"/>
    <w:rsid w:val="4C0849EF"/>
    <w:rsid w:val="4C172E84"/>
    <w:rsid w:val="4C245A30"/>
    <w:rsid w:val="4C440CF1"/>
    <w:rsid w:val="4C5F56F0"/>
    <w:rsid w:val="4CA0556E"/>
    <w:rsid w:val="4CB6685F"/>
    <w:rsid w:val="4CC367FE"/>
    <w:rsid w:val="4D077F3C"/>
    <w:rsid w:val="4D082101"/>
    <w:rsid w:val="4D123355"/>
    <w:rsid w:val="4D2A3B31"/>
    <w:rsid w:val="4D2C2C5D"/>
    <w:rsid w:val="4D312C52"/>
    <w:rsid w:val="4D3362FA"/>
    <w:rsid w:val="4D7F5C7B"/>
    <w:rsid w:val="4D905305"/>
    <w:rsid w:val="4D964A72"/>
    <w:rsid w:val="4D9C1254"/>
    <w:rsid w:val="4DED1A85"/>
    <w:rsid w:val="4E793892"/>
    <w:rsid w:val="4E800872"/>
    <w:rsid w:val="4EC569ED"/>
    <w:rsid w:val="4EC66004"/>
    <w:rsid w:val="4ED50EA1"/>
    <w:rsid w:val="4EEC050C"/>
    <w:rsid w:val="4F104EC3"/>
    <w:rsid w:val="4F296B9B"/>
    <w:rsid w:val="4F3A75B6"/>
    <w:rsid w:val="4F47354A"/>
    <w:rsid w:val="4F911C54"/>
    <w:rsid w:val="4FE625E0"/>
    <w:rsid w:val="5021480F"/>
    <w:rsid w:val="502A6491"/>
    <w:rsid w:val="502D4F37"/>
    <w:rsid w:val="50962ECB"/>
    <w:rsid w:val="50A42E38"/>
    <w:rsid w:val="50A4577F"/>
    <w:rsid w:val="50B73D1F"/>
    <w:rsid w:val="50BD5BC9"/>
    <w:rsid w:val="50C11EEE"/>
    <w:rsid w:val="50E97CFC"/>
    <w:rsid w:val="50F15B5F"/>
    <w:rsid w:val="50FA4028"/>
    <w:rsid w:val="510D65B7"/>
    <w:rsid w:val="511157AB"/>
    <w:rsid w:val="512E1286"/>
    <w:rsid w:val="5142540C"/>
    <w:rsid w:val="515D27D6"/>
    <w:rsid w:val="5178302C"/>
    <w:rsid w:val="518832C8"/>
    <w:rsid w:val="51A0432A"/>
    <w:rsid w:val="51A86090"/>
    <w:rsid w:val="51B7396D"/>
    <w:rsid w:val="51F00EFE"/>
    <w:rsid w:val="522E4CC3"/>
    <w:rsid w:val="52424206"/>
    <w:rsid w:val="5244713B"/>
    <w:rsid w:val="524D15AE"/>
    <w:rsid w:val="52584D6B"/>
    <w:rsid w:val="52615633"/>
    <w:rsid w:val="52977FD4"/>
    <w:rsid w:val="52A25790"/>
    <w:rsid w:val="52A96B6F"/>
    <w:rsid w:val="52B45975"/>
    <w:rsid w:val="52BC43BE"/>
    <w:rsid w:val="52D94AA4"/>
    <w:rsid w:val="52EA3A62"/>
    <w:rsid w:val="52EA3EE8"/>
    <w:rsid w:val="52F50BB8"/>
    <w:rsid w:val="52FF2A79"/>
    <w:rsid w:val="53097272"/>
    <w:rsid w:val="53140861"/>
    <w:rsid w:val="53544462"/>
    <w:rsid w:val="53571680"/>
    <w:rsid w:val="538968E9"/>
    <w:rsid w:val="5397158E"/>
    <w:rsid w:val="53CB1124"/>
    <w:rsid w:val="54013861"/>
    <w:rsid w:val="5406215C"/>
    <w:rsid w:val="540B2159"/>
    <w:rsid w:val="54487265"/>
    <w:rsid w:val="544D6070"/>
    <w:rsid w:val="54605E1E"/>
    <w:rsid w:val="54AC5520"/>
    <w:rsid w:val="54B3506A"/>
    <w:rsid w:val="54CA0D16"/>
    <w:rsid w:val="54DD4057"/>
    <w:rsid w:val="54E7490F"/>
    <w:rsid w:val="550764A4"/>
    <w:rsid w:val="550B2BF6"/>
    <w:rsid w:val="55214EB5"/>
    <w:rsid w:val="55364EFD"/>
    <w:rsid w:val="554777BD"/>
    <w:rsid w:val="555A4531"/>
    <w:rsid w:val="555D4828"/>
    <w:rsid w:val="5560764A"/>
    <w:rsid w:val="557A4C8B"/>
    <w:rsid w:val="558931E1"/>
    <w:rsid w:val="55923347"/>
    <w:rsid w:val="55925180"/>
    <w:rsid w:val="55983B1B"/>
    <w:rsid w:val="55A8376B"/>
    <w:rsid w:val="55DC29B6"/>
    <w:rsid w:val="55DD4241"/>
    <w:rsid w:val="55FA7859"/>
    <w:rsid w:val="561B265E"/>
    <w:rsid w:val="5633378F"/>
    <w:rsid w:val="563F32AF"/>
    <w:rsid w:val="56614C19"/>
    <w:rsid w:val="566B6D1E"/>
    <w:rsid w:val="56984DAC"/>
    <w:rsid w:val="56AB0FBE"/>
    <w:rsid w:val="56FB2858"/>
    <w:rsid w:val="57032A2C"/>
    <w:rsid w:val="570F5219"/>
    <w:rsid w:val="57376624"/>
    <w:rsid w:val="574A7800"/>
    <w:rsid w:val="575D12B5"/>
    <w:rsid w:val="57610A87"/>
    <w:rsid w:val="57727583"/>
    <w:rsid w:val="577B1140"/>
    <w:rsid w:val="577B7F21"/>
    <w:rsid w:val="577F181B"/>
    <w:rsid w:val="57921984"/>
    <w:rsid w:val="579737F0"/>
    <w:rsid w:val="57AB7B30"/>
    <w:rsid w:val="57AF5251"/>
    <w:rsid w:val="57B26373"/>
    <w:rsid w:val="57B63F04"/>
    <w:rsid w:val="57CD20C2"/>
    <w:rsid w:val="57D675AB"/>
    <w:rsid w:val="57D95FDD"/>
    <w:rsid w:val="57DF79F0"/>
    <w:rsid w:val="580B64C0"/>
    <w:rsid w:val="58217789"/>
    <w:rsid w:val="586E0A5D"/>
    <w:rsid w:val="588F4504"/>
    <w:rsid w:val="58917D2F"/>
    <w:rsid w:val="5894085C"/>
    <w:rsid w:val="58AE4F0C"/>
    <w:rsid w:val="58AE691E"/>
    <w:rsid w:val="58B85899"/>
    <w:rsid w:val="58E363A9"/>
    <w:rsid w:val="595E1678"/>
    <w:rsid w:val="596D5BD4"/>
    <w:rsid w:val="597E3DD8"/>
    <w:rsid w:val="59F80043"/>
    <w:rsid w:val="5A09252F"/>
    <w:rsid w:val="5A0B2778"/>
    <w:rsid w:val="5A2A7C7B"/>
    <w:rsid w:val="5A306671"/>
    <w:rsid w:val="5A3E2560"/>
    <w:rsid w:val="5A5D3B6E"/>
    <w:rsid w:val="5A637A76"/>
    <w:rsid w:val="5A657E66"/>
    <w:rsid w:val="5A6D33BA"/>
    <w:rsid w:val="5A792B1F"/>
    <w:rsid w:val="5A874767"/>
    <w:rsid w:val="5A971D38"/>
    <w:rsid w:val="5AAD6F28"/>
    <w:rsid w:val="5AD63A24"/>
    <w:rsid w:val="5AE26D53"/>
    <w:rsid w:val="5B0D5B7E"/>
    <w:rsid w:val="5B2A30A1"/>
    <w:rsid w:val="5B2E1A1D"/>
    <w:rsid w:val="5B667984"/>
    <w:rsid w:val="5B7E23D6"/>
    <w:rsid w:val="5B843A1C"/>
    <w:rsid w:val="5B873E3F"/>
    <w:rsid w:val="5BD913E8"/>
    <w:rsid w:val="5C02690E"/>
    <w:rsid w:val="5C196DA7"/>
    <w:rsid w:val="5C2A048C"/>
    <w:rsid w:val="5C80234E"/>
    <w:rsid w:val="5C8A680C"/>
    <w:rsid w:val="5D0C4701"/>
    <w:rsid w:val="5D0F0395"/>
    <w:rsid w:val="5D1F0C2E"/>
    <w:rsid w:val="5D221076"/>
    <w:rsid w:val="5D397964"/>
    <w:rsid w:val="5D4D2245"/>
    <w:rsid w:val="5D5A391C"/>
    <w:rsid w:val="5D5F10C0"/>
    <w:rsid w:val="5D746389"/>
    <w:rsid w:val="5D891B7B"/>
    <w:rsid w:val="5DA87DE0"/>
    <w:rsid w:val="5DAD38EE"/>
    <w:rsid w:val="5DAE6B28"/>
    <w:rsid w:val="5E006862"/>
    <w:rsid w:val="5E0207B9"/>
    <w:rsid w:val="5E1834A1"/>
    <w:rsid w:val="5E1C1A26"/>
    <w:rsid w:val="5E261785"/>
    <w:rsid w:val="5E4A7017"/>
    <w:rsid w:val="5E514AB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0FB0DD0"/>
    <w:rsid w:val="61054A27"/>
    <w:rsid w:val="610A52BC"/>
    <w:rsid w:val="611D2366"/>
    <w:rsid w:val="61421856"/>
    <w:rsid w:val="615227C4"/>
    <w:rsid w:val="61654E3F"/>
    <w:rsid w:val="6182292A"/>
    <w:rsid w:val="619F7F92"/>
    <w:rsid w:val="61A22F73"/>
    <w:rsid w:val="61F94C26"/>
    <w:rsid w:val="62000E56"/>
    <w:rsid w:val="62467FCB"/>
    <w:rsid w:val="624F3E49"/>
    <w:rsid w:val="62632286"/>
    <w:rsid w:val="62885958"/>
    <w:rsid w:val="62935A48"/>
    <w:rsid w:val="629C79CA"/>
    <w:rsid w:val="62F40B65"/>
    <w:rsid w:val="62FC2CFE"/>
    <w:rsid w:val="63024505"/>
    <w:rsid w:val="635B1DB5"/>
    <w:rsid w:val="63711FED"/>
    <w:rsid w:val="63880DDC"/>
    <w:rsid w:val="638D750D"/>
    <w:rsid w:val="63AC6CC0"/>
    <w:rsid w:val="63E16E6D"/>
    <w:rsid w:val="64055776"/>
    <w:rsid w:val="64184B19"/>
    <w:rsid w:val="64240056"/>
    <w:rsid w:val="643E143A"/>
    <w:rsid w:val="64577091"/>
    <w:rsid w:val="648B6EEF"/>
    <w:rsid w:val="64C158BF"/>
    <w:rsid w:val="64CE2EAA"/>
    <w:rsid w:val="653C3090"/>
    <w:rsid w:val="65476D23"/>
    <w:rsid w:val="65854376"/>
    <w:rsid w:val="658767BE"/>
    <w:rsid w:val="65892531"/>
    <w:rsid w:val="66195831"/>
    <w:rsid w:val="662E75B1"/>
    <w:rsid w:val="66342C2E"/>
    <w:rsid w:val="66370B21"/>
    <w:rsid w:val="663E784C"/>
    <w:rsid w:val="66513A18"/>
    <w:rsid w:val="667A5D8F"/>
    <w:rsid w:val="668B6A45"/>
    <w:rsid w:val="66B52605"/>
    <w:rsid w:val="66B6109C"/>
    <w:rsid w:val="672F3F24"/>
    <w:rsid w:val="673E055F"/>
    <w:rsid w:val="67462B87"/>
    <w:rsid w:val="67516FFC"/>
    <w:rsid w:val="67551CE3"/>
    <w:rsid w:val="675D170D"/>
    <w:rsid w:val="67A22552"/>
    <w:rsid w:val="67B22DCC"/>
    <w:rsid w:val="67BE71AA"/>
    <w:rsid w:val="67D90273"/>
    <w:rsid w:val="67DE5875"/>
    <w:rsid w:val="67E55852"/>
    <w:rsid w:val="67EB1AB4"/>
    <w:rsid w:val="67EB36EB"/>
    <w:rsid w:val="67FA1285"/>
    <w:rsid w:val="68551F4F"/>
    <w:rsid w:val="68583E7F"/>
    <w:rsid w:val="687C10C9"/>
    <w:rsid w:val="68840C16"/>
    <w:rsid w:val="68876EFB"/>
    <w:rsid w:val="68884654"/>
    <w:rsid w:val="689F444F"/>
    <w:rsid w:val="68B96DBB"/>
    <w:rsid w:val="68C12039"/>
    <w:rsid w:val="68CA2805"/>
    <w:rsid w:val="68CB062F"/>
    <w:rsid w:val="68DB2550"/>
    <w:rsid w:val="68E937A3"/>
    <w:rsid w:val="69085BD7"/>
    <w:rsid w:val="693E15D3"/>
    <w:rsid w:val="69627681"/>
    <w:rsid w:val="6977531D"/>
    <w:rsid w:val="699B2886"/>
    <w:rsid w:val="69B30239"/>
    <w:rsid w:val="69CC2BFF"/>
    <w:rsid w:val="69FD55B8"/>
    <w:rsid w:val="6A0073B7"/>
    <w:rsid w:val="6A0B1C62"/>
    <w:rsid w:val="6A2406C8"/>
    <w:rsid w:val="6ACC6E9F"/>
    <w:rsid w:val="6ADE0BD1"/>
    <w:rsid w:val="6AE96859"/>
    <w:rsid w:val="6B147746"/>
    <w:rsid w:val="6B24787C"/>
    <w:rsid w:val="6B573233"/>
    <w:rsid w:val="6B5B6274"/>
    <w:rsid w:val="6B5E227E"/>
    <w:rsid w:val="6B722BC0"/>
    <w:rsid w:val="6B8A5AA7"/>
    <w:rsid w:val="6B935D53"/>
    <w:rsid w:val="6B9813C7"/>
    <w:rsid w:val="6B9D1138"/>
    <w:rsid w:val="6BC02799"/>
    <w:rsid w:val="6BE7662F"/>
    <w:rsid w:val="6C196F71"/>
    <w:rsid w:val="6C226FCB"/>
    <w:rsid w:val="6C31226F"/>
    <w:rsid w:val="6C552F0B"/>
    <w:rsid w:val="6C866E31"/>
    <w:rsid w:val="6C8C67B7"/>
    <w:rsid w:val="6C9D744C"/>
    <w:rsid w:val="6CBF6EF4"/>
    <w:rsid w:val="6CDF66FB"/>
    <w:rsid w:val="6D167928"/>
    <w:rsid w:val="6D26299B"/>
    <w:rsid w:val="6D4772EC"/>
    <w:rsid w:val="6D8B160E"/>
    <w:rsid w:val="6D9078AF"/>
    <w:rsid w:val="6DA062BE"/>
    <w:rsid w:val="6DAA3FEF"/>
    <w:rsid w:val="6DC0172B"/>
    <w:rsid w:val="6DCB690C"/>
    <w:rsid w:val="6DD41A5B"/>
    <w:rsid w:val="6DF43C2E"/>
    <w:rsid w:val="6DF51CA3"/>
    <w:rsid w:val="6E3334FB"/>
    <w:rsid w:val="6E4F15C5"/>
    <w:rsid w:val="6E677844"/>
    <w:rsid w:val="6E8335BD"/>
    <w:rsid w:val="6E8E12EF"/>
    <w:rsid w:val="6E972936"/>
    <w:rsid w:val="6ED30867"/>
    <w:rsid w:val="6ED446C5"/>
    <w:rsid w:val="6EFC52D8"/>
    <w:rsid w:val="6F1528CB"/>
    <w:rsid w:val="6F2A1F70"/>
    <w:rsid w:val="6F2A7D94"/>
    <w:rsid w:val="6F6A24CD"/>
    <w:rsid w:val="6F8331F1"/>
    <w:rsid w:val="6F843CD1"/>
    <w:rsid w:val="6FAB3EAC"/>
    <w:rsid w:val="6FAE1A09"/>
    <w:rsid w:val="6FC023DB"/>
    <w:rsid w:val="6FD75BF8"/>
    <w:rsid w:val="6FE131D6"/>
    <w:rsid w:val="70027824"/>
    <w:rsid w:val="702C1C49"/>
    <w:rsid w:val="707723D0"/>
    <w:rsid w:val="709B6242"/>
    <w:rsid w:val="70BB2E58"/>
    <w:rsid w:val="70F5661B"/>
    <w:rsid w:val="7107761A"/>
    <w:rsid w:val="71337846"/>
    <w:rsid w:val="71360107"/>
    <w:rsid w:val="713B688E"/>
    <w:rsid w:val="716167CC"/>
    <w:rsid w:val="71725BB0"/>
    <w:rsid w:val="71A37ADC"/>
    <w:rsid w:val="71D43752"/>
    <w:rsid w:val="71F1796A"/>
    <w:rsid w:val="72154626"/>
    <w:rsid w:val="72262B5D"/>
    <w:rsid w:val="72283FF7"/>
    <w:rsid w:val="722E7212"/>
    <w:rsid w:val="723A0474"/>
    <w:rsid w:val="725923E4"/>
    <w:rsid w:val="725B3886"/>
    <w:rsid w:val="727E1F06"/>
    <w:rsid w:val="72864BF7"/>
    <w:rsid w:val="729023FC"/>
    <w:rsid w:val="72953D27"/>
    <w:rsid w:val="72C11B09"/>
    <w:rsid w:val="72F23335"/>
    <w:rsid w:val="739E54A5"/>
    <w:rsid w:val="73C0646E"/>
    <w:rsid w:val="742222F5"/>
    <w:rsid w:val="74476126"/>
    <w:rsid w:val="74706664"/>
    <w:rsid w:val="747F3682"/>
    <w:rsid w:val="749C4185"/>
    <w:rsid w:val="74A831CF"/>
    <w:rsid w:val="74B35591"/>
    <w:rsid w:val="75067759"/>
    <w:rsid w:val="752E6DCD"/>
    <w:rsid w:val="7551380D"/>
    <w:rsid w:val="75600BE5"/>
    <w:rsid w:val="7564475C"/>
    <w:rsid w:val="7583797F"/>
    <w:rsid w:val="75A17B08"/>
    <w:rsid w:val="75A576CA"/>
    <w:rsid w:val="75BA79F6"/>
    <w:rsid w:val="75C238C0"/>
    <w:rsid w:val="75D20F1D"/>
    <w:rsid w:val="75D64CCD"/>
    <w:rsid w:val="75DA2C18"/>
    <w:rsid w:val="75F54412"/>
    <w:rsid w:val="761D08E0"/>
    <w:rsid w:val="761D6B5F"/>
    <w:rsid w:val="765D347C"/>
    <w:rsid w:val="76826699"/>
    <w:rsid w:val="768F7791"/>
    <w:rsid w:val="769311B5"/>
    <w:rsid w:val="76B51631"/>
    <w:rsid w:val="76C87133"/>
    <w:rsid w:val="76CD08D5"/>
    <w:rsid w:val="76DB4B92"/>
    <w:rsid w:val="76F507BA"/>
    <w:rsid w:val="77052AA4"/>
    <w:rsid w:val="77136511"/>
    <w:rsid w:val="772B3DEC"/>
    <w:rsid w:val="77340A39"/>
    <w:rsid w:val="77351FD0"/>
    <w:rsid w:val="77472422"/>
    <w:rsid w:val="777F31F2"/>
    <w:rsid w:val="777F5BFE"/>
    <w:rsid w:val="779108EB"/>
    <w:rsid w:val="77D1700D"/>
    <w:rsid w:val="77EC04CC"/>
    <w:rsid w:val="781624E3"/>
    <w:rsid w:val="78775729"/>
    <w:rsid w:val="78952C85"/>
    <w:rsid w:val="78A42DB0"/>
    <w:rsid w:val="78A656AB"/>
    <w:rsid w:val="78B2245C"/>
    <w:rsid w:val="78C5569C"/>
    <w:rsid w:val="78DF4BA6"/>
    <w:rsid w:val="78E172CC"/>
    <w:rsid w:val="78EA1D1F"/>
    <w:rsid w:val="7904172F"/>
    <w:rsid w:val="790F7E27"/>
    <w:rsid w:val="792A231A"/>
    <w:rsid w:val="79316829"/>
    <w:rsid w:val="797E66A9"/>
    <w:rsid w:val="79A97383"/>
    <w:rsid w:val="79D41CE6"/>
    <w:rsid w:val="79E27E8B"/>
    <w:rsid w:val="79F850CE"/>
    <w:rsid w:val="79FD443C"/>
    <w:rsid w:val="7A1D1975"/>
    <w:rsid w:val="7A3E5150"/>
    <w:rsid w:val="7A4670D6"/>
    <w:rsid w:val="7A483DC6"/>
    <w:rsid w:val="7A534B63"/>
    <w:rsid w:val="7A615382"/>
    <w:rsid w:val="7A67303B"/>
    <w:rsid w:val="7A903524"/>
    <w:rsid w:val="7AAB1D04"/>
    <w:rsid w:val="7ABA2ABD"/>
    <w:rsid w:val="7ABA4368"/>
    <w:rsid w:val="7AD05746"/>
    <w:rsid w:val="7B257FFD"/>
    <w:rsid w:val="7B343476"/>
    <w:rsid w:val="7B5A2978"/>
    <w:rsid w:val="7B5A7E4C"/>
    <w:rsid w:val="7B667AF9"/>
    <w:rsid w:val="7B7468F8"/>
    <w:rsid w:val="7B9D48A5"/>
    <w:rsid w:val="7BC04ED5"/>
    <w:rsid w:val="7BE87ABD"/>
    <w:rsid w:val="7BEE0103"/>
    <w:rsid w:val="7C0A0FE4"/>
    <w:rsid w:val="7C254906"/>
    <w:rsid w:val="7C590818"/>
    <w:rsid w:val="7C7C10F6"/>
    <w:rsid w:val="7C853BEA"/>
    <w:rsid w:val="7C881368"/>
    <w:rsid w:val="7CE27788"/>
    <w:rsid w:val="7D036989"/>
    <w:rsid w:val="7D097D0A"/>
    <w:rsid w:val="7D0C32F1"/>
    <w:rsid w:val="7D0F408D"/>
    <w:rsid w:val="7D491C6C"/>
    <w:rsid w:val="7D502836"/>
    <w:rsid w:val="7D5429C0"/>
    <w:rsid w:val="7D6577CA"/>
    <w:rsid w:val="7D6E6D43"/>
    <w:rsid w:val="7DB57A34"/>
    <w:rsid w:val="7DE60973"/>
    <w:rsid w:val="7DEF0916"/>
    <w:rsid w:val="7DF34C50"/>
    <w:rsid w:val="7DF51EF5"/>
    <w:rsid w:val="7DF60B84"/>
    <w:rsid w:val="7E1E5218"/>
    <w:rsid w:val="7E4915CE"/>
    <w:rsid w:val="7E9A4E1F"/>
    <w:rsid w:val="7EA7723A"/>
    <w:rsid w:val="7EF56FBB"/>
    <w:rsid w:val="7F0768EB"/>
    <w:rsid w:val="7F1158A2"/>
    <w:rsid w:val="7F143BEC"/>
    <w:rsid w:val="7F674D34"/>
    <w:rsid w:val="7F6A0049"/>
    <w:rsid w:val="7F715AF2"/>
    <w:rsid w:val="7F886E69"/>
    <w:rsid w:val="7F927DE0"/>
    <w:rsid w:val="7FD652B4"/>
    <w:rsid w:val="BB7FA927"/>
    <w:rsid w:val="F5FFD31F"/>
    <w:rsid w:val="F6DC9B7C"/>
    <w:rsid w:val="FDFE2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4"/>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List Bullet"/>
    <w:basedOn w:val="1"/>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19">
    <w:name w:val="Document Map"/>
    <w:basedOn w:val="1"/>
    <w:link w:val="92"/>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93"/>
    <w:qFormat/>
    <w:uiPriority w:val="0"/>
    <w:pPr>
      <w:jc w:val="left"/>
    </w:pPr>
  </w:style>
  <w:style w:type="paragraph" w:styleId="22">
    <w:name w:val="Salutation"/>
    <w:basedOn w:val="1"/>
    <w:next w:val="1"/>
    <w:link w:val="94"/>
    <w:qFormat/>
    <w:uiPriority w:val="0"/>
    <w:rPr>
      <w:rFonts w:ascii="仿宋_GB2312" w:eastAsia="仿宋_GB2312"/>
      <w:sz w:val="28"/>
      <w:szCs w:val="20"/>
    </w:rPr>
  </w:style>
  <w:style w:type="paragraph" w:styleId="23">
    <w:name w:val="Body Text 3"/>
    <w:basedOn w:val="1"/>
    <w:link w:val="95"/>
    <w:qFormat/>
    <w:uiPriority w:val="99"/>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6"/>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114"/>
    <w:qFormat/>
    <w:uiPriority w:val="99"/>
    <w:pPr>
      <w:ind w:firstLine="420"/>
    </w:pPr>
    <w:rPr>
      <w:rFonts w:hAnsi="Calibri" w:cs="Times New Roman"/>
      <w:snapToGrid/>
      <w:szCs w:val="20"/>
    </w:rPr>
  </w:style>
  <w:style w:type="paragraph" w:styleId="27">
    <w:name w:val="Body Text Indent"/>
    <w:basedOn w:val="1"/>
    <w:next w:val="28"/>
    <w:link w:val="97"/>
    <w:qFormat/>
    <w:uiPriority w:val="99"/>
    <w:pPr>
      <w:spacing w:line="480" w:lineRule="exact"/>
      <w:ind w:firstLine="480" w:firstLineChars="200"/>
    </w:pPr>
    <w:rPr>
      <w:rFonts w:ascii="宋体" w:hAnsi="宋体"/>
      <w:sz w:val="24"/>
    </w:rPr>
  </w:style>
  <w:style w:type="paragraph" w:styleId="28">
    <w:name w:val="Body Text First Indent 2"/>
    <w:basedOn w:val="27"/>
    <w:next w:val="1"/>
    <w:link w:val="115"/>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98"/>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99"/>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00"/>
    <w:qFormat/>
    <w:uiPriority w:val="0"/>
    <w:pPr>
      <w:ind w:left="100" w:leftChars="2500"/>
    </w:pPr>
    <w:rPr>
      <w:rFonts w:ascii="宋体"/>
      <w:sz w:val="24"/>
      <w:szCs w:val="21"/>
      <w:lang w:val="zh-CN"/>
    </w:rPr>
  </w:style>
  <w:style w:type="paragraph" w:styleId="40">
    <w:name w:val="Body Text Indent 2"/>
    <w:basedOn w:val="1"/>
    <w:link w:val="101"/>
    <w:qFormat/>
    <w:uiPriority w:val="0"/>
    <w:pPr>
      <w:spacing w:line="360" w:lineRule="auto"/>
      <w:ind w:firstLine="601"/>
      <w:textAlignment w:val="baseline"/>
    </w:pPr>
    <w:rPr>
      <w:rFonts w:ascii="宋体"/>
      <w:kern w:val="0"/>
      <w:sz w:val="28"/>
      <w:szCs w:val="20"/>
    </w:rPr>
  </w:style>
  <w:style w:type="paragraph" w:styleId="41">
    <w:name w:val="endnote text"/>
    <w:basedOn w:val="1"/>
    <w:link w:val="102"/>
    <w:qFormat/>
    <w:uiPriority w:val="0"/>
    <w:rPr>
      <w:lang w:val="zh-CN"/>
    </w:rPr>
  </w:style>
  <w:style w:type="paragraph" w:styleId="42">
    <w:name w:val="Balloon Text"/>
    <w:basedOn w:val="1"/>
    <w:link w:val="103"/>
    <w:qFormat/>
    <w:uiPriority w:val="0"/>
    <w:rPr>
      <w:sz w:val="18"/>
      <w:szCs w:val="18"/>
    </w:rPr>
  </w:style>
  <w:style w:type="paragraph" w:styleId="43">
    <w:name w:val="footer"/>
    <w:basedOn w:val="1"/>
    <w:link w:val="104"/>
    <w:qFormat/>
    <w:uiPriority w:val="0"/>
    <w:pPr>
      <w:tabs>
        <w:tab w:val="center" w:pos="4153"/>
        <w:tab w:val="right" w:pos="8306"/>
      </w:tabs>
      <w:snapToGrid w:val="0"/>
      <w:jc w:val="left"/>
    </w:pPr>
    <w:rPr>
      <w:sz w:val="18"/>
      <w:szCs w:val="18"/>
    </w:rPr>
  </w:style>
  <w:style w:type="paragraph" w:styleId="44">
    <w:name w:val="header"/>
    <w:basedOn w:val="1"/>
    <w:link w:val="105"/>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10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0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108"/>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109"/>
    <w:qFormat/>
    <w:uiPriority w:val="0"/>
    <w:pPr>
      <w:spacing w:line="360" w:lineRule="auto"/>
      <w:ind w:firstLine="420"/>
    </w:pPr>
    <w:rPr>
      <w:sz w:val="24"/>
      <w:szCs w:val="20"/>
    </w:rPr>
  </w:style>
  <w:style w:type="paragraph" w:styleId="57">
    <w:name w:val="index 7"/>
    <w:basedOn w:val="1"/>
    <w:next w:val="1"/>
    <w:qFormat/>
    <w:uiPriority w:val="0"/>
    <w:pPr>
      <w:adjustRightInd/>
      <w:ind w:left="1200" w:leftChars="1200"/>
    </w:pPr>
    <w:rPr>
      <w:rFonts w:ascii="Times New Roman (正文 CS 字体)" w:hAnsi="Times New Roman (正文 CS 字体)" w:eastAsia="等线" w:cs="Times New Roman (正文 CS 字体)"/>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110"/>
    <w:qFormat/>
    <w:uiPriority w:val="0"/>
    <w:pPr>
      <w:spacing w:after="120" w:line="480" w:lineRule="auto"/>
    </w:pPr>
  </w:style>
  <w:style w:type="paragraph" w:styleId="61">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link w:val="1014"/>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112"/>
    <w:qFormat/>
    <w:uiPriority w:val="0"/>
    <w:pPr>
      <w:widowControl/>
      <w:overflowPunct w:val="0"/>
      <w:autoSpaceDE w:val="0"/>
      <w:autoSpaceDN w:val="0"/>
      <w:jc w:val="center"/>
      <w:textAlignment w:val="baseline"/>
    </w:pPr>
    <w:rPr>
      <w:b/>
      <w:kern w:val="0"/>
      <w:sz w:val="24"/>
      <w:szCs w:val="20"/>
      <w:lang w:val="en-GB"/>
    </w:rPr>
  </w:style>
  <w:style w:type="paragraph" w:styleId="64">
    <w:name w:val="annotation subject"/>
    <w:basedOn w:val="21"/>
    <w:next w:val="21"/>
    <w:link w:val="113"/>
    <w:qFormat/>
    <w:uiPriority w:val="0"/>
    <w:rPr>
      <w:b/>
      <w:bCs/>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0"/>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标题 1 字符2"/>
    <w:link w:val="2"/>
    <w:qFormat/>
    <w:uiPriority w:val="9"/>
    <w:rPr>
      <w:b/>
      <w:bCs/>
      <w:kern w:val="44"/>
      <w:sz w:val="44"/>
      <w:szCs w:val="44"/>
    </w:rPr>
  </w:style>
  <w:style w:type="character" w:customStyle="1" w:styleId="83">
    <w:name w:val="正文缩进 字符2"/>
    <w:link w:val="5"/>
    <w:qFormat/>
    <w:uiPriority w:val="0"/>
    <w:rPr>
      <w:rFonts w:ascii="宋体" w:eastAsia="宋体"/>
      <w:snapToGrid w:val="0"/>
      <w:color w:val="000000"/>
      <w:kern w:val="28"/>
      <w:sz w:val="28"/>
      <w:lang w:val="en-US" w:eastAsia="zh-CN" w:bidi="ar-SA"/>
    </w:rPr>
  </w:style>
  <w:style w:type="character" w:customStyle="1" w:styleId="84">
    <w:name w:val="标题 3 字符1"/>
    <w:basedOn w:val="72"/>
    <w:link w:val="4"/>
    <w:qFormat/>
    <w:uiPriority w:val="9"/>
    <w:rPr>
      <w:b/>
      <w:bCs/>
      <w:kern w:val="2"/>
      <w:sz w:val="32"/>
      <w:szCs w:val="32"/>
    </w:rPr>
  </w:style>
  <w:style w:type="character" w:customStyle="1" w:styleId="85">
    <w:name w:val="标题 4 字符1"/>
    <w:link w:val="6"/>
    <w:qFormat/>
    <w:uiPriority w:val="9"/>
    <w:rPr>
      <w:rFonts w:ascii="Arial" w:hAnsi="Arial" w:eastAsia="黑体"/>
      <w:b/>
      <w:bCs/>
      <w:kern w:val="2"/>
      <w:sz w:val="28"/>
      <w:szCs w:val="28"/>
      <w:lang w:val="zh-CN"/>
    </w:rPr>
  </w:style>
  <w:style w:type="character" w:customStyle="1" w:styleId="86">
    <w:name w:val="标题 5 字符1"/>
    <w:link w:val="7"/>
    <w:qFormat/>
    <w:uiPriority w:val="9"/>
    <w:rPr>
      <w:b/>
      <w:bCs/>
      <w:kern w:val="2"/>
      <w:sz w:val="28"/>
      <w:szCs w:val="28"/>
    </w:rPr>
  </w:style>
  <w:style w:type="character" w:customStyle="1" w:styleId="87">
    <w:name w:val="标题 6 字符1"/>
    <w:link w:val="8"/>
    <w:qFormat/>
    <w:uiPriority w:val="0"/>
    <w:rPr>
      <w:rFonts w:ascii="Arial" w:hAnsi="Arial" w:eastAsia="黑体"/>
      <w:b/>
      <w:bCs/>
      <w:kern w:val="2"/>
      <w:sz w:val="24"/>
      <w:szCs w:val="24"/>
    </w:rPr>
  </w:style>
  <w:style w:type="character" w:customStyle="1" w:styleId="88">
    <w:name w:val="标题 7 字符1"/>
    <w:link w:val="9"/>
    <w:qFormat/>
    <w:uiPriority w:val="0"/>
    <w:rPr>
      <w:b/>
      <w:bCs/>
      <w:kern w:val="2"/>
      <w:sz w:val="24"/>
      <w:szCs w:val="24"/>
    </w:rPr>
  </w:style>
  <w:style w:type="character" w:customStyle="1" w:styleId="89">
    <w:name w:val="标题 8 字符1"/>
    <w:link w:val="10"/>
    <w:qFormat/>
    <w:uiPriority w:val="0"/>
    <w:rPr>
      <w:rFonts w:ascii="Arial" w:hAnsi="Arial" w:eastAsia="黑体"/>
      <w:kern w:val="2"/>
      <w:sz w:val="24"/>
      <w:szCs w:val="24"/>
    </w:rPr>
  </w:style>
  <w:style w:type="character" w:customStyle="1" w:styleId="90">
    <w:name w:val="标题 9 字符1"/>
    <w:link w:val="11"/>
    <w:qFormat/>
    <w:uiPriority w:val="0"/>
    <w:rPr>
      <w:rFonts w:ascii="Arial" w:hAnsi="Arial" w:eastAsia="黑体"/>
      <w:kern w:val="2"/>
      <w:sz w:val="21"/>
      <w:szCs w:val="21"/>
    </w:rPr>
  </w:style>
  <w:style w:type="character" w:customStyle="1" w:styleId="91">
    <w:name w:val="题注 字符"/>
    <w:link w:val="16"/>
    <w:qFormat/>
    <w:uiPriority w:val="0"/>
    <w:rPr>
      <w:b/>
      <w:kern w:val="2"/>
      <w:sz w:val="28"/>
    </w:rPr>
  </w:style>
  <w:style w:type="character" w:customStyle="1" w:styleId="92">
    <w:name w:val="文档结构图 字符2"/>
    <w:link w:val="19"/>
    <w:qFormat/>
    <w:uiPriority w:val="0"/>
    <w:rPr>
      <w:kern w:val="2"/>
      <w:sz w:val="21"/>
      <w:szCs w:val="24"/>
      <w:shd w:val="clear" w:color="auto" w:fill="000080"/>
    </w:rPr>
  </w:style>
  <w:style w:type="character" w:customStyle="1" w:styleId="93">
    <w:name w:val="批注文字 字符1"/>
    <w:link w:val="21"/>
    <w:qFormat/>
    <w:uiPriority w:val="0"/>
    <w:rPr>
      <w:kern w:val="2"/>
      <w:sz w:val="21"/>
      <w:szCs w:val="24"/>
    </w:rPr>
  </w:style>
  <w:style w:type="character" w:customStyle="1" w:styleId="94">
    <w:name w:val="称呼 字符"/>
    <w:link w:val="22"/>
    <w:qFormat/>
    <w:uiPriority w:val="0"/>
    <w:rPr>
      <w:rFonts w:ascii="仿宋_GB2312" w:eastAsia="仿宋_GB2312"/>
      <w:kern w:val="2"/>
      <w:sz w:val="28"/>
    </w:rPr>
  </w:style>
  <w:style w:type="character" w:customStyle="1" w:styleId="95">
    <w:name w:val="正文文本 3 字符"/>
    <w:link w:val="23"/>
    <w:qFormat/>
    <w:uiPriority w:val="99"/>
    <w:rPr>
      <w:kern w:val="2"/>
      <w:sz w:val="21"/>
    </w:rPr>
  </w:style>
  <w:style w:type="character" w:customStyle="1" w:styleId="96">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7">
    <w:name w:val="正文文本缩进 字符2"/>
    <w:link w:val="27"/>
    <w:qFormat/>
    <w:uiPriority w:val="0"/>
    <w:rPr>
      <w:rFonts w:ascii="宋体" w:hAnsi="宋体"/>
      <w:kern w:val="2"/>
      <w:sz w:val="24"/>
      <w:szCs w:val="24"/>
    </w:rPr>
  </w:style>
  <w:style w:type="character" w:customStyle="1" w:styleId="98">
    <w:name w:val="HTML 地址 字符"/>
    <w:link w:val="33"/>
    <w:qFormat/>
    <w:uiPriority w:val="0"/>
    <w:rPr>
      <w:rFonts w:ascii="宋体" w:hAnsi="宋体"/>
      <w:i/>
      <w:iCs/>
      <w:sz w:val="24"/>
      <w:szCs w:val="24"/>
    </w:rPr>
  </w:style>
  <w:style w:type="character" w:customStyle="1" w:styleId="99">
    <w:name w:val="纯文本 字符2"/>
    <w:link w:val="36"/>
    <w:qFormat/>
    <w:uiPriority w:val="0"/>
    <w:rPr>
      <w:rFonts w:ascii="宋体" w:hAnsi="Courier New" w:eastAsia="宋体" w:cs="Arial"/>
      <w:snapToGrid w:val="0"/>
      <w:kern w:val="2"/>
      <w:sz w:val="21"/>
      <w:szCs w:val="21"/>
      <w:lang w:val="en-US" w:eastAsia="zh-CN" w:bidi="ar-SA"/>
    </w:rPr>
  </w:style>
  <w:style w:type="character" w:customStyle="1" w:styleId="100">
    <w:name w:val="日期 字符"/>
    <w:link w:val="39"/>
    <w:qFormat/>
    <w:uiPriority w:val="0"/>
    <w:rPr>
      <w:rFonts w:ascii="宋体"/>
      <w:kern w:val="2"/>
      <w:sz w:val="24"/>
      <w:szCs w:val="21"/>
      <w:lang w:val="zh-CN"/>
    </w:rPr>
  </w:style>
  <w:style w:type="character" w:customStyle="1" w:styleId="101">
    <w:name w:val="正文文本缩进 2 字符1"/>
    <w:link w:val="40"/>
    <w:qFormat/>
    <w:uiPriority w:val="0"/>
    <w:rPr>
      <w:rFonts w:ascii="宋体"/>
      <w:sz w:val="28"/>
    </w:rPr>
  </w:style>
  <w:style w:type="character" w:customStyle="1" w:styleId="102">
    <w:name w:val="尾注文本 字符"/>
    <w:link w:val="41"/>
    <w:qFormat/>
    <w:uiPriority w:val="0"/>
    <w:rPr>
      <w:kern w:val="2"/>
      <w:sz w:val="21"/>
      <w:szCs w:val="24"/>
      <w:lang w:val="zh-CN"/>
    </w:rPr>
  </w:style>
  <w:style w:type="character" w:customStyle="1" w:styleId="103">
    <w:name w:val="批注框文本 字符1"/>
    <w:link w:val="42"/>
    <w:qFormat/>
    <w:uiPriority w:val="0"/>
    <w:rPr>
      <w:kern w:val="2"/>
      <w:sz w:val="18"/>
      <w:szCs w:val="18"/>
    </w:rPr>
  </w:style>
  <w:style w:type="character" w:customStyle="1" w:styleId="104">
    <w:name w:val="页脚 字符2"/>
    <w:link w:val="43"/>
    <w:qFormat/>
    <w:locked/>
    <w:uiPriority w:val="99"/>
    <w:rPr>
      <w:kern w:val="2"/>
      <w:sz w:val="18"/>
      <w:szCs w:val="18"/>
    </w:rPr>
  </w:style>
  <w:style w:type="character" w:customStyle="1" w:styleId="105">
    <w:name w:val="页眉 字符2"/>
    <w:link w:val="44"/>
    <w:qFormat/>
    <w:uiPriority w:val="99"/>
    <w:rPr>
      <w:kern w:val="2"/>
      <w:sz w:val="18"/>
      <w:szCs w:val="18"/>
    </w:rPr>
  </w:style>
  <w:style w:type="character" w:customStyle="1" w:styleId="106">
    <w:name w:val="签名 字符"/>
    <w:link w:val="45"/>
    <w:qFormat/>
    <w:uiPriority w:val="0"/>
    <w:rPr>
      <w:rFonts w:eastAsia="仿宋_GB2312"/>
      <w:sz w:val="24"/>
    </w:rPr>
  </w:style>
  <w:style w:type="character" w:customStyle="1" w:styleId="107">
    <w:name w:val="副标题 字符"/>
    <w:link w:val="50"/>
    <w:qFormat/>
    <w:uiPriority w:val="0"/>
    <w:rPr>
      <w:rFonts w:ascii="Arial" w:hAnsi="Arial" w:eastAsia="隶书"/>
      <w:b/>
      <w:bCs/>
      <w:kern w:val="28"/>
      <w:sz w:val="44"/>
      <w:szCs w:val="32"/>
      <w:lang w:val="en-US" w:eastAsia="zh-CN" w:bidi="ar-SA"/>
    </w:rPr>
  </w:style>
  <w:style w:type="character" w:customStyle="1" w:styleId="108">
    <w:name w:val="脚注文本 字符"/>
    <w:link w:val="53"/>
    <w:qFormat/>
    <w:uiPriority w:val="0"/>
    <w:rPr>
      <w:color w:val="0000FF"/>
      <w:sz w:val="21"/>
    </w:rPr>
  </w:style>
  <w:style w:type="character" w:customStyle="1" w:styleId="109">
    <w:name w:val="正文文本缩进 3 字符"/>
    <w:link w:val="56"/>
    <w:qFormat/>
    <w:uiPriority w:val="0"/>
    <w:rPr>
      <w:kern w:val="2"/>
      <w:sz w:val="24"/>
    </w:rPr>
  </w:style>
  <w:style w:type="character" w:customStyle="1" w:styleId="110">
    <w:name w:val="正文文本 2 字符1"/>
    <w:link w:val="60"/>
    <w:qFormat/>
    <w:uiPriority w:val="0"/>
    <w:rPr>
      <w:kern w:val="2"/>
      <w:sz w:val="21"/>
      <w:szCs w:val="24"/>
    </w:rPr>
  </w:style>
  <w:style w:type="character" w:customStyle="1" w:styleId="111">
    <w:name w:val="HTML 预设格式 字符"/>
    <w:link w:val="61"/>
    <w:qFormat/>
    <w:uiPriority w:val="0"/>
    <w:rPr>
      <w:rFonts w:ascii="黑体" w:hAnsi="Courier New" w:eastAsia="黑体"/>
    </w:rPr>
  </w:style>
  <w:style w:type="character" w:customStyle="1" w:styleId="112">
    <w:name w:val="标题 字符1"/>
    <w:link w:val="63"/>
    <w:qFormat/>
    <w:uiPriority w:val="0"/>
    <w:rPr>
      <w:b/>
      <w:sz w:val="24"/>
      <w:lang w:val="en-GB"/>
    </w:rPr>
  </w:style>
  <w:style w:type="character" w:customStyle="1" w:styleId="113">
    <w:name w:val="批注主题 字符1"/>
    <w:link w:val="64"/>
    <w:qFormat/>
    <w:uiPriority w:val="0"/>
    <w:rPr>
      <w:b/>
      <w:bCs/>
      <w:kern w:val="2"/>
      <w:sz w:val="21"/>
      <w:szCs w:val="24"/>
    </w:rPr>
  </w:style>
  <w:style w:type="character" w:customStyle="1" w:styleId="114">
    <w:name w:val="正文首行缩进 字符"/>
    <w:link w:val="26"/>
    <w:qFormat/>
    <w:uiPriority w:val="99"/>
    <w:rPr>
      <w:rFonts w:ascii="宋体"/>
      <w:kern w:val="2"/>
      <w:sz w:val="24"/>
      <w:lang w:val="zh-CN"/>
    </w:rPr>
  </w:style>
  <w:style w:type="character" w:customStyle="1" w:styleId="115">
    <w:name w:val="正文首行缩进 2 字符"/>
    <w:link w:val="28"/>
    <w:qFormat/>
    <w:uiPriority w:val="0"/>
    <w:rPr>
      <w:rFonts w:ascii="宋体" w:hAnsi="宋体"/>
      <w:kern w:val="2"/>
      <w:sz w:val="21"/>
      <w:szCs w:val="24"/>
    </w:rPr>
  </w:style>
  <w:style w:type="character" w:customStyle="1" w:styleId="116">
    <w:name w:val="表格非标题文字 Char"/>
    <w:link w:val="117"/>
    <w:qFormat/>
    <w:uiPriority w:val="0"/>
    <w:rPr>
      <w:rFonts w:ascii="Futura Bk" w:hAnsi="Futura Bk"/>
      <w:kern w:val="2"/>
      <w:sz w:val="18"/>
      <w:szCs w:val="21"/>
      <w:lang w:val="en-US" w:eastAsia="zh-CN" w:bidi="ar-SA"/>
    </w:rPr>
  </w:style>
  <w:style w:type="paragraph" w:customStyle="1" w:styleId="117">
    <w:name w:val="表格非标题文字"/>
    <w:link w:val="11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8">
    <w:name w:val="*正文 Char"/>
    <w:link w:val="119"/>
    <w:qFormat/>
    <w:locked/>
    <w:uiPriority w:val="0"/>
    <w:rPr>
      <w:rFonts w:ascii="宋体" w:hAnsi="宋体"/>
      <w:sz w:val="24"/>
    </w:rPr>
  </w:style>
  <w:style w:type="paragraph" w:customStyle="1" w:styleId="119">
    <w:name w:val="*正文"/>
    <w:basedOn w:val="1"/>
    <w:link w:val="118"/>
    <w:qFormat/>
    <w:uiPriority w:val="0"/>
    <w:pPr>
      <w:snapToGrid w:val="0"/>
      <w:spacing w:line="360" w:lineRule="auto"/>
      <w:ind w:firstLine="482"/>
      <w:jc w:val="left"/>
    </w:pPr>
    <w:rPr>
      <w:rFonts w:ascii="宋体" w:hAnsi="宋体"/>
      <w:kern w:val="0"/>
      <w:sz w:val="24"/>
      <w:szCs w:val="20"/>
    </w:rPr>
  </w:style>
  <w:style w:type="character" w:customStyle="1" w:styleId="120">
    <w:name w:val="Char Char71"/>
    <w:semiHidden/>
    <w:qFormat/>
    <w:uiPriority w:val="0"/>
    <w:rPr>
      <w:rFonts w:eastAsia="宋体"/>
      <w:kern w:val="2"/>
      <w:sz w:val="21"/>
      <w:szCs w:val="24"/>
      <w:lang w:val="en-US" w:eastAsia="zh-CN" w:bidi="ar-SA"/>
    </w:rPr>
  </w:style>
  <w:style w:type="character" w:customStyle="1" w:styleId="121">
    <w:name w:val="Char Char6"/>
    <w:qFormat/>
    <w:uiPriority w:val="0"/>
    <w:rPr>
      <w:rFonts w:eastAsia="宋体"/>
      <w:kern w:val="2"/>
      <w:sz w:val="21"/>
      <w:szCs w:val="24"/>
      <w:lang w:val="en-US" w:eastAsia="zh-CN" w:bidi="ar-SA"/>
    </w:rPr>
  </w:style>
  <w:style w:type="character" w:customStyle="1" w:styleId="122">
    <w:name w:val="正文缩进 Char"/>
    <w:qFormat/>
    <w:uiPriority w:val="0"/>
    <w:rPr>
      <w:rFonts w:eastAsia="宋体"/>
      <w:kern w:val="2"/>
      <w:sz w:val="21"/>
      <w:lang w:val="en-US" w:eastAsia="zh-CN"/>
    </w:rPr>
  </w:style>
  <w:style w:type="character" w:customStyle="1" w:styleId="123">
    <w:name w:val="正文首行缩进 Char1"/>
    <w:qFormat/>
    <w:uiPriority w:val="0"/>
    <w:rPr>
      <w:rFonts w:ascii="宋体" w:hAnsi="Times New Roman" w:eastAsia="宋体" w:cs="Times New Roman"/>
      <w:snapToGrid w:val="0"/>
      <w:kern w:val="2"/>
      <w:sz w:val="24"/>
      <w:szCs w:val="21"/>
      <w:lang w:val="zh-CN"/>
    </w:rPr>
  </w:style>
  <w:style w:type="character" w:customStyle="1" w:styleId="124">
    <w:name w:val="Char Char28"/>
    <w:qFormat/>
    <w:uiPriority w:val="6"/>
    <w:rPr>
      <w:rFonts w:ascii="仿宋_GB2312" w:hAnsi="仿宋_GB2312" w:eastAsia="仿宋_GB2312"/>
      <w:kern w:val="1"/>
      <w:sz w:val="28"/>
    </w:rPr>
  </w:style>
  <w:style w:type="character" w:customStyle="1" w:styleId="1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6">
    <w:name w:val="Heading 1 Char"/>
    <w:qFormat/>
    <w:uiPriority w:val="6"/>
    <w:rPr>
      <w:rFonts w:ascii="Times New Roman" w:hAnsi="Times New Roman" w:eastAsia="黑体" w:cs="Times New Roman"/>
      <w:b/>
      <w:kern w:val="0"/>
      <w:sz w:val="24"/>
      <w:szCs w:val="24"/>
    </w:rPr>
  </w:style>
  <w:style w:type="character" w:customStyle="1" w:styleId="127">
    <w:name w:val="U_正文 Char"/>
    <w:link w:val="128"/>
    <w:qFormat/>
    <w:uiPriority w:val="0"/>
    <w:rPr>
      <w:sz w:val="24"/>
      <w:szCs w:val="24"/>
    </w:rPr>
  </w:style>
  <w:style w:type="paragraph" w:customStyle="1" w:styleId="128">
    <w:name w:val="U_正文"/>
    <w:basedOn w:val="1"/>
    <w:link w:val="127"/>
    <w:qFormat/>
    <w:uiPriority w:val="0"/>
    <w:pPr>
      <w:adjustRightInd/>
      <w:spacing w:beforeLines="20" w:afterLines="20" w:line="300" w:lineRule="auto"/>
      <w:ind w:firstLine="200" w:firstLineChars="200"/>
    </w:pPr>
    <w:rPr>
      <w:kern w:val="0"/>
      <w:sz w:val="24"/>
    </w:rPr>
  </w:style>
  <w:style w:type="character" w:customStyle="1" w:styleId="129">
    <w:name w:val="HTML 地址 Char1"/>
    <w:qFormat/>
    <w:uiPriority w:val="0"/>
    <w:rPr>
      <w:rFonts w:ascii="Times New Roman" w:hAnsi="Times New Roman" w:eastAsia="宋体" w:cs="Times New Roman"/>
      <w:i/>
      <w:iCs/>
      <w:szCs w:val="24"/>
    </w:rPr>
  </w:style>
  <w:style w:type="character" w:customStyle="1" w:styleId="130">
    <w:name w:val="Char Char51"/>
    <w:qFormat/>
    <w:uiPriority w:val="0"/>
    <w:rPr>
      <w:rFonts w:ascii="宋体" w:hAnsi="Courier New" w:eastAsia="宋体"/>
      <w:kern w:val="2"/>
      <w:sz w:val="21"/>
      <w:lang w:val="en-US" w:eastAsia="zh-CN"/>
    </w:rPr>
  </w:style>
  <w:style w:type="character" w:customStyle="1" w:styleId="131">
    <w:name w:val="表正文 Char"/>
    <w:qFormat/>
    <w:uiPriority w:val="0"/>
    <w:rPr>
      <w:rFonts w:ascii="宋体" w:eastAsia="宋体"/>
      <w:snapToGrid w:val="0"/>
      <w:color w:val="000000"/>
      <w:kern w:val="28"/>
      <w:sz w:val="28"/>
      <w:lang w:val="en-US" w:eastAsia="zh-CN" w:bidi="ar-SA"/>
    </w:rPr>
  </w:style>
  <w:style w:type="character" w:customStyle="1" w:styleId="132">
    <w:name w:val="Char Char34"/>
    <w:qFormat/>
    <w:uiPriority w:val="6"/>
    <w:rPr>
      <w:b/>
      <w:kern w:val="1"/>
      <w:sz w:val="28"/>
      <w:szCs w:val="28"/>
    </w:rPr>
  </w:style>
  <w:style w:type="character" w:customStyle="1" w:styleId="1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4">
    <w:name w:val="哈哈正文 Char"/>
    <w:link w:val="135"/>
    <w:qFormat/>
    <w:uiPriority w:val="0"/>
    <w:rPr>
      <w:rFonts w:ascii="宋体" w:hAnsi="宋体" w:eastAsia="宋体"/>
      <w:kern w:val="2"/>
      <w:sz w:val="24"/>
      <w:lang w:bidi="ar-SA"/>
    </w:rPr>
  </w:style>
  <w:style w:type="paragraph" w:customStyle="1" w:styleId="135">
    <w:name w:val="哈哈正文"/>
    <w:basedOn w:val="1"/>
    <w:link w:val="134"/>
    <w:qFormat/>
    <w:uiPriority w:val="0"/>
    <w:pPr>
      <w:adjustRightInd/>
      <w:spacing w:line="360" w:lineRule="auto"/>
      <w:ind w:firstLine="200" w:firstLineChars="200"/>
    </w:pPr>
    <w:rPr>
      <w:rFonts w:ascii="宋体" w:hAnsi="宋体"/>
      <w:sz w:val="24"/>
      <w:szCs w:val="20"/>
    </w:rPr>
  </w:style>
  <w:style w:type="character" w:customStyle="1" w:styleId="136">
    <w:name w:val="未处理的提及1"/>
    <w:qFormat/>
    <w:uiPriority w:val="0"/>
    <w:rPr>
      <w:color w:val="808080"/>
      <w:shd w:val="clear" w:color="auto" w:fill="E6E6E6"/>
    </w:rPr>
  </w:style>
  <w:style w:type="character" w:customStyle="1" w:styleId="137">
    <w:name w:val="txt"/>
    <w:qFormat/>
    <w:uiPriority w:val="0"/>
    <w:rPr>
      <w:rFonts w:ascii="仿宋_GB2312" w:eastAsia="微软雅黑"/>
      <w:b/>
      <w:kern w:val="2"/>
      <w:sz w:val="32"/>
      <w:szCs w:val="32"/>
      <w:lang w:val="en-US" w:eastAsia="zh-CN" w:bidi="ar-SA"/>
    </w:rPr>
  </w:style>
  <w:style w:type="character" w:customStyle="1" w:styleId="138">
    <w:name w:val="二级标题 Char Char"/>
    <w:qFormat/>
    <w:uiPriority w:val="0"/>
    <w:rPr>
      <w:rFonts w:ascii="宋体" w:hAnsi="宋体" w:eastAsia="宋体"/>
      <w:b/>
      <w:snapToGrid w:val="0"/>
      <w:kern w:val="2"/>
      <w:sz w:val="24"/>
      <w:szCs w:val="24"/>
      <w:lang w:val="en-US" w:eastAsia="zh-CN" w:bidi="ar-SA"/>
    </w:rPr>
  </w:style>
  <w:style w:type="character" w:customStyle="1" w:styleId="139">
    <w:name w:val="Char Char32"/>
    <w:qFormat/>
    <w:uiPriority w:val="6"/>
    <w:rPr>
      <w:b/>
      <w:kern w:val="1"/>
      <w:sz w:val="24"/>
      <w:szCs w:val="24"/>
    </w:rPr>
  </w:style>
  <w:style w:type="character" w:customStyle="1" w:styleId="140">
    <w:name w:val="PI Char1"/>
    <w:qFormat/>
    <w:uiPriority w:val="0"/>
    <w:rPr>
      <w:rFonts w:ascii="宋体" w:hAnsi="宋体"/>
      <w:kern w:val="2"/>
      <w:sz w:val="24"/>
      <w:szCs w:val="24"/>
    </w:rPr>
  </w:style>
  <w:style w:type="character" w:customStyle="1" w:styleId="141">
    <w:name w:val="tw4winTerm"/>
    <w:qFormat/>
    <w:uiPriority w:val="0"/>
    <w:rPr>
      <w:color w:val="0000FF"/>
    </w:rPr>
  </w:style>
  <w:style w:type="character" w:customStyle="1" w:styleId="142">
    <w:name w:val="Footer Char"/>
    <w:qFormat/>
    <w:locked/>
    <w:uiPriority w:val="0"/>
    <w:rPr>
      <w:rFonts w:eastAsia="宋体"/>
      <w:kern w:val="2"/>
      <w:sz w:val="18"/>
      <w:lang w:val="en-US" w:eastAsia="zh-CN" w:bidi="ar-SA"/>
    </w:rPr>
  </w:style>
  <w:style w:type="character" w:customStyle="1" w:styleId="143">
    <w:name w:val="普通文字 Char Char1"/>
    <w:qFormat/>
    <w:uiPriority w:val="0"/>
    <w:rPr>
      <w:rFonts w:ascii="宋体" w:hAnsi="Courier New"/>
      <w:kern w:val="2"/>
      <w:sz w:val="21"/>
    </w:rPr>
  </w:style>
  <w:style w:type="character" w:customStyle="1" w:styleId="144">
    <w:name w:val="Char Char101"/>
    <w:qFormat/>
    <w:uiPriority w:val="6"/>
    <w:rPr>
      <w:rFonts w:ascii="宋体" w:hAnsi="宋体"/>
      <w:kern w:val="2"/>
      <w:sz w:val="21"/>
      <w:szCs w:val="24"/>
      <w:lang w:val="en-US" w:eastAsia="zh-CN"/>
    </w:rPr>
  </w:style>
  <w:style w:type="character" w:customStyle="1" w:styleId="145">
    <w:name w:val="标题 4 Char"/>
    <w:qFormat/>
    <w:uiPriority w:val="0"/>
    <w:rPr>
      <w:rFonts w:ascii="Arial" w:hAnsi="Arial" w:eastAsia="黑体"/>
      <w:b/>
      <w:kern w:val="2"/>
      <w:sz w:val="28"/>
    </w:rPr>
  </w:style>
  <w:style w:type="character" w:customStyle="1" w:styleId="146">
    <w:name w:val="链接"/>
    <w:qFormat/>
    <w:uiPriority w:val="0"/>
    <w:rPr>
      <w:color w:val="0000FF"/>
      <w:sz w:val="21"/>
      <w:szCs w:val="21"/>
      <w:u w:val="single"/>
    </w:rPr>
  </w:style>
  <w:style w:type="character" w:customStyle="1" w:styleId="147">
    <w:name w:val="h4 Char"/>
    <w:qFormat/>
    <w:uiPriority w:val="0"/>
    <w:rPr>
      <w:rFonts w:ascii="Arial" w:hAnsi="Arial" w:eastAsia="黑体"/>
      <w:b/>
      <w:bCs/>
      <w:kern w:val="2"/>
      <w:sz w:val="28"/>
      <w:szCs w:val="28"/>
      <w:lang w:val="zh-CN" w:eastAsia="zh-CN" w:bidi="ar-SA"/>
    </w:rPr>
  </w:style>
  <w:style w:type="character" w:customStyle="1" w:styleId="148">
    <w:name w:val="5正文 Char"/>
    <w:link w:val="149"/>
    <w:qFormat/>
    <w:uiPriority w:val="0"/>
    <w:rPr>
      <w:rFonts w:ascii="仿宋_GB2312" w:hAnsi="微软雅黑" w:eastAsia="仿宋_GB2312"/>
      <w:sz w:val="28"/>
      <w:szCs w:val="21"/>
    </w:rPr>
  </w:style>
  <w:style w:type="paragraph" w:customStyle="1" w:styleId="149">
    <w:name w:val="5正文"/>
    <w:basedOn w:val="1"/>
    <w:link w:val="14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0">
    <w:name w:val="标题 3 字符"/>
    <w:qFormat/>
    <w:uiPriority w:val="9"/>
    <w:rPr>
      <w:b/>
      <w:bCs/>
      <w:kern w:val="2"/>
      <w:sz w:val="32"/>
      <w:szCs w:val="32"/>
    </w:rPr>
  </w:style>
  <w:style w:type="character" w:customStyle="1" w:styleId="151">
    <w:name w:val="样式6 Char"/>
    <w:qFormat/>
    <w:uiPriority w:val="0"/>
    <w:rPr>
      <w:rFonts w:ascii="仿宋_GB2312" w:hAnsi="宋体" w:eastAsia="仿宋_GB2312"/>
      <w:b/>
      <w:bCs/>
      <w:kern w:val="2"/>
      <w:sz w:val="24"/>
      <w:szCs w:val="24"/>
      <w:lang w:val="en-US" w:eastAsia="zh-CN" w:bidi="ar-SA"/>
    </w:rPr>
  </w:style>
  <w:style w:type="character" w:customStyle="1" w:styleId="152">
    <w:name w:val="Char Char14"/>
    <w:qFormat/>
    <w:uiPriority w:val="6"/>
    <w:rPr>
      <w:rFonts w:ascii="黑体" w:hAnsi="黑体" w:eastAsia="黑体"/>
    </w:rPr>
  </w:style>
  <w:style w:type="character" w:customStyle="1" w:styleId="153">
    <w:name w:val="Heading 2 Hidden Char"/>
    <w:qFormat/>
    <w:uiPriority w:val="0"/>
    <w:rPr>
      <w:rFonts w:ascii="仿宋_GB2312" w:eastAsia="仿宋_GB2312"/>
      <w:b/>
      <w:bCs/>
      <w:kern w:val="2"/>
      <w:sz w:val="24"/>
      <w:szCs w:val="24"/>
      <w:lang w:val="zh-CN" w:eastAsia="zh-CN" w:bidi="ar-SA"/>
    </w:rPr>
  </w:style>
  <w:style w:type="character" w:customStyle="1" w:styleId="154">
    <w:name w:val="font11"/>
    <w:basedOn w:val="72"/>
    <w:qFormat/>
    <w:uiPriority w:val="0"/>
    <w:rPr>
      <w:rFonts w:hint="default" w:ascii="Times New Roman" w:hAnsi="Times New Roman" w:cs="Times New Roman"/>
      <w:color w:val="000000"/>
      <w:sz w:val="22"/>
      <w:szCs w:val="22"/>
      <w:u w:val="none"/>
    </w:rPr>
  </w:style>
  <w:style w:type="character" w:customStyle="1" w:styleId="155">
    <w:name w:val="表正文 Char1"/>
    <w:qFormat/>
    <w:uiPriority w:val="0"/>
    <w:rPr>
      <w:rFonts w:ascii="宋体" w:eastAsia="宋体"/>
      <w:snapToGrid w:val="0"/>
      <w:color w:val="000000"/>
      <w:kern w:val="28"/>
      <w:sz w:val="28"/>
    </w:rPr>
  </w:style>
  <w:style w:type="character" w:customStyle="1" w:styleId="156">
    <w:name w:val="blue1"/>
    <w:basedOn w:val="72"/>
    <w:qFormat/>
    <w:uiPriority w:val="0"/>
    <w:rPr>
      <w:rFonts w:ascii="Arial" w:hAnsi="Arial" w:eastAsia="黑体" w:cs="Arial"/>
      <w:snapToGrid w:val="0"/>
      <w:kern w:val="0"/>
      <w:szCs w:val="21"/>
    </w:rPr>
  </w:style>
  <w:style w:type="character" w:customStyle="1" w:styleId="157">
    <w:name w:val="标书1 Char"/>
    <w:qFormat/>
    <w:uiPriority w:val="0"/>
    <w:rPr>
      <w:rFonts w:eastAsia="宋体"/>
      <w:b/>
      <w:bCs/>
      <w:kern w:val="44"/>
      <w:sz w:val="44"/>
      <w:szCs w:val="44"/>
      <w:lang w:val="en-US" w:eastAsia="zh-CN" w:bidi="ar-SA"/>
    </w:rPr>
  </w:style>
  <w:style w:type="character" w:customStyle="1" w:styleId="158">
    <w:name w:val="样式5 Char"/>
    <w:qFormat/>
    <w:uiPriority w:val="0"/>
    <w:rPr>
      <w:rFonts w:ascii="仿宋_GB2312" w:hAnsi="仿宋" w:eastAsia="仿宋_GB2312"/>
      <w:kern w:val="2"/>
      <w:sz w:val="24"/>
      <w:szCs w:val="24"/>
    </w:rPr>
  </w:style>
  <w:style w:type="character" w:customStyle="1" w:styleId="159">
    <w:name w:val="样式4 Char"/>
    <w:qFormat/>
    <w:uiPriority w:val="0"/>
    <w:rPr>
      <w:rFonts w:ascii="仿宋_GB2312" w:hAnsi="仿宋" w:eastAsia="仿宋_GB2312"/>
      <w:b/>
      <w:kern w:val="2"/>
      <w:sz w:val="32"/>
      <w:szCs w:val="32"/>
      <w:lang w:bidi="ar-SA"/>
    </w:rPr>
  </w:style>
  <w:style w:type="character" w:customStyle="1" w:styleId="160">
    <w:name w:val="插图说明 Char"/>
    <w:qFormat/>
    <w:uiPriority w:val="0"/>
    <w:rPr>
      <w:rFonts w:eastAsia="黑体"/>
      <w:sz w:val="24"/>
      <w:lang w:val="en-US" w:eastAsia="zh-CN"/>
    </w:rPr>
  </w:style>
  <w:style w:type="character" w:customStyle="1" w:styleId="161">
    <w:name w:val="正文2 Char Char"/>
    <w:link w:val="162"/>
    <w:qFormat/>
    <w:uiPriority w:val="0"/>
    <w:rPr>
      <w:rFonts w:eastAsia="宋体"/>
      <w:kern w:val="2"/>
      <w:sz w:val="24"/>
      <w:lang w:val="en-US" w:eastAsia="zh-CN" w:bidi="ar-SA"/>
    </w:rPr>
  </w:style>
  <w:style w:type="paragraph" w:customStyle="1" w:styleId="162">
    <w:name w:val="正文2"/>
    <w:basedOn w:val="1"/>
    <w:link w:val="161"/>
    <w:qFormat/>
    <w:uiPriority w:val="0"/>
    <w:pPr>
      <w:spacing w:before="156" w:line="360" w:lineRule="auto"/>
      <w:ind w:firstLine="510" w:firstLineChars="200"/>
    </w:pPr>
    <w:rPr>
      <w:sz w:val="24"/>
      <w:szCs w:val="20"/>
    </w:rPr>
  </w:style>
  <w:style w:type="character" w:customStyle="1" w:styleId="163">
    <w:name w:val="Char Char24"/>
    <w:qFormat/>
    <w:uiPriority w:val="6"/>
    <w:rPr>
      <w:kern w:val="1"/>
      <w:sz w:val="21"/>
    </w:rPr>
  </w:style>
  <w:style w:type="character" w:customStyle="1" w:styleId="164">
    <w:name w:val="普通文字 Char1 Char"/>
    <w:qFormat/>
    <w:uiPriority w:val="0"/>
    <w:rPr>
      <w:rFonts w:ascii="宋体" w:hAnsi="Courier New" w:eastAsia="宋体"/>
      <w:kern w:val="2"/>
      <w:sz w:val="21"/>
      <w:szCs w:val="24"/>
      <w:lang w:val="en-US" w:eastAsia="zh-CN" w:bidi="ar-SA"/>
    </w:rPr>
  </w:style>
  <w:style w:type="character" w:customStyle="1" w:styleId="165">
    <w:name w:val="h3 Char1"/>
    <w:qFormat/>
    <w:uiPriority w:val="0"/>
    <w:rPr>
      <w:rFonts w:eastAsia="宋体"/>
      <w:b/>
      <w:bCs/>
      <w:kern w:val="2"/>
      <w:sz w:val="32"/>
      <w:szCs w:val="32"/>
      <w:lang w:bidi="ar-SA"/>
    </w:rPr>
  </w:style>
  <w:style w:type="character" w:customStyle="1" w:styleId="166">
    <w:name w:val="标题 Char1"/>
    <w:qFormat/>
    <w:uiPriority w:val="0"/>
    <w:rPr>
      <w:rFonts w:ascii="Cambria" w:hAnsi="Cambria" w:eastAsia="宋体" w:cs="Times New Roman"/>
      <w:b/>
      <w:bCs/>
      <w:sz w:val="32"/>
      <w:szCs w:val="32"/>
      <w:lang w:bidi="ar-SA"/>
    </w:rPr>
  </w:style>
  <w:style w:type="character" w:customStyle="1" w:styleId="167">
    <w:name w:val="gf正文1 Char"/>
    <w:qFormat/>
    <w:uiPriority w:val="0"/>
    <w:rPr>
      <w:rFonts w:ascii="宋体" w:hAnsi="宋体" w:eastAsia="宋体" w:cs="宋体"/>
      <w:kern w:val="2"/>
      <w:sz w:val="24"/>
      <w:szCs w:val="24"/>
      <w:lang w:val="en-US" w:eastAsia="zh-CN" w:bidi="ar-SA"/>
    </w:rPr>
  </w:style>
  <w:style w:type="character" w:customStyle="1" w:styleId="168">
    <w:name w:val="正文文本缩进 Char1"/>
    <w:qFormat/>
    <w:uiPriority w:val="0"/>
    <w:rPr>
      <w:rFonts w:ascii="Calibri" w:hAnsi="Calibri"/>
      <w:sz w:val="28"/>
    </w:rPr>
  </w:style>
  <w:style w:type="character" w:customStyle="1" w:styleId="169">
    <w:name w:val="No Spacing Char"/>
    <w:link w:val="170"/>
    <w:qFormat/>
    <w:uiPriority w:val="1"/>
    <w:rPr>
      <w:sz w:val="22"/>
      <w:szCs w:val="22"/>
      <w:lang w:val="en-US" w:eastAsia="zh-CN" w:bidi="ar-SA"/>
    </w:rPr>
  </w:style>
  <w:style w:type="paragraph" w:customStyle="1" w:styleId="170">
    <w:name w:val="无间隔1"/>
    <w:link w:val="169"/>
    <w:qFormat/>
    <w:uiPriority w:val="1"/>
    <w:rPr>
      <w:rFonts w:ascii="Times New Roman" w:hAnsi="Times New Roman" w:eastAsia="宋体" w:cs="Times New Roman"/>
      <w:sz w:val="22"/>
      <w:szCs w:val="22"/>
      <w:lang w:val="en-US" w:eastAsia="zh-CN" w:bidi="ar-SA"/>
    </w:rPr>
  </w:style>
  <w:style w:type="character" w:customStyle="1" w:styleId="171">
    <w:name w:val="样式7 Char"/>
    <w:qFormat/>
    <w:uiPriority w:val="0"/>
    <w:rPr>
      <w:rFonts w:ascii="仿宋_GB2312" w:hAnsi="仿宋" w:eastAsia="仿宋_GB2312"/>
      <w:b/>
      <w:kern w:val="2"/>
      <w:sz w:val="24"/>
      <w:szCs w:val="24"/>
    </w:rPr>
  </w:style>
  <w:style w:type="character" w:customStyle="1" w:styleId="172">
    <w:name w:val="font12gray1"/>
    <w:qFormat/>
    <w:uiPriority w:val="0"/>
    <w:rPr>
      <w:rFonts w:ascii="仿宋_GB2312" w:eastAsia="微软雅黑"/>
      <w:b/>
      <w:spacing w:val="300"/>
      <w:kern w:val="2"/>
      <w:sz w:val="18"/>
      <w:szCs w:val="18"/>
      <w:lang w:val="en-US" w:eastAsia="zh-CN" w:bidi="ar-SA"/>
    </w:rPr>
  </w:style>
  <w:style w:type="character" w:customStyle="1" w:styleId="173">
    <w:name w:val="Char Char7"/>
    <w:semiHidden/>
    <w:qFormat/>
    <w:uiPriority w:val="0"/>
    <w:rPr>
      <w:rFonts w:eastAsia="宋体"/>
      <w:kern w:val="2"/>
      <w:sz w:val="21"/>
      <w:szCs w:val="24"/>
      <w:lang w:val="en-US" w:eastAsia="zh-CN" w:bidi="ar-SA"/>
    </w:rPr>
  </w:style>
  <w:style w:type="character" w:customStyle="1" w:styleId="174">
    <w:name w:val="表名 Char"/>
    <w:qFormat/>
    <w:uiPriority w:val="0"/>
    <w:rPr>
      <w:rFonts w:eastAsia="宋体"/>
      <w:b/>
      <w:bCs/>
      <w:kern w:val="2"/>
      <w:sz w:val="24"/>
      <w:szCs w:val="24"/>
      <w:lang w:val="en-US" w:eastAsia="zh-CN" w:bidi="ar-SA"/>
    </w:rPr>
  </w:style>
  <w:style w:type="character" w:customStyle="1" w:styleId="175">
    <w:name w:val="Document Map Char"/>
    <w:qFormat/>
    <w:locked/>
    <w:uiPriority w:val="0"/>
    <w:rPr>
      <w:rFonts w:eastAsia="宋体"/>
      <w:kern w:val="2"/>
      <w:sz w:val="21"/>
      <w:szCs w:val="24"/>
      <w:lang w:val="en-US" w:eastAsia="zh-CN" w:bidi="ar-SA"/>
    </w:rPr>
  </w:style>
  <w:style w:type="character" w:customStyle="1" w:styleId="176">
    <w:name w:val="font41"/>
    <w:qFormat/>
    <w:uiPriority w:val="0"/>
    <w:rPr>
      <w:rFonts w:hint="eastAsia" w:ascii="仿宋_GB2312" w:eastAsia="仿宋_GB2312" w:cs="仿宋_GB2312"/>
      <w:color w:val="000000"/>
      <w:sz w:val="22"/>
      <w:szCs w:val="22"/>
      <w:u w:val="none"/>
    </w:rPr>
  </w:style>
  <w:style w:type="character" w:customStyle="1" w:styleId="177">
    <w:name w:val="纯文本 Char_0"/>
    <w:link w:val="178"/>
    <w:qFormat/>
    <w:uiPriority w:val="0"/>
    <w:rPr>
      <w:rFonts w:ascii="宋体" w:hAnsi="Courier New"/>
      <w:kern w:val="2"/>
      <w:sz w:val="21"/>
      <w:szCs w:val="21"/>
      <w:lang w:val="en-US" w:eastAsia="zh-CN"/>
    </w:rPr>
  </w:style>
  <w:style w:type="paragraph" w:customStyle="1" w:styleId="178">
    <w:name w:val="纯文本_0_0"/>
    <w:basedOn w:val="179"/>
    <w:link w:val="177"/>
    <w:qFormat/>
    <w:uiPriority w:val="0"/>
    <w:rPr>
      <w:rFonts w:ascii="宋体" w:hAnsi="Courier New"/>
      <w:szCs w:val="21"/>
    </w:rPr>
  </w:style>
  <w:style w:type="paragraph" w:customStyle="1" w:styleId="17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Balloon Text Char"/>
    <w:qFormat/>
    <w:locked/>
    <w:uiPriority w:val="0"/>
    <w:rPr>
      <w:rFonts w:eastAsia="宋体"/>
      <w:kern w:val="2"/>
      <w:sz w:val="18"/>
      <w:szCs w:val="18"/>
      <w:lang w:val="en-US" w:eastAsia="zh-CN" w:bidi="ar-SA"/>
    </w:rPr>
  </w:style>
  <w:style w:type="character" w:customStyle="1" w:styleId="181">
    <w:name w:val="正文 项目2 Char"/>
    <w:basedOn w:val="182"/>
    <w:qFormat/>
    <w:uiPriority w:val="0"/>
    <w:rPr>
      <w:rFonts w:ascii="仿宋_GB2312" w:hAnsi="仿宋_GB2312" w:eastAsia="仿宋_GB2312"/>
      <w:kern w:val="2"/>
      <w:sz w:val="24"/>
      <w:lang w:bidi="ar-SA"/>
    </w:rPr>
  </w:style>
  <w:style w:type="character" w:customStyle="1" w:styleId="182">
    <w:name w:val="正文 项目 Char"/>
    <w:qFormat/>
    <w:uiPriority w:val="0"/>
    <w:rPr>
      <w:rFonts w:ascii="仿宋_GB2312" w:hAnsi="仿宋_GB2312" w:eastAsia="仿宋_GB2312"/>
      <w:kern w:val="2"/>
      <w:sz w:val="24"/>
      <w:lang w:bidi="ar-SA"/>
    </w:rPr>
  </w:style>
  <w:style w:type="character" w:customStyle="1" w:styleId="183">
    <w:name w:val="h Char Char1"/>
    <w:qFormat/>
    <w:uiPriority w:val="0"/>
    <w:rPr>
      <w:rFonts w:eastAsia="宋体"/>
      <w:kern w:val="2"/>
      <w:sz w:val="18"/>
      <w:szCs w:val="18"/>
      <w:lang w:val="en-US" w:eastAsia="zh-CN" w:bidi="ar-SA"/>
    </w:rPr>
  </w:style>
  <w:style w:type="character" w:customStyle="1" w:styleId="184">
    <w:name w:val="Char Char27"/>
    <w:qFormat/>
    <w:uiPriority w:val="6"/>
    <w:rPr>
      <w:rFonts w:ascii="宋体" w:hAnsi="宋体" w:eastAsia="宋体"/>
      <w:color w:val="000000"/>
      <w:kern w:val="1"/>
      <w:sz w:val="28"/>
      <w:lang w:val="en-US" w:eastAsia="zh-CN" w:bidi="ar-SA"/>
    </w:rPr>
  </w:style>
  <w:style w:type="character" w:customStyle="1" w:styleId="185">
    <w:name w:val="px14"/>
    <w:qFormat/>
    <w:uiPriority w:val="0"/>
    <w:rPr>
      <w:rFonts w:ascii="仿宋_GB2312" w:eastAsia="微软雅黑" w:cs="Times New Roman"/>
      <w:b/>
      <w:kern w:val="2"/>
      <w:sz w:val="32"/>
      <w:szCs w:val="32"/>
      <w:lang w:val="en-US" w:eastAsia="zh-CN" w:bidi="ar-SA"/>
    </w:rPr>
  </w:style>
  <w:style w:type="character" w:customStyle="1" w:styleId="186">
    <w:name w:val="HTML 预设格式 Char1"/>
    <w:qFormat/>
    <w:uiPriority w:val="0"/>
    <w:rPr>
      <w:rFonts w:ascii="Courier New" w:hAnsi="Courier New" w:eastAsia="宋体" w:cs="Courier New"/>
      <w:sz w:val="20"/>
      <w:szCs w:val="20"/>
    </w:rPr>
  </w:style>
  <w:style w:type="character" w:customStyle="1" w:styleId="187">
    <w:name w:val="普通文字 Char1"/>
    <w:qFormat/>
    <w:uiPriority w:val="0"/>
    <w:rPr>
      <w:rFonts w:ascii="宋体" w:hAnsi="Courier New" w:eastAsia="宋体"/>
      <w:kern w:val="2"/>
      <w:sz w:val="21"/>
      <w:lang w:val="en-US" w:eastAsia="zh-CN"/>
    </w:rPr>
  </w:style>
  <w:style w:type="character" w:customStyle="1" w:styleId="188">
    <w:name w:val="hei16b1"/>
    <w:qFormat/>
    <w:uiPriority w:val="0"/>
    <w:rPr>
      <w:rFonts w:hint="default" w:ascii="Arial" w:hAnsi="Arial" w:cs="Arial"/>
      <w:b/>
      <w:bCs/>
      <w:color w:val="000000"/>
      <w:sz w:val="24"/>
      <w:szCs w:val="24"/>
    </w:rPr>
  </w:style>
  <w:style w:type="character" w:customStyle="1" w:styleId="189">
    <w:name w:val="正文（绿盟科技） Char"/>
    <w:link w:val="190"/>
    <w:qFormat/>
    <w:uiPriority w:val="0"/>
    <w:rPr>
      <w:rFonts w:ascii="Arial" w:hAnsi="Arial"/>
      <w:sz w:val="21"/>
      <w:szCs w:val="21"/>
    </w:rPr>
  </w:style>
  <w:style w:type="paragraph" w:customStyle="1" w:styleId="190">
    <w:name w:val="正文（绿盟科技）"/>
    <w:link w:val="189"/>
    <w:qFormat/>
    <w:uiPriority w:val="0"/>
    <w:pPr>
      <w:spacing w:line="300" w:lineRule="auto"/>
    </w:pPr>
    <w:rPr>
      <w:rFonts w:ascii="Arial" w:hAnsi="Arial" w:eastAsia="宋体" w:cs="Times New Roman"/>
      <w:sz w:val="21"/>
      <w:szCs w:val="21"/>
      <w:lang w:val="en-US" w:eastAsia="zh-CN" w:bidi="ar-SA"/>
    </w:rPr>
  </w:style>
  <w:style w:type="character" w:customStyle="1" w:styleId="191">
    <w:name w:val="Char Char19"/>
    <w:qFormat/>
    <w:uiPriority w:val="6"/>
    <w:rPr>
      <w:rFonts w:ascii="宋体" w:hAnsi="宋体"/>
      <w:i/>
      <w:sz w:val="24"/>
      <w:szCs w:val="24"/>
    </w:rPr>
  </w:style>
  <w:style w:type="character" w:customStyle="1" w:styleId="192">
    <w:name w:val="页脚 Char"/>
    <w:qFormat/>
    <w:uiPriority w:val="99"/>
    <w:rPr>
      <w:rFonts w:eastAsia="仿宋_GB2312"/>
      <w:kern w:val="2"/>
      <w:sz w:val="18"/>
      <w:lang w:val="en-US" w:eastAsia="zh-CN"/>
    </w:rPr>
  </w:style>
  <w:style w:type="character" w:customStyle="1" w:styleId="193">
    <w:name w:val="批注主题 Char"/>
    <w:qFormat/>
    <w:uiPriority w:val="0"/>
    <w:rPr>
      <w:rFonts w:eastAsia="宋体"/>
      <w:b/>
      <w:bCs/>
      <w:kern w:val="2"/>
      <w:sz w:val="21"/>
      <w:szCs w:val="24"/>
      <w:lang w:val="en-US" w:eastAsia="zh-CN" w:bidi="ar-SA"/>
    </w:rPr>
  </w:style>
  <w:style w:type="character" w:customStyle="1" w:styleId="194">
    <w:name w:val="Comment Text Char"/>
    <w:qFormat/>
    <w:locked/>
    <w:uiPriority w:val="0"/>
    <w:rPr>
      <w:rFonts w:ascii="宋体" w:hAnsi="宋体" w:eastAsia="宋体"/>
      <w:kern w:val="2"/>
      <w:sz w:val="24"/>
      <w:lang w:val="en-US" w:eastAsia="zh-CN" w:bidi="ar-SA"/>
    </w:rPr>
  </w:style>
  <w:style w:type="character" w:customStyle="1" w:styleId="195">
    <w:name w:val="标题 2 字符"/>
    <w:qFormat/>
    <w:uiPriority w:val="1"/>
    <w:rPr>
      <w:rFonts w:ascii="仿宋_GB2312" w:hAnsi="Times New Roman" w:eastAsia="仿宋_GB2312" w:cs="Times New Roman"/>
      <w:b/>
      <w:kern w:val="2"/>
      <w:sz w:val="24"/>
      <w:lang w:val="zh-CN"/>
    </w:rPr>
  </w:style>
  <w:style w:type="character" w:customStyle="1" w:styleId="196">
    <w:name w:val="Char Char72"/>
    <w:qFormat/>
    <w:uiPriority w:val="0"/>
    <w:rPr>
      <w:rFonts w:eastAsia="宋体"/>
      <w:kern w:val="2"/>
      <w:sz w:val="21"/>
      <w:szCs w:val="24"/>
      <w:lang w:val="en-US" w:eastAsia="zh-CN" w:bidi="ar-SA"/>
    </w:rPr>
  </w:style>
  <w:style w:type="character" w:customStyle="1" w:styleId="197">
    <w:name w:val="正文文本缩进 Char2"/>
    <w:qFormat/>
    <w:uiPriority w:val="0"/>
    <w:rPr>
      <w:rFonts w:ascii="Times New Roman" w:hAnsi="Times New Roman" w:eastAsia="宋体" w:cs="Times New Roman"/>
      <w:snapToGrid w:val="0"/>
      <w:kern w:val="0"/>
      <w:szCs w:val="24"/>
    </w:rPr>
  </w:style>
  <w:style w:type="character" w:customStyle="1" w:styleId="198">
    <w:name w:val="样式2 Char"/>
    <w:qFormat/>
    <w:uiPriority w:val="0"/>
    <w:rPr>
      <w:rFonts w:ascii="仿宋_GB2312" w:hAnsi="仿宋" w:eastAsia="仿宋_GB2312" w:cs="仿宋_GB2312"/>
      <w:b/>
      <w:bCs/>
      <w:sz w:val="32"/>
      <w:szCs w:val="30"/>
      <w:lang w:val="zh-CN"/>
    </w:rPr>
  </w:style>
  <w:style w:type="character" w:customStyle="1" w:styleId="199">
    <w:name w:val="表格名称[858D7CFB-ED40-4347-BF05-701D383B685F]"/>
    <w:link w:val="200"/>
    <w:qFormat/>
    <w:uiPriority w:val="0"/>
    <w:rPr>
      <w:sz w:val="32"/>
    </w:rPr>
  </w:style>
  <w:style w:type="paragraph" w:customStyle="1" w:styleId="200">
    <w:name w:val="表格名称"/>
    <w:basedOn w:val="3"/>
    <w:link w:val="19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1">
    <w:name w:val="Char Char4"/>
    <w:qFormat/>
    <w:uiPriority w:val="0"/>
    <w:rPr>
      <w:rFonts w:eastAsia="宋体"/>
      <w:b/>
      <w:sz w:val="24"/>
      <w:lang w:val="en-GB" w:eastAsia="zh-CN" w:bidi="ar-SA"/>
    </w:rPr>
  </w:style>
  <w:style w:type="character" w:customStyle="1" w:styleId="202">
    <w:name w:val="c7 style3"/>
    <w:qFormat/>
    <w:uiPriority w:val="0"/>
  </w:style>
  <w:style w:type="character" w:customStyle="1" w:styleId="203">
    <w:name w:val="正文文本 3 Char1"/>
    <w:semiHidden/>
    <w:qFormat/>
    <w:uiPriority w:val="99"/>
    <w:rPr>
      <w:rFonts w:ascii="Times New Roman" w:hAnsi="Times New Roman" w:eastAsia="宋体" w:cs="Times New Roman"/>
      <w:sz w:val="16"/>
      <w:szCs w:val="16"/>
    </w:rPr>
  </w:style>
  <w:style w:type="character" w:customStyle="1" w:styleId="204">
    <w:name w:val="tw4winInternal"/>
    <w:qFormat/>
    <w:uiPriority w:val="0"/>
    <w:rPr>
      <w:rFonts w:ascii="Courier New" w:hAnsi="Courier New" w:cs="Courier New"/>
      <w:color w:val="FF0000"/>
      <w:lang w:val="en-US" w:eastAsia="zh-CN"/>
    </w:rPr>
  </w:style>
  <w:style w:type="character" w:customStyle="1" w:styleId="205">
    <w:name w:val="Char Char10"/>
    <w:semiHidden/>
    <w:qFormat/>
    <w:uiPriority w:val="0"/>
    <w:rPr>
      <w:rFonts w:ascii="宋体" w:hAnsi="宋体"/>
      <w:kern w:val="2"/>
      <w:sz w:val="21"/>
      <w:szCs w:val="24"/>
      <w:lang w:val="en-US" w:eastAsia="zh-CN"/>
    </w:rPr>
  </w:style>
  <w:style w:type="character" w:customStyle="1" w:styleId="206">
    <w:name w:val="shadow11"/>
    <w:qFormat/>
    <w:uiPriority w:val="0"/>
    <w:rPr>
      <w:color w:val="000000"/>
      <w:sz w:val="21"/>
    </w:rPr>
  </w:style>
  <w:style w:type="character" w:customStyle="1" w:styleId="207">
    <w:name w:val="正文非缩进 Char3"/>
    <w:qFormat/>
    <w:uiPriority w:val="0"/>
    <w:rPr>
      <w:rFonts w:ascii="宋体" w:eastAsia="宋体"/>
      <w:snapToGrid w:val="0"/>
      <w:color w:val="000000"/>
      <w:kern w:val="28"/>
      <w:sz w:val="28"/>
      <w:lang w:val="en-US" w:eastAsia="zh-CN" w:bidi="ar-SA"/>
    </w:rPr>
  </w:style>
  <w:style w:type="character" w:customStyle="1" w:styleId="208">
    <w:name w:val="Char Char"/>
    <w:qFormat/>
    <w:uiPriority w:val="0"/>
    <w:rPr>
      <w:rFonts w:ascii="宋体" w:hAnsi="Courier New" w:eastAsia="宋体"/>
      <w:kern w:val="2"/>
      <w:sz w:val="21"/>
      <w:lang w:val="en-US" w:eastAsia="zh-CN" w:bidi="ar-SA"/>
    </w:rPr>
  </w:style>
  <w:style w:type="character" w:customStyle="1" w:styleId="209">
    <w:name w:val="签名 Char1"/>
    <w:qFormat/>
    <w:uiPriority w:val="0"/>
    <w:rPr>
      <w:rFonts w:ascii="Times New Roman" w:hAnsi="Times New Roman" w:eastAsia="宋体" w:cs="Times New Roman"/>
      <w:szCs w:val="24"/>
    </w:rPr>
  </w:style>
  <w:style w:type="character" w:customStyle="1" w:styleId="210">
    <w:name w:val="Char Char18"/>
    <w:qFormat/>
    <w:uiPriority w:val="6"/>
    <w:rPr>
      <w:rFonts w:ascii="宋体" w:hAnsi="宋体"/>
      <w:sz w:val="28"/>
    </w:rPr>
  </w:style>
  <w:style w:type="character" w:customStyle="1" w:styleId="211">
    <w:name w:val="批注文字 Char"/>
    <w:qFormat/>
    <w:uiPriority w:val="99"/>
    <w:rPr>
      <w:kern w:val="2"/>
      <w:sz w:val="21"/>
      <w:szCs w:val="24"/>
    </w:rPr>
  </w:style>
  <w:style w:type="character" w:customStyle="1" w:styleId="212">
    <w:name w:val="Char Char22"/>
    <w:qFormat/>
    <w:uiPriority w:val="6"/>
    <w:rPr>
      <w:rFonts w:ascii="宋体" w:hAnsi="宋体"/>
      <w:kern w:val="1"/>
      <w:sz w:val="24"/>
      <w:szCs w:val="24"/>
    </w:rPr>
  </w:style>
  <w:style w:type="character" w:customStyle="1" w:styleId="213">
    <w:name w:val="pt141"/>
    <w:qFormat/>
    <w:uiPriority w:val="0"/>
    <w:rPr>
      <w:color w:val="330066"/>
      <w:sz w:val="22"/>
      <w:szCs w:val="22"/>
    </w:rPr>
  </w:style>
  <w:style w:type="character" w:customStyle="1" w:styleId="214">
    <w:name w:val="正文文本缩进 2 Char1"/>
    <w:semiHidden/>
    <w:qFormat/>
    <w:uiPriority w:val="99"/>
    <w:rPr>
      <w:rFonts w:ascii="Times New Roman" w:hAnsi="Times New Roman" w:eastAsia="宋体" w:cs="Times New Roman"/>
      <w:szCs w:val="24"/>
    </w:rPr>
  </w:style>
  <w:style w:type="character" w:customStyle="1" w:styleId="215">
    <w:name w:val="Char Char611"/>
    <w:qFormat/>
    <w:uiPriority w:val="0"/>
    <w:rPr>
      <w:rFonts w:eastAsia="宋体"/>
      <w:kern w:val="2"/>
      <w:sz w:val="21"/>
      <w:szCs w:val="24"/>
      <w:lang w:val="en-US" w:eastAsia="zh-CN" w:bidi="ar-SA"/>
    </w:rPr>
  </w:style>
  <w:style w:type="character" w:customStyle="1" w:styleId="216">
    <w:name w:val="highlight1"/>
    <w:qFormat/>
    <w:uiPriority w:val="0"/>
    <w:rPr>
      <w:rFonts w:ascii="仿宋_GB2312" w:eastAsia="微软雅黑"/>
      <w:b/>
      <w:kern w:val="2"/>
      <w:sz w:val="23"/>
      <w:szCs w:val="23"/>
      <w:lang w:val="en-US" w:eastAsia="zh-CN" w:bidi="ar-SA"/>
    </w:rPr>
  </w:style>
  <w:style w:type="character" w:customStyle="1" w:styleId="217">
    <w:name w:val="my正文 Char"/>
    <w:link w:val="218"/>
    <w:qFormat/>
    <w:locked/>
    <w:uiPriority w:val="0"/>
    <w:rPr>
      <w:rFonts w:ascii="Tahoma" w:hAnsi="Tahoma"/>
      <w:sz w:val="24"/>
      <w:szCs w:val="24"/>
    </w:rPr>
  </w:style>
  <w:style w:type="paragraph" w:customStyle="1" w:styleId="218">
    <w:name w:val="my正文"/>
    <w:basedOn w:val="1"/>
    <w:link w:val="217"/>
    <w:qFormat/>
    <w:uiPriority w:val="0"/>
    <w:pPr>
      <w:adjustRightInd/>
      <w:spacing w:line="360" w:lineRule="auto"/>
      <w:ind w:firstLine="480" w:firstLineChars="200"/>
    </w:pPr>
    <w:rPr>
      <w:rFonts w:ascii="Tahoma" w:hAnsi="Tahoma"/>
      <w:kern w:val="0"/>
      <w:sz w:val="24"/>
    </w:rPr>
  </w:style>
  <w:style w:type="character" w:customStyle="1" w:styleId="219">
    <w:name w:val="Used by Word for text of Help footnotes Char Char1"/>
    <w:qFormat/>
    <w:uiPriority w:val="0"/>
    <w:rPr>
      <w:color w:val="0000FF"/>
      <w:sz w:val="21"/>
    </w:rPr>
  </w:style>
  <w:style w:type="character" w:customStyle="1" w:styleId="220">
    <w:name w:val="页眉 Char"/>
    <w:qFormat/>
    <w:uiPriority w:val="99"/>
    <w:rPr>
      <w:rFonts w:eastAsia="仿宋_GB2312"/>
      <w:kern w:val="2"/>
      <w:sz w:val="18"/>
      <w:lang w:val="en-US" w:eastAsia="zh-CN"/>
    </w:rPr>
  </w:style>
  <w:style w:type="character" w:customStyle="1" w:styleId="221">
    <w:name w:val="FA正文 Char Char"/>
    <w:qFormat/>
    <w:uiPriority w:val="0"/>
    <w:rPr>
      <w:rFonts w:hAnsi="宋体"/>
      <w:kern w:val="2"/>
      <w:sz w:val="24"/>
      <w:lang w:bidi="ar-SA"/>
    </w:rPr>
  </w:style>
  <w:style w:type="character" w:customStyle="1" w:styleId="222">
    <w:name w:val="纯文本 字符"/>
    <w:qFormat/>
    <w:uiPriority w:val="99"/>
    <w:rPr>
      <w:rFonts w:ascii="宋体" w:hAnsi="Courier New" w:eastAsia="宋体" w:cs="Arial"/>
      <w:snapToGrid w:val="0"/>
      <w:kern w:val="2"/>
      <w:sz w:val="21"/>
      <w:szCs w:val="21"/>
      <w:lang w:val="en-US" w:eastAsia="zh-CN" w:bidi="ar-SA"/>
    </w:rPr>
  </w:style>
  <w:style w:type="character" w:customStyle="1" w:styleId="223">
    <w:name w:val="3级 Char"/>
    <w:link w:val="224"/>
    <w:qFormat/>
    <w:uiPriority w:val="0"/>
    <w:rPr>
      <w:rFonts w:ascii="宋体" w:hAnsi="宋体"/>
      <w:b/>
      <w:bCs/>
      <w:snapToGrid/>
      <w:sz w:val="28"/>
    </w:rPr>
  </w:style>
  <w:style w:type="paragraph" w:customStyle="1" w:styleId="224">
    <w:name w:val="3级"/>
    <w:basedOn w:val="225"/>
    <w:link w:val="223"/>
    <w:qFormat/>
    <w:uiPriority w:val="0"/>
    <w:pPr>
      <w:ind w:left="0" w:right="466" w:firstLine="288"/>
    </w:pPr>
    <w:rPr>
      <w:rFonts w:hAnsi="宋体"/>
      <w:snapToGrid/>
    </w:rPr>
  </w:style>
  <w:style w:type="paragraph" w:customStyle="1" w:styleId="22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6">
    <w:name w:val="myp11"/>
    <w:qFormat/>
    <w:uiPriority w:val="0"/>
    <w:rPr>
      <w:rFonts w:ascii="仿宋_GB2312" w:eastAsia="微软雅黑"/>
      <w:b/>
      <w:kern w:val="2"/>
      <w:sz w:val="32"/>
      <w:szCs w:val="32"/>
      <w:lang w:val="en-US" w:eastAsia="zh-CN" w:bidi="ar-SA"/>
    </w:rPr>
  </w:style>
  <w:style w:type="character" w:customStyle="1" w:styleId="227">
    <w:name w:val="H6 Char"/>
    <w:qFormat/>
    <w:uiPriority w:val="0"/>
    <w:rPr>
      <w:rFonts w:ascii="Arial" w:hAnsi="Arial" w:eastAsia="黑体"/>
      <w:b/>
      <w:bCs/>
      <w:kern w:val="2"/>
      <w:sz w:val="24"/>
      <w:szCs w:val="24"/>
    </w:rPr>
  </w:style>
  <w:style w:type="character" w:customStyle="1" w:styleId="228">
    <w:name w:val="Char Char91"/>
    <w:qFormat/>
    <w:uiPriority w:val="0"/>
    <w:rPr>
      <w:rFonts w:eastAsia="宋体"/>
      <w:kern w:val="2"/>
      <w:sz w:val="18"/>
      <w:szCs w:val="18"/>
      <w:lang w:val="en-US" w:eastAsia="zh-CN" w:bidi="ar-SA"/>
    </w:rPr>
  </w:style>
  <w:style w:type="character" w:customStyle="1" w:styleId="229">
    <w:name w:val="副标题 Char1"/>
    <w:qFormat/>
    <w:uiPriority w:val="0"/>
    <w:rPr>
      <w:rFonts w:ascii="Cambria" w:hAnsi="Cambria" w:eastAsia="宋体" w:cs="Times New Roman"/>
      <w:b/>
      <w:bCs/>
      <w:snapToGrid w:val="0"/>
      <w:kern w:val="28"/>
      <w:sz w:val="32"/>
      <w:szCs w:val="32"/>
    </w:rPr>
  </w:style>
  <w:style w:type="character" w:customStyle="1" w:styleId="230">
    <w:name w:val="font61"/>
    <w:basedOn w:val="72"/>
    <w:qFormat/>
    <w:uiPriority w:val="0"/>
    <w:rPr>
      <w:rFonts w:hint="eastAsia" w:ascii="仿宋" w:hAnsi="仿宋" w:eastAsia="仿宋" w:cs="仿宋"/>
      <w:color w:val="000000"/>
      <w:sz w:val="20"/>
      <w:szCs w:val="20"/>
      <w:u w:val="none"/>
    </w:rPr>
  </w:style>
  <w:style w:type="character" w:customStyle="1" w:styleId="2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2">
    <w:name w:val="Char Char211"/>
    <w:qFormat/>
    <w:uiPriority w:val="0"/>
    <w:rPr>
      <w:rFonts w:eastAsia="宋体"/>
      <w:b/>
      <w:bCs/>
      <w:kern w:val="2"/>
      <w:sz w:val="21"/>
      <w:szCs w:val="24"/>
      <w:lang w:val="en-US" w:eastAsia="zh-CN" w:bidi="ar-SA"/>
    </w:rPr>
  </w:style>
  <w:style w:type="character" w:customStyle="1" w:styleId="233">
    <w:name w:val="标题 2 Char"/>
    <w:qFormat/>
    <w:uiPriority w:val="9"/>
    <w:rPr>
      <w:rFonts w:ascii="Arial" w:hAnsi="Arial" w:eastAsia="黑体"/>
      <w:b/>
      <w:kern w:val="2"/>
      <w:sz w:val="32"/>
      <w:lang w:val="en-US" w:eastAsia="zh-CN"/>
    </w:rPr>
  </w:style>
  <w:style w:type="character" w:customStyle="1" w:styleId="234">
    <w:name w:val="maywed421"/>
    <w:qFormat/>
    <w:uiPriority w:val="0"/>
    <w:rPr>
      <w:color w:val="366FB6"/>
      <w:u w:val="none"/>
    </w:rPr>
  </w:style>
  <w:style w:type="character" w:customStyle="1" w:styleId="235">
    <w:name w:val="正文文本缩进 Char"/>
    <w:qFormat/>
    <w:uiPriority w:val="99"/>
    <w:rPr>
      <w:rFonts w:ascii="宋体" w:hAnsi="宋体"/>
      <w:kern w:val="2"/>
      <w:sz w:val="24"/>
      <w:szCs w:val="24"/>
    </w:rPr>
  </w:style>
  <w:style w:type="character" w:customStyle="1" w:styleId="236">
    <w:name w:val="Char Char102"/>
    <w:semiHidden/>
    <w:qFormat/>
    <w:uiPriority w:val="0"/>
    <w:rPr>
      <w:rFonts w:ascii="宋体" w:hAnsi="宋体"/>
      <w:kern w:val="2"/>
      <w:sz w:val="21"/>
      <w:szCs w:val="24"/>
      <w:lang w:val="en-US" w:eastAsia="zh-CN"/>
    </w:rPr>
  </w:style>
  <w:style w:type="character" w:customStyle="1" w:styleId="237">
    <w:name w:val="页眉 Char1"/>
    <w:qFormat/>
    <w:uiPriority w:val="0"/>
    <w:rPr>
      <w:rFonts w:eastAsia="宋体"/>
      <w:kern w:val="2"/>
      <w:sz w:val="18"/>
      <w:szCs w:val="18"/>
      <w:lang w:val="en-US" w:eastAsia="zh-CN" w:bidi="ar-SA"/>
    </w:rPr>
  </w:style>
  <w:style w:type="character" w:customStyle="1" w:styleId="238">
    <w:name w:val="md"/>
    <w:basedOn w:val="72"/>
    <w:qFormat/>
    <w:uiPriority w:val="0"/>
    <w:rPr>
      <w:rFonts w:ascii="Arial" w:hAnsi="Arial" w:eastAsia="黑体" w:cs="Arial"/>
      <w:snapToGrid w:val="0"/>
      <w:kern w:val="0"/>
      <w:szCs w:val="21"/>
    </w:rPr>
  </w:style>
  <w:style w:type="character" w:customStyle="1" w:styleId="239">
    <w:name w:val="big1"/>
    <w:qFormat/>
    <w:uiPriority w:val="0"/>
    <w:rPr>
      <w:rFonts w:hint="eastAsia" w:ascii="宋体" w:hAnsi="宋体" w:eastAsia="宋体"/>
      <w:color w:val="333333"/>
      <w:sz w:val="22"/>
      <w:szCs w:val="22"/>
    </w:rPr>
  </w:style>
  <w:style w:type="character" w:customStyle="1" w:styleId="240">
    <w:name w:val="Char Char311"/>
    <w:qFormat/>
    <w:uiPriority w:val="0"/>
    <w:rPr>
      <w:rFonts w:eastAsia="宋体"/>
      <w:kern w:val="2"/>
      <w:sz w:val="21"/>
      <w:szCs w:val="24"/>
      <w:lang w:val="en-US" w:eastAsia="zh-CN" w:bidi="ar-SA"/>
    </w:rPr>
  </w:style>
  <w:style w:type="character" w:customStyle="1" w:styleId="241">
    <w:name w:val="Char Char81"/>
    <w:qFormat/>
    <w:uiPriority w:val="6"/>
    <w:rPr>
      <w:rFonts w:eastAsia="宋体"/>
      <w:b/>
      <w:sz w:val="24"/>
      <w:lang w:val="en-GB" w:eastAsia="zh-CN"/>
    </w:rPr>
  </w:style>
  <w:style w:type="character" w:customStyle="1" w:styleId="242">
    <w:name w:val="样式3 Char"/>
    <w:basedOn w:val="198"/>
    <w:qFormat/>
    <w:uiPriority w:val="0"/>
    <w:rPr>
      <w:rFonts w:ascii="仿宋_GB2312" w:hAnsi="仿宋" w:eastAsia="仿宋_GB2312" w:cs="仿宋_GB2312"/>
      <w:sz w:val="32"/>
      <w:szCs w:val="30"/>
      <w:lang w:val="zh-CN"/>
    </w:rPr>
  </w:style>
  <w:style w:type="character" w:customStyle="1" w:styleId="243">
    <w:name w:val="正文首行缩进 2 Char1"/>
    <w:qFormat/>
    <w:uiPriority w:val="0"/>
    <w:rPr>
      <w:rFonts w:ascii="Times New Roman" w:hAnsi="Times New Roman" w:eastAsia="宋体" w:cs="Times New Roman"/>
      <w:kern w:val="2"/>
      <w:sz w:val="24"/>
      <w:szCs w:val="24"/>
    </w:rPr>
  </w:style>
  <w:style w:type="character" w:customStyle="1" w:styleId="244">
    <w:name w:val="副标题 Char2"/>
    <w:qFormat/>
    <w:uiPriority w:val="0"/>
    <w:rPr>
      <w:rFonts w:ascii="Cambria" w:hAnsi="Cambria" w:eastAsia="宋体" w:cs="Times New Roman"/>
      <w:b/>
      <w:bCs/>
      <w:snapToGrid w:val="0"/>
      <w:kern w:val="28"/>
      <w:sz w:val="32"/>
      <w:szCs w:val="32"/>
    </w:rPr>
  </w:style>
  <w:style w:type="character" w:customStyle="1" w:styleId="245">
    <w:name w:val="标题4-dyf Char"/>
    <w:link w:val="246"/>
    <w:qFormat/>
    <w:uiPriority w:val="0"/>
    <w:rPr>
      <w:rFonts w:ascii="Cambria" w:hAnsi="Cambria"/>
      <w:b/>
      <w:bCs/>
      <w:color w:val="000000"/>
      <w:kern w:val="2"/>
      <w:sz w:val="21"/>
      <w:szCs w:val="21"/>
    </w:rPr>
  </w:style>
  <w:style w:type="paragraph" w:customStyle="1" w:styleId="246">
    <w:name w:val="标题4-dyf"/>
    <w:basedOn w:val="6"/>
    <w:link w:val="2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7">
    <w:name w:val="dectext1"/>
    <w:qFormat/>
    <w:uiPriority w:val="0"/>
    <w:rPr>
      <w:rFonts w:ascii="宋体" w:hAnsi="宋体" w:eastAsia="宋体"/>
      <w:color w:val="333333"/>
      <w:sz w:val="21"/>
      <w:szCs w:val="21"/>
      <w:u w:val="none"/>
    </w:rPr>
  </w:style>
  <w:style w:type="character" w:customStyle="1" w:styleId="248">
    <w:name w:val="冯 Char"/>
    <w:link w:val="249"/>
    <w:qFormat/>
    <w:uiPriority w:val="0"/>
    <w:rPr>
      <w:rFonts w:ascii="宋体" w:hAnsi="宋体"/>
      <w:color w:val="000000"/>
      <w:sz w:val="24"/>
      <w:szCs w:val="24"/>
    </w:rPr>
  </w:style>
  <w:style w:type="paragraph" w:customStyle="1" w:styleId="249">
    <w:name w:val="冯"/>
    <w:basedOn w:val="1"/>
    <w:link w:val="248"/>
    <w:qFormat/>
    <w:uiPriority w:val="0"/>
    <w:pPr>
      <w:widowControl/>
      <w:adjustRightInd/>
      <w:spacing w:line="360" w:lineRule="auto"/>
      <w:ind w:firstLine="480" w:firstLineChars="200"/>
    </w:pPr>
    <w:rPr>
      <w:rFonts w:ascii="宋体" w:hAnsi="宋体"/>
      <w:color w:val="000000"/>
      <w:kern w:val="0"/>
      <w:sz w:val="24"/>
    </w:rPr>
  </w:style>
  <w:style w:type="character" w:customStyle="1" w:styleId="250">
    <w:name w:val="Header Char"/>
    <w:qFormat/>
    <w:locked/>
    <w:uiPriority w:val="0"/>
    <w:rPr>
      <w:rFonts w:eastAsia="宋体"/>
      <w:kern w:val="2"/>
      <w:sz w:val="18"/>
      <w:szCs w:val="18"/>
      <w:lang w:val="en-US" w:eastAsia="zh-CN" w:bidi="ar-SA"/>
    </w:rPr>
  </w:style>
  <w:style w:type="character" w:customStyle="1" w:styleId="251">
    <w:name w:val="Char Char12"/>
    <w:qFormat/>
    <w:uiPriority w:val="0"/>
    <w:rPr>
      <w:rFonts w:ascii="仿宋_GB2312" w:eastAsia="仿宋_GB2312"/>
      <w:b/>
      <w:bCs/>
      <w:kern w:val="2"/>
      <w:sz w:val="24"/>
      <w:szCs w:val="24"/>
      <w:lang w:val="zh-CN" w:eastAsia="zh-CN" w:bidi="ar-SA"/>
    </w:rPr>
  </w:style>
  <w:style w:type="character" w:customStyle="1" w:styleId="252">
    <w:name w:val="普通文字 Char3"/>
    <w:qFormat/>
    <w:uiPriority w:val="0"/>
    <w:rPr>
      <w:rFonts w:ascii="宋体" w:hAnsi="Courier New" w:eastAsia="宋体"/>
      <w:kern w:val="2"/>
      <w:sz w:val="21"/>
      <w:lang w:val="en-US" w:eastAsia="zh-CN" w:bidi="ar-SA"/>
    </w:rPr>
  </w:style>
  <w:style w:type="character" w:customStyle="1" w:styleId="253">
    <w:name w:val="公文正文 Char"/>
    <w:qFormat/>
    <w:uiPriority w:val="0"/>
    <w:rPr>
      <w:rFonts w:ascii="仿宋_GB2312" w:eastAsia="仿宋_GB2312"/>
      <w:kern w:val="2"/>
      <w:sz w:val="24"/>
      <w:szCs w:val="24"/>
      <w:lang w:val="en-US" w:eastAsia="zh-CN" w:bidi="ar-SA"/>
    </w:rPr>
  </w:style>
  <w:style w:type="character" w:customStyle="1" w:styleId="254">
    <w:name w:val="正文首行缩进 Char Char Char Char Char"/>
    <w:qFormat/>
    <w:uiPriority w:val="0"/>
    <w:rPr>
      <w:rFonts w:ascii="宋体"/>
      <w:kern w:val="2"/>
      <w:sz w:val="24"/>
      <w:lang w:val="zh-CN"/>
    </w:rPr>
  </w:style>
  <w:style w:type="character" w:customStyle="1" w:styleId="255">
    <w:name w:val="PI Char"/>
    <w:qFormat/>
    <w:uiPriority w:val="0"/>
    <w:rPr>
      <w:rFonts w:ascii="宋体" w:hAnsi="宋体" w:eastAsia="宋体"/>
      <w:kern w:val="2"/>
      <w:sz w:val="24"/>
      <w:szCs w:val="24"/>
      <w:lang w:val="en-US" w:eastAsia="zh-CN" w:bidi="ar-SA"/>
    </w:rPr>
  </w:style>
  <w:style w:type="character" w:customStyle="1" w:styleId="256">
    <w:name w:val="Default Char"/>
    <w:link w:val="257"/>
    <w:qFormat/>
    <w:uiPriority w:val="0"/>
    <w:rPr>
      <w:rFonts w:ascii="仿宋_GB2312" w:eastAsia="仿宋_GB2312" w:cs="仿宋_GB2312"/>
      <w:color w:val="000000"/>
      <w:sz w:val="24"/>
      <w:szCs w:val="24"/>
      <w:lang w:val="en-US" w:eastAsia="zh-CN" w:bidi="ar-SA"/>
    </w:rPr>
  </w:style>
  <w:style w:type="paragraph" w:customStyle="1" w:styleId="257">
    <w:name w:val="Default"/>
    <w:link w:val="256"/>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8">
    <w:name w:val="style91"/>
    <w:qFormat/>
    <w:uiPriority w:val="0"/>
    <w:rPr>
      <w:color w:val="333333"/>
    </w:rPr>
  </w:style>
  <w:style w:type="character" w:customStyle="1" w:styleId="259">
    <w:name w:val="列出段落 Char2"/>
    <w:qFormat/>
    <w:uiPriority w:val="34"/>
    <w:rPr>
      <w:rFonts w:ascii="Calibri" w:hAnsi="Calibri"/>
      <w:kern w:val="2"/>
      <w:sz w:val="28"/>
    </w:rPr>
  </w:style>
  <w:style w:type="character" w:customStyle="1" w:styleId="260">
    <w:name w:val="mdeck"/>
    <w:qFormat/>
    <w:uiPriority w:val="0"/>
    <w:rPr>
      <w:rFonts w:ascii="仿宋_GB2312" w:eastAsia="微软雅黑"/>
      <w:b/>
      <w:kern w:val="2"/>
      <w:sz w:val="32"/>
      <w:szCs w:val="32"/>
      <w:lang w:val="en-US" w:eastAsia="zh-CN" w:bidi="ar-SA"/>
    </w:rPr>
  </w:style>
  <w:style w:type="character" w:customStyle="1" w:styleId="261">
    <w:name w:val="unnamed11"/>
    <w:qFormat/>
    <w:uiPriority w:val="0"/>
    <w:rPr>
      <w:sz w:val="20"/>
      <w:szCs w:val="20"/>
    </w:rPr>
  </w:style>
  <w:style w:type="character" w:customStyle="1" w:styleId="262">
    <w:name w:val="正文文本 Char2"/>
    <w:semiHidden/>
    <w:qFormat/>
    <w:uiPriority w:val="99"/>
    <w:rPr>
      <w:rFonts w:ascii="Times New Roman" w:hAnsi="Times New Roman" w:eastAsia="宋体" w:cs="Times New Roman"/>
      <w:snapToGrid w:val="0"/>
      <w:kern w:val="0"/>
      <w:szCs w:val="24"/>
    </w:rPr>
  </w:style>
  <w:style w:type="character" w:customStyle="1" w:styleId="263">
    <w:name w:val="标书正文格式 Char"/>
    <w:qFormat/>
    <w:uiPriority w:val="0"/>
    <w:rPr>
      <w:rFonts w:eastAsia="楷体_GB2312"/>
      <w:kern w:val="2"/>
      <w:sz w:val="24"/>
      <w:szCs w:val="24"/>
      <w:lang w:bidi="ar-SA"/>
    </w:rPr>
  </w:style>
  <w:style w:type="character" w:customStyle="1" w:styleId="264">
    <w:name w:val="Char Char11"/>
    <w:qFormat/>
    <w:locked/>
    <w:uiPriority w:val="0"/>
    <w:rPr>
      <w:rFonts w:ascii="宋体" w:hAnsi="宋体" w:eastAsia="宋体"/>
      <w:b/>
      <w:kern w:val="2"/>
      <w:sz w:val="24"/>
      <w:szCs w:val="24"/>
      <w:lang w:val="en-US" w:eastAsia="zh-CN" w:bidi="ar-SA"/>
    </w:rPr>
  </w:style>
  <w:style w:type="character" w:customStyle="1" w:styleId="265">
    <w:name w:val="ca-131"/>
    <w:qFormat/>
    <w:uiPriority w:val="0"/>
    <w:rPr>
      <w:rFonts w:hint="eastAsia" w:ascii="仿宋_GB2312" w:eastAsia="仿宋_GB2312"/>
      <w:b/>
      <w:bCs/>
      <w:color w:val="000000"/>
      <w:spacing w:val="-20"/>
      <w:sz w:val="24"/>
      <w:szCs w:val="24"/>
    </w:rPr>
  </w:style>
  <w:style w:type="character" w:customStyle="1" w:styleId="266">
    <w:name w:val="tw4winMark"/>
    <w:qFormat/>
    <w:uiPriority w:val="0"/>
    <w:rPr>
      <w:rFonts w:ascii="Courier New" w:hAnsi="Courier New" w:cs="Courier New"/>
      <w:vanish/>
      <w:color w:val="800080"/>
      <w:sz w:val="24"/>
      <w:szCs w:val="24"/>
      <w:vertAlign w:val="subscript"/>
    </w:rPr>
  </w:style>
  <w:style w:type="character" w:customStyle="1" w:styleId="267">
    <w:name w:val="正文样式 Char"/>
    <w:link w:val="268"/>
    <w:qFormat/>
    <w:uiPriority w:val="0"/>
    <w:rPr>
      <w:rFonts w:ascii="Calibri" w:hAnsi="Calibri"/>
      <w:sz w:val="24"/>
      <w:szCs w:val="24"/>
    </w:rPr>
  </w:style>
  <w:style w:type="paragraph" w:customStyle="1" w:styleId="268">
    <w:name w:val="正文样式"/>
    <w:basedOn w:val="1"/>
    <w:link w:val="267"/>
    <w:qFormat/>
    <w:uiPriority w:val="0"/>
    <w:pPr>
      <w:adjustRightInd/>
      <w:spacing w:line="360" w:lineRule="auto"/>
      <w:ind w:firstLine="480" w:firstLineChars="200"/>
    </w:pPr>
    <w:rPr>
      <w:kern w:val="0"/>
      <w:sz w:val="24"/>
    </w:rPr>
  </w:style>
  <w:style w:type="character" w:customStyle="1" w:styleId="269">
    <w:name w:val="表正文 Char3"/>
    <w:qFormat/>
    <w:uiPriority w:val="0"/>
    <w:rPr>
      <w:rFonts w:eastAsia="宋体"/>
    </w:rPr>
  </w:style>
  <w:style w:type="character" w:customStyle="1" w:styleId="270">
    <w:name w:val="H5 Char"/>
    <w:qFormat/>
    <w:uiPriority w:val="0"/>
    <w:rPr>
      <w:b/>
      <w:bCs/>
      <w:kern w:val="2"/>
      <w:sz w:val="28"/>
      <w:szCs w:val="28"/>
    </w:rPr>
  </w:style>
  <w:style w:type="character" w:customStyle="1" w:styleId="271">
    <w:name w:val="Char Char3"/>
    <w:qFormat/>
    <w:uiPriority w:val="0"/>
    <w:rPr>
      <w:rFonts w:eastAsia="宋体"/>
      <w:kern w:val="2"/>
      <w:sz w:val="21"/>
      <w:szCs w:val="24"/>
      <w:lang w:val="en-US" w:eastAsia="zh-CN" w:bidi="ar-SA"/>
    </w:rPr>
  </w:style>
  <w:style w:type="character" w:customStyle="1" w:styleId="272">
    <w:name w:val="正文 编号 Char"/>
    <w:qFormat/>
    <w:uiPriority w:val="0"/>
    <w:rPr>
      <w:rFonts w:ascii="仿宋_GB2312" w:hAnsi="仿宋_GB2312" w:eastAsia="仿宋_GB2312"/>
      <w:kern w:val="2"/>
      <w:sz w:val="24"/>
      <w:lang w:bidi="ar-SA"/>
    </w:rPr>
  </w:style>
  <w:style w:type="character" w:customStyle="1" w:styleId="273">
    <w:name w:val="question-title2"/>
    <w:qFormat/>
    <w:uiPriority w:val="6"/>
    <w:rPr>
      <w:rFonts w:ascii="Arial" w:hAnsi="Arial" w:eastAsia="黑体" w:cs="Arial"/>
      <w:snapToGrid w:val="0"/>
      <w:kern w:val="0"/>
      <w:szCs w:val="21"/>
    </w:rPr>
  </w:style>
  <w:style w:type="character" w:customStyle="1" w:styleId="274">
    <w:name w:val="gf正文1 Char Char"/>
    <w:link w:val="275"/>
    <w:qFormat/>
    <w:uiPriority w:val="0"/>
    <w:rPr>
      <w:rFonts w:ascii="宋体" w:hAnsi="宋体" w:cs="宋体"/>
      <w:kern w:val="2"/>
      <w:sz w:val="24"/>
      <w:szCs w:val="24"/>
    </w:rPr>
  </w:style>
  <w:style w:type="paragraph" w:customStyle="1" w:styleId="275">
    <w:name w:val="gf正文1"/>
    <w:basedOn w:val="1"/>
    <w:link w:val="27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6">
    <w:name w:val="Char Char15"/>
    <w:qFormat/>
    <w:uiPriority w:val="6"/>
    <w:rPr>
      <w:rFonts w:ascii="宋体" w:hAnsi="宋体"/>
      <w:kern w:val="1"/>
      <w:sz w:val="21"/>
    </w:rPr>
  </w:style>
  <w:style w:type="character" w:customStyle="1" w:styleId="277">
    <w:name w:val="正文缩进 Char3"/>
    <w:qFormat/>
    <w:uiPriority w:val="0"/>
    <w:rPr>
      <w:rFonts w:ascii="宋体" w:eastAsia="宋体"/>
      <w:snapToGrid w:val="0"/>
      <w:color w:val="000000"/>
      <w:kern w:val="28"/>
      <w:sz w:val="28"/>
      <w:lang w:val="en-US" w:eastAsia="zh-CN" w:bidi="ar-SA"/>
    </w:rPr>
  </w:style>
  <w:style w:type="character" w:customStyle="1" w:styleId="278">
    <w:name w:val="列出段落 Char1"/>
    <w:link w:val="279"/>
    <w:qFormat/>
    <w:uiPriority w:val="0"/>
    <w:rPr>
      <w:rFonts w:ascii="Calibri" w:hAnsi="Calibri"/>
      <w:sz w:val="24"/>
      <w:lang w:eastAsia="en-US"/>
    </w:rPr>
  </w:style>
  <w:style w:type="paragraph" w:customStyle="1" w:styleId="279">
    <w:name w:val="列表1"/>
    <w:basedOn w:val="1"/>
    <w:next w:val="280"/>
    <w:link w:val="278"/>
    <w:qFormat/>
    <w:uiPriority w:val="0"/>
    <w:pPr>
      <w:widowControl/>
      <w:adjustRightInd/>
      <w:spacing w:after="200" w:line="360" w:lineRule="auto"/>
      <w:ind w:left="720" w:firstLine="200" w:firstLineChars="200"/>
      <w:jc w:val="left"/>
    </w:pPr>
    <w:rPr>
      <w:kern w:val="0"/>
      <w:sz w:val="24"/>
      <w:szCs w:val="20"/>
      <w:lang w:eastAsia="en-US"/>
    </w:rPr>
  </w:style>
  <w:style w:type="paragraph" w:styleId="280">
    <w:name w:val="List Paragraph"/>
    <w:basedOn w:val="1"/>
    <w:qFormat/>
    <w:uiPriority w:val="99"/>
    <w:pPr>
      <w:spacing w:line="360" w:lineRule="auto"/>
      <w:ind w:firstLine="200" w:firstLineChars="200"/>
    </w:pPr>
    <w:rPr>
      <w:rFonts w:eastAsia="楷体_GB2312" w:cs="Lucida Sans"/>
      <w:sz w:val="24"/>
    </w:rPr>
  </w:style>
  <w:style w:type="character" w:customStyle="1" w:styleId="281">
    <w:name w:val="Char Char8"/>
    <w:qFormat/>
    <w:uiPriority w:val="0"/>
    <w:rPr>
      <w:rFonts w:eastAsia="宋体"/>
      <w:b/>
      <w:sz w:val="24"/>
      <w:lang w:val="en-GB" w:eastAsia="zh-CN"/>
    </w:rPr>
  </w:style>
  <w:style w:type="character" w:customStyle="1" w:styleId="282">
    <w:name w:val="Normal Indent Char Char"/>
    <w:qFormat/>
    <w:uiPriority w:val="0"/>
    <w:rPr>
      <w:rFonts w:eastAsia="宋体"/>
      <w:kern w:val="2"/>
      <w:sz w:val="21"/>
      <w:lang w:val="en-US" w:eastAsia="zh-CN" w:bidi="ar-SA"/>
    </w:rPr>
  </w:style>
  <w:style w:type="character" w:customStyle="1" w:styleId="283">
    <w:name w:val="列表段落 字符"/>
    <w:link w:val="284"/>
    <w:qFormat/>
    <w:uiPriority w:val="34"/>
  </w:style>
  <w:style w:type="paragraph" w:customStyle="1" w:styleId="284">
    <w:name w:val="_Style 280"/>
    <w:basedOn w:val="1"/>
    <w:next w:val="280"/>
    <w:link w:val="283"/>
    <w:qFormat/>
    <w:uiPriority w:val="34"/>
    <w:pPr>
      <w:adjustRightInd/>
      <w:ind w:firstLine="420" w:firstLineChars="200"/>
    </w:pPr>
    <w:rPr>
      <w:rFonts w:ascii="Calibri" w:hAnsi="Calibri"/>
      <w:szCs w:val="22"/>
    </w:rPr>
  </w:style>
  <w:style w:type="character" w:customStyle="1" w:styleId="285">
    <w:name w:val="Ò³Ã¼ Char Char1"/>
    <w:qFormat/>
    <w:uiPriority w:val="0"/>
    <w:rPr>
      <w:rFonts w:eastAsia="宋体"/>
      <w:kern w:val="2"/>
      <w:sz w:val="18"/>
      <w:szCs w:val="18"/>
      <w:lang w:val="en-US" w:eastAsia="zh-CN" w:bidi="ar-SA"/>
    </w:rPr>
  </w:style>
  <w:style w:type="character" w:customStyle="1" w:styleId="286">
    <w:name w:val="方案正文 Char"/>
    <w:qFormat/>
    <w:uiPriority w:val="0"/>
    <w:rPr>
      <w:rFonts w:ascii="仿宋_GB2312" w:eastAsia="仿宋_GB2312"/>
      <w:b/>
      <w:color w:val="000000"/>
      <w:kern w:val="2"/>
      <w:sz w:val="24"/>
      <w:lang w:val="en-US" w:eastAsia="zh-CN" w:bidi="ar-SA"/>
    </w:rPr>
  </w:style>
  <w:style w:type="character" w:customStyle="1" w:styleId="287">
    <w:name w:val="Char Char30"/>
    <w:qFormat/>
    <w:uiPriority w:val="6"/>
    <w:rPr>
      <w:rFonts w:ascii="Arial" w:hAnsi="Arial" w:eastAsia="黑体"/>
      <w:kern w:val="1"/>
      <w:sz w:val="21"/>
      <w:szCs w:val="21"/>
    </w:rPr>
  </w:style>
  <w:style w:type="character" w:customStyle="1" w:styleId="288">
    <w:name w:val="font01"/>
    <w:basedOn w:val="72"/>
    <w:qFormat/>
    <w:uiPriority w:val="0"/>
    <w:rPr>
      <w:rFonts w:hint="eastAsia" w:ascii="微软雅黑" w:hAnsi="微软雅黑" w:eastAsia="微软雅黑" w:cs="微软雅黑"/>
      <w:color w:val="000000"/>
      <w:sz w:val="20"/>
      <w:szCs w:val="20"/>
      <w:u w:val="none"/>
    </w:rPr>
  </w:style>
  <w:style w:type="character" w:customStyle="1" w:styleId="289">
    <w:name w:val="Char Char20"/>
    <w:qFormat/>
    <w:uiPriority w:val="6"/>
    <w:rPr>
      <w:kern w:val="1"/>
      <w:sz w:val="24"/>
    </w:rPr>
  </w:style>
  <w:style w:type="character" w:customStyle="1" w:styleId="290">
    <w:name w:val="tw4winExternal"/>
    <w:qFormat/>
    <w:uiPriority w:val="0"/>
    <w:rPr>
      <w:rFonts w:ascii="Courier New" w:hAnsi="Courier New" w:cs="Courier New"/>
      <w:color w:val="808080"/>
      <w:lang w:val="en-US" w:eastAsia="zh-CN"/>
    </w:rPr>
  </w:style>
  <w:style w:type="character" w:customStyle="1" w:styleId="291">
    <w:name w:val="标题 4 Char1"/>
    <w:qFormat/>
    <w:uiPriority w:val="9"/>
    <w:rPr>
      <w:rFonts w:ascii="Cambria" w:hAnsi="Cambria" w:eastAsia="宋体" w:cs="Times New Roman"/>
      <w:b/>
      <w:bCs/>
      <w:kern w:val="2"/>
      <w:sz w:val="28"/>
      <w:szCs w:val="28"/>
    </w:rPr>
  </w:style>
  <w:style w:type="character" w:customStyle="1" w:styleId="292">
    <w:name w:val="批注文字 Char2"/>
    <w:qFormat/>
    <w:uiPriority w:val="99"/>
    <w:rPr>
      <w:rFonts w:ascii="Times New Roman" w:hAnsi="Times New Roman" w:eastAsia="宋体" w:cs="Times New Roman"/>
      <w:snapToGrid w:val="0"/>
      <w:kern w:val="0"/>
      <w:szCs w:val="24"/>
    </w:rPr>
  </w:style>
  <w:style w:type="character" w:customStyle="1" w:styleId="293">
    <w:name w:val="正文文本 2 Char"/>
    <w:qFormat/>
    <w:uiPriority w:val="0"/>
    <w:rPr>
      <w:rFonts w:eastAsia="宋体"/>
      <w:kern w:val="2"/>
      <w:sz w:val="21"/>
      <w:szCs w:val="24"/>
      <w:lang w:val="en-US" w:eastAsia="zh-CN" w:bidi="ar-SA"/>
    </w:rPr>
  </w:style>
  <w:style w:type="character" w:customStyle="1" w:styleId="294">
    <w:name w:val="Ò³Ã¼ Char Char"/>
    <w:qFormat/>
    <w:uiPriority w:val="0"/>
    <w:rPr>
      <w:rFonts w:eastAsia="宋体"/>
      <w:kern w:val="2"/>
      <w:sz w:val="18"/>
      <w:lang w:val="en-US" w:eastAsia="zh-CN" w:bidi="ar-SA"/>
    </w:rPr>
  </w:style>
  <w:style w:type="character" w:customStyle="1" w:styleId="295">
    <w:name w:val="message1"/>
    <w:qFormat/>
    <w:uiPriority w:val="0"/>
    <w:rPr>
      <w:rFonts w:hint="default" w:ascii="Tahoma" w:hAnsi="Tahoma" w:cs="Tahoma"/>
      <w:sz w:val="18"/>
      <w:szCs w:val="18"/>
    </w:rPr>
  </w:style>
  <w:style w:type="character" w:customStyle="1" w:styleId="296">
    <w:name w:val="Char Char23"/>
    <w:qFormat/>
    <w:uiPriority w:val="6"/>
    <w:rPr>
      <w:color w:val="0000FF"/>
      <w:sz w:val="21"/>
    </w:rPr>
  </w:style>
  <w:style w:type="character" w:customStyle="1" w:styleId="297">
    <w:name w:val="批注框文本 字符"/>
    <w:qFormat/>
    <w:uiPriority w:val="0"/>
    <w:rPr>
      <w:rFonts w:ascii="Arial" w:hAnsi="Arial" w:eastAsia="黑体" w:cs="Arial"/>
      <w:snapToGrid w:val="0"/>
      <w:kern w:val="0"/>
      <w:sz w:val="18"/>
      <w:szCs w:val="18"/>
    </w:rPr>
  </w:style>
  <w:style w:type="character" w:customStyle="1" w:styleId="298">
    <w:name w:val="纯文本 Char2"/>
    <w:semiHidden/>
    <w:qFormat/>
    <w:uiPriority w:val="99"/>
    <w:rPr>
      <w:rFonts w:ascii="宋体" w:hAnsi="Courier New" w:eastAsia="宋体" w:cs="Courier New"/>
    </w:rPr>
  </w:style>
  <w:style w:type="character" w:customStyle="1" w:styleId="299">
    <w:name w:val="Char Char25"/>
    <w:qFormat/>
    <w:uiPriority w:val="6"/>
    <w:rPr>
      <w:rFonts w:ascii="宋体" w:hAnsi="宋体"/>
      <w:kern w:val="1"/>
      <w:sz w:val="24"/>
      <w:lang w:val="zh-CN"/>
    </w:rPr>
  </w:style>
  <w:style w:type="character" w:customStyle="1" w:styleId="300">
    <w:name w:val="Char Char411"/>
    <w:qFormat/>
    <w:uiPriority w:val="0"/>
    <w:rPr>
      <w:rFonts w:eastAsia="宋体"/>
      <w:b/>
      <w:sz w:val="24"/>
      <w:lang w:val="en-GB" w:eastAsia="zh-CN" w:bidi="ar-SA"/>
    </w:rPr>
  </w:style>
  <w:style w:type="character" w:customStyle="1" w:styleId="301">
    <w:name w:val="Heading 7 Char"/>
    <w:qFormat/>
    <w:locked/>
    <w:uiPriority w:val="0"/>
    <w:rPr>
      <w:rFonts w:ascii="宋体" w:hAnsi="宋体" w:eastAsia="宋体"/>
      <w:b/>
      <w:bCs/>
      <w:kern w:val="2"/>
      <w:sz w:val="24"/>
      <w:szCs w:val="24"/>
      <w:lang w:val="en-US" w:eastAsia="zh-CN" w:bidi="ar-SA"/>
    </w:rPr>
  </w:style>
  <w:style w:type="character" w:customStyle="1" w:styleId="302">
    <w:name w:val="此正文 Char"/>
    <w:link w:val="303"/>
    <w:qFormat/>
    <w:uiPriority w:val="0"/>
    <w:rPr>
      <w:kern w:val="2"/>
      <w:sz w:val="24"/>
      <w:szCs w:val="24"/>
    </w:rPr>
  </w:style>
  <w:style w:type="paragraph" w:customStyle="1" w:styleId="303">
    <w:name w:val="此正文"/>
    <w:basedOn w:val="1"/>
    <w:link w:val="302"/>
    <w:qFormat/>
    <w:uiPriority w:val="0"/>
    <w:pPr>
      <w:adjustRightInd/>
      <w:spacing w:line="360" w:lineRule="auto"/>
      <w:ind w:firstLine="200" w:firstLineChars="200"/>
    </w:pPr>
    <w:rPr>
      <w:sz w:val="24"/>
    </w:rPr>
  </w:style>
  <w:style w:type="character" w:customStyle="1" w:styleId="304">
    <w:name w:val="Char Char2"/>
    <w:qFormat/>
    <w:uiPriority w:val="0"/>
    <w:rPr>
      <w:rFonts w:eastAsia="宋体"/>
      <w:b/>
      <w:bCs/>
      <w:kern w:val="2"/>
      <w:sz w:val="21"/>
      <w:szCs w:val="24"/>
      <w:lang w:val="en-US" w:eastAsia="zh-CN" w:bidi="ar-SA"/>
    </w:rPr>
  </w:style>
  <w:style w:type="character" w:customStyle="1" w:styleId="305">
    <w:name w:val="Footer-Even Char1"/>
    <w:qFormat/>
    <w:uiPriority w:val="0"/>
    <w:rPr>
      <w:rFonts w:eastAsia="宋体"/>
      <w:kern w:val="2"/>
      <w:sz w:val="18"/>
      <w:szCs w:val="18"/>
      <w:lang w:val="en-US" w:eastAsia="zh-CN" w:bidi="ar-SA"/>
    </w:rPr>
  </w:style>
  <w:style w:type="character" w:customStyle="1" w:styleId="306">
    <w:name w:val="Char Char29"/>
    <w:qFormat/>
    <w:uiPriority w:val="6"/>
    <w:rPr>
      <w:rFonts w:ascii="Arial" w:hAnsi="Arial" w:eastAsia="微软雅黑"/>
      <w:b/>
      <w:kern w:val="1"/>
      <w:sz w:val="44"/>
      <w:szCs w:val="32"/>
      <w:lang w:val="en-US" w:eastAsia="zh-CN" w:bidi="ar-SA"/>
    </w:rPr>
  </w:style>
  <w:style w:type="character" w:customStyle="1" w:styleId="307">
    <w:name w:val="font81"/>
    <w:qFormat/>
    <w:uiPriority w:val="0"/>
    <w:rPr>
      <w:rFonts w:ascii="微软雅黑" w:hAnsi="微软雅黑" w:eastAsia="微软雅黑" w:cs="微软雅黑"/>
      <w:color w:val="000000"/>
      <w:sz w:val="20"/>
      <w:szCs w:val="20"/>
      <w:u w:val="none"/>
    </w:rPr>
  </w:style>
  <w:style w:type="character" w:customStyle="1" w:styleId="308">
    <w:name w:val="Char Char312"/>
    <w:qFormat/>
    <w:uiPriority w:val="0"/>
    <w:rPr>
      <w:rFonts w:ascii="Times New Roman" w:hAnsi="Times New Roman" w:eastAsia="宋体" w:cs="Times New Roman"/>
      <w:b/>
      <w:kern w:val="2"/>
      <w:sz w:val="32"/>
      <w:szCs w:val="24"/>
      <w:lang w:val="en-US" w:eastAsia="zh-CN" w:bidi="ar-SA"/>
    </w:rPr>
  </w:style>
  <w:style w:type="character" w:customStyle="1" w:styleId="309">
    <w:name w:val="t21"/>
    <w:qFormat/>
    <w:uiPriority w:val="0"/>
    <w:rPr>
      <w:rFonts w:ascii="仿宋_GB2312" w:eastAsia="微软雅黑"/>
      <w:b/>
      <w:kern w:val="2"/>
      <w:sz w:val="23"/>
      <w:szCs w:val="23"/>
      <w:lang w:val="en-US" w:eastAsia="zh-CN" w:bidi="ar-SA"/>
    </w:rPr>
  </w:style>
  <w:style w:type="character" w:customStyle="1" w:styleId="310">
    <w:name w:val="样式8 Char"/>
    <w:qFormat/>
    <w:uiPriority w:val="0"/>
    <w:rPr>
      <w:rFonts w:ascii="仿宋_GB2312" w:hAnsi="宋体" w:eastAsia="仿宋_GB2312"/>
      <w:b/>
      <w:bCs/>
      <w:kern w:val="2"/>
      <w:sz w:val="24"/>
      <w:szCs w:val="24"/>
    </w:rPr>
  </w:style>
  <w:style w:type="character" w:customStyle="1" w:styleId="311">
    <w:name w:val="表格 Char Char"/>
    <w:qFormat/>
    <w:uiPriority w:val="0"/>
    <w:rPr>
      <w:rFonts w:ascii="宋体" w:hAnsi="宋体" w:eastAsia="宋体"/>
      <w:lang w:bidi="ar-SA"/>
    </w:rPr>
  </w:style>
  <w:style w:type="character" w:customStyle="1" w:styleId="312">
    <w:name w:val="正文文本 字符1"/>
    <w:qFormat/>
    <w:uiPriority w:val="0"/>
    <w:rPr>
      <w:rFonts w:ascii="Calibri" w:hAnsi="Calibri" w:eastAsia="黑体" w:cs="Arial"/>
      <w:snapToGrid w:val="0"/>
      <w:kern w:val="2"/>
      <w:sz w:val="28"/>
      <w:szCs w:val="21"/>
    </w:rPr>
  </w:style>
  <w:style w:type="character" w:customStyle="1" w:styleId="313">
    <w:name w:val="标题 6 Char1"/>
    <w:qFormat/>
    <w:uiPriority w:val="0"/>
    <w:rPr>
      <w:rFonts w:ascii="Arial" w:hAnsi="Arial" w:eastAsia="黑体" w:cs="Times New Roman"/>
      <w:b/>
      <w:sz w:val="24"/>
      <w:szCs w:val="20"/>
      <w:lang w:bidi="ar-SA"/>
    </w:rPr>
  </w:style>
  <w:style w:type="character" w:customStyle="1" w:styleId="314">
    <w:name w:val="带编号样式 Char"/>
    <w:qFormat/>
    <w:uiPriority w:val="0"/>
    <w:rPr>
      <w:rFonts w:ascii="仿宋_GB2312" w:eastAsia="仿宋_GB2312"/>
      <w:color w:val="000000"/>
      <w:sz w:val="24"/>
      <w:lang w:bidi="ar-SA"/>
    </w:rPr>
  </w:style>
  <w:style w:type="character" w:customStyle="1" w:styleId="315">
    <w:name w:val="unnamed31"/>
    <w:qFormat/>
    <w:uiPriority w:val="0"/>
    <w:rPr>
      <w:rFonts w:ascii="Tahoma" w:hAnsi="Tahoma" w:eastAsia="宋体"/>
      <w:b/>
      <w:kern w:val="2"/>
      <w:sz w:val="24"/>
      <w:szCs w:val="32"/>
      <w:u w:val="none"/>
      <w:lang w:val="en-US" w:eastAsia="zh-CN" w:bidi="ar-SA"/>
    </w:rPr>
  </w:style>
  <w:style w:type="character" w:customStyle="1" w:styleId="316">
    <w:name w:val="正文首行缩进 Char Char Char Char Char Char1"/>
    <w:qFormat/>
    <w:uiPriority w:val="0"/>
    <w:rPr>
      <w:rFonts w:ascii="宋体" w:eastAsia="宋体"/>
      <w:kern w:val="2"/>
      <w:sz w:val="24"/>
      <w:szCs w:val="24"/>
      <w:lang w:val="zh-CN" w:bidi="ar-SA"/>
    </w:rPr>
  </w:style>
  <w:style w:type="character" w:customStyle="1" w:styleId="317">
    <w:name w:val="文本正文 Char Char"/>
    <w:qFormat/>
    <w:locked/>
    <w:uiPriority w:val="0"/>
    <w:rPr>
      <w:sz w:val="24"/>
      <w:lang w:bidi="ar-SA"/>
    </w:rPr>
  </w:style>
  <w:style w:type="character" w:customStyle="1" w:styleId="318">
    <w:name w:val="正文缩进 字符"/>
    <w:qFormat/>
    <w:uiPriority w:val="0"/>
    <w:rPr>
      <w:rFonts w:ascii="宋体" w:eastAsia="宋体"/>
      <w:snapToGrid w:val="0"/>
      <w:color w:val="000000"/>
      <w:kern w:val="28"/>
      <w:sz w:val="28"/>
      <w:lang w:val="en-US" w:eastAsia="zh-CN" w:bidi="ar-SA"/>
    </w:rPr>
  </w:style>
  <w:style w:type="character" w:customStyle="1" w:styleId="319">
    <w:name w:val="样式 样式 标题 4h4H4Fab-4T5Ref Heading 1rh1Heading sqlsect 1.2.3.... +... Char"/>
    <w:link w:val="320"/>
    <w:qFormat/>
    <w:uiPriority w:val="0"/>
    <w:rPr>
      <w:rFonts w:ascii="微软雅黑" w:hAnsi="微软雅黑" w:eastAsia="微软雅黑"/>
      <w:b/>
      <w:bCs/>
      <w:kern w:val="2"/>
      <w:sz w:val="24"/>
      <w:szCs w:val="28"/>
    </w:rPr>
  </w:style>
  <w:style w:type="paragraph" w:customStyle="1" w:styleId="320">
    <w:name w:val="样式 样式 标题 4h4H4Fab-4T5Ref Heading 1rh1Heading sqlsect 1.2.3.... +..."/>
    <w:basedOn w:val="321"/>
    <w:link w:val="319"/>
    <w:qFormat/>
    <w:uiPriority w:val="0"/>
    <w:pPr>
      <w:tabs>
        <w:tab w:val="left" w:pos="2356"/>
      </w:tabs>
    </w:pPr>
  </w:style>
  <w:style w:type="paragraph" w:customStyle="1" w:styleId="321">
    <w:name w:val="样式 标题 4h4H4Fab-4T5Ref Heading 1rh1Heading sqlsect 1.2.3...."/>
    <w:basedOn w:val="6"/>
    <w:link w:val="3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2">
    <w:name w:val="样式 标题 4h4H4Fab-4T5Ref Heading 1rh1Heading sqlsect 1.2.3.... Char"/>
    <w:link w:val="321"/>
    <w:qFormat/>
    <w:uiPriority w:val="0"/>
    <w:rPr>
      <w:rFonts w:ascii="微软雅黑" w:hAnsi="微软雅黑" w:eastAsia="微软雅黑"/>
      <w:b/>
      <w:bCs/>
      <w:kern w:val="2"/>
      <w:sz w:val="24"/>
      <w:szCs w:val="28"/>
    </w:rPr>
  </w:style>
  <w:style w:type="character" w:customStyle="1" w:styleId="323">
    <w:name w:val="正文非缩进 Char"/>
    <w:qFormat/>
    <w:uiPriority w:val="0"/>
    <w:rPr>
      <w:rFonts w:ascii="宋体" w:eastAsia="宋体"/>
      <w:snapToGrid w:val="0"/>
      <w:color w:val="000000"/>
      <w:kern w:val="28"/>
      <w:sz w:val="28"/>
      <w:lang w:val="en-US" w:eastAsia="zh-CN" w:bidi="ar-SA"/>
    </w:rPr>
  </w:style>
  <w:style w:type="character" w:customStyle="1" w:styleId="324">
    <w:name w:val="Char Char5"/>
    <w:qFormat/>
    <w:uiPriority w:val="0"/>
    <w:rPr>
      <w:rFonts w:ascii="宋体" w:hAnsi="Courier New" w:eastAsia="宋体"/>
      <w:kern w:val="2"/>
      <w:sz w:val="21"/>
      <w:lang w:val="en-US" w:eastAsia="zh-CN"/>
    </w:rPr>
  </w:style>
  <w:style w:type="character" w:customStyle="1" w:styleId="325">
    <w:name w:val="称呼 Char1"/>
    <w:qFormat/>
    <w:uiPriority w:val="0"/>
    <w:rPr>
      <w:rFonts w:ascii="Times New Roman" w:hAnsi="Times New Roman" w:eastAsia="宋体" w:cs="Times New Roman"/>
      <w:szCs w:val="24"/>
    </w:rPr>
  </w:style>
  <w:style w:type="character" w:customStyle="1" w:styleId="326">
    <w:name w:val="正文1 Char"/>
    <w:qFormat/>
    <w:uiPriority w:val="0"/>
    <w:rPr>
      <w:rFonts w:ascii="宋体" w:eastAsia="宋体"/>
      <w:snapToGrid w:val="0"/>
      <w:color w:val="000000"/>
      <w:kern w:val="28"/>
      <w:sz w:val="28"/>
      <w:lang w:val="en-US" w:eastAsia="zh-CN" w:bidi="ar-SA"/>
    </w:rPr>
  </w:style>
  <w:style w:type="character" w:customStyle="1" w:styleId="327">
    <w:name w:val="正文缩进 Char1"/>
    <w:qFormat/>
    <w:uiPriority w:val="0"/>
    <w:rPr>
      <w:rFonts w:ascii="宋体" w:eastAsia="宋体"/>
      <w:snapToGrid w:val="0"/>
      <w:color w:val="000000"/>
      <w:kern w:val="28"/>
      <w:sz w:val="28"/>
      <w:lang w:val="en-US" w:eastAsia="zh-CN" w:bidi="ar-SA"/>
    </w:rPr>
  </w:style>
  <w:style w:type="character" w:customStyle="1" w:styleId="328">
    <w:name w:val="font21"/>
    <w:qFormat/>
    <w:uiPriority w:val="0"/>
    <w:rPr>
      <w:rFonts w:hint="eastAsia" w:ascii="宋体" w:hAnsi="宋体" w:eastAsia="宋体"/>
      <w:kern w:val="2"/>
      <w:sz w:val="28"/>
      <w:szCs w:val="28"/>
      <w:lang w:val="en-US" w:eastAsia="zh-CN" w:bidi="ar-SA"/>
    </w:rPr>
  </w:style>
  <w:style w:type="character" w:customStyle="1" w:styleId="329">
    <w:name w:val="Char Char26"/>
    <w:qFormat/>
    <w:uiPriority w:val="6"/>
    <w:rPr>
      <w:kern w:val="1"/>
      <w:sz w:val="21"/>
      <w:szCs w:val="24"/>
    </w:rPr>
  </w:style>
  <w:style w:type="character" w:customStyle="1" w:styleId="330">
    <w:name w:val="Item List Char"/>
    <w:link w:val="331"/>
    <w:qFormat/>
    <w:uiPriority w:val="0"/>
    <w:rPr>
      <w:rFonts w:ascii="Arial"/>
      <w:bCs/>
      <w:sz w:val="21"/>
      <w:szCs w:val="21"/>
      <w:lang w:val="en-US" w:eastAsia="zh-CN" w:bidi="ar-SA"/>
    </w:rPr>
  </w:style>
  <w:style w:type="paragraph" w:customStyle="1" w:styleId="331">
    <w:name w:val="Item List"/>
    <w:link w:val="3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2">
    <w:name w:val="批注框文本 Char1"/>
    <w:qFormat/>
    <w:uiPriority w:val="0"/>
    <w:rPr>
      <w:rFonts w:ascii="Times New Roman" w:hAnsi="Times New Roman" w:eastAsia="宋体" w:cs="Times New Roman"/>
      <w:sz w:val="18"/>
      <w:szCs w:val="18"/>
    </w:rPr>
  </w:style>
  <w:style w:type="character" w:customStyle="1" w:styleId="333">
    <w:name w:val="纯文本 Char1"/>
    <w:link w:val="334"/>
    <w:qFormat/>
    <w:uiPriority w:val="0"/>
    <w:rPr>
      <w:rFonts w:ascii="宋体" w:hAnsi="Courier New"/>
    </w:rPr>
  </w:style>
  <w:style w:type="paragraph" w:customStyle="1" w:styleId="334">
    <w:name w:val="纯文本1"/>
    <w:basedOn w:val="335"/>
    <w:link w:val="333"/>
    <w:qFormat/>
    <w:uiPriority w:val="0"/>
    <w:pPr>
      <w:tabs>
        <w:tab w:val="right" w:leader="dot" w:pos="8268"/>
      </w:tabs>
      <w:adjustRightInd/>
    </w:pPr>
    <w:rPr>
      <w:rFonts w:ascii="宋体" w:hAnsi="Courier New"/>
      <w:kern w:val="0"/>
      <w:sz w:val="20"/>
      <w:szCs w:val="20"/>
    </w:rPr>
  </w:style>
  <w:style w:type="paragraph" w:customStyle="1" w:styleId="335">
    <w:name w:val="正文1"/>
    <w:basedOn w:val="35"/>
    <w:qFormat/>
    <w:uiPriority w:val="0"/>
    <w:pPr>
      <w:ind w:left="0" w:leftChars="0" w:firstLine="480" w:firstLineChars="200"/>
    </w:pPr>
    <w:rPr>
      <w:rFonts w:ascii="仿宋_GB2312" w:hAnsi="Courier New" w:eastAsia="仿宋_GB2312"/>
      <w:kern w:val="28"/>
      <w:sz w:val="24"/>
    </w:rPr>
  </w:style>
  <w:style w:type="character" w:customStyle="1" w:styleId="336">
    <w:name w:val="h3 Char"/>
    <w:qFormat/>
    <w:uiPriority w:val="0"/>
    <w:rPr>
      <w:rFonts w:eastAsia="宋体"/>
      <w:b/>
      <w:kern w:val="2"/>
      <w:sz w:val="32"/>
      <w:lang w:val="en-US" w:eastAsia="zh-CN" w:bidi="ar-SA"/>
    </w:rPr>
  </w:style>
  <w:style w:type="character" w:customStyle="1" w:styleId="337">
    <w:name w:val="dandyren_title1"/>
    <w:qFormat/>
    <w:uiPriority w:val="0"/>
    <w:rPr>
      <w:b/>
      <w:bCs/>
      <w:color w:val="FF6633"/>
      <w:sz w:val="18"/>
      <w:szCs w:val="18"/>
    </w:rPr>
  </w:style>
  <w:style w:type="character" w:customStyle="1" w:styleId="338">
    <w:name w:val="Char Char31"/>
    <w:qFormat/>
    <w:uiPriority w:val="6"/>
    <w:rPr>
      <w:rFonts w:ascii="Arial" w:hAnsi="Arial" w:eastAsia="黑体"/>
      <w:kern w:val="1"/>
      <w:sz w:val="24"/>
      <w:szCs w:val="24"/>
    </w:rPr>
  </w:style>
  <w:style w:type="character" w:customStyle="1" w:styleId="339">
    <w:name w:val="h Char1"/>
    <w:qFormat/>
    <w:uiPriority w:val="0"/>
    <w:rPr>
      <w:sz w:val="18"/>
      <w:szCs w:val="18"/>
    </w:rPr>
  </w:style>
  <w:style w:type="character" w:customStyle="1" w:styleId="340">
    <w:name w:val="solutionfonts"/>
    <w:qFormat/>
    <w:uiPriority w:val="0"/>
  </w:style>
  <w:style w:type="character" w:customStyle="1" w:styleId="341">
    <w:name w:val="首行缩进 Char"/>
    <w:qFormat/>
    <w:uiPriority w:val="0"/>
    <w:rPr>
      <w:rFonts w:ascii="宋体" w:eastAsia="宋体"/>
      <w:kern w:val="2"/>
      <w:sz w:val="24"/>
      <w:lang w:val="en-US" w:eastAsia="zh-CN" w:bidi="ar-SA"/>
    </w:rPr>
  </w:style>
  <w:style w:type="character" w:customStyle="1" w:styleId="342">
    <w:name w:val="Char Char52"/>
    <w:qFormat/>
    <w:uiPriority w:val="0"/>
    <w:rPr>
      <w:rFonts w:ascii="宋体" w:hAnsi="Courier New" w:eastAsia="宋体"/>
      <w:kern w:val="2"/>
      <w:sz w:val="21"/>
      <w:lang w:val="en-US" w:eastAsia="zh-CN"/>
    </w:rPr>
  </w:style>
  <w:style w:type="character" w:customStyle="1" w:styleId="343">
    <w:name w:val="font31"/>
    <w:basedOn w:val="72"/>
    <w:qFormat/>
    <w:uiPriority w:val="0"/>
    <w:rPr>
      <w:rFonts w:hint="eastAsia" w:ascii="仿宋" w:hAnsi="仿宋" w:eastAsia="仿宋" w:cs="仿宋"/>
      <w:color w:val="000000"/>
      <w:sz w:val="20"/>
      <w:szCs w:val="20"/>
      <w:u w:val="none"/>
    </w:rPr>
  </w:style>
  <w:style w:type="character" w:customStyle="1" w:styleId="344">
    <w:name w:val="正文说明 Char"/>
    <w:link w:val="345"/>
    <w:qFormat/>
    <w:uiPriority w:val="0"/>
    <w:rPr>
      <w:sz w:val="24"/>
      <w:szCs w:val="24"/>
    </w:rPr>
  </w:style>
  <w:style w:type="paragraph" w:customStyle="1" w:styleId="345">
    <w:name w:val="正文说明"/>
    <w:basedOn w:val="1"/>
    <w:link w:val="344"/>
    <w:qFormat/>
    <w:uiPriority w:val="0"/>
    <w:pPr>
      <w:adjustRightInd/>
      <w:spacing w:line="360" w:lineRule="auto"/>
    </w:pPr>
    <w:rPr>
      <w:kern w:val="0"/>
      <w:sz w:val="24"/>
    </w:rPr>
  </w:style>
  <w:style w:type="character" w:customStyle="1" w:styleId="346">
    <w:name w:val="脚注文本 Char1"/>
    <w:qFormat/>
    <w:uiPriority w:val="0"/>
    <w:rPr>
      <w:rFonts w:ascii="Times New Roman" w:hAnsi="Times New Roman" w:eastAsia="宋体" w:cs="Times New Roman"/>
      <w:sz w:val="18"/>
      <w:szCs w:val="18"/>
    </w:rPr>
  </w:style>
  <w:style w:type="character" w:customStyle="1" w:styleId="347">
    <w:name w:val="Char Char1211"/>
    <w:qFormat/>
    <w:uiPriority w:val="0"/>
    <w:rPr>
      <w:rFonts w:ascii="仿宋_GB2312" w:eastAsia="仿宋_GB2312"/>
      <w:b/>
      <w:bCs/>
      <w:kern w:val="2"/>
      <w:sz w:val="24"/>
      <w:szCs w:val="24"/>
      <w:lang w:val="zh-CN" w:eastAsia="zh-CN" w:bidi="ar-SA"/>
    </w:rPr>
  </w:style>
  <w:style w:type="character" w:customStyle="1" w:styleId="348">
    <w:name w:val="标题 Char"/>
    <w:qFormat/>
    <w:uiPriority w:val="0"/>
    <w:rPr>
      <w:rFonts w:eastAsia="宋体"/>
      <w:b/>
      <w:sz w:val="24"/>
      <w:lang w:val="en-GB" w:eastAsia="zh-CN" w:bidi="ar-SA"/>
    </w:rPr>
  </w:style>
  <w:style w:type="character" w:customStyle="1" w:styleId="349">
    <w:name w:val="Char Char35"/>
    <w:qFormat/>
    <w:uiPriority w:val="6"/>
    <w:rPr>
      <w:rFonts w:ascii="Arial" w:hAnsi="Arial" w:eastAsia="黑体"/>
      <w:b/>
      <w:kern w:val="1"/>
      <w:sz w:val="28"/>
      <w:szCs w:val="28"/>
      <w:lang w:val="zh-CN"/>
    </w:rPr>
  </w:style>
  <w:style w:type="character" w:customStyle="1" w:styleId="350">
    <w:name w:val="纯文本 Char Char Char"/>
    <w:qFormat/>
    <w:uiPriority w:val="0"/>
    <w:rPr>
      <w:rFonts w:ascii="宋体" w:hAnsi="Courier New" w:eastAsia="宋体"/>
      <w:kern w:val="2"/>
      <w:sz w:val="21"/>
      <w:lang w:val="en-US" w:eastAsia="zh-CN" w:bidi="ar-SA"/>
    </w:rPr>
  </w:style>
  <w:style w:type="character" w:customStyle="1" w:styleId="351">
    <w:name w:val="Table Text Char"/>
    <w:link w:val="352"/>
    <w:qFormat/>
    <w:uiPriority w:val="0"/>
    <w:rPr>
      <w:sz w:val="24"/>
      <w:szCs w:val="24"/>
    </w:rPr>
  </w:style>
  <w:style w:type="paragraph" w:customStyle="1" w:styleId="352">
    <w:name w:val="Table Text"/>
    <w:basedOn w:val="1"/>
    <w:link w:val="351"/>
    <w:qFormat/>
    <w:uiPriority w:val="0"/>
    <w:pPr>
      <w:widowControl/>
      <w:spacing w:before="60" w:after="60"/>
      <w:jc w:val="left"/>
    </w:pPr>
    <w:rPr>
      <w:kern w:val="0"/>
      <w:sz w:val="24"/>
    </w:rPr>
  </w:style>
  <w:style w:type="character" w:customStyle="1" w:styleId="353">
    <w:name w:val="正文1 Char1"/>
    <w:qFormat/>
    <w:uiPriority w:val="0"/>
    <w:rPr>
      <w:rFonts w:ascii="仿宋_GB2312" w:hAnsi="Courier New" w:eastAsia="仿宋_GB2312"/>
      <w:kern w:val="28"/>
      <w:sz w:val="24"/>
      <w:szCs w:val="24"/>
      <w:lang w:val="en-US" w:eastAsia="zh-CN"/>
    </w:rPr>
  </w:style>
  <w:style w:type="character" w:customStyle="1" w:styleId="354">
    <w:name w:val="页脚 Char1"/>
    <w:qFormat/>
    <w:uiPriority w:val="0"/>
    <w:rPr>
      <w:rFonts w:eastAsia="宋体"/>
      <w:kern w:val="2"/>
      <w:sz w:val="18"/>
      <w:szCs w:val="18"/>
      <w:lang w:val="en-US" w:eastAsia="zh-CN" w:bidi="ar-SA"/>
    </w:rPr>
  </w:style>
  <w:style w:type="character" w:customStyle="1" w:styleId="355">
    <w:name w:val="Bold"/>
    <w:qFormat/>
    <w:uiPriority w:val="0"/>
    <w:rPr>
      <w:rFonts w:ascii="Arial" w:hAnsi="Arial" w:eastAsia="黑体" w:cs="Times New Roman"/>
      <w:b/>
      <w:kern w:val="2"/>
      <w:sz w:val="32"/>
      <w:szCs w:val="32"/>
      <w:lang w:val="en-US" w:eastAsia="zh-CN" w:bidi="ar-SA"/>
    </w:rPr>
  </w:style>
  <w:style w:type="character" w:customStyle="1" w:styleId="356">
    <w:name w:val="hui3"/>
    <w:qFormat/>
    <w:uiPriority w:val="0"/>
    <w:rPr>
      <w:color w:val="333333"/>
    </w:rPr>
  </w:style>
  <w:style w:type="character" w:customStyle="1" w:styleId="357">
    <w:name w:val="Char Char17"/>
    <w:qFormat/>
    <w:uiPriority w:val="6"/>
    <w:rPr>
      <w:rFonts w:eastAsia="仿宋_GB2312"/>
      <w:sz w:val="24"/>
    </w:rPr>
  </w:style>
  <w:style w:type="character" w:customStyle="1" w:styleId="358">
    <w:name w:val="标题 4 字符"/>
    <w:qFormat/>
    <w:uiPriority w:val="9"/>
    <w:rPr>
      <w:rFonts w:ascii="等线 Light" w:hAnsi="等线 Light" w:eastAsia="等线 Light" w:cs="Times New Roman"/>
      <w:b/>
      <w:bCs/>
      <w:snapToGrid w:val="0"/>
      <w:kern w:val="0"/>
      <w:sz w:val="28"/>
      <w:szCs w:val="28"/>
    </w:rPr>
  </w:style>
  <w:style w:type="character" w:customStyle="1" w:styleId="359">
    <w:name w:val="Char Char37"/>
    <w:qFormat/>
    <w:uiPriority w:val="6"/>
    <w:rPr>
      <w:b/>
      <w:kern w:val="1"/>
      <w:sz w:val="44"/>
      <w:szCs w:val="44"/>
    </w:rPr>
  </w:style>
  <w:style w:type="character" w:customStyle="1" w:styleId="360">
    <w:name w:val="列出段落 Char"/>
    <w:qFormat/>
    <w:uiPriority w:val="0"/>
    <w:rPr>
      <w:rFonts w:eastAsia="楷体_GB2312" w:cs="Lucida Sans"/>
      <w:kern w:val="2"/>
      <w:sz w:val="24"/>
      <w:szCs w:val="24"/>
      <w:lang w:val="en-US" w:eastAsia="zh-CN" w:bidi="ar-SA"/>
    </w:rPr>
  </w:style>
  <w:style w:type="character" w:customStyle="1" w:styleId="361">
    <w:name w:val="正文文本缩进 3 Char1"/>
    <w:semiHidden/>
    <w:qFormat/>
    <w:uiPriority w:val="99"/>
    <w:rPr>
      <w:rFonts w:ascii="Times New Roman" w:hAnsi="Times New Roman" w:eastAsia="宋体" w:cs="Times New Roman"/>
      <w:sz w:val="16"/>
      <w:szCs w:val="16"/>
    </w:rPr>
  </w:style>
  <w:style w:type="character" w:customStyle="1" w:styleId="362">
    <w:name w:val="公文正文 Char Char"/>
    <w:link w:val="363"/>
    <w:qFormat/>
    <w:uiPriority w:val="0"/>
    <w:rPr>
      <w:rFonts w:ascii="仿宋_GB2312" w:eastAsia="仿宋_GB2312"/>
      <w:kern w:val="2"/>
      <w:sz w:val="24"/>
      <w:szCs w:val="24"/>
    </w:rPr>
  </w:style>
  <w:style w:type="paragraph" w:customStyle="1" w:styleId="363">
    <w:name w:val="公文正文"/>
    <w:basedOn w:val="1"/>
    <w:link w:val="362"/>
    <w:qFormat/>
    <w:uiPriority w:val="0"/>
    <w:pPr>
      <w:adjustRightInd/>
      <w:spacing w:before="156" w:line="360" w:lineRule="auto"/>
      <w:ind w:firstLine="360" w:firstLineChars="200"/>
    </w:pPr>
    <w:rPr>
      <w:rFonts w:ascii="仿宋_GB2312" w:eastAsia="仿宋_GB2312"/>
      <w:sz w:val="24"/>
    </w:rPr>
  </w:style>
  <w:style w:type="character" w:customStyle="1" w:styleId="364">
    <w:name w:val="Table Text Char1"/>
    <w:qFormat/>
    <w:uiPriority w:val="0"/>
    <w:rPr>
      <w:rFonts w:eastAsia="宋体"/>
      <w:sz w:val="24"/>
      <w:szCs w:val="24"/>
      <w:lang w:val="en-US" w:eastAsia="zh-CN" w:bidi="ar-SA"/>
    </w:rPr>
  </w:style>
  <w:style w:type="character" w:customStyle="1" w:styleId="365">
    <w:name w:val="标题 1 Char Char"/>
    <w:qFormat/>
    <w:uiPriority w:val="0"/>
    <w:rPr>
      <w:rFonts w:hint="eastAsia" w:ascii="宋体" w:hAnsi="宋体" w:eastAsia="宋体"/>
      <w:b/>
      <w:spacing w:val="-2"/>
      <w:sz w:val="24"/>
      <w:lang w:val="en-US" w:eastAsia="zh-CN" w:bidi="ar-SA"/>
    </w:rPr>
  </w:style>
  <w:style w:type="character" w:customStyle="1" w:styleId="366">
    <w:name w:val="正文（缩进2汉字） Char"/>
    <w:link w:val="367"/>
    <w:qFormat/>
    <w:uiPriority w:val="0"/>
    <w:rPr>
      <w:rFonts w:ascii="宋体"/>
    </w:rPr>
  </w:style>
  <w:style w:type="paragraph" w:customStyle="1" w:styleId="367">
    <w:name w:val="正文（缩进2汉字）"/>
    <w:basedOn w:val="1"/>
    <w:link w:val="3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qFormat/>
    <w:uiPriority w:val="0"/>
    <w:rPr>
      <w:kern w:val="2"/>
      <w:sz w:val="21"/>
      <w:szCs w:val="24"/>
      <w:lang w:bidi="ar-SA"/>
    </w:rPr>
  </w:style>
  <w:style w:type="character" w:customStyle="1" w:styleId="369">
    <w:name w:val="tw4winError"/>
    <w:qFormat/>
    <w:uiPriority w:val="0"/>
    <w:rPr>
      <w:rFonts w:ascii="Courier New" w:hAnsi="Courier New" w:cs="Courier New"/>
      <w:color w:val="00FF00"/>
      <w:sz w:val="40"/>
      <w:szCs w:val="40"/>
    </w:rPr>
  </w:style>
  <w:style w:type="character" w:customStyle="1" w:styleId="370">
    <w:name w:val="Body Text(ch) Char Char"/>
    <w:qFormat/>
    <w:uiPriority w:val="0"/>
    <w:rPr>
      <w:rFonts w:ascii="宋体"/>
      <w:kern w:val="2"/>
      <w:sz w:val="24"/>
      <w:szCs w:val="21"/>
      <w:lang w:val="zh-CN"/>
    </w:rPr>
  </w:style>
  <w:style w:type="character" w:customStyle="1" w:styleId="371">
    <w:name w:val="正文首行缩进两字 Char"/>
    <w:qFormat/>
    <w:uiPriority w:val="0"/>
    <w:rPr>
      <w:sz w:val="24"/>
      <w:szCs w:val="24"/>
      <w:lang w:val="en-US" w:eastAsia="zh-CN" w:bidi="ar-SA"/>
    </w:rPr>
  </w:style>
  <w:style w:type="character" w:customStyle="1" w:styleId="372">
    <w:name w:val="正文文本 Char"/>
    <w:qFormat/>
    <w:uiPriority w:val="0"/>
    <w:rPr>
      <w:rFonts w:eastAsia="宋体"/>
      <w:kern w:val="2"/>
      <w:sz w:val="24"/>
      <w:szCs w:val="24"/>
      <w:lang w:val="en-US" w:eastAsia="zh-CN" w:bidi="ar-SA"/>
    </w:rPr>
  </w:style>
  <w:style w:type="character" w:customStyle="1" w:styleId="373">
    <w:name w:val="文档结构图 字符1"/>
    <w:qFormat/>
    <w:uiPriority w:val="0"/>
    <w:rPr>
      <w:rFonts w:ascii="宋体" w:hAnsi="Calibri" w:eastAsia="黑体" w:cs="Arial"/>
      <w:snapToGrid w:val="0"/>
      <w:kern w:val="2"/>
      <w:sz w:val="18"/>
      <w:szCs w:val="18"/>
    </w:rPr>
  </w:style>
  <w:style w:type="character" w:customStyle="1" w:styleId="374">
    <w:name w:val="content"/>
    <w:qFormat/>
    <w:uiPriority w:val="0"/>
  </w:style>
  <w:style w:type="character" w:customStyle="1" w:styleId="375">
    <w:name w:val="tw4winPopup"/>
    <w:qFormat/>
    <w:uiPriority w:val="0"/>
    <w:rPr>
      <w:rFonts w:ascii="Courier New" w:hAnsi="Courier New" w:cs="Courier New"/>
      <w:color w:val="008000"/>
      <w:lang w:val="en-US" w:eastAsia="zh-CN"/>
    </w:rPr>
  </w:style>
  <w:style w:type="character" w:customStyle="1" w:styleId="376">
    <w:name w:val="param-name"/>
    <w:qFormat/>
    <w:uiPriority w:val="99"/>
    <w:rPr>
      <w:rFonts w:ascii="Arial" w:hAnsi="Arial" w:eastAsia="黑体" w:cs="Arial"/>
      <w:snapToGrid w:val="0"/>
      <w:kern w:val="0"/>
      <w:szCs w:val="21"/>
    </w:rPr>
  </w:style>
  <w:style w:type="character" w:customStyle="1" w:styleId="377">
    <w:name w:val="标准正文格式 Char"/>
    <w:qFormat/>
    <w:uiPriority w:val="0"/>
    <w:rPr>
      <w:rFonts w:ascii="宋体" w:eastAsia="仿宋_GB2312" w:cs="宋体"/>
      <w:color w:val="000000"/>
      <w:sz w:val="24"/>
      <w:lang w:val="en-US" w:eastAsia="zh-CN" w:bidi="ar-SA"/>
    </w:rPr>
  </w:style>
  <w:style w:type="character" w:customStyle="1" w:styleId="378">
    <w:name w:val="Char Char212"/>
    <w:qFormat/>
    <w:uiPriority w:val="0"/>
    <w:rPr>
      <w:rFonts w:eastAsia="宋体"/>
      <w:b/>
      <w:bCs/>
      <w:kern w:val="2"/>
      <w:sz w:val="21"/>
      <w:szCs w:val="24"/>
      <w:lang w:val="en-US" w:eastAsia="zh-CN" w:bidi="ar-SA"/>
    </w:rPr>
  </w:style>
  <w:style w:type="character" w:customStyle="1" w:styleId="379">
    <w:name w:val="文档结构图 Char"/>
    <w:qFormat/>
    <w:uiPriority w:val="0"/>
    <w:rPr>
      <w:rFonts w:eastAsia="宋体"/>
      <w:kern w:val="2"/>
      <w:sz w:val="21"/>
      <w:szCs w:val="24"/>
      <w:lang w:val="en-US" w:eastAsia="zh-CN" w:bidi="ar-SA"/>
    </w:rPr>
  </w:style>
  <w:style w:type="character" w:customStyle="1" w:styleId="380">
    <w:name w:val="zbggmain style9"/>
    <w:qFormat/>
    <w:uiPriority w:val="0"/>
  </w:style>
  <w:style w:type="character" w:customStyle="1" w:styleId="381">
    <w:name w:val="Char Char16"/>
    <w:qFormat/>
    <w:uiPriority w:val="6"/>
    <w:rPr>
      <w:kern w:val="1"/>
      <w:sz w:val="18"/>
      <w:szCs w:val="18"/>
    </w:rPr>
  </w:style>
  <w:style w:type="character" w:customStyle="1" w:styleId="382">
    <w:name w:val="font51"/>
    <w:qFormat/>
    <w:uiPriority w:val="0"/>
    <w:rPr>
      <w:rFonts w:hint="eastAsia" w:ascii="仿宋" w:hAnsi="仿宋" w:eastAsia="仿宋" w:cs="仿宋"/>
      <w:color w:val="000000"/>
      <w:sz w:val="20"/>
      <w:szCs w:val="20"/>
      <w:u w:val="none"/>
    </w:rPr>
  </w:style>
  <w:style w:type="character" w:customStyle="1" w:styleId="383">
    <w:name w:val="Char Char82"/>
    <w:qFormat/>
    <w:uiPriority w:val="0"/>
    <w:rPr>
      <w:rFonts w:eastAsia="宋体"/>
      <w:b/>
      <w:sz w:val="24"/>
      <w:lang w:val="en-GB" w:eastAsia="zh-CN"/>
    </w:rPr>
  </w:style>
  <w:style w:type="character" w:customStyle="1" w:styleId="384">
    <w:name w:val="日期 Char1"/>
    <w:semiHidden/>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2"/>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gray6"/>
    <w:basedOn w:val="72"/>
    <w:qFormat/>
    <w:uiPriority w:val="0"/>
    <w:rPr>
      <w:rFonts w:ascii="Arial" w:hAnsi="Arial" w:eastAsia="黑体" w:cs="Arial"/>
      <w:snapToGrid w:val="0"/>
      <w:kern w:val="0"/>
      <w:szCs w:val="21"/>
    </w:rPr>
  </w:style>
  <w:style w:type="character" w:customStyle="1" w:styleId="436">
    <w:name w:val="hui"/>
    <w:basedOn w:val="72"/>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outlineLvl w:val="5"/>
    </w:pPr>
  </w:style>
  <w:style w:type="paragraph" w:customStyle="1" w:styleId="478">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488"/>
    <w:qFormat/>
    <w:uiPriority w:val="1"/>
    <w:rPr>
      <w:szCs w:val="22"/>
    </w:rPr>
  </w:style>
  <w:style w:type="character" w:customStyle="1" w:styleId="488">
    <w:name w:val="无间隔 字符"/>
    <w:link w:val="487"/>
    <w:qFormat/>
    <w:uiPriority w:val="99"/>
    <w:rPr>
      <w:kern w:val="2"/>
      <w:sz w:val="21"/>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7"/>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62"/>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57"/>
    <w:next w:val="257"/>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57"/>
    <w:next w:val="257"/>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link w:val="580"/>
    <w:qFormat/>
    <w:uiPriority w:val="0"/>
    <w:pPr>
      <w:adjustRightInd/>
      <w:ind w:firstLine="560"/>
    </w:pPr>
    <w:rPr>
      <w:rFonts w:ascii="仿宋_GB2312" w:hAnsi="仿宋" w:eastAsia="仿宋_GB2312"/>
      <w:kern w:val="0"/>
      <w:sz w:val="28"/>
      <w:szCs w:val="28"/>
    </w:rPr>
  </w:style>
  <w:style w:type="character" w:customStyle="1" w:styleId="580">
    <w:name w:val="_正文段落 Char"/>
    <w:link w:val="579"/>
    <w:qFormat/>
    <w:uiPriority w:val="0"/>
    <w:rPr>
      <w:rFonts w:ascii="仿宋_GB2312" w:hAnsi="仿宋" w:eastAsia="仿宋_GB2312"/>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link w:val="610"/>
    <w:qFormat/>
    <w:uiPriority w:val="0"/>
    <w:pPr>
      <w:spacing w:line="480" w:lineRule="atLeast"/>
      <w:ind w:firstLine="567"/>
      <w:textAlignment w:val="baseline"/>
    </w:pPr>
    <w:rPr>
      <w:kern w:val="0"/>
      <w:sz w:val="24"/>
      <w:szCs w:val="20"/>
    </w:rPr>
  </w:style>
  <w:style w:type="character" w:customStyle="1" w:styleId="610">
    <w:name w:val="文档正文 Char"/>
    <w:link w:val="609"/>
    <w:qFormat/>
    <w:uiPriority w:val="0"/>
    <w:rPr>
      <w:sz w:val="24"/>
    </w:rPr>
  </w:style>
  <w:style w:type="paragraph" w:customStyle="1" w:styleId="611">
    <w:name w:val="正文文字表格居中"/>
    <w:basedOn w:val="1"/>
    <w:next w:val="60"/>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632"/>
    <w:qFormat/>
    <w:uiPriority w:val="0"/>
    <w:pPr>
      <w:adjustRightInd/>
      <w:spacing w:before="60" w:after="60" w:line="360" w:lineRule="auto"/>
      <w:ind w:firstLine="200" w:firstLineChars="200"/>
    </w:pPr>
    <w:rPr>
      <w:sz w:val="28"/>
      <w:szCs w:val="20"/>
    </w:rPr>
  </w:style>
  <w:style w:type="paragraph" w:customStyle="1" w:styleId="632">
    <w:name w:val="9"/>
    <w:next w:val="25"/>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33">
    <w:name w:val="MM Topic 1"/>
    <w:basedOn w:val="2"/>
    <w:qFormat/>
    <w:uiPriority w:val="0"/>
    <w:pPr>
      <w:tabs>
        <w:tab w:val="left" w:pos="840"/>
      </w:tabs>
      <w:adjustRightInd/>
      <w:ind w:left="840" w:hanging="420"/>
    </w:pPr>
  </w:style>
  <w:style w:type="paragraph" w:customStyle="1" w:styleId="63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qFormat/>
    <w:uiPriority w:val="0"/>
    <w:pPr>
      <w:spacing w:line="360" w:lineRule="auto"/>
      <w:ind w:firstLine="200" w:firstLineChars="200"/>
    </w:pPr>
    <w:rPr>
      <w:kern w:val="0"/>
      <w:sz w:val="24"/>
      <w:szCs w:val="20"/>
    </w:rPr>
  </w:style>
  <w:style w:type="paragraph" w:customStyle="1" w:styleId="636">
    <w:name w:val="表格"/>
    <w:basedOn w:val="1"/>
    <w:link w:val="637"/>
    <w:qFormat/>
    <w:uiPriority w:val="0"/>
    <w:pPr>
      <w:snapToGrid w:val="0"/>
      <w:ind w:firstLine="42" w:firstLineChars="21"/>
    </w:pPr>
    <w:rPr>
      <w:rFonts w:ascii="宋体" w:hAnsi="宋体"/>
      <w:kern w:val="0"/>
      <w:sz w:val="20"/>
      <w:szCs w:val="20"/>
    </w:rPr>
  </w:style>
  <w:style w:type="character" w:customStyle="1" w:styleId="637">
    <w:name w:val="表格 字符"/>
    <w:basedOn w:val="72"/>
    <w:link w:val="636"/>
    <w:qFormat/>
    <w:uiPriority w:val="0"/>
    <w:rPr>
      <w:rFonts w:ascii="宋体" w:hAnsi="宋体"/>
    </w:rPr>
  </w:style>
  <w:style w:type="paragraph" w:customStyle="1" w:styleId="63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1">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2">
    <w:name w:val="EB_表格"/>
    <w:basedOn w:val="1"/>
    <w:qFormat/>
    <w:uiPriority w:val="0"/>
    <w:pPr>
      <w:adjustRightInd/>
      <w:spacing w:line="300" w:lineRule="auto"/>
      <w:jc w:val="center"/>
    </w:pPr>
  </w:style>
  <w:style w:type="paragraph" w:customStyle="1" w:styleId="643">
    <w:name w:val="_Style 6"/>
    <w:basedOn w:val="1"/>
    <w:qFormat/>
    <w:uiPriority w:val="34"/>
    <w:pPr>
      <w:adjustRightInd/>
      <w:ind w:firstLine="420" w:firstLineChars="200"/>
    </w:pPr>
    <w:rPr>
      <w:rFonts w:eastAsia="仿宋_GB2312"/>
      <w:sz w:val="28"/>
    </w:rPr>
  </w:style>
  <w:style w:type="paragraph" w:customStyle="1" w:styleId="64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8">
    <w:name w:val="正文表标题"/>
    <w:next w:val="64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1">
    <w:name w:val="trademark"/>
    <w:qFormat/>
    <w:uiPriority w:val="0"/>
    <w:pPr>
      <w:spacing w:after="60"/>
    </w:pPr>
    <w:rPr>
      <w:rFonts w:ascii="Futura Bk" w:hAnsi="Futura Bk" w:eastAsia="宋体" w:cs="Times New Roman"/>
      <w:sz w:val="15"/>
      <w:lang w:val="en-US" w:eastAsia="en-US" w:bidi="ar-SA"/>
    </w:rPr>
  </w:style>
  <w:style w:type="paragraph" w:customStyle="1" w:styleId="6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3">
    <w:name w:val="Char Char1 Char Char Char Char Char Char1"/>
    <w:basedOn w:val="1"/>
    <w:qFormat/>
    <w:uiPriority w:val="0"/>
    <w:rPr>
      <w:rFonts w:ascii="仿宋_GB2312" w:eastAsia="仿宋_GB2312"/>
      <w:b/>
      <w:sz w:val="32"/>
      <w:szCs w:val="20"/>
    </w:rPr>
  </w:style>
  <w:style w:type="paragraph" w:customStyle="1" w:styleId="65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5">
    <w:name w:val="Char1 Char Char Char1"/>
    <w:basedOn w:val="1"/>
    <w:qFormat/>
    <w:uiPriority w:val="0"/>
    <w:pPr>
      <w:adjustRightInd/>
      <w:ind w:firstLine="200" w:firstLineChars="200"/>
    </w:pPr>
    <w:rPr>
      <w:rFonts w:ascii="Tahoma" w:hAnsi="Tahoma"/>
      <w:sz w:val="24"/>
      <w:szCs w:val="20"/>
    </w:rPr>
  </w:style>
  <w:style w:type="paragraph" w:customStyle="1" w:styleId="656">
    <w:name w:val="a1"/>
    <w:basedOn w:val="1"/>
    <w:qFormat/>
    <w:uiPriority w:val="0"/>
    <w:pPr>
      <w:widowControl/>
      <w:spacing w:line="300" w:lineRule="atLeast"/>
      <w:jc w:val="left"/>
    </w:pPr>
    <w:rPr>
      <w:rFonts w:ascii="宋体" w:hAnsi="宋体"/>
      <w:kern w:val="0"/>
      <w:sz w:val="18"/>
      <w:szCs w:val="20"/>
    </w:rPr>
  </w:style>
  <w:style w:type="paragraph" w:customStyle="1" w:styleId="657">
    <w:name w:val="样式7"/>
    <w:basedOn w:val="658"/>
    <w:next w:val="1"/>
    <w:qFormat/>
    <w:uiPriority w:val="0"/>
    <w:pPr>
      <w:spacing w:afterLines="50"/>
      <w:jc w:val="left"/>
      <w:outlineLvl w:val="3"/>
    </w:pPr>
    <w:rPr>
      <w:sz w:val="24"/>
      <w:szCs w:val="24"/>
    </w:rPr>
  </w:style>
  <w:style w:type="paragraph" w:customStyle="1" w:styleId="65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1">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2">
    <w:name w:val="Char2 Char Char2"/>
    <w:basedOn w:val="1"/>
    <w:qFormat/>
    <w:uiPriority w:val="0"/>
    <w:pPr>
      <w:adjustRightInd/>
    </w:pPr>
    <w:rPr>
      <w:rFonts w:ascii="Tahoma" w:hAnsi="Tahoma"/>
      <w:sz w:val="24"/>
      <w:szCs w:val="20"/>
    </w:rPr>
  </w:style>
  <w:style w:type="paragraph" w:customStyle="1" w:styleId="6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4">
    <w:name w:val="三级条标题"/>
    <w:basedOn w:val="665"/>
    <w:next w:val="649"/>
    <w:qFormat/>
    <w:uiPriority w:val="0"/>
    <w:pPr>
      <w:tabs>
        <w:tab w:val="left" w:pos="1260"/>
        <w:tab w:val="left" w:pos="1680"/>
        <w:tab w:val="left" w:pos="2100"/>
        <w:tab w:val="left" w:pos="2520"/>
      </w:tabs>
      <w:ind w:left="2520"/>
      <w:outlineLvl w:val="4"/>
    </w:pPr>
  </w:style>
  <w:style w:type="paragraph" w:customStyle="1" w:styleId="665">
    <w:name w:val="二级条标题"/>
    <w:basedOn w:val="666"/>
    <w:next w:val="649"/>
    <w:qFormat/>
    <w:uiPriority w:val="0"/>
    <w:pPr>
      <w:tabs>
        <w:tab w:val="left" w:pos="1260"/>
        <w:tab w:val="left" w:pos="1680"/>
        <w:tab w:val="left" w:pos="2100"/>
      </w:tabs>
      <w:ind w:left="0"/>
      <w:outlineLvl w:val="3"/>
    </w:pPr>
  </w:style>
  <w:style w:type="paragraph" w:customStyle="1" w:styleId="666">
    <w:name w:val="一级条标题"/>
    <w:basedOn w:val="667"/>
    <w:next w:val="649"/>
    <w:qFormat/>
    <w:uiPriority w:val="0"/>
    <w:pPr>
      <w:tabs>
        <w:tab w:val="left" w:pos="1260"/>
        <w:tab w:val="left" w:pos="1680"/>
      </w:tabs>
      <w:spacing w:beforeLines="0" w:afterLines="0"/>
      <w:ind w:left="1680"/>
      <w:outlineLvl w:val="2"/>
    </w:pPr>
  </w:style>
  <w:style w:type="paragraph" w:customStyle="1" w:styleId="667">
    <w:name w:val="章标题"/>
    <w:next w:val="64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4">
    <w:name w:val="正文 项目2"/>
    <w:basedOn w:val="675"/>
    <w:qFormat/>
    <w:uiPriority w:val="0"/>
    <w:pPr>
      <w:tabs>
        <w:tab w:val="left" w:pos="840"/>
      </w:tabs>
      <w:spacing w:after="0"/>
      <w:ind w:left="900"/>
    </w:pPr>
  </w:style>
  <w:style w:type="paragraph" w:customStyle="1" w:styleId="6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6">
    <w:name w:val="Body Text 2*"/>
    <w:basedOn w:val="1"/>
    <w:qFormat/>
    <w:uiPriority w:val="6"/>
    <w:pPr>
      <w:widowControl/>
      <w:adjustRightInd/>
      <w:ind w:left="720" w:hanging="720"/>
    </w:pPr>
    <w:rPr>
      <w:color w:val="000000"/>
      <w:kern w:val="0"/>
      <w:sz w:val="24"/>
      <w:szCs w:val="20"/>
      <w:lang w:val="en-GB"/>
    </w:rPr>
  </w:style>
  <w:style w:type="paragraph" w:customStyle="1" w:styleId="677">
    <w:name w:val="表1"/>
    <w:basedOn w:val="1"/>
    <w:qFormat/>
    <w:uiPriority w:val="0"/>
    <w:pPr>
      <w:tabs>
        <w:tab w:val="left" w:pos="703"/>
      </w:tabs>
      <w:adjustRightInd/>
      <w:spacing w:line="360" w:lineRule="auto"/>
      <w:ind w:left="703"/>
      <w:jc w:val="center"/>
    </w:pPr>
  </w:style>
  <w:style w:type="paragraph" w:customStyle="1" w:styleId="67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81">
    <w:name w:val="2级标题"/>
    <w:basedOn w:val="682"/>
    <w:qFormat/>
    <w:uiPriority w:val="0"/>
    <w:pPr>
      <w:jc w:val="left"/>
      <w:outlineLvl w:val="1"/>
    </w:pPr>
    <w:rPr>
      <w:rFonts w:ascii="Times New Roman" w:hAnsi="Times New Roman" w:eastAsia="仿宋"/>
      <w:sz w:val="30"/>
    </w:rPr>
  </w:style>
  <w:style w:type="paragraph" w:customStyle="1" w:styleId="68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7">
    <w:name w:val="bullet"/>
    <w:basedOn w:val="1"/>
    <w:qFormat/>
    <w:uiPriority w:val="0"/>
    <w:pPr>
      <w:tabs>
        <w:tab w:val="left" w:pos="840"/>
      </w:tabs>
      <w:adjustRightInd/>
      <w:ind w:left="840" w:hanging="420"/>
    </w:pPr>
  </w:style>
  <w:style w:type="paragraph" w:customStyle="1" w:styleId="6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5">
    <w:name w:val="MM Topic 4"/>
    <w:basedOn w:val="6"/>
    <w:qFormat/>
    <w:uiPriority w:val="0"/>
    <w:pPr>
      <w:tabs>
        <w:tab w:val="left" w:pos="2100"/>
      </w:tabs>
      <w:adjustRightInd/>
      <w:ind w:left="2100" w:hanging="420"/>
    </w:pPr>
    <w:rPr>
      <w:lang w:val="en-US"/>
    </w:rPr>
  </w:style>
  <w:style w:type="paragraph" w:customStyle="1" w:styleId="696">
    <w:name w:val="Char11"/>
    <w:basedOn w:val="1"/>
    <w:qFormat/>
    <w:uiPriority w:val="0"/>
    <w:pPr>
      <w:tabs>
        <w:tab w:val="left" w:pos="432"/>
      </w:tabs>
      <w:adjustRightInd/>
      <w:spacing w:beforeLines="50" w:afterLines="50"/>
      <w:ind w:left="432" w:hanging="432" w:firstLineChars="200"/>
    </w:pPr>
    <w:rPr>
      <w:sz w:val="24"/>
    </w:rPr>
  </w:style>
  <w:style w:type="paragraph" w:customStyle="1" w:styleId="6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8">
    <w:name w:val="Char Char11 Char Char Char Char Char Char Char Char Char1"/>
    <w:basedOn w:val="1"/>
    <w:qFormat/>
    <w:uiPriority w:val="6"/>
    <w:pPr>
      <w:spacing w:line="360" w:lineRule="auto"/>
    </w:pPr>
    <w:rPr>
      <w:szCs w:val="20"/>
    </w:rPr>
  </w:style>
  <w:style w:type="paragraph" w:customStyle="1" w:styleId="69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8">
    <w:name w:val="单元格居中"/>
    <w:basedOn w:val="1"/>
    <w:qFormat/>
    <w:uiPriority w:val="0"/>
    <w:pPr>
      <w:adjustRightInd/>
      <w:spacing w:line="360" w:lineRule="auto"/>
      <w:jc w:val="center"/>
    </w:pPr>
    <w:rPr>
      <w:sz w:val="24"/>
    </w:rPr>
  </w:style>
  <w:style w:type="paragraph" w:customStyle="1" w:styleId="70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10">
    <w:name w:val="Char Char Char Char Char Char Char1"/>
    <w:basedOn w:val="1"/>
    <w:qFormat/>
    <w:uiPriority w:val="6"/>
    <w:rPr>
      <w:rFonts w:ascii="仿宋_GB2312" w:eastAsia="仿宋_GB2312"/>
      <w:b/>
      <w:sz w:val="32"/>
      <w:szCs w:val="32"/>
    </w:rPr>
  </w:style>
  <w:style w:type="paragraph" w:customStyle="1" w:styleId="711">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3">
    <w:name w:val="Char3 Char Char Char11"/>
    <w:basedOn w:val="1"/>
    <w:qFormat/>
    <w:uiPriority w:val="0"/>
    <w:pPr>
      <w:widowControl/>
      <w:adjustRightInd/>
      <w:spacing w:after="160" w:line="240" w:lineRule="exact"/>
      <w:jc w:val="left"/>
    </w:pPr>
    <w:rPr>
      <w:szCs w:val="20"/>
    </w:rPr>
  </w:style>
  <w:style w:type="paragraph" w:customStyle="1" w:styleId="714">
    <w:name w:val="Char Char1121"/>
    <w:basedOn w:val="1"/>
    <w:qFormat/>
    <w:uiPriority w:val="0"/>
    <w:pPr>
      <w:spacing w:line="360" w:lineRule="auto"/>
    </w:pPr>
    <w:rPr>
      <w:szCs w:val="20"/>
    </w:rPr>
  </w:style>
  <w:style w:type="paragraph" w:customStyle="1" w:styleId="71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7">
    <w:name w:val="Normal0"/>
    <w:qFormat/>
    <w:uiPriority w:val="0"/>
    <w:rPr>
      <w:rFonts w:ascii="Times New Roman" w:hAnsi="Times New Roman" w:eastAsia="宋体" w:cs="Times New Roman"/>
      <w:lang w:val="en-US" w:eastAsia="en-US" w:bidi="ar-SA"/>
    </w:rPr>
  </w:style>
  <w:style w:type="paragraph" w:customStyle="1" w:styleId="718">
    <w:name w:val="带编号样式"/>
    <w:basedOn w:val="635"/>
    <w:qFormat/>
    <w:uiPriority w:val="0"/>
    <w:pPr>
      <w:tabs>
        <w:tab w:val="left" w:pos="840"/>
      </w:tabs>
      <w:snapToGrid w:val="0"/>
      <w:ind w:left="840" w:hanging="420" w:firstLineChars="0"/>
    </w:pPr>
    <w:rPr>
      <w:rFonts w:ascii="仿宋_GB2312" w:eastAsia="仿宋_GB2312"/>
      <w:color w:val="000000"/>
    </w:rPr>
  </w:style>
  <w:style w:type="paragraph" w:customStyle="1" w:styleId="71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1">
    <w:name w:val="封面"/>
    <w:basedOn w:val="1"/>
    <w:qFormat/>
    <w:uiPriority w:val="0"/>
    <w:pPr>
      <w:spacing w:line="360" w:lineRule="atLeast"/>
      <w:jc w:val="right"/>
      <w:textAlignment w:val="baseline"/>
    </w:pPr>
    <w:rPr>
      <w:rFonts w:ascii="Symbol" w:hAnsi="Symbol"/>
      <w:kern w:val="0"/>
      <w:szCs w:val="20"/>
    </w:rPr>
  </w:style>
  <w:style w:type="paragraph" w:customStyle="1" w:styleId="72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4">
    <w:name w:val="默认段落字体 Para Char Char Char1 Char"/>
    <w:basedOn w:val="1"/>
    <w:qFormat/>
    <w:uiPriority w:val="0"/>
    <w:pPr>
      <w:spacing w:line="240" w:lineRule="atLeast"/>
      <w:ind w:left="420" w:firstLine="420"/>
    </w:pPr>
    <w:rPr>
      <w:sz w:val="24"/>
    </w:rPr>
  </w:style>
  <w:style w:type="paragraph" w:customStyle="1" w:styleId="725">
    <w:name w:val="WW-正文文字缩进 2"/>
    <w:basedOn w:val="1"/>
    <w:qFormat/>
    <w:uiPriority w:val="0"/>
    <w:pPr>
      <w:suppressAutoHyphens/>
      <w:adjustRightInd/>
      <w:ind w:firstLine="420"/>
    </w:pPr>
    <w:rPr>
      <w:kern w:val="1"/>
      <w:szCs w:val="20"/>
    </w:rPr>
  </w:style>
  <w:style w:type="paragraph" w:customStyle="1" w:styleId="72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8">
    <w:name w:val="有符号正文"/>
    <w:basedOn w:val="1"/>
    <w:qFormat/>
    <w:uiPriority w:val="0"/>
    <w:pPr>
      <w:adjustRightInd/>
      <w:spacing w:line="400" w:lineRule="exact"/>
      <w:ind w:firstLine="200" w:firstLineChars="200"/>
    </w:pPr>
    <w:rPr>
      <w:rFonts w:ascii="Arial" w:hAnsi="Arial"/>
    </w:rPr>
  </w:style>
  <w:style w:type="paragraph" w:customStyle="1" w:styleId="72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1">
    <w:name w:val="4"/>
    <w:basedOn w:val="1"/>
    <w:next w:val="40"/>
    <w:qFormat/>
    <w:uiPriority w:val="0"/>
    <w:pPr>
      <w:spacing w:after="120" w:line="480" w:lineRule="auto"/>
      <w:ind w:left="420" w:leftChars="200"/>
    </w:pPr>
    <w:rPr>
      <w:sz w:val="24"/>
      <w:szCs w:val="20"/>
    </w:rPr>
  </w:style>
  <w:style w:type="paragraph" w:customStyle="1" w:styleId="73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4">
    <w:name w:val="样式 标题 3H3 + 两端对齐"/>
    <w:basedOn w:val="4"/>
    <w:qFormat/>
    <w:uiPriority w:val="0"/>
    <w:pPr>
      <w:keepLines w:val="0"/>
      <w:spacing w:before="0" w:after="0" w:line="240" w:lineRule="auto"/>
      <w:jc w:val="left"/>
    </w:pPr>
    <w:rPr>
      <w:rFonts w:cs="宋体"/>
      <w:sz w:val="21"/>
      <w:szCs w:val="20"/>
    </w:rPr>
  </w:style>
  <w:style w:type="paragraph" w:customStyle="1" w:styleId="73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0">
    <w:name w:val="Char Char1 Char Char Char"/>
    <w:basedOn w:val="1"/>
    <w:qFormat/>
    <w:uiPriority w:val="0"/>
    <w:rPr>
      <w:rFonts w:ascii="仿宋_GB2312" w:eastAsia="仿宋_GB2312"/>
      <w:b/>
      <w:sz w:val="32"/>
      <w:szCs w:val="20"/>
    </w:rPr>
  </w:style>
  <w:style w:type="paragraph" w:customStyle="1" w:styleId="74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4">
    <w:name w:val="Char Char1 Char Char Char2"/>
    <w:basedOn w:val="1"/>
    <w:qFormat/>
    <w:uiPriority w:val="0"/>
    <w:rPr>
      <w:rFonts w:ascii="仿宋_GB2312" w:eastAsia="仿宋_GB2312"/>
      <w:b/>
      <w:sz w:val="32"/>
      <w:szCs w:val="32"/>
    </w:rPr>
  </w:style>
  <w:style w:type="paragraph" w:customStyle="1" w:styleId="745">
    <w:name w:val="Char3 Char Char Char1"/>
    <w:basedOn w:val="1"/>
    <w:qFormat/>
    <w:uiPriority w:val="6"/>
    <w:pPr>
      <w:widowControl/>
      <w:adjustRightInd/>
      <w:spacing w:after="160" w:line="240" w:lineRule="exact"/>
      <w:jc w:val="left"/>
    </w:pPr>
    <w:rPr>
      <w:szCs w:val="20"/>
    </w:rPr>
  </w:style>
  <w:style w:type="paragraph" w:customStyle="1" w:styleId="746">
    <w:name w:val="Char1 Char Char Char21"/>
    <w:basedOn w:val="1"/>
    <w:qFormat/>
    <w:uiPriority w:val="0"/>
    <w:rPr>
      <w:rFonts w:ascii="Tahoma" w:hAnsi="Tahoma"/>
      <w:sz w:val="24"/>
      <w:szCs w:val="20"/>
    </w:rPr>
  </w:style>
  <w:style w:type="paragraph" w:customStyle="1" w:styleId="74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8">
    <w:name w:val="正文（标题三）"/>
    <w:basedOn w:val="1"/>
    <w:qFormat/>
    <w:uiPriority w:val="0"/>
    <w:pPr>
      <w:spacing w:line="360" w:lineRule="auto"/>
      <w:ind w:firstLine="200" w:firstLineChars="200"/>
    </w:pPr>
    <w:rPr>
      <w:sz w:val="24"/>
    </w:rPr>
  </w:style>
  <w:style w:type="paragraph" w:customStyle="1" w:styleId="74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5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4">
    <w:name w:val="Char1 Char Char Char4"/>
    <w:basedOn w:val="1"/>
    <w:qFormat/>
    <w:uiPriority w:val="0"/>
    <w:pPr>
      <w:adjustRightInd/>
      <w:ind w:firstLine="200" w:firstLineChars="200"/>
    </w:pPr>
    <w:rPr>
      <w:rFonts w:ascii="Tahoma" w:hAnsi="Tahoma"/>
      <w:sz w:val="24"/>
      <w:szCs w:val="20"/>
    </w:rPr>
  </w:style>
  <w:style w:type="paragraph" w:customStyle="1" w:styleId="755">
    <w:name w:val="_标题2"/>
    <w:basedOn w:val="722"/>
    <w:next w:val="72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6">
    <w:name w:val="样式1 + (中宋体"/>
    <w:basedOn w:val="73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0">
    <w:name w:val="四号　首行缩进"/>
    <w:basedOn w:val="1"/>
    <w:qFormat/>
    <w:uiPriority w:val="0"/>
    <w:pPr>
      <w:adjustRightInd/>
      <w:spacing w:line="360" w:lineRule="auto"/>
    </w:pPr>
    <w:rPr>
      <w:rFonts w:ascii="宋体" w:hAnsi="宋体"/>
      <w:szCs w:val="20"/>
    </w:rPr>
  </w:style>
  <w:style w:type="paragraph" w:customStyle="1" w:styleId="76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2">
    <w:name w:val="Char Char Char Char Char Char Char Char Char Char Char1 Char"/>
    <w:basedOn w:val="1"/>
    <w:qFormat/>
    <w:uiPriority w:val="0"/>
    <w:pPr>
      <w:adjustRightInd/>
    </w:pPr>
    <w:rPr>
      <w:rFonts w:ascii="Tahoma" w:hAnsi="Tahoma"/>
      <w:sz w:val="24"/>
    </w:rPr>
  </w:style>
  <w:style w:type="paragraph" w:customStyle="1" w:styleId="763">
    <w:name w:val="Char Char Char Char11"/>
    <w:basedOn w:val="1"/>
    <w:qFormat/>
    <w:uiPriority w:val="0"/>
    <w:rPr>
      <w:rFonts w:ascii="Tahoma" w:hAnsi="Tahoma"/>
      <w:sz w:val="24"/>
      <w:szCs w:val="20"/>
    </w:rPr>
  </w:style>
  <w:style w:type="paragraph" w:customStyle="1" w:styleId="76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5">
    <w:name w:val="Char Char Char Char"/>
    <w:basedOn w:val="1"/>
    <w:qFormat/>
    <w:uiPriority w:val="0"/>
    <w:rPr>
      <w:rFonts w:ascii="Tahoma" w:hAnsi="Tahoma"/>
      <w:sz w:val="24"/>
      <w:szCs w:val="20"/>
    </w:rPr>
  </w:style>
  <w:style w:type="paragraph" w:customStyle="1" w:styleId="76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7">
    <w:name w:val="Char19"/>
    <w:basedOn w:val="1"/>
    <w:qFormat/>
    <w:uiPriority w:val="0"/>
    <w:pPr>
      <w:adjustRightInd/>
    </w:pPr>
    <w:rPr>
      <w:szCs w:val="20"/>
    </w:rPr>
  </w:style>
  <w:style w:type="paragraph" w:customStyle="1" w:styleId="76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70">
    <w:name w:val="_Style 5"/>
    <w:basedOn w:val="1"/>
    <w:qFormat/>
    <w:uiPriority w:val="34"/>
    <w:pPr>
      <w:adjustRightInd/>
      <w:ind w:firstLine="420" w:firstLineChars="200"/>
    </w:pPr>
    <w:rPr>
      <w:rFonts w:eastAsia="仿宋_GB2312"/>
      <w:sz w:val="28"/>
    </w:rPr>
  </w:style>
  <w:style w:type="paragraph" w:customStyle="1" w:styleId="77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4">
    <w:name w:val="标书表格字体格式"/>
    <w:next w:val="768"/>
    <w:qFormat/>
    <w:uiPriority w:val="0"/>
    <w:rPr>
      <w:rFonts w:ascii="Times New Roman" w:hAnsi="Times New Roman" w:eastAsia="宋体" w:cs="Times New Roman"/>
      <w:kern w:val="2"/>
      <w:sz w:val="21"/>
      <w:szCs w:val="24"/>
      <w:lang w:val="en-US" w:eastAsia="zh-CN" w:bidi="ar-SA"/>
    </w:rPr>
  </w:style>
  <w:style w:type="paragraph" w:customStyle="1" w:styleId="77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7">
    <w:name w:val="修订3"/>
    <w:qFormat/>
    <w:uiPriority w:val="0"/>
    <w:rPr>
      <w:rFonts w:ascii="Times New Roman" w:hAnsi="Times New Roman" w:eastAsia="宋体" w:cs="Times New Roman"/>
      <w:kern w:val="2"/>
      <w:sz w:val="21"/>
      <w:lang w:val="en-US" w:eastAsia="zh-CN" w:bidi="ar-SA"/>
    </w:rPr>
  </w:style>
  <w:style w:type="paragraph" w:customStyle="1" w:styleId="77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0">
    <w:name w:val="表文字"/>
    <w:qFormat/>
    <w:uiPriority w:val="0"/>
    <w:rPr>
      <w:rFonts w:ascii="宋体" w:hAnsi="Times New Roman" w:eastAsia="宋体" w:cs="Times New Roman"/>
      <w:kern w:val="2"/>
      <w:lang w:val="en-US" w:eastAsia="zh-CN" w:bidi="ar-SA"/>
    </w:rPr>
  </w:style>
  <w:style w:type="paragraph" w:customStyle="1" w:styleId="781">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4">
    <w:name w:val="Char Char Char Char Char Char Char Char2"/>
    <w:basedOn w:val="1"/>
    <w:qFormat/>
    <w:uiPriority w:val="0"/>
    <w:pPr>
      <w:tabs>
        <w:tab w:val="left" w:pos="360"/>
      </w:tabs>
    </w:pPr>
    <w:rPr>
      <w:sz w:val="24"/>
      <w:szCs w:val="20"/>
    </w:rPr>
  </w:style>
  <w:style w:type="paragraph" w:customStyle="1" w:styleId="78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3">
    <w:name w:val="p0"/>
    <w:basedOn w:val="1"/>
    <w:qFormat/>
    <w:uiPriority w:val="0"/>
    <w:pPr>
      <w:widowControl/>
      <w:adjustRightInd/>
    </w:pPr>
    <w:rPr>
      <w:kern w:val="0"/>
      <w:szCs w:val="21"/>
    </w:rPr>
  </w:style>
  <w:style w:type="paragraph" w:customStyle="1" w:styleId="794">
    <w:name w:val="Char6"/>
    <w:basedOn w:val="1"/>
    <w:qFormat/>
    <w:uiPriority w:val="0"/>
    <w:rPr>
      <w:rFonts w:ascii="仿宋_GB2312" w:eastAsia="仿宋_GB2312"/>
      <w:b/>
      <w:sz w:val="32"/>
      <w:szCs w:val="32"/>
    </w:rPr>
  </w:style>
  <w:style w:type="paragraph" w:customStyle="1" w:styleId="795">
    <w:name w:val="Char111"/>
    <w:basedOn w:val="1"/>
    <w:qFormat/>
    <w:uiPriority w:val="0"/>
    <w:rPr>
      <w:rFonts w:ascii="仿宋_GB2312" w:eastAsia="仿宋_GB2312"/>
      <w:b/>
      <w:sz w:val="32"/>
      <w:szCs w:val="32"/>
    </w:rPr>
  </w:style>
  <w:style w:type="paragraph" w:customStyle="1" w:styleId="796">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9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9">
    <w:name w:val="Char1 Char Char Char2"/>
    <w:basedOn w:val="1"/>
    <w:qFormat/>
    <w:uiPriority w:val="0"/>
    <w:pPr>
      <w:adjustRightInd/>
      <w:ind w:firstLine="200" w:firstLineChars="200"/>
    </w:pPr>
    <w:rPr>
      <w:rFonts w:ascii="Tahoma" w:hAnsi="Tahoma"/>
      <w:sz w:val="24"/>
      <w:szCs w:val="20"/>
    </w:rPr>
  </w:style>
  <w:style w:type="paragraph" w:customStyle="1" w:styleId="800">
    <w:name w:val="列出段落1"/>
    <w:basedOn w:val="1"/>
    <w:link w:val="801"/>
    <w:qFormat/>
    <w:uiPriority w:val="34"/>
    <w:pPr>
      <w:adjustRightInd/>
      <w:spacing w:line="360" w:lineRule="auto"/>
      <w:ind w:firstLine="420" w:firstLineChars="200"/>
    </w:pPr>
    <w:rPr>
      <w:rFonts w:ascii="Calibri" w:hAnsi="Calibri"/>
      <w:sz w:val="24"/>
      <w:szCs w:val="22"/>
    </w:rPr>
  </w:style>
  <w:style w:type="character" w:customStyle="1" w:styleId="801">
    <w:name w:val="列出段落 字符"/>
    <w:link w:val="800"/>
    <w:qFormat/>
    <w:locked/>
    <w:uiPriority w:val="0"/>
    <w:rPr>
      <w:rFonts w:ascii="Calibri" w:hAnsi="Calibri"/>
      <w:kern w:val="2"/>
      <w:sz w:val="24"/>
      <w:szCs w:val="22"/>
    </w:rPr>
  </w:style>
  <w:style w:type="paragraph" w:customStyle="1" w:styleId="80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3">
    <w:name w:val="Char Char Char Char Char Char Char2"/>
    <w:basedOn w:val="1"/>
    <w:qFormat/>
    <w:uiPriority w:val="0"/>
    <w:rPr>
      <w:rFonts w:ascii="仿宋_GB2312" w:eastAsia="仿宋_GB2312"/>
      <w:b/>
      <w:sz w:val="32"/>
      <w:szCs w:val="32"/>
    </w:rPr>
  </w:style>
  <w:style w:type="paragraph" w:customStyle="1" w:styleId="804">
    <w:name w:val="五级条标题"/>
    <w:basedOn w:val="805"/>
    <w:next w:val="649"/>
    <w:qFormat/>
    <w:uiPriority w:val="0"/>
    <w:pPr>
      <w:tabs>
        <w:tab w:val="left" w:pos="1260"/>
        <w:tab w:val="left" w:pos="1680"/>
        <w:tab w:val="left" w:pos="2100"/>
        <w:tab w:val="left" w:pos="2940"/>
        <w:tab w:val="left" w:pos="3360"/>
      </w:tabs>
      <w:ind w:left="3360"/>
      <w:outlineLvl w:val="6"/>
    </w:pPr>
  </w:style>
  <w:style w:type="paragraph" w:customStyle="1" w:styleId="805">
    <w:name w:val="四级条标题"/>
    <w:basedOn w:val="664"/>
    <w:next w:val="649"/>
    <w:qFormat/>
    <w:uiPriority w:val="0"/>
    <w:pPr>
      <w:tabs>
        <w:tab w:val="left" w:pos="2940"/>
        <w:tab w:val="clear" w:pos="2520"/>
      </w:tabs>
      <w:ind w:left="2940"/>
      <w:outlineLvl w:val="5"/>
    </w:pPr>
  </w:style>
  <w:style w:type="paragraph" w:customStyle="1" w:styleId="80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qFormat/>
    <w:uiPriority w:val="0"/>
    <w:rPr>
      <w:rFonts w:ascii="仿宋_GB2312" w:eastAsia="仿宋_GB2312"/>
      <w:b/>
      <w:sz w:val="32"/>
      <w:szCs w:val="32"/>
    </w:rPr>
  </w:style>
  <w:style w:type="paragraph" w:customStyle="1" w:styleId="80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10">
    <w:name w:val="首行缩进"/>
    <w:basedOn w:val="1"/>
    <w:qFormat/>
    <w:uiPriority w:val="0"/>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2">
    <w:name w:val="单元格左对齐"/>
    <w:basedOn w:val="1"/>
    <w:qFormat/>
    <w:uiPriority w:val="0"/>
    <w:pPr>
      <w:adjustRightInd/>
      <w:spacing w:line="360" w:lineRule="auto"/>
    </w:pPr>
    <w:rPr>
      <w:sz w:val="24"/>
    </w:rPr>
  </w:style>
  <w:style w:type="paragraph" w:customStyle="1" w:styleId="813">
    <w:name w:val="正文主体"/>
    <w:basedOn w:val="631"/>
    <w:qFormat/>
    <w:uiPriority w:val="0"/>
  </w:style>
  <w:style w:type="paragraph" w:customStyle="1" w:styleId="81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qFormat/>
    <w:uiPriority w:val="0"/>
    <w:pPr>
      <w:adjustRightInd/>
      <w:spacing w:line="360" w:lineRule="auto"/>
      <w:ind w:firstLine="480" w:firstLineChars="200"/>
    </w:pPr>
    <w:rPr>
      <w:sz w:val="24"/>
      <w:szCs w:val="20"/>
    </w:rPr>
  </w:style>
  <w:style w:type="paragraph" w:customStyle="1" w:styleId="818">
    <w:name w:val="P1"/>
    <w:basedOn w:val="1"/>
    <w:qFormat/>
    <w:uiPriority w:val="0"/>
    <w:pPr>
      <w:adjustRightInd/>
      <w:spacing w:line="288" w:lineRule="auto"/>
      <w:ind w:firstLine="425" w:firstLineChars="200"/>
    </w:pPr>
  </w:style>
  <w:style w:type="paragraph" w:customStyle="1" w:styleId="819">
    <w:name w:val="列表内容"/>
    <w:basedOn w:val="1"/>
    <w:next w:val="1"/>
    <w:qFormat/>
    <w:uiPriority w:val="0"/>
    <w:pPr>
      <w:widowControl/>
      <w:tabs>
        <w:tab w:val="left" w:pos="840"/>
      </w:tabs>
      <w:ind w:left="840" w:hanging="420"/>
      <w:jc w:val="left"/>
    </w:pPr>
    <w:rPr>
      <w:kern w:val="0"/>
      <w:sz w:val="18"/>
    </w:rPr>
  </w:style>
  <w:style w:type="paragraph" w:customStyle="1" w:styleId="820">
    <w:name w:val="Char Char11 Char Char Char1"/>
    <w:basedOn w:val="1"/>
    <w:qFormat/>
    <w:uiPriority w:val="6"/>
    <w:pPr>
      <w:spacing w:line="360" w:lineRule="auto"/>
    </w:pPr>
    <w:rPr>
      <w:szCs w:val="20"/>
    </w:rPr>
  </w:style>
  <w:style w:type="paragraph" w:customStyle="1" w:styleId="82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qFormat/>
    <w:uiPriority w:val="0"/>
    <w:pPr>
      <w:spacing w:line="360" w:lineRule="auto"/>
    </w:pPr>
    <w:rPr>
      <w:szCs w:val="20"/>
    </w:rPr>
  </w:style>
  <w:style w:type="paragraph" w:customStyle="1" w:styleId="82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qFormat/>
    <w:uiPriority w:val="0"/>
    <w:rPr>
      <w:rFonts w:ascii="仿宋_GB2312" w:eastAsia="仿宋_GB2312"/>
      <w:b/>
      <w:sz w:val="32"/>
      <w:szCs w:val="32"/>
    </w:rPr>
  </w:style>
  <w:style w:type="paragraph" w:customStyle="1" w:styleId="83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2">
    <w:name w:val="正文 首行缩进:  2 字符 Char"/>
    <w:basedOn w:val="1"/>
    <w:qFormat/>
    <w:uiPriority w:val="0"/>
    <w:pPr>
      <w:adjustRightInd/>
      <w:spacing w:line="360" w:lineRule="auto"/>
      <w:ind w:firstLine="480"/>
    </w:pPr>
    <w:rPr>
      <w:rFonts w:cs="宋体"/>
      <w:sz w:val="24"/>
      <w:szCs w:val="20"/>
    </w:rPr>
  </w:style>
  <w:style w:type="paragraph" w:customStyle="1" w:styleId="833">
    <w:name w:val="Char Char4 Char Char"/>
    <w:basedOn w:val="1"/>
    <w:qFormat/>
    <w:uiPriority w:val="0"/>
    <w:pPr>
      <w:widowControl/>
      <w:adjustRightInd/>
      <w:spacing w:after="160" w:line="240" w:lineRule="exact"/>
      <w:jc w:val="left"/>
    </w:pPr>
  </w:style>
  <w:style w:type="paragraph" w:customStyle="1" w:styleId="83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qFormat/>
    <w:uiPriority w:val="0"/>
    <w:pPr>
      <w:spacing w:line="360" w:lineRule="auto"/>
    </w:pPr>
    <w:rPr>
      <w:szCs w:val="20"/>
    </w:rPr>
  </w:style>
  <w:style w:type="paragraph" w:customStyle="1" w:styleId="83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1">
    <w:name w:val="Char311"/>
    <w:basedOn w:val="1"/>
    <w:qFormat/>
    <w:uiPriority w:val="0"/>
    <w:pPr>
      <w:adjustRightInd/>
      <w:ind w:firstLine="200" w:firstLineChars="200"/>
    </w:pPr>
    <w:rPr>
      <w:rFonts w:ascii="Tahoma" w:hAnsi="Tahoma"/>
      <w:sz w:val="24"/>
      <w:szCs w:val="20"/>
    </w:rPr>
  </w:style>
  <w:style w:type="paragraph" w:customStyle="1" w:styleId="84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4">
    <w:name w:val="正文 内标"/>
    <w:basedOn w:val="759"/>
    <w:qFormat/>
    <w:uiPriority w:val="0"/>
    <w:pPr>
      <w:tabs>
        <w:tab w:val="left" w:pos="0"/>
      </w:tabs>
      <w:ind w:left="900" w:firstLine="0" w:firstLineChars="0"/>
    </w:pPr>
  </w:style>
  <w:style w:type="paragraph" w:customStyle="1" w:styleId="845">
    <w:name w:val="Bulleted List"/>
    <w:basedOn w:val="1"/>
    <w:qFormat/>
    <w:uiPriority w:val="0"/>
    <w:pPr>
      <w:tabs>
        <w:tab w:val="left" w:pos="1260"/>
      </w:tabs>
      <w:adjustRightInd/>
      <w:ind w:left="1260" w:hanging="420"/>
    </w:pPr>
  </w:style>
  <w:style w:type="paragraph" w:customStyle="1" w:styleId="846">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7">
    <w:name w:val="样式 左侧:  0.85 厘米"/>
    <w:basedOn w:val="1"/>
    <w:qFormat/>
    <w:uiPriority w:val="2"/>
    <w:pPr>
      <w:adjustRightInd/>
      <w:spacing w:line="360" w:lineRule="auto"/>
    </w:pPr>
    <w:rPr>
      <w:rFonts w:cs="宋体"/>
      <w:sz w:val="24"/>
      <w:szCs w:val="20"/>
    </w:rPr>
  </w:style>
  <w:style w:type="paragraph" w:customStyle="1" w:styleId="848">
    <w:name w:val="Char Char Char Char Char Char Char Char Char Char Char Char1 Char"/>
    <w:basedOn w:val="1"/>
    <w:qFormat/>
    <w:uiPriority w:val="0"/>
    <w:rPr>
      <w:rFonts w:ascii="Tahoma" w:hAnsi="Tahoma" w:cs="仿宋_GB2312"/>
      <w:sz w:val="24"/>
      <w:szCs w:val="20"/>
    </w:rPr>
  </w:style>
  <w:style w:type="paragraph" w:customStyle="1" w:styleId="84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qFormat/>
    <w:uiPriority w:val="0"/>
    <w:rPr>
      <w:rFonts w:ascii="仿宋_GB2312" w:eastAsia="仿宋_GB2312"/>
      <w:b/>
      <w:sz w:val="32"/>
      <w:szCs w:val="20"/>
    </w:rPr>
  </w:style>
  <w:style w:type="paragraph" w:customStyle="1" w:styleId="85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qFormat/>
    <w:uiPriority w:val="0"/>
    <w:rPr>
      <w:rFonts w:ascii="仿宋_GB2312" w:eastAsia="仿宋_GB2312"/>
      <w:b/>
      <w:sz w:val="32"/>
      <w:szCs w:val="20"/>
    </w:rPr>
  </w:style>
  <w:style w:type="paragraph" w:customStyle="1" w:styleId="85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qFormat/>
    <w:uiPriority w:val="0"/>
    <w:pPr>
      <w:adjustRightInd/>
    </w:pPr>
    <w:rPr>
      <w:rFonts w:ascii="仿宋_GB2312" w:eastAsia="仿宋_GB2312"/>
      <w:b/>
      <w:sz w:val="32"/>
      <w:szCs w:val="32"/>
    </w:rPr>
  </w:style>
  <w:style w:type="paragraph" w:customStyle="1" w:styleId="86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qFormat/>
    <w:uiPriority w:val="0"/>
    <w:pPr>
      <w:widowControl/>
      <w:spacing w:after="160" w:line="240" w:lineRule="exact"/>
      <w:jc w:val="left"/>
    </w:pPr>
    <w:rPr>
      <w:rFonts w:eastAsia="仿宋_GB2312"/>
      <w:sz w:val="28"/>
    </w:rPr>
  </w:style>
  <w:style w:type="paragraph" w:customStyle="1" w:styleId="869">
    <w:name w:val="Char21"/>
    <w:basedOn w:val="1"/>
    <w:qFormat/>
    <w:uiPriority w:val="0"/>
    <w:pPr>
      <w:adjustRightInd/>
      <w:ind w:firstLine="200" w:firstLineChars="200"/>
    </w:pPr>
    <w:rPr>
      <w:rFonts w:ascii="仿宋_GB2312" w:eastAsia="仿宋_GB2312"/>
      <w:b/>
      <w:sz w:val="32"/>
      <w:szCs w:val="32"/>
    </w:rPr>
  </w:style>
  <w:style w:type="paragraph" w:customStyle="1" w:styleId="870">
    <w:name w:val="列表段落1"/>
    <w:basedOn w:val="1"/>
    <w:qFormat/>
    <w:uiPriority w:val="34"/>
    <w:pPr>
      <w:adjustRightInd/>
      <w:ind w:right="238" w:firstLine="420"/>
    </w:pPr>
    <w:rPr>
      <w:rFonts w:ascii="Calibri" w:hAnsi="Calibri"/>
      <w:sz w:val="24"/>
    </w:rPr>
  </w:style>
  <w:style w:type="paragraph" w:customStyle="1" w:styleId="871">
    <w:name w:val="Char Char110"/>
    <w:basedOn w:val="1"/>
    <w:qFormat/>
    <w:uiPriority w:val="6"/>
    <w:pPr>
      <w:spacing w:line="360" w:lineRule="auto"/>
    </w:pPr>
    <w:rPr>
      <w:rFonts w:ascii="Tahoma" w:hAnsi="Tahoma"/>
      <w:sz w:val="24"/>
      <w:szCs w:val="20"/>
    </w:rPr>
  </w:style>
  <w:style w:type="paragraph" w:customStyle="1" w:styleId="87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qFormat/>
    <w:uiPriority w:val="0"/>
    <w:rPr>
      <w:rFonts w:ascii="Tahoma" w:hAnsi="Tahoma" w:cs="仿宋_GB2312"/>
      <w:sz w:val="24"/>
      <w:szCs w:val="20"/>
    </w:rPr>
  </w:style>
  <w:style w:type="paragraph" w:customStyle="1" w:styleId="87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8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1">
    <w:name w:val="_Style 12"/>
    <w:basedOn w:val="19"/>
    <w:qFormat/>
    <w:uiPriority w:val="0"/>
    <w:pPr>
      <w:snapToGrid w:val="0"/>
      <w:spacing w:line="360" w:lineRule="auto"/>
    </w:pPr>
  </w:style>
  <w:style w:type="paragraph" w:customStyle="1" w:styleId="88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0"/>
    <w:qFormat/>
    <w:uiPriority w:val="34"/>
    <w:pPr>
      <w:adjustRightInd/>
      <w:spacing w:line="360" w:lineRule="auto"/>
      <w:ind w:firstLine="200" w:firstLineChars="200"/>
    </w:pPr>
    <w:rPr>
      <w:rFonts w:ascii="Calibri" w:hAnsi="Calibri"/>
      <w:sz w:val="28"/>
      <w:szCs w:val="20"/>
    </w:rPr>
  </w:style>
  <w:style w:type="paragraph" w:customStyle="1" w:styleId="8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1"/>
    <w:qFormat/>
    <w:uiPriority w:val="0"/>
    <w:pPr>
      <w:outlineLvl w:val="2"/>
    </w:pPr>
  </w:style>
  <w:style w:type="paragraph" w:customStyle="1" w:styleId="88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qFormat/>
    <w:uiPriority w:val="0"/>
    <w:pPr>
      <w:adjustRightInd/>
      <w:ind w:firstLine="200" w:firstLineChars="200"/>
    </w:pPr>
    <w:rPr>
      <w:rFonts w:ascii="Tahoma" w:hAnsi="Tahoma"/>
      <w:sz w:val="24"/>
      <w:szCs w:val="20"/>
    </w:rPr>
  </w:style>
  <w:style w:type="paragraph" w:customStyle="1" w:styleId="89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2">
    <w:name w:val="MM Empty"/>
    <w:basedOn w:val="1"/>
    <w:qFormat/>
    <w:uiPriority w:val="0"/>
    <w:pPr>
      <w:adjustRightInd/>
    </w:pPr>
  </w:style>
  <w:style w:type="paragraph" w:customStyle="1" w:styleId="893">
    <w:name w:val="Char24"/>
    <w:basedOn w:val="1"/>
    <w:qFormat/>
    <w:uiPriority w:val="0"/>
    <w:rPr>
      <w:rFonts w:ascii="仿宋_GB2312" w:eastAsia="仿宋_GB2312"/>
      <w:b/>
      <w:sz w:val="32"/>
      <w:szCs w:val="32"/>
    </w:rPr>
  </w:style>
  <w:style w:type="paragraph" w:customStyle="1" w:styleId="894">
    <w:name w:val="正文箭头"/>
    <w:basedOn w:val="543"/>
    <w:qFormat/>
    <w:uiPriority w:val="0"/>
  </w:style>
  <w:style w:type="paragraph" w:customStyle="1" w:styleId="895">
    <w:name w:val="U_编号2"/>
    <w:basedOn w:val="1"/>
    <w:qFormat/>
    <w:uiPriority w:val="0"/>
    <w:pPr>
      <w:tabs>
        <w:tab w:val="left" w:pos="785"/>
      </w:tabs>
      <w:adjustRightInd/>
      <w:spacing w:beforeLines="10" w:afterLines="10" w:line="300" w:lineRule="auto"/>
    </w:pPr>
    <w:rPr>
      <w:sz w:val="24"/>
    </w:rPr>
  </w:style>
  <w:style w:type="paragraph" w:customStyle="1" w:styleId="89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qFormat/>
    <w:uiPriority w:val="34"/>
    <w:pPr>
      <w:adjustRightInd/>
      <w:ind w:firstLine="420" w:firstLineChars="200"/>
    </w:pPr>
    <w:rPr>
      <w:rFonts w:eastAsia="仿宋_GB2312"/>
      <w:sz w:val="28"/>
    </w:rPr>
  </w:style>
  <w:style w:type="paragraph" w:customStyle="1" w:styleId="901">
    <w:name w:val="表格 内容"/>
    <w:basedOn w:val="738"/>
    <w:qFormat/>
    <w:uiPriority w:val="0"/>
    <w:rPr>
      <w:b w:val="0"/>
      <w:sz w:val="20"/>
    </w:rPr>
  </w:style>
  <w:style w:type="paragraph" w:customStyle="1" w:styleId="90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4">
    <w:name w:val="数字标题5"/>
    <w:basedOn w:val="7"/>
    <w:next w:val="1"/>
    <w:qFormat/>
    <w:uiPriority w:val="0"/>
    <w:pPr>
      <w:tabs>
        <w:tab w:val="left" w:pos="1080"/>
      </w:tabs>
      <w:ind w:left="1080" w:hanging="1080"/>
    </w:pPr>
  </w:style>
  <w:style w:type="paragraph" w:customStyle="1" w:styleId="905">
    <w:name w:val="数字标题1"/>
    <w:basedOn w:val="2"/>
    <w:next w:val="1"/>
    <w:qFormat/>
    <w:uiPriority w:val="0"/>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qFormat/>
    <w:uiPriority w:val="0"/>
    <w:pPr>
      <w:widowControl/>
    </w:pPr>
    <w:rPr>
      <w:kern w:val="0"/>
      <w:sz w:val="24"/>
      <w:szCs w:val="20"/>
    </w:rPr>
  </w:style>
  <w:style w:type="paragraph" w:customStyle="1" w:styleId="913">
    <w:name w:val="Char Char113"/>
    <w:basedOn w:val="1"/>
    <w:qFormat/>
    <w:uiPriority w:val="0"/>
    <w:pPr>
      <w:widowControl/>
      <w:spacing w:after="160" w:line="240" w:lineRule="exact"/>
      <w:jc w:val="left"/>
    </w:pPr>
    <w:rPr>
      <w:rFonts w:eastAsia="仿宋_GB2312"/>
      <w:sz w:val="28"/>
    </w:rPr>
  </w:style>
  <w:style w:type="paragraph" w:customStyle="1" w:styleId="91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5">
    <w:name w:val="_Style 8"/>
    <w:basedOn w:val="1"/>
    <w:qFormat/>
    <w:uiPriority w:val="34"/>
    <w:pPr>
      <w:adjustRightInd/>
      <w:ind w:firstLine="420" w:firstLineChars="200"/>
    </w:pPr>
    <w:rPr>
      <w:rFonts w:eastAsia="仿宋_GB2312"/>
      <w:sz w:val="28"/>
    </w:rPr>
  </w:style>
  <w:style w:type="paragraph" w:customStyle="1" w:styleId="91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qFormat/>
    <w:uiPriority w:val="6"/>
    <w:pPr>
      <w:widowControl/>
      <w:spacing w:after="160" w:line="240" w:lineRule="exact"/>
      <w:jc w:val="left"/>
    </w:pPr>
    <w:rPr>
      <w:rFonts w:eastAsia="仿宋_GB2312"/>
      <w:sz w:val="28"/>
    </w:rPr>
  </w:style>
  <w:style w:type="paragraph" w:customStyle="1" w:styleId="922">
    <w:name w:val="正文 图"/>
    <w:basedOn w:val="447"/>
    <w:qFormat/>
    <w:uiPriority w:val="0"/>
    <w:pPr>
      <w:adjustRightInd/>
      <w:spacing w:before="0"/>
      <w:ind w:firstLine="0"/>
      <w:jc w:val="center"/>
    </w:pPr>
    <w:rPr>
      <w:rFonts w:ascii="微软雅黑" w:hAnsi="微软雅黑"/>
    </w:rPr>
  </w:style>
  <w:style w:type="paragraph" w:customStyle="1" w:styleId="92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67"/>
    <w:qFormat/>
    <w:uiPriority w:val="0"/>
    <w:pPr>
      <w:ind w:left="0"/>
    </w:pPr>
  </w:style>
  <w:style w:type="paragraph" w:customStyle="1" w:styleId="92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8">
    <w:name w:val="注释"/>
    <w:basedOn w:val="1"/>
    <w:qFormat/>
    <w:uiPriority w:val="0"/>
    <w:pPr>
      <w:adjustRightInd/>
      <w:spacing w:line="360" w:lineRule="auto"/>
      <w:ind w:firstLine="480"/>
    </w:pPr>
    <w:rPr>
      <w:sz w:val="24"/>
    </w:rPr>
  </w:style>
  <w:style w:type="table" w:customStyle="1" w:styleId="929">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5">
    <w:name w:val="列出段落111"/>
    <w:basedOn w:val="1"/>
    <w:qFormat/>
    <w:uiPriority w:val="34"/>
    <w:pPr>
      <w:ind w:firstLine="420" w:firstLineChars="200"/>
    </w:p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280"/>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2"/>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character" w:customStyle="1" w:styleId="970">
    <w:name w:val="未处理的提及2"/>
    <w:basedOn w:val="72"/>
    <w:semiHidden/>
    <w:unhideWhenUsed/>
    <w:qFormat/>
    <w:uiPriority w:val="99"/>
    <w:rPr>
      <w:color w:val="605E5C"/>
      <w:shd w:val="clear" w:color="auto" w:fill="E1DFDD"/>
    </w:rPr>
  </w:style>
  <w:style w:type="character" w:customStyle="1" w:styleId="971">
    <w:name w:val="纯文本 字符1"/>
    <w:qFormat/>
    <w:locked/>
    <w:uiPriority w:val="0"/>
    <w:rPr>
      <w:rFonts w:eastAsia="宋体"/>
      <w:kern w:val="2"/>
      <w:sz w:val="24"/>
      <w:lang w:val="en-US" w:eastAsia="zh-CN" w:bidi="ar-SA"/>
    </w:rPr>
  </w:style>
  <w:style w:type="paragraph" w:customStyle="1" w:styleId="972">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3">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4">
    <w:name w:val="Body Text First Indent 21"/>
    <w:basedOn w:val="975"/>
    <w:qFormat/>
    <w:uiPriority w:val="0"/>
    <w:pPr>
      <w:ind w:firstLine="420"/>
    </w:pPr>
    <w:rPr>
      <w:rFonts w:cs="宋体"/>
    </w:rPr>
  </w:style>
  <w:style w:type="paragraph" w:customStyle="1" w:styleId="975">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6">
    <w:name w:val="标题 5 字符"/>
    <w:qFormat/>
    <w:uiPriority w:val="9"/>
    <w:rPr>
      <w:rFonts w:ascii="Wingdings" w:hAnsi="Wingdings" w:eastAsia="Wingdings"/>
      <w:b/>
      <w:bCs/>
      <w:kern w:val="2"/>
      <w:sz w:val="28"/>
      <w:szCs w:val="28"/>
    </w:rPr>
  </w:style>
  <w:style w:type="character" w:customStyle="1" w:styleId="977">
    <w:name w:val="标题 6 字符"/>
    <w:qFormat/>
    <w:uiPriority w:val="0"/>
    <w:rPr>
      <w:rFonts w:ascii="Helvetica" w:hAnsi="Helvetica" w:eastAsia="Helvetica"/>
      <w:b/>
      <w:bCs/>
      <w:kern w:val="2"/>
      <w:sz w:val="24"/>
      <w:szCs w:val="24"/>
    </w:rPr>
  </w:style>
  <w:style w:type="character" w:customStyle="1" w:styleId="978">
    <w:name w:val="标题 7 字符"/>
    <w:qFormat/>
    <w:uiPriority w:val="9"/>
    <w:rPr>
      <w:rFonts w:ascii="Wingdings" w:hAnsi="Wingdings" w:eastAsia="Wingdings"/>
      <w:b/>
      <w:bCs/>
      <w:kern w:val="2"/>
      <w:sz w:val="24"/>
      <w:szCs w:val="24"/>
    </w:rPr>
  </w:style>
  <w:style w:type="character" w:customStyle="1" w:styleId="979">
    <w:name w:val="标题 8 字符"/>
    <w:qFormat/>
    <w:uiPriority w:val="9"/>
    <w:rPr>
      <w:rFonts w:ascii="Helvetica" w:hAnsi="Helvetica" w:eastAsia="Helvetica"/>
      <w:kern w:val="2"/>
      <w:sz w:val="24"/>
      <w:szCs w:val="24"/>
    </w:rPr>
  </w:style>
  <w:style w:type="character" w:customStyle="1" w:styleId="980">
    <w:name w:val="标题 9 字符"/>
    <w:qFormat/>
    <w:uiPriority w:val="9"/>
    <w:rPr>
      <w:rFonts w:ascii="Helvetica" w:hAnsi="Helvetica" w:eastAsia="Helvetica"/>
      <w:kern w:val="2"/>
      <w:sz w:val="21"/>
      <w:szCs w:val="21"/>
    </w:rPr>
  </w:style>
  <w:style w:type="character" w:customStyle="1" w:styleId="981">
    <w:name w:val="文档结构图 字符"/>
    <w:qFormat/>
    <w:uiPriority w:val="99"/>
    <w:rPr>
      <w:rFonts w:ascii="Wingdings" w:hAnsi="仿宋_GB2312"/>
      <w:kern w:val="2"/>
      <w:sz w:val="18"/>
      <w:szCs w:val="18"/>
    </w:rPr>
  </w:style>
  <w:style w:type="paragraph" w:customStyle="1" w:styleId="982">
    <w:name w:val="_Style 979"/>
    <w:basedOn w:val="1"/>
    <w:next w:val="280"/>
    <w:qFormat/>
    <w:uiPriority w:val="0"/>
    <w:pPr>
      <w:adjustRightInd/>
      <w:ind w:firstLine="420" w:firstLineChars="200"/>
    </w:pPr>
    <w:rPr>
      <w:rFonts w:ascii="仿宋_GB2312" w:hAnsi="仿宋_GB2312" w:eastAsia="等线"/>
    </w:rPr>
  </w:style>
  <w:style w:type="character" w:customStyle="1" w:styleId="983">
    <w:name w:val="正文文本缩进 2 字符"/>
    <w:qFormat/>
    <w:uiPriority w:val="0"/>
    <w:rPr>
      <w:kern w:val="2"/>
      <w:sz w:val="21"/>
      <w:szCs w:val="22"/>
    </w:rPr>
  </w:style>
  <w:style w:type="character" w:customStyle="1" w:styleId="984">
    <w:name w:val="标题 字符"/>
    <w:qFormat/>
    <w:uiPriority w:val="10"/>
    <w:rPr>
      <w:rFonts w:ascii="Helvetica" w:hAnsi="Helvetica" w:eastAsia="Helvetica"/>
      <w:b/>
      <w:bCs/>
      <w:kern w:val="2"/>
      <w:sz w:val="32"/>
      <w:szCs w:val="32"/>
    </w:rPr>
  </w:style>
  <w:style w:type="character" w:customStyle="1" w:styleId="985">
    <w:name w:val="批注主题 字符"/>
    <w:qFormat/>
    <w:uiPriority w:val="99"/>
    <w:rPr>
      <w:b/>
      <w:bCs/>
      <w:kern w:val="2"/>
      <w:sz w:val="21"/>
      <w:szCs w:val="22"/>
    </w:rPr>
  </w:style>
  <w:style w:type="paragraph" w:customStyle="1" w:styleId="986">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7">
    <w:name w:val="列表段落2"/>
    <w:basedOn w:val="1"/>
    <w:link w:val="988"/>
    <w:qFormat/>
    <w:uiPriority w:val="0"/>
    <w:pPr>
      <w:adjustRightInd/>
      <w:ind w:firstLine="420" w:firstLineChars="200"/>
    </w:pPr>
    <w:rPr>
      <w:rFonts w:ascii="Times New Roman (正文 CS 字体)" w:hAnsi="Times New Roman (正文 CS 字体)" w:eastAsia="等线"/>
      <w:szCs w:val="22"/>
    </w:rPr>
  </w:style>
  <w:style w:type="character" w:customStyle="1" w:styleId="988">
    <w:name w:val="List Paragraph Char"/>
    <w:link w:val="987"/>
    <w:qFormat/>
    <w:uiPriority w:val="0"/>
    <w:rPr>
      <w:rFonts w:ascii="Times New Roman (正文 CS 字体)" w:hAnsi="Times New Roman (正文 CS 字体)" w:eastAsia="等线"/>
      <w:kern w:val="2"/>
      <w:sz w:val="21"/>
      <w:szCs w:val="22"/>
    </w:rPr>
  </w:style>
  <w:style w:type="paragraph" w:customStyle="1" w:styleId="989">
    <w:name w:val="正文文本首行缩进 21"/>
    <w:basedOn w:val="990"/>
    <w:qFormat/>
    <w:uiPriority w:val="0"/>
    <w:pPr>
      <w:ind w:firstLine="420"/>
    </w:pPr>
    <w:rPr>
      <w:rFonts w:eastAsia="Wingdings" w:cs="Wingdings"/>
    </w:rPr>
  </w:style>
  <w:style w:type="paragraph" w:customStyle="1" w:styleId="990">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1">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2">
    <w:name w:val="标题 1 字符1"/>
    <w:qFormat/>
    <w:uiPriority w:val="9"/>
    <w:rPr>
      <w:rFonts w:eastAsia="Times New Roman (正文 CS 字体)"/>
      <w:b/>
      <w:bCs/>
      <w:kern w:val="44"/>
      <w:sz w:val="44"/>
      <w:szCs w:val="44"/>
    </w:rPr>
  </w:style>
  <w:style w:type="character" w:customStyle="1" w:styleId="993">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4">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5">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6">
    <w:name w:val="样式 正文缩进 + 首行缩进:  2 字符 Char"/>
    <w:qFormat/>
    <w:uiPriority w:val="0"/>
    <w:rPr>
      <w:sz w:val="24"/>
    </w:rPr>
  </w:style>
  <w:style w:type="paragraph" w:customStyle="1" w:styleId="997">
    <w:name w:val="GHC 正文"/>
    <w:basedOn w:val="1"/>
    <w:link w:val="998"/>
    <w:qFormat/>
    <w:uiPriority w:val="0"/>
    <w:pPr>
      <w:adjustRightInd/>
      <w:spacing w:line="360" w:lineRule="auto"/>
      <w:ind w:firstLine="420" w:firstLineChars="200"/>
    </w:pPr>
    <w:rPr>
      <w:rFonts w:ascii="Wingdings" w:hAnsi="Wingdings" w:eastAsia="等线"/>
      <w:sz w:val="24"/>
      <w:lang w:val="en-AU"/>
    </w:rPr>
  </w:style>
  <w:style w:type="character" w:customStyle="1" w:styleId="998">
    <w:name w:val="GHC 正文 Char"/>
    <w:link w:val="997"/>
    <w:qFormat/>
    <w:uiPriority w:val="0"/>
    <w:rPr>
      <w:rFonts w:ascii="Wingdings" w:hAnsi="Wingdings" w:eastAsia="等线"/>
      <w:kern w:val="2"/>
      <w:sz w:val="24"/>
      <w:szCs w:val="24"/>
      <w:lang w:val="en-AU"/>
    </w:rPr>
  </w:style>
  <w:style w:type="paragraph" w:customStyle="1" w:styleId="999">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1000">
    <w:name w:val="0段落文字"/>
    <w:basedOn w:val="999"/>
    <w:qFormat/>
    <w:uiPriority w:val="0"/>
  </w:style>
  <w:style w:type="paragraph" w:customStyle="1" w:styleId="1001">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2">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3">
    <w:name w:val="letter list Char"/>
    <w:qFormat/>
    <w:uiPriority w:val="0"/>
    <w:rPr>
      <w:b/>
      <w:bCs/>
      <w:sz w:val="24"/>
      <w:szCs w:val="24"/>
    </w:rPr>
  </w:style>
  <w:style w:type="character" w:customStyle="1" w:styleId="1004">
    <w:name w:val="Legal Level 1.1.1. Char"/>
    <w:qFormat/>
    <w:uiPriority w:val="0"/>
    <w:rPr>
      <w:rFonts w:ascii="Helvetica" w:hAnsi="Helvetica" w:eastAsia="Wingdings" w:cs="Times New Roman (正文 CS 字体)"/>
      <w:sz w:val="24"/>
      <w:szCs w:val="24"/>
    </w:rPr>
  </w:style>
  <w:style w:type="character" w:customStyle="1" w:styleId="1005">
    <w:name w:val="三级标题 Char"/>
    <w:qFormat/>
    <w:uiPriority w:val="0"/>
    <w:rPr>
      <w:rFonts w:ascii="Helvetica" w:hAnsi="Helvetica" w:eastAsia="Wingdings" w:cs="Times New Roman (正文 CS 字体)"/>
      <w:szCs w:val="21"/>
    </w:rPr>
  </w:style>
  <w:style w:type="character" w:customStyle="1" w:styleId="1006">
    <w:name w:val="正文文本缩进 字符1"/>
    <w:qFormat/>
    <w:uiPriority w:val="0"/>
    <w:rPr>
      <w:kern w:val="2"/>
      <w:sz w:val="21"/>
      <w:szCs w:val="22"/>
    </w:rPr>
  </w:style>
  <w:style w:type="character" w:customStyle="1" w:styleId="1007">
    <w:name w:val="列出段落 字符1"/>
    <w:qFormat/>
    <w:uiPriority w:val="0"/>
    <w:rPr>
      <w:rFonts w:ascii="Times New Roman (正文 CS 字体)" w:hAnsi="Times New Roman (正文 CS 字体)" w:eastAsia="Wingdings" w:cs="Times New Roman (正文 CS 字体)"/>
      <w:szCs w:val="24"/>
    </w:rPr>
  </w:style>
  <w:style w:type="paragraph" w:customStyle="1" w:styleId="1008">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09">
    <w:name w:val="TOC 标题2"/>
    <w:basedOn w:val="2"/>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0">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1">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2">
    <w:name w:val="TOC 标题3"/>
    <w:basedOn w:val="2"/>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3">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4">
    <w:name w:val="普通(网站) 字符"/>
    <w:link w:val="62"/>
    <w:qFormat/>
    <w:uiPriority w:val="0"/>
    <w:rPr>
      <w:rFonts w:ascii="宋体" w:hAnsi="宋体"/>
      <w:sz w:val="24"/>
      <w:szCs w:val="24"/>
    </w:rPr>
  </w:style>
  <w:style w:type="character" w:customStyle="1" w:styleId="1015">
    <w:name w:val="NormalCharacter"/>
    <w:qFormat/>
    <w:uiPriority w:val="0"/>
  </w:style>
  <w:style w:type="paragraph" w:customStyle="1" w:styleId="1016">
    <w:name w:val="UserStyle_20"/>
    <w:basedOn w:val="1"/>
    <w:next w:val="1"/>
    <w:qFormat/>
    <w:uiPriority w:val="0"/>
    <w:pPr>
      <w:widowControl/>
      <w:adjustRightInd/>
      <w:spacing w:line="360" w:lineRule="auto"/>
      <w:ind w:firstLine="480" w:firstLineChars="200"/>
      <w:textAlignment w:val="baseline"/>
    </w:pPr>
    <w:rPr>
      <w:sz w:val="24"/>
      <w:szCs w:val="21"/>
    </w:rPr>
  </w:style>
  <w:style w:type="paragraph" w:customStyle="1" w:styleId="1017">
    <w:name w:val="文本正文宋体缩进"/>
    <w:basedOn w:val="1"/>
    <w:next w:val="1"/>
    <w:qFormat/>
    <w:uiPriority w:val="0"/>
    <w:pPr>
      <w:adjustRightInd/>
      <w:spacing w:line="360" w:lineRule="auto"/>
      <w:ind w:firstLine="480" w:firstLineChars="200"/>
    </w:pPr>
    <w:rPr>
      <w:sz w:val="24"/>
      <w:szCs w:val="21"/>
    </w:rPr>
  </w:style>
  <w:style w:type="paragraph" w:customStyle="1" w:styleId="1018">
    <w:name w:val="msolistparagraph"/>
    <w:basedOn w:val="1"/>
    <w:qFormat/>
    <w:uiPriority w:val="0"/>
    <w:pPr>
      <w:ind w:firstLine="420" w:firstLineChars="200"/>
    </w:pPr>
  </w:style>
  <w:style w:type="paragraph" w:customStyle="1" w:styleId="1019">
    <w:name w:val="正文文本 31"/>
    <w:basedOn w:val="1"/>
    <w:qFormat/>
    <w:uiPriority w:val="0"/>
    <w:pPr>
      <w:spacing w:after="120"/>
    </w:pPr>
    <w:rPr>
      <w:sz w:val="16"/>
      <w:szCs w:val="16"/>
    </w:rPr>
  </w:style>
  <w:style w:type="paragraph" w:customStyle="1" w:styleId="1020">
    <w:name w:val="paragraph"/>
    <w:basedOn w:val="1"/>
    <w:qFormat/>
    <w:uiPriority w:val="0"/>
    <w:pPr>
      <w:widowControl/>
      <w:spacing w:before="100" w:beforeAutospacing="1" w:after="100" w:afterAutospacing="1"/>
      <w:jc w:val="left"/>
    </w:pPr>
    <w:rPr>
      <w:rFonts w:ascii="等线" w:hAnsi="等线" w:eastAsia="等线"/>
      <w:kern w:val="0"/>
      <w:sz w:val="24"/>
    </w:rPr>
  </w:style>
  <w:style w:type="paragraph" w:customStyle="1" w:styleId="1021">
    <w:name w:val="Plain Text"/>
    <w:basedOn w:val="1022"/>
    <w:qFormat/>
    <w:uiPriority w:val="0"/>
    <w:pPr>
      <w:widowControl/>
      <w:jc w:val="left"/>
    </w:pPr>
    <w:rPr>
      <w:rFonts w:ascii="宋体" w:hAnsi="Courier New"/>
    </w:rPr>
  </w:style>
  <w:style w:type="paragraph" w:customStyle="1" w:styleId="1022">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23">
    <w:name w:val="_Style 10"/>
    <w:basedOn w:val="1"/>
    <w:qFormat/>
    <w:uiPriority w:val="99"/>
  </w:style>
  <w:style w:type="paragraph" w:customStyle="1" w:styleId="1024">
    <w:name w:val="目录 71"/>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025">
    <w:name w:val="Table Normal"/>
    <w:semiHidden/>
    <w:unhideWhenUsed/>
    <w:qFormat/>
    <w:uiPriority w:val="0"/>
    <w:tblPr>
      <w:tblCellMar>
        <w:top w:w="0" w:type="dxa"/>
        <w:left w:w="0" w:type="dxa"/>
        <w:bottom w:w="0" w:type="dxa"/>
        <w:right w:w="0" w:type="dxa"/>
      </w:tblCellMar>
    </w:tblPr>
  </w:style>
  <w:style w:type="paragraph" w:customStyle="1" w:styleId="1026">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72</Pages>
  <Words>13736</Words>
  <Characters>15074</Characters>
  <Lines>328</Lines>
  <Paragraphs>92</Paragraphs>
  <TotalTime>9</TotalTime>
  <ScaleCrop>false</ScaleCrop>
  <LinksUpToDate>false</LinksUpToDate>
  <CharactersWithSpaces>15347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2023-05-20T15:00:00Z</dcterms:created>
  <dc:creator>玥</dc:creator>
  <cp:lastModifiedBy>柒号</cp:lastModifiedBy>
  <cp:lastPrinted>2025-01-03T06:32:00Z</cp:lastPrinted>
  <dcterms:modified xsi:type="dcterms:W3CDTF">2025-07-04T06:46:29Z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E5253BBCCFA34BE480A46A6AB6DBEC97</vt:lpwstr>
  </property>
  <property fmtid="{D5CDD505-2E9C-101B-9397-08002B2CF9AE}" pid="5" name="KSOTemplateDocerSaveRecord">
    <vt:lpwstr>eyJoZGlkIjoiY2JlZjZlZWZmNDYwNzFhOTM1ZGI2MWYzZDViODQ3MWUifQ==</vt:lpwstr>
  </property>
</Properties>
</file>