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卫健局医疗设备</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06-07</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卫生健康局</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卫健局医疗设备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06</w:t>
      </w:r>
      <w:r>
        <w:rPr>
          <w:rFonts w:hint="eastAsia" w:ascii="宋体" w:hAnsi="宋体" w:cs="宋体"/>
          <w:sz w:val="24"/>
        </w:rPr>
        <w:t>-</w:t>
      </w:r>
      <w:r>
        <w:rPr>
          <w:rFonts w:hint="eastAsia" w:ascii="宋体" w:hAnsi="宋体" w:cs="宋体"/>
          <w:sz w:val="24"/>
          <w:lang w:val="en-US" w:eastAsia="zh-CN"/>
        </w:rPr>
        <w:t>07</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卫健局医疗设备</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2623000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2623000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18"/>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hint="eastAsia" w:ascii="宋体" w:hAnsi="宋体" w:eastAsia="宋体" w:cs="宋体"/>
          <w:bCs/>
          <w:sz w:val="24"/>
          <w:lang w:val="en-US" w:eastAsia="zh-CN"/>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专门面向中小企业</w:t>
                  </w:r>
                </w:sdtContent>
              </w:sdt>
            </w:sdtContent>
          </w:sdt>
        </w:sdtContent>
      </w:sdt>
      <w:r>
        <w:rPr>
          <w:rFonts w:hint="eastAsia" w:ascii="宋体" w:hAnsi="宋体" w:cs="宋体"/>
          <w:bCs/>
          <w:sz w:val="24"/>
        </w:rPr>
        <w:t>。</w:t>
      </w:r>
      <w:r>
        <w:rPr>
          <w:rFonts w:hint="eastAsia" w:ascii="宋体" w:hAnsi="宋体" w:cs="宋体"/>
          <w:bCs/>
          <w:sz w:val="24"/>
          <w:lang w:val="en-US" w:eastAsia="zh-CN"/>
        </w:rPr>
        <w:t xml:space="preserve"> </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7"/>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27</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7"/>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11</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7"/>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诸暨市卫生健康局</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w:t>
      </w:r>
      <w:r>
        <w:rPr>
          <w:rFonts w:hint="eastAsia" w:ascii="宋体" w:hAnsi="宋体" w:cs="宋体"/>
          <w:sz w:val="24"/>
          <w:lang w:eastAsia="zh-CN"/>
        </w:rPr>
        <w:t>高湖路</w:t>
      </w:r>
      <w:r>
        <w:rPr>
          <w:rFonts w:hint="eastAsia" w:ascii="宋体" w:hAnsi="宋体" w:cs="宋体"/>
          <w:sz w:val="24"/>
          <w:lang w:val="en-US" w:eastAsia="zh-CN"/>
        </w:rPr>
        <w:t>45</w:t>
      </w:r>
      <w:r>
        <w:rPr>
          <w:rFonts w:hint="eastAsia" w:ascii="宋体" w:hAnsi="宋体" w:cs="宋体"/>
          <w:sz w:val="24"/>
        </w:rPr>
        <w:t>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杨迈青</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0575-87014337</w:t>
      </w:r>
    </w:p>
    <w:p>
      <w:pPr>
        <w:spacing w:line="360" w:lineRule="auto"/>
        <w:ind w:left="479" w:leftChars="228" w:firstLine="64" w:firstLineChars="27"/>
        <w:rPr>
          <w:rFonts w:hint="eastAsia"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eastAsia="zh-CN"/>
        </w:rPr>
        <w:t>谢盈</w:t>
      </w:r>
    </w:p>
    <w:p>
      <w:pPr>
        <w:spacing w:line="360" w:lineRule="auto"/>
        <w:ind w:left="479" w:leftChars="228" w:firstLine="64" w:firstLineChars="27"/>
        <w:rPr>
          <w:rFonts w:hint="default"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0575-87252112</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②《中小企业声明函》；</w:t>
            </w:r>
          </w:p>
          <w:p>
            <w:pPr>
              <w:pStyle w:val="281"/>
              <w:numPr>
                <w:ilvl w:val="0"/>
                <w:numId w:val="0"/>
              </w:numPr>
              <w:snapToGrid w:val="0"/>
              <w:ind w:leftChars="0"/>
              <w:rPr>
                <w:rFonts w:hint="default" w:ascii="宋体" w:hAnsi="宋体" w:eastAsia="宋体" w:cs="宋体"/>
                <w:lang w:val="en-US" w:eastAsia="zh-CN"/>
              </w:rPr>
            </w:pPr>
            <w:r>
              <w:rPr>
                <w:rFonts w:hint="eastAsia" w:ascii="宋体" w:hAnsi="宋体" w:eastAsia="宋体" w:cs="宋体"/>
                <w:lang w:val="en-US" w:eastAsia="zh-CN"/>
              </w:rPr>
              <w:t>③</w:t>
            </w:r>
            <w:r>
              <w:rPr>
                <w:rFonts w:hint="default" w:ascii="宋体" w:hAnsi="宋体" w:eastAsia="宋体" w:cs="宋体"/>
                <w:lang w:val="en-US" w:eastAsia="zh-CN"/>
              </w:rPr>
              <w:t>本项目的特定资格要求：具有所投标的相应国家规定必备的资质、资格（如医疗器械经营许可证等）。</w:t>
            </w:r>
          </w:p>
          <w:p>
            <w:pPr>
              <w:pStyle w:val="281"/>
              <w:numPr>
                <w:ilvl w:val="0"/>
                <w:numId w:val="0"/>
              </w:numPr>
              <w:snapToGrid w:val="0"/>
              <w:ind w:leftChars="0"/>
              <w:rPr>
                <w:rFonts w:hint="default" w:ascii="宋体" w:hAnsi="宋体" w:eastAsia="宋体" w:cs="宋体"/>
                <w:lang w:val="en-US" w:eastAsia="zh-CN"/>
              </w:rPr>
            </w:pPr>
            <w:r>
              <w:rPr>
                <w:rFonts w:hint="default" w:ascii="宋体" w:hAnsi="宋体" w:eastAsia="宋体" w:cs="宋体"/>
                <w:b/>
                <w:bCs/>
                <w:lang w:val="en-US" w:eastAsia="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心电图机</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7"/>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6"/>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7"/>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7"/>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7"/>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7"/>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7"/>
        <w:spacing w:line="360" w:lineRule="auto"/>
        <w:ind w:firstLine="480" w:firstLineChars="200"/>
        <w:rPr>
          <w:rFonts w:hAnsi="宋体" w:cs="宋体"/>
          <w:sz w:val="24"/>
        </w:rPr>
      </w:pPr>
      <w:r>
        <w:rPr>
          <w:rFonts w:hint="eastAsia" w:hAnsi="宋体" w:cs="宋体"/>
          <w:sz w:val="24"/>
        </w:rPr>
        <w:t>4.3质疑供应商投诉</w:t>
      </w:r>
    </w:p>
    <w:p>
      <w:pPr>
        <w:pStyle w:val="37"/>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7"/>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7"/>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7"/>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7"/>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7"/>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7"/>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7"/>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8"/>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403820"/>
      <w:bookmarkEnd w:id="13"/>
      <w:bookmarkStart w:id="14" w:name="_Hlt75236290"/>
      <w:bookmarkEnd w:id="14"/>
      <w:bookmarkStart w:id="15" w:name="_Hlt74729768"/>
      <w:bookmarkEnd w:id="15"/>
      <w:bookmarkStart w:id="16" w:name="_Hlt74707468"/>
      <w:bookmarkEnd w:id="16"/>
      <w:bookmarkStart w:id="17" w:name="_Hlt74714665"/>
      <w:bookmarkEnd w:id="17"/>
      <w:bookmarkStart w:id="18" w:name="_Hlt68073093"/>
      <w:bookmarkEnd w:id="18"/>
      <w:bookmarkStart w:id="19" w:name="_Hlt68072990"/>
      <w:bookmarkEnd w:id="19"/>
      <w:bookmarkStart w:id="20" w:name="_Hlt75236011"/>
      <w:bookmarkEnd w:id="20"/>
      <w:bookmarkStart w:id="21" w:name="_Hlt68072998"/>
      <w:bookmarkEnd w:id="21"/>
      <w:bookmarkStart w:id="22" w:name="_Hlt75236101"/>
      <w:bookmarkEnd w:id="22"/>
      <w:bookmarkStart w:id="23" w:name="_Hlt74730295"/>
      <w:bookmarkEnd w:id="23"/>
      <w:bookmarkStart w:id="24" w:name="_Hlt68057669"/>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pStyle w:val="23"/>
        <w:numPr>
          <w:ilvl w:val="0"/>
          <w:numId w:val="6"/>
        </w:numPr>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采购内容</w:t>
      </w:r>
    </w:p>
    <w:tbl>
      <w:tblPr>
        <w:tblStyle w:val="66"/>
        <w:tblW w:w="856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4329"/>
        <w:gridCol w:w="1495"/>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标项号</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采购内容</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eastAsia="宋体" w:cs="Times New Roman"/>
                <w:spacing w:val="-4"/>
                <w:sz w:val="24"/>
              </w:rPr>
            </w:pPr>
            <w:r>
              <w:rPr>
                <w:rFonts w:hint="eastAsia" w:ascii="宋体" w:hAnsi="宋体" w:eastAsia="宋体" w:cs="Times New Roman"/>
                <w:spacing w:val="-4"/>
                <w:sz w:val="24"/>
              </w:rPr>
              <w:t>单位及数量</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default" w:ascii="宋体" w:hAnsi="宋体" w:eastAsia="宋体" w:cs="Times New Roman"/>
                <w:spacing w:val="-4"/>
                <w:sz w:val="24"/>
                <w:lang w:val="en-US" w:eastAsia="zh-CN"/>
              </w:rPr>
            </w:pPr>
            <w:r>
              <w:rPr>
                <w:rFonts w:hint="eastAsia" w:ascii="宋体" w:hAnsi="宋体" w:eastAsia="宋体" w:cs="Times New Roman"/>
                <w:spacing w:val="-4"/>
                <w:sz w:val="24"/>
                <w:lang w:val="en-US" w:eastAsia="zh-CN"/>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restart"/>
            <w:tcBorders>
              <w:top w:val="single" w:color="auto" w:sz="4" w:space="0"/>
              <w:left w:val="single" w:color="auto" w:sz="4" w:space="0"/>
              <w:right w:val="single" w:color="auto" w:sz="4" w:space="0"/>
            </w:tcBorders>
            <w:noWrap w:val="0"/>
            <w:vAlign w:val="center"/>
          </w:tcPr>
          <w:p>
            <w:pPr>
              <w:pStyle w:val="1022"/>
              <w:jc w:val="center"/>
              <w:rPr>
                <w:rFonts w:hint="eastAsia" w:hAnsi="宋体" w:eastAsia="宋体"/>
                <w:sz w:val="24"/>
                <w:szCs w:val="24"/>
                <w:lang w:val="en-US" w:eastAsia="zh-CN"/>
              </w:rPr>
            </w:pPr>
            <w:r>
              <w:rPr>
                <w:rFonts w:hAnsi="宋体"/>
                <w:sz w:val="24"/>
                <w:szCs w:val="24"/>
              </w:rPr>
              <w:t>1</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eastAsia="宋体" w:cs="Times New Roman"/>
                <w:spacing w:val="-4"/>
                <w:sz w:val="24"/>
                <w:lang w:val="en-US" w:eastAsia="zh-CN"/>
              </w:rPr>
            </w:pPr>
            <w:r>
              <w:rPr>
                <w:rFonts w:hint="eastAsia" w:ascii="宋体" w:hAnsi="宋体" w:eastAsia="宋体" w:cs="Times New Roman"/>
                <w:spacing w:val="-4"/>
                <w:sz w:val="24"/>
                <w:lang w:val="en-US" w:eastAsia="zh-CN"/>
              </w:rPr>
              <w:t>县域内心电远程诊断系统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eastAsia="宋体" w:cs="Times New Roman"/>
                <w:spacing w:val="-4"/>
                <w:sz w:val="24"/>
                <w:lang w:val="en-US" w:eastAsia="zh-CN"/>
              </w:rPr>
            </w:pPr>
            <w:r>
              <w:rPr>
                <w:rFonts w:hint="eastAsia" w:ascii="宋体" w:hAnsi="宋体" w:eastAsia="宋体" w:cs="Times New Roman"/>
                <w:spacing w:val="-4"/>
                <w:sz w:val="24"/>
                <w:lang w:val="en-US" w:eastAsia="zh-CN"/>
              </w:rPr>
              <w:t>1套</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eastAsia="宋体" w:cs="Times New Roman"/>
                <w:spacing w:val="-4"/>
                <w:sz w:val="24"/>
                <w:lang w:val="en-US" w:eastAsia="zh-CN"/>
              </w:rPr>
            </w:pPr>
            <w:r>
              <w:rPr>
                <w:rFonts w:hint="eastAsia" w:ascii="宋体" w:hAnsi="宋体" w:eastAsia="宋体" w:cs="Times New Roman"/>
                <w:spacing w:val="-4"/>
                <w:sz w:val="24"/>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left w:val="single" w:color="auto" w:sz="4" w:space="0"/>
              <w:right w:val="single" w:color="auto" w:sz="4" w:space="0"/>
            </w:tcBorders>
            <w:noWrap w:val="0"/>
            <w:vAlign w:val="center"/>
          </w:tcPr>
          <w:p>
            <w:pPr>
              <w:pStyle w:val="1022"/>
              <w:jc w:val="center"/>
              <w:rPr>
                <w:rFonts w:hint="eastAsia" w:hAnsi="宋体" w:eastAsia="宋体"/>
                <w:sz w:val="24"/>
                <w:szCs w:val="24"/>
                <w:lang w:val="en-US" w:eastAsia="zh-CN"/>
              </w:rPr>
            </w:pP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default" w:ascii="宋体" w:hAnsi="宋体" w:eastAsia="宋体" w:cs="Times New Roman"/>
                <w:spacing w:val="-4"/>
                <w:sz w:val="24"/>
                <w:lang w:val="en-US" w:eastAsia="zh-CN"/>
              </w:rPr>
            </w:pPr>
            <w:r>
              <w:rPr>
                <w:rFonts w:hint="eastAsia" w:ascii="宋体" w:hAnsi="宋体" w:eastAsia="宋体" w:cs="Times New Roman"/>
                <w:spacing w:val="-4"/>
                <w:sz w:val="24"/>
                <w:lang w:val="en-US" w:eastAsia="zh-CN"/>
              </w:rPr>
              <w:t>12导心电图机</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default" w:ascii="宋体" w:hAnsi="宋体" w:eastAsia="宋体" w:cs="Times New Roman"/>
                <w:spacing w:val="-4"/>
                <w:sz w:val="24"/>
                <w:lang w:val="en-US" w:eastAsia="zh-CN"/>
              </w:rPr>
            </w:pPr>
            <w:r>
              <w:rPr>
                <w:rFonts w:hint="eastAsia" w:ascii="宋体" w:hAnsi="宋体" w:eastAsia="宋体" w:cs="Times New Roman"/>
                <w:spacing w:val="-4"/>
                <w:sz w:val="24"/>
                <w:lang w:val="en-US" w:eastAsia="zh-CN"/>
              </w:rPr>
              <w:t>343台</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default" w:ascii="宋体" w:hAnsi="宋体" w:eastAsia="宋体" w:cs="Times New Roman"/>
                <w:spacing w:val="-4"/>
                <w:sz w:val="24"/>
                <w:lang w:val="en-US" w:eastAsia="zh-CN"/>
              </w:rPr>
            </w:pPr>
            <w:r>
              <w:rPr>
                <w:rFonts w:hint="eastAsia" w:ascii="宋体" w:hAnsi="宋体" w:eastAsia="宋体" w:cs="Times New Roman"/>
                <w:spacing w:val="-4"/>
                <w:sz w:val="24"/>
                <w:lang w:val="en-US" w:eastAsia="zh-CN"/>
              </w:rPr>
              <w:t>否</w:t>
            </w:r>
          </w:p>
        </w:tc>
      </w:tr>
    </w:tbl>
    <w:p>
      <w:pPr>
        <w:numPr>
          <w:ilvl w:val="0"/>
          <w:numId w:val="0"/>
        </w:numPr>
        <w:rPr>
          <w:rFonts w:hint="eastAsia"/>
          <w:lang w:val="en-US" w:eastAsia="zh-CN"/>
        </w:rPr>
      </w:pPr>
    </w:p>
    <w:p>
      <w:pPr>
        <w:numPr>
          <w:ilvl w:val="0"/>
          <w:numId w:val="0"/>
        </w:numPr>
        <w:rPr>
          <w:rFonts w:hint="default"/>
          <w:sz w:val="24"/>
          <w:szCs w:val="24"/>
          <w:lang w:val="en-US" w:eastAsia="zh-CN"/>
        </w:rPr>
      </w:pPr>
      <w:r>
        <w:rPr>
          <w:rFonts w:hint="eastAsia"/>
          <w:sz w:val="24"/>
          <w:szCs w:val="24"/>
          <w:lang w:val="en-US" w:eastAsia="zh-CN"/>
        </w:rPr>
        <w:t>附件：</w:t>
      </w:r>
    </w:p>
    <w:tbl>
      <w:tblPr>
        <w:tblStyle w:val="66"/>
        <w:tblW w:w="8568"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708"/>
        <w:gridCol w:w="3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2" w:hRule="atLeast"/>
        </w:trPr>
        <w:tc>
          <w:tcPr>
            <w:tcW w:w="856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 xml:space="preserve">数字心电仪数量统计表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市人民医院医共体</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市中医医院医共体</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市中心医院医共体</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市第二人民医院</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市第三人民医院</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市第四人民医院</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市第五人民医院</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市第六人民医院</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7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8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r>
    </w:tbl>
    <w:p>
      <w:pPr>
        <w:numPr>
          <w:ilvl w:val="0"/>
          <w:numId w:val="7"/>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技术参数要求</w:t>
      </w:r>
    </w:p>
    <w:tbl>
      <w:tblPr>
        <w:tblStyle w:val="66"/>
        <w:tblW w:w="855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6096"/>
        <w:gridCol w:w="12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6096" w:type="dxa"/>
            <w:tcBorders>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lang w:val="en-US" w:eastAsia="zh-CN"/>
              </w:rPr>
              <w:t>详细</w:t>
            </w:r>
            <w:r>
              <w:rPr>
                <w:rFonts w:hint="eastAsia" w:ascii="宋体" w:hAnsi="宋体" w:eastAsia="宋体" w:cs="宋体"/>
                <w:b/>
                <w:sz w:val="24"/>
              </w:rPr>
              <w:t>规格</w:t>
            </w:r>
          </w:p>
        </w:tc>
        <w:tc>
          <w:tcPr>
            <w:tcW w:w="1219" w:type="dxa"/>
            <w:tcBorders>
              <w:left w:val="single" w:color="auto" w:sz="4" w:space="0"/>
            </w:tcBorders>
            <w:noWrap w:val="0"/>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57" w:type="dxa"/>
            <w:gridSpan w:val="3"/>
            <w:noWrap w:val="0"/>
            <w:vAlign w:val="center"/>
          </w:tcPr>
          <w:p>
            <w:pPr>
              <w:widowControl/>
              <w:spacing w:line="240" w:lineRule="auto"/>
              <w:jc w:val="center"/>
              <w:rPr>
                <w:rFonts w:hint="eastAsia" w:ascii="宋体" w:hAnsi="宋体" w:eastAsia="宋体" w:cs="宋体"/>
                <w:bCs/>
                <w:sz w:val="21"/>
                <w:szCs w:val="21"/>
              </w:rPr>
            </w:pPr>
            <w:r>
              <w:rPr>
                <w:rFonts w:hint="eastAsia" w:ascii="宋体" w:hAnsi="宋体" w:eastAsia="宋体" w:cs="宋体"/>
                <w:sz w:val="21"/>
                <w:szCs w:val="21"/>
                <w:lang w:val="en-US" w:eastAsia="zh-CN"/>
              </w:rPr>
              <w:t>县域内心电远程诊断系统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restart"/>
            <w:noWrap w:val="0"/>
            <w:vAlign w:val="center"/>
          </w:tcPr>
          <w:p>
            <w:pPr>
              <w:spacing w:line="240" w:lineRule="auto"/>
              <w:jc w:val="center"/>
              <w:rPr>
                <w:rFonts w:hint="eastAsia" w:ascii="宋体" w:hAnsi="宋体" w:eastAsia="宋体" w:cs="宋体"/>
                <w:bCs/>
                <w:color w:val="000000"/>
                <w:kern w:val="0"/>
                <w:sz w:val="21"/>
                <w:szCs w:val="21"/>
              </w:rPr>
            </w:pPr>
            <w:r>
              <w:rPr>
                <w:rFonts w:hint="eastAsia" w:ascii="宋体" w:hAnsi="宋体" w:eastAsia="宋体" w:cs="宋体"/>
                <w:bCs/>
                <w:sz w:val="21"/>
                <w:szCs w:val="21"/>
              </w:rPr>
              <w:t>1</w:t>
            </w:r>
          </w:p>
        </w:tc>
        <w:tc>
          <w:tcPr>
            <w:tcW w:w="6096" w:type="dxa"/>
            <w:tcBorders>
              <w:right w:val="single" w:color="auto" w:sz="4" w:space="0"/>
            </w:tcBorders>
            <w:noWrap w:val="0"/>
            <w:vAlign w:val="center"/>
          </w:tcPr>
          <w:p>
            <w:pPr>
              <w:spacing w:line="24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服务端模块</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 w:hRule="atLeast"/>
        </w:trPr>
        <w:tc>
          <w:tcPr>
            <w:tcW w:w="1242" w:type="dxa"/>
            <w:vMerge w:val="continue"/>
            <w:noWrap w:val="0"/>
            <w:vAlign w:val="center"/>
          </w:tcPr>
          <w:p>
            <w:pPr>
              <w:spacing w:line="240" w:lineRule="auto"/>
              <w:jc w:val="center"/>
              <w:rPr>
                <w:rFonts w:hint="eastAsia" w:ascii="宋体" w:hAnsi="宋体" w:eastAsia="宋体" w:cs="宋体"/>
                <w:sz w:val="21"/>
                <w:szCs w:val="21"/>
              </w:rPr>
            </w:pPr>
          </w:p>
        </w:tc>
        <w:tc>
          <w:tcPr>
            <w:tcW w:w="6096" w:type="dxa"/>
            <w:tcBorders>
              <w:right w:val="single" w:color="auto" w:sz="4" w:space="0"/>
            </w:tcBorders>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数据一致性：医生客户端每一次操作均直接访问服务器端，保障数据一致性。</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noWrap w:val="0"/>
            <w:vAlign w:val="center"/>
          </w:tcPr>
          <w:p>
            <w:pPr>
              <w:spacing w:line="240" w:lineRule="auto"/>
              <w:jc w:val="center"/>
              <w:rPr>
                <w:rFonts w:hint="eastAsia" w:ascii="宋体" w:hAnsi="宋体" w:eastAsia="宋体" w:cs="宋体"/>
                <w:sz w:val="21"/>
                <w:szCs w:val="21"/>
              </w:rPr>
            </w:pPr>
          </w:p>
        </w:tc>
        <w:tc>
          <w:tcPr>
            <w:tcW w:w="6096" w:type="dxa"/>
            <w:tcBorders>
              <w:right w:val="single" w:color="auto" w:sz="4" w:space="0"/>
            </w:tcBorders>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系统完整性：登录系统后的功能模块需全面含概心电电生理检查业务的全流程，需包含以下模块预约登记、心电检查、动态心电/血压检查、电生理检查、病历管理、分析诊断、报告打印、统计分析、系统管理。</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noWrap w:val="0"/>
            <w:vAlign w:val="center"/>
          </w:tcPr>
          <w:p>
            <w:pPr>
              <w:spacing w:line="240" w:lineRule="auto"/>
              <w:jc w:val="center"/>
              <w:rPr>
                <w:rFonts w:hint="eastAsia" w:ascii="宋体" w:hAnsi="宋体" w:eastAsia="宋体" w:cs="宋体"/>
                <w:sz w:val="21"/>
                <w:szCs w:val="21"/>
              </w:rPr>
            </w:pPr>
          </w:p>
        </w:tc>
        <w:tc>
          <w:tcPr>
            <w:tcW w:w="6096" w:type="dxa"/>
            <w:tcBorders>
              <w:right w:val="single" w:color="auto" w:sz="4" w:space="0"/>
            </w:tcBorders>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安全性：为保证数据安全和业务连续性，系统需参照信息安全等级保护三级标准进行建设。（提供承诺书）</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noWrap w:val="0"/>
            <w:vAlign w:val="center"/>
          </w:tcPr>
          <w:p>
            <w:pPr>
              <w:spacing w:line="240" w:lineRule="auto"/>
              <w:jc w:val="center"/>
              <w:rPr>
                <w:rFonts w:hint="eastAsia" w:ascii="宋体" w:hAnsi="宋体" w:eastAsia="宋体" w:cs="宋体"/>
                <w:sz w:val="21"/>
                <w:szCs w:val="21"/>
              </w:rPr>
            </w:pPr>
          </w:p>
        </w:tc>
        <w:tc>
          <w:tcPr>
            <w:tcW w:w="6096" w:type="dxa"/>
            <w:tcBorders>
              <w:right w:val="single" w:color="auto" w:sz="4" w:space="0"/>
            </w:tcBorders>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在用户登录界面，支持用户名+密码登录。</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noWrap w:val="0"/>
            <w:vAlign w:val="center"/>
          </w:tcPr>
          <w:p>
            <w:pPr>
              <w:spacing w:line="240" w:lineRule="auto"/>
              <w:jc w:val="center"/>
              <w:rPr>
                <w:rFonts w:hint="eastAsia" w:ascii="宋体" w:hAnsi="宋体" w:eastAsia="宋体" w:cs="宋体"/>
                <w:sz w:val="21"/>
                <w:szCs w:val="21"/>
              </w:rPr>
            </w:pPr>
          </w:p>
        </w:tc>
        <w:tc>
          <w:tcPr>
            <w:tcW w:w="6096" w:type="dxa"/>
            <w:tcBorders>
              <w:right w:val="single" w:color="auto" w:sz="4" w:space="0"/>
            </w:tcBorders>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rPr>
            </w:pPr>
            <w:r>
              <w:rPr>
                <w:rFonts w:hint="eastAsia" w:ascii="宋体" w:hAnsi="宋体" w:eastAsia="宋体" w:cs="宋体"/>
                <w:b/>
                <w:color w:val="auto"/>
                <w:sz w:val="21"/>
                <w:szCs w:val="21"/>
                <w:u w:val="none"/>
                <w:lang w:val="en-US" w:eastAsia="zh-CN"/>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支持具有数字接口的心电图机设备的无缝接入，连接原始数据，实现统一存储、管理、统计检索。并支持后期购置的设备无缝连接入。（提供承诺函）</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noWrap w:val="0"/>
            <w:vAlign w:val="center"/>
          </w:tcPr>
          <w:p>
            <w:pPr>
              <w:spacing w:line="240" w:lineRule="auto"/>
              <w:jc w:val="center"/>
              <w:rPr>
                <w:rFonts w:hint="eastAsia" w:ascii="宋体" w:hAnsi="宋体" w:eastAsia="宋体" w:cs="宋体"/>
                <w:sz w:val="21"/>
                <w:szCs w:val="21"/>
              </w:rPr>
            </w:pPr>
          </w:p>
        </w:tc>
        <w:tc>
          <w:tcPr>
            <w:tcW w:w="6096" w:type="dxa"/>
            <w:tcBorders>
              <w:right w:val="single" w:color="auto" w:sz="4" w:space="0"/>
            </w:tcBorders>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支持医院心电图数据进行数字化集中存储及管理，可对心电数据进行查找、统计、测量。</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noWrap w:val="0"/>
            <w:vAlign w:val="center"/>
          </w:tcPr>
          <w:p>
            <w:pPr>
              <w:spacing w:line="240" w:lineRule="auto"/>
              <w:jc w:val="center"/>
              <w:rPr>
                <w:rFonts w:hint="eastAsia" w:ascii="宋体" w:hAnsi="宋体" w:eastAsia="宋体" w:cs="宋体"/>
                <w:sz w:val="21"/>
                <w:szCs w:val="21"/>
              </w:rPr>
            </w:pPr>
          </w:p>
        </w:tc>
        <w:tc>
          <w:tcPr>
            <w:tcW w:w="6096" w:type="dxa"/>
            <w:tcBorders>
              <w:right w:val="single" w:color="auto" w:sz="4" w:space="0"/>
            </w:tcBorders>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要求心电数据以XML标准定义的格式进行波形的存储，建立标准心电数据库，为医院开展科研教学提供数据基础。</w:t>
            </w:r>
          </w:p>
        </w:tc>
        <w:tc>
          <w:tcPr>
            <w:tcW w:w="1219" w:type="dxa"/>
            <w:tcBorders>
              <w:left w:val="single" w:color="auto" w:sz="4" w:space="0"/>
            </w:tcBorders>
            <w:noWrap w:val="0"/>
            <w:vAlign w:val="center"/>
          </w:tcPr>
          <w:p>
            <w:pPr>
              <w:widowControl/>
              <w:spacing w:line="240" w:lineRule="auto"/>
              <w:jc w:val="center"/>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noWrap w:val="0"/>
            <w:vAlign w:val="center"/>
          </w:tcPr>
          <w:p>
            <w:pPr>
              <w:spacing w:line="240" w:lineRule="auto"/>
              <w:jc w:val="center"/>
              <w:rPr>
                <w:rFonts w:hint="eastAsia" w:ascii="宋体" w:hAnsi="宋体" w:eastAsia="宋体" w:cs="宋体"/>
                <w:kern w:val="2"/>
                <w:sz w:val="21"/>
                <w:szCs w:val="21"/>
                <w:lang w:val="en-US" w:eastAsia="zh-CN" w:bidi="ar-SA"/>
              </w:rPr>
            </w:pPr>
          </w:p>
        </w:tc>
        <w:tc>
          <w:tcPr>
            <w:tcW w:w="6096" w:type="dxa"/>
            <w:tcBorders>
              <w:right w:val="single" w:color="auto" w:sz="4" w:space="0"/>
            </w:tcBorders>
            <w:shd w:val="clear" w:color="auto" w:fill="auto"/>
            <w:noWrap w:val="0"/>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当心电图专业医生确认检查报告后，在医院的医生工作站上就可以浏览到具有查看权限的心电图结论，心电波形和打印带网格的心电图报告。</w:t>
            </w:r>
          </w:p>
        </w:tc>
        <w:tc>
          <w:tcPr>
            <w:tcW w:w="1219" w:type="dxa"/>
            <w:tcBorders>
              <w:left w:val="single" w:color="auto" w:sz="4" w:space="0"/>
            </w:tcBorders>
            <w:shd w:val="clear" w:color="auto" w:fill="auto"/>
            <w:noWrap w:val="0"/>
            <w:vAlign w:val="center"/>
          </w:tcPr>
          <w:p>
            <w:pPr>
              <w:widowControl/>
              <w:spacing w:line="240" w:lineRule="auto"/>
              <w:jc w:val="center"/>
              <w:rPr>
                <w:rFonts w:hint="eastAsia" w:ascii="宋体" w:hAnsi="宋体" w:eastAsia="宋体" w:cs="宋体"/>
                <w:bCs/>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p>
        </w:tc>
        <w:tc>
          <w:tcPr>
            <w:tcW w:w="6096" w:type="dxa"/>
            <w:shd w:val="clear" w:color="auto" w:fill="auto"/>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▲支持在临床任意一台电脑打开心电原始波形进行分析讨论，满足心电异常患者多场景下的MDT需求。</w:t>
            </w:r>
          </w:p>
        </w:tc>
        <w:tc>
          <w:tcPr>
            <w:tcW w:w="1219" w:type="dxa"/>
            <w:shd w:val="clear" w:color="auto" w:fill="auto"/>
            <w:vAlign w:val="center"/>
          </w:tcPr>
          <w:p>
            <w:pPr>
              <w:widowControl/>
              <w:spacing w:line="240" w:lineRule="auto"/>
              <w:jc w:val="center"/>
              <w:rPr>
                <w:rFonts w:hint="eastAsia" w:ascii="宋体" w:hAnsi="宋体" w:eastAsia="宋体" w:cs="宋体"/>
                <w:bCs/>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p>
        </w:tc>
        <w:tc>
          <w:tcPr>
            <w:tcW w:w="6096" w:type="dxa"/>
            <w:shd w:val="clear" w:color="auto" w:fill="auto"/>
            <w:vAlign w:val="top"/>
          </w:tcPr>
          <w:p>
            <w:pPr>
              <w:numPr>
                <w:ilvl w:val="0"/>
                <w:numId w:val="8"/>
              </w:numPr>
              <w:adjustRightInd w:val="0"/>
              <w:snapToGrid w:val="0"/>
              <w:spacing w:line="360" w:lineRule="auto"/>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支持对所有报危急值的病历进行统一列表管理功能，支持在同一界面且同步显示危急处理状态、危急值内容、上报时间、上报人、临床科室处理意见、临床科室处理人、临床处理时间以及临床最终确认是否为危急值，实现危急值的全流程闭环管理。（提供软件截图）</w:t>
            </w:r>
          </w:p>
        </w:tc>
        <w:tc>
          <w:tcPr>
            <w:tcW w:w="1219" w:type="dxa"/>
            <w:shd w:val="clear" w:color="auto" w:fill="auto"/>
            <w:vAlign w:val="center"/>
          </w:tcPr>
          <w:p>
            <w:pPr>
              <w:widowControl/>
              <w:spacing w:line="240" w:lineRule="auto"/>
              <w:jc w:val="center"/>
              <w:rPr>
                <w:rFonts w:hint="eastAsia" w:ascii="宋体" w:hAnsi="宋体" w:eastAsia="宋体" w:cs="宋体"/>
                <w:bCs/>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p>
        </w:tc>
        <w:tc>
          <w:tcPr>
            <w:tcW w:w="6096" w:type="dxa"/>
            <w:shd w:val="clear" w:color="auto" w:fill="auto"/>
            <w:vAlign w:val="top"/>
          </w:tcPr>
          <w:p>
            <w:pPr>
              <w:numPr>
                <w:ilvl w:val="0"/>
                <w:numId w:val="8"/>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bidi="ar"/>
                <w14:textFill>
                  <w14:solidFill>
                    <w14:schemeClr w14:val="tx1"/>
                  </w14:solidFill>
                </w14:textFill>
              </w:rPr>
              <w:t>系统提供了具有可操作性的数据库的备份机制，在系统数据遭受破坏的情况下，按照提示进行操作或重新安装系统，即可完成数据恢复，保障医疗数据存储的连续性及稳定性</w:t>
            </w:r>
            <w:r>
              <w:rPr>
                <w:rFonts w:hint="eastAsia" w:ascii="宋体" w:hAnsi="宋体" w:eastAsia="宋体" w:cs="宋体"/>
                <w:color w:val="000000" w:themeColor="text1"/>
                <w:kern w:val="0"/>
                <w:sz w:val="21"/>
                <w:szCs w:val="21"/>
                <w:lang w:eastAsia="zh-CN" w:bidi="ar"/>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restart"/>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r>
              <w:rPr>
                <w:rFonts w:hint="eastAsia" w:ascii="宋体" w:hAnsi="宋体" w:eastAsia="宋体" w:cs="宋体"/>
                <w:b/>
                <w:color w:val="auto"/>
                <w:sz w:val="28"/>
                <w:szCs w:val="28"/>
                <w:u w:val="none"/>
                <w:lang w:val="en-US" w:eastAsia="zh-CN"/>
              </w:rPr>
              <w:t>★</w:t>
            </w:r>
          </w:p>
        </w:tc>
        <w:tc>
          <w:tcPr>
            <w:tcW w:w="6096" w:type="dxa"/>
            <w:shd w:val="clear" w:color="auto" w:fill="auto"/>
            <w:vAlign w:val="center"/>
          </w:tcPr>
          <w:p>
            <w:pPr>
              <w:spacing w:line="240" w:lineRule="auto"/>
              <w:jc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
                <w:bCs/>
                <w:color w:val="000000" w:themeColor="text1"/>
                <w:sz w:val="24"/>
                <w:highlight w:val="none"/>
                <w:lang w:val="en-US" w:eastAsia="zh-CN"/>
                <w14:textFill>
                  <w14:solidFill>
                    <w14:schemeClr w14:val="tx1"/>
                  </w14:solidFill>
                </w14:textFill>
              </w:rPr>
              <w:t>接口服务模块</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9"/>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为满足医院电子病历评级及互联互通需求，系统需支持符合HL7标准的医院信息系统连接。</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9"/>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系统对接方式支持：存储过程、中间视图、WebService、HISDLL、以及支持HL7协议的点对点推送信息等几种方式。</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9"/>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支持与HIS系统集成，实现从HIS当中获取患者资料；支持电子申请预约信息获取。</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6096" w:type="dxa"/>
            <w:shd w:val="clear" w:color="auto" w:fill="auto"/>
            <w:vAlign w:val="center"/>
          </w:tcPr>
          <w:p>
            <w:pPr>
              <w:spacing w:line="240" w:lineRule="auto"/>
              <w:jc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
                <w:bCs/>
                <w:color w:val="000000" w:themeColor="text1"/>
                <w:sz w:val="24"/>
                <w:highlight w:val="none"/>
                <w:lang w:val="en-US" w:eastAsia="zh-CN"/>
                <w14:textFill>
                  <w14:solidFill>
                    <w14:schemeClr w14:val="tx1"/>
                  </w14:solidFill>
                </w14:textFill>
              </w:rPr>
              <w:t>业务模块</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restart"/>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w:t>
            </w:r>
          </w:p>
        </w:tc>
        <w:tc>
          <w:tcPr>
            <w:tcW w:w="6096" w:type="dxa"/>
            <w:shd w:val="clear" w:color="auto" w:fill="auto"/>
            <w:vAlign w:val="center"/>
          </w:tcPr>
          <w:p>
            <w:pPr>
              <w:spacing w:line="240" w:lineRule="auto"/>
              <w:jc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
                <w:bCs/>
                <w:color w:val="000000" w:themeColor="text1"/>
                <w:sz w:val="24"/>
                <w:highlight w:val="none"/>
                <w:lang w:val="en-US" w:eastAsia="zh-CN"/>
                <w14:textFill>
                  <w14:solidFill>
                    <w14:schemeClr w14:val="tx1"/>
                  </w14:solidFill>
                </w14:textFill>
              </w:rPr>
              <w:t>预约分诊</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0"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支持常规心电、动态心电、动态血压、电生理检查项目的预约登记，实现分诊。</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支持手动新建预约，或通过包括但不限于申请单号、患者ID、住院号、门诊号、医保号、卡号等项目直接从HIS系统提取患者信息。</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支持直观队列可视化预约分配，清晰显示各队列号源总及已预约数量。</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支持自动分配号源或手动选择号源。</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支持已预约项目的退约、改约。</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具备预约列表管理，支持对已预约、已登记项目进行取消检查，并要求写入取消原因。</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具备登记列表管理，支持对已登记项目进行取消登记、登记挂起和激活。</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具备过号列表管理，对所有过号的检查进行列表展示，同时支持过号自动激活或手动激活功能，重新回到检查队列中。</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支持对所有取消检查的项目进行列表展示，并支持对取消检查的项目进行恢复检查。</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支持可预约号源的自定义可视化设置，按周、日期等不同条件自定义设置。</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支持检查号自动生成规则可视化设置，依据检查分类、检查项目分别设置。</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restart"/>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3.2</w:t>
            </w:r>
          </w:p>
        </w:tc>
        <w:tc>
          <w:tcPr>
            <w:tcW w:w="6096" w:type="dxa"/>
            <w:shd w:val="clear" w:color="auto" w:fill="auto"/>
            <w:vAlign w:val="center"/>
          </w:tcPr>
          <w:p>
            <w:pPr>
              <w:spacing w:line="240" w:lineRule="auto"/>
              <w:jc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
                <w:bCs/>
                <w:color w:val="000000" w:themeColor="text1"/>
                <w:sz w:val="24"/>
                <w:highlight w:val="none"/>
                <w:lang w:val="en-US" w:eastAsia="zh-CN"/>
                <w14:textFill>
                  <w14:solidFill>
                    <w14:schemeClr w14:val="tx1"/>
                  </w14:solidFill>
                </w14:textFill>
              </w:rPr>
              <w:t>心电报告</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0"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具备新检查病历到达提醒、会诊病历到达提醒及会诊病历返回提醒功能，并支持设置是否提醒、声音提醒开启时间设置及提醒方式的设置。</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具备对异常测量参数标红显示，同时支持以每一个分析测量值进行手动修改。</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支持原始采集的心电波形进行重分析；</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支持对原始采集的心电波形进行重新调整滤波设置。</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提供丰富的测量分析工具：电子测量尺、平行尺、波形微调、波形定标、多种波形显示方式、波形放大等。</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电子标尺功能：支持一次拖动测量框，可一次性得到“时间差”、“心率”、“幅值差”的测量值。</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平行尺功能：等距标尺可对间期倍数快速测量；对于波形重叠的心电图，支持重新排列以方便测量分析，测量精度达毫秒/微伏级。</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心拍放大分析功能：支持任意心搏单击放大分析，可对每个P、Q、T测量点进行手动微调；每个单击放大QRS波群测量参数不少于25种，并且支持12导波形叠加对比。</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同屏对比功能：患者历史检查数据多次同屏对比功能，可便于观察患者术前、术后心电图的变化情况。</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具备导联纠错功能：在肢体导联接反或胸导联接错的情况下，可以通过软件直接修正，无需重复采集。</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提供复合波与选中心搏两种分析模式，医生可根据波形情况在分析诊断界面手动选择不同的分析模式。</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具备AF房颤分析功能，医生可在分析诊断界面手动开启或取消房颤分析。</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支持危急值超时提醒功能，满足在后台设置是否启用与送检科室联系的危急值提醒功能，并且支持设置危急值提醒时长。（提供软件截图）</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具备详细参数矩阵，不少于200种测量参数值。</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可对接电子病历系统，在分析诊断界直接查看患者电子病史和电子检查申请单，诊断医生结合患者历史病史及临床诊断来综合判断。</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支持导联标识等特殊字符快速输入功能，医生快速书写诊断结论。</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具备报告助手功能，提供常用公共模板及个人模板，医生可使用诊断术语库内容完成心电图诊断。</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具备报告记录功能，可详细查看每一个医生对本份病历的每一次操作及报告修改记录，并查看操作人、操作时间及修改具备内容。</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具备微信分享功能，可在进行心电图诊断分析时直接将该份病历的原始心电波形分享至微信群或专家微信，并支持在微信端打开心电原始波形，进行走纸速度、灵敏度、显示模式的调整及查看心电报告。</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1"/>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支持典型病例收藏功能：支持个人收藏及公共收藏两种方式，个人收藏仅病例的收藏者有权限进行查看，公共收藏所有用户均有权限进行查看；支持单独的已收藏病历显示列表，快速查看已收藏病历。</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restart"/>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3.3</w:t>
            </w:r>
          </w:p>
        </w:tc>
        <w:tc>
          <w:tcPr>
            <w:tcW w:w="6096" w:type="dxa"/>
            <w:shd w:val="clear" w:color="auto" w:fill="auto"/>
            <w:vAlign w:val="center"/>
          </w:tcPr>
          <w:p>
            <w:pPr>
              <w:spacing w:line="240" w:lineRule="auto"/>
              <w:jc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
                <w:bCs/>
                <w:color w:val="000000" w:themeColor="text1"/>
                <w:sz w:val="24"/>
                <w:highlight w:val="none"/>
                <w:lang w:val="en-US" w:eastAsia="zh-CN"/>
                <w14:textFill>
                  <w14:solidFill>
                    <w14:schemeClr w14:val="tx1"/>
                  </w14:solidFill>
                </w14:textFill>
              </w:rPr>
              <w:t>质控及统计分析</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无需安装客户端软件，任意电脑中浏览器直接登录访问。</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提供可自由定制的数据统计模块，所有的字段信息都可作为统计条件，并组合使用；根据需要可进行工作量、科研、教学统计。</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阳性率统计：可按检查项目汇总阳性率。</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工作量统计：检查医生工作量、科室工作量、审核医生工作量、报告医生工作量。</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报告时间统计：门诊、急诊、住院等报告时限的统计。</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统计结果可显示统计列表、统计数量、趋势图/直方图/柱状图等多种样式的统计图表，并支持导出。</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基于大屏显示的心电数据BI展示平台，提供包括检查量趋势、工作量、检查机构排名、异常类疾病排名、诊断医生排名、报告时效质控、诊断分布、诊断分级等图表及仪表盘样式，通过业务指标数据分析与可视化展示，让相关管理人员能够掌握业务动态，为管理人员提供有效的管理工具。</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平台支持直观的读取与浏览各种图表，具备在线多维分析数据与交互式动态报表展现，同时展示内容可根据用户需求定制。</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具备年诊断量、月诊断量、检查趋势图、日平均工作量直方图展示。</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支持接入机构数量及详细机构名单及地图展示，方便直观浏览心电信息管理平台覆盖范围。</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支持按异常类疾病排名，包括电轴与电压、窦性心律及心律失常、心室内及房内传导、室上性心律失常、室上性心动过速、心肌梗死、室性心动过速、心腔肥厚及扩大、房室传导等疾病类型的诊断人次及占比。</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支持按年、按月对医生诊断量、检查机构上传量进行排名展示。</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支持阳性率、危急值占比的图表展示。</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2"/>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支持月度业务时效分析展示，可直观展示医生的审核用时、报告用时。</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restart"/>
            <w:shd w:val="clear" w:color="auto" w:fill="auto"/>
            <w:vAlign w:val="center"/>
          </w:tcPr>
          <w:p>
            <w:pPr>
              <w:spacing w:line="240" w:lineRule="auto"/>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3.4</w:t>
            </w:r>
          </w:p>
        </w:tc>
        <w:tc>
          <w:tcPr>
            <w:tcW w:w="6096" w:type="dxa"/>
            <w:shd w:val="clear" w:color="auto" w:fill="auto"/>
            <w:vAlign w:val="center"/>
          </w:tcPr>
          <w:p>
            <w:pPr>
              <w:spacing w:line="240" w:lineRule="auto"/>
              <w:jc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
                <w:bCs/>
                <w:color w:val="000000" w:themeColor="text1"/>
                <w:sz w:val="24"/>
                <w:highlight w:val="none"/>
                <w:lang w:val="en-US" w:eastAsia="zh-CN"/>
                <w14:textFill>
                  <w14:solidFill>
                    <w14:schemeClr w14:val="tx1"/>
                  </w14:solidFill>
                </w14:textFill>
              </w:rPr>
              <w:t>会诊服务管理</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3"/>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支持多级会诊中心建设，可为接入的基层医疗机构配置会诊关系，一个申请医院可对应多个会诊医院，扩展多级会诊中心。</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Merge w:val="continue"/>
            <w:shd w:val="clear" w:color="auto" w:fill="auto"/>
            <w:vAlign w:val="center"/>
          </w:tcPr>
          <w:p>
            <w:pPr>
              <w:spacing w:line="240" w:lineRule="auto"/>
              <w:jc w:val="center"/>
              <w:rPr>
                <w:rFonts w:hint="eastAsia" w:ascii="宋体" w:hAnsi="宋体" w:eastAsia="宋体" w:cs="宋体"/>
                <w:kern w:val="2"/>
                <w:sz w:val="21"/>
                <w:szCs w:val="24"/>
                <w:lang w:val="en-US" w:eastAsia="zh-CN" w:bidi="ar-SA"/>
              </w:rPr>
            </w:pPr>
          </w:p>
        </w:tc>
        <w:tc>
          <w:tcPr>
            <w:tcW w:w="6096" w:type="dxa"/>
            <w:shd w:val="clear" w:color="auto" w:fill="auto"/>
            <w:vAlign w:val="top"/>
          </w:tcPr>
          <w:p>
            <w:pPr>
              <w:numPr>
                <w:ilvl w:val="0"/>
                <w:numId w:val="13"/>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支持管理医院向基层医疗机构开展的包括：常规心电、动态心电、动态血压等会诊服务内容，可根据医院开展的会诊服务进行手动的新增、修改及删除。同时，根据不同的会诊内容分配诊断专家组。</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57" w:type="dxa"/>
            <w:gridSpan w:val="3"/>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12导心电图机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
                <w:color w:val="auto"/>
                <w:sz w:val="21"/>
                <w:szCs w:val="21"/>
                <w:u w:val="none"/>
                <w:lang w:val="en-US" w:eastAsia="zh-CN"/>
              </w:rPr>
              <w:t>★</w:t>
            </w:r>
            <w:r>
              <w:rPr>
                <w:rFonts w:hint="eastAsia" w:ascii="宋体" w:hAnsi="宋体" w:eastAsia="宋体" w:cs="宋体"/>
                <w:bCs/>
                <w:color w:val="000000" w:themeColor="text1"/>
                <w:sz w:val="21"/>
                <w:szCs w:val="21"/>
                <w:highlight w:val="none"/>
                <w14:textFill>
                  <w14:solidFill>
                    <w14:schemeClr w14:val="tx1"/>
                  </w14:solidFill>
                </w14:textFill>
              </w:rPr>
              <w:t>采集方式：</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Cs/>
                <w:color w:val="000000" w:themeColor="text1"/>
                <w:sz w:val="21"/>
                <w:szCs w:val="21"/>
                <w:highlight w:val="none"/>
                <w14:textFill>
                  <w14:solidFill>
                    <w14:schemeClr w14:val="tx1"/>
                  </w14:solidFill>
                </w14:textFill>
              </w:rPr>
              <w:t>导联同步采集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共模抑制比：≥100dB</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输入阻抗：≥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bCs/>
                <w:color w:val="000000" w:themeColor="text1"/>
                <w:sz w:val="21"/>
                <w:szCs w:val="21"/>
                <w:highlight w:val="none"/>
                <w14:textFill>
                  <w14:solidFill>
                    <w14:schemeClr w14:val="tx1"/>
                  </w14:solidFill>
                </w14:textFill>
              </w:rPr>
              <w:t>MΩ</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10Hz</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频率和脉冲响应范围：0.05-500Hz</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耐极化电压：≥±</w:t>
            </w:r>
            <w:r>
              <w:rPr>
                <w:rFonts w:hint="eastAsia" w:ascii="宋体" w:hAnsi="宋体" w:eastAsia="宋体" w:cs="宋体"/>
                <w:color w:val="000000" w:themeColor="text1"/>
                <w:sz w:val="21"/>
                <w:szCs w:val="21"/>
                <w:highlight w:val="none"/>
                <w:lang w:val="en-US" w:eastAsia="zh-CN"/>
                <w14:textFill>
                  <w14:solidFill>
                    <w14:schemeClr w14:val="tx1"/>
                  </w14:solidFill>
                </w14:textFill>
              </w:rPr>
              <w:t>1000</w:t>
            </w:r>
            <w:r>
              <w:rPr>
                <w:rFonts w:hint="eastAsia" w:ascii="宋体" w:hAnsi="宋体" w:eastAsia="宋体" w:cs="宋体"/>
                <w:color w:val="000000" w:themeColor="text1"/>
                <w:sz w:val="21"/>
                <w:szCs w:val="21"/>
                <w:highlight w:val="none"/>
                <w14:textFill>
                  <w14:solidFill>
                    <w14:schemeClr w14:val="tx1"/>
                  </w14:solidFill>
                </w14:textFill>
              </w:rPr>
              <w:t>mV</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灵敏度（增益）：5mm/mV、10mm/mV、20mm/mV,误差不超过±5%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走纸速度：25mm/s、50mm/s，误差不超过±5%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显示屏：触摸彩色液晶屏</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心电导联线与主机采用有线方式连接</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数据存储：内部存储&gt;10000份病例，支持外接SD卡，支持U盘</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支持GSM/WCDMA/cdma2000/TD-LTE/LTE FDD无线电发射，提供证明。</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设备端口：具备</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1个USB接口（可存储数据、连接扫描枪）；</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1个SD卡插槽（可存储数据）；</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1个LAN网络接口；预留1个专用接口；预留1个HDMI专用接口。</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具备</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待检查医嘱信息列表显示</w:t>
            </w:r>
            <w:r>
              <w:rPr>
                <w:rFonts w:hint="eastAsia" w:ascii="宋体" w:hAnsi="宋体" w:eastAsia="宋体" w:cs="宋体"/>
                <w:bCs/>
                <w:color w:val="000000" w:themeColor="text1"/>
                <w:sz w:val="21"/>
                <w:szCs w:val="21"/>
                <w:highlight w:val="none"/>
                <w14:textFill>
                  <w14:solidFill>
                    <w14:schemeClr w14:val="tx1"/>
                  </w14:solidFill>
                </w14:textFill>
              </w:rPr>
              <w:t>功能，</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可在设备显示待检查患者医嘱列表</w:t>
            </w:r>
            <w:r>
              <w:rPr>
                <w:rFonts w:hint="eastAsia" w:ascii="宋体" w:hAnsi="宋体" w:eastAsia="宋体" w:cs="宋体"/>
                <w:bCs/>
                <w:color w:val="000000" w:themeColor="text1"/>
                <w:sz w:val="21"/>
                <w:szCs w:val="21"/>
                <w:highlight w:val="none"/>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支持</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下载</w:t>
            </w:r>
            <w:r>
              <w:rPr>
                <w:rFonts w:hint="eastAsia" w:ascii="宋体" w:hAnsi="宋体" w:eastAsia="宋体" w:cs="宋体"/>
                <w:bCs/>
                <w:color w:val="000000" w:themeColor="text1"/>
                <w:sz w:val="21"/>
                <w:szCs w:val="21"/>
                <w:highlight w:val="none"/>
                <w14:textFill>
                  <w14:solidFill>
                    <w14:schemeClr w14:val="tx1"/>
                  </w14:solidFill>
                </w14:textFill>
              </w:rPr>
              <w:t>心电图报告</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并本机热敏打印</w:t>
            </w:r>
            <w:r>
              <w:rPr>
                <w:rFonts w:hint="eastAsia" w:ascii="宋体" w:hAnsi="宋体" w:eastAsia="宋体" w:cs="宋体"/>
                <w:bCs/>
                <w:color w:val="000000" w:themeColor="text1"/>
                <w:sz w:val="21"/>
                <w:szCs w:val="21"/>
                <w:highlight w:val="none"/>
                <w14:textFill>
                  <w14:solidFill>
                    <w14:schemeClr w14:val="tx1"/>
                  </w14:solidFill>
                </w14:textFill>
              </w:rPr>
              <w:t>。</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themeColor="text1"/>
                <w:sz w:val="21"/>
                <w:szCs w:val="21"/>
                <w:highlight w:val="none"/>
                <w14:textFill>
                  <w14:solidFill>
                    <w14:schemeClr w14:val="tx1"/>
                  </w14:solidFill>
                </w14:textFill>
              </w:rPr>
              <w:t>主机面板上具有物理快捷功能按钮，快捷完成新建病例、采集开始/停止、打印等功能。</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具备导联脱落功能，可提示导联脱落。</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具备自动记录功能。</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▲数据传输：数据可通过无线和有线两种方式完成数据上传；要求提供证明。</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▲数据接口：数据可通过无线或有限网络基于TCP/IP传输协议以XML、HL7、DICOM、EDF格式进行传输；要求提供证明。</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具备用户访问控制：系统可分为操作员、管理员两种角色：管理员主要负责功能设置、用户管理功能；操作员主要使用业务功能完成检查。系统登录有密码访问验证，没有授权的操作用户无法使用系统。</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w:t>
            </w:r>
          </w:p>
        </w:tc>
        <w:tc>
          <w:tcPr>
            <w:tcW w:w="6096" w:type="dxa"/>
            <w:shd w:val="clear" w:color="auto" w:fill="auto"/>
            <w:vAlign w:val="center"/>
          </w:tcPr>
          <w:p>
            <w:pPr>
              <w:numPr>
                <w:ilvl w:val="0"/>
                <w:numId w:val="0"/>
              </w:numPr>
              <w:adjustRightInd w:val="0"/>
              <w:snapToGrid w:val="0"/>
              <w:spacing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▲心电设备直接支持移动诊断功能。</w:t>
            </w:r>
          </w:p>
        </w:tc>
        <w:tc>
          <w:tcPr>
            <w:tcW w:w="1219" w:type="dxa"/>
            <w:shd w:val="clear" w:color="auto" w:fill="auto"/>
            <w:vAlign w:val="center"/>
          </w:tcPr>
          <w:p>
            <w:pPr>
              <w:widowControl/>
              <w:spacing w:line="240" w:lineRule="auto"/>
              <w:jc w:val="center"/>
              <w:rPr>
                <w:rFonts w:hint="eastAsia" w:ascii="宋体" w:hAnsi="宋体" w:eastAsia="宋体" w:cs="宋体"/>
                <w:bCs/>
                <w:kern w:val="2"/>
                <w:sz w:val="24"/>
                <w:szCs w:val="24"/>
                <w:lang w:val="en-US" w:eastAsia="zh-CN" w:bidi="ar-SA"/>
              </w:rPr>
            </w:pPr>
          </w:p>
        </w:tc>
      </w:tr>
    </w:tbl>
    <w:p>
      <w:pPr>
        <w:pStyle w:val="2"/>
        <w:rPr>
          <w:rFonts w:hint="eastAsia"/>
          <w:lang w:val="en-US" w:eastAsia="zh-CN"/>
        </w:rPr>
      </w:pPr>
    </w:p>
    <w:p>
      <w:pPr>
        <w:numPr>
          <w:ilvl w:val="0"/>
          <w:numId w:val="0"/>
        </w:numPr>
        <w:spacing w:line="360" w:lineRule="auto"/>
        <w:jc w:val="both"/>
        <w:outlineLvl w:val="0"/>
        <w:rPr>
          <w:rFonts w:hint="eastAsia" w:eastAsia="宋体" w:cs="Times New Roman"/>
          <w:sz w:val="28"/>
          <w:szCs w:val="28"/>
          <w:lang w:val="en-US" w:eastAsia="zh-CN"/>
        </w:rPr>
      </w:pPr>
      <w:r>
        <w:rPr>
          <w:rFonts w:hint="eastAsia" w:ascii="Times New Roman" w:hAnsi="Times New Roman" w:cs="Times New Roman"/>
          <w:sz w:val="28"/>
          <w:szCs w:val="28"/>
          <w:lang w:val="en-US" w:eastAsia="zh-CN"/>
        </w:rPr>
        <w:t>★三、</w:t>
      </w:r>
      <w:r>
        <w:rPr>
          <w:rFonts w:hint="eastAsia" w:ascii="宋体" w:hAnsi="宋体"/>
          <w:b w:val="0"/>
          <w:bCs/>
          <w:sz w:val="28"/>
          <w:szCs w:val="28"/>
          <w:lang w:eastAsia="zh-CN"/>
        </w:rPr>
        <w:t>配置要求</w:t>
      </w:r>
    </w:p>
    <w:tbl>
      <w:tblPr>
        <w:tblStyle w:val="66"/>
        <w:tblW w:w="855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5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4"/>
              </w:rPr>
            </w:pPr>
            <w:r>
              <w:rPr>
                <w:rFonts w:hAnsi="宋体"/>
                <w:b/>
                <w:sz w:val="24"/>
              </w:rPr>
              <w:t>序号</w:t>
            </w:r>
          </w:p>
        </w:tc>
        <w:tc>
          <w:tcPr>
            <w:tcW w:w="7598" w:type="dxa"/>
            <w:tcBorders>
              <w:right w:val="single" w:color="auto" w:sz="4" w:space="0"/>
            </w:tcBorders>
            <w:noWrap w:val="0"/>
            <w:vAlign w:val="center"/>
          </w:tcPr>
          <w:p>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color w:val="FF0000"/>
                <w:sz w:val="24"/>
                <w:szCs w:val="24"/>
                <w:u w:val="single"/>
                <w:lang w:val="en-US" w:eastAsia="zh-CN"/>
              </w:rPr>
            </w:pPr>
            <w:r>
              <w:rPr>
                <w:rFonts w:hint="eastAsia" w:ascii="宋体" w:hAnsi="宋体" w:eastAsia="宋体" w:cs="宋体"/>
                <w:b/>
                <w:bCs/>
                <w:color w:val="auto"/>
                <w:sz w:val="24"/>
                <w:szCs w:val="24"/>
                <w:u w:val="none"/>
                <w:lang w:val="en-US" w:eastAsia="zh-CN"/>
              </w:rPr>
              <w:t>县域内心电一张网系统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系统基础架构服务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区域远程心电会诊平台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12导心电图机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color w:val="000000"/>
                <w:sz w:val="24"/>
                <w:szCs w:val="24"/>
              </w:rPr>
            </w:pPr>
            <w:r>
              <w:rPr>
                <w:rFonts w:hint="eastAsia" w:ascii="宋体" w:hAnsi="宋体" w:eastAsia="宋体" w:cs="宋体"/>
                <w:sz w:val="24"/>
                <w:szCs w:val="24"/>
                <w:vertAlign w:val="baseline"/>
                <w:lang w:val="en-US" w:eastAsia="zh-CN"/>
              </w:rPr>
              <w:t>主机1台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12导心电导联线1套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胸电极6个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肢电极4只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电源线1根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7598" w:type="dxa"/>
            <w:tcBorders>
              <w:right w:val="single" w:color="auto" w:sz="4" w:space="0"/>
            </w:tcBorders>
            <w:noWrap w:val="0"/>
            <w:vAlign w:val="center"/>
          </w:tcPr>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地线1根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8557" w:type="dxa"/>
            <w:gridSpan w:val="2"/>
            <w:tcBorders>
              <w:right w:val="single" w:color="auto" w:sz="4" w:space="0"/>
            </w:tcBorders>
            <w:noWrap w:val="0"/>
            <w:vAlign w:val="center"/>
          </w:tcPr>
          <w:p>
            <w:pPr>
              <w:pStyle w:val="1021"/>
              <w:spacing w:before="0" w:beforeAutospacing="0" w:after="0" w:afterAutospacing="0"/>
              <w:ind w:left="336" w:hanging="336"/>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注：1.心电图主机、电极片需在投标文件中提供医疗器械注册证（备案证）；</w:t>
            </w:r>
            <w:bookmarkStart w:id="400" w:name="_GoBack"/>
            <w:bookmarkEnd w:id="400"/>
            <w:r>
              <w:rPr>
                <w:rFonts w:hint="eastAsia" w:ascii="宋体" w:hAnsi="宋体" w:eastAsia="宋体" w:cs="宋体"/>
                <w:sz w:val="24"/>
                <w:szCs w:val="24"/>
                <w:vertAlign w:val="baseline"/>
                <w:lang w:val="en-US" w:eastAsia="zh-CN"/>
              </w:rPr>
              <w:t>2.</w:t>
            </w:r>
          </w:p>
          <w:p>
            <w:pPr>
              <w:pStyle w:val="1021"/>
              <w:spacing w:before="0" w:beforeAutospacing="0" w:after="0" w:afterAutospacing="0"/>
              <w:ind w:left="336" w:hanging="336"/>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其他配置未在采购文件中明确，但在国家有明确规定须具有投标产品相应的医疗</w:t>
            </w:r>
          </w:p>
          <w:p>
            <w:pPr>
              <w:pStyle w:val="1021"/>
              <w:spacing w:before="0" w:beforeAutospacing="0" w:after="0" w:afterAutospacing="0"/>
              <w:ind w:left="336" w:hanging="33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器械注册证（备案证），必须在签订合同前向采购人提供相应注册证（备案证）。</w:t>
            </w:r>
          </w:p>
        </w:tc>
      </w:tr>
    </w:tbl>
    <w:p>
      <w:pPr>
        <w:numPr>
          <w:ilvl w:val="0"/>
          <w:numId w:val="0"/>
        </w:numPr>
        <w:spacing w:line="360" w:lineRule="auto"/>
        <w:ind w:leftChars="0"/>
        <w:jc w:val="both"/>
        <w:outlineLvl w:val="0"/>
        <w:rPr>
          <w:rFonts w:hint="eastAsia" w:ascii="Times New Roman" w:hAnsi="Times New Roman" w:cs="Times New Roman"/>
          <w:sz w:val="28"/>
          <w:szCs w:val="28"/>
          <w:lang w:val="en-US" w:eastAsia="zh-CN"/>
        </w:rPr>
      </w:pPr>
      <w:r>
        <w:rPr>
          <w:rFonts w:hint="eastAsia" w:cs="Times New Roman"/>
          <w:sz w:val="28"/>
          <w:szCs w:val="28"/>
          <w:lang w:val="en-US" w:eastAsia="zh-CN"/>
        </w:rPr>
        <w:t>四、</w:t>
      </w:r>
      <w:r>
        <w:rPr>
          <w:rFonts w:hint="eastAsia" w:ascii="Times New Roman" w:hAnsi="Times New Roman" w:cs="Times New Roman"/>
          <w:sz w:val="28"/>
          <w:szCs w:val="28"/>
          <w:lang w:val="en-US" w:eastAsia="zh-CN"/>
        </w:rPr>
        <w:t>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pPr>
              <w:jc w:val="center"/>
              <w:rPr>
                <w:b/>
                <w:sz w:val="28"/>
                <w:szCs w:val="28"/>
              </w:rPr>
            </w:pPr>
            <w:r>
              <w:rPr>
                <w:rFonts w:hAnsi="宋体"/>
                <w:b/>
                <w:sz w:val="28"/>
                <w:szCs w:val="28"/>
              </w:rPr>
              <w:t>序号</w:t>
            </w:r>
          </w:p>
        </w:tc>
        <w:tc>
          <w:tcPr>
            <w:tcW w:w="7461" w:type="dxa"/>
            <w:tcBorders>
              <w:right w:val="single" w:color="auto" w:sz="4" w:space="0"/>
            </w:tcBorders>
            <w:noWrap w:val="0"/>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sz w:val="24"/>
                <w:lang w:val="en-US" w:eastAsia="zh-CN"/>
              </w:rPr>
            </w:pPr>
            <w:r>
              <w:rPr>
                <w:rFonts w:hint="eastAsia" w:hAnsi="宋体"/>
                <w:b/>
                <w:sz w:val="28"/>
                <w:szCs w:val="28"/>
                <w:lang w:val="en-US" w:eastAsia="zh-CN"/>
              </w:rPr>
              <w:t>1</w:t>
            </w:r>
          </w:p>
        </w:tc>
        <w:tc>
          <w:tcPr>
            <w:tcW w:w="7461" w:type="dxa"/>
            <w:tcBorders>
              <w:right w:val="single" w:color="auto" w:sz="4" w:space="0"/>
            </w:tcBorders>
            <w:noWrap w:val="0"/>
            <w:vAlign w:val="center"/>
          </w:tcPr>
          <w:p>
            <w:pPr>
              <w:jc w:val="left"/>
              <w:rPr>
                <w:rFonts w:hint="eastAsia" w:ascii="Calibri" w:hAnsi="Calibri" w:eastAsia="宋体"/>
                <w:b/>
                <w:color w:val="000000"/>
                <w:sz w:val="24"/>
                <w:lang w:val="en-US" w:eastAsia="zh-CN"/>
              </w:rPr>
            </w:pPr>
            <w:r>
              <w:rPr>
                <w:rFonts w:hint="eastAsia" w:ascii="Calibri" w:hAnsi="Calibri"/>
                <w:b/>
                <w:color w:val="000000"/>
                <w:sz w:val="24"/>
                <w:lang w:val="en-US" w:eastAsia="zh-CN"/>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sz w:val="24"/>
                <w:lang w:val="en-US" w:eastAsia="zh-CN"/>
              </w:rPr>
            </w:pPr>
            <w:r>
              <w:rPr>
                <w:rFonts w:hint="eastAsia" w:ascii="宋体" w:hAnsi="宋体"/>
                <w:b/>
                <w:color w:val="auto"/>
                <w:sz w:val="28"/>
                <w:szCs w:val="28"/>
                <w:u w:val="none"/>
                <w:lang w:val="en-US" w:eastAsia="zh-CN"/>
              </w:rPr>
              <w:t>★</w:t>
            </w:r>
            <w:r>
              <w:rPr>
                <w:rFonts w:hint="eastAsia" w:hAnsi="宋体"/>
                <w:b w:val="0"/>
                <w:bCs/>
                <w:sz w:val="24"/>
                <w:lang w:val="en-US" w:eastAsia="zh-CN"/>
              </w:rPr>
              <w:t>1.1</w:t>
            </w:r>
          </w:p>
        </w:tc>
        <w:tc>
          <w:tcPr>
            <w:tcW w:w="7461" w:type="dxa"/>
            <w:tcBorders>
              <w:right w:val="single" w:color="auto" w:sz="4" w:space="0"/>
            </w:tcBorders>
            <w:noWrap w:val="0"/>
            <w:vAlign w:val="center"/>
          </w:tcPr>
          <w:p>
            <w:pPr>
              <w:jc w:val="left"/>
              <w:rPr>
                <w:rFonts w:hint="eastAsia" w:ascii="Calibri" w:hAnsi="Calibri" w:eastAsia="宋体" w:cs="Times New Roman"/>
                <w:b/>
                <w:color w:val="000000"/>
                <w:kern w:val="2"/>
                <w:sz w:val="24"/>
                <w:szCs w:val="24"/>
                <w:lang w:val="en-US" w:eastAsia="zh-CN" w:bidi="ar-SA"/>
              </w:rPr>
            </w:pPr>
            <w:r>
              <w:rPr>
                <w:rFonts w:hint="eastAsia" w:ascii="宋体" w:hAnsi="宋体"/>
                <w:sz w:val="24"/>
              </w:rPr>
              <w:t>货物使用期限</w:t>
            </w:r>
            <w:r>
              <w:rPr>
                <w:rFonts w:hint="eastAsia" w:ascii="宋体" w:hAnsi="宋体"/>
                <w:sz w:val="24"/>
                <w:lang w:eastAsia="zh-CN"/>
              </w:rPr>
              <w:t>：</w:t>
            </w:r>
            <w:r>
              <w:rPr>
                <w:rFonts w:hint="eastAsia" w:ascii="宋体" w:hAnsi="宋体"/>
                <w:sz w:val="24"/>
              </w:rPr>
              <w:t>自货物生产日期起，不少于</w:t>
            </w:r>
            <w:r>
              <w:rPr>
                <w:rFonts w:hint="eastAsia" w:ascii="宋体" w:hAnsi="宋体"/>
                <w:color w:val="auto"/>
                <w:sz w:val="24"/>
                <w:u w:val="none"/>
                <w:lang w:val="en-US" w:eastAsia="zh-CN"/>
              </w:rPr>
              <w:t>10</w:t>
            </w:r>
            <w:r>
              <w:rPr>
                <w:rFonts w:hint="eastAsia" w:ascii="宋体" w:hAnsi="宋体"/>
                <w:sz w:val="24"/>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sz w:val="24"/>
                <w:lang w:val="en-US" w:eastAsia="zh-CN"/>
              </w:rPr>
            </w:pPr>
            <w:r>
              <w:rPr>
                <w:rFonts w:hint="eastAsia" w:hAnsi="宋体"/>
                <w:b w:val="0"/>
                <w:bCs/>
                <w:sz w:val="24"/>
                <w:lang w:val="en-US" w:eastAsia="zh-CN"/>
              </w:rPr>
              <w:t>1.2</w:t>
            </w:r>
          </w:p>
        </w:tc>
        <w:tc>
          <w:tcPr>
            <w:tcW w:w="7461" w:type="dxa"/>
            <w:tcBorders>
              <w:right w:val="single" w:color="auto" w:sz="4" w:space="0"/>
            </w:tcBorders>
            <w:noWrap w:val="0"/>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货物生产日期（以产品标签、标识为准）：货物到达买方机</w:t>
            </w:r>
            <w:r>
              <w:rPr>
                <w:rFonts w:hint="eastAsia" w:ascii="宋体" w:hAnsi="宋体"/>
                <w:color w:val="auto"/>
                <w:sz w:val="24"/>
                <w:u w:val="none"/>
              </w:rPr>
              <w:t>房之日前</w:t>
            </w:r>
            <w:r>
              <w:rPr>
                <w:rFonts w:hint="eastAsia" w:ascii="宋体" w:hAnsi="宋体"/>
                <w:color w:val="auto"/>
                <w:sz w:val="24"/>
                <w:u w:val="none"/>
                <w:lang w:val="en-US" w:eastAsia="zh-CN"/>
              </w:rPr>
              <w:t>12</w:t>
            </w:r>
            <w:r>
              <w:rPr>
                <w:rFonts w:hint="eastAsia" w:ascii="宋体" w:hAnsi="宋体"/>
                <w:color w:val="auto"/>
                <w:sz w:val="24"/>
                <w:u w:val="none"/>
              </w:rPr>
              <w:t>个月内</w:t>
            </w:r>
            <w:r>
              <w:rPr>
                <w:rFonts w:hint="eastAsia" w:ascii="宋体" w:hAnsi="宋体"/>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sz w:val="24"/>
                <w:lang w:val="en-US" w:eastAsia="zh-CN"/>
              </w:rPr>
            </w:pPr>
            <w:r>
              <w:rPr>
                <w:rFonts w:hint="eastAsia" w:hAnsi="宋体"/>
                <w:b w:val="0"/>
                <w:bCs/>
                <w:sz w:val="24"/>
                <w:lang w:val="en-US" w:eastAsia="zh-CN"/>
              </w:rPr>
              <w:t>1.3</w:t>
            </w:r>
          </w:p>
        </w:tc>
        <w:tc>
          <w:tcPr>
            <w:tcW w:w="7461" w:type="dxa"/>
            <w:tcBorders>
              <w:right w:val="single" w:color="auto" w:sz="4" w:space="0"/>
            </w:tcBorders>
            <w:noWrap w:val="0"/>
            <w:vAlign w:val="center"/>
          </w:tcPr>
          <w:p>
            <w:pPr>
              <w:spacing w:line="380" w:lineRule="exact"/>
              <w:rPr>
                <w:rFonts w:hint="eastAsia" w:ascii="宋体" w:hAnsi="宋体" w:eastAsia="宋体" w:cs="Times New Roman"/>
                <w:b/>
                <w:kern w:val="2"/>
                <w:sz w:val="24"/>
                <w:szCs w:val="24"/>
                <w:lang w:val="en-US" w:eastAsia="zh-CN" w:bidi="ar-SA"/>
              </w:rPr>
            </w:pPr>
            <w:r>
              <w:rPr>
                <w:rFonts w:hint="eastAsia" w:ascii="宋体" w:hAnsi="宋体"/>
                <w:sz w:val="24"/>
              </w:rPr>
              <w:t>卖方提供的所有货物必须是全新未使用过的</w:t>
            </w:r>
            <w:r>
              <w:rPr>
                <w:rFonts w:hint="eastAsia" w:ascii="宋体"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4"/>
                <w:lang w:val="en-US" w:eastAsia="zh-CN"/>
              </w:rPr>
            </w:pPr>
            <w:r>
              <w:rPr>
                <w:rFonts w:hint="eastAsia" w:hAnsi="宋体"/>
                <w:b/>
                <w:sz w:val="28"/>
                <w:szCs w:val="28"/>
                <w:lang w:val="en-US" w:eastAsia="zh-CN"/>
              </w:rPr>
              <w:t>2</w:t>
            </w:r>
          </w:p>
        </w:tc>
        <w:tc>
          <w:tcPr>
            <w:tcW w:w="7461" w:type="dxa"/>
            <w:vAlign w:val="center"/>
          </w:tcPr>
          <w:p>
            <w:pPr>
              <w:spacing w:line="380" w:lineRule="exact"/>
              <w:rPr>
                <w:rFonts w:hint="eastAsia" w:ascii="宋体" w:hAnsi="宋体" w:eastAsia="宋体"/>
                <w:sz w:val="24"/>
                <w:lang w:val="en-US" w:eastAsia="zh-CN"/>
              </w:rPr>
            </w:pPr>
            <w:r>
              <w:rPr>
                <w:rFonts w:hint="eastAsia" w:ascii="Calibri" w:hAnsi="Calibri"/>
                <w:b/>
                <w:color w:val="000000"/>
                <w:sz w:val="24"/>
                <w:lang w:val="en-US" w:eastAsia="zh-CN"/>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sz w:val="24"/>
                <w:lang w:val="en-US" w:eastAsia="zh-CN"/>
              </w:rPr>
            </w:pPr>
            <w:r>
              <w:rPr>
                <w:rFonts w:hint="eastAsia" w:ascii="宋体" w:hAnsi="宋体"/>
                <w:b/>
                <w:color w:val="auto"/>
                <w:sz w:val="28"/>
                <w:szCs w:val="28"/>
                <w:u w:val="none"/>
                <w:lang w:val="en-US" w:eastAsia="zh-CN"/>
              </w:rPr>
              <w:t>★</w:t>
            </w:r>
            <w:r>
              <w:rPr>
                <w:rFonts w:hint="eastAsia" w:hAnsi="宋体"/>
                <w:b w:val="0"/>
                <w:bCs/>
                <w:sz w:val="24"/>
                <w:lang w:val="en-US" w:eastAsia="zh-CN"/>
              </w:rPr>
              <w:t>2.1</w:t>
            </w:r>
          </w:p>
        </w:tc>
        <w:tc>
          <w:tcPr>
            <w:tcW w:w="7461" w:type="dxa"/>
            <w:vAlign w:val="center"/>
          </w:tcPr>
          <w:p>
            <w:pPr>
              <w:widowControl/>
              <w:spacing w:before="100" w:beforeAutospacing="1" w:after="100" w:afterAutospacing="1"/>
              <w:rPr>
                <w:rFonts w:hint="eastAsia" w:ascii="宋体" w:hAnsi="宋体" w:eastAsia="宋体" w:cs="Times New Roman"/>
                <w:kern w:val="2"/>
                <w:sz w:val="24"/>
                <w:szCs w:val="24"/>
                <w:lang w:val="en-US" w:eastAsia="zh-CN" w:bidi="ar-SA"/>
              </w:rPr>
            </w:pPr>
            <w:r>
              <w:rPr>
                <w:rFonts w:hint="eastAsia" w:ascii="宋体" w:hAnsi="宋体"/>
                <w:sz w:val="24"/>
              </w:rPr>
              <w:t>设备验收合格后免费保修</w:t>
            </w:r>
            <w:r>
              <w:rPr>
                <w:rFonts w:hint="eastAsia" w:ascii="宋体" w:hAnsi="宋体"/>
                <w:color w:val="auto"/>
                <w:sz w:val="24"/>
                <w:u w:val="none"/>
              </w:rPr>
              <w:t>：</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eastAsia="zh-CN"/>
              </w:rPr>
              <w:t>。</w:t>
            </w:r>
            <w:r>
              <w:rPr>
                <w:rFonts w:hint="eastAsia" w:ascii="宋体" w:hAnsi="宋体"/>
                <w:sz w:val="24"/>
                <w:lang w:eastAsia="zh-CN"/>
              </w:rPr>
              <w:t>供应商报价须包含</w:t>
            </w:r>
            <w:r>
              <w:rPr>
                <w:rFonts w:hint="eastAsia" w:ascii="宋体" w:hAnsi="宋体"/>
                <w:sz w:val="24"/>
                <w:lang w:val="en-US" w:eastAsia="zh-CN"/>
              </w:rPr>
              <w:t>保质</w:t>
            </w:r>
            <w:r>
              <w:rPr>
                <w:rFonts w:hint="eastAsia" w:ascii="宋体" w:hAnsi="宋体"/>
                <w:sz w:val="24"/>
                <w:lang w:eastAsia="zh-CN"/>
              </w:rPr>
              <w:t>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4"/>
                <w:lang w:val="en-US" w:eastAsia="zh-CN"/>
              </w:rPr>
            </w:pPr>
            <w:r>
              <w:rPr>
                <w:rFonts w:hint="eastAsia" w:hAnsi="宋体"/>
                <w:b w:val="0"/>
                <w:bCs/>
                <w:sz w:val="24"/>
                <w:lang w:val="en-US" w:eastAsia="zh-CN"/>
              </w:rPr>
              <w:t>2.2</w:t>
            </w:r>
          </w:p>
        </w:tc>
        <w:tc>
          <w:tcPr>
            <w:tcW w:w="7461" w:type="dxa"/>
            <w:vAlign w:val="center"/>
          </w:tcPr>
          <w:p>
            <w:pPr>
              <w:widowControl/>
              <w:spacing w:before="100" w:beforeAutospacing="1" w:after="100" w:afterAutospacing="1"/>
              <w:rPr>
                <w:rFonts w:hint="default" w:ascii="宋体" w:hAnsi="宋体" w:eastAsia="宋体"/>
                <w:sz w:val="24"/>
                <w:lang w:val="en-US" w:eastAsia="zh-CN"/>
              </w:rPr>
            </w:pPr>
            <w:r>
              <w:rPr>
                <w:rFonts w:hint="eastAsia" w:ascii="宋体" w:hAnsi="宋体"/>
                <w:sz w:val="24"/>
                <w:lang w:val="en-US" w:eastAsia="zh-CN"/>
              </w:rPr>
              <w:t>保修期内，维修响应时间</w:t>
            </w:r>
            <w:r>
              <w:rPr>
                <w:rFonts w:hint="eastAsia" w:ascii="宋体" w:hAnsi="宋体"/>
                <w:color w:val="auto"/>
                <w:sz w:val="24"/>
                <w:u w:val="none"/>
                <w:lang w:val="en-US" w:eastAsia="zh-CN"/>
              </w:rPr>
              <w:t>＜12小时，24工作小时</w:t>
            </w:r>
            <w:r>
              <w:rPr>
                <w:rFonts w:hint="eastAsia" w:ascii="宋体" w:hAnsi="宋体"/>
                <w:sz w:val="24"/>
                <w:lang w:val="en-US" w:eastAsia="zh-CN"/>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sz w:val="24"/>
                <w:lang w:val="en-US" w:eastAsia="zh-CN"/>
              </w:rPr>
            </w:pPr>
            <w:r>
              <w:rPr>
                <w:rFonts w:hint="eastAsia" w:hAnsi="宋体"/>
                <w:b w:val="0"/>
                <w:bCs/>
                <w:sz w:val="24"/>
                <w:lang w:val="en-US" w:eastAsia="zh-CN"/>
              </w:rPr>
              <w:t>2.3</w:t>
            </w:r>
          </w:p>
        </w:tc>
        <w:tc>
          <w:tcPr>
            <w:tcW w:w="7461" w:type="dxa"/>
            <w:vAlign w:val="center"/>
          </w:tcPr>
          <w:p>
            <w:pPr>
              <w:spacing w:line="380" w:lineRule="exact"/>
              <w:rPr>
                <w:rFonts w:hint="eastAsia" w:ascii="宋体" w:hAnsi="宋体" w:eastAsia="宋体" w:cs="Times New Roman"/>
                <w:kern w:val="2"/>
                <w:sz w:val="24"/>
                <w:szCs w:val="24"/>
                <w:lang w:val="en-US" w:eastAsia="zh-CN" w:bidi="ar-SA"/>
              </w:rPr>
            </w:pPr>
            <w:r>
              <w:rPr>
                <w:rFonts w:hint="eastAsia" w:ascii="宋体" w:hAnsi="宋体"/>
                <w:sz w:val="24"/>
                <w:lang w:val="en-US" w:eastAsia="zh-CN"/>
              </w:rPr>
              <w:t>保修期</w:t>
            </w:r>
            <w:r>
              <w:rPr>
                <w:rFonts w:hint="eastAsia" w:ascii="宋体" w:hAnsi="宋体"/>
                <w:sz w:val="24"/>
              </w:rPr>
              <w:t>内开机率</w:t>
            </w:r>
            <w:r>
              <w:rPr>
                <w:rFonts w:hint="eastAsia" w:ascii="宋体" w:hAnsi="宋体"/>
                <w:color w:val="auto"/>
                <w:sz w:val="24"/>
                <w:u w:val="none"/>
              </w:rPr>
              <w:t>≥95%，若设备未达到以上开机率保证，则停机每超过一天则延长十天保修</w:t>
            </w:r>
            <w:r>
              <w:rPr>
                <w:rFonts w:hint="eastAsia" w:ascii="宋体" w:hAnsi="宋体"/>
                <w:sz w:val="24"/>
              </w:rPr>
              <w:t>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eastAsia="宋体"/>
                <w:b w:val="0"/>
                <w:bCs/>
                <w:sz w:val="24"/>
                <w:lang w:val="en-US" w:eastAsia="zh-CN"/>
              </w:rPr>
            </w:pPr>
            <w:r>
              <w:rPr>
                <w:rFonts w:hint="eastAsia" w:hAnsi="宋体"/>
                <w:b/>
                <w:sz w:val="28"/>
                <w:szCs w:val="28"/>
                <w:lang w:val="en-US" w:eastAsia="zh-CN"/>
              </w:rPr>
              <w:t>3</w:t>
            </w:r>
          </w:p>
        </w:tc>
        <w:tc>
          <w:tcPr>
            <w:tcW w:w="7461" w:type="dxa"/>
            <w:vAlign w:val="center"/>
          </w:tcPr>
          <w:p>
            <w:pPr>
              <w:spacing w:line="380" w:lineRule="exact"/>
              <w:rPr>
                <w:rFonts w:hint="default" w:ascii="宋体" w:hAnsi="宋体" w:eastAsia="宋体" w:cs="Times New Roman"/>
                <w:kern w:val="2"/>
                <w:sz w:val="24"/>
                <w:szCs w:val="24"/>
                <w:lang w:val="en-US" w:eastAsia="zh-CN" w:bidi="ar-SA"/>
              </w:rPr>
            </w:pPr>
            <w:r>
              <w:rPr>
                <w:rFonts w:hint="eastAsia" w:ascii="Calibri" w:hAnsi="Calibri"/>
                <w:b/>
                <w:color w:val="000000"/>
                <w:sz w:val="24"/>
                <w:lang w:val="en-US" w:eastAsia="zh-CN"/>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4"/>
                <w:lang w:val="en-US" w:eastAsia="zh-CN"/>
              </w:rPr>
            </w:pPr>
            <w:r>
              <w:rPr>
                <w:rFonts w:hint="eastAsia" w:hAnsi="宋体"/>
                <w:b w:val="0"/>
                <w:bCs/>
                <w:sz w:val="24"/>
                <w:lang w:val="en-US" w:eastAsia="zh-CN"/>
              </w:rPr>
              <w:t>3.1</w:t>
            </w:r>
          </w:p>
        </w:tc>
        <w:tc>
          <w:tcPr>
            <w:tcW w:w="7461" w:type="dxa"/>
            <w:vAlign w:val="center"/>
          </w:tcPr>
          <w:p>
            <w:pPr>
              <w:spacing w:line="380" w:lineRule="exact"/>
              <w:rPr>
                <w:rFonts w:hint="eastAsia" w:ascii="Calibri" w:hAnsi="Calibri" w:eastAsia="宋体"/>
                <w:b/>
                <w:color w:val="000000"/>
                <w:sz w:val="24"/>
                <w:lang w:val="en-US" w:eastAsia="zh-CN"/>
              </w:rPr>
            </w:pPr>
            <w:r>
              <w:rPr>
                <w:rFonts w:hint="eastAsia" w:ascii="宋体" w:hAnsi="宋体"/>
                <w:sz w:val="24"/>
                <w:lang w:val="en-US" w:eastAsia="zh-CN"/>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sz w:val="24"/>
                <w:lang w:val="en-US" w:eastAsia="zh-CN"/>
              </w:rPr>
            </w:pPr>
            <w:r>
              <w:rPr>
                <w:rFonts w:hint="eastAsia" w:hAnsi="宋体"/>
                <w:b w:val="0"/>
                <w:bCs/>
                <w:sz w:val="24"/>
                <w:lang w:val="en-US" w:eastAsia="zh-CN"/>
              </w:rPr>
              <w:t>3.2</w:t>
            </w:r>
          </w:p>
        </w:tc>
        <w:tc>
          <w:tcPr>
            <w:tcW w:w="7461" w:type="dxa"/>
            <w:vAlign w:val="center"/>
          </w:tcPr>
          <w:p>
            <w:pPr>
              <w:spacing w:line="380" w:lineRule="exact"/>
              <w:rPr>
                <w:rFonts w:hint="eastAsia" w:ascii="宋体" w:hAnsi="宋体"/>
                <w:sz w:val="24"/>
                <w:lang w:val="en-US" w:eastAsia="zh-CN"/>
              </w:rPr>
            </w:pPr>
            <w:r>
              <w:rPr>
                <w:rFonts w:hint="eastAsia" w:ascii="宋体" w:hAnsi="宋体"/>
                <w:sz w:val="24"/>
                <w:lang w:val="en-US" w:eastAsia="zh-CN"/>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4"/>
                <w:lang w:val="en-US" w:eastAsia="zh-CN"/>
              </w:rPr>
            </w:pPr>
            <w:r>
              <w:rPr>
                <w:rFonts w:hint="eastAsia" w:hAnsi="宋体"/>
                <w:b w:val="0"/>
                <w:bCs/>
                <w:sz w:val="24"/>
                <w:lang w:val="en-US" w:eastAsia="zh-CN"/>
              </w:rPr>
              <w:t>3.3</w:t>
            </w:r>
          </w:p>
        </w:tc>
        <w:tc>
          <w:tcPr>
            <w:tcW w:w="7461" w:type="dxa"/>
            <w:vAlign w:val="center"/>
          </w:tcPr>
          <w:p>
            <w:pPr>
              <w:spacing w:line="380" w:lineRule="exact"/>
              <w:rPr>
                <w:rFonts w:hint="eastAsia" w:ascii="宋体" w:hAnsi="宋体"/>
                <w:sz w:val="24"/>
              </w:rPr>
            </w:pPr>
            <w:r>
              <w:rPr>
                <w:rFonts w:hint="eastAsia" w:ascii="宋体" w:hAnsi="宋体"/>
                <w:sz w:val="24"/>
              </w:rPr>
              <w:t>在</w:t>
            </w:r>
            <w:r>
              <w:rPr>
                <w:rFonts w:hint="eastAsia" w:ascii="宋体" w:hAnsi="宋体"/>
                <w:sz w:val="24"/>
                <w:lang w:val="en-US" w:eastAsia="zh-CN"/>
              </w:rPr>
              <w:t>整个</w:t>
            </w:r>
            <w:r>
              <w:rPr>
                <w:rFonts w:hint="eastAsia" w:ascii="宋体" w:hAnsi="宋体"/>
                <w:sz w:val="24"/>
              </w:rPr>
              <w:t>设备使用期内，卖方应确保设备的正常使用，在接到用户维修要求后应立即作出回应，通过电话联系无法解决的，须</w:t>
            </w:r>
            <w:r>
              <w:rPr>
                <w:rFonts w:hint="eastAsia" w:ascii="宋体" w:hAnsi="宋体"/>
                <w:color w:val="auto"/>
                <w:sz w:val="24"/>
                <w:u w:val="none"/>
                <w:lang w:val="en-US" w:eastAsia="zh-CN"/>
              </w:rPr>
              <w:t>24</w:t>
            </w:r>
            <w:r>
              <w:rPr>
                <w:rFonts w:hint="eastAsia" w:ascii="宋体" w:hAnsi="宋体"/>
                <w:color w:val="auto"/>
                <w:sz w:val="24"/>
                <w:u w:val="none"/>
              </w:rPr>
              <w:t>小时</w:t>
            </w:r>
            <w:r>
              <w:rPr>
                <w:rFonts w:hint="eastAsia" w:ascii="宋体" w:hAnsi="宋体"/>
                <w:color w:val="auto"/>
                <w:sz w:val="24"/>
                <w:u w:val="none"/>
                <w:lang w:val="en-US" w:eastAsia="zh-CN"/>
              </w:rPr>
              <w:t>内</w:t>
            </w:r>
            <w:r>
              <w:rPr>
                <w:rFonts w:hint="eastAsia" w:ascii="宋体" w:hAnsi="宋体"/>
                <w:sz w:val="24"/>
              </w:rPr>
              <w:t>赶赴</w:t>
            </w:r>
            <w:r>
              <w:rPr>
                <w:rFonts w:hint="eastAsia" w:ascii="宋体" w:hAnsi="宋体"/>
                <w:sz w:val="24"/>
                <w:lang w:eastAsia="zh-CN"/>
              </w:rPr>
              <w:t>买</w:t>
            </w:r>
            <w:r>
              <w:rPr>
                <w:rFonts w:hint="eastAsia" w:ascii="宋体" w:hAnsi="宋体"/>
                <w:sz w:val="24"/>
                <w:lang w:val="en-US" w:eastAsia="zh-CN"/>
              </w:rPr>
              <w:t>方</w:t>
            </w:r>
            <w:r>
              <w:rPr>
                <w:rFonts w:hint="eastAsia" w:ascii="宋体" w:hAnsi="宋体"/>
                <w:sz w:val="24"/>
              </w:rPr>
              <w:t>现场处理</w:t>
            </w:r>
            <w:r>
              <w:rPr>
                <w:rFonts w:hint="eastAsia" w:ascii="宋体" w:hAnsi="宋体"/>
                <w:sz w:val="24"/>
                <w:lang w:eastAsia="zh-CN"/>
              </w:rPr>
              <w:t>。</w:t>
            </w:r>
            <w:r>
              <w:rPr>
                <w:rFonts w:hint="eastAsia" w:ascii="宋体" w:hAnsi="宋体"/>
                <w:sz w:val="24"/>
              </w:rPr>
              <w:t>维修过程中所需零配件</w:t>
            </w:r>
            <w:r>
              <w:rPr>
                <w:rFonts w:hint="eastAsia" w:ascii="宋体" w:hAnsi="宋体"/>
                <w:sz w:val="24"/>
                <w:lang w:eastAsia="zh-CN"/>
              </w:rPr>
              <w:t>，</w:t>
            </w:r>
            <w:r>
              <w:rPr>
                <w:rFonts w:hint="eastAsia" w:ascii="宋体" w:hAnsi="宋体"/>
                <w:sz w:val="24"/>
                <w:lang w:val="en-US" w:eastAsia="zh-CN"/>
              </w:rPr>
              <w:t>非特殊情况，</w:t>
            </w:r>
            <w:r>
              <w:rPr>
                <w:rFonts w:hint="eastAsia" w:ascii="宋体" w:hAnsi="宋体"/>
                <w:sz w:val="24"/>
              </w:rPr>
              <w:t>供应商</w:t>
            </w:r>
            <w:r>
              <w:rPr>
                <w:rFonts w:hint="eastAsia" w:ascii="宋体" w:hAnsi="宋体"/>
                <w:sz w:val="24"/>
                <w:lang w:val="en-US" w:eastAsia="zh-CN"/>
              </w:rPr>
              <w:t>应</w:t>
            </w:r>
            <w:r>
              <w:rPr>
                <w:rFonts w:hint="eastAsia" w:ascii="宋体" w:hAnsi="宋体"/>
                <w:sz w:val="24"/>
              </w:rPr>
              <w:t>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4"/>
                <w:lang w:val="en-US" w:eastAsia="zh-CN"/>
              </w:rPr>
            </w:pPr>
            <w:r>
              <w:rPr>
                <w:rFonts w:hint="eastAsia" w:hAnsi="宋体"/>
                <w:b w:val="0"/>
                <w:bCs/>
                <w:sz w:val="24"/>
                <w:lang w:val="en-US" w:eastAsia="zh-CN"/>
              </w:rPr>
              <w:t>3.4</w:t>
            </w:r>
          </w:p>
        </w:tc>
        <w:tc>
          <w:tcPr>
            <w:tcW w:w="7461" w:type="dxa"/>
            <w:vAlign w:val="center"/>
          </w:tcPr>
          <w:p>
            <w:pPr>
              <w:spacing w:line="380" w:lineRule="exact"/>
              <w:rPr>
                <w:rFonts w:hint="eastAsia" w:ascii="Calibri" w:hAnsi="Calibri"/>
                <w:b/>
                <w:color w:val="000000"/>
                <w:sz w:val="24"/>
                <w:lang w:val="en-US" w:eastAsia="zh-CN"/>
              </w:rPr>
            </w:pPr>
            <w:r>
              <w:rPr>
                <w:rFonts w:hint="eastAsia" w:ascii="宋体" w:hAnsi="宋体"/>
                <w:sz w:val="24"/>
              </w:rPr>
              <w:t>保证</w:t>
            </w:r>
            <w:r>
              <w:rPr>
                <w:rFonts w:hint="eastAsia" w:ascii="宋体" w:hAnsi="宋体"/>
                <w:sz w:val="24"/>
                <w:lang w:val="en-US" w:eastAsia="zh-CN"/>
              </w:rPr>
              <w:t>易耗品及</w:t>
            </w:r>
            <w:r>
              <w:rPr>
                <w:rFonts w:hint="eastAsia" w:ascii="宋体" w:hAnsi="宋体"/>
                <w:sz w:val="24"/>
              </w:rPr>
              <w:t>零配件供应</w:t>
            </w:r>
            <w:r>
              <w:rPr>
                <w:rFonts w:hint="eastAsia" w:ascii="宋体" w:hAnsi="宋体"/>
                <w:color w:val="auto"/>
                <w:sz w:val="24"/>
                <w:u w:val="none"/>
                <w:lang w:val="en-US" w:eastAsia="zh-CN"/>
              </w:rPr>
              <w:t>10</w:t>
            </w:r>
            <w:r>
              <w:rPr>
                <w:rFonts w:hint="eastAsia" w:ascii="宋体" w:hAnsi="宋体"/>
                <w:color w:val="auto"/>
                <w:sz w:val="24"/>
                <w:u w:val="none"/>
              </w:rPr>
              <w:t>年</w:t>
            </w:r>
            <w:r>
              <w:rPr>
                <w:rFonts w:hint="eastAsia" w:ascii="宋体" w:hAnsi="宋体"/>
                <w:sz w:val="24"/>
              </w:rPr>
              <w:t>以上，</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b/>
                <w:kern w:val="0"/>
                <w:sz w:val="28"/>
                <w:szCs w:val="28"/>
                <w:lang w:val="en-US" w:eastAsia="zh-CN"/>
              </w:rPr>
              <w:t>4</w:t>
            </w:r>
          </w:p>
        </w:tc>
        <w:tc>
          <w:tcPr>
            <w:tcW w:w="7461" w:type="dxa"/>
            <w:vAlign w:val="center"/>
          </w:tcPr>
          <w:p>
            <w:pPr>
              <w:snapToGrid w:val="0"/>
              <w:rPr>
                <w:rFonts w:hint="eastAsia" w:ascii="宋体" w:hAnsi="宋体" w:eastAsia="宋体" w:cs="Times New Roman"/>
                <w:b/>
                <w:kern w:val="2"/>
                <w:sz w:val="24"/>
                <w:szCs w:val="24"/>
                <w:lang w:val="en-US" w:eastAsia="zh-CN" w:bidi="ar-SA"/>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4.1</w:t>
            </w:r>
          </w:p>
        </w:tc>
        <w:tc>
          <w:tcPr>
            <w:tcW w:w="7461" w:type="dxa"/>
            <w:vAlign w:val="center"/>
          </w:tcPr>
          <w:p>
            <w:pPr>
              <w:spacing w:line="380" w:lineRule="exact"/>
              <w:rPr>
                <w:rFonts w:hint="eastAsia" w:ascii="宋体" w:hAnsi="宋体" w:eastAsia="宋体" w:cs="Times New Roman"/>
                <w:kern w:val="2"/>
                <w:sz w:val="24"/>
                <w:szCs w:val="24"/>
                <w:lang w:val="en-US" w:eastAsia="zh-CN" w:bidi="ar-SA"/>
              </w:rPr>
            </w:pPr>
            <w:r>
              <w:rPr>
                <w:rFonts w:hint="eastAsia" w:ascii="宋体" w:hAnsi="宋体"/>
                <w:sz w:val="24"/>
              </w:rPr>
              <w:t>交货时间：合同签订后，接到甲方通知后</w:t>
            </w:r>
            <w:r>
              <w:rPr>
                <w:rFonts w:hint="eastAsia" w:ascii="宋体" w:hAnsi="宋体"/>
                <w:color w:val="auto"/>
                <w:sz w:val="24"/>
                <w:u w:val="none"/>
              </w:rPr>
              <w:t>30天内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4.2</w:t>
            </w:r>
          </w:p>
        </w:tc>
        <w:tc>
          <w:tcPr>
            <w:tcW w:w="7461" w:type="dxa"/>
            <w:vAlign w:val="center"/>
          </w:tcPr>
          <w:p>
            <w:pPr>
              <w:spacing w:line="380" w:lineRule="exact"/>
              <w:rPr>
                <w:rFonts w:hint="eastAsia" w:ascii="宋体" w:hAnsi="宋体" w:eastAsia="宋体" w:cs="Times New Roman"/>
                <w:kern w:val="2"/>
                <w:sz w:val="24"/>
                <w:szCs w:val="24"/>
                <w:lang w:val="en-US" w:eastAsia="zh-CN" w:bidi="ar-SA"/>
              </w:rPr>
            </w:pPr>
            <w:r>
              <w:rPr>
                <w:rFonts w:hint="eastAsia" w:ascii="宋体" w:hAnsi="宋体"/>
                <w:sz w:val="24"/>
              </w:rPr>
              <w:t>交货地点：</w:t>
            </w:r>
            <w:r>
              <w:rPr>
                <w:rFonts w:hint="eastAsia" w:ascii="宋体" w:hAnsi="宋体"/>
                <w:sz w:val="24"/>
                <w:lang w:val="en-US" w:eastAsia="zh-CN"/>
              </w:rPr>
              <w:t>采购人</w:t>
            </w:r>
            <w:r>
              <w:rPr>
                <w:rFonts w:hint="eastAsia" w:ascii="宋体" w:hAnsi="宋体"/>
                <w:sz w:val="24"/>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5</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5.1</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ascii="Calibri" w:hAnsi="宋体"/>
                <w:bCs/>
                <w:sz w:val="24"/>
              </w:rPr>
              <w:t>安装地点：</w:t>
            </w:r>
            <w:r>
              <w:rPr>
                <w:rFonts w:hint="eastAsia" w:ascii="宋体" w:hAnsi="宋体"/>
                <w:sz w:val="24"/>
                <w:lang w:val="en-US" w:eastAsia="zh-CN"/>
              </w:rPr>
              <w:t>采购人</w:t>
            </w:r>
            <w:r>
              <w:rPr>
                <w:rFonts w:hint="eastAsia" w:ascii="宋体" w:hAnsi="宋体"/>
                <w:sz w:val="24"/>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5.2</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Calibri" w:hAnsi="宋体"/>
                <w:bCs/>
                <w:sz w:val="24"/>
              </w:rPr>
              <w:t>卖方须对买方现场进行查勘，在合同签定后</w:t>
            </w:r>
            <w:r>
              <w:rPr>
                <w:rFonts w:hint="eastAsia" w:ascii="Calibri" w:hAnsi="宋体"/>
                <w:bCs/>
                <w:color w:val="auto"/>
                <w:sz w:val="24"/>
                <w:u w:val="none"/>
                <w:lang w:val="en-US" w:eastAsia="zh-CN"/>
              </w:rPr>
              <w:t>10</w:t>
            </w:r>
            <w:r>
              <w:rPr>
                <w:rFonts w:hint="eastAsia" w:ascii="Calibri" w:hAnsi="宋体"/>
                <w:bCs/>
                <w:color w:val="auto"/>
                <w:sz w:val="24"/>
                <w:u w:val="none"/>
              </w:rPr>
              <w:t>个工作日</w:t>
            </w:r>
            <w:r>
              <w:rPr>
                <w:rFonts w:hint="eastAsia" w:ascii="Calibri" w:hAnsi="宋体"/>
                <w:bCs/>
                <w:sz w:val="24"/>
              </w:rPr>
              <w:t>内书面提供买方认可的运输方案及安装方案，费用含在合同总价中</w:t>
            </w:r>
            <w:r>
              <w:rPr>
                <w:rFonts w:hint="eastAsia" w:ascii="Calibri" w:hAnsi="宋体"/>
                <w:bCs/>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5.3</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Calibri" w:hAnsi="宋体"/>
                <w:sz w:val="24"/>
              </w:rPr>
              <w:t>安装完成时间：卖方在货物到货后</w:t>
            </w:r>
            <w:r>
              <w:rPr>
                <w:rFonts w:hint="eastAsia" w:ascii="Calibri" w:hAnsi="宋体"/>
                <w:color w:val="auto"/>
                <w:sz w:val="24"/>
                <w:u w:val="none"/>
                <w:lang w:val="en-US" w:eastAsia="zh-CN"/>
              </w:rPr>
              <w:t>30</w:t>
            </w:r>
            <w:r>
              <w:rPr>
                <w:rFonts w:hint="eastAsia" w:ascii="Calibri" w:hAnsi="宋体"/>
                <w:color w:val="auto"/>
                <w:sz w:val="24"/>
                <w:u w:val="none"/>
              </w:rPr>
              <w:t>个工作日内</w:t>
            </w:r>
            <w:r>
              <w:rPr>
                <w:rFonts w:hint="eastAsia" w:ascii="Calibri" w:hAnsi="宋体"/>
                <w:sz w:val="24"/>
              </w:rPr>
              <w:t>完成安装调试（其他约定除外），并正常运行，如果超出上述期限，卖方负责由此给买方造成的所有损失</w:t>
            </w:r>
            <w:r>
              <w:rPr>
                <w:rFonts w:hint="eastAsia" w:ascii="Calibri" w:hAnsi="宋体"/>
                <w:sz w:val="24"/>
                <w:lang w:eastAsia="zh-CN"/>
              </w:rPr>
              <w:t>。所有设施设备及软件要求安装调试到位，直至能够正常运行，且符合环境安全要求，达到验收标准。软件系统在正式使用前进行试运行，达到</w:t>
            </w:r>
            <w:r>
              <w:rPr>
                <w:rFonts w:hint="eastAsia" w:ascii="Calibri" w:hAnsi="宋体"/>
                <w:sz w:val="24"/>
                <w:lang w:val="en-US" w:eastAsia="zh-CN"/>
              </w:rPr>
              <w:t>采购</w:t>
            </w:r>
            <w:r>
              <w:rPr>
                <w:rFonts w:hint="eastAsia" w:ascii="Calibri" w:hAnsi="宋体"/>
                <w:sz w:val="24"/>
                <w:lang w:eastAsia="zh-CN"/>
              </w:rPr>
              <w:t>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5.4</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ascii="Calibri" w:hAnsi="宋体"/>
                <w:bCs/>
                <w:sz w:val="24"/>
              </w:rPr>
              <w:t>安装标准：符合我国国家有关技术规范要求和技术标准</w:t>
            </w:r>
            <w:r>
              <w:rPr>
                <w:rFonts w:hint="eastAsia" w:ascii="Calibri" w:hAnsi="宋体"/>
                <w:bCs/>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5.5</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6</w:t>
            </w:r>
          </w:p>
        </w:tc>
        <w:tc>
          <w:tcPr>
            <w:tcW w:w="7461" w:type="dxa"/>
            <w:vAlign w:val="center"/>
          </w:tcPr>
          <w:p>
            <w:pPr>
              <w:spacing w:line="380" w:lineRule="exact"/>
              <w:rPr>
                <w:rFonts w:ascii="宋体" w:hAnsi="宋体" w:eastAsia="宋体" w:cs="Times New Roman"/>
                <w:b/>
                <w:kern w:val="2"/>
                <w:sz w:val="24"/>
                <w:szCs w:val="24"/>
                <w:lang w:val="en-US" w:eastAsia="zh-CN" w:bidi="ar-SA"/>
              </w:rPr>
            </w:pPr>
            <w:r>
              <w:rPr>
                <w:rFonts w:hint="eastAsia" w:ascii="宋体" w:hAnsi="宋体"/>
                <w:b/>
                <w:sz w:val="24"/>
              </w:rPr>
              <w:t>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6.1</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Calibri" w:hAnsi="宋体"/>
                <w:sz w:val="24"/>
              </w:rPr>
              <w:t>如属计量器具、放射类设备，则卖方提供经买方认可的且具有资质的检测机构出具的计量、放射防护检测合格报告，检测费用包含在合同总价中</w:t>
            </w:r>
            <w:r>
              <w:rPr>
                <w:rFonts w:hint="eastAsia" w:ascii="Calibri"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6.2</w:t>
            </w:r>
          </w:p>
        </w:tc>
        <w:tc>
          <w:tcPr>
            <w:tcW w:w="7461" w:type="dxa"/>
            <w:vAlign w:val="center"/>
          </w:tcPr>
          <w:p>
            <w:pPr>
              <w:spacing w:line="380" w:lineRule="exact"/>
              <w:rPr>
                <w:rFonts w:ascii="Calibri" w:hAnsi="宋体" w:eastAsia="宋体" w:cs="Times New Roman"/>
                <w:kern w:val="2"/>
                <w:sz w:val="24"/>
                <w:szCs w:val="24"/>
                <w:lang w:val="en-US" w:eastAsia="zh-CN" w:bidi="ar-SA"/>
              </w:rPr>
            </w:pPr>
            <w:r>
              <w:rPr>
                <w:rFonts w:hint="eastAsia" w:ascii="宋体" w:hAnsi="宋体"/>
                <w:sz w:val="24"/>
              </w:rPr>
              <w:t>货物应符合国家相关标准、</w:t>
            </w:r>
            <w:r>
              <w:rPr>
                <w:rFonts w:hint="eastAsia" w:ascii="宋体" w:hAnsi="宋体"/>
                <w:sz w:val="24"/>
                <w:lang w:val="en-US" w:eastAsia="zh-CN"/>
              </w:rPr>
              <w:t>采购</w:t>
            </w:r>
            <w:r>
              <w:rPr>
                <w:rFonts w:hint="eastAsia" w:ascii="宋体" w:hAnsi="宋体"/>
                <w:sz w:val="24"/>
              </w:rPr>
              <w:t>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6.3</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color w:val="auto"/>
                <w:sz w:val="24"/>
                <w:u w:val="none"/>
              </w:rPr>
              <w:t>1</w:t>
            </w:r>
            <w:r>
              <w:rPr>
                <w:rFonts w:hint="eastAsia" w:ascii="Calibri" w:hAnsi="宋体"/>
                <w:color w:val="auto"/>
                <w:sz w:val="24"/>
                <w:u w:val="none"/>
                <w:lang w:val="en-US" w:eastAsia="zh-CN"/>
              </w:rPr>
              <w:t>0</w:t>
            </w:r>
            <w:r>
              <w:rPr>
                <w:rFonts w:hint="eastAsia" w:ascii="Calibri" w:hAnsi="宋体"/>
                <w:color w:val="auto"/>
                <w:sz w:val="24"/>
                <w:u w:val="none"/>
              </w:rPr>
              <w:t>个工作日</w:t>
            </w:r>
            <w:r>
              <w:rPr>
                <w:rFonts w:hint="eastAsia" w:ascii="Calibri" w:hAnsi="宋体"/>
                <w:sz w:val="24"/>
              </w:rPr>
              <w:t>内完成</w:t>
            </w:r>
            <w:r>
              <w:rPr>
                <w:rFonts w:hint="eastAsia" w:ascii="Calibri" w:hAnsi="宋体"/>
                <w:sz w:val="24"/>
                <w:lang w:eastAsia="zh-CN"/>
              </w:rPr>
              <w:t>，</w:t>
            </w:r>
            <w:r>
              <w:rPr>
                <w:rFonts w:hint="eastAsia" w:ascii="Calibri" w:hAnsi="宋体"/>
                <w:sz w:val="24"/>
                <w:lang w:val="en-US" w:eastAsia="zh-CN"/>
              </w:rPr>
              <w:t>如涉及虚假响应的，则按相关规定处理</w:t>
            </w:r>
            <w:r>
              <w:rPr>
                <w:rFonts w:hint="eastAsia" w:ascii="Calibri" w:hAnsi="宋体"/>
                <w:sz w:val="24"/>
              </w:rPr>
              <w:t>。货物安装完毕试运行正常</w:t>
            </w:r>
            <w:r>
              <w:rPr>
                <w:rFonts w:ascii="Calibri" w:hAnsi="宋体"/>
                <w:sz w:val="24"/>
              </w:rPr>
              <w:t>30</w:t>
            </w:r>
            <w:r>
              <w:rPr>
                <w:rFonts w:hint="eastAsia" w:ascii="Calibri" w:hAnsi="宋体"/>
                <w:sz w:val="24"/>
              </w:rPr>
              <w:t>个工作日，</w:t>
            </w:r>
            <w:r>
              <w:rPr>
                <w:rFonts w:hint="eastAsia" w:ascii="Calibri" w:hAnsi="宋体"/>
                <w:sz w:val="24"/>
                <w:lang w:val="en-US" w:eastAsia="zh-CN"/>
              </w:rPr>
              <w:t>在</w:t>
            </w:r>
            <w:r>
              <w:rPr>
                <w:rFonts w:ascii="Calibri" w:hAnsi="宋体"/>
                <w:sz w:val="24"/>
              </w:rPr>
              <w:t>1</w:t>
            </w:r>
            <w:r>
              <w:rPr>
                <w:rFonts w:hint="eastAsia" w:ascii="Calibri" w:hAnsi="宋体"/>
                <w:sz w:val="24"/>
              </w:rPr>
              <w:t>周内双方签订验收报告</w:t>
            </w:r>
            <w:r>
              <w:rPr>
                <w:rFonts w:hint="eastAsia" w:ascii="Calibri"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4"/>
                <w:szCs w:val="24"/>
                <w:lang w:val="en-US" w:eastAsia="zh-CN" w:bidi="ar-SA"/>
              </w:rPr>
            </w:pPr>
            <w:r>
              <w:rPr>
                <w:rFonts w:hint="eastAsia" w:ascii="宋体" w:hAnsi="宋体" w:cs="宋体"/>
                <w:b/>
                <w:kern w:val="0"/>
                <w:sz w:val="28"/>
                <w:szCs w:val="28"/>
                <w:lang w:val="en-US" w:eastAsia="zh-CN"/>
              </w:rPr>
              <w:t>7</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宋体" w:hAnsi="宋体"/>
                <w:b/>
                <w:sz w:val="24"/>
              </w:rPr>
              <w:t>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.1</w:t>
            </w:r>
          </w:p>
        </w:tc>
        <w:tc>
          <w:tcPr>
            <w:tcW w:w="7461" w:type="dxa"/>
            <w:vAlign w:val="center"/>
          </w:tcPr>
          <w:p>
            <w:pPr>
              <w:snapToGrid w:val="0"/>
              <w:rPr>
                <w:rFonts w:hint="eastAsia" w:ascii="宋体" w:hAnsi="宋体" w:eastAsia="宋体" w:cs="Times New Roman"/>
                <w:bCs/>
                <w:kern w:val="2"/>
                <w:sz w:val="24"/>
                <w:szCs w:val="24"/>
                <w:lang w:val="en-US" w:eastAsia="zh-CN" w:bidi="ar-SA"/>
              </w:rPr>
            </w:pPr>
            <w:r>
              <w:rPr>
                <w:rFonts w:hint="eastAsia" w:ascii="宋体" w:hAnsi="宋体"/>
                <w:sz w:val="24"/>
              </w:rPr>
              <w:t>操作应用培训：卖方负责使操作人员熟练掌握设备的操作规程及临床应用，并提供操作教学视频、操作规程、培训记录。操作教学视频应涵盖设备的所有操作及应用，且通俗易懂。所有培训费用已含入总价中。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.2</w:t>
            </w:r>
          </w:p>
        </w:tc>
        <w:tc>
          <w:tcPr>
            <w:tcW w:w="7461" w:type="dxa"/>
            <w:vAlign w:val="center"/>
          </w:tcPr>
          <w:p>
            <w:pPr>
              <w:snapToGrid w:val="0"/>
              <w:rPr>
                <w:rFonts w:hint="eastAsia" w:ascii="宋体" w:hAnsi="宋体" w:eastAsia="宋体" w:cs="Times New Roman"/>
                <w:bCs/>
                <w:kern w:val="2"/>
                <w:sz w:val="24"/>
                <w:szCs w:val="24"/>
                <w:lang w:val="en-US" w:eastAsia="zh-CN" w:bidi="ar-SA"/>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.3</w:t>
            </w:r>
          </w:p>
        </w:tc>
        <w:tc>
          <w:tcPr>
            <w:tcW w:w="7461" w:type="dxa"/>
            <w:vAlign w:val="center"/>
          </w:tcPr>
          <w:p>
            <w:pPr>
              <w:snapToGrid w:val="0"/>
              <w:rPr>
                <w:rFonts w:hint="eastAsia" w:ascii="宋体" w:hAnsi="宋体" w:eastAsia="宋体" w:cs="Times New Roman"/>
                <w:bCs/>
                <w:kern w:val="2"/>
                <w:sz w:val="24"/>
                <w:szCs w:val="24"/>
                <w:lang w:val="en-US" w:eastAsia="zh-CN" w:bidi="ar-SA"/>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r>
              <w:rPr>
                <w:rFonts w:hint="eastAsia" w:ascii="宋体" w:hAnsi="宋体" w:cs="宋体"/>
                <w:kern w:val="0"/>
                <w:sz w:val="24"/>
              </w:rPr>
              <w:t>.4</w:t>
            </w:r>
          </w:p>
        </w:tc>
        <w:tc>
          <w:tcPr>
            <w:tcW w:w="7461" w:type="dxa"/>
            <w:vAlign w:val="center"/>
          </w:tcPr>
          <w:p>
            <w:pPr>
              <w:snapToGrid w:val="0"/>
              <w:rPr>
                <w:rFonts w:hint="eastAsia" w:ascii="宋体" w:hAnsi="宋体" w:eastAsia="宋体" w:cs="Times New Roman"/>
                <w:bCs/>
                <w:kern w:val="2"/>
                <w:sz w:val="24"/>
                <w:szCs w:val="24"/>
                <w:lang w:val="en-US" w:eastAsia="zh-CN" w:bidi="ar-SA"/>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8</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宋体" w:hAnsi="宋体" w:cs="宋体"/>
                <w:b/>
                <w:kern w:val="0"/>
                <w:sz w:val="24"/>
              </w:rPr>
              <w:t>技术</w:t>
            </w:r>
            <w:r>
              <w:rPr>
                <w:rFonts w:hint="eastAsia" w:ascii="宋体" w:hAnsi="宋体" w:cs="宋体"/>
                <w:b/>
                <w:kern w:val="0"/>
                <w:sz w:val="24"/>
                <w:lang w:val="en-US" w:eastAsia="zh-CN"/>
              </w:rPr>
              <w:t>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8.1</w:t>
            </w:r>
          </w:p>
        </w:tc>
        <w:tc>
          <w:tcPr>
            <w:tcW w:w="7461" w:type="dxa"/>
            <w:vAlign w:val="center"/>
          </w:tcPr>
          <w:p>
            <w:pPr>
              <w:spacing w:line="380" w:lineRule="exact"/>
              <w:rPr>
                <w:rFonts w:hint="eastAsia" w:ascii="宋体" w:hAnsi="宋体" w:eastAsia="宋体" w:cs="宋体"/>
                <w:kern w:val="0"/>
                <w:sz w:val="24"/>
                <w:szCs w:val="24"/>
                <w:lang w:val="en-US" w:eastAsia="zh-CN" w:bidi="ar-SA"/>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r>
              <w:rPr>
                <w:rFonts w:hint="eastAsia" w:ascii="Calibri"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8.2</w:t>
            </w:r>
          </w:p>
        </w:tc>
        <w:tc>
          <w:tcPr>
            <w:tcW w:w="7461" w:type="dxa"/>
            <w:vAlign w:val="center"/>
          </w:tcPr>
          <w:p>
            <w:pPr>
              <w:spacing w:line="380" w:lineRule="exact"/>
              <w:rPr>
                <w:rFonts w:hint="eastAsia" w:ascii="宋体" w:hAnsi="宋体" w:eastAsia="宋体" w:cs="Times New Roman"/>
                <w:kern w:val="2"/>
                <w:sz w:val="24"/>
                <w:szCs w:val="24"/>
                <w:lang w:val="en-US" w:eastAsia="zh-CN" w:bidi="ar-SA"/>
              </w:rPr>
            </w:pPr>
            <w:r>
              <w:rPr>
                <w:rFonts w:hint="eastAsia" w:ascii="宋体" w:hAnsi="宋体"/>
                <w:sz w:val="24"/>
              </w:rPr>
              <w:t>每台设备都应提供完整的中文技术资料，包括操作手册</w:t>
            </w:r>
            <w:r>
              <w:rPr>
                <w:rFonts w:hint="eastAsia" w:ascii="宋体" w:hAnsi="宋体"/>
                <w:sz w:val="24"/>
                <w:lang w:val="en-US" w:eastAsia="zh-CN"/>
              </w:rPr>
              <w:t>1</w:t>
            </w:r>
            <w:r>
              <w:rPr>
                <w:rFonts w:hint="eastAsia" w:ascii="宋体" w:hAnsi="宋体"/>
                <w:sz w:val="24"/>
              </w:rPr>
              <w:t>套、软件</w:t>
            </w:r>
            <w:r>
              <w:rPr>
                <w:rFonts w:hint="eastAsia" w:ascii="宋体" w:hAnsi="宋体"/>
                <w:sz w:val="24"/>
                <w:lang w:eastAsia="zh-CN"/>
              </w:rPr>
              <w:t>使用</w:t>
            </w:r>
            <w:r>
              <w:rPr>
                <w:rFonts w:hint="eastAsia" w:ascii="宋体" w:hAnsi="宋体"/>
                <w:sz w:val="24"/>
              </w:rPr>
              <w:t>手册1套等，同时应提供原厂的出厂配置清单、设备出厂检验报告和质量合格证书等及电子版的操作规程，如系进口产品，还应提供报关证明</w:t>
            </w:r>
            <w:r>
              <w:rPr>
                <w:rFonts w:hint="eastAsia" w:ascii="宋体"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9</w:t>
            </w:r>
          </w:p>
        </w:tc>
        <w:tc>
          <w:tcPr>
            <w:tcW w:w="7461" w:type="dxa"/>
            <w:vAlign w:val="center"/>
          </w:tcPr>
          <w:p>
            <w:pPr>
              <w:spacing w:line="380" w:lineRule="exact"/>
              <w:rPr>
                <w:rFonts w:hint="eastAsia" w:ascii="宋体" w:hAnsi="宋体" w:eastAsia="宋体" w:cs="Times New Roman"/>
                <w:b/>
                <w:kern w:val="2"/>
                <w:sz w:val="24"/>
                <w:szCs w:val="24"/>
                <w:lang w:val="en-US" w:eastAsia="zh-CN" w:bidi="ar-SA"/>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9.1</w:t>
            </w:r>
          </w:p>
        </w:tc>
        <w:tc>
          <w:tcPr>
            <w:tcW w:w="7461" w:type="dxa"/>
            <w:vAlign w:val="center"/>
          </w:tcPr>
          <w:p>
            <w:pPr>
              <w:spacing w:line="380" w:lineRule="exact"/>
              <w:rPr>
                <w:rFonts w:hint="eastAsia" w:ascii="宋体" w:hAnsi="宋体" w:eastAsia="宋体" w:cs="Times New Roman"/>
                <w:kern w:val="2"/>
                <w:sz w:val="24"/>
                <w:szCs w:val="24"/>
                <w:lang w:val="en-US" w:eastAsia="zh-CN" w:bidi="ar-SA"/>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9.2</w:t>
            </w:r>
          </w:p>
        </w:tc>
        <w:tc>
          <w:tcPr>
            <w:tcW w:w="7461" w:type="dxa"/>
            <w:vAlign w:val="center"/>
          </w:tcPr>
          <w:p>
            <w:pPr>
              <w:spacing w:line="380" w:lineRule="exact"/>
              <w:rPr>
                <w:rFonts w:hint="eastAsia" w:ascii="Calibri" w:hAnsi="宋体" w:eastAsia="宋体" w:cs="Times New Roman"/>
                <w:bCs/>
                <w:kern w:val="2"/>
                <w:sz w:val="24"/>
                <w:szCs w:val="24"/>
                <w:lang w:val="en-US" w:eastAsia="zh-CN" w:bidi="ar-SA"/>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b/>
                <w:kern w:val="0"/>
                <w:sz w:val="28"/>
                <w:szCs w:val="28"/>
                <w:lang w:val="en-US" w:eastAsia="zh-CN"/>
              </w:rPr>
              <w:t>10</w:t>
            </w:r>
          </w:p>
        </w:tc>
        <w:tc>
          <w:tcPr>
            <w:tcW w:w="7461" w:type="dxa"/>
            <w:vAlign w:val="center"/>
          </w:tcPr>
          <w:p>
            <w:pPr>
              <w:spacing w:line="380" w:lineRule="exact"/>
              <w:rPr>
                <w:rFonts w:hint="eastAsia" w:ascii="宋体" w:hAnsi="宋体" w:eastAsia="宋体"/>
                <w:sz w:val="24"/>
                <w:lang w:val="en-US" w:eastAsia="zh-CN"/>
              </w:rPr>
            </w:pPr>
            <w:r>
              <w:rPr>
                <w:rFonts w:hint="eastAsia" w:ascii="宋体" w:hAnsi="宋体" w:cs="宋体"/>
                <w:b/>
                <w:kern w:val="0"/>
                <w:sz w:val="24"/>
                <w:lang w:val="en-US" w:eastAsia="zh-CN"/>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10.1</w:t>
            </w:r>
          </w:p>
        </w:tc>
        <w:tc>
          <w:tcPr>
            <w:tcW w:w="7461" w:type="dxa"/>
            <w:vAlign w:val="center"/>
          </w:tcPr>
          <w:p>
            <w:pPr>
              <w:spacing w:line="380" w:lineRule="exact"/>
              <w:rPr>
                <w:rFonts w:hint="eastAsia" w:ascii="Calibri" w:hAnsi="宋体" w:eastAsia="宋体" w:cs="Times New Roman"/>
                <w:bCs/>
                <w:sz w:val="24"/>
              </w:rPr>
            </w:pPr>
            <w:r>
              <w:rPr>
                <w:rFonts w:hint="eastAsia" w:ascii="Calibri" w:hAnsi="宋体" w:eastAsia="宋体" w:cs="Times New Roman"/>
                <w:bCs/>
                <w:sz w:val="24"/>
                <w:lang w:val="en-US" w:eastAsia="zh-CN"/>
              </w:rPr>
              <w:t>1）</w:t>
            </w:r>
            <w:r>
              <w:rPr>
                <w:rFonts w:hint="eastAsia" w:ascii="Calibri" w:hAnsi="宋体" w:eastAsia="宋体" w:cs="Times New Roman"/>
                <w:bCs/>
                <w:sz w:val="24"/>
              </w:rPr>
              <w:t>签订合同时，供应商应向采购人</w:t>
            </w:r>
            <w:r>
              <w:rPr>
                <w:rFonts w:hint="eastAsia" w:ascii="Calibri" w:hAnsi="宋体" w:eastAsia="宋体" w:cs="Times New Roman"/>
                <w:bCs/>
                <w:sz w:val="24"/>
                <w:lang w:val="en-US" w:eastAsia="zh-CN"/>
              </w:rPr>
              <w:t>支付</w:t>
            </w:r>
            <w:r>
              <w:rPr>
                <w:rFonts w:hint="eastAsia" w:ascii="Calibri" w:hAnsi="宋体" w:eastAsia="宋体" w:cs="Times New Roman"/>
                <w:bCs/>
                <w:sz w:val="24"/>
              </w:rPr>
              <w:t>预付款保函。采购人在收到预付款保函、合同生效且项目具备实施条件后支付合同金额的40%作为预付款；货物安装验收合格后付清余款。（适用中小企业投标）</w:t>
            </w:r>
          </w:p>
          <w:p>
            <w:pPr>
              <w:spacing w:line="380" w:lineRule="exact"/>
              <w:rPr>
                <w:rFonts w:hint="eastAsia" w:ascii="Calibri" w:hAnsi="宋体" w:eastAsia="宋体" w:cs="Times New Roman"/>
                <w:bCs/>
                <w:sz w:val="24"/>
              </w:rPr>
            </w:pPr>
            <w:r>
              <w:rPr>
                <w:rFonts w:hint="eastAsia" w:ascii="Calibri" w:hAnsi="宋体" w:eastAsia="宋体" w:cs="Times New Roman"/>
                <w:bCs/>
                <w:sz w:val="24"/>
                <w:lang w:val="en-US" w:eastAsia="zh-CN"/>
              </w:rPr>
              <w:t>2）合同生效且项目具备实施条件后，采购人</w:t>
            </w:r>
            <w:r>
              <w:rPr>
                <w:rFonts w:hint="eastAsia" w:ascii="Calibri" w:hAnsi="宋体" w:eastAsia="宋体" w:cs="Times New Roman"/>
                <w:bCs/>
                <w:sz w:val="24"/>
              </w:rPr>
              <w:t>支付合同金额的40%作为预付款；货物安装验收合格后付清余款。（适用中小企业投标）</w:t>
            </w:r>
          </w:p>
          <w:p>
            <w:pPr>
              <w:spacing w:line="380" w:lineRule="exact"/>
              <w:rPr>
                <w:rFonts w:hint="eastAsia" w:ascii="宋体" w:hAnsi="宋体"/>
                <w:sz w:val="24"/>
              </w:rPr>
            </w:pPr>
            <w:r>
              <w:rPr>
                <w:rFonts w:hint="eastAsia" w:ascii="Calibri" w:hAnsi="宋体" w:eastAsia="宋体" w:cs="Times New Roman"/>
                <w:bCs/>
                <w:sz w:val="24"/>
                <w:lang w:val="en-US" w:eastAsia="zh-CN"/>
              </w:rPr>
              <w:t>3）</w:t>
            </w:r>
            <w:r>
              <w:rPr>
                <w:rFonts w:hint="eastAsia" w:ascii="Calibri" w:hAnsi="宋体" w:eastAsia="宋体" w:cs="Times New Roman"/>
                <w:bCs/>
                <w:sz w:val="24"/>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10.2</w:t>
            </w:r>
          </w:p>
        </w:tc>
        <w:tc>
          <w:tcPr>
            <w:tcW w:w="7461" w:type="dxa"/>
            <w:vAlign w:val="center"/>
          </w:tcPr>
          <w:p>
            <w:pPr>
              <w:widowControl/>
              <w:spacing w:before="100" w:beforeAutospacing="1" w:after="100" w:afterAutospacing="1"/>
              <w:rPr>
                <w:rFonts w:hint="eastAsia" w:ascii="宋体" w:hAnsi="宋体" w:eastAsia="宋体" w:cs="Times New Roman"/>
                <w:b/>
                <w:kern w:val="2"/>
                <w:sz w:val="24"/>
                <w:szCs w:val="24"/>
                <w:lang w:val="en-US" w:eastAsia="zh-CN" w:bidi="ar-SA"/>
              </w:rPr>
            </w:pPr>
            <w:r>
              <w:rPr>
                <w:rFonts w:hint="eastAsia" w:ascii="宋体" w:hAnsi="宋体" w:eastAsia="宋体" w:cs="宋体"/>
                <w:sz w:val="24"/>
                <w:lang w:val="en-US" w:eastAsia="zh-CN"/>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10.3</w:t>
            </w:r>
          </w:p>
        </w:tc>
        <w:tc>
          <w:tcPr>
            <w:tcW w:w="7461" w:type="dxa"/>
            <w:vAlign w:val="center"/>
          </w:tcPr>
          <w:p>
            <w:pPr>
              <w:numPr>
                <w:ilvl w:val="0"/>
                <w:numId w:val="0"/>
              </w:numPr>
              <w:rPr>
                <w:rFonts w:hint="default" w:ascii="宋体" w:hAnsi="宋体" w:eastAsia="宋体" w:cs="宋体"/>
                <w:sz w:val="24"/>
                <w:lang w:val="en-US" w:eastAsia="zh-CN"/>
              </w:rPr>
            </w:pPr>
            <w:r>
              <w:rPr>
                <w:rFonts w:hint="eastAsia" w:ascii="宋体" w:hAnsi="宋体" w:eastAsia="宋体" w:cs="宋体"/>
                <w:sz w:val="24"/>
                <w:lang w:val="en-US" w:eastAsia="zh-CN"/>
              </w:rPr>
              <w:t>1）本项目不需要履约保证金。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b/>
                <w:kern w:val="0"/>
                <w:sz w:val="28"/>
                <w:szCs w:val="28"/>
                <w:lang w:val="en-US" w:eastAsia="zh-CN"/>
              </w:rPr>
            </w:pPr>
            <w:r>
              <w:rPr>
                <w:rFonts w:hint="eastAsia" w:ascii="宋体" w:hAnsi="宋体" w:cs="宋体"/>
                <w:kern w:val="0"/>
                <w:sz w:val="24"/>
                <w:lang w:val="en-US" w:eastAsia="zh-CN"/>
              </w:rPr>
              <w:t>10.4</w:t>
            </w:r>
          </w:p>
        </w:tc>
        <w:tc>
          <w:tcPr>
            <w:tcW w:w="7461" w:type="dxa"/>
            <w:vAlign w:val="center"/>
          </w:tcPr>
          <w:p>
            <w:pPr>
              <w:widowControl/>
              <w:spacing w:before="100" w:beforeAutospacing="1" w:after="100" w:afterAutospacing="1"/>
              <w:rPr>
                <w:rFonts w:hint="eastAsia" w:ascii="宋体" w:hAnsi="宋体" w:eastAsia="宋体" w:cs="宋体"/>
                <w:b/>
                <w:color w:val="000000"/>
                <w:kern w:val="0"/>
                <w:sz w:val="24"/>
                <w:lang w:eastAsia="zh-CN"/>
              </w:rPr>
            </w:pPr>
            <w:r>
              <w:rPr>
                <w:rFonts w:hint="eastAsia" w:ascii="宋体" w:hAnsi="宋体" w:eastAsia="宋体" w:cs="宋体"/>
                <w:b/>
                <w:bCs/>
                <w:color w:val="000000" w:themeColor="text1"/>
                <w:sz w:val="24"/>
                <w:szCs w:val="24"/>
                <w:lang w:bidi="ar"/>
                <w14:textFill>
                  <w14:solidFill>
                    <w14:schemeClr w14:val="tx1"/>
                  </w14:solidFill>
                </w14:textFill>
              </w:rPr>
              <w:t>中标公司跟各</w:t>
            </w:r>
            <w:r>
              <w:rPr>
                <w:rFonts w:hint="eastAsia" w:ascii="宋体" w:hAnsi="宋体" w:eastAsia="宋体" w:cs="宋体"/>
                <w:b/>
                <w:bCs/>
                <w:color w:val="000000" w:themeColor="text1"/>
                <w:sz w:val="24"/>
                <w:szCs w:val="24"/>
                <w:lang w:eastAsia="zh-CN" w:bidi="ar"/>
                <w14:textFill>
                  <w14:solidFill>
                    <w14:schemeClr w14:val="tx1"/>
                  </w14:solidFill>
                </w14:textFill>
              </w:rPr>
              <w:t>医院</w:t>
            </w:r>
            <w:r>
              <w:rPr>
                <w:rFonts w:hint="eastAsia" w:ascii="宋体" w:hAnsi="宋体" w:eastAsia="宋体" w:cs="宋体"/>
                <w:b/>
                <w:bCs/>
                <w:color w:val="000000" w:themeColor="text1"/>
                <w:sz w:val="24"/>
                <w:szCs w:val="24"/>
                <w:lang w:bidi="ar"/>
                <w14:textFill>
                  <w14:solidFill>
                    <w14:schemeClr w14:val="tx1"/>
                  </w14:solidFill>
                </w14:textFill>
              </w:rPr>
              <w:t>签订合同后，各</w:t>
            </w:r>
            <w:r>
              <w:rPr>
                <w:rFonts w:hint="eastAsia" w:ascii="宋体" w:hAnsi="宋体" w:eastAsia="宋体" w:cs="宋体"/>
                <w:b/>
                <w:bCs/>
                <w:color w:val="000000" w:themeColor="text1"/>
                <w:sz w:val="24"/>
                <w:szCs w:val="24"/>
                <w:lang w:eastAsia="zh-CN" w:bidi="ar"/>
                <w14:textFill>
                  <w14:solidFill>
                    <w14:schemeClr w14:val="tx1"/>
                  </w14:solidFill>
                </w14:textFill>
              </w:rPr>
              <w:t>医院</w:t>
            </w:r>
            <w:r>
              <w:rPr>
                <w:rFonts w:hint="eastAsia" w:ascii="宋体" w:hAnsi="宋体" w:eastAsia="宋体" w:cs="宋体"/>
                <w:b/>
                <w:bCs/>
                <w:color w:val="000000" w:themeColor="text1"/>
                <w:sz w:val="24"/>
                <w:szCs w:val="24"/>
                <w:lang w:bidi="ar"/>
                <w14:textFill>
                  <w14:solidFill>
                    <w14:schemeClr w14:val="tx1"/>
                  </w14:solidFill>
                </w14:textFill>
              </w:rPr>
              <w:t>自行向中标公司支付</w:t>
            </w:r>
            <w:r>
              <w:rPr>
                <w:rFonts w:hint="eastAsia" w:ascii="宋体" w:hAnsi="宋体" w:eastAsia="宋体" w:cs="宋体"/>
                <w:b/>
                <w:bCs/>
                <w:color w:val="000000" w:themeColor="text1"/>
                <w:sz w:val="24"/>
                <w:szCs w:val="24"/>
                <w:lang w:eastAsia="zh-CN" w:bidi="ar"/>
                <w14:textFill>
                  <w14:solidFill>
                    <w14:schemeClr w14:val="tx1"/>
                  </w14:solidFill>
                </w14:textFill>
              </w:rPr>
              <w:t>相关</w:t>
            </w:r>
            <w:r>
              <w:rPr>
                <w:rFonts w:hint="eastAsia" w:ascii="宋体" w:hAnsi="宋体" w:eastAsia="宋体" w:cs="宋体"/>
                <w:b/>
                <w:bCs/>
                <w:color w:val="000000" w:themeColor="text1"/>
                <w:sz w:val="24"/>
                <w:szCs w:val="24"/>
                <w:lang w:bidi="ar"/>
                <w14:textFill>
                  <w14:solidFill>
                    <w14:schemeClr w14:val="tx1"/>
                  </w14:solidFill>
                </w14:textFill>
              </w:rPr>
              <w:t>费用</w:t>
            </w:r>
            <w:r>
              <w:rPr>
                <w:rFonts w:hint="eastAsia" w:ascii="宋体" w:hAnsi="宋体" w:eastAsia="宋体" w:cs="宋体"/>
                <w:b/>
                <w:bCs/>
                <w:color w:val="000000" w:themeColor="text1"/>
                <w:sz w:val="24"/>
                <w:szCs w:val="24"/>
                <w:lang w:eastAsia="zh-CN" w:bidi="ar"/>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b/>
                <w:kern w:val="0"/>
                <w:sz w:val="28"/>
                <w:szCs w:val="28"/>
                <w:lang w:val="en-US" w:eastAsia="zh-CN"/>
              </w:rPr>
              <w:t>11</w:t>
            </w:r>
          </w:p>
        </w:tc>
        <w:tc>
          <w:tcPr>
            <w:tcW w:w="7461" w:type="dxa"/>
            <w:vAlign w:val="center"/>
          </w:tcPr>
          <w:p>
            <w:pPr>
              <w:widowControl/>
              <w:spacing w:before="100" w:beforeAutospacing="1" w:after="100" w:afterAutospacing="1"/>
              <w:rPr>
                <w:rFonts w:hint="eastAsia" w:ascii="宋体" w:hAnsi="宋体" w:eastAsia="宋体" w:cs="Times New Roman"/>
                <w:b/>
                <w:kern w:val="2"/>
                <w:sz w:val="24"/>
                <w:szCs w:val="24"/>
                <w:lang w:val="en-US" w:eastAsia="zh-CN" w:bidi="ar-SA"/>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b/>
                <w:color w:val="auto"/>
                <w:sz w:val="28"/>
                <w:szCs w:val="28"/>
                <w:u w:val="none"/>
                <w:lang w:val="en-US" w:eastAsia="zh-CN"/>
              </w:rPr>
              <w:t>★</w:t>
            </w:r>
            <w:r>
              <w:rPr>
                <w:rFonts w:hint="eastAsia" w:ascii="宋体" w:hAnsi="宋体" w:cs="宋体"/>
                <w:kern w:val="0"/>
                <w:sz w:val="24"/>
                <w:lang w:val="en-US" w:eastAsia="zh-CN"/>
              </w:rPr>
              <w:t>11.1</w:t>
            </w:r>
          </w:p>
        </w:tc>
        <w:tc>
          <w:tcPr>
            <w:tcW w:w="7461" w:type="dxa"/>
            <w:vAlign w:val="center"/>
          </w:tcPr>
          <w:p>
            <w:pPr>
              <w:widowControl/>
              <w:spacing w:before="100" w:beforeAutospacing="1" w:after="100" w:afterAutospacing="1"/>
              <w:rPr>
                <w:rFonts w:hint="default" w:ascii="宋体" w:hAnsi="宋体" w:eastAsia="宋体" w:cs="Times New Roman"/>
                <w:kern w:val="2"/>
                <w:sz w:val="24"/>
                <w:szCs w:val="24"/>
                <w:lang w:val="en-US" w:eastAsia="zh-CN" w:bidi="ar-SA"/>
              </w:rPr>
            </w:pPr>
            <w:r>
              <w:rPr>
                <w:rFonts w:hint="eastAsia" w:ascii="宋体" w:hAnsi="宋体"/>
                <w:sz w:val="24"/>
              </w:rPr>
              <w:t>若设备有信息系统接口，则全部免费开放</w:t>
            </w:r>
            <w:r>
              <w:rPr>
                <w:rFonts w:hint="eastAsia" w:ascii="宋体" w:hAnsi="宋体"/>
                <w:sz w:val="24"/>
                <w:lang w:eastAsia="zh-CN"/>
              </w:rPr>
              <w:t>，</w:t>
            </w:r>
            <w:r>
              <w:rPr>
                <w:rFonts w:hint="eastAsia" w:ascii="宋体" w:hAnsi="宋体"/>
                <w:sz w:val="24"/>
                <w:lang w:val="en-US" w:eastAsia="zh-CN"/>
              </w:rPr>
              <w:t>并无条件配合采购人将原有设备全部免费接入信息管理网络系统。后续购买的设备不得超过招标价，接入系统不得收取端口费，如后续购买其他品牌的设备，接入系统端口费用不得超过2000元。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4"/>
                <w:lang w:val="en-US" w:eastAsia="zh-CN"/>
              </w:rPr>
            </w:pPr>
            <w:r>
              <w:rPr>
                <w:rFonts w:hint="eastAsia" w:ascii="宋体" w:hAnsi="宋体" w:cs="宋体"/>
                <w:kern w:val="0"/>
                <w:sz w:val="24"/>
                <w:lang w:val="en-US" w:eastAsia="zh-CN"/>
              </w:rPr>
              <w:t>11.2</w:t>
            </w:r>
          </w:p>
        </w:tc>
        <w:tc>
          <w:tcPr>
            <w:tcW w:w="7461" w:type="dxa"/>
            <w:vAlign w:val="center"/>
          </w:tcPr>
          <w:p>
            <w:pPr>
              <w:widowControl/>
              <w:spacing w:before="100" w:beforeAutospacing="1" w:after="100" w:afterAutospacing="1"/>
              <w:rPr>
                <w:rFonts w:hint="eastAsia" w:ascii="宋体" w:hAnsi="宋体" w:eastAsia="宋体"/>
                <w:sz w:val="24"/>
                <w:lang w:val="en-US" w:eastAsia="zh-CN"/>
              </w:rPr>
            </w:pPr>
            <w:r>
              <w:rPr>
                <w:rFonts w:hint="eastAsia" w:ascii="宋体" w:hAnsi="宋体"/>
                <w:sz w:val="24"/>
                <w:lang w:val="en-US" w:eastAsia="zh-CN"/>
              </w:rPr>
              <w:t>采购文件</w:t>
            </w:r>
            <w:r>
              <w:rPr>
                <w:rFonts w:hint="eastAsia" w:ascii="宋体" w:hAnsi="宋体"/>
                <w:sz w:val="24"/>
              </w:rPr>
              <w:t>中未提及的某些属标配的功能、软件，必须无条件提供</w:t>
            </w:r>
            <w:r>
              <w:rPr>
                <w:rFonts w:hint="eastAsia" w:ascii="宋体" w:hAnsi="宋体"/>
                <w:sz w:val="24"/>
                <w:lang w:eastAsia="zh-CN"/>
              </w:rPr>
              <w:t>。</w:t>
            </w:r>
          </w:p>
        </w:tc>
      </w:tr>
    </w:tbl>
    <w:p>
      <w:pPr>
        <w:rPr>
          <w:rFonts w:hint="eastAsia" w:ascii="宋体" w:hAnsi="宋体" w:eastAsia="宋体" w:cs="宋体"/>
          <w:b w:val="0"/>
          <w:bCs w:val="0"/>
          <w:kern w:val="2"/>
          <w:sz w:val="28"/>
          <w:szCs w:val="28"/>
          <w:lang w:val="en-US" w:eastAsia="zh-CN" w:bidi="ar-SA"/>
        </w:rPr>
      </w:pPr>
    </w:p>
    <w:p>
      <w:pPr>
        <w:numPr>
          <w:ilvl w:val="0"/>
          <w:numId w:val="0"/>
        </w:numPr>
        <w:spacing w:line="360" w:lineRule="auto"/>
        <w:ind w:leftChars="0"/>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五、其他要求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1、带“★”号项为实质性响应要求，如不满足将作无效投标处理。</w:t>
      </w:r>
      <w:r>
        <w:rPr>
          <w:rFonts w:hint="eastAsia" w:ascii="宋体" w:hAnsi="宋体" w:eastAsia="宋体" w:cs="宋体"/>
          <w:sz w:val="24"/>
          <w:lang w:val="en-US" w:eastAsia="zh-CN"/>
        </w:rPr>
        <w:t>针对带</w:t>
      </w:r>
      <w:r>
        <w:rPr>
          <w:rFonts w:hint="eastAsia" w:ascii="宋体" w:hAnsi="宋体" w:eastAsia="宋体" w:cs="宋体"/>
          <w:sz w:val="24"/>
        </w:rPr>
        <w:t>“★”号</w:t>
      </w:r>
      <w:r>
        <w:rPr>
          <w:rFonts w:hint="eastAsia" w:ascii="宋体" w:hAnsi="宋体" w:eastAsia="宋体" w:cs="宋体"/>
          <w:sz w:val="24"/>
          <w:lang w:val="en-US" w:eastAsia="zh-CN"/>
        </w:rPr>
        <w:t>技术参数要求，供应商需提供充分的证明材料，未提供充分证明材料的，评审委员会有权视为不满足采购文件要求。证明材料可以是以下四项中任一项</w:t>
      </w:r>
      <w:r>
        <w:rPr>
          <w:rFonts w:hint="eastAsia" w:ascii="宋体" w:hAnsi="宋体" w:cs="宋体"/>
          <w:sz w:val="24"/>
          <w:lang w:val="en-US" w:eastAsia="zh-CN"/>
        </w:rPr>
        <w:t>（技术参数要求中有特别注明要求的除外）</w:t>
      </w:r>
      <w:r>
        <w:rPr>
          <w:rFonts w:hint="eastAsia" w:ascii="宋体" w:hAnsi="宋体" w:eastAsia="宋体" w:cs="宋体"/>
          <w:sz w:val="24"/>
          <w:lang w:val="en-US" w:eastAsia="zh-CN"/>
        </w:rPr>
        <w:t>：</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1）生产制造商公开对外宣传的带有响应技术参数或功能的产品彩页，为响应而临时打印的无效。</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2）加盖生产制造商公章的技术白皮书。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3）可在生产制造商官网查询到的产品技术参数或功能，需提供官网截图和网址等信息。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4）评审委员会认可的其他有效证明（包括但不限于国务院认证认可监督管理部门会同国务院药品监督管理部门认定的第三方检测机构出具的检测报告、加盖生产制造商的证明材料等）。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2、针对</w:t>
      </w:r>
      <w:r>
        <w:rPr>
          <w:rFonts w:hint="eastAsia" w:ascii="宋体" w:hAnsi="宋体" w:eastAsia="宋体" w:cs="宋体"/>
          <w:sz w:val="24"/>
        </w:rPr>
        <w:t>“★”</w:t>
      </w:r>
      <w:r>
        <w:rPr>
          <w:rFonts w:hint="eastAsia" w:ascii="宋体" w:hAnsi="宋体" w:eastAsia="宋体" w:cs="宋体"/>
          <w:sz w:val="24"/>
          <w:lang w:val="en-US" w:eastAsia="zh-CN"/>
        </w:rPr>
        <w:t>提供满足技术参数的佐证资料并在偏离表中标明佐证资料页码。</w:t>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271"/>
      <w:bookmarkEnd w:id="26"/>
      <w:bookmarkStart w:id="27" w:name="_Toc184312074"/>
      <w:bookmarkEnd w:id="27"/>
      <w:bookmarkStart w:id="28" w:name="_Toc184312067"/>
      <w:bookmarkEnd w:id="28"/>
      <w:bookmarkStart w:id="29" w:name="_Toc184310282"/>
      <w:bookmarkEnd w:id="29"/>
      <w:bookmarkStart w:id="30" w:name="_Toc184313253"/>
      <w:bookmarkEnd w:id="30"/>
      <w:bookmarkStart w:id="31" w:name="_Toc184313272"/>
      <w:bookmarkEnd w:id="31"/>
      <w:bookmarkStart w:id="32" w:name="_Toc184312099"/>
      <w:bookmarkEnd w:id="32"/>
      <w:bookmarkStart w:id="33" w:name="_Toc184312081"/>
      <w:bookmarkEnd w:id="33"/>
      <w:bookmarkStart w:id="34" w:name="_Toc184312094"/>
      <w:bookmarkEnd w:id="34"/>
      <w:bookmarkStart w:id="35" w:name="_Toc184314428"/>
      <w:bookmarkEnd w:id="35"/>
      <w:bookmarkStart w:id="36" w:name="_Toc184313288"/>
      <w:bookmarkEnd w:id="36"/>
      <w:bookmarkStart w:id="37" w:name="_Toc184312134"/>
      <w:bookmarkEnd w:id="37"/>
      <w:bookmarkStart w:id="38" w:name="_Toc184308072"/>
      <w:bookmarkEnd w:id="38"/>
      <w:bookmarkStart w:id="39" w:name="_Toc184312082"/>
      <w:bookmarkEnd w:id="39"/>
      <w:bookmarkStart w:id="40" w:name="_Toc184313248"/>
      <w:bookmarkEnd w:id="40"/>
      <w:bookmarkStart w:id="41" w:name="_Toc184308069"/>
      <w:bookmarkEnd w:id="41"/>
      <w:bookmarkStart w:id="42" w:name="_Toc184314420"/>
      <w:bookmarkEnd w:id="42"/>
      <w:bookmarkStart w:id="43" w:name="_Toc184310323"/>
      <w:bookmarkEnd w:id="43"/>
      <w:bookmarkStart w:id="44" w:name="_Toc184314413"/>
      <w:bookmarkEnd w:id="44"/>
      <w:bookmarkStart w:id="45" w:name="_Toc184308041"/>
      <w:bookmarkEnd w:id="45"/>
      <w:bookmarkStart w:id="46" w:name="_Toc184312128"/>
      <w:bookmarkEnd w:id="46"/>
      <w:bookmarkStart w:id="47" w:name="_Toc184310297"/>
      <w:bookmarkEnd w:id="47"/>
      <w:bookmarkStart w:id="48" w:name="_Toc184313298"/>
      <w:bookmarkEnd w:id="48"/>
      <w:bookmarkStart w:id="49" w:name="_Toc184313258"/>
      <w:bookmarkEnd w:id="49"/>
      <w:bookmarkStart w:id="50" w:name="_Toc184308086"/>
      <w:bookmarkEnd w:id="50"/>
      <w:bookmarkStart w:id="51" w:name="_Toc184312131"/>
      <w:bookmarkEnd w:id="51"/>
      <w:bookmarkStart w:id="52" w:name="_Toc184310285"/>
      <w:bookmarkEnd w:id="52"/>
      <w:bookmarkStart w:id="53" w:name="_Toc184313252"/>
      <w:bookmarkEnd w:id="53"/>
      <w:bookmarkStart w:id="54" w:name="_Toc184313270"/>
      <w:bookmarkEnd w:id="54"/>
      <w:bookmarkStart w:id="55" w:name="_Toc184308107"/>
      <w:bookmarkEnd w:id="55"/>
      <w:bookmarkStart w:id="56" w:name="_Toc184313299"/>
      <w:bookmarkEnd w:id="56"/>
      <w:bookmarkStart w:id="57" w:name="_Toc184308108"/>
      <w:bookmarkEnd w:id="57"/>
      <w:bookmarkStart w:id="58" w:name="_Toc184313239"/>
      <w:bookmarkEnd w:id="58"/>
      <w:bookmarkStart w:id="59" w:name="_Toc184312078"/>
      <w:bookmarkEnd w:id="59"/>
      <w:bookmarkStart w:id="60" w:name="_Toc184314464"/>
      <w:bookmarkEnd w:id="60"/>
      <w:bookmarkStart w:id="61" w:name="_Toc184310316"/>
      <w:bookmarkEnd w:id="61"/>
      <w:bookmarkStart w:id="62" w:name="_Toc184314451"/>
      <w:bookmarkEnd w:id="62"/>
      <w:bookmarkStart w:id="63" w:name="_Toc184313309"/>
      <w:bookmarkEnd w:id="63"/>
      <w:bookmarkStart w:id="64" w:name="_Toc184308100"/>
      <w:bookmarkEnd w:id="64"/>
      <w:bookmarkStart w:id="65" w:name="_Toc184310308"/>
      <w:bookmarkEnd w:id="65"/>
      <w:bookmarkStart w:id="66" w:name="_Toc184312098"/>
      <w:bookmarkEnd w:id="66"/>
      <w:bookmarkStart w:id="67" w:name="_Toc184313238"/>
      <w:bookmarkEnd w:id="67"/>
      <w:bookmarkStart w:id="68" w:name="_Toc184314432"/>
      <w:bookmarkEnd w:id="68"/>
      <w:bookmarkStart w:id="69" w:name="_Toc184312106"/>
      <w:bookmarkEnd w:id="69"/>
      <w:bookmarkStart w:id="70" w:name="_Toc184310322"/>
      <w:bookmarkEnd w:id="70"/>
      <w:bookmarkStart w:id="71" w:name="_Toc184308063"/>
      <w:bookmarkEnd w:id="71"/>
      <w:bookmarkStart w:id="72" w:name="_Toc184314474"/>
      <w:bookmarkEnd w:id="72"/>
      <w:bookmarkStart w:id="73" w:name="_Toc184310281"/>
      <w:bookmarkEnd w:id="73"/>
      <w:bookmarkStart w:id="74" w:name="_Toc184308051"/>
      <w:bookmarkEnd w:id="74"/>
      <w:bookmarkStart w:id="75" w:name="_Toc184308088"/>
      <w:bookmarkEnd w:id="75"/>
      <w:bookmarkStart w:id="76" w:name="_Toc184314419"/>
      <w:bookmarkEnd w:id="76"/>
      <w:bookmarkStart w:id="77" w:name="_Toc184313261"/>
      <w:bookmarkEnd w:id="77"/>
      <w:bookmarkStart w:id="78" w:name="_Toc184314455"/>
      <w:bookmarkEnd w:id="78"/>
      <w:bookmarkStart w:id="79" w:name="_Toc184314463"/>
      <w:bookmarkEnd w:id="79"/>
      <w:bookmarkStart w:id="80" w:name="_Toc184310332"/>
      <w:bookmarkEnd w:id="80"/>
      <w:bookmarkStart w:id="81" w:name="_Toc184314410"/>
      <w:bookmarkEnd w:id="81"/>
      <w:bookmarkStart w:id="82" w:name="_Toc184313303"/>
      <w:bookmarkEnd w:id="82"/>
      <w:bookmarkStart w:id="83" w:name="_Toc184312108"/>
      <w:bookmarkEnd w:id="83"/>
      <w:bookmarkStart w:id="84" w:name="_Toc184310275"/>
      <w:bookmarkEnd w:id="84"/>
      <w:bookmarkStart w:id="85" w:name="_Toc184310336"/>
      <w:bookmarkEnd w:id="85"/>
      <w:bookmarkStart w:id="86" w:name="_Toc184312109"/>
      <w:bookmarkEnd w:id="86"/>
      <w:bookmarkStart w:id="87" w:name="_Toc184313249"/>
      <w:bookmarkEnd w:id="87"/>
      <w:bookmarkStart w:id="88" w:name="_Toc184314422"/>
      <w:bookmarkEnd w:id="88"/>
      <w:bookmarkStart w:id="89" w:name="_Toc184308043"/>
      <w:bookmarkEnd w:id="89"/>
      <w:bookmarkStart w:id="90" w:name="_Toc184312120"/>
      <w:bookmarkEnd w:id="90"/>
      <w:bookmarkStart w:id="91" w:name="_Toc184314457"/>
      <w:bookmarkEnd w:id="91"/>
      <w:bookmarkStart w:id="92" w:name="_Toc184308067"/>
      <w:bookmarkEnd w:id="92"/>
      <w:bookmarkStart w:id="93" w:name="_Toc184314440"/>
      <w:bookmarkEnd w:id="93"/>
      <w:bookmarkStart w:id="94" w:name="_Toc184313263"/>
      <w:bookmarkEnd w:id="94"/>
      <w:bookmarkStart w:id="95" w:name="_Toc184314482"/>
      <w:bookmarkEnd w:id="95"/>
      <w:bookmarkStart w:id="96" w:name="_Toc184312070"/>
      <w:bookmarkEnd w:id="96"/>
      <w:bookmarkStart w:id="97" w:name="_Toc184310342"/>
      <w:bookmarkEnd w:id="97"/>
      <w:bookmarkStart w:id="98" w:name="_Toc184313310"/>
      <w:bookmarkEnd w:id="98"/>
      <w:bookmarkStart w:id="99" w:name="_Toc184313277"/>
      <w:bookmarkEnd w:id="99"/>
      <w:bookmarkStart w:id="100" w:name="_Toc184313257"/>
      <w:bookmarkEnd w:id="100"/>
      <w:bookmarkStart w:id="101" w:name="_Toc184310283"/>
      <w:bookmarkEnd w:id="101"/>
      <w:bookmarkStart w:id="102" w:name="_Toc184313283"/>
      <w:bookmarkEnd w:id="102"/>
      <w:bookmarkStart w:id="103" w:name="_Toc184310293"/>
      <w:bookmarkEnd w:id="103"/>
      <w:bookmarkStart w:id="104" w:name="_Toc184310319"/>
      <w:bookmarkEnd w:id="104"/>
      <w:bookmarkStart w:id="105" w:name="_Toc184312117"/>
      <w:bookmarkEnd w:id="105"/>
      <w:bookmarkStart w:id="106" w:name="_Toc184312085"/>
      <w:bookmarkEnd w:id="106"/>
      <w:bookmarkStart w:id="107" w:name="_Toc184310328"/>
      <w:bookmarkEnd w:id="107"/>
      <w:bookmarkStart w:id="108" w:name="_Toc184313280"/>
      <w:bookmarkEnd w:id="108"/>
      <w:bookmarkStart w:id="109" w:name="_Toc184313250"/>
      <w:bookmarkEnd w:id="109"/>
      <w:bookmarkStart w:id="110" w:name="_Toc184314411"/>
      <w:bookmarkEnd w:id="110"/>
      <w:bookmarkStart w:id="111" w:name="_Toc184312123"/>
      <w:bookmarkEnd w:id="111"/>
      <w:bookmarkStart w:id="112" w:name="_Toc184313295"/>
      <w:bookmarkEnd w:id="112"/>
      <w:bookmarkStart w:id="113" w:name="_Toc184314466"/>
      <w:bookmarkEnd w:id="113"/>
      <w:bookmarkStart w:id="114" w:name="_Toc184310298"/>
      <w:bookmarkEnd w:id="114"/>
      <w:bookmarkStart w:id="115" w:name="_Toc184314416"/>
      <w:bookmarkEnd w:id="115"/>
      <w:bookmarkStart w:id="116" w:name="_Toc184308061"/>
      <w:bookmarkEnd w:id="116"/>
      <w:bookmarkStart w:id="117" w:name="_Toc184313292"/>
      <w:bookmarkEnd w:id="117"/>
      <w:bookmarkStart w:id="118" w:name="_Toc184314441"/>
      <w:bookmarkEnd w:id="118"/>
      <w:bookmarkStart w:id="119" w:name="_Toc184314462"/>
      <w:bookmarkEnd w:id="119"/>
      <w:bookmarkStart w:id="120" w:name="_Toc184308092"/>
      <w:bookmarkEnd w:id="120"/>
      <w:bookmarkStart w:id="121" w:name="_Toc184310327"/>
      <w:bookmarkEnd w:id="121"/>
      <w:bookmarkStart w:id="122" w:name="_Toc184310312"/>
      <w:bookmarkEnd w:id="122"/>
      <w:bookmarkStart w:id="123" w:name="_Toc184308036"/>
      <w:bookmarkEnd w:id="123"/>
      <w:bookmarkStart w:id="124" w:name="_Toc184314461"/>
      <w:bookmarkEnd w:id="124"/>
      <w:bookmarkStart w:id="125" w:name="_Toc184310294"/>
      <w:bookmarkEnd w:id="125"/>
      <w:bookmarkStart w:id="126" w:name="_Toc184313241"/>
      <w:bookmarkEnd w:id="126"/>
      <w:bookmarkStart w:id="127" w:name="_Toc184308090"/>
      <w:bookmarkEnd w:id="127"/>
      <w:bookmarkStart w:id="128" w:name="_Toc184313268"/>
      <w:bookmarkEnd w:id="128"/>
      <w:bookmarkStart w:id="129" w:name="_Toc184314467"/>
      <w:bookmarkEnd w:id="129"/>
      <w:bookmarkStart w:id="130" w:name="_Toc184308103"/>
      <w:bookmarkEnd w:id="130"/>
      <w:bookmarkStart w:id="131" w:name="_Toc184312087"/>
      <w:bookmarkEnd w:id="131"/>
      <w:bookmarkStart w:id="132" w:name="_Toc184308068"/>
      <w:bookmarkEnd w:id="132"/>
      <w:bookmarkStart w:id="133" w:name="_Toc184314415"/>
      <w:bookmarkEnd w:id="133"/>
      <w:bookmarkStart w:id="134" w:name="_Toc184308044"/>
      <w:bookmarkEnd w:id="134"/>
      <w:bookmarkStart w:id="135" w:name="_Toc184314452"/>
      <w:bookmarkEnd w:id="135"/>
      <w:bookmarkStart w:id="136" w:name="_Toc184312091"/>
      <w:bookmarkEnd w:id="136"/>
      <w:bookmarkStart w:id="137" w:name="_Toc184313285"/>
      <w:bookmarkEnd w:id="137"/>
      <w:bookmarkStart w:id="138" w:name="_Toc184310330"/>
      <w:bookmarkEnd w:id="138"/>
      <w:bookmarkStart w:id="139" w:name="_Toc184312130"/>
      <w:bookmarkEnd w:id="139"/>
      <w:bookmarkStart w:id="140" w:name="_Toc184308080"/>
      <w:bookmarkEnd w:id="140"/>
      <w:bookmarkStart w:id="141" w:name="_Toc184312092"/>
      <w:bookmarkEnd w:id="141"/>
      <w:bookmarkStart w:id="142" w:name="_Toc184313286"/>
      <w:bookmarkEnd w:id="142"/>
      <w:bookmarkStart w:id="143" w:name="_Toc184313297"/>
      <w:bookmarkEnd w:id="143"/>
      <w:bookmarkStart w:id="144" w:name="_Toc184308040"/>
      <w:bookmarkEnd w:id="144"/>
      <w:bookmarkStart w:id="145" w:name="_Toc184308082"/>
      <w:bookmarkEnd w:id="145"/>
      <w:bookmarkStart w:id="146" w:name="_Toc184312138"/>
      <w:bookmarkEnd w:id="146"/>
      <w:bookmarkStart w:id="147" w:name="_Toc184308058"/>
      <w:bookmarkEnd w:id="147"/>
      <w:bookmarkStart w:id="148" w:name="_Toc184314465"/>
      <w:bookmarkEnd w:id="148"/>
      <w:bookmarkStart w:id="149" w:name="_Toc184314460"/>
      <w:bookmarkEnd w:id="149"/>
      <w:bookmarkStart w:id="150" w:name="_Toc184308078"/>
      <w:bookmarkEnd w:id="150"/>
      <w:bookmarkStart w:id="151" w:name="_Toc184308066"/>
      <w:bookmarkEnd w:id="151"/>
      <w:bookmarkStart w:id="152" w:name="_Toc184313291"/>
      <w:bookmarkEnd w:id="152"/>
      <w:bookmarkStart w:id="153" w:name="_Toc184308048"/>
      <w:bookmarkEnd w:id="153"/>
      <w:bookmarkStart w:id="154" w:name="_Toc184312139"/>
      <w:bookmarkEnd w:id="154"/>
      <w:bookmarkStart w:id="155" w:name="_Toc184313279"/>
      <w:bookmarkEnd w:id="155"/>
      <w:bookmarkStart w:id="156" w:name="_Toc184313275"/>
      <w:bookmarkEnd w:id="156"/>
      <w:bookmarkStart w:id="157" w:name="_Toc184314445"/>
      <w:bookmarkEnd w:id="157"/>
      <w:bookmarkStart w:id="158" w:name="_Toc184313256"/>
      <w:bookmarkEnd w:id="158"/>
      <w:bookmarkStart w:id="159" w:name="_Toc184308053"/>
      <w:bookmarkEnd w:id="159"/>
      <w:bookmarkStart w:id="160" w:name="_Toc184310333"/>
      <w:bookmarkEnd w:id="160"/>
      <w:bookmarkStart w:id="161" w:name="_Toc184308087"/>
      <w:bookmarkEnd w:id="161"/>
      <w:bookmarkStart w:id="162" w:name="_Toc184310307"/>
      <w:bookmarkEnd w:id="162"/>
      <w:bookmarkStart w:id="163" w:name="_Toc184308098"/>
      <w:bookmarkEnd w:id="163"/>
      <w:bookmarkStart w:id="164" w:name="_Toc184314459"/>
      <w:bookmarkEnd w:id="164"/>
      <w:bookmarkStart w:id="165" w:name="_Toc184312080"/>
      <w:bookmarkEnd w:id="165"/>
      <w:bookmarkStart w:id="166" w:name="_Toc184310306"/>
      <w:bookmarkEnd w:id="166"/>
      <w:bookmarkStart w:id="167" w:name="_Toc184314430"/>
      <w:bookmarkEnd w:id="167"/>
      <w:bookmarkStart w:id="168" w:name="_Toc184310290"/>
      <w:bookmarkEnd w:id="168"/>
      <w:bookmarkStart w:id="169" w:name="_Toc184310324"/>
      <w:bookmarkEnd w:id="169"/>
      <w:bookmarkStart w:id="170" w:name="_Toc184308095"/>
      <w:bookmarkEnd w:id="170"/>
      <w:bookmarkStart w:id="171" w:name="_Toc184310292"/>
      <w:bookmarkEnd w:id="171"/>
      <w:bookmarkStart w:id="172" w:name="_Toc184312114"/>
      <w:bookmarkEnd w:id="172"/>
      <w:bookmarkStart w:id="173" w:name="_Toc184310276"/>
      <w:bookmarkEnd w:id="173"/>
      <w:bookmarkStart w:id="174" w:name="_Toc184313307"/>
      <w:bookmarkEnd w:id="174"/>
      <w:bookmarkStart w:id="175" w:name="_Toc184314456"/>
      <w:bookmarkEnd w:id="175"/>
      <w:bookmarkStart w:id="176" w:name="_Toc184308081"/>
      <w:bookmarkEnd w:id="176"/>
      <w:bookmarkStart w:id="177" w:name="_Toc184312136"/>
      <w:bookmarkEnd w:id="177"/>
      <w:bookmarkStart w:id="178" w:name="_Toc184308089"/>
      <w:bookmarkEnd w:id="178"/>
      <w:bookmarkStart w:id="179" w:name="_Toc184313259"/>
      <w:bookmarkEnd w:id="179"/>
      <w:bookmarkStart w:id="180" w:name="_Toc184312104"/>
      <w:bookmarkEnd w:id="180"/>
      <w:bookmarkStart w:id="181" w:name="_Toc184313242"/>
      <w:bookmarkEnd w:id="181"/>
      <w:bookmarkStart w:id="182" w:name="_Toc184308102"/>
      <w:bookmarkEnd w:id="182"/>
      <w:bookmarkStart w:id="183" w:name="_Toc184308096"/>
      <w:bookmarkEnd w:id="183"/>
      <w:bookmarkStart w:id="184" w:name="_Toc184310291"/>
      <w:bookmarkEnd w:id="184"/>
      <w:bookmarkStart w:id="185" w:name="_Toc184310303"/>
      <w:bookmarkEnd w:id="185"/>
      <w:bookmarkStart w:id="186" w:name="_Toc184310325"/>
      <w:bookmarkEnd w:id="186"/>
      <w:bookmarkStart w:id="187" w:name="_Toc184308077"/>
      <w:bookmarkEnd w:id="187"/>
      <w:bookmarkStart w:id="188" w:name="_Toc184312100"/>
      <w:bookmarkEnd w:id="188"/>
      <w:bookmarkStart w:id="189" w:name="_Toc184310274"/>
      <w:bookmarkEnd w:id="189"/>
      <w:bookmarkStart w:id="190" w:name="_Toc184312133"/>
      <w:bookmarkEnd w:id="190"/>
      <w:bookmarkStart w:id="191" w:name="_Toc184312083"/>
      <w:bookmarkEnd w:id="191"/>
      <w:bookmarkStart w:id="192" w:name="_Toc184310295"/>
      <w:bookmarkEnd w:id="192"/>
      <w:bookmarkStart w:id="193" w:name="_Toc184308094"/>
      <w:bookmarkEnd w:id="193"/>
      <w:bookmarkStart w:id="194" w:name="_Toc184313240"/>
      <w:bookmarkEnd w:id="194"/>
      <w:bookmarkStart w:id="195" w:name="_Toc184312127"/>
      <w:bookmarkEnd w:id="195"/>
      <w:bookmarkStart w:id="196" w:name="_Toc184308091"/>
      <w:bookmarkEnd w:id="196"/>
      <w:bookmarkStart w:id="197" w:name="_Toc184308049"/>
      <w:bookmarkEnd w:id="197"/>
      <w:bookmarkStart w:id="198" w:name="_Toc184308064"/>
      <w:bookmarkEnd w:id="198"/>
      <w:bookmarkStart w:id="199" w:name="_Toc184308083"/>
      <w:bookmarkEnd w:id="199"/>
      <w:bookmarkStart w:id="200" w:name="_Toc184312119"/>
      <w:bookmarkEnd w:id="200"/>
      <w:bookmarkStart w:id="201" w:name="_Toc184313301"/>
      <w:bookmarkEnd w:id="201"/>
      <w:bookmarkStart w:id="202" w:name="_Toc184308101"/>
      <w:bookmarkEnd w:id="202"/>
      <w:bookmarkStart w:id="203" w:name="_Toc184310279"/>
      <w:bookmarkEnd w:id="203"/>
      <w:bookmarkStart w:id="204" w:name="_Toc184308057"/>
      <w:bookmarkEnd w:id="204"/>
      <w:bookmarkStart w:id="205" w:name="_Toc184312121"/>
      <w:bookmarkEnd w:id="205"/>
      <w:bookmarkStart w:id="206" w:name="_Toc184314472"/>
      <w:bookmarkEnd w:id="206"/>
      <w:bookmarkStart w:id="207" w:name="_Toc184313305"/>
      <w:bookmarkEnd w:id="207"/>
      <w:bookmarkStart w:id="208" w:name="_Toc184312093"/>
      <w:bookmarkEnd w:id="208"/>
      <w:bookmarkStart w:id="209" w:name="_Toc184310341"/>
      <w:bookmarkEnd w:id="209"/>
      <w:bookmarkStart w:id="210" w:name="_Toc184310273"/>
      <w:bookmarkEnd w:id="210"/>
      <w:bookmarkStart w:id="211" w:name="_Toc184314479"/>
      <w:bookmarkEnd w:id="211"/>
      <w:bookmarkStart w:id="212" w:name="_Toc184313294"/>
      <w:bookmarkEnd w:id="212"/>
      <w:bookmarkStart w:id="213" w:name="_Toc184313293"/>
      <w:bookmarkEnd w:id="213"/>
      <w:bookmarkStart w:id="214" w:name="_Toc184314435"/>
      <w:bookmarkEnd w:id="214"/>
      <w:bookmarkStart w:id="215" w:name="_Toc184310296"/>
      <w:bookmarkEnd w:id="215"/>
      <w:bookmarkStart w:id="216" w:name="_Toc184314481"/>
      <w:bookmarkEnd w:id="216"/>
      <w:bookmarkStart w:id="217" w:name="_Toc184310305"/>
      <w:bookmarkEnd w:id="217"/>
      <w:bookmarkStart w:id="218" w:name="_Toc184313302"/>
      <w:bookmarkEnd w:id="218"/>
      <w:bookmarkStart w:id="219" w:name="_Toc184310289"/>
      <w:bookmarkEnd w:id="219"/>
      <w:bookmarkStart w:id="220" w:name="_Toc184314431"/>
      <w:bookmarkEnd w:id="220"/>
      <w:bookmarkStart w:id="221" w:name="_Toc184314423"/>
      <w:bookmarkEnd w:id="221"/>
      <w:bookmarkStart w:id="222" w:name="_Toc184313267"/>
      <w:bookmarkEnd w:id="222"/>
      <w:bookmarkStart w:id="223" w:name="_Toc184308085"/>
      <w:bookmarkEnd w:id="223"/>
      <w:bookmarkStart w:id="224" w:name="_Toc184310309"/>
      <w:bookmarkEnd w:id="224"/>
      <w:bookmarkStart w:id="225" w:name="_Toc184310343"/>
      <w:bookmarkEnd w:id="225"/>
      <w:bookmarkStart w:id="226" w:name="_Toc184313304"/>
      <w:bookmarkEnd w:id="226"/>
      <w:bookmarkStart w:id="227" w:name="_Toc184310287"/>
      <w:bookmarkEnd w:id="227"/>
      <w:bookmarkStart w:id="228" w:name="_Toc184312071"/>
      <w:bookmarkEnd w:id="228"/>
      <w:bookmarkStart w:id="229" w:name="_Toc184312112"/>
      <w:bookmarkEnd w:id="229"/>
      <w:bookmarkStart w:id="230" w:name="_Toc184312118"/>
      <w:bookmarkEnd w:id="230"/>
      <w:bookmarkStart w:id="231" w:name="_Toc184312107"/>
      <w:bookmarkEnd w:id="231"/>
      <w:bookmarkStart w:id="232" w:name="_Toc184310326"/>
      <w:bookmarkEnd w:id="232"/>
      <w:bookmarkStart w:id="233" w:name="_Toc184314450"/>
      <w:bookmarkEnd w:id="233"/>
      <w:bookmarkStart w:id="234" w:name="_Toc184310334"/>
      <w:bookmarkEnd w:id="234"/>
      <w:bookmarkStart w:id="235" w:name="_Toc184308060"/>
      <w:bookmarkEnd w:id="235"/>
      <w:bookmarkStart w:id="236" w:name="_Toc184314454"/>
      <w:bookmarkEnd w:id="236"/>
      <w:bookmarkStart w:id="237" w:name="_Toc184314444"/>
      <w:bookmarkEnd w:id="237"/>
      <w:bookmarkStart w:id="238" w:name="_Toc184314480"/>
      <w:bookmarkEnd w:id="238"/>
      <w:bookmarkStart w:id="239" w:name="_Toc184312115"/>
      <w:bookmarkEnd w:id="239"/>
      <w:bookmarkStart w:id="240" w:name="_Toc184312129"/>
      <w:bookmarkEnd w:id="240"/>
      <w:bookmarkStart w:id="241" w:name="_Toc184314443"/>
      <w:bookmarkEnd w:id="241"/>
      <w:bookmarkStart w:id="242" w:name="_Toc184314471"/>
      <w:bookmarkEnd w:id="242"/>
      <w:bookmarkStart w:id="243" w:name="_Toc184310338"/>
      <w:bookmarkEnd w:id="243"/>
      <w:bookmarkStart w:id="244" w:name="_Toc184312116"/>
      <w:bookmarkEnd w:id="244"/>
      <w:bookmarkStart w:id="245" w:name="_Toc184314424"/>
      <w:bookmarkEnd w:id="245"/>
      <w:bookmarkStart w:id="246" w:name="_Toc184312132"/>
      <w:bookmarkEnd w:id="246"/>
      <w:bookmarkStart w:id="247" w:name="_Toc184310329"/>
      <w:bookmarkEnd w:id="247"/>
      <w:bookmarkStart w:id="248" w:name="_Toc184312122"/>
      <w:bookmarkEnd w:id="248"/>
      <w:bookmarkStart w:id="249" w:name="_Toc184308097"/>
      <w:bookmarkEnd w:id="249"/>
      <w:bookmarkStart w:id="250" w:name="_Toc184308076"/>
      <w:bookmarkEnd w:id="250"/>
      <w:bookmarkStart w:id="251" w:name="_Toc184310313"/>
      <w:bookmarkEnd w:id="251"/>
      <w:bookmarkStart w:id="252" w:name="_Toc184308037"/>
      <w:bookmarkEnd w:id="252"/>
      <w:bookmarkStart w:id="253" w:name="_Toc184310340"/>
      <w:bookmarkEnd w:id="253"/>
      <w:bookmarkStart w:id="254" w:name="_Toc184314469"/>
      <w:bookmarkEnd w:id="254"/>
      <w:bookmarkStart w:id="255" w:name="_Toc184308046"/>
      <w:bookmarkEnd w:id="255"/>
      <w:bookmarkStart w:id="256" w:name="_Toc184314470"/>
      <w:bookmarkEnd w:id="256"/>
      <w:bookmarkStart w:id="257" w:name="_Toc184312097"/>
      <w:bookmarkEnd w:id="257"/>
      <w:bookmarkStart w:id="258" w:name="_Toc184314429"/>
      <w:bookmarkEnd w:id="258"/>
      <w:bookmarkStart w:id="259" w:name="_Toc184312086"/>
      <w:bookmarkEnd w:id="259"/>
      <w:bookmarkStart w:id="260" w:name="_Toc184310315"/>
      <w:bookmarkEnd w:id="260"/>
      <w:bookmarkStart w:id="261" w:name="_Toc184310317"/>
      <w:bookmarkEnd w:id="261"/>
      <w:bookmarkStart w:id="262" w:name="_Toc184312084"/>
      <w:bookmarkEnd w:id="262"/>
      <w:bookmarkStart w:id="263" w:name="_Toc184313251"/>
      <w:bookmarkEnd w:id="263"/>
      <w:bookmarkStart w:id="264" w:name="_Toc184308039"/>
      <w:bookmarkEnd w:id="264"/>
      <w:bookmarkStart w:id="265" w:name="_Toc184313274"/>
      <w:bookmarkEnd w:id="265"/>
      <w:bookmarkStart w:id="266" w:name="_Toc184312126"/>
      <w:bookmarkEnd w:id="266"/>
      <w:bookmarkStart w:id="267" w:name="_Toc184314447"/>
      <w:bookmarkEnd w:id="267"/>
      <w:bookmarkStart w:id="268" w:name="_Toc184312079"/>
      <w:bookmarkEnd w:id="268"/>
      <w:bookmarkStart w:id="269" w:name="_Toc184312124"/>
      <w:bookmarkEnd w:id="269"/>
      <w:bookmarkStart w:id="270" w:name="_Toc184308105"/>
      <w:bookmarkEnd w:id="270"/>
      <w:bookmarkStart w:id="271" w:name="_Toc184310311"/>
      <w:bookmarkEnd w:id="271"/>
      <w:bookmarkStart w:id="272" w:name="_Toc184312088"/>
      <w:bookmarkEnd w:id="272"/>
      <w:bookmarkStart w:id="273" w:name="_Toc184314453"/>
      <w:bookmarkEnd w:id="273"/>
      <w:bookmarkStart w:id="274" w:name="_Toc184313246"/>
      <w:bookmarkEnd w:id="274"/>
      <w:bookmarkStart w:id="275" w:name="_Toc184308071"/>
      <w:bookmarkEnd w:id="275"/>
      <w:bookmarkStart w:id="276" w:name="_Toc184314436"/>
      <w:bookmarkEnd w:id="276"/>
      <w:bookmarkStart w:id="277" w:name="_Toc184310339"/>
      <w:bookmarkEnd w:id="277"/>
      <w:bookmarkStart w:id="278" w:name="_Toc184310304"/>
      <w:bookmarkEnd w:id="278"/>
      <w:bookmarkStart w:id="279" w:name="_Toc184312125"/>
      <w:bookmarkEnd w:id="279"/>
      <w:bookmarkStart w:id="280" w:name="_Toc184308050"/>
      <w:bookmarkEnd w:id="280"/>
      <w:bookmarkStart w:id="281" w:name="_Toc184314449"/>
      <w:bookmarkEnd w:id="281"/>
      <w:bookmarkStart w:id="282" w:name="_Toc184313243"/>
      <w:bookmarkEnd w:id="282"/>
      <w:bookmarkStart w:id="283" w:name="_Toc184313306"/>
      <w:bookmarkEnd w:id="283"/>
      <w:bookmarkStart w:id="284" w:name="_Toc184312068"/>
      <w:bookmarkEnd w:id="284"/>
      <w:bookmarkStart w:id="285" w:name="_Toc184312137"/>
      <w:bookmarkEnd w:id="285"/>
      <w:bookmarkStart w:id="286" w:name="_Toc184310344"/>
      <w:bookmarkEnd w:id="286"/>
      <w:bookmarkStart w:id="287" w:name="_Toc184312105"/>
      <w:bookmarkEnd w:id="287"/>
      <w:bookmarkStart w:id="288" w:name="_Toc184308054"/>
      <w:bookmarkEnd w:id="288"/>
      <w:bookmarkStart w:id="289" w:name="_Toc184313244"/>
      <w:bookmarkEnd w:id="289"/>
      <w:bookmarkStart w:id="290" w:name="_Toc184308055"/>
      <w:bookmarkEnd w:id="290"/>
      <w:bookmarkStart w:id="291" w:name="_Toc184310272"/>
      <w:bookmarkEnd w:id="291"/>
      <w:bookmarkStart w:id="292" w:name="_Toc184314476"/>
      <w:bookmarkEnd w:id="292"/>
      <w:bookmarkStart w:id="293" w:name="_Toc184308104"/>
      <w:bookmarkEnd w:id="293"/>
      <w:bookmarkStart w:id="294" w:name="_Toc184313254"/>
      <w:bookmarkEnd w:id="294"/>
      <w:bookmarkStart w:id="295" w:name="_Toc184314433"/>
      <w:bookmarkEnd w:id="295"/>
      <w:bookmarkStart w:id="296" w:name="_Toc184312072"/>
      <w:bookmarkEnd w:id="296"/>
      <w:bookmarkStart w:id="297" w:name="_Toc184308052"/>
      <w:bookmarkEnd w:id="297"/>
      <w:bookmarkStart w:id="298" w:name="_Toc184313265"/>
      <w:bookmarkEnd w:id="298"/>
      <w:bookmarkStart w:id="299" w:name="_Toc184314421"/>
      <w:bookmarkEnd w:id="299"/>
      <w:bookmarkStart w:id="300" w:name="_Toc184310320"/>
      <w:bookmarkEnd w:id="300"/>
      <w:bookmarkStart w:id="301" w:name="_Toc184314417"/>
      <w:bookmarkEnd w:id="301"/>
      <w:bookmarkStart w:id="302" w:name="_Toc184308065"/>
      <w:bookmarkEnd w:id="302"/>
      <w:bookmarkStart w:id="303" w:name="_Toc184310331"/>
      <w:bookmarkEnd w:id="303"/>
      <w:bookmarkStart w:id="304" w:name="_Toc184308056"/>
      <w:bookmarkEnd w:id="304"/>
      <w:bookmarkStart w:id="305" w:name="_Toc184314458"/>
      <w:bookmarkEnd w:id="305"/>
      <w:bookmarkStart w:id="306" w:name="_Toc184310286"/>
      <w:bookmarkEnd w:id="306"/>
      <w:bookmarkStart w:id="307" w:name="_Toc184313300"/>
      <w:bookmarkEnd w:id="307"/>
      <w:bookmarkStart w:id="308" w:name="_Toc184310310"/>
      <w:bookmarkEnd w:id="308"/>
      <w:bookmarkStart w:id="309" w:name="_Toc184313276"/>
      <w:bookmarkEnd w:id="309"/>
      <w:bookmarkStart w:id="310" w:name="_Toc184312101"/>
      <w:bookmarkEnd w:id="310"/>
      <w:bookmarkStart w:id="311" w:name="_Toc184312110"/>
      <w:bookmarkEnd w:id="311"/>
      <w:bookmarkStart w:id="312" w:name="_Toc184312069"/>
      <w:bookmarkEnd w:id="312"/>
      <w:bookmarkStart w:id="313" w:name="_Toc184310300"/>
      <w:bookmarkEnd w:id="313"/>
      <w:bookmarkStart w:id="314" w:name="_Toc184310284"/>
      <w:bookmarkEnd w:id="314"/>
      <w:bookmarkStart w:id="315" w:name="_Toc184312103"/>
      <w:bookmarkEnd w:id="315"/>
      <w:bookmarkStart w:id="316" w:name="_Toc184313278"/>
      <w:bookmarkEnd w:id="316"/>
      <w:bookmarkStart w:id="317" w:name="_Toc184314439"/>
      <w:bookmarkEnd w:id="317"/>
      <w:bookmarkStart w:id="318" w:name="_Toc184313269"/>
      <w:bookmarkEnd w:id="318"/>
      <w:bookmarkStart w:id="319" w:name="_Toc184313266"/>
      <w:bookmarkEnd w:id="319"/>
      <w:bookmarkStart w:id="320" w:name="_Toc184312095"/>
      <w:bookmarkEnd w:id="320"/>
      <w:bookmarkStart w:id="321" w:name="_Toc184310321"/>
      <w:bookmarkEnd w:id="321"/>
      <w:bookmarkStart w:id="322" w:name="_Toc184314438"/>
      <w:bookmarkEnd w:id="322"/>
      <w:bookmarkStart w:id="323" w:name="_Toc184314412"/>
      <w:bookmarkEnd w:id="323"/>
      <w:bookmarkStart w:id="324" w:name="_Toc184310318"/>
      <w:bookmarkEnd w:id="324"/>
      <w:bookmarkStart w:id="325" w:name="_Toc184314475"/>
      <w:bookmarkEnd w:id="325"/>
      <w:bookmarkStart w:id="326" w:name="_Toc184313273"/>
      <w:bookmarkEnd w:id="326"/>
      <w:bookmarkStart w:id="327" w:name="_Toc184308045"/>
      <w:bookmarkEnd w:id="327"/>
      <w:bookmarkStart w:id="328" w:name="_Toc184310337"/>
      <w:bookmarkEnd w:id="328"/>
      <w:bookmarkStart w:id="329" w:name="_Toc184308038"/>
      <w:bookmarkEnd w:id="329"/>
      <w:bookmarkStart w:id="330" w:name="_Toc184313308"/>
      <w:bookmarkEnd w:id="330"/>
      <w:bookmarkStart w:id="331" w:name="_Toc184312113"/>
      <w:bookmarkEnd w:id="331"/>
      <w:bookmarkStart w:id="332" w:name="_Toc184313281"/>
      <w:bookmarkEnd w:id="332"/>
      <w:bookmarkStart w:id="333" w:name="_Toc184313247"/>
      <w:bookmarkEnd w:id="333"/>
      <w:bookmarkStart w:id="334" w:name="_Toc184314442"/>
      <w:bookmarkEnd w:id="334"/>
      <w:bookmarkStart w:id="335" w:name="_Toc184308106"/>
      <w:bookmarkEnd w:id="335"/>
      <w:bookmarkStart w:id="336" w:name="_Toc184308084"/>
      <w:bookmarkEnd w:id="336"/>
      <w:bookmarkStart w:id="337" w:name="_Toc184313264"/>
      <w:bookmarkEnd w:id="337"/>
      <w:bookmarkStart w:id="338" w:name="_Toc184308047"/>
      <w:bookmarkEnd w:id="338"/>
      <w:bookmarkStart w:id="339" w:name="_Toc184310288"/>
      <w:bookmarkEnd w:id="339"/>
      <w:bookmarkStart w:id="340" w:name="_Toc184312075"/>
      <w:bookmarkEnd w:id="340"/>
      <w:bookmarkStart w:id="341" w:name="_Toc184314473"/>
      <w:bookmarkEnd w:id="341"/>
      <w:bookmarkStart w:id="342" w:name="_Toc184314437"/>
      <w:bookmarkEnd w:id="342"/>
      <w:bookmarkStart w:id="343" w:name="_Toc184310314"/>
      <w:bookmarkEnd w:id="343"/>
      <w:bookmarkStart w:id="344" w:name="_Toc184310280"/>
      <w:bookmarkEnd w:id="344"/>
      <w:bookmarkStart w:id="345" w:name="_Toc184308074"/>
      <w:bookmarkEnd w:id="345"/>
      <w:bookmarkStart w:id="346" w:name="_Toc184313255"/>
      <w:bookmarkEnd w:id="346"/>
      <w:bookmarkStart w:id="347" w:name="_Toc184310299"/>
      <w:bookmarkEnd w:id="347"/>
      <w:bookmarkStart w:id="348" w:name="_Toc184314468"/>
      <w:bookmarkEnd w:id="348"/>
      <w:bookmarkStart w:id="349" w:name="_Toc184310335"/>
      <w:bookmarkEnd w:id="349"/>
      <w:bookmarkStart w:id="350" w:name="_Toc184314434"/>
      <w:bookmarkEnd w:id="350"/>
      <w:bookmarkStart w:id="351" w:name="_Toc184312089"/>
      <w:bookmarkEnd w:id="351"/>
      <w:bookmarkStart w:id="352" w:name="_Toc184313260"/>
      <w:bookmarkEnd w:id="352"/>
      <w:bookmarkStart w:id="353" w:name="_Toc184312073"/>
      <w:bookmarkEnd w:id="353"/>
      <w:bookmarkStart w:id="354" w:name="_Toc184312077"/>
      <w:bookmarkEnd w:id="354"/>
      <w:bookmarkStart w:id="355" w:name="_Toc184314427"/>
      <w:bookmarkEnd w:id="355"/>
      <w:bookmarkStart w:id="356" w:name="_Toc184313245"/>
      <w:bookmarkEnd w:id="356"/>
      <w:bookmarkStart w:id="357" w:name="_Toc184312102"/>
      <w:bookmarkEnd w:id="357"/>
      <w:bookmarkStart w:id="358" w:name="_Toc184308079"/>
      <w:bookmarkEnd w:id="358"/>
      <w:bookmarkStart w:id="359" w:name="_Toc184314446"/>
      <w:bookmarkEnd w:id="359"/>
      <w:bookmarkStart w:id="360" w:name="_Toc184310302"/>
      <w:bookmarkEnd w:id="360"/>
      <w:bookmarkStart w:id="361" w:name="_Toc184313290"/>
      <w:bookmarkEnd w:id="361"/>
      <w:bookmarkStart w:id="362" w:name="_Toc184310301"/>
      <w:bookmarkEnd w:id="362"/>
      <w:bookmarkStart w:id="363" w:name="_Toc184312090"/>
      <w:bookmarkEnd w:id="363"/>
      <w:bookmarkStart w:id="364" w:name="_Toc184314426"/>
      <w:bookmarkEnd w:id="364"/>
      <w:bookmarkStart w:id="365" w:name="_Toc184308070"/>
      <w:bookmarkEnd w:id="365"/>
      <w:bookmarkStart w:id="366" w:name="_Toc184308059"/>
      <w:bookmarkEnd w:id="366"/>
      <w:bookmarkStart w:id="367" w:name="_Toc184308073"/>
      <w:bookmarkEnd w:id="367"/>
      <w:bookmarkStart w:id="368" w:name="_Toc184313284"/>
      <w:bookmarkEnd w:id="368"/>
      <w:bookmarkStart w:id="369" w:name="_Toc184314478"/>
      <w:bookmarkEnd w:id="369"/>
      <w:bookmarkStart w:id="370" w:name="_Toc184308042"/>
      <w:bookmarkEnd w:id="370"/>
      <w:bookmarkStart w:id="371" w:name="_Toc184314418"/>
      <w:bookmarkEnd w:id="371"/>
      <w:bookmarkStart w:id="372" w:name="_Toc184314448"/>
      <w:bookmarkEnd w:id="372"/>
      <w:bookmarkStart w:id="373" w:name="_Toc184314414"/>
      <w:bookmarkEnd w:id="373"/>
      <w:bookmarkStart w:id="374" w:name="_Toc184308099"/>
      <w:bookmarkEnd w:id="374"/>
      <w:bookmarkStart w:id="375" w:name="_Toc184308093"/>
      <w:bookmarkEnd w:id="375"/>
      <w:bookmarkStart w:id="376" w:name="_Toc184308075"/>
      <w:bookmarkEnd w:id="376"/>
      <w:bookmarkStart w:id="377" w:name="_Toc184314425"/>
      <w:bookmarkEnd w:id="377"/>
      <w:bookmarkStart w:id="378" w:name="_Toc184310278"/>
      <w:bookmarkEnd w:id="378"/>
      <w:bookmarkStart w:id="379" w:name="_Toc184308062"/>
      <w:bookmarkEnd w:id="379"/>
      <w:bookmarkStart w:id="380" w:name="_Toc184313296"/>
      <w:bookmarkEnd w:id="380"/>
      <w:bookmarkStart w:id="381" w:name="_Toc184314477"/>
      <w:bookmarkEnd w:id="381"/>
      <w:bookmarkStart w:id="382" w:name="_Toc184310277"/>
      <w:bookmarkEnd w:id="382"/>
      <w:bookmarkStart w:id="383" w:name="_Toc184312076"/>
      <w:bookmarkEnd w:id="383"/>
      <w:bookmarkStart w:id="384" w:name="_Toc184313262"/>
      <w:bookmarkEnd w:id="384"/>
      <w:bookmarkStart w:id="385" w:name="_Toc184313282"/>
      <w:bookmarkEnd w:id="385"/>
      <w:bookmarkStart w:id="386" w:name="_Toc184313287"/>
      <w:bookmarkEnd w:id="386"/>
      <w:bookmarkStart w:id="387" w:name="_Toc184312096"/>
      <w:bookmarkEnd w:id="387"/>
      <w:bookmarkStart w:id="388" w:name="_Toc184313289"/>
      <w:bookmarkEnd w:id="388"/>
      <w:bookmarkStart w:id="389" w:name="_Toc184312111"/>
      <w:bookmarkEnd w:id="389"/>
      <w:bookmarkStart w:id="390" w:name="_Toc184312135"/>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序号</w:t>
            </w:r>
          </w:p>
        </w:tc>
        <w:tc>
          <w:tcPr>
            <w:tcW w:w="6828" w:type="dxa"/>
          </w:tcPr>
          <w:p>
            <w:pPr>
              <w:spacing w:before="156" w:beforeLines="50" w:after="156" w:afterLines="50"/>
              <w:jc w:val="center"/>
              <w:rPr>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评审内容及标准</w:t>
            </w:r>
          </w:p>
        </w:tc>
        <w:tc>
          <w:tcPr>
            <w:tcW w:w="792" w:type="dxa"/>
            <w:vAlign w:val="center"/>
          </w:tcPr>
          <w:p>
            <w:pPr>
              <w:spacing w:before="156" w:beforeLines="50" w:after="156" w:afterLines="50"/>
              <w:jc w:val="center"/>
              <w:rPr>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6828" w:type="dxa"/>
            <w:vAlign w:val="center"/>
          </w:tcPr>
          <w:p>
            <w:pPr>
              <w:rPr>
                <w:rFonts w:hint="eastAsia"/>
                <w:color w:val="auto"/>
                <w:sz w:val="24"/>
                <w:u w:val="none"/>
              </w:rPr>
            </w:pPr>
            <w:r>
              <w:rPr>
                <w:rFonts w:hint="eastAsia"/>
                <w:color w:val="auto"/>
                <w:sz w:val="24"/>
                <w:u w:val="none"/>
              </w:rPr>
              <w:t>【客观分】</w:t>
            </w:r>
          </w:p>
          <w:p>
            <w:pPr>
              <w:rPr>
                <w:rFonts w:hint="eastAsia"/>
                <w:color w:val="auto"/>
                <w:sz w:val="24"/>
                <w:u w:val="none"/>
                <w:lang w:val="en-US" w:eastAsia="zh-CN"/>
              </w:rPr>
            </w:pPr>
            <w:r>
              <w:rPr>
                <w:rFonts w:hint="eastAsia"/>
                <w:color w:val="auto"/>
                <w:sz w:val="24"/>
                <w:u w:val="none"/>
                <w:lang w:val="en-US" w:eastAsia="zh-CN"/>
              </w:rPr>
              <w:t>保质期：</w:t>
            </w:r>
          </w:p>
          <w:p>
            <w:pPr>
              <w:snapToGrid w:val="0"/>
              <w:rPr>
                <w:rFonts w:hint="eastAsia" w:hAnsi="宋体"/>
                <w:color w:val="auto"/>
                <w:sz w:val="24"/>
                <w:u w:val="none"/>
              </w:rPr>
            </w:pPr>
            <w:r>
              <w:rPr>
                <w:rFonts w:hint="eastAsia"/>
                <w:color w:val="auto"/>
                <w:sz w:val="24"/>
                <w:u w:val="none"/>
                <w:lang w:val="en-US" w:eastAsia="zh-CN"/>
              </w:rPr>
              <w:t>在满足采购</w:t>
            </w:r>
            <w:r>
              <w:rPr>
                <w:rFonts w:hint="eastAsia"/>
                <w:color w:val="auto"/>
                <w:sz w:val="24"/>
                <w:u w:val="none"/>
              </w:rPr>
              <w:t>文件</w:t>
            </w:r>
            <w:r>
              <w:rPr>
                <w:rFonts w:hint="eastAsia"/>
                <w:color w:val="auto"/>
                <w:sz w:val="24"/>
                <w:u w:val="none"/>
                <w:lang w:val="en-US" w:eastAsia="zh-CN"/>
              </w:rPr>
              <w:t>商务要求中保质</w:t>
            </w:r>
            <w:r>
              <w:rPr>
                <w:rFonts w:hint="eastAsia"/>
                <w:color w:val="auto"/>
                <w:sz w:val="24"/>
                <w:u w:val="none"/>
              </w:rPr>
              <w:t>期</w:t>
            </w:r>
            <w:r>
              <w:rPr>
                <w:rFonts w:hint="eastAsia"/>
                <w:color w:val="auto"/>
                <w:sz w:val="24"/>
                <w:u w:val="none"/>
                <w:lang w:val="en-US" w:eastAsia="zh-CN"/>
              </w:rPr>
              <w:t>基本条件，且</w:t>
            </w:r>
            <w:r>
              <w:rPr>
                <w:rFonts w:hint="eastAsia"/>
                <w:color w:val="auto"/>
                <w:sz w:val="24"/>
                <w:u w:val="none"/>
              </w:rPr>
              <w:t>优于</w:t>
            </w:r>
            <w:r>
              <w:rPr>
                <w:rFonts w:hint="eastAsia"/>
                <w:color w:val="auto"/>
                <w:sz w:val="24"/>
                <w:u w:val="none"/>
                <w:lang w:val="en-US" w:eastAsia="zh-CN"/>
              </w:rPr>
              <w:t>保质期年限</w:t>
            </w:r>
            <w:r>
              <w:rPr>
                <w:rFonts w:hint="eastAsia"/>
                <w:color w:val="auto"/>
                <w:sz w:val="24"/>
                <w:u w:val="none"/>
              </w:rPr>
              <w:t>规定</w:t>
            </w:r>
            <w:r>
              <w:rPr>
                <w:rFonts w:hint="eastAsia"/>
                <w:color w:val="auto"/>
                <w:sz w:val="24"/>
                <w:u w:val="none"/>
                <w:lang w:eastAsia="zh-CN"/>
              </w:rPr>
              <w:t>（</w:t>
            </w:r>
            <w:r>
              <w:rPr>
                <w:rFonts w:hint="eastAsia"/>
                <w:color w:val="auto"/>
                <w:sz w:val="24"/>
                <w:u w:val="none"/>
                <w:lang w:val="en-US" w:eastAsia="zh-CN"/>
              </w:rPr>
              <w:t>5年</w:t>
            </w:r>
            <w:r>
              <w:rPr>
                <w:rFonts w:hint="eastAsia"/>
                <w:color w:val="auto"/>
                <w:sz w:val="24"/>
                <w:u w:val="none"/>
                <w:lang w:eastAsia="zh-CN"/>
              </w:rPr>
              <w:t>）</w:t>
            </w:r>
            <w:r>
              <w:rPr>
                <w:rFonts w:hint="eastAsia"/>
                <w:color w:val="auto"/>
                <w:sz w:val="24"/>
                <w:u w:val="none"/>
              </w:rPr>
              <w:t>的，</w:t>
            </w:r>
            <w:r>
              <w:rPr>
                <w:rFonts w:hint="eastAsia"/>
                <w:color w:val="auto"/>
                <w:sz w:val="24"/>
                <w:u w:val="none"/>
                <w:lang w:val="en-US" w:eastAsia="zh-CN"/>
              </w:rPr>
              <w:t>保质</w:t>
            </w:r>
            <w:r>
              <w:rPr>
                <w:rFonts w:hint="eastAsia"/>
                <w:color w:val="auto"/>
                <w:sz w:val="24"/>
                <w:u w:val="none"/>
              </w:rPr>
              <w:t>期每增加</w:t>
            </w:r>
            <w:r>
              <w:rPr>
                <w:rFonts w:hint="eastAsia"/>
                <w:color w:val="auto"/>
                <w:sz w:val="24"/>
                <w:u w:val="none"/>
                <w:lang w:val="en-US" w:eastAsia="zh-CN"/>
              </w:rPr>
              <w:t>1</w:t>
            </w:r>
            <w:r>
              <w:rPr>
                <w:rFonts w:hint="eastAsia"/>
                <w:color w:val="auto"/>
                <w:sz w:val="24"/>
                <w:u w:val="none"/>
              </w:rPr>
              <w:t>年得</w:t>
            </w:r>
            <w:r>
              <w:rPr>
                <w:rFonts w:hint="eastAsia"/>
                <w:color w:val="auto"/>
                <w:sz w:val="24"/>
                <w:u w:val="none"/>
                <w:lang w:val="en-US" w:eastAsia="zh-CN"/>
              </w:rPr>
              <w:t>1</w:t>
            </w:r>
            <w:r>
              <w:rPr>
                <w:rFonts w:hint="eastAsia"/>
                <w:color w:val="auto"/>
                <w:sz w:val="24"/>
                <w:u w:val="none"/>
              </w:rPr>
              <w:t>分。本项最高得</w:t>
            </w:r>
            <w:r>
              <w:rPr>
                <w:rFonts w:hint="eastAsia"/>
                <w:color w:val="auto"/>
                <w:sz w:val="24"/>
                <w:u w:val="none"/>
                <w:lang w:val="en-US" w:eastAsia="zh-CN"/>
              </w:rPr>
              <w:t>3</w:t>
            </w:r>
            <w:r>
              <w:rPr>
                <w:rFonts w:hint="eastAsia"/>
                <w:color w:val="auto"/>
                <w:sz w:val="24"/>
                <w:u w:val="none"/>
              </w:rPr>
              <w:t>分。</w:t>
            </w:r>
            <w:r>
              <w:rPr>
                <w:rFonts w:hint="eastAsia"/>
                <w:b/>
                <w:bCs/>
                <w:color w:val="auto"/>
                <w:sz w:val="24"/>
                <w:u w:val="none"/>
                <w:lang w:eastAsia="zh-CN"/>
              </w:rPr>
              <w:t>（</w:t>
            </w:r>
            <w:r>
              <w:rPr>
                <w:rFonts w:hint="eastAsia"/>
                <w:b/>
                <w:bCs/>
                <w:color w:val="auto"/>
                <w:sz w:val="24"/>
                <w:u w:val="none"/>
                <w:lang w:val="en-US" w:eastAsia="zh-CN"/>
              </w:rPr>
              <w:t>提供证明材料或承诺书加盖公章</w:t>
            </w:r>
            <w:r>
              <w:rPr>
                <w:rFonts w:hint="eastAsia"/>
                <w:b/>
                <w:bCs/>
                <w:color w:val="auto"/>
                <w:sz w:val="24"/>
                <w:u w:val="none"/>
                <w:lang w:eastAsia="zh-CN"/>
              </w:rPr>
              <w:t>）</w:t>
            </w:r>
          </w:p>
        </w:tc>
        <w:tc>
          <w:tcPr>
            <w:tcW w:w="792" w:type="dxa"/>
            <w:vAlign w:val="center"/>
          </w:tcPr>
          <w:p>
            <w:pPr>
              <w:spacing w:before="156" w:beforeLines="50" w:after="156" w:afterLines="5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c>
          <w:tcPr>
            <w:tcW w:w="6828" w:type="dxa"/>
            <w:vAlign w:val="center"/>
          </w:tcPr>
          <w:p>
            <w:pPr>
              <w:rPr>
                <w:sz w:val="24"/>
                <w:szCs w:val="24"/>
              </w:rPr>
            </w:pPr>
            <w:r>
              <w:rPr>
                <w:rFonts w:hint="eastAsia"/>
                <w:sz w:val="24"/>
                <w:szCs w:val="24"/>
              </w:rPr>
              <w:t>【客观分】</w:t>
            </w:r>
          </w:p>
          <w:p>
            <w:pPr>
              <w:snapToGrid w:val="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销售业绩：</w:t>
            </w:r>
          </w:p>
          <w:p>
            <w:pPr>
              <w:snapToGrid w:val="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合同签订时间自2022年1月1日</w:t>
            </w:r>
            <w:r>
              <w:rPr>
                <w:rFonts w:hint="eastAsia" w:hAnsi="宋体"/>
                <w:color w:val="000000" w:themeColor="text1"/>
                <w:sz w:val="24"/>
                <w:lang w:eastAsia="zh-CN"/>
                <w14:textFill>
                  <w14:solidFill>
                    <w14:schemeClr w14:val="tx1"/>
                  </w14:solidFill>
                </w14:textFill>
              </w:rPr>
              <w:t>以来</w:t>
            </w:r>
            <w:r>
              <w:rPr>
                <w:rFonts w:hint="eastAsia" w:hAnsi="宋体"/>
                <w:color w:val="000000" w:themeColor="text1"/>
                <w:sz w:val="24"/>
                <w14:textFill>
                  <w14:solidFill>
                    <w14:schemeClr w14:val="tx1"/>
                  </w14:solidFill>
                </w14:textFill>
              </w:rPr>
              <w:t>，与最终用户签订的销售业绩，每提供一份</w:t>
            </w:r>
            <w:r>
              <w:rPr>
                <w:rFonts w:hint="eastAsia" w:hAnsi="宋体"/>
                <w:color w:val="000000" w:themeColor="text1"/>
                <w:sz w:val="24"/>
                <w:lang w:eastAsia="zh-CN"/>
                <w14:textFill>
                  <w14:solidFill>
                    <w14:schemeClr w14:val="tx1"/>
                  </w14:solidFill>
                </w14:textFill>
              </w:rPr>
              <w:t>与投标</w:t>
            </w:r>
            <w:r>
              <w:rPr>
                <w:rFonts w:hint="eastAsia" w:hAnsi="宋体"/>
                <w:color w:val="000000" w:themeColor="text1"/>
                <w:sz w:val="24"/>
                <w14:textFill>
                  <w14:solidFill>
                    <w14:schemeClr w14:val="tx1"/>
                  </w14:solidFill>
                </w14:textFill>
              </w:rPr>
              <w:t>同品牌同型号产品销售业绩得1分，最高得</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分。（要求提供完整的合同复印件，能清</w:t>
            </w:r>
            <w:r>
              <w:rPr>
                <w:rFonts w:hint="eastAsia" w:hAnsi="宋体"/>
                <w:color w:val="000000" w:themeColor="text1"/>
                <w:sz w:val="24"/>
                <w:lang w:eastAsia="zh-CN"/>
                <w14:textFill>
                  <w14:solidFill>
                    <w14:schemeClr w14:val="tx1"/>
                  </w14:solidFill>
                </w14:textFill>
              </w:rPr>
              <w:t>楚地</w:t>
            </w:r>
            <w:r>
              <w:rPr>
                <w:rFonts w:hint="eastAsia" w:hAnsi="宋体"/>
                <w:color w:val="000000" w:themeColor="text1"/>
                <w:sz w:val="24"/>
                <w14:textFill>
                  <w14:solidFill>
                    <w14:schemeClr w14:val="tx1"/>
                  </w14:solidFill>
                </w14:textFill>
              </w:rPr>
              <w:t>辨析设备名称型号）</w:t>
            </w:r>
          </w:p>
          <w:p>
            <w:pPr>
              <w:snapToGrid w:val="0"/>
            </w:pPr>
            <w:r>
              <w:rPr>
                <w:rFonts w:hint="eastAsia" w:hAnsi="宋体"/>
                <w:color w:val="000000" w:themeColor="text1"/>
                <w:sz w:val="24"/>
                <w14:textFill>
                  <w14:solidFill>
                    <w14:schemeClr w14:val="tx1"/>
                  </w14:solidFill>
                </w14:textFill>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w:t>
            </w:r>
          </w:p>
        </w:tc>
        <w:tc>
          <w:tcPr>
            <w:tcW w:w="6828" w:type="dxa"/>
          </w:tcPr>
          <w:p>
            <w:pPr>
              <w:snapToGrid w:val="0"/>
              <w:rPr>
                <w:rFonts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【客观</w:t>
            </w:r>
            <w:r>
              <w:rPr>
                <w:rFonts w:hint="eastAsia" w:hAnsi="宋体"/>
                <w:color w:val="000000" w:themeColor="text1"/>
                <w:sz w:val="24"/>
                <w14:textFill>
                  <w14:solidFill>
                    <w14:schemeClr w14:val="tx1"/>
                  </w14:solidFill>
                </w14:textFill>
              </w:rPr>
              <w:t>分】</w:t>
            </w:r>
          </w:p>
          <w:p>
            <w:pPr>
              <w:snapToGrid w:val="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采购需求符合度：</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对应于采购需求中带“</w:t>
            </w:r>
            <w:r>
              <w:rPr>
                <w:rFonts w:hint="eastAsia" w:ascii="宋体" w:hAnsi="宋体"/>
                <w:color w:val="000000" w:themeColor="text1"/>
                <w14:textFill>
                  <w14:solidFill>
                    <w14:schemeClr w14:val="tx1"/>
                  </w14:solidFill>
                </w14:textFill>
              </w:rPr>
              <w:t>▲</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号条款不满足采购文件要求的，每一项扣减</w:t>
            </w:r>
            <w:r>
              <w:rPr>
                <w:rFonts w:hint="eastAsia" w:hAnsi="宋体"/>
                <w:color w:val="000000" w:themeColor="text1"/>
                <w:sz w:val="24"/>
                <w:lang w:val="en-US" w:eastAsia="zh-CN"/>
                <w14:textFill>
                  <w14:solidFill>
                    <w14:schemeClr w14:val="tx1"/>
                  </w14:solidFill>
                </w14:textFill>
              </w:rPr>
              <w:t>2</w:t>
            </w:r>
            <w:r>
              <w:rPr>
                <w:rFonts w:hint="eastAsia" w:hAnsi="宋体"/>
                <w:color w:val="000000" w:themeColor="text1"/>
                <w:sz w:val="24"/>
                <w14:textFill>
                  <w14:solidFill>
                    <w14:schemeClr w14:val="tx1"/>
                  </w14:solidFill>
                </w14:textFill>
              </w:rPr>
              <w:t>分，其他条款不满足采购文件要求的，每一项扣减</w:t>
            </w:r>
            <w:r>
              <w:rPr>
                <w:rFonts w:hint="eastAsia" w:hAnsi="宋体"/>
                <w:color w:val="000000" w:themeColor="text1"/>
                <w:sz w:val="24"/>
                <w:lang w:val="en-US" w:eastAsia="zh-CN"/>
                <w14:textFill>
                  <w14:solidFill>
                    <w14:schemeClr w14:val="tx1"/>
                  </w14:solidFill>
                </w14:textFill>
              </w:rPr>
              <w:t>0.3</w:t>
            </w:r>
            <w:r>
              <w:rPr>
                <w:rFonts w:hint="eastAsia" w:hAnsi="宋体"/>
                <w:color w:val="000000" w:themeColor="text1"/>
                <w:sz w:val="24"/>
                <w14:textFill>
                  <w14:solidFill>
                    <w14:schemeClr w14:val="tx1"/>
                  </w14:solidFill>
                </w14:textFill>
              </w:rPr>
              <w:t>分。本项最高得</w:t>
            </w:r>
            <w:r>
              <w:rPr>
                <w:rFonts w:hint="eastAsia" w:hAnsi="宋体"/>
                <w:color w:val="000000" w:themeColor="text1"/>
                <w:sz w:val="24"/>
                <w:lang w:val="en-US" w:eastAsia="zh-CN"/>
                <w14:textFill>
                  <w14:solidFill>
                    <w14:schemeClr w14:val="tx1"/>
                  </w14:solidFill>
                </w14:textFill>
              </w:rPr>
              <w:t>42</w:t>
            </w:r>
            <w:r>
              <w:rPr>
                <w:rFonts w:hint="eastAsia" w:hAnsi="宋体"/>
                <w:color w:val="000000" w:themeColor="text1"/>
                <w:sz w:val="24"/>
                <w:u w:val="none"/>
                <w14:textFill>
                  <w14:solidFill>
                    <w14:schemeClr w14:val="tx1"/>
                  </w14:solidFill>
                </w14:textFill>
              </w:rPr>
              <w:t>分</w:t>
            </w:r>
            <w:r>
              <w:rPr>
                <w:rFonts w:hint="eastAsia" w:hAnsi="宋体"/>
                <w:color w:val="000000" w:themeColor="text1"/>
                <w:sz w:val="24"/>
                <w14:textFill>
                  <w14:solidFill>
                    <w14:schemeClr w14:val="tx1"/>
                  </w14:solidFill>
                </w14:textFill>
              </w:rPr>
              <w:t>，最低得0分。</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1、针对带“▲”号技术参数要求，供应商需提供充分的证明材料</w:t>
            </w:r>
            <w:r>
              <w:rPr>
                <w:rFonts w:hint="eastAsia" w:hAnsi="宋体"/>
                <w:color w:val="000000" w:themeColor="text1"/>
                <w:sz w:val="24"/>
                <w:lang w:eastAsia="zh-CN"/>
                <w14:textFill>
                  <w14:solidFill>
                    <w14:schemeClr w14:val="tx1"/>
                  </w14:solidFill>
                </w14:textFill>
              </w:rPr>
              <w:t>（须在偏离表中注明页码）</w:t>
            </w:r>
            <w:r>
              <w:rPr>
                <w:rFonts w:hint="eastAsia" w:hAnsi="宋体"/>
                <w:color w:val="000000" w:themeColor="text1"/>
                <w:sz w:val="24"/>
                <w14:textFill>
                  <w14:solidFill>
                    <w14:schemeClr w14:val="tx1"/>
                  </w14:solidFill>
                </w14:textFill>
              </w:rPr>
              <w:t>，未提供充分证明材料的，评审委员会有权视为不满足采购文件要求。证明材料可以是以下四项中任一项</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技术参数要求中</w:t>
            </w:r>
            <w:r>
              <w:rPr>
                <w:rFonts w:hint="eastAsia" w:hAnsi="宋体"/>
                <w:color w:val="000000" w:themeColor="text1"/>
                <w:sz w:val="24"/>
                <w:szCs w:val="24"/>
                <w14:textFill>
                  <w14:solidFill>
                    <w14:schemeClr w14:val="tx1"/>
                  </w14:solidFill>
                </w14:textFill>
              </w:rPr>
              <w:t>有特别注明要求的除外）</w:t>
            </w:r>
            <w:r>
              <w:rPr>
                <w:rFonts w:hint="eastAsia" w:hAnsi="宋体"/>
                <w:color w:val="000000" w:themeColor="text1"/>
                <w:sz w:val="24"/>
                <w14:textFill>
                  <w14:solidFill>
                    <w14:schemeClr w14:val="tx1"/>
                  </w14:solidFill>
                </w14:textFill>
              </w:rPr>
              <w:t>：</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1）生产制造商公开对外宣传的带有响应技术参数或功能的产品彩页，为响应而临时打印的无效。</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2）加盖生产制造商公章的技术白皮书。</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3）可在生产制造商官网查询到的产品技术参数或功能，需提供官网截图和网址等信息。</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4）评审委员会认可的其他有效证明（包括但不限于第三方检测报告、加盖生产制造商的证明材料等）。</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2、其他项采购要求中有具体数据的，应在《商务技术偏离表》中提供具体数据响应，不能简单响应为“具备”或“有”等，否则视为不满足采购文件要求。</w:t>
            </w:r>
          </w:p>
          <w:p>
            <w:pPr>
              <w:spacing w:line="420" w:lineRule="exact"/>
              <w:ind w:firstLine="480" w:firstLineChars="200"/>
              <w:jc w:val="left"/>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3、带“</w:t>
            </w:r>
            <w:r>
              <w:rPr>
                <w:rFonts w:hint="eastAsia" w:ascii="宋体" w:hAnsi="宋体"/>
                <w:color w:val="000000" w:themeColor="text1"/>
                <w14:textFill>
                  <w14:solidFill>
                    <w14:schemeClr w14:val="tx1"/>
                  </w14:solidFill>
                </w14:textFill>
              </w:rPr>
              <w:t>▲</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号项提供满足技术参数的佐证资料并在偏离表中标明佐证资料页码。</w:t>
            </w:r>
          </w:p>
        </w:tc>
        <w:tc>
          <w:tcPr>
            <w:tcW w:w="792" w:type="dxa"/>
            <w:vAlign w:val="center"/>
          </w:tcPr>
          <w:p>
            <w:pPr>
              <w:spacing w:before="156" w:beforeLines="50" w:after="156" w:afterLines="50"/>
              <w:jc w:val="center"/>
              <w:rPr>
                <w:rFonts w:hint="eastAsia"/>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w:t>
            </w:r>
          </w:p>
        </w:tc>
        <w:tc>
          <w:tcPr>
            <w:tcW w:w="6828" w:type="dxa"/>
            <w:vAlign w:val="center"/>
          </w:tcPr>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【主观分】</w:t>
            </w:r>
          </w:p>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售后服务：</w:t>
            </w:r>
          </w:p>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要求响应时间短，解决方案充分，备品备件储备充足，人员配备合理售后服务经验丰富。（评分范围：</w:t>
            </w:r>
            <w:r>
              <w:rPr>
                <w:rFonts w:hint="eastAsia" w:hAnsi="宋体" w:cs="Times New Roman"/>
                <w:color w:val="000000" w:themeColor="text1"/>
                <w:sz w:val="24"/>
                <w:lang w:val="en-US" w:eastAsia="zh-CN"/>
                <w14:textFill>
                  <w14:solidFill>
                    <w14:schemeClr w14:val="tx1"/>
                  </w14:solidFill>
                </w14:textFill>
              </w:rPr>
              <w:t>5，4，3，</w:t>
            </w:r>
            <w:r>
              <w:rPr>
                <w:rFonts w:hint="eastAsia" w:ascii="Times New Roman" w:hAnsi="宋体" w:eastAsia="宋体" w:cs="Times New Roman"/>
                <w:color w:val="000000" w:themeColor="text1"/>
                <w:sz w:val="24"/>
                <w14:textFill>
                  <w14:solidFill>
                    <w14:schemeClr w14:val="tx1"/>
                  </w14:solidFill>
                </w14:textFill>
              </w:rPr>
              <w:t>2，1，0）。</w:t>
            </w:r>
          </w:p>
          <w:p>
            <w:pPr>
              <w:snapToGrid w:val="0"/>
            </w:pPr>
            <w:r>
              <w:rPr>
                <w:rFonts w:hint="eastAsia" w:hAnsi="宋体" w:cs="Times New Roman"/>
                <w:color w:val="000000" w:themeColor="text1"/>
                <w:sz w:val="24"/>
                <w:lang w:val="en-US" w:eastAsia="zh-CN"/>
                <w14:textFill>
                  <w14:solidFill>
                    <w14:schemeClr w14:val="tx1"/>
                  </w14:solidFill>
                </w14:textFill>
              </w:rPr>
              <w:t>2,、</w:t>
            </w:r>
            <w:r>
              <w:rPr>
                <w:rFonts w:hint="eastAsia" w:ascii="Times New Roman" w:hAnsi="宋体" w:eastAsia="宋体" w:cs="Times New Roman"/>
                <w:color w:val="000000" w:themeColor="text1"/>
                <w:sz w:val="24"/>
                <w14:textFill>
                  <w14:solidFill>
                    <w14:schemeClr w14:val="tx1"/>
                  </w14:solidFill>
                </w14:textFill>
              </w:rPr>
              <w:t>运行及维修成本：</w:t>
            </w:r>
            <w:r>
              <w:rPr>
                <w:rFonts w:hint="eastAsia"/>
                <w:b w:val="0"/>
                <w:bCs w:val="0"/>
                <w:color w:val="auto"/>
                <w:sz w:val="24"/>
              </w:rPr>
              <w:t>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color w:val="auto"/>
                <w:sz w:val="24"/>
                <w:lang w:eastAsia="zh-CN"/>
              </w:rPr>
              <w:t>（评分范围：</w:t>
            </w:r>
            <w:r>
              <w:rPr>
                <w:rFonts w:hint="eastAsia"/>
                <w:color w:val="auto"/>
                <w:sz w:val="24"/>
                <w:lang w:val="en-US" w:eastAsia="zh-CN"/>
              </w:rPr>
              <w:t>5，4，3，2，1，0）</w:t>
            </w:r>
            <w:r>
              <w:rPr>
                <w:rFonts w:hint="eastAsia"/>
                <w:b w:val="0"/>
                <w:bCs w:val="0"/>
                <w:color w:val="auto"/>
                <w:sz w:val="24"/>
              </w:rPr>
              <w:t>。</w:t>
            </w:r>
          </w:p>
        </w:tc>
        <w:tc>
          <w:tcPr>
            <w:tcW w:w="792" w:type="dxa"/>
            <w:vAlign w:val="center"/>
          </w:tcPr>
          <w:p>
            <w:pPr>
              <w:spacing w:before="156" w:beforeLines="50" w:after="156" w:afterLines="50"/>
              <w:jc w:val="center"/>
              <w:rPr>
                <w:rFonts w:hint="eastAsia"/>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hint="eastAsia" w:eastAsia="宋体"/>
                <w:b/>
                <w:bCs/>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c>
          <w:tcPr>
            <w:tcW w:w="6828"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安装调试及验收方案：</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根据商务要求中的</w:t>
            </w:r>
            <w:r>
              <w:rPr>
                <w:rFonts w:hint="eastAsia" w:ascii="宋体" w:hAnsi="宋体"/>
                <w:color w:val="000000" w:themeColor="text1"/>
                <w:sz w:val="24"/>
                <w14:textFill>
                  <w14:solidFill>
                    <w14:schemeClr w14:val="tx1"/>
                  </w14:solidFill>
                </w14:textFill>
              </w:rPr>
              <w:t>安装调试</w:t>
            </w:r>
            <w:r>
              <w:rPr>
                <w:rFonts w:hint="eastAsia"/>
                <w:color w:val="000000" w:themeColor="text1"/>
                <w:sz w:val="24"/>
                <w14:textFill>
                  <w14:solidFill>
                    <w14:schemeClr w14:val="tx1"/>
                  </w14:solidFill>
                </w14:textFill>
              </w:rPr>
              <w:t>要求和</w:t>
            </w:r>
            <w:r>
              <w:rPr>
                <w:rFonts w:hint="eastAsia" w:ascii="宋体" w:hAnsi="宋体"/>
                <w:color w:val="000000" w:themeColor="text1"/>
                <w:sz w:val="24"/>
                <w14:textFill>
                  <w14:solidFill>
                    <w14:schemeClr w14:val="tx1"/>
                  </w14:solidFill>
                </w14:textFill>
              </w:rPr>
              <w:t>验收要求</w:t>
            </w:r>
            <w:r>
              <w:rPr>
                <w:rFonts w:hint="eastAsia"/>
                <w:color w:val="000000" w:themeColor="text1"/>
                <w:sz w:val="24"/>
                <w14:textFill>
                  <w14:solidFill>
                    <w14:schemeClr w14:val="tx1"/>
                  </w14:solidFill>
                </w14:textFill>
              </w:rPr>
              <w:t>，提供详细的</w:t>
            </w:r>
            <w:r>
              <w:rPr>
                <w:rFonts w:hint="eastAsia" w:ascii="宋体" w:hAnsi="宋体"/>
                <w:color w:val="000000" w:themeColor="text1"/>
                <w:sz w:val="24"/>
                <w14:textFill>
                  <w14:solidFill>
                    <w14:schemeClr w14:val="tx1"/>
                  </w14:solidFill>
                </w14:textFill>
              </w:rPr>
              <w:t>安装调试方案和验收方案</w:t>
            </w:r>
            <w:r>
              <w:rPr>
                <w:rFonts w:hint="eastAsia"/>
                <w:color w:val="000000" w:themeColor="text1"/>
                <w:sz w:val="24"/>
                <w14:textFill>
                  <w14:solidFill>
                    <w14:schemeClr w14:val="tx1"/>
                  </w14:solidFill>
                </w14:textFill>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color w:val="000000" w:themeColor="text1"/>
                <w:sz w:val="24"/>
                <w:lang w:val="en-US" w:eastAsia="zh-CN"/>
                <w14:textFill>
                  <w14:solidFill>
                    <w14:schemeClr w14:val="tx1"/>
                  </w14:solidFill>
                </w14:textFill>
              </w:rPr>
              <w:t>6，5，4，</w:t>
            </w:r>
            <w:r>
              <w:rPr>
                <w:rFonts w:hint="eastAsia"/>
                <w:color w:val="000000" w:themeColor="text1"/>
                <w:sz w:val="24"/>
                <w14:textFill>
                  <w14:solidFill>
                    <w14:schemeClr w14:val="tx1"/>
                  </w14:solidFill>
                </w14:textFill>
              </w:rPr>
              <w:t>3，2，1，0）。</w:t>
            </w:r>
          </w:p>
        </w:tc>
        <w:tc>
          <w:tcPr>
            <w:tcW w:w="792" w:type="dxa"/>
            <w:vAlign w:val="center"/>
          </w:tcPr>
          <w:p>
            <w:pPr>
              <w:spacing w:before="156" w:beforeLines="50" w:after="156" w:afterLines="50"/>
              <w:jc w:val="center"/>
              <w:rPr>
                <w:rFonts w:hint="eastAsia"/>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31" w:hRule="atLeast"/>
        </w:trPr>
        <w:tc>
          <w:tcPr>
            <w:tcW w:w="984" w:type="dxa"/>
            <w:vAlign w:val="center"/>
          </w:tcPr>
          <w:p>
            <w:pPr>
              <w:spacing w:before="156" w:beforeLines="50" w:after="156" w:afterLines="50"/>
              <w:jc w:val="center"/>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6</w:t>
            </w:r>
          </w:p>
        </w:tc>
        <w:tc>
          <w:tcPr>
            <w:tcW w:w="6828"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培训方案：</w:t>
            </w:r>
          </w:p>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根据商务要求中的操作应用培训要求和维修保养培训要求，提供详细的培训方案，包括培训对象、课时内容安排、师资力量安排，培训的形式等。要求培训方案考虑充分，贴合实际，师资充分，课程</w:t>
            </w:r>
            <w:r>
              <w:rPr>
                <w:rFonts w:hint="eastAsia"/>
                <w:color w:val="000000" w:themeColor="text1"/>
                <w:sz w:val="24"/>
                <w:lang w:eastAsia="zh-CN"/>
                <w14:textFill>
                  <w14:solidFill>
                    <w14:schemeClr w14:val="tx1"/>
                  </w14:solidFill>
                </w14:textFill>
              </w:rPr>
              <w:t>翔实</w:t>
            </w:r>
            <w:r>
              <w:rPr>
                <w:rFonts w:hint="eastAsia"/>
                <w:color w:val="000000" w:themeColor="text1"/>
                <w:sz w:val="24"/>
                <w14:textFill>
                  <w14:solidFill>
                    <w14:schemeClr w14:val="tx1"/>
                  </w14:solidFill>
                </w14:textFill>
              </w:rPr>
              <w:t>，安排有效。（评分范围：</w:t>
            </w:r>
            <w:r>
              <w:rPr>
                <w:rFonts w:hint="eastAsia"/>
                <w:color w:val="000000" w:themeColor="text1"/>
                <w:sz w:val="24"/>
                <w:lang w:val="en-US" w:eastAsia="zh-CN"/>
                <w14:textFill>
                  <w14:solidFill>
                    <w14:schemeClr w14:val="tx1"/>
                  </w14:solidFill>
                </w14:textFill>
              </w:rPr>
              <w:t>6，5，4，</w:t>
            </w:r>
            <w:r>
              <w:rPr>
                <w:rFonts w:hint="eastAsia"/>
                <w:color w:val="000000" w:themeColor="text1"/>
                <w:sz w:val="24"/>
                <w14:textFill>
                  <w14:solidFill>
                    <w14:schemeClr w14:val="tx1"/>
                  </w14:solidFill>
                </w14:textFill>
              </w:rPr>
              <w:t>3，2，1，0）。</w:t>
            </w:r>
          </w:p>
        </w:tc>
        <w:tc>
          <w:tcPr>
            <w:tcW w:w="792" w:type="dxa"/>
            <w:vAlign w:val="center"/>
          </w:tcPr>
          <w:p>
            <w:pPr>
              <w:spacing w:before="156" w:beforeLines="50" w:after="156" w:afterLines="50"/>
              <w:jc w:val="center"/>
              <w:rPr>
                <w:bCs/>
                <w:color w:val="000000" w:themeColor="text1"/>
                <w:sz w:val="24"/>
                <w:u w:val="none"/>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6</w:t>
            </w:r>
            <w:r>
              <w:rPr>
                <w:rFonts w:hint="eastAsia"/>
                <w:bCs/>
                <w:color w:val="000000" w:themeColor="text1"/>
                <w:sz w:val="24"/>
                <w:u w:val="none"/>
                <w14:textFill>
                  <w14:solidFill>
                    <w14:schemeClr w14:val="tx1"/>
                  </w14:solidFill>
                </w14:textFill>
              </w:rPr>
              <w:t>分</w:t>
            </w:r>
          </w:p>
        </w:tc>
      </w:tr>
    </w:tbl>
    <w:p>
      <w:pPr>
        <w:rPr>
          <w:rFonts w:hint="eastAsia"/>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解释的，其投标（响应）文件无效：1.不同供应商的电子投标（响应）文件上</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传计算机的网卡MAC地址或硬盘序列号等硬件信息相同的；2.上传的电子投标</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（响应）文件若出现使用本项目其他投标（响应）供应商的数字证书加密的，</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或者加盖本项目其他投标（响应）供应商的电子印章的；3.不同供应商的投标</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（响应）文件的内容存在三处（含）以上错误一致的；4.不同供应商联系人为</w:t>
      </w:r>
    </w:p>
    <w:p>
      <w:pPr>
        <w:pStyle w:val="6"/>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同一人或不同联系人的联系电话一致的</w:t>
      </w:r>
      <w:r>
        <w:rPr>
          <w:rFonts w:hint="eastAsia" w:ascii="宋体" w:hAnsi="宋体" w:eastAsia="宋体" w:cs="宋体"/>
          <w:b w:val="0"/>
          <w:bCs w:val="0"/>
          <w:kern w:val="0"/>
          <w:sz w:val="24"/>
          <w:szCs w:val="24"/>
          <w:lang w:val="en-US"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4.3.1符合专业条件的供应商或者对招标文件作实质响应的供应商不足3家的；</w:t>
      </w:r>
    </w:p>
    <w:p>
      <w:pPr>
        <w:pStyle w:val="28"/>
        <w:snapToGrid w:val="0"/>
        <w:spacing w:line="360" w:lineRule="auto"/>
        <w:rPr>
          <w:rFonts w:cs="宋体"/>
        </w:rPr>
      </w:pPr>
      <w:r>
        <w:rPr>
          <w:rFonts w:hint="eastAsia" w:cs="宋体"/>
        </w:rPr>
        <w:t>4.3.2出现影响采购公正的违法、违规行为的；</w:t>
      </w:r>
    </w:p>
    <w:p>
      <w:pPr>
        <w:pStyle w:val="28"/>
        <w:snapToGrid w:val="0"/>
        <w:spacing w:line="360" w:lineRule="auto"/>
        <w:rPr>
          <w:rFonts w:cs="宋体"/>
        </w:rPr>
      </w:pPr>
      <w:r>
        <w:rPr>
          <w:rFonts w:hint="eastAsia" w:cs="宋体"/>
        </w:rPr>
        <w:t>4.3.3投标人的报价均超过了采购预算，采购人不能支付的；</w:t>
      </w:r>
    </w:p>
    <w:p>
      <w:pPr>
        <w:pStyle w:val="28"/>
        <w:snapToGrid w:val="0"/>
        <w:spacing w:line="360" w:lineRule="auto"/>
        <w:rPr>
          <w:rFonts w:cs="宋体"/>
        </w:rPr>
      </w:pPr>
      <w:r>
        <w:rPr>
          <w:rFonts w:hint="eastAsia" w:cs="宋体"/>
        </w:rPr>
        <w:t>4.3.4因重大变故，采购任务取消的。</w:t>
      </w:r>
    </w:p>
    <w:p>
      <w:pPr>
        <w:pStyle w:val="28"/>
        <w:snapToGrid w:val="0"/>
        <w:spacing w:line="360" w:lineRule="auto"/>
        <w:rPr>
          <w:rFonts w:cs="宋体"/>
        </w:rPr>
      </w:pPr>
      <w:r>
        <w:rPr>
          <w:rFonts w:hint="eastAsia" w:cs="宋体"/>
        </w:rPr>
        <w:t>废标后，采购代理机构应当将废标理由通知所有投标人。</w:t>
      </w:r>
    </w:p>
    <w:p>
      <w:pPr>
        <w:pStyle w:val="28"/>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8"/>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cs="宋体"/>
        </w:rPr>
      </w:pPr>
      <w:r>
        <w:rPr>
          <w:rFonts w:hint="eastAsia" w:cs="宋体"/>
        </w:rPr>
        <w:t>4.5.4政府采购合同已经履行，给采购人、供应商造成损失的，由责任人承担赔偿责任。</w:t>
      </w:r>
    </w:p>
    <w:p>
      <w:pPr>
        <w:pStyle w:val="28"/>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_Toc86217003"/>
      <w:bookmarkStart w:id="392" w:name="第五部分"/>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712"/>
        <w:jc w:val="center"/>
        <w:rPr>
          <w:rFonts w:ascii="宋体" w:hAnsi="宋体" w:cs="宋体"/>
          <w:szCs w:val="24"/>
        </w:rPr>
      </w:pPr>
    </w:p>
    <w:p>
      <w:pPr>
        <w:pStyle w:val="28"/>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8"/>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6"/>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14"/>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14"/>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《中小企业声明函》</w:t>
      </w:r>
      <w:r>
        <w:rPr>
          <w:rFonts w:hint="eastAsia" w:ascii="宋体" w:hAnsi="宋体" w:cs="宋体"/>
          <w:sz w:val="24"/>
        </w:rPr>
        <w:t>…………………………………………………（页码</w:t>
      </w:r>
      <w:r>
        <w:rPr>
          <w:rFonts w:hint="eastAsia" w:ascii="宋体" w:hAnsi="宋体" w:cs="宋体"/>
          <w:sz w:val="24"/>
          <w:lang w:eastAsia="zh-CN"/>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）本项目的特定资格要求</w:t>
      </w:r>
      <w:r>
        <w:rPr>
          <w:rFonts w:hint="eastAsia" w:ascii="宋体" w:hAnsi="宋体" w:cs="宋体"/>
          <w:sz w:val="24"/>
        </w:rPr>
        <w:t>………………………………………………（页码</w:t>
      </w:r>
      <w:r>
        <w:rPr>
          <w:rFonts w:hint="eastAsia" w:ascii="宋体" w:hAnsi="宋体" w:cs="宋体"/>
          <w:sz w:val="24"/>
          <w:lang w:eastAsia="zh-CN"/>
        </w:rPr>
        <w:t>）</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6"/>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ind w:left="0" w:firstLine="0"/>
        <w:rPr>
          <w:rFonts w:ascii="宋体" w:hAnsi="宋体" w:eastAsia="宋体" w:cs="宋体"/>
          <w:lang w:val="en-US"/>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6"/>
        <w:rPr>
          <w:rFonts w:ascii="宋体" w:hAnsi="宋体" w:eastAsia="宋体" w:cs="宋体"/>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rFonts w:ascii="宋体" w:hAnsi="宋体" w:eastAsia="宋体" w:cs="宋体"/>
          <w:kern w:val="0"/>
        </w:rPr>
      </w:pPr>
    </w:p>
    <w:p>
      <w:pPr>
        <w:rPr>
          <w:rFonts w:ascii="宋体" w:hAnsi="宋体" w:cs="宋体"/>
          <w:b/>
          <w:kern w:val="0"/>
          <w:sz w:val="32"/>
          <w:szCs w:val="32"/>
        </w:rPr>
      </w:pPr>
    </w:p>
    <w:p>
      <w:pPr>
        <w:pStyle w:val="6"/>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7"/>
        <w:spacing w:line="400" w:lineRule="atLeast"/>
        <w:rPr>
          <w:rFonts w:hAnsi="宋体" w:cs="宋体"/>
          <w:snapToGrid/>
          <w:kern w:val="0"/>
          <w:sz w:val="24"/>
          <w:szCs w:val="24"/>
        </w:rPr>
      </w:pPr>
      <w:r>
        <w:rPr>
          <w:rFonts w:hint="eastAsia" w:hAnsi="宋体" w:cs="宋体"/>
          <w:snapToGrid/>
          <w:kern w:val="0"/>
          <w:sz w:val="24"/>
          <w:szCs w:val="24"/>
        </w:rPr>
        <w:t>注：</w:t>
      </w:r>
    </w:p>
    <w:p>
      <w:pPr>
        <w:pStyle w:val="37"/>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7"/>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7"/>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7"/>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15"/>
        </w:numPr>
        <w:snapToGrid w:val="0"/>
        <w:spacing w:line="360" w:lineRule="auto"/>
        <w:rPr>
          <w:rFonts w:hint="eastAsia" w:ascii="宋体" w:hAnsi="宋体" w:cs="宋体"/>
          <w:sz w:val="24"/>
        </w:rPr>
      </w:pPr>
      <w:r>
        <w:rPr>
          <w:rFonts w:hint="eastAsia" w:ascii="宋体" w:hAnsi="宋体" w:cs="宋体"/>
          <w:sz w:val="24"/>
        </w:rPr>
        <w:t>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16"/>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31845147"/>
    <w:bookmarkStart w:id="397" w:name="_Toc164085800"/>
    <w:bookmarkStart w:id="398" w:name="_Toc36110187"/>
    <w:bookmarkStart w:id="399" w:name="_Toc91899912"/>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诸暨</w:t>
    </w:r>
    <w:r>
      <w:t>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AE08429D"/>
    <w:multiLevelType w:val="singleLevel"/>
    <w:tmpl w:val="AE08429D"/>
    <w:lvl w:ilvl="0" w:tentative="0">
      <w:start w:val="1"/>
      <w:numFmt w:val="decimal"/>
      <w:suff w:val="nothing"/>
      <w:lvlText w:val="（%1）"/>
      <w:lvlJc w:val="left"/>
    </w:lvl>
  </w:abstractNum>
  <w:abstractNum w:abstractNumId="2">
    <w:nsid w:val="B4E0F267"/>
    <w:multiLevelType w:val="singleLevel"/>
    <w:tmpl w:val="B4E0F267"/>
    <w:lvl w:ilvl="0" w:tentative="0">
      <w:start w:val="2"/>
      <w:numFmt w:val="chineseCounting"/>
      <w:suff w:val="nothing"/>
      <w:lvlText w:val="%1、"/>
      <w:lvlJc w:val="left"/>
      <w:rPr>
        <w:rFonts w:hint="eastAsia"/>
      </w:rPr>
    </w:lvl>
  </w:abstractNum>
  <w:abstractNum w:abstractNumId="3">
    <w:nsid w:val="D948A731"/>
    <w:multiLevelType w:val="singleLevel"/>
    <w:tmpl w:val="D948A731"/>
    <w:lvl w:ilvl="0" w:tentative="0">
      <w:start w:val="1"/>
      <w:numFmt w:val="decimal"/>
      <w:suff w:val="nothing"/>
      <w:lvlText w:val="（%1）"/>
      <w:lvlJc w:val="left"/>
    </w:lvl>
  </w:abstractNum>
  <w:abstractNum w:abstractNumId="4">
    <w:nsid w:val="E6E225CA"/>
    <w:multiLevelType w:val="singleLevel"/>
    <w:tmpl w:val="E6E225CA"/>
    <w:lvl w:ilvl="0" w:tentative="0">
      <w:start w:val="1"/>
      <w:numFmt w:val="decimal"/>
      <w:suff w:val="nothing"/>
      <w:lvlText w:val="（%1）"/>
      <w:lvlJc w:val="left"/>
    </w:lvl>
  </w:abstractNum>
  <w:abstractNum w:abstractNumId="5">
    <w:nsid w:val="0F501FB3"/>
    <w:multiLevelType w:val="singleLevel"/>
    <w:tmpl w:val="0F501FB3"/>
    <w:lvl w:ilvl="0" w:tentative="0">
      <w:start w:val="1"/>
      <w:numFmt w:val="decimal"/>
      <w:suff w:val="nothing"/>
      <w:lvlText w:val="（%1）"/>
      <w:lvlJc w:val="left"/>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3D31ED"/>
    <w:multiLevelType w:val="singleLevel"/>
    <w:tmpl w:val="103D31ED"/>
    <w:lvl w:ilvl="0" w:tentative="0">
      <w:start w:val="1"/>
      <w:numFmt w:val="decimal"/>
      <w:suff w:val="nothing"/>
      <w:lvlText w:val="（%1）"/>
      <w:lvlJc w:val="left"/>
    </w:lvl>
  </w:abstractNum>
  <w:abstractNum w:abstractNumId="8">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9">
    <w:nsid w:val="292C9865"/>
    <w:multiLevelType w:val="singleLevel"/>
    <w:tmpl w:val="292C9865"/>
    <w:lvl w:ilvl="0" w:tentative="0">
      <w:start w:val="3"/>
      <w:numFmt w:val="chineseCounting"/>
      <w:suff w:val="space"/>
      <w:lvlText w:val="第%1部分"/>
      <w:lvlJc w:val="left"/>
      <w:rPr>
        <w:rFonts w:hint="eastAsia"/>
      </w:rPr>
    </w:lvl>
  </w:abstractNum>
  <w:abstractNum w:abstractNumId="10">
    <w:nsid w:val="3D09490B"/>
    <w:multiLevelType w:val="singleLevel"/>
    <w:tmpl w:val="3D09490B"/>
    <w:lvl w:ilvl="0" w:tentative="0">
      <w:start w:val="1"/>
      <w:numFmt w:val="decimal"/>
      <w:suff w:val="nothing"/>
      <w:lvlText w:val="（%1）"/>
      <w:lvlJc w:val="left"/>
    </w:lvl>
  </w:abstractNum>
  <w:abstractNum w:abstractNumId="11">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465744"/>
    <w:multiLevelType w:val="singleLevel"/>
    <w:tmpl w:val="4E465744"/>
    <w:lvl w:ilvl="0" w:tentative="0">
      <w:start w:val="1"/>
      <w:numFmt w:val="chineseCounting"/>
      <w:suff w:val="nothing"/>
      <w:lvlText w:val="%1、"/>
      <w:lvlJc w:val="left"/>
      <w:rPr>
        <w:rFonts w:hint="eastAsia"/>
      </w:rPr>
    </w:lvl>
  </w:abstractNum>
  <w:abstractNum w:abstractNumId="13">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3ED19B7"/>
    <w:multiLevelType w:val="singleLevel"/>
    <w:tmpl w:val="53ED19B7"/>
    <w:lvl w:ilvl="0" w:tentative="0">
      <w:start w:val="1"/>
      <w:numFmt w:val="decimal"/>
      <w:suff w:val="nothing"/>
      <w:lvlText w:val="（%1）"/>
      <w:lvlJc w:val="left"/>
    </w:lvl>
  </w:abstractNum>
  <w:abstractNum w:abstractNumId="15">
    <w:nsid w:val="7D60F50C"/>
    <w:multiLevelType w:val="singleLevel"/>
    <w:tmpl w:val="7D60F50C"/>
    <w:lvl w:ilvl="0" w:tentative="0">
      <w:start w:val="1"/>
      <w:numFmt w:val="chineseCounting"/>
      <w:suff w:val="nothing"/>
      <w:lvlText w:val="%1、"/>
      <w:lvlJc w:val="left"/>
      <w:rPr>
        <w:rFonts w:hint="eastAsia"/>
      </w:rPr>
    </w:lvl>
  </w:abstractNum>
  <w:num w:numId="1">
    <w:abstractNumId w:val="8"/>
  </w:num>
  <w:num w:numId="2">
    <w:abstractNumId w:val="13"/>
  </w:num>
  <w:num w:numId="3">
    <w:abstractNumId w:val="6"/>
  </w:num>
  <w:num w:numId="4">
    <w:abstractNumId w:val="11"/>
  </w:num>
  <w:num w:numId="5">
    <w:abstractNumId w:val="9"/>
  </w:num>
  <w:num w:numId="6">
    <w:abstractNumId w:val="15"/>
  </w:num>
  <w:num w:numId="7">
    <w:abstractNumId w:val="2"/>
  </w:num>
  <w:num w:numId="8">
    <w:abstractNumId w:val="4"/>
  </w:num>
  <w:num w:numId="9">
    <w:abstractNumId w:val="14"/>
  </w:num>
  <w:num w:numId="10">
    <w:abstractNumId w:val="5"/>
  </w:num>
  <w:num w:numId="11">
    <w:abstractNumId w:val="3"/>
  </w:num>
  <w:num w:numId="12">
    <w:abstractNumId w:val="7"/>
  </w:num>
  <w:num w:numId="13">
    <w:abstractNumId w:val="1"/>
  </w:num>
  <w:num w:numId="14">
    <w:abstractNumId w:val="10"/>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C85005"/>
    <w:rsid w:val="01D55165"/>
    <w:rsid w:val="01DF6BF8"/>
    <w:rsid w:val="01EC2C57"/>
    <w:rsid w:val="024F7FEB"/>
    <w:rsid w:val="026B2E25"/>
    <w:rsid w:val="026F5F9E"/>
    <w:rsid w:val="02824D4D"/>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335624"/>
    <w:rsid w:val="0944690F"/>
    <w:rsid w:val="09535675"/>
    <w:rsid w:val="095F057D"/>
    <w:rsid w:val="09642282"/>
    <w:rsid w:val="09733572"/>
    <w:rsid w:val="09772C16"/>
    <w:rsid w:val="098353B5"/>
    <w:rsid w:val="09A15E77"/>
    <w:rsid w:val="09A664D0"/>
    <w:rsid w:val="09A92330"/>
    <w:rsid w:val="09B06B87"/>
    <w:rsid w:val="09B66216"/>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5604B2"/>
    <w:rsid w:val="0E697CC6"/>
    <w:rsid w:val="0E6D5D79"/>
    <w:rsid w:val="0E794EDC"/>
    <w:rsid w:val="0E9D0089"/>
    <w:rsid w:val="0EB803EE"/>
    <w:rsid w:val="0EEC06F7"/>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10646583"/>
    <w:rsid w:val="107D4B15"/>
    <w:rsid w:val="108A3C80"/>
    <w:rsid w:val="10C26171"/>
    <w:rsid w:val="10C62435"/>
    <w:rsid w:val="10DA3734"/>
    <w:rsid w:val="10F33360"/>
    <w:rsid w:val="10F5413D"/>
    <w:rsid w:val="10FC16EA"/>
    <w:rsid w:val="11001691"/>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70062C"/>
    <w:rsid w:val="18817102"/>
    <w:rsid w:val="18830A15"/>
    <w:rsid w:val="18852B28"/>
    <w:rsid w:val="188B5321"/>
    <w:rsid w:val="18974964"/>
    <w:rsid w:val="18F71505"/>
    <w:rsid w:val="19397AAF"/>
    <w:rsid w:val="194F4112"/>
    <w:rsid w:val="19813530"/>
    <w:rsid w:val="19932372"/>
    <w:rsid w:val="19A20DD5"/>
    <w:rsid w:val="19AE03F1"/>
    <w:rsid w:val="1A071A03"/>
    <w:rsid w:val="1A0A7F67"/>
    <w:rsid w:val="1A1F16AE"/>
    <w:rsid w:val="1A3B5C77"/>
    <w:rsid w:val="1A4772F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65E96"/>
    <w:rsid w:val="1EB7330C"/>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634719"/>
    <w:rsid w:val="208921B3"/>
    <w:rsid w:val="20973DEB"/>
    <w:rsid w:val="20A77729"/>
    <w:rsid w:val="20B11601"/>
    <w:rsid w:val="20B26522"/>
    <w:rsid w:val="20B44310"/>
    <w:rsid w:val="21017557"/>
    <w:rsid w:val="211116EB"/>
    <w:rsid w:val="212C1E0B"/>
    <w:rsid w:val="213469E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3270BB3"/>
    <w:rsid w:val="233500BF"/>
    <w:rsid w:val="23377FF7"/>
    <w:rsid w:val="234A50C2"/>
    <w:rsid w:val="236B425F"/>
    <w:rsid w:val="23836192"/>
    <w:rsid w:val="23901F29"/>
    <w:rsid w:val="239C0061"/>
    <w:rsid w:val="23B908A4"/>
    <w:rsid w:val="23E95BEF"/>
    <w:rsid w:val="23FD0064"/>
    <w:rsid w:val="2446055D"/>
    <w:rsid w:val="245375B0"/>
    <w:rsid w:val="24642C0A"/>
    <w:rsid w:val="24B22173"/>
    <w:rsid w:val="24B95AD9"/>
    <w:rsid w:val="24BE24DA"/>
    <w:rsid w:val="24BF0290"/>
    <w:rsid w:val="24CF5825"/>
    <w:rsid w:val="24D663E6"/>
    <w:rsid w:val="24D77F2B"/>
    <w:rsid w:val="24FF2904"/>
    <w:rsid w:val="254A7C7B"/>
    <w:rsid w:val="25516B86"/>
    <w:rsid w:val="255E36B3"/>
    <w:rsid w:val="2570310A"/>
    <w:rsid w:val="257032D9"/>
    <w:rsid w:val="257C36EB"/>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62C1"/>
    <w:rsid w:val="2A1C7367"/>
    <w:rsid w:val="2A2815FA"/>
    <w:rsid w:val="2A6D6092"/>
    <w:rsid w:val="2A727F9B"/>
    <w:rsid w:val="2A7D76B4"/>
    <w:rsid w:val="2B437463"/>
    <w:rsid w:val="2B564F27"/>
    <w:rsid w:val="2B565B9C"/>
    <w:rsid w:val="2B7807EE"/>
    <w:rsid w:val="2BBF00EC"/>
    <w:rsid w:val="2BC37CFD"/>
    <w:rsid w:val="2BD5237F"/>
    <w:rsid w:val="2BE03C2F"/>
    <w:rsid w:val="2BE536CE"/>
    <w:rsid w:val="2BE758D9"/>
    <w:rsid w:val="2C09049E"/>
    <w:rsid w:val="2C0A653C"/>
    <w:rsid w:val="2C191F85"/>
    <w:rsid w:val="2C4C0953"/>
    <w:rsid w:val="2C9611C0"/>
    <w:rsid w:val="2CD70A53"/>
    <w:rsid w:val="2CE82D6F"/>
    <w:rsid w:val="2D013CE9"/>
    <w:rsid w:val="2D343236"/>
    <w:rsid w:val="2D583A36"/>
    <w:rsid w:val="2D866DA4"/>
    <w:rsid w:val="2DD15014"/>
    <w:rsid w:val="2DE81CB4"/>
    <w:rsid w:val="2DF72DE4"/>
    <w:rsid w:val="2E0220AF"/>
    <w:rsid w:val="2E1707A2"/>
    <w:rsid w:val="2E364637"/>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C3862"/>
    <w:rsid w:val="309379D8"/>
    <w:rsid w:val="30A270F7"/>
    <w:rsid w:val="30DF1478"/>
    <w:rsid w:val="30EC586F"/>
    <w:rsid w:val="313D505F"/>
    <w:rsid w:val="314B0F76"/>
    <w:rsid w:val="31663316"/>
    <w:rsid w:val="31895FB8"/>
    <w:rsid w:val="318A4759"/>
    <w:rsid w:val="31954974"/>
    <w:rsid w:val="31977E71"/>
    <w:rsid w:val="319C6071"/>
    <w:rsid w:val="31AC537E"/>
    <w:rsid w:val="31C42F48"/>
    <w:rsid w:val="31C460C7"/>
    <w:rsid w:val="31E3679B"/>
    <w:rsid w:val="31E732FD"/>
    <w:rsid w:val="32517576"/>
    <w:rsid w:val="32BE5C2C"/>
    <w:rsid w:val="32DC0EB2"/>
    <w:rsid w:val="32FB6478"/>
    <w:rsid w:val="33263B3F"/>
    <w:rsid w:val="336963EB"/>
    <w:rsid w:val="33782CB8"/>
    <w:rsid w:val="33816EEB"/>
    <w:rsid w:val="33EB55CD"/>
    <w:rsid w:val="33EC4C02"/>
    <w:rsid w:val="33F33909"/>
    <w:rsid w:val="340D2360"/>
    <w:rsid w:val="3410665D"/>
    <w:rsid w:val="34211214"/>
    <w:rsid w:val="34256AA5"/>
    <w:rsid w:val="342E63AB"/>
    <w:rsid w:val="346A78AF"/>
    <w:rsid w:val="34950E68"/>
    <w:rsid w:val="34986E94"/>
    <w:rsid w:val="34AF62C9"/>
    <w:rsid w:val="34CB4388"/>
    <w:rsid w:val="34D02781"/>
    <w:rsid w:val="34FA6E12"/>
    <w:rsid w:val="34FC0D73"/>
    <w:rsid w:val="350A3A1E"/>
    <w:rsid w:val="350D1B8D"/>
    <w:rsid w:val="358D5588"/>
    <w:rsid w:val="35B8262E"/>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EE7094"/>
    <w:rsid w:val="37F56CD0"/>
    <w:rsid w:val="38296C89"/>
    <w:rsid w:val="382D38D9"/>
    <w:rsid w:val="383002EB"/>
    <w:rsid w:val="38456FCA"/>
    <w:rsid w:val="38586797"/>
    <w:rsid w:val="38AA2C17"/>
    <w:rsid w:val="38BC0149"/>
    <w:rsid w:val="38BC2936"/>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252996"/>
    <w:rsid w:val="3B616CFF"/>
    <w:rsid w:val="3B6259F6"/>
    <w:rsid w:val="3B976654"/>
    <w:rsid w:val="3BC01EFC"/>
    <w:rsid w:val="3BCA786A"/>
    <w:rsid w:val="3BD31E2F"/>
    <w:rsid w:val="3BF15831"/>
    <w:rsid w:val="3C103F97"/>
    <w:rsid w:val="3C105946"/>
    <w:rsid w:val="3C2F7467"/>
    <w:rsid w:val="3C471448"/>
    <w:rsid w:val="3C5F759A"/>
    <w:rsid w:val="3C6C525A"/>
    <w:rsid w:val="3CCE23CB"/>
    <w:rsid w:val="3CD17D17"/>
    <w:rsid w:val="3D3C7F39"/>
    <w:rsid w:val="3D440F09"/>
    <w:rsid w:val="3D4504A0"/>
    <w:rsid w:val="3D6023EE"/>
    <w:rsid w:val="3D624C18"/>
    <w:rsid w:val="3D8734BB"/>
    <w:rsid w:val="3D9A11D4"/>
    <w:rsid w:val="3DA16D89"/>
    <w:rsid w:val="3DA364BE"/>
    <w:rsid w:val="3DD73EFB"/>
    <w:rsid w:val="3DE041CB"/>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F060E16"/>
    <w:rsid w:val="3F1D1096"/>
    <w:rsid w:val="3F2F0234"/>
    <w:rsid w:val="3F2F1811"/>
    <w:rsid w:val="3F4754DF"/>
    <w:rsid w:val="3F6363FE"/>
    <w:rsid w:val="3F756B8F"/>
    <w:rsid w:val="3F8A0269"/>
    <w:rsid w:val="3F8B3496"/>
    <w:rsid w:val="3F95482B"/>
    <w:rsid w:val="3FBE06D4"/>
    <w:rsid w:val="4019356B"/>
    <w:rsid w:val="402416BC"/>
    <w:rsid w:val="40592157"/>
    <w:rsid w:val="406E1CAE"/>
    <w:rsid w:val="40A0133A"/>
    <w:rsid w:val="40C31A53"/>
    <w:rsid w:val="40FF545D"/>
    <w:rsid w:val="410067C8"/>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4B790E"/>
    <w:rsid w:val="4360274F"/>
    <w:rsid w:val="43977AB6"/>
    <w:rsid w:val="43A21DFF"/>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601E0D"/>
    <w:rsid w:val="487A3E25"/>
    <w:rsid w:val="488B5503"/>
    <w:rsid w:val="48937E21"/>
    <w:rsid w:val="48964F48"/>
    <w:rsid w:val="489A0361"/>
    <w:rsid w:val="48B94FF3"/>
    <w:rsid w:val="48E37AAB"/>
    <w:rsid w:val="48E5448B"/>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245A30"/>
    <w:rsid w:val="4C440CF1"/>
    <w:rsid w:val="4C5F56F0"/>
    <w:rsid w:val="4CA0556E"/>
    <w:rsid w:val="4CB6685F"/>
    <w:rsid w:val="4CC367FE"/>
    <w:rsid w:val="4D077F3C"/>
    <w:rsid w:val="4D082101"/>
    <w:rsid w:val="4D123355"/>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162DE8"/>
    <w:rsid w:val="512E1286"/>
    <w:rsid w:val="5142540C"/>
    <w:rsid w:val="515D27D6"/>
    <w:rsid w:val="5178302C"/>
    <w:rsid w:val="518832C8"/>
    <w:rsid w:val="51A0432A"/>
    <w:rsid w:val="51A86090"/>
    <w:rsid w:val="51B7396D"/>
    <w:rsid w:val="51F00EFE"/>
    <w:rsid w:val="520B1035"/>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7A4C8B"/>
    <w:rsid w:val="558931E1"/>
    <w:rsid w:val="55923347"/>
    <w:rsid w:val="55925180"/>
    <w:rsid w:val="55983B1B"/>
    <w:rsid w:val="55A8376B"/>
    <w:rsid w:val="55C93C82"/>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217789"/>
    <w:rsid w:val="586E0A5D"/>
    <w:rsid w:val="588F4504"/>
    <w:rsid w:val="58917D2F"/>
    <w:rsid w:val="5894085C"/>
    <w:rsid w:val="58AE4F0C"/>
    <w:rsid w:val="58B85899"/>
    <w:rsid w:val="58E363A9"/>
    <w:rsid w:val="595E1678"/>
    <w:rsid w:val="596D5BD4"/>
    <w:rsid w:val="597E3DD8"/>
    <w:rsid w:val="59C905BE"/>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FC2858"/>
    <w:rsid w:val="5B0D5B7E"/>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891B7B"/>
    <w:rsid w:val="5DAD38EE"/>
    <w:rsid w:val="5DAE6B28"/>
    <w:rsid w:val="5E006862"/>
    <w:rsid w:val="5E0207B9"/>
    <w:rsid w:val="5E1834A1"/>
    <w:rsid w:val="5E1C1A26"/>
    <w:rsid w:val="5E261785"/>
    <w:rsid w:val="5E4A7017"/>
    <w:rsid w:val="5E514AB7"/>
    <w:rsid w:val="5E552BBA"/>
    <w:rsid w:val="5E611C10"/>
    <w:rsid w:val="5EFC7377"/>
    <w:rsid w:val="5F06174D"/>
    <w:rsid w:val="5F3A3602"/>
    <w:rsid w:val="5F4E4161"/>
    <w:rsid w:val="5F6277C6"/>
    <w:rsid w:val="5F6D0B1D"/>
    <w:rsid w:val="5F8D0B82"/>
    <w:rsid w:val="5FCC5339"/>
    <w:rsid w:val="5FDF3661"/>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8F031D"/>
    <w:rsid w:val="619F7F92"/>
    <w:rsid w:val="61A22F73"/>
    <w:rsid w:val="61F94C26"/>
    <w:rsid w:val="62000E56"/>
    <w:rsid w:val="62467FCB"/>
    <w:rsid w:val="624F3E49"/>
    <w:rsid w:val="62632286"/>
    <w:rsid w:val="62885958"/>
    <w:rsid w:val="62935A48"/>
    <w:rsid w:val="629C79CA"/>
    <w:rsid w:val="62F40B65"/>
    <w:rsid w:val="62FC2CFE"/>
    <w:rsid w:val="63024505"/>
    <w:rsid w:val="634A0A50"/>
    <w:rsid w:val="635B1DB5"/>
    <w:rsid w:val="63711FED"/>
    <w:rsid w:val="63880DDC"/>
    <w:rsid w:val="638D750D"/>
    <w:rsid w:val="63AC6CC0"/>
    <w:rsid w:val="63E16E6D"/>
    <w:rsid w:val="64055776"/>
    <w:rsid w:val="64184B19"/>
    <w:rsid w:val="64240056"/>
    <w:rsid w:val="643E143A"/>
    <w:rsid w:val="64526DA7"/>
    <w:rsid w:val="64577091"/>
    <w:rsid w:val="648B6EEF"/>
    <w:rsid w:val="64C158BF"/>
    <w:rsid w:val="64CE2EAA"/>
    <w:rsid w:val="650D5841"/>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25B5A"/>
    <w:rsid w:val="673E055F"/>
    <w:rsid w:val="67462B87"/>
    <w:rsid w:val="67516FFC"/>
    <w:rsid w:val="67551CE3"/>
    <w:rsid w:val="675D170D"/>
    <w:rsid w:val="67A22552"/>
    <w:rsid w:val="67B22DCC"/>
    <w:rsid w:val="67BE71AA"/>
    <w:rsid w:val="67D90273"/>
    <w:rsid w:val="67DE5875"/>
    <w:rsid w:val="67E55852"/>
    <w:rsid w:val="67EB1AB4"/>
    <w:rsid w:val="67FA1285"/>
    <w:rsid w:val="68551F4F"/>
    <w:rsid w:val="68583E7F"/>
    <w:rsid w:val="687C10C9"/>
    <w:rsid w:val="68840C16"/>
    <w:rsid w:val="68876EFB"/>
    <w:rsid w:val="68884654"/>
    <w:rsid w:val="689F444F"/>
    <w:rsid w:val="68B96DBB"/>
    <w:rsid w:val="68C12039"/>
    <w:rsid w:val="68CA2805"/>
    <w:rsid w:val="68CB062F"/>
    <w:rsid w:val="68DB2550"/>
    <w:rsid w:val="68E937A3"/>
    <w:rsid w:val="693E15D3"/>
    <w:rsid w:val="69627681"/>
    <w:rsid w:val="6977531D"/>
    <w:rsid w:val="699B2886"/>
    <w:rsid w:val="69BC2744"/>
    <w:rsid w:val="69CC2BFF"/>
    <w:rsid w:val="69FD55B8"/>
    <w:rsid w:val="6A0073B7"/>
    <w:rsid w:val="6A0B1C62"/>
    <w:rsid w:val="6A2406C8"/>
    <w:rsid w:val="6A91064B"/>
    <w:rsid w:val="6ACC6E9F"/>
    <w:rsid w:val="6ADE0BD1"/>
    <w:rsid w:val="6AE96859"/>
    <w:rsid w:val="6B147746"/>
    <w:rsid w:val="6B24787C"/>
    <w:rsid w:val="6B573233"/>
    <w:rsid w:val="6B5B6274"/>
    <w:rsid w:val="6B5E227E"/>
    <w:rsid w:val="6B722BC0"/>
    <w:rsid w:val="6B8A5AA7"/>
    <w:rsid w:val="6B935D53"/>
    <w:rsid w:val="6B9D1138"/>
    <w:rsid w:val="6BE7662F"/>
    <w:rsid w:val="6C196F71"/>
    <w:rsid w:val="6C226FCB"/>
    <w:rsid w:val="6C31226F"/>
    <w:rsid w:val="6C552F0B"/>
    <w:rsid w:val="6C8C67B7"/>
    <w:rsid w:val="6C903CD9"/>
    <w:rsid w:val="6C9D744C"/>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8335BD"/>
    <w:rsid w:val="6E8E12EF"/>
    <w:rsid w:val="6E972936"/>
    <w:rsid w:val="6ED30867"/>
    <w:rsid w:val="6ED446C5"/>
    <w:rsid w:val="6EFC52D8"/>
    <w:rsid w:val="6F1528CB"/>
    <w:rsid w:val="6F2A1F70"/>
    <w:rsid w:val="6F2A7D94"/>
    <w:rsid w:val="6F8331F1"/>
    <w:rsid w:val="6F843CD1"/>
    <w:rsid w:val="6F9F23E6"/>
    <w:rsid w:val="6FAB3EAC"/>
    <w:rsid w:val="6FAE1A09"/>
    <w:rsid w:val="6FC023DB"/>
    <w:rsid w:val="6FD75BF8"/>
    <w:rsid w:val="6FE131D6"/>
    <w:rsid w:val="6FF7698B"/>
    <w:rsid w:val="702C1C49"/>
    <w:rsid w:val="707723D0"/>
    <w:rsid w:val="70BB2E58"/>
    <w:rsid w:val="70F5661B"/>
    <w:rsid w:val="71017117"/>
    <w:rsid w:val="7107761A"/>
    <w:rsid w:val="71337846"/>
    <w:rsid w:val="71360107"/>
    <w:rsid w:val="713B688E"/>
    <w:rsid w:val="71725BB0"/>
    <w:rsid w:val="71A37ADC"/>
    <w:rsid w:val="71D43752"/>
    <w:rsid w:val="71F1796A"/>
    <w:rsid w:val="72154626"/>
    <w:rsid w:val="72262B5D"/>
    <w:rsid w:val="72283FF7"/>
    <w:rsid w:val="722E7212"/>
    <w:rsid w:val="723A0474"/>
    <w:rsid w:val="725923E4"/>
    <w:rsid w:val="727E1F06"/>
    <w:rsid w:val="72864BF7"/>
    <w:rsid w:val="729023FC"/>
    <w:rsid w:val="72953D27"/>
    <w:rsid w:val="72C11B09"/>
    <w:rsid w:val="72F23335"/>
    <w:rsid w:val="739E54A5"/>
    <w:rsid w:val="73C0646E"/>
    <w:rsid w:val="742222F5"/>
    <w:rsid w:val="74476126"/>
    <w:rsid w:val="74706664"/>
    <w:rsid w:val="747F3682"/>
    <w:rsid w:val="749C4185"/>
    <w:rsid w:val="74A831CF"/>
    <w:rsid w:val="74C50F25"/>
    <w:rsid w:val="75067759"/>
    <w:rsid w:val="7522184A"/>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9108EB"/>
    <w:rsid w:val="77D1700D"/>
    <w:rsid w:val="77EC04CC"/>
    <w:rsid w:val="78775729"/>
    <w:rsid w:val="78952C85"/>
    <w:rsid w:val="78A42DB0"/>
    <w:rsid w:val="78A656AB"/>
    <w:rsid w:val="78B2245C"/>
    <w:rsid w:val="78C5569C"/>
    <w:rsid w:val="78E172CC"/>
    <w:rsid w:val="78EA1D1F"/>
    <w:rsid w:val="7904172F"/>
    <w:rsid w:val="790B16AB"/>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C04ED5"/>
    <w:rsid w:val="7BEE0103"/>
    <w:rsid w:val="7C0A0FE4"/>
    <w:rsid w:val="7C254906"/>
    <w:rsid w:val="7C590818"/>
    <w:rsid w:val="7C7C10F6"/>
    <w:rsid w:val="7C853BEA"/>
    <w:rsid w:val="7C881368"/>
    <w:rsid w:val="7CE27788"/>
    <w:rsid w:val="7D097D0A"/>
    <w:rsid w:val="7D0C32F1"/>
    <w:rsid w:val="7D0F408D"/>
    <w:rsid w:val="7D491C6C"/>
    <w:rsid w:val="7D502836"/>
    <w:rsid w:val="7D5429C0"/>
    <w:rsid w:val="7D6577CA"/>
    <w:rsid w:val="7D6E6D43"/>
    <w:rsid w:val="7DB57A34"/>
    <w:rsid w:val="7DE60973"/>
    <w:rsid w:val="7DEF0916"/>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B5384C"/>
    <w:rsid w:val="7FD652B4"/>
    <w:rsid w:val="7FE6644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115"/>
    <w:qFormat/>
    <w:uiPriority w:val="99"/>
    <w:pPr>
      <w:ind w:firstLine="420"/>
    </w:pPr>
    <w:rPr>
      <w:rFonts w:hAnsi="Calibri" w:cs="Times New Roman"/>
      <w:snapToGrid/>
      <w:szCs w:val="20"/>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9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2">
    <w:name w:val="Document Map"/>
    <w:basedOn w:val="1"/>
    <w:link w:val="93"/>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annotation text"/>
    <w:basedOn w:val="1"/>
    <w:link w:val="94"/>
    <w:qFormat/>
    <w:uiPriority w:val="0"/>
    <w:pPr>
      <w:jc w:val="left"/>
    </w:pPr>
  </w:style>
  <w:style w:type="paragraph" w:styleId="25">
    <w:name w:val="Salutation"/>
    <w:basedOn w:val="1"/>
    <w:next w:val="1"/>
    <w:link w:val="95"/>
    <w:qFormat/>
    <w:uiPriority w:val="0"/>
    <w:rPr>
      <w:rFonts w:ascii="仿宋_GB2312" w:eastAsia="仿宋_GB2312"/>
      <w:sz w:val="28"/>
      <w:szCs w:val="20"/>
    </w:rPr>
  </w:style>
  <w:style w:type="paragraph" w:styleId="26">
    <w:name w:val="Body Text 3"/>
    <w:basedOn w:val="1"/>
    <w:link w:val="96"/>
    <w:qFormat/>
    <w:uiPriority w:val="99"/>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29"/>
    <w:link w:val="98"/>
    <w:qFormat/>
    <w:uiPriority w:val="99"/>
    <w:pPr>
      <w:spacing w:line="480" w:lineRule="exact"/>
      <w:ind w:firstLine="480" w:firstLineChars="200"/>
    </w:pPr>
    <w:rPr>
      <w:rFonts w:ascii="宋体" w:hAnsi="宋体"/>
      <w:sz w:val="24"/>
    </w:rPr>
  </w:style>
  <w:style w:type="paragraph" w:styleId="29">
    <w:name w:val="Body Text First Indent 2"/>
    <w:basedOn w:val="28"/>
    <w:next w:val="1"/>
    <w:link w:val="116"/>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0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1"/>
    <w:qFormat/>
    <w:uiPriority w:val="0"/>
    <w:pPr>
      <w:ind w:left="100" w:leftChars="2500"/>
    </w:pPr>
    <w:rPr>
      <w:rFonts w:ascii="宋体"/>
      <w:sz w:val="24"/>
      <w:szCs w:val="21"/>
      <w:lang w:val="zh-CN"/>
    </w:rPr>
  </w:style>
  <w:style w:type="paragraph" w:styleId="41">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2">
    <w:name w:val="endnote text"/>
    <w:basedOn w:val="1"/>
    <w:link w:val="103"/>
    <w:qFormat/>
    <w:uiPriority w:val="0"/>
    <w:rPr>
      <w:lang w:val="zh-CN"/>
    </w:rPr>
  </w:style>
  <w:style w:type="paragraph" w:styleId="43">
    <w:name w:val="Balloon Text"/>
    <w:basedOn w:val="1"/>
    <w:link w:val="104"/>
    <w:qFormat/>
    <w:uiPriority w:val="0"/>
    <w:rPr>
      <w:sz w:val="18"/>
      <w:szCs w:val="18"/>
    </w:rPr>
  </w:style>
  <w:style w:type="paragraph" w:styleId="44">
    <w:name w:val="footer"/>
    <w:basedOn w:val="1"/>
    <w:link w:val="105"/>
    <w:qFormat/>
    <w:uiPriority w:val="0"/>
    <w:pPr>
      <w:tabs>
        <w:tab w:val="center" w:pos="4153"/>
        <w:tab w:val="right" w:pos="8306"/>
      </w:tabs>
      <w:snapToGrid w:val="0"/>
      <w:jc w:val="left"/>
    </w:pPr>
    <w:rPr>
      <w:sz w:val="18"/>
      <w:szCs w:val="18"/>
    </w:rPr>
  </w:style>
  <w:style w:type="paragraph" w:styleId="45">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109"/>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110"/>
    <w:qFormat/>
    <w:uiPriority w:val="0"/>
    <w:pPr>
      <w:spacing w:line="360" w:lineRule="auto"/>
      <w:ind w:firstLine="420"/>
    </w:pPr>
    <w:rPr>
      <w:sz w:val="24"/>
      <w:szCs w:val="20"/>
    </w:rPr>
  </w:style>
  <w:style w:type="paragraph" w:styleId="58">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111"/>
    <w:qFormat/>
    <w:uiPriority w:val="0"/>
    <w:pPr>
      <w:spacing w:after="120" w:line="480" w:lineRule="auto"/>
    </w:pPr>
  </w:style>
  <w:style w:type="paragraph" w:styleId="62">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4"/>
    <w:next w:val="24"/>
    <w:link w:val="114"/>
    <w:qFormat/>
    <w:uiPriority w:val="0"/>
    <w:rPr>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5"/>
    <w:qFormat/>
    <w:uiPriority w:val="9"/>
    <w:rPr>
      <w:b/>
      <w:bCs/>
      <w:kern w:val="44"/>
      <w:sz w:val="44"/>
      <w:szCs w:val="44"/>
    </w:rPr>
  </w:style>
  <w:style w:type="character" w:customStyle="1" w:styleId="84">
    <w:name w:val="正文缩进 字符2"/>
    <w:link w:val="18"/>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7"/>
    <w:qFormat/>
    <w:uiPriority w:val="9"/>
    <w:rPr>
      <w:b/>
      <w:bCs/>
      <w:kern w:val="2"/>
      <w:sz w:val="32"/>
      <w:szCs w:val="32"/>
    </w:rPr>
  </w:style>
  <w:style w:type="character" w:customStyle="1" w:styleId="86">
    <w:name w:val="标题 4 字符1"/>
    <w:link w:val="8"/>
    <w:qFormat/>
    <w:uiPriority w:val="9"/>
    <w:rPr>
      <w:rFonts w:ascii="Arial" w:hAnsi="Arial" w:eastAsia="黑体"/>
      <w:b/>
      <w:bCs/>
      <w:kern w:val="2"/>
      <w:sz w:val="28"/>
      <w:szCs w:val="28"/>
      <w:lang w:val="zh-CN"/>
    </w:rPr>
  </w:style>
  <w:style w:type="character" w:customStyle="1" w:styleId="87">
    <w:name w:val="标题 5 字符1"/>
    <w:link w:val="9"/>
    <w:qFormat/>
    <w:uiPriority w:val="9"/>
    <w:rPr>
      <w:b/>
      <w:bCs/>
      <w:kern w:val="2"/>
      <w:sz w:val="28"/>
      <w:szCs w:val="28"/>
    </w:rPr>
  </w:style>
  <w:style w:type="character" w:customStyle="1" w:styleId="88">
    <w:name w:val="标题 6 字符1"/>
    <w:link w:val="10"/>
    <w:qFormat/>
    <w:uiPriority w:val="0"/>
    <w:rPr>
      <w:rFonts w:ascii="Arial" w:hAnsi="Arial" w:eastAsia="黑体"/>
      <w:b/>
      <w:bCs/>
      <w:kern w:val="2"/>
      <w:sz w:val="24"/>
      <w:szCs w:val="24"/>
    </w:rPr>
  </w:style>
  <w:style w:type="character" w:customStyle="1" w:styleId="89">
    <w:name w:val="标题 7 字符1"/>
    <w:link w:val="11"/>
    <w:qFormat/>
    <w:uiPriority w:val="0"/>
    <w:rPr>
      <w:b/>
      <w:bCs/>
      <w:kern w:val="2"/>
      <w:sz w:val="24"/>
      <w:szCs w:val="24"/>
    </w:rPr>
  </w:style>
  <w:style w:type="character" w:customStyle="1" w:styleId="90">
    <w:name w:val="标题 8 字符1"/>
    <w:link w:val="12"/>
    <w:qFormat/>
    <w:uiPriority w:val="0"/>
    <w:rPr>
      <w:rFonts w:ascii="Arial" w:hAnsi="Arial" w:eastAsia="黑体"/>
      <w:kern w:val="2"/>
      <w:sz w:val="24"/>
      <w:szCs w:val="24"/>
    </w:rPr>
  </w:style>
  <w:style w:type="character" w:customStyle="1" w:styleId="91">
    <w:name w:val="标题 9 字符1"/>
    <w:link w:val="13"/>
    <w:qFormat/>
    <w:uiPriority w:val="0"/>
    <w:rPr>
      <w:rFonts w:ascii="Arial" w:hAnsi="Arial" w:eastAsia="黑体"/>
      <w:kern w:val="2"/>
      <w:sz w:val="21"/>
      <w:szCs w:val="21"/>
    </w:rPr>
  </w:style>
  <w:style w:type="character" w:customStyle="1" w:styleId="92">
    <w:name w:val="题注 字符"/>
    <w:link w:val="19"/>
    <w:qFormat/>
    <w:uiPriority w:val="0"/>
    <w:rPr>
      <w:b/>
      <w:kern w:val="2"/>
      <w:sz w:val="28"/>
    </w:rPr>
  </w:style>
  <w:style w:type="character" w:customStyle="1" w:styleId="93">
    <w:name w:val="文档结构图 字符2"/>
    <w:link w:val="22"/>
    <w:qFormat/>
    <w:uiPriority w:val="0"/>
    <w:rPr>
      <w:kern w:val="2"/>
      <w:sz w:val="21"/>
      <w:szCs w:val="24"/>
      <w:shd w:val="clear" w:color="auto" w:fill="000080"/>
    </w:rPr>
  </w:style>
  <w:style w:type="character" w:customStyle="1" w:styleId="94">
    <w:name w:val="批注文字 字符1"/>
    <w:link w:val="24"/>
    <w:qFormat/>
    <w:uiPriority w:val="0"/>
    <w:rPr>
      <w:kern w:val="2"/>
      <w:sz w:val="21"/>
      <w:szCs w:val="24"/>
    </w:rPr>
  </w:style>
  <w:style w:type="character" w:customStyle="1" w:styleId="95">
    <w:name w:val="称呼 字符"/>
    <w:link w:val="25"/>
    <w:qFormat/>
    <w:uiPriority w:val="0"/>
    <w:rPr>
      <w:rFonts w:ascii="仿宋_GB2312" w:eastAsia="仿宋_GB2312"/>
      <w:kern w:val="2"/>
      <w:sz w:val="28"/>
    </w:rPr>
  </w:style>
  <w:style w:type="character" w:customStyle="1" w:styleId="96">
    <w:name w:val="正文文本 3 字符"/>
    <w:link w:val="26"/>
    <w:qFormat/>
    <w:uiPriority w:val="99"/>
    <w:rPr>
      <w:kern w:val="2"/>
      <w:sz w:val="21"/>
    </w:rPr>
  </w:style>
  <w:style w:type="character" w:customStyle="1" w:styleId="9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8"/>
    <w:qFormat/>
    <w:uiPriority w:val="0"/>
    <w:rPr>
      <w:rFonts w:ascii="宋体" w:hAnsi="宋体"/>
      <w:kern w:val="2"/>
      <w:sz w:val="24"/>
      <w:szCs w:val="24"/>
    </w:rPr>
  </w:style>
  <w:style w:type="character" w:customStyle="1" w:styleId="99">
    <w:name w:val="HTML 地址 字符"/>
    <w:link w:val="34"/>
    <w:qFormat/>
    <w:uiPriority w:val="0"/>
    <w:rPr>
      <w:rFonts w:ascii="宋体" w:hAnsi="宋体"/>
      <w:i/>
      <w:iCs/>
      <w:sz w:val="24"/>
      <w:szCs w:val="24"/>
    </w:rPr>
  </w:style>
  <w:style w:type="character" w:customStyle="1" w:styleId="100">
    <w:name w:val="纯文本 字符2"/>
    <w:link w:val="37"/>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40"/>
    <w:qFormat/>
    <w:uiPriority w:val="0"/>
    <w:rPr>
      <w:rFonts w:ascii="宋体"/>
      <w:kern w:val="2"/>
      <w:sz w:val="24"/>
      <w:szCs w:val="21"/>
      <w:lang w:val="zh-CN"/>
    </w:rPr>
  </w:style>
  <w:style w:type="character" w:customStyle="1" w:styleId="102">
    <w:name w:val="正文文本缩进 2 字符1"/>
    <w:link w:val="41"/>
    <w:qFormat/>
    <w:uiPriority w:val="0"/>
    <w:rPr>
      <w:rFonts w:ascii="宋体"/>
      <w:sz w:val="28"/>
    </w:rPr>
  </w:style>
  <w:style w:type="character" w:customStyle="1" w:styleId="103">
    <w:name w:val="尾注文本 字符"/>
    <w:link w:val="42"/>
    <w:qFormat/>
    <w:uiPriority w:val="0"/>
    <w:rPr>
      <w:kern w:val="2"/>
      <w:sz w:val="21"/>
      <w:szCs w:val="24"/>
      <w:lang w:val="zh-CN"/>
    </w:rPr>
  </w:style>
  <w:style w:type="character" w:customStyle="1" w:styleId="104">
    <w:name w:val="批注框文本 字符1"/>
    <w:link w:val="43"/>
    <w:qFormat/>
    <w:uiPriority w:val="0"/>
    <w:rPr>
      <w:kern w:val="2"/>
      <w:sz w:val="18"/>
      <w:szCs w:val="18"/>
    </w:rPr>
  </w:style>
  <w:style w:type="character" w:customStyle="1" w:styleId="105">
    <w:name w:val="页脚 字符2"/>
    <w:link w:val="44"/>
    <w:qFormat/>
    <w:locked/>
    <w:uiPriority w:val="99"/>
    <w:rPr>
      <w:kern w:val="2"/>
      <w:sz w:val="18"/>
      <w:szCs w:val="18"/>
    </w:rPr>
  </w:style>
  <w:style w:type="character" w:customStyle="1" w:styleId="106">
    <w:name w:val="页眉 字符2"/>
    <w:link w:val="45"/>
    <w:qFormat/>
    <w:uiPriority w:val="99"/>
    <w:rPr>
      <w:kern w:val="2"/>
      <w:sz w:val="18"/>
      <w:szCs w:val="18"/>
    </w:rPr>
  </w:style>
  <w:style w:type="character" w:customStyle="1" w:styleId="107">
    <w:name w:val="签名 字符"/>
    <w:link w:val="46"/>
    <w:qFormat/>
    <w:uiPriority w:val="0"/>
    <w:rPr>
      <w:rFonts w:eastAsia="仿宋_GB2312"/>
      <w:sz w:val="24"/>
    </w:rPr>
  </w:style>
  <w:style w:type="character" w:customStyle="1" w:styleId="108">
    <w:name w:val="副标题 字符"/>
    <w:link w:val="51"/>
    <w:qFormat/>
    <w:uiPriority w:val="0"/>
    <w:rPr>
      <w:rFonts w:ascii="Arial" w:hAnsi="Arial" w:eastAsia="隶书"/>
      <w:b/>
      <w:bCs/>
      <w:kern w:val="28"/>
      <w:sz w:val="44"/>
      <w:szCs w:val="32"/>
      <w:lang w:val="en-US" w:eastAsia="zh-CN" w:bidi="ar-SA"/>
    </w:rPr>
  </w:style>
  <w:style w:type="character" w:customStyle="1" w:styleId="109">
    <w:name w:val="脚注文本 字符"/>
    <w:link w:val="54"/>
    <w:qFormat/>
    <w:uiPriority w:val="0"/>
    <w:rPr>
      <w:color w:val="0000FF"/>
      <w:sz w:val="21"/>
    </w:rPr>
  </w:style>
  <w:style w:type="character" w:customStyle="1" w:styleId="110">
    <w:name w:val="正文文本缩进 3 字符"/>
    <w:link w:val="57"/>
    <w:qFormat/>
    <w:uiPriority w:val="0"/>
    <w:rPr>
      <w:kern w:val="2"/>
      <w:sz w:val="24"/>
    </w:rPr>
  </w:style>
  <w:style w:type="character" w:customStyle="1" w:styleId="111">
    <w:name w:val="正文文本 2 字符1"/>
    <w:link w:val="61"/>
    <w:qFormat/>
    <w:uiPriority w:val="0"/>
    <w:rPr>
      <w:kern w:val="2"/>
      <w:sz w:val="21"/>
      <w:szCs w:val="24"/>
    </w:rPr>
  </w:style>
  <w:style w:type="character" w:customStyle="1" w:styleId="112">
    <w:name w:val="HTML 预设格式 字符"/>
    <w:link w:val="62"/>
    <w:qFormat/>
    <w:uiPriority w:val="0"/>
    <w:rPr>
      <w:rFonts w:ascii="黑体" w:hAnsi="Courier New" w:eastAsia="黑体"/>
    </w:rPr>
  </w:style>
  <w:style w:type="character" w:customStyle="1" w:styleId="113">
    <w:name w:val="标题 字符1"/>
    <w:link w:val="64"/>
    <w:qFormat/>
    <w:uiPriority w:val="0"/>
    <w:rPr>
      <w:b/>
      <w:sz w:val="24"/>
      <w:lang w:val="en-GB"/>
    </w:rPr>
  </w:style>
  <w:style w:type="character" w:customStyle="1" w:styleId="114">
    <w:name w:val="批注主题 字符1"/>
    <w:link w:val="65"/>
    <w:qFormat/>
    <w:uiPriority w:val="0"/>
    <w:rPr>
      <w:b/>
      <w:bCs/>
      <w:kern w:val="2"/>
      <w:sz w:val="21"/>
      <w:szCs w:val="24"/>
    </w:rPr>
  </w:style>
  <w:style w:type="character" w:customStyle="1" w:styleId="115">
    <w:name w:val="正文首行缩进 字符"/>
    <w:link w:val="3"/>
    <w:qFormat/>
    <w:uiPriority w:val="99"/>
    <w:rPr>
      <w:rFonts w:ascii="宋体"/>
      <w:kern w:val="2"/>
      <w:sz w:val="24"/>
      <w:lang w:val="zh-CN"/>
    </w:rPr>
  </w:style>
  <w:style w:type="character" w:customStyle="1" w:styleId="116">
    <w:name w:val="正文首行缩进 2 字符"/>
    <w:link w:val="29"/>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6"/>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8"/>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8"/>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8"/>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6"/>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7"/>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9"/>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7"/>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8"/>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5"/>
    <w:qFormat/>
    <w:uiPriority w:val="0"/>
    <w:pPr>
      <w:tabs>
        <w:tab w:val="left" w:pos="840"/>
      </w:tabs>
      <w:adjustRightInd/>
      <w:ind w:left="840" w:hanging="420"/>
    </w:pPr>
  </w:style>
  <w:style w:type="paragraph" w:customStyle="1" w:styleId="63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8"/>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1"/>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7"/>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2"/>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9"/>
    <w:next w:val="1"/>
    <w:qFormat/>
    <w:uiPriority w:val="0"/>
    <w:pPr>
      <w:tabs>
        <w:tab w:val="left" w:pos="1080"/>
      </w:tabs>
      <w:ind w:left="1080" w:hanging="1080"/>
    </w:pPr>
  </w:style>
  <w:style w:type="paragraph" w:customStyle="1" w:styleId="906">
    <w:name w:val="数字标题1"/>
    <w:basedOn w:val="5"/>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5"/>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5"/>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3"/>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正文文本 31"/>
    <w:basedOn w:val="1"/>
    <w:qFormat/>
    <w:uiPriority w:val="0"/>
    <w:pPr>
      <w:spacing w:after="120"/>
    </w:pPr>
    <w:rPr>
      <w:sz w:val="16"/>
      <w:szCs w:val="16"/>
    </w:rPr>
  </w:style>
  <w:style w:type="paragraph" w:customStyle="1" w:styleId="1021">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2">
    <w:name w:val="Plain Text"/>
    <w:basedOn w:val="1023"/>
    <w:qFormat/>
    <w:uiPriority w:val="0"/>
    <w:pPr>
      <w:widowControl/>
      <w:jc w:val="left"/>
    </w:pPr>
    <w:rPr>
      <w:rFonts w:ascii="宋体" w:hAnsi="Courier New"/>
    </w:rPr>
  </w:style>
  <w:style w:type="paragraph" w:customStyle="1" w:styleId="10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4">
    <w:name w:val="_Style 10"/>
    <w:basedOn w:val="1"/>
    <w:qFormat/>
    <w:uiPriority w:val="99"/>
  </w:style>
  <w:style w:type="paragraph" w:customStyle="1" w:styleId="1025">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64</Pages>
  <Words>30679</Words>
  <Characters>32591</Characters>
  <Lines>328</Lines>
  <Paragraphs>92</Paragraphs>
  <TotalTime>0</TotalTime>
  <ScaleCrop>false</ScaleCrop>
  <LinksUpToDate>false</LinksUpToDate>
  <CharactersWithSpaces>36431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2023-05-20T23:00:00Z</dcterms:created>
  <dc:creator>玥</dc:creator>
  <cp:lastModifiedBy>lenovo</cp:lastModifiedBy>
  <cp:lastPrinted>2025-01-03T14:32:00Z</cp:lastPrinted>
  <dcterms:modified xsi:type="dcterms:W3CDTF">2025-06-19T08:49:17Z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CBF6AF7D8AD54F039658C53900D48088</vt:lpwstr>
  </property>
</Properties>
</file>