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20" w:firstLineChars="0"/>
        <w:jc w:val="center"/>
        <w:rPr>
          <w:rFonts w:hint="eastAsia" w:ascii="宋体" w:hAnsi="宋体" w:eastAsia="宋体" w:cs="宋体"/>
          <w:b/>
          <w:bCs/>
          <w:sz w:val="44"/>
          <w:szCs w:val="44"/>
          <w:lang w:val="en-US" w:eastAsia="zh-CN"/>
        </w:rPr>
      </w:pPr>
      <w:bookmarkStart w:id="0" w:name="OLE_LINK5"/>
      <w:bookmarkStart w:id="1" w:name="OLE_LINK3"/>
      <w:r>
        <w:rPr>
          <w:rFonts w:hint="eastAsia" w:ascii="宋体" w:hAnsi="宋体" w:eastAsia="宋体" w:cs="宋体"/>
          <w:b/>
          <w:bCs/>
          <w:sz w:val="44"/>
          <w:szCs w:val="44"/>
          <w:lang w:val="en-US" w:eastAsia="zh-CN"/>
        </w:rPr>
        <w:t>诸暨市</w:t>
      </w:r>
      <w:r>
        <w:rPr>
          <w:rFonts w:hint="eastAsia" w:ascii="宋体" w:hAnsi="宋体" w:cs="宋体"/>
          <w:b/>
          <w:bCs/>
          <w:sz w:val="44"/>
          <w:szCs w:val="44"/>
          <w:lang w:val="en-US" w:eastAsia="zh-CN"/>
        </w:rPr>
        <w:t>湄池中学学生宿舍家具（第一期）</w:t>
      </w:r>
      <w:r>
        <w:rPr>
          <w:rFonts w:hint="eastAsia" w:ascii="宋体" w:hAnsi="宋体" w:eastAsia="宋体" w:cs="宋体"/>
          <w:b/>
          <w:bCs/>
          <w:sz w:val="44"/>
          <w:szCs w:val="44"/>
          <w:lang w:val="en-US" w:eastAsia="zh-CN"/>
        </w:rPr>
        <w:t>采购项目</w:t>
      </w:r>
      <w:bookmarkEnd w:id="0"/>
    </w:p>
    <w:bookmarkEnd w:id="1"/>
    <w:p>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w:t>
      </w:r>
    </w:p>
    <w:p>
      <w:pPr>
        <w:adjustRightInd/>
        <w:spacing w:line="360" w:lineRule="auto"/>
        <w:jc w:val="center"/>
        <w:rPr>
          <w:rFonts w:ascii="宋体" w:hAnsi="宋体" w:cs="宋体"/>
          <w:b/>
          <w:sz w:val="44"/>
          <w:szCs w:val="44"/>
        </w:rPr>
      </w:pP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eastAsia="zh-CN"/>
        </w:rPr>
        <w:t>0</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17</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jc w:val="both"/>
        <w:rPr>
          <w:rFonts w:hint="eastAsia" w:ascii="宋体" w:hAnsi="宋体" w:eastAsia="宋体" w:cs="宋体"/>
          <w:bCs/>
          <w:sz w:val="32"/>
          <w:szCs w:val="32"/>
        </w:rPr>
      </w:pPr>
    </w:p>
    <w:p>
      <w:pPr>
        <w:spacing w:line="360" w:lineRule="auto"/>
        <w:jc w:val="center"/>
        <w:rPr>
          <w:rFonts w:hint="eastAsia" w:ascii="宋体" w:hAnsi="宋体" w:eastAsia="宋体" w:cs="宋体"/>
          <w:bCs/>
          <w:sz w:val="32"/>
          <w:szCs w:val="32"/>
          <w:lang w:val="en-US" w:eastAsia="zh-CN"/>
        </w:rPr>
      </w:pPr>
      <w:r>
        <w:rPr>
          <w:rFonts w:hint="eastAsia" w:ascii="宋体" w:hAnsi="宋体" w:eastAsia="宋体" w:cs="宋体"/>
          <w:bCs/>
          <w:sz w:val="32"/>
          <w:szCs w:val="32"/>
        </w:rPr>
        <w:t>诸暨市</w:t>
      </w:r>
      <w:r>
        <w:rPr>
          <w:rFonts w:hint="eastAsia" w:ascii="宋体" w:hAnsi="宋体" w:cs="宋体"/>
          <w:bCs/>
          <w:sz w:val="32"/>
          <w:szCs w:val="32"/>
          <w:lang w:val="en-US" w:eastAsia="zh-CN"/>
        </w:rPr>
        <w:t>湄池中学</w:t>
      </w:r>
    </w:p>
    <w:p>
      <w:pPr>
        <w:spacing w:line="360" w:lineRule="auto"/>
        <w:jc w:val="center"/>
        <w:rPr>
          <w:rFonts w:ascii="宋体" w:hAnsi="宋体" w:cs="宋体"/>
          <w:bCs/>
          <w:sz w:val="32"/>
          <w:szCs w:val="32"/>
        </w:rPr>
      </w:pP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2" w:name="_Hlt91233176"/>
      <w:bookmarkEnd w:id="2"/>
      <w:bookmarkStart w:id="3"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4" w:name="第一部分"/>
      <w:r>
        <w:rPr>
          <w:rFonts w:ascii="仿宋" w:hAnsi="仿宋" w:eastAsia="仿宋" w:cs="仿宋_GB2312"/>
          <w:b/>
          <w:sz w:val="36"/>
          <w:szCs w:val="36"/>
        </w:rPr>
        <w:br w:type="page"/>
      </w:r>
      <w:bookmarkEnd w:id="3"/>
      <w:bookmarkEnd w:id="4"/>
      <w:bookmarkStart w:id="5" w:name="_Hlt74649545"/>
      <w:bookmarkEnd w:id="5"/>
      <w:bookmarkStart w:id="6" w:name="_Hlt74729822"/>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bookmarkStart w:id="12" w:name="OLE_LINK19"/>
      <w:r>
        <w:rPr>
          <w:rFonts w:hint="eastAsia" w:ascii="宋体" w:hAnsi="宋体" w:eastAsia="宋体" w:cs="宋体"/>
          <w:sz w:val="24"/>
          <w:u w:val="single"/>
        </w:rPr>
        <w:t>诸暨</w:t>
      </w:r>
      <w:r>
        <w:rPr>
          <w:rFonts w:hint="eastAsia" w:ascii="宋体" w:hAnsi="宋体" w:eastAsia="宋体" w:cs="宋体"/>
          <w:sz w:val="24"/>
          <w:u w:val="single"/>
          <w:lang w:val="en-US" w:eastAsia="zh-CN"/>
        </w:rPr>
        <w:t>市湄池中学学生宿舍家具（第一期）采购项目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bookmarkEnd w:id="12"/>
    <w:p>
      <w:pPr>
        <w:spacing w:line="360" w:lineRule="auto"/>
        <w:rPr>
          <w:rFonts w:ascii="宋体" w:hAnsi="宋体" w:cs="宋体"/>
          <w:b/>
          <w:sz w:val="24"/>
        </w:rPr>
      </w:pPr>
      <w:r>
        <w:rPr>
          <w:rFonts w:hint="eastAsia" w:ascii="宋体" w:hAnsi="宋体" w:cs="宋体"/>
          <w:b/>
          <w:sz w:val="24"/>
        </w:rPr>
        <w:t xml:space="preserve">一、项目基本情况                                            </w:t>
      </w:r>
    </w:p>
    <w:p>
      <w:pPr>
        <w:pStyle w:val="800"/>
        <w:autoSpaceDE w:val="0"/>
        <w:autoSpaceDN w:val="0"/>
        <w:adjustRightInd w:val="0"/>
        <w:spacing w:after="120"/>
        <w:ind w:firstLine="482"/>
        <w:rPr>
          <w:rFonts w:hint="default" w:ascii="宋体" w:hAnsi="宋体" w:cs="宋体"/>
          <w:b/>
          <w:lang w:val="en-US"/>
        </w:rPr>
      </w:pPr>
      <w:r>
        <w:rPr>
          <w:rFonts w:hint="eastAsia" w:ascii="宋体" w:hAnsi="宋体" w:cs="宋体"/>
          <w:b/>
          <w:sz w:val="24"/>
        </w:rPr>
        <w:t>项目</w:t>
      </w:r>
      <w:r>
        <w:rPr>
          <w:rFonts w:hint="eastAsia" w:ascii="宋体" w:hAnsi="宋体" w:cs="宋体"/>
          <w:b/>
        </w:rPr>
        <w:t>编号：诸政采202</w:t>
      </w:r>
      <w:r>
        <w:rPr>
          <w:rFonts w:hint="eastAsia" w:ascii="宋体" w:hAnsi="宋体" w:cs="宋体"/>
          <w:b/>
          <w:lang w:val="en-US" w:eastAsia="zh-CN"/>
        </w:rPr>
        <w:t>5</w:t>
      </w:r>
      <w:r>
        <w:rPr>
          <w:rFonts w:hint="eastAsia" w:ascii="宋体" w:hAnsi="宋体" w:cs="宋体"/>
          <w:b/>
        </w:rPr>
        <w:t>-</w:t>
      </w:r>
      <w:r>
        <w:rPr>
          <w:rFonts w:hint="eastAsia" w:ascii="宋体" w:hAnsi="宋体" w:cs="宋体"/>
          <w:b/>
          <w:lang w:val="en-US" w:eastAsia="zh-CN"/>
        </w:rPr>
        <w:t>05</w:t>
      </w:r>
      <w:r>
        <w:rPr>
          <w:rFonts w:hint="eastAsia" w:ascii="宋体" w:hAnsi="宋体" w:cs="宋体"/>
          <w:b/>
        </w:rPr>
        <w:t>-</w:t>
      </w:r>
      <w:r>
        <w:rPr>
          <w:rFonts w:hint="eastAsia" w:ascii="宋体" w:hAnsi="宋体" w:cs="宋体"/>
          <w:b/>
          <w:lang w:val="en-US" w:eastAsia="zh-CN"/>
        </w:rPr>
        <w:t>17</w:t>
      </w:r>
    </w:p>
    <w:p>
      <w:pPr>
        <w:pStyle w:val="800"/>
        <w:autoSpaceDE w:val="0"/>
        <w:autoSpaceDN w:val="0"/>
        <w:adjustRightInd w:val="0"/>
        <w:spacing w:after="120"/>
        <w:ind w:firstLine="482"/>
        <w:rPr>
          <w:rFonts w:hint="eastAsia" w:ascii="宋体" w:hAnsi="宋体" w:cs="宋体"/>
          <w:b/>
          <w:lang w:val="en-US" w:eastAsia="zh-CN"/>
        </w:rPr>
      </w:pPr>
      <w:r>
        <w:rPr>
          <w:rFonts w:hint="eastAsia" w:ascii="宋体" w:hAnsi="宋体" w:cs="宋体"/>
          <w:b/>
        </w:rPr>
        <w:t>项目名称：</w:t>
      </w:r>
      <w:r>
        <w:rPr>
          <w:rFonts w:hint="eastAsia" w:ascii="宋体" w:hAnsi="宋体" w:cs="宋体"/>
          <w:b/>
          <w:lang w:val="en-US" w:eastAsia="zh-CN"/>
        </w:rPr>
        <w:t>诸暨市湄池中学学生宿舍家具（第一期）采购项目</w:t>
      </w:r>
    </w:p>
    <w:p>
      <w:pPr>
        <w:pStyle w:val="800"/>
        <w:autoSpaceDE w:val="0"/>
        <w:autoSpaceDN w:val="0"/>
        <w:adjustRightInd w:val="0"/>
        <w:spacing w:after="120"/>
        <w:ind w:firstLine="482"/>
        <w:rPr>
          <w:rFonts w:hint="eastAsia" w:ascii="宋体" w:hAnsi="宋体" w:cs="宋体"/>
          <w:b/>
          <w:lang w:val="en-US" w:eastAsia="zh-CN"/>
        </w:rPr>
      </w:pPr>
      <w:bookmarkStart w:id="13" w:name="OLE_LINK15"/>
      <w:r>
        <w:rPr>
          <w:rFonts w:hint="eastAsia" w:ascii="宋体" w:hAnsi="宋体" w:cs="宋体"/>
          <w:b/>
        </w:rPr>
        <w:t>预算金额（元）：</w:t>
      </w:r>
      <w:bookmarkStart w:id="14" w:name="OLE_LINK9"/>
      <w:bookmarkStart w:id="15" w:name="OLE_LINK16"/>
      <w:r>
        <w:rPr>
          <w:rFonts w:hint="eastAsia" w:ascii="宋体" w:hAnsi="宋体" w:cs="宋体"/>
          <w:b/>
          <w:lang w:val="en-US" w:eastAsia="zh-CN"/>
        </w:rPr>
        <w:t>913930元</w:t>
      </w:r>
      <w:bookmarkEnd w:id="14"/>
    </w:p>
    <w:bookmarkEnd w:id="13"/>
    <w:bookmarkEnd w:id="15"/>
    <w:p>
      <w:pPr>
        <w:pStyle w:val="800"/>
        <w:autoSpaceDE w:val="0"/>
        <w:autoSpaceDN w:val="0"/>
        <w:adjustRightInd w:val="0"/>
        <w:spacing w:after="120"/>
        <w:ind w:firstLine="482"/>
        <w:rPr>
          <w:rFonts w:hint="default" w:ascii="宋体" w:hAnsi="宋体" w:eastAsia="宋体" w:cs="宋体"/>
          <w:sz w:val="24"/>
          <w:lang w:val="en-US" w:eastAsia="zh-CN"/>
        </w:rPr>
      </w:pPr>
      <w:bookmarkStart w:id="16" w:name="OLE_LINK8"/>
      <w:r>
        <w:rPr>
          <w:rFonts w:hint="eastAsia" w:ascii="宋体" w:hAnsi="宋体" w:cs="宋体"/>
          <w:b/>
        </w:rPr>
        <w:t>最高限价（元</w:t>
      </w:r>
      <w:r>
        <w:rPr>
          <w:rFonts w:hint="eastAsia" w:ascii="宋体" w:hAnsi="宋体" w:cs="宋体"/>
          <w:b/>
          <w:sz w:val="24"/>
        </w:rPr>
        <w:t>）</w:t>
      </w:r>
      <w:r>
        <w:rPr>
          <w:rFonts w:hint="eastAsia" w:ascii="宋体" w:hAnsi="宋体" w:cs="宋体"/>
          <w:b/>
          <w:sz w:val="24"/>
          <w:lang w:eastAsia="zh-CN"/>
        </w:rPr>
        <w:t>：</w:t>
      </w:r>
      <w:r>
        <w:rPr>
          <w:rFonts w:hint="eastAsia" w:ascii="宋体" w:hAnsi="宋体" w:cs="宋体"/>
          <w:b/>
          <w:lang w:val="en-US" w:eastAsia="zh-CN"/>
        </w:rPr>
        <w:t>913930元</w:t>
      </w:r>
    </w:p>
    <w:bookmarkEnd w:id="16"/>
    <w:p>
      <w:pPr>
        <w:pStyle w:val="800"/>
        <w:autoSpaceDE w:val="0"/>
        <w:autoSpaceDN w:val="0"/>
        <w:adjustRightInd w:val="0"/>
        <w:spacing w:after="120"/>
        <w:ind w:firstLine="482"/>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7"/>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480" w:firstLineChars="200"/>
        <w:rPr>
          <w:rFonts w:ascii="宋体" w:hAnsi="宋体" w:cs="宋体"/>
          <w:bCs/>
          <w:sz w:val="24"/>
        </w:rPr>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dtPr>
            <w:sdtEndPr>
              <w:rPr>
                <w:rFonts w:hint="eastAsia" w:ascii="宋体" w:hAnsi="宋体" w:cs="宋体"/>
                <w:bCs/>
                <w:sz w:val="24"/>
              </w:rPr>
            </w:sdtEndPr>
            <w:sdtContent>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rPr>
                    <w:sym w:font="Wingdings" w:char="F0FE"/>
                  </w:r>
                  <w:bookmarkStart w:id="17" w:name="OLE_LINK17"/>
                </w:sdtContent>
              </w:sdt>
            </w:sdtContent>
          </w:sdt>
        </w:sdtContent>
      </w:sdt>
      <w:r>
        <w:rPr>
          <w:rFonts w:hint="eastAsia" w:ascii="宋体" w:hAnsi="宋体" w:cs="宋体"/>
          <w:bCs/>
          <w:sz w:val="24"/>
        </w:rPr>
        <w:t>专门面向中小企业</w:t>
      </w:r>
      <w:bookmarkEnd w:id="17"/>
      <w:r>
        <w:rPr>
          <w:rFonts w:hint="eastAsia" w:ascii="宋体" w:hAnsi="宋体" w:cs="宋体"/>
          <w:bCs/>
          <w:sz w:val="24"/>
        </w:rPr>
        <w:t>。</w:t>
      </w:r>
    </w:p>
    <w:p>
      <w:pPr>
        <w:spacing w:line="360" w:lineRule="auto"/>
        <w:ind w:firstLine="480"/>
        <w:rPr>
          <w:rFonts w:ascii="宋体" w:hAnsi="宋体" w:cs="宋体"/>
          <w:bCs/>
          <w:sz w:val="24"/>
        </w:rPr>
      </w:pPr>
      <w:r>
        <w:rPr>
          <w:rFonts w:hint="eastAsia" w:ascii="宋体" w:hAnsi="宋体" w:cs="宋体"/>
          <w:bCs/>
          <w:sz w:val="24"/>
        </w:rPr>
        <w:t>4.本项目的特定资格要求：无。</w:t>
      </w:r>
    </w:p>
    <w:p>
      <w:pPr>
        <w:spacing w:line="360" w:lineRule="auto"/>
        <w:rPr>
          <w:rFonts w:ascii="宋体" w:hAnsi="宋体" w:cs="宋体"/>
          <w:b/>
          <w:sz w:val="24"/>
        </w:rPr>
      </w:pPr>
      <w:r>
        <w:rPr>
          <w:rFonts w:hint="eastAsia" w:ascii="宋体" w:hAnsi="宋体" w:cs="宋体"/>
          <w:b/>
          <w:sz w:val="24"/>
        </w:rPr>
        <w:t xml:space="preserve">三、获取招标文件 </w:t>
      </w:r>
    </w:p>
    <w:p>
      <w:pPr>
        <w:pStyle w:val="34"/>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5</w:t>
      </w:r>
      <w:r>
        <w:rPr>
          <w:rFonts w:hint="eastAsia" w:hAnsi="宋体" w:cs="宋体"/>
          <w:sz w:val="24"/>
          <w:u w:val="single"/>
        </w:rPr>
        <w:t>月</w:t>
      </w:r>
      <w:r>
        <w:rPr>
          <w:rFonts w:hint="eastAsia" w:hAnsi="宋体" w:cs="宋体"/>
          <w:sz w:val="24"/>
          <w:u w:val="single"/>
          <w:lang w:val="en-US" w:eastAsia="zh-CN"/>
        </w:rPr>
        <w:t>29</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6</w:t>
      </w:r>
      <w:r>
        <w:rPr>
          <w:rFonts w:hint="eastAsia" w:hAnsi="宋体" w:cs="宋体"/>
          <w:sz w:val="24"/>
          <w:u w:val="single"/>
        </w:rPr>
        <w:t>月</w:t>
      </w:r>
      <w:r>
        <w:rPr>
          <w:rFonts w:hint="eastAsia" w:hAnsi="宋体" w:cs="宋体"/>
          <w:sz w:val="24"/>
          <w:u w:val="single"/>
          <w:lang w:val="en-US" w:eastAsia="zh-CN"/>
        </w:rPr>
        <w:t>6</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4"/>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24</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30</w:t>
      </w:r>
      <w:r>
        <w:rPr>
          <w:rFonts w:hint="eastAsia" w:hAnsi="宋体" w:cs="宋体"/>
          <w:sz w:val="24"/>
        </w:rPr>
        <w:t>分（北京时间）前按照电子投标要求将电子加密标书上传到政府采购云平台，逾期或未上传成功的将导致无法投标或投标无效。</w:t>
      </w:r>
    </w:p>
    <w:p>
      <w:pPr>
        <w:pStyle w:val="34"/>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numPr>
          <w:ilvl w:val="0"/>
          <w:numId w:val="0"/>
        </w:numPr>
        <w:spacing w:line="360" w:lineRule="auto"/>
      </w:pP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bookmarkStart w:id="18" w:name="OLE_LINK12"/>
      <w:bookmarkStart w:id="19" w:name="OLE_LINK2"/>
      <w:r>
        <w:rPr>
          <w:rFonts w:hint="eastAsia" w:ascii="宋体" w:hAnsi="宋体" w:cs="宋体"/>
          <w:sz w:val="24"/>
        </w:rPr>
        <w:t>1.采购人信息</w:t>
      </w:r>
    </w:p>
    <w:bookmarkEnd w:id="18"/>
    <w:p>
      <w:pPr>
        <w:spacing w:line="360" w:lineRule="auto"/>
        <w:ind w:firstLine="48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    称：诸暨市湄池中学</w:t>
      </w:r>
    </w:p>
    <w:p>
      <w:pPr>
        <w:spacing w:line="360" w:lineRule="auto"/>
        <w:ind w:firstLine="48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    址：诸暨市店口镇解放路380号</w:t>
      </w:r>
    </w:p>
    <w:p>
      <w:pPr>
        <w:spacing w:line="360" w:lineRule="auto"/>
        <w:ind w:firstLine="48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项目联系人（询问）：蒋成伟</w:t>
      </w:r>
    </w:p>
    <w:p>
      <w:pPr>
        <w:spacing w:line="360" w:lineRule="auto"/>
        <w:ind w:firstLine="48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项目联系方式（询问）：0575-89079966，18967576015</w:t>
      </w:r>
    </w:p>
    <w:p>
      <w:pPr>
        <w:spacing w:line="360" w:lineRule="auto"/>
        <w:ind w:firstLine="48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质疑联系人（询问）：殷加兴</w:t>
      </w:r>
      <w:r>
        <w:rPr>
          <w:rFonts w:hint="eastAsia" w:ascii="宋体" w:hAnsi="宋体" w:eastAsia="宋体" w:cs="宋体"/>
          <w:color w:val="000000"/>
          <w:kern w:val="0"/>
          <w:sz w:val="24"/>
          <w:szCs w:val="24"/>
          <w:lang w:val="en-US" w:eastAsia="zh-CN" w:bidi="ar-SA"/>
        </w:rPr>
        <w:br w:type="textWrapping"/>
      </w:r>
      <w:r>
        <w:rPr>
          <w:rFonts w:hint="eastAsia" w:ascii="宋体" w:hAnsi="宋体" w:eastAsia="宋体" w:cs="宋体"/>
          <w:color w:val="000000"/>
          <w:kern w:val="0"/>
          <w:sz w:val="24"/>
          <w:szCs w:val="24"/>
          <w:lang w:val="en-US" w:eastAsia="zh-CN" w:bidi="ar-SA"/>
        </w:rPr>
        <w:t>　　质疑联系方式（询问）：0575-89079966，18967576015</w:t>
      </w:r>
    </w:p>
    <w:p>
      <w:pPr>
        <w:pStyle w:val="81"/>
        <w:rPr>
          <w:rFonts w:hint="eastAsia"/>
        </w:rPr>
      </w:pPr>
    </w:p>
    <w:bookmarkEnd w:id="19"/>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杨晔</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hint="eastAsia"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联系人 ：</w:t>
      </w:r>
      <w:r>
        <w:rPr>
          <w:rFonts w:hint="eastAsia" w:ascii="宋体" w:hAnsi="宋体" w:eastAsia="宋体" w:cs="宋体"/>
          <w:sz w:val="24"/>
          <w:lang w:val="en-US" w:eastAsia="zh-CN"/>
        </w:rPr>
        <w:t xml:space="preserve">吕雅玲           </w:t>
      </w:r>
      <w:r>
        <w:rPr>
          <w:rFonts w:hint="eastAsia" w:ascii="宋体" w:hAnsi="宋体" w:eastAsia="宋体" w:cs="宋体"/>
          <w:sz w:val="24"/>
        </w:rPr>
        <w:t xml:space="preserve"> 监督投诉电话：0575- </w:t>
      </w:r>
      <w:r>
        <w:rPr>
          <w:rFonts w:hint="eastAsia" w:ascii="宋体" w:hAnsi="宋体" w:eastAsia="宋体" w:cs="宋体"/>
          <w:sz w:val="24"/>
          <w:lang w:val="en-US" w:eastAsia="zh-CN"/>
        </w:rPr>
        <w:t>87113461</w:t>
      </w:r>
      <w:r>
        <w:rPr>
          <w:rFonts w:hint="eastAsia" w:ascii="宋体" w:hAnsi="宋体" w:eastAsia="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77"/>
        <w:gridCol w:w="7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10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710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10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77"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7108" w:type="dxa"/>
            <w:tcBorders>
              <w:top w:val="single" w:color="000000" w:sz="8" w:space="0"/>
              <w:left w:val="single" w:color="000000" w:sz="2" w:space="0"/>
              <w:right w:val="single" w:color="000000" w:sz="8" w:space="0"/>
            </w:tcBorders>
            <w:vAlign w:val="center"/>
          </w:tcPr>
          <w:p>
            <w:pPr>
              <w:pStyle w:val="281"/>
              <w:numPr>
                <w:ilvl w:val="0"/>
                <w:numId w:val="3"/>
              </w:numPr>
              <w:snapToGrid w:val="0"/>
              <w:ind w:firstLineChars="0"/>
              <w:rPr>
                <w:rFonts w:ascii="宋体" w:hAnsi="宋体" w:eastAsia="宋体" w:cs="宋体"/>
              </w:rPr>
            </w:pPr>
            <w:r>
              <w:rPr>
                <w:rFonts w:hint="eastAsia" w:ascii="宋体" w:hAnsi="宋体" w:eastAsia="宋体" w:cs="宋体"/>
              </w:rPr>
              <w:t>《符合参加政府采购活动应当具备的一般条件的承诺函》</w:t>
            </w:r>
          </w:p>
          <w:p>
            <w:pPr>
              <w:pStyle w:val="281"/>
              <w:numPr>
                <w:ilvl w:val="0"/>
                <w:numId w:val="3"/>
              </w:numPr>
              <w:ind w:firstLineChars="0"/>
              <w:rPr>
                <w:rFonts w:ascii="宋体" w:hAnsi="宋体" w:eastAsia="宋体" w:cs="宋体"/>
                <w:b/>
                <w:snapToGrid w:val="0"/>
                <w:kern w:val="0"/>
                <w:szCs w:val="21"/>
              </w:rPr>
            </w:pPr>
            <w:r>
              <w:rPr>
                <w:rFonts w:hint="eastAsia" w:ascii="宋体" w:hAnsi="宋体" w:eastAsia="宋体" w:cs="宋体"/>
              </w:rPr>
              <w:t>《中小企业声明函》</w:t>
            </w:r>
          </w:p>
          <w:p>
            <w:pPr>
              <w:spacing w:line="360" w:lineRule="auto"/>
              <w:rPr>
                <w:rFonts w:ascii="宋体" w:hAnsi="宋体" w:cs="宋体"/>
                <w:b/>
                <w:snapToGrid w:val="0"/>
                <w:kern w:val="0"/>
                <w:szCs w:val="21"/>
              </w:rPr>
            </w:pPr>
            <w:r>
              <w:rPr>
                <w:rFonts w:hint="eastAsia" w:ascii="宋体" w:hAnsi="宋体" w:cs="宋体"/>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77"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7108" w:type="dxa"/>
            <w:tcBorders>
              <w:top w:val="single" w:color="000000" w:sz="8" w:space="0"/>
              <w:left w:val="single" w:color="000000" w:sz="2" w:space="0"/>
              <w:right w:val="single" w:color="000000" w:sz="8" w:space="0"/>
            </w:tcBorders>
            <w:vAlign w:val="center"/>
          </w:tcPr>
          <w:p>
            <w:pPr>
              <w:pStyle w:val="281"/>
              <w:numPr>
                <w:ilvl w:val="0"/>
                <w:numId w:val="4"/>
              </w:numPr>
              <w:snapToGrid w:val="0"/>
              <w:ind w:firstLineChars="0"/>
              <w:rPr>
                <w:rFonts w:ascii="宋体" w:hAnsi="宋体" w:eastAsia="宋体" w:cs="宋体"/>
                <w:lang w:val="zh-CN"/>
              </w:rPr>
            </w:pPr>
            <w:r>
              <w:rPr>
                <w:rFonts w:hint="eastAsia" w:ascii="宋体" w:hAnsi="宋体" w:eastAsia="宋体" w:cs="宋体"/>
              </w:rPr>
              <w:t>投标函；</w:t>
            </w:r>
          </w:p>
          <w:p>
            <w:pPr>
              <w:pStyle w:val="281"/>
              <w:numPr>
                <w:ilvl w:val="0"/>
                <w:numId w:val="4"/>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1"/>
              <w:numPr>
                <w:ilvl w:val="0"/>
                <w:numId w:val="4"/>
              </w:numPr>
              <w:snapToGrid w:val="0"/>
              <w:ind w:firstLineChars="0"/>
              <w:rPr>
                <w:rFonts w:ascii="宋体" w:hAnsi="宋体" w:eastAsia="宋体" w:cs="宋体"/>
                <w:lang w:val="zh-CN"/>
              </w:rPr>
            </w:pPr>
            <w:r>
              <w:rPr>
                <w:rFonts w:hint="eastAsia" w:ascii="宋体" w:hAnsi="宋体" w:eastAsia="宋体" w:cs="宋体"/>
              </w:rPr>
              <w:t>符合性审查资料；</w:t>
            </w:r>
          </w:p>
          <w:p>
            <w:pPr>
              <w:pStyle w:val="281"/>
              <w:numPr>
                <w:ilvl w:val="0"/>
                <w:numId w:val="4"/>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1"/>
              <w:numPr>
                <w:ilvl w:val="0"/>
                <w:numId w:val="4"/>
              </w:numPr>
              <w:snapToGrid w:val="0"/>
              <w:ind w:firstLineChars="0"/>
              <w:rPr>
                <w:rFonts w:ascii="宋体" w:hAnsi="宋体" w:eastAsia="宋体" w:cs="宋体"/>
                <w:lang w:val="zh-CN"/>
              </w:rPr>
            </w:pPr>
            <w:r>
              <w:rPr>
                <w:rFonts w:hint="eastAsia" w:ascii="宋体" w:hAnsi="宋体" w:eastAsia="宋体" w:cs="宋体"/>
              </w:rPr>
              <w:t>商务技术偏离表；</w:t>
            </w:r>
          </w:p>
          <w:p>
            <w:pPr>
              <w:pStyle w:val="281"/>
              <w:numPr>
                <w:ilvl w:val="0"/>
                <w:numId w:val="4"/>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77"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7108" w:type="dxa"/>
            <w:tcBorders>
              <w:top w:val="single" w:color="000000" w:sz="8" w:space="0"/>
              <w:left w:val="single" w:color="000000" w:sz="2" w:space="0"/>
              <w:right w:val="single" w:color="000000" w:sz="8" w:space="0"/>
            </w:tcBorders>
            <w:vAlign w:val="center"/>
          </w:tcPr>
          <w:p>
            <w:pPr>
              <w:pStyle w:val="281"/>
              <w:numPr>
                <w:ilvl w:val="0"/>
                <w:numId w:val="5"/>
              </w:numPr>
              <w:snapToGrid w:val="0"/>
              <w:ind w:firstLineChars="0"/>
              <w:rPr>
                <w:rFonts w:ascii="宋体" w:hAnsi="宋体" w:eastAsia="宋体" w:cs="宋体"/>
              </w:rPr>
            </w:pPr>
            <w:r>
              <w:rPr>
                <w:rFonts w:hint="eastAsia" w:ascii="宋体" w:hAnsi="宋体" w:eastAsia="宋体" w:cs="宋体"/>
              </w:rPr>
              <w:t>开标一览表（报价表）。</w:t>
            </w:r>
          </w:p>
          <w:p>
            <w:pPr>
              <w:snapToGrid w:val="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bookmarkStart w:id="20" w:name="OLE_LINK6"/>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bookmarkEnd w:id="20"/>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B要求提供</w:t>
            </w:r>
            <w:r>
              <w:rPr>
                <w:rFonts w:hint="eastAsia" w:ascii="宋体" w:hAnsi="宋体" w:cs="宋体"/>
                <w:sz w:val="24"/>
              </w:rPr>
              <w:t>。</w:t>
            </w:r>
          </w:p>
          <w:p>
            <w:pPr>
              <w:pStyle w:val="5"/>
              <w:numPr>
                <w:ilvl w:val="0"/>
                <w:numId w:val="6"/>
              </w:num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rPr>
              <w:t xml:space="preserve">样品： </w:t>
            </w:r>
            <w:bookmarkStart w:id="21" w:name="OLE_LINK11"/>
          </w:p>
          <w:bookmarkEnd w:id="21"/>
          <w:p>
            <w:pPr>
              <w:widowControl/>
              <w:spacing w:line="288" w:lineRule="auto"/>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1、序号1——</w:t>
            </w:r>
            <w:r>
              <w:rPr>
                <w:rFonts w:hint="eastAsia"/>
              </w:rPr>
              <w:t>A楼、E楼、F楼-6人间（149间）上下床</w:t>
            </w:r>
          </w:p>
          <w:p>
            <w:pPr>
              <w:widowControl/>
              <w:spacing w:line="288" w:lineRule="auto"/>
              <w:jc w:val="both"/>
              <w:rPr>
                <w:rFonts w:hint="eastAsia"/>
              </w:rPr>
            </w:pPr>
            <w:r>
              <w:rPr>
                <w:rFonts w:hint="eastAsia" w:ascii="宋体" w:hAnsi="宋体" w:eastAsia="宋体" w:cs="宋体"/>
                <w:b w:val="0"/>
                <w:bCs w:val="0"/>
                <w:kern w:val="0"/>
                <w:sz w:val="24"/>
                <w:szCs w:val="24"/>
                <w:lang w:val="en-US" w:eastAsia="zh-CN" w:bidi="ar-SA"/>
              </w:rPr>
              <w:t>2、序号</w:t>
            </w:r>
            <w:r>
              <w:rPr>
                <w:rFonts w:hint="eastAsia" w:ascii="宋体" w:hAnsi="宋体" w:cs="宋体"/>
                <w:b w:val="0"/>
                <w:bCs w:val="0"/>
                <w:kern w:val="0"/>
                <w:sz w:val="24"/>
                <w:szCs w:val="24"/>
                <w:lang w:val="en-US" w:eastAsia="zh-CN" w:bidi="ar-SA"/>
              </w:rPr>
              <w:t>2</w:t>
            </w:r>
            <w:r>
              <w:rPr>
                <w:rFonts w:hint="eastAsia" w:ascii="宋体" w:hAnsi="宋体" w:eastAsia="宋体" w:cs="宋体"/>
                <w:b w:val="0"/>
                <w:bCs w:val="0"/>
                <w:kern w:val="0"/>
                <w:sz w:val="24"/>
                <w:szCs w:val="24"/>
                <w:lang w:val="en-US" w:eastAsia="zh-CN" w:bidi="ar-SA"/>
              </w:rPr>
              <w:t>——</w:t>
            </w:r>
            <w:r>
              <w:rPr>
                <w:rFonts w:hint="eastAsia"/>
              </w:rPr>
              <w:t>A楼、E楼、F楼-6人衣柜</w:t>
            </w:r>
          </w:p>
          <w:p>
            <w:pPr>
              <w:widowControl/>
              <w:spacing w:line="288" w:lineRule="auto"/>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3、序号</w:t>
            </w:r>
            <w:r>
              <w:rPr>
                <w:rFonts w:hint="eastAsia" w:ascii="宋体" w:hAnsi="宋体" w:cs="宋体"/>
                <w:b w:val="0"/>
                <w:bCs w:val="0"/>
                <w:kern w:val="0"/>
                <w:sz w:val="24"/>
                <w:szCs w:val="24"/>
                <w:lang w:val="en-US" w:eastAsia="zh-CN" w:bidi="ar-SA"/>
              </w:rPr>
              <w:t>3</w:t>
            </w:r>
            <w:r>
              <w:rPr>
                <w:rFonts w:hint="eastAsia" w:ascii="宋体" w:hAnsi="宋体" w:eastAsia="宋体" w:cs="宋体"/>
                <w:b w:val="0"/>
                <w:bCs w:val="0"/>
                <w:kern w:val="0"/>
                <w:sz w:val="24"/>
                <w:szCs w:val="24"/>
                <w:lang w:val="en-US" w:eastAsia="zh-CN" w:bidi="ar-SA"/>
              </w:rPr>
              <w:t>——</w:t>
            </w:r>
            <w:r>
              <w:rPr>
                <w:rFonts w:hint="eastAsia"/>
              </w:rPr>
              <w:t>F楼-2人间和G楼4人间-2人衣柜</w:t>
            </w:r>
          </w:p>
          <w:p>
            <w:pPr>
              <w:pStyle w:val="2"/>
              <w:pageBreakBefore w:val="0"/>
              <w:numPr>
                <w:ilvl w:val="0"/>
                <w:numId w:val="0"/>
              </w:numPr>
              <w:kinsoku/>
              <w:wordWrap/>
              <w:overflowPunct/>
              <w:topLinePunct w:val="0"/>
              <w:bidi w:val="0"/>
              <w:spacing w:before="0" w:beforeAutospacing="0" w:after="0" w:afterAutospacing="0" w:line="240" w:lineRule="auto"/>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详见评标办法样品示意图；</w:t>
            </w:r>
          </w:p>
          <w:p>
            <w:pPr>
              <w:numPr>
                <w:ilvl w:val="0"/>
                <w:numId w:val="0"/>
              </w:numPr>
              <w:rPr>
                <w:lang w:val="en-US"/>
              </w:rPr>
            </w:pPr>
          </w:p>
          <w:p>
            <w:pPr>
              <w:pStyle w:val="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（2）样品制作的标准和要求：详见评标办法中样品评标内容及标准； </w:t>
            </w:r>
          </w:p>
          <w:p>
            <w:pPr>
              <w:pStyle w:val="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（3）样品的评审方法以及评审标准：详见评标办法； </w:t>
            </w:r>
          </w:p>
          <w:p>
            <w:pPr>
              <w:pStyle w:val="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（4）是否需要随样品提交检测报告：否； </w:t>
            </w:r>
          </w:p>
          <w:p>
            <w:pPr>
              <w:pStyle w:val="5"/>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lang w:val="en-US"/>
              </w:rPr>
              <w:t>（5）提供样品的</w:t>
            </w:r>
            <w:r>
              <w:rPr>
                <w:rFonts w:hint="default" w:ascii="宋体" w:hAnsi="宋体" w:eastAsia="宋体" w:cs="宋体"/>
                <w:b w:val="0"/>
                <w:bCs w:val="0"/>
                <w:kern w:val="0"/>
                <w:sz w:val="24"/>
                <w:szCs w:val="24"/>
              </w:rPr>
              <w:t>截止</w:t>
            </w:r>
            <w:r>
              <w:rPr>
                <w:rFonts w:hint="eastAsia" w:ascii="宋体" w:hAnsi="宋体" w:eastAsia="宋体" w:cs="宋体"/>
                <w:b w:val="0"/>
                <w:bCs w:val="0"/>
                <w:kern w:val="0"/>
                <w:sz w:val="24"/>
                <w:szCs w:val="24"/>
                <w:lang w:val="en-US"/>
              </w:rPr>
              <w:t>时间</w:t>
            </w:r>
            <w:r>
              <w:rPr>
                <w:rFonts w:hint="default" w:ascii="宋体" w:hAnsi="宋体" w:eastAsia="宋体" w:cs="宋体"/>
                <w:b w:val="0"/>
                <w:bCs w:val="0"/>
                <w:kern w:val="0"/>
                <w:sz w:val="24"/>
                <w:szCs w:val="24"/>
              </w:rPr>
              <w:t>和地点</w:t>
            </w:r>
            <w:r>
              <w:rPr>
                <w:rFonts w:hint="eastAsia" w:ascii="宋体" w:hAnsi="宋体" w:eastAsia="宋体" w:cs="宋体"/>
                <w:b w:val="0"/>
                <w:bCs w:val="0"/>
                <w:kern w:val="0"/>
                <w:sz w:val="24"/>
                <w:szCs w:val="24"/>
                <w:lang w:val="en-US"/>
              </w:rPr>
              <w:t>：</w:t>
            </w:r>
            <w:r>
              <w:rPr>
                <w:rFonts w:hint="default" w:ascii="宋体" w:hAnsi="宋体" w:eastAsia="宋体" w:cs="宋体"/>
                <w:b w:val="0"/>
                <w:bCs w:val="0"/>
                <w:kern w:val="0"/>
                <w:sz w:val="24"/>
                <w:szCs w:val="24"/>
              </w:rPr>
              <w:t>投标人</w:t>
            </w:r>
            <w:r>
              <w:rPr>
                <w:rFonts w:hint="eastAsia" w:ascii="宋体" w:hAnsi="宋体" w:eastAsia="宋体" w:cs="宋体"/>
                <w:b w:val="0"/>
                <w:bCs w:val="0"/>
                <w:kern w:val="0"/>
                <w:sz w:val="24"/>
                <w:szCs w:val="24"/>
                <w:lang w:eastAsia="zh-CN"/>
              </w:rPr>
              <w:t>应</w:t>
            </w:r>
            <w:r>
              <w:rPr>
                <w:rFonts w:hint="default" w:ascii="宋体" w:hAnsi="宋体" w:eastAsia="宋体" w:cs="宋体"/>
                <w:b w:val="0"/>
                <w:bCs w:val="0"/>
                <w:kern w:val="0"/>
                <w:sz w:val="24"/>
                <w:szCs w:val="24"/>
                <w:lang w:val="en-US"/>
              </w:rPr>
              <w:t>在</w:t>
            </w:r>
            <w:r>
              <w:rPr>
                <w:rFonts w:hint="eastAsia" w:ascii="宋体" w:hAnsi="宋体" w:eastAsia="宋体" w:cs="宋体"/>
                <w:b w:val="0"/>
                <w:bCs w:val="0"/>
                <w:kern w:val="0"/>
                <w:sz w:val="24"/>
                <w:szCs w:val="24"/>
                <w:lang w:val="en-US" w:eastAsia="zh-CN"/>
              </w:rPr>
              <w:t>投标文件截止时间</w:t>
            </w:r>
            <w:r>
              <w:rPr>
                <w:rFonts w:hint="eastAsia" w:ascii="宋体" w:hAnsi="宋体" w:eastAsia="宋体" w:cs="宋体"/>
                <w:b w:val="0"/>
                <w:bCs w:val="0"/>
                <w:kern w:val="0"/>
                <w:sz w:val="24"/>
                <w:szCs w:val="24"/>
                <w:lang w:val="en-US"/>
              </w:rPr>
              <w:t>（北京时间）前</w:t>
            </w:r>
            <w:r>
              <w:rPr>
                <w:rFonts w:hint="default" w:ascii="宋体" w:hAnsi="宋体" w:eastAsia="宋体" w:cs="宋体"/>
                <w:b w:val="0"/>
                <w:bCs w:val="0"/>
                <w:kern w:val="0"/>
                <w:sz w:val="24"/>
                <w:szCs w:val="24"/>
                <w:lang w:val="en-US"/>
              </w:rPr>
              <w:t>将样品送</w:t>
            </w:r>
            <w:r>
              <w:rPr>
                <w:rFonts w:hint="eastAsia" w:ascii="宋体" w:hAnsi="宋体" w:eastAsia="宋体" w:cs="宋体"/>
                <w:b w:val="0"/>
                <w:bCs w:val="0"/>
                <w:kern w:val="0"/>
                <w:sz w:val="24"/>
                <w:szCs w:val="24"/>
                <w:lang w:val="en-US" w:eastAsia="zh-CN"/>
              </w:rPr>
              <w:t>达</w:t>
            </w:r>
            <w:r>
              <w:rPr>
                <w:rFonts w:hint="default" w:ascii="宋体" w:hAnsi="宋体" w:eastAsia="宋体" w:cs="宋体"/>
                <w:b w:val="0"/>
                <w:bCs w:val="0"/>
                <w:kern w:val="0"/>
                <w:sz w:val="24"/>
                <w:szCs w:val="24"/>
                <w:lang w:val="en-US"/>
              </w:rPr>
              <w:t>至</w:t>
            </w:r>
            <w:bookmarkStart w:id="22" w:name="OLE_LINK1"/>
            <w:r>
              <w:rPr>
                <w:rFonts w:hint="eastAsia" w:ascii="宋体" w:hAnsi="宋体" w:eastAsia="宋体" w:cs="宋体"/>
                <w:b w:val="0"/>
                <w:bCs w:val="0"/>
                <w:kern w:val="0"/>
                <w:sz w:val="24"/>
                <w:szCs w:val="24"/>
                <w:lang w:val="en-US"/>
              </w:rPr>
              <w:t>诸暨市暨东路58号4楼</w:t>
            </w:r>
            <w:r>
              <w:rPr>
                <w:rFonts w:hint="default" w:ascii="宋体" w:hAnsi="宋体" w:eastAsia="宋体" w:cs="宋体"/>
                <w:b w:val="0"/>
                <w:bCs w:val="0"/>
                <w:kern w:val="0"/>
                <w:sz w:val="24"/>
                <w:szCs w:val="24"/>
              </w:rPr>
              <w:t>评标区</w:t>
            </w:r>
            <w:bookmarkEnd w:id="22"/>
            <w:r>
              <w:rPr>
                <w:rFonts w:hint="eastAsia" w:ascii="宋体" w:hAnsi="宋体" w:eastAsia="宋体" w:cs="宋体"/>
                <w:b w:val="0"/>
                <w:bCs w:val="0"/>
                <w:kern w:val="0"/>
                <w:sz w:val="24"/>
                <w:szCs w:val="24"/>
                <w:lang w:val="en-US"/>
              </w:rPr>
              <w:t>；联系人：</w:t>
            </w:r>
            <w:r>
              <w:rPr>
                <w:rFonts w:hint="eastAsia" w:ascii="宋体" w:hAnsi="宋体" w:eastAsia="宋体" w:cs="宋体"/>
                <w:b w:val="0"/>
                <w:bCs w:val="0"/>
                <w:kern w:val="0"/>
                <w:sz w:val="24"/>
                <w:szCs w:val="24"/>
                <w:lang w:val="en-US" w:eastAsia="zh-CN"/>
              </w:rPr>
              <w:t>杨晔</w:t>
            </w:r>
            <w:r>
              <w:rPr>
                <w:rFonts w:hint="eastAsia" w:ascii="宋体" w:hAnsi="宋体" w:eastAsia="宋体" w:cs="宋体"/>
                <w:b w:val="0"/>
                <w:bCs w:val="0"/>
                <w:kern w:val="0"/>
                <w:sz w:val="24"/>
                <w:szCs w:val="24"/>
                <w:lang w:val="en-US"/>
              </w:rPr>
              <w:t>，联系电话：</w:t>
            </w:r>
            <w:r>
              <w:rPr>
                <w:rFonts w:hint="eastAsia" w:ascii="宋体" w:hAnsi="宋体" w:eastAsia="宋体" w:cs="宋体"/>
                <w:b w:val="0"/>
                <w:bCs w:val="0"/>
                <w:kern w:val="0"/>
                <w:sz w:val="24"/>
                <w:szCs w:val="24"/>
                <w:lang w:val="en-US" w:eastAsia="zh-CN"/>
              </w:rPr>
              <w:t>0575-89006366</w:t>
            </w:r>
            <w:r>
              <w:rPr>
                <w:rFonts w:hint="eastAsia" w:ascii="宋体" w:hAnsi="宋体" w:eastAsia="宋体" w:cs="宋体"/>
                <w:b w:val="0"/>
                <w:bCs w:val="0"/>
                <w:kern w:val="0"/>
                <w:sz w:val="24"/>
                <w:szCs w:val="24"/>
                <w:lang w:val="en-US"/>
              </w:rPr>
              <w:t>。请投标人在上述时间内提供样品并按规定位置自行安装完毕。超过截止时间的，采购人或采购代理机构将不予接收，并将清场并封闭样品现场。</w:t>
            </w:r>
            <w:r>
              <w:rPr>
                <w:rFonts w:hint="default" w:ascii="宋体" w:hAnsi="宋体" w:eastAsia="宋体" w:cs="宋体"/>
                <w:b/>
                <w:bCs/>
                <w:kern w:val="0"/>
                <w:sz w:val="24"/>
                <w:szCs w:val="24"/>
              </w:rPr>
              <w:t>因诸暨市公共服务中心早上进出人较多、电梯拥挤，为防止样品提交超过截止时间，建议投标人在</w:t>
            </w:r>
            <w:bookmarkStart w:id="23" w:name="OLE_LINK4"/>
            <w:r>
              <w:rPr>
                <w:rFonts w:hint="eastAsia" w:ascii="宋体" w:hAnsi="宋体" w:eastAsia="宋体" w:cs="宋体"/>
                <w:b/>
                <w:bCs/>
                <w:kern w:val="0"/>
                <w:sz w:val="24"/>
                <w:szCs w:val="24"/>
                <w:lang w:eastAsia="zh-CN"/>
              </w:rPr>
              <w:t>开标前一个工作</w:t>
            </w:r>
            <w:r>
              <w:rPr>
                <w:rFonts w:hint="default" w:ascii="宋体" w:hAnsi="宋体" w:eastAsia="宋体" w:cs="宋体"/>
                <w:b/>
                <w:bCs/>
                <w:kern w:val="0"/>
                <w:sz w:val="24"/>
                <w:szCs w:val="24"/>
              </w:rPr>
              <w:t>日下午16时以前将样品送达至</w:t>
            </w:r>
            <w:r>
              <w:rPr>
                <w:rFonts w:hint="eastAsia" w:ascii="宋体" w:hAnsi="宋体" w:eastAsia="宋体" w:cs="宋体"/>
                <w:b/>
                <w:bCs/>
                <w:kern w:val="0"/>
                <w:sz w:val="24"/>
                <w:szCs w:val="24"/>
                <w:lang w:val="en-US"/>
              </w:rPr>
              <w:t>诸暨市暨东路58号4楼</w:t>
            </w:r>
            <w:r>
              <w:rPr>
                <w:rFonts w:hint="default" w:ascii="宋体" w:hAnsi="宋体" w:eastAsia="宋体" w:cs="宋体"/>
                <w:b/>
                <w:bCs/>
                <w:kern w:val="0"/>
                <w:sz w:val="24"/>
                <w:szCs w:val="24"/>
              </w:rPr>
              <w:t>评标区。</w:t>
            </w:r>
            <w:bookmarkEnd w:id="23"/>
          </w:p>
          <w:p>
            <w:pPr>
              <w:pStyle w:val="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 (6)采购活动结束后，中标候选人应协助采购人在评标结束两个工作日内将其样品运送至采购人指定地点封存作为履约验收的参考，未中标供应商的样品须在评标结束两个工作日内自行搬离。对逾期未搬离的样品，交易中心有权自行处置并不承担损坏、遗失等保管责任。</w:t>
            </w:r>
          </w:p>
          <w:p>
            <w:pPr>
              <w:pStyle w:val="5"/>
              <w:rPr>
                <w:rFonts w:ascii="宋体" w:hAnsi="宋体" w:eastAsia="宋体" w:cs="宋体"/>
                <w:lang w:val="en-US"/>
              </w:rPr>
            </w:pPr>
            <w:r>
              <w:rPr>
                <w:rFonts w:hint="eastAsia" w:ascii="宋体" w:hAnsi="宋体" w:eastAsia="宋体" w:cs="宋体"/>
                <w:b w:val="0"/>
                <w:bCs w:val="0"/>
                <w:kern w:val="0"/>
                <w:sz w:val="24"/>
                <w:szCs w:val="24"/>
                <w:lang w:val="en-US"/>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仿宋" w:hAnsi="仿宋" w:eastAsia="仿宋" w:cs="仿宋"/>
                <w:color w:val="auto"/>
                <w:sz w:val="24"/>
              </w:rPr>
              <w:t>A不组织。</w:t>
            </w:r>
          </w:p>
          <w:p>
            <w:pPr>
              <w:spacing w:line="360" w:lineRule="auto"/>
              <w:rPr>
                <w:rFonts w:ascii="宋体" w:hAnsi="宋体" w:cs="宋体"/>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710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bookmarkStart w:id="24" w:name="OLE_LINK7" w:colFirst="1" w:colLast="2"/>
            <w:r>
              <w:rPr>
                <w:rFonts w:hint="eastAsia" w:ascii="宋体" w:hAnsi="宋体" w:cs="宋体"/>
                <w:sz w:val="24"/>
              </w:rPr>
              <w:t>12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108" w:type="dxa"/>
            <w:tcBorders>
              <w:top w:val="single" w:color="000000" w:sz="8" w:space="0"/>
              <w:left w:val="single" w:color="000000" w:sz="2" w:space="0"/>
              <w:bottom w:val="single" w:color="000000" w:sz="8" w:space="0"/>
              <w:right w:val="single" w:color="000000" w:sz="8" w:space="0"/>
            </w:tcBorders>
            <w:vAlign w:val="center"/>
          </w:tcPr>
          <w:p>
            <w:pPr>
              <w:widowControl/>
              <w:spacing w:line="288" w:lineRule="auto"/>
              <w:jc w:val="both"/>
              <w:rPr>
                <w:rFonts w:hint="eastAsia" w:ascii="宋体" w:hAnsi="宋体" w:eastAsia="宋体" w:cs="宋体"/>
                <w:b w:val="0"/>
                <w:bCs w:val="0"/>
                <w:kern w:val="0"/>
                <w:sz w:val="24"/>
                <w:szCs w:val="24"/>
                <w:u w:val="single"/>
                <w:lang w:val="en-US" w:eastAsia="zh-CN" w:bidi="ar-SA"/>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u w:val="single"/>
              </w:rPr>
              <w:t>上下床</w:t>
            </w:r>
            <w:r>
              <w:rPr>
                <w:rFonts w:hint="eastAsia"/>
                <w:u w:val="single"/>
                <w:lang w:eastAsia="zh-CN"/>
              </w:rPr>
              <w:t>、衣柜</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kern w:val="0"/>
                <w:sz w:val="24"/>
                <w:lang w:eastAsia="zh-CN"/>
              </w:rPr>
            </w:pPr>
          </w:p>
        </w:tc>
      </w:tr>
      <w:bookmarkEnd w:id="2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710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77"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7108"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7108"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8"/>
                <w:rFonts w:hint="eastAsia" w:ascii="宋体" w:hAnsi="宋体" w:eastAsia="宋体" w:cs="宋体"/>
                <w:b/>
                <w:kern w:val="2"/>
                <w:sz w:val="24"/>
                <w:szCs w:val="24"/>
              </w:rPr>
              <w:t>zjztb001@aliyun.com</w:t>
            </w:r>
            <w:r>
              <w:rPr>
                <w:rStyle w:val="78"/>
                <w:rFonts w:hint="eastAsia" w:ascii="宋体" w:hAnsi="宋体" w:eastAsia="宋体" w:cs="宋体"/>
                <w:b/>
                <w:kern w:val="2"/>
                <w:sz w:val="24"/>
                <w:szCs w:val="24"/>
              </w:rPr>
              <w:fldChar w:fldCharType="end"/>
            </w:r>
            <w:r>
              <w:rPr>
                <w:rFonts w:hint="eastAsia" w:hAnsi="宋体" w:cs="宋体"/>
                <w:b/>
                <w:snapToGrid/>
                <w:sz w:val="24"/>
                <w:szCs w:val="24"/>
              </w:rPr>
              <w:t>）。</w:t>
            </w:r>
          </w:p>
          <w:p>
            <w:pPr>
              <w:pStyle w:val="34"/>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710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5"/>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pStyle w:val="3"/>
        <w:rPr>
          <w:lang w:val="en-US"/>
        </w:rPr>
      </w:pPr>
    </w:p>
    <w:p>
      <w:pPr>
        <w:rPr>
          <w:rFonts w:ascii="宋体" w:hAnsi="宋体" w:cs="宋体"/>
        </w:rPr>
      </w:pPr>
    </w:p>
    <w:p>
      <w:pPr>
        <w:rPr>
          <w:rFonts w:ascii="宋体" w:hAnsi="宋体" w:cs="宋体"/>
        </w:rPr>
      </w:pPr>
    </w:p>
    <w:bookmarkEnd w:id="11"/>
    <w:p>
      <w:pPr>
        <w:adjustRightInd/>
        <w:spacing w:line="360" w:lineRule="auto"/>
        <w:jc w:val="both"/>
        <w:outlineLvl w:val="0"/>
        <w:rPr>
          <w:rFonts w:hint="eastAsia" w:ascii="宋体" w:hAnsi="宋体" w:cs="宋体"/>
          <w:b/>
          <w:sz w:val="32"/>
          <w:szCs w:val="20"/>
        </w:rPr>
      </w:pPr>
      <w:bookmarkStart w:id="25" w:name="第三部分"/>
      <w:bookmarkStart w:id="26" w:name="_Toc164416483"/>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4283"/>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4"/>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4"/>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4"/>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4"/>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4"/>
        <w:spacing w:line="360" w:lineRule="auto"/>
        <w:ind w:firstLine="480" w:firstLineChars="200"/>
        <w:rPr>
          <w:rFonts w:hAnsi="宋体" w:cs="宋体"/>
          <w:sz w:val="24"/>
        </w:rPr>
      </w:pPr>
      <w:r>
        <w:rPr>
          <w:rFonts w:hint="eastAsia" w:hAnsi="宋体" w:cs="宋体"/>
          <w:sz w:val="24"/>
        </w:rPr>
        <w:t>4.3质疑供应商投诉</w:t>
      </w:r>
    </w:p>
    <w:p>
      <w:pPr>
        <w:pStyle w:val="34"/>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4"/>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4"/>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4"/>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招标文件的澄清、补充、修改</w:t>
      </w:r>
    </w:p>
    <w:p>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3"/>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4"/>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4"/>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4"/>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3"/>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3"/>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3"/>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3"/>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3"/>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3"/>
        <w:spacing w:before="0"/>
        <w:ind w:firstLine="0" w:firstLineChars="0"/>
        <w:rPr>
          <w:rFonts w:ascii="宋体" w:hAnsi="宋体" w:cs="宋体"/>
          <w:b/>
          <w:szCs w:val="24"/>
        </w:rPr>
      </w:pPr>
      <w:r>
        <w:rPr>
          <w:rFonts w:hint="eastAsia" w:ascii="宋体" w:hAnsi="宋体" w:cs="宋体"/>
          <w:b/>
          <w:szCs w:val="24"/>
        </w:rPr>
        <w:t>20.信用信息查询</w:t>
      </w:r>
    </w:p>
    <w:p>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2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6"/>
        <w:spacing w:line="360" w:lineRule="auto"/>
        <w:ind w:left="479" w:hanging="479" w:hangingChars="199"/>
        <w:rPr>
          <w:rFonts w:cs="宋体"/>
          <w:b/>
        </w:rPr>
      </w:pPr>
      <w:r>
        <w:rPr>
          <w:rFonts w:hint="eastAsia" w:cs="宋体"/>
          <w:b/>
        </w:rPr>
        <w:t>22. 确定中标供应商</w:t>
      </w:r>
    </w:p>
    <w:p>
      <w:pPr>
        <w:pStyle w:val="163"/>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3"/>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3"/>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3"/>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3"/>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3"/>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28" w:name="_Hlt68072990"/>
      <w:bookmarkEnd w:id="28"/>
      <w:bookmarkStart w:id="29" w:name="_Hlt68057669"/>
      <w:bookmarkEnd w:id="29"/>
      <w:bookmarkStart w:id="30" w:name="_Hlt74714665"/>
      <w:bookmarkEnd w:id="30"/>
      <w:bookmarkStart w:id="31" w:name="_Hlt74730295"/>
      <w:bookmarkEnd w:id="31"/>
      <w:bookmarkStart w:id="32" w:name="_Hlt75236101"/>
      <w:bookmarkEnd w:id="32"/>
      <w:bookmarkStart w:id="33" w:name="_Hlt68072998"/>
      <w:bookmarkEnd w:id="33"/>
      <w:bookmarkStart w:id="34" w:name="_Hlt68403820"/>
      <w:bookmarkEnd w:id="34"/>
      <w:bookmarkStart w:id="35" w:name="_Hlt74707468"/>
      <w:bookmarkEnd w:id="35"/>
      <w:bookmarkStart w:id="36" w:name="_Hlt68073093"/>
      <w:bookmarkEnd w:id="36"/>
      <w:bookmarkStart w:id="37" w:name="_Hlt75236290"/>
      <w:bookmarkEnd w:id="37"/>
      <w:bookmarkStart w:id="38" w:name="_Hlt74729768"/>
      <w:bookmarkEnd w:id="38"/>
      <w:bookmarkStart w:id="39" w:name="_Hlt75236011"/>
      <w:bookmarkEnd w:id="39"/>
    </w:p>
    <w:bookmarkEnd w:id="25"/>
    <w:bookmarkEnd w:id="26"/>
    <w:p>
      <w:pPr>
        <w:numPr>
          <w:ilvl w:val="0"/>
          <w:numId w:val="7"/>
        </w:numPr>
        <w:spacing w:line="360" w:lineRule="auto"/>
        <w:jc w:val="center"/>
        <w:outlineLvl w:val="0"/>
        <w:rPr>
          <w:rFonts w:hint="eastAsia" w:ascii="宋体" w:hAnsi="宋体" w:cs="宋体"/>
          <w:b/>
          <w:sz w:val="36"/>
          <w:szCs w:val="36"/>
        </w:rPr>
      </w:pPr>
      <w:bookmarkStart w:id="40" w:name="第四部分"/>
      <w:r>
        <w:rPr>
          <w:rFonts w:hint="eastAsia" w:ascii="宋体" w:hAnsi="宋体" w:cs="宋体"/>
          <w:b/>
          <w:sz w:val="36"/>
          <w:szCs w:val="36"/>
        </w:rPr>
        <w:t xml:space="preserve">  采购需求</w:t>
      </w:r>
    </w:p>
    <w:p>
      <w:pPr>
        <w:pStyle w:val="2"/>
        <w:numPr>
          <w:ilvl w:val="0"/>
          <w:numId w:val="8"/>
        </w:numPr>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采购清单</w:t>
      </w:r>
    </w:p>
    <w:tbl>
      <w:tblPr>
        <w:tblStyle w:val="64"/>
        <w:tblW w:w="10995" w:type="dxa"/>
        <w:jc w:val="center"/>
        <w:tblLayout w:type="fixed"/>
        <w:tblCellMar>
          <w:top w:w="0" w:type="dxa"/>
          <w:left w:w="108" w:type="dxa"/>
          <w:bottom w:w="0" w:type="dxa"/>
          <w:right w:w="108" w:type="dxa"/>
        </w:tblCellMar>
      </w:tblPr>
      <w:tblGrid>
        <w:gridCol w:w="780"/>
        <w:gridCol w:w="1200"/>
        <w:gridCol w:w="1785"/>
        <w:gridCol w:w="1395"/>
        <w:gridCol w:w="4797"/>
        <w:gridCol w:w="1038"/>
      </w:tblGrid>
      <w:tr>
        <w:tblPrEx>
          <w:tblCellMar>
            <w:top w:w="0" w:type="dxa"/>
            <w:left w:w="108" w:type="dxa"/>
            <w:bottom w:w="0" w:type="dxa"/>
            <w:right w:w="108" w:type="dxa"/>
          </w:tblCellMar>
        </w:tblPrEx>
        <w:trPr>
          <w:trHeight w:val="570"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序号</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产品名称</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参考图片</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规格(mm)</w:t>
            </w:r>
          </w:p>
        </w:tc>
        <w:tc>
          <w:tcPr>
            <w:tcW w:w="4797"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技术参数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数量</w:t>
            </w:r>
          </w:p>
        </w:tc>
      </w:tr>
      <w:tr>
        <w:tblPrEx>
          <w:tblCellMar>
            <w:top w:w="0" w:type="dxa"/>
            <w:left w:w="108" w:type="dxa"/>
            <w:bottom w:w="0" w:type="dxa"/>
            <w:right w:w="108" w:type="dxa"/>
          </w:tblCellMar>
        </w:tblPrEx>
        <w:trPr>
          <w:trHeight w:val="757"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hint="eastAsia"/>
              </w:rPr>
            </w:pPr>
            <w:bookmarkStart w:id="41" w:name="OLE_LINK20"/>
            <w:r>
              <w:rPr>
                <w:rFonts w:hint="eastAsia"/>
              </w:rPr>
              <w:t>A楼、E楼、F楼-6人间（149间）上下床</w:t>
            </w:r>
          </w:p>
          <w:p>
            <w:pPr>
              <w:pStyle w:val="2"/>
              <w:rPr>
                <w:rFonts w:hint="eastAsia" w:eastAsia="楷体"/>
                <w:lang w:eastAsia="zh-CN"/>
              </w:rPr>
            </w:pPr>
            <w:bookmarkStart w:id="42" w:name="OLE_LINK18"/>
            <w:r>
              <w:rPr>
                <w:rFonts w:hint="eastAsia" w:ascii="楷体" w:hAnsi="楷体" w:eastAsia="楷体" w:cs="楷体"/>
                <w:color w:val="FF0000"/>
                <w:lang w:eastAsia="zh-CN"/>
              </w:rPr>
              <w:t>（样品）</w:t>
            </w:r>
            <w:bookmarkEnd w:id="41"/>
            <w:bookmarkEnd w:id="42"/>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rPr>
                <w:rFonts w:ascii="仿宋" w:hAnsi="仿宋" w:eastAsia="仿宋" w:cs="仿宋"/>
                <w:sz w:val="24"/>
              </w:rPr>
            </w:pPr>
            <w:r>
              <w:rPr>
                <w:rFonts w:hint="eastAsia" w:ascii="楷体" w:hAnsi="楷体" w:eastAsia="楷体" w:cs="楷体"/>
              </w:rPr>
              <w:drawing>
                <wp:inline distT="0" distB="0" distL="114300" distR="114300">
                  <wp:extent cx="993140" cy="826770"/>
                  <wp:effectExtent l="0" t="0" r="16510" b="1143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2"/>
                          <a:stretch>
                            <a:fillRect/>
                          </a:stretch>
                        </pic:blipFill>
                        <pic:spPr>
                          <a:xfrm>
                            <a:off x="0" y="0"/>
                            <a:ext cx="993140" cy="826770"/>
                          </a:xfrm>
                          <a:prstGeom prst="rect">
                            <a:avLst/>
                          </a:prstGeom>
                          <a:noFill/>
                          <a:ln>
                            <a:noFill/>
                          </a:ln>
                        </pic:spPr>
                      </pic:pic>
                    </a:graphicData>
                  </a:graphic>
                </wp:inline>
              </w:drawing>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ascii="楷体" w:hAnsi="楷体" w:eastAsia="楷体" w:cs="楷体"/>
                <w:sz w:val="24"/>
              </w:rPr>
            </w:pPr>
            <w:r>
              <w:rPr>
                <w:rFonts w:hint="eastAsia" w:ascii="仿宋" w:hAnsi="仿宋" w:eastAsia="仿宋" w:cs="仿宋"/>
                <w:sz w:val="24"/>
              </w:rPr>
              <w:t xml:space="preserve"> </w:t>
            </w:r>
            <w:r>
              <w:rPr>
                <w:rFonts w:hint="eastAsia" w:ascii="楷体" w:hAnsi="楷体" w:eastAsia="楷体" w:cs="楷体"/>
                <w:sz w:val="24"/>
              </w:rPr>
              <w:t>2060mm*1060mm*1900mm</w:t>
            </w:r>
          </w:p>
          <w:p>
            <w:pPr>
              <w:widowControl/>
              <w:spacing w:line="288" w:lineRule="auto"/>
              <w:rPr>
                <w:rFonts w:ascii="仿宋" w:hAnsi="仿宋" w:eastAsia="仿宋" w:cs="仿宋"/>
                <w:sz w:val="24"/>
              </w:rPr>
            </w:pPr>
          </w:p>
        </w:tc>
        <w:tc>
          <w:tcPr>
            <w:tcW w:w="4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9"/>
              </w:numPr>
              <w:ind w:firstLine="420" w:firstLineChars="200"/>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用料：采用优质橡胶木制作，质地坚硬、结实，色泽亮丽，纹理清晰，表面无死结疤。整体经过防潮、防腐、防虫、脱脂等化学处理。木材含水率低于12%。</w:t>
            </w:r>
          </w:p>
          <w:p>
            <w:pPr>
              <w:widowControl/>
              <w:jc w:val="left"/>
              <w:textAlignment w:val="center"/>
              <w:rPr>
                <w:rFonts w:asciiTheme="minorEastAsia" w:hAnsiTheme="minorEastAsia" w:eastAsiaTheme="minorEastAsia" w:cstheme="minorEastAsia"/>
                <w:szCs w:val="21"/>
              </w:rPr>
            </w:pPr>
            <w:r>
              <w:rPr>
                <w:rFonts w:hint="eastAsia" w:ascii="仿宋" w:hAnsi="仿宋" w:eastAsia="仿宋" w:cs="仿宋"/>
                <w:sz w:val="24"/>
              </w:rPr>
              <w:t>▲</w:t>
            </w:r>
            <w:r>
              <w:rPr>
                <w:rFonts w:hint="eastAsia" w:asciiTheme="minorEastAsia" w:hAnsiTheme="minorEastAsia" w:eastAsiaTheme="minorEastAsia" w:cstheme="minorEastAsia"/>
                <w:szCs w:val="21"/>
              </w:rPr>
              <w:t>提供橡胶木检验报告</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【检验依据：GB 18584-2001、GB/T 3324-2017、】</w:t>
            </w:r>
          </w:p>
          <w:p>
            <w:pPr>
              <w:widowControl/>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项目包含：1.甲醛释放量≤1.5mg/L、挥发性有机化合物72h（苯+甲苯+二甲苯、总挥发性有机化合物TVOC）≤100μg/m³、可迁移元素（铅、镉、铬、汞、砷、锑、硒、钡）≤5mg/kg、含水率≤12%、漆膜理化性能（耐液性、耐湿热、耐干热、附着力、耐冷热温差、耐磨性、抗冲击）不低于3级、气味等级达到0级、醛酮类化合物≤0.05mg/m³、五氯苯酚未检出、抑菌率（金黄色葡萄球菌、白色念珠菌、大肠杆菌、肺炎克雷伯氏菌）≥99%、黑曲霉、黄曲霉、宛氏拟青霉、桔青霉、大毛霉、球毛壳霉、等级不低于1级。</w:t>
            </w:r>
          </w:p>
          <w:p>
            <w:pPr>
              <w:widowControl/>
              <w:ind w:firstLine="420" w:firstLineChars="200"/>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床立柱采用：50mm*80mm</w:t>
            </w:r>
            <w:r>
              <w:rPr>
                <w:rFonts w:hint="eastAsia" w:asciiTheme="minorEastAsia" w:hAnsiTheme="minorEastAsia" w:eastAsiaTheme="minorEastAsia" w:cstheme="minorEastAsia"/>
                <w:color w:val="000000" w:themeColor="text1"/>
                <w:szCs w:val="21"/>
                <w14:textFill>
                  <w14:solidFill>
                    <w14:schemeClr w14:val="tx1"/>
                  </w14:solidFill>
                </w14:textFill>
              </w:rPr>
              <w:t>优质橡胶木</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床沿采用30×100mm优质橡胶木，护栏采用30×50mm优质橡胶木，竖料采用50×25mm优质橡胶木。护栏上横料采用30×50mm，护栏中横料采用50×22mm优质橡胶木。</w:t>
            </w:r>
          </w:p>
          <w:p>
            <w:pPr>
              <w:widowControl/>
              <w:ind w:firstLine="420" w:firstLineChars="200"/>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3、床铺板：采用14mm厚全干杉木制作，双面抛光，床板不超过8块拼接。承重方床子为47×33mm优质硬木方，每铺5根。</w:t>
            </w:r>
          </w:p>
          <w:p>
            <w:pPr>
              <w:widowControl/>
              <w:ind w:firstLine="420" w:firstLineChars="200"/>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爬梯宽：480mm；立柱：90*30mm；楼梯踏步85*30mm。为了学生夜间使用安全 ，需在床爬梯踩步板上面镶嵌≥长360mm*宽70mm*厚18mm（±2mm）防滑夜光塑料垫（带有“当心跌倒”标志），防滑垫反面不少于6个螺丝固定，塑料件表面需带有防滑纹路，可以起到防滑及安全警示作用，确保长期使用安全。</w:t>
            </w: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Cs w:val="21"/>
                <w14:textFill>
                  <w14:solidFill>
                    <w14:schemeClr w14:val="tx1"/>
                  </w14:solidFill>
                </w14:textFill>
              </w:rPr>
              <w:t>5、制作工艺：床全部按传统榫卯结构标准进行设计，其中床边必须采用榫头与床立柱连接，再采用优质五金件紧密连接。</w:t>
            </w:r>
          </w:p>
          <w:p>
            <w:pPr>
              <w:widowControl/>
              <w:jc w:val="left"/>
              <w:textAlignment w:val="center"/>
              <w:rPr>
                <w:rFonts w:asciiTheme="minorEastAsia" w:hAnsiTheme="minorEastAsia" w:eastAsiaTheme="minorEastAsia" w:cstheme="minorEastAsia"/>
                <w:szCs w:val="21"/>
              </w:rPr>
            </w:pPr>
            <w:r>
              <w:rPr>
                <w:rFonts w:hint="eastAsia" w:ascii="仿宋" w:hAnsi="仿宋" w:eastAsia="仿宋" w:cs="仿宋"/>
                <w:sz w:val="24"/>
              </w:rPr>
              <w:t>▲</w:t>
            </w:r>
            <w:r>
              <w:rPr>
                <w:rFonts w:hint="eastAsia" w:asciiTheme="minorEastAsia" w:hAnsiTheme="minorEastAsia" w:eastAsiaTheme="minorEastAsia" w:cstheme="minorEastAsia"/>
                <w:szCs w:val="21"/>
              </w:rPr>
              <w:t>提供木工胶黏剂检验检测报告</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【检验检测和判定依据：GB 18583-2008、HG/T2727-2010】</w:t>
            </w:r>
          </w:p>
          <w:p>
            <w:pPr>
              <w:widowControl/>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检测内容包含：游离甲醛未检出、苯未检出、甲苯+二甲苯未检出、总挥发性有机化合物≤30g/L、PH值≤5、不挥发物≥35%、木材污染性合格、粘度≥20Pa. S、不挥发物≥35%。</w:t>
            </w:r>
          </w:p>
          <w:p>
            <w:pPr>
              <w:widowControl/>
              <w:ind w:firstLine="420" w:firstLineChars="200"/>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6、油漆及表面处理：采用品牌环保油漆，先满面腻子再四底三面，表面纹理清晰无颗粒，无气泡，无渣点，颜色均匀。</w:t>
            </w:r>
          </w:p>
          <w:p>
            <w:pPr>
              <w:widowControl/>
              <w:jc w:val="left"/>
              <w:textAlignment w:val="center"/>
              <w:rPr>
                <w:rFonts w:asciiTheme="minorEastAsia" w:hAnsiTheme="minorEastAsia" w:eastAsiaTheme="minorEastAsia" w:cstheme="minorEastAsia"/>
                <w:szCs w:val="21"/>
              </w:rPr>
            </w:pPr>
            <w:r>
              <w:rPr>
                <w:rFonts w:hint="eastAsia" w:ascii="仿宋" w:hAnsi="仿宋" w:eastAsia="仿宋" w:cs="仿宋"/>
                <w:sz w:val="24"/>
              </w:rPr>
              <w:t>▲</w:t>
            </w:r>
            <w:r>
              <w:rPr>
                <w:rFonts w:hint="eastAsia" w:asciiTheme="minorEastAsia" w:hAnsiTheme="minorEastAsia" w:eastAsiaTheme="minorEastAsia" w:cstheme="minorEastAsia"/>
                <w:szCs w:val="21"/>
              </w:rPr>
              <w:t>提供油漆检验检测报告</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【检验检测和判定依据：GB18581-2020、HJ2537-2014、GB/T21866-2008、HG/T3950-2007】</w:t>
            </w:r>
          </w:p>
          <w:p>
            <w:pPr>
              <w:widowControl/>
              <w:ind w:firstLine="420" w:firstLineChars="200"/>
              <w:jc w:val="left"/>
              <w:textAlignment w:val="center"/>
            </w:pPr>
            <w:r>
              <w:rPr>
                <w:rFonts w:hint="eastAsia" w:asciiTheme="minorEastAsia" w:hAnsiTheme="minorEastAsia" w:eastAsiaTheme="minorEastAsia" w:cstheme="minorEastAsia"/>
                <w:szCs w:val="21"/>
              </w:rPr>
              <w:t>检测内容包含：VOC含量≤10g/L、甲醛含量未检出、总铅（Pb）含量未检出、可溶性重金属含量（镉、铬、汞）未检出、乙二醇醚及醚酯总和含量未检出、苯系物总和含量未检出、卤代氢未检出、抗细菌性能（金黄色葡萄球菌、大肠埃希氏菌）≥99%、抗霉菌性能（土曲霉、绳状青梅、宛氏拟青霉）不低于1级。</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kern w:val="0"/>
                <w:sz w:val="24"/>
                <w:lang w:bidi="ar"/>
              </w:rPr>
            </w:pPr>
            <w:r>
              <w:rPr>
                <w:rFonts w:hint="eastAsia" w:ascii="仿宋" w:hAnsi="仿宋" w:eastAsia="仿宋" w:cs="仿宋"/>
                <w:sz w:val="24"/>
              </w:rPr>
              <w:t>447组</w:t>
            </w:r>
          </w:p>
        </w:tc>
      </w:tr>
      <w:tr>
        <w:tblPrEx>
          <w:tblCellMar>
            <w:top w:w="0" w:type="dxa"/>
            <w:left w:w="108" w:type="dxa"/>
            <w:bottom w:w="0" w:type="dxa"/>
            <w:right w:w="108" w:type="dxa"/>
          </w:tblCellMar>
        </w:tblPrEx>
        <w:trPr>
          <w:trHeight w:val="2739"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hint="eastAsia"/>
              </w:rPr>
            </w:pPr>
            <w:bookmarkStart w:id="43" w:name="OLE_LINK21"/>
            <w:r>
              <w:rPr>
                <w:rFonts w:hint="eastAsia"/>
              </w:rPr>
              <w:t>A楼、E楼、F楼-6人衣柜</w:t>
            </w:r>
          </w:p>
          <w:bookmarkEnd w:id="43"/>
          <w:p>
            <w:pPr>
              <w:pStyle w:val="2"/>
            </w:pPr>
            <w:r>
              <w:rPr>
                <w:rFonts w:hint="eastAsia" w:ascii="楷体" w:hAnsi="楷体" w:eastAsia="楷体" w:cs="楷体"/>
                <w:color w:val="FF0000"/>
                <w:lang w:eastAsia="zh-CN"/>
              </w:rPr>
              <w:t>（样品）</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rPr>
                <w:rFonts w:ascii="仿宋" w:hAnsi="仿宋" w:eastAsia="仿宋" w:cs="仿宋"/>
                <w:sz w:val="24"/>
              </w:rPr>
            </w:pPr>
            <w:r>
              <w:rPr>
                <w:rFonts w:hint="eastAsia" w:ascii="楷体" w:hAnsi="楷体" w:eastAsia="楷体" w:cs="楷体"/>
              </w:rPr>
              <w:drawing>
                <wp:inline distT="0" distB="0" distL="114300" distR="114300">
                  <wp:extent cx="939800" cy="1148080"/>
                  <wp:effectExtent l="0" t="0" r="12700" b="1397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23"/>
                          <a:stretch>
                            <a:fillRect/>
                          </a:stretch>
                        </pic:blipFill>
                        <pic:spPr>
                          <a:xfrm>
                            <a:off x="0" y="0"/>
                            <a:ext cx="939800" cy="1148080"/>
                          </a:xfrm>
                          <a:prstGeom prst="rect">
                            <a:avLst/>
                          </a:prstGeom>
                          <a:noFill/>
                          <a:ln>
                            <a:noFill/>
                          </a:ln>
                        </pic:spPr>
                      </pic:pic>
                    </a:graphicData>
                  </a:graphic>
                </wp:inline>
              </w:drawing>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rPr>
                <w:rFonts w:ascii="仿宋" w:hAnsi="仿宋" w:eastAsia="仿宋" w:cs="仿宋"/>
                <w:sz w:val="24"/>
              </w:rPr>
            </w:pPr>
            <w:r>
              <w:rPr>
                <w:rFonts w:hint="eastAsia" w:ascii="楷体" w:hAnsi="楷体" w:eastAsia="楷体" w:cs="楷体"/>
                <w:sz w:val="24"/>
              </w:rPr>
              <w:t>1200mm*550mm*1900mm</w:t>
            </w:r>
          </w:p>
        </w:tc>
        <w:tc>
          <w:tcPr>
            <w:tcW w:w="4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1、板材：采用优质橡胶木指接板制作，厚度18mm，,背板采用厚度7mm双贴</w:t>
            </w:r>
            <w:r>
              <w:rPr>
                <w:rFonts w:hint="eastAsia" w:asciiTheme="minorEastAsia" w:hAnsiTheme="minorEastAsia" w:eastAsiaTheme="minorEastAsia" w:cstheme="minorEastAsia"/>
                <w:color w:val="auto"/>
                <w:szCs w:val="21"/>
              </w:rPr>
              <w:t>面优质橡胶木纹免漆多层板制作，衣柜分上下两层，六门。每一格柜子内中间用隔板隔开。</w:t>
            </w:r>
          </w:p>
          <w:p>
            <w:pPr>
              <w:widowControl/>
              <w:jc w:val="left"/>
              <w:textAlignment w:val="center"/>
              <w:rPr>
                <w:rFonts w:asciiTheme="minorEastAsia" w:hAnsiTheme="minorEastAsia" w:eastAsiaTheme="minorEastAsia" w:cstheme="minorEastAsia"/>
                <w:szCs w:val="21"/>
              </w:rPr>
            </w:pPr>
            <w:r>
              <w:rPr>
                <w:rFonts w:hint="eastAsia" w:ascii="仿宋" w:hAnsi="仿宋" w:eastAsia="仿宋" w:cs="仿宋"/>
                <w:sz w:val="24"/>
              </w:rPr>
              <w:t>▲</w:t>
            </w:r>
            <w:r>
              <w:rPr>
                <w:rFonts w:hint="eastAsia" w:asciiTheme="minorEastAsia" w:hAnsiTheme="minorEastAsia" w:eastAsiaTheme="minorEastAsia" w:cstheme="minorEastAsia"/>
                <w:szCs w:val="21"/>
              </w:rPr>
              <w:t>提供多层板检验检测报告</w:t>
            </w:r>
          </w:p>
          <w:p>
            <w:pPr>
              <w:widowControl/>
              <w:jc w:val="left"/>
              <w:textAlignment w:val="center"/>
            </w:pPr>
            <w:r>
              <w:rPr>
                <w:rFonts w:hint="eastAsia" w:asciiTheme="minorEastAsia" w:hAnsiTheme="minorEastAsia" w:eastAsiaTheme="minorEastAsia" w:cstheme="minorEastAsia"/>
                <w:szCs w:val="21"/>
              </w:rPr>
              <w:t>【检验依据：GB/T34722-2017、GB/T 39600-2021、</w:t>
            </w:r>
            <w:r>
              <w:rPr>
                <w:rFonts w:hint="eastAsia" w:asciiTheme="minorEastAsia" w:hAnsiTheme="minorEastAsia" w:eastAsiaTheme="minorEastAsia" w:cstheme="minorEastAsia"/>
                <w:color w:val="C00000"/>
                <w:szCs w:val="21"/>
              </w:rPr>
              <w:t>GB/T 35601-</w:t>
            </w:r>
            <w:r>
              <w:rPr>
                <w:rFonts w:hint="eastAsia" w:asciiTheme="minorEastAsia" w:hAnsiTheme="minorEastAsia" w:eastAsiaTheme="minorEastAsia" w:cstheme="minorEastAsia"/>
                <w:color w:val="C00000"/>
                <w:szCs w:val="21"/>
                <w:lang w:val="en-US" w:eastAsia="zh-CN"/>
              </w:rPr>
              <w:t>2024</w:t>
            </w:r>
            <w:r>
              <w:rPr>
                <w:rFonts w:hint="eastAsia" w:asciiTheme="minorEastAsia" w:hAnsiTheme="minorEastAsia" w:eastAsiaTheme="minorEastAsia" w:cstheme="minorEastAsia"/>
                <w:color w:val="C00000"/>
                <w:szCs w:val="21"/>
              </w:rPr>
              <w:t>】</w:t>
            </w:r>
            <w:r>
              <w:rPr>
                <w:rFonts w:hint="eastAsia" w:asciiTheme="minorEastAsia" w:hAnsiTheme="minorEastAsia" w:eastAsiaTheme="minorEastAsia" w:cstheme="minorEastAsia"/>
                <w:szCs w:val="21"/>
              </w:rPr>
              <w:t>检验项目包含：1.含水率≤12%、（表面耐龟裂、表面耐水蒸气）4级以上、甲醛释放量（气候箱法）≤0.05mg/m³、胶合强度≥0.7MPa、静曲强度（横纹、顺纹）≥20MPa、弹性模量（横纹、顺纹）≥4000MPa、挥发性有机化合物72h（苯+甲苯+二甲苯、总挥发性有机化合物TVOC） ≤100μg/m³、气味等级达到0级、醛酮类化合物≤0.05mg/m³、抑菌率（白念珠球菌、金黄色葡萄球菌）≥99%、黑曲霉、黄曲霉、宛氏拟青霉、桔青霉、等级不低于1级。</w:t>
            </w:r>
          </w:p>
          <w:p>
            <w:pPr>
              <w:widowControl/>
              <w:jc w:val="left"/>
              <w:textAlignment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2、鞋架尺寸规格：1195mm*530mm*500mm高；主框架采用20mm</w:t>
            </w:r>
            <w:r>
              <w:rPr>
                <w:rFonts w:hint="eastAsia" w:asciiTheme="minorEastAsia" w:hAnsiTheme="minorEastAsia" w:eastAsiaTheme="minorEastAsia" w:cstheme="minorEastAsia"/>
                <w:color w:val="auto"/>
                <w:szCs w:val="21"/>
              </w:rPr>
              <w:t>*30mm*1.5mm厚304不锈钢方管制作，中间铺管采用直径19mm*1.2mm</w:t>
            </w:r>
            <w:r>
              <w:rPr>
                <w:rFonts w:hint="eastAsia" w:asciiTheme="minorEastAsia" w:hAnsiTheme="minorEastAsia" w:eastAsiaTheme="minorEastAsia" w:cstheme="minorEastAsia"/>
                <w:color w:val="000000" w:themeColor="text1"/>
                <w:szCs w:val="21"/>
                <w14:textFill>
                  <w14:solidFill>
                    <w14:schemeClr w14:val="tx1"/>
                  </w14:solidFill>
                </w14:textFill>
              </w:rPr>
              <w:t>厚304不锈钢圆管制作，款式为三层，每层两人使用。</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3、柜门拉手采用优质不锈钢材料制作，规格为110mm*42mm*9mm（±2mm）自带内凹式拉手设计，开启关闭着力点指向明确，免额外明拉手设计，减少外凸明拉手对使用者带来的意外伤害。</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4、油漆：环保型底漆、面漆，符合国家检测标准。引用先进油漆工艺，三底两面工艺，透明度高、附着力强，涂层亮度均匀不褪色，色泽柔和，手感良好。</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5、胶黏剂：采用优质环保型白乳胶。符合国家环保检测标准。</w:t>
            </w:r>
          </w:p>
          <w:p>
            <w:pPr>
              <w:widowControl/>
              <w:jc w:val="left"/>
              <w:textAlignment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Cs w:val="21"/>
              </w:rPr>
              <w:t>6、五金件：所有五金件作防锈、防腐处理，经久耐用。采用优质三合一连接件及铰链，经久耐用。铰链：二段力，转动八万次，门扇任意位置定位，不反弹；连接件：采用自攻型三合一连接件，硬度高，宁不断，不爆裂的特性。</w:t>
            </w:r>
            <w:r>
              <w:rPr>
                <w:rFonts w:hint="eastAsia" w:ascii="仿宋" w:hAnsi="仿宋" w:eastAsia="仿宋" w:cs="仿宋"/>
                <w:sz w:val="24"/>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sz w:val="24"/>
              </w:rPr>
            </w:pPr>
            <w:r>
              <w:rPr>
                <w:rFonts w:hint="eastAsia" w:ascii="仿宋" w:hAnsi="仿宋" w:eastAsia="仿宋" w:cs="仿宋"/>
                <w:sz w:val="24"/>
              </w:rPr>
              <w:t>149套</w:t>
            </w:r>
          </w:p>
        </w:tc>
      </w:tr>
      <w:tr>
        <w:tblPrEx>
          <w:tblCellMar>
            <w:top w:w="0" w:type="dxa"/>
            <w:left w:w="108" w:type="dxa"/>
            <w:bottom w:w="0" w:type="dxa"/>
            <w:right w:w="108" w:type="dxa"/>
          </w:tblCellMar>
        </w:tblPrEx>
        <w:trPr>
          <w:trHeight w:val="757"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hint="eastAsia"/>
              </w:rPr>
            </w:pPr>
            <w:bookmarkStart w:id="44" w:name="OLE_LINK23"/>
            <w:r>
              <w:rPr>
                <w:rFonts w:hint="eastAsia"/>
              </w:rPr>
              <w:t>F楼-2人间和G楼4人间-2人衣柜</w:t>
            </w:r>
          </w:p>
          <w:bookmarkEnd w:id="44"/>
          <w:p>
            <w:pPr>
              <w:pStyle w:val="2"/>
            </w:pPr>
            <w:r>
              <w:rPr>
                <w:rFonts w:hint="eastAsia" w:ascii="楷体" w:hAnsi="楷体" w:eastAsia="楷体" w:cs="楷体"/>
                <w:color w:val="FF0000"/>
                <w:lang w:eastAsia="zh-CN"/>
              </w:rPr>
              <w:t>（样品）</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rPr>
                <w:rFonts w:ascii="仿宋" w:hAnsi="仿宋" w:eastAsia="仿宋" w:cs="仿宋"/>
                <w:sz w:val="24"/>
              </w:rPr>
            </w:pPr>
            <w:r>
              <w:drawing>
                <wp:inline distT="0" distB="0" distL="114300" distR="114300">
                  <wp:extent cx="1096645" cy="1252220"/>
                  <wp:effectExtent l="0" t="0" r="8255" b="508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24"/>
                          <a:stretch>
                            <a:fillRect/>
                          </a:stretch>
                        </pic:blipFill>
                        <pic:spPr>
                          <a:xfrm>
                            <a:off x="0" y="0"/>
                            <a:ext cx="1096645" cy="1252220"/>
                          </a:xfrm>
                          <a:prstGeom prst="rect">
                            <a:avLst/>
                          </a:prstGeom>
                          <a:noFill/>
                          <a:ln w="9525">
                            <a:noFill/>
                          </a:ln>
                        </pic:spPr>
                      </pic:pic>
                    </a:graphicData>
                  </a:graphic>
                </wp:inline>
              </w:drawing>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仿宋" w:hAnsi="仿宋" w:eastAsia="仿宋" w:cs="仿宋"/>
                <w:sz w:val="24"/>
              </w:rPr>
            </w:pPr>
            <w:r>
              <w:rPr>
                <w:rFonts w:hint="eastAsia" w:ascii="仿宋" w:hAnsi="仿宋" w:eastAsia="仿宋" w:cs="仿宋"/>
                <w:sz w:val="24"/>
              </w:rPr>
              <w:t>800mm*550mm*900mm</w:t>
            </w:r>
          </w:p>
        </w:tc>
        <w:tc>
          <w:tcPr>
            <w:tcW w:w="4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1、板材：采用优质橡胶木指接板制作，厚度18mm，,背板采用厚度</w:t>
            </w:r>
            <w:r>
              <w:rPr>
                <w:rFonts w:hint="eastAsia" w:asciiTheme="minorEastAsia" w:hAnsiTheme="minorEastAsia" w:eastAsiaTheme="minorEastAsia" w:cstheme="minorEastAsia"/>
                <w:color w:val="auto"/>
                <w:szCs w:val="21"/>
              </w:rPr>
              <w:t>7mm双贴面优质橡胶木纹免漆多层板制作，两门对开。每一格柜子内中间用隔板隔开。</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▲提供多层板检验检测报告</w:t>
            </w:r>
          </w:p>
          <w:p>
            <w:pPr>
              <w:widowControl/>
              <w:jc w:val="left"/>
              <w:textAlignment w:val="center"/>
              <w:rPr>
                <w:color w:val="auto"/>
              </w:rPr>
            </w:pPr>
            <w:r>
              <w:rPr>
                <w:rFonts w:hint="eastAsia" w:asciiTheme="minorEastAsia" w:hAnsiTheme="minorEastAsia" w:eastAsiaTheme="minorEastAsia" w:cstheme="minorEastAsia"/>
                <w:szCs w:val="21"/>
              </w:rPr>
              <w:t>【检验依据：GB/T34722-2017、GB/T 39600-2021、GB/T 35601-2017】检验项目包含：1.含水率≤12%、（表面耐龟裂、表面耐水蒸气）4级以上、甲醛释放量（气候箱法）≤0.05mg/m³、胶合强度≥0.7MPa、静曲强度（横纹、顺纹）≥20MPa、弹性模量（横纹、顺纹）≥4000MPa、挥发性有机化合物72h（苯+甲苯+二甲苯、总挥发性有机化合物TVOC） ≤100μg/m³、气味等级达到0级、醛酮类化合物≤0.05mg/m</w:t>
            </w:r>
            <w:r>
              <w:rPr>
                <w:rFonts w:hint="eastAsia" w:asciiTheme="minorEastAsia" w:hAnsiTheme="minorEastAsia" w:eastAsiaTheme="minorEastAsia" w:cstheme="minorEastAsia"/>
                <w:color w:val="auto"/>
                <w:szCs w:val="21"/>
              </w:rPr>
              <w:t>³、抑菌率（白念珠球菌、金黄色葡萄球菌）≥99%、黑曲霉、黄曲霉、宛氏拟青霉、桔青霉、等级不低于1级。</w:t>
            </w:r>
          </w:p>
          <w:p>
            <w:pPr>
              <w:widowControl/>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2、鞋架尺寸：800mm*530mm*200mm高；采用20mm*30mm*1.5mm厚304不锈钢管制作。款式为一层，两人使用。</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Cs w:val="21"/>
              </w:rPr>
              <w:t xml:space="preserve">  </w:t>
            </w:r>
          </w:p>
          <w:p>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3、柜门拉手采用优质不锈钢材料制作，规格为110mm*42mm*9mm（±2mm）自带内凹式拉手设计，开启关闭着力点指向明确，免额外明拉手设计，减少外凸明拉手对使用者带来的意外伤害。</w:t>
            </w:r>
          </w:p>
          <w:p>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4、油漆：环保型底漆、面漆，符合国家检测标准。引用先进油漆工艺，三底两面工艺，透明度高、附着力强，涂层亮度均匀不褪色，色泽柔和，手感良好。</w:t>
            </w:r>
          </w:p>
          <w:p>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5、胶黏剂：采用优质环保型白乳胶。符合国家环保检测标准。</w:t>
            </w:r>
          </w:p>
          <w:p>
            <w:pPr>
              <w:widowControl/>
              <w:jc w:val="left"/>
              <w:textAlignment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auto"/>
                <w:szCs w:val="21"/>
              </w:rPr>
              <w:t xml:space="preserve">6、五金件：所有五金件作防锈、防腐处理，经久耐用。采用优质三合一连接件及铰链，经久耐用。铰链：二段力，转动八万次，门扇任意位置定位，不反弹；连接件：采用自攻型三合一连接件，硬度高，宁不断，不爆裂的特性。   </w:t>
            </w:r>
            <w:r>
              <w:rPr>
                <w:rFonts w:hint="eastAsia" w:ascii="仿宋" w:hAnsi="仿宋" w:eastAsia="仿宋" w:cs="仿宋"/>
                <w:sz w:val="24"/>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仿宋" w:hAnsi="仿宋" w:eastAsia="仿宋" w:cs="仿宋"/>
                <w:sz w:val="24"/>
              </w:rPr>
            </w:pPr>
            <w:r>
              <w:rPr>
                <w:rFonts w:hint="eastAsia" w:ascii="仿宋" w:hAnsi="仿宋" w:eastAsia="仿宋" w:cs="仿宋"/>
                <w:sz w:val="24"/>
              </w:rPr>
              <w:t>120套</w:t>
            </w:r>
          </w:p>
        </w:tc>
      </w:tr>
    </w:tbl>
    <w:p>
      <w:pPr>
        <w:pStyle w:val="3"/>
        <w:numPr>
          <w:ilvl w:val="0"/>
          <w:numId w:val="0"/>
        </w:numPr>
        <w:rPr>
          <w:rFonts w:hint="eastAsia"/>
        </w:rPr>
      </w:pPr>
    </w:p>
    <w:p>
      <w:pPr>
        <w:pStyle w:val="26"/>
        <w:ind w:firstLine="0" w:firstLineChars="0"/>
        <w:rPr>
          <w:rFonts w:cs="宋体"/>
          <w:color w:val="000000" w:themeColor="text1"/>
          <w14:textFill>
            <w14:solidFill>
              <w14:schemeClr w14:val="tx1"/>
            </w14:solidFill>
          </w14:textFill>
        </w:rPr>
      </w:pPr>
      <w:r>
        <w:rPr>
          <w:rFonts w:hint="eastAsia" w:cs="宋体"/>
          <w:b/>
          <w:color w:val="000000" w:themeColor="text1"/>
          <w:lang w:val="en-US" w:eastAsia="zh-CN"/>
          <w14:textFill>
            <w14:solidFill>
              <w14:schemeClr w14:val="tx1"/>
            </w14:solidFill>
          </w14:textFill>
        </w:rPr>
        <w:t>二</w:t>
      </w:r>
      <w:r>
        <w:rPr>
          <w:rFonts w:hint="eastAsia" w:cs="宋体"/>
          <w:b/>
          <w:color w:val="000000" w:themeColor="text1"/>
          <w14:textFill>
            <w14:solidFill>
              <w14:schemeClr w14:val="tx1"/>
            </w14:solidFill>
          </w14:textFill>
        </w:rPr>
        <w:t>、其他要求</w:t>
      </w:r>
    </w:p>
    <w:p>
      <w:pPr>
        <w:snapToGrid w:val="0"/>
        <w:spacing w:line="360" w:lineRule="auto"/>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1. 质量要求</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1.1中标人须按国家有关规定及标准完成本次招标的供货、运输、检验、通过有关部门验收、质保期服务等各项工作，并保证投标产品使用的安全性能与检测结果的可靠性，中标供应商对中标产品使用的安全性能与可靠性负全部责任。招标文件中的技术要求提出的是最低限度的基本技术要求，并未对所有技术细节作出规定，中标人应提供符合本技术要求和国家标准、行业标准的优质产品。</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1.2中标人须保证提供货物为全新的、先进的、成熟的、完整的和安全可靠的，且货物的技术经济性能符合本项目采购要求。并提供备件、附件和耗材的供应。不得用假冒及伪劣产品替代；如出现上述质量问题，采购方有权退货；如造成损失的，采购方可要求中标人给予赔偿。</w:t>
      </w:r>
    </w:p>
    <w:p>
      <w:pPr>
        <w:snapToGrid w:val="0"/>
        <w:spacing w:line="360" w:lineRule="auto"/>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lang w:val="en-US" w:eastAsia="zh-CN"/>
          <w14:textFill>
            <w14:solidFill>
              <w14:schemeClr w14:val="tx1"/>
            </w14:solidFill>
          </w14:textFill>
        </w:rPr>
        <w:t xml:space="preserve">    1.3</w:t>
      </w:r>
      <w:r>
        <w:rPr>
          <w:rFonts w:hint="eastAsia" w:ascii="宋体" w:hAnsi="宋体" w:eastAsia="宋体" w:cs="宋体"/>
          <w:i w:val="0"/>
          <w:iCs w:val="0"/>
          <w:caps w:val="0"/>
          <w:color w:val="000000"/>
          <w:spacing w:val="0"/>
          <w:sz w:val="24"/>
          <w:szCs w:val="24"/>
        </w:rPr>
        <w:t>根据对项目</w:t>
      </w:r>
      <w:r>
        <w:rPr>
          <w:rFonts w:hint="eastAsia" w:ascii="宋体" w:hAnsi="宋体" w:cs="宋体"/>
          <w:i w:val="0"/>
          <w:iCs w:val="0"/>
          <w:caps w:val="0"/>
          <w:color w:val="000000"/>
          <w:spacing w:val="0"/>
          <w:sz w:val="24"/>
          <w:szCs w:val="24"/>
          <w:lang w:eastAsia="zh-CN"/>
        </w:rPr>
        <w:t>的实际情况，产品</w:t>
      </w:r>
      <w:r>
        <w:rPr>
          <w:rFonts w:hint="eastAsia" w:ascii="宋体" w:hAnsi="宋体" w:eastAsia="宋体" w:cs="宋体"/>
          <w:i w:val="0"/>
          <w:iCs w:val="0"/>
          <w:caps w:val="0"/>
          <w:color w:val="000000"/>
          <w:spacing w:val="0"/>
          <w:sz w:val="24"/>
          <w:szCs w:val="24"/>
        </w:rPr>
        <w:t>设计</w:t>
      </w:r>
      <w:r>
        <w:rPr>
          <w:rFonts w:hint="eastAsia" w:ascii="宋体" w:hAnsi="宋体" w:eastAsia="宋体" w:cs="宋体"/>
          <w:i w:val="0"/>
          <w:iCs w:val="0"/>
          <w:caps w:val="0"/>
          <w:color w:val="000000"/>
          <w:spacing w:val="0"/>
          <w:sz w:val="24"/>
          <w:szCs w:val="24"/>
          <w:shd w:val="clear"/>
        </w:rPr>
        <w:t>方案新颖，理念贴合项目需求</w:t>
      </w:r>
      <w:r>
        <w:rPr>
          <w:rFonts w:hint="eastAsia" w:ascii="宋体" w:hAnsi="宋体" w:cs="宋体"/>
          <w:i w:val="0"/>
          <w:iCs w:val="0"/>
          <w:caps w:val="0"/>
          <w:color w:val="000000"/>
          <w:spacing w:val="0"/>
          <w:sz w:val="24"/>
          <w:szCs w:val="24"/>
          <w:shd w:val="clear"/>
          <w:lang w:eastAsia="zh-CN"/>
        </w:rPr>
        <w:t>；</w:t>
      </w:r>
      <w:r>
        <w:rPr>
          <w:rFonts w:hint="eastAsia" w:ascii="宋体" w:hAnsi="宋体" w:eastAsia="宋体" w:cs="宋体"/>
          <w:i w:val="0"/>
          <w:iCs w:val="0"/>
          <w:caps w:val="0"/>
          <w:color w:val="000000"/>
          <w:spacing w:val="0"/>
          <w:sz w:val="24"/>
          <w:szCs w:val="24"/>
          <w:shd w:val="clear"/>
        </w:rPr>
        <w:t>布置方案较新颖，理念较贴合项目需求</w:t>
      </w:r>
      <w:r>
        <w:rPr>
          <w:rFonts w:hint="eastAsia" w:ascii="宋体" w:hAnsi="宋体" w:cs="宋体"/>
          <w:i w:val="0"/>
          <w:iCs w:val="0"/>
          <w:caps w:val="0"/>
          <w:color w:val="000000"/>
          <w:spacing w:val="0"/>
          <w:sz w:val="24"/>
          <w:szCs w:val="24"/>
          <w:shd w:val="clear"/>
          <w:lang w:eastAsia="zh-CN"/>
        </w:rPr>
        <w:t>；</w:t>
      </w:r>
      <w:r>
        <w:rPr>
          <w:rFonts w:hint="eastAsia" w:ascii="宋体" w:hAnsi="宋体" w:eastAsia="宋体" w:cs="宋体"/>
          <w:i w:val="0"/>
          <w:iCs w:val="0"/>
          <w:caps w:val="0"/>
          <w:color w:val="000000"/>
          <w:spacing w:val="0"/>
          <w:sz w:val="24"/>
          <w:szCs w:val="24"/>
          <w:shd w:val="clear"/>
        </w:rPr>
        <w:t>实施计划较为完善，较全面考虑可操作性、安全性</w:t>
      </w:r>
      <w:r>
        <w:rPr>
          <w:rFonts w:hint="eastAsia" w:ascii="宋体" w:hAnsi="宋体" w:cs="宋体"/>
          <w:i w:val="0"/>
          <w:iCs w:val="0"/>
          <w:caps w:val="0"/>
          <w:color w:val="000000"/>
          <w:spacing w:val="0"/>
          <w:sz w:val="24"/>
          <w:szCs w:val="24"/>
          <w:shd w:val="clear"/>
          <w:lang w:eastAsia="zh-CN"/>
        </w:rPr>
        <w:t>。</w:t>
      </w:r>
      <w:r>
        <w:rPr>
          <w:rFonts w:hint="eastAsia" w:ascii="宋体" w:hAnsi="宋体" w:eastAsia="宋体" w:cs="宋体"/>
          <w:i w:val="0"/>
          <w:iCs w:val="0"/>
          <w:caps w:val="0"/>
          <w:color w:val="000000"/>
          <w:spacing w:val="0"/>
          <w:sz w:val="24"/>
          <w:szCs w:val="24"/>
        </w:rPr>
        <w:br w:type="textWrapping"/>
      </w:r>
      <w:r>
        <w:rPr>
          <w:rStyle w:val="1016"/>
          <w:rFonts w:hint="eastAsia" w:ascii="宋体" w:hAnsi="宋体" w:cs="宋体"/>
          <w:bCs/>
          <w:color w:val="000000" w:themeColor="text1"/>
          <w:sz w:val="24"/>
          <w14:textFill>
            <w14:solidFill>
              <w14:schemeClr w14:val="tx1"/>
            </w14:solidFill>
          </w14:textFill>
        </w:rPr>
        <w:t>2. 供货范围及要求</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2.1 中标人应提供详细供货清单，清单中依次说明型号、数量、产地、生产厂家等内容。</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2.2 中标人应提供所有安装和检修所需专用工具和消耗材料等，并提供详细供货清单。</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2.3 中标方应对整个运输、安装、验收过程中的安全负责。在服务期内，在中标人的责任区内由于中标人原因导致自己员工或第三方的事故由中标人负责，采购人不承担任何责任。</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2.4 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pPr>
        <w:snapToGrid w:val="0"/>
        <w:spacing w:line="360" w:lineRule="auto"/>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3.交货时间与地址</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 xml:space="preserve">3.1交货时间：本采购项目在合同签订后 </w:t>
      </w:r>
      <w:r>
        <w:rPr>
          <w:rStyle w:val="1016"/>
          <w:rFonts w:hint="eastAsia" w:ascii="宋体" w:hAnsi="宋体" w:cs="宋体"/>
          <w:bCs/>
          <w:color w:val="000000" w:themeColor="text1"/>
          <w:sz w:val="24"/>
          <w:lang w:val="en-US" w:eastAsia="zh-CN"/>
          <w14:textFill>
            <w14:solidFill>
              <w14:schemeClr w14:val="tx1"/>
            </w14:solidFill>
          </w14:textFill>
        </w:rPr>
        <w:t>4</w:t>
      </w:r>
      <w:r>
        <w:rPr>
          <w:rStyle w:val="1016"/>
          <w:rFonts w:hint="eastAsia" w:ascii="宋体" w:hAnsi="宋体" w:cs="宋体"/>
          <w:bCs/>
          <w:color w:val="000000" w:themeColor="text1"/>
          <w:sz w:val="24"/>
          <w14:textFill>
            <w14:solidFill>
              <w14:schemeClr w14:val="tx1"/>
            </w14:solidFill>
          </w14:textFill>
        </w:rPr>
        <w:t>0天内供货并安装调试完成。本项目为交钥匙工程，包含所有设备的安装材料、人工等相关费用。中标人逾期交货（包括技术安装）的，（a）逾期在5日以内的，每日应按合同总金额的 3‰向甲方支付违约金；（b）逾期在5日以上10日以内的，每日应按合同总金额的 1%向甲方支付违约金；（c）逾期超过10日的，每日应按合同总金额的3%向甲方支付违约金。违约金的支付并不免除或减轻中标人继续履行合同的义务。</w:t>
      </w:r>
    </w:p>
    <w:p>
      <w:pPr>
        <w:snapToGrid w:val="0"/>
        <w:spacing w:line="360" w:lineRule="auto"/>
        <w:ind w:firstLine="480" w:firstLineChars="200"/>
        <w:rPr>
          <w:rStyle w:val="1016"/>
          <w:rFonts w:ascii="宋体" w:hAnsi="宋体" w:cs="宋体"/>
          <w:bCs/>
          <w:color w:val="C00000"/>
          <w:sz w:val="24"/>
        </w:rPr>
      </w:pPr>
      <w:r>
        <w:rPr>
          <w:rStyle w:val="1016"/>
          <w:rFonts w:hint="eastAsia" w:ascii="宋体" w:hAnsi="宋体" w:cs="宋体"/>
          <w:bCs/>
          <w:color w:val="C00000"/>
          <w:sz w:val="24"/>
        </w:rPr>
        <w:t>3.2交货地址：诸暨市</w:t>
      </w:r>
      <w:r>
        <w:rPr>
          <w:rStyle w:val="1016"/>
          <w:rFonts w:hint="eastAsia" w:ascii="宋体" w:hAnsi="宋体" w:cs="宋体"/>
          <w:bCs/>
          <w:color w:val="C00000"/>
          <w:sz w:val="24"/>
          <w:lang w:val="en-US" w:eastAsia="zh-CN"/>
        </w:rPr>
        <w:t>湄池中学内</w:t>
      </w:r>
      <w:r>
        <w:rPr>
          <w:rStyle w:val="1016"/>
          <w:rFonts w:hint="eastAsia" w:ascii="宋体" w:hAnsi="宋体" w:cs="宋体"/>
          <w:bCs/>
          <w:color w:val="C00000"/>
          <w:sz w:val="24"/>
        </w:rPr>
        <w:t>，具体位置由</w:t>
      </w:r>
      <w:r>
        <w:rPr>
          <w:rStyle w:val="1016"/>
          <w:rFonts w:hint="eastAsia" w:ascii="宋体" w:hAnsi="宋体" w:cs="宋体"/>
          <w:bCs/>
          <w:color w:val="C00000"/>
          <w:sz w:val="24"/>
          <w:lang w:val="en-US" w:eastAsia="zh-CN"/>
        </w:rPr>
        <w:t>学校</w:t>
      </w:r>
      <w:r>
        <w:rPr>
          <w:rStyle w:val="1016"/>
          <w:rFonts w:hint="eastAsia" w:ascii="宋体" w:hAnsi="宋体" w:cs="宋体"/>
          <w:bCs/>
          <w:color w:val="C00000"/>
          <w:sz w:val="24"/>
        </w:rPr>
        <w:t>指定</w:t>
      </w:r>
      <w:r>
        <w:rPr>
          <w:rStyle w:val="1016"/>
          <w:rFonts w:hint="eastAsia" w:ascii="宋体" w:hAnsi="宋体" w:cs="宋体"/>
          <w:bCs/>
          <w:color w:val="C00000"/>
          <w:sz w:val="24"/>
          <w:lang w:eastAsia="zh-CN"/>
        </w:rPr>
        <w:t>。</w:t>
      </w:r>
      <w:r>
        <w:rPr>
          <w:rStyle w:val="1016"/>
          <w:rFonts w:hint="eastAsia" w:ascii="宋体" w:hAnsi="宋体" w:cs="宋体"/>
          <w:bCs/>
          <w:color w:val="C00000"/>
          <w:sz w:val="24"/>
        </w:rPr>
        <w:t xml:space="preserve"> </w:t>
      </w:r>
    </w:p>
    <w:p>
      <w:pPr>
        <w:snapToGrid w:val="0"/>
        <w:spacing w:line="360" w:lineRule="auto"/>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4.验收要求</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4.1</w:t>
      </w:r>
      <w:r>
        <w:rPr>
          <w:rStyle w:val="1016"/>
          <w:rFonts w:hint="eastAsia" w:ascii="宋体" w:hAnsi="宋体" w:cs="宋体"/>
          <w:bCs/>
          <w:color w:val="000000" w:themeColor="text1"/>
          <w:sz w:val="24"/>
          <w:lang w:eastAsia="zh-CN"/>
          <w14:textFill>
            <w14:solidFill>
              <w14:schemeClr w14:val="tx1"/>
            </w14:solidFill>
          </w14:textFill>
        </w:rPr>
        <w:t>中标人安装调试完毕后</w:t>
      </w:r>
      <w:r>
        <w:rPr>
          <w:rStyle w:val="1016"/>
          <w:rFonts w:hint="eastAsia" w:ascii="宋体" w:hAnsi="宋体" w:cs="宋体"/>
          <w:bCs/>
          <w:color w:val="000000" w:themeColor="text1"/>
          <w:sz w:val="24"/>
          <w14:textFill>
            <w14:solidFill>
              <w14:schemeClr w14:val="tx1"/>
            </w14:solidFill>
          </w14:textFill>
        </w:rPr>
        <w:t>提交验收申请，</w:t>
      </w:r>
      <w:r>
        <w:rPr>
          <w:rStyle w:val="1016"/>
          <w:rFonts w:hint="eastAsia" w:ascii="宋体" w:hAnsi="宋体" w:cs="宋体"/>
          <w:bCs/>
          <w:color w:val="000000" w:themeColor="text1"/>
          <w:sz w:val="24"/>
          <w:lang w:eastAsia="zh-CN"/>
          <w14:textFill>
            <w14:solidFill>
              <w14:schemeClr w14:val="tx1"/>
            </w14:solidFill>
          </w14:textFill>
        </w:rPr>
        <w:t>采购人</w:t>
      </w:r>
      <w:r>
        <w:rPr>
          <w:rStyle w:val="1016"/>
          <w:rFonts w:hint="eastAsia" w:ascii="宋体" w:hAnsi="宋体" w:cs="宋体"/>
          <w:bCs/>
          <w:color w:val="000000" w:themeColor="text1"/>
          <w:sz w:val="24"/>
          <w14:textFill>
            <w14:solidFill>
              <w14:schemeClr w14:val="tx1"/>
            </w14:solidFill>
          </w14:textFill>
        </w:rPr>
        <w:t>组织验收。</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4.2 按照国家相关质量标准、技术规范要求、合同规定的验收标准及招、投标文件的要求，采购</w:t>
      </w:r>
      <w:r>
        <w:rPr>
          <w:rStyle w:val="1016"/>
          <w:rFonts w:hint="eastAsia" w:ascii="宋体" w:hAnsi="宋体" w:cs="宋体"/>
          <w:bCs/>
          <w:color w:val="000000" w:themeColor="text1"/>
          <w:sz w:val="24"/>
          <w:lang w:eastAsia="zh-CN"/>
          <w14:textFill>
            <w14:solidFill>
              <w14:schemeClr w14:val="tx1"/>
            </w14:solidFill>
          </w14:textFill>
        </w:rPr>
        <w:t>人</w:t>
      </w:r>
      <w:r>
        <w:rPr>
          <w:rStyle w:val="1016"/>
          <w:rFonts w:hint="eastAsia" w:ascii="宋体" w:hAnsi="宋体" w:cs="宋体"/>
          <w:bCs/>
          <w:color w:val="000000" w:themeColor="text1"/>
          <w:sz w:val="24"/>
          <w14:textFill>
            <w14:solidFill>
              <w14:schemeClr w14:val="tx1"/>
            </w14:solidFill>
          </w14:textFill>
        </w:rPr>
        <w:t>组织相关部门、人员进行验收。验收前所有设备的随箱保修卡、说明书和有关技术资料等其他一切附带物品，都已提交并得到接受。如资料不符合要求需要整改的，中标人必须无条件接受。</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4.3若供货完成后验收不合格（未按投标文件要求供货或达不到投标时所提供样品质量要求的），则由中标方进行整改或换货，为不影响业主方正常使用家具，整改或换货期间原供货产品供业主方使用，待整改或换货完成直至验收合格后付款。（采购方可自行组织或委托第三方机构进行验收，验收费用由中标方支付）。</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4.4所有产品供货完成并安装结束后，采购人将委托第三方检测机构对家具甲醛含量进行检测，如产品不满足检测要求，采购人将作退货处理，所有损失由中标人承担。</w:t>
      </w:r>
    </w:p>
    <w:p>
      <w:pPr>
        <w:snapToGrid w:val="0"/>
        <w:spacing w:line="360" w:lineRule="auto"/>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5.服务保障</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5.1售后服务</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5.1.1中标人应确保其技术建议以及所提供的产品的完整性、实用性，保证全部产品及时投入正常运行。</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 xml:space="preserve">5.1.2在中标货物质保期内，中标人须免费维修和正常保养，无偿提供一切设施的维修、调试或更换已损坏的零部件。对故障在2小时以内响应，8小时以内到现场，24小时以内解决问题；不能当场修复的，必须采取提供备品、备件等措施，以保证招标人的正常使用。如果逾期未作出响应，中标人应承担由于故障所造成的全部损失。 </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5.1.3质保期内需免费提供维护、维修上门服务免费更换零部件，提供终身维护。</w:t>
      </w:r>
    </w:p>
    <w:p>
      <w:pPr>
        <w:snapToGrid w:val="0"/>
        <w:spacing w:line="360" w:lineRule="auto"/>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6.质保期</w:t>
      </w:r>
    </w:p>
    <w:p>
      <w:pPr>
        <w:snapToGrid w:val="0"/>
        <w:spacing w:line="360" w:lineRule="auto"/>
        <w:ind w:firstLine="480" w:firstLineChars="200"/>
        <w:rPr>
          <w:rStyle w:val="1016"/>
          <w:rFonts w:hint="eastAsia"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14:textFill>
            <w14:solidFill>
              <w14:schemeClr w14:val="tx1"/>
            </w14:solidFill>
          </w14:textFill>
        </w:rPr>
        <w:t>中标人须提供经调试、试运行、验收合格后之日起，合同中规定的所有产品不少于</w:t>
      </w:r>
      <w:r>
        <w:rPr>
          <w:rStyle w:val="1016"/>
          <w:rFonts w:hint="eastAsia" w:ascii="宋体" w:hAnsi="宋体" w:cs="宋体"/>
          <w:bCs/>
          <w:color w:val="000000" w:themeColor="text1"/>
          <w:sz w:val="24"/>
          <w:lang w:val="en-US" w:eastAsia="zh-CN"/>
          <w14:textFill>
            <w14:solidFill>
              <w14:schemeClr w14:val="tx1"/>
            </w14:solidFill>
          </w14:textFill>
        </w:rPr>
        <w:t>1</w:t>
      </w:r>
      <w:r>
        <w:rPr>
          <w:rStyle w:val="1016"/>
          <w:rFonts w:hint="eastAsia" w:ascii="宋体" w:hAnsi="宋体" w:cs="宋体"/>
          <w:bCs/>
          <w:color w:val="000000" w:themeColor="text1"/>
          <w:sz w:val="24"/>
          <w14:textFill>
            <w14:solidFill>
              <w14:schemeClr w14:val="tx1"/>
            </w14:solidFill>
          </w14:textFill>
        </w:rPr>
        <w:t>年的免费质保期。在质保期内，中标人须免费维修和正常保养。</w:t>
      </w:r>
    </w:p>
    <w:p>
      <w:pPr>
        <w:numPr>
          <w:ilvl w:val="0"/>
          <w:numId w:val="10"/>
        </w:numPr>
        <w:snapToGrid w:val="0"/>
        <w:spacing w:line="360" w:lineRule="auto"/>
        <w:rPr>
          <w:rStyle w:val="1016"/>
          <w:rFonts w:hint="eastAsia" w:ascii="宋体" w:hAnsi="宋体" w:cs="宋体"/>
          <w:b/>
          <w:bCs w:val="0"/>
          <w:color w:val="000000" w:themeColor="text1"/>
          <w:sz w:val="24"/>
          <w:lang w:val="en-US" w:eastAsia="zh-CN"/>
          <w14:textFill>
            <w14:solidFill>
              <w14:schemeClr w14:val="tx1"/>
            </w14:solidFill>
          </w14:textFill>
        </w:rPr>
      </w:pPr>
      <w:r>
        <w:rPr>
          <w:rStyle w:val="1016"/>
          <w:rFonts w:hint="eastAsia" w:ascii="宋体" w:hAnsi="宋体" w:cs="宋体"/>
          <w:b/>
          <w:bCs w:val="0"/>
          <w:color w:val="000000" w:themeColor="text1"/>
          <w:sz w:val="24"/>
          <w:lang w:val="en-US" w:eastAsia="zh-CN"/>
          <w14:textFill>
            <w14:solidFill>
              <w14:schemeClr w14:val="tx1"/>
            </w14:solidFill>
          </w14:textFill>
        </w:rPr>
        <w:t>履约保证金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Style w:val="1016"/>
          <w:rFonts w:hint="default" w:ascii="宋体" w:hAnsi="宋体" w:cs="宋体"/>
          <w:b/>
          <w:bCs w:val="0"/>
          <w:color w:val="000000" w:themeColor="text1"/>
          <w:sz w:val="24"/>
          <w:lang w:val="en-US" w:eastAsia="zh-CN"/>
          <w14:textFill>
            <w14:solidFill>
              <w14:schemeClr w14:val="tx1"/>
            </w14:solidFill>
          </w14:textFill>
        </w:rPr>
      </w:pPr>
      <w:r>
        <w:rPr>
          <w:rStyle w:val="1016"/>
          <w:rFonts w:hint="eastAsia" w:ascii="宋体" w:hAnsi="宋体" w:cs="宋体"/>
          <w:b/>
          <w:bCs w:val="0"/>
          <w:color w:val="000000" w:themeColor="text1"/>
          <w:sz w:val="24"/>
          <w:lang w:val="en-US" w:eastAsia="zh-CN"/>
          <w14:textFill>
            <w14:solidFill>
              <w14:schemeClr w14:val="tx1"/>
            </w14:solidFill>
          </w14:textFill>
        </w:rPr>
        <w:t>中标单位在本合同签订之前向甲方交纳合同总价的1%的履约保证金(或履约保函)，作为乙方履行本合同服务承诺的保证，合同结束后一个月后无息归还。</w:t>
      </w:r>
    </w:p>
    <w:p>
      <w:pPr>
        <w:snapToGrid w:val="0"/>
        <w:spacing w:line="360" w:lineRule="auto"/>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lang w:val="en-US" w:eastAsia="zh-CN"/>
          <w14:textFill>
            <w14:solidFill>
              <w14:schemeClr w14:val="tx1"/>
            </w14:solidFill>
          </w14:textFill>
        </w:rPr>
        <w:t>8</w:t>
      </w:r>
      <w:r>
        <w:rPr>
          <w:rStyle w:val="1016"/>
          <w:rFonts w:hint="eastAsia" w:ascii="宋体" w:hAnsi="宋体" w:cs="宋体"/>
          <w:bCs/>
          <w:color w:val="000000" w:themeColor="text1"/>
          <w:sz w:val="24"/>
          <w14:textFill>
            <w14:solidFill>
              <w14:schemeClr w14:val="tx1"/>
            </w14:solidFill>
          </w14:textFill>
        </w:rPr>
        <w:t>. 付款方式</w:t>
      </w:r>
    </w:p>
    <w:p>
      <w:pPr>
        <w:snapToGrid w:val="0"/>
        <w:spacing w:line="360" w:lineRule="auto"/>
        <w:ind w:firstLine="480" w:firstLineChars="200"/>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lang w:eastAsia="zh-CN"/>
          <w14:textFill>
            <w14:solidFill>
              <w14:schemeClr w14:val="tx1"/>
            </w14:solidFill>
          </w14:textFill>
        </w:rPr>
        <w:t>合同签订后</w:t>
      </w:r>
      <w:r>
        <w:rPr>
          <w:rStyle w:val="1016"/>
          <w:rFonts w:hint="eastAsia" w:ascii="宋体" w:hAnsi="宋体" w:cs="宋体"/>
          <w:bCs/>
          <w:color w:val="000000" w:themeColor="text1"/>
          <w:sz w:val="24"/>
          <w:lang w:val="en-US" w:eastAsia="zh-CN"/>
          <w14:textFill>
            <w14:solidFill>
              <w14:schemeClr w14:val="tx1"/>
            </w14:solidFill>
          </w14:textFill>
        </w:rPr>
        <w:t>10个工作日内支付合同款40%的预付款，验收合格手续齐全后7个工作日内付清余款，具体</w:t>
      </w:r>
      <w:r>
        <w:rPr>
          <w:rStyle w:val="1016"/>
          <w:rFonts w:hint="eastAsia" w:ascii="宋体" w:hAnsi="宋体" w:cs="宋体"/>
          <w:bCs/>
          <w:color w:val="000000" w:themeColor="text1"/>
          <w:sz w:val="24"/>
          <w14:textFill>
            <w14:solidFill>
              <w14:schemeClr w14:val="tx1"/>
            </w14:solidFill>
          </w14:textFill>
        </w:rPr>
        <w:t>按照《浙江省财政厅关于进一步发挥政府采购政策功能全力推动经济稳进提质的通知》（浙财采监〔2022〕3号）等文件要求在合同中予以明确。</w:t>
      </w:r>
    </w:p>
    <w:p>
      <w:pPr>
        <w:snapToGrid w:val="0"/>
        <w:spacing w:line="360" w:lineRule="auto"/>
        <w:rPr>
          <w:rStyle w:val="1016"/>
          <w:rFonts w:ascii="宋体" w:hAnsi="宋体" w:cs="宋体"/>
          <w:bCs/>
          <w:color w:val="000000" w:themeColor="text1"/>
          <w:sz w:val="24"/>
          <w14:textFill>
            <w14:solidFill>
              <w14:schemeClr w14:val="tx1"/>
            </w14:solidFill>
          </w14:textFill>
        </w:rPr>
      </w:pPr>
      <w:r>
        <w:rPr>
          <w:rStyle w:val="1016"/>
          <w:rFonts w:hint="eastAsia" w:ascii="宋体" w:hAnsi="宋体" w:cs="宋体"/>
          <w:bCs/>
          <w:color w:val="000000" w:themeColor="text1"/>
          <w:sz w:val="24"/>
          <w:lang w:val="en-US" w:eastAsia="zh-CN"/>
          <w14:textFill>
            <w14:solidFill>
              <w14:schemeClr w14:val="tx1"/>
            </w14:solidFill>
          </w14:textFill>
        </w:rPr>
        <w:t>9</w:t>
      </w:r>
      <w:r>
        <w:rPr>
          <w:rStyle w:val="1016"/>
          <w:rFonts w:hint="eastAsia" w:ascii="宋体" w:hAnsi="宋体" w:cs="宋体"/>
          <w:bCs/>
          <w:color w:val="000000" w:themeColor="text1"/>
          <w:sz w:val="24"/>
          <w14:textFill>
            <w14:solidFill>
              <w14:schemeClr w14:val="tx1"/>
            </w14:solidFill>
          </w14:textFill>
        </w:rPr>
        <w:t>.最高限价</w:t>
      </w:r>
    </w:p>
    <w:p>
      <w:pPr>
        <w:snapToGrid w:val="0"/>
        <w:spacing w:line="360" w:lineRule="auto"/>
        <w:ind w:firstLine="482" w:firstLineChars="200"/>
        <w:rPr>
          <w:rFonts w:cs="宋体"/>
          <w:b/>
          <w:bCs w:val="0"/>
          <w:color w:val="000000" w:themeColor="text1"/>
          <w:sz w:val="24"/>
          <w:u w:val="single"/>
          <w14:textFill>
            <w14:solidFill>
              <w14:schemeClr w14:val="tx1"/>
            </w14:solidFill>
          </w14:textFill>
        </w:rPr>
      </w:pPr>
      <w:r>
        <w:rPr>
          <w:rStyle w:val="1016"/>
          <w:rFonts w:hint="eastAsia" w:ascii="宋体" w:hAnsi="宋体" w:cs="宋体"/>
          <w:b/>
          <w:bCs w:val="0"/>
          <w:color w:val="000000" w:themeColor="text1"/>
          <w:sz w:val="24"/>
          <w:u w:val="single"/>
          <w14:textFill>
            <w14:solidFill>
              <w14:schemeClr w14:val="tx1"/>
            </w14:solidFill>
          </w14:textFill>
        </w:rPr>
        <w:t>本次采购最高限价总计为人民币</w:t>
      </w:r>
      <w:r>
        <w:rPr>
          <w:rStyle w:val="1016"/>
          <w:rFonts w:hint="eastAsia" w:ascii="宋体" w:hAnsi="宋体" w:cs="宋体"/>
          <w:b/>
          <w:bCs w:val="0"/>
          <w:color w:val="000000" w:themeColor="text1"/>
          <w:sz w:val="24"/>
          <w:u w:val="single"/>
          <w:lang w:val="en-US" w:eastAsia="zh-CN"/>
          <w14:textFill>
            <w14:solidFill>
              <w14:schemeClr w14:val="tx1"/>
            </w14:solidFill>
          </w14:textFill>
        </w:rPr>
        <w:t>:玖拾壹万叁仟玖佰叁拾</w:t>
      </w:r>
      <w:r>
        <w:rPr>
          <w:rStyle w:val="1016"/>
          <w:rFonts w:hint="eastAsia" w:ascii="宋体" w:hAnsi="宋体" w:cs="宋体"/>
          <w:b/>
          <w:bCs w:val="0"/>
          <w:color w:val="000000" w:themeColor="text1"/>
          <w:sz w:val="24"/>
          <w:u w:val="single"/>
          <w14:textFill>
            <w14:solidFill>
              <w14:schemeClr w14:val="tx1"/>
            </w14:solidFill>
          </w14:textFill>
        </w:rPr>
        <w:t>元整（</w:t>
      </w:r>
      <w:r>
        <w:rPr>
          <w:rStyle w:val="1016"/>
          <w:rFonts w:hint="eastAsia" w:ascii="宋体" w:hAnsi="宋体" w:cs="宋体"/>
          <w:b/>
          <w:bCs w:val="0"/>
          <w:color w:val="000000" w:themeColor="text1"/>
          <w:sz w:val="24"/>
          <w:u w:val="single"/>
          <w:lang w:val="en-US" w:eastAsia="zh-CN"/>
          <w14:textFill>
            <w14:solidFill>
              <w14:schemeClr w14:val="tx1"/>
            </w14:solidFill>
          </w14:textFill>
        </w:rPr>
        <w:t>¥913930.</w:t>
      </w:r>
      <w:r>
        <w:rPr>
          <w:rStyle w:val="1016"/>
          <w:rFonts w:hint="eastAsia" w:ascii="宋体" w:hAnsi="宋体" w:cs="宋体"/>
          <w:b/>
          <w:bCs w:val="0"/>
          <w:color w:val="000000" w:themeColor="text1"/>
          <w:sz w:val="24"/>
          <w:u w:val="single"/>
          <w14:textFill>
            <w14:solidFill>
              <w14:schemeClr w14:val="tx1"/>
            </w14:solidFill>
          </w14:textFill>
        </w:rPr>
        <w:t>00</w:t>
      </w:r>
      <w:r>
        <w:rPr>
          <w:rStyle w:val="1016"/>
          <w:rFonts w:hint="eastAsia" w:ascii="宋体" w:hAnsi="宋体" w:cs="宋体"/>
          <w:b/>
          <w:bCs w:val="0"/>
          <w:color w:val="000000" w:themeColor="text1"/>
          <w:sz w:val="24"/>
          <w:u w:val="single"/>
          <w:lang w:eastAsia="zh-CN"/>
          <w14:textFill>
            <w14:solidFill>
              <w14:schemeClr w14:val="tx1"/>
            </w14:solidFill>
          </w14:textFill>
        </w:rPr>
        <w:t>元</w:t>
      </w:r>
      <w:r>
        <w:rPr>
          <w:rStyle w:val="1016"/>
          <w:rFonts w:hint="eastAsia" w:ascii="宋体" w:hAnsi="宋体" w:cs="宋体"/>
          <w:b/>
          <w:bCs w:val="0"/>
          <w:color w:val="000000" w:themeColor="text1"/>
          <w:sz w:val="24"/>
          <w:u w:val="single"/>
          <w14:textFill>
            <w14:solidFill>
              <w14:schemeClr w14:val="tx1"/>
            </w14:solidFill>
          </w14:textFill>
        </w:rPr>
        <w:t>）。任何超过最高限价的报价将被认定为无效报价（包含设备、货物运输、安装、调试、售后服务、人员工资、税费等本项目实施的一切费用）。</w:t>
      </w: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45" w:name="_Toc184314477"/>
      <w:bookmarkEnd w:id="45"/>
      <w:bookmarkStart w:id="46" w:name="_Toc184314420"/>
      <w:bookmarkEnd w:id="46"/>
      <w:bookmarkStart w:id="47" w:name="_Toc184310344"/>
      <w:bookmarkEnd w:id="47"/>
      <w:bookmarkStart w:id="48" w:name="_Toc184310338"/>
      <w:bookmarkEnd w:id="48"/>
      <w:bookmarkStart w:id="49" w:name="_Toc184314448"/>
      <w:bookmarkEnd w:id="49"/>
      <w:bookmarkStart w:id="50" w:name="_Toc184313293"/>
      <w:bookmarkEnd w:id="50"/>
      <w:bookmarkStart w:id="51" w:name="_Toc184312104"/>
      <w:bookmarkEnd w:id="51"/>
      <w:bookmarkStart w:id="52" w:name="_Toc184314410"/>
      <w:bookmarkEnd w:id="52"/>
      <w:bookmarkStart w:id="53" w:name="_Toc184310323"/>
      <w:bookmarkEnd w:id="53"/>
      <w:bookmarkStart w:id="54" w:name="_Toc184312082"/>
      <w:bookmarkEnd w:id="54"/>
      <w:bookmarkStart w:id="55" w:name="_Toc184310290"/>
      <w:bookmarkEnd w:id="55"/>
      <w:bookmarkStart w:id="56" w:name="_Toc184314436"/>
      <w:bookmarkEnd w:id="56"/>
      <w:bookmarkStart w:id="57" w:name="_Toc184308053"/>
      <w:bookmarkEnd w:id="57"/>
      <w:bookmarkStart w:id="58" w:name="_Toc184310273"/>
      <w:bookmarkEnd w:id="58"/>
      <w:bookmarkStart w:id="59" w:name="_Toc184308072"/>
      <w:bookmarkEnd w:id="59"/>
      <w:bookmarkStart w:id="60" w:name="_Toc184310307"/>
      <w:bookmarkEnd w:id="60"/>
      <w:bookmarkStart w:id="61" w:name="_Toc184308048"/>
      <w:bookmarkEnd w:id="61"/>
      <w:bookmarkStart w:id="62" w:name="_Toc184312090"/>
      <w:bookmarkEnd w:id="62"/>
      <w:bookmarkStart w:id="63" w:name="_Toc184310339"/>
      <w:bookmarkEnd w:id="63"/>
      <w:bookmarkStart w:id="64" w:name="_Toc184313274"/>
      <w:bookmarkEnd w:id="64"/>
      <w:bookmarkStart w:id="65" w:name="_Toc184314429"/>
      <w:bookmarkEnd w:id="65"/>
      <w:bookmarkStart w:id="66" w:name="_Toc184308102"/>
      <w:bookmarkEnd w:id="66"/>
      <w:bookmarkStart w:id="67" w:name="_Toc184314422"/>
      <w:bookmarkEnd w:id="67"/>
      <w:bookmarkStart w:id="68" w:name="_Toc184314460"/>
      <w:bookmarkEnd w:id="68"/>
      <w:bookmarkStart w:id="69" w:name="_Toc184312139"/>
      <w:bookmarkEnd w:id="69"/>
      <w:bookmarkStart w:id="70" w:name="_Toc184314464"/>
      <w:bookmarkEnd w:id="70"/>
      <w:bookmarkStart w:id="71" w:name="_Toc184312111"/>
      <w:bookmarkEnd w:id="71"/>
      <w:bookmarkStart w:id="72" w:name="_Toc184312098"/>
      <w:bookmarkEnd w:id="72"/>
      <w:bookmarkStart w:id="73" w:name="_Toc184308088"/>
      <w:bookmarkEnd w:id="73"/>
      <w:bookmarkStart w:id="74" w:name="_Toc184308071"/>
      <w:bookmarkEnd w:id="74"/>
      <w:bookmarkStart w:id="75" w:name="_Toc184314451"/>
      <w:bookmarkEnd w:id="75"/>
      <w:bookmarkStart w:id="76" w:name="_Toc184313252"/>
      <w:bookmarkEnd w:id="76"/>
      <w:bookmarkStart w:id="77" w:name="_Toc184314414"/>
      <w:bookmarkEnd w:id="77"/>
      <w:bookmarkStart w:id="78" w:name="_Toc184312094"/>
      <w:bookmarkEnd w:id="78"/>
      <w:bookmarkStart w:id="79" w:name="_Toc184313248"/>
      <w:bookmarkEnd w:id="79"/>
      <w:bookmarkStart w:id="80" w:name="_Toc184313238"/>
      <w:bookmarkEnd w:id="80"/>
      <w:bookmarkStart w:id="81" w:name="_Toc184313306"/>
      <w:bookmarkEnd w:id="81"/>
      <w:bookmarkStart w:id="82" w:name="_Toc184314482"/>
      <w:bookmarkEnd w:id="82"/>
      <w:bookmarkStart w:id="83" w:name="_Toc184312079"/>
      <w:bookmarkEnd w:id="83"/>
      <w:bookmarkStart w:id="84" w:name="_Toc184312105"/>
      <w:bookmarkEnd w:id="84"/>
      <w:bookmarkStart w:id="85" w:name="_Toc184308043"/>
      <w:bookmarkEnd w:id="85"/>
      <w:bookmarkStart w:id="86" w:name="_Toc184312081"/>
      <w:bookmarkEnd w:id="86"/>
      <w:bookmarkStart w:id="87" w:name="_Toc184313310"/>
      <w:bookmarkEnd w:id="87"/>
      <w:bookmarkStart w:id="88" w:name="_Toc184313303"/>
      <w:bookmarkEnd w:id="88"/>
      <w:bookmarkStart w:id="89" w:name="_Toc184310315"/>
      <w:bookmarkEnd w:id="89"/>
      <w:bookmarkStart w:id="90" w:name="_Toc184312099"/>
      <w:bookmarkEnd w:id="90"/>
      <w:bookmarkStart w:id="91" w:name="_Toc184308067"/>
      <w:bookmarkEnd w:id="91"/>
      <w:bookmarkStart w:id="92" w:name="_Toc184310328"/>
      <w:bookmarkEnd w:id="92"/>
      <w:bookmarkStart w:id="93" w:name="_Toc184308040"/>
      <w:bookmarkEnd w:id="93"/>
      <w:bookmarkStart w:id="94" w:name="_Toc184308051"/>
      <w:bookmarkEnd w:id="94"/>
      <w:bookmarkStart w:id="95" w:name="_Toc184314449"/>
      <w:bookmarkEnd w:id="95"/>
      <w:bookmarkStart w:id="96" w:name="_Toc184308075"/>
      <w:bookmarkEnd w:id="96"/>
      <w:bookmarkStart w:id="97" w:name="_Toc184313262"/>
      <w:bookmarkEnd w:id="97"/>
      <w:bookmarkStart w:id="98" w:name="_Toc184312070"/>
      <w:bookmarkEnd w:id="98"/>
      <w:bookmarkStart w:id="99" w:name="_Toc184310289"/>
      <w:bookmarkEnd w:id="99"/>
      <w:bookmarkStart w:id="100" w:name="_Toc184313272"/>
      <w:bookmarkEnd w:id="100"/>
      <w:bookmarkStart w:id="101" w:name="_Toc184314419"/>
      <w:bookmarkEnd w:id="101"/>
      <w:bookmarkStart w:id="102" w:name="_Toc184314478"/>
      <w:bookmarkEnd w:id="102"/>
      <w:bookmarkStart w:id="103" w:name="_Toc184314415"/>
      <w:bookmarkEnd w:id="103"/>
      <w:bookmarkStart w:id="104" w:name="_Toc184313282"/>
      <w:bookmarkEnd w:id="104"/>
      <w:bookmarkStart w:id="105" w:name="_Toc184308061"/>
      <w:bookmarkEnd w:id="105"/>
      <w:bookmarkStart w:id="106" w:name="_Toc184312086"/>
      <w:bookmarkEnd w:id="106"/>
      <w:bookmarkStart w:id="107" w:name="_Toc184308104"/>
      <w:bookmarkEnd w:id="107"/>
      <w:bookmarkStart w:id="108" w:name="_Toc184310281"/>
      <w:bookmarkEnd w:id="108"/>
      <w:bookmarkStart w:id="109" w:name="_Toc184314458"/>
      <w:bookmarkEnd w:id="109"/>
      <w:bookmarkStart w:id="110" w:name="_Toc184308064"/>
      <w:bookmarkEnd w:id="110"/>
      <w:bookmarkStart w:id="111" w:name="_Toc184308049"/>
      <w:bookmarkEnd w:id="111"/>
      <w:bookmarkStart w:id="112" w:name="_Toc184308038"/>
      <w:bookmarkEnd w:id="112"/>
      <w:bookmarkStart w:id="113" w:name="_Toc184312072"/>
      <w:bookmarkEnd w:id="113"/>
      <w:bookmarkStart w:id="114" w:name="_Toc184314459"/>
      <w:bookmarkEnd w:id="114"/>
      <w:bookmarkStart w:id="115" w:name="_Toc184310292"/>
      <w:bookmarkEnd w:id="115"/>
      <w:bookmarkStart w:id="116" w:name="_Toc184312076"/>
      <w:bookmarkEnd w:id="116"/>
      <w:bookmarkStart w:id="117" w:name="_Toc184310274"/>
      <w:bookmarkEnd w:id="117"/>
      <w:bookmarkStart w:id="118" w:name="_Toc184312116"/>
      <w:bookmarkEnd w:id="118"/>
      <w:bookmarkStart w:id="119" w:name="_Toc184310279"/>
      <w:bookmarkEnd w:id="119"/>
      <w:bookmarkStart w:id="120" w:name="_Toc184314438"/>
      <w:bookmarkEnd w:id="120"/>
      <w:bookmarkStart w:id="121" w:name="_Toc184314418"/>
      <w:bookmarkEnd w:id="121"/>
      <w:bookmarkStart w:id="122" w:name="_Toc184314475"/>
      <w:bookmarkEnd w:id="122"/>
      <w:bookmarkStart w:id="123" w:name="_Toc184310277"/>
      <w:bookmarkEnd w:id="123"/>
      <w:bookmarkStart w:id="124" w:name="_Toc184313253"/>
      <w:bookmarkEnd w:id="124"/>
      <w:bookmarkStart w:id="125" w:name="_Toc184312068"/>
      <w:bookmarkEnd w:id="125"/>
      <w:bookmarkStart w:id="126" w:name="_Toc184314442"/>
      <w:bookmarkEnd w:id="126"/>
      <w:bookmarkStart w:id="127" w:name="_Toc184308044"/>
      <w:bookmarkEnd w:id="127"/>
      <w:bookmarkStart w:id="128" w:name="_Toc184308062"/>
      <w:bookmarkEnd w:id="128"/>
      <w:bookmarkStart w:id="129" w:name="_Toc184312095"/>
      <w:bookmarkEnd w:id="129"/>
      <w:bookmarkStart w:id="130" w:name="_Toc184312067"/>
      <w:bookmarkEnd w:id="130"/>
      <w:bookmarkStart w:id="131" w:name="_Toc184308084"/>
      <w:bookmarkEnd w:id="131"/>
      <w:bookmarkStart w:id="132" w:name="_Toc184308039"/>
      <w:bookmarkEnd w:id="132"/>
      <w:bookmarkStart w:id="133" w:name="_Toc184310285"/>
      <w:bookmarkEnd w:id="133"/>
      <w:bookmarkStart w:id="134" w:name="_Toc184312083"/>
      <w:bookmarkEnd w:id="134"/>
      <w:bookmarkStart w:id="135" w:name="_Toc184314450"/>
      <w:bookmarkEnd w:id="135"/>
      <w:bookmarkStart w:id="136" w:name="_Toc184312069"/>
      <w:bookmarkEnd w:id="136"/>
      <w:bookmarkStart w:id="137" w:name="_Toc184308099"/>
      <w:bookmarkEnd w:id="137"/>
      <w:bookmarkStart w:id="138" w:name="_Toc184308107"/>
      <w:bookmarkEnd w:id="138"/>
      <w:bookmarkStart w:id="139" w:name="_Toc184310330"/>
      <w:bookmarkEnd w:id="139"/>
      <w:bookmarkStart w:id="140" w:name="_Toc184308080"/>
      <w:bookmarkEnd w:id="140"/>
      <w:bookmarkStart w:id="141" w:name="_Toc184310306"/>
      <w:bookmarkEnd w:id="141"/>
      <w:bookmarkStart w:id="142" w:name="_Toc184312131"/>
      <w:bookmarkEnd w:id="142"/>
      <w:bookmarkStart w:id="143" w:name="_Toc184310296"/>
      <w:bookmarkEnd w:id="143"/>
      <w:bookmarkStart w:id="144" w:name="_Toc184313261"/>
      <w:bookmarkEnd w:id="144"/>
      <w:bookmarkStart w:id="145" w:name="_Toc184314413"/>
      <w:bookmarkEnd w:id="145"/>
      <w:bookmarkStart w:id="146" w:name="_Toc184313276"/>
      <w:bookmarkEnd w:id="146"/>
      <w:bookmarkStart w:id="147" w:name="_Toc184314455"/>
      <w:bookmarkEnd w:id="147"/>
      <w:bookmarkStart w:id="148" w:name="_Toc184314474"/>
      <w:bookmarkEnd w:id="148"/>
      <w:bookmarkStart w:id="149" w:name="_Toc184310275"/>
      <w:bookmarkEnd w:id="149"/>
      <w:bookmarkStart w:id="150" w:name="_Toc184308082"/>
      <w:bookmarkEnd w:id="150"/>
      <w:bookmarkStart w:id="151" w:name="_Toc184310322"/>
      <w:bookmarkEnd w:id="151"/>
      <w:bookmarkStart w:id="152" w:name="_Toc184310342"/>
      <w:bookmarkEnd w:id="152"/>
      <w:bookmarkStart w:id="153" w:name="_Toc184308056"/>
      <w:bookmarkEnd w:id="153"/>
      <w:bookmarkStart w:id="154" w:name="_Toc184314425"/>
      <w:bookmarkEnd w:id="154"/>
      <w:bookmarkStart w:id="155" w:name="_Toc184310303"/>
      <w:bookmarkEnd w:id="155"/>
      <w:bookmarkStart w:id="156" w:name="_Toc184312088"/>
      <w:bookmarkEnd w:id="156"/>
      <w:bookmarkStart w:id="157" w:name="_Toc184312125"/>
      <w:bookmarkEnd w:id="157"/>
      <w:bookmarkStart w:id="158" w:name="_Toc184313244"/>
      <w:bookmarkEnd w:id="158"/>
      <w:bookmarkStart w:id="159" w:name="_Toc184314428"/>
      <w:bookmarkEnd w:id="159"/>
      <w:bookmarkStart w:id="160" w:name="_Toc184310316"/>
      <w:bookmarkEnd w:id="160"/>
      <w:bookmarkStart w:id="161" w:name="_Toc184308041"/>
      <w:bookmarkEnd w:id="161"/>
      <w:bookmarkStart w:id="162" w:name="_Toc184308052"/>
      <w:bookmarkEnd w:id="162"/>
      <w:bookmarkStart w:id="163" w:name="_Toc184313308"/>
      <w:bookmarkEnd w:id="163"/>
      <w:bookmarkStart w:id="164" w:name="_Toc184313269"/>
      <w:bookmarkEnd w:id="164"/>
      <w:bookmarkStart w:id="165" w:name="_Toc184313247"/>
      <w:bookmarkEnd w:id="165"/>
      <w:bookmarkStart w:id="166" w:name="_Toc184313266"/>
      <w:bookmarkEnd w:id="166"/>
      <w:bookmarkStart w:id="167" w:name="_Toc184313292"/>
      <w:bookmarkEnd w:id="167"/>
      <w:bookmarkStart w:id="168" w:name="_Toc184313263"/>
      <w:bookmarkEnd w:id="168"/>
      <w:bookmarkStart w:id="169" w:name="_Toc184310343"/>
      <w:bookmarkEnd w:id="169"/>
      <w:bookmarkStart w:id="170" w:name="_Toc184310337"/>
      <w:bookmarkEnd w:id="170"/>
      <w:bookmarkStart w:id="171" w:name="_Toc184308057"/>
      <w:bookmarkEnd w:id="171"/>
      <w:bookmarkStart w:id="172" w:name="_Toc184312112"/>
      <w:bookmarkEnd w:id="172"/>
      <w:bookmarkStart w:id="173" w:name="_Toc184312085"/>
      <w:bookmarkEnd w:id="173"/>
      <w:bookmarkStart w:id="174" w:name="_Toc184314416"/>
      <w:bookmarkEnd w:id="174"/>
      <w:bookmarkStart w:id="175" w:name="_Toc184313243"/>
      <w:bookmarkEnd w:id="175"/>
      <w:bookmarkStart w:id="176" w:name="_Toc184308097"/>
      <w:bookmarkEnd w:id="176"/>
      <w:bookmarkStart w:id="177" w:name="_Toc184312132"/>
      <w:bookmarkEnd w:id="177"/>
      <w:bookmarkStart w:id="178" w:name="_Toc184308103"/>
      <w:bookmarkEnd w:id="178"/>
      <w:bookmarkStart w:id="179" w:name="_Toc184308050"/>
      <w:bookmarkEnd w:id="179"/>
      <w:bookmarkStart w:id="180" w:name="_Toc184313295"/>
      <w:bookmarkEnd w:id="180"/>
      <w:bookmarkStart w:id="181" w:name="_Toc184308042"/>
      <w:bookmarkEnd w:id="181"/>
      <w:bookmarkStart w:id="182" w:name="_Toc184313296"/>
      <w:bookmarkEnd w:id="182"/>
      <w:bookmarkStart w:id="183" w:name="_Toc184308086"/>
      <w:bookmarkEnd w:id="183"/>
      <w:bookmarkStart w:id="184" w:name="_Toc184314445"/>
      <w:bookmarkEnd w:id="184"/>
      <w:bookmarkStart w:id="185" w:name="_Toc184314421"/>
      <w:bookmarkEnd w:id="185"/>
      <w:bookmarkStart w:id="186" w:name="_Toc184308092"/>
      <w:bookmarkEnd w:id="186"/>
      <w:bookmarkStart w:id="187" w:name="_Toc184314440"/>
      <w:bookmarkEnd w:id="187"/>
      <w:bookmarkStart w:id="188" w:name="_Toc184308076"/>
      <w:bookmarkEnd w:id="188"/>
      <w:bookmarkStart w:id="189" w:name="_Toc184313270"/>
      <w:bookmarkEnd w:id="189"/>
      <w:bookmarkStart w:id="190" w:name="_Toc184308090"/>
      <w:bookmarkEnd w:id="190"/>
      <w:bookmarkStart w:id="191" w:name="_Toc184310340"/>
      <w:bookmarkEnd w:id="191"/>
      <w:bookmarkStart w:id="192" w:name="_Toc184313285"/>
      <w:bookmarkEnd w:id="192"/>
      <w:bookmarkStart w:id="193" w:name="_Toc184313239"/>
      <w:bookmarkEnd w:id="193"/>
      <w:bookmarkStart w:id="194" w:name="_Toc184314470"/>
      <w:bookmarkEnd w:id="194"/>
      <w:bookmarkStart w:id="195" w:name="_Toc184314479"/>
      <w:bookmarkEnd w:id="195"/>
      <w:bookmarkStart w:id="196" w:name="_Toc184313299"/>
      <w:bookmarkEnd w:id="196"/>
      <w:bookmarkStart w:id="197" w:name="_Toc184308036"/>
      <w:bookmarkEnd w:id="197"/>
      <w:bookmarkStart w:id="198" w:name="_Toc184313297"/>
      <w:bookmarkEnd w:id="198"/>
      <w:bookmarkStart w:id="199" w:name="_Toc184314424"/>
      <w:bookmarkEnd w:id="199"/>
      <w:bookmarkStart w:id="200" w:name="_Toc184310294"/>
      <w:bookmarkEnd w:id="200"/>
      <w:bookmarkStart w:id="201" w:name="_Toc184313286"/>
      <w:bookmarkEnd w:id="201"/>
      <w:bookmarkStart w:id="202" w:name="_Toc184312130"/>
      <w:bookmarkEnd w:id="202"/>
      <w:bookmarkStart w:id="203" w:name="_Toc184308037"/>
      <w:bookmarkEnd w:id="203"/>
      <w:bookmarkStart w:id="204" w:name="_Toc184314439"/>
      <w:bookmarkEnd w:id="204"/>
      <w:bookmarkStart w:id="205" w:name="_Toc184312134"/>
      <w:bookmarkEnd w:id="205"/>
      <w:bookmarkStart w:id="206" w:name="_Toc184313265"/>
      <w:bookmarkEnd w:id="206"/>
      <w:bookmarkStart w:id="207" w:name="_Toc184312107"/>
      <w:bookmarkEnd w:id="207"/>
      <w:bookmarkStart w:id="208" w:name="_Toc184312129"/>
      <w:bookmarkEnd w:id="208"/>
      <w:bookmarkStart w:id="209" w:name="_Toc184308068"/>
      <w:bookmarkEnd w:id="209"/>
      <w:bookmarkStart w:id="210" w:name="_Toc184308046"/>
      <w:bookmarkEnd w:id="210"/>
      <w:bookmarkStart w:id="211" w:name="_Toc184308060"/>
      <w:bookmarkEnd w:id="211"/>
      <w:bookmarkStart w:id="212" w:name="_Toc184312128"/>
      <w:bookmarkEnd w:id="212"/>
      <w:bookmarkStart w:id="213" w:name="_Toc184312109"/>
      <w:bookmarkEnd w:id="213"/>
      <w:bookmarkStart w:id="214" w:name="_Toc184314461"/>
      <w:bookmarkEnd w:id="214"/>
      <w:bookmarkStart w:id="215" w:name="_Toc184312122"/>
      <w:bookmarkEnd w:id="215"/>
      <w:bookmarkStart w:id="216" w:name="_Toc184314452"/>
      <w:bookmarkEnd w:id="216"/>
      <w:bookmarkStart w:id="217" w:name="_Toc184310333"/>
      <w:bookmarkEnd w:id="217"/>
      <w:bookmarkStart w:id="218" w:name="_Toc184314469"/>
      <w:bookmarkEnd w:id="218"/>
      <w:bookmarkStart w:id="219" w:name="_Toc184313268"/>
      <w:bookmarkEnd w:id="219"/>
      <w:bookmarkStart w:id="220" w:name="_Toc184313240"/>
      <w:bookmarkEnd w:id="220"/>
      <w:bookmarkStart w:id="221" w:name="_Toc184312091"/>
      <w:bookmarkEnd w:id="221"/>
      <w:bookmarkStart w:id="222" w:name="_Toc184312093"/>
      <w:bookmarkEnd w:id="222"/>
      <w:bookmarkStart w:id="223" w:name="_Toc184308078"/>
      <w:bookmarkEnd w:id="223"/>
      <w:bookmarkStart w:id="224" w:name="_Toc184313304"/>
      <w:bookmarkEnd w:id="224"/>
      <w:bookmarkStart w:id="225" w:name="_Toc184310329"/>
      <w:bookmarkEnd w:id="225"/>
      <w:bookmarkStart w:id="226" w:name="_Toc184308063"/>
      <w:bookmarkEnd w:id="226"/>
      <w:bookmarkStart w:id="227" w:name="_Toc184314471"/>
      <w:bookmarkEnd w:id="227"/>
      <w:bookmarkStart w:id="228" w:name="_Toc184308089"/>
      <w:bookmarkEnd w:id="228"/>
      <w:bookmarkStart w:id="229" w:name="_Toc184312133"/>
      <w:bookmarkEnd w:id="229"/>
      <w:bookmarkStart w:id="230" w:name="_Toc184313255"/>
      <w:bookmarkEnd w:id="230"/>
      <w:bookmarkStart w:id="231" w:name="_Toc184313258"/>
      <w:bookmarkEnd w:id="231"/>
      <w:bookmarkStart w:id="232" w:name="_Toc184310341"/>
      <w:bookmarkEnd w:id="232"/>
      <w:bookmarkStart w:id="233" w:name="_Toc184313294"/>
      <w:bookmarkEnd w:id="233"/>
      <w:bookmarkStart w:id="234" w:name="_Toc184308094"/>
      <w:bookmarkEnd w:id="234"/>
      <w:bookmarkStart w:id="235" w:name="_Toc184312127"/>
      <w:bookmarkEnd w:id="235"/>
      <w:bookmarkStart w:id="236" w:name="_Toc184314457"/>
      <w:bookmarkEnd w:id="236"/>
      <w:bookmarkStart w:id="237" w:name="_Toc184314481"/>
      <w:bookmarkEnd w:id="237"/>
      <w:bookmarkStart w:id="238" w:name="_Toc184308091"/>
      <w:bookmarkEnd w:id="238"/>
      <w:bookmarkStart w:id="239" w:name="_Toc184310312"/>
      <w:bookmarkEnd w:id="239"/>
      <w:bookmarkStart w:id="240" w:name="_Toc184313288"/>
      <w:bookmarkEnd w:id="240"/>
      <w:bookmarkStart w:id="241" w:name="_Toc184310308"/>
      <w:bookmarkEnd w:id="241"/>
      <w:bookmarkStart w:id="242" w:name="_Toc184314423"/>
      <w:bookmarkEnd w:id="242"/>
      <w:bookmarkStart w:id="243" w:name="_Toc184313301"/>
      <w:bookmarkEnd w:id="243"/>
      <w:bookmarkStart w:id="244" w:name="_Toc184310300"/>
      <w:bookmarkEnd w:id="244"/>
      <w:bookmarkStart w:id="245" w:name="_Toc184312121"/>
      <w:bookmarkEnd w:id="245"/>
      <w:bookmarkStart w:id="246" w:name="_Toc184312120"/>
      <w:bookmarkEnd w:id="246"/>
      <w:bookmarkStart w:id="247" w:name="_Toc184314463"/>
      <w:bookmarkEnd w:id="247"/>
      <w:bookmarkStart w:id="248" w:name="_Toc184314426"/>
      <w:bookmarkEnd w:id="248"/>
      <w:bookmarkStart w:id="249" w:name="_Toc184310334"/>
      <w:bookmarkEnd w:id="249"/>
      <w:bookmarkStart w:id="250" w:name="_Toc184314462"/>
      <w:bookmarkEnd w:id="250"/>
      <w:bookmarkStart w:id="251" w:name="_Toc184308095"/>
      <w:bookmarkEnd w:id="251"/>
      <w:bookmarkStart w:id="252" w:name="_Toc184310310"/>
      <w:bookmarkEnd w:id="252"/>
      <w:bookmarkStart w:id="253" w:name="_Toc184314467"/>
      <w:bookmarkEnd w:id="253"/>
      <w:bookmarkStart w:id="254" w:name="_Toc184312100"/>
      <w:bookmarkEnd w:id="254"/>
      <w:bookmarkStart w:id="255" w:name="_Toc184310335"/>
      <w:bookmarkEnd w:id="255"/>
      <w:bookmarkStart w:id="256" w:name="_Toc184310282"/>
      <w:bookmarkEnd w:id="256"/>
      <w:bookmarkStart w:id="257" w:name="_Toc184310301"/>
      <w:bookmarkEnd w:id="257"/>
      <w:bookmarkStart w:id="258" w:name="_Toc184313277"/>
      <w:bookmarkEnd w:id="258"/>
      <w:bookmarkStart w:id="259" w:name="_Toc184310299"/>
      <w:bookmarkEnd w:id="259"/>
      <w:bookmarkStart w:id="260" w:name="_Toc184310331"/>
      <w:bookmarkEnd w:id="260"/>
      <w:bookmarkStart w:id="261" w:name="_Toc184314480"/>
      <w:bookmarkEnd w:id="261"/>
      <w:bookmarkStart w:id="262" w:name="_Toc184313267"/>
      <w:bookmarkEnd w:id="262"/>
      <w:bookmarkStart w:id="263" w:name="_Toc184314446"/>
      <w:bookmarkEnd w:id="263"/>
      <w:bookmarkStart w:id="264" w:name="_Toc184313283"/>
      <w:bookmarkEnd w:id="264"/>
      <w:bookmarkStart w:id="265" w:name="_Toc184313305"/>
      <w:bookmarkEnd w:id="265"/>
      <w:bookmarkStart w:id="266" w:name="_Toc184314453"/>
      <w:bookmarkEnd w:id="266"/>
      <w:bookmarkStart w:id="267" w:name="_Toc184312103"/>
      <w:bookmarkEnd w:id="267"/>
      <w:bookmarkStart w:id="268" w:name="_Toc184310288"/>
      <w:bookmarkEnd w:id="268"/>
      <w:bookmarkStart w:id="269" w:name="_Toc184313281"/>
      <w:bookmarkEnd w:id="269"/>
      <w:bookmarkStart w:id="270" w:name="_Toc184313257"/>
      <w:bookmarkEnd w:id="270"/>
      <w:bookmarkStart w:id="271" w:name="_Toc184308047"/>
      <w:bookmarkEnd w:id="271"/>
      <w:bookmarkStart w:id="272" w:name="_Toc184310302"/>
      <w:bookmarkEnd w:id="272"/>
      <w:bookmarkStart w:id="273" w:name="_Toc184310284"/>
      <w:bookmarkEnd w:id="273"/>
      <w:bookmarkStart w:id="274" w:name="_Toc184310326"/>
      <w:bookmarkEnd w:id="274"/>
      <w:bookmarkStart w:id="275" w:name="_Toc184314454"/>
      <w:bookmarkEnd w:id="275"/>
      <w:bookmarkStart w:id="276" w:name="_Toc184308069"/>
      <w:bookmarkEnd w:id="276"/>
      <w:bookmarkStart w:id="277" w:name="_Toc184314472"/>
      <w:bookmarkEnd w:id="277"/>
      <w:bookmarkStart w:id="278" w:name="_Toc184310276"/>
      <w:bookmarkEnd w:id="278"/>
      <w:bookmarkStart w:id="279" w:name="_Toc184310298"/>
      <w:bookmarkEnd w:id="279"/>
      <w:bookmarkStart w:id="280" w:name="_Toc184313273"/>
      <w:bookmarkEnd w:id="280"/>
      <w:bookmarkStart w:id="281" w:name="_Toc184313271"/>
      <w:bookmarkEnd w:id="281"/>
      <w:bookmarkStart w:id="282" w:name="_Toc184308108"/>
      <w:bookmarkEnd w:id="282"/>
      <w:bookmarkStart w:id="283" w:name="_Toc184313275"/>
      <w:bookmarkEnd w:id="283"/>
      <w:bookmarkStart w:id="284" w:name="_Toc184313246"/>
      <w:bookmarkEnd w:id="284"/>
      <w:bookmarkStart w:id="285" w:name="_Toc184314441"/>
      <w:bookmarkEnd w:id="285"/>
      <w:bookmarkStart w:id="286" w:name="_Toc184308081"/>
      <w:bookmarkEnd w:id="286"/>
      <w:bookmarkStart w:id="287" w:name="_Toc184312136"/>
      <w:bookmarkEnd w:id="287"/>
      <w:bookmarkStart w:id="288" w:name="_Toc184313242"/>
      <w:bookmarkEnd w:id="288"/>
      <w:bookmarkStart w:id="289" w:name="_Toc184314437"/>
      <w:bookmarkEnd w:id="289"/>
      <w:bookmarkStart w:id="290" w:name="_Toc184314417"/>
      <w:bookmarkEnd w:id="290"/>
      <w:bookmarkStart w:id="291" w:name="_Toc184313298"/>
      <w:bookmarkEnd w:id="291"/>
      <w:bookmarkStart w:id="292" w:name="_Toc184313280"/>
      <w:bookmarkEnd w:id="292"/>
      <w:bookmarkStart w:id="293" w:name="_Toc184312118"/>
      <w:bookmarkEnd w:id="293"/>
      <w:bookmarkStart w:id="294" w:name="_Toc184314443"/>
      <w:bookmarkEnd w:id="294"/>
      <w:bookmarkStart w:id="295" w:name="_Toc184312102"/>
      <w:bookmarkEnd w:id="295"/>
      <w:bookmarkStart w:id="296" w:name="_Toc184314447"/>
      <w:bookmarkEnd w:id="296"/>
      <w:bookmarkStart w:id="297" w:name="_Toc184312097"/>
      <w:bookmarkEnd w:id="297"/>
      <w:bookmarkStart w:id="298" w:name="_Toc184313254"/>
      <w:bookmarkEnd w:id="298"/>
      <w:bookmarkStart w:id="299" w:name="_Toc184314433"/>
      <w:bookmarkEnd w:id="299"/>
      <w:bookmarkStart w:id="300" w:name="_Toc184313251"/>
      <w:bookmarkEnd w:id="300"/>
      <w:bookmarkStart w:id="301" w:name="_Toc184308105"/>
      <w:bookmarkEnd w:id="301"/>
      <w:bookmarkStart w:id="302" w:name="_Toc184313307"/>
      <w:bookmarkEnd w:id="302"/>
      <w:bookmarkStart w:id="303" w:name="_Toc184313264"/>
      <w:bookmarkEnd w:id="303"/>
      <w:bookmarkStart w:id="304" w:name="_Toc184310317"/>
      <w:bookmarkEnd w:id="304"/>
      <w:bookmarkStart w:id="305" w:name="_Toc184312115"/>
      <w:bookmarkEnd w:id="305"/>
      <w:bookmarkStart w:id="306" w:name="_Toc184314468"/>
      <w:bookmarkEnd w:id="306"/>
      <w:bookmarkStart w:id="307" w:name="_Toc184310311"/>
      <w:bookmarkEnd w:id="307"/>
      <w:bookmarkStart w:id="308" w:name="_Toc184312101"/>
      <w:bookmarkEnd w:id="308"/>
      <w:bookmarkStart w:id="309" w:name="_Toc184310293"/>
      <w:bookmarkEnd w:id="309"/>
      <w:bookmarkStart w:id="310" w:name="_Toc184308101"/>
      <w:bookmarkEnd w:id="310"/>
      <w:bookmarkStart w:id="311" w:name="_Toc184308073"/>
      <w:bookmarkEnd w:id="311"/>
      <w:bookmarkStart w:id="312" w:name="_Toc184314411"/>
      <w:bookmarkEnd w:id="312"/>
      <w:bookmarkStart w:id="313" w:name="_Toc184314432"/>
      <w:bookmarkEnd w:id="313"/>
      <w:bookmarkStart w:id="314" w:name="_Toc184308100"/>
      <w:bookmarkEnd w:id="314"/>
      <w:bookmarkStart w:id="315" w:name="_Toc184313250"/>
      <w:bookmarkEnd w:id="315"/>
      <w:bookmarkStart w:id="316" w:name="_Toc184308058"/>
      <w:bookmarkEnd w:id="316"/>
      <w:bookmarkStart w:id="317" w:name="_Toc184310297"/>
      <w:bookmarkEnd w:id="317"/>
      <w:bookmarkStart w:id="318" w:name="_Toc184313259"/>
      <w:bookmarkEnd w:id="318"/>
      <w:bookmarkStart w:id="319" w:name="_Toc184310272"/>
      <w:bookmarkEnd w:id="319"/>
      <w:bookmarkStart w:id="320" w:name="_Toc184308065"/>
      <w:bookmarkEnd w:id="320"/>
      <w:bookmarkStart w:id="321" w:name="_Toc184308055"/>
      <w:bookmarkEnd w:id="321"/>
      <w:bookmarkStart w:id="322" w:name="_Toc184312117"/>
      <w:bookmarkEnd w:id="322"/>
      <w:bookmarkStart w:id="323" w:name="_Toc184310314"/>
      <w:bookmarkEnd w:id="323"/>
      <w:bookmarkStart w:id="324" w:name="_Toc184314473"/>
      <w:bookmarkEnd w:id="324"/>
      <w:bookmarkStart w:id="325" w:name="_Toc184314434"/>
      <w:bookmarkEnd w:id="325"/>
      <w:bookmarkStart w:id="326" w:name="_Toc184308054"/>
      <w:bookmarkEnd w:id="326"/>
      <w:bookmarkStart w:id="327" w:name="_Toc184310283"/>
      <w:bookmarkEnd w:id="327"/>
      <w:bookmarkStart w:id="328" w:name="_Toc184312138"/>
      <w:bookmarkEnd w:id="328"/>
      <w:bookmarkStart w:id="329" w:name="_Toc184313279"/>
      <w:bookmarkEnd w:id="329"/>
      <w:bookmarkStart w:id="330" w:name="_Toc184313287"/>
      <w:bookmarkEnd w:id="330"/>
      <w:bookmarkStart w:id="331" w:name="_Toc184313290"/>
      <w:bookmarkEnd w:id="331"/>
      <w:bookmarkStart w:id="332" w:name="_Toc184308074"/>
      <w:bookmarkEnd w:id="332"/>
      <w:bookmarkStart w:id="333" w:name="_Toc184308093"/>
      <w:bookmarkEnd w:id="333"/>
      <w:bookmarkStart w:id="334" w:name="_Toc184310291"/>
      <w:bookmarkEnd w:id="334"/>
      <w:bookmarkStart w:id="335" w:name="_Toc184312075"/>
      <w:bookmarkEnd w:id="335"/>
      <w:bookmarkStart w:id="336" w:name="_Toc184312135"/>
      <w:bookmarkEnd w:id="336"/>
      <w:bookmarkStart w:id="337" w:name="_Toc184312077"/>
      <w:bookmarkEnd w:id="337"/>
      <w:bookmarkStart w:id="338" w:name="_Toc184310305"/>
      <w:bookmarkEnd w:id="338"/>
      <w:bookmarkStart w:id="339" w:name="_Toc184308070"/>
      <w:bookmarkEnd w:id="339"/>
      <w:bookmarkStart w:id="340" w:name="_Toc184313300"/>
      <w:bookmarkEnd w:id="340"/>
      <w:bookmarkStart w:id="341" w:name="_Toc184313241"/>
      <w:bookmarkEnd w:id="341"/>
      <w:bookmarkStart w:id="342" w:name="_Toc184312114"/>
      <w:bookmarkEnd w:id="342"/>
      <w:bookmarkStart w:id="343" w:name="_Toc184314466"/>
      <w:bookmarkEnd w:id="343"/>
      <w:bookmarkStart w:id="344" w:name="_Toc184310319"/>
      <w:bookmarkEnd w:id="344"/>
      <w:bookmarkStart w:id="345" w:name="_Toc184310280"/>
      <w:bookmarkEnd w:id="345"/>
      <w:bookmarkStart w:id="346" w:name="_Toc184312096"/>
      <w:bookmarkEnd w:id="346"/>
      <w:bookmarkStart w:id="347" w:name="_Toc184312123"/>
      <w:bookmarkEnd w:id="347"/>
      <w:bookmarkStart w:id="348" w:name="_Toc184314444"/>
      <w:bookmarkEnd w:id="348"/>
      <w:bookmarkStart w:id="349" w:name="_Toc184312092"/>
      <w:bookmarkEnd w:id="349"/>
      <w:bookmarkStart w:id="350" w:name="_Toc184312078"/>
      <w:bookmarkEnd w:id="350"/>
      <w:bookmarkStart w:id="351" w:name="_Toc184310318"/>
      <w:bookmarkEnd w:id="351"/>
      <w:bookmarkStart w:id="352" w:name="_Toc184313260"/>
      <w:bookmarkEnd w:id="352"/>
      <w:bookmarkStart w:id="353" w:name="_Toc184310336"/>
      <w:bookmarkEnd w:id="353"/>
      <w:bookmarkStart w:id="354" w:name="_Toc184308079"/>
      <w:bookmarkEnd w:id="354"/>
      <w:bookmarkStart w:id="355" w:name="_Toc184313284"/>
      <w:bookmarkEnd w:id="355"/>
      <w:bookmarkStart w:id="356" w:name="_Toc184313291"/>
      <w:bookmarkEnd w:id="356"/>
      <w:bookmarkStart w:id="357" w:name="_Toc184314431"/>
      <w:bookmarkEnd w:id="357"/>
      <w:bookmarkStart w:id="358" w:name="_Toc184310313"/>
      <w:bookmarkEnd w:id="358"/>
      <w:bookmarkStart w:id="359" w:name="_Toc184310327"/>
      <w:bookmarkEnd w:id="359"/>
      <w:bookmarkStart w:id="360" w:name="_Toc184312084"/>
      <w:bookmarkEnd w:id="360"/>
      <w:bookmarkStart w:id="361" w:name="_Toc184308077"/>
      <w:bookmarkEnd w:id="361"/>
      <w:bookmarkStart w:id="362" w:name="_Toc184308085"/>
      <w:bookmarkEnd w:id="362"/>
      <w:bookmarkStart w:id="363" w:name="_Toc184308087"/>
      <w:bookmarkEnd w:id="363"/>
      <w:bookmarkStart w:id="364" w:name="_Toc184310320"/>
      <w:bookmarkEnd w:id="364"/>
      <w:bookmarkStart w:id="365" w:name="_Toc184308059"/>
      <w:bookmarkEnd w:id="365"/>
      <w:bookmarkStart w:id="366" w:name="_Toc184312126"/>
      <w:bookmarkEnd w:id="366"/>
      <w:bookmarkStart w:id="367" w:name="_Toc184314427"/>
      <w:bookmarkEnd w:id="367"/>
      <w:bookmarkStart w:id="368" w:name="_Toc184313245"/>
      <w:bookmarkEnd w:id="368"/>
      <w:bookmarkStart w:id="369" w:name="_Toc184312074"/>
      <w:bookmarkEnd w:id="369"/>
      <w:bookmarkStart w:id="370" w:name="_Toc184312137"/>
      <w:bookmarkEnd w:id="370"/>
      <w:bookmarkStart w:id="371" w:name="_Toc184308106"/>
      <w:bookmarkEnd w:id="371"/>
      <w:bookmarkStart w:id="372" w:name="_Toc184313289"/>
      <w:bookmarkEnd w:id="372"/>
      <w:bookmarkStart w:id="373" w:name="_Toc184314456"/>
      <w:bookmarkEnd w:id="373"/>
      <w:bookmarkStart w:id="374" w:name="_Toc184310325"/>
      <w:bookmarkEnd w:id="374"/>
      <w:bookmarkStart w:id="375" w:name="_Toc184312113"/>
      <w:bookmarkEnd w:id="375"/>
      <w:bookmarkStart w:id="376" w:name="_Toc184312110"/>
      <w:bookmarkEnd w:id="376"/>
      <w:bookmarkStart w:id="377" w:name="_Toc184312073"/>
      <w:bookmarkEnd w:id="377"/>
      <w:bookmarkStart w:id="378" w:name="_Toc184313249"/>
      <w:bookmarkEnd w:id="378"/>
      <w:bookmarkStart w:id="379" w:name="_Toc184314412"/>
      <w:bookmarkEnd w:id="379"/>
      <w:bookmarkStart w:id="380" w:name="_Toc184310304"/>
      <w:bookmarkEnd w:id="380"/>
      <w:bookmarkStart w:id="381" w:name="_Toc184314476"/>
      <w:bookmarkEnd w:id="381"/>
      <w:bookmarkStart w:id="382" w:name="_Toc184312119"/>
      <w:bookmarkEnd w:id="382"/>
      <w:bookmarkStart w:id="383" w:name="_Toc184313256"/>
      <w:bookmarkEnd w:id="383"/>
      <w:bookmarkStart w:id="384" w:name="_Toc184313302"/>
      <w:bookmarkEnd w:id="384"/>
      <w:bookmarkStart w:id="385" w:name="_Toc184314465"/>
      <w:bookmarkEnd w:id="385"/>
      <w:bookmarkStart w:id="386" w:name="_Toc184312124"/>
      <w:bookmarkEnd w:id="386"/>
      <w:bookmarkStart w:id="387" w:name="_Toc184310309"/>
      <w:bookmarkEnd w:id="387"/>
      <w:bookmarkStart w:id="388" w:name="_Toc184310332"/>
      <w:bookmarkEnd w:id="388"/>
      <w:bookmarkStart w:id="389" w:name="_Toc184312080"/>
      <w:bookmarkEnd w:id="389"/>
      <w:bookmarkStart w:id="390" w:name="_Toc184312071"/>
      <w:bookmarkEnd w:id="390"/>
      <w:bookmarkStart w:id="391" w:name="_Toc184308096"/>
      <w:bookmarkEnd w:id="391"/>
      <w:bookmarkStart w:id="392" w:name="_Toc184310278"/>
      <w:bookmarkEnd w:id="392"/>
      <w:bookmarkStart w:id="393" w:name="_Toc184313309"/>
      <w:bookmarkEnd w:id="393"/>
      <w:bookmarkStart w:id="394" w:name="_Toc184308083"/>
      <w:bookmarkEnd w:id="394"/>
      <w:bookmarkStart w:id="395" w:name="_Toc184310286"/>
      <w:bookmarkEnd w:id="395"/>
      <w:bookmarkStart w:id="396" w:name="_Toc184308066"/>
      <w:bookmarkEnd w:id="396"/>
      <w:bookmarkStart w:id="397" w:name="_Toc184310321"/>
      <w:bookmarkEnd w:id="397"/>
      <w:bookmarkStart w:id="398" w:name="_Toc184313278"/>
      <w:bookmarkEnd w:id="398"/>
      <w:bookmarkStart w:id="399" w:name="_Toc184310295"/>
      <w:bookmarkEnd w:id="399"/>
      <w:bookmarkStart w:id="400" w:name="_Toc184312089"/>
      <w:bookmarkEnd w:id="400"/>
      <w:bookmarkStart w:id="401" w:name="_Toc184308098"/>
      <w:bookmarkEnd w:id="401"/>
      <w:bookmarkStart w:id="402" w:name="_Toc184314435"/>
      <w:bookmarkEnd w:id="402"/>
      <w:bookmarkStart w:id="403" w:name="_Toc184310324"/>
      <w:bookmarkEnd w:id="403"/>
      <w:bookmarkStart w:id="404" w:name="_Toc184310287"/>
      <w:bookmarkEnd w:id="404"/>
      <w:bookmarkStart w:id="405" w:name="_Toc184308045"/>
      <w:bookmarkEnd w:id="405"/>
      <w:bookmarkStart w:id="406" w:name="_Toc184312108"/>
      <w:bookmarkEnd w:id="406"/>
      <w:bookmarkStart w:id="407" w:name="_Toc184312106"/>
      <w:bookmarkEnd w:id="407"/>
      <w:bookmarkStart w:id="408" w:name="_Toc184312087"/>
      <w:bookmarkEnd w:id="408"/>
      <w:bookmarkStart w:id="409" w:name="_Toc184314430"/>
      <w:bookmarkEnd w:id="409"/>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ascii="宋体" w:hAnsi="宋体" w:cs="宋体"/>
          <w:b/>
          <w:sz w:val="32"/>
        </w:rPr>
      </w:pPr>
      <w:r>
        <w:rPr>
          <w:rFonts w:hint="eastAsia" w:ascii="宋体" w:hAnsi="宋体" w:cs="宋体"/>
          <w:kern w:val="0"/>
          <w:sz w:val="24"/>
        </w:rPr>
        <w:t>（4）技术、商务分评分细则（70分）：</w:t>
      </w:r>
    </w:p>
    <w:tbl>
      <w:tblPr>
        <w:tblStyle w:val="64"/>
        <w:tblW w:w="941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189"/>
        <w:gridCol w:w="6366"/>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vAlign w:val="center"/>
          </w:tcPr>
          <w:p>
            <w:pPr>
              <w:widowControl/>
              <w:snapToGrid w:val="0"/>
              <w:spacing w:line="288" w:lineRule="auto"/>
              <w:jc w:val="center"/>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kern w:val="0"/>
                <w:sz w:val="24"/>
              </w:rPr>
              <w:t>序号</w:t>
            </w:r>
          </w:p>
        </w:tc>
        <w:tc>
          <w:tcPr>
            <w:tcW w:w="1189" w:type="dxa"/>
            <w:vAlign w:val="center"/>
          </w:tcPr>
          <w:p>
            <w:pPr>
              <w:widowControl/>
              <w:snapToGrid w:val="0"/>
              <w:spacing w:line="288" w:lineRule="auto"/>
              <w:jc w:val="center"/>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kern w:val="0"/>
                <w:sz w:val="24"/>
              </w:rPr>
              <w:t>评分项</w:t>
            </w:r>
          </w:p>
        </w:tc>
        <w:tc>
          <w:tcPr>
            <w:tcW w:w="6366" w:type="dxa"/>
            <w:vAlign w:val="center"/>
          </w:tcPr>
          <w:p>
            <w:pPr>
              <w:widowControl/>
              <w:snapToGrid w:val="0"/>
              <w:spacing w:line="288" w:lineRule="auto"/>
              <w:jc w:val="center"/>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kern w:val="0"/>
                <w:sz w:val="24"/>
              </w:rPr>
              <w:t>评审依据及标准</w:t>
            </w:r>
          </w:p>
        </w:tc>
        <w:tc>
          <w:tcPr>
            <w:tcW w:w="971" w:type="dxa"/>
            <w:vAlign w:val="center"/>
          </w:tcPr>
          <w:p>
            <w:pPr>
              <w:widowControl/>
              <w:snapToGrid w:val="0"/>
              <w:spacing w:line="288" w:lineRule="auto"/>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vAlign w:val="center"/>
          </w:tcPr>
          <w:p>
            <w:pPr>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1</w:t>
            </w:r>
          </w:p>
        </w:tc>
        <w:tc>
          <w:tcPr>
            <w:tcW w:w="1189" w:type="dxa"/>
            <w:vAlign w:val="center"/>
          </w:tcPr>
          <w:p>
            <w:pPr>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综合实力</w:t>
            </w:r>
          </w:p>
        </w:tc>
        <w:tc>
          <w:tcPr>
            <w:tcW w:w="6366" w:type="dxa"/>
          </w:tcPr>
          <w:p>
            <w:pPr>
              <w:widowControl/>
              <w:numPr>
                <w:ilvl w:val="0"/>
                <w:numId w:val="11"/>
              </w:numPr>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投标人或生产制造商具有有效的ISO9001质量管理体系认证证书、ISO14001环境管理体系认证证书和</w:t>
            </w:r>
            <w:r>
              <w:rPr>
                <w:rFonts w:hint="eastAsia" w:asciiTheme="majorEastAsia" w:hAnsiTheme="majorEastAsia" w:eastAsiaTheme="majorEastAsia" w:cstheme="majorEastAsia"/>
                <w:kern w:val="0"/>
                <w:sz w:val="24"/>
                <w:lang w:val="en-US" w:eastAsia="zh-CN"/>
              </w:rPr>
              <w:t>ISO45001或</w:t>
            </w:r>
            <w:r>
              <w:rPr>
                <w:rFonts w:hint="eastAsia" w:asciiTheme="majorEastAsia" w:hAnsiTheme="majorEastAsia" w:eastAsiaTheme="majorEastAsia" w:cstheme="majorEastAsia"/>
                <w:kern w:val="0"/>
                <w:sz w:val="24"/>
              </w:rPr>
              <w:fldChar w:fldCharType="begin"/>
            </w:r>
            <w:r>
              <w:rPr>
                <w:rFonts w:hint="eastAsia" w:asciiTheme="majorEastAsia" w:hAnsiTheme="majorEastAsia" w:eastAsiaTheme="majorEastAsia" w:cstheme="majorEastAsia"/>
                <w:kern w:val="0"/>
                <w:sz w:val="24"/>
              </w:rPr>
              <w:instrText xml:space="preserve"> HYPERLINK "https://baike.baidu.com/item/OHSAS18001/3652225?fromModule=lemma_inlink" \t "https://baike.baidu.com/item/%E8%81%8C%E4%B8%9A%E5%81%A5%E5%BA%B7%E5%AE%89%E5%85%A8%E8%AE%A4%E8%AF%81/_blank" </w:instrText>
            </w:r>
            <w:r>
              <w:rPr>
                <w:rFonts w:hint="eastAsia" w:asciiTheme="majorEastAsia" w:hAnsiTheme="majorEastAsia" w:eastAsiaTheme="majorEastAsia" w:cstheme="majorEastAsia"/>
                <w:kern w:val="0"/>
                <w:sz w:val="24"/>
              </w:rPr>
              <w:fldChar w:fldCharType="separate"/>
            </w:r>
            <w:r>
              <w:rPr>
                <w:rFonts w:hint="eastAsia" w:asciiTheme="majorEastAsia" w:hAnsiTheme="majorEastAsia" w:eastAsiaTheme="majorEastAsia" w:cstheme="majorEastAsia"/>
                <w:kern w:val="0"/>
                <w:sz w:val="24"/>
              </w:rPr>
              <w:t>OHSAS18001</w:t>
            </w:r>
            <w:r>
              <w:rPr>
                <w:rFonts w:hint="eastAsia" w:asciiTheme="majorEastAsia" w:hAnsiTheme="majorEastAsia" w:eastAsiaTheme="majorEastAsia" w:cstheme="majorEastAsia"/>
                <w:kern w:val="0"/>
                <w:sz w:val="24"/>
              </w:rPr>
              <w:fldChar w:fldCharType="end"/>
            </w:r>
            <w:r>
              <w:rPr>
                <w:rFonts w:hint="eastAsia" w:asciiTheme="majorEastAsia" w:hAnsiTheme="majorEastAsia" w:eastAsiaTheme="majorEastAsia" w:cstheme="majorEastAsia"/>
                <w:kern w:val="0"/>
                <w:sz w:val="24"/>
              </w:rPr>
              <w:t>职业健康安全管理体系认证证书”认证范围含盖：床、柜类的得3分，未提供或不符合的不得分。</w:t>
            </w:r>
          </w:p>
          <w:p>
            <w:pPr>
              <w:widowControl/>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2、投标人或生产制造商具有有效期内绿色产品认证证书，认证范围含盖：床、柜类的得2分，未提供或不符合的不得分。</w:t>
            </w:r>
          </w:p>
          <w:p>
            <w:pPr>
              <w:widowControl/>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3、投标人或生产制造商具有有效期内中国环境标志产品认证证书，认证范围含盖：床、柜类的得2分，未提供或不符合的不得分。 </w:t>
            </w:r>
          </w:p>
          <w:p>
            <w:pPr>
              <w:widowControl/>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4、投标人或生产制造商具有有效期内家具中有害物质限量认证证书，认证范围含盖：床、柜类的得2分，未提供或不符合的不得分。</w:t>
            </w:r>
          </w:p>
          <w:p>
            <w:pPr>
              <w:widowControl/>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5、投标人或生产制造商具有有效期内产品安全认证证书，认证范围含盖：床、柜类的得2分，未提供或不符合的不得分。</w:t>
            </w:r>
          </w:p>
          <w:p>
            <w:pPr>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（以上须提供证书复印件和全国认证认可信息公共服务平台确认有效的网页截图并加盖公章，未提供不计分，以上所有证书中标后提供原件核查， 如有弄虚作假，取消中标资格，并按政府采购法规处理。）</w:t>
            </w:r>
          </w:p>
        </w:tc>
        <w:tc>
          <w:tcPr>
            <w:tcW w:w="971" w:type="dxa"/>
            <w:vAlign w:val="center"/>
          </w:tcPr>
          <w:p>
            <w:pPr>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vAlign w:val="center"/>
          </w:tcPr>
          <w:p>
            <w:pPr>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2</w:t>
            </w:r>
          </w:p>
        </w:tc>
        <w:tc>
          <w:tcPr>
            <w:tcW w:w="1189" w:type="dxa"/>
            <w:vAlign w:val="center"/>
          </w:tcPr>
          <w:p>
            <w:pPr>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售后服务</w:t>
            </w:r>
          </w:p>
        </w:tc>
        <w:tc>
          <w:tcPr>
            <w:tcW w:w="6366" w:type="dxa"/>
            <w:vAlign w:val="center"/>
          </w:tcPr>
          <w:p>
            <w:pPr>
              <w:ind w:firstLine="480" w:firstLineChars="200"/>
              <w:jc w:val="lef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kern w:val="0"/>
                <w:sz w:val="24"/>
                <w:lang w:bidi="ar"/>
              </w:rPr>
              <w:t>根</w:t>
            </w:r>
            <w:r>
              <w:rPr>
                <w:rFonts w:hint="eastAsia" w:asciiTheme="majorEastAsia" w:hAnsiTheme="majorEastAsia" w:eastAsiaTheme="majorEastAsia" w:cstheme="majorEastAsia"/>
                <w:kern w:val="0"/>
                <w:sz w:val="24"/>
              </w:rPr>
              <w:t>据投标人售后服务方案（包含但不限于：①完整的“三包”措施及售后方案、②售后人员组成、③维修响应时间、④免费保修时间、⑤存在缺陷或出现难以解决的问题时的补救赔偿措施、⑥技术培训）由评标委员会进行综合方案详细、合理，适合用户需求得6分；方案内容缺漏项、不完整、不合理、不符合本项目实际需求的每处扣1分；有欠缺或表述不清楚的每处扣0.5分；扣完为止。</w:t>
            </w:r>
          </w:p>
        </w:tc>
        <w:tc>
          <w:tcPr>
            <w:tcW w:w="971" w:type="dxa"/>
            <w:vAlign w:val="center"/>
          </w:tcPr>
          <w:p>
            <w:pPr>
              <w:jc w:val="cente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189" w:type="dxa"/>
            <w:vAlign w:val="center"/>
          </w:tcPr>
          <w:p>
            <w:pPr>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类似业绩</w:t>
            </w:r>
          </w:p>
        </w:tc>
        <w:tc>
          <w:tcPr>
            <w:tcW w:w="6366" w:type="dxa"/>
            <w:vAlign w:val="center"/>
          </w:tcPr>
          <w:p>
            <w:p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投标人具有 2024 年 1 月 1 日以来（以合同签订时间或中标/成交通知书发出时间为准）同类型家具合同业绩，每提供一个计 1分，计满 3分为止。（提供合同</w:t>
            </w:r>
            <w:r>
              <w:rPr>
                <w:rFonts w:hint="eastAsia" w:asciiTheme="majorEastAsia" w:hAnsiTheme="majorEastAsia" w:eastAsiaTheme="majorEastAsia" w:cstheme="majorEastAsia"/>
                <w:sz w:val="24"/>
                <w:lang w:val="en-US" w:eastAsia="zh-CN"/>
              </w:rPr>
              <w:t>和</w:t>
            </w:r>
            <w:r>
              <w:rPr>
                <w:rFonts w:hint="eastAsia" w:asciiTheme="majorEastAsia" w:hAnsiTheme="majorEastAsia" w:eastAsiaTheme="majorEastAsia" w:cstheme="majorEastAsia"/>
                <w:sz w:val="24"/>
              </w:rPr>
              <w:t>验收合格佐证材料，否则不计分，中标后提供原件核查，如有弄虚作假，取消中标资格，并按政府采购法规处理。）</w:t>
            </w:r>
          </w:p>
        </w:tc>
        <w:tc>
          <w:tcPr>
            <w:tcW w:w="971" w:type="dxa"/>
            <w:vAlign w:val="center"/>
          </w:tcPr>
          <w:p>
            <w:pPr>
              <w:jc w:val="center"/>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3分</w:t>
            </w:r>
          </w:p>
        </w:tc>
      </w:tr>
    </w:tbl>
    <w:tbl>
      <w:tblPr>
        <w:tblStyle w:val="65"/>
        <w:tblW w:w="9411"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00"/>
        <w:gridCol w:w="6360"/>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shd w:val="clear" w:color="auto" w:fill="auto"/>
            <w:vAlign w:val="center"/>
          </w:tcPr>
          <w:p>
            <w:pPr>
              <w:jc w:val="center"/>
              <w:rPr>
                <w:rFonts w:hint="eastAsia" w:asciiTheme="majorEastAsia" w:hAnsiTheme="majorEastAsia" w:eastAsiaTheme="majorEastAsia" w:cstheme="majorEastAsia"/>
                <w:sz w:val="24"/>
                <w:lang w:eastAsia="zh-CN"/>
              </w:rPr>
            </w:pPr>
            <w:bookmarkStart w:id="410" w:name="OLE_LINK22" w:colFirst="0" w:colLast="3"/>
            <w:bookmarkStart w:id="421" w:name="_GoBack" w:colFirst="0" w:colLast="3"/>
            <w:r>
              <w:rPr>
                <w:rFonts w:hint="eastAsia" w:asciiTheme="majorEastAsia" w:hAnsiTheme="majorEastAsia" w:eastAsiaTheme="majorEastAsia" w:cstheme="majorEastAsia"/>
                <w:sz w:val="24"/>
                <w:lang w:val="en-US" w:eastAsia="zh-CN"/>
              </w:rPr>
              <w:t>4</w:t>
            </w:r>
          </w:p>
        </w:tc>
        <w:tc>
          <w:tcPr>
            <w:tcW w:w="1200" w:type="dxa"/>
            <w:shd w:val="clear" w:color="auto" w:fill="auto"/>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重要技术参数</w:t>
            </w:r>
          </w:p>
        </w:tc>
        <w:tc>
          <w:tcPr>
            <w:tcW w:w="6360" w:type="dxa"/>
            <w:shd w:val="clear" w:color="auto" w:fill="auto"/>
            <w:vAlign w:val="center"/>
          </w:tcPr>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投标人所投产品的技术参数满足或优于招标文件的技术参数要求的得 1</w:t>
            </w:r>
            <w:r>
              <w:rPr>
                <w:rFonts w:hint="eastAsia" w:asciiTheme="majorEastAsia" w:hAnsiTheme="majorEastAsia" w:eastAsiaTheme="majorEastAsia" w:cstheme="majorEastAsia"/>
                <w:kern w:val="0"/>
                <w:sz w:val="24"/>
                <w:lang w:val="en-US" w:eastAsia="zh-CN"/>
              </w:rPr>
              <w:t>4</w:t>
            </w:r>
            <w:r>
              <w:rPr>
                <w:rFonts w:hint="eastAsia" w:asciiTheme="majorEastAsia" w:hAnsiTheme="majorEastAsia" w:eastAsiaTheme="majorEastAsia" w:cstheme="majorEastAsia"/>
                <w:kern w:val="0"/>
                <w:sz w:val="24"/>
              </w:rPr>
              <w:t>分，技术参数中加“▲”项代表重要指标项,每有一项不满足的扣2分；技术参数中未加“▲”项代表一般指标项，每有一条负偏离扣1分，扣完为止。</w:t>
            </w:r>
          </w:p>
          <w:p>
            <w:pPr>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评审依据：投标文件中提供“技术规格响应/偏离表”及佐证材料。</w:t>
            </w:r>
          </w:p>
        </w:tc>
        <w:tc>
          <w:tcPr>
            <w:tcW w:w="968" w:type="dxa"/>
            <w:shd w:val="clear" w:color="auto" w:fill="auto"/>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分</w:t>
            </w:r>
          </w:p>
        </w:tc>
      </w:tr>
      <w:bookmarkEnd w:id="421"/>
      <w:bookmarkEnd w:id="4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1" w:hRule="atLeast"/>
        </w:trPr>
        <w:tc>
          <w:tcPr>
            <w:tcW w:w="883" w:type="dxa"/>
            <w:shd w:val="clear" w:color="auto" w:fill="auto"/>
            <w:vAlign w:val="center"/>
          </w:tcPr>
          <w:p>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5</w:t>
            </w:r>
          </w:p>
        </w:tc>
        <w:tc>
          <w:tcPr>
            <w:tcW w:w="1200" w:type="dxa"/>
            <w:shd w:val="clear" w:color="auto" w:fill="auto"/>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样品</w:t>
            </w:r>
          </w:p>
        </w:tc>
        <w:tc>
          <w:tcPr>
            <w:tcW w:w="6360" w:type="dxa"/>
            <w:shd w:val="clear" w:color="auto" w:fill="auto"/>
            <w:vAlign w:val="center"/>
          </w:tcPr>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主要尺寸：要求产品尺寸偏差控制在±5mm以内。每偏离一个参数指标扣1分，本项最高</w:t>
            </w:r>
            <w:r>
              <w:rPr>
                <w:rFonts w:hint="eastAsia" w:asciiTheme="majorEastAsia" w:hAnsiTheme="majorEastAsia" w:eastAsiaTheme="majorEastAsia" w:cstheme="majorEastAsia"/>
                <w:kern w:val="0"/>
                <w:sz w:val="24"/>
                <w:lang w:val="en-US" w:eastAsia="zh-CN"/>
              </w:rPr>
              <w:t>3</w:t>
            </w:r>
            <w:r>
              <w:rPr>
                <w:rFonts w:hint="eastAsia" w:asciiTheme="majorEastAsia" w:hAnsiTheme="majorEastAsia" w:eastAsiaTheme="majorEastAsia" w:cstheme="majorEastAsia"/>
                <w:kern w:val="0"/>
                <w:sz w:val="24"/>
              </w:rPr>
              <w:t>分。</w:t>
            </w:r>
          </w:p>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外观功能：整体架构好</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设计美观、实用，能够实现产品的整体使用功能。</w:t>
            </w:r>
            <w:bookmarkStart w:id="411" w:name="OLE_LINK10"/>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eastAsia="zh-CN"/>
              </w:rPr>
              <w:t>评分范围</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en-US" w:eastAsia="zh-CN"/>
              </w:rPr>
              <w:t>3，2，1</w:t>
            </w:r>
            <w:r>
              <w:rPr>
                <w:rFonts w:hint="eastAsia" w:asciiTheme="majorEastAsia" w:hAnsiTheme="majorEastAsia" w:eastAsiaTheme="majorEastAsia" w:cstheme="majorEastAsia"/>
                <w:kern w:val="0"/>
                <w:sz w:val="24"/>
              </w:rPr>
              <w:t>）</w:t>
            </w:r>
          </w:p>
          <w:bookmarkEnd w:id="411"/>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制作工艺：板件或部件外表应光滑、平整、端正，倒棱、圆角、圆线应均匀一致；结合处应牢固，无开裂或松动；涂层均匀、无刺激性气味等现象。（</w:t>
            </w:r>
            <w:r>
              <w:rPr>
                <w:rFonts w:hint="eastAsia" w:asciiTheme="majorEastAsia" w:hAnsiTheme="majorEastAsia" w:eastAsiaTheme="majorEastAsia" w:cstheme="majorEastAsia"/>
                <w:kern w:val="0"/>
                <w:sz w:val="24"/>
                <w:lang w:eastAsia="zh-CN"/>
              </w:rPr>
              <w:t>评分范围</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en-US" w:eastAsia="zh-CN"/>
              </w:rPr>
              <w:t>3，2，1</w:t>
            </w:r>
            <w:r>
              <w:rPr>
                <w:rFonts w:hint="eastAsia" w:asciiTheme="majorEastAsia" w:hAnsiTheme="majorEastAsia" w:eastAsiaTheme="majorEastAsia" w:cstheme="majorEastAsia"/>
                <w:kern w:val="0"/>
                <w:sz w:val="24"/>
              </w:rPr>
              <w:t>）</w:t>
            </w:r>
          </w:p>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结构安全：结构设计合理实用，各部件应连接紧密、牢固，不应松动，不应有危险锐利边缘及危险装置。（</w:t>
            </w:r>
            <w:r>
              <w:rPr>
                <w:rFonts w:hint="eastAsia" w:asciiTheme="majorEastAsia" w:hAnsiTheme="majorEastAsia" w:eastAsiaTheme="majorEastAsia" w:cstheme="majorEastAsia"/>
                <w:kern w:val="0"/>
                <w:sz w:val="24"/>
                <w:lang w:eastAsia="zh-CN"/>
              </w:rPr>
              <w:t>评分范围</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en-US" w:eastAsia="zh-CN"/>
              </w:rPr>
              <w:t>3，2，1</w:t>
            </w:r>
            <w:r>
              <w:rPr>
                <w:rFonts w:hint="eastAsia" w:asciiTheme="majorEastAsia" w:hAnsiTheme="majorEastAsia" w:eastAsiaTheme="majorEastAsia" w:cstheme="majorEastAsia"/>
                <w:kern w:val="0"/>
                <w:sz w:val="24"/>
              </w:rPr>
              <w:t>）</w:t>
            </w:r>
          </w:p>
          <w:p>
            <w:pPr>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未提供样品或样品提供不全或提供样品不符合技术要求主要技术参数的计0分。</w:t>
            </w:r>
          </w:p>
        </w:tc>
        <w:tc>
          <w:tcPr>
            <w:tcW w:w="968" w:type="dxa"/>
            <w:shd w:val="clear" w:color="auto" w:fill="auto"/>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shd w:val="clear" w:color="auto" w:fill="auto"/>
            <w:vAlign w:val="center"/>
          </w:tcPr>
          <w:p>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6</w:t>
            </w:r>
          </w:p>
        </w:tc>
        <w:tc>
          <w:tcPr>
            <w:tcW w:w="1200" w:type="dxa"/>
            <w:shd w:val="clear" w:color="auto" w:fill="auto"/>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产品环保安全响应情况</w:t>
            </w:r>
          </w:p>
        </w:tc>
        <w:tc>
          <w:tcPr>
            <w:tcW w:w="6360" w:type="dxa"/>
            <w:shd w:val="clear" w:color="auto" w:fill="auto"/>
            <w:vAlign w:val="center"/>
          </w:tcPr>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1、橡胶木双层实木床：通过GB/T 3324-2024《木家具通用技术条件》、GB/T 35607-2024《绿色产品评价家具》、QB/T 4371-2012《家具抗菌性能的评价》、GB/T 1741-2020《漆膜耐霉菌性测定法》、GB 8624-2012《建筑材料及制品燃烧性能分级》标准，木材含水率8%～10%；木制件外观合格；漆膜外观合格；木工要求合格；漆膜理化性能：耐液性≥1级；耐湿热≥1级；耐干热≥1级；附着力≥1级；耐冷热温差合格；耐磨性≥1级；抗冲击≥1级、力学性能：双层床稳定性试验合格、甲醛释放量≤0.01mg/m³；苯、甲苯、二甲苯、总挥发性有机化合物（TVOC）均未检出、家具涂层可迁移元素：铅、镉、铬、汞、锑、钡、硒、砷均未检出、抗菌要求：大肠杆菌、金黄色葡萄球菌、铜绿假单胞菌、产气肠杆菌、肺炎克雷伯氏菌、鼠伤寒沙门氏菌的抗菌率≥99.9%。防霉要求：黑曲霉、黄曲霉、出芽短梗霉、腊叶芽枝霉、短柄帚霉、变幻青霉的防霉等级0级、燃烧性能达到B1级。符合要求得2分，不符合要求或不提供得0分。</w:t>
            </w:r>
          </w:p>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床板：通过3324-2017《木家具通用技术条件》、GB/T39600-2021《人造板及其制品甲醛释放量分级》标准，木材含水率≤12%、甲醛释放量（气候箱法）≤0.05mg/m³、木材气干密度≥0.5g/cm³、木材抗弯强度≥80MPa、挥发性有机化合物72h（苯+甲苯+二甲苯、总挥发性有机化合物TVOC） ≤20μg/m³、醛酮类化合物≤0.04mg/m³、抑菌性能（金黄色葡萄球菌、白色念珠菌）≥99%、耐霉菌性（黑曲霉、黄曲霉、宛氏拟青霉、大毛霉）达到0级。符合要求得2分，不符合要求或不提供得0分。</w:t>
            </w:r>
          </w:p>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衣柜：通过GB/T3324-2024《木家具通用技术条件》标准，主要尺寸及其偏差、形状和位置公差、木材含水率≤12%、漆膜（耐液性、耐湿热、耐干热、附着力、抗冲击、耐磨性、耐黄变）≤合格、柜架类强度和耐久性、结构安全、甲醛≤0.08mg/m³、苯+甲苯+二甲苯（邻、间、对二甲苯之和）≤0.1mg/m³、总挥发性有机化合物≤0.5mg/m³、可迁移有害元素（铅、镉、铬、汞、锑、钡、硒、砷）≤2mg/kg 。符合要求得2分，不符合要求或不提供得0分。</w:t>
            </w:r>
          </w:p>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4、铰链：通过QB/T 2189-2013《家具五金 杯状暗铰链》标准，功能（垂直静载荷、水平静载荷、下沉量、操作力）、耐久性≥80000次、乙酸盐雾试验(AASS)：连续喷雾100h镀(涂)层对基体的保护等级≥10级，镀(涂)层本身耐腐蚀等级≥10级、人工气候老化100h，变色1级、粉化0级、开裂0级、起泡0级、长霉0级、生锈0级、剥落0级、综合等级0级。  符合要求得2分，不符合要求或不提供得0分。</w:t>
            </w:r>
          </w:p>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5、五金连接件：通过GB/T 1766-2008《色漆和清漆 涂层老化的评级方法》、标准，功能（垂直静载荷、水平静载荷、下沉量、操作力）、耐久性≥80000次、乙酸盐雾试验(AASS)：连续喷雾100h镀(涂)层对基体的保护等级≥10级，镀(涂)层本身耐腐蚀等级≥10级、人工气候老化100h，变色1级、粉化0级、开裂0级、起泡0级、长霉0级、生锈0级、剥落0级、综合等级0级、均匀腐蚀试验（168h）腐蚀率。 符合要求得2分，不符合要求或不提供得0分。        </w:t>
            </w:r>
          </w:p>
          <w:p>
            <w:pPr>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注：投标人提供国家认可的具有CMA或CNAS的第三方检测机构出具的检验/检测报告复印件，否则不计分。（以上须提供检测报告复印件并加盖公章，检测报告须带CMA标志，同时提供检测报告网上查询的网址和截图，受检单位名称需与投标人或生产制造商名称一致。）</w:t>
            </w:r>
          </w:p>
        </w:tc>
        <w:tc>
          <w:tcPr>
            <w:tcW w:w="968" w:type="dxa"/>
            <w:shd w:val="clear" w:color="auto" w:fill="auto"/>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shd w:val="clear" w:color="auto" w:fill="auto"/>
            <w:vAlign w:val="center"/>
          </w:tcPr>
          <w:p>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7</w:t>
            </w:r>
          </w:p>
        </w:tc>
        <w:tc>
          <w:tcPr>
            <w:tcW w:w="1200" w:type="dxa"/>
            <w:shd w:val="clear" w:color="auto" w:fill="auto"/>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lang w:bidi="ar"/>
              </w:rPr>
              <w:t>项目实施方案</w:t>
            </w:r>
          </w:p>
        </w:tc>
        <w:tc>
          <w:tcPr>
            <w:tcW w:w="6360" w:type="dxa"/>
            <w:shd w:val="clear" w:color="auto" w:fill="auto"/>
            <w:vAlign w:val="center"/>
          </w:tcPr>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生产、安装、验收实施方案（结合自身生产能力制定完成本项目的生产实施方案）：</w:t>
            </w:r>
          </w:p>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生产方案：（包含但不限于：①针对本项目的采购需求，能按照项目的分解节点，提供可跟踪实施的计划措施；②有详细的完成本项目家具的生产的计划，③有专门的品质管控制度和专门品质管控人员及确保产品生产过程中的质量控制措施），由评标委员会进行综合评</w:t>
            </w:r>
            <w:r>
              <w:rPr>
                <w:rFonts w:hint="eastAsia" w:asciiTheme="majorEastAsia" w:hAnsiTheme="majorEastAsia" w:eastAsiaTheme="majorEastAsia" w:cstheme="majorEastAsia"/>
                <w:kern w:val="0"/>
                <w:sz w:val="24"/>
                <w:lang w:eastAsia="zh-CN"/>
              </w:rPr>
              <w:t>审</w:t>
            </w:r>
            <w:r>
              <w:rPr>
                <w:rFonts w:hint="eastAsia" w:asciiTheme="majorEastAsia" w:hAnsiTheme="majorEastAsia" w:eastAsiaTheme="majorEastAsia" w:cstheme="majorEastAsia"/>
                <w:kern w:val="0"/>
                <w:sz w:val="24"/>
              </w:rPr>
              <w:t>，方案方案详细、合理，适合用户需求，得3分；方案内容不详细、不合理的每处扣1分；有欠缺或表述不清楚的每处扣0.5分；扣完为止。</w:t>
            </w:r>
          </w:p>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2）安装方案（包含但不限于：①项目整体安装服务实施方案；②根据货物交付时间节点，制定送货的详细安装时间和人员安排的计划，③货物完成安装后，对家具的可靠性测试）由评标委员会进行综合评</w:t>
            </w:r>
            <w:r>
              <w:rPr>
                <w:rFonts w:hint="eastAsia" w:asciiTheme="majorEastAsia" w:hAnsiTheme="majorEastAsia" w:eastAsiaTheme="majorEastAsia" w:cstheme="majorEastAsia"/>
                <w:kern w:val="0"/>
                <w:sz w:val="24"/>
                <w:lang w:eastAsia="zh-CN"/>
              </w:rPr>
              <w:t>审</w:t>
            </w:r>
            <w:r>
              <w:rPr>
                <w:rFonts w:hint="eastAsia" w:asciiTheme="majorEastAsia" w:hAnsiTheme="majorEastAsia" w:eastAsiaTheme="majorEastAsia" w:cstheme="majorEastAsia"/>
                <w:kern w:val="0"/>
                <w:sz w:val="24"/>
              </w:rPr>
              <w:t>，方案方案详细、合理，适合用户需求，得3分；方案内容不详细、不合理的每处扣1分；有欠缺或表述不清楚的每处扣0.5分；扣完为止。</w:t>
            </w:r>
          </w:p>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3）验收方案包含但不限于：①针对本项目不同类型家具的验收标准提供相应的验收方案；②在验收存在问题时的处理措施），由评标委员会进行综合评</w:t>
            </w:r>
            <w:r>
              <w:rPr>
                <w:rFonts w:hint="eastAsia" w:asciiTheme="majorEastAsia" w:hAnsiTheme="majorEastAsia" w:eastAsiaTheme="majorEastAsia" w:cstheme="majorEastAsia"/>
                <w:kern w:val="0"/>
                <w:sz w:val="24"/>
                <w:lang w:eastAsia="zh-CN"/>
              </w:rPr>
              <w:t>审</w:t>
            </w:r>
            <w:r>
              <w:rPr>
                <w:rFonts w:hint="eastAsia" w:asciiTheme="majorEastAsia" w:hAnsiTheme="majorEastAsia" w:eastAsiaTheme="majorEastAsia" w:cstheme="majorEastAsia"/>
                <w:kern w:val="0"/>
                <w:sz w:val="24"/>
              </w:rPr>
              <w:t>，方案详细、合理，适合用户需求得3分；方案内容不详细、不合理的每处扣1分；有欠缺或表述不清楚的每处扣0.5分；扣完为止。</w:t>
            </w:r>
          </w:p>
          <w:p>
            <w:pPr>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4）无方案说明的得 0 分。</w:t>
            </w:r>
          </w:p>
        </w:tc>
        <w:tc>
          <w:tcPr>
            <w:tcW w:w="968" w:type="dxa"/>
            <w:shd w:val="clear" w:color="auto" w:fill="auto"/>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shd w:val="clear" w:color="auto" w:fill="auto"/>
            <w:vAlign w:val="center"/>
          </w:tcPr>
          <w:p>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8</w:t>
            </w:r>
          </w:p>
        </w:tc>
        <w:tc>
          <w:tcPr>
            <w:tcW w:w="1200" w:type="dxa"/>
            <w:shd w:val="clear" w:color="auto" w:fill="auto"/>
            <w:vAlign w:val="center"/>
          </w:tcPr>
          <w:p>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lang w:bidi="ar"/>
              </w:rPr>
              <w:t>本项目投入的设备情况</w:t>
            </w:r>
          </w:p>
        </w:tc>
        <w:tc>
          <w:tcPr>
            <w:tcW w:w="6360" w:type="dxa"/>
            <w:shd w:val="clear" w:color="auto" w:fill="auto"/>
            <w:vAlign w:val="center"/>
          </w:tcPr>
          <w:p>
            <w:pPr>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对于本项目投入的生产设备的情况：</w:t>
            </w:r>
          </w:p>
          <w:p>
            <w:pPr>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投标人或生产制造商提供完成本次项目所需的基本生产制作设备①数控实木开料机、②上下多片锯、③双端榫头机、④自动立卧钻、⑤喷枪*静电涂装设备、⑥边缘涂装砂光机、⑦甲醛测试VOC分析仪、⑧数控攻牙机、⑨智能加工中心两机生产线、⑩数控钻孔中心。投标人自有或租赁其中一种上述设备的，得 0.5 分，满分得 5 分。</w:t>
            </w:r>
          </w:p>
          <w:p>
            <w:pPr>
              <w:ind w:firstLine="480" w:firstLineChars="200"/>
              <w:jc w:val="left"/>
              <w:rPr>
                <w:rFonts w:hint="eastAsia" w:asciiTheme="majorEastAsia" w:hAnsiTheme="majorEastAsia" w:eastAsiaTheme="majorEastAsia" w:cstheme="majorEastAsia"/>
                <w:kern w:val="0"/>
                <w:sz w:val="24"/>
                <w:lang w:bidi="ar"/>
              </w:rPr>
            </w:pPr>
            <w:r>
              <w:rPr>
                <w:rFonts w:hint="eastAsia" w:asciiTheme="majorEastAsia" w:hAnsiTheme="majorEastAsia" w:eastAsiaTheme="majorEastAsia" w:cstheme="majorEastAsia"/>
                <w:kern w:val="0"/>
                <w:sz w:val="24"/>
              </w:rPr>
              <w:t>注：须提供设备购置的有效发票复印件 (发票抬头需与投标人名称一致)、 租赁的需提供租赁合同，设备最新现况照片作为证明材料（加盖公章），投标人提供的设备名称与上述设备并非完全一致，须提供功能及先进性等同于上述设备的技术说明文件</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佐证材料不齐全不得分。</w:t>
            </w:r>
          </w:p>
        </w:tc>
        <w:tc>
          <w:tcPr>
            <w:tcW w:w="968" w:type="dxa"/>
            <w:shd w:val="clear" w:color="auto" w:fill="auto"/>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5分</w:t>
            </w:r>
          </w:p>
        </w:tc>
      </w:tr>
    </w:tbl>
    <w:p>
      <w:pPr>
        <w:spacing w:line="400" w:lineRule="exact"/>
        <w:rPr>
          <w:rFonts w:ascii="宋体" w:hAnsi="宋体"/>
        </w:rPr>
      </w:pPr>
      <w:r>
        <w:rPr>
          <w:rFonts w:hint="eastAsia" w:ascii="宋体" w:hAnsi="宋体" w:cs="宋体"/>
          <w:b/>
          <w:bCs/>
          <w:color w:val="000000"/>
          <w:sz w:val="24"/>
          <w:szCs w:val="21"/>
        </w:rPr>
        <w:t>备注</w:t>
      </w:r>
      <w:r>
        <w:rPr>
          <w:rFonts w:hint="eastAsia" w:ascii="宋体" w:hAnsi="宋体"/>
        </w:rPr>
        <w:t>：</w:t>
      </w:r>
    </w:p>
    <w:p>
      <w:pPr>
        <w:widowControl/>
        <w:adjustRightInd/>
        <w:spacing w:line="400" w:lineRule="exact"/>
        <w:ind w:firstLine="480" w:firstLineChars="200"/>
        <w:jc w:val="left"/>
        <w:rPr>
          <w:rFonts w:ascii="宋体" w:hAnsi="宋体"/>
          <w:szCs w:val="21"/>
        </w:rPr>
      </w:pPr>
      <w:r>
        <w:rPr>
          <w:rFonts w:ascii="宋体" w:cs="宋体"/>
          <w:sz w:val="24"/>
        </w:rPr>
        <w:t> </w:t>
      </w:r>
      <w:r>
        <w:rPr>
          <w:rFonts w:hint="eastAsia" w:ascii="宋体" w:hAnsi="宋体" w:cs="宋体"/>
          <w:sz w:val="24"/>
        </w:rPr>
        <w:t>1、投标单位需在投标文件中提供相关单位的资质证书、获奖证书、人员证书、社保证明等（如有）都应在投标文件中提供扫描件并加盖投标单位盖章，未提供、提供不齐全或提供相关资料不能有效证明所对应要求，评标委员会有权认定相关小项不得分。</w:t>
      </w:r>
    </w:p>
    <w:p>
      <w:pPr>
        <w:widowControl/>
        <w:adjustRightInd/>
        <w:snapToGrid w:val="0"/>
        <w:spacing w:line="400" w:lineRule="exact"/>
        <w:jc w:val="left"/>
        <w:rPr>
          <w:rFonts w:ascii="宋体" w:cs="宋体"/>
          <w:b/>
          <w:sz w:val="24"/>
        </w:rPr>
      </w:pPr>
      <w:r>
        <w:rPr>
          <w:rFonts w:hint="eastAsia" w:ascii="宋体" w:hAnsi="宋体" w:cs="宋体"/>
          <w:sz w:val="24"/>
        </w:rPr>
        <w:t>2、投标人编制投标文件（商务技术文件部分）时，建议按此目录（序号和内容）提供评标标准相应的商务技术资料。</w:t>
      </w:r>
      <w:r>
        <w:rPr>
          <w:rFonts w:ascii="宋体" w:cs="宋体"/>
          <w:sz w:val="24"/>
        </w:rPr>
        <w:t> </w:t>
      </w:r>
    </w:p>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3"/>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宋体" w:hAnsi="宋体" w:cs="宋体"/>
          <w:kern w:val="0"/>
          <w:szCs w:val="24"/>
          <w:lang w:val="en-US" w:eastAsia="zh-CN"/>
        </w:rPr>
      </w:pPr>
      <w:r>
        <w:rPr>
          <w:rFonts w:hint="eastAsia" w:ascii="宋体" w:hAnsi="宋体" w:cs="宋体"/>
          <w:kern w:val="0"/>
          <w:szCs w:val="24"/>
          <w:lang w:val="en-US" w:eastAsia="zh-CN"/>
        </w:rPr>
        <w:t>3.4.4.1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163"/>
        <w:spacing w:before="0"/>
        <w:ind w:firstLine="480"/>
        <w:rPr>
          <w:rFonts w:hint="eastAsia" w:ascii="宋体" w:hAnsi="宋体" w:cs="宋体"/>
          <w:kern w:val="0"/>
          <w:szCs w:val="24"/>
        </w:rPr>
      </w:pPr>
      <w:r>
        <w:rPr>
          <w:rFonts w:hint="eastAsia" w:ascii="宋体" w:hAnsi="宋体" w:cs="宋体"/>
          <w:kern w:val="0"/>
          <w:szCs w:val="24"/>
          <w:lang w:val="en-US" w:eastAsia="zh-CN"/>
        </w:rPr>
        <w:t>3.4.4.2</w:t>
      </w:r>
      <w:r>
        <w:rPr>
          <w:rFonts w:hint="default" w:ascii="宋体" w:hAnsi="宋体" w:cs="宋体"/>
          <w:kern w:val="0"/>
          <w:szCs w:val="24"/>
          <w:lang w:val="en-US" w:eastAsia="zh-CN"/>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4.3.1符合专业条件的供应商或者对招标文件作实质响应的供应商不足3家的；</w:t>
      </w:r>
    </w:p>
    <w:p>
      <w:pPr>
        <w:pStyle w:val="26"/>
        <w:snapToGrid w:val="0"/>
        <w:spacing w:line="360" w:lineRule="auto"/>
        <w:rPr>
          <w:rFonts w:cs="宋体"/>
        </w:rPr>
      </w:pPr>
      <w:r>
        <w:rPr>
          <w:rFonts w:hint="eastAsia" w:cs="宋体"/>
        </w:rPr>
        <w:t>4.3.2出现影响采购公正的违法、违规行为的；</w:t>
      </w:r>
    </w:p>
    <w:p>
      <w:pPr>
        <w:pStyle w:val="26"/>
        <w:snapToGrid w:val="0"/>
        <w:spacing w:line="360" w:lineRule="auto"/>
        <w:rPr>
          <w:rFonts w:cs="宋体"/>
        </w:rPr>
      </w:pPr>
      <w:r>
        <w:rPr>
          <w:rFonts w:hint="eastAsia" w:cs="宋体"/>
        </w:rPr>
        <w:t>4.3.3投标人的报价均超过了采购预算，采购人不能支付的；</w:t>
      </w:r>
    </w:p>
    <w:p>
      <w:pPr>
        <w:pStyle w:val="26"/>
        <w:snapToGrid w:val="0"/>
        <w:spacing w:line="360" w:lineRule="auto"/>
        <w:rPr>
          <w:rFonts w:cs="宋体"/>
        </w:rPr>
      </w:pPr>
      <w:r>
        <w:rPr>
          <w:rFonts w:hint="eastAsia" w:cs="宋体"/>
        </w:rPr>
        <w:t>4.3.4因重大变故，采购任务取消的。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6"/>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4.5.4政府采购合同已经履行，给采购人、供应商造成损失的，由责任人承担赔偿责任。</w:t>
      </w:r>
    </w:p>
    <w:p>
      <w:pPr>
        <w:pStyle w:val="26"/>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40"/>
    <w:p>
      <w:pPr>
        <w:spacing w:line="360" w:lineRule="auto"/>
        <w:ind w:left="720" w:leftChars="343" w:firstLine="1084" w:firstLineChars="300"/>
        <w:outlineLvl w:val="0"/>
        <w:rPr>
          <w:rFonts w:ascii="宋体" w:hAnsi="宋体" w:cs="宋体"/>
          <w:b/>
          <w:sz w:val="36"/>
          <w:szCs w:val="36"/>
        </w:rPr>
      </w:pPr>
      <w:bookmarkStart w:id="412" w:name="_Toc86217003"/>
      <w:bookmarkStart w:id="413" w:name="第五部分"/>
    </w:p>
    <w:p>
      <w:pPr>
        <w:pStyle w:val="5"/>
        <w:rPr>
          <w:rFonts w:ascii="宋体" w:hAnsi="宋体" w:eastAsia="宋体" w:cs="宋体"/>
          <w:lang w:val="en-US"/>
        </w:rPr>
      </w:pPr>
    </w:p>
    <w:p>
      <w:pPr>
        <w:rPr>
          <w:rFonts w:ascii="宋体" w:hAnsi="宋体" w:cs="宋体"/>
        </w:rPr>
      </w:pPr>
    </w:p>
    <w:p>
      <w:pPr>
        <w:rPr>
          <w:rFonts w:ascii="宋体" w:hAnsi="宋体" w:cs="宋体"/>
        </w:rPr>
      </w:pPr>
    </w:p>
    <w:bookmarkEnd w:id="412"/>
    <w:bookmarkEnd w:id="413"/>
    <w:p>
      <w:pPr>
        <w:pStyle w:val="3"/>
        <w:ind w:left="0" w:leftChars="0" w:firstLine="0" w:firstLineChars="0"/>
        <w:rPr>
          <w:rFonts w:hint="eastAsia" w:ascii="宋体" w:hAnsi="宋体" w:cs="宋体"/>
          <w:b/>
          <w:sz w:val="36"/>
          <w:szCs w:val="36"/>
        </w:rPr>
      </w:pPr>
    </w:p>
    <w:p>
      <w:pPr>
        <w:rPr>
          <w:rFonts w:hint="eastAsia"/>
        </w:rPr>
      </w:pPr>
    </w:p>
    <w:p>
      <w:pPr>
        <w:spacing w:line="360" w:lineRule="auto"/>
        <w:jc w:val="center"/>
        <w:outlineLvl w:val="0"/>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1"/>
        <w:rPr>
          <w:rFonts w:ascii="宋体" w:hAnsi="宋体" w:cs="宋体"/>
          <w:szCs w:val="24"/>
        </w:rPr>
      </w:pPr>
    </w:p>
    <w:p>
      <w:pPr>
        <w:pStyle w:val="711"/>
        <w:rPr>
          <w:rFonts w:ascii="宋体" w:hAnsi="宋体" w:cs="宋体"/>
          <w:szCs w:val="24"/>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711"/>
        <w:jc w:val="center"/>
        <w:rPr>
          <w:rFonts w:ascii="宋体" w:hAnsi="宋体" w:cs="宋体"/>
          <w:szCs w:val="24"/>
        </w:rPr>
      </w:pPr>
    </w:p>
    <w:p>
      <w:pPr>
        <w:pStyle w:val="26"/>
        <w:rPr>
          <w:rFonts w:cs="宋体"/>
        </w:rPr>
      </w:pPr>
    </w:p>
    <w:p>
      <w:pPr>
        <w:pStyle w:val="711"/>
        <w:ind w:firstLine="2843" w:firstLineChars="1180"/>
        <w:rPr>
          <w:rFonts w:ascii="宋体" w:hAnsi="宋体" w:cs="宋体"/>
          <w:b/>
          <w:szCs w:val="24"/>
        </w:rPr>
      </w:pPr>
      <w:r>
        <w:rPr>
          <w:rFonts w:hint="eastAsia" w:ascii="宋体" w:hAnsi="宋体" w:cs="宋体"/>
          <w:b/>
          <w:szCs w:val="24"/>
        </w:rPr>
        <w:t>通用合同书</w:t>
      </w:r>
    </w:p>
    <w:p>
      <w:pPr>
        <w:pStyle w:val="711"/>
        <w:rPr>
          <w:rFonts w:ascii="宋体" w:hAnsi="宋体" w:cs="宋体"/>
          <w:szCs w:val="24"/>
        </w:rPr>
      </w:pPr>
    </w:p>
    <w:p>
      <w:pPr>
        <w:pStyle w:val="711"/>
        <w:rPr>
          <w:rFonts w:ascii="宋体" w:hAnsi="宋体" w:cs="宋体"/>
          <w:szCs w:val="24"/>
        </w:rPr>
      </w:pPr>
    </w:p>
    <w:p>
      <w:pPr>
        <w:pStyle w:val="26"/>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6"/>
        <w:spacing w:before="120" w:line="22" w:lineRule="atLeast"/>
        <w:rPr>
          <w:rFonts w:ascii="宋体" w:hAnsi="宋体" w:eastAsia="宋体" w:cs="宋体"/>
          <w:szCs w:val="24"/>
        </w:rPr>
      </w:pPr>
    </w:p>
    <w:p>
      <w:pPr>
        <w:pStyle w:val="60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pStyle w:val="5"/>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日内得不到解决，双方应将争议提交政府采购监管部门调解。调解不成的，可</w:t>
      </w:r>
      <w:r>
        <w:rPr>
          <w:rFonts w:hint="eastAsia" w:ascii="宋体" w:hAnsi="宋体" w:cs="宋体"/>
          <w:u w:val="single"/>
        </w:rPr>
        <w:t>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4"/>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（2）落实政府采购政策需满足的资格要求（如需）……………………（页码）</w:t>
      </w:r>
    </w:p>
    <w:p>
      <w:pPr>
        <w:snapToGrid w:val="0"/>
        <w:spacing w:line="360" w:lineRule="auto"/>
        <w:rPr>
          <w:rFonts w:ascii="宋体" w:hAnsi="宋体" w:cs="宋体"/>
          <w:sz w:val="24"/>
        </w:rPr>
      </w:pPr>
      <w:r>
        <w:rPr>
          <w:rFonts w:hint="eastAsia" w:ascii="宋体" w:hAnsi="宋体" w:cs="宋体"/>
          <w:sz w:val="24"/>
        </w:rPr>
        <w:t>（3）本项目的特定资格要求（如需）……………………………………（页码）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5"/>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.专门面向中小企业，货物全部由符合政策要求的中小企业（或小微企业）制造或者服务全部由符合政策要求的中小企业（或小微企业）承接的，提供相应的中小企业声明函（附件4）。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rPr>
          <w:rFonts w:ascii="宋体" w:hAnsi="宋体" w:cs="宋体"/>
        </w:rPr>
      </w:pPr>
    </w:p>
    <w:p>
      <w:pPr>
        <w:pStyle w:val="5"/>
        <w:ind w:left="0" w:firstLine="0"/>
        <w:rPr>
          <w:rFonts w:ascii="宋体" w:hAnsi="宋体" w:eastAsia="宋体" w:cs="宋体"/>
          <w:lang w:val="en-US"/>
        </w:rPr>
      </w:pPr>
    </w:p>
    <w:p>
      <w:pPr>
        <w:rPr>
          <w:rFonts w:ascii="宋体" w:hAnsi="宋体" w:eastAsia="宋体" w:cs="宋体"/>
          <w:lang w:val="en-US"/>
        </w:rPr>
      </w:pPr>
    </w:p>
    <w:p>
      <w:pPr>
        <w:pStyle w:val="2"/>
        <w:rPr>
          <w:lang w:val="en-US"/>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81"/>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5"/>
        <w:rPr>
          <w:rFonts w:ascii="宋体" w:hAnsi="宋体" w:eastAsia="宋体" w:cs="宋体"/>
        </w:rPr>
      </w:pPr>
    </w:p>
    <w:p>
      <w:pPr>
        <w:jc w:val="center"/>
        <w:rPr>
          <w:rFonts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sz w:val="24"/>
              </w:rPr>
            </w:pPr>
            <w:r>
              <w:rPr>
                <w:rFonts w:hint="eastAsia" w:hAnsi="宋体" w:cs="宋体"/>
                <w:bCs/>
                <w:sz w:val="24"/>
              </w:rPr>
              <w:t>正面：                                 反面：</w:t>
            </w:r>
          </w:p>
          <w:p>
            <w:pPr>
              <w:pStyle w:val="17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rFonts w:ascii="宋体" w:hAnsi="宋体" w:eastAsia="宋体" w:cs="宋体"/>
          <w:kern w:val="0"/>
        </w:rPr>
      </w:pPr>
    </w:p>
    <w:p>
      <w:pPr>
        <w:rPr>
          <w:rFonts w:ascii="宋体" w:hAnsi="宋体" w:cs="宋体"/>
          <w:b/>
          <w:kern w:val="0"/>
          <w:sz w:val="32"/>
          <w:szCs w:val="32"/>
        </w:rPr>
      </w:pPr>
    </w:p>
    <w:p>
      <w:pPr>
        <w:pStyle w:val="5"/>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4"/>
        <w:spacing w:line="400" w:lineRule="atLeast"/>
        <w:rPr>
          <w:rFonts w:hAnsi="宋体" w:cs="宋体"/>
          <w:snapToGrid/>
          <w:kern w:val="0"/>
          <w:sz w:val="24"/>
          <w:szCs w:val="24"/>
        </w:rPr>
      </w:pPr>
      <w:r>
        <w:rPr>
          <w:rFonts w:hint="eastAsia" w:hAnsi="宋体" w:cs="宋体"/>
          <w:snapToGrid/>
          <w:kern w:val="0"/>
          <w:sz w:val="24"/>
          <w:szCs w:val="24"/>
        </w:rPr>
        <w:t>注：</w:t>
      </w:r>
    </w:p>
    <w:p>
      <w:pPr>
        <w:pStyle w:val="34"/>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4"/>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4"/>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4"/>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702"/>
        <w:keepNext w:val="0"/>
        <w:pageBreakBefore w:val="0"/>
        <w:numPr>
          <w:ilvl w:val="0"/>
          <w:numId w:val="12"/>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14" w:name="_Toc465665161"/>
      <w:r>
        <w:rPr>
          <w:rFonts w:hint="eastAsia" w:ascii="宋体" w:hAnsi="宋体" w:cs="宋体"/>
        </w:rPr>
        <w:t>附件</w:t>
      </w:r>
      <w:bookmarkEnd w:id="414"/>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15" w:name="OLE_LINK13"/>
      <w:bookmarkStart w:id="416" w:name="OLE_LINK14"/>
      <w:r>
        <w:rPr>
          <w:rFonts w:hint="eastAsia" w:ascii="宋体" w:hAnsi="宋体" w:cs="宋体"/>
          <w:b/>
          <w:spacing w:val="6"/>
          <w:sz w:val="32"/>
          <w:szCs w:val="32"/>
        </w:rPr>
        <w:t>残疾人福利性单位声明函</w:t>
      </w:r>
    </w:p>
    <w:bookmarkEnd w:id="415"/>
    <w:bookmarkEnd w:id="416"/>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（单位名称）</w:t>
      </w:r>
      <w:r>
        <w:rPr>
          <w:rFonts w:hint="eastAsia" w:ascii="宋体" w:hAnsi="宋体" w:cs="宋体"/>
          <w:sz w:val="24"/>
        </w:rPr>
        <w:t xml:space="preserve"> 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sz w:val="24"/>
          <w:u w:val="single"/>
          <w:lang w:eastAsia="zh-CN"/>
        </w:rPr>
        <w:t>具体货物）</w:t>
      </w:r>
      <w:r>
        <w:rPr>
          <w:rFonts w:hint="eastAsia" w:ascii="宋体" w:hAnsi="宋体" w:cs="宋体"/>
          <w:sz w:val="24"/>
          <w:u w:val="single"/>
        </w:rPr>
        <w:t>）</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w:t>
      </w:r>
      <w:r>
        <w:rPr>
          <w:rFonts w:hint="eastAsia" w:ascii="宋体" w:hAnsi="宋体" w:cs="宋体"/>
          <w:sz w:val="24"/>
          <w:u w:val="single"/>
          <w:lang w:eastAsia="zh-CN"/>
        </w:rPr>
        <w:t>具体货物</w:t>
      </w:r>
      <w:r>
        <w:rPr>
          <w:rFonts w:hint="eastAsia" w:ascii="宋体" w:hAnsi="宋体" w:cs="宋体"/>
          <w:sz w:val="24"/>
          <w:u w:val="single"/>
        </w:rPr>
        <w:t>）</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17" w:name="_Toc131845147"/>
    <w:bookmarkStart w:id="418" w:name="_Toc91899912"/>
    <w:bookmarkStart w:id="419" w:name="_Toc164085800"/>
    <w:bookmarkStart w:id="420" w:name="_Toc36110187"/>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诸暨</w:t>
    </w:r>
    <w:r>
      <w:t>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3AFA7"/>
    <w:multiLevelType w:val="singleLevel"/>
    <w:tmpl w:val="A4A3AFA7"/>
    <w:lvl w:ilvl="0" w:tentative="0">
      <w:start w:val="1"/>
      <w:numFmt w:val="decimal"/>
      <w:suff w:val="nothing"/>
      <w:lvlText w:val="（%1）"/>
      <w:lvlJc w:val="left"/>
    </w:lvl>
  </w:abstractNum>
  <w:abstractNum w:abstractNumId="1">
    <w:nsid w:val="C69E3632"/>
    <w:multiLevelType w:val="singleLevel"/>
    <w:tmpl w:val="C69E3632"/>
    <w:lvl w:ilvl="0" w:tentative="0">
      <w:start w:val="1"/>
      <w:numFmt w:val="decimal"/>
      <w:suff w:val="nothing"/>
      <w:lvlText w:val="%1、"/>
      <w:lvlJc w:val="left"/>
    </w:lvl>
  </w:abstractNum>
  <w:abstractNum w:abstractNumId="2">
    <w:nsid w:val="0109CBBD"/>
    <w:multiLevelType w:val="singleLevel"/>
    <w:tmpl w:val="0109CBBD"/>
    <w:lvl w:ilvl="0" w:tentative="0">
      <w:start w:val="3"/>
      <w:numFmt w:val="chineseCounting"/>
      <w:suff w:val="space"/>
      <w:lvlText w:val="第%1部分"/>
      <w:lvlJc w:val="left"/>
      <w:rPr>
        <w:rFonts w:hint="eastAsia"/>
      </w:rPr>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244361"/>
    <w:multiLevelType w:val="singleLevel"/>
    <w:tmpl w:val="15244361"/>
    <w:lvl w:ilvl="0" w:tentative="0">
      <w:start w:val="1"/>
      <w:numFmt w:val="decimal"/>
      <w:suff w:val="nothing"/>
      <w:lvlText w:val="%1、"/>
      <w:lvlJc w:val="left"/>
    </w:lvl>
  </w:abstractNum>
  <w:abstractNum w:abstractNumId="5">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3"/>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6">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9B1603"/>
    <w:multiLevelType w:val="singleLevel"/>
    <w:tmpl w:val="489B1603"/>
    <w:lvl w:ilvl="0" w:tentative="0">
      <w:start w:val="7"/>
      <w:numFmt w:val="decimal"/>
      <w:lvlText w:val="%1."/>
      <w:lvlJc w:val="left"/>
      <w:pPr>
        <w:tabs>
          <w:tab w:val="left" w:pos="312"/>
        </w:tabs>
      </w:pPr>
    </w:lvl>
  </w:abstractNum>
  <w:abstractNum w:abstractNumId="8">
    <w:nsid w:val="4E465744"/>
    <w:multiLevelType w:val="singleLevel"/>
    <w:tmpl w:val="4E465744"/>
    <w:lvl w:ilvl="0" w:tentative="0">
      <w:start w:val="1"/>
      <w:numFmt w:val="chineseCounting"/>
      <w:suff w:val="nothing"/>
      <w:lvlText w:val="%1、"/>
      <w:lvlJc w:val="left"/>
      <w:rPr>
        <w:rFonts w:hint="eastAsia"/>
      </w:rPr>
    </w:lvl>
  </w:abstractNum>
  <w:abstractNum w:abstractNumId="9">
    <w:nsid w:val="4EAF669B"/>
    <w:multiLevelType w:val="multilevel"/>
    <w:tmpl w:val="4EAF669B"/>
    <w:lvl w:ilvl="0" w:tentative="0">
      <w:start w:val="1"/>
      <w:numFmt w:val="decimalEnclosedCircle"/>
      <w:pStyle w:val="99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82869D6"/>
    <w:multiLevelType w:val="singleLevel"/>
    <w:tmpl w:val="782869D6"/>
    <w:lvl w:ilvl="0" w:tentative="0">
      <w:start w:val="1"/>
      <w:numFmt w:val="chineseCounting"/>
      <w:suff w:val="nothing"/>
      <w:lvlText w:val="%1、"/>
      <w:lvlJc w:val="left"/>
      <w:rPr>
        <w:rFonts w:hint="eastAsia"/>
      </w:rPr>
    </w:lvl>
  </w:abstractNum>
  <w:num w:numId="1">
    <w:abstractNumId w:val="5"/>
  </w:num>
  <w:num w:numId="2">
    <w:abstractNumId w:val="9"/>
  </w:num>
  <w:num w:numId="3">
    <w:abstractNumId w:val="10"/>
  </w:num>
  <w:num w:numId="4">
    <w:abstractNumId w:val="3"/>
  </w:num>
  <w:num w:numId="5">
    <w:abstractNumId w:val="6"/>
  </w:num>
  <w:num w:numId="6">
    <w:abstractNumId w:val="0"/>
  </w:num>
  <w:num w:numId="7">
    <w:abstractNumId w:val="2"/>
  </w:num>
  <w:num w:numId="8">
    <w:abstractNumId w:val="11"/>
  </w:num>
  <w:num w:numId="9">
    <w:abstractNumId w:val="1"/>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Dc0YmE2YmU4YzMyNjUzZjA2YTQ3OGQzNjgyMDM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5FE3"/>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A14"/>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6E5688"/>
    <w:rsid w:val="019F7441"/>
    <w:rsid w:val="01B37585"/>
    <w:rsid w:val="01D55165"/>
    <w:rsid w:val="01DF6BF8"/>
    <w:rsid w:val="01EC2C57"/>
    <w:rsid w:val="026B2E25"/>
    <w:rsid w:val="02824D4D"/>
    <w:rsid w:val="02DC4B10"/>
    <w:rsid w:val="02DD76CE"/>
    <w:rsid w:val="02F36323"/>
    <w:rsid w:val="02F5619C"/>
    <w:rsid w:val="0326446A"/>
    <w:rsid w:val="032D5555"/>
    <w:rsid w:val="0342075F"/>
    <w:rsid w:val="036634D2"/>
    <w:rsid w:val="039C5F31"/>
    <w:rsid w:val="03B55707"/>
    <w:rsid w:val="03DD35E4"/>
    <w:rsid w:val="03F175F7"/>
    <w:rsid w:val="04076900"/>
    <w:rsid w:val="041A5A3B"/>
    <w:rsid w:val="042311BA"/>
    <w:rsid w:val="042B157A"/>
    <w:rsid w:val="045255E4"/>
    <w:rsid w:val="048E097B"/>
    <w:rsid w:val="048F763B"/>
    <w:rsid w:val="049F330E"/>
    <w:rsid w:val="04AA775C"/>
    <w:rsid w:val="04AD4D18"/>
    <w:rsid w:val="04AF1889"/>
    <w:rsid w:val="04E1218F"/>
    <w:rsid w:val="04E9501D"/>
    <w:rsid w:val="04EC05E2"/>
    <w:rsid w:val="04F66F48"/>
    <w:rsid w:val="05251E14"/>
    <w:rsid w:val="059B671E"/>
    <w:rsid w:val="05A16594"/>
    <w:rsid w:val="05A7762D"/>
    <w:rsid w:val="05B85534"/>
    <w:rsid w:val="05E37A2D"/>
    <w:rsid w:val="05FE5673"/>
    <w:rsid w:val="060E5941"/>
    <w:rsid w:val="06110FAF"/>
    <w:rsid w:val="06493CA7"/>
    <w:rsid w:val="065A6178"/>
    <w:rsid w:val="066F1CF3"/>
    <w:rsid w:val="06930BB8"/>
    <w:rsid w:val="06BB705B"/>
    <w:rsid w:val="07245D42"/>
    <w:rsid w:val="07264C62"/>
    <w:rsid w:val="0779354C"/>
    <w:rsid w:val="08061376"/>
    <w:rsid w:val="081C745E"/>
    <w:rsid w:val="08452D77"/>
    <w:rsid w:val="086401F8"/>
    <w:rsid w:val="08751CAA"/>
    <w:rsid w:val="087E4C40"/>
    <w:rsid w:val="08D66AD6"/>
    <w:rsid w:val="08DA33A3"/>
    <w:rsid w:val="08E80F13"/>
    <w:rsid w:val="091F53A6"/>
    <w:rsid w:val="09335624"/>
    <w:rsid w:val="0944690F"/>
    <w:rsid w:val="09535675"/>
    <w:rsid w:val="095F057D"/>
    <w:rsid w:val="09642282"/>
    <w:rsid w:val="096A1B88"/>
    <w:rsid w:val="09733572"/>
    <w:rsid w:val="09772C16"/>
    <w:rsid w:val="098353B5"/>
    <w:rsid w:val="09A15E77"/>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30DD4"/>
    <w:rsid w:val="0B884417"/>
    <w:rsid w:val="0BF6188C"/>
    <w:rsid w:val="0BF73C91"/>
    <w:rsid w:val="0C170175"/>
    <w:rsid w:val="0C571A41"/>
    <w:rsid w:val="0C5C1171"/>
    <w:rsid w:val="0C5E1CBC"/>
    <w:rsid w:val="0C615B50"/>
    <w:rsid w:val="0C8445DA"/>
    <w:rsid w:val="0C87121B"/>
    <w:rsid w:val="0CC007F7"/>
    <w:rsid w:val="0CCB3017"/>
    <w:rsid w:val="0CE23EB3"/>
    <w:rsid w:val="0CFE707A"/>
    <w:rsid w:val="0D063BDA"/>
    <w:rsid w:val="0D08375F"/>
    <w:rsid w:val="0D184CFB"/>
    <w:rsid w:val="0D3C2EA1"/>
    <w:rsid w:val="0D4A7419"/>
    <w:rsid w:val="0D827401"/>
    <w:rsid w:val="0D84094E"/>
    <w:rsid w:val="0D8A00E9"/>
    <w:rsid w:val="0D8D589E"/>
    <w:rsid w:val="0DA01C73"/>
    <w:rsid w:val="0DD63300"/>
    <w:rsid w:val="0DF50604"/>
    <w:rsid w:val="0DF702FE"/>
    <w:rsid w:val="0E060E51"/>
    <w:rsid w:val="0E497007"/>
    <w:rsid w:val="0E5604B2"/>
    <w:rsid w:val="0E5A0890"/>
    <w:rsid w:val="0E697CC6"/>
    <w:rsid w:val="0E6D5D79"/>
    <w:rsid w:val="0E9D0089"/>
    <w:rsid w:val="0EB803EE"/>
    <w:rsid w:val="0EF94D4B"/>
    <w:rsid w:val="0F4958DC"/>
    <w:rsid w:val="0F503C2D"/>
    <w:rsid w:val="0F515DF7"/>
    <w:rsid w:val="0F596BA8"/>
    <w:rsid w:val="0F6248D2"/>
    <w:rsid w:val="0F693536"/>
    <w:rsid w:val="0F7B0511"/>
    <w:rsid w:val="0F7B76D9"/>
    <w:rsid w:val="0F816ACD"/>
    <w:rsid w:val="0F8E62BA"/>
    <w:rsid w:val="0F9832DB"/>
    <w:rsid w:val="0FBD50BE"/>
    <w:rsid w:val="0FBF3FD2"/>
    <w:rsid w:val="0FBF7FF3"/>
    <w:rsid w:val="10646583"/>
    <w:rsid w:val="107D4B15"/>
    <w:rsid w:val="108A3C80"/>
    <w:rsid w:val="10C26171"/>
    <w:rsid w:val="10C62435"/>
    <w:rsid w:val="10CB62DD"/>
    <w:rsid w:val="10F33360"/>
    <w:rsid w:val="10FC16EA"/>
    <w:rsid w:val="110F1D40"/>
    <w:rsid w:val="11266F33"/>
    <w:rsid w:val="1140695B"/>
    <w:rsid w:val="11765283"/>
    <w:rsid w:val="118963A1"/>
    <w:rsid w:val="11A65F43"/>
    <w:rsid w:val="11C6522A"/>
    <w:rsid w:val="11E104CC"/>
    <w:rsid w:val="11E20309"/>
    <w:rsid w:val="12147FB8"/>
    <w:rsid w:val="12255233"/>
    <w:rsid w:val="124422F2"/>
    <w:rsid w:val="12530213"/>
    <w:rsid w:val="12643510"/>
    <w:rsid w:val="127723A9"/>
    <w:rsid w:val="12862074"/>
    <w:rsid w:val="12883966"/>
    <w:rsid w:val="128B4DB2"/>
    <w:rsid w:val="129E45B4"/>
    <w:rsid w:val="12D81596"/>
    <w:rsid w:val="12FB6C31"/>
    <w:rsid w:val="13072A44"/>
    <w:rsid w:val="13393DB3"/>
    <w:rsid w:val="135F4BE2"/>
    <w:rsid w:val="137F70B5"/>
    <w:rsid w:val="139B1A0A"/>
    <w:rsid w:val="139D25C7"/>
    <w:rsid w:val="13BF3CE4"/>
    <w:rsid w:val="141008D8"/>
    <w:rsid w:val="14125FE6"/>
    <w:rsid w:val="14523117"/>
    <w:rsid w:val="146D271E"/>
    <w:rsid w:val="14982588"/>
    <w:rsid w:val="149A5AD9"/>
    <w:rsid w:val="14A7619D"/>
    <w:rsid w:val="14B64D09"/>
    <w:rsid w:val="14FE41AE"/>
    <w:rsid w:val="150536C3"/>
    <w:rsid w:val="150C1963"/>
    <w:rsid w:val="151447A0"/>
    <w:rsid w:val="1525714C"/>
    <w:rsid w:val="154A6454"/>
    <w:rsid w:val="15762120"/>
    <w:rsid w:val="15F11A02"/>
    <w:rsid w:val="161E16D5"/>
    <w:rsid w:val="162B22EC"/>
    <w:rsid w:val="1655368D"/>
    <w:rsid w:val="169E59C7"/>
    <w:rsid w:val="16A8729C"/>
    <w:rsid w:val="16B33777"/>
    <w:rsid w:val="16BC70A7"/>
    <w:rsid w:val="16C6339E"/>
    <w:rsid w:val="172F2D79"/>
    <w:rsid w:val="17481D47"/>
    <w:rsid w:val="17557BEF"/>
    <w:rsid w:val="175973B4"/>
    <w:rsid w:val="17B370D5"/>
    <w:rsid w:val="17D349C1"/>
    <w:rsid w:val="1830729E"/>
    <w:rsid w:val="1870062C"/>
    <w:rsid w:val="18817102"/>
    <w:rsid w:val="18830A15"/>
    <w:rsid w:val="18852B28"/>
    <w:rsid w:val="188B5321"/>
    <w:rsid w:val="19334981"/>
    <w:rsid w:val="19932372"/>
    <w:rsid w:val="19A20DD5"/>
    <w:rsid w:val="19AE03F1"/>
    <w:rsid w:val="1A071A03"/>
    <w:rsid w:val="1A1F16AE"/>
    <w:rsid w:val="1A3B5C77"/>
    <w:rsid w:val="1A8F0322"/>
    <w:rsid w:val="1A971491"/>
    <w:rsid w:val="1A984BAD"/>
    <w:rsid w:val="1AB3725D"/>
    <w:rsid w:val="1AB8220E"/>
    <w:rsid w:val="1ABC02E6"/>
    <w:rsid w:val="1AE4166C"/>
    <w:rsid w:val="1AF06CFB"/>
    <w:rsid w:val="1AF11B8D"/>
    <w:rsid w:val="1B006AB7"/>
    <w:rsid w:val="1B11359C"/>
    <w:rsid w:val="1B2A271F"/>
    <w:rsid w:val="1B530544"/>
    <w:rsid w:val="1B713184"/>
    <w:rsid w:val="1BA209CF"/>
    <w:rsid w:val="1BB4777D"/>
    <w:rsid w:val="1BD75AB8"/>
    <w:rsid w:val="1C0459C2"/>
    <w:rsid w:val="1C1B3B4A"/>
    <w:rsid w:val="1C814BE7"/>
    <w:rsid w:val="1C88086E"/>
    <w:rsid w:val="1CE90017"/>
    <w:rsid w:val="1D266CE1"/>
    <w:rsid w:val="1D3963AF"/>
    <w:rsid w:val="1D5E7F97"/>
    <w:rsid w:val="1D6A673C"/>
    <w:rsid w:val="1D9247AE"/>
    <w:rsid w:val="1D995E92"/>
    <w:rsid w:val="1DB567EC"/>
    <w:rsid w:val="1DC329BB"/>
    <w:rsid w:val="1DF51A98"/>
    <w:rsid w:val="1E3D060F"/>
    <w:rsid w:val="1E3F7D2E"/>
    <w:rsid w:val="1E4134E4"/>
    <w:rsid w:val="1E5062B3"/>
    <w:rsid w:val="1E523514"/>
    <w:rsid w:val="1E714A66"/>
    <w:rsid w:val="1E774BE5"/>
    <w:rsid w:val="1E802593"/>
    <w:rsid w:val="1EA703CC"/>
    <w:rsid w:val="1EB7330C"/>
    <w:rsid w:val="1F0A0FF3"/>
    <w:rsid w:val="1F5771FF"/>
    <w:rsid w:val="1F856F8E"/>
    <w:rsid w:val="1FE868A9"/>
    <w:rsid w:val="20034907"/>
    <w:rsid w:val="20173E4B"/>
    <w:rsid w:val="20347613"/>
    <w:rsid w:val="204E48BC"/>
    <w:rsid w:val="2077471B"/>
    <w:rsid w:val="208921B3"/>
    <w:rsid w:val="20973DEB"/>
    <w:rsid w:val="20B26522"/>
    <w:rsid w:val="20B44310"/>
    <w:rsid w:val="211116EB"/>
    <w:rsid w:val="213469E8"/>
    <w:rsid w:val="216133FC"/>
    <w:rsid w:val="21950E25"/>
    <w:rsid w:val="21D56769"/>
    <w:rsid w:val="21E52EF3"/>
    <w:rsid w:val="21F20BF7"/>
    <w:rsid w:val="21FB5D7B"/>
    <w:rsid w:val="220B1C3D"/>
    <w:rsid w:val="22194E4C"/>
    <w:rsid w:val="221D1D20"/>
    <w:rsid w:val="22267A7A"/>
    <w:rsid w:val="22334A87"/>
    <w:rsid w:val="22480C77"/>
    <w:rsid w:val="22BE6801"/>
    <w:rsid w:val="23184AEB"/>
    <w:rsid w:val="233500BF"/>
    <w:rsid w:val="23377FF7"/>
    <w:rsid w:val="236B425F"/>
    <w:rsid w:val="23836192"/>
    <w:rsid w:val="23901F29"/>
    <w:rsid w:val="239C0061"/>
    <w:rsid w:val="23B908A4"/>
    <w:rsid w:val="23CD04E7"/>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41EFB"/>
    <w:rsid w:val="2628662C"/>
    <w:rsid w:val="262D45DE"/>
    <w:rsid w:val="268134AC"/>
    <w:rsid w:val="268F0AE5"/>
    <w:rsid w:val="26A53EF9"/>
    <w:rsid w:val="26A94201"/>
    <w:rsid w:val="26AC274F"/>
    <w:rsid w:val="27044A29"/>
    <w:rsid w:val="271D34C8"/>
    <w:rsid w:val="276142BF"/>
    <w:rsid w:val="27783712"/>
    <w:rsid w:val="27907362"/>
    <w:rsid w:val="279D5271"/>
    <w:rsid w:val="28126C76"/>
    <w:rsid w:val="28333E1D"/>
    <w:rsid w:val="28454BD6"/>
    <w:rsid w:val="28455253"/>
    <w:rsid w:val="285069C5"/>
    <w:rsid w:val="28551971"/>
    <w:rsid w:val="285B1C53"/>
    <w:rsid w:val="289F7086"/>
    <w:rsid w:val="28C32028"/>
    <w:rsid w:val="28CC490F"/>
    <w:rsid w:val="28DE40AA"/>
    <w:rsid w:val="291D61D5"/>
    <w:rsid w:val="29345E77"/>
    <w:rsid w:val="294C65AD"/>
    <w:rsid w:val="296872E8"/>
    <w:rsid w:val="29806583"/>
    <w:rsid w:val="298B3C4C"/>
    <w:rsid w:val="29A60575"/>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CF004ED"/>
    <w:rsid w:val="2D343236"/>
    <w:rsid w:val="2DD15014"/>
    <w:rsid w:val="2DF72DE4"/>
    <w:rsid w:val="2E0220AF"/>
    <w:rsid w:val="2E1707A2"/>
    <w:rsid w:val="2E4B082A"/>
    <w:rsid w:val="2E5D4E86"/>
    <w:rsid w:val="2E5D790B"/>
    <w:rsid w:val="2E9A3C18"/>
    <w:rsid w:val="2EBB0FEE"/>
    <w:rsid w:val="2EC63002"/>
    <w:rsid w:val="2F0A6B38"/>
    <w:rsid w:val="2F946CCB"/>
    <w:rsid w:val="2FD25781"/>
    <w:rsid w:val="2FDF048A"/>
    <w:rsid w:val="2FFD7934"/>
    <w:rsid w:val="30496D5A"/>
    <w:rsid w:val="30733ACD"/>
    <w:rsid w:val="30855AF1"/>
    <w:rsid w:val="308C3862"/>
    <w:rsid w:val="309379D8"/>
    <w:rsid w:val="30A270F7"/>
    <w:rsid w:val="30CB0F91"/>
    <w:rsid w:val="30DF1478"/>
    <w:rsid w:val="30EC586F"/>
    <w:rsid w:val="319C6071"/>
    <w:rsid w:val="31AC319B"/>
    <w:rsid w:val="31AC537E"/>
    <w:rsid w:val="31E3679B"/>
    <w:rsid w:val="31E732FD"/>
    <w:rsid w:val="320D2EAD"/>
    <w:rsid w:val="32307456"/>
    <w:rsid w:val="32506E1A"/>
    <w:rsid w:val="32517576"/>
    <w:rsid w:val="32957EC5"/>
    <w:rsid w:val="32BE5C2C"/>
    <w:rsid w:val="32C5337C"/>
    <w:rsid w:val="32DC0EB2"/>
    <w:rsid w:val="32FB6478"/>
    <w:rsid w:val="3302318F"/>
    <w:rsid w:val="33263B3F"/>
    <w:rsid w:val="332D124E"/>
    <w:rsid w:val="336963EB"/>
    <w:rsid w:val="33816EEB"/>
    <w:rsid w:val="33EB55CD"/>
    <w:rsid w:val="33EC4C02"/>
    <w:rsid w:val="340D2360"/>
    <w:rsid w:val="3410665D"/>
    <w:rsid w:val="34211214"/>
    <w:rsid w:val="34256AA5"/>
    <w:rsid w:val="342E63AB"/>
    <w:rsid w:val="34950E68"/>
    <w:rsid w:val="34986E94"/>
    <w:rsid w:val="34AF62C9"/>
    <w:rsid w:val="34CB4388"/>
    <w:rsid w:val="34D02781"/>
    <w:rsid w:val="34FA6E12"/>
    <w:rsid w:val="35060512"/>
    <w:rsid w:val="350A3A1E"/>
    <w:rsid w:val="358D5588"/>
    <w:rsid w:val="35C43EC2"/>
    <w:rsid w:val="36224544"/>
    <w:rsid w:val="362F7E33"/>
    <w:rsid w:val="363A3B40"/>
    <w:rsid w:val="365302AE"/>
    <w:rsid w:val="36607A0A"/>
    <w:rsid w:val="366E227C"/>
    <w:rsid w:val="366F2E0D"/>
    <w:rsid w:val="367B6A5C"/>
    <w:rsid w:val="36A74ADA"/>
    <w:rsid w:val="36AD60D5"/>
    <w:rsid w:val="36B224F9"/>
    <w:rsid w:val="36BB602F"/>
    <w:rsid w:val="36EC0CC9"/>
    <w:rsid w:val="3729284D"/>
    <w:rsid w:val="373F410B"/>
    <w:rsid w:val="37EE7094"/>
    <w:rsid w:val="38296C89"/>
    <w:rsid w:val="382B706C"/>
    <w:rsid w:val="382D38D9"/>
    <w:rsid w:val="383002EB"/>
    <w:rsid w:val="38586797"/>
    <w:rsid w:val="3893130C"/>
    <w:rsid w:val="38BC0149"/>
    <w:rsid w:val="38BC2936"/>
    <w:rsid w:val="38D87D1C"/>
    <w:rsid w:val="39243950"/>
    <w:rsid w:val="39636459"/>
    <w:rsid w:val="396B7F6C"/>
    <w:rsid w:val="39B417A9"/>
    <w:rsid w:val="39BF05D5"/>
    <w:rsid w:val="39FC5695"/>
    <w:rsid w:val="3A006D8E"/>
    <w:rsid w:val="3A3651E5"/>
    <w:rsid w:val="3A3F7071"/>
    <w:rsid w:val="3A744481"/>
    <w:rsid w:val="3A8C7BEF"/>
    <w:rsid w:val="3A906246"/>
    <w:rsid w:val="3B2349B7"/>
    <w:rsid w:val="3B616CFF"/>
    <w:rsid w:val="3B6259F6"/>
    <w:rsid w:val="3B692D2A"/>
    <w:rsid w:val="3B9236C9"/>
    <w:rsid w:val="3B976654"/>
    <w:rsid w:val="3BC01EFC"/>
    <w:rsid w:val="3BCA786A"/>
    <w:rsid w:val="3BD266B1"/>
    <w:rsid w:val="3BD31E2F"/>
    <w:rsid w:val="3BF15831"/>
    <w:rsid w:val="3C105946"/>
    <w:rsid w:val="3C2F7467"/>
    <w:rsid w:val="3C471448"/>
    <w:rsid w:val="3C5F759A"/>
    <w:rsid w:val="3C6C525A"/>
    <w:rsid w:val="3CCE23CB"/>
    <w:rsid w:val="3CD17D17"/>
    <w:rsid w:val="3D3C7F39"/>
    <w:rsid w:val="3D3F248B"/>
    <w:rsid w:val="3D440F09"/>
    <w:rsid w:val="3D4504A0"/>
    <w:rsid w:val="3D8734BB"/>
    <w:rsid w:val="3D9A11D4"/>
    <w:rsid w:val="3DA16D89"/>
    <w:rsid w:val="3DA364BE"/>
    <w:rsid w:val="3DD73EFB"/>
    <w:rsid w:val="3DE041CB"/>
    <w:rsid w:val="3E0D48F6"/>
    <w:rsid w:val="3E1868B4"/>
    <w:rsid w:val="3E377251"/>
    <w:rsid w:val="3E42664B"/>
    <w:rsid w:val="3E572F58"/>
    <w:rsid w:val="3E5A7334"/>
    <w:rsid w:val="3E7B5D6B"/>
    <w:rsid w:val="3E843E66"/>
    <w:rsid w:val="3E865B5F"/>
    <w:rsid w:val="3E8F51FE"/>
    <w:rsid w:val="3E926F87"/>
    <w:rsid w:val="3E9A59DE"/>
    <w:rsid w:val="3EAB66C6"/>
    <w:rsid w:val="3EAF4836"/>
    <w:rsid w:val="3EC33DFA"/>
    <w:rsid w:val="3F0106F3"/>
    <w:rsid w:val="3F060E16"/>
    <w:rsid w:val="3F1D1096"/>
    <w:rsid w:val="3F2F0234"/>
    <w:rsid w:val="3F3E79D2"/>
    <w:rsid w:val="3F6363FE"/>
    <w:rsid w:val="3F756B8F"/>
    <w:rsid w:val="3F7A6030"/>
    <w:rsid w:val="3F95482B"/>
    <w:rsid w:val="4019356B"/>
    <w:rsid w:val="40592157"/>
    <w:rsid w:val="406E1CAE"/>
    <w:rsid w:val="40A0133A"/>
    <w:rsid w:val="40AC0510"/>
    <w:rsid w:val="40C31A53"/>
    <w:rsid w:val="40EA7AAF"/>
    <w:rsid w:val="40FF545D"/>
    <w:rsid w:val="410067C8"/>
    <w:rsid w:val="418F0D2A"/>
    <w:rsid w:val="41B94703"/>
    <w:rsid w:val="41D01505"/>
    <w:rsid w:val="41D43A1D"/>
    <w:rsid w:val="420406D9"/>
    <w:rsid w:val="42474939"/>
    <w:rsid w:val="424C3C57"/>
    <w:rsid w:val="42613FF3"/>
    <w:rsid w:val="42660D96"/>
    <w:rsid w:val="428667D2"/>
    <w:rsid w:val="42C713D9"/>
    <w:rsid w:val="42CD1CE0"/>
    <w:rsid w:val="42E1381E"/>
    <w:rsid w:val="42ED6459"/>
    <w:rsid w:val="42FE58DD"/>
    <w:rsid w:val="43090FDF"/>
    <w:rsid w:val="43174B3D"/>
    <w:rsid w:val="434B790E"/>
    <w:rsid w:val="4360274F"/>
    <w:rsid w:val="43977AB6"/>
    <w:rsid w:val="43A3342B"/>
    <w:rsid w:val="43B81FE6"/>
    <w:rsid w:val="43C77C27"/>
    <w:rsid w:val="43DE09EE"/>
    <w:rsid w:val="44002FAD"/>
    <w:rsid w:val="449101DD"/>
    <w:rsid w:val="44D04970"/>
    <w:rsid w:val="44DE1391"/>
    <w:rsid w:val="451B225C"/>
    <w:rsid w:val="451D13C3"/>
    <w:rsid w:val="452410C9"/>
    <w:rsid w:val="45317DFB"/>
    <w:rsid w:val="45613CC5"/>
    <w:rsid w:val="456D3CE4"/>
    <w:rsid w:val="4579042C"/>
    <w:rsid w:val="457F0571"/>
    <w:rsid w:val="45851176"/>
    <w:rsid w:val="45C63B94"/>
    <w:rsid w:val="460E7DA5"/>
    <w:rsid w:val="46422483"/>
    <w:rsid w:val="4654035E"/>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5448B"/>
    <w:rsid w:val="48FD4B4C"/>
    <w:rsid w:val="490A68E0"/>
    <w:rsid w:val="491055FE"/>
    <w:rsid w:val="492E3D08"/>
    <w:rsid w:val="49497A18"/>
    <w:rsid w:val="495F5B3E"/>
    <w:rsid w:val="496F77D7"/>
    <w:rsid w:val="497654FD"/>
    <w:rsid w:val="499A2FAA"/>
    <w:rsid w:val="49B64211"/>
    <w:rsid w:val="49C24A8D"/>
    <w:rsid w:val="49F41BE5"/>
    <w:rsid w:val="49F6167F"/>
    <w:rsid w:val="4A064FA0"/>
    <w:rsid w:val="4A16615C"/>
    <w:rsid w:val="4A4424D7"/>
    <w:rsid w:val="4A732378"/>
    <w:rsid w:val="4A8F4A4D"/>
    <w:rsid w:val="4AB82D0F"/>
    <w:rsid w:val="4AEB7664"/>
    <w:rsid w:val="4AFD7C19"/>
    <w:rsid w:val="4B042C4D"/>
    <w:rsid w:val="4B0567D1"/>
    <w:rsid w:val="4B103D18"/>
    <w:rsid w:val="4B1353AC"/>
    <w:rsid w:val="4B236AAE"/>
    <w:rsid w:val="4B54396F"/>
    <w:rsid w:val="4B707271"/>
    <w:rsid w:val="4B9739F7"/>
    <w:rsid w:val="4BEE2503"/>
    <w:rsid w:val="4BFD228F"/>
    <w:rsid w:val="4C245A30"/>
    <w:rsid w:val="4CA0556E"/>
    <w:rsid w:val="4CB6685F"/>
    <w:rsid w:val="4CC367FE"/>
    <w:rsid w:val="4D077F3C"/>
    <w:rsid w:val="4D123355"/>
    <w:rsid w:val="4D2A3B31"/>
    <w:rsid w:val="4D312C52"/>
    <w:rsid w:val="4D3362FA"/>
    <w:rsid w:val="4D905305"/>
    <w:rsid w:val="4D964A72"/>
    <w:rsid w:val="4D9C1254"/>
    <w:rsid w:val="4DFC6FAF"/>
    <w:rsid w:val="4E122BB1"/>
    <w:rsid w:val="4E592139"/>
    <w:rsid w:val="4E793892"/>
    <w:rsid w:val="4E800872"/>
    <w:rsid w:val="4EB835E0"/>
    <w:rsid w:val="4EC569ED"/>
    <w:rsid w:val="4ED50EA1"/>
    <w:rsid w:val="4EEC050C"/>
    <w:rsid w:val="4F104EC3"/>
    <w:rsid w:val="4F47354A"/>
    <w:rsid w:val="4F612BE5"/>
    <w:rsid w:val="4F911C54"/>
    <w:rsid w:val="4FE625E0"/>
    <w:rsid w:val="4FE702C0"/>
    <w:rsid w:val="5021480F"/>
    <w:rsid w:val="502A6491"/>
    <w:rsid w:val="504B57F2"/>
    <w:rsid w:val="50962ECB"/>
    <w:rsid w:val="509B62B9"/>
    <w:rsid w:val="50A42E38"/>
    <w:rsid w:val="50A4577F"/>
    <w:rsid w:val="50B73D1F"/>
    <w:rsid w:val="50BD5BC9"/>
    <w:rsid w:val="50C11EEE"/>
    <w:rsid w:val="50D821C3"/>
    <w:rsid w:val="50E97CFC"/>
    <w:rsid w:val="50FA4028"/>
    <w:rsid w:val="510D65B7"/>
    <w:rsid w:val="511157AB"/>
    <w:rsid w:val="5142540C"/>
    <w:rsid w:val="518832C8"/>
    <w:rsid w:val="51A0432A"/>
    <w:rsid w:val="51A86090"/>
    <w:rsid w:val="51AA3A71"/>
    <w:rsid w:val="51B7396D"/>
    <w:rsid w:val="522B0702"/>
    <w:rsid w:val="522E4CC3"/>
    <w:rsid w:val="5244713B"/>
    <w:rsid w:val="52615633"/>
    <w:rsid w:val="52977FD4"/>
    <w:rsid w:val="52A25790"/>
    <w:rsid w:val="52A96B6F"/>
    <w:rsid w:val="52B45975"/>
    <w:rsid w:val="52BC43BE"/>
    <w:rsid w:val="52D94AA4"/>
    <w:rsid w:val="52EA3A62"/>
    <w:rsid w:val="52F50BB8"/>
    <w:rsid w:val="53097272"/>
    <w:rsid w:val="53544462"/>
    <w:rsid w:val="53571680"/>
    <w:rsid w:val="5397158E"/>
    <w:rsid w:val="53CB1124"/>
    <w:rsid w:val="54013861"/>
    <w:rsid w:val="54487265"/>
    <w:rsid w:val="544D6070"/>
    <w:rsid w:val="54605E1E"/>
    <w:rsid w:val="54B3506A"/>
    <w:rsid w:val="54CA0D16"/>
    <w:rsid w:val="54DD4057"/>
    <w:rsid w:val="54E7490F"/>
    <w:rsid w:val="550764A4"/>
    <w:rsid w:val="550B2BF6"/>
    <w:rsid w:val="55214EB5"/>
    <w:rsid w:val="55364EFD"/>
    <w:rsid w:val="555206D5"/>
    <w:rsid w:val="555D4828"/>
    <w:rsid w:val="555F29F2"/>
    <w:rsid w:val="557A4C8B"/>
    <w:rsid w:val="558931E1"/>
    <w:rsid w:val="55923347"/>
    <w:rsid w:val="55925180"/>
    <w:rsid w:val="55983B1B"/>
    <w:rsid w:val="55A8376B"/>
    <w:rsid w:val="55DC29B6"/>
    <w:rsid w:val="55DD4241"/>
    <w:rsid w:val="561B265E"/>
    <w:rsid w:val="561C4AC0"/>
    <w:rsid w:val="566B6D1E"/>
    <w:rsid w:val="56C7506B"/>
    <w:rsid w:val="57032A2C"/>
    <w:rsid w:val="570F5219"/>
    <w:rsid w:val="574A7800"/>
    <w:rsid w:val="575D12B5"/>
    <w:rsid w:val="57610A87"/>
    <w:rsid w:val="57736599"/>
    <w:rsid w:val="577B1140"/>
    <w:rsid w:val="577B7F21"/>
    <w:rsid w:val="577F181B"/>
    <w:rsid w:val="57921984"/>
    <w:rsid w:val="579737F0"/>
    <w:rsid w:val="57AB7B30"/>
    <w:rsid w:val="57AF5251"/>
    <w:rsid w:val="57B26373"/>
    <w:rsid w:val="57B63F04"/>
    <w:rsid w:val="57CD20C2"/>
    <w:rsid w:val="57D675AB"/>
    <w:rsid w:val="57D95FDD"/>
    <w:rsid w:val="586E0A5D"/>
    <w:rsid w:val="58917D2F"/>
    <w:rsid w:val="5894085C"/>
    <w:rsid w:val="589E7B8F"/>
    <w:rsid w:val="58AE4F0C"/>
    <w:rsid w:val="58B85899"/>
    <w:rsid w:val="58E363A9"/>
    <w:rsid w:val="59467DFA"/>
    <w:rsid w:val="595E1678"/>
    <w:rsid w:val="596D5BD4"/>
    <w:rsid w:val="597C1E81"/>
    <w:rsid w:val="597E3DD8"/>
    <w:rsid w:val="599E168D"/>
    <w:rsid w:val="59C44CE0"/>
    <w:rsid w:val="59F80043"/>
    <w:rsid w:val="5A09252F"/>
    <w:rsid w:val="5A0B2778"/>
    <w:rsid w:val="5A2A7C7B"/>
    <w:rsid w:val="5A3E2560"/>
    <w:rsid w:val="5A5D3B6E"/>
    <w:rsid w:val="5A637A76"/>
    <w:rsid w:val="5A6D33BA"/>
    <w:rsid w:val="5A792B1F"/>
    <w:rsid w:val="5A874767"/>
    <w:rsid w:val="5AAD6F28"/>
    <w:rsid w:val="5AD63A24"/>
    <w:rsid w:val="5B0D5B7E"/>
    <w:rsid w:val="5B2A30A1"/>
    <w:rsid w:val="5B2E1A1D"/>
    <w:rsid w:val="5B2E7504"/>
    <w:rsid w:val="5B6E517A"/>
    <w:rsid w:val="5B7E23D6"/>
    <w:rsid w:val="5B843A1C"/>
    <w:rsid w:val="5B873E3F"/>
    <w:rsid w:val="5BC22E0D"/>
    <w:rsid w:val="5BD913E8"/>
    <w:rsid w:val="5C02690E"/>
    <w:rsid w:val="5C122EA1"/>
    <w:rsid w:val="5C196DA7"/>
    <w:rsid w:val="5C2A048C"/>
    <w:rsid w:val="5C80234E"/>
    <w:rsid w:val="5C8A680C"/>
    <w:rsid w:val="5D0C4701"/>
    <w:rsid w:val="5D0F0395"/>
    <w:rsid w:val="5D1F0C2E"/>
    <w:rsid w:val="5D221076"/>
    <w:rsid w:val="5D397964"/>
    <w:rsid w:val="5D4D2245"/>
    <w:rsid w:val="5D502778"/>
    <w:rsid w:val="5D5A391C"/>
    <w:rsid w:val="5D5F10C0"/>
    <w:rsid w:val="5D891B7B"/>
    <w:rsid w:val="5DAD38EE"/>
    <w:rsid w:val="5DAF3753"/>
    <w:rsid w:val="5E006862"/>
    <w:rsid w:val="5E0207B9"/>
    <w:rsid w:val="5E1834A1"/>
    <w:rsid w:val="5E261785"/>
    <w:rsid w:val="5E326CF5"/>
    <w:rsid w:val="5E4A352D"/>
    <w:rsid w:val="5E4A7017"/>
    <w:rsid w:val="5E552BBA"/>
    <w:rsid w:val="5E611C10"/>
    <w:rsid w:val="5EFC7377"/>
    <w:rsid w:val="5F06174D"/>
    <w:rsid w:val="5F3A3602"/>
    <w:rsid w:val="5F6277C6"/>
    <w:rsid w:val="5F6D0B1D"/>
    <w:rsid w:val="5F8D0B82"/>
    <w:rsid w:val="5F8E6BF5"/>
    <w:rsid w:val="5FCC5339"/>
    <w:rsid w:val="5FE34A5B"/>
    <w:rsid w:val="5FFE1E36"/>
    <w:rsid w:val="60232584"/>
    <w:rsid w:val="60324968"/>
    <w:rsid w:val="607330CE"/>
    <w:rsid w:val="60825176"/>
    <w:rsid w:val="609F2AC4"/>
    <w:rsid w:val="60D45E7A"/>
    <w:rsid w:val="60FA2EE8"/>
    <w:rsid w:val="61054A27"/>
    <w:rsid w:val="610A52BC"/>
    <w:rsid w:val="611D2366"/>
    <w:rsid w:val="612364CF"/>
    <w:rsid w:val="61240A32"/>
    <w:rsid w:val="61421856"/>
    <w:rsid w:val="615227C4"/>
    <w:rsid w:val="61654E3F"/>
    <w:rsid w:val="6182292A"/>
    <w:rsid w:val="619F7F92"/>
    <w:rsid w:val="61F94C26"/>
    <w:rsid w:val="62000E56"/>
    <w:rsid w:val="622D0F39"/>
    <w:rsid w:val="624F3E49"/>
    <w:rsid w:val="62632286"/>
    <w:rsid w:val="62885958"/>
    <w:rsid w:val="628F001A"/>
    <w:rsid w:val="62AA7047"/>
    <w:rsid w:val="62F40B65"/>
    <w:rsid w:val="62FC2CFE"/>
    <w:rsid w:val="63024505"/>
    <w:rsid w:val="635B1DB5"/>
    <w:rsid w:val="63711FED"/>
    <w:rsid w:val="63880DDC"/>
    <w:rsid w:val="638D750D"/>
    <w:rsid w:val="63993E47"/>
    <w:rsid w:val="63A84648"/>
    <w:rsid w:val="63AC6CC0"/>
    <w:rsid w:val="63B15104"/>
    <w:rsid w:val="63CA13B8"/>
    <w:rsid w:val="64055776"/>
    <w:rsid w:val="64240056"/>
    <w:rsid w:val="643E143A"/>
    <w:rsid w:val="648B6EEF"/>
    <w:rsid w:val="648E50A4"/>
    <w:rsid w:val="64B8522A"/>
    <w:rsid w:val="64C158BF"/>
    <w:rsid w:val="64CE2EAA"/>
    <w:rsid w:val="64DE698B"/>
    <w:rsid w:val="65272B3D"/>
    <w:rsid w:val="65282282"/>
    <w:rsid w:val="653C3090"/>
    <w:rsid w:val="65476D23"/>
    <w:rsid w:val="65854376"/>
    <w:rsid w:val="658767BE"/>
    <w:rsid w:val="65892531"/>
    <w:rsid w:val="65CC6FA4"/>
    <w:rsid w:val="65D468AC"/>
    <w:rsid w:val="65DC5A73"/>
    <w:rsid w:val="66195831"/>
    <w:rsid w:val="662E75B1"/>
    <w:rsid w:val="66342C2E"/>
    <w:rsid w:val="66370B21"/>
    <w:rsid w:val="663E784C"/>
    <w:rsid w:val="667A5D8F"/>
    <w:rsid w:val="668B6A45"/>
    <w:rsid w:val="672F3F24"/>
    <w:rsid w:val="673E055F"/>
    <w:rsid w:val="67551CE3"/>
    <w:rsid w:val="67673E3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12039"/>
    <w:rsid w:val="68CA2805"/>
    <w:rsid w:val="68DB2550"/>
    <w:rsid w:val="68E72104"/>
    <w:rsid w:val="68E937A3"/>
    <w:rsid w:val="693E15D3"/>
    <w:rsid w:val="69627681"/>
    <w:rsid w:val="6977531D"/>
    <w:rsid w:val="69CC2BFF"/>
    <w:rsid w:val="69FD55B8"/>
    <w:rsid w:val="6A0B1C62"/>
    <w:rsid w:val="6A2406C8"/>
    <w:rsid w:val="6A7A265C"/>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752F4"/>
    <w:rsid w:val="6D8B160E"/>
    <w:rsid w:val="6D9078AF"/>
    <w:rsid w:val="6DAA3FEF"/>
    <w:rsid w:val="6DC0172B"/>
    <w:rsid w:val="6DCB690C"/>
    <w:rsid w:val="6DD41A5B"/>
    <w:rsid w:val="6DF43C2E"/>
    <w:rsid w:val="6DF51CA3"/>
    <w:rsid w:val="6E8335BD"/>
    <w:rsid w:val="6E8E12EF"/>
    <w:rsid w:val="6E972936"/>
    <w:rsid w:val="6ED30867"/>
    <w:rsid w:val="6ED446C5"/>
    <w:rsid w:val="6F0C1BBE"/>
    <w:rsid w:val="6F2A7D94"/>
    <w:rsid w:val="6F3561E2"/>
    <w:rsid w:val="6F79380F"/>
    <w:rsid w:val="6F8331F1"/>
    <w:rsid w:val="6FA3059E"/>
    <w:rsid w:val="6FAE1A09"/>
    <w:rsid w:val="6FD75BF8"/>
    <w:rsid w:val="703B482E"/>
    <w:rsid w:val="707723D0"/>
    <w:rsid w:val="70F5661B"/>
    <w:rsid w:val="71360107"/>
    <w:rsid w:val="713B688E"/>
    <w:rsid w:val="71CE4DBF"/>
    <w:rsid w:val="71D43752"/>
    <w:rsid w:val="71F1796A"/>
    <w:rsid w:val="72154626"/>
    <w:rsid w:val="72262B5D"/>
    <w:rsid w:val="72283FF7"/>
    <w:rsid w:val="722E7212"/>
    <w:rsid w:val="723A0474"/>
    <w:rsid w:val="725923E4"/>
    <w:rsid w:val="72864BF7"/>
    <w:rsid w:val="729023FC"/>
    <w:rsid w:val="739E54A5"/>
    <w:rsid w:val="73C0646E"/>
    <w:rsid w:val="742222F5"/>
    <w:rsid w:val="74476126"/>
    <w:rsid w:val="74706664"/>
    <w:rsid w:val="747F3682"/>
    <w:rsid w:val="749C4185"/>
    <w:rsid w:val="749E1D19"/>
    <w:rsid w:val="74A831CF"/>
    <w:rsid w:val="74DE4FB2"/>
    <w:rsid w:val="75067759"/>
    <w:rsid w:val="752E6DCD"/>
    <w:rsid w:val="7551380D"/>
    <w:rsid w:val="75600BE5"/>
    <w:rsid w:val="7564475C"/>
    <w:rsid w:val="7583797F"/>
    <w:rsid w:val="75857693"/>
    <w:rsid w:val="75862794"/>
    <w:rsid w:val="75C238C0"/>
    <w:rsid w:val="75D20F1D"/>
    <w:rsid w:val="75DA2C18"/>
    <w:rsid w:val="75F54412"/>
    <w:rsid w:val="761D08E0"/>
    <w:rsid w:val="765A47DE"/>
    <w:rsid w:val="765D347C"/>
    <w:rsid w:val="76826699"/>
    <w:rsid w:val="76974D6C"/>
    <w:rsid w:val="76B51631"/>
    <w:rsid w:val="76BC11AC"/>
    <w:rsid w:val="76C87133"/>
    <w:rsid w:val="76CD08D5"/>
    <w:rsid w:val="76DB4B92"/>
    <w:rsid w:val="77052AA4"/>
    <w:rsid w:val="77136511"/>
    <w:rsid w:val="77340A39"/>
    <w:rsid w:val="77351FD0"/>
    <w:rsid w:val="773D4EC1"/>
    <w:rsid w:val="77472422"/>
    <w:rsid w:val="777059BB"/>
    <w:rsid w:val="777F31F2"/>
    <w:rsid w:val="77D1700D"/>
    <w:rsid w:val="77DB66B1"/>
    <w:rsid w:val="77EC04CC"/>
    <w:rsid w:val="78775729"/>
    <w:rsid w:val="78A42DB0"/>
    <w:rsid w:val="78A656AB"/>
    <w:rsid w:val="78B2245C"/>
    <w:rsid w:val="78C5569C"/>
    <w:rsid w:val="78DB5247"/>
    <w:rsid w:val="78E172CC"/>
    <w:rsid w:val="78EA1D1F"/>
    <w:rsid w:val="7904172F"/>
    <w:rsid w:val="790F7E27"/>
    <w:rsid w:val="792A231A"/>
    <w:rsid w:val="79316829"/>
    <w:rsid w:val="793B7903"/>
    <w:rsid w:val="793D532C"/>
    <w:rsid w:val="797E66A9"/>
    <w:rsid w:val="79A97383"/>
    <w:rsid w:val="79D76F63"/>
    <w:rsid w:val="79E27E8B"/>
    <w:rsid w:val="79F850CE"/>
    <w:rsid w:val="79FD443C"/>
    <w:rsid w:val="7A1D1975"/>
    <w:rsid w:val="7A3E5150"/>
    <w:rsid w:val="7A4670D6"/>
    <w:rsid w:val="7A534B63"/>
    <w:rsid w:val="7A615382"/>
    <w:rsid w:val="7A67303B"/>
    <w:rsid w:val="7A9913AF"/>
    <w:rsid w:val="7AAB1D04"/>
    <w:rsid w:val="7ABA4368"/>
    <w:rsid w:val="7AD05746"/>
    <w:rsid w:val="7B257FFD"/>
    <w:rsid w:val="7B343476"/>
    <w:rsid w:val="7B5A2978"/>
    <w:rsid w:val="7B5A7E4C"/>
    <w:rsid w:val="7B667AF9"/>
    <w:rsid w:val="7B7468F8"/>
    <w:rsid w:val="7BC04ED5"/>
    <w:rsid w:val="7BEE0103"/>
    <w:rsid w:val="7C0A0FE4"/>
    <w:rsid w:val="7C254906"/>
    <w:rsid w:val="7C3C72E0"/>
    <w:rsid w:val="7C590818"/>
    <w:rsid w:val="7C7C10F6"/>
    <w:rsid w:val="7C853BEA"/>
    <w:rsid w:val="7C881368"/>
    <w:rsid w:val="7CE266C9"/>
    <w:rsid w:val="7CE27788"/>
    <w:rsid w:val="7D0C32F1"/>
    <w:rsid w:val="7D0F408D"/>
    <w:rsid w:val="7D3134F6"/>
    <w:rsid w:val="7D491C6C"/>
    <w:rsid w:val="7D5429C0"/>
    <w:rsid w:val="7D6577CA"/>
    <w:rsid w:val="7D6E6D43"/>
    <w:rsid w:val="7DB57A34"/>
    <w:rsid w:val="7DE60973"/>
    <w:rsid w:val="7DEF0916"/>
    <w:rsid w:val="7DF51EF5"/>
    <w:rsid w:val="7E1E5218"/>
    <w:rsid w:val="7E2C068F"/>
    <w:rsid w:val="7E6C128B"/>
    <w:rsid w:val="7E9A4E1F"/>
    <w:rsid w:val="7EA7723A"/>
    <w:rsid w:val="7EF56FBB"/>
    <w:rsid w:val="7F0404B5"/>
    <w:rsid w:val="7F0768EB"/>
    <w:rsid w:val="7F143BEC"/>
    <w:rsid w:val="7F2B5E31"/>
    <w:rsid w:val="7F6A0049"/>
    <w:rsid w:val="7F715AF2"/>
    <w:rsid w:val="7F886E69"/>
    <w:rsid w:val="7FEF2A3D"/>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link w:val="85"/>
    <w:qFormat/>
    <w:uiPriority w:val="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autoSpaceDE w:val="0"/>
      <w:autoSpaceDN w:val="0"/>
      <w:spacing w:line="360" w:lineRule="auto"/>
    </w:pPr>
    <w:rPr>
      <w:rFonts w:ascii="宋体" w:hAnsi="Arial" w:cs="Arial"/>
      <w:snapToGrid w:val="0"/>
      <w:sz w:val="24"/>
      <w:szCs w:val="21"/>
      <w:lang w:val="zh-CN"/>
    </w:rPr>
  </w:style>
  <w:style w:type="paragraph" w:styleId="3">
    <w:name w:val="toc 4"/>
    <w:basedOn w:val="1"/>
    <w:next w:val="1"/>
    <w:qFormat/>
    <w:uiPriority w:val="0"/>
    <w:pPr>
      <w:ind w:left="1260" w:leftChars="600"/>
    </w:pPr>
  </w:style>
  <w:style w:type="paragraph" w:styleId="7">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9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1">
    <w:name w:val="Document Map"/>
    <w:basedOn w:val="1"/>
    <w:link w:val="93"/>
    <w:qFormat/>
    <w:uiPriority w:val="0"/>
    <w:pPr>
      <w:shd w:val="clear" w:color="auto" w:fill="000080"/>
    </w:pPr>
  </w:style>
  <w:style w:type="paragraph" w:styleId="22">
    <w:name w:val="annotation text"/>
    <w:basedOn w:val="1"/>
    <w:link w:val="94"/>
    <w:qFormat/>
    <w:uiPriority w:val="0"/>
    <w:pPr>
      <w:jc w:val="left"/>
    </w:pPr>
  </w:style>
  <w:style w:type="paragraph" w:styleId="23">
    <w:name w:val="Salutation"/>
    <w:basedOn w:val="1"/>
    <w:next w:val="1"/>
    <w:link w:val="95"/>
    <w:qFormat/>
    <w:uiPriority w:val="0"/>
    <w:rPr>
      <w:rFonts w:ascii="仿宋_GB2312" w:eastAsia="仿宋_GB2312"/>
      <w:sz w:val="28"/>
      <w:szCs w:val="20"/>
    </w:rPr>
  </w:style>
  <w:style w:type="paragraph" w:styleId="24">
    <w:name w:val="Body Text 3"/>
    <w:basedOn w:val="1"/>
    <w:link w:val="96"/>
    <w:qFormat/>
    <w:uiPriority w:val="99"/>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98"/>
    <w:qFormat/>
    <w:uiPriority w:val="99"/>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0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01"/>
    <w:qFormat/>
    <w:uiPriority w:val="0"/>
    <w:pPr>
      <w:ind w:left="100" w:leftChars="2500"/>
    </w:pPr>
    <w:rPr>
      <w:rFonts w:ascii="宋体"/>
      <w:sz w:val="24"/>
      <w:szCs w:val="21"/>
      <w:lang w:val="zh-CN"/>
    </w:rPr>
  </w:style>
  <w:style w:type="paragraph" w:styleId="38">
    <w:name w:val="Body Text Indent 2"/>
    <w:basedOn w:val="1"/>
    <w:link w:val="102"/>
    <w:qFormat/>
    <w:uiPriority w:val="0"/>
    <w:pPr>
      <w:spacing w:line="360" w:lineRule="auto"/>
      <w:ind w:firstLine="601"/>
      <w:textAlignment w:val="baseline"/>
    </w:pPr>
    <w:rPr>
      <w:rFonts w:ascii="宋体"/>
      <w:kern w:val="0"/>
      <w:sz w:val="28"/>
      <w:szCs w:val="20"/>
    </w:rPr>
  </w:style>
  <w:style w:type="paragraph" w:styleId="39">
    <w:name w:val="endnote text"/>
    <w:basedOn w:val="1"/>
    <w:link w:val="103"/>
    <w:qFormat/>
    <w:uiPriority w:val="0"/>
    <w:rPr>
      <w:lang w:val="zh-CN"/>
    </w:rPr>
  </w:style>
  <w:style w:type="paragraph" w:styleId="40">
    <w:name w:val="Balloon Text"/>
    <w:basedOn w:val="1"/>
    <w:link w:val="104"/>
    <w:qFormat/>
    <w:uiPriority w:val="0"/>
    <w:rPr>
      <w:sz w:val="18"/>
      <w:szCs w:val="18"/>
    </w:rPr>
  </w:style>
  <w:style w:type="paragraph" w:styleId="41">
    <w:name w:val="footer"/>
    <w:basedOn w:val="1"/>
    <w:link w:val="105"/>
    <w:qFormat/>
    <w:uiPriority w:val="0"/>
    <w:pPr>
      <w:tabs>
        <w:tab w:val="center" w:pos="4153"/>
        <w:tab w:val="right" w:pos="8306"/>
      </w:tabs>
      <w:snapToGrid w:val="0"/>
      <w:jc w:val="left"/>
    </w:pPr>
    <w:rPr>
      <w:sz w:val="18"/>
      <w:szCs w:val="18"/>
    </w:rPr>
  </w:style>
  <w:style w:type="paragraph" w:styleId="42">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1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10"/>
    <w:qFormat/>
    <w:uiPriority w:val="0"/>
    <w:pPr>
      <w:spacing w:line="360" w:lineRule="auto"/>
      <w:ind w:firstLine="420"/>
    </w:pPr>
    <w:rPr>
      <w:sz w:val="24"/>
      <w:szCs w:val="20"/>
    </w:rPr>
  </w:style>
  <w:style w:type="paragraph" w:styleId="54">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11"/>
    <w:qFormat/>
    <w:uiPriority w:val="0"/>
    <w:pPr>
      <w:spacing w:after="120" w:line="480" w:lineRule="auto"/>
    </w:pPr>
  </w:style>
  <w:style w:type="paragraph" w:styleId="58">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1015"/>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3"/>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14"/>
    <w:qFormat/>
    <w:uiPriority w:val="0"/>
    <w:rPr>
      <w:b/>
      <w:bCs/>
    </w:rPr>
  </w:style>
  <w:style w:type="paragraph" w:styleId="62">
    <w:name w:val="Body Text First Indent"/>
    <w:basedOn w:val="2"/>
    <w:next w:val="1"/>
    <w:link w:val="115"/>
    <w:qFormat/>
    <w:uiPriority w:val="99"/>
    <w:pPr>
      <w:ind w:firstLine="420"/>
    </w:pPr>
    <w:rPr>
      <w:rFonts w:hAnsi="Calibri" w:cs="Times New Roman"/>
      <w:snapToGrid/>
      <w:szCs w:val="20"/>
    </w:rPr>
  </w:style>
  <w:style w:type="paragraph" w:styleId="63">
    <w:name w:val="Body Text First Indent 2"/>
    <w:basedOn w:val="26"/>
    <w:link w:val="11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 31"/>
    <w:basedOn w:val="1"/>
    <w:qFormat/>
    <w:uiPriority w:val="0"/>
    <w:pPr>
      <w:spacing w:after="120"/>
    </w:pPr>
    <w:rPr>
      <w:sz w:val="16"/>
      <w:szCs w:val="16"/>
    </w:rPr>
  </w:style>
  <w:style w:type="paragraph" w:customStyle="1" w:styleId="82">
    <w:name w:val="首行缩进"/>
    <w:basedOn w:val="1"/>
    <w:next w:val="2"/>
    <w:qFormat/>
    <w:uiPriority w:val="0"/>
    <w:pPr>
      <w:spacing w:line="360" w:lineRule="auto"/>
      <w:ind w:firstLine="480" w:firstLineChars="200"/>
    </w:pPr>
    <w:rPr>
      <w:rFonts w:ascii="宋体"/>
      <w:sz w:val="24"/>
      <w:szCs w:val="20"/>
    </w:rPr>
  </w:style>
  <w:style w:type="character" w:customStyle="1" w:styleId="83">
    <w:name w:val="标题 1 字符2"/>
    <w:link w:val="4"/>
    <w:qFormat/>
    <w:uiPriority w:val="9"/>
    <w:rPr>
      <w:b/>
      <w:bCs/>
      <w:kern w:val="44"/>
      <w:sz w:val="44"/>
      <w:szCs w:val="44"/>
    </w:rPr>
  </w:style>
  <w:style w:type="character" w:customStyle="1" w:styleId="84">
    <w:name w:val="正文缩进 字符2"/>
    <w:link w:val="7"/>
    <w:qFormat/>
    <w:uiPriority w:val="0"/>
    <w:rPr>
      <w:rFonts w:ascii="宋体" w:eastAsia="宋体"/>
      <w:snapToGrid w:val="0"/>
      <w:color w:val="000000"/>
      <w:kern w:val="28"/>
      <w:sz w:val="28"/>
      <w:lang w:val="en-US" w:eastAsia="zh-CN" w:bidi="ar-SA"/>
    </w:rPr>
  </w:style>
  <w:style w:type="character" w:customStyle="1" w:styleId="85">
    <w:name w:val="标题 3 字符1"/>
    <w:basedOn w:val="71"/>
    <w:link w:val="6"/>
    <w:qFormat/>
    <w:uiPriority w:val="9"/>
    <w:rPr>
      <w:b/>
      <w:bCs/>
      <w:kern w:val="2"/>
      <w:sz w:val="32"/>
      <w:szCs w:val="32"/>
    </w:rPr>
  </w:style>
  <w:style w:type="character" w:customStyle="1" w:styleId="86">
    <w:name w:val="标题 4 字符1"/>
    <w:link w:val="8"/>
    <w:qFormat/>
    <w:uiPriority w:val="9"/>
    <w:rPr>
      <w:rFonts w:ascii="Arial" w:hAnsi="Arial" w:eastAsia="黑体"/>
      <w:b/>
      <w:bCs/>
      <w:kern w:val="2"/>
      <w:sz w:val="28"/>
      <w:szCs w:val="28"/>
      <w:lang w:val="zh-CN"/>
    </w:rPr>
  </w:style>
  <w:style w:type="character" w:customStyle="1" w:styleId="87">
    <w:name w:val="标题 5 字符1"/>
    <w:link w:val="9"/>
    <w:qFormat/>
    <w:uiPriority w:val="9"/>
    <w:rPr>
      <w:b/>
      <w:bCs/>
      <w:kern w:val="2"/>
      <w:sz w:val="28"/>
      <w:szCs w:val="28"/>
    </w:rPr>
  </w:style>
  <w:style w:type="character" w:customStyle="1" w:styleId="88">
    <w:name w:val="标题 6 字符1"/>
    <w:link w:val="10"/>
    <w:qFormat/>
    <w:uiPriority w:val="0"/>
    <w:rPr>
      <w:rFonts w:ascii="Arial" w:hAnsi="Arial" w:eastAsia="黑体"/>
      <w:b/>
      <w:bCs/>
      <w:kern w:val="2"/>
      <w:sz w:val="24"/>
      <w:szCs w:val="24"/>
    </w:rPr>
  </w:style>
  <w:style w:type="character" w:customStyle="1" w:styleId="89">
    <w:name w:val="标题 7 字符1"/>
    <w:link w:val="11"/>
    <w:qFormat/>
    <w:uiPriority w:val="0"/>
    <w:rPr>
      <w:b/>
      <w:bCs/>
      <w:kern w:val="2"/>
      <w:sz w:val="24"/>
      <w:szCs w:val="24"/>
    </w:rPr>
  </w:style>
  <w:style w:type="character" w:customStyle="1" w:styleId="90">
    <w:name w:val="标题 8 字符1"/>
    <w:link w:val="12"/>
    <w:qFormat/>
    <w:uiPriority w:val="0"/>
    <w:rPr>
      <w:rFonts w:ascii="Arial" w:hAnsi="Arial" w:eastAsia="黑体"/>
      <w:kern w:val="2"/>
      <w:sz w:val="24"/>
      <w:szCs w:val="24"/>
    </w:rPr>
  </w:style>
  <w:style w:type="character" w:customStyle="1" w:styleId="91">
    <w:name w:val="标题 9 字符1"/>
    <w:link w:val="13"/>
    <w:qFormat/>
    <w:uiPriority w:val="0"/>
    <w:rPr>
      <w:rFonts w:ascii="Arial" w:hAnsi="Arial" w:eastAsia="黑体"/>
      <w:kern w:val="2"/>
      <w:sz w:val="21"/>
      <w:szCs w:val="21"/>
    </w:rPr>
  </w:style>
  <w:style w:type="character" w:customStyle="1" w:styleId="92">
    <w:name w:val="题注 字符"/>
    <w:link w:val="18"/>
    <w:qFormat/>
    <w:uiPriority w:val="0"/>
    <w:rPr>
      <w:b/>
      <w:kern w:val="2"/>
      <w:sz w:val="28"/>
    </w:rPr>
  </w:style>
  <w:style w:type="character" w:customStyle="1" w:styleId="93">
    <w:name w:val="文档结构图 字符2"/>
    <w:link w:val="21"/>
    <w:qFormat/>
    <w:uiPriority w:val="0"/>
    <w:rPr>
      <w:kern w:val="2"/>
      <w:sz w:val="21"/>
      <w:szCs w:val="24"/>
      <w:shd w:val="clear" w:color="auto" w:fill="000080"/>
    </w:rPr>
  </w:style>
  <w:style w:type="character" w:customStyle="1" w:styleId="94">
    <w:name w:val="批注文字 字符1"/>
    <w:link w:val="22"/>
    <w:qFormat/>
    <w:uiPriority w:val="0"/>
    <w:rPr>
      <w:kern w:val="2"/>
      <w:sz w:val="21"/>
      <w:szCs w:val="24"/>
    </w:rPr>
  </w:style>
  <w:style w:type="character" w:customStyle="1" w:styleId="95">
    <w:name w:val="称呼 字符"/>
    <w:link w:val="23"/>
    <w:qFormat/>
    <w:uiPriority w:val="0"/>
    <w:rPr>
      <w:rFonts w:ascii="仿宋_GB2312" w:eastAsia="仿宋_GB2312"/>
      <w:kern w:val="2"/>
      <w:sz w:val="28"/>
    </w:rPr>
  </w:style>
  <w:style w:type="character" w:customStyle="1" w:styleId="96">
    <w:name w:val="正文文本 3 字符"/>
    <w:link w:val="24"/>
    <w:qFormat/>
    <w:uiPriority w:val="99"/>
    <w:rPr>
      <w:kern w:val="2"/>
      <w:sz w:val="21"/>
    </w:rPr>
  </w:style>
  <w:style w:type="character" w:customStyle="1" w:styleId="9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8">
    <w:name w:val="正文文本缩进 字符2"/>
    <w:link w:val="26"/>
    <w:qFormat/>
    <w:uiPriority w:val="0"/>
    <w:rPr>
      <w:rFonts w:ascii="宋体" w:hAnsi="宋体"/>
      <w:kern w:val="2"/>
      <w:sz w:val="24"/>
      <w:szCs w:val="24"/>
    </w:rPr>
  </w:style>
  <w:style w:type="character" w:customStyle="1" w:styleId="99">
    <w:name w:val="HTML 地址 字符"/>
    <w:link w:val="31"/>
    <w:qFormat/>
    <w:uiPriority w:val="0"/>
    <w:rPr>
      <w:rFonts w:ascii="宋体" w:hAnsi="宋体"/>
      <w:i/>
      <w:iCs/>
      <w:sz w:val="24"/>
      <w:szCs w:val="24"/>
    </w:rPr>
  </w:style>
  <w:style w:type="character" w:customStyle="1" w:styleId="100">
    <w:name w:val="纯文本 字符2"/>
    <w:link w:val="34"/>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37"/>
    <w:qFormat/>
    <w:uiPriority w:val="0"/>
    <w:rPr>
      <w:rFonts w:ascii="宋体"/>
      <w:kern w:val="2"/>
      <w:sz w:val="24"/>
      <w:szCs w:val="21"/>
      <w:lang w:val="zh-CN"/>
    </w:rPr>
  </w:style>
  <w:style w:type="character" w:customStyle="1" w:styleId="102">
    <w:name w:val="正文文本缩进 2 字符1"/>
    <w:link w:val="38"/>
    <w:qFormat/>
    <w:uiPriority w:val="0"/>
    <w:rPr>
      <w:rFonts w:ascii="宋体"/>
      <w:sz w:val="28"/>
    </w:rPr>
  </w:style>
  <w:style w:type="character" w:customStyle="1" w:styleId="103">
    <w:name w:val="尾注文本 字符"/>
    <w:link w:val="39"/>
    <w:qFormat/>
    <w:uiPriority w:val="0"/>
    <w:rPr>
      <w:kern w:val="2"/>
      <w:sz w:val="21"/>
      <w:szCs w:val="24"/>
      <w:lang w:val="zh-CN"/>
    </w:rPr>
  </w:style>
  <w:style w:type="character" w:customStyle="1" w:styleId="104">
    <w:name w:val="批注框文本 字符1"/>
    <w:link w:val="40"/>
    <w:qFormat/>
    <w:uiPriority w:val="0"/>
    <w:rPr>
      <w:kern w:val="2"/>
      <w:sz w:val="18"/>
      <w:szCs w:val="18"/>
    </w:rPr>
  </w:style>
  <w:style w:type="character" w:customStyle="1" w:styleId="105">
    <w:name w:val="页脚 字符2"/>
    <w:link w:val="41"/>
    <w:qFormat/>
    <w:locked/>
    <w:uiPriority w:val="99"/>
    <w:rPr>
      <w:kern w:val="2"/>
      <w:sz w:val="18"/>
      <w:szCs w:val="18"/>
    </w:rPr>
  </w:style>
  <w:style w:type="character" w:customStyle="1" w:styleId="106">
    <w:name w:val="页眉 字符2"/>
    <w:link w:val="42"/>
    <w:qFormat/>
    <w:uiPriority w:val="99"/>
    <w:rPr>
      <w:kern w:val="2"/>
      <w:sz w:val="18"/>
      <w:szCs w:val="18"/>
    </w:rPr>
  </w:style>
  <w:style w:type="character" w:customStyle="1" w:styleId="107">
    <w:name w:val="签名 字符"/>
    <w:link w:val="43"/>
    <w:qFormat/>
    <w:uiPriority w:val="0"/>
    <w:rPr>
      <w:rFonts w:eastAsia="仿宋_GB2312"/>
      <w:sz w:val="24"/>
    </w:rPr>
  </w:style>
  <w:style w:type="character" w:customStyle="1" w:styleId="108">
    <w:name w:val="副标题 字符"/>
    <w:link w:val="47"/>
    <w:qFormat/>
    <w:uiPriority w:val="0"/>
    <w:rPr>
      <w:rFonts w:ascii="Arial" w:hAnsi="Arial" w:eastAsia="隶书"/>
      <w:b/>
      <w:bCs/>
      <w:kern w:val="28"/>
      <w:sz w:val="44"/>
      <w:szCs w:val="32"/>
      <w:lang w:val="en-US" w:eastAsia="zh-CN" w:bidi="ar-SA"/>
    </w:rPr>
  </w:style>
  <w:style w:type="character" w:customStyle="1" w:styleId="109">
    <w:name w:val="脚注文本 字符"/>
    <w:link w:val="50"/>
    <w:qFormat/>
    <w:uiPriority w:val="0"/>
    <w:rPr>
      <w:color w:val="0000FF"/>
      <w:sz w:val="21"/>
    </w:rPr>
  </w:style>
  <w:style w:type="character" w:customStyle="1" w:styleId="110">
    <w:name w:val="正文文本缩进 3 字符"/>
    <w:link w:val="53"/>
    <w:qFormat/>
    <w:uiPriority w:val="0"/>
    <w:rPr>
      <w:kern w:val="2"/>
      <w:sz w:val="24"/>
    </w:rPr>
  </w:style>
  <w:style w:type="character" w:customStyle="1" w:styleId="111">
    <w:name w:val="正文文本 2 字符1"/>
    <w:link w:val="57"/>
    <w:qFormat/>
    <w:uiPriority w:val="0"/>
    <w:rPr>
      <w:kern w:val="2"/>
      <w:sz w:val="21"/>
      <w:szCs w:val="24"/>
    </w:rPr>
  </w:style>
  <w:style w:type="character" w:customStyle="1" w:styleId="112">
    <w:name w:val="HTML 预设格式 字符"/>
    <w:link w:val="58"/>
    <w:qFormat/>
    <w:uiPriority w:val="0"/>
    <w:rPr>
      <w:rFonts w:ascii="黑体" w:hAnsi="Courier New" w:eastAsia="黑体"/>
    </w:rPr>
  </w:style>
  <w:style w:type="character" w:customStyle="1" w:styleId="113">
    <w:name w:val="标题 字符1"/>
    <w:link w:val="60"/>
    <w:qFormat/>
    <w:uiPriority w:val="0"/>
    <w:rPr>
      <w:b/>
      <w:sz w:val="24"/>
      <w:lang w:val="en-GB"/>
    </w:rPr>
  </w:style>
  <w:style w:type="character" w:customStyle="1" w:styleId="114">
    <w:name w:val="批注主题 字符1"/>
    <w:link w:val="61"/>
    <w:qFormat/>
    <w:uiPriority w:val="0"/>
    <w:rPr>
      <w:b/>
      <w:bCs/>
      <w:kern w:val="2"/>
      <w:sz w:val="21"/>
      <w:szCs w:val="24"/>
    </w:rPr>
  </w:style>
  <w:style w:type="character" w:customStyle="1" w:styleId="115">
    <w:name w:val="正文首行缩进 字符"/>
    <w:link w:val="62"/>
    <w:qFormat/>
    <w:uiPriority w:val="99"/>
    <w:rPr>
      <w:rFonts w:ascii="宋体"/>
      <w:kern w:val="2"/>
      <w:sz w:val="24"/>
      <w:lang w:val="zh-CN"/>
    </w:rPr>
  </w:style>
  <w:style w:type="character" w:customStyle="1" w:styleId="116">
    <w:name w:val="正文首行缩进 2 字符"/>
    <w:link w:val="63"/>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basedOn w:val="71"/>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1"/>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basedOn w:val="7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5"/>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99"/>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1"/>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9"/>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99"/>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1"/>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8"/>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link w:val="285"/>
    <w:qFormat/>
    <w:uiPriority w:val="34"/>
  </w:style>
  <w:style w:type="paragraph" w:customStyle="1" w:styleId="285">
    <w:name w:val="_Style 280"/>
    <w:basedOn w:val="1"/>
    <w:next w:val="281"/>
    <w:link w:val="284"/>
    <w:qFormat/>
    <w:uiPriority w:val="34"/>
    <w:pPr>
      <w:adjustRightInd/>
      <w:ind w:firstLine="420" w:firstLineChars="200"/>
    </w:pPr>
    <w:rPr>
      <w:rFonts w:ascii="Calibri" w:hAnsi="Calibri"/>
      <w:szCs w:val="22"/>
    </w:rPr>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basedOn w:val="71"/>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basedOn w:val="7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8"/>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1"/>
    <w:link w:val="334"/>
    <w:qFormat/>
    <w:uiPriority w:val="0"/>
    <w:pPr>
      <w:adjustRightInd/>
    </w:pPr>
    <w:rPr>
      <w:rFonts w:ascii="宋体" w:hAnsi="Courier New"/>
      <w:kern w:val="0"/>
      <w:sz w:val="20"/>
      <w:szCs w:val="20"/>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basedOn w:val="7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1"/>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7"/>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521"/>
    <w:next w:val="2"/>
    <w:qFormat/>
    <w:uiPriority w:val="0"/>
    <w:pPr>
      <w:adjustRightInd/>
      <w:ind w:firstLine="200" w:firstLineChars="200"/>
    </w:pPr>
    <w:rPr>
      <w:rFonts w:ascii="Arial" w:hAnsi="Arial"/>
      <w:spacing w:val="-5"/>
      <w:kern w:val="0"/>
      <w:sz w:val="24"/>
      <w:szCs w:val="20"/>
    </w:rPr>
  </w:style>
  <w:style w:type="paragraph" w:customStyle="1" w:styleId="521">
    <w:name w:val="表格文字（两侧对齐）"/>
    <w:basedOn w:val="1"/>
    <w:qFormat/>
    <w:uiPriority w:val="0"/>
    <w:pPr>
      <w:snapToGrid w:val="0"/>
    </w:pPr>
    <w:rPr>
      <w:sz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8"/>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link w:val="581"/>
    <w:qFormat/>
    <w:uiPriority w:val="0"/>
    <w:pPr>
      <w:adjustRightInd/>
      <w:ind w:firstLine="560"/>
    </w:pPr>
    <w:rPr>
      <w:rFonts w:ascii="仿宋_GB2312" w:hAnsi="仿宋" w:eastAsia="仿宋_GB2312"/>
      <w:kern w:val="0"/>
      <w:sz w:val="28"/>
      <w:szCs w:val="28"/>
    </w:rPr>
  </w:style>
  <w:style w:type="character" w:customStyle="1" w:styleId="581">
    <w:name w:val="_正文段落 Char"/>
    <w:link w:val="580"/>
    <w:qFormat/>
    <w:uiPriority w:val="0"/>
    <w:rPr>
      <w:rFonts w:ascii="仿宋_GB2312" w:hAnsi="仿宋" w:eastAsia="仿宋_GB2312"/>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link w:val="611"/>
    <w:qFormat/>
    <w:uiPriority w:val="0"/>
    <w:pPr>
      <w:spacing w:line="480" w:lineRule="atLeast"/>
      <w:ind w:firstLine="567"/>
      <w:textAlignment w:val="baseline"/>
    </w:pPr>
    <w:rPr>
      <w:kern w:val="0"/>
      <w:sz w:val="24"/>
      <w:szCs w:val="20"/>
    </w:rPr>
  </w:style>
  <w:style w:type="character" w:customStyle="1" w:styleId="611">
    <w:name w:val="文档正文 Char"/>
    <w:link w:val="610"/>
    <w:qFormat/>
    <w:uiPriority w:val="0"/>
    <w:rPr>
      <w:sz w:val="24"/>
    </w:rPr>
  </w:style>
  <w:style w:type="paragraph" w:customStyle="1" w:styleId="612">
    <w:name w:val="正文文字表格居中"/>
    <w:basedOn w:val="1"/>
    <w:next w:val="57"/>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3">
    <w:name w:val="MM Topic 1"/>
    <w:basedOn w:val="4"/>
    <w:qFormat/>
    <w:uiPriority w:val="0"/>
    <w:pPr>
      <w:tabs>
        <w:tab w:val="left" w:pos="840"/>
      </w:tabs>
      <w:adjustRightInd/>
      <w:ind w:left="840" w:hanging="420"/>
    </w:pPr>
  </w:style>
  <w:style w:type="paragraph" w:customStyle="1" w:styleId="63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1"/>
    <w:link w:val="636"/>
    <w:qFormat/>
    <w:uiPriority w:val="0"/>
    <w:rPr>
      <w:rFonts w:ascii="宋体" w:hAnsi="宋体"/>
    </w:rPr>
  </w:style>
  <w:style w:type="paragraph" w:customStyle="1" w:styleId="63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8"/>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38"/>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6"/>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1">
    <w:name w:val="单元格左对齐"/>
    <w:basedOn w:val="1"/>
    <w:qFormat/>
    <w:uiPriority w:val="0"/>
    <w:pPr>
      <w:adjustRightInd/>
      <w:spacing w:line="360" w:lineRule="auto"/>
    </w:pPr>
    <w:rPr>
      <w:sz w:val="24"/>
    </w:rPr>
  </w:style>
  <w:style w:type="paragraph" w:customStyle="1" w:styleId="812">
    <w:name w:val="正文主体"/>
    <w:basedOn w:val="632"/>
    <w:qFormat/>
    <w:uiPriority w:val="0"/>
  </w:style>
  <w:style w:type="paragraph" w:customStyle="1" w:styleId="8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0"/>
    <w:pPr>
      <w:adjustRightInd/>
      <w:spacing w:line="360" w:lineRule="auto"/>
      <w:ind w:firstLine="480" w:firstLineChars="200"/>
    </w:pPr>
    <w:rPr>
      <w:sz w:val="24"/>
      <w:szCs w:val="20"/>
    </w:rPr>
  </w:style>
  <w:style w:type="paragraph" w:customStyle="1" w:styleId="817">
    <w:name w:val="P1"/>
    <w:basedOn w:val="1"/>
    <w:qFormat/>
    <w:uiPriority w:val="0"/>
    <w:pPr>
      <w:adjustRightInd/>
      <w:spacing w:line="288" w:lineRule="auto"/>
      <w:ind w:firstLine="425" w:firstLineChars="200"/>
    </w:pPr>
  </w:style>
  <w:style w:type="paragraph" w:customStyle="1" w:styleId="818">
    <w:name w:val="列表内容"/>
    <w:basedOn w:val="1"/>
    <w:next w:val="1"/>
    <w:qFormat/>
    <w:uiPriority w:val="0"/>
    <w:pPr>
      <w:widowControl/>
      <w:tabs>
        <w:tab w:val="left" w:pos="840"/>
      </w:tabs>
      <w:ind w:left="840" w:hanging="420"/>
      <w:jc w:val="left"/>
    </w:pPr>
    <w:rPr>
      <w:kern w:val="0"/>
      <w:sz w:val="18"/>
    </w:rPr>
  </w:style>
  <w:style w:type="paragraph" w:customStyle="1" w:styleId="819">
    <w:name w:val="Char Char11 Char Char Char1"/>
    <w:basedOn w:val="1"/>
    <w:qFormat/>
    <w:uiPriority w:val="6"/>
    <w:pPr>
      <w:spacing w:line="360" w:lineRule="auto"/>
    </w:pPr>
    <w:rPr>
      <w:szCs w:val="20"/>
    </w:rPr>
  </w:style>
  <w:style w:type="paragraph" w:customStyle="1" w:styleId="8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0"/>
    <w:pPr>
      <w:spacing w:line="360" w:lineRule="auto"/>
    </w:pPr>
    <w:rPr>
      <w:szCs w:val="20"/>
    </w:rPr>
  </w:style>
  <w:style w:type="paragraph" w:customStyle="1" w:styleId="82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1">
    <w:name w:val="正文 首行缩进:  2 字符 Char"/>
    <w:basedOn w:val="1"/>
    <w:qFormat/>
    <w:uiPriority w:val="0"/>
    <w:pPr>
      <w:adjustRightInd/>
      <w:spacing w:line="360" w:lineRule="auto"/>
      <w:ind w:firstLine="480"/>
    </w:pPr>
    <w:rPr>
      <w:rFonts w:cs="宋体"/>
      <w:sz w:val="24"/>
      <w:szCs w:val="20"/>
    </w:rPr>
  </w:style>
  <w:style w:type="paragraph" w:customStyle="1" w:styleId="832">
    <w:name w:val="Char Char4 Char Char"/>
    <w:basedOn w:val="1"/>
    <w:qFormat/>
    <w:uiPriority w:val="0"/>
    <w:pPr>
      <w:widowControl/>
      <w:adjustRightInd/>
      <w:spacing w:after="160" w:line="240" w:lineRule="exact"/>
      <w:jc w:val="left"/>
    </w:pPr>
  </w:style>
  <w:style w:type="paragraph" w:customStyle="1" w:styleId="8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0"/>
    <w:pPr>
      <w:spacing w:line="360" w:lineRule="auto"/>
    </w:pPr>
    <w:rPr>
      <w:szCs w:val="20"/>
    </w:rPr>
  </w:style>
  <w:style w:type="paragraph" w:customStyle="1" w:styleId="8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21"/>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1"/>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8"/>
    <w:qFormat/>
    <w:uiPriority w:val="0"/>
    <w:rPr>
      <w:b w:val="0"/>
      <w:sz w:val="20"/>
    </w:rPr>
  </w:style>
  <w:style w:type="paragraph" w:customStyle="1" w:styleId="90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9"/>
    <w:next w:val="1"/>
    <w:qFormat/>
    <w:uiPriority w:val="0"/>
    <w:pPr>
      <w:tabs>
        <w:tab w:val="left" w:pos="1080"/>
      </w:tabs>
      <w:ind w:left="1080" w:hanging="1080"/>
    </w:pPr>
  </w:style>
  <w:style w:type="paragraph" w:customStyle="1" w:styleId="906">
    <w:name w:val="数字标题1"/>
    <w:basedOn w:val="4"/>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7"/>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8"/>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1"/>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1"/>
    <w:qFormat/>
    <w:uiPriority w:val="0"/>
    <w:rPr>
      <w:color w:val="000000"/>
      <w:shd w:val="clear" w:color="auto" w:fill="EFD200"/>
    </w:rPr>
  </w:style>
  <w:style w:type="character" w:customStyle="1" w:styleId="969">
    <w:name w:val="font71"/>
    <w:basedOn w:val="71"/>
    <w:qFormat/>
    <w:uiPriority w:val="0"/>
    <w:rPr>
      <w:rFonts w:hint="eastAsia" w:ascii="宋体" w:hAnsi="宋体" w:eastAsia="宋体" w:cs="宋体"/>
      <w:color w:val="000000"/>
      <w:sz w:val="22"/>
      <w:szCs w:val="22"/>
      <w:u w:val="none"/>
    </w:rPr>
  </w:style>
  <w:style w:type="character" w:customStyle="1" w:styleId="970">
    <w:name w:val="font91"/>
    <w:basedOn w:val="71"/>
    <w:qFormat/>
    <w:uiPriority w:val="0"/>
    <w:rPr>
      <w:rFonts w:hint="eastAsia" w:ascii="仿宋" w:hAnsi="仿宋" w:eastAsia="仿宋" w:cs="仿宋"/>
      <w:color w:val="000000"/>
      <w:sz w:val="22"/>
      <w:szCs w:val="22"/>
      <w:u w:val="none"/>
    </w:rPr>
  </w:style>
  <w:style w:type="character" w:customStyle="1" w:styleId="971">
    <w:name w:val="未处理的提及2"/>
    <w:basedOn w:val="71"/>
    <w:semiHidden/>
    <w:unhideWhenUsed/>
    <w:qFormat/>
    <w:uiPriority w:val="99"/>
    <w:rPr>
      <w:color w:val="605E5C"/>
      <w:shd w:val="clear" w:color="auto" w:fill="E1DFDD"/>
    </w:rPr>
  </w:style>
  <w:style w:type="character" w:customStyle="1" w:styleId="972">
    <w:name w:val="纯文本 字符1"/>
    <w:qFormat/>
    <w:locked/>
    <w:uiPriority w:val="0"/>
    <w:rPr>
      <w:rFonts w:eastAsia="宋体"/>
      <w:kern w:val="2"/>
      <w:sz w:val="24"/>
      <w:lang w:val="en-US" w:eastAsia="zh-CN" w:bidi="ar-SA"/>
    </w:rPr>
  </w:style>
  <w:style w:type="paragraph" w:customStyle="1" w:styleId="973">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4">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5">
    <w:name w:val="Body Text First Indent 21"/>
    <w:basedOn w:val="976"/>
    <w:qFormat/>
    <w:uiPriority w:val="0"/>
    <w:pPr>
      <w:ind w:firstLine="420"/>
    </w:pPr>
    <w:rPr>
      <w:rFonts w:cs="宋体"/>
    </w:rPr>
  </w:style>
  <w:style w:type="paragraph" w:customStyle="1" w:styleId="976">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7">
    <w:name w:val="标题 5 字符"/>
    <w:qFormat/>
    <w:uiPriority w:val="9"/>
    <w:rPr>
      <w:rFonts w:ascii="Wingdings" w:hAnsi="Wingdings" w:eastAsia="Wingdings"/>
      <w:b/>
      <w:bCs/>
      <w:kern w:val="2"/>
      <w:sz w:val="28"/>
      <w:szCs w:val="28"/>
    </w:rPr>
  </w:style>
  <w:style w:type="character" w:customStyle="1" w:styleId="978">
    <w:name w:val="标题 6 字符"/>
    <w:qFormat/>
    <w:uiPriority w:val="0"/>
    <w:rPr>
      <w:rFonts w:ascii="Helvetica" w:hAnsi="Helvetica" w:eastAsia="Helvetica"/>
      <w:b/>
      <w:bCs/>
      <w:kern w:val="2"/>
      <w:sz w:val="24"/>
      <w:szCs w:val="24"/>
    </w:rPr>
  </w:style>
  <w:style w:type="character" w:customStyle="1" w:styleId="979">
    <w:name w:val="标题 7 字符"/>
    <w:qFormat/>
    <w:uiPriority w:val="9"/>
    <w:rPr>
      <w:rFonts w:ascii="Wingdings" w:hAnsi="Wingdings" w:eastAsia="Wingdings"/>
      <w:b/>
      <w:bCs/>
      <w:kern w:val="2"/>
      <w:sz w:val="24"/>
      <w:szCs w:val="24"/>
    </w:rPr>
  </w:style>
  <w:style w:type="character" w:customStyle="1" w:styleId="980">
    <w:name w:val="标题 8 字符"/>
    <w:qFormat/>
    <w:uiPriority w:val="9"/>
    <w:rPr>
      <w:rFonts w:ascii="Helvetica" w:hAnsi="Helvetica" w:eastAsia="Helvetica"/>
      <w:kern w:val="2"/>
      <w:sz w:val="24"/>
      <w:szCs w:val="24"/>
    </w:rPr>
  </w:style>
  <w:style w:type="character" w:customStyle="1" w:styleId="981">
    <w:name w:val="标题 9 字符"/>
    <w:qFormat/>
    <w:uiPriority w:val="9"/>
    <w:rPr>
      <w:rFonts w:ascii="Helvetica" w:hAnsi="Helvetica" w:eastAsia="Helvetica"/>
      <w:kern w:val="2"/>
      <w:sz w:val="21"/>
      <w:szCs w:val="21"/>
    </w:rPr>
  </w:style>
  <w:style w:type="character" w:customStyle="1" w:styleId="982">
    <w:name w:val="文档结构图 字符"/>
    <w:qFormat/>
    <w:uiPriority w:val="99"/>
    <w:rPr>
      <w:rFonts w:ascii="Wingdings" w:hAnsi="仿宋_GB2312"/>
      <w:kern w:val="2"/>
      <w:sz w:val="18"/>
      <w:szCs w:val="18"/>
    </w:rPr>
  </w:style>
  <w:style w:type="paragraph" w:customStyle="1" w:styleId="983">
    <w:name w:val="_Style 979"/>
    <w:basedOn w:val="1"/>
    <w:next w:val="281"/>
    <w:qFormat/>
    <w:uiPriority w:val="0"/>
    <w:pPr>
      <w:adjustRightInd/>
      <w:ind w:firstLine="420" w:firstLineChars="200"/>
    </w:pPr>
    <w:rPr>
      <w:rFonts w:ascii="仿宋_GB2312" w:hAnsi="仿宋_GB2312" w:eastAsia="等线"/>
    </w:rPr>
  </w:style>
  <w:style w:type="character" w:customStyle="1" w:styleId="984">
    <w:name w:val="正文文本缩进 2 字符"/>
    <w:qFormat/>
    <w:uiPriority w:val="0"/>
    <w:rPr>
      <w:kern w:val="2"/>
      <w:sz w:val="21"/>
      <w:szCs w:val="22"/>
    </w:rPr>
  </w:style>
  <w:style w:type="character" w:customStyle="1" w:styleId="985">
    <w:name w:val="标题 字符"/>
    <w:qFormat/>
    <w:uiPriority w:val="10"/>
    <w:rPr>
      <w:rFonts w:ascii="Helvetica" w:hAnsi="Helvetica" w:eastAsia="Helvetica"/>
      <w:b/>
      <w:bCs/>
      <w:kern w:val="2"/>
      <w:sz w:val="32"/>
      <w:szCs w:val="32"/>
    </w:rPr>
  </w:style>
  <w:style w:type="character" w:customStyle="1" w:styleId="986">
    <w:name w:val="批注主题 字符"/>
    <w:qFormat/>
    <w:uiPriority w:val="99"/>
    <w:rPr>
      <w:b/>
      <w:bCs/>
      <w:kern w:val="2"/>
      <w:sz w:val="21"/>
      <w:szCs w:val="22"/>
    </w:rPr>
  </w:style>
  <w:style w:type="paragraph" w:customStyle="1" w:styleId="987">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8">
    <w:name w:val="列表段落2"/>
    <w:basedOn w:val="1"/>
    <w:link w:val="989"/>
    <w:qFormat/>
    <w:uiPriority w:val="0"/>
    <w:pPr>
      <w:adjustRightInd/>
      <w:ind w:firstLine="420" w:firstLineChars="200"/>
    </w:pPr>
    <w:rPr>
      <w:rFonts w:ascii="Times New Roman (正文 CS 字体)" w:hAnsi="Times New Roman (正文 CS 字体)" w:eastAsia="等线"/>
      <w:szCs w:val="22"/>
    </w:rPr>
  </w:style>
  <w:style w:type="character" w:customStyle="1" w:styleId="989">
    <w:name w:val="List Paragraph Char"/>
    <w:link w:val="988"/>
    <w:qFormat/>
    <w:uiPriority w:val="0"/>
    <w:rPr>
      <w:rFonts w:ascii="Times New Roman (正文 CS 字体)" w:hAnsi="Times New Roman (正文 CS 字体)" w:eastAsia="等线"/>
      <w:kern w:val="2"/>
      <w:sz w:val="21"/>
      <w:szCs w:val="22"/>
    </w:rPr>
  </w:style>
  <w:style w:type="paragraph" w:customStyle="1" w:styleId="990">
    <w:name w:val="正文文本首行缩进 21"/>
    <w:basedOn w:val="991"/>
    <w:qFormat/>
    <w:uiPriority w:val="0"/>
    <w:pPr>
      <w:ind w:firstLine="420"/>
    </w:pPr>
    <w:rPr>
      <w:rFonts w:eastAsia="Wingdings" w:cs="Wingdings"/>
    </w:rPr>
  </w:style>
  <w:style w:type="paragraph" w:customStyle="1" w:styleId="991">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2">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3">
    <w:name w:val="标题 1 字符1"/>
    <w:qFormat/>
    <w:uiPriority w:val="9"/>
    <w:rPr>
      <w:rFonts w:eastAsia="Times New Roman (正文 CS 字体)"/>
      <w:b/>
      <w:bCs/>
      <w:kern w:val="44"/>
      <w:sz w:val="44"/>
      <w:szCs w:val="44"/>
    </w:rPr>
  </w:style>
  <w:style w:type="character" w:customStyle="1" w:styleId="994">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5">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6">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7">
    <w:name w:val="样式 正文缩进 + 首行缩进:  2 字符 Char"/>
    <w:qFormat/>
    <w:uiPriority w:val="0"/>
    <w:rPr>
      <w:sz w:val="24"/>
    </w:rPr>
  </w:style>
  <w:style w:type="paragraph" w:customStyle="1" w:styleId="998">
    <w:name w:val="GHC 正文"/>
    <w:basedOn w:val="1"/>
    <w:link w:val="999"/>
    <w:qFormat/>
    <w:uiPriority w:val="0"/>
    <w:pPr>
      <w:adjustRightInd/>
      <w:spacing w:line="360" w:lineRule="auto"/>
      <w:ind w:firstLine="420" w:firstLineChars="200"/>
    </w:pPr>
    <w:rPr>
      <w:rFonts w:ascii="Wingdings" w:hAnsi="Wingdings" w:eastAsia="等线"/>
      <w:sz w:val="24"/>
      <w:lang w:val="en-AU"/>
    </w:rPr>
  </w:style>
  <w:style w:type="character" w:customStyle="1" w:styleId="999">
    <w:name w:val="GHC 正文 Char"/>
    <w:link w:val="998"/>
    <w:qFormat/>
    <w:uiPriority w:val="0"/>
    <w:rPr>
      <w:rFonts w:ascii="Wingdings" w:hAnsi="Wingdings" w:eastAsia="等线"/>
      <w:kern w:val="2"/>
      <w:sz w:val="24"/>
      <w:szCs w:val="24"/>
      <w:lang w:val="en-AU"/>
    </w:rPr>
  </w:style>
  <w:style w:type="paragraph" w:customStyle="1" w:styleId="1000">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1">
    <w:name w:val="0段落文字"/>
    <w:basedOn w:val="1000"/>
    <w:qFormat/>
    <w:uiPriority w:val="0"/>
  </w:style>
  <w:style w:type="paragraph" w:customStyle="1" w:styleId="1002">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3">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4">
    <w:name w:val="letter list Char"/>
    <w:qFormat/>
    <w:uiPriority w:val="0"/>
    <w:rPr>
      <w:b/>
      <w:bCs/>
      <w:sz w:val="24"/>
      <w:szCs w:val="24"/>
    </w:rPr>
  </w:style>
  <w:style w:type="character" w:customStyle="1" w:styleId="1005">
    <w:name w:val="Legal Level 1.1.1. Char"/>
    <w:qFormat/>
    <w:uiPriority w:val="0"/>
    <w:rPr>
      <w:rFonts w:ascii="Helvetica" w:hAnsi="Helvetica" w:eastAsia="Wingdings" w:cs="Times New Roman (正文 CS 字体)"/>
      <w:sz w:val="24"/>
      <w:szCs w:val="24"/>
    </w:rPr>
  </w:style>
  <w:style w:type="character" w:customStyle="1" w:styleId="1006">
    <w:name w:val="三级标题 Char"/>
    <w:qFormat/>
    <w:uiPriority w:val="0"/>
    <w:rPr>
      <w:rFonts w:ascii="Helvetica" w:hAnsi="Helvetica" w:eastAsia="Wingdings" w:cs="Times New Roman (正文 CS 字体)"/>
      <w:szCs w:val="21"/>
    </w:rPr>
  </w:style>
  <w:style w:type="character" w:customStyle="1" w:styleId="1007">
    <w:name w:val="正文文本缩进 字符1"/>
    <w:qFormat/>
    <w:uiPriority w:val="0"/>
    <w:rPr>
      <w:kern w:val="2"/>
      <w:sz w:val="21"/>
      <w:szCs w:val="22"/>
    </w:rPr>
  </w:style>
  <w:style w:type="character" w:customStyle="1" w:styleId="1008">
    <w:name w:val="列出段落 字符1"/>
    <w:qFormat/>
    <w:uiPriority w:val="0"/>
    <w:rPr>
      <w:rFonts w:ascii="Times New Roman (正文 CS 字体)" w:hAnsi="Times New Roman (正文 CS 字体)" w:eastAsia="Wingdings" w:cs="Times New Roman (正文 CS 字体)"/>
      <w:szCs w:val="24"/>
    </w:rPr>
  </w:style>
  <w:style w:type="paragraph" w:customStyle="1" w:styleId="1009">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0">
    <w:name w:val="TOC 标题2"/>
    <w:basedOn w:val="4"/>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1">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2">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3">
    <w:name w:val="TOC 标题3"/>
    <w:basedOn w:val="4"/>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4">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5">
    <w:name w:val="普通(网站) 字符"/>
    <w:link w:val="59"/>
    <w:qFormat/>
    <w:uiPriority w:val="0"/>
    <w:rPr>
      <w:rFonts w:ascii="宋体" w:hAnsi="宋体"/>
      <w:sz w:val="24"/>
      <w:szCs w:val="24"/>
    </w:rPr>
  </w:style>
  <w:style w:type="character" w:customStyle="1" w:styleId="1016">
    <w:name w:val="NormalCharacter"/>
    <w:qFormat/>
    <w:uiPriority w:val="0"/>
  </w:style>
  <w:style w:type="paragraph" w:customStyle="1" w:styleId="1017">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8">
    <w:name w:val="文本正文宋体缩进"/>
    <w:basedOn w:val="1"/>
    <w:next w:val="1"/>
    <w:qFormat/>
    <w:uiPriority w:val="0"/>
    <w:pPr>
      <w:adjustRightInd/>
      <w:spacing w:line="360" w:lineRule="auto"/>
      <w:ind w:firstLine="480" w:firstLineChars="200"/>
    </w:pPr>
    <w:rPr>
      <w:sz w:val="24"/>
      <w:szCs w:val="21"/>
    </w:rPr>
  </w:style>
  <w:style w:type="paragraph" w:customStyle="1" w:styleId="1019">
    <w:name w:val="msolistparagraph"/>
    <w:basedOn w:val="1"/>
    <w:qFormat/>
    <w:uiPriority w:val="0"/>
    <w:pPr>
      <w:ind w:firstLine="420" w:firstLineChars="200"/>
    </w:pPr>
  </w:style>
  <w:style w:type="character" w:customStyle="1" w:styleId="1020">
    <w:name w:val="font101"/>
    <w:basedOn w:val="71"/>
    <w:qFormat/>
    <w:uiPriority w:val="0"/>
    <w:rPr>
      <w:rFonts w:hint="eastAsia" w:ascii="宋体" w:hAnsi="宋体" w:eastAsia="宋体" w:cs="宋体"/>
      <w:b/>
      <w:bCs/>
      <w:color w:val="FF0000"/>
      <w:sz w:val="18"/>
      <w:szCs w:val="18"/>
      <w:u w:val="none"/>
    </w:rPr>
  </w:style>
  <w:style w:type="character" w:customStyle="1" w:styleId="1021">
    <w:name w:val="font112"/>
    <w:basedOn w:val="71"/>
    <w:qFormat/>
    <w:uiPriority w:val="0"/>
    <w:rPr>
      <w:rFonts w:hint="eastAsia" w:ascii="宋体" w:hAnsi="宋体" w:eastAsia="宋体" w:cs="宋体"/>
      <w:b/>
      <w:bCs/>
      <w:color w:val="FF0000"/>
      <w:sz w:val="20"/>
      <w:szCs w:val="20"/>
      <w:u w:val="none"/>
    </w:rPr>
  </w:style>
  <w:style w:type="character" w:customStyle="1" w:styleId="1022">
    <w:name w:val="font121"/>
    <w:basedOn w:val="71"/>
    <w:qFormat/>
    <w:uiPriority w:val="0"/>
    <w:rPr>
      <w:rFonts w:hint="eastAsia" w:ascii="宋体" w:hAnsi="宋体" w:eastAsia="宋体" w:cs="宋体"/>
      <w:b/>
      <w:bCs/>
      <w:color w:val="FF0000"/>
      <w:sz w:val="19"/>
      <w:szCs w:val="19"/>
      <w:u w:val="none"/>
    </w:rPr>
  </w:style>
  <w:style w:type="character" w:customStyle="1" w:styleId="1023">
    <w:name w:val="font131"/>
    <w:basedOn w:val="71"/>
    <w:qFormat/>
    <w:uiPriority w:val="0"/>
    <w:rPr>
      <w:rFonts w:hint="eastAsia" w:ascii="宋体" w:hAnsi="宋体" w:eastAsia="宋体" w:cs="宋体"/>
      <w:color w:val="000000"/>
      <w:sz w:val="32"/>
      <w:szCs w:val="32"/>
      <w:u w:val="none"/>
    </w:rPr>
  </w:style>
  <w:style w:type="paragraph" w:customStyle="1" w:styleId="1024">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87</Pages>
  <Words>21940</Words>
  <Characters>24805</Characters>
  <Lines>328</Lines>
  <Paragraphs>92</Paragraphs>
  <TotalTime>33</TotalTime>
  <ScaleCrop>false</ScaleCrop>
  <LinksUpToDate>false</LinksUpToDate>
  <CharactersWithSpaces>25373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晔</cp:lastModifiedBy>
  <cp:lastPrinted>2025-05-23T08:07:00Z</cp:lastPrinted>
  <dcterms:modified xsi:type="dcterms:W3CDTF">2025-05-29T02:50:32Z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7385E891E69C4E6D9F48D5EBAAE0A3B1_13</vt:lpwstr>
  </property>
  <property fmtid="{D5CDD505-2E9C-101B-9397-08002B2CF9AE}" pid="5" name="KSOTemplateDocerSaveRecord">
    <vt:lpwstr>eyJoZGlkIjoiMGI0MTdiNjYyOGNmNmE3OGViNGVhMThmNzM1MDViY2IiLCJ1c2VySWQiOiI1OTkxNDgxNTUifQ==</vt:lpwstr>
  </property>
</Properties>
</file>