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US"/>
        </w:rPr>
      </w:pPr>
    </w:p>
    <w:p>
      <w:pPr>
        <w:adjustRightInd/>
        <w:spacing w:line="360" w:lineRule="auto"/>
        <w:jc w:val="center"/>
        <w:rPr>
          <w:rFonts w:ascii="仿宋" w:hAnsi="仿宋" w:eastAsia="仿宋" w:cs="仿宋_GB2312"/>
          <w:sz w:val="48"/>
          <w:szCs w:val="48"/>
        </w:rPr>
      </w:pPr>
      <w:bookmarkStart w:id="0" w:name="第二部分"/>
      <w:bookmarkStart w:id="1" w:name="_Toc91899870"/>
      <w:bookmarkStart w:id="2" w:name="_Toc91899871"/>
      <w:r>
        <w:rPr>
          <w:rFonts w:ascii="仿宋" w:hAnsi="仿宋" w:eastAsia="仿宋" w:cs="仿宋_GB2312"/>
          <w:sz w:val="48"/>
          <w:szCs w:val="48"/>
        </w:rPr>
        <w:t>诸暨市人民医院部分检测项目检验服务外包采购</w:t>
      </w: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诸政采2023-02-0</w:t>
      </w:r>
      <w:r>
        <w:rPr>
          <w:rFonts w:ascii="仿宋" w:hAnsi="仿宋" w:eastAsia="仿宋" w:cs="仿宋_GB2312"/>
          <w:sz w:val="30"/>
          <w:szCs w:val="30"/>
        </w:rPr>
        <w:t>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诸暨市人民医院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微软雅黑" w:hAnsi="微软雅黑" w:eastAsia="微软雅黑" w:cs="微软雅黑"/>
          <w:bCs/>
          <w:sz w:val="32"/>
          <w:szCs w:val="32"/>
        </w:rPr>
        <w:t>〇</w:t>
      </w:r>
      <w:r>
        <w:rPr>
          <w:rFonts w:hint="eastAsia" w:ascii="仿宋_GB2312" w:hAnsi="仿宋_GB2312" w:eastAsia="仿宋_GB2312" w:cs="仿宋_GB2312"/>
          <w:bCs/>
          <w:sz w:val="32"/>
          <w:szCs w:val="32"/>
        </w:rPr>
        <w:t>二三年三月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3" w:name="_Hlt67893495"/>
      <w:bookmarkEnd w:id="3"/>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4" w:name="_Hlt91233176"/>
      <w:bookmarkEnd w:id="4"/>
      <w:bookmarkStart w:id="5"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6" w:name="第一部分"/>
      <w:r>
        <w:rPr>
          <w:rFonts w:ascii="仿宋" w:hAnsi="仿宋" w:eastAsia="仿宋" w:cs="仿宋_GB2312"/>
          <w:b/>
          <w:sz w:val="36"/>
          <w:szCs w:val="36"/>
        </w:rPr>
        <w:br w:type="page"/>
      </w:r>
      <w:bookmarkEnd w:id="5"/>
      <w:bookmarkEnd w:id="6"/>
      <w:bookmarkStart w:id="7" w:name="_Hlt74729822"/>
      <w:bookmarkEnd w:id="7"/>
      <w:bookmarkStart w:id="8" w:name="_Hlt74707423"/>
      <w:bookmarkEnd w:id="8"/>
      <w:bookmarkStart w:id="9" w:name="_Hlt74649545"/>
      <w:bookmarkEnd w:id="9"/>
      <w:bookmarkStart w:id="10" w:name="_Hlt74728647"/>
      <w:bookmarkEnd w:id="10"/>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ascii="仿宋_GB2312" w:hAnsi="仿宋" w:eastAsia="仿宋_GB2312"/>
          <w:sz w:val="24"/>
          <w:u w:val="single"/>
        </w:rPr>
        <w:t>诸暨市人民医院部分检测项目检验服务外包采购</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3月</w:t>
      </w:r>
      <w:r>
        <w:rPr>
          <w:rFonts w:ascii="仿宋_GB2312" w:hAnsi="仿宋" w:eastAsia="仿宋_GB2312"/>
          <w:sz w:val="24"/>
          <w:u w:val="single"/>
        </w:rPr>
        <w:t>23</w:t>
      </w:r>
      <w:r>
        <w:rPr>
          <w:rFonts w:hint="eastAsia" w:ascii="仿宋_GB2312" w:hAnsi="仿宋" w:eastAsia="仿宋_GB2312"/>
          <w:sz w:val="24"/>
          <w:u w:val="single"/>
        </w:rPr>
        <w:t>日9点00分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诸政采2023-02-</w:t>
      </w:r>
      <w:r>
        <w:rPr>
          <w:rFonts w:ascii="仿宋_GB2312" w:hAnsi="仿宋" w:eastAsia="仿宋_GB2312"/>
          <w:sz w:val="24"/>
        </w:rPr>
        <w:t>07</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_GB2312" w:hAnsi="仿宋" w:eastAsia="仿宋_GB2312"/>
          <w:sz w:val="24"/>
        </w:rPr>
        <w:t>诸暨市人民医院部分检测项目检验服务外包采购</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16000000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标的一：9200</w:t>
      </w:r>
      <w:r>
        <w:rPr>
          <w:rFonts w:ascii="仿宋_GB2312" w:hAnsi="仿宋" w:eastAsia="仿宋_GB2312"/>
          <w:sz w:val="24"/>
        </w:rPr>
        <w:t>000</w:t>
      </w:r>
      <w:r>
        <w:rPr>
          <w:rFonts w:hint="eastAsia" w:ascii="仿宋_GB2312" w:hAnsi="仿宋" w:eastAsia="仿宋_GB2312"/>
          <w:sz w:val="24"/>
        </w:rPr>
        <w:t>元；标的二：2800</w:t>
      </w:r>
      <w:r>
        <w:rPr>
          <w:rFonts w:ascii="仿宋_GB2312" w:hAnsi="仿宋" w:eastAsia="仿宋_GB2312"/>
          <w:sz w:val="24"/>
        </w:rPr>
        <w:t>000</w:t>
      </w:r>
      <w:r>
        <w:rPr>
          <w:rFonts w:hint="eastAsia" w:ascii="仿宋_GB2312" w:hAnsi="仿宋" w:eastAsia="仿宋_GB2312"/>
          <w:sz w:val="24"/>
        </w:rPr>
        <w:t>元；标的三： 1580</w:t>
      </w:r>
      <w:r>
        <w:rPr>
          <w:rFonts w:ascii="仿宋_GB2312" w:hAnsi="仿宋" w:eastAsia="仿宋_GB2312"/>
          <w:sz w:val="24"/>
        </w:rPr>
        <w:t>000</w:t>
      </w:r>
      <w:r>
        <w:rPr>
          <w:rFonts w:hint="eastAsia" w:ascii="仿宋_GB2312" w:hAnsi="仿宋" w:eastAsia="仿宋_GB2312"/>
          <w:sz w:val="24"/>
        </w:rPr>
        <w:t>元。本项目最高限价1</w:t>
      </w:r>
      <w:r>
        <w:rPr>
          <w:rFonts w:ascii="仿宋_GB2312" w:hAnsi="仿宋" w:eastAsia="仿宋_GB2312"/>
          <w:sz w:val="24"/>
        </w:rPr>
        <w:t>358</w:t>
      </w:r>
      <w:r>
        <w:rPr>
          <w:rFonts w:hint="eastAsia" w:ascii="仿宋_GB2312" w:hAnsi="仿宋" w:eastAsia="仿宋_GB2312"/>
          <w:sz w:val="24"/>
        </w:rPr>
        <w:t>万元</w:t>
      </w:r>
    </w:p>
    <w:p>
      <w:pPr>
        <w:pStyle w:val="793"/>
        <w:autoSpaceDE w:val="0"/>
        <w:autoSpaceDN w:val="0"/>
        <w:adjustRightInd w:val="0"/>
        <w:spacing w:after="120" w:line="240" w:lineRule="auto"/>
        <w:ind w:firstLineChars="0"/>
        <w:rPr>
          <w:rFonts w:ascii="仿宋_GB2312" w:hAnsi="仿宋" w:eastAsia="仿宋_GB2312"/>
          <w:szCs w:val="24"/>
        </w:rPr>
      </w:pPr>
      <w:r>
        <w:rPr>
          <w:rFonts w:hint="eastAsia" w:ascii="仿宋_GB2312" w:hAnsi="仿宋" w:eastAsia="仿宋_GB2312"/>
          <w:b/>
        </w:rPr>
        <w:t>采购需求：</w:t>
      </w:r>
      <w:r>
        <w:rPr>
          <w:rFonts w:ascii="仿宋_GB2312" w:hAnsi="仿宋" w:eastAsia="仿宋_GB2312"/>
        </w:rPr>
        <w:t>诸暨市人民医院部分检测项目检验服务外包采购</w:t>
      </w:r>
      <w:r>
        <w:rPr>
          <w:rFonts w:hint="eastAsia" w:ascii="仿宋_GB2312" w:hAnsi="仿宋" w:eastAsia="仿宋_GB2312"/>
          <w:szCs w:val="24"/>
        </w:rPr>
        <w:t>，共分为3个标的。详见招标文件第三部分采购需求</w:t>
      </w:r>
    </w:p>
    <w:p>
      <w:pPr>
        <w:spacing w:line="360" w:lineRule="auto"/>
        <w:ind w:firstLine="482" w:firstLineChars="200"/>
        <w:rPr>
          <w:rFonts w:ascii="仿宋_GB2312" w:hAnsi="仿宋" w:eastAsia="仿宋_GB2312"/>
          <w:snapToGrid w:val="0"/>
          <w:kern w:val="28"/>
          <w:sz w:val="24"/>
        </w:rPr>
      </w:pPr>
      <w:r>
        <w:rPr>
          <w:rFonts w:hint="eastAsia" w:ascii="仿宋_GB2312" w:hAnsi="仿宋" w:eastAsia="仿宋_GB2312"/>
          <w:b/>
          <w:sz w:val="24"/>
        </w:rPr>
        <w:t>合同履约期限：</w:t>
      </w:r>
      <w:r>
        <w:rPr>
          <w:rFonts w:hint="eastAsia" w:ascii="仿宋_GB2312" w:hAnsi="仿宋" w:eastAsia="仿宋_GB2312"/>
          <w:sz w:val="24"/>
          <w:szCs w:val="22"/>
        </w:rPr>
        <w:t>2年</w:t>
      </w:r>
    </w:p>
    <w:p>
      <w:pPr>
        <w:spacing w:line="360" w:lineRule="auto"/>
        <w:ind w:firstLine="482" w:firstLineChars="200"/>
        <w:rPr>
          <w:rFonts w:hint="eastAsia" w:ascii="仿宋_GB2312" w:hAnsi="仿宋" w:eastAsiaTheme="minorEastAsia"/>
          <w:b/>
          <w:sz w:val="24"/>
        </w:rPr>
      </w:pPr>
      <w:r>
        <w:rPr>
          <w:rFonts w:hint="eastAsia" w:ascii="仿宋_GB2312" w:hAnsi="仿宋" w:eastAsia="仿宋_GB2312"/>
          <w:b/>
          <w:sz w:val="24"/>
        </w:rPr>
        <w:t>本项目接受联合体投标：是。</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84"/>
        <w:rPr>
          <w:rFonts w:ascii="仿宋_GB2312" w:hAnsi="仿宋" w:eastAsia="仿宋_GB2312"/>
          <w:bCs/>
          <w:sz w:val="24"/>
        </w:rPr>
      </w:pPr>
      <w:r>
        <w:rPr>
          <w:rFonts w:hint="eastAsia" w:ascii="仿宋_GB2312" w:hAnsi="仿宋" w:eastAsia="仿宋_GB2312"/>
          <w:bCs/>
          <w:sz w:val="24"/>
        </w:rPr>
        <w:t>3.落实政府采购政策需满足的资格要求：</w:t>
      </w:r>
    </w:p>
    <w:p>
      <w:pPr>
        <w:spacing w:line="360" w:lineRule="auto"/>
        <w:ind w:firstLine="484"/>
        <w:rPr>
          <w:rFonts w:hint="eastAsia" w:ascii="仿宋_GB2312" w:hAnsi="仿宋" w:eastAsia="仿宋_GB2312"/>
          <w:bCs/>
          <w:sz w:val="24"/>
        </w:rPr>
      </w:pPr>
      <w:r>
        <w:rPr>
          <w:rFonts w:hint="eastAsia" w:ascii="仿宋_GB2312" w:hAnsi="仿宋" w:eastAsia="仿宋_GB2312"/>
          <w:bCs/>
          <w:sz w:val="24"/>
        </w:rPr>
        <w:t>该项目已预留份额给中小企业。标的一、标的二、标的三均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2023年</w:t>
      </w:r>
      <w:r>
        <w:rPr>
          <w:rFonts w:ascii="仿宋_GB2312" w:hAnsi="仿宋" w:eastAsia="仿宋_GB2312"/>
          <w:sz w:val="24"/>
          <w:u w:val="single"/>
        </w:rPr>
        <w:t>3</w:t>
      </w:r>
      <w:r>
        <w:rPr>
          <w:rFonts w:hint="eastAsia" w:ascii="仿宋_GB2312" w:hAnsi="仿宋" w:eastAsia="仿宋_GB2312"/>
          <w:sz w:val="24"/>
          <w:u w:val="single"/>
        </w:rPr>
        <w:t>月</w:t>
      </w:r>
      <w:r>
        <w:rPr>
          <w:rFonts w:ascii="仿宋_GB2312" w:hAnsi="仿宋" w:eastAsia="仿宋_GB2312"/>
          <w:sz w:val="24"/>
          <w:u w:val="single"/>
        </w:rPr>
        <w:t>2</w:t>
      </w:r>
      <w:r>
        <w:rPr>
          <w:rFonts w:hint="eastAsia" w:ascii="仿宋_GB2312" w:hAnsi="仿宋" w:eastAsia="仿宋_GB2312"/>
          <w:sz w:val="24"/>
          <w:u w:val="single"/>
        </w:rPr>
        <w:t>日</w:t>
      </w:r>
      <w:r>
        <w:rPr>
          <w:rFonts w:ascii="仿宋_GB2312" w:hAnsi="仿宋" w:eastAsia="仿宋_GB2312"/>
          <w:sz w:val="24"/>
          <w:u w:val="single"/>
        </w:rPr>
        <w:t>至</w:t>
      </w:r>
      <w:r>
        <w:rPr>
          <w:rFonts w:hint="eastAsia" w:ascii="仿宋_GB2312" w:hAnsi="仿宋" w:eastAsia="仿宋_GB2312"/>
          <w:sz w:val="24"/>
          <w:u w:val="single"/>
        </w:rPr>
        <w:t>2023</w:t>
      </w:r>
      <w:r>
        <w:rPr>
          <w:rFonts w:ascii="仿宋_GB2312" w:hAnsi="仿宋" w:eastAsia="仿宋_GB2312"/>
          <w:sz w:val="24"/>
          <w:u w:val="single"/>
        </w:rPr>
        <w:t>年</w:t>
      </w:r>
      <w:r>
        <w:rPr>
          <w:rFonts w:hint="eastAsia" w:ascii="仿宋_GB2312" w:hAnsi="仿宋" w:eastAsia="仿宋_GB2312"/>
          <w:sz w:val="24"/>
          <w:u w:val="single"/>
        </w:rPr>
        <w:t>3</w:t>
      </w:r>
      <w:r>
        <w:rPr>
          <w:rFonts w:ascii="仿宋_GB2312" w:hAnsi="仿宋" w:eastAsia="仿宋_GB2312"/>
          <w:sz w:val="24"/>
          <w:u w:val="single"/>
        </w:rPr>
        <w:t>月23日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投标人应于2023年3月</w:t>
      </w:r>
      <w:r>
        <w:rPr>
          <w:rFonts w:ascii="仿宋_GB2312" w:hAnsi="仿宋" w:eastAsia="仿宋_GB2312"/>
          <w:sz w:val="24"/>
        </w:rPr>
        <w:t>23</w:t>
      </w:r>
      <w:r>
        <w:rPr>
          <w:rFonts w:hint="eastAsia" w:ascii="仿宋_GB2312" w:hAnsi="仿宋" w:eastAsia="仿宋_GB2312"/>
          <w:sz w:val="24"/>
        </w:rPr>
        <w:t>日9时00分（北京时间）前按照电子投标要求将电子加密标书上传到政府采购云平台，逾期或未上传成功的将导致无法投标或投标无效。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诸暨市人民医院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址：诸暨市陶朱街道健民路9号</w:t>
      </w:r>
    </w:p>
    <w:p>
      <w:pPr>
        <w:spacing w:line="360" w:lineRule="auto"/>
        <w:ind w:firstLine="480"/>
        <w:rPr>
          <w:rFonts w:ascii="仿宋_GB2312" w:hAnsi="仿宋" w:eastAsia="仿宋"/>
          <w:sz w:val="24"/>
        </w:rPr>
      </w:pPr>
      <w:r>
        <w:rPr>
          <w:rFonts w:hint="eastAsia" w:ascii="仿宋_GB2312" w:hAnsi="仿宋" w:eastAsia="仿宋_GB2312"/>
          <w:sz w:val="24"/>
        </w:rPr>
        <w:t>项目联系人（询问）：杨琼</w:t>
      </w:r>
      <w:r>
        <w:rPr>
          <w:rFonts w:ascii="仿宋_GB2312" w:hAnsi="仿宋" w:eastAsia="仿宋_GB2312"/>
          <w:sz w:val="24"/>
        </w:rPr>
        <w:t xml:space="preserve"> </w:t>
      </w:r>
      <w:r>
        <w:rPr>
          <w:rFonts w:hint="eastAsia" w:ascii="仿宋" w:hAnsi="仿宋" w:eastAsia="仿宋"/>
          <w:sz w:val="24"/>
        </w:rPr>
        <w:t xml:space="preserve"> </w:t>
      </w:r>
      <w:r>
        <w:rPr>
          <w:rFonts w:hint="eastAsia" w:ascii="仿宋_GB2312" w:hAnsi="仿宋" w:eastAsia="仿宋"/>
          <w:sz w:val="24"/>
        </w:rPr>
        <w:t xml:space="preserve">  </w:t>
      </w:r>
      <w:r>
        <w:rPr>
          <w:rFonts w:ascii="仿宋_GB2312" w:hAnsi="仿宋" w:eastAsia="仿宋_GB2312"/>
          <w:sz w:val="24"/>
        </w:rPr>
        <w:t>项目联系方式（询问）：</w:t>
      </w:r>
      <w:r>
        <w:rPr>
          <w:rFonts w:hint="eastAsia" w:ascii="仿宋_GB2312" w:hAnsi="仿宋" w:eastAsia="仿宋_GB2312"/>
          <w:sz w:val="24"/>
        </w:rPr>
        <w:t xml:space="preserve"> 0575-81782758</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许水安          </w:t>
      </w:r>
      <w:r>
        <w:rPr>
          <w:rFonts w:ascii="仿宋_GB2312" w:hAnsi="仿宋" w:eastAsia="仿宋_GB2312"/>
          <w:sz w:val="24"/>
        </w:rPr>
        <w:t>质疑联系方式：</w:t>
      </w:r>
      <w:r>
        <w:rPr>
          <w:rFonts w:hint="eastAsia" w:ascii="仿宋_GB2312" w:hAnsi="仿宋" w:eastAsia="仿宋_GB2312"/>
          <w:sz w:val="24"/>
        </w:rPr>
        <w:t>13867585862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ind w:firstLine="484"/>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金泽成   </w:t>
      </w:r>
      <w:r>
        <w:rPr>
          <w:rFonts w:ascii="仿宋_GB2312" w:hAnsi="仿宋" w:eastAsia="仿宋_GB2312"/>
          <w:sz w:val="24"/>
        </w:rPr>
        <w:t xml:space="preserve">   项目联系方式（询问）：</w:t>
      </w:r>
      <w:r>
        <w:rPr>
          <w:rFonts w:hint="eastAsia" w:ascii="仿宋_GB2312" w:hAnsi="仿宋" w:eastAsia="仿宋_GB2312"/>
          <w:sz w:val="24"/>
        </w:rPr>
        <w:t>0575-8725301</w:t>
      </w:r>
      <w:r>
        <w:rPr>
          <w:rFonts w:ascii="仿宋_GB2312" w:hAnsi="仿宋" w:eastAsia="仿宋_GB2312"/>
          <w:sz w:val="24"/>
        </w:rPr>
        <w:t>5</w:t>
      </w:r>
    </w:p>
    <w:p>
      <w:pPr>
        <w:spacing w:line="360" w:lineRule="auto"/>
        <w:ind w:firstLine="484"/>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0"/>
      <w:r>
        <w:rPr>
          <w:rFonts w:ascii="仿宋" w:hAnsi="仿宋" w:eastAsia="仿宋" w:cs="仿宋_GB2312"/>
          <w:b/>
          <w:sz w:val="36"/>
          <w:szCs w:val="20"/>
        </w:rPr>
        <w:t xml:space="preserve"> 投标人须知</w:t>
      </w:r>
      <w:bookmarkEnd w:id="1"/>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b/>
                <w:bCs/>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4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7"/>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7"/>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2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3"/>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7"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spacing w:line="360" w:lineRule="auto"/>
              <w:rPr>
                <w:rFonts w:ascii="仿宋_GB2312" w:hAnsi="仿宋" w:eastAsia="仿宋_GB2312" w:cs="Arial"/>
                <w:bCs/>
                <w:kern w:val="0"/>
                <w:sz w:val="24"/>
              </w:rPr>
            </w:pPr>
            <w:r>
              <w:rPr>
                <w:rFonts w:hint="eastAsia" w:ascii="仿宋_GB2312" w:hAnsi="仿宋" w:eastAsia="仿宋_GB2312" w:cs="Arial"/>
                <w:bCs/>
                <w:kern w:val="0"/>
                <w:sz w:val="24"/>
              </w:rPr>
              <w:t>1、</w:t>
            </w:r>
            <w:r>
              <w:rPr>
                <w:rFonts w:ascii="仿宋_GB2312" w:hAnsi="仿宋" w:eastAsia="仿宋_GB2312" w:cs="Arial"/>
                <w:bCs/>
                <w:kern w:val="0"/>
                <w:sz w:val="24"/>
              </w:rPr>
              <w:t>符合参加政府采购活动应当具备的一般条件的承诺函；</w:t>
            </w:r>
          </w:p>
          <w:p>
            <w:pPr>
              <w:pStyle w:val="2"/>
              <w:ind w:left="0" w:firstLine="0"/>
              <w:rPr>
                <w:rFonts w:cs="Arial"/>
                <w:b w:val="0"/>
                <w:kern w:val="0"/>
                <w:sz w:val="24"/>
                <w:szCs w:val="24"/>
                <w:lang w:val="en-US"/>
              </w:rPr>
            </w:pPr>
            <w:r>
              <w:rPr>
                <w:rFonts w:cs="Arial"/>
                <w:b w:val="0"/>
                <w:kern w:val="0"/>
                <w:sz w:val="24"/>
                <w:szCs w:val="24"/>
                <w:lang w:val="en-US"/>
              </w:rPr>
              <w:t>2</w:t>
            </w:r>
            <w:r>
              <w:rPr>
                <w:rFonts w:hint="eastAsia" w:cs="Arial"/>
                <w:b w:val="0"/>
                <w:kern w:val="0"/>
                <w:sz w:val="24"/>
                <w:szCs w:val="24"/>
                <w:lang w:val="en-US"/>
              </w:rPr>
              <w:t>、《中小企业声明函》；</w:t>
            </w:r>
          </w:p>
          <w:p>
            <w:pPr>
              <w:rPr>
                <w:rFonts w:hint="eastAsia" w:ascii="仿宋_GB2312" w:hAnsi="仿宋" w:eastAsia="仿宋_GB2312" w:cs="Arial"/>
                <w:bCs/>
                <w:kern w:val="0"/>
                <w:sz w:val="24"/>
              </w:rPr>
            </w:pPr>
            <w:r>
              <w:rPr>
                <w:rFonts w:hint="eastAsia" w:ascii="仿宋_GB2312" w:hAnsi="仿宋" w:eastAsia="仿宋_GB2312" w:cs="Arial"/>
                <w:bCs/>
                <w:kern w:val="0"/>
                <w:sz w:val="24"/>
              </w:rPr>
              <w:t>3、联合体协议（如需）。</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162"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符合性审查资料；联合协议</w:t>
            </w:r>
            <w:r>
              <w:rPr>
                <w:rFonts w:hint="eastAsia" w:ascii="仿宋_GB2312" w:hAnsi="仿宋" w:eastAsia="仿宋_GB2312" w:cs="仿宋_GB2312"/>
              </w:rPr>
              <w:t>（如需）</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7"/>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7"/>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0" w:hRule="atLeast"/>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7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5"/>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64"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Wingdings" w:hAnsi="Wingdings" w:eastAsia="仿宋_GB2312" w:cs="Arial"/>
                <w:kern w:val="0"/>
                <w:sz w:val="24"/>
              </w:rPr>
              <w:t>该项目标的一、标的二、标的三均为服务类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7"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adjustRightInd/>
              <w:spacing w:line="360" w:lineRule="auto"/>
              <w:rPr>
                <w:rFonts w:ascii="仿宋_GB2312" w:hAnsi="仿宋" w:eastAsia="仿宋_GB2312" w:cs="Arial"/>
                <w:kern w:val="0"/>
                <w:sz w:val="24"/>
              </w:rPr>
            </w:pPr>
            <w:r>
              <w:rPr>
                <w:rFonts w:hint="eastAsia" w:ascii="仿宋_GB2312" w:hAnsi="仿宋" w:eastAsia="仿宋_GB2312" w:cs="Arial"/>
                <w:kern w:val="0"/>
                <w:sz w:val="24"/>
              </w:rPr>
              <w:t>本项目</w:t>
            </w:r>
            <w:r>
              <w:rPr>
                <w:rFonts w:hint="eastAsia" w:ascii="仿宋_GB2312" w:hAnsi="仿宋" w:eastAsia="仿宋_GB2312" w:cs="Arial"/>
                <w:kern w:val="0"/>
                <w:sz w:val="24"/>
                <w:u w:val="single"/>
              </w:rPr>
              <w:t>标的一、标的二、标的三</w:t>
            </w:r>
            <w:r>
              <w:rPr>
                <w:rFonts w:hint="eastAsia" w:ascii="仿宋_GB2312" w:hAnsi="仿宋" w:eastAsia="仿宋_GB2312" w:cs="Arial"/>
                <w:kern w:val="0"/>
                <w:sz w:val="24"/>
              </w:rPr>
              <w:t>均属于</w:t>
            </w:r>
            <w:r>
              <w:rPr>
                <w:rFonts w:hint="eastAsia" w:ascii="仿宋_GB2312" w:hAnsi="仿宋" w:eastAsia="仿宋_GB2312" w:cs="Arial"/>
                <w:kern w:val="0"/>
                <w:sz w:val="24"/>
                <w:u w:val="single"/>
              </w:rPr>
              <w:t>其他未列明行业</w:t>
            </w:r>
            <w:r>
              <w:rPr>
                <w:rFonts w:hint="eastAsia" w:ascii="仿宋_GB2312" w:hAnsi="仿宋" w:eastAsia="仿宋_GB2312" w:cs="Arial"/>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2" w:hRule="atLeast"/>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
    <w:p>
      <w:pPr>
        <w:pStyle w:val="2"/>
        <w:rPr>
          <w:lang w:val="en-US"/>
        </w:rPr>
      </w:pPr>
    </w:p>
    <w:p/>
    <w:p>
      <w:pPr>
        <w:pStyle w:val="2"/>
        <w:ind w:left="0" w:firstLine="0"/>
        <w:rPr>
          <w:lang w:val="en-US"/>
        </w:rPr>
      </w:pPr>
    </w:p>
    <w:p/>
    <w:p>
      <w:pPr>
        <w:pStyle w:val="2"/>
        <w:rPr>
          <w:lang w:val="en-US"/>
        </w:rPr>
      </w:pPr>
    </w:p>
    <w:bookmarkEnd w:id="2"/>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0"/>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3年内，以及产品核心技术高于国内领先水平，并具有明晰自主知识产权的“制造精品”产品，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5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5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5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5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5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5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8"/>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5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t>
      </w:r>
      <w:r>
        <w:fldChar w:fldCharType="begin"/>
      </w:r>
      <w:r>
        <w:instrText xml:space="preserve"> HYPERLINK "http://www.creditchina" </w:instrText>
      </w:r>
      <w:r>
        <w:fldChar w:fldCharType="separate"/>
      </w:r>
      <w:r>
        <w:rPr>
          <w:rStyle w:val="76"/>
          <w:rFonts w:ascii="仿宋_GB2312" w:hAnsi="仿宋" w:eastAsia="仿宋_GB2312"/>
          <w:snapToGrid/>
          <w:sz w:val="24"/>
          <w:szCs w:val="24"/>
        </w:rPr>
        <w:t>www.creditchina</w:t>
      </w:r>
      <w:r>
        <w:rPr>
          <w:rStyle w:val="76"/>
          <w:rFonts w:ascii="仿宋_GB2312" w:hAnsi="仿宋" w:eastAsia="仿宋_GB2312"/>
          <w:snapToGrid/>
          <w:sz w:val="24"/>
          <w:szCs w:val="24"/>
        </w:rPr>
        <w:fldChar w:fldCharType="end"/>
      </w:r>
      <w:r>
        <w:rPr>
          <w:rFonts w:ascii="仿宋_GB2312" w:hAnsi="仿宋" w:eastAsia="仿宋_GB2312" w:cs="Arial"/>
          <w:kern w:val="0"/>
          <w:szCs w:val="24"/>
        </w:rPr>
        <w:t>.gov.cn)、中国政府采购网(</w:t>
      </w:r>
      <w:r>
        <w:fldChar w:fldCharType="begin"/>
      </w:r>
      <w:r>
        <w:instrText xml:space="preserve"> HYPERLINK "http://www.ccgp" </w:instrText>
      </w:r>
      <w:r>
        <w:fldChar w:fldCharType="separate"/>
      </w:r>
      <w:r>
        <w:rPr>
          <w:rStyle w:val="76"/>
          <w:rFonts w:ascii="仿宋_GB2312" w:hAnsi="仿宋" w:eastAsia="仿宋_GB2312"/>
          <w:snapToGrid/>
          <w:sz w:val="24"/>
          <w:szCs w:val="24"/>
        </w:rPr>
        <w:t>www.ccgp</w:t>
      </w:r>
      <w:r>
        <w:rPr>
          <w:rStyle w:val="76"/>
          <w:rFonts w:ascii="仿宋_GB2312" w:hAnsi="仿宋" w:eastAsia="仿宋_GB2312"/>
          <w:snapToGrid/>
          <w:sz w:val="24"/>
          <w:szCs w:val="24"/>
        </w:rPr>
        <w:fldChar w:fldCharType="end"/>
      </w:r>
      <w:r>
        <w:rPr>
          <w:rFonts w:ascii="仿宋_GB2312" w:hAnsi="仿宋" w:eastAsia="仿宋_GB2312" w:cs="Arial"/>
          <w:kern w:val="0"/>
          <w:szCs w:val="24"/>
        </w:rPr>
        <w:t>.gov.cn)渠道查询投标人投标截止时间当天的信用记录。</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5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5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5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5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290"/>
      <w:bookmarkEnd w:id="14"/>
      <w:bookmarkStart w:id="15" w:name="_Hlt75236011"/>
      <w:bookmarkEnd w:id="15"/>
      <w:bookmarkStart w:id="16" w:name="_Hlt74707468"/>
      <w:bookmarkEnd w:id="16"/>
      <w:bookmarkStart w:id="17" w:name="_Hlt74730295"/>
      <w:bookmarkEnd w:id="17"/>
      <w:bookmarkStart w:id="18" w:name="_Hlt68072990"/>
      <w:bookmarkEnd w:id="18"/>
      <w:bookmarkStart w:id="19" w:name="_Hlt68073093"/>
      <w:bookmarkEnd w:id="19"/>
      <w:bookmarkStart w:id="20" w:name="_Hlt74729768"/>
      <w:bookmarkEnd w:id="20"/>
      <w:bookmarkStart w:id="21" w:name="_Hlt68403820"/>
      <w:bookmarkEnd w:id="21"/>
      <w:bookmarkStart w:id="22" w:name="_Hlt75236101"/>
      <w:bookmarkEnd w:id="22"/>
      <w:bookmarkStart w:id="23" w:name="_Hlt68057669"/>
      <w:bookmarkEnd w:id="23"/>
      <w:bookmarkStart w:id="24" w:name="_Hlt6807299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tbl>
      <w:tblPr>
        <w:tblStyle w:val="62"/>
        <w:tblW w:w="8613" w:type="dxa"/>
        <w:tblInd w:w="0" w:type="dxa"/>
        <w:tblLayout w:type="fixed"/>
        <w:tblCellMar>
          <w:top w:w="0" w:type="dxa"/>
          <w:left w:w="108" w:type="dxa"/>
          <w:bottom w:w="0" w:type="dxa"/>
          <w:right w:w="108" w:type="dxa"/>
        </w:tblCellMar>
      </w:tblPr>
      <w:tblGrid>
        <w:gridCol w:w="1951"/>
        <w:gridCol w:w="6662"/>
      </w:tblGrid>
      <w:tr>
        <w:tblPrEx>
          <w:tblCellMar>
            <w:top w:w="0" w:type="dxa"/>
            <w:left w:w="108" w:type="dxa"/>
            <w:bottom w:w="0" w:type="dxa"/>
            <w:right w:w="108" w:type="dxa"/>
          </w:tblCellMar>
        </w:tblPrEx>
        <w:trPr>
          <w:trHeight w:val="270" w:hRule="atLeast"/>
        </w:trPr>
        <w:tc>
          <w:tcPr>
            <w:tcW w:w="1951" w:type="dxa"/>
            <w:tcBorders>
              <w:top w:val="single" w:color="auto" w:sz="4" w:space="0"/>
              <w:left w:val="single" w:color="auto" w:sz="4" w:space="0"/>
              <w:bottom w:val="single" w:color="993366" w:sz="4" w:space="0"/>
              <w:right w:val="single" w:color="auto" w:sz="4" w:space="0"/>
            </w:tcBorders>
            <w:shd w:val="clear" w:color="000000" w:fill="FFFFFF"/>
          </w:tcPr>
          <w:p>
            <w:pPr>
              <w:ind w:firstLine="210" w:firstLineChars="100"/>
              <w:rPr>
                <w:rFonts w:ascii="宋体" w:hAnsi="宋体" w:cs="宋体"/>
                <w:color w:val="000000"/>
                <w:szCs w:val="21"/>
              </w:rPr>
            </w:pPr>
            <w:r>
              <w:rPr>
                <w:rFonts w:hint="eastAsia" w:ascii="宋体" w:hAnsi="宋体" w:cs="宋体"/>
                <w:color w:val="000000"/>
                <w:szCs w:val="21"/>
              </w:rPr>
              <w:t>项目编号</w:t>
            </w:r>
          </w:p>
        </w:tc>
        <w:tc>
          <w:tcPr>
            <w:tcW w:w="6662" w:type="dxa"/>
            <w:tcBorders>
              <w:top w:val="single" w:color="auto" w:sz="4" w:space="0"/>
              <w:left w:val="single" w:color="auto" w:sz="4" w:space="0"/>
              <w:bottom w:val="single" w:color="993366"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检验项目名称</w:t>
            </w:r>
          </w:p>
        </w:tc>
      </w:tr>
      <w:tr>
        <w:tblPrEx>
          <w:tblCellMar>
            <w:top w:w="0" w:type="dxa"/>
            <w:left w:w="108" w:type="dxa"/>
            <w:bottom w:w="0" w:type="dxa"/>
            <w:right w:w="108" w:type="dxa"/>
          </w:tblCellMar>
        </w:tblPrEx>
        <w:trPr>
          <w:trHeight w:val="270" w:hRule="atLeast"/>
        </w:trPr>
        <w:tc>
          <w:tcPr>
            <w:tcW w:w="1951" w:type="dxa"/>
            <w:vMerge w:val="restart"/>
            <w:tcBorders>
              <w:top w:val="single" w:color="auto" w:sz="4" w:space="0"/>
              <w:left w:val="single" w:color="auto" w:sz="4" w:space="0"/>
              <w:right w:val="single" w:color="auto" w:sz="4" w:space="0"/>
            </w:tcBorders>
            <w:shd w:val="clear" w:color="000000" w:fill="FFFFFF"/>
          </w:tcPr>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r>
              <w:rPr>
                <w:rFonts w:hint="eastAsia" w:ascii="宋体" w:hAnsi="宋体" w:cs="宋体"/>
                <w:color w:val="000000"/>
                <w:szCs w:val="21"/>
              </w:rPr>
              <w:t>标的一</w:t>
            </w:r>
          </w:p>
        </w:tc>
        <w:tc>
          <w:tcPr>
            <w:tcW w:w="66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全血粘度（低切）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全血粘度（中切）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全血粘度（高切）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血浆粘度</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孕妇血型血清学</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直接抗人球蛋白试验</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各类血细胞簇分化抗原(CD)检测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免疫组织化学染色及诊断（单克隆抗体、项）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单克隆免疫球蛋白(尿免疫固定电泳)</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骨髓细胞染色体核型分析</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外周血染色体核型分析400带</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特殊染色及酶组织化学染色</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骨髓活检</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PNH</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生长激素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总1型胶原氨基端延长肽</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β-胶原特殊序列</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骨钙素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醛固酮</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降钙素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肾素活性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血管紧张素I</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血管紧张素II</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总IgE</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24小时尿游离皮质醇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丙型肝炎病毒(HCV)RNA测定</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结核感染T细胞检测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GM试验</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HSV II型IgM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HSV I型IgM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HSV II型IgG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HSV I型IgG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巨细胞病毒抗体IgM(定性)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巨细胞病毒抗体IgG(定性)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弓形虫抗体IgM(定性)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风疹病毒抗体IgM(定性)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抗幽门螺旋杆菌抗体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风疹病毒抗体IgG(定性)</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抗心磷脂抗体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戊型肝炎抗体IgM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戊型肝炎病毒抗体IgG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麻疹病毒抗体IgM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麻疹病毒抗体IgG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抗精子抗体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抗子宫内膜抗体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丁型肝炎病毒抗体IgM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丁型肝炎病毒抗体IgG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庚型肝炎病毒抗体IgG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丙戊酸钠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血清铁</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葡萄糖6磷酸脱氢酶</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乙肝病毒P区耐药基因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乙肝病毒C区耐药基因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全血铅(微量元素)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全血锌(微量元素)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全血铜 (微量元素)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全血铁(微量元素)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血儿茶酚胺</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免疫球蛋白亚类定量测定（IgG4</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17α-羟孕酮</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24小时尿醛固酮</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吸入物变应原筛查</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食入物变应原筛查</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特殊变应原</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专项变应原</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抗谷氨酸脱羧酶抗体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抗副流感病毒抗体IgM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抗呼吸道合胞病毒抗体IgM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抗腺病毒抗体IgM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胰岛素自身抗体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抗线粒体抗体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EB病毒核抗原IgG抗体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EB病毒衣壳抗原IgM抗体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EB病毒早期抗原IgG抗体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EB病毒衣壳抗原IgG抗体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抗肝肾微粒体抗体-1型抗体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抗可溶性肝抗原/肝胰抗原抗体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抗胰岛细胞抗体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抗平滑肌抗体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抗肝细胞溶质抗原1型抗体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流行性出血热IgM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流行性出血热IgG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封闭抗体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新生儿溶血症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IgG抗A</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IgG抗B</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铜蓝蛋白</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柯萨奇病毒抗体IgM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抗精子抗体IgG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抗子宫内膜抗体IgG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TORCH-IgG</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TORCH-IgM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转铁蛋白</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游离雌三醇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24小时尿游离皮质醇</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β-胶原降解产物</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人乳头瘤病毒分型全套(27型)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肥达氏反应</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外斐氏反应</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糖尿病自身抗体3项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自身免疫性肝病抗体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鼻咽癌EB病毒抗体2项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甲型流感病毒IgM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乙型流感病毒IgM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副流感病毒IgM</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甲型流感病毒核酸检测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乙型流感病毒核酸检测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副流感病毒核酸检测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化学药物用药指导的基因检测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淋巴细胞亚群（T、B、NK）</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阵发PNH</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胃泌素</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抗乙酰胆碱受体抗体</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类胰岛素样生长因子1</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类胰岛素样生长因子结合蛋白3</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血清铁检测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总铁结合力检测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25-羟基维生素D套餐</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血清蛋白电泳</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真菌G试验</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单克隆免疫球（血免疫固定电泳）IF</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ABL激酶突变(焦磷酸测序)</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AML1/ETO(8q22;21q22)</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AML1-ETO(融合基因/荧光定量PCR)</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白血病残留病灶流式细胞术</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BCR/ABL(9q34;22q11.2)</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BCR-ABL(p190)(融合基因/荧光定量PCR)</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BCR-ABL(p210)(融合基因/荧光定量PCR)</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BCR-ABL-p230融合基因定量检测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CBFβ-MYH11(融合基因/荧光定量PCR)</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FIP1L1-PDGFRα融合基因定量检测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FLT3-TKD突变(sanger测序)</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JAK2 V617F突变(荧光定量PCR)</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PML/RARA(15q22;17q21.1)</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PML-RARa-V型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PML-RARα-L长型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PML-RARα-S短型</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白血病免疫分型(20个CD)(流式细胞术)</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地中海贫血检测套餐(三项)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分子核型分析</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骨髓活检+免疫组化6项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骨髓活检加免疫组化3项</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骨髓染色体核型分析(G带)</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残留病灶流式细胞术</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bottom w:val="single" w:color="auto" w:sz="4" w:space="0"/>
              <w:right w:val="single" w:color="auto" w:sz="4" w:space="0"/>
            </w:tcBorders>
            <w:shd w:val="clear" w:color="000000" w:fill="FFFFFF"/>
          </w:tcPr>
          <w:p>
            <w:pPr>
              <w:jc w:val="center"/>
              <w:rPr>
                <w:rFonts w:ascii="宋体" w:hAnsi="宋体" w:cs="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s="宋体"/>
                <w:color w:val="000000"/>
                <w:szCs w:val="21"/>
              </w:rPr>
              <w:t>人巨细胞病毒DNA测定</w:t>
            </w:r>
          </w:p>
        </w:tc>
      </w:tr>
      <w:tr>
        <w:tblPrEx>
          <w:tblCellMar>
            <w:top w:w="0" w:type="dxa"/>
            <w:left w:w="108" w:type="dxa"/>
            <w:bottom w:w="0" w:type="dxa"/>
            <w:right w:w="108" w:type="dxa"/>
          </w:tblCellMar>
        </w:tblPrEx>
        <w:trPr>
          <w:trHeight w:val="270" w:hRule="atLeast"/>
        </w:trPr>
        <w:tc>
          <w:tcPr>
            <w:tcW w:w="1951" w:type="dxa"/>
            <w:vMerge w:val="restart"/>
            <w:tcBorders>
              <w:top w:val="nil"/>
              <w:left w:val="single" w:color="auto" w:sz="4" w:space="0"/>
              <w:right w:val="single" w:color="auto" w:sz="4" w:space="0"/>
            </w:tcBorders>
            <w:shd w:val="clear" w:color="000000" w:fill="FFFFFF"/>
          </w:tcPr>
          <w:p>
            <w:pPr>
              <w:jc w:val="center"/>
              <w:rPr>
                <w:rFonts w:ascii="宋体" w:hAnsi="宋体"/>
                <w:color w:val="000000"/>
                <w:szCs w:val="21"/>
              </w:rPr>
            </w:pPr>
            <w:r>
              <w:rPr>
                <w:rFonts w:hint="eastAsia" w:ascii="宋体" w:hAnsi="宋体"/>
                <w:color w:val="000000"/>
                <w:szCs w:val="21"/>
              </w:rPr>
              <w:t>标的二</w:t>
            </w: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olor w:val="000000"/>
                <w:szCs w:val="21"/>
              </w:rPr>
              <w:t>白细胞染色体损伤</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olor w:val="000000"/>
                <w:szCs w:val="21"/>
              </w:rPr>
              <w:t>T细胞亚群线粒体损伤</w:t>
            </w:r>
          </w:p>
        </w:tc>
      </w:tr>
      <w:tr>
        <w:tblPrEx>
          <w:tblCellMar>
            <w:top w:w="0" w:type="dxa"/>
            <w:left w:w="108" w:type="dxa"/>
            <w:bottom w:w="0" w:type="dxa"/>
            <w:right w:w="108" w:type="dxa"/>
          </w:tblCellMar>
        </w:tblPrEx>
        <w:trPr>
          <w:trHeight w:val="310" w:hRule="atLeast"/>
        </w:trPr>
        <w:tc>
          <w:tcPr>
            <w:tcW w:w="1951" w:type="dxa"/>
            <w:vMerge w:val="continue"/>
            <w:tcBorders>
              <w:left w:val="single" w:color="auto" w:sz="4" w:space="0"/>
              <w:bottom w:val="single" w:color="auto" w:sz="4" w:space="0"/>
              <w:right w:val="single" w:color="auto" w:sz="4" w:space="0"/>
            </w:tcBorders>
            <w:shd w:val="clear" w:color="000000" w:fill="FFFFFF"/>
          </w:tcPr>
          <w:p>
            <w:pPr>
              <w:jc w:val="center"/>
              <w:rPr>
                <w:rFonts w:ascii="宋体" w:hAnsi="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color w:val="000000"/>
                <w:szCs w:val="21"/>
              </w:rPr>
            </w:pPr>
            <w:r>
              <w:rPr>
                <w:rFonts w:hint="eastAsia" w:ascii="宋体" w:hAnsi="宋体"/>
                <w:color w:val="000000"/>
                <w:szCs w:val="21"/>
              </w:rPr>
              <w:t>细胞自噬功能改变</w:t>
            </w:r>
          </w:p>
        </w:tc>
      </w:tr>
      <w:tr>
        <w:tblPrEx>
          <w:tblCellMar>
            <w:top w:w="0" w:type="dxa"/>
            <w:left w:w="108" w:type="dxa"/>
            <w:bottom w:w="0" w:type="dxa"/>
            <w:right w:w="108" w:type="dxa"/>
          </w:tblCellMar>
        </w:tblPrEx>
        <w:trPr>
          <w:trHeight w:val="270" w:hRule="atLeast"/>
        </w:trPr>
        <w:tc>
          <w:tcPr>
            <w:tcW w:w="1951" w:type="dxa"/>
            <w:vMerge w:val="restart"/>
            <w:tcBorders>
              <w:top w:val="nil"/>
              <w:left w:val="single" w:color="auto" w:sz="4" w:space="0"/>
              <w:right w:val="single" w:color="auto" w:sz="4" w:space="0"/>
            </w:tcBorders>
            <w:shd w:val="clear" w:color="000000" w:fill="FFFFFF"/>
          </w:tcPr>
          <w:p>
            <w:pPr>
              <w:jc w:val="center"/>
              <w:rPr>
                <w:rFonts w:ascii="宋体" w:hAnsi="宋体"/>
                <w:color w:val="000000"/>
                <w:szCs w:val="21"/>
              </w:rPr>
            </w:pPr>
            <w:r>
              <w:rPr>
                <w:rFonts w:hint="eastAsia" w:ascii="宋体" w:hAnsi="宋体"/>
                <w:color w:val="000000"/>
                <w:szCs w:val="21"/>
              </w:rPr>
              <w:t>标的三</w:t>
            </w:r>
          </w:p>
        </w:tc>
        <w:tc>
          <w:tcPr>
            <w:tcW w:w="6662" w:type="dxa"/>
            <w:tcBorders>
              <w:top w:val="nil"/>
              <w:left w:val="single" w:color="auto" w:sz="4" w:space="0"/>
              <w:bottom w:val="single" w:color="auto" w:sz="4" w:space="0"/>
              <w:right w:val="single" w:color="auto" w:sz="4" w:space="0"/>
            </w:tcBorders>
            <w:shd w:val="clear" w:color="000000" w:fill="FFFFFF"/>
            <w:noWrap/>
          </w:tcPr>
          <w:p>
            <w:pPr>
              <w:jc w:val="center"/>
              <w:rPr>
                <w:rFonts w:ascii="宋体" w:hAnsi="宋体" w:cs="宋体"/>
                <w:color w:val="000000"/>
                <w:szCs w:val="21"/>
              </w:rPr>
            </w:pPr>
            <w:r>
              <w:rPr>
                <w:rFonts w:hint="eastAsia" w:ascii="宋体" w:hAnsi="宋体"/>
                <w:color w:val="000000"/>
                <w:szCs w:val="21"/>
              </w:rPr>
              <w:t>胃蛋白酶I</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tcPr>
          <w:p>
            <w:pPr>
              <w:jc w:val="center"/>
              <w:rPr>
                <w:rFonts w:ascii="宋体" w:hAnsi="宋体" w:cs="宋体"/>
                <w:color w:val="000000"/>
                <w:szCs w:val="21"/>
              </w:rPr>
            </w:pPr>
            <w:r>
              <w:rPr>
                <w:rFonts w:hint="eastAsia" w:ascii="宋体" w:hAnsi="宋体"/>
                <w:color w:val="000000"/>
                <w:szCs w:val="21"/>
              </w:rPr>
              <w:t>胃蛋白酶II</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right w:val="single" w:color="auto" w:sz="4" w:space="0"/>
            </w:tcBorders>
            <w:shd w:val="clear" w:color="000000" w:fill="FFFFFF"/>
          </w:tcPr>
          <w:p>
            <w:pPr>
              <w:jc w:val="center"/>
              <w:rPr>
                <w:rFonts w:ascii="宋体" w:hAnsi="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tcPr>
          <w:p>
            <w:pPr>
              <w:jc w:val="center"/>
              <w:rPr>
                <w:rFonts w:ascii="宋体" w:hAnsi="宋体" w:cs="宋体"/>
                <w:color w:val="000000"/>
                <w:szCs w:val="21"/>
              </w:rPr>
            </w:pPr>
            <w:r>
              <w:rPr>
                <w:rFonts w:hint="eastAsia" w:ascii="宋体" w:hAnsi="宋体"/>
                <w:color w:val="000000"/>
                <w:szCs w:val="21"/>
              </w:rPr>
              <w:t>胃泌素17</w:t>
            </w:r>
          </w:p>
        </w:tc>
      </w:tr>
      <w:tr>
        <w:tblPrEx>
          <w:tblCellMar>
            <w:top w:w="0" w:type="dxa"/>
            <w:left w:w="108" w:type="dxa"/>
            <w:bottom w:w="0" w:type="dxa"/>
            <w:right w:w="108" w:type="dxa"/>
          </w:tblCellMar>
        </w:tblPrEx>
        <w:trPr>
          <w:trHeight w:val="270" w:hRule="atLeast"/>
        </w:trPr>
        <w:tc>
          <w:tcPr>
            <w:tcW w:w="1951" w:type="dxa"/>
            <w:vMerge w:val="continue"/>
            <w:tcBorders>
              <w:left w:val="single" w:color="auto" w:sz="4" w:space="0"/>
              <w:bottom w:val="single" w:color="auto" w:sz="4" w:space="0"/>
              <w:right w:val="single" w:color="auto" w:sz="4" w:space="0"/>
            </w:tcBorders>
            <w:shd w:val="clear" w:color="000000" w:fill="FFFFFF"/>
          </w:tcPr>
          <w:p>
            <w:pPr>
              <w:jc w:val="center"/>
              <w:rPr>
                <w:rFonts w:ascii="宋体" w:hAnsi="宋体"/>
                <w:color w:val="000000"/>
                <w:szCs w:val="21"/>
              </w:rPr>
            </w:pPr>
          </w:p>
        </w:tc>
        <w:tc>
          <w:tcPr>
            <w:tcW w:w="6662" w:type="dxa"/>
            <w:tcBorders>
              <w:top w:val="nil"/>
              <w:left w:val="single" w:color="auto" w:sz="4" w:space="0"/>
              <w:bottom w:val="single" w:color="auto" w:sz="4" w:space="0"/>
              <w:right w:val="single" w:color="auto" w:sz="4" w:space="0"/>
            </w:tcBorders>
            <w:shd w:val="clear" w:color="000000" w:fill="FFFFFF"/>
            <w:noWrap/>
          </w:tcPr>
          <w:p>
            <w:pPr>
              <w:jc w:val="center"/>
              <w:rPr>
                <w:rFonts w:ascii="宋体" w:hAnsi="宋体" w:cs="宋体"/>
                <w:color w:val="000000"/>
                <w:szCs w:val="21"/>
              </w:rPr>
            </w:pPr>
            <w:r>
              <w:rPr>
                <w:rFonts w:hint="eastAsia" w:ascii="宋体" w:hAnsi="宋体"/>
                <w:color w:val="000000"/>
                <w:szCs w:val="21"/>
              </w:rPr>
              <w:t>HPV21分型定量</w:t>
            </w:r>
          </w:p>
        </w:tc>
      </w:tr>
    </w:tbl>
    <w:p>
      <w:pPr>
        <w:pStyle w:val="399"/>
        <w:spacing w:after="120" w:line="300" w:lineRule="exact"/>
        <w:ind w:firstLine="0" w:firstLineChars="0"/>
        <w:rPr>
          <w:rFonts w:ascii="宋体" w:hAnsi="宋体" w:cs="仿宋"/>
          <w:b/>
          <w:bCs/>
        </w:rPr>
      </w:pPr>
    </w:p>
    <w:p>
      <w:pPr>
        <w:rPr>
          <w:rFonts w:ascii="宋体" w:hAnsi="宋体"/>
          <w:b/>
          <w:color w:val="000000"/>
          <w:sz w:val="24"/>
          <w:u w:val="single"/>
        </w:rPr>
      </w:pPr>
      <w:r>
        <w:rPr>
          <w:rFonts w:hint="eastAsia" w:ascii="宋体" w:hAnsi="宋体" w:cs="宋体"/>
          <w:b/>
          <w:color w:val="000000"/>
          <w:sz w:val="24"/>
        </w:rPr>
        <w:t>具体要求：</w:t>
      </w:r>
    </w:p>
    <w:p>
      <w:pPr>
        <w:spacing w:line="300" w:lineRule="exact"/>
        <w:rPr>
          <w:rFonts w:ascii="宋体" w:hAnsi="宋体"/>
          <w:color w:val="000000"/>
          <w:szCs w:val="21"/>
        </w:rPr>
      </w:pPr>
      <w:r>
        <w:rPr>
          <w:rFonts w:hint="eastAsia" w:ascii="宋体" w:hAnsi="宋体"/>
          <w:color w:val="000000"/>
          <w:szCs w:val="21"/>
        </w:rPr>
        <w:t>（一）服务内容</w:t>
      </w:r>
    </w:p>
    <w:p>
      <w:pPr>
        <w:spacing w:line="300" w:lineRule="exact"/>
        <w:rPr>
          <w:rFonts w:ascii="宋体" w:hAnsi="宋体"/>
          <w:color w:val="000000"/>
          <w:szCs w:val="21"/>
        </w:rPr>
      </w:pPr>
      <w:r>
        <w:rPr>
          <w:rFonts w:hint="eastAsia" w:ascii="宋体" w:hAnsi="宋体"/>
          <w:color w:val="000000"/>
          <w:szCs w:val="21"/>
        </w:rPr>
        <w:t>具体包括：标本接收、运输、检测、报告送到医院、售后、投诉和纠纷处理以及相关附加服务。</w:t>
      </w:r>
    </w:p>
    <w:p>
      <w:pPr>
        <w:spacing w:line="300" w:lineRule="exact"/>
        <w:rPr>
          <w:rFonts w:ascii="宋体" w:hAnsi="宋体"/>
          <w:color w:val="000000"/>
          <w:szCs w:val="21"/>
        </w:rPr>
      </w:pPr>
      <w:r>
        <w:rPr>
          <w:rFonts w:hint="eastAsia" w:ascii="宋体" w:hAnsi="宋体"/>
          <w:color w:val="000000"/>
          <w:szCs w:val="21"/>
        </w:rPr>
        <w:t>（二）服务要求</w:t>
      </w:r>
    </w:p>
    <w:p>
      <w:pPr>
        <w:spacing w:line="300" w:lineRule="exact"/>
        <w:rPr>
          <w:rFonts w:ascii="宋体" w:hAnsi="宋体"/>
          <w:color w:val="000000"/>
          <w:szCs w:val="21"/>
        </w:rPr>
      </w:pPr>
      <w:r>
        <w:rPr>
          <w:rFonts w:ascii="宋体" w:hAnsi="宋体"/>
          <w:color w:val="000000"/>
          <w:szCs w:val="21"/>
        </w:rPr>
        <w:t>1.</w:t>
      </w:r>
      <w:r>
        <w:rPr>
          <w:rFonts w:hint="eastAsia" w:ascii="宋体" w:hAnsi="宋体"/>
          <w:color w:val="000000"/>
          <w:szCs w:val="21"/>
        </w:rPr>
        <w:t>检验要求</w:t>
      </w:r>
      <w:r>
        <w:rPr>
          <w:rFonts w:ascii="宋体" w:hAnsi="宋体"/>
          <w:color w:val="000000"/>
          <w:szCs w:val="21"/>
        </w:rPr>
        <w:t xml:space="preserve">            </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）提供相应的《项目总汇与采样手册》及《临床检验指导手册》，开展项目能满足临床需求。</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每周一至周日工作时间内，派工作人员在医院实时收取标本，及时处理，每日多批接收，每批实时做好登记，同时与医院</w:t>
      </w:r>
      <w:r>
        <w:rPr>
          <w:rFonts w:ascii="宋体" w:hAnsi="宋体"/>
          <w:color w:val="000000"/>
          <w:szCs w:val="21"/>
        </w:rPr>
        <w:t>LIS</w:t>
      </w:r>
      <w:r>
        <w:rPr>
          <w:rFonts w:hint="eastAsia" w:ascii="宋体" w:hAnsi="宋体"/>
          <w:color w:val="000000"/>
          <w:szCs w:val="21"/>
        </w:rPr>
        <w:t>做好核对。按标本保存条件进行运输，对保证标本的可靠性和有效性负责，并在</w:t>
      </w:r>
      <w:r>
        <w:rPr>
          <w:rFonts w:ascii="宋体" w:hAnsi="宋体"/>
          <w:color w:val="000000"/>
          <w:szCs w:val="21"/>
        </w:rPr>
        <w:t>36</w:t>
      </w:r>
      <w:r>
        <w:rPr>
          <w:rFonts w:hint="eastAsia" w:ascii="宋体" w:hAnsi="宋体"/>
          <w:color w:val="000000"/>
          <w:szCs w:val="21"/>
        </w:rPr>
        <w:t>小时内准时发放报告，保证检验报告的准确性和及时性。必须做好与医院</w:t>
      </w:r>
      <w:r>
        <w:rPr>
          <w:rFonts w:ascii="宋体" w:hAnsi="宋体"/>
          <w:color w:val="000000"/>
          <w:szCs w:val="21"/>
        </w:rPr>
        <w:t>LIS</w:t>
      </w:r>
      <w:r>
        <w:rPr>
          <w:rFonts w:hint="eastAsia" w:ascii="宋体" w:hAnsi="宋体"/>
          <w:color w:val="000000"/>
          <w:szCs w:val="21"/>
        </w:rPr>
        <w:t>的对接，提供的报告在医院</w:t>
      </w:r>
      <w:r>
        <w:rPr>
          <w:rFonts w:ascii="宋体" w:hAnsi="宋体"/>
          <w:color w:val="000000"/>
          <w:szCs w:val="21"/>
        </w:rPr>
        <w:t>LIS</w:t>
      </w:r>
      <w:r>
        <w:rPr>
          <w:rFonts w:hint="eastAsia" w:ascii="宋体" w:hAnsi="宋体"/>
          <w:color w:val="000000"/>
          <w:szCs w:val="21"/>
        </w:rPr>
        <w:t>系统里按医院的报告格式发放，但台头和签名为独立检验所及工作人员。医院可实时通过网络查收外送标本已完成的报告。当外送标本报告不能在医院</w:t>
      </w:r>
      <w:r>
        <w:rPr>
          <w:rFonts w:ascii="宋体" w:hAnsi="宋体"/>
          <w:color w:val="000000"/>
          <w:szCs w:val="21"/>
        </w:rPr>
        <w:t>LIS</w:t>
      </w:r>
      <w:r>
        <w:rPr>
          <w:rFonts w:hint="eastAsia" w:ascii="宋体" w:hAnsi="宋体"/>
          <w:color w:val="000000"/>
          <w:szCs w:val="21"/>
        </w:rPr>
        <w:t>上查询时，应立即派人员妥善处理。如检测结果为危急值，应立即报告给送检医生。</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）对检验后的标本应妥善保存7天，以便检验结果有疑义时进行免费复查或再委托其他第三方检验，这种情况所发生的费用，由投标人承担。</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对于因标本丢失、未在规定时间内出具报告或检验项目检测结果不准确等造成的医疗事故（医疗事件）或医疗纠纷，投标人承担全部经济及法律责任，并提出书面承诺。投标人对招标方不明原因（非院方及患者原因或产品质量问题）引起的医疗投诉、纠纷，能协助招标方做好患者的协调工作，并承担一定的处理费用。若不能积极配合者，下次招标不予考虑。</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）外送软件与医院</w:t>
      </w:r>
      <w:r>
        <w:rPr>
          <w:rFonts w:ascii="宋体" w:hAnsi="宋体"/>
          <w:color w:val="000000"/>
          <w:szCs w:val="21"/>
        </w:rPr>
        <w:t>LIS</w:t>
      </w:r>
      <w:r>
        <w:rPr>
          <w:rFonts w:hint="eastAsia" w:ascii="宋体" w:hAnsi="宋体"/>
          <w:color w:val="000000"/>
          <w:szCs w:val="21"/>
        </w:rPr>
        <w:t>系统做好接口，结果实时自动准确导入，接口费用由中标人承担。</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）检测者需为检验技师及以上职称人员，复核者需为主管检验师及以上职称。投标时提供</w:t>
      </w:r>
      <w:r>
        <w:rPr>
          <w:rFonts w:hint="eastAsia" w:ascii="宋体" w:hAnsi="宋体" w:cs="宋体"/>
          <w:color w:val="000000"/>
          <w:szCs w:val="21"/>
        </w:rPr>
        <w:t>提供人员资质证书和社保机构出具的近6个月社保证明原件或近二年聘用合同。</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）合同期内，由于代理权限的转移或者公司注销等原因，中标人应以书面的形式说明原因并协助医院做好产品的延续工作。同时医院有权重新确定新中标人。</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）如中标人质量或服务不能达到规定要求，医院将终止合同并由中标人承担一切损失。</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）遵守保密制度，保护受检者的秘密，未经许可，不得向无关人员泄露受检者的检测情况，如有传染病阳性的报告，应负责及时报告给送检单位。</w:t>
      </w:r>
    </w:p>
    <w:p>
      <w:pPr>
        <w:spacing w:line="300" w:lineRule="exact"/>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对检测结果要求及违约处理</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）医院应在检测项目要求的规定时间内，协助中标人按照规定的方式对其所采集的检测标本进行前处理和存储。如因医院采集或处理存储不当造成检测标本不符检测要求的，由医院自行承担后果。</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）检测标本的交付：医院应将检测标本统一存放在双方约定的地点，并安排人员与中标人配送专员进行检测标本交接签收。</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因中标人未履行本合同约定的义务（包括但不限于未及时报送检测报告、检测结果不准确、检测标本毁损甚至丢失、检测标本及结果向第三方泄露），医院有权要求中标人支付违约金，违约金约定为合同期累计外包费用的</w:t>
      </w:r>
      <w:r>
        <w:rPr>
          <w:rFonts w:ascii="宋体" w:hAnsi="宋体"/>
          <w:color w:val="000000"/>
          <w:szCs w:val="21"/>
        </w:rPr>
        <w:t>1‰</w:t>
      </w:r>
      <w:r>
        <w:rPr>
          <w:rFonts w:hint="eastAsia" w:ascii="宋体" w:hAnsi="宋体"/>
          <w:color w:val="000000"/>
          <w:szCs w:val="21"/>
        </w:rPr>
        <w:t>，医院可直接从应付款项中扣除违约金。如果给对方造成损失的，应赔偿相应的损失。</w:t>
      </w:r>
    </w:p>
    <w:p>
      <w:pPr>
        <w:spacing w:line="300" w:lineRule="exact"/>
        <w:rPr>
          <w:rFonts w:ascii="宋体" w:hAnsi="宋体"/>
          <w:color w:val="000000"/>
          <w:szCs w:val="21"/>
        </w:rPr>
      </w:pPr>
      <w:r>
        <w:rPr>
          <w:rFonts w:hint="eastAsia" w:ascii="宋体" w:hAnsi="宋体"/>
          <w:color w:val="000000"/>
          <w:szCs w:val="21"/>
        </w:rPr>
        <w:t>（三）合同期限</w:t>
      </w:r>
      <w:r>
        <w:rPr>
          <w:rFonts w:ascii="宋体" w:hAnsi="宋体"/>
          <w:color w:val="000000"/>
          <w:szCs w:val="21"/>
        </w:rPr>
        <w:t>:</w:t>
      </w:r>
      <w:r>
        <w:rPr>
          <w:rFonts w:hint="eastAsia" w:ascii="宋体" w:hAnsi="宋体"/>
          <w:color w:val="000000"/>
          <w:szCs w:val="21"/>
        </w:rPr>
        <w:t>服务时间为合同签订后两年。</w:t>
      </w:r>
    </w:p>
    <w:p>
      <w:pPr>
        <w:spacing w:line="300" w:lineRule="exact"/>
        <w:rPr>
          <w:rFonts w:ascii="宋体" w:hAnsi="宋体"/>
          <w:color w:val="000000"/>
          <w:szCs w:val="21"/>
        </w:rPr>
      </w:pPr>
      <w:r>
        <w:rPr>
          <w:rFonts w:hint="eastAsia" w:ascii="宋体" w:hAnsi="宋体"/>
          <w:color w:val="000000"/>
          <w:szCs w:val="21"/>
        </w:rPr>
        <w:t>合同只签订单价，不定数量，数量由医院根据需求临时通知中标人。在合同期中所执行的价格必须与中标价格一致，在合同期执行期内不得随意变更。</w:t>
      </w:r>
    </w:p>
    <w:p>
      <w:pPr>
        <w:spacing w:line="300" w:lineRule="exact"/>
        <w:rPr>
          <w:rFonts w:ascii="宋体" w:hAnsi="宋体"/>
          <w:color w:val="000000"/>
          <w:szCs w:val="21"/>
        </w:rPr>
      </w:pPr>
      <w:r>
        <w:rPr>
          <w:rFonts w:hint="eastAsia" w:ascii="宋体" w:hAnsi="宋体"/>
          <w:color w:val="000000"/>
          <w:szCs w:val="21"/>
        </w:rPr>
        <w:t>（四）外包工作量确认：以中标人</w:t>
      </w:r>
      <w:r>
        <w:rPr>
          <w:rFonts w:ascii="宋体" w:hAnsi="宋体"/>
          <w:color w:val="000000"/>
          <w:szCs w:val="21"/>
        </w:rPr>
        <w:t>LIMS</w:t>
      </w:r>
      <w:r>
        <w:rPr>
          <w:rFonts w:hint="eastAsia" w:ascii="宋体" w:hAnsi="宋体"/>
          <w:color w:val="000000"/>
          <w:szCs w:val="21"/>
        </w:rPr>
        <w:t>系统项目检测清单和外送标本登记的签收记录为准，结算前应与医院确认。</w:t>
      </w:r>
    </w:p>
    <w:p>
      <w:pPr>
        <w:spacing w:line="300" w:lineRule="exact"/>
        <w:rPr>
          <w:rFonts w:ascii="宋体" w:hAnsi="宋体"/>
          <w:color w:val="000000"/>
          <w:szCs w:val="21"/>
        </w:rPr>
      </w:pPr>
      <w:r>
        <w:rPr>
          <w:rFonts w:hint="eastAsia" w:ascii="宋体" w:hAnsi="宋体"/>
          <w:color w:val="000000"/>
          <w:szCs w:val="21"/>
        </w:rPr>
        <w:t>（五）付款方式：次月</w:t>
      </w:r>
      <w:r>
        <w:rPr>
          <w:rFonts w:ascii="宋体" w:hAnsi="宋体"/>
          <w:color w:val="000000"/>
          <w:szCs w:val="21"/>
        </w:rPr>
        <w:t>30</w:t>
      </w:r>
      <w:r>
        <w:rPr>
          <w:rFonts w:hint="eastAsia" w:ascii="宋体" w:hAnsi="宋体"/>
          <w:color w:val="000000"/>
          <w:szCs w:val="21"/>
        </w:rPr>
        <w:t>日为费用结算日。全额付款。</w:t>
      </w:r>
    </w:p>
    <w:p>
      <w:pPr>
        <w:spacing w:line="300" w:lineRule="exact"/>
        <w:ind w:firstLine="105" w:firstLineChars="50"/>
        <w:rPr>
          <w:rFonts w:ascii="宋体" w:hAnsi="宋体"/>
          <w:color w:val="000000"/>
          <w:szCs w:val="21"/>
        </w:rPr>
      </w:pPr>
      <w:r>
        <w:rPr>
          <w:rFonts w:hint="eastAsia" w:ascii="宋体" w:hAnsi="宋体"/>
          <w:color w:val="000000"/>
          <w:szCs w:val="21"/>
        </w:rPr>
        <w:t>(六)签订合同前中标人先向医院缴纳履约保证金，金额为标的一：9.2万元，标的二：2.8万元，标的三： 1.58万元。履约保证金在合同履行完毕后退还。</w:t>
      </w:r>
    </w:p>
    <w:p>
      <w:pPr>
        <w:spacing w:line="300" w:lineRule="exact"/>
        <w:rPr>
          <w:rFonts w:ascii="宋体" w:hAnsi="宋体"/>
          <w:color w:val="000000"/>
          <w:szCs w:val="21"/>
        </w:rPr>
      </w:pPr>
      <w:r>
        <w:rPr>
          <w:rFonts w:hint="eastAsia" w:ascii="宋体" w:hAnsi="宋体"/>
          <w:color w:val="000000"/>
          <w:szCs w:val="21"/>
        </w:rPr>
        <w:t>（七）其他要求</w:t>
      </w:r>
    </w:p>
    <w:p>
      <w:pPr>
        <w:spacing w:line="300" w:lineRule="exact"/>
        <w:ind w:firstLine="105" w:firstLineChars="5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人应根据医院要求提供相关资质证明材料（包括但不限于仪器、试剂、校准品、质控品、人员资质、第三方评价证书、注册证及授权等），双方以此作为提供检验报告的依据。合同履行期间，医院视具体中标和使用需求情况，对个别项目产品进行适当调整，中标人应配合做好相关工作。</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）合同期内，若中标人累计三次无正当理由不能提供相应服务，医院有权取消合同。合同期内，医院可采取盲样考核或实地飞行检查方式验证结果的可靠性。</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）在合同履行期间如遇上级部门出台规定，合同标的需执行该规定，本合同自行终止，有关合同的遗留问题由双方协商解决。</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）合同期满后，在医院没有再次进行招标前，或因再次招标至中标人改变，原中标人必须协助医院做好衔接工作且供应价不变。合同期内，如有授权、法人等变更情况，医院有权中止合同。</w:t>
      </w:r>
    </w:p>
    <w:p>
      <w:pPr>
        <w:spacing w:line="300" w:lineRule="exac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）全面导入</w:t>
      </w:r>
      <w:r>
        <w:rPr>
          <w:rFonts w:ascii="宋体" w:hAnsi="宋体"/>
          <w:color w:val="000000"/>
          <w:szCs w:val="21"/>
        </w:rPr>
        <w:t>ISO15189</w:t>
      </w:r>
      <w:r>
        <w:rPr>
          <w:rFonts w:hint="eastAsia" w:ascii="宋体" w:hAnsi="宋体"/>
          <w:color w:val="000000"/>
          <w:szCs w:val="21"/>
        </w:rPr>
        <w:t>质量管理体系并协助质量体系的建设。</w:t>
      </w:r>
    </w:p>
    <w:p>
      <w:pPr>
        <w:spacing w:line="300" w:lineRule="exact"/>
        <w:rPr>
          <w:rFonts w:ascii="宋体" w:hAnsi="宋体"/>
          <w:color w:val="000000"/>
          <w:szCs w:val="21"/>
        </w:rPr>
      </w:pPr>
      <w:r>
        <w:rPr>
          <w:rFonts w:hint="eastAsia" w:ascii="宋体" w:hAnsi="宋体"/>
          <w:color w:val="000000"/>
          <w:szCs w:val="21"/>
        </w:rPr>
        <w:t>（6）标的一中标者至少提供2名工作人员在标本处理室处理相关工作。</w:t>
      </w:r>
    </w:p>
    <w:p>
      <w:pPr>
        <w:spacing w:line="300" w:lineRule="exact"/>
        <w:ind w:firstLine="200"/>
        <w:rPr>
          <w:rFonts w:ascii="宋体" w:hAnsi="宋体"/>
          <w:color w:val="000000"/>
          <w:szCs w:val="21"/>
        </w:rPr>
      </w:pPr>
      <w:r>
        <w:rPr>
          <w:rFonts w:hint="eastAsia" w:ascii="宋体" w:hAnsi="宋体"/>
          <w:color w:val="000000"/>
          <w:szCs w:val="21"/>
        </w:rPr>
        <w:t>★为实质性响应要求，如不满足将作无效投标处理。</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29"/>
      <w:bookmarkEnd w:id="27"/>
      <w:bookmarkStart w:id="28" w:name="_Toc184313253"/>
      <w:bookmarkEnd w:id="28"/>
      <w:bookmarkStart w:id="29" w:name="_Toc184312069"/>
      <w:bookmarkEnd w:id="29"/>
      <w:bookmarkStart w:id="30" w:name="_Toc184313280"/>
      <w:bookmarkEnd w:id="30"/>
      <w:bookmarkStart w:id="31" w:name="_Toc184310296"/>
      <w:bookmarkEnd w:id="31"/>
      <w:bookmarkStart w:id="32" w:name="_Toc184313306"/>
      <w:bookmarkEnd w:id="32"/>
      <w:bookmarkStart w:id="33" w:name="_Toc184308039"/>
      <w:bookmarkEnd w:id="33"/>
      <w:bookmarkStart w:id="34" w:name="_Toc184310299"/>
      <w:bookmarkEnd w:id="34"/>
      <w:bookmarkStart w:id="35" w:name="_Toc184314450"/>
      <w:bookmarkEnd w:id="35"/>
      <w:bookmarkStart w:id="36" w:name="_Toc184314449"/>
      <w:bookmarkEnd w:id="36"/>
      <w:bookmarkStart w:id="37" w:name="_Toc184313262"/>
      <w:bookmarkEnd w:id="37"/>
      <w:bookmarkStart w:id="38" w:name="_Toc184312067"/>
      <w:bookmarkEnd w:id="38"/>
      <w:bookmarkStart w:id="39" w:name="_Toc184312085"/>
      <w:bookmarkEnd w:id="39"/>
      <w:bookmarkStart w:id="40" w:name="_Toc184314428"/>
      <w:bookmarkEnd w:id="40"/>
      <w:bookmarkStart w:id="41" w:name="_Toc184310289"/>
      <w:bookmarkEnd w:id="41"/>
      <w:bookmarkStart w:id="42" w:name="_Toc184310297"/>
      <w:bookmarkEnd w:id="42"/>
      <w:bookmarkStart w:id="43" w:name="_Toc184313277"/>
      <w:bookmarkEnd w:id="43"/>
      <w:bookmarkStart w:id="44" w:name="_Toc184314478"/>
      <w:bookmarkEnd w:id="44"/>
      <w:bookmarkStart w:id="45" w:name="_Toc184312072"/>
      <w:bookmarkEnd w:id="45"/>
      <w:bookmarkStart w:id="46" w:name="_Toc184310339"/>
      <w:bookmarkEnd w:id="46"/>
      <w:bookmarkStart w:id="47" w:name="_Toc184312111"/>
      <w:bookmarkEnd w:id="47"/>
      <w:bookmarkStart w:id="48" w:name="_Toc184314414"/>
      <w:bookmarkEnd w:id="48"/>
      <w:bookmarkStart w:id="49" w:name="_Toc184310280"/>
      <w:bookmarkEnd w:id="49"/>
      <w:bookmarkStart w:id="50" w:name="_Toc184314472"/>
      <w:bookmarkEnd w:id="50"/>
      <w:bookmarkStart w:id="51" w:name="_Toc184312077"/>
      <w:bookmarkEnd w:id="51"/>
      <w:bookmarkStart w:id="52" w:name="_Toc184310318"/>
      <w:bookmarkEnd w:id="52"/>
      <w:bookmarkStart w:id="53" w:name="_Toc184312074"/>
      <w:bookmarkEnd w:id="53"/>
      <w:bookmarkStart w:id="54" w:name="_Toc184312075"/>
      <w:bookmarkEnd w:id="54"/>
      <w:bookmarkStart w:id="55" w:name="_Toc184313245"/>
      <w:bookmarkEnd w:id="55"/>
      <w:bookmarkStart w:id="56" w:name="_Toc184313282"/>
      <w:bookmarkEnd w:id="56"/>
      <w:bookmarkStart w:id="57" w:name="_Toc184310276"/>
      <w:bookmarkEnd w:id="57"/>
      <w:bookmarkStart w:id="58" w:name="_Toc184314448"/>
      <w:bookmarkEnd w:id="58"/>
      <w:bookmarkStart w:id="59" w:name="_Toc184310278"/>
      <w:bookmarkEnd w:id="59"/>
      <w:bookmarkStart w:id="60" w:name="_Toc184310344"/>
      <w:bookmarkEnd w:id="60"/>
      <w:bookmarkStart w:id="61" w:name="_Toc184314433"/>
      <w:bookmarkEnd w:id="61"/>
      <w:bookmarkStart w:id="62" w:name="_Toc184312092"/>
      <w:bookmarkEnd w:id="62"/>
      <w:bookmarkStart w:id="63" w:name="_Toc184308075"/>
      <w:bookmarkEnd w:id="63"/>
      <w:bookmarkStart w:id="64" w:name="_Toc184312082"/>
      <w:bookmarkEnd w:id="64"/>
      <w:bookmarkStart w:id="65" w:name="_Toc184308042"/>
      <w:bookmarkEnd w:id="65"/>
      <w:bookmarkStart w:id="66" w:name="_Toc184308059"/>
      <w:bookmarkEnd w:id="66"/>
      <w:bookmarkStart w:id="67" w:name="_Toc184314425"/>
      <w:bookmarkEnd w:id="67"/>
      <w:bookmarkStart w:id="68" w:name="_Toc184313261"/>
      <w:bookmarkEnd w:id="68"/>
      <w:bookmarkStart w:id="69" w:name="_Toc184308106"/>
      <w:bookmarkEnd w:id="69"/>
      <w:bookmarkStart w:id="70" w:name="_Toc184310277"/>
      <w:bookmarkEnd w:id="70"/>
      <w:bookmarkStart w:id="71" w:name="_Toc184308060"/>
      <w:bookmarkEnd w:id="71"/>
      <w:bookmarkStart w:id="72" w:name="_Toc184308062"/>
      <w:bookmarkEnd w:id="72"/>
      <w:bookmarkStart w:id="73" w:name="_Toc184313276"/>
      <w:bookmarkEnd w:id="73"/>
      <w:bookmarkStart w:id="74" w:name="_Toc184314477"/>
      <w:bookmarkEnd w:id="74"/>
      <w:bookmarkStart w:id="75" w:name="_Toc184310332"/>
      <w:bookmarkEnd w:id="75"/>
      <w:bookmarkStart w:id="76" w:name="_Toc184310287"/>
      <w:bookmarkEnd w:id="76"/>
      <w:bookmarkStart w:id="77" w:name="_Toc184310295"/>
      <w:bookmarkEnd w:id="77"/>
      <w:bookmarkStart w:id="78" w:name="_Toc184314471"/>
      <w:bookmarkEnd w:id="78"/>
      <w:bookmarkStart w:id="79" w:name="_Toc184308080"/>
      <w:bookmarkEnd w:id="79"/>
      <w:bookmarkStart w:id="80" w:name="_Toc184314424"/>
      <w:bookmarkEnd w:id="80"/>
      <w:bookmarkStart w:id="81" w:name="_Toc184310304"/>
      <w:bookmarkEnd w:id="81"/>
      <w:bookmarkStart w:id="82" w:name="_Toc184310321"/>
      <w:bookmarkEnd w:id="82"/>
      <w:bookmarkStart w:id="83" w:name="_Toc184314427"/>
      <w:bookmarkEnd w:id="83"/>
      <w:bookmarkStart w:id="84" w:name="_Toc184313290"/>
      <w:bookmarkEnd w:id="84"/>
      <w:bookmarkStart w:id="85" w:name="_Toc184312090"/>
      <w:bookmarkEnd w:id="85"/>
      <w:bookmarkStart w:id="86" w:name="_Toc184313296"/>
      <w:bookmarkEnd w:id="86"/>
      <w:bookmarkStart w:id="87" w:name="_Toc184313300"/>
      <w:bookmarkEnd w:id="87"/>
      <w:bookmarkStart w:id="88" w:name="_Toc184308036"/>
      <w:bookmarkEnd w:id="88"/>
      <w:bookmarkStart w:id="89" w:name="_Toc184314412"/>
      <w:bookmarkEnd w:id="89"/>
      <w:bookmarkStart w:id="90" w:name="_Toc184308098"/>
      <w:bookmarkEnd w:id="90"/>
      <w:bookmarkStart w:id="91" w:name="_Toc184313305"/>
      <w:bookmarkEnd w:id="91"/>
      <w:bookmarkStart w:id="92" w:name="_Toc184312129"/>
      <w:bookmarkEnd w:id="92"/>
      <w:bookmarkStart w:id="93" w:name="_Toc184308097"/>
      <w:bookmarkEnd w:id="93"/>
      <w:bookmarkStart w:id="94" w:name="_Toc184312134"/>
      <w:bookmarkEnd w:id="94"/>
      <w:bookmarkStart w:id="95" w:name="_Toc184308103"/>
      <w:bookmarkEnd w:id="95"/>
      <w:bookmarkStart w:id="96" w:name="_Toc184313304"/>
      <w:bookmarkEnd w:id="96"/>
      <w:bookmarkStart w:id="97" w:name="_Toc184314468"/>
      <w:bookmarkEnd w:id="97"/>
      <w:bookmarkStart w:id="98" w:name="_Toc184314469"/>
      <w:bookmarkEnd w:id="98"/>
      <w:bookmarkStart w:id="99" w:name="_Toc184308068"/>
      <w:bookmarkEnd w:id="99"/>
      <w:bookmarkStart w:id="100" w:name="_Toc184312091"/>
      <w:bookmarkEnd w:id="100"/>
      <w:bookmarkStart w:id="101" w:name="_Toc184308046"/>
      <w:bookmarkEnd w:id="101"/>
      <w:bookmarkStart w:id="102" w:name="_Toc184312130"/>
      <w:bookmarkEnd w:id="102"/>
      <w:bookmarkStart w:id="103" w:name="_Toc184312132"/>
      <w:bookmarkEnd w:id="103"/>
      <w:bookmarkStart w:id="104" w:name="_Toc184313299"/>
      <w:bookmarkEnd w:id="104"/>
      <w:bookmarkStart w:id="105" w:name="_Toc184314470"/>
      <w:bookmarkEnd w:id="105"/>
      <w:bookmarkStart w:id="106" w:name="_Toc184313285"/>
      <w:bookmarkEnd w:id="106"/>
      <w:bookmarkStart w:id="107" w:name="_Toc184310340"/>
      <w:bookmarkEnd w:id="107"/>
      <w:bookmarkStart w:id="108" w:name="_Toc184308076"/>
      <w:bookmarkEnd w:id="108"/>
      <w:bookmarkStart w:id="109" w:name="_Toc184312109"/>
      <w:bookmarkEnd w:id="109"/>
      <w:bookmarkStart w:id="110" w:name="_Toc184310330"/>
      <w:bookmarkEnd w:id="110"/>
      <w:bookmarkStart w:id="111" w:name="_Toc184314481"/>
      <w:bookmarkEnd w:id="111"/>
      <w:bookmarkStart w:id="112" w:name="_Toc184312128"/>
      <w:bookmarkEnd w:id="112"/>
      <w:bookmarkStart w:id="113" w:name="_Toc184312122"/>
      <w:bookmarkEnd w:id="113"/>
      <w:bookmarkStart w:id="114" w:name="_Toc184310329"/>
      <w:bookmarkEnd w:id="114"/>
      <w:bookmarkStart w:id="115" w:name="_Toc184308037"/>
      <w:bookmarkEnd w:id="115"/>
      <w:bookmarkStart w:id="116" w:name="_Toc184310334"/>
      <w:bookmarkEnd w:id="116"/>
      <w:bookmarkStart w:id="117" w:name="_Toc184314452"/>
      <w:bookmarkEnd w:id="117"/>
      <w:bookmarkStart w:id="118" w:name="_Toc184308092"/>
      <w:bookmarkEnd w:id="118"/>
      <w:bookmarkStart w:id="119" w:name="_Toc184308099"/>
      <w:bookmarkEnd w:id="119"/>
      <w:bookmarkStart w:id="120" w:name="_Toc184313297"/>
      <w:bookmarkEnd w:id="120"/>
      <w:bookmarkStart w:id="121" w:name="_Toc184313286"/>
      <w:bookmarkEnd w:id="121"/>
      <w:bookmarkStart w:id="122" w:name="_Toc184310338"/>
      <w:bookmarkEnd w:id="122"/>
      <w:bookmarkStart w:id="123" w:name="_Toc184312133"/>
      <w:bookmarkEnd w:id="123"/>
      <w:bookmarkStart w:id="124" w:name="_Toc184308095"/>
      <w:bookmarkEnd w:id="124"/>
      <w:bookmarkStart w:id="125" w:name="_Toc184308089"/>
      <w:bookmarkEnd w:id="125"/>
      <w:bookmarkStart w:id="126" w:name="_Toc184313288"/>
      <w:bookmarkEnd w:id="126"/>
      <w:bookmarkStart w:id="127" w:name="_Toc184308090"/>
      <w:bookmarkEnd w:id="127"/>
      <w:bookmarkStart w:id="128" w:name="_Toc184312120"/>
      <w:bookmarkEnd w:id="128"/>
      <w:bookmarkStart w:id="129" w:name="_Toc184310326"/>
      <w:bookmarkEnd w:id="129"/>
      <w:bookmarkStart w:id="130" w:name="_Toc184313294"/>
      <w:bookmarkEnd w:id="130"/>
      <w:bookmarkStart w:id="131" w:name="_Toc184314457"/>
      <w:bookmarkEnd w:id="131"/>
      <w:bookmarkStart w:id="132" w:name="_Toc184310331"/>
      <w:bookmarkEnd w:id="132"/>
      <w:bookmarkStart w:id="133" w:name="_Toc184308091"/>
      <w:bookmarkEnd w:id="133"/>
      <w:bookmarkStart w:id="134" w:name="_Toc184314463"/>
      <w:bookmarkEnd w:id="134"/>
      <w:bookmarkStart w:id="135" w:name="_Toc184308094"/>
      <w:bookmarkEnd w:id="135"/>
      <w:bookmarkStart w:id="136" w:name="_Toc184312127"/>
      <w:bookmarkEnd w:id="136"/>
      <w:bookmarkStart w:id="137" w:name="_Toc184310333"/>
      <w:bookmarkEnd w:id="137"/>
      <w:bookmarkStart w:id="138" w:name="_Toc184314467"/>
      <w:bookmarkEnd w:id="138"/>
      <w:bookmarkStart w:id="139" w:name="_Toc184312121"/>
      <w:bookmarkEnd w:id="139"/>
      <w:bookmarkStart w:id="140" w:name="_Toc184312107"/>
      <w:bookmarkEnd w:id="140"/>
      <w:bookmarkStart w:id="141" w:name="_Toc184312123"/>
      <w:bookmarkEnd w:id="141"/>
      <w:bookmarkStart w:id="142" w:name="_Toc184314466"/>
      <w:bookmarkEnd w:id="142"/>
      <w:bookmarkStart w:id="143" w:name="_Toc184314476"/>
      <w:bookmarkEnd w:id="143"/>
      <w:bookmarkStart w:id="144" w:name="_Toc184313298"/>
      <w:bookmarkEnd w:id="144"/>
      <w:bookmarkStart w:id="145" w:name="_Toc184308088"/>
      <w:bookmarkEnd w:id="145"/>
      <w:bookmarkStart w:id="146" w:name="_Toc184310325"/>
      <w:bookmarkEnd w:id="146"/>
      <w:bookmarkStart w:id="147" w:name="_Toc184312114"/>
      <w:bookmarkEnd w:id="147"/>
      <w:bookmarkStart w:id="148" w:name="_Toc184313248"/>
      <w:bookmarkEnd w:id="148"/>
      <w:bookmarkStart w:id="149" w:name="_Toc184312137"/>
      <w:bookmarkEnd w:id="149"/>
      <w:bookmarkStart w:id="150" w:name="_Toc184313241"/>
      <w:bookmarkEnd w:id="150"/>
      <w:bookmarkStart w:id="151" w:name="_Toc184308085"/>
      <w:bookmarkEnd w:id="151"/>
      <w:bookmarkStart w:id="152" w:name="_Toc184308093"/>
      <w:bookmarkEnd w:id="152"/>
      <w:bookmarkStart w:id="153" w:name="_Toc184308087"/>
      <w:bookmarkEnd w:id="153"/>
      <w:bookmarkStart w:id="154" w:name="_Toc184313250"/>
      <w:bookmarkEnd w:id="154"/>
      <w:bookmarkStart w:id="155" w:name="_Toc184308077"/>
      <w:bookmarkEnd w:id="155"/>
      <w:bookmarkStart w:id="156" w:name="_Toc184312105"/>
      <w:bookmarkEnd w:id="156"/>
      <w:bookmarkStart w:id="157" w:name="_Toc184314422"/>
      <w:bookmarkEnd w:id="157"/>
      <w:bookmarkStart w:id="158" w:name="_Toc184310313"/>
      <w:bookmarkEnd w:id="158"/>
      <w:bookmarkStart w:id="159" w:name="_Toc184314464"/>
      <w:bookmarkEnd w:id="159"/>
      <w:bookmarkStart w:id="160" w:name="_Toc184310327"/>
      <w:bookmarkEnd w:id="160"/>
      <w:bookmarkStart w:id="161" w:name="_Toc184314423"/>
      <w:bookmarkEnd w:id="161"/>
      <w:bookmarkStart w:id="162" w:name="_Toc184314480"/>
      <w:bookmarkEnd w:id="162"/>
      <w:bookmarkStart w:id="163" w:name="_Toc184314461"/>
      <w:bookmarkEnd w:id="163"/>
      <w:bookmarkStart w:id="164" w:name="_Toc184314479"/>
      <w:bookmarkEnd w:id="164"/>
      <w:bookmarkStart w:id="165" w:name="_Toc184313301"/>
      <w:bookmarkEnd w:id="165"/>
      <w:bookmarkStart w:id="166" w:name="_Toc184312093"/>
      <w:bookmarkEnd w:id="166"/>
      <w:bookmarkStart w:id="167" w:name="_Toc184314462"/>
      <w:bookmarkEnd w:id="167"/>
      <w:bookmarkStart w:id="168" w:name="_Toc184308063"/>
      <w:bookmarkEnd w:id="168"/>
      <w:bookmarkStart w:id="169" w:name="_Toc184312101"/>
      <w:bookmarkEnd w:id="169"/>
      <w:bookmarkStart w:id="170" w:name="_Toc184313258"/>
      <w:bookmarkEnd w:id="170"/>
      <w:bookmarkStart w:id="171" w:name="_Toc184313255"/>
      <w:bookmarkEnd w:id="171"/>
      <w:bookmarkStart w:id="172" w:name="_Toc184313240"/>
      <w:bookmarkEnd w:id="172"/>
      <w:bookmarkStart w:id="173" w:name="_Toc184314439"/>
      <w:bookmarkEnd w:id="173"/>
      <w:bookmarkStart w:id="174" w:name="_Toc184313268"/>
      <w:bookmarkEnd w:id="174"/>
      <w:bookmarkStart w:id="175" w:name="_Toc184310305"/>
      <w:bookmarkEnd w:id="175"/>
      <w:bookmarkStart w:id="176" w:name="_Toc184313283"/>
      <w:bookmarkEnd w:id="176"/>
      <w:bookmarkStart w:id="177" w:name="_Toc184308069"/>
      <w:bookmarkEnd w:id="177"/>
      <w:bookmarkStart w:id="178" w:name="_Toc184310300"/>
      <w:bookmarkEnd w:id="178"/>
      <w:bookmarkStart w:id="179" w:name="_Toc184308082"/>
      <w:bookmarkEnd w:id="179"/>
      <w:bookmarkStart w:id="180" w:name="_Toc184308078"/>
      <w:bookmarkEnd w:id="180"/>
      <w:bookmarkStart w:id="181" w:name="_Toc184313281"/>
      <w:bookmarkEnd w:id="181"/>
      <w:bookmarkStart w:id="182" w:name="_Toc184310308"/>
      <w:bookmarkEnd w:id="182"/>
      <w:bookmarkStart w:id="183" w:name="_Toc184313269"/>
      <w:bookmarkEnd w:id="183"/>
      <w:bookmarkStart w:id="184" w:name="_Toc184313271"/>
      <w:bookmarkEnd w:id="184"/>
      <w:bookmarkStart w:id="185" w:name="_Toc184310310"/>
      <w:bookmarkEnd w:id="185"/>
      <w:bookmarkStart w:id="186" w:name="_Toc184310293"/>
      <w:bookmarkEnd w:id="186"/>
      <w:bookmarkStart w:id="187" w:name="_Toc184314426"/>
      <w:bookmarkEnd w:id="187"/>
      <w:bookmarkStart w:id="188" w:name="_Toc184313257"/>
      <w:bookmarkEnd w:id="188"/>
      <w:bookmarkStart w:id="189" w:name="_Toc184313267"/>
      <w:bookmarkEnd w:id="189"/>
      <w:bookmarkStart w:id="190" w:name="_Toc184308047"/>
      <w:bookmarkEnd w:id="190"/>
      <w:bookmarkStart w:id="191" w:name="_Toc184310302"/>
      <w:bookmarkEnd w:id="191"/>
      <w:bookmarkStart w:id="192" w:name="_Toc184312100"/>
      <w:bookmarkEnd w:id="192"/>
      <w:bookmarkStart w:id="193" w:name="_Toc184308052"/>
      <w:bookmarkEnd w:id="193"/>
      <w:bookmarkStart w:id="194" w:name="_Toc184312103"/>
      <w:bookmarkEnd w:id="194"/>
      <w:bookmarkStart w:id="195" w:name="_Toc184310282"/>
      <w:bookmarkEnd w:id="195"/>
      <w:bookmarkStart w:id="196" w:name="_Toc184310301"/>
      <w:bookmarkEnd w:id="196"/>
      <w:bookmarkStart w:id="197" w:name="_Toc184314443"/>
      <w:bookmarkEnd w:id="197"/>
      <w:bookmarkStart w:id="198" w:name="_Toc184313273"/>
      <w:bookmarkEnd w:id="198"/>
      <w:bookmarkStart w:id="199" w:name="_Toc184314446"/>
      <w:bookmarkEnd w:id="199"/>
      <w:bookmarkStart w:id="200" w:name="_Toc184312124"/>
      <w:bookmarkEnd w:id="200"/>
      <w:bookmarkStart w:id="201" w:name="_Toc184313302"/>
      <w:bookmarkEnd w:id="201"/>
      <w:bookmarkStart w:id="202" w:name="_Toc184312126"/>
      <w:bookmarkEnd w:id="202"/>
      <w:bookmarkStart w:id="203" w:name="_Toc184313293"/>
      <w:bookmarkEnd w:id="203"/>
      <w:bookmarkStart w:id="204" w:name="_Toc184310309"/>
      <w:bookmarkEnd w:id="204"/>
      <w:bookmarkStart w:id="205" w:name="_Toc184313310"/>
      <w:bookmarkEnd w:id="205"/>
      <w:bookmarkStart w:id="206" w:name="_Toc184310328"/>
      <w:bookmarkEnd w:id="206"/>
      <w:bookmarkStart w:id="207" w:name="_Toc184314421"/>
      <w:bookmarkEnd w:id="207"/>
      <w:bookmarkStart w:id="208" w:name="_Toc184312138"/>
      <w:bookmarkEnd w:id="208"/>
      <w:bookmarkStart w:id="209" w:name="_Toc184313274"/>
      <w:bookmarkEnd w:id="209"/>
      <w:bookmarkStart w:id="210" w:name="_Toc184310286"/>
      <w:bookmarkEnd w:id="210"/>
      <w:bookmarkStart w:id="211" w:name="_Toc184312108"/>
      <w:bookmarkEnd w:id="211"/>
      <w:bookmarkStart w:id="212" w:name="_Toc184312071"/>
      <w:bookmarkEnd w:id="212"/>
      <w:bookmarkStart w:id="213" w:name="_Toc184314441"/>
      <w:bookmarkEnd w:id="213"/>
      <w:bookmarkStart w:id="214" w:name="_Toc184314451"/>
      <w:bookmarkEnd w:id="214"/>
      <w:bookmarkStart w:id="215" w:name="_Toc184310285"/>
      <w:bookmarkEnd w:id="215"/>
      <w:bookmarkStart w:id="216" w:name="_Toc184312099"/>
      <w:bookmarkEnd w:id="216"/>
      <w:bookmarkStart w:id="217" w:name="_Toc184313279"/>
      <w:bookmarkEnd w:id="217"/>
      <w:bookmarkStart w:id="218" w:name="_Toc184313252"/>
      <w:bookmarkEnd w:id="218"/>
      <w:bookmarkStart w:id="219" w:name="_Toc184312080"/>
      <w:bookmarkEnd w:id="219"/>
      <w:bookmarkStart w:id="220" w:name="_Toc184314465"/>
      <w:bookmarkEnd w:id="220"/>
      <w:bookmarkStart w:id="221" w:name="_Toc184313242"/>
      <w:bookmarkEnd w:id="221"/>
      <w:bookmarkStart w:id="222" w:name="_Toc184310324"/>
      <w:bookmarkEnd w:id="222"/>
      <w:bookmarkStart w:id="223" w:name="_Toc184314436"/>
      <w:bookmarkEnd w:id="223"/>
      <w:bookmarkStart w:id="224" w:name="_Toc184312118"/>
      <w:bookmarkEnd w:id="224"/>
      <w:bookmarkStart w:id="225" w:name="_Toc184312119"/>
      <w:bookmarkEnd w:id="225"/>
      <w:bookmarkStart w:id="226" w:name="_Toc184313289"/>
      <w:bookmarkEnd w:id="226"/>
      <w:bookmarkStart w:id="227" w:name="_Toc184308102"/>
      <w:bookmarkEnd w:id="227"/>
      <w:bookmarkStart w:id="228" w:name="_Toc184312136"/>
      <w:bookmarkEnd w:id="228"/>
      <w:bookmarkStart w:id="229" w:name="_Toc184314456"/>
      <w:bookmarkEnd w:id="229"/>
      <w:bookmarkStart w:id="230" w:name="_Toc184312113"/>
      <w:bookmarkEnd w:id="230"/>
      <w:bookmarkStart w:id="231" w:name="_Toc184314419"/>
      <w:bookmarkEnd w:id="231"/>
      <w:bookmarkStart w:id="232" w:name="_Toc184310311"/>
      <w:bookmarkEnd w:id="232"/>
      <w:bookmarkStart w:id="233" w:name="_Toc184313308"/>
      <w:bookmarkEnd w:id="233"/>
      <w:bookmarkStart w:id="234" w:name="_Toc184312081"/>
      <w:bookmarkEnd w:id="234"/>
      <w:bookmarkStart w:id="235" w:name="_Toc184314442"/>
      <w:bookmarkEnd w:id="235"/>
      <w:bookmarkStart w:id="236" w:name="_Toc184310337"/>
      <w:bookmarkEnd w:id="236"/>
      <w:bookmarkStart w:id="237" w:name="_Toc184312078"/>
      <w:bookmarkEnd w:id="237"/>
      <w:bookmarkStart w:id="238" w:name="_Toc184313249"/>
      <w:bookmarkEnd w:id="238"/>
      <w:bookmarkStart w:id="239" w:name="_Toc184308083"/>
      <w:bookmarkEnd w:id="239"/>
      <w:bookmarkStart w:id="240" w:name="_Toc184313239"/>
      <w:bookmarkEnd w:id="240"/>
      <w:bookmarkStart w:id="241" w:name="_Toc184313247"/>
      <w:bookmarkEnd w:id="241"/>
      <w:bookmarkStart w:id="242" w:name="_Toc184312083"/>
      <w:bookmarkEnd w:id="242"/>
      <w:bookmarkStart w:id="243" w:name="_Toc184308065"/>
      <w:bookmarkEnd w:id="243"/>
      <w:bookmarkStart w:id="244" w:name="_Toc184314475"/>
      <w:bookmarkEnd w:id="244"/>
      <w:bookmarkStart w:id="245" w:name="_Toc184310307"/>
      <w:bookmarkEnd w:id="245"/>
      <w:bookmarkStart w:id="246" w:name="_Toc184308072"/>
      <w:bookmarkEnd w:id="246"/>
      <w:bookmarkStart w:id="247" w:name="_Toc184308051"/>
      <w:bookmarkEnd w:id="247"/>
      <w:bookmarkStart w:id="248" w:name="_Toc184308107"/>
      <w:bookmarkEnd w:id="248"/>
      <w:bookmarkStart w:id="249" w:name="_Toc184312131"/>
      <w:bookmarkEnd w:id="249"/>
      <w:bookmarkStart w:id="250" w:name="_Toc184312104"/>
      <w:bookmarkEnd w:id="250"/>
      <w:bookmarkStart w:id="251" w:name="_Toc184314482"/>
      <w:bookmarkEnd w:id="251"/>
      <w:bookmarkStart w:id="252" w:name="_Toc184310319"/>
      <w:bookmarkEnd w:id="252"/>
      <w:bookmarkStart w:id="253" w:name="_Toc184314410"/>
      <w:bookmarkEnd w:id="253"/>
      <w:bookmarkStart w:id="254" w:name="_Toc184314460"/>
      <w:bookmarkEnd w:id="254"/>
      <w:bookmarkStart w:id="255" w:name="_Toc184312068"/>
      <w:bookmarkEnd w:id="255"/>
      <w:bookmarkStart w:id="256" w:name="_Toc184310273"/>
      <w:bookmarkEnd w:id="256"/>
      <w:bookmarkStart w:id="257" w:name="_Toc184314434"/>
      <w:bookmarkEnd w:id="257"/>
      <w:bookmarkStart w:id="258" w:name="_Toc184308058"/>
      <w:bookmarkEnd w:id="258"/>
      <w:bookmarkStart w:id="259" w:name="_Toc184308055"/>
      <w:bookmarkEnd w:id="259"/>
      <w:bookmarkStart w:id="260" w:name="_Toc184312097"/>
      <w:bookmarkEnd w:id="260"/>
      <w:bookmarkStart w:id="261" w:name="_Toc184313266"/>
      <w:bookmarkEnd w:id="261"/>
      <w:bookmarkStart w:id="262" w:name="_Toc184312087"/>
      <w:bookmarkEnd w:id="262"/>
      <w:bookmarkStart w:id="263" w:name="_Toc184310323"/>
      <w:bookmarkEnd w:id="263"/>
      <w:bookmarkStart w:id="264" w:name="_Toc184308086"/>
      <w:bookmarkEnd w:id="264"/>
      <w:bookmarkStart w:id="265" w:name="_Toc184314453"/>
      <w:bookmarkEnd w:id="265"/>
      <w:bookmarkStart w:id="266" w:name="_Toc184313295"/>
      <w:bookmarkEnd w:id="266"/>
      <w:bookmarkStart w:id="267" w:name="_Toc184308048"/>
      <w:bookmarkEnd w:id="267"/>
      <w:bookmarkStart w:id="268" w:name="_Toc184312139"/>
      <w:bookmarkEnd w:id="268"/>
      <w:bookmarkStart w:id="269" w:name="_Toc184313272"/>
      <w:bookmarkEnd w:id="269"/>
      <w:bookmarkStart w:id="270" w:name="_Toc184308079"/>
      <w:bookmarkEnd w:id="270"/>
      <w:bookmarkStart w:id="271" w:name="_Toc184310284"/>
      <w:bookmarkEnd w:id="271"/>
      <w:bookmarkStart w:id="272" w:name="_Toc184314440"/>
      <w:bookmarkEnd w:id="272"/>
      <w:bookmarkStart w:id="273" w:name="_Toc184312079"/>
      <w:bookmarkEnd w:id="273"/>
      <w:bookmarkStart w:id="274" w:name="_Toc184312102"/>
      <w:bookmarkEnd w:id="274"/>
      <w:bookmarkStart w:id="275" w:name="_Toc184310343"/>
      <w:bookmarkEnd w:id="275"/>
      <w:bookmarkStart w:id="276" w:name="_Toc184314444"/>
      <w:bookmarkEnd w:id="276"/>
      <w:bookmarkStart w:id="277" w:name="_Toc184312096"/>
      <w:bookmarkEnd w:id="277"/>
      <w:bookmarkStart w:id="278" w:name="_Toc184308071"/>
      <w:bookmarkEnd w:id="278"/>
      <w:bookmarkStart w:id="279" w:name="_Toc184314420"/>
      <w:bookmarkEnd w:id="279"/>
      <w:bookmarkStart w:id="280" w:name="_Toc184310303"/>
      <w:bookmarkEnd w:id="280"/>
      <w:bookmarkStart w:id="281" w:name="_Toc184308108"/>
      <w:bookmarkEnd w:id="281"/>
      <w:bookmarkStart w:id="282" w:name="_Toc184313291"/>
      <w:bookmarkEnd w:id="282"/>
      <w:bookmarkStart w:id="283" w:name="_Toc184308100"/>
      <w:bookmarkEnd w:id="283"/>
      <w:bookmarkStart w:id="284" w:name="_Toc184313264"/>
      <w:bookmarkEnd w:id="284"/>
      <w:bookmarkStart w:id="285" w:name="_Toc184314445"/>
      <w:bookmarkEnd w:id="285"/>
      <w:bookmarkStart w:id="286" w:name="_Toc184313238"/>
      <w:bookmarkEnd w:id="286"/>
      <w:bookmarkStart w:id="287" w:name="_Toc184308070"/>
      <w:bookmarkEnd w:id="287"/>
      <w:bookmarkStart w:id="288" w:name="_Toc184310283"/>
      <w:bookmarkEnd w:id="288"/>
      <w:bookmarkStart w:id="289" w:name="_Toc184313270"/>
      <w:bookmarkEnd w:id="289"/>
      <w:bookmarkStart w:id="290" w:name="_Toc184308084"/>
      <w:bookmarkEnd w:id="290"/>
      <w:bookmarkStart w:id="291" w:name="_Toc184310306"/>
      <w:bookmarkEnd w:id="291"/>
      <w:bookmarkStart w:id="292" w:name="_Toc184314411"/>
      <w:bookmarkEnd w:id="292"/>
      <w:bookmarkStart w:id="293" w:name="_Toc184312073"/>
      <w:bookmarkEnd w:id="293"/>
      <w:bookmarkStart w:id="294" w:name="_Toc184313246"/>
      <w:bookmarkEnd w:id="294"/>
      <w:bookmarkStart w:id="295" w:name="_Toc184314418"/>
      <w:bookmarkEnd w:id="295"/>
      <w:bookmarkStart w:id="296" w:name="_Toc184310290"/>
      <w:bookmarkEnd w:id="296"/>
      <w:bookmarkStart w:id="297" w:name="_Toc184314474"/>
      <w:bookmarkEnd w:id="297"/>
      <w:bookmarkStart w:id="298" w:name="_Toc184308038"/>
      <w:bookmarkEnd w:id="298"/>
      <w:bookmarkStart w:id="299" w:name="_Toc184313260"/>
      <w:bookmarkEnd w:id="299"/>
      <w:bookmarkStart w:id="300" w:name="_Toc184308105"/>
      <w:bookmarkEnd w:id="300"/>
      <w:bookmarkStart w:id="301" w:name="_Toc184308043"/>
      <w:bookmarkEnd w:id="301"/>
      <w:bookmarkStart w:id="302" w:name="_Toc184308104"/>
      <w:bookmarkEnd w:id="302"/>
      <w:bookmarkStart w:id="303" w:name="_Toc184310274"/>
      <w:bookmarkEnd w:id="303"/>
      <w:bookmarkStart w:id="304" w:name="_Toc184310335"/>
      <w:bookmarkEnd w:id="304"/>
      <w:bookmarkStart w:id="305" w:name="_Toc184314417"/>
      <w:bookmarkEnd w:id="305"/>
      <w:bookmarkStart w:id="306" w:name="_Toc184310342"/>
      <w:bookmarkEnd w:id="306"/>
      <w:bookmarkStart w:id="307" w:name="_Toc184310279"/>
      <w:bookmarkEnd w:id="307"/>
      <w:bookmarkStart w:id="308" w:name="_Toc184313244"/>
      <w:bookmarkEnd w:id="308"/>
      <w:bookmarkStart w:id="309" w:name="_Toc184314416"/>
      <w:bookmarkEnd w:id="309"/>
      <w:bookmarkStart w:id="310" w:name="_Toc184310312"/>
      <w:bookmarkEnd w:id="310"/>
      <w:bookmarkStart w:id="311" w:name="_Toc184310316"/>
      <w:bookmarkEnd w:id="311"/>
      <w:bookmarkStart w:id="312" w:name="_Toc184308044"/>
      <w:bookmarkEnd w:id="312"/>
      <w:bookmarkStart w:id="313" w:name="_Toc184312076"/>
      <w:bookmarkEnd w:id="313"/>
      <w:bookmarkStart w:id="314" w:name="_Toc184310272"/>
      <w:bookmarkEnd w:id="314"/>
      <w:bookmarkStart w:id="315" w:name="_Toc184314415"/>
      <w:bookmarkEnd w:id="315"/>
      <w:bookmarkStart w:id="316" w:name="_Toc184308041"/>
      <w:bookmarkEnd w:id="316"/>
      <w:bookmarkStart w:id="317" w:name="_Toc184308040"/>
      <w:bookmarkEnd w:id="317"/>
      <w:bookmarkStart w:id="318" w:name="_Toc184312088"/>
      <w:bookmarkEnd w:id="318"/>
      <w:bookmarkStart w:id="319" w:name="_Toc184314473"/>
      <w:bookmarkEnd w:id="319"/>
      <w:bookmarkStart w:id="320" w:name="_Toc184310291"/>
      <w:bookmarkEnd w:id="320"/>
      <w:bookmarkStart w:id="321" w:name="_Toc184308057"/>
      <w:bookmarkEnd w:id="321"/>
      <w:bookmarkStart w:id="322" w:name="_Toc184310341"/>
      <w:bookmarkEnd w:id="322"/>
      <w:bookmarkStart w:id="323" w:name="_Toc184312095"/>
      <w:bookmarkEnd w:id="323"/>
      <w:bookmarkStart w:id="324" w:name="_Toc184313259"/>
      <w:bookmarkEnd w:id="324"/>
      <w:bookmarkStart w:id="325" w:name="_Toc184310315"/>
      <w:bookmarkEnd w:id="325"/>
      <w:bookmarkStart w:id="326" w:name="_Toc184313254"/>
      <w:bookmarkEnd w:id="326"/>
      <w:bookmarkStart w:id="327" w:name="_Toc184312084"/>
      <w:bookmarkEnd w:id="327"/>
      <w:bookmarkStart w:id="328" w:name="_Toc184312106"/>
      <w:bookmarkEnd w:id="328"/>
      <w:bookmarkStart w:id="329" w:name="_Toc184314447"/>
      <w:bookmarkEnd w:id="329"/>
      <w:bookmarkStart w:id="330" w:name="_Toc184308074"/>
      <w:bookmarkEnd w:id="330"/>
      <w:bookmarkStart w:id="331" w:name="_Toc184312098"/>
      <w:bookmarkEnd w:id="331"/>
      <w:bookmarkStart w:id="332" w:name="_Toc184314432"/>
      <w:bookmarkEnd w:id="332"/>
      <w:bookmarkStart w:id="333" w:name="_Toc184308064"/>
      <w:bookmarkEnd w:id="333"/>
      <w:bookmarkStart w:id="334" w:name="_Toc184308096"/>
      <w:bookmarkEnd w:id="334"/>
      <w:bookmarkStart w:id="335" w:name="_Toc184308050"/>
      <w:bookmarkEnd w:id="335"/>
      <w:bookmarkStart w:id="336" w:name="_Toc184313309"/>
      <w:bookmarkEnd w:id="336"/>
      <w:bookmarkStart w:id="337" w:name="_Toc184308045"/>
      <w:bookmarkEnd w:id="337"/>
      <w:bookmarkStart w:id="338" w:name="_Toc184313284"/>
      <w:bookmarkEnd w:id="338"/>
      <w:bookmarkStart w:id="339" w:name="_Toc184312110"/>
      <w:bookmarkEnd w:id="339"/>
      <w:bookmarkStart w:id="340" w:name="_Toc184312089"/>
      <w:bookmarkEnd w:id="340"/>
      <w:bookmarkStart w:id="341" w:name="_Toc184313265"/>
      <w:bookmarkEnd w:id="341"/>
      <w:bookmarkStart w:id="342" w:name="_Toc184312125"/>
      <w:bookmarkEnd w:id="342"/>
      <w:bookmarkStart w:id="343" w:name="_Toc184310320"/>
      <w:bookmarkEnd w:id="343"/>
      <w:bookmarkStart w:id="344" w:name="_Toc184313243"/>
      <w:bookmarkEnd w:id="344"/>
      <w:bookmarkStart w:id="345" w:name="_Toc184313278"/>
      <w:bookmarkEnd w:id="345"/>
      <w:bookmarkStart w:id="346" w:name="_Toc184314435"/>
      <w:bookmarkEnd w:id="346"/>
      <w:bookmarkStart w:id="347" w:name="_Toc184310294"/>
      <w:bookmarkEnd w:id="347"/>
      <w:bookmarkStart w:id="348" w:name="_Toc184314437"/>
      <w:bookmarkEnd w:id="348"/>
      <w:bookmarkStart w:id="349" w:name="_Toc184308073"/>
      <w:bookmarkEnd w:id="349"/>
      <w:bookmarkStart w:id="350" w:name="_Toc184308066"/>
      <w:bookmarkEnd w:id="350"/>
      <w:bookmarkStart w:id="351" w:name="_Toc184313256"/>
      <w:bookmarkEnd w:id="351"/>
      <w:bookmarkStart w:id="352" w:name="_Toc184310314"/>
      <w:bookmarkEnd w:id="352"/>
      <w:bookmarkStart w:id="353" w:name="_Toc184314438"/>
      <w:bookmarkEnd w:id="353"/>
      <w:bookmarkStart w:id="354" w:name="_Toc184314431"/>
      <w:bookmarkEnd w:id="354"/>
      <w:bookmarkStart w:id="355" w:name="_Toc184308067"/>
      <w:bookmarkEnd w:id="355"/>
      <w:bookmarkStart w:id="356" w:name="_Toc184308061"/>
      <w:bookmarkEnd w:id="356"/>
      <w:bookmarkStart w:id="357" w:name="_Toc184312070"/>
      <w:bookmarkEnd w:id="357"/>
      <w:bookmarkStart w:id="358" w:name="_Toc184312135"/>
      <w:bookmarkEnd w:id="358"/>
      <w:bookmarkStart w:id="359" w:name="_Toc184314455"/>
      <w:bookmarkEnd w:id="359"/>
      <w:bookmarkStart w:id="360" w:name="_Toc184312117"/>
      <w:bookmarkEnd w:id="360"/>
      <w:bookmarkStart w:id="361" w:name="_Toc184312094"/>
      <w:bookmarkEnd w:id="361"/>
      <w:bookmarkStart w:id="362" w:name="_Toc184313303"/>
      <w:bookmarkEnd w:id="362"/>
      <w:bookmarkStart w:id="363" w:name="_Toc184312115"/>
      <w:bookmarkEnd w:id="363"/>
      <w:bookmarkStart w:id="364" w:name="_Toc184310317"/>
      <w:bookmarkEnd w:id="364"/>
      <w:bookmarkStart w:id="365" w:name="_Toc184310336"/>
      <w:bookmarkEnd w:id="365"/>
      <w:bookmarkStart w:id="366" w:name="_Toc184310281"/>
      <w:bookmarkEnd w:id="366"/>
      <w:bookmarkStart w:id="367" w:name="_Toc184308053"/>
      <w:bookmarkEnd w:id="367"/>
      <w:bookmarkStart w:id="368" w:name="_Toc184314430"/>
      <w:bookmarkEnd w:id="368"/>
      <w:bookmarkStart w:id="369" w:name="_Toc184310322"/>
      <w:bookmarkEnd w:id="369"/>
      <w:bookmarkStart w:id="370" w:name="_Toc184313251"/>
      <w:bookmarkEnd w:id="370"/>
      <w:bookmarkStart w:id="371" w:name="_Toc184310292"/>
      <w:bookmarkEnd w:id="371"/>
      <w:bookmarkStart w:id="372" w:name="_Toc184314454"/>
      <w:bookmarkEnd w:id="372"/>
      <w:bookmarkStart w:id="373" w:name="_Toc184313307"/>
      <w:bookmarkEnd w:id="373"/>
      <w:bookmarkStart w:id="374" w:name="_Toc184314458"/>
      <w:bookmarkEnd w:id="374"/>
      <w:bookmarkStart w:id="375" w:name="_Toc184308101"/>
      <w:bookmarkEnd w:id="375"/>
      <w:bookmarkStart w:id="376" w:name="_Toc184310298"/>
      <w:bookmarkEnd w:id="376"/>
      <w:bookmarkStart w:id="377" w:name="_Toc184308081"/>
      <w:bookmarkEnd w:id="377"/>
      <w:bookmarkStart w:id="378" w:name="_Toc184310288"/>
      <w:bookmarkEnd w:id="378"/>
      <w:bookmarkStart w:id="379" w:name="_Toc184313292"/>
      <w:bookmarkEnd w:id="379"/>
      <w:bookmarkStart w:id="380" w:name="_Toc184308056"/>
      <w:bookmarkEnd w:id="380"/>
      <w:bookmarkStart w:id="381" w:name="_Toc184312086"/>
      <w:bookmarkEnd w:id="381"/>
      <w:bookmarkStart w:id="382" w:name="_Toc184313287"/>
      <w:bookmarkEnd w:id="382"/>
      <w:bookmarkStart w:id="383" w:name="_Toc184313275"/>
      <w:bookmarkEnd w:id="383"/>
      <w:bookmarkStart w:id="384" w:name="_Toc184310275"/>
      <w:bookmarkEnd w:id="384"/>
      <w:bookmarkStart w:id="385" w:name="_Toc184308054"/>
      <w:bookmarkEnd w:id="385"/>
      <w:bookmarkStart w:id="386" w:name="_Toc184314459"/>
      <w:bookmarkEnd w:id="386"/>
      <w:bookmarkStart w:id="387" w:name="_Toc184313263"/>
      <w:bookmarkEnd w:id="387"/>
      <w:bookmarkStart w:id="388" w:name="_Toc184312112"/>
      <w:bookmarkEnd w:id="388"/>
      <w:bookmarkStart w:id="389" w:name="_Toc184312116"/>
      <w:bookmarkEnd w:id="389"/>
      <w:bookmarkStart w:id="390" w:name="_Toc184308049"/>
      <w:bookmarkEnd w:id="390"/>
      <w:bookmarkStart w:id="391" w:name="_Toc184314413"/>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w:t>
      </w:r>
      <w:r>
        <w:rPr>
          <w:rFonts w:hint="eastAsia" w:ascii="仿宋_GB2312" w:hAnsi="仿宋" w:eastAsia="仿宋_GB2312" w:cs="Arial"/>
          <w:kern w:val="0"/>
          <w:sz w:val="24"/>
          <w:lang w:eastAsia="zh-CN"/>
        </w:rPr>
        <w:t>评标基准折扣率</w:t>
      </w:r>
      <w:r>
        <w:rPr>
          <w:rFonts w:hint="eastAsia" w:ascii="仿宋_GB2312" w:hAnsi="仿宋" w:eastAsia="仿宋_GB2312" w:cs="Arial"/>
          <w:kern w:val="0"/>
          <w:sz w:val="24"/>
        </w:rPr>
        <w:t>/投标</w:t>
      </w:r>
      <w:r>
        <w:rPr>
          <w:rFonts w:hint="eastAsia" w:ascii="仿宋_GB2312" w:hAnsi="仿宋" w:eastAsia="仿宋_GB2312" w:cs="Arial"/>
          <w:kern w:val="0"/>
          <w:sz w:val="24"/>
          <w:lang w:eastAsia="zh-CN"/>
        </w:rPr>
        <w:t>折扣率</w:t>
      </w:r>
      <w:r>
        <w:rPr>
          <w:rFonts w:hint="eastAsia" w:ascii="仿宋_GB2312" w:hAnsi="仿宋" w:eastAsia="仿宋_GB2312" w:cs="Arial"/>
          <w:kern w:val="0"/>
          <w:sz w:val="24"/>
        </w:rPr>
        <w:t>）*价格权值*100，评标基准</w:t>
      </w:r>
      <w:r>
        <w:rPr>
          <w:rFonts w:hint="eastAsia" w:ascii="仿宋_GB2312" w:hAnsi="仿宋" w:eastAsia="仿宋_GB2312" w:cs="Arial"/>
          <w:kern w:val="0"/>
          <w:sz w:val="24"/>
          <w:lang w:eastAsia="zh-CN"/>
        </w:rPr>
        <w:t>折扣率</w:t>
      </w:r>
      <w:r>
        <w:rPr>
          <w:rFonts w:hint="eastAsia" w:ascii="仿宋_GB2312" w:hAnsi="仿宋" w:eastAsia="仿宋_GB2312" w:cs="Arial"/>
          <w:kern w:val="0"/>
          <w:sz w:val="24"/>
        </w:rPr>
        <w:t>=有效投标人的最低投标</w:t>
      </w:r>
      <w:r>
        <w:rPr>
          <w:rFonts w:hint="eastAsia" w:ascii="仿宋_GB2312" w:hAnsi="仿宋" w:eastAsia="仿宋_GB2312" w:cs="Arial"/>
          <w:kern w:val="0"/>
          <w:sz w:val="24"/>
          <w:lang w:eastAsia="zh-CN"/>
        </w:rPr>
        <w:t>折扣率</w:t>
      </w:r>
      <w:r>
        <w:rPr>
          <w:rFonts w:hint="eastAsia" w:ascii="仿宋_GB2312" w:hAnsi="仿宋" w:eastAsia="仿宋_GB2312" w:cs="Arial"/>
          <w:kern w:val="0"/>
          <w:sz w:val="24"/>
        </w:rPr>
        <w:t>，价格权值=</w:t>
      </w:r>
      <w:r>
        <w:rPr>
          <w:rFonts w:ascii="仿宋_GB2312" w:hAnsi="仿宋" w:eastAsia="仿宋_GB2312" w:cs="Arial"/>
          <w:kern w:val="0"/>
          <w:sz w:val="24"/>
        </w:rPr>
        <w:t>4</w:t>
      </w:r>
      <w:r>
        <w:rPr>
          <w:rFonts w:hint="eastAsia" w:ascii="仿宋_GB2312" w:hAnsi="仿宋" w:eastAsia="仿宋_GB2312" w:cs="Arial"/>
          <w:kern w:val="0"/>
          <w:sz w:val="24"/>
        </w:rPr>
        <w:t>0%；</w:t>
      </w:r>
    </w:p>
    <w:p>
      <w:pPr>
        <w:snapToGrid w:val="0"/>
        <w:spacing w:line="360" w:lineRule="auto"/>
        <w:ind w:firstLine="484"/>
        <w:rPr>
          <w:rFonts w:ascii="仿宋_GB2312" w:hAnsi="仿宋" w:eastAsia="仿宋_GB2312" w:cs="Arial"/>
          <w:kern w:val="0"/>
          <w:sz w:val="24"/>
        </w:rPr>
      </w:pPr>
      <w:r>
        <w:rPr>
          <w:rFonts w:hint="eastAsia" w:ascii="仿宋_GB2312" w:hAnsi="仿宋" w:eastAsia="仿宋_GB2312" w:cs="Arial"/>
          <w:kern w:val="0"/>
          <w:sz w:val="24"/>
        </w:rPr>
        <w:t>（4）技术、商务分评分细则（</w:t>
      </w:r>
      <w:r>
        <w:rPr>
          <w:rFonts w:ascii="仿宋_GB2312" w:hAnsi="仿宋" w:eastAsia="仿宋_GB2312" w:cs="Arial"/>
          <w:kern w:val="0"/>
          <w:sz w:val="24"/>
        </w:rPr>
        <w:t>6</w:t>
      </w:r>
      <w:r>
        <w:rPr>
          <w:rFonts w:hint="eastAsia" w:ascii="仿宋_GB2312" w:hAnsi="仿宋" w:eastAsia="仿宋_GB2312" w:cs="Arial"/>
          <w:kern w:val="0"/>
          <w:sz w:val="24"/>
        </w:rPr>
        <w:t>0分）：</w:t>
      </w:r>
    </w:p>
    <w:tbl>
      <w:tblPr>
        <w:tblStyle w:val="62"/>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324"/>
        <w:gridCol w:w="193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资质保障（10分）</w:t>
            </w:r>
          </w:p>
          <w:p>
            <w:pPr>
              <w:autoSpaceDE w:val="0"/>
              <w:autoSpaceDN w:val="0"/>
              <w:spacing w:line="300" w:lineRule="exact"/>
              <w:ind w:firstLine="420" w:firstLineChars="200"/>
              <w:rPr>
                <w:rFonts w:ascii="宋体" w:hAnsi="宋体" w:cs="宋体"/>
                <w:color w:val="000000"/>
                <w:szCs w:val="21"/>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olor w:val="000000"/>
                <w:szCs w:val="21"/>
              </w:rPr>
              <w:t>检验所</w:t>
            </w:r>
            <w:r>
              <w:rPr>
                <w:rFonts w:hint="eastAsia" w:ascii="宋体" w:hAnsi="宋体" w:cs="宋体"/>
                <w:color w:val="000000"/>
                <w:szCs w:val="21"/>
              </w:rPr>
              <w:t>认证相关资质提供（10分）</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提供</w:t>
            </w:r>
            <w:r>
              <w:rPr>
                <w:rFonts w:hint="eastAsia" w:ascii="宋体" w:hAnsi="宋体"/>
                <w:color w:val="000000"/>
                <w:szCs w:val="21"/>
              </w:rPr>
              <w:t>检验所</w:t>
            </w:r>
            <w:r>
              <w:rPr>
                <w:rFonts w:hint="eastAsia" w:ascii="宋体" w:hAnsi="宋体" w:cs="宋体"/>
                <w:color w:val="000000"/>
                <w:szCs w:val="21"/>
              </w:rPr>
              <w:t>ISO 15189、PCR实验室合格证书(省级及以上</w:t>
            </w:r>
            <w:r>
              <w:rPr>
                <w:rFonts w:hint="eastAsia" w:ascii="宋体" w:hAnsi="宋体"/>
                <w:color w:val="000000"/>
                <w:szCs w:val="21"/>
              </w:rPr>
              <w:t>临床检验中心颁发</w:t>
            </w:r>
            <w:r>
              <w:rPr>
                <w:rFonts w:hint="eastAsia" w:ascii="宋体" w:hAnsi="宋体" w:cs="宋体"/>
                <w:color w:val="000000"/>
                <w:szCs w:val="21"/>
              </w:rPr>
              <w:t>)、检验检测机构资质认定证书(质量技术监督局颁发)。其中有ISO 15189认可证得5分，有PCR实验室合格证得2分，资质认定证书得3分。</w:t>
            </w:r>
          </w:p>
          <w:p>
            <w:pPr>
              <w:autoSpaceDE w:val="0"/>
              <w:autoSpaceDN w:val="0"/>
              <w:spacing w:line="300" w:lineRule="exact"/>
              <w:rPr>
                <w:rFonts w:ascii="宋体" w:hAnsi="宋体" w:cs="宋体"/>
                <w:color w:val="000000"/>
                <w:szCs w:val="21"/>
              </w:rPr>
            </w:pPr>
            <w:r>
              <w:rPr>
                <w:rFonts w:hint="eastAsia" w:ascii="宋体" w:hAnsi="宋体" w:cs="宋体"/>
                <w:color w:val="000000"/>
                <w:szCs w:val="21"/>
              </w:rPr>
              <w:t>投标时提供证书扫描件，不提供的不得分。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15"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质量保障</w:t>
            </w:r>
          </w:p>
          <w:p>
            <w:pPr>
              <w:spacing w:line="300" w:lineRule="exact"/>
              <w:rPr>
                <w:rFonts w:ascii="宋体" w:hAnsi="宋体" w:cs="宋体"/>
                <w:color w:val="000000"/>
                <w:szCs w:val="21"/>
              </w:rPr>
            </w:pPr>
            <w:r>
              <w:rPr>
                <w:rFonts w:hint="eastAsia" w:ascii="宋体" w:hAnsi="宋体" w:cs="宋体"/>
                <w:color w:val="000000"/>
                <w:szCs w:val="21"/>
              </w:rPr>
              <w:t>（46分）</w:t>
            </w:r>
          </w:p>
          <w:p>
            <w:pPr>
              <w:autoSpaceDE w:val="0"/>
              <w:autoSpaceDN w:val="0"/>
              <w:spacing w:line="300" w:lineRule="exact"/>
              <w:ind w:firstLine="420" w:firstLineChars="200"/>
              <w:rPr>
                <w:rFonts w:ascii="宋体" w:hAnsi="宋体" w:cs="宋体"/>
                <w:color w:val="000000"/>
                <w:szCs w:val="21"/>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检验所质量管理体系（11分）</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根据投标人提供的质量管理体系等相关材料评分。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检测能力，主要指项目开展的齐全性</w:t>
            </w:r>
          </w:p>
          <w:p>
            <w:pPr>
              <w:autoSpaceDE w:val="0"/>
              <w:autoSpaceDN w:val="0"/>
              <w:spacing w:line="300" w:lineRule="exact"/>
              <w:rPr>
                <w:rFonts w:ascii="宋体" w:hAnsi="宋体" w:cs="宋体"/>
                <w:color w:val="000000"/>
                <w:szCs w:val="21"/>
              </w:rPr>
            </w:pPr>
            <w:r>
              <w:rPr>
                <w:rFonts w:hint="eastAsia" w:ascii="宋体" w:hAnsi="宋体" w:cs="宋体"/>
                <w:color w:val="000000"/>
                <w:szCs w:val="21"/>
              </w:rPr>
              <w:t>（11分）</w:t>
            </w:r>
          </w:p>
        </w:tc>
        <w:tc>
          <w:tcPr>
            <w:tcW w:w="1936" w:type="dxa"/>
            <w:tcBorders>
              <w:top w:val="single" w:color="auto" w:sz="4" w:space="0"/>
              <w:left w:val="single" w:color="auto" w:sz="4" w:space="0"/>
              <w:bottom w:val="single" w:color="auto" w:sz="4" w:space="0"/>
              <w:right w:val="single" w:color="auto" w:sz="4" w:space="0"/>
            </w:tcBorders>
            <w:vAlign w:val="center"/>
          </w:tcPr>
          <w:p>
            <w:pPr>
              <w:pStyle w:val="36"/>
              <w:spacing w:line="300" w:lineRule="exact"/>
              <w:ind w:firstLine="0"/>
              <w:rPr>
                <w:rFonts w:hAnsi="宋体" w:cs="宋体"/>
                <w:color w:val="000000"/>
                <w:sz w:val="21"/>
                <w:szCs w:val="21"/>
                <w:lang w:bidi="en-US"/>
              </w:rPr>
            </w:pPr>
            <w:r>
              <w:rPr>
                <w:rFonts w:hint="eastAsia" w:hAnsi="宋体" w:cs="宋体"/>
                <w:color w:val="000000"/>
                <w:sz w:val="21"/>
                <w:szCs w:val="21"/>
                <w:lang w:bidi="en-US"/>
              </w:rPr>
              <w:t>根据检验所对招标文件中开展的检测项目清单所提供的检测仪器设备、试剂、检测方法学等等情况评分。</w:t>
            </w:r>
          </w:p>
        </w:tc>
        <w:tc>
          <w:tcPr>
            <w:tcW w:w="43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能全部满足招标文件中内容的得11分，缺失一项扣1分，扣完为止。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团队实力（10分）</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副主任技师、副主任医师及以上人员数量</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副主任技师、副主任医师及以上人员达到10名者，得</w:t>
            </w:r>
            <w:r>
              <w:rPr>
                <w:rFonts w:ascii="宋体" w:hAnsi="宋体" w:cs="宋体"/>
                <w:color w:val="000000"/>
                <w:szCs w:val="21"/>
              </w:rPr>
              <w:t>5</w:t>
            </w:r>
            <w:r>
              <w:rPr>
                <w:rFonts w:hint="eastAsia" w:ascii="宋体" w:hAnsi="宋体" w:cs="宋体"/>
                <w:color w:val="000000"/>
                <w:szCs w:val="21"/>
              </w:rPr>
              <w:t>分，每增加1名，增加1分，加分不超过5分，每减少1名，减少1分，扣完为止；副主任技师、副主任医师及以上人员少于5名者，此项不得分。</w:t>
            </w:r>
          </w:p>
          <w:p>
            <w:pPr>
              <w:autoSpaceDE w:val="0"/>
              <w:autoSpaceDN w:val="0"/>
              <w:spacing w:line="300" w:lineRule="exact"/>
              <w:rPr>
                <w:rFonts w:ascii="宋体" w:hAnsi="宋体" w:cs="宋体"/>
                <w:color w:val="000000"/>
                <w:szCs w:val="21"/>
              </w:rPr>
            </w:pPr>
            <w:r>
              <w:rPr>
                <w:rFonts w:hint="eastAsia" w:ascii="宋体" w:hAnsi="宋体" w:cs="宋体"/>
                <w:color w:val="000000"/>
                <w:szCs w:val="21"/>
              </w:rPr>
              <w:t>提供人员资质证书和社保机构出具的近6个月社保证明原件或近二年聘用合同，不提供或提供不齐的不得分。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物流方案的可行性（7分）</w:t>
            </w:r>
          </w:p>
        </w:tc>
        <w:tc>
          <w:tcPr>
            <w:tcW w:w="63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专业的全程的标本冷链物流配送方案（3分）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p>
        </w:tc>
        <w:tc>
          <w:tcPr>
            <w:tcW w:w="63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提供医疗冷链物流营业执照者得2分，不提供的不得分。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提供物流方案接送方案，冷链车证明材料，应急保障措施，根据可行性和质量可靠性评分，最高2分。</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根据方案的完善性及可行性，提供冷链物流设备的清单，并符合国家相关标准。不符合国家规定的不得分。</w:t>
            </w:r>
          </w:p>
          <w:p>
            <w:pPr>
              <w:autoSpaceDE w:val="0"/>
              <w:autoSpaceDN w:val="0"/>
              <w:spacing w:line="3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915" w:type="dxa"/>
            <w:vMerge w:val="continue"/>
            <w:tcBorders>
              <w:left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信息系统的支撑力</w:t>
            </w:r>
          </w:p>
          <w:p>
            <w:pPr>
              <w:autoSpaceDE w:val="0"/>
              <w:autoSpaceDN w:val="0"/>
              <w:spacing w:line="300" w:lineRule="exact"/>
              <w:ind w:firstLine="420" w:firstLineChars="200"/>
              <w:rPr>
                <w:rFonts w:ascii="宋体" w:hAnsi="宋体" w:cs="宋体"/>
                <w:color w:val="000000"/>
                <w:szCs w:val="21"/>
              </w:rPr>
            </w:pPr>
            <w:r>
              <w:rPr>
                <w:rFonts w:hint="eastAsia" w:ascii="宋体" w:hAnsi="宋体" w:cs="宋体"/>
                <w:color w:val="000000"/>
                <w:szCs w:val="21"/>
              </w:rPr>
              <w:t>（5分）</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图文报告上传</w:t>
            </w:r>
          </w:p>
          <w:p>
            <w:pPr>
              <w:autoSpaceDE w:val="0"/>
              <w:autoSpaceDN w:val="0"/>
              <w:spacing w:line="300" w:lineRule="exact"/>
              <w:rPr>
                <w:rFonts w:ascii="宋体" w:hAnsi="宋体" w:cs="宋体"/>
                <w:color w:val="000000"/>
                <w:szCs w:val="21"/>
              </w:rPr>
            </w:pPr>
            <w:r>
              <w:rPr>
                <w:rFonts w:hint="eastAsia" w:ascii="宋体" w:hAnsi="宋体" w:cs="宋体"/>
                <w:color w:val="000000"/>
                <w:szCs w:val="21"/>
              </w:rPr>
              <w:t>无缝对接多段参考区间</w:t>
            </w:r>
          </w:p>
        </w:tc>
        <w:tc>
          <w:tcPr>
            <w:tcW w:w="43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能提供图文报告上传的得2分，否则为0分；能无缝对接多段参考区间的得3分，否则为0分。（需提供实例，无实例的不得分）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915"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cs="宋体"/>
                <w:color w:val="000000"/>
                <w:szCs w:val="21"/>
              </w:rPr>
            </w:pPr>
          </w:p>
        </w:tc>
        <w:tc>
          <w:tcPr>
            <w:tcW w:w="1324"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2021年国家室间质量评价合格数（2分）</w:t>
            </w:r>
          </w:p>
        </w:tc>
        <w:tc>
          <w:tcPr>
            <w:tcW w:w="63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标的一：大于等于30项的得1分，大于等于60项的得2分，否则不得分。标的二、标的三：大于等于4项得1分，大于等于10项得2分，否则不得分。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915"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投诉、纠纷处置能力（2分）</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有效处置投诉、纠纷的处理流程和应急方案</w:t>
            </w:r>
          </w:p>
        </w:tc>
        <w:tc>
          <w:tcPr>
            <w:tcW w:w="43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r>
              <w:rPr>
                <w:rFonts w:hint="eastAsia" w:ascii="宋体" w:hAnsi="宋体" w:cs="宋体"/>
                <w:color w:val="000000"/>
                <w:szCs w:val="21"/>
              </w:rPr>
              <w:t>根据流程和方案的合理性和可行性。优2分、合格1分；不合理、不可行的不得分。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15" w:type="dxa"/>
            <w:tcBorders>
              <w:top w:val="single" w:color="auto" w:sz="4" w:space="0"/>
              <w:left w:val="single" w:color="auto" w:sz="4" w:space="0"/>
              <w:bottom w:val="single" w:color="auto" w:sz="4" w:space="0"/>
              <w:right w:val="single" w:color="auto" w:sz="4" w:space="0"/>
            </w:tcBorders>
          </w:tcPr>
          <w:p>
            <w:pPr>
              <w:autoSpaceDE w:val="0"/>
              <w:autoSpaceDN w:val="0"/>
              <w:spacing w:line="300" w:lineRule="exact"/>
              <w:rPr>
                <w:rFonts w:ascii="宋体" w:hAnsi="宋体" w:cs="宋体"/>
                <w:color w:val="000000"/>
                <w:szCs w:val="21"/>
              </w:rPr>
            </w:pPr>
          </w:p>
          <w:p>
            <w:pPr>
              <w:autoSpaceDE w:val="0"/>
              <w:autoSpaceDN w:val="0"/>
              <w:spacing w:line="300" w:lineRule="exact"/>
              <w:rPr>
                <w:rFonts w:ascii="宋体" w:hAnsi="宋体" w:cs="宋体"/>
                <w:color w:val="000000"/>
                <w:szCs w:val="21"/>
              </w:rPr>
            </w:pPr>
            <w:r>
              <w:rPr>
                <w:rFonts w:hint="eastAsia" w:ascii="宋体" w:hAnsi="宋体" w:cs="宋体"/>
                <w:color w:val="000000"/>
                <w:szCs w:val="21"/>
              </w:rPr>
              <w:t>业 绩（2分）</w:t>
            </w:r>
          </w:p>
        </w:tc>
        <w:tc>
          <w:tcPr>
            <w:tcW w:w="765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宋体"/>
                <w:color w:val="000000"/>
                <w:szCs w:val="21"/>
              </w:rPr>
            </w:pPr>
            <w:bookmarkStart w:id="401" w:name="_GoBack"/>
            <w:r>
              <w:rPr>
                <w:rFonts w:hint="eastAsia" w:ascii="宋体" w:hAnsi="宋体" w:cs="宋体"/>
                <w:color w:val="000000"/>
                <w:szCs w:val="21"/>
              </w:rPr>
              <w:t>提供近两年三甲医院外送检测合同，提供1-3份得1分，3份以上得2分。</w:t>
            </w:r>
            <w:bookmarkEnd w:id="401"/>
          </w:p>
        </w:tc>
      </w:tr>
    </w:tbl>
    <w:p/>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w:t>
      </w:r>
      <w:r>
        <w:rPr>
          <w:rFonts w:hint="eastAsia" w:ascii="仿宋_GB2312" w:hAnsi="仿宋" w:eastAsia="仿宋_GB2312" w:cs="Arial"/>
          <w:kern w:val="0"/>
          <w:szCs w:val="24"/>
        </w:rPr>
        <w:t>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30%以上的，对联合体或者大中型企业的报价给予4%的扣除，用扣除后的价格参加评审。组成联合体或者接受分包的小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Pr>
        <w:pStyle w:val="2"/>
        <w:rPr>
          <w:lang w:val="en-US"/>
        </w:rPr>
      </w:pPr>
    </w:p>
    <w:p/>
    <w:p>
      <w:pPr>
        <w:pStyle w:val="2"/>
        <w:rPr>
          <w:lang w:val="en-US"/>
        </w:rPr>
      </w:pPr>
    </w:p>
    <w:p/>
    <w:p>
      <w:pPr>
        <w:pStyle w:val="2"/>
        <w:rPr>
          <w:lang w:val="en-US"/>
        </w:rPr>
      </w:pPr>
    </w:p>
    <w:p/>
    <w:p>
      <w:pPr>
        <w:pStyle w:val="2"/>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2"/>
        <w:rPr>
          <w:lang w:val="en-US"/>
        </w:rPr>
      </w:pPr>
    </w:p>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4"/>
        <w:rPr>
          <w:rFonts w:ascii="仿宋" w:hAnsi="仿宋" w:eastAsia="仿宋"/>
          <w:szCs w:val="24"/>
        </w:rPr>
      </w:pPr>
    </w:p>
    <w:p>
      <w:pPr>
        <w:pStyle w:val="704"/>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4"/>
        <w:jc w:val="center"/>
        <w:rPr>
          <w:rFonts w:ascii="仿宋" w:hAnsi="仿宋" w:eastAsia="仿宋"/>
          <w:szCs w:val="24"/>
        </w:rPr>
      </w:pPr>
    </w:p>
    <w:p>
      <w:pPr>
        <w:pStyle w:val="24"/>
      </w:pPr>
    </w:p>
    <w:p>
      <w:pPr>
        <w:pStyle w:val="704"/>
        <w:ind w:firstLine="2843" w:firstLineChars="1180"/>
        <w:rPr>
          <w:rFonts w:ascii="仿宋" w:hAnsi="仿宋" w:eastAsia="仿宋"/>
          <w:b/>
          <w:szCs w:val="24"/>
        </w:rPr>
      </w:pPr>
      <w:r>
        <w:rPr>
          <w:rFonts w:hint="eastAsia" w:ascii="仿宋" w:hAnsi="仿宋" w:eastAsia="仿宋"/>
          <w:b/>
          <w:szCs w:val="24"/>
        </w:rPr>
        <w:t>通用合同书</w:t>
      </w:r>
    </w:p>
    <w:p>
      <w:pPr>
        <w:pStyle w:val="704"/>
        <w:rPr>
          <w:rFonts w:ascii="仿宋" w:hAnsi="仿宋" w:eastAsia="仿宋"/>
          <w:szCs w:val="24"/>
        </w:rPr>
      </w:pPr>
    </w:p>
    <w:p>
      <w:pPr>
        <w:pStyle w:val="704"/>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《中小企业声明函》…………………………………………………………（页码）（3）联合体协议（如需）…………………………………………………………（页码）</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要求以联合体形式参加，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ind w:firstLine="472" w:firstLineChars="196"/>
        <w:jc w:val="center"/>
        <w:rPr>
          <w:rFonts w:hint="eastAsia" w:ascii="仿宋_GB2312" w:hAnsi="仿宋" w:eastAsia="仿宋_GB2312" w:cs="仿宋_GB2312"/>
          <w:b/>
          <w:sz w:val="24"/>
        </w:rPr>
      </w:pPr>
      <w:r>
        <w:rPr>
          <w:rFonts w:hint="eastAsia" w:ascii="仿宋_GB2312" w:hAnsi="仿宋" w:eastAsia="仿宋_GB2312" w:cs="仿宋_GB2312"/>
          <w:b/>
          <w:sz w:val="24"/>
        </w:rPr>
        <w:t>联合协议</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 xml:space="preserve">（联合体所有成员名称）自愿组成一个联合体，以一个投标人的身份参加（项目名称）【招标编号：（采购编号）】投标。 </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一、各方一致决定，（某联合体成员名称）为联合体牵头人，代表所有联合体成员负责投标和合同实施阶段的主办、协调工作。</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二、所有联合体成员各方签署授权书，授权书载明的授权代表根据招标文件规定及投标内容而对采购人、采购代理机构所作的任何合法承诺，包括书面澄清及相应等均对联合投标各方产生约束力。</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三、本次联合投标中，分工如下：（联合体其中一方成员名称）承担的工作和义务为：</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；（联合体其中一方成员名称）承担的工作和义务为：</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四、中小企业合同金额达到</w:t>
      </w:r>
      <w:r>
        <w:rPr>
          <w:rFonts w:hint="eastAsia" w:ascii="仿宋_GB2312" w:hAnsi="仿宋" w:eastAsia="仿宋_GB2312" w:cs="仿宋_GB2312"/>
          <w:b/>
          <w:sz w:val="24"/>
          <w:u w:val="single"/>
        </w:rPr>
        <w:t xml:space="preserve">  </w:t>
      </w:r>
      <w:r>
        <w:rPr>
          <w:rFonts w:hint="eastAsia" w:ascii="仿宋_GB2312" w:hAnsi="仿宋" w:eastAsia="仿宋_GB2312" w:cs="仿宋_GB2312"/>
          <w:b/>
          <w:sz w:val="24"/>
        </w:rPr>
        <w:t>%，小微企业合同金额达到</w:t>
      </w:r>
      <w:r>
        <w:rPr>
          <w:rFonts w:hint="eastAsia" w:ascii="仿宋_GB2312" w:hAnsi="仿宋" w:eastAsia="仿宋_GB2312" w:cs="仿宋_GB2312"/>
          <w:b/>
          <w:sz w:val="24"/>
          <w:u w:val="single"/>
        </w:rPr>
        <w:t xml:space="preserve"> </w:t>
      </w:r>
      <w:r>
        <w:rPr>
          <w:rFonts w:ascii="仿宋_GB2312" w:hAnsi="仿宋" w:eastAsia="仿宋_GB2312" w:cs="仿宋_GB2312"/>
          <w:b/>
          <w:sz w:val="24"/>
          <w:u w:val="single"/>
        </w:rPr>
        <w:t xml:space="preserve"> </w:t>
      </w:r>
      <w:r>
        <w:rPr>
          <w:rFonts w:hint="eastAsia" w:ascii="仿宋_GB2312" w:hAnsi="仿宋" w:eastAsia="仿宋_GB2312" w:cs="仿宋_GB2312"/>
          <w:b/>
          <w:sz w:val="24"/>
        </w:rPr>
        <w:t>%。</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五、如果中标，联合体各成员方共同与采购人签订合同，并就采购合同约定的事项对采购人承担连带责任。</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六、有关本次联合投标的其他事宜：</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1、联合体各方不再单独参加或者与其他供应商另外组成联合体参加同一合同项下的政府采购活动。</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2、联合体中有同类资质的各方按照联合体分工承担相同工作的，按照资质等级较低的供应商确定资质等级。</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3、本协议提交采购人、采购代理机构后，联合体各方不得以任何形式对上述内容进行修改或撤销。</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联合体成员名称(电子签名/公章)：</w:t>
      </w:r>
    </w:p>
    <w:p>
      <w:pPr>
        <w:snapToGrid w:val="0"/>
        <w:spacing w:before="50" w:after="50" w:line="360" w:lineRule="auto"/>
        <w:ind w:firstLine="472" w:firstLineChars="196"/>
        <w:jc w:val="left"/>
        <w:rPr>
          <w:rFonts w:hint="eastAsia" w:ascii="仿宋_GB2312" w:hAnsi="仿宋" w:eastAsia="仿宋_GB2312" w:cs="仿宋_GB2312"/>
          <w:b/>
          <w:sz w:val="24"/>
        </w:rPr>
      </w:pPr>
      <w:r>
        <w:rPr>
          <w:rFonts w:hint="eastAsia" w:ascii="仿宋_GB2312" w:hAnsi="仿宋" w:eastAsia="仿宋_GB2312" w:cs="仿宋_GB2312"/>
          <w:b/>
          <w:sz w:val="24"/>
        </w:rPr>
        <w:t>联合体成员名称(电子签名/公章)：</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w:t>
      </w:r>
    </w:p>
    <w:p>
      <w:pPr>
        <w:snapToGrid w:val="0"/>
        <w:spacing w:before="50" w:after="50" w:line="360" w:lineRule="auto"/>
        <w:ind w:firstLine="472" w:firstLineChars="196"/>
        <w:jc w:val="left"/>
        <w:rPr>
          <w:rFonts w:ascii="仿宋_GB2312" w:hAnsi="仿宋" w:eastAsia="仿宋_GB2312" w:cs="仿宋_GB2312"/>
          <w:b/>
          <w:sz w:val="24"/>
        </w:rPr>
      </w:pPr>
      <w:r>
        <w:rPr>
          <w:rFonts w:hint="eastAsia" w:ascii="仿宋_GB2312" w:hAnsi="仿宋" w:eastAsia="仿宋_GB2312" w:cs="仿宋_GB2312"/>
          <w:b/>
          <w:sz w:val="24"/>
        </w:rPr>
        <w:t xml:space="preserve">                                               日期：  年  月   日</w:t>
      </w:r>
    </w:p>
    <w:p>
      <w:pPr>
        <w:pStyle w:val="2"/>
        <w:rPr>
          <w:lang w:val="en-US"/>
        </w:rPr>
      </w:pPr>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w:t>
      </w:r>
      <w:r>
        <w:rPr>
          <w:rFonts w:hint="eastAsia" w:ascii="仿宋_GB2312" w:hAnsi="仿宋" w:eastAsia="仿宋_GB2312" w:cs="仿宋_GB2312"/>
          <w:sz w:val="24"/>
        </w:rPr>
        <w:t>及被授权人身份证明或</w:t>
      </w:r>
      <w:r>
        <w:rPr>
          <w:rFonts w:ascii="仿宋_GB2312" w:hAnsi="仿宋" w:eastAsia="仿宋_GB2312" w:cs="仿宋_GB2312"/>
          <w:sz w:val="24"/>
        </w:rPr>
        <w:t>法定代表人（单位负责人）身份证明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（4</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（6</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lang w:val="en-US"/>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2.1.2</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w:t>
      </w:r>
      <w:r>
        <w:rPr>
          <w:rFonts w:hint="eastAsia" w:ascii="仿宋_GB2312" w:hAnsi="仿宋" w:eastAsia="仿宋_GB2312" w:cs="仿宋_GB2312"/>
          <w:sz w:val="24"/>
        </w:rPr>
        <w:t>及被授权人身份证明，若</w:t>
      </w:r>
      <w:r>
        <w:rPr>
          <w:rFonts w:ascii="仿宋_GB2312" w:hAnsi="仿宋" w:eastAsia="仿宋_GB2312" w:cs="仿宋_GB2312"/>
          <w:sz w:val="24"/>
        </w:rPr>
        <w:t>法定代表人（单位负责人）</w:t>
      </w:r>
      <w:r>
        <w:rPr>
          <w:rFonts w:hint="eastAsia" w:ascii="仿宋_GB2312" w:hAnsi="仿宋" w:eastAsia="仿宋_GB2312" w:cs="仿宋_GB2312"/>
          <w:sz w:val="24"/>
        </w:rPr>
        <w:t>参加则提供其</w:t>
      </w:r>
      <w:r>
        <w:rPr>
          <w:rFonts w:ascii="仿宋_GB2312" w:hAnsi="仿宋" w:eastAsia="仿宋_GB2312" w:cs="仿宋_GB2312"/>
          <w:sz w:val="24"/>
        </w:rPr>
        <w:t>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5"/>
        <w:spacing w:line="360" w:lineRule="auto"/>
        <w:rPr>
          <w:rFonts w:ascii="仿宋_GB2312" w:hAnsi="仿宋" w:eastAsia="仿宋_GB2312"/>
          <w:bCs/>
          <w:sz w:val="24"/>
        </w:rPr>
      </w:pPr>
      <w:r>
        <w:rPr>
          <w:rFonts w:hint="eastAsia" w:ascii="仿宋_GB2312" w:hAnsi="仿宋" w:eastAsia="仿宋_GB2312"/>
          <w:bCs/>
          <w:sz w:val="24"/>
        </w:rPr>
        <w:t>被授权人身份证件扫描件：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pStyle w:val="2"/>
      </w:pP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】标的</w:t>
      </w:r>
      <w:r>
        <w:rPr>
          <w:rFonts w:hint="eastAsia" w:ascii="仿宋_GB2312" w:hAnsi="仿宋" w:eastAsia="仿宋_GB2312" w:cs="仿宋_GB2312"/>
          <w:sz w:val="24"/>
          <w:u w:val="single"/>
        </w:rPr>
        <w:t xml:space="preserve"> </w:t>
      </w:r>
      <w:r>
        <w:rPr>
          <w:rFonts w:ascii="仿宋_GB2312" w:hAnsi="仿宋" w:eastAsia="仿宋_GB2312" w:cs="仿宋_GB2312"/>
          <w:sz w:val="24"/>
          <w:u w:val="single"/>
        </w:rPr>
        <w:t xml:space="preserve">   </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提供的服务由小微企业承接，其合同份额占到合同总金额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5"/>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本次投标报价以浙江省收费标准的折扣率形式进行综合报价（</w:t>
      </w:r>
      <w:r>
        <w:rPr>
          <w:rFonts w:hint="eastAsia" w:ascii="仿宋_GB2312" w:hAnsi="仿宋" w:eastAsia="仿宋_GB2312" w:cs="仿宋_GB2312"/>
          <w:kern w:val="2"/>
          <w:sz w:val="32"/>
          <w:szCs w:val="32"/>
          <w:u w:val="single"/>
        </w:rPr>
        <w:t>即每一标段统一折扣率</w:t>
      </w:r>
      <w:r>
        <w:rPr>
          <w:rFonts w:hint="eastAsia" w:ascii="仿宋_GB2312" w:hAnsi="仿宋" w:eastAsia="仿宋_GB2312" w:cs="仿宋_GB2312"/>
          <w:kern w:val="2"/>
          <w:sz w:val="32"/>
          <w:szCs w:val="32"/>
        </w:rPr>
        <w:t>）。中标单价为浙江省收费标准*折扣率。费用按实结算。</w:t>
      </w:r>
    </w:p>
    <w:tbl>
      <w:tblPr>
        <w:tblStyle w:val="62"/>
        <w:tblW w:w="12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963"/>
        <w:gridCol w:w="1843"/>
        <w:gridCol w:w="311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12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标段</w:t>
            </w:r>
          </w:p>
        </w:tc>
        <w:tc>
          <w:tcPr>
            <w:tcW w:w="296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255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122"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2963"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55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2"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2963" w:type="dxa"/>
            <w:vAlign w:val="center"/>
          </w:tcPr>
          <w:p>
            <w:pPr>
              <w:snapToGrid w:val="0"/>
              <w:spacing w:line="360" w:lineRule="auto"/>
              <w:jc w:val="center"/>
              <w:rPr>
                <w:rFonts w:ascii="仿宋_GB2312" w:hAnsi="仿宋" w:eastAsia="仿宋_GB2312" w:cs="仿宋_GB2312"/>
                <w:sz w:val="24"/>
              </w:rPr>
            </w:pPr>
          </w:p>
          <w:p>
            <w:pPr>
              <w:pStyle w:val="2"/>
              <w:rPr>
                <w:lang w:val="en-US"/>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55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122"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2963"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2552" w:type="dxa"/>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397" w:name="_Toc91899912"/>
    <w:bookmarkStart w:id="398" w:name="_Toc164085800"/>
    <w:bookmarkStart w:id="399" w:name="_Toc36110187"/>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7"/>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WI4NGMxYmM4OGI2NTViN2UzYjM1MzExY2EzMz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6F5"/>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64"/>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1A"/>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164"/>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859"/>
    <w:rsid w:val="00153915"/>
    <w:rsid w:val="001539F0"/>
    <w:rsid w:val="00154BBA"/>
    <w:rsid w:val="00154F71"/>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A3B"/>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404"/>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67A5"/>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65"/>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86D"/>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8D5"/>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A0D"/>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2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2EA1"/>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F81"/>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2D5B"/>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71"/>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5CE4"/>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453"/>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3A"/>
    <w:rsid w:val="005A57B8"/>
    <w:rsid w:val="005A5DDE"/>
    <w:rsid w:val="005A64A8"/>
    <w:rsid w:val="005A65C5"/>
    <w:rsid w:val="005A6875"/>
    <w:rsid w:val="005A7016"/>
    <w:rsid w:val="005A73BC"/>
    <w:rsid w:val="005A7A32"/>
    <w:rsid w:val="005A7F85"/>
    <w:rsid w:val="005B00DD"/>
    <w:rsid w:val="005B03B1"/>
    <w:rsid w:val="005B07D5"/>
    <w:rsid w:val="005B1A8A"/>
    <w:rsid w:val="005B1AAB"/>
    <w:rsid w:val="005B20A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E2"/>
    <w:rsid w:val="00672906"/>
    <w:rsid w:val="00672C73"/>
    <w:rsid w:val="00673B64"/>
    <w:rsid w:val="006753AC"/>
    <w:rsid w:val="00675430"/>
    <w:rsid w:val="006755F0"/>
    <w:rsid w:val="00675749"/>
    <w:rsid w:val="006759FE"/>
    <w:rsid w:val="0067639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5F4"/>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2C0"/>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1FDB"/>
    <w:rsid w:val="00852FA5"/>
    <w:rsid w:val="00853F7D"/>
    <w:rsid w:val="0085517F"/>
    <w:rsid w:val="0085562D"/>
    <w:rsid w:val="00855A78"/>
    <w:rsid w:val="00855DD2"/>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E7"/>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5C8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4A4"/>
    <w:rsid w:val="009B05D2"/>
    <w:rsid w:val="009B08F6"/>
    <w:rsid w:val="009B152B"/>
    <w:rsid w:val="009B2731"/>
    <w:rsid w:val="009B2DCF"/>
    <w:rsid w:val="009B39D8"/>
    <w:rsid w:val="009B3D38"/>
    <w:rsid w:val="009B4368"/>
    <w:rsid w:val="009B4D4C"/>
    <w:rsid w:val="009B59FD"/>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E8"/>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94B"/>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524"/>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8F0"/>
    <w:rsid w:val="00B51F56"/>
    <w:rsid w:val="00B52234"/>
    <w:rsid w:val="00B53623"/>
    <w:rsid w:val="00B53D1D"/>
    <w:rsid w:val="00B53E98"/>
    <w:rsid w:val="00B53F9B"/>
    <w:rsid w:val="00B5406E"/>
    <w:rsid w:val="00B54B19"/>
    <w:rsid w:val="00B55F64"/>
    <w:rsid w:val="00B56CBB"/>
    <w:rsid w:val="00B56ECA"/>
    <w:rsid w:val="00B57093"/>
    <w:rsid w:val="00B57B5D"/>
    <w:rsid w:val="00B60613"/>
    <w:rsid w:val="00B617B7"/>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C95"/>
    <w:rsid w:val="00B83E76"/>
    <w:rsid w:val="00B83FA0"/>
    <w:rsid w:val="00B84156"/>
    <w:rsid w:val="00B846E6"/>
    <w:rsid w:val="00B8537B"/>
    <w:rsid w:val="00B85502"/>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C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FBA"/>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94D"/>
    <w:rsid w:val="00D42B0C"/>
    <w:rsid w:val="00D42D6E"/>
    <w:rsid w:val="00D4374A"/>
    <w:rsid w:val="00D43DEF"/>
    <w:rsid w:val="00D44259"/>
    <w:rsid w:val="00D45645"/>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CD6"/>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B2"/>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E7C92"/>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B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8EE"/>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769E6"/>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31095"/>
    <w:rsid w:val="09A92330"/>
    <w:rsid w:val="09B06B87"/>
    <w:rsid w:val="09C13146"/>
    <w:rsid w:val="09E04166"/>
    <w:rsid w:val="0A1C0718"/>
    <w:rsid w:val="0A3E7710"/>
    <w:rsid w:val="0A5B7E63"/>
    <w:rsid w:val="0A843E52"/>
    <w:rsid w:val="0AA374A5"/>
    <w:rsid w:val="0AAB7649"/>
    <w:rsid w:val="0ABC5606"/>
    <w:rsid w:val="0B30404E"/>
    <w:rsid w:val="0B4C6C14"/>
    <w:rsid w:val="0B631A88"/>
    <w:rsid w:val="0B683D45"/>
    <w:rsid w:val="0B7F3F11"/>
    <w:rsid w:val="0B884417"/>
    <w:rsid w:val="0BF6188C"/>
    <w:rsid w:val="0BF73C91"/>
    <w:rsid w:val="0C170175"/>
    <w:rsid w:val="0C3B6140"/>
    <w:rsid w:val="0C571A41"/>
    <w:rsid w:val="0C5C1171"/>
    <w:rsid w:val="0C5E1CBC"/>
    <w:rsid w:val="0C615B50"/>
    <w:rsid w:val="0C8445DA"/>
    <w:rsid w:val="0C87121B"/>
    <w:rsid w:val="0CC007F7"/>
    <w:rsid w:val="0CFE707A"/>
    <w:rsid w:val="0D063BDA"/>
    <w:rsid w:val="0D08375F"/>
    <w:rsid w:val="0D184CFB"/>
    <w:rsid w:val="0D4A4AC2"/>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150C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A793D"/>
    <w:rsid w:val="13BF3CE4"/>
    <w:rsid w:val="141008D8"/>
    <w:rsid w:val="14125FE6"/>
    <w:rsid w:val="1453261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37C2"/>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EA5A5B"/>
    <w:rsid w:val="20034907"/>
    <w:rsid w:val="20173E4B"/>
    <w:rsid w:val="204E48BC"/>
    <w:rsid w:val="208921B3"/>
    <w:rsid w:val="20973DEB"/>
    <w:rsid w:val="2099122F"/>
    <w:rsid w:val="20B26522"/>
    <w:rsid w:val="20B44310"/>
    <w:rsid w:val="211116EB"/>
    <w:rsid w:val="216133FC"/>
    <w:rsid w:val="21D56769"/>
    <w:rsid w:val="21E52EF3"/>
    <w:rsid w:val="21FB5D7B"/>
    <w:rsid w:val="220B1C3D"/>
    <w:rsid w:val="220D77DF"/>
    <w:rsid w:val="220F6790"/>
    <w:rsid w:val="221D1D20"/>
    <w:rsid w:val="22334A87"/>
    <w:rsid w:val="22B61C2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67173F"/>
    <w:rsid w:val="27783712"/>
    <w:rsid w:val="27907362"/>
    <w:rsid w:val="28333E1D"/>
    <w:rsid w:val="28454BD6"/>
    <w:rsid w:val="28455253"/>
    <w:rsid w:val="28551971"/>
    <w:rsid w:val="285B1C53"/>
    <w:rsid w:val="289F7086"/>
    <w:rsid w:val="28C32028"/>
    <w:rsid w:val="28CC490F"/>
    <w:rsid w:val="28DE40AA"/>
    <w:rsid w:val="2900009D"/>
    <w:rsid w:val="29345E77"/>
    <w:rsid w:val="294C65AD"/>
    <w:rsid w:val="29806583"/>
    <w:rsid w:val="298B3C4C"/>
    <w:rsid w:val="29E83FC3"/>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C116E"/>
    <w:rsid w:val="2CE82D6F"/>
    <w:rsid w:val="2D343236"/>
    <w:rsid w:val="2D5E539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DF67EA"/>
    <w:rsid w:val="30EC586F"/>
    <w:rsid w:val="313703D4"/>
    <w:rsid w:val="319C6071"/>
    <w:rsid w:val="31AC537E"/>
    <w:rsid w:val="31E3679B"/>
    <w:rsid w:val="31E732FD"/>
    <w:rsid w:val="32517576"/>
    <w:rsid w:val="32BE5C2C"/>
    <w:rsid w:val="32FB6478"/>
    <w:rsid w:val="33263B3F"/>
    <w:rsid w:val="336963EB"/>
    <w:rsid w:val="33816EEB"/>
    <w:rsid w:val="33E61156"/>
    <w:rsid w:val="33EB55CD"/>
    <w:rsid w:val="33EC4C02"/>
    <w:rsid w:val="340D2360"/>
    <w:rsid w:val="3410665D"/>
    <w:rsid w:val="34211214"/>
    <w:rsid w:val="342E63AB"/>
    <w:rsid w:val="34950E68"/>
    <w:rsid w:val="34986E94"/>
    <w:rsid w:val="34AF62C9"/>
    <w:rsid w:val="34B71EC7"/>
    <w:rsid w:val="34CB4388"/>
    <w:rsid w:val="34FA6E12"/>
    <w:rsid w:val="358D5588"/>
    <w:rsid w:val="363A3B40"/>
    <w:rsid w:val="365302AE"/>
    <w:rsid w:val="36607A0A"/>
    <w:rsid w:val="366E227C"/>
    <w:rsid w:val="366F2E0D"/>
    <w:rsid w:val="367B6A5C"/>
    <w:rsid w:val="36A74ADA"/>
    <w:rsid w:val="36AD60D5"/>
    <w:rsid w:val="36B224F9"/>
    <w:rsid w:val="36EC0CC9"/>
    <w:rsid w:val="373F410B"/>
    <w:rsid w:val="37C404E8"/>
    <w:rsid w:val="37EE7094"/>
    <w:rsid w:val="38296C89"/>
    <w:rsid w:val="383002EB"/>
    <w:rsid w:val="38586797"/>
    <w:rsid w:val="38BC0149"/>
    <w:rsid w:val="38D87D1C"/>
    <w:rsid w:val="39636459"/>
    <w:rsid w:val="396B7F6C"/>
    <w:rsid w:val="39B417A9"/>
    <w:rsid w:val="39BD13B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275B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10D29"/>
    <w:rsid w:val="3F153163"/>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E046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6606A"/>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3650C"/>
    <w:rsid w:val="5A792B1F"/>
    <w:rsid w:val="5A874767"/>
    <w:rsid w:val="5AAD6F28"/>
    <w:rsid w:val="5AD63A24"/>
    <w:rsid w:val="5B0F7B24"/>
    <w:rsid w:val="5B2E1A1D"/>
    <w:rsid w:val="5B4B6CA4"/>
    <w:rsid w:val="5B843A1C"/>
    <w:rsid w:val="5B873E3F"/>
    <w:rsid w:val="5C02690E"/>
    <w:rsid w:val="5C196DA7"/>
    <w:rsid w:val="5C1C63A8"/>
    <w:rsid w:val="5C2A048C"/>
    <w:rsid w:val="5C80234E"/>
    <w:rsid w:val="5C8A680C"/>
    <w:rsid w:val="5CA40764"/>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F371F"/>
    <w:rsid w:val="624F3E49"/>
    <w:rsid w:val="62632286"/>
    <w:rsid w:val="62885958"/>
    <w:rsid w:val="62F40B65"/>
    <w:rsid w:val="62FC2CFE"/>
    <w:rsid w:val="63024505"/>
    <w:rsid w:val="635B1DB5"/>
    <w:rsid w:val="63711FED"/>
    <w:rsid w:val="637D4013"/>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72D84"/>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433D"/>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1154B"/>
    <w:rsid w:val="77D1700D"/>
    <w:rsid w:val="77EC04CC"/>
    <w:rsid w:val="78202F3D"/>
    <w:rsid w:val="78775729"/>
    <w:rsid w:val="78A42DB0"/>
    <w:rsid w:val="78A656AB"/>
    <w:rsid w:val="78B2245C"/>
    <w:rsid w:val="78E172CC"/>
    <w:rsid w:val="78EA1D1F"/>
    <w:rsid w:val="7904172F"/>
    <w:rsid w:val="790F7E27"/>
    <w:rsid w:val="792A231A"/>
    <w:rsid w:val="79316829"/>
    <w:rsid w:val="794E3ADA"/>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53827"/>
    <w:rsid w:val="7E9A4E1F"/>
    <w:rsid w:val="7EA7723A"/>
    <w:rsid w:val="7EF56FBB"/>
    <w:rsid w:val="7F0768EB"/>
    <w:rsid w:val="7F143BEC"/>
    <w:rsid w:val="7F715AF2"/>
    <w:rsid w:val="7F886E69"/>
    <w:rsid w:val="BB7FA927"/>
    <w:rsid w:val="BCC39122"/>
    <w:rsid w:val="F5FFD31F"/>
    <w:rsid w:val="FDEED0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qFormat/>
    <w:uiPriority w:val="0"/>
    <w:rPr>
      <w:b/>
      <w:bCs/>
    </w:rPr>
  </w:style>
  <w:style w:type="paragraph" w:styleId="60">
    <w:name w:val="Body Text First Indent"/>
    <w:basedOn w:val="23"/>
    <w:link w:val="111"/>
    <w:qFormat/>
    <w:uiPriority w:val="99"/>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3"/>
    <w:qFormat/>
    <w:uiPriority w:val="9"/>
    <w:rPr>
      <w:b/>
      <w:bCs/>
      <w:kern w:val="44"/>
      <w:sz w:val="44"/>
      <w:szCs w:val="44"/>
    </w:rPr>
  </w:style>
  <w:style w:type="character" w:customStyle="1" w:styleId="80">
    <w:name w:val="正文缩进 字符2"/>
    <w:link w:val="5"/>
    <w:qFormat/>
    <w:uiPriority w:val="0"/>
    <w:rPr>
      <w:rFonts w:ascii="宋体" w:eastAsia="宋体"/>
      <w:snapToGrid w:val="0"/>
      <w:color w:val="000000"/>
      <w:kern w:val="28"/>
      <w:sz w:val="28"/>
      <w:lang w:val="en-US" w:eastAsia="zh-CN" w:bidi="ar-SA"/>
    </w:rPr>
  </w:style>
  <w:style w:type="character" w:customStyle="1" w:styleId="81">
    <w:name w:val="标题 3 字符1"/>
    <w:basedOn w:val="69"/>
    <w:link w:val="4"/>
    <w:qFormat/>
    <w:uiPriority w:val="9"/>
    <w:rPr>
      <w:b/>
      <w:bCs/>
      <w:kern w:val="2"/>
      <w:sz w:val="32"/>
      <w:szCs w:val="32"/>
    </w:rPr>
  </w:style>
  <w:style w:type="character" w:customStyle="1" w:styleId="82">
    <w:name w:val="标题 4 字符1"/>
    <w:link w:val="6"/>
    <w:qFormat/>
    <w:uiPriority w:val="9"/>
    <w:rPr>
      <w:rFonts w:ascii="Arial" w:hAnsi="Arial" w:eastAsia="黑体"/>
      <w:b/>
      <w:bCs/>
      <w:kern w:val="2"/>
      <w:sz w:val="28"/>
      <w:szCs w:val="28"/>
      <w:lang w:val="zh-CN"/>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rFonts w:ascii="Arial" w:hAnsi="Arial" w:eastAsia="黑体"/>
      <w:kern w:val="2"/>
      <w:sz w:val="24"/>
      <w:szCs w:val="24"/>
    </w:rPr>
  </w:style>
  <w:style w:type="character" w:customStyle="1" w:styleId="87">
    <w:name w:val="标题 9 字符"/>
    <w:link w:val="11"/>
    <w:qFormat/>
    <w:uiPriority w:val="0"/>
    <w:rPr>
      <w:rFonts w:ascii="Arial" w:hAnsi="Arial" w:eastAsia="黑体"/>
      <w:kern w:val="2"/>
      <w:sz w:val="21"/>
      <w:szCs w:val="21"/>
    </w:rPr>
  </w:style>
  <w:style w:type="character" w:customStyle="1" w:styleId="88">
    <w:name w:val="题注 字符"/>
    <w:link w:val="16"/>
    <w:qFormat/>
    <w:uiPriority w:val="0"/>
    <w:rPr>
      <w:b/>
      <w:kern w:val="2"/>
      <w:sz w:val="28"/>
    </w:rPr>
  </w:style>
  <w:style w:type="character" w:customStyle="1" w:styleId="89">
    <w:name w:val="文档结构图 字符"/>
    <w:link w:val="18"/>
    <w:qFormat/>
    <w:uiPriority w:val="0"/>
    <w:rPr>
      <w:kern w:val="2"/>
      <w:sz w:val="21"/>
      <w:szCs w:val="24"/>
      <w:shd w:val="clear" w:color="auto" w:fill="000080"/>
    </w:rPr>
  </w:style>
  <w:style w:type="character" w:customStyle="1" w:styleId="90">
    <w:name w:val="批注文字 字符1"/>
    <w:link w:val="19"/>
    <w:qFormat/>
    <w:uiPriority w:val="0"/>
    <w:rPr>
      <w:kern w:val="2"/>
      <w:sz w:val="21"/>
      <w:szCs w:val="24"/>
    </w:rPr>
  </w:style>
  <w:style w:type="character" w:customStyle="1" w:styleId="91">
    <w:name w:val="称呼 字符"/>
    <w:link w:val="20"/>
    <w:qFormat/>
    <w:uiPriority w:val="0"/>
    <w:rPr>
      <w:rFonts w:ascii="仿宋_GB2312" w:eastAsia="仿宋_GB2312"/>
      <w:kern w:val="2"/>
      <w:sz w:val="28"/>
    </w:rPr>
  </w:style>
  <w:style w:type="character" w:customStyle="1" w:styleId="92">
    <w:name w:val="正文文本 3 字符"/>
    <w:link w:val="21"/>
    <w:qFormat/>
    <w:uiPriority w:val="99"/>
    <w:rPr>
      <w:kern w:val="2"/>
      <w:sz w:val="21"/>
    </w:rPr>
  </w:style>
  <w:style w:type="character" w:customStyle="1" w:styleId="9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4"/>
    <w:qFormat/>
    <w:uiPriority w:val="0"/>
    <w:rPr>
      <w:rFonts w:ascii="宋体" w:hAnsi="宋体"/>
      <w:kern w:val="2"/>
      <w:sz w:val="24"/>
      <w:szCs w:val="24"/>
    </w:rPr>
  </w:style>
  <w:style w:type="character" w:customStyle="1" w:styleId="95">
    <w:name w:val="HTML 地址 字符"/>
    <w:link w:val="29"/>
    <w:qFormat/>
    <w:uiPriority w:val="0"/>
    <w:rPr>
      <w:rFonts w:ascii="宋体" w:hAnsi="宋体"/>
      <w:i/>
      <w:iCs/>
      <w:sz w:val="24"/>
      <w:szCs w:val="24"/>
    </w:rPr>
  </w:style>
  <w:style w:type="character" w:customStyle="1" w:styleId="96">
    <w:name w:val="纯文本 字符2"/>
    <w:link w:val="32"/>
    <w:qFormat/>
    <w:uiPriority w:val="99"/>
    <w:rPr>
      <w:rFonts w:ascii="宋体" w:hAnsi="Courier New" w:eastAsia="宋体" w:cs="Arial"/>
      <w:snapToGrid w:val="0"/>
      <w:kern w:val="2"/>
      <w:sz w:val="21"/>
      <w:szCs w:val="21"/>
      <w:lang w:val="en-US" w:eastAsia="zh-CN" w:bidi="ar-SA"/>
    </w:rPr>
  </w:style>
  <w:style w:type="character" w:customStyle="1" w:styleId="97">
    <w:name w:val="日期 字符"/>
    <w:link w:val="35"/>
    <w:qFormat/>
    <w:uiPriority w:val="0"/>
    <w:rPr>
      <w:rFonts w:ascii="宋体"/>
      <w:kern w:val="2"/>
      <w:sz w:val="24"/>
      <w:szCs w:val="21"/>
      <w:lang w:val="zh-CN"/>
    </w:rPr>
  </w:style>
  <w:style w:type="character" w:customStyle="1" w:styleId="98">
    <w:name w:val="正文文本缩进 2 字符"/>
    <w:link w:val="36"/>
    <w:qFormat/>
    <w:uiPriority w:val="0"/>
    <w:rPr>
      <w:rFonts w:ascii="宋体"/>
      <w:sz w:val="28"/>
    </w:rPr>
  </w:style>
  <w:style w:type="character" w:customStyle="1" w:styleId="99">
    <w:name w:val="尾注文本 字符"/>
    <w:link w:val="37"/>
    <w:qFormat/>
    <w:uiPriority w:val="0"/>
    <w:rPr>
      <w:kern w:val="2"/>
      <w:sz w:val="21"/>
      <w:szCs w:val="24"/>
      <w:lang w:val="zh-CN"/>
    </w:rPr>
  </w:style>
  <w:style w:type="character" w:customStyle="1" w:styleId="100">
    <w:name w:val="批注框文本 字符1"/>
    <w:link w:val="38"/>
    <w:qFormat/>
    <w:uiPriority w:val="0"/>
    <w:rPr>
      <w:kern w:val="2"/>
      <w:sz w:val="18"/>
      <w:szCs w:val="18"/>
    </w:rPr>
  </w:style>
  <w:style w:type="character" w:customStyle="1" w:styleId="101">
    <w:name w:val="页脚 字符2"/>
    <w:link w:val="39"/>
    <w:qFormat/>
    <w:locked/>
    <w:uiPriority w:val="99"/>
    <w:rPr>
      <w:kern w:val="2"/>
      <w:sz w:val="18"/>
      <w:szCs w:val="18"/>
    </w:rPr>
  </w:style>
  <w:style w:type="character" w:customStyle="1" w:styleId="102">
    <w:name w:val="页眉 字符2"/>
    <w:link w:val="40"/>
    <w:qFormat/>
    <w:uiPriority w:val="99"/>
    <w:rPr>
      <w:kern w:val="2"/>
      <w:sz w:val="18"/>
      <w:szCs w:val="18"/>
    </w:rPr>
  </w:style>
  <w:style w:type="character" w:customStyle="1" w:styleId="103">
    <w:name w:val="签名 字符"/>
    <w:link w:val="41"/>
    <w:qFormat/>
    <w:uiPriority w:val="0"/>
    <w:rPr>
      <w:rFonts w:eastAsia="仿宋_GB2312"/>
      <w:sz w:val="24"/>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脚注文本 字符"/>
    <w:link w:val="49"/>
    <w:qFormat/>
    <w:uiPriority w:val="0"/>
    <w:rPr>
      <w:color w:val="0000FF"/>
      <w:sz w:val="21"/>
    </w:rPr>
  </w:style>
  <w:style w:type="character" w:customStyle="1" w:styleId="106">
    <w:name w:val="正文文本缩进 3 字符"/>
    <w:link w:val="52"/>
    <w:qFormat/>
    <w:uiPriority w:val="0"/>
    <w:rPr>
      <w:kern w:val="2"/>
      <w:sz w:val="24"/>
    </w:rPr>
  </w:style>
  <w:style w:type="character" w:customStyle="1" w:styleId="107">
    <w:name w:val="正文文本 2 字符1"/>
    <w:link w:val="55"/>
    <w:qFormat/>
    <w:uiPriority w:val="0"/>
    <w:rPr>
      <w:kern w:val="2"/>
      <w:sz w:val="21"/>
      <w:szCs w:val="24"/>
    </w:rPr>
  </w:style>
  <w:style w:type="character" w:customStyle="1" w:styleId="108">
    <w:name w:val="HTML 预设格式 字符"/>
    <w:link w:val="56"/>
    <w:qFormat/>
    <w:uiPriority w:val="0"/>
    <w:rPr>
      <w:rFonts w:ascii="黑体" w:hAnsi="Courier New" w:eastAsia="黑体"/>
    </w:rPr>
  </w:style>
  <w:style w:type="character" w:customStyle="1" w:styleId="109">
    <w:name w:val="标题 字符"/>
    <w:link w:val="58"/>
    <w:qFormat/>
    <w:uiPriority w:val="10"/>
    <w:rPr>
      <w:b/>
      <w:sz w:val="24"/>
      <w:lang w:val="en-GB"/>
    </w:rPr>
  </w:style>
  <w:style w:type="character" w:customStyle="1" w:styleId="110">
    <w:name w:val="批注主题 字符"/>
    <w:link w:val="59"/>
    <w:qFormat/>
    <w:uiPriority w:val="0"/>
    <w:rPr>
      <w:b/>
      <w:bCs/>
      <w:kern w:val="2"/>
      <w:sz w:val="21"/>
      <w:szCs w:val="24"/>
    </w:rPr>
  </w:style>
  <w:style w:type="character" w:customStyle="1" w:styleId="111">
    <w:name w:val="正文文本首行缩进 字符"/>
    <w:link w:val="60"/>
    <w:qFormat/>
    <w:uiPriority w:val="99"/>
    <w:rPr>
      <w:rFonts w:ascii="宋体"/>
      <w:kern w:val="2"/>
      <w:sz w:val="24"/>
      <w:lang w:val="zh-CN"/>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99"/>
    <w:rPr>
      <w:rFonts w:ascii="宋体" w:hAnsi="Courier New"/>
      <w:kern w:val="2"/>
      <w:sz w:val="21"/>
      <w:szCs w:val="21"/>
      <w:lang w:val="en-US" w:eastAsia="zh-CN"/>
    </w:rPr>
  </w:style>
  <w:style w:type="paragraph" w:customStyle="1" w:styleId="175">
    <w:name w:val="纯文本_0_0"/>
    <w:basedOn w:val="176"/>
    <w:link w:val="174"/>
    <w:qFormat/>
    <w:uiPriority w:val="99"/>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99"/>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99"/>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99"/>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99"/>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link w:val="281"/>
    <w:qFormat/>
    <w:uiPriority w:val="34"/>
  </w:style>
  <w:style w:type="paragraph" w:customStyle="1" w:styleId="281">
    <w:name w:val="_Style 280"/>
    <w:basedOn w:val="1"/>
    <w:next w:val="277"/>
    <w:link w:val="280"/>
    <w:qFormat/>
    <w:uiPriority w:val="34"/>
    <w:pPr>
      <w:adjustRightInd/>
      <w:ind w:firstLine="420" w:firstLineChars="200"/>
    </w:pPr>
    <w:rPr>
      <w:rFonts w:ascii="Calibri" w:hAnsi="Calibri"/>
      <w:szCs w:val="22"/>
    </w:rPr>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1"/>
    <w:rPr>
      <w:szCs w:val="22"/>
    </w:rPr>
  </w:style>
  <w:style w:type="character" w:customStyle="1" w:styleId="484">
    <w:name w:val="无间隔 字符"/>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link w:val="630"/>
    <w:qFormat/>
    <w:uiPriority w:val="0"/>
    <w:pPr>
      <w:snapToGrid w:val="0"/>
      <w:ind w:firstLine="42" w:firstLineChars="21"/>
    </w:pPr>
    <w:rPr>
      <w:rFonts w:ascii="宋体" w:hAnsi="宋体"/>
      <w:kern w:val="0"/>
      <w:sz w:val="20"/>
      <w:szCs w:val="20"/>
    </w:rPr>
  </w:style>
  <w:style w:type="character" w:customStyle="1" w:styleId="630">
    <w:name w:val="表格 字符"/>
    <w:basedOn w:val="69"/>
    <w:link w:val="629"/>
    <w:qFormat/>
    <w:uiPriority w:val="0"/>
    <w:rPr>
      <w:rFonts w:ascii="宋体" w:hAnsi="宋体"/>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link w:val="794"/>
    <w:qFormat/>
    <w:uiPriority w:val="34"/>
    <w:pPr>
      <w:adjustRightInd/>
      <w:spacing w:line="360" w:lineRule="auto"/>
      <w:ind w:firstLine="420" w:firstLineChars="200"/>
    </w:pPr>
    <w:rPr>
      <w:rFonts w:ascii="Calibri" w:hAnsi="Calibri"/>
      <w:sz w:val="24"/>
      <w:szCs w:val="22"/>
    </w:rPr>
  </w:style>
  <w:style w:type="character" w:customStyle="1" w:styleId="794">
    <w:name w:val="列出段落 字符"/>
    <w:link w:val="793"/>
    <w:qFormat/>
    <w:locked/>
    <w:uiPriority w:val="0"/>
    <w:rPr>
      <w:rFonts w:ascii="Calibri" w:hAnsi="Calibri"/>
      <w:kern w:val="2"/>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2"/>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642"/>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2"/>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1"/>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3"/>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7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未处理的提及2"/>
    <w:basedOn w:val="69"/>
    <w:semiHidden/>
    <w:unhideWhenUsed/>
    <w:qFormat/>
    <w:uiPriority w:val="99"/>
    <w:rPr>
      <w:color w:val="605E5C"/>
      <w:shd w:val="clear" w:color="auto" w:fill="E1DFDD"/>
    </w:rPr>
  </w:style>
  <w:style w:type="character" w:customStyle="1" w:styleId="966">
    <w:name w:val="纯文本 字符1"/>
    <w:qFormat/>
    <w:locked/>
    <w:uiPriority w:val="0"/>
    <w:rPr>
      <w:rFonts w:eastAsia="宋体"/>
      <w:kern w:val="2"/>
      <w:sz w:val="24"/>
      <w:lang w:val="en-US" w:eastAsia="zh-CN" w:bidi="ar-SA"/>
    </w:rPr>
  </w:style>
  <w:style w:type="paragraph" w:customStyle="1" w:styleId="967">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8">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69">
    <w:name w:val="Body Text First Indent 21"/>
    <w:basedOn w:val="970"/>
    <w:qFormat/>
    <w:uiPriority w:val="0"/>
    <w:pPr>
      <w:ind w:firstLine="420"/>
    </w:pPr>
    <w:rPr>
      <w:rFonts w:cs="宋体"/>
    </w:rPr>
  </w:style>
  <w:style w:type="paragraph" w:customStyle="1" w:styleId="970">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1">
    <w:name w:val="Unresolved Mention"/>
    <w:basedOn w:val="69"/>
    <w:semiHidden/>
    <w:unhideWhenUsed/>
    <w:qFormat/>
    <w:uiPriority w:val="99"/>
    <w:rPr>
      <w:color w:val="605E5C"/>
      <w:shd w:val="clear" w:color="auto" w:fill="E1DFDD"/>
    </w:rPr>
  </w:style>
  <w:style w:type="character" w:customStyle="1" w:styleId="972">
    <w:name w:val="标题 2 字符1"/>
    <w:basedOn w:val="69"/>
    <w:link w:val="2"/>
    <w:qFormat/>
    <w:uiPriority w:val="99"/>
    <w:rPr>
      <w:rFonts w:ascii="仿宋_GB2312" w:hAnsi="仿宋" w:eastAsia="仿宋_GB2312"/>
      <w:b/>
      <w:bCs/>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28384</Words>
  <Characters>30172</Characters>
  <Lines>255</Lines>
  <Paragraphs>72</Paragraphs>
  <TotalTime>242</TotalTime>
  <ScaleCrop>false</ScaleCrop>
  <LinksUpToDate>false</LinksUpToDate>
  <CharactersWithSpaces>34093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2023-03-01T07:52:00Z</dcterms:created>
  <dc:creator>玥</dc:creator>
  <cp:lastModifiedBy>NTKO</cp:lastModifiedBy>
  <cp:lastPrinted>2022-07-22T14:17:00Z</cp:lastPrinted>
  <dcterms:modified xsi:type="dcterms:W3CDTF">2023-03-02T06:51:52Z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FC679DDF2C89441380F69573830B99DC</vt:lpwstr>
  </property>
  <property fmtid="{D5CDD505-2E9C-101B-9397-08002B2CF9AE}" pid="5" name="woTemplateTypoMode" linkTarget="0">
    <vt:lpwstr>web</vt:lpwstr>
  </property>
  <property fmtid="{D5CDD505-2E9C-101B-9397-08002B2CF9AE}" pid="6" name="woTemplate" linkTarget="0">
    <vt:i4>1</vt:i4>
  </property>
</Properties>
</file>