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lang w:val="en-US"/>
        </w:rPr>
      </w:pPr>
    </w:p>
    <w:p>
      <w:pPr>
        <w:adjustRightInd/>
        <w:spacing w:line="360" w:lineRule="auto"/>
        <w:jc w:val="center"/>
        <w:rPr>
          <w:rFonts w:ascii="仿宋" w:hAnsi="仿宋" w:eastAsia="仿宋" w:cs="仿宋_GB2312"/>
          <w:sz w:val="48"/>
          <w:szCs w:val="48"/>
        </w:rPr>
      </w:pPr>
      <w:bookmarkStart w:id="0" w:name="第二部分"/>
      <w:bookmarkStart w:id="1" w:name="_Toc91899870"/>
      <w:bookmarkStart w:id="2" w:name="_Toc91899871"/>
      <w:r>
        <w:rPr>
          <w:rFonts w:ascii="仿宋" w:hAnsi="仿宋" w:eastAsia="仿宋" w:cs="仿宋_GB2312"/>
          <w:sz w:val="48"/>
          <w:szCs w:val="48"/>
        </w:rPr>
        <w:t>诸暨市人民医院部分检测项目检验服务外包采购</w:t>
      </w:r>
      <w:r>
        <w:rPr>
          <w:rFonts w:hint="eastAsia" w:ascii="仿宋" w:hAnsi="仿宋" w:eastAsia="仿宋" w:cs="仿宋_GB2312"/>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ascii="仿宋" w:hAnsi="仿宋" w:eastAsia="仿宋" w:cs="仿宋_GB2312"/>
          <w:sz w:val="30"/>
          <w:szCs w:val="30"/>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sz w:val="30"/>
          <w:szCs w:val="30"/>
        </w:rPr>
        <w:t>诸政采2023-02-0</w:t>
      </w:r>
      <w:r>
        <w:rPr>
          <w:rFonts w:ascii="仿宋" w:hAnsi="仿宋" w:eastAsia="仿宋" w:cs="仿宋_GB2312"/>
          <w:sz w:val="30"/>
          <w:szCs w:val="30"/>
        </w:rPr>
        <w:t>7</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诸暨市人民医院</w:t>
      </w:r>
    </w:p>
    <w:p>
      <w:pPr>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诸暨市公共资源交易中心</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微软雅黑" w:hAnsi="微软雅黑" w:eastAsia="微软雅黑" w:cs="微软雅黑"/>
          <w:bCs/>
          <w:sz w:val="32"/>
          <w:szCs w:val="32"/>
        </w:rPr>
        <w:t>〇</w:t>
      </w:r>
      <w:r>
        <w:rPr>
          <w:rFonts w:hint="eastAsia" w:ascii="仿宋_GB2312" w:hAnsi="仿宋_GB2312" w:eastAsia="仿宋_GB2312" w:cs="仿宋_GB2312"/>
          <w:bCs/>
          <w:sz w:val="32"/>
          <w:szCs w:val="32"/>
        </w:rPr>
        <w:t>二三年三月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3" w:name="_Hlt67893495"/>
      <w:bookmarkEnd w:id="3"/>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4" w:name="_Hlt91233176"/>
      <w:bookmarkEnd w:id="4"/>
      <w:bookmarkStart w:id="5"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6" w:name="第一部分"/>
      <w:r>
        <w:rPr>
          <w:rFonts w:ascii="仿宋" w:hAnsi="仿宋" w:eastAsia="仿宋" w:cs="仿宋_GB2312"/>
          <w:b/>
          <w:sz w:val="36"/>
          <w:szCs w:val="36"/>
        </w:rPr>
        <w:br w:type="page"/>
      </w:r>
      <w:bookmarkEnd w:id="5"/>
      <w:bookmarkEnd w:id="6"/>
      <w:bookmarkStart w:id="7" w:name="_Hlt74729822"/>
      <w:bookmarkEnd w:id="7"/>
      <w:bookmarkStart w:id="8" w:name="_Hlt74707423"/>
      <w:bookmarkEnd w:id="8"/>
      <w:bookmarkStart w:id="9" w:name="_Hlt74649545"/>
      <w:bookmarkEnd w:id="9"/>
      <w:bookmarkStart w:id="10" w:name="_Hlt74728647"/>
      <w:bookmarkEnd w:id="10"/>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ascii="仿宋_GB2312" w:hAnsi="仿宋" w:eastAsia="仿宋_GB2312"/>
          <w:sz w:val="24"/>
          <w:u w:val="single"/>
        </w:rPr>
        <w:t>诸暨市人民医院部分检测项目检验服务外包采购</w:t>
      </w:r>
      <w:r>
        <w:rPr>
          <w:rFonts w:hint="eastAsia" w:ascii="仿宋_GB2312" w:hAnsi="仿宋" w:eastAsia="仿宋_GB2312"/>
          <w:sz w:val="24"/>
        </w:rPr>
        <w:t>招标项目的潜在投标人应在浙江政府采购网“政府采购云平台”</w:t>
      </w:r>
      <w:r>
        <w:fldChar w:fldCharType="begin"/>
      </w:r>
      <w:r>
        <w:instrText xml:space="preserve"> HYPERLINK "https://www.zcygov.cn/）获取（下载）招标文件，并于2021年" </w:instrText>
      </w:r>
      <w:r>
        <w:fldChar w:fldCharType="separate"/>
      </w:r>
      <w:r>
        <w:rPr>
          <w:rStyle w:val="76"/>
          <w:rFonts w:ascii="仿宋_GB2312" w:hAnsi="仿宋" w:eastAsia="仿宋_GB2312" w:cs="Times New Roman"/>
          <w:snapToGrid/>
          <w:color w:val="auto"/>
          <w:kern w:val="2"/>
          <w:sz w:val="24"/>
          <w:szCs w:val="24"/>
        </w:rPr>
        <w:t>获取（下载）招标文件，并于</w:t>
      </w:r>
      <w:r>
        <w:rPr>
          <w:rFonts w:hint="eastAsia" w:ascii="仿宋_GB2312" w:hAnsi="仿宋" w:eastAsia="仿宋_GB2312"/>
          <w:sz w:val="24"/>
          <w:u w:val="single"/>
        </w:rPr>
        <w:t>2023</w:t>
      </w:r>
      <w:r>
        <w:rPr>
          <w:rFonts w:ascii="仿宋_GB2312" w:hAnsi="仿宋" w:eastAsia="仿宋_GB2312"/>
          <w:sz w:val="24"/>
          <w:u w:val="single"/>
        </w:rPr>
        <w:t>年</w:t>
      </w:r>
      <w:r>
        <w:rPr>
          <w:rFonts w:hint="eastAsia" w:ascii="仿宋_GB2312" w:hAnsi="仿宋" w:eastAsia="仿宋_GB2312"/>
          <w:sz w:val="24"/>
          <w:u w:val="single"/>
        </w:rPr>
        <w:t>3月</w:t>
      </w:r>
      <w:r>
        <w:rPr>
          <w:rFonts w:ascii="仿宋_GB2312" w:hAnsi="仿宋" w:eastAsia="仿宋_GB2312"/>
          <w:sz w:val="24"/>
          <w:u w:val="single"/>
        </w:rPr>
        <w:t>23</w:t>
      </w:r>
      <w:r>
        <w:rPr>
          <w:rFonts w:hint="eastAsia" w:ascii="仿宋_GB2312" w:hAnsi="仿宋" w:eastAsia="仿宋_GB2312"/>
          <w:sz w:val="24"/>
          <w:u w:val="single"/>
        </w:rPr>
        <w:t>日9点00分</w:t>
      </w:r>
      <w:r>
        <w:rPr>
          <w:rFonts w:hint="eastAsia" w:ascii="仿宋_GB2312" w:hAnsi="仿宋" w:eastAsia="仿宋_GB2312"/>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sz w:val="24"/>
        </w:rPr>
        <w:t>诸政采2023-02-</w:t>
      </w:r>
      <w:r>
        <w:rPr>
          <w:rFonts w:ascii="仿宋_GB2312" w:hAnsi="仿宋" w:eastAsia="仿宋_GB2312"/>
          <w:sz w:val="24"/>
        </w:rPr>
        <w:t>07</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项目名称：</w:t>
      </w:r>
      <w:r>
        <w:rPr>
          <w:rFonts w:ascii="仿宋_GB2312" w:hAnsi="仿宋" w:eastAsia="仿宋_GB2312"/>
          <w:sz w:val="24"/>
        </w:rPr>
        <w:t>诸暨市人民医院部分检测项目检验服务外包采购</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预算金额（元）：</w:t>
      </w:r>
      <w:r>
        <w:rPr>
          <w:rFonts w:ascii="仿宋_GB2312" w:hAnsi="仿宋" w:eastAsia="仿宋_GB2312"/>
          <w:sz w:val="24"/>
        </w:rPr>
        <w:t>16000000</w:t>
      </w:r>
    </w:p>
    <w:p>
      <w:pPr>
        <w:spacing w:line="360" w:lineRule="auto"/>
        <w:ind w:firstLine="480"/>
        <w:rPr>
          <w:rFonts w:ascii="仿宋_GB2312" w:hAnsi="仿宋" w:eastAsia="仿宋_GB2312"/>
          <w:sz w:val="24"/>
        </w:rPr>
      </w:pPr>
      <w:r>
        <w:rPr>
          <w:rFonts w:hint="eastAsia" w:ascii="仿宋_GB2312" w:hAnsi="仿宋" w:eastAsia="仿宋_GB2312"/>
          <w:b/>
          <w:sz w:val="24"/>
        </w:rPr>
        <w:t>最高限价（元）：</w:t>
      </w:r>
      <w:r>
        <w:rPr>
          <w:rFonts w:hint="eastAsia" w:ascii="仿宋_GB2312" w:hAnsi="仿宋" w:eastAsia="仿宋_GB2312"/>
          <w:sz w:val="24"/>
        </w:rPr>
        <w:t>标的一：9200</w:t>
      </w:r>
      <w:r>
        <w:rPr>
          <w:rFonts w:ascii="仿宋_GB2312" w:hAnsi="仿宋" w:eastAsia="仿宋_GB2312"/>
          <w:sz w:val="24"/>
        </w:rPr>
        <w:t>000</w:t>
      </w:r>
      <w:r>
        <w:rPr>
          <w:rFonts w:hint="eastAsia" w:ascii="仿宋_GB2312" w:hAnsi="仿宋" w:eastAsia="仿宋_GB2312"/>
          <w:sz w:val="24"/>
        </w:rPr>
        <w:t>元；标的二：2800</w:t>
      </w:r>
      <w:r>
        <w:rPr>
          <w:rFonts w:ascii="仿宋_GB2312" w:hAnsi="仿宋" w:eastAsia="仿宋_GB2312"/>
          <w:sz w:val="24"/>
        </w:rPr>
        <w:t>000</w:t>
      </w:r>
      <w:r>
        <w:rPr>
          <w:rFonts w:hint="eastAsia" w:ascii="仿宋_GB2312" w:hAnsi="仿宋" w:eastAsia="仿宋_GB2312"/>
          <w:sz w:val="24"/>
        </w:rPr>
        <w:t>元；标的三： 1580</w:t>
      </w:r>
      <w:r>
        <w:rPr>
          <w:rFonts w:ascii="仿宋_GB2312" w:hAnsi="仿宋" w:eastAsia="仿宋_GB2312"/>
          <w:sz w:val="24"/>
        </w:rPr>
        <w:t>000</w:t>
      </w:r>
      <w:r>
        <w:rPr>
          <w:rFonts w:hint="eastAsia" w:ascii="仿宋_GB2312" w:hAnsi="仿宋" w:eastAsia="仿宋_GB2312"/>
          <w:sz w:val="24"/>
        </w:rPr>
        <w:t>元。本项目最高限价1</w:t>
      </w:r>
      <w:r>
        <w:rPr>
          <w:rFonts w:ascii="仿宋_GB2312" w:hAnsi="仿宋" w:eastAsia="仿宋_GB2312"/>
          <w:sz w:val="24"/>
        </w:rPr>
        <w:t>358</w:t>
      </w:r>
      <w:r>
        <w:rPr>
          <w:rFonts w:hint="eastAsia" w:ascii="仿宋_GB2312" w:hAnsi="仿宋" w:eastAsia="仿宋_GB2312"/>
          <w:sz w:val="24"/>
        </w:rPr>
        <w:t>万元</w:t>
      </w:r>
    </w:p>
    <w:p>
      <w:pPr>
        <w:pStyle w:val="793"/>
        <w:autoSpaceDE w:val="0"/>
        <w:autoSpaceDN w:val="0"/>
        <w:adjustRightInd w:val="0"/>
        <w:spacing w:after="120" w:line="240" w:lineRule="auto"/>
        <w:ind w:firstLineChars="0"/>
        <w:rPr>
          <w:rFonts w:ascii="仿宋_GB2312" w:hAnsi="仿宋" w:eastAsia="仿宋_GB2312"/>
          <w:szCs w:val="24"/>
        </w:rPr>
      </w:pPr>
      <w:r>
        <w:rPr>
          <w:rFonts w:hint="eastAsia" w:ascii="仿宋_GB2312" w:hAnsi="仿宋" w:eastAsia="仿宋_GB2312"/>
          <w:b/>
        </w:rPr>
        <w:t>采购需求：</w:t>
      </w:r>
      <w:r>
        <w:rPr>
          <w:rFonts w:ascii="仿宋_GB2312" w:hAnsi="仿宋" w:eastAsia="仿宋_GB2312"/>
        </w:rPr>
        <w:t>诸暨市人民医院部分检测项目检验服务外包采购</w:t>
      </w:r>
      <w:r>
        <w:rPr>
          <w:rFonts w:hint="eastAsia" w:ascii="仿宋_GB2312" w:hAnsi="仿宋" w:eastAsia="仿宋_GB2312"/>
          <w:szCs w:val="24"/>
        </w:rPr>
        <w:t>，共分为3个标的。详见招标文件第三部分采购需求</w:t>
      </w:r>
    </w:p>
    <w:p>
      <w:pPr>
        <w:spacing w:line="360" w:lineRule="auto"/>
        <w:ind w:firstLine="482" w:firstLineChars="200"/>
        <w:rPr>
          <w:rFonts w:ascii="仿宋_GB2312" w:hAnsi="仿宋" w:eastAsia="仿宋_GB2312"/>
          <w:snapToGrid w:val="0"/>
          <w:kern w:val="28"/>
          <w:sz w:val="24"/>
        </w:rPr>
      </w:pPr>
      <w:r>
        <w:rPr>
          <w:rFonts w:hint="eastAsia" w:ascii="仿宋_GB2312" w:hAnsi="仿宋" w:eastAsia="仿宋_GB2312"/>
          <w:b/>
          <w:sz w:val="24"/>
        </w:rPr>
        <w:t>合同履约期限：</w:t>
      </w:r>
      <w:r>
        <w:rPr>
          <w:rFonts w:hint="eastAsia" w:ascii="仿宋_GB2312" w:hAnsi="仿宋" w:eastAsia="仿宋_GB2312"/>
          <w:sz w:val="24"/>
          <w:szCs w:val="22"/>
        </w:rPr>
        <w:t>2年</w:t>
      </w:r>
    </w:p>
    <w:p>
      <w:pPr>
        <w:spacing w:line="360" w:lineRule="auto"/>
        <w:ind w:firstLine="482" w:firstLineChars="200"/>
        <w:rPr>
          <w:rFonts w:hint="eastAsia" w:ascii="仿宋_GB2312" w:hAnsi="仿宋" w:eastAsiaTheme="minorEastAsia"/>
          <w:b/>
          <w:sz w:val="24"/>
        </w:rPr>
      </w:pPr>
      <w:r>
        <w:rPr>
          <w:rFonts w:hint="eastAsia" w:ascii="仿宋_GB2312" w:hAnsi="仿宋" w:eastAsia="仿宋_GB2312"/>
          <w:b/>
          <w:sz w:val="24"/>
        </w:rPr>
        <w:t>本项目接受联合体投标：是。</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_GB2312" w:hAnsi="仿宋" w:eastAsia="仿宋_GB2312"/>
          <w:bCs/>
          <w:sz w:val="24"/>
        </w:rPr>
      </w:pPr>
      <w:r>
        <w:rPr>
          <w:rFonts w:hint="eastAsia" w:ascii="仿宋_GB2312" w:hAnsi="仿宋" w:eastAsia="仿宋_GB2312"/>
          <w:bCs/>
          <w:sz w:val="24"/>
        </w:rPr>
        <w:t>1. 满足《中华人民共和国政府采购法》第二十二条规定；</w:t>
      </w:r>
    </w:p>
    <w:p>
      <w:pPr>
        <w:spacing w:line="360" w:lineRule="auto"/>
        <w:ind w:firstLine="480"/>
        <w:rPr>
          <w:rFonts w:ascii="仿宋_GB2312" w:hAnsi="仿宋" w:eastAsia="仿宋_GB2312"/>
          <w:bCs/>
          <w:sz w:val="24"/>
        </w:rPr>
      </w:pPr>
      <w:r>
        <w:rPr>
          <w:rFonts w:hint="eastAsia" w:ascii="仿宋_GB2312" w:hAnsi="仿宋" w:eastAsia="仿宋_GB2312"/>
          <w:bCs/>
          <w:sz w:val="24"/>
        </w:rPr>
        <w:t>2.未被“信用中国”（www.creditchina.gov.cn)、中国政府采购网（www.ccgp.gov.cn）列入失信被执行人、重大税收违法案件当事人名单、政府采购严重违法失信行为记录名单。</w:t>
      </w:r>
    </w:p>
    <w:p>
      <w:pPr>
        <w:spacing w:line="360" w:lineRule="auto"/>
        <w:ind w:firstLine="484"/>
        <w:rPr>
          <w:rFonts w:ascii="仿宋_GB2312" w:hAnsi="仿宋" w:eastAsia="仿宋_GB2312"/>
          <w:bCs/>
          <w:sz w:val="24"/>
        </w:rPr>
      </w:pPr>
      <w:r>
        <w:rPr>
          <w:rFonts w:hint="eastAsia" w:ascii="仿宋_GB2312" w:hAnsi="仿宋" w:eastAsia="仿宋_GB2312"/>
          <w:bCs/>
          <w:sz w:val="24"/>
        </w:rPr>
        <w:t>3.落实政府采购政策需满足的资格要求：</w:t>
      </w:r>
    </w:p>
    <w:p>
      <w:pPr>
        <w:spacing w:line="360" w:lineRule="auto"/>
        <w:ind w:firstLine="484"/>
        <w:rPr>
          <w:rFonts w:hint="eastAsia" w:ascii="仿宋_GB2312" w:hAnsi="仿宋" w:eastAsia="仿宋_GB2312"/>
          <w:bCs/>
          <w:sz w:val="24"/>
        </w:rPr>
      </w:pPr>
      <w:r>
        <w:rPr>
          <w:rFonts w:hint="eastAsia" w:ascii="仿宋_GB2312" w:hAnsi="仿宋" w:eastAsia="仿宋_GB2312"/>
          <w:bCs/>
          <w:sz w:val="24"/>
        </w:rPr>
        <w:t>该项目已预留份额给中小企业。标的一、标的二、标的三均要求供应商以联合体形式参加采购活动，合同总额的40%以上须由联合体中享受中小企业扶持政策的企业承担，提供联合协议和中小企业声明函;如果供应商自身享受中小企业扶持政策，则无需组成联合体参加本次政府采购活动，无需提供联合协议。</w:t>
      </w:r>
    </w:p>
    <w:p>
      <w:pPr>
        <w:spacing w:line="360" w:lineRule="auto"/>
        <w:ind w:firstLine="480"/>
        <w:rPr>
          <w:rFonts w:ascii="仿宋_GB2312" w:hAnsi="仿宋" w:eastAsia="仿宋_GB2312"/>
          <w:bCs/>
          <w:sz w:val="24"/>
        </w:rPr>
      </w:pPr>
      <w:r>
        <w:rPr>
          <w:rFonts w:hint="eastAsia" w:ascii="仿宋_GB2312" w:hAnsi="仿宋" w:eastAsia="仿宋_GB2312"/>
          <w:bCs/>
          <w:sz w:val="24"/>
        </w:rPr>
        <w:t>4.本项目的特定资格要求：无。</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pStyle w:val="32"/>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hint="eastAsia" w:ascii="仿宋_GB2312" w:hAnsi="仿宋" w:eastAsia="仿宋_GB2312"/>
          <w:sz w:val="24"/>
          <w:u w:val="single"/>
        </w:rPr>
        <w:t>2023年</w:t>
      </w:r>
      <w:r>
        <w:rPr>
          <w:rFonts w:ascii="仿宋_GB2312" w:hAnsi="仿宋" w:eastAsia="仿宋_GB2312"/>
          <w:sz w:val="24"/>
          <w:u w:val="single"/>
        </w:rPr>
        <w:t>3</w:t>
      </w:r>
      <w:r>
        <w:rPr>
          <w:rFonts w:hint="eastAsia" w:ascii="仿宋_GB2312" w:hAnsi="仿宋" w:eastAsia="仿宋_GB2312"/>
          <w:sz w:val="24"/>
          <w:u w:val="single"/>
        </w:rPr>
        <w:t>月</w:t>
      </w:r>
      <w:r>
        <w:rPr>
          <w:rFonts w:ascii="仿宋_GB2312" w:hAnsi="仿宋" w:eastAsia="仿宋_GB2312"/>
          <w:sz w:val="24"/>
          <w:u w:val="single"/>
        </w:rPr>
        <w:t>2</w:t>
      </w:r>
      <w:r>
        <w:rPr>
          <w:rFonts w:hint="eastAsia" w:ascii="仿宋_GB2312" w:hAnsi="仿宋" w:eastAsia="仿宋_GB2312"/>
          <w:sz w:val="24"/>
          <w:u w:val="single"/>
        </w:rPr>
        <w:t>日</w:t>
      </w:r>
      <w:r>
        <w:rPr>
          <w:rFonts w:ascii="仿宋_GB2312" w:hAnsi="仿宋" w:eastAsia="仿宋_GB2312"/>
          <w:sz w:val="24"/>
          <w:u w:val="single"/>
        </w:rPr>
        <w:t>至</w:t>
      </w:r>
      <w:r>
        <w:rPr>
          <w:rFonts w:hint="eastAsia" w:ascii="仿宋_GB2312" w:hAnsi="仿宋" w:eastAsia="仿宋_GB2312"/>
          <w:sz w:val="24"/>
          <w:u w:val="single"/>
        </w:rPr>
        <w:t>2023</w:t>
      </w:r>
      <w:r>
        <w:rPr>
          <w:rFonts w:ascii="仿宋_GB2312" w:hAnsi="仿宋" w:eastAsia="仿宋_GB2312"/>
          <w:sz w:val="24"/>
          <w:u w:val="single"/>
        </w:rPr>
        <w:t>年</w:t>
      </w:r>
      <w:r>
        <w:rPr>
          <w:rFonts w:hint="eastAsia" w:ascii="仿宋_GB2312" w:hAnsi="仿宋" w:eastAsia="仿宋_GB2312"/>
          <w:sz w:val="24"/>
          <w:u w:val="single"/>
        </w:rPr>
        <w:t>3</w:t>
      </w:r>
      <w:r>
        <w:rPr>
          <w:rFonts w:ascii="仿宋_GB2312" w:hAnsi="仿宋" w:eastAsia="仿宋_GB2312"/>
          <w:sz w:val="24"/>
          <w:u w:val="single"/>
        </w:rPr>
        <w:t>月23日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w:t>
      </w:r>
      <w:r>
        <w:rPr>
          <w:rFonts w:hint="eastAsia" w:ascii="仿宋_GB2312" w:hAnsi="仿宋" w:eastAsia="仿宋_GB2312"/>
          <w:sz w:val="24"/>
        </w:rPr>
        <w:t>。招标文件发布截止时间之后有潜在供应商提出要求获取招标文件的，允许获取。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cs="Arial"/>
          <w:snapToGrid w:val="0"/>
          <w:sz w:val="24"/>
          <w:szCs w:val="21"/>
        </w:rPr>
        <w:t>浙江政府采购网（http://zfcg.czt.zj.gov.cn/）</w:t>
      </w:r>
      <w:r>
        <w:rPr>
          <w:rFonts w:ascii="仿宋_GB2312" w:hAnsi="仿宋" w:eastAsia="仿宋_GB2312"/>
          <w:sz w:val="24"/>
        </w:rPr>
        <w:t xml:space="preserve"> </w:t>
      </w:r>
    </w:p>
    <w:p>
      <w:pPr>
        <w:spacing w:line="360" w:lineRule="auto"/>
        <w:ind w:firstLine="482" w:firstLineChars="200"/>
        <w:rPr>
          <w:rFonts w:ascii="仿宋_GB2312" w:hAnsi="仿宋" w:eastAsia="仿宋_GB2312" w:cs="Arial"/>
          <w:snapToGrid w:val="0"/>
          <w:sz w:val="24"/>
          <w:szCs w:val="21"/>
        </w:rPr>
      </w:pPr>
      <w:r>
        <w:rPr>
          <w:rFonts w:hint="eastAsia" w:ascii="仿宋_GB2312" w:hAnsi="仿宋" w:eastAsia="仿宋_GB2312"/>
          <w:b/>
          <w:sz w:val="24"/>
        </w:rPr>
        <w:t>方式：</w:t>
      </w:r>
      <w:r>
        <w:rPr>
          <w:rFonts w:hint="eastAsia" w:ascii="仿宋_GB2312" w:hAnsi="仿宋" w:eastAsia="仿宋_GB2312" w:cs="Arial"/>
          <w:snapToGrid w:val="0"/>
          <w:sz w:val="24"/>
          <w:szCs w:val="21"/>
        </w:rPr>
        <w:t>本项目招标文件采用网上下载方式发布，不提供招标文件纸质版。符合投标人资格条件的供应商请在上述网站采购公告栏目中获取招标文件。本项目无须报名，直接在政府采购云平台上参与电子投标。</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w:t>
      </w:r>
      <w:r>
        <w:rPr>
          <w:rFonts w:ascii="仿宋_GB2312" w:hAnsi="仿宋" w:eastAsia="仿宋_GB2312" w:cs="Arial"/>
          <w:snapToGrid w:val="0"/>
          <w:sz w:val="24"/>
          <w:szCs w:val="21"/>
        </w:rPr>
        <w:t xml:space="preserve">0 </w:t>
      </w:r>
      <w:r>
        <w:rPr>
          <w:rFonts w:hint="eastAsia" w:ascii="仿宋_GB2312" w:hAnsi="仿宋" w:eastAsia="仿宋_GB2312" w:cs="Arial"/>
          <w:snapToGrid w:val="0"/>
          <w:sz w:val="24"/>
          <w:szCs w:val="21"/>
        </w:rPr>
        <w:t>元。</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pStyle w:val="32"/>
        <w:spacing w:line="360" w:lineRule="auto"/>
        <w:ind w:firstLine="482" w:firstLineChars="200"/>
        <w:rPr>
          <w:rFonts w:ascii="仿宋_GB2312" w:hAnsi="仿宋" w:eastAsia="仿宋_GB2312"/>
          <w:sz w:val="24"/>
        </w:rPr>
      </w:pPr>
      <w:r>
        <w:rPr>
          <w:rFonts w:hint="eastAsia" w:ascii="仿宋_GB2312" w:hAnsi="仿宋" w:eastAsia="仿宋_GB2312" w:cs="Times New Roman"/>
          <w:b/>
          <w:snapToGrid/>
          <w:sz w:val="24"/>
          <w:szCs w:val="24"/>
        </w:rPr>
        <w:t>提交投标文件截止时间及开标时间：</w:t>
      </w:r>
      <w:r>
        <w:rPr>
          <w:rFonts w:hint="eastAsia" w:ascii="仿宋_GB2312" w:hAnsi="仿宋" w:eastAsia="仿宋_GB2312"/>
          <w:sz w:val="24"/>
        </w:rPr>
        <w:t>投标人应于2023年3月</w:t>
      </w:r>
      <w:r>
        <w:rPr>
          <w:rFonts w:ascii="仿宋_GB2312" w:hAnsi="仿宋" w:eastAsia="仿宋_GB2312"/>
          <w:sz w:val="24"/>
        </w:rPr>
        <w:t>23</w:t>
      </w:r>
      <w:r>
        <w:rPr>
          <w:rFonts w:hint="eastAsia" w:ascii="仿宋_GB2312" w:hAnsi="仿宋" w:eastAsia="仿宋_GB2312"/>
          <w:sz w:val="24"/>
        </w:rPr>
        <w:t>日9时00分（北京时间）前按照电子投标要求将电子加密标书上传到政府采购云平台，逾期或未上传成功的将导致无法投标或投标无效。</w:t>
      </w:r>
    </w:p>
    <w:p>
      <w:pPr>
        <w:pStyle w:val="32"/>
        <w:spacing w:line="360" w:lineRule="auto"/>
        <w:ind w:firstLine="482" w:firstLineChars="200"/>
        <w:rPr>
          <w:rFonts w:ascii="仿宋_GB2312" w:hAnsi="仿宋" w:eastAsia="仿宋_GB2312"/>
          <w:sz w:val="24"/>
        </w:rPr>
      </w:pPr>
      <w:r>
        <w:rPr>
          <w:rFonts w:hint="eastAsia" w:ascii="仿宋_GB2312" w:hAnsi="仿宋" w:eastAsia="仿宋_GB2312" w:cs="Times New Roman"/>
          <w:b/>
          <w:snapToGrid/>
          <w:sz w:val="24"/>
          <w:szCs w:val="24"/>
        </w:rPr>
        <w:t>开标地点：</w:t>
      </w:r>
      <w:r>
        <w:rPr>
          <w:rFonts w:hint="eastAsia" w:ascii="仿宋_GB2312" w:hAnsi="仿宋" w:eastAsia="仿宋_GB2312"/>
          <w:sz w:val="24"/>
        </w:rPr>
        <w:t>政府采购云平台（www.zcygov.cn）。所有投标人均须准时在“政府采购云平台”在线参加。</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w:t>
      </w:r>
      <w:r>
        <w:rPr>
          <w:rFonts w:hint="eastAsia" w:ascii="仿宋_GB2312" w:hAnsi="仿宋" w:eastAsia="仿宋_GB2312"/>
          <w:sz w:val="24"/>
        </w:rPr>
        <w:t>七</w:t>
      </w:r>
      <w:r>
        <w:rPr>
          <w:rFonts w:ascii="仿宋_GB2312" w:hAnsi="仿宋" w:eastAsia="仿宋_GB2312"/>
          <w:sz w:val="24"/>
        </w:rPr>
        <w:t>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w:t>
      </w:r>
    </w:p>
    <w:p>
      <w:pPr>
        <w:spacing w:line="360" w:lineRule="auto"/>
        <w:ind w:firstLine="480" w:firstLineChars="200"/>
        <w:rPr>
          <w:rFonts w:ascii="仿宋_GB2312" w:hAnsi="仿宋" w:eastAsia="仿宋_GB2312"/>
          <w:sz w:val="24"/>
        </w:rPr>
      </w:pPr>
      <w:r>
        <w:rPr>
          <w:rFonts w:ascii="仿宋_GB2312" w:hAnsi="仿宋" w:eastAsia="仿宋_GB2312"/>
          <w:sz w:val="24"/>
        </w:rPr>
        <w:t>2</w:t>
      </w:r>
      <w:r>
        <w:rPr>
          <w:rFonts w:hint="eastAsia" w:ascii="仿宋_GB2312" w:hAnsi="仿宋" w:eastAsia="仿宋_GB2312"/>
          <w:sz w:val="24"/>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.其他事项：（1）需要落实的政府采购政策：包括节约资源、保护环境、支持创新、促进中小企业发展等，详见招标文件的第二部分投标人须知-总则。（2）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w:t>
      </w:r>
      <w:r>
        <w:rPr>
          <w:rFonts w:hint="eastAsia" w:ascii="仿宋_GB2312" w:hAnsi="仿宋" w:eastAsia="仿宋_GB2312" w:cs="仿宋_GB2312"/>
          <w:sz w:val="24"/>
        </w:rPr>
        <w:t>政府采购云平台；进入“项目采购”应用，在获取采购文件菜单中选择项目，获取招标文件；④</w:t>
      </w:r>
      <w:r>
        <w:rPr>
          <w:rFonts w:ascii="仿宋_GB2312" w:hAnsi="仿宋" w:eastAsia="仿宋_GB2312"/>
          <w:sz w:val="24"/>
        </w:rPr>
        <w:t>对未按上述方式获取</w:t>
      </w:r>
      <w:r>
        <w:rPr>
          <w:rFonts w:hint="eastAsia" w:ascii="仿宋_GB2312" w:hAnsi="仿宋" w:eastAsia="仿宋_GB2312"/>
          <w:sz w:val="24"/>
        </w:rPr>
        <w:t>招标</w:t>
      </w:r>
      <w:r>
        <w:rPr>
          <w:rFonts w:ascii="仿宋_GB2312" w:hAnsi="仿宋" w:eastAsia="仿宋_GB2312"/>
          <w:sz w:val="24"/>
        </w:rPr>
        <w:t>文件的供应商</w:t>
      </w:r>
      <w:r>
        <w:rPr>
          <w:rFonts w:hint="eastAsia" w:ascii="仿宋_GB2312" w:hAnsi="仿宋" w:eastAsia="仿宋_GB2312"/>
          <w:sz w:val="24"/>
        </w:rPr>
        <w:t>，视为未参与该项政府采购活动，不具备对该政府采购项目提出质疑的法定权利，但因供应商资格条件或报名时间设定不符合有关法律法规规定等原因使供应商权益受损的除外；⑤</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⑥</w:t>
      </w:r>
      <w:r>
        <w:rPr>
          <w:rFonts w:ascii="仿宋_GB2312" w:hAnsi="仿宋" w:eastAsia="仿宋_GB2312"/>
          <w:sz w:val="24"/>
        </w:rPr>
        <w:t>不提供招标文件纸质版</w:t>
      </w:r>
      <w:r>
        <w:rPr>
          <w:rFonts w:hint="eastAsia" w:ascii="仿宋_GB2312" w:hAnsi="仿宋" w:eastAsia="仿宋_GB2312"/>
          <w:sz w:val="24"/>
        </w:rPr>
        <w:t>；⑦</w:t>
      </w:r>
      <w:r>
        <w:rPr>
          <w:rFonts w:ascii="仿宋_GB2312" w:hAnsi="仿宋" w:eastAsia="仿宋_GB2312" w:cs="仿宋_GB2312"/>
          <w:sz w:val="24"/>
        </w:rPr>
        <w:t>投标文件的传输递交：投标人在投标截止时间前将加密的投标文件上传至政府采购云平台，还可以在投标截止时间前递交备份投标文件1份。</w:t>
      </w:r>
      <w:r>
        <w:rPr>
          <w:rFonts w:ascii="仿宋_GB2312" w:hAnsi="仿宋" w:eastAsia="仿宋_GB2312" w:cs="仿宋_GB2312"/>
          <w:b/>
          <w:bCs/>
          <w:sz w:val="24"/>
        </w:rPr>
        <w:t>备份投标文件的制作、递交详见招标文件第二部分第15点—“备份投标文件”</w:t>
      </w:r>
      <w:r>
        <w:rPr>
          <w:rFonts w:hint="eastAsia" w:ascii="仿宋_GB2312" w:hAnsi="仿宋" w:eastAsia="仿宋_GB2312" w:cs="仿宋_GB2312"/>
          <w:b/>
          <w:bCs/>
          <w:sz w:val="24"/>
        </w:rPr>
        <w:t>；</w:t>
      </w:r>
      <w:r>
        <w:rPr>
          <w:rFonts w:hint="eastAsia" w:ascii="仿宋_GB2312" w:hAnsi="仿宋" w:eastAsia="仿宋_GB2312" w:cs="仿宋_GB2312"/>
          <w:sz w:val="24"/>
        </w:rPr>
        <w:t xml:space="preserve"> ⑧投标文件的解密：投标人按照平台提示和招标文件的规定在3</w:t>
      </w:r>
      <w:r>
        <w:rPr>
          <w:rFonts w:ascii="仿宋_GB2312" w:hAnsi="仿宋" w:eastAsia="仿宋_GB2312" w:cs="仿宋_GB2312"/>
          <w:sz w:val="24"/>
        </w:rPr>
        <w:t>0</w:t>
      </w:r>
      <w:r>
        <w:rPr>
          <w:rFonts w:hint="eastAsia" w:ascii="仿宋_GB2312" w:hAnsi="仿宋" w:eastAsia="仿宋_GB2312" w:cs="仿宋_GB2312"/>
          <w:sz w:val="24"/>
        </w:rPr>
        <w:t>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hint="eastAsia" w:ascii="仿宋_GB2312" w:hAnsi="仿宋" w:eastAsia="仿宋_GB2312"/>
          <w:sz w:val="24"/>
        </w:rPr>
        <w:t>⑨</w:t>
      </w:r>
      <w:r>
        <w:rPr>
          <w:rFonts w:ascii="仿宋_GB2312" w:hAnsi="仿宋" w:eastAsia="仿宋_GB2312" w:cs="仿宋_GB2312"/>
          <w:sz w:val="24"/>
        </w:rPr>
        <w:t>具体操作指南：详见</w:t>
      </w:r>
      <w:r>
        <w:rPr>
          <w:rFonts w:hint="eastAsia" w:ascii="仿宋_GB2312" w:hAnsi="仿宋" w:eastAsia="仿宋_GB2312" w:cs="仿宋_GB2312"/>
          <w:sz w:val="24"/>
        </w:rPr>
        <w:t>政府采购云平台“服务中心</w:t>
      </w:r>
      <w:r>
        <w:rPr>
          <w:rFonts w:ascii="仿宋_GB2312" w:hAnsi="仿宋" w:eastAsia="仿宋_GB2312" w:cs="仿宋_GB2312"/>
          <w:sz w:val="24"/>
        </w:rPr>
        <w:t>-帮助文档-项目采购-操作流程-电子招投标-政府采购项目电子交易管理操作指南-供应商”。</w:t>
      </w:r>
      <w:r>
        <w:rPr>
          <w:rFonts w:hint="eastAsia" w:ascii="仿宋_GB2312" w:hAnsi="仿宋" w:eastAsia="仿宋_GB2312"/>
          <w:sz w:val="24"/>
        </w:rPr>
        <w:t xml:space="preserve"> </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诸暨市人民医院</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地    址：诸暨市陶朱街道健民路9号</w:t>
      </w:r>
    </w:p>
    <w:p>
      <w:pPr>
        <w:spacing w:line="360" w:lineRule="auto"/>
        <w:ind w:firstLine="480"/>
        <w:rPr>
          <w:rFonts w:ascii="仿宋_GB2312" w:hAnsi="仿宋" w:eastAsia="仿宋"/>
          <w:sz w:val="24"/>
        </w:rPr>
      </w:pPr>
      <w:r>
        <w:rPr>
          <w:rFonts w:hint="eastAsia" w:ascii="仿宋_GB2312" w:hAnsi="仿宋" w:eastAsia="仿宋_GB2312"/>
          <w:sz w:val="24"/>
        </w:rPr>
        <w:t>项目联系人（询问）：杨琼</w:t>
      </w:r>
      <w:r>
        <w:rPr>
          <w:rFonts w:ascii="仿宋_GB2312" w:hAnsi="仿宋" w:eastAsia="仿宋_GB2312"/>
          <w:sz w:val="24"/>
        </w:rPr>
        <w:t xml:space="preserve"> </w:t>
      </w:r>
      <w:r>
        <w:rPr>
          <w:rFonts w:hint="eastAsia" w:ascii="仿宋" w:hAnsi="仿宋" w:eastAsia="仿宋"/>
          <w:sz w:val="24"/>
        </w:rPr>
        <w:t xml:space="preserve"> </w:t>
      </w:r>
      <w:r>
        <w:rPr>
          <w:rFonts w:hint="eastAsia" w:ascii="仿宋_GB2312" w:hAnsi="仿宋" w:eastAsia="仿宋"/>
          <w:sz w:val="24"/>
        </w:rPr>
        <w:t xml:space="preserve">  </w:t>
      </w:r>
      <w:r>
        <w:rPr>
          <w:rFonts w:ascii="仿宋_GB2312" w:hAnsi="仿宋" w:eastAsia="仿宋_GB2312"/>
          <w:sz w:val="24"/>
        </w:rPr>
        <w:t>项目联系方式（询问）：</w:t>
      </w:r>
      <w:r>
        <w:rPr>
          <w:rFonts w:hint="eastAsia" w:ascii="仿宋_GB2312" w:hAnsi="仿宋" w:eastAsia="仿宋_GB2312"/>
          <w:sz w:val="24"/>
        </w:rPr>
        <w:t xml:space="preserve"> 0575-81782758</w:t>
      </w:r>
    </w:p>
    <w:p>
      <w:pPr>
        <w:spacing w:line="360" w:lineRule="auto"/>
        <w:ind w:firstLine="465"/>
        <w:rPr>
          <w:rFonts w:ascii="仿宋_GB2312" w:hAnsi="仿宋" w:eastAsia="仿宋_GB2312"/>
          <w:sz w:val="24"/>
        </w:rPr>
      </w:pPr>
      <w:r>
        <w:rPr>
          <w:rFonts w:ascii="仿宋_GB2312" w:hAnsi="仿宋" w:eastAsia="仿宋_GB2312"/>
          <w:sz w:val="24"/>
        </w:rPr>
        <w:t>质疑联系人：</w:t>
      </w:r>
      <w:r>
        <w:rPr>
          <w:rFonts w:hint="eastAsia" w:ascii="仿宋_GB2312" w:hAnsi="仿宋" w:eastAsia="仿宋_GB2312"/>
          <w:sz w:val="24"/>
        </w:rPr>
        <w:t xml:space="preserve">许水安          </w:t>
      </w:r>
      <w:r>
        <w:rPr>
          <w:rFonts w:ascii="仿宋_GB2312" w:hAnsi="仿宋" w:eastAsia="仿宋_GB2312"/>
          <w:sz w:val="24"/>
        </w:rPr>
        <w:t>质疑联系方式：</w:t>
      </w:r>
      <w:r>
        <w:rPr>
          <w:rFonts w:hint="eastAsia" w:ascii="仿宋_GB2312" w:hAnsi="仿宋" w:eastAsia="仿宋_GB2312"/>
          <w:sz w:val="24"/>
        </w:rPr>
        <w:t>13867585862</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称：诸暨市公共资源交易中心</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hint="eastAsia" w:ascii="仿宋" w:hAnsi="仿宋" w:eastAsia="仿宋"/>
          <w:sz w:val="24"/>
        </w:rPr>
        <w:t xml:space="preserve"> </w:t>
      </w:r>
      <w:r>
        <w:rPr>
          <w:rFonts w:hint="eastAsia" w:ascii="仿宋_GB2312" w:hAnsi="仿宋" w:eastAsia="仿宋_GB2312"/>
          <w:sz w:val="24"/>
        </w:rPr>
        <w:t>诸暨市暨东路58号北602</w:t>
      </w:r>
    </w:p>
    <w:p>
      <w:pPr>
        <w:spacing w:line="360" w:lineRule="auto"/>
        <w:ind w:firstLine="484"/>
        <w:rPr>
          <w:rFonts w:ascii="仿宋_GB2312" w:hAnsi="仿宋" w:eastAsia="仿宋_GB2312"/>
          <w:sz w:val="24"/>
        </w:rPr>
      </w:pPr>
      <w:r>
        <w:rPr>
          <w:rFonts w:ascii="仿宋_GB2312" w:hAnsi="仿宋" w:eastAsia="仿宋_GB2312"/>
          <w:sz w:val="24"/>
        </w:rPr>
        <w:t>项目联系人（询问）：</w:t>
      </w:r>
      <w:r>
        <w:rPr>
          <w:rFonts w:hint="eastAsia" w:ascii="仿宋_GB2312" w:hAnsi="仿宋" w:eastAsia="仿宋_GB2312"/>
          <w:sz w:val="24"/>
        </w:rPr>
        <w:t xml:space="preserve">金泽成   </w:t>
      </w:r>
      <w:r>
        <w:rPr>
          <w:rFonts w:ascii="仿宋_GB2312" w:hAnsi="仿宋" w:eastAsia="仿宋_GB2312"/>
          <w:sz w:val="24"/>
        </w:rPr>
        <w:t xml:space="preserve">   项目联系方式（询问）：</w:t>
      </w:r>
      <w:r>
        <w:rPr>
          <w:rFonts w:hint="eastAsia" w:ascii="仿宋_GB2312" w:hAnsi="仿宋" w:eastAsia="仿宋_GB2312"/>
          <w:sz w:val="24"/>
        </w:rPr>
        <w:t>0575-8725301</w:t>
      </w:r>
      <w:r>
        <w:rPr>
          <w:rFonts w:ascii="仿宋_GB2312" w:hAnsi="仿宋" w:eastAsia="仿宋_GB2312"/>
          <w:sz w:val="24"/>
        </w:rPr>
        <w:t>5</w:t>
      </w:r>
    </w:p>
    <w:p>
      <w:pPr>
        <w:spacing w:line="360" w:lineRule="auto"/>
        <w:ind w:firstLine="484"/>
        <w:rPr>
          <w:rFonts w:ascii="仿宋_GB2312" w:hAnsi="仿宋" w:eastAsia="仿宋_GB2312"/>
          <w:sz w:val="24"/>
        </w:rPr>
      </w:pPr>
      <w:r>
        <w:rPr>
          <w:rFonts w:ascii="仿宋_GB2312" w:hAnsi="仿宋" w:eastAsia="仿宋_GB2312"/>
          <w:sz w:val="24"/>
        </w:rPr>
        <w:t>传    真：</w:t>
      </w:r>
      <w:r>
        <w:rPr>
          <w:rFonts w:hint="eastAsia" w:ascii="仿宋_GB2312" w:hAnsi="仿宋" w:eastAsia="仿宋_GB2312"/>
          <w:sz w:val="24"/>
        </w:rPr>
        <w:t>0575-87221107</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_GB2312" w:hAnsi="仿宋" w:eastAsia="仿宋_GB2312"/>
          <w:sz w:val="24"/>
        </w:rPr>
        <w:t>王小林</w:t>
      </w:r>
      <w:r>
        <w:rPr>
          <w:rFonts w:hint="eastAsia" w:ascii="仿宋" w:hAnsi="仿宋" w:eastAsia="仿宋"/>
          <w:sz w:val="24"/>
        </w:rPr>
        <w:t xml:space="preserve"> </w:t>
      </w:r>
      <w:r>
        <w:rPr>
          <w:rFonts w:ascii="仿宋_GB2312" w:hAnsi="仿宋" w:eastAsia="仿宋_GB2312"/>
          <w:sz w:val="24"/>
        </w:rPr>
        <w:t xml:space="preserve"> 质疑联系方式：</w:t>
      </w:r>
      <w:r>
        <w:rPr>
          <w:rFonts w:hint="eastAsia" w:ascii="仿宋_GB2312" w:hAnsi="仿宋" w:eastAsia="仿宋_GB2312"/>
          <w:sz w:val="24"/>
        </w:rPr>
        <w:t xml:space="preserve"> 0575-87253016 </w:t>
      </w:r>
      <w:r>
        <w:rPr>
          <w:rFonts w:ascii="仿宋_GB2312" w:hAnsi="仿宋" w:eastAsia="仿宋_GB2312"/>
          <w:sz w:val="24"/>
        </w:rPr>
        <w:t>传真：</w:t>
      </w:r>
      <w:r>
        <w:rPr>
          <w:rFonts w:hint="eastAsia" w:ascii="仿宋_GB2312" w:hAnsi="仿宋" w:eastAsia="仿宋_GB2312"/>
          <w:sz w:val="24"/>
        </w:rPr>
        <w:t>0575-87221107</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诸暨市财政局政府采购监管科</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诸暨市人民中路356号</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rPr>
        <w:t xml:space="preserve"> </w:t>
      </w:r>
      <w:r>
        <w:rPr>
          <w:rFonts w:ascii="仿宋_GB2312" w:hAnsi="仿宋" w:eastAsia="仿宋_GB2312"/>
          <w:sz w:val="24"/>
        </w:rPr>
        <w:t>0575-87023633</w:t>
      </w:r>
    </w:p>
    <w:p>
      <w:pPr>
        <w:spacing w:line="360" w:lineRule="auto"/>
        <w:rPr>
          <w:rFonts w:ascii="仿宋_GB2312" w:hAnsi="仿宋" w:eastAsia="仿宋_GB2312"/>
          <w:sz w:val="24"/>
        </w:rPr>
      </w:pPr>
      <w:r>
        <w:rPr>
          <w:rFonts w:ascii="仿宋_GB2312" w:hAnsi="仿宋" w:eastAsia="仿宋_GB2312"/>
          <w:sz w:val="24"/>
        </w:rPr>
        <w:t xml:space="preserve">    联系人 ：</w:t>
      </w:r>
      <w:r>
        <w:rPr>
          <w:rFonts w:hint="eastAsia" w:ascii="仿宋_GB2312" w:hAnsi="仿宋" w:eastAsia="仿宋_GB2312"/>
          <w:sz w:val="24"/>
        </w:rPr>
        <w:t xml:space="preserve">吕康玮 </w:t>
      </w:r>
      <w:r>
        <w:rPr>
          <w:rFonts w:ascii="仿宋_GB2312" w:hAnsi="仿宋" w:eastAsia="仿宋_GB2312"/>
          <w:sz w:val="24"/>
        </w:rPr>
        <w:t xml:space="preserve">  监督投诉电话：</w:t>
      </w:r>
      <w:r>
        <w:rPr>
          <w:rFonts w:hint="eastAsia" w:ascii="仿宋_GB2312" w:hAnsi="仿宋" w:eastAsia="仿宋_GB2312"/>
          <w:sz w:val="24"/>
        </w:rPr>
        <w:t xml:space="preserve">0575-87111685 </w:t>
      </w:r>
      <w:r>
        <w:rPr>
          <w:rFonts w:ascii="仿宋_GB2312" w:hAnsi="仿宋" w:eastAsia="仿宋_GB2312"/>
          <w:sz w:val="24"/>
        </w:rPr>
        <w:t xml:space="preserve">  </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w:t>
      </w:r>
      <w:r>
        <w:rPr>
          <w:rFonts w:hint="eastAsia" w:ascii="仿宋_GB2312" w:hAnsi="仿宋" w:eastAsia="仿宋_GB2312"/>
          <w:sz w:val="24"/>
        </w:rPr>
        <w:t>若对项目采购电子交易系统操作有疑问，可登录政府采购云平台（</w:t>
      </w:r>
      <w:r>
        <w:rPr>
          <w:rFonts w:ascii="仿宋_GB2312" w:hAnsi="仿宋" w:eastAsia="仿宋_GB2312"/>
          <w:sz w:val="24"/>
        </w:rPr>
        <w:t>https://www.zcygov.cn/），点击右侧咨询小采，获取采小蜜智能服务管家帮助，或拨打</w:t>
      </w:r>
      <w:r>
        <w:rPr>
          <w:rFonts w:hint="eastAsia" w:ascii="仿宋_GB2312" w:hAnsi="仿宋" w:eastAsia="仿宋_GB2312"/>
          <w:sz w:val="24"/>
        </w:rPr>
        <w:t>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0"/>
      <w:r>
        <w:rPr>
          <w:rFonts w:ascii="仿宋" w:hAnsi="仿宋" w:eastAsia="仿宋" w:cs="仿宋_GB2312"/>
          <w:b/>
          <w:sz w:val="36"/>
          <w:szCs w:val="20"/>
        </w:rPr>
        <w:t xml:space="preserve"> 投标人须知</w:t>
      </w:r>
      <w:bookmarkEnd w:id="1"/>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98"/>
        <w:gridCol w:w="1760"/>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71"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1</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仿宋_GB2312"/>
                <w:b/>
                <w:sz w:val="24"/>
              </w:rPr>
            </w:pPr>
            <w:r>
              <w:rPr>
                <w:rFonts w:hint="eastAsia" w:ascii="仿宋_GB2312" w:hAnsi="仿宋" w:eastAsia="仿宋_GB2312"/>
                <w:kern w:val="0"/>
                <w:sz w:val="24"/>
                <w:lang w:val="zh-CN"/>
              </w:rPr>
              <w:t>本项目采用</w:t>
            </w:r>
            <w:r>
              <w:rPr>
                <w:rFonts w:hint="eastAsia" w:ascii="仿宋_GB2312" w:hAnsi="仿宋" w:eastAsia="仿宋_GB2312"/>
                <w:b/>
                <w:bCs/>
                <w:kern w:val="0"/>
                <w:sz w:val="24"/>
                <w:u w:val="single"/>
                <w:lang w:val="zh-CN"/>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741"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2</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jc w:val="left"/>
              <w:rPr>
                <w:rFonts w:ascii="仿宋_GB2312" w:hAnsi="仿宋" w:eastAsia="仿宋_GB2312"/>
                <w:kern w:val="0"/>
                <w:sz w:val="24"/>
                <w:lang w:val="zh-CN"/>
              </w:rPr>
            </w:pPr>
            <w:r>
              <w:rPr>
                <w:rFonts w:hint="eastAsia" w:ascii="仿宋_GB2312" w:hAnsi="仿宋" w:eastAsia="仿宋_GB2312"/>
                <w:kern w:val="0"/>
                <w:sz w:val="24"/>
                <w:lang w:val="zh-CN"/>
              </w:rPr>
              <w:t>有关本项目实施所需的所有费用（含税费）均计入报价。</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提醒：验收时检测费用由采购人承担，不包含在投标总价中。投标报价出现下列情形的，投标无效：</w:t>
            </w:r>
          </w:p>
          <w:p>
            <w:pPr>
              <w:pStyle w:val="277"/>
              <w:numPr>
                <w:ilvl w:val="0"/>
                <w:numId w:val="2"/>
              </w:numPr>
              <w:snapToGrid w:val="0"/>
              <w:ind w:firstLineChars="0"/>
              <w:jc w:val="left"/>
              <w:rPr>
                <w:rFonts w:ascii="仿宋_GB2312" w:hAnsi="仿宋" w:eastAsia="仿宋_GB2312" w:cs="仿宋_GB2312"/>
                <w:bCs/>
                <w:kern w:val="0"/>
                <w:lang w:val="zh-CN"/>
              </w:rPr>
            </w:pPr>
            <w:r>
              <w:rPr>
                <w:rFonts w:hint="eastAsia" w:ascii="仿宋_GB2312" w:hAnsi="仿宋" w:eastAsia="仿宋_GB2312" w:cs="仿宋_GB2312"/>
                <w:bCs/>
                <w:kern w:val="0"/>
                <w:lang w:val="zh-CN"/>
              </w:rPr>
              <w:t>投标文件出现不是唯一的、有选择性投标报价的；</w:t>
            </w:r>
          </w:p>
          <w:p>
            <w:pPr>
              <w:pStyle w:val="277"/>
              <w:numPr>
                <w:ilvl w:val="0"/>
                <w:numId w:val="2"/>
              </w:numPr>
              <w:snapToGrid w:val="0"/>
              <w:ind w:firstLineChars="0"/>
              <w:jc w:val="left"/>
              <w:rPr>
                <w:rFonts w:ascii="仿宋_GB2312" w:hAnsi="仿宋" w:eastAsia="仿宋_GB2312" w:cs="仿宋_GB2312"/>
                <w:bCs/>
                <w:kern w:val="0"/>
                <w:lang w:val="zh-CN"/>
              </w:rPr>
            </w:pPr>
            <w:r>
              <w:rPr>
                <w:rFonts w:hint="eastAsia" w:ascii="仿宋_GB2312" w:hAnsi="仿宋" w:eastAsia="仿宋_GB2312" w:cs="仿宋_GB2312"/>
                <w:bCs/>
                <w:kern w:val="0"/>
                <w:lang w:val="zh-CN"/>
              </w:rPr>
              <w:t>投标报价超过招标文件中规定的预算金额或者最高限价的</w:t>
            </w:r>
            <w:r>
              <w:rPr>
                <w:rFonts w:ascii="仿宋_GB2312" w:hAnsi="仿宋" w:eastAsia="仿宋_GB2312"/>
                <w:bCs/>
                <w:kern w:val="0"/>
                <w:lang w:val="zh-CN"/>
              </w:rPr>
              <w:t>;</w:t>
            </w:r>
          </w:p>
          <w:p>
            <w:pPr>
              <w:pStyle w:val="277"/>
              <w:numPr>
                <w:ilvl w:val="0"/>
                <w:numId w:val="2"/>
              </w:numPr>
              <w:ind w:firstLineChars="0"/>
              <w:rPr>
                <w:rFonts w:ascii="仿宋_GB2312" w:hAnsi="仿宋" w:eastAsia="仿宋_GB2312" w:cs="仿宋_GB2312"/>
                <w:bCs/>
                <w:kern w:val="0"/>
                <w:lang w:val="zh-CN"/>
              </w:rPr>
            </w:pPr>
            <w:r>
              <w:rPr>
                <w:rFonts w:ascii="仿宋_GB2312" w:hAnsi="仿宋" w:eastAsia="仿宋_GB2312" w:cs="仿宋_GB2312"/>
                <w:bCs/>
                <w:kern w:val="0"/>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仿宋_GB2312" w:hAnsi="仿宋" w:eastAsia="仿宋_GB2312" w:cs="仿宋_GB2312"/>
                <w:bCs/>
                <w:kern w:val="0"/>
                <w:lang w:val="zh-CN"/>
              </w:rPr>
              <w:t>，</w:t>
            </w:r>
            <w:r>
              <w:rPr>
                <w:rFonts w:ascii="仿宋_GB2312" w:hAnsi="仿宋" w:eastAsia="仿宋_GB2312" w:cs="仿宋_GB2312"/>
                <w:bCs/>
                <w:kern w:val="0"/>
                <w:lang w:val="zh-CN"/>
              </w:rPr>
              <w:t>评标委员会应当将其作为无效投标处理;</w:t>
            </w:r>
          </w:p>
          <w:p>
            <w:pPr>
              <w:pStyle w:val="277"/>
              <w:numPr>
                <w:ilvl w:val="0"/>
                <w:numId w:val="2"/>
              </w:numPr>
              <w:ind w:firstLineChars="0"/>
              <w:rPr>
                <w:rFonts w:ascii="仿宋_GB2312" w:hAnsi="仿宋" w:eastAsia="仿宋_GB2312" w:cs="仿宋_GB2312"/>
                <w:bCs/>
                <w:kern w:val="0"/>
                <w:lang w:val="zh-CN"/>
              </w:rPr>
            </w:pPr>
            <w:r>
              <w:rPr>
                <w:rFonts w:hint="eastAsia" w:ascii="仿宋_GB2312" w:hAnsi="仿宋" w:eastAsia="仿宋_GB2312" w:cs="Arial"/>
                <w:bCs/>
                <w:kern w:val="0"/>
              </w:rPr>
              <w:t>投标人对根据修正原则修正后的报价不确认的</w:t>
            </w:r>
            <w:r>
              <w:rPr>
                <w:rFonts w:hint="eastAsia" w:ascii="仿宋_GB2312" w:hAnsi="仿宋" w:eastAsia="仿宋_GB2312"/>
                <w:bC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42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3</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3"/>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737" w:hRule="atLeast"/>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4</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投标人应当提供的资格文件</w:t>
            </w:r>
          </w:p>
        </w:tc>
        <w:tc>
          <w:tcPr>
            <w:tcW w:w="7125" w:type="dxa"/>
            <w:tcBorders>
              <w:top w:val="single" w:color="000000" w:sz="8" w:space="0"/>
              <w:left w:val="single" w:color="000000" w:sz="2" w:space="0"/>
              <w:right w:val="single" w:color="000000" w:sz="8" w:space="0"/>
            </w:tcBorders>
            <w:vAlign w:val="center"/>
          </w:tcPr>
          <w:p>
            <w:pPr>
              <w:snapToGrid w:val="0"/>
              <w:spacing w:line="360" w:lineRule="auto"/>
              <w:rPr>
                <w:rFonts w:ascii="仿宋_GB2312" w:hAnsi="仿宋" w:eastAsia="仿宋_GB2312" w:cs="Arial"/>
                <w:bCs/>
                <w:kern w:val="0"/>
                <w:sz w:val="24"/>
              </w:rPr>
            </w:pPr>
            <w:r>
              <w:rPr>
                <w:rFonts w:hint="eastAsia" w:ascii="仿宋_GB2312" w:hAnsi="仿宋" w:eastAsia="仿宋_GB2312" w:cs="Arial"/>
                <w:bCs/>
                <w:kern w:val="0"/>
                <w:sz w:val="24"/>
              </w:rPr>
              <w:t>1、</w:t>
            </w:r>
            <w:r>
              <w:rPr>
                <w:rFonts w:ascii="仿宋_GB2312" w:hAnsi="仿宋" w:eastAsia="仿宋_GB2312" w:cs="Arial"/>
                <w:bCs/>
                <w:kern w:val="0"/>
                <w:sz w:val="24"/>
              </w:rPr>
              <w:t>符合参加政府采购活动应当具备的一般条件的承诺函；</w:t>
            </w:r>
          </w:p>
          <w:p>
            <w:pPr>
              <w:pStyle w:val="2"/>
              <w:ind w:left="0" w:firstLine="0"/>
              <w:rPr>
                <w:rFonts w:cs="Arial"/>
                <w:b w:val="0"/>
                <w:kern w:val="0"/>
                <w:sz w:val="24"/>
                <w:szCs w:val="24"/>
                <w:lang w:val="en-US"/>
              </w:rPr>
            </w:pPr>
            <w:r>
              <w:rPr>
                <w:rFonts w:cs="Arial"/>
                <w:b w:val="0"/>
                <w:kern w:val="0"/>
                <w:sz w:val="24"/>
                <w:szCs w:val="24"/>
                <w:lang w:val="en-US"/>
              </w:rPr>
              <w:t>2</w:t>
            </w:r>
            <w:r>
              <w:rPr>
                <w:rFonts w:hint="eastAsia" w:cs="Arial"/>
                <w:b w:val="0"/>
                <w:kern w:val="0"/>
                <w:sz w:val="24"/>
                <w:szCs w:val="24"/>
                <w:lang w:val="en-US"/>
              </w:rPr>
              <w:t>、《中小企业声明函》；</w:t>
            </w:r>
          </w:p>
          <w:p>
            <w:pPr>
              <w:rPr>
                <w:rFonts w:hint="eastAsia" w:ascii="仿宋_GB2312" w:hAnsi="仿宋" w:eastAsia="仿宋_GB2312" w:cs="Arial"/>
                <w:bCs/>
                <w:kern w:val="0"/>
                <w:sz w:val="24"/>
              </w:rPr>
            </w:pPr>
            <w:r>
              <w:rPr>
                <w:rFonts w:hint="eastAsia" w:ascii="仿宋_GB2312" w:hAnsi="仿宋" w:eastAsia="仿宋_GB2312" w:cs="Arial"/>
                <w:bCs/>
                <w:kern w:val="0"/>
                <w:sz w:val="24"/>
              </w:rPr>
              <w:t>3、联合体协议（如需）。</w:t>
            </w:r>
          </w:p>
          <w:p>
            <w:pPr>
              <w:spacing w:line="360" w:lineRule="auto"/>
              <w:rPr>
                <w:rFonts w:ascii="仿宋_GB2312" w:hAnsi="仿宋" w:eastAsia="仿宋_GB2312" w:cs="Arial"/>
                <w:b/>
                <w:kern w:val="0"/>
                <w:sz w:val="24"/>
              </w:rPr>
            </w:pPr>
            <w:r>
              <w:rPr>
                <w:rFonts w:hint="eastAsia" w:ascii="仿宋_GB2312" w:hAnsi="仿宋" w:eastAsia="仿宋_GB2312" w:cs="Arial"/>
                <w:b/>
                <w:kern w:val="0"/>
                <w:sz w:val="24"/>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162" w:hRule="atLeast"/>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5</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77"/>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投标函；</w:t>
            </w:r>
          </w:p>
          <w:p>
            <w:pPr>
              <w:pStyle w:val="277"/>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授权委托书或法定代表人（单位负责人、自然人本人）身份证明</w:t>
            </w:r>
            <w:r>
              <w:rPr>
                <w:rFonts w:hint="eastAsia" w:ascii="仿宋_GB2312" w:hAnsi="仿宋" w:eastAsia="仿宋_GB2312" w:cs="仿宋_GB2312"/>
              </w:rPr>
              <w:t>；</w:t>
            </w:r>
          </w:p>
          <w:p>
            <w:pPr>
              <w:pStyle w:val="277"/>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符合性审查资料；联合协议</w:t>
            </w:r>
            <w:r>
              <w:rPr>
                <w:rFonts w:hint="eastAsia" w:ascii="仿宋_GB2312" w:hAnsi="仿宋" w:eastAsia="仿宋_GB2312" w:cs="仿宋_GB2312"/>
              </w:rPr>
              <w:t>（如需）</w:t>
            </w:r>
          </w:p>
          <w:p>
            <w:pPr>
              <w:pStyle w:val="277"/>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评标标准相应的商务技术资料；</w:t>
            </w:r>
          </w:p>
          <w:p>
            <w:pPr>
              <w:pStyle w:val="277"/>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商务技术偏离表；</w:t>
            </w:r>
          </w:p>
          <w:p>
            <w:pPr>
              <w:pStyle w:val="277"/>
              <w:numPr>
                <w:ilvl w:val="0"/>
                <w:numId w:val="3"/>
              </w:numPr>
              <w:snapToGrid w:val="0"/>
              <w:ind w:firstLineChars="0"/>
              <w:rPr>
                <w:rFonts w:ascii="仿宋_GB2312" w:hAnsi="仿宋" w:eastAsia="仿宋_GB2312" w:cs="仿宋_GB2312"/>
                <w:lang w:val="zh-CN"/>
              </w:rPr>
            </w:pPr>
            <w:r>
              <w:rPr>
                <w:rFonts w:hint="eastAsia" w:ascii="仿宋_GB2312" w:hAnsi="仿宋" w:eastAsia="仿宋_GB2312" w:cs="仿宋_GB2312"/>
                <w:lang w:val="zh-CN"/>
              </w:rPr>
              <w:t>政府采购供应商廉洁自律承诺书。</w:t>
            </w:r>
          </w:p>
          <w:p>
            <w:pPr>
              <w:spacing w:line="360" w:lineRule="auto"/>
              <w:rPr>
                <w:lang w:val="zh-CN"/>
              </w:rPr>
            </w:pPr>
            <w:r>
              <w:rPr>
                <w:rFonts w:hint="eastAsia" w:ascii="仿宋_GB2312" w:hAnsi="仿宋" w:eastAsia="仿宋_GB2312"/>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230" w:hRule="atLeast"/>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6</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77"/>
              <w:numPr>
                <w:ilvl w:val="0"/>
                <w:numId w:val="4"/>
              </w:numPr>
              <w:snapToGrid w:val="0"/>
              <w:ind w:firstLineChars="0"/>
              <w:rPr>
                <w:rFonts w:ascii="仿宋_GB2312" w:hAnsi="仿宋" w:eastAsia="仿宋_GB2312" w:cs="仿宋_GB2312"/>
              </w:rPr>
            </w:pPr>
            <w:r>
              <w:rPr>
                <w:rFonts w:ascii="仿宋_GB2312" w:hAnsi="仿宋" w:eastAsia="仿宋_GB2312" w:cs="仿宋_GB2312"/>
              </w:rPr>
              <w:t>开标一览表（报价表）；</w:t>
            </w:r>
          </w:p>
          <w:p>
            <w:pPr>
              <w:spacing w:line="360" w:lineRule="auto"/>
              <w:rPr>
                <w:rFonts w:ascii="仿宋_GB2312" w:hAnsi="仿宋" w:eastAsia="仿宋_GB2312"/>
                <w:b/>
                <w:sz w:val="24"/>
              </w:rPr>
            </w:pPr>
            <w:r>
              <w:rPr>
                <w:rFonts w:hint="eastAsia" w:ascii="仿宋_GB2312" w:hAnsi="仿宋" w:eastAsia="仿宋_GB2312"/>
                <w:b/>
                <w:sz w:val="24"/>
              </w:rPr>
              <w:t>投标文件含有采购人不能接受的附加条件的，</w:t>
            </w:r>
            <w:r>
              <w:rPr>
                <w:rFonts w:hint="eastAsia" w:ascii="仿宋_GB2312" w:hAnsi="仿宋" w:eastAsia="仿宋_GB2312"/>
                <w:b/>
                <w:kern w:val="0"/>
                <w:sz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98"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7</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4"/>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7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8</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5"/>
              </w:sdtPr>
              <w:sdtEndPr>
                <w:rPr>
                  <w:rFonts w:hint="eastAsia" w:ascii="仿宋_GB2312" w:hAnsi="仿宋" w:eastAsia="仿宋_GB2312" w:cs="Times New Roman"/>
                  <w:kern w:val="0"/>
                  <w:sz w:val="24"/>
                </w:rPr>
              </w:sdtEndPr>
              <w:sdtContent>
                <w:sdt>
                  <w:sdtPr>
                    <w:rPr>
                      <w:rFonts w:hint="eastAsia" w:ascii="仿宋_GB2312" w:hAnsi="仿宋" w:eastAsia="仿宋_GB2312" w:cs="Arial"/>
                      <w:kern w:val="0"/>
                      <w:sz w:val="24"/>
                    </w:rPr>
                    <w:id w:val="805436019"/>
                  </w:sdtPr>
                  <w:sdtEndPr>
                    <w:rPr>
                      <w:rFonts w:hint="eastAsia" w:ascii="仿宋_GB2312" w:hAnsi="仿宋" w:eastAsia="仿宋_GB2312" w:cs="Times New Roman"/>
                      <w:kern w:val="0"/>
                      <w:sz w:val="24"/>
                    </w:rPr>
                  </w:sdtEndPr>
                  <w:sdtContent>
                    <w:r>
                      <w:rPr>
                        <w:rFonts w:ascii="MS Gothic" w:hAnsi="MS Gothic" w:eastAsia="MS Gothic" w:cs="Arial"/>
                        <w:kern w:val="0"/>
                        <w:sz w:val="24"/>
                      </w:rPr>
                      <w:sym w:font="Wingdings" w:char="F0FE"/>
                    </w:r>
                  </w:sdtContent>
                </w:sdt>
              </w:sdtContent>
            </w:sdt>
            <w:r>
              <w:rPr>
                <w:rFonts w:ascii="仿宋_GB2312" w:hAnsi="仿宋" w:eastAsia="仿宋_GB2312"/>
                <w:kern w:val="0"/>
                <w:sz w:val="24"/>
              </w:rPr>
              <w:t>A</w:t>
            </w:r>
            <w:r>
              <w:rPr>
                <w:rFonts w:hint="eastAsia" w:ascii="仿宋_GB2312" w:hAnsi="仿宋" w:eastAsia="仿宋_GB2312"/>
                <w:kern w:val="0"/>
                <w:sz w:val="24"/>
              </w:rPr>
              <w:t>不要求提供</w:t>
            </w:r>
            <w:r>
              <w:rPr>
                <w:rFonts w:hint="eastAsia" w:ascii="仿宋_GB2312" w:hAnsi="仿宋"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64" w:hRule="atLeast"/>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9</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7"/>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FF0000"/>
                <w:sz w:val="24"/>
              </w:rPr>
            </w:pPr>
            <w:r>
              <w:rPr>
                <w:rFonts w:hint="eastAsia" w:ascii="仿宋_GB2312" w:hAnsi="仿宋" w:eastAsia="仿宋_GB2312" w:cs="仿宋_GB2312"/>
                <w:sz w:val="24"/>
              </w:rPr>
              <w:t>10</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kern w:val="0"/>
                <w:sz w:val="24"/>
              </w:rPr>
            </w:pPr>
            <w:r>
              <w:rPr>
                <w:rFonts w:hint="eastAsia" w:ascii="仿宋_GB2312" w:hAnsi="仿宋" w:eastAsia="仿宋_GB2312"/>
                <w:kern w:val="0"/>
                <w:sz w:val="24"/>
              </w:rPr>
              <w:t>本项目不收取投标保证金。</w:t>
            </w:r>
          </w:p>
          <w:p>
            <w:pPr>
              <w:snapToGrid w:val="0"/>
              <w:spacing w:line="360" w:lineRule="auto"/>
            </w:pPr>
            <w:r>
              <w:rPr>
                <w:rFonts w:hint="eastAsia" w:ascii="仿宋_GB2312" w:hAnsi="仿宋" w:eastAsia="仿宋_GB2312"/>
                <w:kern w:val="0"/>
                <w:sz w:val="24"/>
              </w:rPr>
              <w:t>签订合同时，中标供应商须向采购人缴纳履约保证金。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11</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pPr>
            <w:r>
              <w:rPr>
                <w:rFonts w:hint="eastAsia" w:ascii="仿宋_GB2312" w:hAnsi="仿宋" w:eastAsia="仿宋_GB2312" w:cs="Arial"/>
                <w:kern w:val="0"/>
                <w:sz w:val="24"/>
              </w:rPr>
              <w:t>除招标文件中（采购需求）有特别说明，一般不允许采购进口产品。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12</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Wingdings" w:hAnsi="Wingdings" w:eastAsia="仿宋_GB2312" w:cs="Arial"/>
                <w:kern w:val="0"/>
                <w:sz w:val="24"/>
              </w:rPr>
              <w:t>该项目标的一、标的二、标的三均为服务类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7" w:hRule="atLeast"/>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13</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adjustRightInd/>
              <w:spacing w:line="360" w:lineRule="auto"/>
              <w:rPr>
                <w:rFonts w:ascii="仿宋_GB2312" w:hAnsi="仿宋" w:eastAsia="仿宋_GB2312" w:cs="Arial"/>
                <w:kern w:val="0"/>
                <w:sz w:val="24"/>
              </w:rPr>
            </w:pPr>
            <w:r>
              <w:rPr>
                <w:rFonts w:hint="eastAsia" w:ascii="仿宋_GB2312" w:hAnsi="仿宋" w:eastAsia="仿宋_GB2312" w:cs="Arial"/>
                <w:kern w:val="0"/>
                <w:sz w:val="24"/>
              </w:rPr>
              <w:t>本项目</w:t>
            </w:r>
            <w:r>
              <w:rPr>
                <w:rFonts w:hint="eastAsia" w:ascii="仿宋_GB2312" w:hAnsi="仿宋" w:eastAsia="仿宋_GB2312" w:cs="Arial"/>
                <w:kern w:val="0"/>
                <w:sz w:val="24"/>
                <w:u w:val="single"/>
              </w:rPr>
              <w:t>标的一、标的二、标的三</w:t>
            </w:r>
            <w:r>
              <w:rPr>
                <w:rFonts w:hint="eastAsia" w:ascii="仿宋_GB2312" w:hAnsi="仿宋" w:eastAsia="仿宋_GB2312" w:cs="Arial"/>
                <w:kern w:val="0"/>
                <w:sz w:val="24"/>
              </w:rPr>
              <w:t>均属于</w:t>
            </w:r>
            <w:r>
              <w:rPr>
                <w:rFonts w:hint="eastAsia" w:ascii="仿宋_GB2312" w:hAnsi="仿宋" w:eastAsia="仿宋_GB2312" w:cs="Arial"/>
                <w:kern w:val="0"/>
                <w:sz w:val="24"/>
                <w:u w:val="single"/>
              </w:rPr>
              <w:t>其他未列明行业</w:t>
            </w:r>
            <w:r>
              <w:rPr>
                <w:rFonts w:hint="eastAsia" w:ascii="仿宋_GB2312" w:hAnsi="仿宋" w:eastAsia="仿宋_GB2312" w:cs="Arial"/>
                <w:kern w:val="0"/>
                <w:sz w:val="24"/>
              </w:rPr>
              <w:t>；供应商在出具《中小企业声明函》前，可通过工业和信息化部官网公共服务平台“中小企业规模类型自测小程序”自测企业规模类型。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82" w:hRule="atLeast"/>
          <w:jc w:val="center"/>
        </w:trPr>
        <w:tc>
          <w:tcPr>
            <w:tcW w:w="698" w:type="dxa"/>
            <w:tcBorders>
              <w:top w:val="single" w:color="auto" w:sz="4" w:space="0"/>
              <w:left w:val="single" w:color="000000" w:sz="8"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4</w:t>
            </w:r>
          </w:p>
        </w:tc>
        <w:tc>
          <w:tcPr>
            <w:tcW w:w="1760"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w:t>
            </w:r>
          </w:p>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融资</w:t>
            </w:r>
          </w:p>
        </w:tc>
        <w:tc>
          <w:tcPr>
            <w:tcW w:w="7125" w:type="dxa"/>
            <w:tcBorders>
              <w:top w:val="single" w:color="000000" w:sz="8" w:space="0"/>
              <w:left w:val="single" w:color="000000" w:sz="2"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napToGrid w:val="0"/>
                <w:kern w:val="28"/>
                <w:sz w:val="24"/>
              </w:rPr>
              <w:t xml:space="preserve">    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28" w:hRule="atLeast"/>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5</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w:t>
            </w:r>
            <w:r>
              <w:rPr>
                <w:rFonts w:ascii="仿宋_GB2312" w:hAnsi="仿宋" w:eastAsia="仿宋_GB2312" w:cs="仿宋_GB2312"/>
                <w:b/>
                <w:sz w:val="24"/>
              </w:rPr>
              <w:t xml:space="preserve"> </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ascii="仿宋_GB2312" w:hAnsi="仿宋" w:eastAsia="仿宋_GB2312" w:cs="仿宋_GB2312"/>
                <w:b/>
                <w:snapToGrid/>
                <w:sz w:val="24"/>
                <w:szCs w:val="24"/>
              </w:rPr>
            </w:pPr>
            <w:r>
              <w:rPr>
                <w:rFonts w:ascii="仿宋_GB2312" w:hAnsi="仿宋" w:eastAsia="仿宋_GB2312" w:cs="仿宋_GB2312"/>
                <w:b/>
                <w:snapToGrid/>
                <w:sz w:val="24"/>
                <w:szCs w:val="24"/>
              </w:rPr>
              <w:t>诸暨市公共资源交易中心邮箱（</w:t>
            </w:r>
            <w:r>
              <w:fldChar w:fldCharType="begin"/>
            </w:r>
            <w:r>
              <w:instrText xml:space="preserve"> HYPERLINK "mailto:zjztb001@aliyun.com" </w:instrText>
            </w:r>
            <w:r>
              <w:fldChar w:fldCharType="separate"/>
            </w:r>
            <w:r>
              <w:rPr>
                <w:rStyle w:val="76"/>
                <w:rFonts w:ascii="仿宋_GB2312" w:hAnsi="仿宋" w:eastAsia="仿宋_GB2312" w:cs="仿宋_GB2312"/>
                <w:b/>
                <w:kern w:val="2"/>
                <w:sz w:val="24"/>
                <w:szCs w:val="24"/>
              </w:rPr>
              <w:t>zjztb001@aliyun.com</w:t>
            </w:r>
            <w:r>
              <w:rPr>
                <w:rStyle w:val="76"/>
                <w:rFonts w:ascii="仿宋_GB2312" w:hAnsi="仿宋" w:eastAsia="仿宋_GB2312" w:cs="仿宋_GB2312"/>
                <w:b/>
                <w:kern w:val="2"/>
                <w:sz w:val="24"/>
                <w:szCs w:val="24"/>
              </w:rPr>
              <w:fldChar w:fldCharType="end"/>
            </w:r>
            <w:r>
              <w:rPr>
                <w:rFonts w:ascii="仿宋_GB2312" w:hAnsi="仿宋" w:eastAsia="仿宋_GB2312" w:cs="仿宋_GB2312"/>
                <w:b/>
                <w:snapToGrid/>
                <w:sz w:val="24"/>
                <w:szCs w:val="24"/>
              </w:rPr>
              <w:t>）</w:t>
            </w:r>
            <w:r>
              <w:rPr>
                <w:rFonts w:hint="eastAsia" w:ascii="仿宋_GB2312" w:hAnsi="仿宋" w:eastAsia="仿宋_GB2312" w:cs="仿宋_GB2312"/>
                <w:b/>
                <w:snapToGrid/>
                <w:sz w:val="24"/>
                <w:szCs w:val="24"/>
              </w:rPr>
              <w:t>。</w:t>
            </w:r>
          </w:p>
          <w:p>
            <w:pPr>
              <w:pStyle w:val="32"/>
              <w:spacing w:line="360" w:lineRule="auto"/>
              <w:rPr>
                <w:rFonts w:ascii="仿宋_GB2312" w:hAnsi="仿宋" w:eastAsia="仿宋_GB2312"/>
                <w:kern w:val="28"/>
                <w:sz w:val="24"/>
              </w:rPr>
            </w:pPr>
            <w:r>
              <w:rPr>
                <w:rFonts w:hint="eastAsia" w:ascii="仿宋_GB2312" w:hAnsi="仿宋" w:eastAsia="仿宋_GB2312" w:cs="仿宋_GB2312"/>
                <w:b/>
                <w:snapToGrid/>
                <w:sz w:val="24"/>
                <w:szCs w:val="24"/>
              </w:rPr>
              <w:t>注：本邮箱仅接受备份投标文件，其余文件不予受理。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6</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b/>
                <w:bCs/>
              </w:rPr>
              <w:t>……</w:t>
            </w:r>
          </w:p>
        </w:tc>
      </w:tr>
    </w:tbl>
    <w:p/>
    <w:p/>
    <w:p/>
    <w:p/>
    <w:p/>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
    <w:p>
      <w:pPr>
        <w:pStyle w:val="2"/>
        <w:rPr>
          <w:lang w:val="en-US"/>
        </w:rPr>
      </w:pPr>
    </w:p>
    <w:p/>
    <w:p>
      <w:pPr>
        <w:pStyle w:val="2"/>
        <w:ind w:left="0" w:firstLine="0"/>
        <w:rPr>
          <w:lang w:val="en-US"/>
        </w:rPr>
      </w:pPr>
    </w:p>
    <w:p/>
    <w:p>
      <w:pPr>
        <w:pStyle w:val="2"/>
        <w:rPr>
          <w:lang w:val="en-US"/>
        </w:rPr>
      </w:pPr>
    </w:p>
    <w:bookmarkEnd w:id="2"/>
    <w:p>
      <w:pPr>
        <w:adjustRightInd/>
        <w:spacing w:line="360" w:lineRule="auto"/>
        <w:ind w:firstLine="3845" w:firstLineChars="1197"/>
        <w:outlineLvl w:val="0"/>
        <w:rPr>
          <w:rFonts w:ascii="仿宋_GB2312" w:hAnsi="仿宋" w:eastAsia="仿宋_GB2312" w:cs="仿宋_GB2312"/>
          <w:b/>
          <w:sz w:val="32"/>
          <w:szCs w:val="20"/>
        </w:rPr>
      </w:pPr>
      <w:bookmarkStart w:id="11" w:name="第三部分"/>
      <w:bookmarkStart w:id="12" w:name="_Toc164416483"/>
      <w:r>
        <w:rPr>
          <w:rFonts w:hint="eastAsia" w:ascii="仿宋_GB2312" w:hAnsi="仿宋" w:eastAsia="仿宋_GB2312" w:cs="仿宋_GB2312"/>
          <w:b/>
          <w:sz w:val="32"/>
          <w:szCs w:val="20"/>
        </w:rPr>
        <w:t>一、总则</w:t>
      </w:r>
    </w:p>
    <w:p>
      <w:pPr>
        <w:snapToGrid w:val="0"/>
        <w:spacing w:line="360" w:lineRule="auto"/>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“采购代理机构”系指招标公告中载明的本项目的采购代理机构。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_GB2312" w:hAnsi="仿宋" w:eastAsia="仿宋_GB2312"/>
          <w:sz w:val="24"/>
        </w:rPr>
        <w:t>“公章”系指单位法定名称章。</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w:t>
      </w:r>
      <w:sdt>
        <w:sdtPr>
          <w:rPr>
            <w:rFonts w:hint="eastAsia" w:ascii="仿宋_GB2312" w:hAnsi="仿宋" w:eastAsia="仿宋_GB2312"/>
            <w:sz w:val="24"/>
          </w:rPr>
          <w:id w:val="512970236"/>
        </w:sdtPr>
        <w:sdtEndPr>
          <w:rPr>
            <w:rFonts w:hint="eastAsia" w:ascii="仿宋_GB2312" w:hAnsi="仿宋" w:eastAsia="仿宋_GB2312"/>
            <w:sz w:val="24"/>
          </w:rPr>
        </w:sdtEndPr>
        <w:sdtContent>
          <w:sdt>
            <w:sdtPr>
              <w:rPr>
                <w:rFonts w:hint="eastAsia" w:ascii="仿宋_GB2312" w:hAnsi="仿宋" w:eastAsia="仿宋_GB2312" w:cs="Arial"/>
                <w:kern w:val="0"/>
                <w:sz w:val="24"/>
              </w:rPr>
              <w:id w:val="10"/>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sz w:val="24"/>
          </w:rPr>
          <w:id w:val="404888855"/>
        </w:sdtPr>
        <w:sdtEndPr>
          <w:rPr>
            <w:rFonts w:hint="eastAsia" w:ascii="仿宋_GB2312" w:hAnsi="仿宋" w:eastAsia="仿宋_GB2312"/>
            <w:sz w:val="24"/>
          </w:rPr>
        </w:sdtEndPr>
        <w:sdtContent>
          <w:r>
            <w:rPr>
              <w:rFonts w:ascii="仿宋_GB2312" w:hAnsi="仿宋" w:eastAsia="仿宋_GB2312"/>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rPr>
          <w:rFonts w:ascii="仿宋_GB2312" w:hAnsi="仿宋" w:eastAsia="仿宋_GB2312"/>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w:t>
      </w:r>
      <w:r>
        <w:rPr>
          <w:rFonts w:hint="eastAsia" w:ascii="仿宋_GB2312" w:hAnsi="宋体" w:eastAsia="仿宋_GB2312" w:cs="宋体"/>
          <w:kern w:val="0"/>
          <w:sz w:val="24"/>
        </w:rPr>
        <w:t>民法典</w:t>
      </w:r>
      <w:r>
        <w:rPr>
          <w:rFonts w:ascii="仿宋_GB2312" w:hAnsi="宋体" w:eastAsia="仿宋_GB2312" w:cs="宋体"/>
          <w:kern w:val="0"/>
          <w:sz w:val="24"/>
        </w:rPr>
        <w:t>》订立劳动合同的从业人员。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3.3.</w:t>
      </w:r>
      <w:r>
        <w:rPr>
          <w:rFonts w:hint="eastAsia" w:ascii="仿宋_GB2312" w:hAnsi="仿宋" w:eastAsia="仿宋_GB2312"/>
          <w:sz w:val="24"/>
        </w:rPr>
        <w:t>8采购人严格贯彻落实《保障中小企业款项支付条例》、《浙江省财政厅关于进一步发挥政府采购政策功能全力推动经济稳进提质的通知》，按规定向中小企业支付款项。</w:t>
      </w:r>
    </w:p>
    <w:p>
      <w:pPr>
        <w:spacing w:line="360" w:lineRule="auto"/>
        <w:ind w:firstLine="480" w:firstLineChars="200"/>
        <w:rPr>
          <w:rFonts w:ascii="仿宋_GB2312" w:hAnsi="仿宋" w:eastAsia="仿宋_GB2312"/>
          <w:sz w:val="24"/>
        </w:rPr>
      </w:pPr>
      <w:r>
        <w:rPr>
          <w:rFonts w:ascii="仿宋_GB2312" w:hAnsi="仿宋" w:eastAsia="仿宋_GB2312"/>
          <w:sz w:val="24"/>
        </w:rPr>
        <w:t>3.3.9中小企业信用融资：</w:t>
      </w:r>
      <w:r>
        <w:rPr>
          <w:rFonts w:hint="eastAsia" w:ascii="仿宋_GB2312" w:hAnsi="仿宋" w:eastAsia="仿宋_GB2312"/>
          <w:sz w:val="24"/>
        </w:rPr>
        <w:t>供应商中标后可在政府采购云平台申请政采贷：操作路径：登录政府采购云平台-金融服务中心-【融资服务】。</w:t>
      </w:r>
    </w:p>
    <w:p>
      <w:pPr>
        <w:spacing w:line="360" w:lineRule="auto"/>
        <w:ind w:firstLine="480" w:firstLineChars="2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3年内，以及产品核心技术高于国内领先水平，并具有明晰自主知识产权的“制造精品”产品，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sz w:val="24"/>
        </w:rPr>
      </w:pPr>
      <w:r>
        <w:rPr>
          <w:rFonts w:ascii="仿宋_GB2312" w:hAnsi="仿宋" w:eastAsia="仿宋_GB2312"/>
          <w:b/>
          <w:sz w:val="24"/>
        </w:rPr>
        <w:t xml:space="preserve">4. </w:t>
      </w:r>
      <w:r>
        <w:rPr>
          <w:rFonts w:hint="eastAsia" w:ascii="仿宋_GB2312" w:hAnsi="仿宋" w:eastAsia="仿宋_GB2312"/>
          <w:b/>
          <w:sz w:val="24"/>
        </w:rPr>
        <w:t>询问、质疑、投诉</w:t>
      </w:r>
    </w:p>
    <w:p>
      <w:pPr>
        <w:spacing w:line="360" w:lineRule="auto"/>
        <w:ind w:firstLine="480" w:firstLineChars="200"/>
        <w:rPr>
          <w:rFonts w:ascii="仿宋_GB2312" w:hAnsi="仿宋" w:eastAsia="仿宋_GB2312"/>
          <w:b/>
          <w:sz w:val="24"/>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w:t>
      </w:r>
      <w:r>
        <w:rPr>
          <w:rFonts w:hint="eastAsia" w:ascii="仿宋_GB2312" w:hAnsi="仿宋" w:eastAsia="仿宋_GB2312"/>
          <w:sz w:val="24"/>
        </w:rPr>
        <w:t>7</w:t>
      </w:r>
      <w:r>
        <w:rPr>
          <w:rFonts w:ascii="仿宋_GB2312" w:hAnsi="仿宋" w:eastAsia="仿宋_GB2312"/>
          <w:sz w:val="24"/>
        </w:rPr>
        <w:t>个工作日内，以书面形式向采购人或者采购代理机构提出质疑，否则，采购人或者采购代理机构不予受理</w:t>
      </w:r>
      <w:r>
        <w:rPr>
          <w:rFonts w:hint="eastAsia" w:ascii="仿宋_GB2312" w:hAnsi="仿宋" w:eastAsia="仿宋_GB2312"/>
          <w:sz w:val="24"/>
        </w:rPr>
        <w:t>：</w:t>
      </w:r>
    </w:p>
    <w:p>
      <w:pPr>
        <w:pStyle w:val="5"/>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2"/>
        <w:spacing w:line="360" w:lineRule="auto"/>
        <w:ind w:firstLine="482" w:firstLineChars="200"/>
        <w:rPr>
          <w:rFonts w:ascii="仿宋_GB2312" w:hAnsi="仿宋" w:eastAsia="仿宋_GB2312"/>
          <w:b/>
          <w:sz w:val="24"/>
        </w:rPr>
      </w:pPr>
      <w:r>
        <w:rPr>
          <w:rFonts w:ascii="仿宋_GB2312" w:hAnsi="仿宋" w:eastAsia="仿宋_GB2312"/>
          <w:b/>
          <w:sz w:val="24"/>
        </w:rPr>
        <w:t>4.2.2.</w:t>
      </w:r>
      <w:r>
        <w:rPr>
          <w:rFonts w:hint="eastAsia" w:ascii="仿宋_GB2312" w:hAnsi="仿宋" w:eastAsia="仿宋_GB2312"/>
          <w:b/>
          <w:sz w:val="24"/>
        </w:rPr>
        <w:t>4针对采购文件中特定资格条件、采购需求、评分办法提出的质疑，应向采购人提出；对采购文件中其他内容、采购过程、采购结果提出的质疑，应向采购代理机构提出。</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3.6</w:t>
      </w:r>
      <w:r>
        <w:rPr>
          <w:rFonts w:hint="eastAsia" w:ascii="仿宋_GB2312" w:hAnsi="仿宋" w:eastAsia="仿宋_GB2312"/>
          <w:sz w:val="24"/>
        </w:rPr>
        <w:t>提出质疑的日期。</w:t>
      </w:r>
    </w:p>
    <w:p>
      <w:pPr>
        <w:pStyle w:val="32"/>
        <w:spacing w:line="360" w:lineRule="auto"/>
        <w:ind w:firstLine="480" w:firstLineChars="200"/>
        <w:rPr>
          <w:rFonts w:ascii="仿宋_GB2312" w:hAnsi="仿宋" w:eastAsia="仿宋_GB2312"/>
          <w:sz w:val="24"/>
        </w:rPr>
      </w:pPr>
      <w:r>
        <w:rPr>
          <w:rFonts w:hint="eastAsia" w:ascii="仿宋_GB2312" w:hAnsi="仿宋" w:eastAsia="仿宋_GB2312"/>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r>
        <w:rPr>
          <w:rFonts w:ascii="仿宋_GB2312" w:hAnsi="仿宋" w:eastAsia="仿宋_GB2312"/>
          <w:sz w:val="24"/>
        </w:rPr>
        <w:t>。</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4.2.4</w:t>
      </w:r>
      <w:r>
        <w:rPr>
          <w:rFonts w:hint="eastAsia" w:ascii="仿宋_GB2312" w:hAnsi="仿宋" w:eastAsia="仿宋_GB2312"/>
          <w:sz w:val="24"/>
        </w:rPr>
        <w:t>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w:t>
      </w:r>
      <w:r>
        <w:rPr>
          <w:rFonts w:ascii="仿宋_GB2312" w:hAnsi="仿宋" w:eastAsia="仿宋_GB2312"/>
          <w:sz w:val="24"/>
        </w:rPr>
        <w:t>5个工作日内，在浙江政府采购网的“其他公告”栏目公开质疑答复，答复内容应当完整。质疑</w:t>
      </w:r>
      <w:r>
        <w:rPr>
          <w:rFonts w:hint="eastAsia" w:ascii="仿宋_GB2312" w:hAnsi="仿宋" w:eastAsia="仿宋_GB2312"/>
          <w:sz w:val="24"/>
        </w:rPr>
        <w:t>函作为附件上传。</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4.2.5询问或者质疑事项可能影响采购结果的，采购人应当暂停签订合同，已经签订合同的，应当中止履行合同。</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w:t>
      </w:r>
      <w:r>
        <w:rPr>
          <w:rFonts w:hint="eastAsia" w:ascii="仿宋_GB2312" w:hAnsi="仿宋" w:eastAsia="仿宋_GB2312"/>
          <w:sz w:val="24"/>
        </w:rPr>
        <w:t>质疑</w:t>
      </w:r>
      <w:r>
        <w:rPr>
          <w:rFonts w:ascii="仿宋_GB2312" w:hAnsi="仿宋" w:eastAsia="仿宋_GB2312"/>
          <w:sz w:val="24"/>
        </w:rPr>
        <w:t>供应商投诉</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4.3.1质疑供应商对采购人、采购代理机构的答复不满意或者采购人、采购代理机构未在规定的时间内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作出答复的，可以在答复期满后十五个工作日内向同级政府采购监督管理部门提出投诉。</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4.3.2</w:t>
      </w:r>
      <w:r>
        <w:rPr>
          <w:rFonts w:hint="eastAsia" w:ascii="仿宋_GB2312" w:hAnsi="仿宋" w:eastAsia="仿宋_GB2312"/>
          <w:sz w:val="24"/>
        </w:rPr>
        <w:t>供应商投诉的事项不得超出已质疑事项的范围，基于质疑答复内容提出的投诉事项除外。</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4.3.3供应</w:t>
      </w:r>
      <w:r>
        <w:rPr>
          <w:rFonts w:hint="eastAsia" w:ascii="仿宋_GB2312" w:hAnsi="仿宋" w:eastAsia="仿宋_GB2312"/>
          <w:sz w:val="24"/>
        </w:rPr>
        <w:t>商投诉应当有明确的请求和必要的证明材料。</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 xml:space="preserve">4.3.5 </w:t>
      </w:r>
      <w:r>
        <w:rPr>
          <w:rFonts w:hint="eastAsia" w:ascii="仿宋_GB2312" w:hAnsi="仿宋" w:eastAsia="仿宋_GB2312"/>
          <w:sz w:val="24"/>
        </w:rPr>
        <w:t>以联合体形式参加政府采购活动的，其投诉应当由组成联合体的所有供应商共同提出。投诉书范本及制作说明详见附件</w:t>
      </w:r>
      <w:r>
        <w:rPr>
          <w:rFonts w:ascii="仿宋_GB2312" w:hAnsi="仿宋" w:eastAsia="仿宋_GB2312"/>
          <w:sz w:val="24"/>
        </w:rPr>
        <w:t>3。</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4.4</w:t>
      </w:r>
      <w:r>
        <w:rPr>
          <w:rFonts w:hint="eastAsia" w:ascii="仿宋_GB2312" w:hAnsi="仿宋" w:eastAsia="仿宋_GB2312"/>
          <w:sz w:val="24"/>
        </w:rPr>
        <w:t>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w:t>
      </w:r>
      <w:r>
        <w:rPr>
          <w:rFonts w:hint="eastAsia" w:ascii="仿宋_GB2312" w:hAnsi="仿宋" w:eastAsia="仿宋_GB2312" w:cs="仿宋_GB2312"/>
          <w:b/>
          <w:sz w:val="32"/>
          <w:szCs w:val="20"/>
        </w:rPr>
        <w:t>补充、</w:t>
      </w:r>
      <w:r>
        <w:rPr>
          <w:rFonts w:ascii="仿宋_GB2312" w:hAnsi="仿宋" w:eastAsia="仿宋_GB2312" w:cs="仿宋_GB2312"/>
          <w:b/>
          <w:sz w:val="32"/>
          <w:szCs w:val="20"/>
        </w:rPr>
        <w:t>修改</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澄清、补充、修改的内容为招标文件的组成部分</w:t>
      </w:r>
      <w:r>
        <w:rPr>
          <w:rFonts w:hint="eastAsia" w:ascii="仿宋_GB2312" w:hAnsi="仿宋" w:eastAsia="仿宋_GB2312" w:cs="仿宋_GB2312"/>
          <w:sz w:val="24"/>
        </w:rPr>
        <w:t>。</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招标文件的澄清、补充、修改</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6.1已获取招标文件的潜在投标人，若有问题需要澄清，应于投标截止时间前，以书面形式向采购代理机构提出。</w:t>
      </w:r>
    </w:p>
    <w:p>
      <w:pPr>
        <w:pStyle w:val="159"/>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采购代理机构对招标文件进行澄清、补充、修改的，将以网上发布补充（更正）公告的形式通知所有潜在投标人，同时视情况延长投标截止时间和开标时间。该澄清、补充、修改的内容为招标文件的组成部分。</w:t>
      </w:r>
    </w:p>
    <w:p>
      <w:pPr>
        <w:pStyle w:val="159"/>
        <w:snapToGrid w:val="0"/>
        <w:spacing w:before="0"/>
        <w:ind w:firstLine="480"/>
        <w:rPr>
          <w:rFonts w:ascii="仿宋_GB2312" w:hAnsi="仿宋" w:eastAsia="仿宋_GB2312"/>
        </w:rPr>
      </w:pPr>
      <w:r>
        <w:rPr>
          <w:rFonts w:hint="eastAsia" w:ascii="仿宋_GB2312" w:hAnsi="仿宋" w:eastAsia="仿宋_GB2312"/>
        </w:rPr>
        <w:t>6.3当招标文件与澄清、补充、修改就同一内容表述不一致的以最后发出的文件或公告为准。</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2"/>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2" w:firstLineChars="200"/>
        <w:rPr>
          <w:rFonts w:ascii="仿宋_GB2312" w:hAnsi="仿宋" w:eastAsia="仿宋_GB2312" w:cs="仿宋_GB2312"/>
          <w:b/>
          <w:bCs/>
          <w:sz w:val="24"/>
        </w:rPr>
      </w:pPr>
      <w:r>
        <w:rPr>
          <w:rFonts w:ascii="仿宋_GB2312" w:hAnsi="仿宋" w:eastAsia="仿宋_GB2312" w:cs="仿宋_GB2312"/>
          <w:b/>
          <w:bCs/>
          <w:sz w:val="24"/>
        </w:rPr>
        <w:t>11.1</w:t>
      </w:r>
      <w:r>
        <w:rPr>
          <w:rFonts w:hint="eastAsia" w:ascii="仿宋_GB2312" w:hAnsi="仿宋" w:eastAsia="仿宋_GB2312" w:cs="仿宋_GB2312"/>
          <w:b/>
          <w:bCs/>
          <w:sz w:val="24"/>
        </w:rPr>
        <w:t>资格文件：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11.1.2落实政府采购政策需满足的资格要求</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11.1.3本项目的特定资格要求</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2" w:firstLineChars="200"/>
        <w:rPr>
          <w:rFonts w:ascii="仿宋_GB2312" w:hAnsi="仿宋" w:eastAsia="仿宋_GB2312" w:cs="仿宋_GB2312"/>
          <w:b/>
          <w:bCs/>
          <w:sz w:val="24"/>
          <w:lang w:val="zh-CN"/>
        </w:rPr>
      </w:pPr>
      <w:r>
        <w:rPr>
          <w:rFonts w:ascii="仿宋_GB2312" w:hAnsi="仿宋" w:eastAsia="仿宋_GB2312" w:cs="仿宋_GB2312"/>
          <w:b/>
          <w:bCs/>
          <w:sz w:val="24"/>
          <w:lang w:val="zh-CN"/>
        </w:rPr>
        <w:t>11.</w:t>
      </w:r>
      <w:r>
        <w:rPr>
          <w:rFonts w:ascii="仿宋_GB2312" w:hAnsi="仿宋" w:eastAsia="仿宋_GB2312" w:cs="仿宋_GB2312"/>
          <w:b/>
          <w:bCs/>
          <w:sz w:val="24"/>
        </w:rPr>
        <w:t>2</w:t>
      </w:r>
      <w:r>
        <w:rPr>
          <w:rFonts w:ascii="仿宋_GB2312" w:hAnsi="仿宋" w:eastAsia="仿宋_GB2312" w:cs="仿宋_GB2312"/>
          <w:b/>
          <w:bCs/>
          <w:sz w:val="24"/>
          <w:lang w:val="zh-CN"/>
        </w:rPr>
        <w:t xml:space="preserve">  </w:t>
      </w:r>
      <w:r>
        <w:rPr>
          <w:rFonts w:hint="eastAsia" w:ascii="仿宋_GB2312" w:hAnsi="仿宋" w:eastAsia="仿宋_GB2312" w:cs="仿宋_GB2312"/>
          <w:b/>
          <w:bCs/>
          <w:sz w:val="24"/>
        </w:rPr>
        <w:t>商务技术</w:t>
      </w:r>
      <w:r>
        <w:rPr>
          <w:rFonts w:hint="eastAsia" w:ascii="仿宋_GB2312" w:hAnsi="仿宋" w:eastAsia="仿宋_GB2312" w:cs="仿宋_GB2312"/>
          <w:b/>
          <w:bCs/>
          <w:sz w:val="24"/>
          <w:lang w:val="zh-CN"/>
        </w:rPr>
        <w:t>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11.2.3联合协议</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11.2.4分包意向协议</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11.2.6评标标准相应的商务技术资料</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2" w:firstLineChars="200"/>
        <w:rPr>
          <w:rFonts w:ascii="仿宋_GB2312" w:hAnsi="仿宋" w:eastAsia="仿宋_GB2312" w:cs="仿宋_GB2312"/>
          <w:b/>
          <w:bCs/>
          <w:sz w:val="24"/>
          <w:u w:val="single"/>
          <w:lang w:val="zh-CN"/>
        </w:rPr>
      </w:pPr>
      <w:r>
        <w:rPr>
          <w:rFonts w:ascii="仿宋_GB2312" w:hAnsi="仿宋" w:eastAsia="仿宋_GB2312" w:cs="仿宋_GB2312"/>
          <w:b/>
          <w:bCs/>
          <w:kern w:val="0"/>
          <w:sz w:val="24"/>
          <w:lang w:val="zh-CN"/>
        </w:rPr>
        <w:t>11.</w:t>
      </w:r>
      <w:r>
        <w:rPr>
          <w:rFonts w:ascii="仿宋_GB2312" w:hAnsi="仿宋" w:eastAsia="仿宋_GB2312" w:cs="仿宋_GB2312"/>
          <w:b/>
          <w:bCs/>
          <w:kern w:val="0"/>
          <w:sz w:val="24"/>
        </w:rPr>
        <w:t>3</w:t>
      </w:r>
      <w:r>
        <w:rPr>
          <w:rFonts w:hint="eastAsia" w:ascii="仿宋_GB2312" w:hAnsi="仿宋" w:eastAsia="仿宋_GB2312" w:cs="仿宋_GB2312"/>
          <w:b/>
          <w:bCs/>
          <w:sz w:val="24"/>
        </w:rPr>
        <w:t>报价文件：</w:t>
      </w:r>
      <w:r>
        <w:rPr>
          <w:rFonts w:ascii="仿宋_GB2312" w:hAnsi="仿宋" w:eastAsia="仿宋_GB2312" w:cs="仿宋_GB2312"/>
          <w:b/>
          <w:bCs/>
          <w:sz w:val="24"/>
        </w:rPr>
        <w:t xml:space="preserve"> </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11.3.2中小企业声明函</w:t>
      </w:r>
      <w:r>
        <w:rPr>
          <w:rFonts w:hint="eastAsia" w:ascii="仿宋_GB2312" w:hAnsi="仿宋" w:eastAsia="仿宋_GB2312" w:cs="仿宋_GB2312"/>
          <w:sz w:val="24"/>
        </w:rPr>
        <w:t>（如需）</w:t>
      </w:r>
      <w:r>
        <w:rPr>
          <w:rFonts w:ascii="仿宋_GB2312" w:hAnsi="仿宋" w:eastAsia="仿宋_GB2312" w:cs="仿宋_GB2312"/>
          <w:sz w:val="24"/>
        </w:rPr>
        <w:t>。</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1</w:t>
      </w:r>
      <w:r>
        <w:rPr>
          <w:rFonts w:ascii="仿宋_GB2312" w:hAnsi="仿宋" w:eastAsia="仿宋_GB2312"/>
          <w:b/>
          <w:sz w:val="24"/>
        </w:rPr>
        <w:t>1.4</w:t>
      </w:r>
      <w:r>
        <w:rPr>
          <w:rFonts w:hint="eastAsia" w:ascii="仿宋_GB2312" w:hAnsi="仿宋" w:eastAsia="仿宋_GB2312"/>
          <w:b/>
          <w:sz w:val="24"/>
        </w:rPr>
        <w:t>投标文件含有采购人不能接受的附加条件的，投标无效；投标人提供虚假材料投标的，投标无效。</w:t>
      </w:r>
    </w:p>
    <w:p>
      <w:pPr>
        <w:pStyle w:val="159"/>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12.4</w:t>
      </w:r>
      <w:r>
        <w:rPr>
          <w:rFonts w:hint="eastAsia" w:ascii="仿宋_GB2312" w:hAnsi="仿宋" w:eastAsia="仿宋_GB2312" w:cs="仿宋_GB2312"/>
          <w:kern w:val="0"/>
          <w:sz w:val="24"/>
          <w:lang w:val="zh-CN"/>
        </w:rPr>
        <w:t>投标人应充分考虑完成平台注册、申领CA证书等所需时间，如未在“政府采购云平台”系统内完成相关流程，而引起的投标或响应无效的责任自负。</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59"/>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59"/>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59"/>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59"/>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59"/>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59"/>
        <w:spacing w:before="0"/>
        <w:ind w:firstLine="480"/>
        <w:rPr>
          <w:rFonts w:ascii="仿宋_GB2312" w:hAnsi="仿宋" w:eastAsia="仿宋_GB2312" w:cs="仿宋_GB2312"/>
          <w:color w:val="FF0000"/>
          <w:szCs w:val="24"/>
          <w:u w:val="single"/>
        </w:rPr>
      </w:pPr>
      <w:r>
        <w:rPr>
          <w:rFonts w:ascii="仿宋_GB2312" w:hAnsi="仿宋" w:eastAsia="仿宋_GB2312" w:cs="仿宋_GB2312"/>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2"/>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w:t>
      </w:r>
      <w:r>
        <w:rPr>
          <w:rFonts w:hint="eastAsia" w:ascii="仿宋_GB2312" w:hAnsi="仿宋" w:eastAsia="仿宋_GB2312" w:cs="仿宋_GB2312"/>
          <w:sz w:val="24"/>
          <w:szCs w:val="24"/>
        </w:rPr>
        <w:t>向</w:t>
      </w:r>
      <w:r>
        <w:rPr>
          <w:rFonts w:ascii="仿宋_GB2312" w:hAnsi="仿宋" w:eastAsia="仿宋_GB2312" w:cs="仿宋_GB2312"/>
          <w:bCs/>
          <w:snapToGrid/>
          <w:sz w:val="24"/>
          <w:szCs w:val="24"/>
        </w:rPr>
        <w:t>诸暨</w:t>
      </w:r>
      <w:r>
        <w:rPr>
          <w:rFonts w:ascii="仿宋_GB2312" w:hAnsi="仿宋" w:eastAsia="仿宋_GB2312" w:cs="仿宋_GB2312"/>
          <w:bCs/>
          <w:sz w:val="24"/>
          <w:szCs w:val="24"/>
        </w:rPr>
        <w:t>市公共资源交易中心邮箱（</w:t>
      </w:r>
      <w:r>
        <w:rPr>
          <w:rFonts w:ascii="仿宋_GB2312" w:hAnsi="仿宋" w:eastAsia="仿宋_GB2312" w:cs="仿宋_GB2312"/>
          <w:sz w:val="24"/>
          <w:szCs w:val="24"/>
        </w:rPr>
        <w:t>zjztb001@aliyun.com）递交备份投标文件1份，</w:t>
      </w:r>
      <w:r>
        <w:rPr>
          <w:rFonts w:hint="eastAsia" w:ascii="仿宋_GB2312" w:hAnsi="仿宋" w:eastAsia="仿宋_GB2312" w:cs="仿宋_GB2312"/>
          <w:b/>
          <w:sz w:val="24"/>
          <w:szCs w:val="24"/>
        </w:rPr>
        <w:t>但采购人、采购代理机构不强制或变相强制投标人提交备份投标文件。</w:t>
      </w:r>
    </w:p>
    <w:p>
      <w:pPr>
        <w:pStyle w:val="32"/>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w:t>
      </w:r>
      <w:r>
        <w:rPr>
          <w:rFonts w:ascii="仿宋_GB2312" w:hAnsi="仿宋" w:eastAsia="仿宋_GB2312" w:cs="仿宋_GB2312"/>
          <w:b/>
          <w:sz w:val="24"/>
          <w:szCs w:val="24"/>
        </w:rPr>
        <w:t xml:space="preserve"> </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15.3采购代理机构将拒绝接受逾期送达的备份投标文件。</w:t>
      </w:r>
    </w:p>
    <w:p>
      <w:pPr>
        <w:pStyle w:val="32"/>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w:t>
      </w:r>
      <w:r>
        <w:rPr>
          <w:rFonts w:hint="eastAsia" w:ascii="仿宋_GB2312" w:hAnsi="仿宋" w:eastAsia="仿宋_GB2312" w:cs="仿宋_GB2312"/>
          <w:b/>
          <w:sz w:val="24"/>
          <w:szCs w:val="24"/>
        </w:rPr>
        <w:t>4</w:t>
      </w:r>
      <w:r>
        <w:rPr>
          <w:rFonts w:ascii="仿宋_GB2312" w:hAnsi="仿宋" w:eastAsia="仿宋_GB2312" w:cs="仿宋_GB2312"/>
          <w:b/>
          <w:sz w:val="24"/>
          <w:szCs w:val="24"/>
        </w:rPr>
        <w:t>投标人仅提交备份投标文件，没有在电子交易平台传输递交投标文件的，投标无效。</w:t>
      </w:r>
    </w:p>
    <w:p>
      <w:pPr>
        <w:pStyle w:val="32"/>
        <w:spacing w:line="360" w:lineRule="auto"/>
        <w:ind w:firstLine="477" w:firstLineChars="199"/>
        <w:rPr>
          <w:rFonts w:ascii="仿宋_GB2312" w:hAnsi="仿宋" w:eastAsia="仿宋_GB2312" w:cs="仿宋_GB2312"/>
          <w:sz w:val="24"/>
          <w:szCs w:val="24"/>
        </w:rPr>
      </w:pPr>
      <w:r>
        <w:rPr>
          <w:rFonts w:hint="eastAsia" w:ascii="仿宋_GB2312" w:hAnsi="仿宋" w:eastAsia="仿宋_GB2312" w:cs="仿宋_GB2312"/>
          <w:sz w:val="24"/>
          <w:szCs w:val="24"/>
        </w:rPr>
        <w:t>1</w:t>
      </w:r>
      <w:r>
        <w:rPr>
          <w:rFonts w:ascii="仿宋_GB2312" w:hAnsi="仿宋" w:eastAsia="仿宋_GB2312" w:cs="仿宋_GB2312"/>
          <w:sz w:val="24"/>
          <w:szCs w:val="24"/>
        </w:rPr>
        <w:t>5.5</w:t>
      </w:r>
      <w:r>
        <w:rPr>
          <w:rFonts w:hint="eastAsia" w:ascii="仿宋_GB2312" w:hAnsi="仿宋" w:eastAsia="仿宋_GB2312" w:cs="仿宋_GB2312"/>
          <w:sz w:val="24"/>
          <w:szCs w:val="24"/>
        </w:rPr>
        <w:t>投标文件如有补充、修改，备份投标文件应同步调整并再次提交，采购代理机构以最新备份投标文件为准。</w:t>
      </w:r>
    </w:p>
    <w:p>
      <w:pPr>
        <w:pStyle w:val="159"/>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4"/>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第4.2</w:t>
      </w:r>
      <w:r>
        <w:rPr>
          <w:rFonts w:ascii="仿宋_GB2312" w:hAnsi="仿宋" w:eastAsia="仿宋_GB2312"/>
        </w:rPr>
        <w:t>项规定</w:t>
      </w:r>
      <w:r>
        <w:rPr>
          <w:rFonts w:hint="eastAsia" w:ascii="仿宋_GB2312" w:hAnsi="仿宋" w:eastAsia="仿宋_GB2312" w:cs="仿宋_GB2312"/>
          <w:szCs w:val="21"/>
        </w:rPr>
        <w:t>的情形之一的，投标无效。</w:t>
      </w:r>
    </w:p>
    <w:p>
      <w:pPr>
        <w:pStyle w:val="159"/>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sz w:val="24"/>
        </w:rPr>
        <w:t>★</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59"/>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59"/>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59"/>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8"/>
        <w:spacing w:before="0" w:line="360" w:lineRule="auto"/>
        <w:ind w:left="0" w:firstLine="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8"/>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18.1采购代理机构按照招标文件规定的时间通过电子交易平台组织开标，所有投标人均应当准时在线参加。投标人不足3家的，不得开标。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18.2开标时，电子交易平台按开标时间自动提取所有投标文件。采购代理机构依托电子交易平台发起开始解密指令，投标人按照平台提示</w:t>
      </w:r>
      <w:r>
        <w:rPr>
          <w:rFonts w:hint="eastAsia" w:ascii="仿宋_GB2312" w:hAnsi="仿宋" w:eastAsia="仿宋_GB2312" w:cs="仿宋_GB2312"/>
          <w:sz w:val="24"/>
        </w:rPr>
        <w:t>在</w:t>
      </w:r>
      <w:r>
        <w:rPr>
          <w:rFonts w:ascii="仿宋_GB2312" w:hAnsi="仿宋" w:eastAsia="仿宋_GB2312" w:cs="仿宋_GB2312"/>
          <w:sz w:val="24"/>
        </w:rPr>
        <w:t>招标文件规定</w:t>
      </w:r>
      <w:r>
        <w:rPr>
          <w:rFonts w:hint="eastAsia" w:ascii="仿宋_GB2312" w:hAnsi="仿宋" w:eastAsia="仿宋_GB2312" w:cs="仿宋_GB2312"/>
          <w:sz w:val="24"/>
        </w:rPr>
        <w:t>时间</w:t>
      </w:r>
      <w:r>
        <w:rPr>
          <w:rFonts w:ascii="仿宋_GB2312" w:hAnsi="仿宋" w:eastAsia="仿宋_GB2312" w:cs="仿宋_GB2312"/>
          <w:sz w:val="24"/>
        </w:rPr>
        <w:t>内完成在线解密。</w:t>
      </w:r>
    </w:p>
    <w:p>
      <w:pPr>
        <w:pStyle w:val="558"/>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投标文件未按时解密，投标人提供了备份投标文件的，经投标人同意后以备份投标文件作为依据，否则视为投标文件撤回。投标文件已按时解密的，备份投标文件自动失效。</w:t>
      </w:r>
    </w:p>
    <w:p>
      <w:pPr>
        <w:pStyle w:val="558"/>
        <w:spacing w:before="0" w:line="360" w:lineRule="auto"/>
        <w:ind w:left="0" w:firstLine="0"/>
        <w:contextualSpacing/>
        <w:rPr>
          <w:rFonts w:ascii="仿宋_GB2312" w:hAnsi="仿宋" w:eastAsia="仿宋_GB2312" w:cs="仿宋_GB2312"/>
          <w:b/>
          <w:sz w:val="24"/>
        </w:rPr>
      </w:pPr>
      <w:r>
        <w:rPr>
          <w:rFonts w:ascii="仿宋_GB2312" w:hAnsi="仿宋" w:eastAsia="仿宋_GB2312" w:cs="仿宋_GB2312"/>
          <w:b/>
          <w:sz w:val="24"/>
        </w:rPr>
        <w:t>19</w:t>
      </w:r>
      <w:r>
        <w:rPr>
          <w:rFonts w:ascii="仿宋_GB2312" w:hAnsi="仿宋" w:eastAsia="仿宋_GB2312" w:cs="仿宋_GB2312"/>
          <w:b/>
          <w:sz w:val="24"/>
          <w:szCs w:val="24"/>
        </w:rPr>
        <w:t>.</w:t>
      </w:r>
      <w:r>
        <w:rPr>
          <w:rFonts w:ascii="仿宋_GB2312" w:hAnsi="仿宋" w:eastAsia="仿宋_GB2312" w:cs="仿宋_GB2312"/>
          <w:b/>
          <w:sz w:val="24"/>
        </w:rPr>
        <w:t>资格审查</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19.1开标后，采购人或采购代理机构将依法对投标人的资格进行审查。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采购人或采购代理机构依据法律法规和招标文件的规定，对投标人的基本资格条件、特定资格条件进行审查。</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有效资格证明材料的，视为投标人不具备招标文件中规定的资格要求，其投标无效。</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19.4对未通过资格审查的投标人，采购人或采购代理机构告知其未通过的原因。</w:t>
      </w:r>
    </w:p>
    <w:p>
      <w:pPr>
        <w:pStyle w:val="159"/>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59"/>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5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20.1信用信息查询渠道及截止时间：采购代理机构将通过“信用中国”网站(</w:t>
      </w:r>
      <w:r>
        <w:fldChar w:fldCharType="begin"/>
      </w:r>
      <w:r>
        <w:instrText xml:space="preserve"> HYPERLINK "http://www.creditchina" </w:instrText>
      </w:r>
      <w:r>
        <w:fldChar w:fldCharType="separate"/>
      </w:r>
      <w:r>
        <w:rPr>
          <w:rStyle w:val="76"/>
          <w:rFonts w:ascii="仿宋_GB2312" w:hAnsi="仿宋" w:eastAsia="仿宋_GB2312"/>
          <w:snapToGrid/>
          <w:sz w:val="24"/>
          <w:szCs w:val="24"/>
        </w:rPr>
        <w:t>www.creditchina</w:t>
      </w:r>
      <w:r>
        <w:rPr>
          <w:rStyle w:val="76"/>
          <w:rFonts w:ascii="仿宋_GB2312" w:hAnsi="仿宋" w:eastAsia="仿宋_GB2312"/>
          <w:snapToGrid/>
          <w:sz w:val="24"/>
          <w:szCs w:val="24"/>
        </w:rPr>
        <w:fldChar w:fldCharType="end"/>
      </w:r>
      <w:r>
        <w:rPr>
          <w:rFonts w:ascii="仿宋_GB2312" w:hAnsi="仿宋" w:eastAsia="仿宋_GB2312" w:cs="Arial"/>
          <w:kern w:val="0"/>
          <w:szCs w:val="24"/>
        </w:rPr>
        <w:t>.gov.cn)、中国政府采购网(</w:t>
      </w:r>
      <w:r>
        <w:fldChar w:fldCharType="begin"/>
      </w:r>
      <w:r>
        <w:instrText xml:space="preserve"> HYPERLINK "http://www.ccgp" </w:instrText>
      </w:r>
      <w:r>
        <w:fldChar w:fldCharType="separate"/>
      </w:r>
      <w:r>
        <w:rPr>
          <w:rStyle w:val="76"/>
          <w:rFonts w:ascii="仿宋_GB2312" w:hAnsi="仿宋" w:eastAsia="仿宋_GB2312"/>
          <w:snapToGrid/>
          <w:sz w:val="24"/>
          <w:szCs w:val="24"/>
        </w:rPr>
        <w:t>www.ccgp</w:t>
      </w:r>
      <w:r>
        <w:rPr>
          <w:rStyle w:val="76"/>
          <w:rFonts w:ascii="仿宋_GB2312" w:hAnsi="仿宋" w:eastAsia="仿宋_GB2312"/>
          <w:snapToGrid/>
          <w:sz w:val="24"/>
          <w:szCs w:val="24"/>
        </w:rPr>
        <w:fldChar w:fldCharType="end"/>
      </w:r>
      <w:r>
        <w:rPr>
          <w:rFonts w:ascii="仿宋_GB2312" w:hAnsi="仿宋" w:eastAsia="仿宋_GB2312" w:cs="Arial"/>
          <w:kern w:val="0"/>
          <w:szCs w:val="24"/>
        </w:rPr>
        <w:t>.gov.cn)渠道查询投标人投标截止时间当天的信用记录。</w:t>
      </w:r>
    </w:p>
    <w:p>
      <w:pPr>
        <w:pStyle w:val="15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5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59"/>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评标委员会将根据招标文件和有关规定，履行评标工作职责，并按照评标方法及评分标准，全面衡量各投标人对招标文件的响应情况。对实质上响应招标文件的投标人，按照评审因素进行评审。</w:t>
      </w:r>
      <w:r>
        <w:rPr>
          <w:rFonts w:hint="eastAsia" w:ascii="仿宋_GB2312" w:hAnsi="仿宋" w:eastAsia="仿宋_GB2312" w:cs="仿宋_GB2312"/>
          <w:b/>
          <w:sz w:val="24"/>
        </w:rPr>
        <w:t>详见招标文件第四部分评标办法。</w:t>
      </w: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六、定标</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59"/>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5个工作日内通过电子交易平台在评审报告推荐的中标候选人中确定中标供应商</w:t>
      </w:r>
      <w:r>
        <w:rPr>
          <w:rFonts w:hint="eastAsia" w:ascii="仿宋_GB2312" w:hAnsi="仿宋" w:eastAsia="仿宋_GB2312" w:cs="仿宋_GB2312"/>
          <w:szCs w:val="24"/>
        </w:rPr>
        <w:t>，并将结果确认书面提交给采购代理机构</w:t>
      </w:r>
      <w:r>
        <w:rPr>
          <w:rFonts w:ascii="仿宋_GB2312" w:hAnsi="仿宋" w:eastAsia="仿宋_GB2312" w:cs="仿宋_GB2312"/>
          <w:szCs w:val="24"/>
        </w:rPr>
        <w:t>。</w:t>
      </w:r>
    </w:p>
    <w:p>
      <w:pPr>
        <w:pStyle w:val="159"/>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23.1自中标人确定之日起2个工作日内，采购代理机构通过电子交易平台向中标人发出中标通知书，</w:t>
      </w:r>
      <w:r>
        <w:rPr>
          <w:rFonts w:hint="eastAsia" w:ascii="仿宋_GB2312" w:hAnsi="仿宋" w:eastAsia="仿宋_GB2312" w:cs="仿宋_GB2312"/>
          <w:sz w:val="24"/>
        </w:rPr>
        <w:t>同时编制发布采购结果公告。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w:t>
      </w:r>
      <w:r>
        <w:rPr>
          <w:rFonts w:hint="eastAsia" w:ascii="仿宋_GB2312" w:hAnsi="仿宋" w:eastAsia="仿宋_GB2312" w:cs="仿宋_GB2312"/>
          <w:sz w:val="24"/>
        </w:rPr>
        <w:t>2</w:t>
      </w:r>
      <w:r>
        <w:rPr>
          <w:rFonts w:ascii="仿宋_GB2312" w:hAnsi="仿宋" w:eastAsia="仿宋_GB2312" w:cs="仿宋_GB2312"/>
          <w:sz w:val="24"/>
        </w:rPr>
        <w:t>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59"/>
        <w:snapToGrid w:val="0"/>
        <w:spacing w:before="0"/>
        <w:ind w:firstLine="480"/>
        <w:rPr>
          <w:rFonts w:ascii="仿宋_GB2312" w:hAnsi="仿宋" w:eastAsia="仿宋_GB2312"/>
          <w:kern w:val="0"/>
          <w:lang w:val="zh-CN"/>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59"/>
        <w:snapToGrid w:val="0"/>
        <w:spacing w:before="0"/>
        <w:ind w:firstLine="480"/>
        <w:rPr>
          <w:rFonts w:ascii="仿宋_GB2312" w:hAnsi="仿宋" w:eastAsia="仿宋_GB2312"/>
          <w:kern w:val="0"/>
        </w:rPr>
      </w:pPr>
      <w:r>
        <w:rPr>
          <w:rFonts w:ascii="仿宋_GB2312" w:hAnsi="仿宋" w:eastAsia="仿宋_GB2312" w:cs="仿宋_GB2312"/>
        </w:rPr>
        <w:t>25.3</w:t>
      </w:r>
      <w:r>
        <w:rPr>
          <w:rFonts w:hint="eastAsia" w:ascii="仿宋_GB2312" w:hAnsi="仿宋" w:eastAsia="仿宋_GB2312" w:cs="仿宋_GB2312"/>
        </w:rPr>
        <w:t>采购人对合同内容负责。合同金额200万元及以上的必须由法律顾问根据《政府采购法》、《民法典》等对合同条款进行审查，出具法律意见书后方可签订合同。对于合同金额200万元以下的项目，采购单位自行组织审查合同条款。</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25.4如签订合同并生效后，供应商无故拒绝或延期，除按照合同条款处理外，</w:t>
      </w:r>
      <w:r>
        <w:rPr>
          <w:rFonts w:hint="eastAsia" w:ascii="仿宋_GB2312" w:hAnsi="仿宋" w:eastAsia="仿宋_GB2312" w:cs="仿宋_GB2312"/>
        </w:rPr>
        <w:t>将上报政府采购监管部门予以处理</w:t>
      </w:r>
      <w:r>
        <w:rPr>
          <w:rFonts w:ascii="仿宋_GB2312" w:hAnsi="仿宋" w:eastAsia="仿宋_GB2312" w:cs="仿宋_GB2312"/>
        </w:rPr>
        <w:t>。</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25.5中标供应</w:t>
      </w:r>
      <w:r>
        <w:rPr>
          <w:rFonts w:hint="eastAsia" w:ascii="仿宋_GB2312" w:hAnsi="仿宋" w:eastAsia="仿宋_GB2312" w:cs="仿宋_GB2312"/>
        </w:rPr>
        <w:t>商拒绝与采购人签订合同的，采购人应当重新开展政府采购活动。</w:t>
      </w:r>
    </w:p>
    <w:p>
      <w:pPr>
        <w:pStyle w:val="159"/>
        <w:snapToGrid w:val="0"/>
        <w:spacing w:before="0" w:after="120"/>
        <w:ind w:firstLine="480"/>
        <w:rPr>
          <w:rFonts w:ascii="仿宋_GB2312" w:hAnsi="仿宋" w:eastAsia="仿宋_GB2312" w:cs="仿宋_GB2312"/>
        </w:rPr>
      </w:pPr>
      <w:r>
        <w:rPr>
          <w:rFonts w:ascii="仿宋_GB2312" w:hAnsi="仿宋" w:eastAsia="仿宋_GB2312" w:cs="仿宋_GB2312"/>
        </w:rPr>
        <w:t>25.6采购合同由采购人与中标供应商根据</w:t>
      </w:r>
      <w:r>
        <w:rPr>
          <w:rFonts w:hint="eastAsia" w:ascii="仿宋_GB2312" w:hAnsi="仿宋" w:eastAsia="仿宋_GB2312" w:cs="仿宋_GB2312"/>
        </w:rPr>
        <w:t>招标文件、投标文件等内容签订并公告。</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。履约保证金的数额不得超过政府采购合同金额的1</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b/>
          <w:sz w:val="32"/>
        </w:rPr>
      </w:pPr>
      <w:r>
        <w:rPr>
          <w:rFonts w:hint="eastAsia" w:ascii="仿宋_GB2312" w:hAnsi="仿宋" w:eastAsia="仿宋_GB2312" w:cs="Helvetica"/>
          <w:kern w:val="0"/>
          <w:sz w:val="24"/>
        </w:rPr>
        <w:t>供应商可登录政府采购云平台-【金融服务】—【我的项目】—【已备案合同】以保函形式提供。政府采购云平台金融专线400-903-9583。</w:t>
      </w:r>
    </w:p>
    <w:p>
      <w:pPr>
        <w:snapToGrid w:val="0"/>
        <w:spacing w:line="360" w:lineRule="auto"/>
        <w:jc w:val="center"/>
        <w:rPr>
          <w:rFonts w:ascii="仿宋_GB2312" w:hAnsi="仿宋" w:eastAsia="仿宋_GB2312"/>
          <w:b/>
          <w:sz w:val="24"/>
        </w:rPr>
      </w:pPr>
      <w:r>
        <w:rPr>
          <w:rFonts w:hint="eastAsia" w:ascii="仿宋_GB2312" w:hAnsi="仿宋" w:eastAsia="仿宋_GB2312" w:cs="仿宋_GB2312"/>
          <w:b/>
          <w:sz w:val="32"/>
        </w:rPr>
        <w:t>八、电子交易活动的中止</w:t>
      </w:r>
    </w:p>
    <w:p>
      <w:pPr>
        <w:pStyle w:val="159"/>
        <w:snapToGrid w:val="0"/>
        <w:spacing w:before="0"/>
        <w:ind w:firstLine="0" w:firstLineChars="0"/>
        <w:rPr>
          <w:rFonts w:ascii="仿宋_GB2312" w:hAnsi="仿宋" w:eastAsia="仿宋_GB2312" w:cs="仿宋_GB2312"/>
        </w:rPr>
      </w:pPr>
      <w:r>
        <w:rPr>
          <w:rFonts w:ascii="仿宋_GB2312" w:hAnsi="仿宋" w:eastAsia="仿宋_GB2312" w:cs="仿宋_GB2312"/>
          <w:b/>
          <w:bCs/>
        </w:rPr>
        <w:t xml:space="preserve">27.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采购过程中出现以下情形，导致电子交易平台无法正常运行，或者无法保证电子交易的公平、公正和安全时，采购代理机构可中止电子交易活动：</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59"/>
        <w:snapToGrid w:val="0"/>
        <w:spacing w:before="0"/>
        <w:ind w:firstLine="0" w:firstLineChars="0"/>
        <w:rPr>
          <w:rFonts w:ascii="仿宋_GB2312" w:hAnsi="仿宋" w:eastAsia="仿宋_GB2312" w:cs="仿宋_GB2312"/>
        </w:rPr>
      </w:pPr>
      <w:r>
        <w:rPr>
          <w:rFonts w:ascii="仿宋_GB2312" w:hAnsi="仿宋" w:eastAsia="仿宋_GB2312" w:cs="仿宋_GB2312"/>
          <w:b/>
          <w:bCs/>
        </w:rPr>
        <w:t>28.</w:t>
      </w:r>
      <w:r>
        <w:rPr>
          <w:rFonts w:ascii="仿宋_GB2312" w:hAnsi="仿宋" w:eastAsia="仿宋_GB2312" w:cs="仿宋_GB2312"/>
        </w:rPr>
        <w:t>出现以上情形，不影响采购公平、公正性的，采购组织机构可以待上述情形消除后继续组织电子交易活动，也可以决定某些环节以纸质形式进行；影响或可能影响采购公平、公正性的，</w:t>
      </w:r>
      <w:r>
        <w:rPr>
          <w:rFonts w:hint="eastAsia" w:ascii="仿宋_GB2312" w:hAnsi="仿宋" w:eastAsia="仿宋_GB2312" w:cs="仿宋_GB2312"/>
        </w:rPr>
        <w:t>报告政府采购监管部门并组织重新采购</w:t>
      </w:r>
      <w:r>
        <w:rPr>
          <w:rFonts w:ascii="仿宋_GB2312" w:hAnsi="仿宋" w:eastAsia="仿宋_GB2312" w:cs="仿宋_GB2312"/>
        </w:rPr>
        <w:t>。</w:t>
      </w: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4"/>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w:t>
      </w:r>
      <w:r>
        <w:rPr>
          <w:rFonts w:hint="eastAsia" w:ascii="仿宋_GB2312" w:hAnsi="仿宋" w:eastAsia="仿宋_GB2312" w:cs="Helvetica"/>
          <w:kern w:val="0"/>
          <w:sz w:val="24"/>
        </w:rPr>
        <w:t>，相关费用原则上由采购人支付（采购需求另行规定的除外）</w:t>
      </w:r>
      <w:r>
        <w:rPr>
          <w:rFonts w:ascii="仿宋_GB2312" w:hAnsi="仿宋" w:eastAsia="仿宋_GB2312" w:cs="Helvetica"/>
          <w:kern w:val="0"/>
          <w:sz w:val="24"/>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linePitch="312" w:charSpace="0"/>
        </w:sectPr>
      </w:pPr>
      <w:bookmarkStart w:id="14" w:name="_Hlt75236290"/>
      <w:bookmarkEnd w:id="14"/>
      <w:bookmarkStart w:id="15" w:name="_Hlt75236011"/>
      <w:bookmarkEnd w:id="15"/>
      <w:bookmarkStart w:id="16" w:name="_Hlt74707468"/>
      <w:bookmarkEnd w:id="16"/>
      <w:bookmarkStart w:id="17" w:name="_Hlt74730295"/>
      <w:bookmarkEnd w:id="17"/>
      <w:bookmarkStart w:id="18" w:name="_Hlt68072990"/>
      <w:bookmarkEnd w:id="18"/>
      <w:bookmarkStart w:id="19" w:name="_Hlt68073093"/>
      <w:bookmarkEnd w:id="19"/>
      <w:bookmarkStart w:id="20" w:name="_Hlt74729768"/>
      <w:bookmarkEnd w:id="20"/>
      <w:bookmarkStart w:id="21" w:name="_Hlt68403820"/>
      <w:bookmarkEnd w:id="21"/>
      <w:bookmarkStart w:id="22" w:name="_Hlt75236101"/>
      <w:bookmarkEnd w:id="22"/>
      <w:bookmarkStart w:id="23" w:name="_Hlt68057669"/>
      <w:bookmarkEnd w:id="23"/>
      <w:bookmarkStart w:id="24" w:name="_Hlt68072998"/>
      <w:bookmarkEnd w:id="24"/>
      <w:bookmarkStart w:id="25" w:name="_Hlt74714665"/>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tbl>
      <w:tblPr>
        <w:tblStyle w:val="62"/>
        <w:tblW w:w="8613" w:type="dxa"/>
        <w:tblInd w:w="0" w:type="dxa"/>
        <w:tblLayout w:type="fixed"/>
        <w:tblCellMar>
          <w:top w:w="0" w:type="dxa"/>
          <w:left w:w="108" w:type="dxa"/>
          <w:bottom w:w="0" w:type="dxa"/>
          <w:right w:w="108" w:type="dxa"/>
        </w:tblCellMar>
      </w:tblPr>
      <w:tblGrid>
        <w:gridCol w:w="1951"/>
        <w:gridCol w:w="6662"/>
      </w:tblGrid>
      <w:tr>
        <w:tblPrEx>
          <w:tblCellMar>
            <w:top w:w="0" w:type="dxa"/>
            <w:left w:w="108" w:type="dxa"/>
            <w:bottom w:w="0" w:type="dxa"/>
            <w:right w:w="108" w:type="dxa"/>
          </w:tblCellMar>
        </w:tblPrEx>
        <w:trPr>
          <w:trHeight w:val="270" w:hRule="atLeast"/>
        </w:trPr>
        <w:tc>
          <w:tcPr>
            <w:tcW w:w="1951" w:type="dxa"/>
            <w:tcBorders>
              <w:top w:val="single" w:color="auto" w:sz="4" w:space="0"/>
              <w:left w:val="single" w:color="auto" w:sz="4" w:space="0"/>
              <w:bottom w:val="single" w:color="993366" w:sz="4" w:space="0"/>
              <w:right w:val="single" w:color="auto" w:sz="4" w:space="0"/>
            </w:tcBorders>
            <w:shd w:val="clear" w:color="000000" w:fill="FFFFFF"/>
          </w:tcPr>
          <w:p>
            <w:pPr>
              <w:ind w:firstLine="210" w:firstLineChars="100"/>
              <w:rPr>
                <w:rFonts w:ascii="宋体" w:hAnsi="宋体" w:cs="宋体"/>
                <w:color w:val="000000"/>
                <w:szCs w:val="21"/>
              </w:rPr>
            </w:pPr>
            <w:r>
              <w:rPr>
                <w:rFonts w:hint="eastAsia" w:ascii="宋体" w:hAnsi="宋体" w:cs="宋体"/>
                <w:color w:val="000000"/>
                <w:szCs w:val="21"/>
              </w:rPr>
              <w:t>项目编号</w:t>
            </w:r>
          </w:p>
        </w:tc>
        <w:tc>
          <w:tcPr>
            <w:tcW w:w="6662" w:type="dxa"/>
            <w:tcBorders>
              <w:top w:val="single" w:color="auto" w:sz="4" w:space="0"/>
              <w:left w:val="single" w:color="auto" w:sz="4" w:space="0"/>
              <w:bottom w:val="single" w:color="993366"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检验项目名称</w:t>
            </w:r>
          </w:p>
        </w:tc>
      </w:tr>
      <w:tr>
        <w:tblPrEx>
          <w:tblCellMar>
            <w:top w:w="0" w:type="dxa"/>
            <w:left w:w="108" w:type="dxa"/>
            <w:bottom w:w="0" w:type="dxa"/>
            <w:right w:w="108" w:type="dxa"/>
          </w:tblCellMar>
        </w:tblPrEx>
        <w:trPr>
          <w:trHeight w:val="270" w:hRule="atLeast"/>
        </w:trPr>
        <w:tc>
          <w:tcPr>
            <w:tcW w:w="1951" w:type="dxa"/>
            <w:vMerge w:val="restart"/>
            <w:tcBorders>
              <w:top w:val="single" w:color="auto" w:sz="4" w:space="0"/>
              <w:left w:val="single" w:color="auto" w:sz="4" w:space="0"/>
              <w:right w:val="single" w:color="auto" w:sz="4" w:space="0"/>
            </w:tcBorders>
            <w:shd w:val="clear" w:color="000000" w:fill="FFFFFF"/>
          </w:tcPr>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rPr>
              <w:t>标的一</w:t>
            </w:r>
          </w:p>
        </w:tc>
        <w:tc>
          <w:tcPr>
            <w:tcW w:w="66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全血粘度（低切）</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全血粘度（中切）</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全血粘度（高切）</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血浆粘度</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孕妇血型血清学</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直接抗人球蛋白试验</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各类血细胞簇分化抗原(CD)检测</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免疫组织化学染色及诊断（单克隆抗体、项）</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单克隆免疫球蛋白(尿免疫固定电泳)</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骨髓细胞染色体核型分析</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外周血染色体核型分析400带</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特殊染色及酶组织化学染色</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骨髓活检</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PNH</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生长激素</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总1型胶原氨基端延长肽</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β-胶原特殊序列</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骨钙素</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醛固酮</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降钙素</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肾素活性</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血管紧张素I</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血管紧张素II</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总IgE</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24小时尿游离皮质醇</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丙型肝炎病毒(HCV)RNA测定</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结核感染T细胞检测</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GM试验</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HSV II型IgM</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HSV I型IgM</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HSV II型IgG</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HSV I型IgG</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巨细胞病毒抗体IgM(定性)</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巨细胞病毒抗体IgG(定性)</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弓形虫抗体IgM(定性)</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风疹病毒抗体IgM(定性)</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抗幽门螺旋杆菌抗体</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风疹病毒抗体IgG(定性)</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抗心磷脂抗体</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戊型肝炎抗体IgM</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戊型肝炎病毒抗体IgG</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麻疹病毒抗体IgM</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麻疹病毒抗体IgG</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抗精子抗体</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抗子宫内膜抗体</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丁型肝炎病毒抗体IgM</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丁型肝炎病毒抗体IgG</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庚型肝炎病毒抗体IgG</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丙戊酸钠</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血清铁</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葡萄糖6磷酸脱氢酶</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乙肝病毒P区耐药基因</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乙肝病毒C区耐药基因</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全血铅(微量元素)</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全血锌(微量元素)</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全血铜 (微量元素)</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全血铁(微量元素)</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血儿茶酚胺</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免疫球蛋白亚类定量测定（IgG4</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17α-羟孕酮</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24小时尿醛固酮</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吸入物变应原筛查</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食入物变应原筛查</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特殊变应原</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专项变应原</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抗谷氨酸脱羧酶抗体</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抗副流感病毒抗体IgM</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抗呼吸道合胞病毒抗体IgM</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抗腺病毒抗体IgM</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胰岛素自身抗体</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抗线粒体抗体</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EB病毒核抗原IgG抗体</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EB病毒衣壳抗原IgM抗体</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EB病毒早期抗原IgG抗体</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EB病毒衣壳抗原IgG抗体</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抗肝肾微粒体抗体-1型抗体</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抗可溶性肝抗原/肝胰抗原抗体</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抗胰岛细胞抗体</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抗平滑肌抗体</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抗肝细胞溶质抗原1型抗体</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流行性出血热IgM</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流行性出血热IgG</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封闭抗体</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新生儿溶血症</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IgG抗A</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IgG抗B</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铜蓝蛋白</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柯萨奇病毒抗体IgM</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抗精子抗体IgG</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抗子宫内膜抗体IgG</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TORCH-IgG</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TORCH-IgM</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转铁蛋白</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游离雌三醇</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24小时尿游离皮质醇</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β-胶原降解产物</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人乳头瘤病毒分型全套(27型)</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肥达氏反应</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外斐氏反应</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糖尿病自身抗体3项</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自身免疫性肝病抗体</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鼻咽癌EB病毒抗体2项</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甲型流感病毒IgM</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乙型流感病毒IgM</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副流感病毒IgM</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甲型流感病毒核酸检测</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乙型流感病毒核酸检测</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副流感病毒核酸检测</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化学药物用药指导的基因检测</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淋巴细胞亚群（T、B、NK）</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阵发PNH</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胃泌素</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抗乙酰胆碱受体抗体</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类胰岛素样生长因子1</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类胰岛素样生长因子结合蛋白3</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血清铁检测</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总铁结合力检测</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25-羟基维生素D套餐</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血清蛋白电泳</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真菌G试验</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单克隆免疫球（血免疫固定电泳）IF</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ABL激酶突变(焦磷酸测序)</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AML1/ETO(8q22;21q22)</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AML1-ETO(融合基因/荧光定量PCR)</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白血病残留病灶流式细胞术</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BCR/ABL(9q34;22q11.2)</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BCR-ABL(p190)(融合基因/荧光定量PCR)</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BCR-ABL(p210)(融合基因/荧光定量PCR)</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BCR-ABL-p230融合基因定量检测</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CBFβ-MYH11(融合基因/荧光定量PCR)</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FIP1L1-PDGFRα融合基因定量检测</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FLT3-TKD突变(sanger测序)</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JAK2 V617F突变(荧光定量PCR)</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PML/RARA(15q22;17q21.1)</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PML-RARa-V型</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PML-RARα-L长型</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PML-RARα-S短型</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白血病免疫分型(20个CD)(流式细胞术)</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地中海贫血检测套餐(三项)</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分子核型分析</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骨髓活检+免疫组化6项</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骨髓活检加免疫组化3项</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骨髓染色体核型分析(G带)</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残留病灶流式细胞术</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bottom w:val="single" w:color="auto" w:sz="4" w:space="0"/>
              <w:right w:val="single" w:color="auto" w:sz="4" w:space="0"/>
            </w:tcBorders>
            <w:shd w:val="clear" w:color="000000" w:fill="FFFFFF"/>
          </w:tcPr>
          <w:p>
            <w:pPr>
              <w:jc w:val="center"/>
              <w:rPr>
                <w:rFonts w:ascii="宋体" w:hAnsi="宋体" w:cs="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s="宋体"/>
                <w:color w:val="000000"/>
                <w:szCs w:val="21"/>
              </w:rPr>
              <w:t>人巨细胞病毒DNA测定</w:t>
            </w:r>
          </w:p>
        </w:tc>
      </w:tr>
      <w:tr>
        <w:tblPrEx>
          <w:tblCellMar>
            <w:top w:w="0" w:type="dxa"/>
            <w:left w:w="108" w:type="dxa"/>
            <w:bottom w:w="0" w:type="dxa"/>
            <w:right w:w="108" w:type="dxa"/>
          </w:tblCellMar>
        </w:tblPrEx>
        <w:trPr>
          <w:trHeight w:val="270" w:hRule="atLeast"/>
        </w:trPr>
        <w:tc>
          <w:tcPr>
            <w:tcW w:w="1951" w:type="dxa"/>
            <w:vMerge w:val="restart"/>
            <w:tcBorders>
              <w:top w:val="nil"/>
              <w:left w:val="single" w:color="auto" w:sz="4" w:space="0"/>
              <w:right w:val="single" w:color="auto" w:sz="4" w:space="0"/>
            </w:tcBorders>
            <w:shd w:val="clear" w:color="000000" w:fill="FFFFFF"/>
          </w:tcPr>
          <w:p>
            <w:pPr>
              <w:jc w:val="center"/>
              <w:rPr>
                <w:rFonts w:ascii="宋体" w:hAnsi="宋体"/>
                <w:color w:val="000000"/>
                <w:szCs w:val="21"/>
              </w:rPr>
            </w:pPr>
            <w:r>
              <w:rPr>
                <w:rFonts w:hint="eastAsia" w:ascii="宋体" w:hAnsi="宋体"/>
                <w:color w:val="000000"/>
                <w:szCs w:val="21"/>
              </w:rPr>
              <w:t>标的二</w:t>
            </w: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olor w:val="000000"/>
                <w:szCs w:val="21"/>
              </w:rPr>
              <w:t>白细胞染色体损伤</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olor w:val="000000"/>
                <w:szCs w:val="21"/>
              </w:rPr>
              <w:t>T细胞亚群线粒体损伤</w:t>
            </w:r>
          </w:p>
        </w:tc>
      </w:tr>
      <w:tr>
        <w:tblPrEx>
          <w:tblCellMar>
            <w:top w:w="0" w:type="dxa"/>
            <w:left w:w="108" w:type="dxa"/>
            <w:bottom w:w="0" w:type="dxa"/>
            <w:right w:w="108" w:type="dxa"/>
          </w:tblCellMar>
        </w:tblPrEx>
        <w:trPr>
          <w:trHeight w:val="310" w:hRule="atLeast"/>
        </w:trPr>
        <w:tc>
          <w:tcPr>
            <w:tcW w:w="1951" w:type="dxa"/>
            <w:vMerge w:val="continue"/>
            <w:tcBorders>
              <w:left w:val="single" w:color="auto" w:sz="4" w:space="0"/>
              <w:bottom w:val="single" w:color="auto" w:sz="4" w:space="0"/>
              <w:right w:val="single" w:color="auto" w:sz="4" w:space="0"/>
            </w:tcBorders>
            <w:shd w:val="clear" w:color="000000" w:fill="FFFFFF"/>
          </w:tcPr>
          <w:p>
            <w:pPr>
              <w:jc w:val="center"/>
              <w:rPr>
                <w:rFonts w:ascii="宋体" w:hAnsi="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Cs w:val="21"/>
              </w:rPr>
            </w:pPr>
            <w:r>
              <w:rPr>
                <w:rFonts w:hint="eastAsia" w:ascii="宋体" w:hAnsi="宋体"/>
                <w:color w:val="000000"/>
                <w:szCs w:val="21"/>
              </w:rPr>
              <w:t>细胞自噬功能改变</w:t>
            </w:r>
          </w:p>
        </w:tc>
      </w:tr>
      <w:tr>
        <w:tblPrEx>
          <w:tblCellMar>
            <w:top w:w="0" w:type="dxa"/>
            <w:left w:w="108" w:type="dxa"/>
            <w:bottom w:w="0" w:type="dxa"/>
            <w:right w:w="108" w:type="dxa"/>
          </w:tblCellMar>
        </w:tblPrEx>
        <w:trPr>
          <w:trHeight w:val="270" w:hRule="atLeast"/>
        </w:trPr>
        <w:tc>
          <w:tcPr>
            <w:tcW w:w="1951" w:type="dxa"/>
            <w:vMerge w:val="restart"/>
            <w:tcBorders>
              <w:top w:val="nil"/>
              <w:left w:val="single" w:color="auto" w:sz="4" w:space="0"/>
              <w:right w:val="single" w:color="auto" w:sz="4" w:space="0"/>
            </w:tcBorders>
            <w:shd w:val="clear" w:color="000000" w:fill="FFFFFF"/>
          </w:tcPr>
          <w:p>
            <w:pPr>
              <w:jc w:val="center"/>
              <w:rPr>
                <w:rFonts w:ascii="宋体" w:hAnsi="宋体"/>
                <w:color w:val="000000"/>
                <w:szCs w:val="21"/>
              </w:rPr>
            </w:pPr>
            <w:r>
              <w:rPr>
                <w:rFonts w:hint="eastAsia" w:ascii="宋体" w:hAnsi="宋体"/>
                <w:color w:val="000000"/>
                <w:szCs w:val="21"/>
              </w:rPr>
              <w:t>标的三</w:t>
            </w:r>
          </w:p>
        </w:tc>
        <w:tc>
          <w:tcPr>
            <w:tcW w:w="6662" w:type="dxa"/>
            <w:tcBorders>
              <w:top w:val="nil"/>
              <w:left w:val="single" w:color="auto" w:sz="4" w:space="0"/>
              <w:bottom w:val="single" w:color="auto" w:sz="4" w:space="0"/>
              <w:right w:val="single" w:color="auto" w:sz="4" w:space="0"/>
            </w:tcBorders>
            <w:shd w:val="clear" w:color="000000" w:fill="FFFFFF"/>
            <w:noWrap/>
          </w:tcPr>
          <w:p>
            <w:pPr>
              <w:jc w:val="center"/>
              <w:rPr>
                <w:rFonts w:ascii="宋体" w:hAnsi="宋体" w:cs="宋体"/>
                <w:color w:val="000000"/>
                <w:szCs w:val="21"/>
              </w:rPr>
            </w:pPr>
            <w:r>
              <w:rPr>
                <w:rFonts w:hint="eastAsia" w:ascii="宋体" w:hAnsi="宋体"/>
                <w:color w:val="000000"/>
                <w:szCs w:val="21"/>
              </w:rPr>
              <w:t>胃蛋白酶I</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tcPr>
          <w:p>
            <w:pPr>
              <w:jc w:val="center"/>
              <w:rPr>
                <w:rFonts w:ascii="宋体" w:hAnsi="宋体" w:cs="宋体"/>
                <w:color w:val="000000"/>
                <w:szCs w:val="21"/>
              </w:rPr>
            </w:pPr>
            <w:r>
              <w:rPr>
                <w:rFonts w:hint="eastAsia" w:ascii="宋体" w:hAnsi="宋体"/>
                <w:color w:val="000000"/>
                <w:szCs w:val="21"/>
              </w:rPr>
              <w:t>胃蛋白酶II</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right w:val="single" w:color="auto" w:sz="4" w:space="0"/>
            </w:tcBorders>
            <w:shd w:val="clear" w:color="000000" w:fill="FFFFFF"/>
          </w:tcPr>
          <w:p>
            <w:pPr>
              <w:jc w:val="center"/>
              <w:rPr>
                <w:rFonts w:ascii="宋体" w:hAnsi="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tcPr>
          <w:p>
            <w:pPr>
              <w:jc w:val="center"/>
              <w:rPr>
                <w:rFonts w:ascii="宋体" w:hAnsi="宋体" w:cs="宋体"/>
                <w:color w:val="000000"/>
                <w:szCs w:val="21"/>
              </w:rPr>
            </w:pPr>
            <w:r>
              <w:rPr>
                <w:rFonts w:hint="eastAsia" w:ascii="宋体" w:hAnsi="宋体"/>
                <w:color w:val="000000"/>
                <w:szCs w:val="21"/>
              </w:rPr>
              <w:t>胃泌素17</w:t>
            </w:r>
          </w:p>
        </w:tc>
      </w:tr>
      <w:tr>
        <w:tblPrEx>
          <w:tblCellMar>
            <w:top w:w="0" w:type="dxa"/>
            <w:left w:w="108" w:type="dxa"/>
            <w:bottom w:w="0" w:type="dxa"/>
            <w:right w:w="108" w:type="dxa"/>
          </w:tblCellMar>
        </w:tblPrEx>
        <w:trPr>
          <w:trHeight w:val="270" w:hRule="atLeast"/>
        </w:trPr>
        <w:tc>
          <w:tcPr>
            <w:tcW w:w="1951" w:type="dxa"/>
            <w:vMerge w:val="continue"/>
            <w:tcBorders>
              <w:left w:val="single" w:color="auto" w:sz="4" w:space="0"/>
              <w:bottom w:val="single" w:color="auto" w:sz="4" w:space="0"/>
              <w:right w:val="single" w:color="auto" w:sz="4" w:space="0"/>
            </w:tcBorders>
            <w:shd w:val="clear" w:color="000000" w:fill="FFFFFF"/>
          </w:tcPr>
          <w:p>
            <w:pPr>
              <w:jc w:val="center"/>
              <w:rPr>
                <w:rFonts w:ascii="宋体" w:hAnsi="宋体"/>
                <w:color w:val="000000"/>
                <w:szCs w:val="21"/>
              </w:rPr>
            </w:pPr>
          </w:p>
        </w:tc>
        <w:tc>
          <w:tcPr>
            <w:tcW w:w="6662" w:type="dxa"/>
            <w:tcBorders>
              <w:top w:val="nil"/>
              <w:left w:val="single" w:color="auto" w:sz="4" w:space="0"/>
              <w:bottom w:val="single" w:color="auto" w:sz="4" w:space="0"/>
              <w:right w:val="single" w:color="auto" w:sz="4" w:space="0"/>
            </w:tcBorders>
            <w:shd w:val="clear" w:color="000000" w:fill="FFFFFF"/>
            <w:noWrap/>
          </w:tcPr>
          <w:p>
            <w:pPr>
              <w:jc w:val="center"/>
              <w:rPr>
                <w:rFonts w:ascii="宋体" w:hAnsi="宋体" w:cs="宋体"/>
                <w:color w:val="000000"/>
                <w:szCs w:val="21"/>
              </w:rPr>
            </w:pPr>
            <w:r>
              <w:rPr>
                <w:rFonts w:hint="eastAsia" w:ascii="宋体" w:hAnsi="宋体"/>
                <w:color w:val="000000"/>
                <w:szCs w:val="21"/>
              </w:rPr>
              <w:t>HPV21分型定量</w:t>
            </w:r>
          </w:p>
        </w:tc>
      </w:tr>
    </w:tbl>
    <w:p>
      <w:pPr>
        <w:pStyle w:val="399"/>
        <w:spacing w:after="120" w:line="300" w:lineRule="exact"/>
        <w:ind w:firstLine="0" w:firstLineChars="0"/>
        <w:rPr>
          <w:rFonts w:ascii="宋体" w:hAnsi="宋体" w:cs="仿宋"/>
          <w:b/>
          <w:bCs/>
        </w:rPr>
      </w:pPr>
    </w:p>
    <w:p>
      <w:pPr>
        <w:rPr>
          <w:rFonts w:ascii="宋体" w:hAnsi="宋体"/>
          <w:b/>
          <w:color w:val="000000"/>
          <w:sz w:val="24"/>
          <w:u w:val="single"/>
        </w:rPr>
      </w:pPr>
      <w:r>
        <w:rPr>
          <w:rFonts w:hint="eastAsia" w:ascii="宋体" w:hAnsi="宋体" w:cs="宋体"/>
          <w:b/>
          <w:color w:val="000000"/>
          <w:sz w:val="24"/>
        </w:rPr>
        <w:t>具体要求：</w:t>
      </w:r>
    </w:p>
    <w:p>
      <w:pPr>
        <w:spacing w:line="300" w:lineRule="exact"/>
        <w:rPr>
          <w:rFonts w:ascii="宋体" w:hAnsi="宋体"/>
          <w:color w:val="000000"/>
          <w:szCs w:val="21"/>
        </w:rPr>
      </w:pPr>
      <w:r>
        <w:rPr>
          <w:rFonts w:hint="eastAsia" w:ascii="宋体" w:hAnsi="宋体"/>
          <w:color w:val="000000"/>
          <w:szCs w:val="21"/>
        </w:rPr>
        <w:t>（一）服务内容</w:t>
      </w:r>
    </w:p>
    <w:p>
      <w:pPr>
        <w:spacing w:line="300" w:lineRule="exact"/>
        <w:rPr>
          <w:rFonts w:ascii="宋体" w:hAnsi="宋体"/>
          <w:color w:val="000000"/>
          <w:szCs w:val="21"/>
        </w:rPr>
      </w:pPr>
      <w:r>
        <w:rPr>
          <w:rFonts w:hint="eastAsia" w:ascii="宋体" w:hAnsi="宋体"/>
          <w:color w:val="000000"/>
          <w:szCs w:val="21"/>
        </w:rPr>
        <w:t>具体包括：标本接收、运输、检测、报告送到医院、售后、投诉和纠纷处理以及相关附加服务。</w:t>
      </w:r>
    </w:p>
    <w:p>
      <w:pPr>
        <w:spacing w:line="300" w:lineRule="exact"/>
        <w:rPr>
          <w:rFonts w:ascii="宋体" w:hAnsi="宋体"/>
          <w:color w:val="000000"/>
          <w:szCs w:val="21"/>
        </w:rPr>
      </w:pPr>
      <w:r>
        <w:rPr>
          <w:rFonts w:hint="eastAsia" w:ascii="宋体" w:hAnsi="宋体"/>
          <w:color w:val="000000"/>
          <w:szCs w:val="21"/>
        </w:rPr>
        <w:t>（二）服务要求</w:t>
      </w:r>
    </w:p>
    <w:p>
      <w:pPr>
        <w:spacing w:line="300" w:lineRule="exact"/>
        <w:rPr>
          <w:rFonts w:ascii="宋体" w:hAnsi="宋体"/>
          <w:color w:val="000000"/>
          <w:szCs w:val="21"/>
        </w:rPr>
      </w:pPr>
      <w:r>
        <w:rPr>
          <w:rFonts w:ascii="宋体" w:hAnsi="宋体"/>
          <w:color w:val="000000"/>
          <w:szCs w:val="21"/>
        </w:rPr>
        <w:t>1.</w:t>
      </w:r>
      <w:r>
        <w:rPr>
          <w:rFonts w:hint="eastAsia" w:ascii="宋体" w:hAnsi="宋体"/>
          <w:color w:val="000000"/>
          <w:szCs w:val="21"/>
        </w:rPr>
        <w:t>检验要求</w:t>
      </w:r>
      <w:r>
        <w:rPr>
          <w:rFonts w:ascii="宋体" w:hAnsi="宋体"/>
          <w:color w:val="000000"/>
          <w:szCs w:val="21"/>
        </w:rPr>
        <w:t xml:space="preserve">            </w:t>
      </w:r>
    </w:p>
    <w:p>
      <w:pPr>
        <w:spacing w:line="300" w:lineRule="exact"/>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）提供相应的《项目总汇与采样手册》及《临床检验指导手册》，开展项目能满足临床需求。</w:t>
      </w:r>
    </w:p>
    <w:p>
      <w:pPr>
        <w:spacing w:line="300" w:lineRule="exact"/>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每周一至周日工作时间内，派工作人员在医院实时收取标本，及时处理，每日多批接收，每批实时做好登记，同时与医院</w:t>
      </w:r>
      <w:r>
        <w:rPr>
          <w:rFonts w:ascii="宋体" w:hAnsi="宋体"/>
          <w:color w:val="000000"/>
          <w:szCs w:val="21"/>
        </w:rPr>
        <w:t>LIS</w:t>
      </w:r>
      <w:r>
        <w:rPr>
          <w:rFonts w:hint="eastAsia" w:ascii="宋体" w:hAnsi="宋体"/>
          <w:color w:val="000000"/>
          <w:szCs w:val="21"/>
        </w:rPr>
        <w:t>做好核对。按标本保存条件进行运输，对保证标本的可靠性和有效性负责，并在</w:t>
      </w:r>
      <w:r>
        <w:rPr>
          <w:rFonts w:ascii="宋体" w:hAnsi="宋体"/>
          <w:color w:val="000000"/>
          <w:szCs w:val="21"/>
        </w:rPr>
        <w:t>36</w:t>
      </w:r>
      <w:r>
        <w:rPr>
          <w:rFonts w:hint="eastAsia" w:ascii="宋体" w:hAnsi="宋体"/>
          <w:color w:val="000000"/>
          <w:szCs w:val="21"/>
        </w:rPr>
        <w:t>小时内准时发放报告，保证检验报告的准确性和及时性。必须做好与医院</w:t>
      </w:r>
      <w:r>
        <w:rPr>
          <w:rFonts w:ascii="宋体" w:hAnsi="宋体"/>
          <w:color w:val="000000"/>
          <w:szCs w:val="21"/>
        </w:rPr>
        <w:t>LIS</w:t>
      </w:r>
      <w:r>
        <w:rPr>
          <w:rFonts w:hint="eastAsia" w:ascii="宋体" w:hAnsi="宋体"/>
          <w:color w:val="000000"/>
          <w:szCs w:val="21"/>
        </w:rPr>
        <w:t>的对接，提供的报告在医院</w:t>
      </w:r>
      <w:r>
        <w:rPr>
          <w:rFonts w:ascii="宋体" w:hAnsi="宋体"/>
          <w:color w:val="000000"/>
          <w:szCs w:val="21"/>
        </w:rPr>
        <w:t>LIS</w:t>
      </w:r>
      <w:r>
        <w:rPr>
          <w:rFonts w:hint="eastAsia" w:ascii="宋体" w:hAnsi="宋体"/>
          <w:color w:val="000000"/>
          <w:szCs w:val="21"/>
        </w:rPr>
        <w:t>系统里按医院的报告格式发放，但台头和签名为独立检验所及工作人员。医院可实时通过网络查收外送标本已完成的报告。当外送标本报告不能在医院</w:t>
      </w:r>
      <w:r>
        <w:rPr>
          <w:rFonts w:ascii="宋体" w:hAnsi="宋体"/>
          <w:color w:val="000000"/>
          <w:szCs w:val="21"/>
        </w:rPr>
        <w:t>LIS</w:t>
      </w:r>
      <w:r>
        <w:rPr>
          <w:rFonts w:hint="eastAsia" w:ascii="宋体" w:hAnsi="宋体"/>
          <w:color w:val="000000"/>
          <w:szCs w:val="21"/>
        </w:rPr>
        <w:t>上查询时，应立即派人员妥善处理。如检测结果为危急值，应立即报告给送检医生。</w:t>
      </w:r>
    </w:p>
    <w:p>
      <w:pPr>
        <w:spacing w:line="300" w:lineRule="exact"/>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）对检验后的标本应妥善保存7天，以便检验结果有疑义时进行免费复查或再委托其他第三方检验，这种情况所发生的费用，由投标人承担。</w:t>
      </w:r>
    </w:p>
    <w:p>
      <w:pPr>
        <w:spacing w:line="300" w:lineRule="exact"/>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对于因标本丢失、未在规定时间内出具报告或检验项目检测结果不准确等造成的医疗事故（医疗事件）或医疗纠纷，投标人承担全部经济及法律责任，并提出书面承诺。投标人对招标方不明原因（非院方及患者原因或产品质量问题）引起的医疗投诉、纠纷，能协助招标方做好患者的协调工作，并承担一定的处理费用。若不能积极配合者，下次招标不予考虑。</w:t>
      </w:r>
    </w:p>
    <w:p>
      <w:pPr>
        <w:spacing w:line="300" w:lineRule="exact"/>
        <w:rPr>
          <w:rFonts w:ascii="宋体" w:hAns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）外送软件与医院</w:t>
      </w:r>
      <w:r>
        <w:rPr>
          <w:rFonts w:ascii="宋体" w:hAnsi="宋体"/>
          <w:color w:val="000000"/>
          <w:szCs w:val="21"/>
        </w:rPr>
        <w:t>LIS</w:t>
      </w:r>
      <w:r>
        <w:rPr>
          <w:rFonts w:hint="eastAsia" w:ascii="宋体" w:hAnsi="宋体"/>
          <w:color w:val="000000"/>
          <w:szCs w:val="21"/>
        </w:rPr>
        <w:t>系统做好接口，结果实时自动准确导入，接口费用由中标人承担。</w:t>
      </w:r>
    </w:p>
    <w:p>
      <w:pPr>
        <w:spacing w:line="300" w:lineRule="exact"/>
        <w:rPr>
          <w:rFonts w:ascii="宋体" w:hAns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）检测者需为检验技师及以上职称人员，复核者需为主管检验师及以上职称。投标时提供</w:t>
      </w:r>
      <w:r>
        <w:rPr>
          <w:rFonts w:hint="eastAsia" w:ascii="宋体" w:hAnsi="宋体" w:cs="宋体"/>
          <w:color w:val="000000"/>
          <w:szCs w:val="21"/>
        </w:rPr>
        <w:t>提供人员资质证书和社保机构出具的近6个月社保证明原件或近二年聘用合同。</w:t>
      </w:r>
    </w:p>
    <w:p>
      <w:pPr>
        <w:spacing w:line="300" w:lineRule="exact"/>
        <w:rPr>
          <w:rFonts w:ascii="宋体" w:hAnsi="宋体"/>
          <w:color w:val="000000"/>
          <w:szCs w:val="21"/>
        </w:rPr>
      </w:pP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）合同期内，由于代理权限的转移或者公司注销等原因，中标人应以书面的形式说明原因并协助医院做好产品的延续工作。同时医院有权重新确定新中标人。</w:t>
      </w:r>
    </w:p>
    <w:p>
      <w:pPr>
        <w:spacing w:line="300" w:lineRule="exact"/>
        <w:rPr>
          <w:rFonts w:ascii="宋体" w:hAnsi="宋体"/>
          <w:color w:val="000000"/>
          <w:szCs w:val="21"/>
        </w:rPr>
      </w:pPr>
      <w:r>
        <w:rPr>
          <w:rFonts w:hint="eastAsia" w:ascii="宋体" w:hAnsi="宋体"/>
          <w:color w:val="000000"/>
          <w:szCs w:val="21"/>
        </w:rPr>
        <w:t>（</w:t>
      </w:r>
      <w:r>
        <w:rPr>
          <w:rFonts w:ascii="宋体" w:hAnsi="宋体"/>
          <w:color w:val="000000"/>
          <w:szCs w:val="21"/>
        </w:rPr>
        <w:t>8</w:t>
      </w:r>
      <w:r>
        <w:rPr>
          <w:rFonts w:hint="eastAsia" w:ascii="宋体" w:hAnsi="宋体"/>
          <w:color w:val="000000"/>
          <w:szCs w:val="21"/>
        </w:rPr>
        <w:t>）如中标人质量或服务不能达到规定要求，医院将终止合同并由中标人承担一切损失。</w:t>
      </w:r>
    </w:p>
    <w:p>
      <w:pPr>
        <w:spacing w:line="300" w:lineRule="exact"/>
        <w:rPr>
          <w:rFonts w:ascii="宋体" w:hAnsi="宋体"/>
          <w:color w:val="000000"/>
          <w:szCs w:val="21"/>
        </w:rPr>
      </w:pPr>
      <w:r>
        <w:rPr>
          <w:rFonts w:hint="eastAsia" w:ascii="宋体" w:hAnsi="宋体"/>
          <w:color w:val="000000"/>
          <w:szCs w:val="21"/>
        </w:rPr>
        <w:t>（</w:t>
      </w:r>
      <w:r>
        <w:rPr>
          <w:rFonts w:ascii="宋体" w:hAnsi="宋体"/>
          <w:color w:val="000000"/>
          <w:szCs w:val="21"/>
        </w:rPr>
        <w:t>9</w:t>
      </w:r>
      <w:r>
        <w:rPr>
          <w:rFonts w:hint="eastAsia" w:ascii="宋体" w:hAnsi="宋体"/>
          <w:color w:val="000000"/>
          <w:szCs w:val="21"/>
        </w:rPr>
        <w:t>）遵守保密制度，保护受检者的秘密，未经许可，不得向无关人员泄露受检者的检测情况，如有传染病阳性的报告，应负责及时报告给送检单位。</w:t>
      </w:r>
    </w:p>
    <w:p>
      <w:pPr>
        <w:spacing w:line="300" w:lineRule="exact"/>
        <w:rPr>
          <w:rFonts w:ascii="宋体" w:hAnsi="宋体"/>
          <w:color w:val="000000"/>
          <w:szCs w:val="21"/>
        </w:rPr>
      </w:pPr>
      <w:r>
        <w:rPr>
          <w:rFonts w:ascii="宋体" w:hAnsi="宋体"/>
          <w:color w:val="000000"/>
          <w:szCs w:val="21"/>
        </w:rPr>
        <w:t xml:space="preserve">2. </w:t>
      </w:r>
      <w:r>
        <w:rPr>
          <w:rFonts w:hint="eastAsia" w:ascii="宋体" w:hAnsi="宋体"/>
          <w:color w:val="000000"/>
          <w:szCs w:val="21"/>
        </w:rPr>
        <w:t>对检测结果要求及违约处理</w:t>
      </w:r>
    </w:p>
    <w:p>
      <w:pPr>
        <w:spacing w:line="300" w:lineRule="exact"/>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）医院应在检测项目要求的规定时间内，协助中标人按照规定的方式对其所采集的检测标本进行前处理和存储。如因医院采集或处理存储不当造成检测标本不符检测要求的，由医院自行承担后果。</w:t>
      </w:r>
    </w:p>
    <w:p>
      <w:pPr>
        <w:spacing w:line="300" w:lineRule="exact"/>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）检测标本的交付：医院应将检测标本统一存放在双方约定的地点，并安排人员与中标人配送专员进行检测标本交接签收。</w:t>
      </w:r>
    </w:p>
    <w:p>
      <w:pPr>
        <w:spacing w:line="300" w:lineRule="exact"/>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因中标人未履行本合同约定的义务（包括但不限于未及时报送检测报告、检测结果不准确、检测标本毁损甚至丢失、检测标本及结果向第三方泄露），医院有权要求中标人支付违约金，违约金约定为合同期累计外包费用的</w:t>
      </w:r>
      <w:r>
        <w:rPr>
          <w:rFonts w:ascii="宋体" w:hAnsi="宋体"/>
          <w:color w:val="000000"/>
          <w:szCs w:val="21"/>
        </w:rPr>
        <w:t>1‰</w:t>
      </w:r>
      <w:r>
        <w:rPr>
          <w:rFonts w:hint="eastAsia" w:ascii="宋体" w:hAnsi="宋体"/>
          <w:color w:val="000000"/>
          <w:szCs w:val="21"/>
        </w:rPr>
        <w:t>，医院可直接从应付款项中扣除违约金。如果给对方造成损失的，应赔偿相应的损失。</w:t>
      </w:r>
    </w:p>
    <w:p>
      <w:pPr>
        <w:spacing w:line="300" w:lineRule="exact"/>
        <w:rPr>
          <w:rFonts w:ascii="宋体" w:hAnsi="宋体"/>
          <w:color w:val="000000"/>
          <w:szCs w:val="21"/>
        </w:rPr>
      </w:pPr>
      <w:r>
        <w:rPr>
          <w:rFonts w:hint="eastAsia" w:ascii="宋体" w:hAnsi="宋体"/>
          <w:color w:val="000000"/>
          <w:szCs w:val="21"/>
        </w:rPr>
        <w:t>（三）合同期限</w:t>
      </w:r>
      <w:r>
        <w:rPr>
          <w:rFonts w:ascii="宋体" w:hAnsi="宋体"/>
          <w:color w:val="000000"/>
          <w:szCs w:val="21"/>
        </w:rPr>
        <w:t>:</w:t>
      </w:r>
      <w:r>
        <w:rPr>
          <w:rFonts w:hint="eastAsia" w:ascii="宋体" w:hAnsi="宋体"/>
          <w:color w:val="000000"/>
          <w:szCs w:val="21"/>
        </w:rPr>
        <w:t>服务时间为合同签订后两年。</w:t>
      </w:r>
    </w:p>
    <w:p>
      <w:pPr>
        <w:spacing w:line="300" w:lineRule="exact"/>
        <w:rPr>
          <w:rFonts w:ascii="宋体" w:hAnsi="宋体"/>
          <w:color w:val="000000"/>
          <w:szCs w:val="21"/>
        </w:rPr>
      </w:pPr>
      <w:r>
        <w:rPr>
          <w:rFonts w:hint="eastAsia" w:ascii="宋体" w:hAnsi="宋体"/>
          <w:color w:val="000000"/>
          <w:szCs w:val="21"/>
        </w:rPr>
        <w:t>合同只签订单价，不定数量，数量由医院根据需求临时通知中标人。在合同期中所执行的价格必须与中标价格一致，在合同期执行期内不得随意变更。</w:t>
      </w:r>
    </w:p>
    <w:p>
      <w:pPr>
        <w:spacing w:line="300" w:lineRule="exact"/>
        <w:rPr>
          <w:rFonts w:ascii="宋体" w:hAnsi="宋体"/>
          <w:color w:val="000000"/>
          <w:szCs w:val="21"/>
        </w:rPr>
      </w:pPr>
      <w:r>
        <w:rPr>
          <w:rFonts w:hint="eastAsia" w:ascii="宋体" w:hAnsi="宋体"/>
          <w:color w:val="000000"/>
          <w:szCs w:val="21"/>
        </w:rPr>
        <w:t>（四）外包工作量确认：以中标人</w:t>
      </w:r>
      <w:r>
        <w:rPr>
          <w:rFonts w:ascii="宋体" w:hAnsi="宋体"/>
          <w:color w:val="000000"/>
          <w:szCs w:val="21"/>
        </w:rPr>
        <w:t>LIMS</w:t>
      </w:r>
      <w:r>
        <w:rPr>
          <w:rFonts w:hint="eastAsia" w:ascii="宋体" w:hAnsi="宋体"/>
          <w:color w:val="000000"/>
          <w:szCs w:val="21"/>
        </w:rPr>
        <w:t>系统项目检测清单和外送标本登记的签收记录为准，结算前应与医院确认。</w:t>
      </w:r>
    </w:p>
    <w:p>
      <w:pPr>
        <w:spacing w:line="300" w:lineRule="exact"/>
        <w:rPr>
          <w:rFonts w:ascii="宋体" w:hAnsi="宋体"/>
          <w:color w:val="000000"/>
          <w:szCs w:val="21"/>
        </w:rPr>
      </w:pPr>
      <w:r>
        <w:rPr>
          <w:rFonts w:hint="eastAsia" w:ascii="宋体" w:hAnsi="宋体"/>
          <w:color w:val="000000"/>
          <w:szCs w:val="21"/>
        </w:rPr>
        <w:t>（五）付款方式：次月</w:t>
      </w:r>
      <w:r>
        <w:rPr>
          <w:rFonts w:ascii="宋体" w:hAnsi="宋体"/>
          <w:color w:val="000000"/>
          <w:szCs w:val="21"/>
        </w:rPr>
        <w:t>30</w:t>
      </w:r>
      <w:r>
        <w:rPr>
          <w:rFonts w:hint="eastAsia" w:ascii="宋体" w:hAnsi="宋体"/>
          <w:color w:val="000000"/>
          <w:szCs w:val="21"/>
        </w:rPr>
        <w:t>日为费用结算日。全额付款。</w:t>
      </w:r>
    </w:p>
    <w:p>
      <w:pPr>
        <w:spacing w:line="300" w:lineRule="exact"/>
        <w:ind w:firstLine="105" w:firstLineChars="50"/>
        <w:rPr>
          <w:rFonts w:ascii="宋体" w:hAnsi="宋体"/>
          <w:color w:val="000000"/>
          <w:szCs w:val="21"/>
        </w:rPr>
      </w:pPr>
      <w:r>
        <w:rPr>
          <w:rFonts w:hint="eastAsia" w:ascii="宋体" w:hAnsi="宋体"/>
          <w:color w:val="000000"/>
          <w:szCs w:val="21"/>
        </w:rPr>
        <w:t>(六)签订合同前中标人先向医院缴纳履约保证金，金额为标的一：9.2万元，标的二：2.8万元，标的三： 1.58万元。履约保证金在合同履行完毕后退还。</w:t>
      </w:r>
    </w:p>
    <w:p>
      <w:pPr>
        <w:spacing w:line="300" w:lineRule="exact"/>
        <w:rPr>
          <w:rFonts w:ascii="宋体" w:hAnsi="宋体"/>
          <w:color w:val="000000"/>
          <w:szCs w:val="21"/>
        </w:rPr>
      </w:pPr>
      <w:r>
        <w:rPr>
          <w:rFonts w:hint="eastAsia" w:ascii="宋体" w:hAnsi="宋体"/>
          <w:color w:val="000000"/>
          <w:szCs w:val="21"/>
        </w:rPr>
        <w:t>（七）其他要求</w:t>
      </w:r>
    </w:p>
    <w:p>
      <w:pPr>
        <w:spacing w:line="300" w:lineRule="exact"/>
        <w:ind w:firstLine="105" w:firstLineChars="5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投标人应根据医院要求提供相关资质证明材料（包括但不限于仪器、试剂、校准品、质控品、人员资质、第三方评价证书、注册证及授权等），双方以此作为提供检验报告的依据。合同履行期间，医院视具体中标和使用需求情况，对个别项目产品进行适当调整，中标人应配合做好相关工作。</w:t>
      </w:r>
    </w:p>
    <w:p>
      <w:pPr>
        <w:spacing w:line="300" w:lineRule="exact"/>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）合同期内，若中标人累计三次无正当理由不能提供相应服务，医院有权取消合同。合同期内，医院可采取盲样考核或实地飞行检查方式验证结果的可靠性。</w:t>
      </w:r>
    </w:p>
    <w:p>
      <w:pPr>
        <w:spacing w:line="300" w:lineRule="exact"/>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）在合同履行期间如遇上级部门出台规定，合同标的需执行该规定，本合同自行终止，有关合同的遗留问题由双方协商解决。</w:t>
      </w:r>
    </w:p>
    <w:p>
      <w:pPr>
        <w:spacing w:line="300" w:lineRule="exact"/>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）合同期满后，在医院没有再次进行招标前，或因再次招标至中标人改变，原中标人必须协助医院做好衔接工作且供应价不变。合同期内，如有授权、法人等变更情况，医院有权中止合同。</w:t>
      </w:r>
    </w:p>
    <w:p>
      <w:pPr>
        <w:spacing w:line="300" w:lineRule="exact"/>
        <w:rPr>
          <w:rFonts w:ascii="宋体" w:hAns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）全面导入</w:t>
      </w:r>
      <w:r>
        <w:rPr>
          <w:rFonts w:ascii="宋体" w:hAnsi="宋体"/>
          <w:color w:val="000000"/>
          <w:szCs w:val="21"/>
        </w:rPr>
        <w:t>ISO15189</w:t>
      </w:r>
      <w:r>
        <w:rPr>
          <w:rFonts w:hint="eastAsia" w:ascii="宋体" w:hAnsi="宋体"/>
          <w:color w:val="000000"/>
          <w:szCs w:val="21"/>
        </w:rPr>
        <w:t>质量管理体系并协助质量体系的建设。</w:t>
      </w:r>
    </w:p>
    <w:p>
      <w:pPr>
        <w:spacing w:line="300" w:lineRule="exact"/>
        <w:rPr>
          <w:rFonts w:ascii="宋体" w:hAnsi="宋体"/>
          <w:color w:val="000000"/>
          <w:szCs w:val="21"/>
        </w:rPr>
      </w:pPr>
      <w:r>
        <w:rPr>
          <w:rFonts w:hint="eastAsia" w:ascii="宋体" w:hAnsi="宋体"/>
          <w:color w:val="000000"/>
          <w:szCs w:val="21"/>
        </w:rPr>
        <w:t>（6）标的一中标者至少提供2名工作人员在标本处理室处理相关工作。</w:t>
      </w:r>
    </w:p>
    <w:p>
      <w:pPr>
        <w:spacing w:line="300" w:lineRule="exact"/>
        <w:ind w:firstLine="200"/>
        <w:rPr>
          <w:rFonts w:ascii="宋体" w:hAnsi="宋体"/>
          <w:color w:val="000000"/>
          <w:szCs w:val="21"/>
        </w:rPr>
      </w:pPr>
      <w:r>
        <w:rPr>
          <w:rFonts w:hint="eastAsia" w:ascii="宋体" w:hAnsi="宋体"/>
          <w:color w:val="000000"/>
          <w:szCs w:val="21"/>
        </w:rPr>
        <w:t>★为实质性响应要求，如不满足将作无效投标处理。</w:t>
      </w: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7" w:name="_Toc184314429"/>
      <w:bookmarkEnd w:id="27"/>
      <w:bookmarkStart w:id="28" w:name="_Toc184313253"/>
      <w:bookmarkEnd w:id="28"/>
      <w:bookmarkStart w:id="29" w:name="_Toc184312069"/>
      <w:bookmarkEnd w:id="29"/>
      <w:bookmarkStart w:id="30" w:name="_Toc184313280"/>
      <w:bookmarkEnd w:id="30"/>
      <w:bookmarkStart w:id="31" w:name="_Toc184310296"/>
      <w:bookmarkEnd w:id="31"/>
      <w:bookmarkStart w:id="32" w:name="_Toc184313306"/>
      <w:bookmarkEnd w:id="32"/>
      <w:bookmarkStart w:id="33" w:name="_Toc184308039"/>
      <w:bookmarkEnd w:id="33"/>
      <w:bookmarkStart w:id="34" w:name="_Toc184310299"/>
      <w:bookmarkEnd w:id="34"/>
      <w:bookmarkStart w:id="35" w:name="_Toc184314450"/>
      <w:bookmarkEnd w:id="35"/>
      <w:bookmarkStart w:id="36" w:name="_Toc184314449"/>
      <w:bookmarkEnd w:id="36"/>
      <w:bookmarkStart w:id="37" w:name="_Toc184313262"/>
      <w:bookmarkEnd w:id="37"/>
      <w:bookmarkStart w:id="38" w:name="_Toc184312067"/>
      <w:bookmarkEnd w:id="38"/>
      <w:bookmarkStart w:id="39" w:name="_Toc184312085"/>
      <w:bookmarkEnd w:id="39"/>
      <w:bookmarkStart w:id="40" w:name="_Toc184314428"/>
      <w:bookmarkEnd w:id="40"/>
      <w:bookmarkStart w:id="41" w:name="_Toc184310289"/>
      <w:bookmarkEnd w:id="41"/>
      <w:bookmarkStart w:id="42" w:name="_Toc184310297"/>
      <w:bookmarkEnd w:id="42"/>
      <w:bookmarkStart w:id="43" w:name="_Toc184313277"/>
      <w:bookmarkEnd w:id="43"/>
      <w:bookmarkStart w:id="44" w:name="_Toc184314478"/>
      <w:bookmarkEnd w:id="44"/>
      <w:bookmarkStart w:id="45" w:name="_Toc184312072"/>
      <w:bookmarkEnd w:id="45"/>
      <w:bookmarkStart w:id="46" w:name="_Toc184310339"/>
      <w:bookmarkEnd w:id="46"/>
      <w:bookmarkStart w:id="47" w:name="_Toc184312111"/>
      <w:bookmarkEnd w:id="47"/>
      <w:bookmarkStart w:id="48" w:name="_Toc184314414"/>
      <w:bookmarkEnd w:id="48"/>
      <w:bookmarkStart w:id="49" w:name="_Toc184310280"/>
      <w:bookmarkEnd w:id="49"/>
      <w:bookmarkStart w:id="50" w:name="_Toc184314472"/>
      <w:bookmarkEnd w:id="50"/>
      <w:bookmarkStart w:id="51" w:name="_Toc184312077"/>
      <w:bookmarkEnd w:id="51"/>
      <w:bookmarkStart w:id="52" w:name="_Toc184310318"/>
      <w:bookmarkEnd w:id="52"/>
      <w:bookmarkStart w:id="53" w:name="_Toc184312074"/>
      <w:bookmarkEnd w:id="53"/>
      <w:bookmarkStart w:id="54" w:name="_Toc184312075"/>
      <w:bookmarkEnd w:id="54"/>
      <w:bookmarkStart w:id="55" w:name="_Toc184313245"/>
      <w:bookmarkEnd w:id="55"/>
      <w:bookmarkStart w:id="56" w:name="_Toc184313282"/>
      <w:bookmarkEnd w:id="56"/>
      <w:bookmarkStart w:id="57" w:name="_Toc184310276"/>
      <w:bookmarkEnd w:id="57"/>
      <w:bookmarkStart w:id="58" w:name="_Toc184314448"/>
      <w:bookmarkEnd w:id="58"/>
      <w:bookmarkStart w:id="59" w:name="_Toc184310278"/>
      <w:bookmarkEnd w:id="59"/>
      <w:bookmarkStart w:id="60" w:name="_Toc184310344"/>
      <w:bookmarkEnd w:id="60"/>
      <w:bookmarkStart w:id="61" w:name="_Toc184314433"/>
      <w:bookmarkEnd w:id="61"/>
      <w:bookmarkStart w:id="62" w:name="_Toc184312092"/>
      <w:bookmarkEnd w:id="62"/>
      <w:bookmarkStart w:id="63" w:name="_Toc184308075"/>
      <w:bookmarkEnd w:id="63"/>
      <w:bookmarkStart w:id="64" w:name="_Toc184312082"/>
      <w:bookmarkEnd w:id="64"/>
      <w:bookmarkStart w:id="65" w:name="_Toc184308042"/>
      <w:bookmarkEnd w:id="65"/>
      <w:bookmarkStart w:id="66" w:name="_Toc184308059"/>
      <w:bookmarkEnd w:id="66"/>
      <w:bookmarkStart w:id="67" w:name="_Toc184314425"/>
      <w:bookmarkEnd w:id="67"/>
      <w:bookmarkStart w:id="68" w:name="_Toc184313261"/>
      <w:bookmarkEnd w:id="68"/>
      <w:bookmarkStart w:id="69" w:name="_Toc184308106"/>
      <w:bookmarkEnd w:id="69"/>
      <w:bookmarkStart w:id="70" w:name="_Toc184310277"/>
      <w:bookmarkEnd w:id="70"/>
      <w:bookmarkStart w:id="71" w:name="_Toc184308060"/>
      <w:bookmarkEnd w:id="71"/>
      <w:bookmarkStart w:id="72" w:name="_Toc184308062"/>
      <w:bookmarkEnd w:id="72"/>
      <w:bookmarkStart w:id="73" w:name="_Toc184313276"/>
      <w:bookmarkEnd w:id="73"/>
      <w:bookmarkStart w:id="74" w:name="_Toc184314477"/>
      <w:bookmarkEnd w:id="74"/>
      <w:bookmarkStart w:id="75" w:name="_Toc184310332"/>
      <w:bookmarkEnd w:id="75"/>
      <w:bookmarkStart w:id="76" w:name="_Toc184310287"/>
      <w:bookmarkEnd w:id="76"/>
      <w:bookmarkStart w:id="77" w:name="_Toc184310295"/>
      <w:bookmarkEnd w:id="77"/>
      <w:bookmarkStart w:id="78" w:name="_Toc184314471"/>
      <w:bookmarkEnd w:id="78"/>
      <w:bookmarkStart w:id="79" w:name="_Toc184308080"/>
      <w:bookmarkEnd w:id="79"/>
      <w:bookmarkStart w:id="80" w:name="_Toc184314424"/>
      <w:bookmarkEnd w:id="80"/>
      <w:bookmarkStart w:id="81" w:name="_Toc184310304"/>
      <w:bookmarkEnd w:id="81"/>
      <w:bookmarkStart w:id="82" w:name="_Toc184310321"/>
      <w:bookmarkEnd w:id="82"/>
      <w:bookmarkStart w:id="83" w:name="_Toc184314427"/>
      <w:bookmarkEnd w:id="83"/>
      <w:bookmarkStart w:id="84" w:name="_Toc184313290"/>
      <w:bookmarkEnd w:id="84"/>
      <w:bookmarkStart w:id="85" w:name="_Toc184312090"/>
      <w:bookmarkEnd w:id="85"/>
      <w:bookmarkStart w:id="86" w:name="_Toc184313296"/>
      <w:bookmarkEnd w:id="86"/>
      <w:bookmarkStart w:id="87" w:name="_Toc184313300"/>
      <w:bookmarkEnd w:id="87"/>
      <w:bookmarkStart w:id="88" w:name="_Toc184308036"/>
      <w:bookmarkEnd w:id="88"/>
      <w:bookmarkStart w:id="89" w:name="_Toc184314412"/>
      <w:bookmarkEnd w:id="89"/>
      <w:bookmarkStart w:id="90" w:name="_Toc184308098"/>
      <w:bookmarkEnd w:id="90"/>
      <w:bookmarkStart w:id="91" w:name="_Toc184313305"/>
      <w:bookmarkEnd w:id="91"/>
      <w:bookmarkStart w:id="92" w:name="_Toc184312129"/>
      <w:bookmarkEnd w:id="92"/>
      <w:bookmarkStart w:id="93" w:name="_Toc184308097"/>
      <w:bookmarkEnd w:id="93"/>
      <w:bookmarkStart w:id="94" w:name="_Toc184312134"/>
      <w:bookmarkEnd w:id="94"/>
      <w:bookmarkStart w:id="95" w:name="_Toc184308103"/>
      <w:bookmarkEnd w:id="95"/>
      <w:bookmarkStart w:id="96" w:name="_Toc184313304"/>
      <w:bookmarkEnd w:id="96"/>
      <w:bookmarkStart w:id="97" w:name="_Toc184314468"/>
      <w:bookmarkEnd w:id="97"/>
      <w:bookmarkStart w:id="98" w:name="_Toc184314469"/>
      <w:bookmarkEnd w:id="98"/>
      <w:bookmarkStart w:id="99" w:name="_Toc184308068"/>
      <w:bookmarkEnd w:id="99"/>
      <w:bookmarkStart w:id="100" w:name="_Toc184312091"/>
      <w:bookmarkEnd w:id="100"/>
      <w:bookmarkStart w:id="101" w:name="_Toc184308046"/>
      <w:bookmarkEnd w:id="101"/>
      <w:bookmarkStart w:id="102" w:name="_Toc184312130"/>
      <w:bookmarkEnd w:id="102"/>
      <w:bookmarkStart w:id="103" w:name="_Toc184312132"/>
      <w:bookmarkEnd w:id="103"/>
      <w:bookmarkStart w:id="104" w:name="_Toc184313299"/>
      <w:bookmarkEnd w:id="104"/>
      <w:bookmarkStart w:id="105" w:name="_Toc184314470"/>
      <w:bookmarkEnd w:id="105"/>
      <w:bookmarkStart w:id="106" w:name="_Toc184313285"/>
      <w:bookmarkEnd w:id="106"/>
      <w:bookmarkStart w:id="107" w:name="_Toc184310340"/>
      <w:bookmarkEnd w:id="107"/>
      <w:bookmarkStart w:id="108" w:name="_Toc184308076"/>
      <w:bookmarkEnd w:id="108"/>
      <w:bookmarkStart w:id="109" w:name="_Toc184312109"/>
      <w:bookmarkEnd w:id="109"/>
      <w:bookmarkStart w:id="110" w:name="_Toc184310330"/>
      <w:bookmarkEnd w:id="110"/>
      <w:bookmarkStart w:id="111" w:name="_Toc184314481"/>
      <w:bookmarkEnd w:id="111"/>
      <w:bookmarkStart w:id="112" w:name="_Toc184312128"/>
      <w:bookmarkEnd w:id="112"/>
      <w:bookmarkStart w:id="113" w:name="_Toc184312122"/>
      <w:bookmarkEnd w:id="113"/>
      <w:bookmarkStart w:id="114" w:name="_Toc184310329"/>
      <w:bookmarkEnd w:id="114"/>
      <w:bookmarkStart w:id="115" w:name="_Toc184308037"/>
      <w:bookmarkEnd w:id="115"/>
      <w:bookmarkStart w:id="116" w:name="_Toc184310334"/>
      <w:bookmarkEnd w:id="116"/>
      <w:bookmarkStart w:id="117" w:name="_Toc184314452"/>
      <w:bookmarkEnd w:id="117"/>
      <w:bookmarkStart w:id="118" w:name="_Toc184308092"/>
      <w:bookmarkEnd w:id="118"/>
      <w:bookmarkStart w:id="119" w:name="_Toc184308099"/>
      <w:bookmarkEnd w:id="119"/>
      <w:bookmarkStart w:id="120" w:name="_Toc184313297"/>
      <w:bookmarkEnd w:id="120"/>
      <w:bookmarkStart w:id="121" w:name="_Toc184313286"/>
      <w:bookmarkEnd w:id="121"/>
      <w:bookmarkStart w:id="122" w:name="_Toc184310338"/>
      <w:bookmarkEnd w:id="122"/>
      <w:bookmarkStart w:id="123" w:name="_Toc184312133"/>
      <w:bookmarkEnd w:id="123"/>
      <w:bookmarkStart w:id="124" w:name="_Toc184308095"/>
      <w:bookmarkEnd w:id="124"/>
      <w:bookmarkStart w:id="125" w:name="_Toc184308089"/>
      <w:bookmarkEnd w:id="125"/>
      <w:bookmarkStart w:id="126" w:name="_Toc184313288"/>
      <w:bookmarkEnd w:id="126"/>
      <w:bookmarkStart w:id="127" w:name="_Toc184308090"/>
      <w:bookmarkEnd w:id="127"/>
      <w:bookmarkStart w:id="128" w:name="_Toc184312120"/>
      <w:bookmarkEnd w:id="128"/>
      <w:bookmarkStart w:id="129" w:name="_Toc184310326"/>
      <w:bookmarkEnd w:id="129"/>
      <w:bookmarkStart w:id="130" w:name="_Toc184313294"/>
      <w:bookmarkEnd w:id="130"/>
      <w:bookmarkStart w:id="131" w:name="_Toc184314457"/>
      <w:bookmarkEnd w:id="131"/>
      <w:bookmarkStart w:id="132" w:name="_Toc184310331"/>
      <w:bookmarkEnd w:id="132"/>
      <w:bookmarkStart w:id="133" w:name="_Toc184308091"/>
      <w:bookmarkEnd w:id="133"/>
      <w:bookmarkStart w:id="134" w:name="_Toc184314463"/>
      <w:bookmarkEnd w:id="134"/>
      <w:bookmarkStart w:id="135" w:name="_Toc184308094"/>
      <w:bookmarkEnd w:id="135"/>
      <w:bookmarkStart w:id="136" w:name="_Toc184312127"/>
      <w:bookmarkEnd w:id="136"/>
      <w:bookmarkStart w:id="137" w:name="_Toc184310333"/>
      <w:bookmarkEnd w:id="137"/>
      <w:bookmarkStart w:id="138" w:name="_Toc184314467"/>
      <w:bookmarkEnd w:id="138"/>
      <w:bookmarkStart w:id="139" w:name="_Toc184312121"/>
      <w:bookmarkEnd w:id="139"/>
      <w:bookmarkStart w:id="140" w:name="_Toc184312107"/>
      <w:bookmarkEnd w:id="140"/>
      <w:bookmarkStart w:id="141" w:name="_Toc184312123"/>
      <w:bookmarkEnd w:id="141"/>
      <w:bookmarkStart w:id="142" w:name="_Toc184314466"/>
      <w:bookmarkEnd w:id="142"/>
      <w:bookmarkStart w:id="143" w:name="_Toc184314476"/>
      <w:bookmarkEnd w:id="143"/>
      <w:bookmarkStart w:id="144" w:name="_Toc184313298"/>
      <w:bookmarkEnd w:id="144"/>
      <w:bookmarkStart w:id="145" w:name="_Toc184308088"/>
      <w:bookmarkEnd w:id="145"/>
      <w:bookmarkStart w:id="146" w:name="_Toc184310325"/>
      <w:bookmarkEnd w:id="146"/>
      <w:bookmarkStart w:id="147" w:name="_Toc184312114"/>
      <w:bookmarkEnd w:id="147"/>
      <w:bookmarkStart w:id="148" w:name="_Toc184313248"/>
      <w:bookmarkEnd w:id="148"/>
      <w:bookmarkStart w:id="149" w:name="_Toc184312137"/>
      <w:bookmarkEnd w:id="149"/>
      <w:bookmarkStart w:id="150" w:name="_Toc184313241"/>
      <w:bookmarkEnd w:id="150"/>
      <w:bookmarkStart w:id="151" w:name="_Toc184308085"/>
      <w:bookmarkEnd w:id="151"/>
      <w:bookmarkStart w:id="152" w:name="_Toc184308093"/>
      <w:bookmarkEnd w:id="152"/>
      <w:bookmarkStart w:id="153" w:name="_Toc184308087"/>
      <w:bookmarkEnd w:id="153"/>
      <w:bookmarkStart w:id="154" w:name="_Toc184313250"/>
      <w:bookmarkEnd w:id="154"/>
      <w:bookmarkStart w:id="155" w:name="_Toc184308077"/>
      <w:bookmarkEnd w:id="155"/>
      <w:bookmarkStart w:id="156" w:name="_Toc184312105"/>
      <w:bookmarkEnd w:id="156"/>
      <w:bookmarkStart w:id="157" w:name="_Toc184314422"/>
      <w:bookmarkEnd w:id="157"/>
      <w:bookmarkStart w:id="158" w:name="_Toc184310313"/>
      <w:bookmarkEnd w:id="158"/>
      <w:bookmarkStart w:id="159" w:name="_Toc184314464"/>
      <w:bookmarkEnd w:id="159"/>
      <w:bookmarkStart w:id="160" w:name="_Toc184310327"/>
      <w:bookmarkEnd w:id="160"/>
      <w:bookmarkStart w:id="161" w:name="_Toc184314423"/>
      <w:bookmarkEnd w:id="161"/>
      <w:bookmarkStart w:id="162" w:name="_Toc184314480"/>
      <w:bookmarkEnd w:id="162"/>
      <w:bookmarkStart w:id="163" w:name="_Toc184314461"/>
      <w:bookmarkEnd w:id="163"/>
      <w:bookmarkStart w:id="164" w:name="_Toc184314479"/>
      <w:bookmarkEnd w:id="164"/>
      <w:bookmarkStart w:id="165" w:name="_Toc184313301"/>
      <w:bookmarkEnd w:id="165"/>
      <w:bookmarkStart w:id="166" w:name="_Toc184312093"/>
      <w:bookmarkEnd w:id="166"/>
      <w:bookmarkStart w:id="167" w:name="_Toc184314462"/>
      <w:bookmarkEnd w:id="167"/>
      <w:bookmarkStart w:id="168" w:name="_Toc184308063"/>
      <w:bookmarkEnd w:id="168"/>
      <w:bookmarkStart w:id="169" w:name="_Toc184312101"/>
      <w:bookmarkEnd w:id="169"/>
      <w:bookmarkStart w:id="170" w:name="_Toc184313258"/>
      <w:bookmarkEnd w:id="170"/>
      <w:bookmarkStart w:id="171" w:name="_Toc184313255"/>
      <w:bookmarkEnd w:id="171"/>
      <w:bookmarkStart w:id="172" w:name="_Toc184313240"/>
      <w:bookmarkEnd w:id="172"/>
      <w:bookmarkStart w:id="173" w:name="_Toc184314439"/>
      <w:bookmarkEnd w:id="173"/>
      <w:bookmarkStart w:id="174" w:name="_Toc184313268"/>
      <w:bookmarkEnd w:id="174"/>
      <w:bookmarkStart w:id="175" w:name="_Toc184310305"/>
      <w:bookmarkEnd w:id="175"/>
      <w:bookmarkStart w:id="176" w:name="_Toc184313283"/>
      <w:bookmarkEnd w:id="176"/>
      <w:bookmarkStart w:id="177" w:name="_Toc184308069"/>
      <w:bookmarkEnd w:id="177"/>
      <w:bookmarkStart w:id="178" w:name="_Toc184310300"/>
      <w:bookmarkEnd w:id="178"/>
      <w:bookmarkStart w:id="179" w:name="_Toc184308082"/>
      <w:bookmarkEnd w:id="179"/>
      <w:bookmarkStart w:id="180" w:name="_Toc184308078"/>
      <w:bookmarkEnd w:id="180"/>
      <w:bookmarkStart w:id="181" w:name="_Toc184313281"/>
      <w:bookmarkEnd w:id="181"/>
      <w:bookmarkStart w:id="182" w:name="_Toc184310308"/>
      <w:bookmarkEnd w:id="182"/>
      <w:bookmarkStart w:id="183" w:name="_Toc184313269"/>
      <w:bookmarkEnd w:id="183"/>
      <w:bookmarkStart w:id="184" w:name="_Toc184313271"/>
      <w:bookmarkEnd w:id="184"/>
      <w:bookmarkStart w:id="185" w:name="_Toc184310310"/>
      <w:bookmarkEnd w:id="185"/>
      <w:bookmarkStart w:id="186" w:name="_Toc184310293"/>
      <w:bookmarkEnd w:id="186"/>
      <w:bookmarkStart w:id="187" w:name="_Toc184314426"/>
      <w:bookmarkEnd w:id="187"/>
      <w:bookmarkStart w:id="188" w:name="_Toc184313257"/>
      <w:bookmarkEnd w:id="188"/>
      <w:bookmarkStart w:id="189" w:name="_Toc184313267"/>
      <w:bookmarkEnd w:id="189"/>
      <w:bookmarkStart w:id="190" w:name="_Toc184308047"/>
      <w:bookmarkEnd w:id="190"/>
      <w:bookmarkStart w:id="191" w:name="_Toc184310302"/>
      <w:bookmarkEnd w:id="191"/>
      <w:bookmarkStart w:id="192" w:name="_Toc184312100"/>
      <w:bookmarkEnd w:id="192"/>
      <w:bookmarkStart w:id="193" w:name="_Toc184308052"/>
      <w:bookmarkEnd w:id="193"/>
      <w:bookmarkStart w:id="194" w:name="_Toc184312103"/>
      <w:bookmarkEnd w:id="194"/>
      <w:bookmarkStart w:id="195" w:name="_Toc184310282"/>
      <w:bookmarkEnd w:id="195"/>
      <w:bookmarkStart w:id="196" w:name="_Toc184310301"/>
      <w:bookmarkEnd w:id="196"/>
      <w:bookmarkStart w:id="197" w:name="_Toc184314443"/>
      <w:bookmarkEnd w:id="197"/>
      <w:bookmarkStart w:id="198" w:name="_Toc184313273"/>
      <w:bookmarkEnd w:id="198"/>
      <w:bookmarkStart w:id="199" w:name="_Toc184314446"/>
      <w:bookmarkEnd w:id="199"/>
      <w:bookmarkStart w:id="200" w:name="_Toc184312124"/>
      <w:bookmarkEnd w:id="200"/>
      <w:bookmarkStart w:id="201" w:name="_Toc184313302"/>
      <w:bookmarkEnd w:id="201"/>
      <w:bookmarkStart w:id="202" w:name="_Toc184312126"/>
      <w:bookmarkEnd w:id="202"/>
      <w:bookmarkStart w:id="203" w:name="_Toc184313293"/>
      <w:bookmarkEnd w:id="203"/>
      <w:bookmarkStart w:id="204" w:name="_Toc184310309"/>
      <w:bookmarkEnd w:id="204"/>
      <w:bookmarkStart w:id="205" w:name="_Toc184313310"/>
      <w:bookmarkEnd w:id="205"/>
      <w:bookmarkStart w:id="206" w:name="_Toc184310328"/>
      <w:bookmarkEnd w:id="206"/>
      <w:bookmarkStart w:id="207" w:name="_Toc184314421"/>
      <w:bookmarkEnd w:id="207"/>
      <w:bookmarkStart w:id="208" w:name="_Toc184312138"/>
      <w:bookmarkEnd w:id="208"/>
      <w:bookmarkStart w:id="209" w:name="_Toc184313274"/>
      <w:bookmarkEnd w:id="209"/>
      <w:bookmarkStart w:id="210" w:name="_Toc184310286"/>
      <w:bookmarkEnd w:id="210"/>
      <w:bookmarkStart w:id="211" w:name="_Toc184312108"/>
      <w:bookmarkEnd w:id="211"/>
      <w:bookmarkStart w:id="212" w:name="_Toc184312071"/>
      <w:bookmarkEnd w:id="212"/>
      <w:bookmarkStart w:id="213" w:name="_Toc184314441"/>
      <w:bookmarkEnd w:id="213"/>
      <w:bookmarkStart w:id="214" w:name="_Toc184314451"/>
      <w:bookmarkEnd w:id="214"/>
      <w:bookmarkStart w:id="215" w:name="_Toc184310285"/>
      <w:bookmarkEnd w:id="215"/>
      <w:bookmarkStart w:id="216" w:name="_Toc184312099"/>
      <w:bookmarkEnd w:id="216"/>
      <w:bookmarkStart w:id="217" w:name="_Toc184313279"/>
      <w:bookmarkEnd w:id="217"/>
      <w:bookmarkStart w:id="218" w:name="_Toc184313252"/>
      <w:bookmarkEnd w:id="218"/>
      <w:bookmarkStart w:id="219" w:name="_Toc184312080"/>
      <w:bookmarkEnd w:id="219"/>
      <w:bookmarkStart w:id="220" w:name="_Toc184314465"/>
      <w:bookmarkEnd w:id="220"/>
      <w:bookmarkStart w:id="221" w:name="_Toc184313242"/>
      <w:bookmarkEnd w:id="221"/>
      <w:bookmarkStart w:id="222" w:name="_Toc184310324"/>
      <w:bookmarkEnd w:id="222"/>
      <w:bookmarkStart w:id="223" w:name="_Toc184314436"/>
      <w:bookmarkEnd w:id="223"/>
      <w:bookmarkStart w:id="224" w:name="_Toc184312118"/>
      <w:bookmarkEnd w:id="224"/>
      <w:bookmarkStart w:id="225" w:name="_Toc184312119"/>
      <w:bookmarkEnd w:id="225"/>
      <w:bookmarkStart w:id="226" w:name="_Toc184313289"/>
      <w:bookmarkEnd w:id="226"/>
      <w:bookmarkStart w:id="227" w:name="_Toc184308102"/>
      <w:bookmarkEnd w:id="227"/>
      <w:bookmarkStart w:id="228" w:name="_Toc184312136"/>
      <w:bookmarkEnd w:id="228"/>
      <w:bookmarkStart w:id="229" w:name="_Toc184314456"/>
      <w:bookmarkEnd w:id="229"/>
      <w:bookmarkStart w:id="230" w:name="_Toc184312113"/>
      <w:bookmarkEnd w:id="230"/>
      <w:bookmarkStart w:id="231" w:name="_Toc184314419"/>
      <w:bookmarkEnd w:id="231"/>
      <w:bookmarkStart w:id="232" w:name="_Toc184310311"/>
      <w:bookmarkEnd w:id="232"/>
      <w:bookmarkStart w:id="233" w:name="_Toc184313308"/>
      <w:bookmarkEnd w:id="233"/>
      <w:bookmarkStart w:id="234" w:name="_Toc184312081"/>
      <w:bookmarkEnd w:id="234"/>
      <w:bookmarkStart w:id="235" w:name="_Toc184314442"/>
      <w:bookmarkEnd w:id="235"/>
      <w:bookmarkStart w:id="236" w:name="_Toc184310337"/>
      <w:bookmarkEnd w:id="236"/>
      <w:bookmarkStart w:id="237" w:name="_Toc184312078"/>
      <w:bookmarkEnd w:id="237"/>
      <w:bookmarkStart w:id="238" w:name="_Toc184313249"/>
      <w:bookmarkEnd w:id="238"/>
      <w:bookmarkStart w:id="239" w:name="_Toc184308083"/>
      <w:bookmarkEnd w:id="239"/>
      <w:bookmarkStart w:id="240" w:name="_Toc184313239"/>
      <w:bookmarkEnd w:id="240"/>
      <w:bookmarkStart w:id="241" w:name="_Toc184313247"/>
      <w:bookmarkEnd w:id="241"/>
      <w:bookmarkStart w:id="242" w:name="_Toc184312083"/>
      <w:bookmarkEnd w:id="242"/>
      <w:bookmarkStart w:id="243" w:name="_Toc184308065"/>
      <w:bookmarkEnd w:id="243"/>
      <w:bookmarkStart w:id="244" w:name="_Toc184314475"/>
      <w:bookmarkEnd w:id="244"/>
      <w:bookmarkStart w:id="245" w:name="_Toc184310307"/>
      <w:bookmarkEnd w:id="245"/>
      <w:bookmarkStart w:id="246" w:name="_Toc184308072"/>
      <w:bookmarkEnd w:id="246"/>
      <w:bookmarkStart w:id="247" w:name="_Toc184308051"/>
      <w:bookmarkEnd w:id="247"/>
      <w:bookmarkStart w:id="248" w:name="_Toc184308107"/>
      <w:bookmarkEnd w:id="248"/>
      <w:bookmarkStart w:id="249" w:name="_Toc184312131"/>
      <w:bookmarkEnd w:id="249"/>
      <w:bookmarkStart w:id="250" w:name="_Toc184312104"/>
      <w:bookmarkEnd w:id="250"/>
      <w:bookmarkStart w:id="251" w:name="_Toc184314482"/>
      <w:bookmarkEnd w:id="251"/>
      <w:bookmarkStart w:id="252" w:name="_Toc184310319"/>
      <w:bookmarkEnd w:id="252"/>
      <w:bookmarkStart w:id="253" w:name="_Toc184314410"/>
      <w:bookmarkEnd w:id="253"/>
      <w:bookmarkStart w:id="254" w:name="_Toc184314460"/>
      <w:bookmarkEnd w:id="254"/>
      <w:bookmarkStart w:id="255" w:name="_Toc184312068"/>
      <w:bookmarkEnd w:id="255"/>
      <w:bookmarkStart w:id="256" w:name="_Toc184310273"/>
      <w:bookmarkEnd w:id="256"/>
      <w:bookmarkStart w:id="257" w:name="_Toc184314434"/>
      <w:bookmarkEnd w:id="257"/>
      <w:bookmarkStart w:id="258" w:name="_Toc184308058"/>
      <w:bookmarkEnd w:id="258"/>
      <w:bookmarkStart w:id="259" w:name="_Toc184308055"/>
      <w:bookmarkEnd w:id="259"/>
      <w:bookmarkStart w:id="260" w:name="_Toc184312097"/>
      <w:bookmarkEnd w:id="260"/>
      <w:bookmarkStart w:id="261" w:name="_Toc184313266"/>
      <w:bookmarkEnd w:id="261"/>
      <w:bookmarkStart w:id="262" w:name="_Toc184312087"/>
      <w:bookmarkEnd w:id="262"/>
      <w:bookmarkStart w:id="263" w:name="_Toc184310323"/>
      <w:bookmarkEnd w:id="263"/>
      <w:bookmarkStart w:id="264" w:name="_Toc184308086"/>
      <w:bookmarkEnd w:id="264"/>
      <w:bookmarkStart w:id="265" w:name="_Toc184314453"/>
      <w:bookmarkEnd w:id="265"/>
      <w:bookmarkStart w:id="266" w:name="_Toc184313295"/>
      <w:bookmarkEnd w:id="266"/>
      <w:bookmarkStart w:id="267" w:name="_Toc184308048"/>
      <w:bookmarkEnd w:id="267"/>
      <w:bookmarkStart w:id="268" w:name="_Toc184312139"/>
      <w:bookmarkEnd w:id="268"/>
      <w:bookmarkStart w:id="269" w:name="_Toc184313272"/>
      <w:bookmarkEnd w:id="269"/>
      <w:bookmarkStart w:id="270" w:name="_Toc184308079"/>
      <w:bookmarkEnd w:id="270"/>
      <w:bookmarkStart w:id="271" w:name="_Toc184310284"/>
      <w:bookmarkEnd w:id="271"/>
      <w:bookmarkStart w:id="272" w:name="_Toc184314440"/>
      <w:bookmarkEnd w:id="272"/>
      <w:bookmarkStart w:id="273" w:name="_Toc184312079"/>
      <w:bookmarkEnd w:id="273"/>
      <w:bookmarkStart w:id="274" w:name="_Toc184312102"/>
      <w:bookmarkEnd w:id="274"/>
      <w:bookmarkStart w:id="275" w:name="_Toc184310343"/>
      <w:bookmarkEnd w:id="275"/>
      <w:bookmarkStart w:id="276" w:name="_Toc184314444"/>
      <w:bookmarkEnd w:id="276"/>
      <w:bookmarkStart w:id="277" w:name="_Toc184312096"/>
      <w:bookmarkEnd w:id="277"/>
      <w:bookmarkStart w:id="278" w:name="_Toc184308071"/>
      <w:bookmarkEnd w:id="278"/>
      <w:bookmarkStart w:id="279" w:name="_Toc184314420"/>
      <w:bookmarkEnd w:id="279"/>
      <w:bookmarkStart w:id="280" w:name="_Toc184310303"/>
      <w:bookmarkEnd w:id="280"/>
      <w:bookmarkStart w:id="281" w:name="_Toc184308108"/>
      <w:bookmarkEnd w:id="281"/>
      <w:bookmarkStart w:id="282" w:name="_Toc184313291"/>
      <w:bookmarkEnd w:id="282"/>
      <w:bookmarkStart w:id="283" w:name="_Toc184308100"/>
      <w:bookmarkEnd w:id="283"/>
      <w:bookmarkStart w:id="284" w:name="_Toc184313264"/>
      <w:bookmarkEnd w:id="284"/>
      <w:bookmarkStart w:id="285" w:name="_Toc184314445"/>
      <w:bookmarkEnd w:id="285"/>
      <w:bookmarkStart w:id="286" w:name="_Toc184313238"/>
      <w:bookmarkEnd w:id="286"/>
      <w:bookmarkStart w:id="287" w:name="_Toc184308070"/>
      <w:bookmarkEnd w:id="287"/>
      <w:bookmarkStart w:id="288" w:name="_Toc184310283"/>
      <w:bookmarkEnd w:id="288"/>
      <w:bookmarkStart w:id="289" w:name="_Toc184313270"/>
      <w:bookmarkEnd w:id="289"/>
      <w:bookmarkStart w:id="290" w:name="_Toc184308084"/>
      <w:bookmarkEnd w:id="290"/>
      <w:bookmarkStart w:id="291" w:name="_Toc184310306"/>
      <w:bookmarkEnd w:id="291"/>
      <w:bookmarkStart w:id="292" w:name="_Toc184314411"/>
      <w:bookmarkEnd w:id="292"/>
      <w:bookmarkStart w:id="293" w:name="_Toc184312073"/>
      <w:bookmarkEnd w:id="293"/>
      <w:bookmarkStart w:id="294" w:name="_Toc184313246"/>
      <w:bookmarkEnd w:id="294"/>
      <w:bookmarkStart w:id="295" w:name="_Toc184314418"/>
      <w:bookmarkEnd w:id="295"/>
      <w:bookmarkStart w:id="296" w:name="_Toc184310290"/>
      <w:bookmarkEnd w:id="296"/>
      <w:bookmarkStart w:id="297" w:name="_Toc184314474"/>
      <w:bookmarkEnd w:id="297"/>
      <w:bookmarkStart w:id="298" w:name="_Toc184308038"/>
      <w:bookmarkEnd w:id="298"/>
      <w:bookmarkStart w:id="299" w:name="_Toc184313260"/>
      <w:bookmarkEnd w:id="299"/>
      <w:bookmarkStart w:id="300" w:name="_Toc184308105"/>
      <w:bookmarkEnd w:id="300"/>
      <w:bookmarkStart w:id="301" w:name="_Toc184308043"/>
      <w:bookmarkEnd w:id="301"/>
      <w:bookmarkStart w:id="302" w:name="_Toc184308104"/>
      <w:bookmarkEnd w:id="302"/>
      <w:bookmarkStart w:id="303" w:name="_Toc184310274"/>
      <w:bookmarkEnd w:id="303"/>
      <w:bookmarkStart w:id="304" w:name="_Toc184310335"/>
      <w:bookmarkEnd w:id="304"/>
      <w:bookmarkStart w:id="305" w:name="_Toc184314417"/>
      <w:bookmarkEnd w:id="305"/>
      <w:bookmarkStart w:id="306" w:name="_Toc184310342"/>
      <w:bookmarkEnd w:id="306"/>
      <w:bookmarkStart w:id="307" w:name="_Toc184310279"/>
      <w:bookmarkEnd w:id="307"/>
      <w:bookmarkStart w:id="308" w:name="_Toc184313244"/>
      <w:bookmarkEnd w:id="308"/>
      <w:bookmarkStart w:id="309" w:name="_Toc184314416"/>
      <w:bookmarkEnd w:id="309"/>
      <w:bookmarkStart w:id="310" w:name="_Toc184310312"/>
      <w:bookmarkEnd w:id="310"/>
      <w:bookmarkStart w:id="311" w:name="_Toc184310316"/>
      <w:bookmarkEnd w:id="311"/>
      <w:bookmarkStart w:id="312" w:name="_Toc184308044"/>
      <w:bookmarkEnd w:id="312"/>
      <w:bookmarkStart w:id="313" w:name="_Toc184312076"/>
      <w:bookmarkEnd w:id="313"/>
      <w:bookmarkStart w:id="314" w:name="_Toc184310272"/>
      <w:bookmarkEnd w:id="314"/>
      <w:bookmarkStart w:id="315" w:name="_Toc184314415"/>
      <w:bookmarkEnd w:id="315"/>
      <w:bookmarkStart w:id="316" w:name="_Toc184308041"/>
      <w:bookmarkEnd w:id="316"/>
      <w:bookmarkStart w:id="317" w:name="_Toc184308040"/>
      <w:bookmarkEnd w:id="317"/>
      <w:bookmarkStart w:id="318" w:name="_Toc184312088"/>
      <w:bookmarkEnd w:id="318"/>
      <w:bookmarkStart w:id="319" w:name="_Toc184314473"/>
      <w:bookmarkEnd w:id="319"/>
      <w:bookmarkStart w:id="320" w:name="_Toc184310291"/>
      <w:bookmarkEnd w:id="320"/>
      <w:bookmarkStart w:id="321" w:name="_Toc184308057"/>
      <w:bookmarkEnd w:id="321"/>
      <w:bookmarkStart w:id="322" w:name="_Toc184310341"/>
      <w:bookmarkEnd w:id="322"/>
      <w:bookmarkStart w:id="323" w:name="_Toc184312095"/>
      <w:bookmarkEnd w:id="323"/>
      <w:bookmarkStart w:id="324" w:name="_Toc184313259"/>
      <w:bookmarkEnd w:id="324"/>
      <w:bookmarkStart w:id="325" w:name="_Toc184310315"/>
      <w:bookmarkEnd w:id="325"/>
      <w:bookmarkStart w:id="326" w:name="_Toc184313254"/>
      <w:bookmarkEnd w:id="326"/>
      <w:bookmarkStart w:id="327" w:name="_Toc184312084"/>
      <w:bookmarkEnd w:id="327"/>
      <w:bookmarkStart w:id="328" w:name="_Toc184312106"/>
      <w:bookmarkEnd w:id="328"/>
      <w:bookmarkStart w:id="329" w:name="_Toc184314447"/>
      <w:bookmarkEnd w:id="329"/>
      <w:bookmarkStart w:id="330" w:name="_Toc184308074"/>
      <w:bookmarkEnd w:id="330"/>
      <w:bookmarkStart w:id="331" w:name="_Toc184312098"/>
      <w:bookmarkEnd w:id="331"/>
      <w:bookmarkStart w:id="332" w:name="_Toc184314432"/>
      <w:bookmarkEnd w:id="332"/>
      <w:bookmarkStart w:id="333" w:name="_Toc184308064"/>
      <w:bookmarkEnd w:id="333"/>
      <w:bookmarkStart w:id="334" w:name="_Toc184308096"/>
      <w:bookmarkEnd w:id="334"/>
      <w:bookmarkStart w:id="335" w:name="_Toc184308050"/>
      <w:bookmarkEnd w:id="335"/>
      <w:bookmarkStart w:id="336" w:name="_Toc184313309"/>
      <w:bookmarkEnd w:id="336"/>
      <w:bookmarkStart w:id="337" w:name="_Toc184308045"/>
      <w:bookmarkEnd w:id="337"/>
      <w:bookmarkStart w:id="338" w:name="_Toc184313284"/>
      <w:bookmarkEnd w:id="338"/>
      <w:bookmarkStart w:id="339" w:name="_Toc184312110"/>
      <w:bookmarkEnd w:id="339"/>
      <w:bookmarkStart w:id="340" w:name="_Toc184312089"/>
      <w:bookmarkEnd w:id="340"/>
      <w:bookmarkStart w:id="341" w:name="_Toc184313265"/>
      <w:bookmarkEnd w:id="341"/>
      <w:bookmarkStart w:id="342" w:name="_Toc184312125"/>
      <w:bookmarkEnd w:id="342"/>
      <w:bookmarkStart w:id="343" w:name="_Toc184310320"/>
      <w:bookmarkEnd w:id="343"/>
      <w:bookmarkStart w:id="344" w:name="_Toc184313243"/>
      <w:bookmarkEnd w:id="344"/>
      <w:bookmarkStart w:id="345" w:name="_Toc184313278"/>
      <w:bookmarkEnd w:id="345"/>
      <w:bookmarkStart w:id="346" w:name="_Toc184314435"/>
      <w:bookmarkEnd w:id="346"/>
      <w:bookmarkStart w:id="347" w:name="_Toc184310294"/>
      <w:bookmarkEnd w:id="347"/>
      <w:bookmarkStart w:id="348" w:name="_Toc184314437"/>
      <w:bookmarkEnd w:id="348"/>
      <w:bookmarkStart w:id="349" w:name="_Toc184308073"/>
      <w:bookmarkEnd w:id="349"/>
      <w:bookmarkStart w:id="350" w:name="_Toc184308066"/>
      <w:bookmarkEnd w:id="350"/>
      <w:bookmarkStart w:id="351" w:name="_Toc184313256"/>
      <w:bookmarkEnd w:id="351"/>
      <w:bookmarkStart w:id="352" w:name="_Toc184310314"/>
      <w:bookmarkEnd w:id="352"/>
      <w:bookmarkStart w:id="353" w:name="_Toc184314438"/>
      <w:bookmarkEnd w:id="353"/>
      <w:bookmarkStart w:id="354" w:name="_Toc184314431"/>
      <w:bookmarkEnd w:id="354"/>
      <w:bookmarkStart w:id="355" w:name="_Toc184308067"/>
      <w:bookmarkEnd w:id="355"/>
      <w:bookmarkStart w:id="356" w:name="_Toc184308061"/>
      <w:bookmarkEnd w:id="356"/>
      <w:bookmarkStart w:id="357" w:name="_Toc184312070"/>
      <w:bookmarkEnd w:id="357"/>
      <w:bookmarkStart w:id="358" w:name="_Toc184312135"/>
      <w:bookmarkEnd w:id="358"/>
      <w:bookmarkStart w:id="359" w:name="_Toc184314455"/>
      <w:bookmarkEnd w:id="359"/>
      <w:bookmarkStart w:id="360" w:name="_Toc184312117"/>
      <w:bookmarkEnd w:id="360"/>
      <w:bookmarkStart w:id="361" w:name="_Toc184312094"/>
      <w:bookmarkEnd w:id="361"/>
      <w:bookmarkStart w:id="362" w:name="_Toc184313303"/>
      <w:bookmarkEnd w:id="362"/>
      <w:bookmarkStart w:id="363" w:name="_Toc184312115"/>
      <w:bookmarkEnd w:id="363"/>
      <w:bookmarkStart w:id="364" w:name="_Toc184310317"/>
      <w:bookmarkEnd w:id="364"/>
      <w:bookmarkStart w:id="365" w:name="_Toc184310336"/>
      <w:bookmarkEnd w:id="365"/>
      <w:bookmarkStart w:id="366" w:name="_Toc184310281"/>
      <w:bookmarkEnd w:id="366"/>
      <w:bookmarkStart w:id="367" w:name="_Toc184308053"/>
      <w:bookmarkEnd w:id="367"/>
      <w:bookmarkStart w:id="368" w:name="_Toc184314430"/>
      <w:bookmarkEnd w:id="368"/>
      <w:bookmarkStart w:id="369" w:name="_Toc184310322"/>
      <w:bookmarkEnd w:id="369"/>
      <w:bookmarkStart w:id="370" w:name="_Toc184313251"/>
      <w:bookmarkEnd w:id="370"/>
      <w:bookmarkStart w:id="371" w:name="_Toc184310292"/>
      <w:bookmarkEnd w:id="371"/>
      <w:bookmarkStart w:id="372" w:name="_Toc184314454"/>
      <w:bookmarkEnd w:id="372"/>
      <w:bookmarkStart w:id="373" w:name="_Toc184313307"/>
      <w:bookmarkEnd w:id="373"/>
      <w:bookmarkStart w:id="374" w:name="_Toc184314458"/>
      <w:bookmarkEnd w:id="374"/>
      <w:bookmarkStart w:id="375" w:name="_Toc184308101"/>
      <w:bookmarkEnd w:id="375"/>
      <w:bookmarkStart w:id="376" w:name="_Toc184310298"/>
      <w:bookmarkEnd w:id="376"/>
      <w:bookmarkStart w:id="377" w:name="_Toc184308081"/>
      <w:bookmarkEnd w:id="377"/>
      <w:bookmarkStart w:id="378" w:name="_Toc184310288"/>
      <w:bookmarkEnd w:id="378"/>
      <w:bookmarkStart w:id="379" w:name="_Toc184313292"/>
      <w:bookmarkEnd w:id="379"/>
      <w:bookmarkStart w:id="380" w:name="_Toc184308056"/>
      <w:bookmarkEnd w:id="380"/>
      <w:bookmarkStart w:id="381" w:name="_Toc184312086"/>
      <w:bookmarkEnd w:id="381"/>
      <w:bookmarkStart w:id="382" w:name="_Toc184313287"/>
      <w:bookmarkEnd w:id="382"/>
      <w:bookmarkStart w:id="383" w:name="_Toc184313275"/>
      <w:bookmarkEnd w:id="383"/>
      <w:bookmarkStart w:id="384" w:name="_Toc184310275"/>
      <w:bookmarkEnd w:id="384"/>
      <w:bookmarkStart w:id="385" w:name="_Toc184308054"/>
      <w:bookmarkEnd w:id="385"/>
      <w:bookmarkStart w:id="386" w:name="_Toc184314459"/>
      <w:bookmarkEnd w:id="386"/>
      <w:bookmarkStart w:id="387" w:name="_Toc184313263"/>
      <w:bookmarkEnd w:id="387"/>
      <w:bookmarkStart w:id="388" w:name="_Toc184312112"/>
      <w:bookmarkEnd w:id="388"/>
      <w:bookmarkStart w:id="389" w:name="_Toc184312116"/>
      <w:bookmarkEnd w:id="389"/>
      <w:bookmarkStart w:id="390" w:name="_Toc184308049"/>
      <w:bookmarkEnd w:id="390"/>
      <w:bookmarkStart w:id="391" w:name="_Toc184314413"/>
      <w:bookmarkEnd w:id="391"/>
      <w:r>
        <w:rPr>
          <w:rFonts w:hint="eastAsia" w:ascii="仿宋" w:hAnsi="仿宋" w:eastAsia="仿宋" w:cs="仿宋_GB2312"/>
          <w:b/>
          <w:sz w:val="36"/>
          <w:szCs w:val="36"/>
        </w:rPr>
        <w:t>评标办法</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500" w:lineRule="exact"/>
        <w:ind w:firstLine="482" w:firstLineChars="200"/>
        <w:rPr>
          <w:rFonts w:ascii="仿宋_GB2312" w:hAnsi="仿宋" w:eastAsia="仿宋_GB2312" w:cs="Arial"/>
          <w:kern w:val="0"/>
          <w:sz w:val="24"/>
        </w:rPr>
      </w:pPr>
      <w:r>
        <w:rPr>
          <w:rFonts w:hint="eastAsia" w:ascii="仿宋_GB2312" w:hAnsi="仿宋" w:eastAsia="仿宋_GB2312" w:cs="Arial"/>
          <w:b/>
          <w:kern w:val="0"/>
          <w:sz w:val="24"/>
        </w:rPr>
        <w:t>1.</w:t>
      </w:r>
      <w:r>
        <w:rPr>
          <w:rFonts w:hint="eastAsia" w:ascii="仿宋_GB2312" w:hAnsi="仿宋" w:eastAsia="仿宋_GB2312" w:cs="Arial"/>
          <w:kern w:val="0"/>
          <w:sz w:val="24"/>
        </w:rPr>
        <w:t>合格投标人的评标得分为各项目汇总得分，中标候选资格按评标得分由高到低顺序排列，得分相同的，按投标报价由低到高顺序排列；得分且投标报价相同的，按技术指标由高到低顺序排列。排名第一的的投标人为中标候选人。评分过程中采用四舍五入法，并保留小数2位。</w:t>
      </w:r>
    </w:p>
    <w:p>
      <w:pPr>
        <w:spacing w:line="500" w:lineRule="exact"/>
        <w:ind w:firstLine="482" w:firstLineChars="200"/>
        <w:rPr>
          <w:rFonts w:ascii="仿宋_GB2312" w:hAnsi="仿宋" w:eastAsia="仿宋_GB2312" w:cs="Arial"/>
          <w:kern w:val="0"/>
          <w:sz w:val="24"/>
        </w:rPr>
      </w:pPr>
      <w:r>
        <w:rPr>
          <w:rFonts w:hint="eastAsia" w:ascii="仿宋_GB2312" w:hAnsi="仿宋" w:eastAsia="仿宋_GB2312" w:cs="Arial"/>
          <w:b/>
          <w:kern w:val="0"/>
          <w:sz w:val="24"/>
        </w:rPr>
        <w:t>2.</w:t>
      </w:r>
      <w:r>
        <w:rPr>
          <w:rFonts w:hint="eastAsia" w:ascii="仿宋_GB2312" w:hAnsi="仿宋" w:eastAsia="仿宋_GB2312" w:cs="Arial"/>
          <w:kern w:val="0"/>
          <w:sz w:val="24"/>
        </w:rPr>
        <w:t>评分办法</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（1）满分为100分。总得分=技术、商务得分+报价得分；</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（2）技术、商务得分=技术、商务评分，技术、商务评分=各评委的有效评分的算术平均数；</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（3）报价得分=（</w:t>
      </w:r>
      <w:r>
        <w:rPr>
          <w:rFonts w:hint="eastAsia" w:ascii="仿宋_GB2312" w:hAnsi="仿宋" w:eastAsia="仿宋_GB2312" w:cs="Arial"/>
          <w:kern w:val="0"/>
          <w:sz w:val="24"/>
          <w:lang w:eastAsia="zh-CN"/>
        </w:rPr>
        <w:t>评标基准折扣率</w:t>
      </w:r>
      <w:r>
        <w:rPr>
          <w:rFonts w:hint="eastAsia" w:ascii="仿宋_GB2312" w:hAnsi="仿宋" w:eastAsia="仿宋_GB2312" w:cs="Arial"/>
          <w:kern w:val="0"/>
          <w:sz w:val="24"/>
        </w:rPr>
        <w:t>/投标</w:t>
      </w:r>
      <w:r>
        <w:rPr>
          <w:rFonts w:hint="eastAsia" w:ascii="仿宋_GB2312" w:hAnsi="仿宋" w:eastAsia="仿宋_GB2312" w:cs="Arial"/>
          <w:kern w:val="0"/>
          <w:sz w:val="24"/>
          <w:lang w:eastAsia="zh-CN"/>
        </w:rPr>
        <w:t>折扣率</w:t>
      </w:r>
      <w:r>
        <w:rPr>
          <w:rFonts w:hint="eastAsia" w:ascii="仿宋_GB2312" w:hAnsi="仿宋" w:eastAsia="仿宋_GB2312" w:cs="Arial"/>
          <w:kern w:val="0"/>
          <w:sz w:val="24"/>
        </w:rPr>
        <w:t>）*价格权值*100，评标基准</w:t>
      </w:r>
      <w:r>
        <w:rPr>
          <w:rFonts w:hint="eastAsia" w:ascii="仿宋_GB2312" w:hAnsi="仿宋" w:eastAsia="仿宋_GB2312" w:cs="Arial"/>
          <w:kern w:val="0"/>
          <w:sz w:val="24"/>
          <w:lang w:eastAsia="zh-CN"/>
        </w:rPr>
        <w:t>折扣率</w:t>
      </w:r>
      <w:r>
        <w:rPr>
          <w:rFonts w:hint="eastAsia" w:ascii="仿宋_GB2312" w:hAnsi="仿宋" w:eastAsia="仿宋_GB2312" w:cs="Arial"/>
          <w:kern w:val="0"/>
          <w:sz w:val="24"/>
        </w:rPr>
        <w:t>=有效投标人的最低投标</w:t>
      </w:r>
      <w:r>
        <w:rPr>
          <w:rFonts w:hint="eastAsia" w:ascii="仿宋_GB2312" w:hAnsi="仿宋" w:eastAsia="仿宋_GB2312" w:cs="Arial"/>
          <w:kern w:val="0"/>
          <w:sz w:val="24"/>
          <w:lang w:eastAsia="zh-CN"/>
        </w:rPr>
        <w:t>折扣率</w:t>
      </w:r>
      <w:r>
        <w:rPr>
          <w:rFonts w:hint="eastAsia" w:ascii="仿宋_GB2312" w:hAnsi="仿宋" w:eastAsia="仿宋_GB2312" w:cs="Arial"/>
          <w:kern w:val="0"/>
          <w:sz w:val="24"/>
        </w:rPr>
        <w:t>，价格权值=</w:t>
      </w:r>
      <w:r>
        <w:rPr>
          <w:rFonts w:ascii="仿宋_GB2312" w:hAnsi="仿宋" w:eastAsia="仿宋_GB2312" w:cs="Arial"/>
          <w:kern w:val="0"/>
          <w:sz w:val="24"/>
        </w:rPr>
        <w:t>4</w:t>
      </w:r>
      <w:r>
        <w:rPr>
          <w:rFonts w:hint="eastAsia" w:ascii="仿宋_GB2312" w:hAnsi="仿宋" w:eastAsia="仿宋_GB2312" w:cs="Arial"/>
          <w:kern w:val="0"/>
          <w:sz w:val="24"/>
        </w:rPr>
        <w:t>0%；</w:t>
      </w:r>
    </w:p>
    <w:p>
      <w:pPr>
        <w:snapToGrid w:val="0"/>
        <w:spacing w:line="360" w:lineRule="auto"/>
        <w:ind w:firstLine="484"/>
        <w:rPr>
          <w:rFonts w:ascii="仿宋_GB2312" w:hAnsi="仿宋" w:eastAsia="仿宋_GB2312" w:cs="Arial"/>
          <w:kern w:val="0"/>
          <w:sz w:val="24"/>
        </w:rPr>
      </w:pPr>
      <w:r>
        <w:rPr>
          <w:rFonts w:hint="eastAsia" w:ascii="仿宋_GB2312" w:hAnsi="仿宋" w:eastAsia="仿宋_GB2312" w:cs="Arial"/>
          <w:kern w:val="0"/>
          <w:sz w:val="24"/>
        </w:rPr>
        <w:t>（4）技术、商务分评分细则（</w:t>
      </w:r>
      <w:r>
        <w:rPr>
          <w:rFonts w:ascii="仿宋_GB2312" w:hAnsi="仿宋" w:eastAsia="仿宋_GB2312" w:cs="Arial"/>
          <w:kern w:val="0"/>
          <w:sz w:val="24"/>
        </w:rPr>
        <w:t>6</w:t>
      </w:r>
      <w:r>
        <w:rPr>
          <w:rFonts w:hint="eastAsia" w:ascii="仿宋_GB2312" w:hAnsi="仿宋" w:eastAsia="仿宋_GB2312" w:cs="Arial"/>
          <w:kern w:val="0"/>
          <w:sz w:val="24"/>
        </w:rPr>
        <w:t>0分）：</w:t>
      </w:r>
    </w:p>
    <w:tbl>
      <w:tblPr>
        <w:tblStyle w:val="62"/>
        <w:tblW w:w="9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324"/>
        <w:gridCol w:w="1936"/>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19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color w:val="000000"/>
                <w:szCs w:val="21"/>
              </w:rPr>
            </w:pPr>
            <w:r>
              <w:rPr>
                <w:rFonts w:hint="eastAsia" w:ascii="宋体" w:hAnsi="宋体" w:cs="宋体"/>
                <w:color w:val="000000"/>
                <w:szCs w:val="21"/>
              </w:rPr>
              <w:t>资质保障（10分）</w:t>
            </w:r>
          </w:p>
          <w:p>
            <w:pPr>
              <w:autoSpaceDE w:val="0"/>
              <w:autoSpaceDN w:val="0"/>
              <w:spacing w:line="300" w:lineRule="exact"/>
              <w:ind w:firstLine="420" w:firstLineChars="200"/>
              <w:rPr>
                <w:rFonts w:ascii="宋体" w:hAnsi="宋体" w:cs="宋体"/>
                <w:color w:val="000000"/>
                <w:szCs w:val="21"/>
              </w:rPr>
            </w:pPr>
          </w:p>
        </w:tc>
        <w:tc>
          <w:tcPr>
            <w:tcW w:w="326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rPr>
                <w:rFonts w:ascii="宋体" w:hAnsi="宋体" w:cs="宋体"/>
                <w:color w:val="000000"/>
                <w:szCs w:val="21"/>
              </w:rPr>
            </w:pPr>
            <w:r>
              <w:rPr>
                <w:rFonts w:hint="eastAsia" w:ascii="宋体" w:hAnsi="宋体"/>
                <w:color w:val="000000"/>
                <w:szCs w:val="21"/>
              </w:rPr>
              <w:t>检验所</w:t>
            </w:r>
            <w:r>
              <w:rPr>
                <w:rFonts w:hint="eastAsia" w:ascii="宋体" w:hAnsi="宋体" w:cs="宋体"/>
                <w:color w:val="000000"/>
                <w:szCs w:val="21"/>
              </w:rPr>
              <w:t>认证相关资质提供（10分）</w:t>
            </w:r>
          </w:p>
        </w:tc>
        <w:tc>
          <w:tcPr>
            <w:tcW w:w="43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color w:val="000000"/>
                <w:szCs w:val="21"/>
              </w:rPr>
            </w:pPr>
            <w:r>
              <w:rPr>
                <w:rFonts w:hint="eastAsia" w:ascii="宋体" w:hAnsi="宋体" w:cs="宋体"/>
                <w:color w:val="000000"/>
                <w:szCs w:val="21"/>
              </w:rPr>
              <w:t>提供</w:t>
            </w:r>
            <w:r>
              <w:rPr>
                <w:rFonts w:hint="eastAsia" w:ascii="宋体" w:hAnsi="宋体"/>
                <w:color w:val="000000"/>
                <w:szCs w:val="21"/>
              </w:rPr>
              <w:t>检验所</w:t>
            </w:r>
            <w:r>
              <w:rPr>
                <w:rFonts w:hint="eastAsia" w:ascii="宋体" w:hAnsi="宋体" w:cs="宋体"/>
                <w:color w:val="000000"/>
                <w:szCs w:val="21"/>
              </w:rPr>
              <w:t>ISO 15189、PCR实验室合格证书(省级及以上</w:t>
            </w:r>
            <w:r>
              <w:rPr>
                <w:rFonts w:hint="eastAsia" w:ascii="宋体" w:hAnsi="宋体"/>
                <w:color w:val="000000"/>
                <w:szCs w:val="21"/>
              </w:rPr>
              <w:t>临床检验中心颁发</w:t>
            </w:r>
            <w:r>
              <w:rPr>
                <w:rFonts w:hint="eastAsia" w:ascii="宋体" w:hAnsi="宋体" w:cs="宋体"/>
                <w:color w:val="000000"/>
                <w:szCs w:val="21"/>
              </w:rPr>
              <w:t>)、检验检测机构资质认定证书(质量技术监督局颁发)。其中有ISO 15189认可证得5分，有PCR实验室合格证得2分，资质认定证书得3分。</w:t>
            </w:r>
          </w:p>
          <w:p>
            <w:pPr>
              <w:autoSpaceDE w:val="0"/>
              <w:autoSpaceDN w:val="0"/>
              <w:spacing w:line="300" w:lineRule="exact"/>
              <w:rPr>
                <w:rFonts w:ascii="宋体" w:hAnsi="宋体" w:cs="宋体"/>
                <w:color w:val="000000"/>
                <w:szCs w:val="21"/>
              </w:rPr>
            </w:pPr>
            <w:r>
              <w:rPr>
                <w:rFonts w:hint="eastAsia" w:ascii="宋体" w:hAnsi="宋体" w:cs="宋体"/>
                <w:color w:val="000000"/>
                <w:szCs w:val="21"/>
              </w:rPr>
              <w:t>投标时提供证书扫描件，不提供的不得分。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915" w:type="dxa"/>
            <w:vMerge w:val="restart"/>
            <w:tcBorders>
              <w:top w:val="single" w:color="auto" w:sz="4" w:space="0"/>
              <w:left w:val="single" w:color="auto" w:sz="4" w:space="0"/>
              <w:right w:val="single" w:color="auto" w:sz="4" w:space="0"/>
            </w:tcBorders>
            <w:vAlign w:val="center"/>
          </w:tcPr>
          <w:p>
            <w:pPr>
              <w:spacing w:line="300" w:lineRule="exact"/>
              <w:rPr>
                <w:rFonts w:ascii="宋体" w:hAnsi="宋体" w:cs="宋体"/>
                <w:color w:val="000000"/>
                <w:szCs w:val="21"/>
              </w:rPr>
            </w:pPr>
            <w:r>
              <w:rPr>
                <w:rFonts w:hint="eastAsia" w:ascii="宋体" w:hAnsi="宋体" w:cs="宋体"/>
                <w:color w:val="000000"/>
                <w:szCs w:val="21"/>
              </w:rPr>
              <w:t>质量保障</w:t>
            </w:r>
          </w:p>
          <w:p>
            <w:pPr>
              <w:spacing w:line="300" w:lineRule="exact"/>
              <w:rPr>
                <w:rFonts w:ascii="宋体" w:hAnsi="宋体" w:cs="宋体"/>
                <w:color w:val="000000"/>
                <w:szCs w:val="21"/>
              </w:rPr>
            </w:pPr>
            <w:r>
              <w:rPr>
                <w:rFonts w:hint="eastAsia" w:ascii="宋体" w:hAnsi="宋体" w:cs="宋体"/>
                <w:color w:val="000000"/>
                <w:szCs w:val="21"/>
              </w:rPr>
              <w:t>（46分）</w:t>
            </w:r>
          </w:p>
          <w:p>
            <w:pPr>
              <w:autoSpaceDE w:val="0"/>
              <w:autoSpaceDN w:val="0"/>
              <w:spacing w:line="300" w:lineRule="exact"/>
              <w:ind w:firstLine="420" w:firstLineChars="200"/>
              <w:rPr>
                <w:rFonts w:ascii="宋体" w:hAnsi="宋体" w:cs="宋体"/>
                <w:color w:val="000000"/>
                <w:szCs w:val="21"/>
              </w:rPr>
            </w:pPr>
          </w:p>
        </w:tc>
        <w:tc>
          <w:tcPr>
            <w:tcW w:w="326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rPr>
                <w:rFonts w:ascii="宋体" w:hAnsi="宋体" w:cs="宋体"/>
                <w:color w:val="000000"/>
                <w:szCs w:val="21"/>
              </w:rPr>
            </w:pPr>
            <w:r>
              <w:rPr>
                <w:rFonts w:hint="eastAsia" w:ascii="宋体" w:hAnsi="宋体" w:cs="宋体"/>
                <w:color w:val="000000"/>
                <w:szCs w:val="21"/>
              </w:rPr>
              <w:t>检验所质量管理体系（11分）</w:t>
            </w:r>
          </w:p>
        </w:tc>
        <w:tc>
          <w:tcPr>
            <w:tcW w:w="43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color w:val="000000"/>
                <w:szCs w:val="21"/>
              </w:rPr>
            </w:pPr>
            <w:r>
              <w:rPr>
                <w:rFonts w:hint="eastAsia" w:ascii="宋体" w:hAnsi="宋体" w:cs="宋体"/>
                <w:color w:val="000000"/>
                <w:szCs w:val="21"/>
              </w:rPr>
              <w:t>根据投标人提供的质量管理体系等相关材料评分。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5" w:type="dxa"/>
            <w:vMerge w:val="continue"/>
            <w:tcBorders>
              <w:left w:val="single" w:color="auto" w:sz="4" w:space="0"/>
              <w:right w:val="single" w:color="auto" w:sz="4" w:space="0"/>
            </w:tcBorders>
            <w:vAlign w:val="center"/>
          </w:tcPr>
          <w:p>
            <w:pPr>
              <w:spacing w:line="300" w:lineRule="exact"/>
              <w:rPr>
                <w:rFonts w:ascii="宋体" w:hAnsi="宋体" w:cs="宋体"/>
                <w:color w:val="000000"/>
                <w:szCs w:val="21"/>
              </w:rPr>
            </w:pPr>
          </w:p>
        </w:tc>
        <w:tc>
          <w:tcPr>
            <w:tcW w:w="132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color w:val="000000"/>
                <w:szCs w:val="21"/>
              </w:rPr>
            </w:pPr>
            <w:r>
              <w:rPr>
                <w:rFonts w:hint="eastAsia" w:ascii="宋体" w:hAnsi="宋体" w:cs="宋体"/>
                <w:color w:val="000000"/>
                <w:szCs w:val="21"/>
              </w:rPr>
              <w:t>检测能力，主要指项目开展的齐全性</w:t>
            </w:r>
          </w:p>
          <w:p>
            <w:pPr>
              <w:autoSpaceDE w:val="0"/>
              <w:autoSpaceDN w:val="0"/>
              <w:spacing w:line="300" w:lineRule="exact"/>
              <w:rPr>
                <w:rFonts w:ascii="宋体" w:hAnsi="宋体" w:cs="宋体"/>
                <w:color w:val="000000"/>
                <w:szCs w:val="21"/>
              </w:rPr>
            </w:pPr>
            <w:r>
              <w:rPr>
                <w:rFonts w:hint="eastAsia" w:ascii="宋体" w:hAnsi="宋体" w:cs="宋体"/>
                <w:color w:val="000000"/>
                <w:szCs w:val="21"/>
              </w:rPr>
              <w:t>（11分）</w:t>
            </w:r>
          </w:p>
        </w:tc>
        <w:tc>
          <w:tcPr>
            <w:tcW w:w="1936" w:type="dxa"/>
            <w:tcBorders>
              <w:top w:val="single" w:color="auto" w:sz="4" w:space="0"/>
              <w:left w:val="single" w:color="auto" w:sz="4" w:space="0"/>
              <w:bottom w:val="single" w:color="auto" w:sz="4" w:space="0"/>
              <w:right w:val="single" w:color="auto" w:sz="4" w:space="0"/>
            </w:tcBorders>
            <w:vAlign w:val="center"/>
          </w:tcPr>
          <w:p>
            <w:pPr>
              <w:pStyle w:val="36"/>
              <w:spacing w:line="300" w:lineRule="exact"/>
              <w:ind w:firstLine="0"/>
              <w:rPr>
                <w:rFonts w:hAnsi="宋体" w:cs="宋体"/>
                <w:color w:val="000000"/>
                <w:sz w:val="21"/>
                <w:szCs w:val="21"/>
                <w:lang w:bidi="en-US"/>
              </w:rPr>
            </w:pPr>
            <w:r>
              <w:rPr>
                <w:rFonts w:hint="eastAsia" w:hAnsi="宋体" w:cs="宋体"/>
                <w:color w:val="000000"/>
                <w:sz w:val="21"/>
                <w:szCs w:val="21"/>
                <w:lang w:bidi="en-US"/>
              </w:rPr>
              <w:t>根据检验所对招标文件中开展的检测项目清单所提供的检测仪器设备、试剂、检测方法学等等情况评分。</w:t>
            </w:r>
          </w:p>
        </w:tc>
        <w:tc>
          <w:tcPr>
            <w:tcW w:w="439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rPr>
                <w:rFonts w:ascii="宋体" w:hAnsi="宋体" w:cs="宋体"/>
                <w:color w:val="000000"/>
                <w:szCs w:val="21"/>
              </w:rPr>
            </w:pPr>
            <w:r>
              <w:rPr>
                <w:rFonts w:hint="eastAsia" w:ascii="宋体" w:hAnsi="宋体" w:cs="宋体"/>
                <w:color w:val="000000"/>
                <w:szCs w:val="21"/>
              </w:rPr>
              <w:t>能全部满足招标文件中内容的得11分，缺失一项扣1分，扣完为止。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5" w:type="dxa"/>
            <w:vMerge w:val="continue"/>
            <w:tcBorders>
              <w:left w:val="single" w:color="auto" w:sz="4" w:space="0"/>
              <w:right w:val="single" w:color="auto" w:sz="4" w:space="0"/>
            </w:tcBorders>
            <w:vAlign w:val="center"/>
          </w:tcPr>
          <w:p>
            <w:pPr>
              <w:spacing w:line="300" w:lineRule="exact"/>
              <w:rPr>
                <w:rFonts w:ascii="宋体" w:hAnsi="宋体" w:cs="宋体"/>
                <w:color w:val="000000"/>
                <w:szCs w:val="21"/>
              </w:rPr>
            </w:pPr>
          </w:p>
        </w:tc>
        <w:tc>
          <w:tcPr>
            <w:tcW w:w="132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rPr>
                <w:rFonts w:ascii="宋体" w:hAnsi="宋体" w:cs="宋体"/>
                <w:color w:val="000000"/>
                <w:szCs w:val="21"/>
              </w:rPr>
            </w:pPr>
            <w:r>
              <w:rPr>
                <w:rFonts w:hint="eastAsia" w:ascii="宋体" w:hAnsi="宋体" w:cs="宋体"/>
                <w:color w:val="000000"/>
                <w:szCs w:val="21"/>
              </w:rPr>
              <w:t>团队实力（10分）</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rPr>
                <w:rFonts w:ascii="宋体" w:hAnsi="宋体" w:cs="宋体"/>
                <w:color w:val="000000"/>
                <w:szCs w:val="21"/>
              </w:rPr>
            </w:pPr>
            <w:r>
              <w:rPr>
                <w:rFonts w:hint="eastAsia" w:ascii="宋体" w:hAnsi="宋体" w:cs="宋体"/>
                <w:color w:val="000000"/>
                <w:szCs w:val="21"/>
              </w:rPr>
              <w:t>副主任技师、副主任医师及以上人员数量</w:t>
            </w:r>
          </w:p>
        </w:tc>
        <w:tc>
          <w:tcPr>
            <w:tcW w:w="43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color w:val="000000"/>
                <w:szCs w:val="21"/>
              </w:rPr>
            </w:pPr>
            <w:r>
              <w:rPr>
                <w:rFonts w:hint="eastAsia" w:ascii="宋体" w:hAnsi="宋体" w:cs="宋体"/>
                <w:color w:val="000000"/>
                <w:szCs w:val="21"/>
              </w:rPr>
              <w:t>副主任技师、副主任医师及以上人员达到10名者，得</w:t>
            </w:r>
            <w:r>
              <w:rPr>
                <w:rFonts w:ascii="宋体" w:hAnsi="宋体" w:cs="宋体"/>
                <w:color w:val="000000"/>
                <w:szCs w:val="21"/>
              </w:rPr>
              <w:t>5</w:t>
            </w:r>
            <w:r>
              <w:rPr>
                <w:rFonts w:hint="eastAsia" w:ascii="宋体" w:hAnsi="宋体" w:cs="宋体"/>
                <w:color w:val="000000"/>
                <w:szCs w:val="21"/>
              </w:rPr>
              <w:t>分，每增加1名，增加1分，加分不超过5分，每减少1名，减少1分，扣完为止；副主任技师、副主任医师及以上人员少于5名者，此项不得分。</w:t>
            </w:r>
          </w:p>
          <w:p>
            <w:pPr>
              <w:autoSpaceDE w:val="0"/>
              <w:autoSpaceDN w:val="0"/>
              <w:spacing w:line="300" w:lineRule="exact"/>
              <w:rPr>
                <w:rFonts w:ascii="宋体" w:hAnsi="宋体" w:cs="宋体"/>
                <w:color w:val="000000"/>
                <w:szCs w:val="21"/>
              </w:rPr>
            </w:pPr>
            <w:r>
              <w:rPr>
                <w:rFonts w:hint="eastAsia" w:ascii="宋体" w:hAnsi="宋体" w:cs="宋体"/>
                <w:color w:val="000000"/>
                <w:szCs w:val="21"/>
              </w:rPr>
              <w:t>提供人员资质证书和社保机构出具的近6个月社保证明原件或近二年聘用合同，不提供或提供不齐的不得分。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915" w:type="dxa"/>
            <w:vMerge w:val="continue"/>
            <w:tcBorders>
              <w:left w:val="single" w:color="auto" w:sz="4" w:space="0"/>
              <w:right w:val="single" w:color="auto" w:sz="4" w:space="0"/>
            </w:tcBorders>
            <w:vAlign w:val="center"/>
          </w:tcPr>
          <w:p>
            <w:pPr>
              <w:spacing w:line="300" w:lineRule="exact"/>
              <w:rPr>
                <w:rFonts w:ascii="宋体" w:hAnsi="宋体" w:cs="宋体"/>
                <w:color w:val="000000"/>
                <w:szCs w:val="21"/>
              </w:rPr>
            </w:pPr>
          </w:p>
        </w:tc>
        <w:tc>
          <w:tcPr>
            <w:tcW w:w="132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rPr>
                <w:rFonts w:ascii="宋体" w:hAnsi="宋体" w:cs="宋体"/>
                <w:color w:val="000000"/>
                <w:szCs w:val="21"/>
              </w:rPr>
            </w:pPr>
            <w:r>
              <w:rPr>
                <w:rFonts w:hint="eastAsia" w:ascii="宋体" w:hAnsi="宋体" w:cs="宋体"/>
                <w:color w:val="000000"/>
                <w:szCs w:val="21"/>
              </w:rPr>
              <w:t>物流方案的可行性（7分）</w:t>
            </w:r>
          </w:p>
        </w:tc>
        <w:tc>
          <w:tcPr>
            <w:tcW w:w="633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color w:val="000000"/>
                <w:szCs w:val="21"/>
              </w:rPr>
            </w:pPr>
            <w:r>
              <w:rPr>
                <w:rFonts w:hint="eastAsia" w:ascii="宋体" w:hAnsi="宋体" w:cs="宋体"/>
                <w:color w:val="000000"/>
                <w:szCs w:val="21"/>
              </w:rPr>
              <w:t>专业的全程的标本冷链物流配送方案（3分）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15" w:type="dxa"/>
            <w:vMerge w:val="continue"/>
            <w:tcBorders>
              <w:left w:val="single" w:color="auto" w:sz="4" w:space="0"/>
              <w:right w:val="single" w:color="auto" w:sz="4" w:space="0"/>
            </w:tcBorders>
            <w:vAlign w:val="center"/>
          </w:tcPr>
          <w:p>
            <w:pPr>
              <w:spacing w:line="300" w:lineRule="exact"/>
              <w:rPr>
                <w:rFonts w:ascii="宋体" w:hAnsi="宋体" w:cs="宋体"/>
                <w:color w:val="000000"/>
                <w:szCs w:val="21"/>
              </w:rPr>
            </w:pPr>
          </w:p>
        </w:tc>
        <w:tc>
          <w:tcPr>
            <w:tcW w:w="132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color w:val="000000"/>
                <w:szCs w:val="21"/>
              </w:rPr>
            </w:pPr>
          </w:p>
        </w:tc>
        <w:tc>
          <w:tcPr>
            <w:tcW w:w="63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rPr>
                <w:rFonts w:ascii="宋体" w:hAnsi="宋体" w:cs="宋体"/>
                <w:color w:val="000000"/>
                <w:szCs w:val="21"/>
              </w:rPr>
            </w:pPr>
            <w:r>
              <w:rPr>
                <w:rFonts w:hint="eastAsia" w:ascii="宋体" w:hAnsi="宋体" w:cs="宋体"/>
                <w:color w:val="000000"/>
                <w:szCs w:val="21"/>
              </w:rPr>
              <w:t>提供医疗冷链物流营业执照者得2分，不提供的不得分。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915" w:type="dxa"/>
            <w:vMerge w:val="continue"/>
            <w:tcBorders>
              <w:left w:val="single" w:color="auto" w:sz="4" w:space="0"/>
              <w:right w:val="single" w:color="auto" w:sz="4" w:space="0"/>
            </w:tcBorders>
            <w:vAlign w:val="center"/>
          </w:tcPr>
          <w:p>
            <w:pPr>
              <w:spacing w:line="300" w:lineRule="exact"/>
              <w:rPr>
                <w:rFonts w:ascii="宋体" w:hAnsi="宋体" w:cs="宋体"/>
                <w:color w:val="000000"/>
                <w:szCs w:val="21"/>
              </w:rPr>
            </w:pPr>
          </w:p>
        </w:tc>
        <w:tc>
          <w:tcPr>
            <w:tcW w:w="132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color w:val="000000"/>
                <w:szCs w:val="21"/>
              </w:rPr>
            </w:pP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rPr>
                <w:rFonts w:ascii="宋体" w:hAnsi="宋体" w:cs="宋体"/>
                <w:color w:val="000000"/>
                <w:szCs w:val="21"/>
              </w:rPr>
            </w:pPr>
            <w:r>
              <w:rPr>
                <w:rFonts w:hint="eastAsia" w:ascii="宋体" w:hAnsi="宋体" w:cs="宋体"/>
                <w:color w:val="000000"/>
                <w:szCs w:val="21"/>
              </w:rPr>
              <w:t>提供物流方案接送方案，冷链车证明材料，应急保障措施，根据可行性和质量可靠性评分，最高2分。</w:t>
            </w:r>
          </w:p>
        </w:tc>
        <w:tc>
          <w:tcPr>
            <w:tcW w:w="43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color w:val="000000"/>
                <w:szCs w:val="21"/>
              </w:rPr>
            </w:pPr>
            <w:r>
              <w:rPr>
                <w:rFonts w:hint="eastAsia" w:ascii="宋体" w:hAnsi="宋体" w:cs="宋体"/>
                <w:color w:val="000000"/>
                <w:szCs w:val="21"/>
              </w:rPr>
              <w:t>根据方案的完善性及可行性，提供冷链物流设备的清单，并符合国家相关标准。不符合国家规定的不得分。</w:t>
            </w:r>
          </w:p>
          <w:p>
            <w:pPr>
              <w:autoSpaceDE w:val="0"/>
              <w:autoSpaceDN w:val="0"/>
              <w:spacing w:line="3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1915" w:type="dxa"/>
            <w:vMerge w:val="continue"/>
            <w:tcBorders>
              <w:left w:val="single" w:color="auto" w:sz="4" w:space="0"/>
              <w:right w:val="single" w:color="auto" w:sz="4" w:space="0"/>
            </w:tcBorders>
            <w:vAlign w:val="center"/>
          </w:tcPr>
          <w:p>
            <w:pPr>
              <w:spacing w:line="300" w:lineRule="exact"/>
              <w:rPr>
                <w:rFonts w:ascii="宋体" w:hAnsi="宋体" w:cs="宋体"/>
                <w:color w:val="000000"/>
                <w:szCs w:val="21"/>
              </w:rPr>
            </w:pPr>
          </w:p>
        </w:tc>
        <w:tc>
          <w:tcPr>
            <w:tcW w:w="132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color w:val="000000"/>
                <w:szCs w:val="21"/>
              </w:rPr>
            </w:pPr>
            <w:r>
              <w:rPr>
                <w:rFonts w:hint="eastAsia" w:ascii="宋体" w:hAnsi="宋体" w:cs="宋体"/>
                <w:color w:val="000000"/>
                <w:szCs w:val="21"/>
              </w:rPr>
              <w:t>信息系统的支撑力</w:t>
            </w:r>
          </w:p>
          <w:p>
            <w:pPr>
              <w:autoSpaceDE w:val="0"/>
              <w:autoSpaceDN w:val="0"/>
              <w:spacing w:line="300" w:lineRule="exact"/>
              <w:ind w:firstLine="420" w:firstLineChars="200"/>
              <w:rPr>
                <w:rFonts w:ascii="宋体" w:hAnsi="宋体" w:cs="宋体"/>
                <w:color w:val="000000"/>
                <w:szCs w:val="21"/>
              </w:rPr>
            </w:pPr>
            <w:r>
              <w:rPr>
                <w:rFonts w:hint="eastAsia" w:ascii="宋体" w:hAnsi="宋体" w:cs="宋体"/>
                <w:color w:val="000000"/>
                <w:szCs w:val="21"/>
              </w:rPr>
              <w:t>（5分）</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rPr>
                <w:rFonts w:ascii="宋体" w:hAnsi="宋体" w:cs="宋体"/>
                <w:color w:val="000000"/>
                <w:szCs w:val="21"/>
              </w:rPr>
            </w:pPr>
            <w:r>
              <w:rPr>
                <w:rFonts w:hint="eastAsia" w:ascii="宋体" w:hAnsi="宋体" w:cs="宋体"/>
                <w:color w:val="000000"/>
                <w:szCs w:val="21"/>
              </w:rPr>
              <w:t>图文报告上传</w:t>
            </w:r>
          </w:p>
          <w:p>
            <w:pPr>
              <w:autoSpaceDE w:val="0"/>
              <w:autoSpaceDN w:val="0"/>
              <w:spacing w:line="300" w:lineRule="exact"/>
              <w:rPr>
                <w:rFonts w:ascii="宋体" w:hAnsi="宋体" w:cs="宋体"/>
                <w:color w:val="000000"/>
                <w:szCs w:val="21"/>
              </w:rPr>
            </w:pPr>
            <w:r>
              <w:rPr>
                <w:rFonts w:hint="eastAsia" w:ascii="宋体" w:hAnsi="宋体" w:cs="宋体"/>
                <w:color w:val="000000"/>
                <w:szCs w:val="21"/>
              </w:rPr>
              <w:t>无缝对接多段参考区间</w:t>
            </w:r>
          </w:p>
        </w:tc>
        <w:tc>
          <w:tcPr>
            <w:tcW w:w="439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rPr>
                <w:rFonts w:ascii="宋体" w:hAnsi="宋体" w:cs="宋体"/>
                <w:color w:val="000000"/>
                <w:szCs w:val="21"/>
              </w:rPr>
            </w:pPr>
            <w:r>
              <w:rPr>
                <w:rFonts w:hint="eastAsia" w:ascii="宋体" w:hAnsi="宋体" w:cs="宋体"/>
                <w:color w:val="000000"/>
                <w:szCs w:val="21"/>
              </w:rPr>
              <w:t>能提供图文报告上传的得2分，否则为0分；能无缝对接多段参考区间的得3分，否则为0分。（需提供实例，无实例的不得分）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1915" w:type="dxa"/>
            <w:vMerge w:val="continue"/>
            <w:tcBorders>
              <w:left w:val="single" w:color="auto" w:sz="4" w:space="0"/>
              <w:bottom w:val="single" w:color="auto" w:sz="4" w:space="0"/>
              <w:right w:val="single" w:color="auto" w:sz="4" w:space="0"/>
            </w:tcBorders>
            <w:vAlign w:val="center"/>
          </w:tcPr>
          <w:p>
            <w:pPr>
              <w:spacing w:line="300" w:lineRule="exact"/>
              <w:rPr>
                <w:rFonts w:ascii="宋体" w:hAnsi="宋体" w:cs="宋体"/>
                <w:color w:val="000000"/>
                <w:szCs w:val="21"/>
              </w:rPr>
            </w:pPr>
          </w:p>
        </w:tc>
        <w:tc>
          <w:tcPr>
            <w:tcW w:w="1324" w:type="dxa"/>
            <w:tcBorders>
              <w:top w:val="single" w:color="auto" w:sz="4" w:space="0"/>
              <w:left w:val="single" w:color="auto" w:sz="4" w:space="0"/>
              <w:bottom w:val="single" w:color="auto" w:sz="4" w:space="0"/>
              <w:right w:val="single" w:color="auto" w:sz="4" w:space="0"/>
            </w:tcBorders>
          </w:tcPr>
          <w:p>
            <w:pPr>
              <w:autoSpaceDE w:val="0"/>
              <w:autoSpaceDN w:val="0"/>
              <w:spacing w:line="300" w:lineRule="exact"/>
              <w:rPr>
                <w:rFonts w:ascii="宋体" w:hAnsi="宋体" w:cs="宋体"/>
                <w:color w:val="000000"/>
                <w:szCs w:val="21"/>
              </w:rPr>
            </w:pPr>
            <w:r>
              <w:rPr>
                <w:rFonts w:hint="eastAsia" w:ascii="宋体" w:hAnsi="宋体" w:cs="宋体"/>
                <w:color w:val="000000"/>
                <w:szCs w:val="21"/>
              </w:rPr>
              <w:t>2021年国家室间质量评价合格数（2分）</w:t>
            </w:r>
          </w:p>
        </w:tc>
        <w:tc>
          <w:tcPr>
            <w:tcW w:w="63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rPr>
                <w:rFonts w:ascii="宋体" w:hAnsi="宋体" w:cs="宋体"/>
                <w:color w:val="000000"/>
                <w:szCs w:val="21"/>
              </w:rPr>
            </w:pPr>
            <w:r>
              <w:rPr>
                <w:rFonts w:hint="eastAsia" w:ascii="宋体" w:hAnsi="宋体" w:cs="宋体"/>
                <w:color w:val="000000"/>
                <w:szCs w:val="21"/>
              </w:rPr>
              <w:t>标的一：大于等于30项的得1分，大于等于60项的得2分，否则不得分。标的二、标的三：大于等于4项得1分，大于等于10项得2分，否则不得分。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915" w:type="dxa"/>
            <w:tcBorders>
              <w:top w:val="single" w:color="auto" w:sz="4" w:space="0"/>
              <w:left w:val="single" w:color="auto" w:sz="4" w:space="0"/>
              <w:bottom w:val="single" w:color="auto" w:sz="4" w:space="0"/>
              <w:right w:val="single" w:color="auto" w:sz="4" w:space="0"/>
            </w:tcBorders>
          </w:tcPr>
          <w:p>
            <w:pPr>
              <w:autoSpaceDE w:val="0"/>
              <w:autoSpaceDN w:val="0"/>
              <w:spacing w:line="300" w:lineRule="exact"/>
              <w:rPr>
                <w:rFonts w:ascii="宋体" w:hAnsi="宋体" w:cs="宋体"/>
                <w:color w:val="000000"/>
                <w:szCs w:val="21"/>
              </w:rPr>
            </w:pPr>
            <w:r>
              <w:rPr>
                <w:rFonts w:hint="eastAsia" w:ascii="宋体" w:hAnsi="宋体" w:cs="宋体"/>
                <w:color w:val="000000"/>
                <w:szCs w:val="21"/>
              </w:rPr>
              <w:t>投诉、纠纷处置能力（2分）</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rPr>
                <w:rFonts w:ascii="宋体" w:hAnsi="宋体" w:cs="宋体"/>
                <w:color w:val="000000"/>
                <w:szCs w:val="21"/>
              </w:rPr>
            </w:pPr>
            <w:r>
              <w:rPr>
                <w:rFonts w:hint="eastAsia" w:ascii="宋体" w:hAnsi="宋体" w:cs="宋体"/>
                <w:color w:val="000000"/>
                <w:szCs w:val="21"/>
              </w:rPr>
              <w:t>有效处置投诉、纠纷的处理流程和应急方案</w:t>
            </w:r>
          </w:p>
        </w:tc>
        <w:tc>
          <w:tcPr>
            <w:tcW w:w="439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rPr>
                <w:rFonts w:ascii="宋体" w:hAnsi="宋体" w:cs="宋体"/>
                <w:color w:val="000000"/>
                <w:szCs w:val="21"/>
              </w:rPr>
            </w:pPr>
            <w:r>
              <w:rPr>
                <w:rFonts w:hint="eastAsia" w:ascii="宋体" w:hAnsi="宋体" w:cs="宋体"/>
                <w:color w:val="000000"/>
                <w:szCs w:val="21"/>
              </w:rPr>
              <w:t>根据流程和方案的合理性和可行性。优2分、合格1分；不合理、不可行的不得分。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915" w:type="dxa"/>
            <w:tcBorders>
              <w:top w:val="single" w:color="auto" w:sz="4" w:space="0"/>
              <w:left w:val="single" w:color="auto" w:sz="4" w:space="0"/>
              <w:bottom w:val="single" w:color="auto" w:sz="4" w:space="0"/>
              <w:right w:val="single" w:color="auto" w:sz="4" w:space="0"/>
            </w:tcBorders>
          </w:tcPr>
          <w:p>
            <w:pPr>
              <w:autoSpaceDE w:val="0"/>
              <w:autoSpaceDN w:val="0"/>
              <w:spacing w:line="300" w:lineRule="exact"/>
              <w:rPr>
                <w:rFonts w:ascii="宋体" w:hAnsi="宋体" w:cs="宋体"/>
                <w:color w:val="000000"/>
                <w:szCs w:val="21"/>
              </w:rPr>
            </w:pPr>
          </w:p>
          <w:p>
            <w:pPr>
              <w:autoSpaceDE w:val="0"/>
              <w:autoSpaceDN w:val="0"/>
              <w:spacing w:line="300" w:lineRule="exact"/>
              <w:rPr>
                <w:rFonts w:ascii="宋体" w:hAnsi="宋体" w:cs="宋体"/>
                <w:color w:val="000000"/>
                <w:szCs w:val="21"/>
              </w:rPr>
            </w:pPr>
            <w:r>
              <w:rPr>
                <w:rFonts w:hint="eastAsia" w:ascii="宋体" w:hAnsi="宋体" w:cs="宋体"/>
                <w:color w:val="000000"/>
                <w:szCs w:val="21"/>
              </w:rPr>
              <w:t>业 绩（2分）</w:t>
            </w:r>
          </w:p>
        </w:tc>
        <w:tc>
          <w:tcPr>
            <w:tcW w:w="765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rPr>
                <w:rFonts w:ascii="宋体" w:hAnsi="宋体" w:cs="宋体"/>
                <w:color w:val="000000"/>
                <w:szCs w:val="21"/>
              </w:rPr>
            </w:pPr>
            <w:bookmarkStart w:id="401" w:name="_GoBack"/>
            <w:r>
              <w:rPr>
                <w:rFonts w:hint="eastAsia" w:ascii="宋体" w:hAnsi="宋体" w:cs="宋体"/>
                <w:color w:val="000000"/>
                <w:szCs w:val="21"/>
              </w:rPr>
              <w:t>提供近两年三甲医院外送检测合同，提供1-3份得1分，3份以上得2分。</w:t>
            </w:r>
            <w:bookmarkEnd w:id="401"/>
          </w:p>
        </w:tc>
      </w:tr>
    </w:tbl>
    <w:p/>
    <w:p>
      <w:pPr>
        <w:snapToGrid w:val="0"/>
        <w:spacing w:line="360" w:lineRule="auto"/>
        <w:rPr>
          <w:rFonts w:ascii="仿宋" w:hAnsi="仿宋" w:eastAsia="仿宋" w:cs="仿宋_GB2312"/>
          <w:sz w:val="24"/>
        </w:rPr>
      </w:pP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59"/>
        <w:spacing w:before="0"/>
        <w:ind w:firstLine="508" w:firstLineChars="212"/>
        <w:rPr>
          <w:rFonts w:ascii="仿宋_GB2312" w:hAnsi="仿宋" w:eastAsia="仿宋_GB2312" w:cs="Arial"/>
          <w:kern w:val="0"/>
          <w:szCs w:val="24"/>
        </w:rPr>
      </w:pPr>
      <w:r>
        <w:rPr>
          <w:rFonts w:ascii="仿宋_GB2312" w:hAnsi="仿宋" w:eastAsia="仿宋_GB2312" w:cs="Arial"/>
          <w:kern w:val="0"/>
        </w:rPr>
        <w:t>3.4</w:t>
      </w:r>
      <w:r>
        <w:rPr>
          <w:rFonts w:ascii="仿宋_GB2312" w:hAnsi="仿宋" w:eastAsia="仿宋_GB2312" w:cs="Arial"/>
          <w:kern w:val="0"/>
          <w:szCs w:val="24"/>
        </w:rPr>
        <w:t>.1投标文件报价出现前后不一致的，按照下列规定修正：</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3.4.1.1投标文件中开标一览表(报价表)内容与投标文件中相应内容不一致的，以开标一览表(报价表)为准;</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3.4.1.2大写金额和小写金额不一致的，以大写金额为准;</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3.4.1.3单价金额小数点或者百分比有明显错位的，以开标一览表的总价为准，并修改单价;</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3.4.1.4总价金额与按单价汇总金额不一致的，以单价金额计算结果为准。</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3.4.1.5同时出现两种以上不一致的，按照3.4.1</w:t>
      </w:r>
      <w:r>
        <w:rPr>
          <w:rFonts w:hint="eastAsia" w:ascii="仿宋_GB2312" w:hAnsi="仿宋" w:eastAsia="仿宋_GB2312" w:cs="Arial"/>
          <w:kern w:val="0"/>
          <w:szCs w:val="24"/>
        </w:rPr>
        <w:t>规定的顺序修正。修正后的报价按照《政府采购货物和服务招标投标管理办法》（财政部</w:t>
      </w:r>
      <w:r>
        <w:rPr>
          <w:rFonts w:ascii="仿宋_GB2312" w:hAnsi="仿宋" w:eastAsia="仿宋_GB2312" w:cs="Arial"/>
          <w:kern w:val="0"/>
          <w:szCs w:val="24"/>
        </w:rPr>
        <w:t>令</w:t>
      </w:r>
      <w:r>
        <w:rPr>
          <w:rFonts w:hint="eastAsia" w:ascii="仿宋_GB2312" w:hAnsi="仿宋" w:eastAsia="仿宋_GB2312" w:cs="Arial"/>
          <w:kern w:val="0"/>
          <w:szCs w:val="24"/>
        </w:rPr>
        <w:t>第</w:t>
      </w:r>
      <w:r>
        <w:rPr>
          <w:rFonts w:ascii="仿宋_GB2312" w:hAnsi="仿宋" w:eastAsia="仿宋_GB2312" w:cs="Arial"/>
          <w:kern w:val="0"/>
          <w:szCs w:val="24"/>
        </w:rPr>
        <w:t>87号</w:t>
      </w:r>
      <w:r>
        <w:rPr>
          <w:rFonts w:hint="eastAsia" w:ascii="仿宋_GB2312" w:hAnsi="仿宋" w:eastAsia="仿宋_GB2312" w:cs="Arial"/>
          <w:kern w:val="0"/>
          <w:szCs w:val="24"/>
        </w:rPr>
        <w:t>）第五十一条第二款的规定经投标人确认后产生约束力。</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3.4.2</w:t>
      </w:r>
      <w:r>
        <w:rPr>
          <w:rFonts w:hint="eastAsia" w:ascii="仿宋_GB2312" w:hAnsi="仿宋" w:eastAsia="仿宋_GB2312" w:cs="Arial"/>
          <w:kern w:val="0"/>
          <w:sz w:val="24"/>
        </w:rPr>
        <w:t>投标文件出现不是唯一的、有选择性投标报价的，投标无效。</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3.4.3</w:t>
      </w:r>
      <w:r>
        <w:rPr>
          <w:rFonts w:hint="eastAsia" w:ascii="仿宋_GB2312" w:hAnsi="仿宋" w:eastAsia="仿宋_GB2312" w:cs="Arial"/>
          <w:kern w:val="0"/>
          <w:sz w:val="24"/>
        </w:rPr>
        <w:t>投标报价超过招标文件中规定的预算金额或者最高限价的，投标无效。</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3.4.4</w:t>
      </w:r>
      <w:r>
        <w:rPr>
          <w:rFonts w:hint="eastAsia" w:ascii="仿宋_GB2312" w:hAnsi="仿宋" w:eastAsia="仿宋_GB2312" w:cs="Arial"/>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_GB2312" w:hAnsi="仿宋" w:eastAsia="仿宋_GB2312" w:cs="Arial"/>
          <w:kern w:val="0"/>
          <w:szCs w:val="24"/>
        </w:rPr>
        <w:t>;投标人不能证明其报价合理性的，评标委员会应当将其作为无效投标处理。</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3.4.5</w:t>
      </w:r>
      <w:r>
        <w:rPr>
          <w:rFonts w:hint="eastAsia" w:ascii="仿宋_GB2312" w:hAnsi="仿宋" w:eastAsia="仿宋_GB2312" w:cs="Arial"/>
          <w:kern w:val="0"/>
          <w:szCs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s="Arial"/>
          <w:kern w:val="0"/>
          <w:szCs w:val="24"/>
        </w:rPr>
        <w:t>1</w:t>
      </w:r>
      <w:r>
        <w:rPr>
          <w:rFonts w:hint="eastAsia" w:ascii="仿宋_GB2312" w:hAnsi="仿宋" w:eastAsia="仿宋_GB2312" w:cs="Arial"/>
          <w:kern w:val="0"/>
          <w:szCs w:val="24"/>
        </w:rPr>
        <w:t>0</w:t>
      </w:r>
      <w:r>
        <w:rPr>
          <w:rFonts w:ascii="仿宋_GB2312" w:hAnsi="仿宋" w:eastAsia="仿宋_GB2312" w:cs="Arial"/>
          <w:kern w:val="0"/>
          <w:szCs w:val="24"/>
        </w:rPr>
        <w:t>%的扣除，用扣除后的价格参与评审。接受大中型企业与小</w:t>
      </w:r>
      <w:r>
        <w:rPr>
          <w:rFonts w:hint="eastAsia" w:ascii="仿宋_GB2312" w:hAnsi="仿宋" w:eastAsia="仿宋_GB2312" w:cs="Arial"/>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_GB2312" w:hAnsi="仿宋" w:eastAsia="仿宋_GB2312" w:cs="Arial"/>
          <w:kern w:val="0"/>
          <w:szCs w:val="24"/>
        </w:rPr>
        <w:t>30%以上的，对联合体或者大中型企业的报价给予4%的扣除，用扣除后的价格参加评审。组成联合体或者接受分包的小</w:t>
      </w:r>
      <w:r>
        <w:rPr>
          <w:rFonts w:hint="eastAsia" w:ascii="仿宋_GB2312" w:hAnsi="仿宋" w:eastAsia="仿宋_GB2312" w:cs="Arial"/>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w:t>
      </w:r>
      <w:r>
        <w:rPr>
          <w:rFonts w:hint="eastAsia" w:ascii="仿宋_GB2312" w:hAnsi="仿宋" w:eastAsia="仿宋_GB2312" w:cs="Arial"/>
          <w:kern w:val="0"/>
          <w:sz w:val="24"/>
        </w:rPr>
        <w:t>。本项目只推荐</w:t>
      </w:r>
      <w:r>
        <w:rPr>
          <w:rFonts w:ascii="仿宋_GB2312" w:hAnsi="仿宋" w:eastAsia="仿宋_GB2312" w:cs="Arial"/>
          <w:kern w:val="0"/>
          <w:sz w:val="24"/>
        </w:rPr>
        <w:t>评审</w:t>
      </w:r>
      <w:r>
        <w:rPr>
          <w:rFonts w:hint="eastAsia" w:ascii="仿宋_GB2312" w:hAnsi="仿宋" w:eastAsia="仿宋_GB2312" w:cs="Arial"/>
          <w:kern w:val="0"/>
          <w:sz w:val="24"/>
        </w:rPr>
        <w:t>综合</w:t>
      </w:r>
      <w:r>
        <w:rPr>
          <w:rFonts w:ascii="仿宋_GB2312" w:hAnsi="仿宋" w:eastAsia="仿宋_GB2312" w:cs="Arial"/>
          <w:kern w:val="0"/>
          <w:sz w:val="24"/>
        </w:rPr>
        <w:t>得分最高的投标人</w:t>
      </w:r>
      <w:r>
        <w:rPr>
          <w:rFonts w:hint="eastAsia" w:ascii="仿宋_GB2312" w:hAnsi="仿宋" w:eastAsia="仿宋_GB2312" w:cs="Arial"/>
          <w:kern w:val="0"/>
          <w:sz w:val="24"/>
        </w:rPr>
        <w:t>为中标候选人。</w:t>
      </w:r>
    </w:p>
    <w:p>
      <w:pPr>
        <w:spacing w:line="360" w:lineRule="auto"/>
        <w:ind w:firstLine="480" w:firstLineChars="200"/>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59"/>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2"/>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4"/>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4.3.废标。</w:t>
      </w:r>
      <w:r>
        <w:rPr>
          <w:rFonts w:hint="eastAsia" w:ascii="仿宋_GB2312" w:hAnsi="仿宋" w:eastAsia="仿宋_GB2312" w:cs="仿宋_GB2312"/>
        </w:rPr>
        <w:t>根据《中华人民共和国政府采购法》第三十六条之规定，在采购中，出现下列情形之一的，应予废标：</w:t>
      </w:r>
    </w:p>
    <w:p>
      <w:pPr>
        <w:pStyle w:val="24"/>
        <w:snapToGrid w:val="0"/>
        <w:spacing w:line="360" w:lineRule="auto"/>
        <w:rPr>
          <w:rFonts w:ascii="仿宋_GB2312" w:hAnsi="仿宋" w:eastAsia="仿宋_GB2312" w:cs="仿宋_GB2312"/>
        </w:rPr>
      </w:pPr>
      <w:r>
        <w:rPr>
          <w:rFonts w:ascii="仿宋_GB2312" w:hAnsi="仿宋" w:eastAsia="仿宋_GB2312" w:cs="仿宋_GB2312"/>
        </w:rPr>
        <w:t>4.3.1符合专业条件的供应商或者对招标文件作实质响应的供应商不足3家的；</w:t>
      </w:r>
    </w:p>
    <w:p>
      <w:pPr>
        <w:pStyle w:val="24"/>
        <w:snapToGrid w:val="0"/>
        <w:spacing w:line="360" w:lineRule="auto"/>
        <w:rPr>
          <w:rFonts w:ascii="仿宋_GB2312" w:hAnsi="仿宋" w:eastAsia="仿宋_GB2312" w:cs="仿宋_GB2312"/>
        </w:rPr>
      </w:pPr>
      <w:r>
        <w:rPr>
          <w:rFonts w:ascii="仿宋_GB2312" w:hAnsi="仿宋" w:eastAsia="仿宋_GB2312" w:cs="仿宋_GB2312"/>
        </w:rPr>
        <w:t>4.3.2出现影响采购公正的违法、违规行为的；</w:t>
      </w:r>
    </w:p>
    <w:p>
      <w:pPr>
        <w:pStyle w:val="24"/>
        <w:snapToGrid w:val="0"/>
        <w:spacing w:line="360" w:lineRule="auto"/>
        <w:rPr>
          <w:rFonts w:ascii="仿宋_GB2312" w:hAnsi="仿宋" w:eastAsia="仿宋_GB2312" w:cs="仿宋_GB2312"/>
        </w:rPr>
      </w:pPr>
      <w:r>
        <w:rPr>
          <w:rFonts w:ascii="仿宋_GB2312" w:hAnsi="仿宋" w:eastAsia="仿宋_GB2312" w:cs="仿宋_GB2312"/>
        </w:rPr>
        <w:t>4.3.3投标人的报价均超过了采购预算，采购人不能支付的；</w:t>
      </w:r>
    </w:p>
    <w:p>
      <w:pPr>
        <w:pStyle w:val="24"/>
        <w:snapToGrid w:val="0"/>
        <w:spacing w:line="360" w:lineRule="auto"/>
        <w:rPr>
          <w:rFonts w:ascii="仿宋_GB2312" w:hAnsi="仿宋" w:eastAsia="仿宋_GB2312" w:cs="仿宋_GB2312"/>
        </w:rPr>
      </w:pPr>
      <w:r>
        <w:rPr>
          <w:rFonts w:ascii="仿宋_GB2312" w:hAnsi="仿宋" w:eastAsia="仿宋_GB2312" w:cs="仿宋_GB2312"/>
        </w:rPr>
        <w:t>4.3.4因重大变故，采购任务取消的。</w:t>
      </w:r>
    </w:p>
    <w:p>
      <w:pPr>
        <w:pStyle w:val="24"/>
        <w:snapToGrid w:val="0"/>
        <w:spacing w:line="360" w:lineRule="auto"/>
        <w:rPr>
          <w:rFonts w:ascii="仿宋_GB2312" w:hAnsi="仿宋" w:eastAsia="仿宋_GB2312" w:cs="仿宋_GB2312"/>
        </w:rPr>
      </w:pPr>
      <w:r>
        <w:rPr>
          <w:rFonts w:hint="eastAsia" w:ascii="仿宋_GB2312" w:hAnsi="仿宋" w:eastAsia="仿宋_GB2312" w:cs="仿宋_GB2312"/>
        </w:rPr>
        <w:t>废标后，采购代理机构应当将废标理由通知所有投标人。</w:t>
      </w:r>
    </w:p>
    <w:p>
      <w:pPr>
        <w:pStyle w:val="24"/>
        <w:snapToGrid w:val="0"/>
        <w:spacing w:line="360" w:lineRule="auto"/>
        <w:ind w:firstLine="482"/>
        <w:rPr>
          <w:rFonts w:ascii="仿宋_GB2312" w:hAnsi="仿宋" w:eastAsia="仿宋_GB2312" w:cs="仿宋_GB2312"/>
        </w:rPr>
      </w:pPr>
      <w:r>
        <w:rPr>
          <w:rFonts w:ascii="仿宋_GB2312" w:hAnsi="仿宋" w:eastAsia="仿宋_GB2312" w:cs="仿宋_GB2312"/>
          <w:b/>
        </w:rPr>
        <w:t>4.4.修改招标文件，重新组织采购活动。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ascii="仿宋_GB2312" w:hAnsi="仿宋" w:eastAsia="仿宋_GB2312" w:cs="仿宋_GB2312"/>
        </w:rPr>
      </w:pPr>
      <w:r>
        <w:rPr>
          <w:rFonts w:ascii="仿宋_GB2312" w:hAnsi="Helvetica" w:eastAsia="仿宋_GB2312" w:cs="Helvetica"/>
          <w:b/>
          <w:kern w:val="0"/>
        </w:rPr>
        <w:t>4.5</w:t>
      </w:r>
      <w:r>
        <w:rPr>
          <w:rFonts w:hint="eastAsia" w:ascii="仿宋_GB2312" w:hAnsi="Helvetica" w:eastAsia="仿宋_GB2312" w:cs="Helvetica"/>
          <w:b/>
          <w:kern w:val="0"/>
        </w:rPr>
        <w:t>.重新开展采购。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4.5.1未确定中标或者中标人的，终止本次政府采购活动，重新开展政府采购</w:t>
      </w:r>
      <w:r>
        <w:rPr>
          <w:rFonts w:hint="eastAsia" w:ascii="仿宋_GB2312" w:hAnsi="仿宋" w:eastAsia="仿宋_GB2312" w:cs="仿宋_GB2312"/>
        </w:rPr>
        <w:t>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ascii="仿宋_GB2312" w:hAnsi="仿宋" w:eastAsia="仿宋_GB2312" w:cs="仿宋_GB2312"/>
        </w:rPr>
      </w:pPr>
      <w:r>
        <w:rPr>
          <w:rFonts w:ascii="仿宋_GB2312" w:hAnsi="仿宋" w:eastAsia="仿宋_GB2312" w:cs="仿宋_GB2312"/>
        </w:rPr>
        <w:t>4.5.4政府采购合同已经履行，给采购人、供应</w:t>
      </w:r>
      <w:r>
        <w:rPr>
          <w:rFonts w:hint="eastAsia" w:ascii="仿宋_GB2312" w:hAnsi="仿宋" w:eastAsia="仿宋_GB2312" w:cs="仿宋_GB2312"/>
        </w:rPr>
        <w:t>商造成损失的，由责任人承担赔偿责任。</w:t>
      </w:r>
    </w:p>
    <w:p>
      <w:pPr>
        <w:pStyle w:val="24"/>
        <w:snapToGrid w:val="0"/>
        <w:spacing w:line="360" w:lineRule="auto"/>
        <w:rPr>
          <w:rFonts w:ascii="仿宋_GB2312" w:hAnsi="仿宋" w:eastAsia="仿宋_GB2312" w:cs="仿宋_GB2312"/>
        </w:rPr>
      </w:pPr>
      <w:r>
        <w:rPr>
          <w:rFonts w:ascii="仿宋_GB2312" w:hAnsi="仿宋" w:eastAsia="仿宋_GB2312" w:cs="仿宋_GB2312"/>
        </w:rPr>
        <w:t>4.5.5政府采购当事人有其他违反政府采购</w:t>
      </w:r>
      <w:r>
        <w:rPr>
          <w:rFonts w:hint="eastAsia" w:ascii="仿宋_GB2312" w:hAnsi="仿宋" w:eastAsia="仿宋_GB2312" w:cs="仿宋_GB2312"/>
        </w:rPr>
        <w:t>法或者政府采购法实施条例等法律法规规定的行为，经改正后仍然影响或者可能影响中标、成交结果或者依法被认定为中标、成交无效的，依照</w:t>
      </w:r>
      <w:r>
        <w:rPr>
          <w:rFonts w:ascii="仿宋_GB2312" w:hAnsi="仿宋" w:eastAsia="仿宋_GB2312" w:cs="仿宋_GB2312"/>
        </w:rPr>
        <w:t>4.5.1-4.5.</w:t>
      </w:r>
      <w:r>
        <w:rPr>
          <w:rFonts w:hint="eastAsia" w:ascii="仿宋_GB2312" w:hAnsi="仿宋" w:eastAsia="仿宋_GB2312" w:cs="仿宋_GB2312"/>
        </w:rPr>
        <w:t>4</w:t>
      </w:r>
      <w:r>
        <w:rPr>
          <w:rFonts w:ascii="仿宋_GB2312" w:hAnsi="仿宋" w:eastAsia="仿宋_GB2312" w:cs="仿宋_GB2312"/>
        </w:rPr>
        <w:t>规定处理。</w:t>
      </w: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2" w:name="第五部分"/>
      <w:bookmarkStart w:id="393" w:name="_Toc86217003"/>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pStyle w:val="2"/>
        <w:rPr>
          <w:lang w:val="en-US"/>
        </w:rPr>
      </w:pPr>
    </w:p>
    <w:p/>
    <w:p>
      <w:pPr>
        <w:pStyle w:val="2"/>
        <w:rPr>
          <w:lang w:val="en-US"/>
        </w:rPr>
      </w:pPr>
    </w:p>
    <w:p>
      <w:pPr>
        <w:pStyle w:val="2"/>
        <w:rPr>
          <w:lang w:val="en-US"/>
        </w:rPr>
      </w:pPr>
    </w:p>
    <w:p/>
    <w:p>
      <w:pPr>
        <w:pStyle w:val="2"/>
        <w:rPr>
          <w:lang w:val="en-US"/>
        </w:rPr>
      </w:pPr>
    </w:p>
    <w:p/>
    <w:p>
      <w:pPr>
        <w:pStyle w:val="2"/>
        <w:rPr>
          <w:lang w:val="en-US"/>
        </w:rPr>
      </w:pPr>
    </w:p>
    <w:p/>
    <w:p>
      <w:pPr>
        <w:pStyle w:val="2"/>
        <w:rPr>
          <w:lang w:val="en-US"/>
        </w:rPr>
      </w:pPr>
    </w:p>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pStyle w:val="2"/>
        <w:rPr>
          <w:lang w:val="en-US"/>
        </w:rPr>
      </w:pPr>
    </w:p>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pStyle w:val="704"/>
        <w:rPr>
          <w:rFonts w:ascii="仿宋" w:hAnsi="仿宋" w:eastAsia="仿宋"/>
          <w:szCs w:val="24"/>
        </w:rPr>
      </w:pPr>
    </w:p>
    <w:p>
      <w:pPr>
        <w:pStyle w:val="704"/>
        <w:rPr>
          <w:rFonts w:ascii="仿宋" w:hAnsi="仿宋" w:eastAsia="仿宋"/>
          <w:szCs w:val="24"/>
        </w:rPr>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704"/>
        <w:jc w:val="center"/>
        <w:rPr>
          <w:rFonts w:ascii="仿宋" w:hAnsi="仿宋" w:eastAsia="仿宋"/>
          <w:szCs w:val="24"/>
        </w:rPr>
      </w:pPr>
    </w:p>
    <w:p>
      <w:pPr>
        <w:pStyle w:val="24"/>
      </w:pPr>
    </w:p>
    <w:p>
      <w:pPr>
        <w:pStyle w:val="704"/>
        <w:ind w:firstLine="2843" w:firstLineChars="1180"/>
        <w:rPr>
          <w:rFonts w:ascii="仿宋" w:hAnsi="仿宋" w:eastAsia="仿宋"/>
          <w:b/>
          <w:szCs w:val="24"/>
        </w:rPr>
      </w:pPr>
      <w:r>
        <w:rPr>
          <w:rFonts w:hint="eastAsia" w:ascii="仿宋" w:hAnsi="仿宋" w:eastAsia="仿宋"/>
          <w:b/>
          <w:szCs w:val="24"/>
        </w:rPr>
        <w:t>通用合同书</w:t>
      </w:r>
    </w:p>
    <w:p>
      <w:pPr>
        <w:pStyle w:val="704"/>
        <w:rPr>
          <w:rFonts w:ascii="仿宋" w:hAnsi="仿宋" w:eastAsia="仿宋"/>
          <w:szCs w:val="24"/>
        </w:rPr>
      </w:pPr>
    </w:p>
    <w:p>
      <w:pPr>
        <w:pStyle w:val="704"/>
        <w:rPr>
          <w:rFonts w:ascii="仿宋" w:hAnsi="仿宋" w:eastAsia="仿宋"/>
          <w:szCs w:val="24"/>
        </w:rPr>
      </w:pPr>
    </w:p>
    <w:p>
      <w:pPr>
        <w:pStyle w:val="24"/>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600"/>
        <w:spacing w:before="120" w:line="22" w:lineRule="atLeast"/>
        <w:rPr>
          <w:rFonts w:ascii="仿宋" w:hAnsi="仿宋" w:eastAsia="仿宋"/>
          <w:szCs w:val="24"/>
        </w:rPr>
      </w:pPr>
    </w:p>
    <w:p>
      <w:pPr>
        <w:pStyle w:val="600"/>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pStyle w:val="2"/>
        <w:rPr>
          <w:lang w:val="en-US"/>
        </w:rPr>
      </w:pPr>
    </w:p>
    <w:p>
      <w:pPr>
        <w:ind w:firstLine="420" w:firstLineChars="200"/>
        <w:rPr>
          <w:u w:val="single"/>
        </w:rPr>
      </w:pPr>
      <w:r>
        <w:rPr>
          <w:rFonts w:hint="eastAsia"/>
          <w:u w:val="single"/>
        </w:rPr>
        <w:t xml:space="preserve"> </w:t>
      </w:r>
      <w:r>
        <w:rPr>
          <w:u w:val="single"/>
        </w:rPr>
        <w:t xml:space="preserve">                     </w:t>
      </w:r>
      <w:r>
        <w:rPr>
          <w:rFonts w:hint="eastAsia"/>
        </w:rPr>
        <w:t>（甲方）</w:t>
      </w:r>
      <w:r>
        <w:rPr>
          <w:rFonts w:hint="eastAsia"/>
          <w:u w:val="single"/>
        </w:rPr>
        <w:t xml:space="preserve"> </w:t>
      </w:r>
      <w:r>
        <w:rPr>
          <w:u w:val="single"/>
        </w:rPr>
        <w:t xml:space="preserve">                   </w:t>
      </w:r>
      <w:r>
        <w:rPr>
          <w:rFonts w:hint="eastAsia"/>
        </w:rPr>
        <w:t xml:space="preserve"> （项目名称）经诸暨市公共资源交易中心以招标文件（编号：诸政采20</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号）</w:t>
      </w:r>
      <w:r>
        <w:t>进行公开招标。甲方确定</w:t>
      </w:r>
      <w:r>
        <w:rPr>
          <w:u w:val="single"/>
        </w:rPr>
        <w:t xml:space="preserve">                              </w:t>
      </w:r>
      <w:r>
        <w:t>（乙方）为中标人。甲、乙双方依据《中华人</w:t>
      </w:r>
      <w:r>
        <w:rPr>
          <w:rFonts w:hint="eastAsia"/>
        </w:rPr>
        <w:t>民共和国政府采购法》、《中华人民共和国民法典》，在平等自愿的基础上，同意按照下面的条款和条件，签署本合同。</w:t>
      </w:r>
    </w:p>
    <w:p>
      <w:pPr>
        <w:rPr>
          <w:b/>
          <w:bCs/>
          <w:u w:val="single"/>
        </w:rPr>
      </w:pPr>
      <w:r>
        <w:rPr>
          <w:rFonts w:hint="eastAsia"/>
          <w:b/>
          <w:bCs/>
        </w:rPr>
        <w:t>（一）项目采购依据</w:t>
      </w:r>
    </w:p>
    <w:p>
      <w:pPr>
        <w:ind w:firstLine="420" w:firstLineChars="200"/>
      </w:pPr>
      <w:r>
        <w:rPr>
          <w:rFonts w:hint="eastAsia"/>
        </w:rPr>
        <w:t>政府采购预算执行确认书。</w:t>
      </w:r>
      <w:r>
        <w:t xml:space="preserve"> </w:t>
      </w:r>
    </w:p>
    <w:p>
      <w:pPr>
        <w:rPr>
          <w:b/>
          <w:bCs/>
        </w:rPr>
      </w:pPr>
      <w:r>
        <w:rPr>
          <w:rFonts w:hint="eastAsia"/>
          <w:b/>
          <w:bCs/>
        </w:rPr>
        <w:t>（二）下列文件构成本合同的组成部分</w:t>
      </w:r>
    </w:p>
    <w:p>
      <w:pPr>
        <w:ind w:firstLine="420" w:firstLineChars="200"/>
      </w:pPr>
      <w:r>
        <w:rPr>
          <w:rFonts w:hint="eastAsia"/>
        </w:rPr>
        <w:t>以下文件为本合同的组成部分，应该认为是一个整体，彼此相互解释，相互补充。</w:t>
      </w:r>
    </w:p>
    <w:p>
      <w:pPr>
        <w:ind w:firstLine="420" w:firstLineChars="200"/>
      </w:pPr>
      <w:r>
        <w:t>a. 本合同书</w:t>
      </w:r>
    </w:p>
    <w:p>
      <w:pPr>
        <w:ind w:firstLine="420" w:firstLineChars="200"/>
      </w:pPr>
      <w:r>
        <w:t>b. 中标通知书</w:t>
      </w:r>
    </w:p>
    <w:p>
      <w:pPr>
        <w:ind w:firstLine="420" w:firstLineChars="200"/>
      </w:pPr>
      <w:r>
        <w:t>c. 询标承诺</w:t>
      </w:r>
    </w:p>
    <w:p>
      <w:pPr>
        <w:ind w:firstLine="420" w:firstLineChars="200"/>
      </w:pPr>
      <w:r>
        <w:t>d. 投标文件</w:t>
      </w:r>
    </w:p>
    <w:p>
      <w:pPr>
        <w:ind w:firstLine="420" w:firstLineChars="200"/>
      </w:pPr>
      <w:r>
        <w:t>e. 招标文件</w:t>
      </w:r>
    </w:p>
    <w:p>
      <w:pPr>
        <w:rPr>
          <w:b/>
          <w:bCs/>
        </w:rPr>
      </w:pPr>
      <w:r>
        <w:rPr>
          <w:rFonts w:hint="eastAsia"/>
          <w:b/>
          <w:bCs/>
        </w:rPr>
        <w:t>（三）合同标的物</w:t>
      </w:r>
    </w:p>
    <w:tbl>
      <w:tblPr>
        <w:tblStyle w:val="62"/>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jc w:val="center"/>
            </w:pPr>
            <w:r>
              <w:rPr>
                <w:rFonts w:hint="eastAsia"/>
              </w:rPr>
              <w:t>产品名称</w:t>
            </w:r>
          </w:p>
        </w:tc>
        <w:tc>
          <w:tcPr>
            <w:tcW w:w="3960" w:type="dxa"/>
            <w:vAlign w:val="center"/>
          </w:tcPr>
          <w:p>
            <w:pPr>
              <w:jc w:val="center"/>
            </w:pPr>
            <w:r>
              <w:rPr>
                <w:rFonts w:hint="eastAsia"/>
              </w:rPr>
              <w:t>规格、型号（或服务内容）</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bl>
    <w:p>
      <w:pPr>
        <w:ind w:firstLine="420" w:firstLineChars="200"/>
      </w:pPr>
      <w:r>
        <w:rPr>
          <w:rFonts w:hint="eastAsia"/>
        </w:rPr>
        <w:t>（具体标的物或服务内容可根据实际修改）</w:t>
      </w:r>
    </w:p>
    <w:p>
      <w:pPr>
        <w:rPr>
          <w:b/>
          <w:bCs/>
        </w:rPr>
      </w:pPr>
      <w:r>
        <w:rPr>
          <w:rFonts w:hint="eastAsia"/>
          <w:b/>
          <w:bCs/>
        </w:rPr>
        <w:t>（四）合同总价</w:t>
      </w:r>
    </w:p>
    <w:p>
      <w:pPr>
        <w:ind w:firstLine="420" w:firstLineChars="200"/>
      </w:pPr>
      <w:r>
        <w:rPr>
          <w:rFonts w:hint="eastAsia"/>
        </w:rPr>
        <w:t>本合同总价为</w:t>
      </w:r>
      <w:r>
        <w:rPr>
          <w:u w:val="single"/>
        </w:rPr>
        <w:t xml:space="preserve">       </w:t>
      </w:r>
      <w:r>
        <w:t>元人民币</w:t>
      </w:r>
      <w:r>
        <w:rPr>
          <w:rFonts w:hint="eastAsia"/>
        </w:rPr>
        <w:t>，大写</w:t>
      </w:r>
      <w:r>
        <w:rPr>
          <w:rFonts w:hint="eastAsia"/>
          <w:u w:val="single"/>
        </w:rPr>
        <w:t xml:space="preserve"> </w:t>
      </w:r>
      <w:r>
        <w:rPr>
          <w:u w:val="single"/>
        </w:rPr>
        <w:t xml:space="preserve">                                   </w:t>
      </w:r>
      <w:r>
        <w:t>。</w:t>
      </w:r>
    </w:p>
    <w:p>
      <w:pPr>
        <w:rPr>
          <w:b/>
          <w:bCs/>
        </w:rPr>
      </w:pPr>
      <w:r>
        <w:rPr>
          <w:rFonts w:hint="eastAsia"/>
          <w:b/>
          <w:bCs/>
        </w:rPr>
        <w:t>（五）合同价款的支付</w:t>
      </w:r>
    </w:p>
    <w:p>
      <w:pPr>
        <w:ind w:firstLine="420" w:firstLineChars="200"/>
      </w:pPr>
      <w:r>
        <w:t>1</w:t>
      </w:r>
      <w:r>
        <w:rPr>
          <w:rFonts w:hint="eastAsia"/>
        </w:rPr>
        <w:t>.</w:t>
      </w:r>
      <w:r>
        <w:t>本合同中甲乙双方之间所发生的一切费用以人民币进行结算。</w:t>
      </w:r>
    </w:p>
    <w:p>
      <w:pPr>
        <w:ind w:firstLine="420" w:firstLineChars="200"/>
      </w:pPr>
      <w:r>
        <w:t>2</w:t>
      </w:r>
      <w:r>
        <w:rPr>
          <w:rFonts w:hint="eastAsia"/>
        </w:rPr>
        <w:t>.</w:t>
      </w:r>
      <w:r>
        <w:t>支付方式：</w:t>
      </w:r>
    </w:p>
    <w:tbl>
      <w:tblPr>
        <w:tblStyle w:val="62"/>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付款次数</w:t>
            </w:r>
          </w:p>
        </w:tc>
        <w:tc>
          <w:tcPr>
            <w:tcW w:w="1985" w:type="dxa"/>
            <w:vAlign w:val="center"/>
          </w:tcPr>
          <w:p>
            <w:pPr>
              <w:jc w:val="center"/>
            </w:pPr>
            <w:r>
              <w:rPr>
                <w:rFonts w:hint="eastAsia"/>
              </w:rPr>
              <w:t>约定支付条件</w:t>
            </w:r>
          </w:p>
        </w:tc>
        <w:tc>
          <w:tcPr>
            <w:tcW w:w="4394" w:type="dxa"/>
            <w:vAlign w:val="center"/>
          </w:tcPr>
          <w:p>
            <w:pPr>
              <w:jc w:val="center"/>
            </w:pPr>
            <w:r>
              <w:t>付款条件</w:t>
            </w:r>
          </w:p>
        </w:tc>
        <w:tc>
          <w:tcPr>
            <w:tcW w:w="1413" w:type="dxa"/>
            <w:vAlign w:val="center"/>
          </w:tcPr>
          <w:p>
            <w:pPr>
              <w:jc w:val="center"/>
            </w:pPr>
            <w: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1</w:t>
            </w:r>
          </w:p>
        </w:tc>
        <w:tc>
          <w:tcPr>
            <w:tcW w:w="1985" w:type="dxa"/>
            <w:vAlign w:val="center"/>
          </w:tcPr>
          <w:p>
            <w:pPr>
              <w:jc w:val="center"/>
            </w:pPr>
            <w:r>
              <w:t>合同签订后</w:t>
            </w:r>
          </w:p>
        </w:tc>
        <w:tc>
          <w:tcPr>
            <w:tcW w:w="4394" w:type="dxa"/>
            <w:vAlign w:val="center"/>
          </w:tcPr>
          <w:p>
            <w:pPr>
              <w:jc w:val="center"/>
            </w:pPr>
            <w:r>
              <w:rPr>
                <w:rFonts w:hint="eastAsia"/>
              </w:rPr>
              <w:t>满足合同约定支付条件，甲方收到乙方提供的同等金额的正规发票后</w:t>
            </w:r>
            <w:r>
              <w:t xml:space="preserve"> 7 个工作日内，向</w:t>
            </w:r>
            <w:r>
              <w:rPr>
                <w:rFonts w:hint="eastAsia"/>
              </w:rPr>
              <w:t>乙方支付合同总价</w:t>
            </w:r>
            <w:r>
              <w:rPr>
                <w:u w:val="single"/>
              </w:rPr>
              <w:t xml:space="preserve">     </w:t>
            </w:r>
            <w:r>
              <w:t>%的预付款；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2</w:t>
            </w:r>
          </w:p>
        </w:tc>
        <w:tc>
          <w:tcPr>
            <w:tcW w:w="1985" w:type="dxa"/>
            <w:vAlign w:val="center"/>
          </w:tcPr>
          <w:p>
            <w:pPr>
              <w:jc w:val="center"/>
            </w:pPr>
            <w:r>
              <w:rPr>
                <w:rFonts w:hint="eastAsia"/>
              </w:rPr>
              <w:t>项目验收合格后</w:t>
            </w:r>
          </w:p>
        </w:tc>
        <w:tc>
          <w:tcPr>
            <w:tcW w:w="4394" w:type="dxa"/>
            <w:vAlign w:val="center"/>
          </w:tcPr>
          <w:p>
            <w:pPr>
              <w:jc w:val="center"/>
            </w:pPr>
            <w:r>
              <w:rPr>
                <w:rFonts w:hint="eastAsia"/>
              </w:rPr>
              <w:t>满足合同约定支付条件，甲方收到乙方提供</w:t>
            </w:r>
          </w:p>
          <w:p>
            <w:pPr>
              <w:jc w:val="center"/>
            </w:pPr>
            <w:r>
              <w:rPr>
                <w:rFonts w:hint="eastAsia"/>
              </w:rPr>
              <w:t>的同等金额的正规发票后</w:t>
            </w:r>
            <w:r>
              <w:t xml:space="preserve"> 7 个工作日内，向</w:t>
            </w:r>
          </w:p>
          <w:p>
            <w:pPr>
              <w:jc w:val="center"/>
            </w:pPr>
            <w:r>
              <w:rPr>
                <w:rFonts w:hint="eastAsia"/>
              </w:rPr>
              <w:t>乙方支付合同总价</w:t>
            </w:r>
            <w:r>
              <w:rPr>
                <w:u w:val="single"/>
              </w:rPr>
              <w:t xml:space="preserve">      </w:t>
            </w:r>
            <w:r>
              <w:t>%的合同款。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3</w:t>
            </w:r>
          </w:p>
        </w:tc>
        <w:tc>
          <w:tcPr>
            <w:tcW w:w="1985" w:type="dxa"/>
            <w:vAlign w:val="center"/>
          </w:tcPr>
          <w:p/>
        </w:tc>
        <w:tc>
          <w:tcPr>
            <w:tcW w:w="4394" w:type="dxa"/>
            <w:vAlign w:val="center"/>
          </w:tcPr>
          <w:p>
            <w:pPr>
              <w:jc w:val="center"/>
            </w:pPr>
          </w:p>
        </w:tc>
        <w:tc>
          <w:tcPr>
            <w:tcW w:w="1413" w:type="dxa"/>
            <w:vAlign w:val="center"/>
          </w:tcPr>
          <w:p>
            <w:pPr>
              <w:jc w:val="center"/>
            </w:pPr>
          </w:p>
        </w:tc>
      </w:tr>
    </w:tbl>
    <w:p>
      <w:pPr>
        <w:ind w:firstLine="420" w:firstLineChars="200"/>
      </w:pPr>
      <w:r>
        <w:t>3</w:t>
      </w:r>
      <w:r>
        <w:rPr>
          <w:rFonts w:hint="eastAsia"/>
        </w:rPr>
        <w:t>.</w:t>
      </w:r>
      <w:r>
        <w:t>甲方应付合同款至以下乙方指定的银行账户：</w:t>
      </w:r>
    </w:p>
    <w:p>
      <w:pPr>
        <w:ind w:firstLine="420" w:firstLineChars="200"/>
      </w:pPr>
      <w:r>
        <w:rPr>
          <w:rFonts w:hint="eastAsia"/>
        </w:rPr>
        <w:t>开户名称：</w:t>
      </w:r>
    </w:p>
    <w:p>
      <w:pPr>
        <w:ind w:firstLine="420" w:firstLineChars="200"/>
      </w:pPr>
      <w:r>
        <w:rPr>
          <w:rFonts w:hint="eastAsia"/>
        </w:rPr>
        <w:t>开户银行：</w:t>
      </w:r>
    </w:p>
    <w:p>
      <w:pPr>
        <w:ind w:firstLine="420" w:firstLineChars="200"/>
      </w:pPr>
      <w:r>
        <w:rPr>
          <w:rFonts w:hint="eastAsia"/>
        </w:rPr>
        <w:t>账</w:t>
      </w:r>
      <w:r>
        <w:t xml:space="preserve"> 号：</w:t>
      </w:r>
    </w:p>
    <w:p>
      <w:pPr>
        <w:rPr>
          <w:b/>
          <w:bCs/>
        </w:rPr>
      </w:pPr>
      <w:r>
        <w:rPr>
          <w:rFonts w:hint="eastAsia"/>
          <w:b/>
          <w:bCs/>
        </w:rPr>
        <w:t>（六）履约保证金</w:t>
      </w:r>
    </w:p>
    <w:p>
      <w:pPr>
        <w:ind w:firstLine="420" w:firstLineChars="200"/>
      </w:pPr>
      <w:r>
        <w:t>1</w:t>
      </w:r>
      <w:r>
        <w:rPr>
          <w:rFonts w:hint="eastAsia"/>
        </w:rPr>
        <w:t>.</w:t>
      </w:r>
      <w:r>
        <w:t>乙方应在合同签订后 5 个工作日内向甲方提交履约保证金为【/】元。</w:t>
      </w:r>
    </w:p>
    <w:p>
      <w:pPr>
        <w:ind w:firstLine="420" w:firstLineChars="200"/>
      </w:pPr>
      <w:r>
        <w:t>2</w:t>
      </w:r>
      <w:r>
        <w:rPr>
          <w:rFonts w:hint="eastAsia"/>
        </w:rPr>
        <w:t>.</w:t>
      </w:r>
      <w:r>
        <w:t>履约保证金用于补偿甲方因乙方不能履行其合同义务而蒙受的损失。</w:t>
      </w:r>
    </w:p>
    <w:p>
      <w:pPr>
        <w:ind w:firstLine="420" w:firstLineChars="200"/>
      </w:pPr>
      <w:r>
        <w:t>3</w:t>
      </w:r>
      <w:r>
        <w:rPr>
          <w:rFonts w:hint="eastAsia"/>
        </w:rPr>
        <w:t>.</w:t>
      </w:r>
      <w:r>
        <w:t>履约保证金有效期限：合同签订之日起至项目通过甲方验收后结束。</w:t>
      </w:r>
    </w:p>
    <w:p>
      <w:pPr>
        <w:ind w:firstLine="420" w:firstLineChars="200"/>
      </w:pPr>
      <w:r>
        <w:t>4</w:t>
      </w:r>
      <w:r>
        <w:rPr>
          <w:rFonts w:hint="eastAsia"/>
        </w:rPr>
        <w:t>.</w:t>
      </w:r>
      <w:r>
        <w:t>履约保证金退还：有效期限满后，按合同约定扣除相关款项（如有）后无息退还。</w:t>
      </w:r>
    </w:p>
    <w:p>
      <w:pPr>
        <w:rPr>
          <w:b/>
          <w:bCs/>
        </w:rPr>
      </w:pPr>
      <w:r>
        <w:rPr>
          <w:rFonts w:hint="eastAsia"/>
          <w:b/>
          <w:bCs/>
        </w:rPr>
        <w:t>（七）服务要求</w:t>
      </w:r>
    </w:p>
    <w:p>
      <w:pPr>
        <w:ind w:firstLine="420" w:firstLineChars="200"/>
      </w:pPr>
      <w:r>
        <w:rPr>
          <w:rFonts w:hint="eastAsia"/>
        </w:rPr>
        <w:t>服务期内，乙方应在充分了解甲方现有环境基础上，提供规范化、高质量的服务，具体服务内容与要求详见附件。</w:t>
      </w:r>
    </w:p>
    <w:p>
      <w:pPr>
        <w:ind w:firstLine="420" w:firstLineChars="200"/>
      </w:pPr>
      <w:r>
        <w:rPr>
          <w:rFonts w:hint="eastAsia"/>
        </w:rPr>
        <w:t>履行期限：</w:t>
      </w:r>
    </w:p>
    <w:p>
      <w:pPr>
        <w:ind w:firstLine="420" w:firstLineChars="200"/>
      </w:pPr>
      <w:r>
        <w:rPr>
          <w:rFonts w:hint="eastAsia"/>
        </w:rPr>
        <w:t>履行地点：</w:t>
      </w:r>
    </w:p>
    <w:p>
      <w:pPr>
        <w:rPr>
          <w:b/>
          <w:bCs/>
        </w:rPr>
      </w:pPr>
      <w:r>
        <w:rPr>
          <w:rFonts w:hint="eastAsia"/>
          <w:b/>
          <w:bCs/>
        </w:rPr>
        <w:t>（八）服务人员</w:t>
      </w:r>
    </w:p>
    <w:p>
      <w:pPr>
        <w:ind w:firstLine="420" w:firstLineChars="200"/>
      </w:pPr>
      <w:r>
        <w:rPr>
          <w:rFonts w:hint="eastAsia"/>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ind w:firstLine="420" w:firstLineChars="200"/>
      </w:pPr>
      <w:r>
        <w:rPr>
          <w:rFonts w:hint="eastAsia"/>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ind w:firstLine="420" w:firstLineChars="200"/>
      </w:pPr>
      <w:r>
        <w:rPr>
          <w:rFonts w:hint="eastAsia"/>
        </w:rPr>
        <w:t>甲乙双方指定代表，作为履行本合同服务事宜的主要联系人。</w:t>
      </w:r>
    </w:p>
    <w:p>
      <w:pPr>
        <w:ind w:firstLine="420" w:firstLineChars="200"/>
        <w:rPr>
          <w:u w:val="single"/>
        </w:rPr>
      </w:pPr>
      <w:r>
        <w:rPr>
          <w:rFonts w:hint="eastAsia"/>
        </w:rPr>
        <w:t>甲方代表：</w:t>
      </w:r>
      <w:r>
        <w:rPr>
          <w:u w:val="single"/>
        </w:rPr>
        <w:t xml:space="preserve">                 </w:t>
      </w:r>
      <w:r>
        <w:t>电话：</w:t>
      </w:r>
      <w:r>
        <w:rPr>
          <w:u w:val="single"/>
        </w:rPr>
        <w:t xml:space="preserve">                     </w:t>
      </w:r>
    </w:p>
    <w:p>
      <w:pPr>
        <w:ind w:firstLine="420" w:firstLineChars="200"/>
        <w:rPr>
          <w:u w:val="single"/>
        </w:rPr>
      </w:pPr>
      <w:r>
        <w:rPr>
          <w:rFonts w:hint="eastAsia"/>
        </w:rPr>
        <w:t>乙方代表：</w:t>
      </w:r>
      <w:r>
        <w:rPr>
          <w:u w:val="single"/>
        </w:rPr>
        <w:t xml:space="preserve">                 </w:t>
      </w:r>
      <w:r>
        <w:t>电话：</w:t>
      </w:r>
      <w:r>
        <w:rPr>
          <w:u w:val="single"/>
        </w:rPr>
        <w:t xml:space="preserve">                     </w:t>
      </w:r>
    </w:p>
    <w:p>
      <w:pPr>
        <w:rPr>
          <w:b/>
          <w:bCs/>
        </w:rPr>
      </w:pPr>
      <w:r>
        <w:rPr>
          <w:rFonts w:hint="eastAsia"/>
          <w:b/>
          <w:bCs/>
        </w:rPr>
        <w:t>（九）服务考核</w:t>
      </w:r>
    </w:p>
    <w:p>
      <w:pPr>
        <w:ind w:firstLine="420" w:firstLineChars="200"/>
      </w:pPr>
      <w:r>
        <w:rPr>
          <w:rFonts w:hint="eastAsia"/>
        </w:rPr>
        <w:t>甲方对乙方服务质量进行客观评估，具体考核办法（如有）作为合同附件。</w:t>
      </w:r>
    </w:p>
    <w:p>
      <w:pPr>
        <w:ind w:firstLine="420" w:firstLineChars="200"/>
      </w:pPr>
      <w:r>
        <w:rPr>
          <w:rFonts w:hint="eastAsia"/>
        </w:rPr>
        <w:t>项目完成后，乙方应及时向甲方发出书面履约完成通知，甲方在收到乙方履约完成通知后，按《浙江省财政厅关于印发浙江省政府采购合同暂行办法的通知》（浙财采监〔</w:t>
      </w:r>
      <w:r>
        <w:t>2017〕11 号）相关规定组</w:t>
      </w:r>
      <w:r>
        <w:rPr>
          <w:rFonts w:hint="eastAsia"/>
        </w:rPr>
        <w:t>织验收。验收小组完成验收后应出具验收书，验收书应包括每一项技术、服务、安全等标准的履约情况。</w:t>
      </w:r>
    </w:p>
    <w:p>
      <w:pPr>
        <w:rPr>
          <w:b/>
          <w:bCs/>
        </w:rPr>
      </w:pPr>
      <w:r>
        <w:rPr>
          <w:rFonts w:hint="eastAsia"/>
          <w:b/>
          <w:bCs/>
        </w:rPr>
        <w:t>（十）违约责任</w:t>
      </w:r>
    </w:p>
    <w:p>
      <w:pPr>
        <w:ind w:firstLine="420" w:firstLineChars="200"/>
      </w:pPr>
      <w:r>
        <w:rPr>
          <w:rFonts w:hint="eastAsia"/>
        </w:rPr>
        <w:t>除合同规定的不可抗力外，如果乙方没有按照合同规定的时间提供服务，甲方可要求乙方支付违约金。违约金按每周合同款的</w:t>
      </w:r>
      <w:r>
        <w:rPr>
          <w:u w:val="single"/>
        </w:rPr>
        <w:t xml:space="preserve">     </w:t>
      </w:r>
      <w:r>
        <w:t>%计收。但违约金的最高限额为合同价的</w:t>
      </w:r>
      <w:r>
        <w:rPr>
          <w:u w:val="single"/>
        </w:rPr>
        <w:t xml:space="preserve">    </w:t>
      </w:r>
      <w:r>
        <w:t>%。一周按 7 天计算，</w:t>
      </w:r>
      <w:r>
        <w:rPr>
          <w:rFonts w:hint="eastAsia"/>
        </w:rPr>
        <w:t>不足</w:t>
      </w:r>
      <w:r>
        <w:t xml:space="preserve"> 7 天按一周计算。如果达到最高限额，甲方有权解除合同。</w:t>
      </w:r>
    </w:p>
    <w:p>
      <w:pPr>
        <w:ind w:firstLine="420" w:firstLineChars="200"/>
      </w:pPr>
      <w:r>
        <w:rPr>
          <w:rFonts w:hint="eastAsia"/>
        </w:rPr>
        <w:t>项目结束时验收不合格，乙方应在收到甲方通知后</w:t>
      </w:r>
      <w:r>
        <w:rPr>
          <w:u w:val="single"/>
        </w:rPr>
        <w:t xml:space="preserve"> 7 </w:t>
      </w:r>
      <w:r>
        <w:t>日内退还甲方已支付的合同款，逾期退还</w:t>
      </w:r>
      <w:r>
        <w:rPr>
          <w:rFonts w:hint="eastAsia"/>
        </w:rPr>
        <w:t>合同款的，每日按未退还金额的</w:t>
      </w:r>
      <w:r>
        <w:rPr>
          <w:u w:val="single"/>
        </w:rPr>
        <w:t xml:space="preserve">      </w:t>
      </w:r>
      <w:r>
        <w:t>%支付违约金。</w:t>
      </w:r>
    </w:p>
    <w:p>
      <w:pPr>
        <w:ind w:firstLine="420" w:firstLineChars="200"/>
      </w:pPr>
      <w:r>
        <w:rPr>
          <w:rFonts w:hint="eastAsia"/>
        </w:rPr>
        <w:t>其他违约条款双方协商确定：</w:t>
      </w:r>
      <w:r>
        <w:rPr>
          <w:rFonts w:hint="eastAsia"/>
          <w:u w:val="single"/>
        </w:rPr>
        <w:t xml:space="preserve"> </w:t>
      </w:r>
      <w:r>
        <w:rPr>
          <w:u w:val="single"/>
        </w:rPr>
        <w:t xml:space="preserve">                            </w:t>
      </w:r>
      <w:r>
        <w:rPr>
          <w:rFonts w:hint="eastAsia"/>
          <w:u w:val="single"/>
        </w:rPr>
        <w:t>。</w:t>
      </w:r>
    </w:p>
    <w:p>
      <w:pPr>
        <w:rPr>
          <w:b/>
          <w:bCs/>
        </w:rPr>
      </w:pPr>
      <w:r>
        <w:rPr>
          <w:rFonts w:hint="eastAsia"/>
          <w:b/>
          <w:bCs/>
        </w:rPr>
        <w:t>（十一）解决争议的方法</w:t>
      </w:r>
    </w:p>
    <w:p>
      <w:pPr>
        <w:ind w:firstLine="420" w:firstLineChars="200"/>
      </w:pPr>
      <w:r>
        <w:rPr>
          <w:rFonts w:hint="eastAsia"/>
        </w:rPr>
        <w:t>因合同履行中发生的争议，可通过合同当事人双方友好协商解决。如自协商开始之起</w:t>
      </w:r>
      <w:r>
        <w:t xml:space="preserve"> 15 日内得</w:t>
      </w:r>
      <w:r>
        <w:rPr>
          <w:rFonts w:hint="eastAsia"/>
        </w:rPr>
        <w:t>不到解决，双方应将争议提交政府采购监管部门调解。调解不成的，可向</w:t>
      </w:r>
      <w:r>
        <w:rPr>
          <w:rFonts w:hint="eastAsia"/>
          <w:u w:val="single"/>
        </w:rPr>
        <w:t>（</w:t>
      </w:r>
      <w:r>
        <w:rPr>
          <w:u w:val="single"/>
        </w:rPr>
        <w:t>1）向绍兴市仲裁委员会申请仲裁；</w:t>
      </w:r>
      <w:r>
        <w:rPr>
          <w:rFonts w:hint="eastAsia"/>
          <w:u w:val="single"/>
        </w:rPr>
        <w:t>（</w:t>
      </w:r>
      <w:r>
        <w:rPr>
          <w:u w:val="single"/>
        </w:rPr>
        <w:t>2）向                           人民法院起诉</w:t>
      </w:r>
      <w:r>
        <w:t>。</w:t>
      </w:r>
      <w:r>
        <w:rPr>
          <w:rFonts w:hint="eastAsia"/>
        </w:rPr>
        <w:t>诉讼费用除人民法院另有裁决外，应由败诉方负担。</w:t>
      </w:r>
    </w:p>
    <w:p>
      <w:pPr>
        <w:rPr>
          <w:b/>
          <w:bCs/>
        </w:rPr>
      </w:pPr>
      <w:r>
        <w:rPr>
          <w:rFonts w:hint="eastAsia"/>
          <w:b/>
          <w:bCs/>
        </w:rPr>
        <w:t>（十二）违约解除合同</w:t>
      </w:r>
    </w:p>
    <w:p>
      <w:pPr>
        <w:ind w:firstLine="420" w:firstLineChars="200"/>
      </w:pPr>
      <w:r>
        <w:t>1</w:t>
      </w:r>
      <w:r>
        <w:rPr>
          <w:rFonts w:hint="eastAsia"/>
        </w:rPr>
        <w:t>.</w:t>
      </w:r>
      <w:r>
        <w:t>在乙方违约的情况下，甲方可向乙方发出书面通知，部分或全部终止合同</w:t>
      </w:r>
      <w:r>
        <w:rPr>
          <w:rFonts w:hint="eastAsia"/>
        </w:rPr>
        <w:t>,</w:t>
      </w:r>
      <w:r>
        <w:t>同时保留向乙方</w:t>
      </w:r>
      <w:r>
        <w:rPr>
          <w:rFonts w:hint="eastAsia"/>
        </w:rPr>
        <w:t>追诉的权利：</w:t>
      </w:r>
    </w:p>
    <w:p>
      <w:pPr>
        <w:ind w:firstLine="420" w:firstLineChars="200"/>
      </w:pPr>
      <w:r>
        <w:t>乙方未能在合同规定的限期或甲方同意延长的限期内，提供全部或部分标的物的；</w:t>
      </w:r>
    </w:p>
    <w:p>
      <w:pPr>
        <w:ind w:firstLine="420" w:firstLineChars="200"/>
      </w:pPr>
      <w:r>
        <w:t>乙方未能履行合同规定的其它主要义务的；</w:t>
      </w:r>
    </w:p>
    <w:p>
      <w:pPr>
        <w:ind w:firstLine="420" w:firstLineChars="200"/>
      </w:pPr>
      <w:r>
        <w:t>甲方认为乙方在本合同履行过程中有腐败和欺诈</w:t>
      </w:r>
      <w:r>
        <w:rPr>
          <w:rFonts w:hint="eastAsia"/>
        </w:rPr>
        <w:t>等</w:t>
      </w:r>
      <w:r>
        <w:t>行为的。</w:t>
      </w:r>
    </w:p>
    <w:p>
      <w:pPr>
        <w:ind w:firstLine="420" w:firstLineChars="200"/>
      </w:pPr>
      <w:r>
        <w:t>2</w:t>
      </w:r>
      <w:r>
        <w:rPr>
          <w:rFonts w:hint="eastAsia"/>
        </w:rPr>
        <w:t>.</w:t>
      </w:r>
      <w:r>
        <w:t>甲方解除合同的，合同于甲方发出书面解除合同通知书送达乙方之日起解除。乙方应在合同</w:t>
      </w:r>
      <w:r>
        <w:rPr>
          <w:rFonts w:hint="eastAsia"/>
        </w:rPr>
        <w:t>解除后</w:t>
      </w:r>
      <w:r>
        <w:rPr>
          <w:u w:val="single"/>
        </w:rPr>
        <w:t xml:space="preserve"> 7 </w:t>
      </w:r>
      <w:r>
        <w:t>日内退还甲方已支付的合同款，逾期退还合同款的，每日按未退还金额的</w:t>
      </w:r>
      <w:r>
        <w:rPr>
          <w:u w:val="single"/>
        </w:rPr>
        <w:t xml:space="preserve">    </w:t>
      </w:r>
      <w:r>
        <w:t xml:space="preserve"> %支付违约</w:t>
      </w:r>
      <w:r>
        <w:rPr>
          <w:rFonts w:hint="eastAsia"/>
        </w:rPr>
        <w:t>金。</w:t>
      </w:r>
    </w:p>
    <w:p>
      <w:pPr>
        <w:rPr>
          <w:b/>
          <w:bCs/>
        </w:rPr>
      </w:pPr>
      <w:r>
        <w:rPr>
          <w:rFonts w:hint="eastAsia"/>
          <w:b/>
          <w:bCs/>
        </w:rPr>
        <w:t>（十三）破产终止合同</w:t>
      </w:r>
    </w:p>
    <w:p>
      <w:pPr>
        <w:ind w:firstLine="420" w:firstLineChars="200"/>
      </w:pPr>
      <w:r>
        <w:rPr>
          <w:rFonts w:hint="eastAsia"/>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rPr>
          <w:b/>
          <w:bCs/>
        </w:rPr>
      </w:pPr>
      <w:r>
        <w:rPr>
          <w:rFonts w:hint="eastAsia"/>
          <w:b/>
          <w:bCs/>
        </w:rPr>
        <w:t>（十四）转让和分包</w:t>
      </w:r>
    </w:p>
    <w:p>
      <w:pPr>
        <w:ind w:firstLine="420" w:firstLineChars="200"/>
      </w:pPr>
      <w:r>
        <w:t>1</w:t>
      </w:r>
      <w:r>
        <w:rPr>
          <w:rFonts w:hint="eastAsia"/>
        </w:rPr>
        <w:t>.</w:t>
      </w:r>
      <w:r>
        <w:t>政府采购合同不能转让。</w:t>
      </w:r>
    </w:p>
    <w:p>
      <w:pPr>
        <w:ind w:firstLine="420" w:firstLineChars="200"/>
      </w:pPr>
      <w:r>
        <w:t>2</w:t>
      </w:r>
      <w:r>
        <w:rPr>
          <w:rFonts w:hint="eastAsia"/>
        </w:rPr>
        <w:t>.</w:t>
      </w:r>
      <w:r>
        <w:t>本项目内容</w:t>
      </w:r>
      <w:r>
        <w:rPr>
          <w:u w:val="single"/>
        </w:rPr>
        <w:t>不</w:t>
      </w:r>
      <w:r>
        <w:t>允许分包</w:t>
      </w:r>
      <w:r>
        <w:rPr>
          <w:rFonts w:hint="eastAsia"/>
        </w:rPr>
        <w:t>（按照招标文件要求）</w:t>
      </w:r>
      <w:r>
        <w:t>。</w:t>
      </w:r>
    </w:p>
    <w:p>
      <w:pPr>
        <w:rPr>
          <w:b/>
          <w:bCs/>
        </w:rPr>
      </w:pPr>
      <w:r>
        <w:rPr>
          <w:rFonts w:hint="eastAsia"/>
          <w:b/>
          <w:bCs/>
        </w:rPr>
        <w:t>（十五）合同变更、解除</w:t>
      </w:r>
    </w:p>
    <w:p>
      <w:pPr>
        <w:ind w:firstLine="420" w:firstLineChars="200"/>
      </w:pPr>
      <w:r>
        <w:t>甲方和乙方都不得擅自</w:t>
      </w:r>
      <w:r>
        <w:rPr>
          <w:rFonts w:hint="eastAsia"/>
        </w:rPr>
        <w:t>中止或终止本合同，</w:t>
      </w:r>
      <w:r>
        <w:t>但合同继续履行将损害国家和社会公共利益的除外。</w:t>
      </w:r>
      <w:r>
        <w:rPr>
          <w:rFonts w:hint="eastAsia"/>
        </w:rPr>
        <w:t>不得擅自</w:t>
      </w:r>
      <w:r>
        <w:t>变更本合同，如</w:t>
      </w:r>
      <w:r>
        <w:rPr>
          <w:rFonts w:hint="eastAsia"/>
        </w:rPr>
        <w:t>必须对合同条款进行改动时，当事人双方须共同签署书面文件，做为合同的补充，并报同级政府采购监督管理部门批准和备案。</w:t>
      </w:r>
    </w:p>
    <w:p>
      <w:pPr>
        <w:rPr>
          <w:b/>
          <w:bCs/>
        </w:rPr>
      </w:pPr>
      <w:r>
        <w:rPr>
          <w:rFonts w:hint="eastAsia"/>
          <w:b/>
          <w:bCs/>
        </w:rPr>
        <w:t>（十六）通知</w:t>
      </w:r>
    </w:p>
    <w:p>
      <w:pPr>
        <w:ind w:firstLine="420" w:firstLineChars="200"/>
      </w:pPr>
      <w:r>
        <w:rPr>
          <w:rFonts w:hint="eastAsia"/>
        </w:rPr>
        <w:t>本合同任何一方给另一方的通知，都应以书面形式发送，而另一方也应以书面形式确认并发送到对方明确的地址。</w:t>
      </w:r>
    </w:p>
    <w:p>
      <w:pPr>
        <w:rPr>
          <w:b/>
          <w:bCs/>
        </w:rPr>
      </w:pPr>
      <w:r>
        <w:rPr>
          <w:rFonts w:hint="eastAsia"/>
          <w:b/>
          <w:bCs/>
        </w:rPr>
        <w:t>（十七）计量单位</w:t>
      </w:r>
    </w:p>
    <w:p>
      <w:pPr>
        <w:ind w:firstLine="420" w:firstLineChars="200"/>
      </w:pPr>
      <w:r>
        <w:rPr>
          <w:rFonts w:hint="eastAsia"/>
        </w:rPr>
        <w:t>除技术规范中另有规定外，计量单位均使用国家法定计量单位。</w:t>
      </w:r>
    </w:p>
    <w:p>
      <w:pPr>
        <w:rPr>
          <w:b/>
          <w:bCs/>
        </w:rPr>
      </w:pPr>
      <w:r>
        <w:rPr>
          <w:rFonts w:hint="eastAsia"/>
          <w:b/>
          <w:bCs/>
        </w:rPr>
        <w:t>（十八）不可抗力</w:t>
      </w:r>
    </w:p>
    <w:p>
      <w:pPr>
        <w:ind w:firstLine="420" w:firstLineChars="200"/>
      </w:pPr>
      <w:r>
        <w:t>1</w:t>
      </w:r>
      <w:r>
        <w:rPr>
          <w:rFonts w:hint="eastAsia"/>
        </w:rPr>
        <w:t>.</w:t>
      </w:r>
      <w:r>
        <w:t>如果双方中任何一方遭遇法律规定的不可抗力，致使合同履行受阻时，履行合同的期限应予</w:t>
      </w:r>
      <w:r>
        <w:rPr>
          <w:rFonts w:hint="eastAsia"/>
        </w:rPr>
        <w:t>延长，延长的期限应相当于不可抗力所影响的时间。</w:t>
      </w:r>
    </w:p>
    <w:p>
      <w:pPr>
        <w:ind w:firstLine="420" w:firstLineChars="200"/>
      </w:pPr>
      <w:r>
        <w:t>2</w:t>
      </w:r>
      <w:r>
        <w:rPr>
          <w:rFonts w:hint="eastAsia"/>
        </w:rPr>
        <w:t>.</w:t>
      </w:r>
      <w:r>
        <w:t>受事故影响的一方应在不可抗力的事故发生后尽快书面形式通知另一方，并在事故发生后合</w:t>
      </w:r>
      <w:r>
        <w:rPr>
          <w:rFonts w:hint="eastAsia"/>
        </w:rPr>
        <w:t>同规定时间内，将有关部门出具的证明文件送达另一方。</w:t>
      </w:r>
    </w:p>
    <w:p>
      <w:pPr>
        <w:ind w:firstLine="420" w:firstLineChars="200"/>
      </w:pPr>
      <w:r>
        <w:t>3</w:t>
      </w:r>
      <w:r>
        <w:rPr>
          <w:rFonts w:hint="eastAsia"/>
        </w:rPr>
        <w:t>.</w:t>
      </w:r>
      <w:r>
        <w:t>不可抗力使合同的某些内容有变更必要的，双方应通过协商达成进一步履行合同的协议，因</w:t>
      </w:r>
      <w:r>
        <w:rPr>
          <w:rFonts w:hint="eastAsia"/>
        </w:rPr>
        <w:t>不可抗力致使合同不能履行的，合同终止。</w:t>
      </w:r>
    </w:p>
    <w:p>
      <w:pPr>
        <w:rPr>
          <w:b/>
          <w:bCs/>
        </w:rPr>
      </w:pPr>
      <w:r>
        <w:rPr>
          <w:rFonts w:hint="eastAsia"/>
          <w:b/>
          <w:bCs/>
        </w:rPr>
        <w:t>（十九）合同解释</w:t>
      </w:r>
    </w:p>
    <w:p>
      <w:pPr>
        <w:ind w:firstLine="420" w:firstLineChars="200"/>
      </w:pPr>
      <w:r>
        <w:rPr>
          <w:rFonts w:hint="eastAsia"/>
        </w:rPr>
        <w:t>本合同应按照《中华人民共和国政府采购法》、《中华人民共和国民法典》、《浙江省政府采购合同暂行办法》等进行解释。</w:t>
      </w:r>
    </w:p>
    <w:p>
      <w:r>
        <w:rPr>
          <w:rFonts w:hint="eastAsia"/>
          <w:b/>
          <w:bCs/>
        </w:rPr>
        <w:t>（二十）合同的生效及其他</w:t>
      </w:r>
    </w:p>
    <w:p>
      <w:pPr>
        <w:ind w:firstLine="420" w:firstLineChars="200"/>
      </w:pPr>
      <w:r>
        <w:rPr>
          <w:rFonts w:hint="eastAsia"/>
        </w:rPr>
        <w:t>政府采购项目的采购合同内容的确定应以招标文件和投标文件为基础，不得违背其实质性内容。</w:t>
      </w:r>
    </w:p>
    <w:p>
      <w:r>
        <w:rPr>
          <w:rFonts w:hint="eastAsia"/>
        </w:rPr>
        <w:t>合同将在双方签字盖章后开始生效。授权代表签署的应附法定代表人授权书。</w:t>
      </w:r>
    </w:p>
    <w:p>
      <w:pPr>
        <w:rPr>
          <w:b/>
          <w:bCs/>
        </w:rPr>
      </w:pPr>
      <w:r>
        <w:rPr>
          <w:rFonts w:hint="eastAsia"/>
          <w:b/>
          <w:bCs/>
        </w:rPr>
        <w:t>（二十一）合同附件（如有）</w:t>
      </w:r>
    </w:p>
    <w:p>
      <w:pPr>
        <w:rPr>
          <w:b/>
          <w:bCs/>
        </w:rPr>
      </w:pPr>
      <w:r>
        <w:rPr>
          <w:rFonts w:hint="eastAsia"/>
          <w:b/>
          <w:bCs/>
        </w:rPr>
        <w:t>（二十二）合同份数</w:t>
      </w:r>
    </w:p>
    <w:p>
      <w:r>
        <w:rPr>
          <w:rFonts w:hint="eastAsia"/>
        </w:rPr>
        <w:t>本合同一式</w:t>
      </w:r>
      <w:r>
        <w:rPr>
          <w:rFonts w:hint="eastAsia"/>
          <w:u w:val="single"/>
        </w:rPr>
        <w:t>五</w:t>
      </w:r>
      <w:r>
        <w:rPr>
          <w:rFonts w:hint="eastAsia"/>
        </w:rPr>
        <w:t>份，具同等法律效力。</w:t>
      </w:r>
    </w:p>
    <w:tbl>
      <w:tblPr>
        <w:tblStyle w:val="62"/>
        <w:tblW w:w="87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pPr>
            <w:r>
              <w:rPr>
                <w:rFonts w:hint="eastAsia"/>
              </w:rPr>
              <w:t>甲方</w:t>
            </w:r>
          </w:p>
        </w:tc>
        <w:tc>
          <w:tcPr>
            <w:tcW w:w="4234" w:type="dxa"/>
            <w:vAlign w:val="center"/>
          </w:tcPr>
          <w:p>
            <w:pPr>
              <w:jc w:val="center"/>
            </w:pPr>
            <w:r>
              <w:rPr>
                <w:rFonts w:hint="eastAsia"/>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r>
    </w:tbl>
    <w:p/>
    <w:p/>
    <w:p>
      <w:pPr>
        <w:ind w:firstLine="422" w:firstLineChars="200"/>
        <w:rPr>
          <w:rFonts w:ascii="宋体" w:hAnsi="宋体"/>
          <w:b/>
          <w:color w:val="FF0000"/>
        </w:rPr>
      </w:pPr>
      <w:r>
        <w:rPr>
          <w:rFonts w:hint="eastAsia" w:ascii="宋体" w:hAnsi="宋体"/>
          <w:b/>
          <w:color w:val="FF0000"/>
        </w:rPr>
        <w:t>（注：在正式签约时，双方可以根据上述要求应拟定更为详尽的合同书）</w:t>
      </w:r>
    </w:p>
    <w:p>
      <w:pPr>
        <w:spacing w:line="360" w:lineRule="auto"/>
        <w:ind w:left="-420" w:leftChars="-200" w:right="-420" w:rightChars="-200" w:firstLine="480" w:firstLineChars="200"/>
        <w:jc w:val="center"/>
        <w:outlineLvl w:val="0"/>
        <w:rPr>
          <w:rFonts w:ascii="仿宋" w:hAnsi="仿宋" w:eastAsia="仿宋"/>
          <w:sz w:val="24"/>
        </w:rPr>
      </w:pPr>
    </w:p>
    <w:p>
      <w:pPr>
        <w:pStyle w:val="2"/>
        <w:rPr>
          <w:lang w:val="en-US"/>
        </w:rPr>
      </w:pPr>
    </w:p>
    <w:p/>
    <w:p>
      <w:pPr>
        <w:pStyle w:val="2"/>
        <w:rPr>
          <w:lang w:val="en-US"/>
        </w:rPr>
      </w:pPr>
    </w:p>
    <w:p/>
    <w:p>
      <w:pPr>
        <w:pStyle w:val="2"/>
        <w:rPr>
          <w:lang w:val="en-US"/>
        </w:rPr>
      </w:pPr>
    </w:p>
    <w:p/>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2"/>
      <w:r>
        <w:rPr>
          <w:rFonts w:ascii="仿宋" w:hAnsi="仿宋" w:eastAsia="仿宋" w:cs="仿宋_GB2312"/>
          <w:b/>
          <w:sz w:val="36"/>
          <w:szCs w:val="20"/>
        </w:rPr>
        <w:t xml:space="preserve"> </w:t>
      </w:r>
      <w:bookmarkEnd w:id="393"/>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hint="eastAsia"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w:t>
      </w:r>
      <w:r>
        <w:rPr>
          <w:rFonts w:hint="eastAsia" w:ascii="仿宋_GB2312" w:hAnsi="仿宋" w:eastAsia="仿宋_GB2312" w:cs="仿宋_GB2312"/>
          <w:sz w:val="24"/>
        </w:rPr>
        <w:t>《中小企业声明函》…………………………………………………………（页码）（3）联合体协议（如需）…………………………………………………………（页码）</w:t>
      </w:r>
    </w:p>
    <w:p>
      <w:pPr>
        <w:snapToGrid w:val="0"/>
        <w:spacing w:line="360" w:lineRule="auto"/>
        <w:rPr>
          <w:rFonts w:ascii="仿宋_GB2312" w:hAnsi="仿宋" w:eastAsia="仿宋_GB2312" w:cs="仿宋_GB2312"/>
          <w:sz w:val="24"/>
        </w:rPr>
      </w:pP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（一）具备《中华人民共和国政府采购法》第二十二条规定的以下条件：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pStyle w:val="2"/>
        <w:rPr>
          <w:lang w:val="en-US"/>
        </w:rPr>
      </w:pPr>
    </w:p>
    <w:p/>
    <w:p>
      <w:pPr>
        <w:pStyle w:val="2"/>
        <w:rPr>
          <w:lang w:val="en-US"/>
        </w:rPr>
      </w:pPr>
    </w:p>
    <w:p/>
    <w:p>
      <w:pPr>
        <w:pStyle w:val="2"/>
        <w:rPr>
          <w:lang w:val="en-US"/>
        </w:rPr>
      </w:pPr>
    </w:p>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napToGrid w:val="0"/>
        <w:spacing w:before="50" w:after="50" w:line="360" w:lineRule="auto"/>
        <w:ind w:firstLine="470" w:firstLineChars="196"/>
        <w:jc w:val="left"/>
        <w:rPr>
          <w:rFonts w:ascii="仿宋_GB2312" w:hAnsi="仿宋" w:eastAsia="仿宋_GB2312" w:cs="仿宋_GB2312"/>
          <w:sz w:val="24"/>
        </w:rPr>
      </w:pPr>
      <w:r>
        <w:rPr>
          <w:rFonts w:hint="eastAsia" w:ascii="仿宋_GB2312" w:hAnsi="仿宋" w:eastAsia="仿宋_GB2312" w:cs="仿宋_GB2312"/>
          <w:sz w:val="24"/>
        </w:rPr>
        <w:t>要求以联合体形式参加，提供联合协议和中小企业声明函（附件4），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ind w:firstLine="472" w:firstLineChars="196"/>
        <w:jc w:val="center"/>
        <w:rPr>
          <w:rFonts w:hint="eastAsia" w:ascii="仿宋_GB2312" w:hAnsi="仿宋" w:eastAsia="仿宋_GB2312" w:cs="仿宋_GB2312"/>
          <w:b/>
          <w:sz w:val="24"/>
        </w:rPr>
      </w:pPr>
      <w:r>
        <w:rPr>
          <w:rFonts w:hint="eastAsia" w:ascii="仿宋_GB2312" w:hAnsi="仿宋" w:eastAsia="仿宋_GB2312" w:cs="仿宋_GB2312"/>
          <w:b/>
          <w:sz w:val="24"/>
        </w:rPr>
        <w:t>联合协议</w:t>
      </w:r>
    </w:p>
    <w:p>
      <w:pPr>
        <w:snapToGrid w:val="0"/>
        <w:spacing w:before="50" w:after="50" w:line="360" w:lineRule="auto"/>
        <w:ind w:firstLine="472" w:firstLineChars="196"/>
        <w:jc w:val="left"/>
        <w:rPr>
          <w:rFonts w:hint="eastAsia" w:ascii="仿宋_GB2312" w:hAnsi="仿宋" w:eastAsia="仿宋_GB2312" w:cs="仿宋_GB2312"/>
          <w:b/>
          <w:sz w:val="24"/>
        </w:rPr>
      </w:pPr>
      <w:r>
        <w:rPr>
          <w:rFonts w:hint="eastAsia" w:ascii="仿宋_GB2312" w:hAnsi="仿宋" w:eastAsia="仿宋_GB2312" w:cs="仿宋_GB2312"/>
          <w:b/>
          <w:sz w:val="24"/>
        </w:rPr>
        <w:t xml:space="preserve">（联合体所有成员名称）自愿组成一个联合体，以一个投标人的身份参加（项目名称）【招标编号：（采购编号）】投标。 </w:t>
      </w:r>
    </w:p>
    <w:p>
      <w:pPr>
        <w:snapToGrid w:val="0"/>
        <w:spacing w:before="50" w:after="50" w:line="360" w:lineRule="auto"/>
        <w:ind w:firstLine="472" w:firstLineChars="196"/>
        <w:jc w:val="left"/>
        <w:rPr>
          <w:rFonts w:hint="eastAsia" w:ascii="仿宋_GB2312" w:hAnsi="仿宋" w:eastAsia="仿宋_GB2312" w:cs="仿宋_GB2312"/>
          <w:b/>
          <w:sz w:val="24"/>
        </w:rPr>
      </w:pPr>
      <w:r>
        <w:rPr>
          <w:rFonts w:hint="eastAsia" w:ascii="仿宋_GB2312" w:hAnsi="仿宋" w:eastAsia="仿宋_GB2312" w:cs="仿宋_GB2312"/>
          <w:b/>
          <w:sz w:val="24"/>
        </w:rPr>
        <w:t>一、各方一致决定，（某联合体成员名称）为联合体牵头人，代表所有联合体成员负责投标和合同实施阶段的主办、协调工作。</w:t>
      </w:r>
    </w:p>
    <w:p>
      <w:pPr>
        <w:snapToGrid w:val="0"/>
        <w:spacing w:before="50" w:after="50" w:line="360" w:lineRule="auto"/>
        <w:ind w:firstLine="472" w:firstLineChars="196"/>
        <w:jc w:val="left"/>
        <w:rPr>
          <w:rFonts w:hint="eastAsia" w:ascii="仿宋_GB2312" w:hAnsi="仿宋" w:eastAsia="仿宋_GB2312" w:cs="仿宋_GB2312"/>
          <w:b/>
          <w:sz w:val="24"/>
        </w:rPr>
      </w:pPr>
      <w:r>
        <w:rPr>
          <w:rFonts w:hint="eastAsia" w:ascii="仿宋_GB2312" w:hAnsi="仿宋" w:eastAsia="仿宋_GB2312" w:cs="仿宋_GB2312"/>
          <w:b/>
          <w:sz w:val="24"/>
        </w:rPr>
        <w:t>二、所有联合体成员各方签署授权书，授权书载明的授权代表根据招标文件规定及投标内容而对采购人、采购代理机构所作的任何合法承诺，包括书面澄清及相应等均对联合投标各方产生约束力。</w:t>
      </w:r>
    </w:p>
    <w:p>
      <w:pPr>
        <w:snapToGrid w:val="0"/>
        <w:spacing w:before="50" w:after="50" w:line="360" w:lineRule="auto"/>
        <w:ind w:firstLine="472" w:firstLineChars="196"/>
        <w:jc w:val="left"/>
        <w:rPr>
          <w:rFonts w:hint="eastAsia" w:ascii="仿宋_GB2312" w:hAnsi="仿宋" w:eastAsia="仿宋_GB2312" w:cs="仿宋_GB2312"/>
          <w:b/>
          <w:sz w:val="24"/>
        </w:rPr>
      </w:pPr>
      <w:r>
        <w:rPr>
          <w:rFonts w:hint="eastAsia" w:ascii="仿宋_GB2312" w:hAnsi="仿宋" w:eastAsia="仿宋_GB2312" w:cs="仿宋_GB2312"/>
          <w:b/>
          <w:sz w:val="24"/>
        </w:rPr>
        <w:t>三、本次联合投标中，分工如下：（联合体其中一方成员名称）承担的工作和义务为：</w:t>
      </w:r>
      <w:r>
        <w:rPr>
          <w:rFonts w:hint="eastAsia" w:ascii="仿宋_GB2312" w:hAnsi="仿宋" w:eastAsia="仿宋_GB2312" w:cs="仿宋_GB2312"/>
          <w:b/>
          <w:sz w:val="24"/>
          <w:u w:val="single"/>
        </w:rPr>
        <w:t xml:space="preserve">             </w:t>
      </w:r>
      <w:r>
        <w:rPr>
          <w:rFonts w:hint="eastAsia" w:ascii="仿宋_GB2312" w:hAnsi="仿宋" w:eastAsia="仿宋_GB2312" w:cs="仿宋_GB2312"/>
          <w:b/>
          <w:sz w:val="24"/>
        </w:rPr>
        <w:t>；（联合体其中一方成员名称）承担的工作和义务为：</w:t>
      </w:r>
      <w:r>
        <w:rPr>
          <w:rFonts w:hint="eastAsia" w:ascii="仿宋_GB2312" w:hAnsi="仿宋" w:eastAsia="仿宋_GB2312" w:cs="仿宋_GB2312"/>
          <w:b/>
          <w:sz w:val="24"/>
          <w:u w:val="single"/>
        </w:rPr>
        <w:t xml:space="preserve">             </w:t>
      </w:r>
      <w:r>
        <w:rPr>
          <w:rFonts w:hint="eastAsia" w:ascii="仿宋_GB2312" w:hAnsi="仿宋" w:eastAsia="仿宋_GB2312" w:cs="仿宋_GB2312"/>
          <w:b/>
          <w:sz w:val="24"/>
        </w:rPr>
        <w:t>；……。</w:t>
      </w:r>
    </w:p>
    <w:p>
      <w:pPr>
        <w:snapToGrid w:val="0"/>
        <w:spacing w:before="50" w:after="50" w:line="360" w:lineRule="auto"/>
        <w:ind w:firstLine="472" w:firstLineChars="196"/>
        <w:jc w:val="left"/>
        <w:rPr>
          <w:rFonts w:hint="eastAsia" w:ascii="仿宋_GB2312" w:hAnsi="仿宋" w:eastAsia="仿宋_GB2312" w:cs="仿宋_GB2312"/>
          <w:b/>
          <w:sz w:val="24"/>
        </w:rPr>
      </w:pPr>
      <w:r>
        <w:rPr>
          <w:rFonts w:hint="eastAsia" w:ascii="仿宋_GB2312" w:hAnsi="仿宋" w:eastAsia="仿宋_GB2312" w:cs="仿宋_GB2312"/>
          <w:b/>
          <w:sz w:val="24"/>
        </w:rPr>
        <w:t>四、中小企业合同金额达到</w:t>
      </w:r>
      <w:r>
        <w:rPr>
          <w:rFonts w:hint="eastAsia" w:ascii="仿宋_GB2312" w:hAnsi="仿宋" w:eastAsia="仿宋_GB2312" w:cs="仿宋_GB2312"/>
          <w:b/>
          <w:sz w:val="24"/>
          <w:u w:val="single"/>
        </w:rPr>
        <w:t xml:space="preserve">  </w:t>
      </w:r>
      <w:r>
        <w:rPr>
          <w:rFonts w:hint="eastAsia" w:ascii="仿宋_GB2312" w:hAnsi="仿宋" w:eastAsia="仿宋_GB2312" w:cs="仿宋_GB2312"/>
          <w:b/>
          <w:sz w:val="24"/>
        </w:rPr>
        <w:t>%，小微企业合同金额达到</w:t>
      </w:r>
      <w:r>
        <w:rPr>
          <w:rFonts w:hint="eastAsia" w:ascii="仿宋_GB2312" w:hAnsi="仿宋" w:eastAsia="仿宋_GB2312" w:cs="仿宋_GB2312"/>
          <w:b/>
          <w:sz w:val="24"/>
          <w:u w:val="single"/>
        </w:rPr>
        <w:t xml:space="preserve"> </w:t>
      </w:r>
      <w:r>
        <w:rPr>
          <w:rFonts w:ascii="仿宋_GB2312" w:hAnsi="仿宋" w:eastAsia="仿宋_GB2312" w:cs="仿宋_GB2312"/>
          <w:b/>
          <w:sz w:val="24"/>
          <w:u w:val="single"/>
        </w:rPr>
        <w:t xml:space="preserve"> </w:t>
      </w:r>
      <w:r>
        <w:rPr>
          <w:rFonts w:hint="eastAsia" w:ascii="仿宋_GB2312" w:hAnsi="仿宋" w:eastAsia="仿宋_GB2312" w:cs="仿宋_GB2312"/>
          <w:b/>
          <w:sz w:val="24"/>
        </w:rPr>
        <w:t>%。</w:t>
      </w:r>
    </w:p>
    <w:p>
      <w:pPr>
        <w:snapToGrid w:val="0"/>
        <w:spacing w:before="50" w:after="50" w:line="360" w:lineRule="auto"/>
        <w:ind w:firstLine="472" w:firstLineChars="196"/>
        <w:jc w:val="left"/>
        <w:rPr>
          <w:rFonts w:hint="eastAsia" w:ascii="仿宋_GB2312" w:hAnsi="仿宋" w:eastAsia="仿宋_GB2312" w:cs="仿宋_GB2312"/>
          <w:b/>
          <w:sz w:val="24"/>
        </w:rPr>
      </w:pPr>
      <w:r>
        <w:rPr>
          <w:rFonts w:hint="eastAsia" w:ascii="仿宋_GB2312" w:hAnsi="仿宋" w:eastAsia="仿宋_GB2312" w:cs="仿宋_GB2312"/>
          <w:b/>
          <w:sz w:val="24"/>
        </w:rPr>
        <w:t>五、如果中标，联合体各成员方共同与采购人签订合同，并就采购合同约定的事项对采购人承担连带责任。</w:t>
      </w:r>
    </w:p>
    <w:p>
      <w:pPr>
        <w:snapToGrid w:val="0"/>
        <w:spacing w:before="50" w:after="50" w:line="360" w:lineRule="auto"/>
        <w:ind w:firstLine="472" w:firstLineChars="196"/>
        <w:jc w:val="left"/>
        <w:rPr>
          <w:rFonts w:hint="eastAsia" w:ascii="仿宋_GB2312" w:hAnsi="仿宋" w:eastAsia="仿宋_GB2312" w:cs="仿宋_GB2312"/>
          <w:b/>
          <w:sz w:val="24"/>
        </w:rPr>
      </w:pPr>
      <w:r>
        <w:rPr>
          <w:rFonts w:hint="eastAsia" w:ascii="仿宋_GB2312" w:hAnsi="仿宋" w:eastAsia="仿宋_GB2312" w:cs="仿宋_GB2312"/>
          <w:b/>
          <w:sz w:val="24"/>
        </w:rPr>
        <w:t>六、有关本次联合投标的其他事宜：</w:t>
      </w:r>
    </w:p>
    <w:p>
      <w:pPr>
        <w:snapToGrid w:val="0"/>
        <w:spacing w:before="50" w:after="50" w:line="360" w:lineRule="auto"/>
        <w:ind w:firstLine="472" w:firstLineChars="196"/>
        <w:jc w:val="left"/>
        <w:rPr>
          <w:rFonts w:hint="eastAsia" w:ascii="仿宋_GB2312" w:hAnsi="仿宋" w:eastAsia="仿宋_GB2312" w:cs="仿宋_GB2312"/>
          <w:b/>
          <w:sz w:val="24"/>
        </w:rPr>
      </w:pPr>
      <w:r>
        <w:rPr>
          <w:rFonts w:hint="eastAsia" w:ascii="仿宋_GB2312" w:hAnsi="仿宋" w:eastAsia="仿宋_GB2312" w:cs="仿宋_GB2312"/>
          <w:b/>
          <w:sz w:val="24"/>
        </w:rPr>
        <w:t>1、联合体各方不再单独参加或者与其他供应商另外组成联合体参加同一合同项下的政府采购活动。</w:t>
      </w:r>
    </w:p>
    <w:p>
      <w:pPr>
        <w:snapToGrid w:val="0"/>
        <w:spacing w:before="50" w:after="50" w:line="360" w:lineRule="auto"/>
        <w:ind w:firstLine="472" w:firstLineChars="196"/>
        <w:jc w:val="left"/>
        <w:rPr>
          <w:rFonts w:hint="eastAsia" w:ascii="仿宋_GB2312" w:hAnsi="仿宋" w:eastAsia="仿宋_GB2312" w:cs="仿宋_GB2312"/>
          <w:b/>
          <w:sz w:val="24"/>
        </w:rPr>
      </w:pPr>
      <w:r>
        <w:rPr>
          <w:rFonts w:hint="eastAsia" w:ascii="仿宋_GB2312" w:hAnsi="仿宋" w:eastAsia="仿宋_GB2312" w:cs="仿宋_GB2312"/>
          <w:b/>
          <w:sz w:val="24"/>
        </w:rPr>
        <w:t>2、联合体中有同类资质的各方按照联合体分工承担相同工作的，按照资质等级较低的供应商确定资质等级。</w:t>
      </w:r>
    </w:p>
    <w:p>
      <w:pPr>
        <w:snapToGrid w:val="0"/>
        <w:spacing w:before="50" w:after="50" w:line="360" w:lineRule="auto"/>
        <w:ind w:firstLine="472" w:firstLineChars="196"/>
        <w:jc w:val="left"/>
        <w:rPr>
          <w:rFonts w:hint="eastAsia" w:ascii="仿宋_GB2312" w:hAnsi="仿宋" w:eastAsia="仿宋_GB2312" w:cs="仿宋_GB2312"/>
          <w:b/>
          <w:sz w:val="24"/>
        </w:rPr>
      </w:pPr>
      <w:r>
        <w:rPr>
          <w:rFonts w:hint="eastAsia" w:ascii="仿宋_GB2312" w:hAnsi="仿宋" w:eastAsia="仿宋_GB2312" w:cs="仿宋_GB2312"/>
          <w:b/>
          <w:sz w:val="24"/>
        </w:rPr>
        <w:t>3、本协议提交采购人、采购代理机构后，联合体各方不得以任何形式对上述内容进行修改或撤销。</w:t>
      </w:r>
    </w:p>
    <w:p>
      <w:pPr>
        <w:snapToGrid w:val="0"/>
        <w:spacing w:before="50" w:after="50" w:line="360" w:lineRule="auto"/>
        <w:ind w:firstLine="472" w:firstLineChars="196"/>
        <w:jc w:val="left"/>
        <w:rPr>
          <w:rFonts w:hint="eastAsia" w:ascii="仿宋_GB2312" w:hAnsi="仿宋" w:eastAsia="仿宋_GB2312" w:cs="仿宋_GB2312"/>
          <w:b/>
          <w:sz w:val="24"/>
        </w:rPr>
      </w:pPr>
      <w:r>
        <w:rPr>
          <w:rFonts w:hint="eastAsia" w:ascii="仿宋_GB2312" w:hAnsi="仿宋" w:eastAsia="仿宋_GB2312" w:cs="仿宋_GB2312"/>
          <w:b/>
          <w:sz w:val="24"/>
        </w:rPr>
        <w:t>联合体成员名称(电子签名/公章)：</w:t>
      </w:r>
    </w:p>
    <w:p>
      <w:pPr>
        <w:snapToGrid w:val="0"/>
        <w:spacing w:before="50" w:after="50" w:line="360" w:lineRule="auto"/>
        <w:ind w:firstLine="472" w:firstLineChars="196"/>
        <w:jc w:val="left"/>
        <w:rPr>
          <w:rFonts w:hint="eastAsia" w:ascii="仿宋_GB2312" w:hAnsi="仿宋" w:eastAsia="仿宋_GB2312" w:cs="仿宋_GB2312"/>
          <w:b/>
          <w:sz w:val="24"/>
        </w:rPr>
      </w:pPr>
      <w:r>
        <w:rPr>
          <w:rFonts w:hint="eastAsia" w:ascii="仿宋_GB2312" w:hAnsi="仿宋" w:eastAsia="仿宋_GB2312" w:cs="仿宋_GB2312"/>
          <w:b/>
          <w:sz w:val="24"/>
        </w:rPr>
        <w:t>联合体成员名称(电子签名/公章)：</w:t>
      </w:r>
    </w:p>
    <w:p>
      <w:pPr>
        <w:snapToGrid w:val="0"/>
        <w:spacing w:before="50" w:after="50" w:line="360" w:lineRule="auto"/>
        <w:ind w:firstLine="472" w:firstLineChars="196"/>
        <w:jc w:val="left"/>
        <w:rPr>
          <w:rFonts w:ascii="仿宋_GB2312" w:hAnsi="仿宋" w:eastAsia="仿宋_GB2312" w:cs="仿宋_GB2312"/>
          <w:b/>
          <w:sz w:val="24"/>
        </w:rPr>
      </w:pPr>
      <w:r>
        <w:rPr>
          <w:rFonts w:hint="eastAsia" w:ascii="仿宋_GB2312" w:hAnsi="仿宋" w:eastAsia="仿宋_GB2312" w:cs="仿宋_GB2312"/>
          <w:b/>
          <w:sz w:val="24"/>
        </w:rPr>
        <w:t>……</w:t>
      </w:r>
    </w:p>
    <w:p>
      <w:pPr>
        <w:snapToGrid w:val="0"/>
        <w:spacing w:before="50" w:after="50" w:line="360" w:lineRule="auto"/>
        <w:ind w:firstLine="472" w:firstLineChars="196"/>
        <w:jc w:val="left"/>
        <w:rPr>
          <w:rFonts w:ascii="仿宋_GB2312" w:hAnsi="仿宋" w:eastAsia="仿宋_GB2312" w:cs="仿宋_GB2312"/>
          <w:b/>
          <w:sz w:val="24"/>
        </w:rPr>
      </w:pPr>
      <w:r>
        <w:rPr>
          <w:rFonts w:hint="eastAsia" w:ascii="仿宋_GB2312" w:hAnsi="仿宋" w:eastAsia="仿宋_GB2312" w:cs="仿宋_GB2312"/>
          <w:b/>
          <w:sz w:val="24"/>
        </w:rPr>
        <w:t xml:space="preserve">                                               日期：  年  月   日</w:t>
      </w:r>
    </w:p>
    <w:p>
      <w:pPr>
        <w:pStyle w:val="2"/>
        <w:rPr>
          <w:lang w:val="en-US"/>
        </w:rPr>
      </w:pPr>
    </w:p>
    <w:p>
      <w:pPr>
        <w:pStyle w:val="2"/>
        <w:rPr>
          <w:lang w:val="en-US"/>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w:t>
      </w:r>
      <w:r>
        <w:rPr>
          <w:rFonts w:hint="eastAsia" w:ascii="仿宋_GB2312" w:hAnsi="仿宋" w:eastAsia="仿宋_GB2312" w:cs="仿宋_GB2312"/>
          <w:sz w:val="24"/>
        </w:rPr>
        <w:t>及被授权人身份证明或</w:t>
      </w:r>
      <w:r>
        <w:rPr>
          <w:rFonts w:ascii="仿宋_GB2312" w:hAnsi="仿宋" w:eastAsia="仿宋_GB2312" w:cs="仿宋_GB2312"/>
          <w:sz w:val="24"/>
        </w:rPr>
        <w:t>法定代表人（单位负责人）身份证明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ascii="仿宋_GB2312" w:hAnsi="仿宋" w:eastAsia="仿宋_GB2312" w:cs="仿宋_GB2312"/>
          <w:sz w:val="24"/>
        </w:rPr>
        <w:t>（如需）</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（4</w:t>
      </w:r>
      <w:r>
        <w:rPr>
          <w:rFonts w:ascii="仿宋_GB2312" w:hAnsi="仿宋" w:eastAsia="仿宋_GB2312" w:cs="仿宋_GB2312"/>
          <w:sz w:val="24"/>
        </w:rPr>
        <w:t>）符合性审查资料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（5</w:t>
      </w:r>
      <w:r>
        <w:rPr>
          <w:rFonts w:ascii="仿宋_GB2312" w:hAnsi="仿宋" w:eastAsia="仿宋_GB2312" w:cs="仿宋_GB2312"/>
          <w:sz w:val="24"/>
        </w:rPr>
        <w:t>）评标标准相应的商务技术资料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（6</w:t>
      </w:r>
      <w:r>
        <w:rPr>
          <w:rFonts w:ascii="仿宋_GB2312" w:hAnsi="仿宋" w:eastAsia="仿宋_GB2312" w:cs="仿宋_GB2312"/>
          <w:sz w:val="24"/>
        </w:rPr>
        <w:t>）商务技术偏离表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hint="eastAsia" w:ascii="仿宋_GB2312" w:hAnsi="仿宋" w:eastAsia="仿宋_GB2312" w:cs="仿宋_GB2312"/>
          <w:sz w:val="24"/>
        </w:rPr>
        <w:t>7</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pStyle w:val="2"/>
        <w:rPr>
          <w:lang w:val="en-US"/>
        </w:rPr>
      </w:pPr>
    </w:p>
    <w:p>
      <w:pPr>
        <w:snapToGrid w:val="0"/>
        <w:spacing w:line="360" w:lineRule="auto"/>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210" w:leftChars="100" w:firstLine="480" w:firstLineChars="200"/>
        <w:rPr>
          <w:rFonts w:ascii="仿宋_GB2312" w:hAnsi="仿宋" w:eastAsia="仿宋_GB2312" w:cs="仿宋_GB2312"/>
          <w:sz w:val="24"/>
        </w:rPr>
      </w:pPr>
      <w:r>
        <w:rPr>
          <w:rFonts w:hint="eastAsia" w:ascii="仿宋_GB2312" w:hAnsi="仿宋" w:eastAsia="仿宋_GB2312" w:cs="仿宋_GB2312"/>
          <w:sz w:val="24"/>
        </w:rPr>
        <w:t xml:space="preserve">  2.1.2</w:t>
      </w:r>
      <w:r>
        <w:rPr>
          <w:rFonts w:ascii="仿宋_GB2312" w:hAnsi="仿宋" w:eastAsia="仿宋_GB2312" w:cs="仿宋_GB2312"/>
          <w:sz w:val="24"/>
        </w:rPr>
        <w:t>中小企业声明函</w:t>
      </w:r>
      <w:r>
        <w:rPr>
          <w:rFonts w:hint="eastAsia" w:ascii="仿宋_GB2312" w:hAnsi="仿宋" w:eastAsia="仿宋_GB2312" w:cs="仿宋_GB2312"/>
          <w:sz w:val="24"/>
        </w:rPr>
        <w:t>；</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w:t>
      </w:r>
      <w:r>
        <w:rPr>
          <w:rFonts w:hint="eastAsia" w:ascii="仿宋_GB2312" w:hAnsi="仿宋" w:eastAsia="仿宋_GB2312" w:cs="仿宋_GB2312"/>
          <w:sz w:val="24"/>
        </w:rPr>
        <w:t>及被授权人身份证明，若</w:t>
      </w:r>
      <w:r>
        <w:rPr>
          <w:rFonts w:ascii="仿宋_GB2312" w:hAnsi="仿宋" w:eastAsia="仿宋_GB2312" w:cs="仿宋_GB2312"/>
          <w:sz w:val="24"/>
        </w:rPr>
        <w:t>法定代表人（单位负责人）</w:t>
      </w:r>
      <w:r>
        <w:rPr>
          <w:rFonts w:hint="eastAsia" w:ascii="仿宋_GB2312" w:hAnsi="仿宋" w:eastAsia="仿宋_GB2312" w:cs="仿宋_GB2312"/>
          <w:sz w:val="24"/>
        </w:rPr>
        <w:t>参加则提供其</w:t>
      </w:r>
      <w:r>
        <w:rPr>
          <w:rFonts w:ascii="仿宋_GB2312" w:hAnsi="仿宋" w:eastAsia="仿宋_GB2312" w:cs="仿宋_GB2312"/>
          <w:sz w:val="24"/>
        </w:rPr>
        <w:t>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r>
        <w:rPr>
          <w:rFonts w:hint="eastAsia"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pStyle w:val="2"/>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pStyle w:val="175"/>
        <w:spacing w:line="360" w:lineRule="auto"/>
        <w:rPr>
          <w:rFonts w:ascii="仿宋_GB2312" w:hAnsi="仿宋" w:eastAsia="仿宋_GB2312"/>
          <w:bCs/>
          <w:sz w:val="24"/>
        </w:rPr>
      </w:pPr>
      <w:r>
        <w:rPr>
          <w:rFonts w:hint="eastAsia" w:ascii="仿宋_GB2312" w:hAnsi="仿宋" w:eastAsia="仿宋_GB2312"/>
          <w:bCs/>
          <w:sz w:val="24"/>
        </w:rPr>
        <w:t>被授权人身份证件扫描件：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5"/>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75"/>
              <w:adjustRightInd w:val="0"/>
              <w:spacing w:line="360" w:lineRule="auto"/>
              <w:rPr>
                <w:rFonts w:ascii="仿宋_GB2312" w:hAnsi="仿宋" w:eastAsia="仿宋_GB2312"/>
                <w:bCs/>
                <w:sz w:val="24"/>
              </w:rPr>
            </w:pPr>
          </w:p>
        </w:tc>
      </w:tr>
    </w:tbl>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p>
    <w:p>
      <w:pPr>
        <w:pStyle w:val="2"/>
      </w:pPr>
    </w:p>
    <w:p>
      <w:pPr>
        <w:snapToGrid w:val="0"/>
        <w:spacing w:line="360" w:lineRule="auto"/>
        <w:rPr>
          <w:rFonts w:ascii="仿宋_GB2312" w:hAnsi="仿宋" w:eastAsia="仿宋_GB2312" w:cs="仿宋_GB2312"/>
          <w:kern w:val="0"/>
          <w:sz w:val="24"/>
          <w:lang w:val="zh-CN"/>
        </w:rPr>
      </w:pP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75"/>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5"/>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75"/>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】标的</w:t>
      </w:r>
      <w:r>
        <w:rPr>
          <w:rFonts w:hint="eastAsia" w:ascii="仿宋_GB2312" w:hAnsi="仿宋" w:eastAsia="仿宋_GB2312" w:cs="仿宋_GB2312"/>
          <w:sz w:val="24"/>
          <w:u w:val="single"/>
        </w:rPr>
        <w:t xml:space="preserve"> </w:t>
      </w:r>
      <w:r>
        <w:rPr>
          <w:rFonts w:ascii="仿宋_GB2312" w:hAnsi="仿宋" w:eastAsia="仿宋_GB2312" w:cs="仿宋_GB2312"/>
          <w:sz w:val="24"/>
          <w:u w:val="single"/>
        </w:rPr>
        <w:t xml:space="preserve">   </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提供的服务由小微企业承接，其合同份额占到合同总金额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四、符合性审查资料</w:t>
      </w:r>
    </w:p>
    <w:p>
      <w:pPr>
        <w:jc w:val="center"/>
        <w:rPr>
          <w:rFonts w:ascii="仿宋_GB2312" w:hAnsi="仿宋" w:eastAsia="仿宋_GB2312" w:cs="仿宋_GB2312"/>
          <w:b/>
          <w:kern w:val="0"/>
          <w:sz w:val="32"/>
          <w:szCs w:val="32"/>
        </w:rPr>
      </w:pPr>
    </w:p>
    <w:tbl>
      <w:tblPr>
        <w:tblStyle w:val="62"/>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3714"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投标文件按照招标文件要求签署、盖章。</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投标文件中承诺的投标有效期不少于招标文件中载明的投标有效期。</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招标文件其它实质性要求相应的材料（“★” 系指实质性要求条款，招标文件无其它实质性要求的，无需提供）</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2"/>
        <w:rPr>
          <w:rFonts w:cs="仿宋_GB2312"/>
          <w:kern w:val="0"/>
        </w:rPr>
      </w:pPr>
    </w:p>
    <w:p>
      <w:pPr>
        <w:rPr>
          <w:rFonts w:ascii="仿宋_GB2312" w:hAnsi="仿宋" w:eastAsia="仿宋_GB2312" w:cs="仿宋_GB2312"/>
          <w:b/>
          <w:kern w:val="0"/>
          <w:sz w:val="32"/>
          <w:szCs w:val="32"/>
        </w:rPr>
      </w:pPr>
    </w:p>
    <w:p>
      <w:pPr>
        <w:pStyle w:val="2"/>
        <w:rPr>
          <w:rFonts w:cs="仿宋_GB2312"/>
          <w:kern w:val="0"/>
        </w:rPr>
      </w:pPr>
    </w:p>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五、评标标准相应的商务技术资料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六、商务技术偏离表</w:t>
      </w:r>
    </w:p>
    <w:tbl>
      <w:tblPr>
        <w:tblStyle w:val="6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289"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940" w:type="dxa"/>
          </w:tcPr>
          <w:p>
            <w:pPr>
              <w:jc w:val="center"/>
              <w:rPr>
                <w:rFonts w:ascii="仿宋_GB2312" w:hAnsi="仿宋" w:eastAsia="仿宋_GB2312"/>
                <w:b/>
                <w:bCs/>
                <w:sz w:val="24"/>
              </w:rPr>
            </w:pPr>
            <w:r>
              <w:rPr>
                <w:rFonts w:hint="eastAsia" w:ascii="仿宋_GB2312" w:hAnsi="仿宋" w:eastAsia="仿宋_GB2312"/>
                <w:b/>
                <w:bCs/>
                <w:sz w:val="24"/>
              </w:rPr>
              <w:t>投标文件章节（页码）及具体内容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注：</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1、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2、投标人递交的技术规格书中必须真实逐条列明，否则由投标人自行承担相关风险。</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3、此表在不改变格式的情况下可自行制作。</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4、此表置于商务技术文件中。</w:t>
      </w:r>
    </w:p>
    <w:p>
      <w:pPr>
        <w:jc w:val="left"/>
        <w:rPr>
          <w:rFonts w:ascii="仿宋_GB2312" w:hAnsi="仿宋" w:eastAsia="仿宋_GB2312" w:cs="仿宋_GB2312"/>
          <w:b/>
          <w:kern w:val="0"/>
          <w:sz w:val="24"/>
        </w:rPr>
      </w:pPr>
      <w:r>
        <w:rPr>
          <w:rFonts w:hint="eastAsia" w:ascii="仿宋_GB2312" w:hAnsi="仿宋" w:eastAsia="仿宋_GB2312" w:cs="仿宋_GB2312"/>
          <w:b/>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5"/>
        <w:keepNext w:val="0"/>
        <w:pageBreakBefore w:val="0"/>
        <w:numPr>
          <w:ilvl w:val="0"/>
          <w:numId w:val="5"/>
        </w:numPr>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开标一览表（报价表）</w:t>
      </w:r>
    </w:p>
    <w:p>
      <w:pPr>
        <w:pStyle w:val="695"/>
        <w:keepNext w:val="0"/>
        <w:pageBreakBefore w:val="0"/>
        <w:tabs>
          <w:tab w:val="clear" w:pos="720"/>
        </w:tabs>
        <w:snapToGrid w:val="0"/>
        <w:spacing w:before="120" w:after="120"/>
        <w:jc w:val="both"/>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本次投标报价以浙江省收费标准的折扣率形式进行综合报价（</w:t>
      </w:r>
      <w:r>
        <w:rPr>
          <w:rFonts w:hint="eastAsia" w:ascii="仿宋_GB2312" w:hAnsi="仿宋" w:eastAsia="仿宋_GB2312" w:cs="仿宋_GB2312"/>
          <w:kern w:val="2"/>
          <w:sz w:val="32"/>
          <w:szCs w:val="32"/>
          <w:u w:val="single"/>
        </w:rPr>
        <w:t>即每一标段统一折扣率</w:t>
      </w:r>
      <w:r>
        <w:rPr>
          <w:rFonts w:hint="eastAsia" w:ascii="仿宋_GB2312" w:hAnsi="仿宋" w:eastAsia="仿宋_GB2312" w:cs="仿宋_GB2312"/>
          <w:kern w:val="2"/>
          <w:sz w:val="32"/>
          <w:szCs w:val="32"/>
        </w:rPr>
        <w:t>）。中标单价为浙江省收费标准*折扣率。费用按实结算。</w:t>
      </w:r>
    </w:p>
    <w:tbl>
      <w:tblPr>
        <w:tblStyle w:val="62"/>
        <w:tblW w:w="12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2963"/>
        <w:gridCol w:w="1843"/>
        <w:gridCol w:w="311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2122"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标段</w:t>
            </w:r>
          </w:p>
        </w:tc>
        <w:tc>
          <w:tcPr>
            <w:tcW w:w="296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2552"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2122"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2963"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2552"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122"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2963" w:type="dxa"/>
            <w:vAlign w:val="center"/>
          </w:tcPr>
          <w:p>
            <w:pPr>
              <w:snapToGrid w:val="0"/>
              <w:spacing w:line="360" w:lineRule="auto"/>
              <w:jc w:val="center"/>
              <w:rPr>
                <w:rFonts w:ascii="仿宋_GB2312" w:hAnsi="仿宋" w:eastAsia="仿宋_GB2312" w:cs="仿宋_GB2312"/>
                <w:sz w:val="24"/>
              </w:rPr>
            </w:pPr>
          </w:p>
          <w:p>
            <w:pPr>
              <w:pStyle w:val="2"/>
              <w:rPr>
                <w:lang w:val="en-US"/>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2552"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2122"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3</w:t>
            </w:r>
          </w:p>
        </w:tc>
        <w:tc>
          <w:tcPr>
            <w:tcW w:w="2963"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2552" w:type="dxa"/>
            <w:vAlign w:val="center"/>
          </w:tcPr>
          <w:p>
            <w:pPr>
              <w:spacing w:line="360" w:lineRule="auto"/>
              <w:jc w:val="center"/>
              <w:rPr>
                <w:rFonts w:ascii="仿宋_GB2312" w:hAnsi="仿宋" w:eastAsia="仿宋_GB2312" w:cs="仿宋_GB2312"/>
                <w:sz w:val="24"/>
              </w:rPr>
            </w:pPr>
          </w:p>
        </w:tc>
      </w:tr>
    </w:tbl>
    <w:p>
      <w:pPr>
        <w:snapToGrid w:val="0"/>
        <w:spacing w:line="360" w:lineRule="auto"/>
        <w:ind w:firstLine="8674" w:firstLineChars="3600"/>
        <w:rPr>
          <w:rFonts w:ascii="仿宋_GB2312" w:hAnsi="仿宋" w:eastAsia="仿宋_GB2312" w:cs="仿宋_GB2312"/>
          <w:b/>
          <w:kern w:val="0"/>
          <w:sz w:val="24"/>
          <w:lang w:val="zh-CN"/>
        </w:rPr>
      </w:pPr>
    </w:p>
    <w:p>
      <w:pPr>
        <w:snapToGrid w:val="0"/>
        <w:spacing w:line="360" w:lineRule="auto"/>
        <w:ind w:firstLine="8674" w:firstLineChars="3600"/>
        <w:rPr>
          <w:rFonts w:ascii="仿宋_GB2312" w:hAnsi="仿宋" w:eastAsia="仿宋_GB2312" w:cs="仿宋_GB2312"/>
          <w:b/>
          <w:kern w:val="0"/>
          <w:sz w:val="24"/>
          <w:lang w:val="zh-CN"/>
        </w:rPr>
      </w:pPr>
    </w:p>
    <w:p>
      <w:pPr>
        <w:snapToGrid w:val="0"/>
        <w:spacing w:line="360" w:lineRule="auto"/>
        <w:ind w:firstLine="8674" w:firstLineChars="360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投标人名称（电子签名）：</w:t>
      </w:r>
    </w:p>
    <w:p>
      <w:pPr>
        <w:snapToGrid w:val="0"/>
        <w:spacing w:line="360" w:lineRule="auto"/>
        <w:ind w:firstLine="9638" w:firstLineChars="400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 xml:space="preserve">日 </w:t>
      </w:r>
      <w:r>
        <w:rPr>
          <w:rFonts w:ascii="仿宋_GB2312" w:hAnsi="仿宋" w:eastAsia="仿宋_GB2312" w:cs="仿宋_GB2312"/>
          <w:b/>
          <w:kern w:val="0"/>
          <w:sz w:val="24"/>
          <w:lang w:val="zh-CN"/>
        </w:rPr>
        <w:t xml:space="preserve"> </w:t>
      </w:r>
      <w:r>
        <w:rPr>
          <w:rFonts w:hint="eastAsia" w:ascii="仿宋_GB2312" w:hAnsi="仿宋" w:eastAsia="仿宋_GB2312" w:cs="仿宋_GB2312"/>
          <w:b/>
          <w:kern w:val="0"/>
          <w:sz w:val="24"/>
          <w:lang w:val="zh-CN"/>
        </w:rPr>
        <w:t>期：</w:t>
      </w:r>
    </w:p>
    <w:p>
      <w:pPr>
        <w:snapToGrid w:val="0"/>
        <w:spacing w:line="360" w:lineRule="auto"/>
        <w:ind w:left="480"/>
        <w:rPr>
          <w:rFonts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w:t>
      </w:r>
      <w:r>
        <w:rPr>
          <w:rFonts w:hint="eastAsia" w:ascii="仿宋_GB2312" w:hAnsi="仿宋" w:eastAsia="仿宋_GB2312" w:cs="仿宋_GB2312"/>
          <w:kern w:val="0"/>
          <w:sz w:val="24"/>
          <w:lang w:val="zh-CN"/>
        </w:rPr>
        <w:t>单位统一均为人民币元</w:t>
      </w:r>
      <w:r>
        <w:rPr>
          <w:rFonts w:ascii="仿宋_GB2312" w:hAnsi="仿宋" w:eastAsia="仿宋_GB2312" w:cs="仿宋_GB2312"/>
          <w:kern w:val="0"/>
          <w:sz w:val="24"/>
          <w:lang w:val="zh-CN"/>
        </w:rPr>
        <w:t>。</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4、特别提示：采购代理机构将对项目名称和项目编号，中标供应商名称、地址和中标金额，主要中标标的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695"/>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4</w:t>
      </w:r>
      <w:r>
        <w:rPr>
          <w:rFonts w:ascii="仿宋_GB2312" w:hAnsi="仿宋" w:eastAsia="仿宋_GB2312" w:cs="仿宋_GB2312"/>
          <w:b/>
          <w:sz w:val="24"/>
        </w:rPr>
        <w:t>）。</w:t>
      </w:r>
      <w:r>
        <w:rPr>
          <w:rFonts w:hint="eastAsia" w:ascii="仿宋_GB2312" w:hAnsi="仿宋" w:eastAsia="仿宋_GB2312" w:cs="仿宋_GB2312"/>
          <w:b/>
          <w:sz w:val="24"/>
        </w:rPr>
        <w:t>]</w:t>
      </w:r>
    </w:p>
    <w:p>
      <w:pPr>
        <w:pStyle w:val="695"/>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snapToGrid w:val="0"/>
          <w:kern w:val="28"/>
          <w:sz w:val="24"/>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p>
      <w:pPr>
        <w:spacing w:line="360" w:lineRule="auto"/>
        <w:ind w:left="5060" w:hanging="5060" w:hangingChars="2100"/>
        <w:rPr>
          <w:rFonts w:ascii="仿宋_GB2312" w:hAnsi="仿宋" w:eastAsia="仿宋_GB2312" w:cs="仿宋_GB2312"/>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394" w:name="_Toc465665161"/>
      <w:r>
        <w:rPr>
          <w:rFonts w:hint="eastAsia" w:ascii="仿宋_GB2312" w:hAnsi="仿宋" w:eastAsia="仿宋_GB2312"/>
        </w:rPr>
        <w:t>附件</w:t>
      </w:r>
      <w:bookmarkEnd w:id="394"/>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395" w:name="OLE_LINK13"/>
      <w:bookmarkStart w:id="396" w:name="OLE_LINK14"/>
      <w:r>
        <w:rPr>
          <w:rFonts w:hint="eastAsia" w:ascii="仿宋_GB2312" w:hAnsi="仿宋" w:eastAsia="仿宋_GB2312"/>
          <w:b/>
          <w:spacing w:val="6"/>
          <w:sz w:val="32"/>
          <w:szCs w:val="32"/>
        </w:rPr>
        <w:t>残疾人福利性单位声明函</w:t>
      </w:r>
    </w:p>
    <w:bookmarkEnd w:id="395"/>
    <w:bookmarkEnd w:id="396"/>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pStyle w:val="2"/>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宋体" w:cs="宋体"/>
          <w:b/>
          <w:bCs/>
          <w:sz w:val="32"/>
          <w:szCs w:val="32"/>
        </w:rPr>
      </w:pPr>
      <w:r>
        <w:rPr>
          <w:rFonts w:hint="eastAsia" w:ascii="宋体" w:hAnsi="宋体" w:cs="宋体"/>
          <w:b/>
          <w:spacing w:val="6"/>
          <w:sz w:val="32"/>
          <w:szCs w:val="32"/>
        </w:rPr>
        <w:t>附件</w:t>
      </w:r>
      <w:r>
        <w:rPr>
          <w:rFonts w:ascii="宋体" w:hAnsi="宋体" w:cs="宋体"/>
          <w:b/>
          <w:spacing w:val="6"/>
          <w:sz w:val="32"/>
          <w:szCs w:val="32"/>
        </w:rPr>
        <w:t>4</w:t>
      </w:r>
      <w:r>
        <w:rPr>
          <w:rFonts w:hint="eastAsia" w:ascii="宋体" w:hAnsi="宋体" w:cs="宋体"/>
          <w:b/>
          <w:spacing w:val="6"/>
          <w:sz w:val="32"/>
          <w:szCs w:val="32"/>
        </w:rPr>
        <w:t>：</w:t>
      </w:r>
      <w:r>
        <w:rPr>
          <w:rFonts w:hint="eastAsia" w:ascii="宋体" w:hAnsi="宋体" w:cs="宋体"/>
          <w:b/>
          <w:sz w:val="32"/>
          <w:szCs w:val="32"/>
        </w:rPr>
        <w:t>中小企业声明函</w:t>
      </w:r>
    </w:p>
    <w:p>
      <w:pPr>
        <w:spacing w:line="360" w:lineRule="auto"/>
        <w:rPr>
          <w:rFonts w:ascii="宋体" w:cs="宋体"/>
          <w:b/>
          <w:sz w:val="32"/>
          <w:szCs w:val="32"/>
        </w:rPr>
      </w:pPr>
    </w:p>
    <w:p>
      <w:pPr>
        <w:spacing w:line="360" w:lineRule="auto"/>
        <w:jc w:val="center"/>
        <w:rPr>
          <w:rFonts w:ascii="宋体" w:cs="宋体"/>
          <w:b/>
          <w:sz w:val="32"/>
          <w:szCs w:val="32"/>
        </w:rPr>
      </w:pPr>
      <w:r>
        <w:rPr>
          <w:rFonts w:hint="eastAsia" w:ascii="宋体" w:hAnsi="宋体" w:cs="宋体"/>
          <w:b/>
          <w:sz w:val="32"/>
          <w:szCs w:val="32"/>
        </w:rPr>
        <w:t>中小企业声明函（工程、服务）</w:t>
      </w:r>
    </w:p>
    <w:p>
      <w:pPr>
        <w:spacing w:line="360" w:lineRule="auto"/>
        <w:rPr>
          <w:rFonts w:ascii="宋体" w:cs="宋体"/>
        </w:rPr>
      </w:pPr>
    </w:p>
    <w:p>
      <w:pPr>
        <w:spacing w:line="360" w:lineRule="auto"/>
        <w:ind w:firstLine="360" w:firstLineChars="150"/>
        <w:jc w:val="left"/>
        <w:rPr>
          <w:rFonts w:ascii="宋体" w:cs="宋体"/>
          <w:sz w:val="24"/>
        </w:rPr>
      </w:pPr>
      <w:r>
        <w:rPr>
          <w:rFonts w:hint="eastAsia" w:ascii="宋体" w:hAnsi="宋体" w:cs="宋体"/>
          <w:sz w:val="24"/>
        </w:rPr>
        <w:t>本公司（联合体）郑重声明，根据《政府采购促进中小企业发展管理办法》（财库﹝</w:t>
      </w:r>
      <w:r>
        <w:rPr>
          <w:rFonts w:ascii="宋体" w:hAnsi="宋体" w:cs="宋体"/>
          <w:sz w:val="24"/>
        </w:rPr>
        <w:t>2020</w:t>
      </w:r>
      <w:r>
        <w:rPr>
          <w:rFonts w:hint="eastAsia" w:ascii="宋体" w:hAnsi="宋体" w:cs="宋体"/>
          <w:sz w:val="24"/>
        </w:rPr>
        <w:t>﹞</w:t>
      </w:r>
      <w:r>
        <w:rPr>
          <w:rFonts w:ascii="宋体" w:hAnsi="宋体" w:cs="宋体"/>
          <w:sz w:val="24"/>
        </w:rPr>
        <w:t xml:space="preserve">46 </w:t>
      </w:r>
      <w:r>
        <w:rPr>
          <w:rFonts w:hint="eastAsia" w:ascii="宋体" w:hAnsi="宋体" w:cs="宋体"/>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cs="宋体"/>
          <w:sz w:val="24"/>
        </w:rPr>
      </w:pPr>
      <w:r>
        <w:rPr>
          <w:rFonts w:ascii="宋体" w:hAnsi="宋体" w:cs="宋体"/>
          <w:sz w:val="24"/>
        </w:rPr>
        <w:t>1.</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（采购文件中明确的所属行业）</w:t>
      </w:r>
      <w:r>
        <w:rPr>
          <w:rFonts w:hint="eastAsia" w:ascii="宋体" w:hAnsi="宋体" w:cs="宋体"/>
          <w:sz w:val="24"/>
        </w:rPr>
        <w:t>；承建（承接）企业为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sz w:val="24"/>
          <w:u w:val="single"/>
        </w:rPr>
        <w:t>（中型企业、小型企业、微型企业）</w:t>
      </w:r>
      <w:r>
        <w:rPr>
          <w:rFonts w:hint="eastAsia" w:ascii="宋体" w:hAnsi="宋体" w:cs="宋体"/>
          <w:sz w:val="24"/>
        </w:rPr>
        <w:t>；</w:t>
      </w:r>
    </w:p>
    <w:p>
      <w:pPr>
        <w:spacing w:line="360" w:lineRule="auto"/>
        <w:ind w:firstLine="480" w:firstLineChars="200"/>
        <w:jc w:val="left"/>
        <w:rPr>
          <w:rFonts w:ascii="宋体" w:cs="宋体"/>
          <w:sz w:val="24"/>
        </w:rPr>
      </w:pPr>
      <w:r>
        <w:rPr>
          <w:rFonts w:ascii="宋体" w:hAnsi="宋体" w:cs="宋体"/>
          <w:sz w:val="24"/>
        </w:rPr>
        <w:t>2.</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（采购文件中明确的所属行业）</w:t>
      </w:r>
      <w:r>
        <w:rPr>
          <w:rFonts w:hint="eastAsia" w:ascii="宋体" w:hAnsi="宋体" w:cs="宋体"/>
          <w:sz w:val="24"/>
        </w:rPr>
        <w:t>；承建（承接）企业为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sz w:val="24"/>
          <w:u w:val="single"/>
        </w:rPr>
        <w:t>（中型企业、小型企业、微型企业）</w:t>
      </w:r>
      <w:r>
        <w:rPr>
          <w:rFonts w:hint="eastAsia" w:ascii="宋体" w:hAnsi="宋体" w:cs="宋体"/>
          <w:sz w:val="24"/>
        </w:rPr>
        <w:t>；</w:t>
      </w:r>
    </w:p>
    <w:p>
      <w:pPr>
        <w:spacing w:line="360" w:lineRule="auto"/>
        <w:ind w:firstLine="480" w:firstLineChars="200"/>
        <w:jc w:val="left"/>
        <w:rPr>
          <w:rFonts w:ascii="宋体" w:cs="宋体"/>
          <w:sz w:val="24"/>
        </w:rPr>
      </w:pPr>
      <w:r>
        <w:rPr>
          <w:rFonts w:hint="eastAsia" w:ascii="宋体" w:hAnsi="宋体" w:cs="宋体"/>
          <w:sz w:val="24"/>
        </w:rPr>
        <w:t>……</w:t>
      </w:r>
    </w:p>
    <w:p>
      <w:pPr>
        <w:spacing w:line="360" w:lineRule="auto"/>
        <w:ind w:firstLine="480" w:firstLineChars="200"/>
        <w:jc w:val="left"/>
        <w:rPr>
          <w:rFonts w:asci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cs="宋体"/>
          <w:sz w:val="24"/>
        </w:rPr>
      </w:pPr>
      <w:r>
        <w:rPr>
          <w:rFonts w:hint="eastAsia" w:ascii="宋体" w:hAnsi="宋体" w:cs="宋体"/>
          <w:sz w:val="24"/>
        </w:rPr>
        <w:t>投标人名称（电子签名）：</w:t>
      </w:r>
    </w:p>
    <w:p>
      <w:pPr>
        <w:spacing w:line="360" w:lineRule="auto"/>
        <w:ind w:right="1120" w:firstLine="4680" w:firstLineChars="1950"/>
        <w:rPr>
          <w:rFonts w:ascii="宋体" w:cs="宋体"/>
          <w:sz w:val="24"/>
        </w:rPr>
      </w:pPr>
      <w:r>
        <w:rPr>
          <w:rFonts w:hint="eastAsia" w:ascii="宋体" w:hAnsi="宋体" w:cs="宋体"/>
          <w:sz w:val="24"/>
        </w:rPr>
        <w:t>日期：</w:t>
      </w:r>
    </w:p>
    <w:p>
      <w:pPr>
        <w:spacing w:line="360" w:lineRule="auto"/>
        <w:ind w:firstLine="310" w:firstLineChars="147"/>
        <w:jc w:val="left"/>
        <w:rPr>
          <w:rFonts w:asci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cs="宋体"/>
          <w:sz w:val="24"/>
        </w:rPr>
      </w:pPr>
    </w:p>
    <w:p>
      <w:pPr>
        <w:spacing w:line="360" w:lineRule="auto"/>
        <w:ind w:right="420"/>
        <w:rPr>
          <w:rFonts w:ascii="宋体" w:cs="宋体"/>
          <w:sz w:val="24"/>
        </w:rPr>
      </w:pPr>
      <w:r>
        <w:rPr>
          <w:rFonts w:hint="eastAsia" w:ascii="宋体" w:hAnsi="宋体" w:cs="宋体"/>
          <w:sz w:val="24"/>
        </w:rPr>
        <w:t>注：符合《关于促进残疾人就业政府采购政策的通知》（财库〔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141</w:t>
      </w:r>
      <w:r>
        <w:rPr>
          <w:rFonts w:hint="eastAsia" w:ascii="宋体" w:hAnsi="宋体" w:cs="宋体"/>
          <w:sz w:val="24"/>
        </w:rPr>
        <w:t>号）规定的条件并提供《残疾人福利性单位声明函》（附件</w:t>
      </w:r>
      <w:r>
        <w:rPr>
          <w:rFonts w:ascii="宋体" w:hAnsi="宋体" w:cs="宋体"/>
          <w:sz w:val="24"/>
        </w:rPr>
        <w:t>1</w:t>
      </w:r>
      <w:r>
        <w:rPr>
          <w:rFonts w:hint="eastAsia" w:ascii="宋体" w:hAnsi="宋体" w:cs="宋体"/>
          <w:sz w:val="24"/>
        </w:rPr>
        <w:t>）的残疾人福利性单位视同小型、微型企业；根据《关于政府采购支持监狱企业发展有关问题的通知》（财库</w:t>
      </w:r>
      <w:r>
        <w:rPr>
          <w:rFonts w:ascii="宋体" w:hAnsi="宋体" w:cs="宋体"/>
          <w:sz w:val="24"/>
        </w:rPr>
        <w:t>[2014]68</w:t>
      </w:r>
      <w:r>
        <w:rPr>
          <w:rFonts w:hint="eastAsia" w:ascii="宋体" w:hAnsi="宋体" w:cs="宋体"/>
          <w:sz w:val="24"/>
        </w:rPr>
        <w:t>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Times New Roman"/>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Arial Unicode MS"/>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Arial Unicode MS"/>
    <w:panose1 w:val="00000000000000000000"/>
    <w:charset w:val="00"/>
    <w:family w:val="modern"/>
    <w:pitch w:val="default"/>
    <w:sig w:usb0="00000000" w:usb1="00000000" w:usb2="00000000" w:usb3="00000000" w:csb0="0000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Arial"/>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49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48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55</w:t>
    </w:r>
    <w:r>
      <w:rPr>
        <w:rFonts w:hint="eastAsia" w:ascii="仿宋_GB2312" w:eastAsia="仿宋_GB2312"/>
        <w:kern w:val="0"/>
        <w:szCs w:val="21"/>
      </w:rPr>
      <w:fldChar w:fldCharType="end"/>
    </w:r>
    <w:bookmarkStart w:id="397" w:name="_Toc91899912"/>
    <w:bookmarkStart w:id="398" w:name="_Toc164085800"/>
    <w:bookmarkStart w:id="399" w:name="_Toc36110187"/>
    <w:bookmarkStart w:id="400" w:name="_Toc131845147"/>
    <w:r>
      <w:rPr>
        <w:rFonts w:hint="eastAsia" w:ascii="仿宋_GB2312" w:eastAsia="仿宋_GB2312"/>
        <w:kern w:val="0"/>
        <w:szCs w:val="21"/>
      </w:rPr>
      <w:t xml:space="preserve"> 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诸暨</w:t>
    </w:r>
    <w:r>
      <w:t>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诸暨</w:t>
    </w:r>
    <w:r>
      <w:t>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诸暨</w:t>
    </w:r>
    <w:r>
      <w:rPr>
        <w:lang w:val="zh-CN"/>
      </w:rPr>
      <w:t>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诸暨</w:t>
    </w:r>
    <w:r>
      <w:t>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诸暨</w:t>
    </w:r>
    <w:r>
      <w:t>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诸暨</w:t>
    </w:r>
    <w:r>
      <w:t>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诸暨</w:t>
    </w:r>
    <w:r>
      <w:t>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诸暨</w:t>
    </w:r>
    <w:r>
      <w:t>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诸暨</w:t>
    </w:r>
    <w:r>
      <w:t>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rPr>
      <w:t>诸暨</w:t>
    </w:r>
    <w:r>
      <w:t>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E487D"/>
    <w:multiLevelType w:val="multilevel"/>
    <w:tmpl w:val="0F5E487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9B14F21"/>
    <w:multiLevelType w:val="multilevel"/>
    <w:tmpl w:val="19B14F21"/>
    <w:lvl w:ilvl="0" w:tentative="0">
      <w:start w:val="1"/>
      <w:numFmt w:val="decimal"/>
      <w:suff w:val="space"/>
      <w:lvlText w:val="第%1章"/>
      <w:lvlJc w:val="left"/>
      <w:pPr>
        <w:ind w:left="425" w:hanging="425"/>
      </w:pPr>
      <w:rPr>
        <w:rFonts w:hint="eastAsia"/>
      </w:rPr>
    </w:lvl>
    <w:lvl w:ilvl="1" w:tentative="0">
      <w:start w:val="1"/>
      <w:numFmt w:val="decimal"/>
      <w:pStyle w:val="967"/>
      <w:suff w:val="space"/>
      <w:lvlText w:val="%1.%2"/>
      <w:lvlJc w:val="left"/>
      <w:pPr>
        <w:ind w:left="425" w:hanging="425"/>
      </w:pPr>
      <w:rPr>
        <w:rFonts w:hint="eastAsia"/>
      </w:rPr>
    </w:lvl>
    <w:lvl w:ilvl="2" w:tentative="0">
      <w:start w:val="1"/>
      <w:numFmt w:val="decimal"/>
      <w:suff w:val="space"/>
      <w:lvlText w:val="%1.%2.%3"/>
      <w:lvlJc w:val="left"/>
      <w:rPr>
        <w:b w:val="0"/>
        <w:bCs w:val="0"/>
        <w:i w:val="0"/>
        <w:iCs w:val="0"/>
        <w:caps w:val="0"/>
        <w:smallCaps w:val="0"/>
        <w:strike w:val="0"/>
        <w:dstrike w:val="0"/>
        <w:vanish w:val="0"/>
        <w:color w:val="000000"/>
        <w:spacing w:val="0"/>
        <w:position w:val="0"/>
        <w:u w:val="none"/>
        <w:vertAlign w:val="baseline"/>
      </w:rPr>
    </w:lvl>
    <w:lvl w:ilvl="3" w:tentative="0">
      <w:start w:val="1"/>
      <w:numFmt w:val="decimal"/>
      <w:suff w:val="space"/>
      <w:lvlText w:val="%1.%2.%3.%4"/>
      <w:lvlJc w:val="left"/>
      <w:pPr>
        <w:ind w:left="425" w:hanging="425"/>
      </w:pPr>
      <w:rPr>
        <w:rFonts w:hint="eastAsia"/>
      </w:rPr>
    </w:lvl>
    <w:lvl w:ilvl="4" w:tentative="0">
      <w:start w:val="1"/>
      <w:numFmt w:val="decimal"/>
      <w:suff w:val="space"/>
      <w:lvlText w:val="%1.%2.%3.%4.%5"/>
      <w:lvlJc w:val="left"/>
      <w:pPr>
        <w:ind w:left="425" w:hanging="425"/>
      </w:pPr>
      <w:rPr>
        <w:rFonts w:hint="eastAsia"/>
      </w:rPr>
    </w:lvl>
    <w:lvl w:ilvl="5" w:tentative="0">
      <w:start w:val="1"/>
      <w:numFmt w:val="decimal"/>
      <w:suff w:val="space"/>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2">
    <w:nsid w:val="42114FCA"/>
    <w:multiLevelType w:val="multilevel"/>
    <w:tmpl w:val="42114FC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E465744"/>
    <w:multiLevelType w:val="singleLevel"/>
    <w:tmpl w:val="4E465744"/>
    <w:lvl w:ilvl="0" w:tentative="0">
      <w:start w:val="1"/>
      <w:numFmt w:val="chineseCounting"/>
      <w:suff w:val="nothing"/>
      <w:lvlText w:val="%1、"/>
      <w:lvlJc w:val="left"/>
      <w:rPr>
        <w:rFonts w:hint="eastAsia"/>
      </w:rPr>
    </w:lvl>
  </w:abstractNum>
  <w:abstractNum w:abstractNumId="4">
    <w:nsid w:val="4EAF669B"/>
    <w:multiLevelType w:val="multilevel"/>
    <w:tmpl w:val="4EAF669B"/>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wMWI4NGMxYmM4OGI2NTViN2UzYjM1MzExY2EzMzEifQ=="/>
  </w:docVars>
  <w:rsids>
    <w:rsidRoot w:val="00172A27"/>
    <w:rsid w:val="00000451"/>
    <w:rsid w:val="000004F6"/>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EAC"/>
    <w:rsid w:val="000270F2"/>
    <w:rsid w:val="00027115"/>
    <w:rsid w:val="00027540"/>
    <w:rsid w:val="00030572"/>
    <w:rsid w:val="000306F5"/>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364"/>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4EC"/>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095"/>
    <w:rsid w:val="000B268D"/>
    <w:rsid w:val="000B291B"/>
    <w:rsid w:val="000B3153"/>
    <w:rsid w:val="000B456C"/>
    <w:rsid w:val="000B45B9"/>
    <w:rsid w:val="000B471A"/>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164"/>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0CB"/>
    <w:rsid w:val="00147EA7"/>
    <w:rsid w:val="00151820"/>
    <w:rsid w:val="00151B2F"/>
    <w:rsid w:val="001524DC"/>
    <w:rsid w:val="001525E5"/>
    <w:rsid w:val="00153859"/>
    <w:rsid w:val="00153915"/>
    <w:rsid w:val="001539F0"/>
    <w:rsid w:val="00154BBA"/>
    <w:rsid w:val="00154F71"/>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5942"/>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F0E"/>
    <w:rsid w:val="001A3335"/>
    <w:rsid w:val="001A473A"/>
    <w:rsid w:val="001A4ED9"/>
    <w:rsid w:val="001A5785"/>
    <w:rsid w:val="001A5FD7"/>
    <w:rsid w:val="001A6643"/>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3A3B"/>
    <w:rsid w:val="001D4AB6"/>
    <w:rsid w:val="001D4AD3"/>
    <w:rsid w:val="001D5281"/>
    <w:rsid w:val="001D5EB0"/>
    <w:rsid w:val="001E12F9"/>
    <w:rsid w:val="001E17E3"/>
    <w:rsid w:val="001E2052"/>
    <w:rsid w:val="001E2492"/>
    <w:rsid w:val="001E257C"/>
    <w:rsid w:val="001E286C"/>
    <w:rsid w:val="001E2F34"/>
    <w:rsid w:val="001E35EE"/>
    <w:rsid w:val="001E3DAD"/>
    <w:rsid w:val="001E4B2C"/>
    <w:rsid w:val="001E507F"/>
    <w:rsid w:val="001E56C2"/>
    <w:rsid w:val="001E59FB"/>
    <w:rsid w:val="001E7F81"/>
    <w:rsid w:val="001F0404"/>
    <w:rsid w:val="001F0FD1"/>
    <w:rsid w:val="001F1526"/>
    <w:rsid w:val="001F19D1"/>
    <w:rsid w:val="001F1CB9"/>
    <w:rsid w:val="001F1F18"/>
    <w:rsid w:val="001F210D"/>
    <w:rsid w:val="001F2D1E"/>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3D5D"/>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7C0"/>
    <w:rsid w:val="00222A31"/>
    <w:rsid w:val="00222CF6"/>
    <w:rsid w:val="00222F64"/>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C1F"/>
    <w:rsid w:val="00240F55"/>
    <w:rsid w:val="00240F67"/>
    <w:rsid w:val="00241144"/>
    <w:rsid w:val="00242510"/>
    <w:rsid w:val="00242F79"/>
    <w:rsid w:val="00243EEF"/>
    <w:rsid w:val="0024415B"/>
    <w:rsid w:val="00245565"/>
    <w:rsid w:val="002458C1"/>
    <w:rsid w:val="00245E62"/>
    <w:rsid w:val="002460D0"/>
    <w:rsid w:val="00246357"/>
    <w:rsid w:val="002467A5"/>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660"/>
    <w:rsid w:val="0026470B"/>
    <w:rsid w:val="0026486D"/>
    <w:rsid w:val="00264C4B"/>
    <w:rsid w:val="00264E65"/>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8F"/>
    <w:rsid w:val="002743AC"/>
    <w:rsid w:val="0027499D"/>
    <w:rsid w:val="002751CA"/>
    <w:rsid w:val="0027544D"/>
    <w:rsid w:val="00277196"/>
    <w:rsid w:val="002775ED"/>
    <w:rsid w:val="002778AB"/>
    <w:rsid w:val="002802A5"/>
    <w:rsid w:val="00280564"/>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4060"/>
    <w:rsid w:val="002A4868"/>
    <w:rsid w:val="002A4A05"/>
    <w:rsid w:val="002A4D71"/>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5FD"/>
    <w:rsid w:val="00313C9D"/>
    <w:rsid w:val="0031430C"/>
    <w:rsid w:val="00314919"/>
    <w:rsid w:val="00314C5A"/>
    <w:rsid w:val="0031531A"/>
    <w:rsid w:val="00315394"/>
    <w:rsid w:val="00315533"/>
    <w:rsid w:val="00315D77"/>
    <w:rsid w:val="00315D8E"/>
    <w:rsid w:val="00316002"/>
    <w:rsid w:val="00316CDE"/>
    <w:rsid w:val="0031752D"/>
    <w:rsid w:val="00317709"/>
    <w:rsid w:val="00320688"/>
    <w:rsid w:val="00320B75"/>
    <w:rsid w:val="0032186D"/>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590"/>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8D5"/>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2D1"/>
    <w:rsid w:val="003B5531"/>
    <w:rsid w:val="003B636A"/>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3DF6"/>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42F"/>
    <w:rsid w:val="00414909"/>
    <w:rsid w:val="00415034"/>
    <w:rsid w:val="00415A0D"/>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22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DA0"/>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2EA1"/>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F81"/>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2D5B"/>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98"/>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303"/>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671"/>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1327"/>
    <w:rsid w:val="00512217"/>
    <w:rsid w:val="00512459"/>
    <w:rsid w:val="005131A2"/>
    <w:rsid w:val="005137E4"/>
    <w:rsid w:val="00513BB9"/>
    <w:rsid w:val="0051440E"/>
    <w:rsid w:val="00514480"/>
    <w:rsid w:val="005148CD"/>
    <w:rsid w:val="00515180"/>
    <w:rsid w:val="00515973"/>
    <w:rsid w:val="00515CE4"/>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417"/>
    <w:rsid w:val="00533499"/>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88D"/>
    <w:rsid w:val="00546BF8"/>
    <w:rsid w:val="00547BA2"/>
    <w:rsid w:val="00550453"/>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CC3"/>
    <w:rsid w:val="00594437"/>
    <w:rsid w:val="00594B70"/>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3A"/>
    <w:rsid w:val="005A57B8"/>
    <w:rsid w:val="005A5DDE"/>
    <w:rsid w:val="005A64A8"/>
    <w:rsid w:val="005A65C5"/>
    <w:rsid w:val="005A6875"/>
    <w:rsid w:val="005A7016"/>
    <w:rsid w:val="005A73BC"/>
    <w:rsid w:val="005A7A32"/>
    <w:rsid w:val="005A7F85"/>
    <w:rsid w:val="005B00DD"/>
    <w:rsid w:val="005B03B1"/>
    <w:rsid w:val="005B07D5"/>
    <w:rsid w:val="005B1A8A"/>
    <w:rsid w:val="005B1AAB"/>
    <w:rsid w:val="005B20AA"/>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01"/>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1FD7"/>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33"/>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7E2"/>
    <w:rsid w:val="00672906"/>
    <w:rsid w:val="00672C73"/>
    <w:rsid w:val="00673B64"/>
    <w:rsid w:val="006753AC"/>
    <w:rsid w:val="00675430"/>
    <w:rsid w:val="006755F0"/>
    <w:rsid w:val="00675749"/>
    <w:rsid w:val="006759FE"/>
    <w:rsid w:val="0067639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870"/>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4B"/>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5820"/>
    <w:rsid w:val="007660EC"/>
    <w:rsid w:val="007662C7"/>
    <w:rsid w:val="00766862"/>
    <w:rsid w:val="007675DD"/>
    <w:rsid w:val="007702BF"/>
    <w:rsid w:val="007705F0"/>
    <w:rsid w:val="00770FBB"/>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5F4"/>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31"/>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2C0"/>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506E"/>
    <w:rsid w:val="00836323"/>
    <w:rsid w:val="008367FF"/>
    <w:rsid w:val="00837D3D"/>
    <w:rsid w:val="00837E1B"/>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65B4"/>
    <w:rsid w:val="00846D25"/>
    <w:rsid w:val="00850013"/>
    <w:rsid w:val="008500DD"/>
    <w:rsid w:val="00850A0A"/>
    <w:rsid w:val="00850A94"/>
    <w:rsid w:val="00851E96"/>
    <w:rsid w:val="00851F1C"/>
    <w:rsid w:val="00851FDB"/>
    <w:rsid w:val="00852FA5"/>
    <w:rsid w:val="00853F7D"/>
    <w:rsid w:val="0085517F"/>
    <w:rsid w:val="0085562D"/>
    <w:rsid w:val="00855A78"/>
    <w:rsid w:val="00855DD2"/>
    <w:rsid w:val="00856154"/>
    <w:rsid w:val="00856286"/>
    <w:rsid w:val="0085657E"/>
    <w:rsid w:val="00856F0E"/>
    <w:rsid w:val="008573AF"/>
    <w:rsid w:val="008576B0"/>
    <w:rsid w:val="00860296"/>
    <w:rsid w:val="008602E3"/>
    <w:rsid w:val="00860AAD"/>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3E7"/>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01"/>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C7B81"/>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AC3"/>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5EB"/>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A4D"/>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4D0"/>
    <w:rsid w:val="0098055B"/>
    <w:rsid w:val="00980B30"/>
    <w:rsid w:val="009810BE"/>
    <w:rsid w:val="009817BC"/>
    <w:rsid w:val="009819A7"/>
    <w:rsid w:val="0098220A"/>
    <w:rsid w:val="00982E75"/>
    <w:rsid w:val="00983337"/>
    <w:rsid w:val="009836AA"/>
    <w:rsid w:val="009846BF"/>
    <w:rsid w:val="009851F5"/>
    <w:rsid w:val="0098534B"/>
    <w:rsid w:val="00985616"/>
    <w:rsid w:val="00985C85"/>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4DA1"/>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4A4"/>
    <w:rsid w:val="009B05D2"/>
    <w:rsid w:val="009B08F6"/>
    <w:rsid w:val="009B152B"/>
    <w:rsid w:val="009B2731"/>
    <w:rsid w:val="009B2DCF"/>
    <w:rsid w:val="009B39D8"/>
    <w:rsid w:val="009B3D38"/>
    <w:rsid w:val="009B4368"/>
    <w:rsid w:val="009B4D4C"/>
    <w:rsid w:val="009B59FD"/>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9F66EA"/>
    <w:rsid w:val="00A000C5"/>
    <w:rsid w:val="00A007B4"/>
    <w:rsid w:val="00A00930"/>
    <w:rsid w:val="00A00CA0"/>
    <w:rsid w:val="00A00E00"/>
    <w:rsid w:val="00A01221"/>
    <w:rsid w:val="00A012A8"/>
    <w:rsid w:val="00A012F1"/>
    <w:rsid w:val="00A016FF"/>
    <w:rsid w:val="00A01886"/>
    <w:rsid w:val="00A0207F"/>
    <w:rsid w:val="00A021AF"/>
    <w:rsid w:val="00A027B1"/>
    <w:rsid w:val="00A028C9"/>
    <w:rsid w:val="00A02B3F"/>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2E8"/>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2FCE"/>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094B"/>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524"/>
    <w:rsid w:val="00AD4B2F"/>
    <w:rsid w:val="00AD5A2E"/>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3557"/>
    <w:rsid w:val="00AF3F86"/>
    <w:rsid w:val="00AF4CEE"/>
    <w:rsid w:val="00AF4F4A"/>
    <w:rsid w:val="00AF584C"/>
    <w:rsid w:val="00AF5D84"/>
    <w:rsid w:val="00AF5F16"/>
    <w:rsid w:val="00AF6476"/>
    <w:rsid w:val="00AF669D"/>
    <w:rsid w:val="00AF672C"/>
    <w:rsid w:val="00AF673E"/>
    <w:rsid w:val="00AF6ABE"/>
    <w:rsid w:val="00AF7389"/>
    <w:rsid w:val="00AF79DF"/>
    <w:rsid w:val="00AF7C37"/>
    <w:rsid w:val="00B00378"/>
    <w:rsid w:val="00B006FB"/>
    <w:rsid w:val="00B00D91"/>
    <w:rsid w:val="00B00E81"/>
    <w:rsid w:val="00B00E84"/>
    <w:rsid w:val="00B01DC4"/>
    <w:rsid w:val="00B01DD9"/>
    <w:rsid w:val="00B01F0E"/>
    <w:rsid w:val="00B038F1"/>
    <w:rsid w:val="00B03C1B"/>
    <w:rsid w:val="00B04678"/>
    <w:rsid w:val="00B047C9"/>
    <w:rsid w:val="00B04A04"/>
    <w:rsid w:val="00B04B78"/>
    <w:rsid w:val="00B04C37"/>
    <w:rsid w:val="00B04F00"/>
    <w:rsid w:val="00B05AA7"/>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6FD"/>
    <w:rsid w:val="00B338B3"/>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EE2"/>
    <w:rsid w:val="00B47FF3"/>
    <w:rsid w:val="00B503D6"/>
    <w:rsid w:val="00B51520"/>
    <w:rsid w:val="00B515C3"/>
    <w:rsid w:val="00B517C2"/>
    <w:rsid w:val="00B518CE"/>
    <w:rsid w:val="00B518F0"/>
    <w:rsid w:val="00B51F56"/>
    <w:rsid w:val="00B52234"/>
    <w:rsid w:val="00B53623"/>
    <w:rsid w:val="00B53D1D"/>
    <w:rsid w:val="00B53E98"/>
    <w:rsid w:val="00B53F9B"/>
    <w:rsid w:val="00B5406E"/>
    <w:rsid w:val="00B54B19"/>
    <w:rsid w:val="00B55F64"/>
    <w:rsid w:val="00B56CBB"/>
    <w:rsid w:val="00B56ECA"/>
    <w:rsid w:val="00B57093"/>
    <w:rsid w:val="00B57B5D"/>
    <w:rsid w:val="00B60613"/>
    <w:rsid w:val="00B617B7"/>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0D52"/>
    <w:rsid w:val="00B81274"/>
    <w:rsid w:val="00B815D3"/>
    <w:rsid w:val="00B81742"/>
    <w:rsid w:val="00B817B5"/>
    <w:rsid w:val="00B81E9D"/>
    <w:rsid w:val="00B823A6"/>
    <w:rsid w:val="00B83C95"/>
    <w:rsid w:val="00B83E76"/>
    <w:rsid w:val="00B83FA0"/>
    <w:rsid w:val="00B84156"/>
    <w:rsid w:val="00B846E6"/>
    <w:rsid w:val="00B8537B"/>
    <w:rsid w:val="00B85502"/>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200"/>
    <w:rsid w:val="00BC3BCB"/>
    <w:rsid w:val="00BC3C44"/>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9E5"/>
    <w:rsid w:val="00C0234A"/>
    <w:rsid w:val="00C0247B"/>
    <w:rsid w:val="00C0378E"/>
    <w:rsid w:val="00C042A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A00"/>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4ACE"/>
    <w:rsid w:val="00C75A8F"/>
    <w:rsid w:val="00C76129"/>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4C0"/>
    <w:rsid w:val="00CD57CB"/>
    <w:rsid w:val="00CD64E1"/>
    <w:rsid w:val="00CD66BA"/>
    <w:rsid w:val="00CD699D"/>
    <w:rsid w:val="00CD6BA3"/>
    <w:rsid w:val="00CD70DB"/>
    <w:rsid w:val="00CD7544"/>
    <w:rsid w:val="00CD78D4"/>
    <w:rsid w:val="00CE0697"/>
    <w:rsid w:val="00CE0BE3"/>
    <w:rsid w:val="00CE11E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CF7FBA"/>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10A"/>
    <w:rsid w:val="00D2371E"/>
    <w:rsid w:val="00D237E0"/>
    <w:rsid w:val="00D23A17"/>
    <w:rsid w:val="00D25037"/>
    <w:rsid w:val="00D25382"/>
    <w:rsid w:val="00D25676"/>
    <w:rsid w:val="00D2579F"/>
    <w:rsid w:val="00D2580E"/>
    <w:rsid w:val="00D265A7"/>
    <w:rsid w:val="00D2690C"/>
    <w:rsid w:val="00D27129"/>
    <w:rsid w:val="00D279E7"/>
    <w:rsid w:val="00D27C8C"/>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94D"/>
    <w:rsid w:val="00D42B0C"/>
    <w:rsid w:val="00D42D6E"/>
    <w:rsid w:val="00D4374A"/>
    <w:rsid w:val="00D43DEF"/>
    <w:rsid w:val="00D44259"/>
    <w:rsid w:val="00D45645"/>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A7CD6"/>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5B2"/>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2C6"/>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63"/>
    <w:rsid w:val="00E13D07"/>
    <w:rsid w:val="00E14356"/>
    <w:rsid w:val="00E14961"/>
    <w:rsid w:val="00E14D76"/>
    <w:rsid w:val="00E14EE9"/>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DD3"/>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989"/>
    <w:rsid w:val="00EE2A9D"/>
    <w:rsid w:val="00EE32D5"/>
    <w:rsid w:val="00EE3384"/>
    <w:rsid w:val="00EE4236"/>
    <w:rsid w:val="00EE499F"/>
    <w:rsid w:val="00EE56E2"/>
    <w:rsid w:val="00EE5FCD"/>
    <w:rsid w:val="00EE63BF"/>
    <w:rsid w:val="00EE6D45"/>
    <w:rsid w:val="00EE6E89"/>
    <w:rsid w:val="00EE7C92"/>
    <w:rsid w:val="00EF0D4B"/>
    <w:rsid w:val="00EF0FE6"/>
    <w:rsid w:val="00EF1130"/>
    <w:rsid w:val="00EF1432"/>
    <w:rsid w:val="00EF1511"/>
    <w:rsid w:val="00EF1F01"/>
    <w:rsid w:val="00EF2686"/>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EF79B2"/>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17FA3"/>
    <w:rsid w:val="00F2005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8EE"/>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A82"/>
    <w:rsid w:val="00F51B78"/>
    <w:rsid w:val="00F51BDD"/>
    <w:rsid w:val="00F52065"/>
    <w:rsid w:val="00F521CE"/>
    <w:rsid w:val="00F5253E"/>
    <w:rsid w:val="00F5254B"/>
    <w:rsid w:val="00F5294F"/>
    <w:rsid w:val="00F52CB7"/>
    <w:rsid w:val="00F53A44"/>
    <w:rsid w:val="00F54E5E"/>
    <w:rsid w:val="00F551DB"/>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24"/>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711"/>
    <w:rsid w:val="00FA0DB6"/>
    <w:rsid w:val="00FA1475"/>
    <w:rsid w:val="00FA23F7"/>
    <w:rsid w:val="00FA27EB"/>
    <w:rsid w:val="00FA35B6"/>
    <w:rsid w:val="00FA3A64"/>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C46"/>
    <w:rsid w:val="00FC6D59"/>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6769E6"/>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931095"/>
    <w:rsid w:val="09A92330"/>
    <w:rsid w:val="09B06B87"/>
    <w:rsid w:val="09C13146"/>
    <w:rsid w:val="09E04166"/>
    <w:rsid w:val="0A1C0718"/>
    <w:rsid w:val="0A3E7710"/>
    <w:rsid w:val="0A5B7E63"/>
    <w:rsid w:val="0A843E52"/>
    <w:rsid w:val="0AA374A5"/>
    <w:rsid w:val="0AAB7649"/>
    <w:rsid w:val="0ABC5606"/>
    <w:rsid w:val="0B30404E"/>
    <w:rsid w:val="0B4C6C14"/>
    <w:rsid w:val="0B631A88"/>
    <w:rsid w:val="0B683D45"/>
    <w:rsid w:val="0B7F3F11"/>
    <w:rsid w:val="0B884417"/>
    <w:rsid w:val="0BF6188C"/>
    <w:rsid w:val="0BF73C91"/>
    <w:rsid w:val="0C170175"/>
    <w:rsid w:val="0C3B6140"/>
    <w:rsid w:val="0C571A41"/>
    <w:rsid w:val="0C5C1171"/>
    <w:rsid w:val="0C5E1CBC"/>
    <w:rsid w:val="0C615B50"/>
    <w:rsid w:val="0C8445DA"/>
    <w:rsid w:val="0C87121B"/>
    <w:rsid w:val="0CC007F7"/>
    <w:rsid w:val="0CFE707A"/>
    <w:rsid w:val="0D063BDA"/>
    <w:rsid w:val="0D08375F"/>
    <w:rsid w:val="0D184CFB"/>
    <w:rsid w:val="0D4A4AC2"/>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C150CF"/>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AA793D"/>
    <w:rsid w:val="13BF3CE4"/>
    <w:rsid w:val="141008D8"/>
    <w:rsid w:val="14125FE6"/>
    <w:rsid w:val="14532618"/>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437C2"/>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1FEA5A5B"/>
    <w:rsid w:val="20034907"/>
    <w:rsid w:val="20173E4B"/>
    <w:rsid w:val="204E48BC"/>
    <w:rsid w:val="208921B3"/>
    <w:rsid w:val="20973DEB"/>
    <w:rsid w:val="2099122F"/>
    <w:rsid w:val="20B26522"/>
    <w:rsid w:val="20B44310"/>
    <w:rsid w:val="211116EB"/>
    <w:rsid w:val="216133FC"/>
    <w:rsid w:val="21D56769"/>
    <w:rsid w:val="21E52EF3"/>
    <w:rsid w:val="21FB5D7B"/>
    <w:rsid w:val="220B1C3D"/>
    <w:rsid w:val="220D77DF"/>
    <w:rsid w:val="220F6790"/>
    <w:rsid w:val="221D1D20"/>
    <w:rsid w:val="22334A87"/>
    <w:rsid w:val="22B61C24"/>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67173F"/>
    <w:rsid w:val="27783712"/>
    <w:rsid w:val="27907362"/>
    <w:rsid w:val="28333E1D"/>
    <w:rsid w:val="28454BD6"/>
    <w:rsid w:val="28455253"/>
    <w:rsid w:val="28551971"/>
    <w:rsid w:val="285B1C53"/>
    <w:rsid w:val="289F7086"/>
    <w:rsid w:val="28C32028"/>
    <w:rsid w:val="28CC490F"/>
    <w:rsid w:val="28DE40AA"/>
    <w:rsid w:val="2900009D"/>
    <w:rsid w:val="29345E77"/>
    <w:rsid w:val="294C65AD"/>
    <w:rsid w:val="29806583"/>
    <w:rsid w:val="298B3C4C"/>
    <w:rsid w:val="29E83FC3"/>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8C116E"/>
    <w:rsid w:val="2CE82D6F"/>
    <w:rsid w:val="2D343236"/>
    <w:rsid w:val="2D5E5392"/>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DF67EA"/>
    <w:rsid w:val="30EC586F"/>
    <w:rsid w:val="313703D4"/>
    <w:rsid w:val="319C6071"/>
    <w:rsid w:val="31AC537E"/>
    <w:rsid w:val="31E3679B"/>
    <w:rsid w:val="31E732FD"/>
    <w:rsid w:val="32517576"/>
    <w:rsid w:val="32BE5C2C"/>
    <w:rsid w:val="32FB6478"/>
    <w:rsid w:val="33263B3F"/>
    <w:rsid w:val="336963EB"/>
    <w:rsid w:val="33816EEB"/>
    <w:rsid w:val="33E61156"/>
    <w:rsid w:val="33EB55CD"/>
    <w:rsid w:val="33EC4C02"/>
    <w:rsid w:val="340D2360"/>
    <w:rsid w:val="3410665D"/>
    <w:rsid w:val="34211214"/>
    <w:rsid w:val="342E63AB"/>
    <w:rsid w:val="34950E68"/>
    <w:rsid w:val="34986E94"/>
    <w:rsid w:val="34AF62C9"/>
    <w:rsid w:val="34B71EC7"/>
    <w:rsid w:val="34CB4388"/>
    <w:rsid w:val="34FA6E12"/>
    <w:rsid w:val="358D5588"/>
    <w:rsid w:val="363A3B40"/>
    <w:rsid w:val="365302AE"/>
    <w:rsid w:val="36607A0A"/>
    <w:rsid w:val="366E227C"/>
    <w:rsid w:val="366F2E0D"/>
    <w:rsid w:val="367B6A5C"/>
    <w:rsid w:val="36A74ADA"/>
    <w:rsid w:val="36AD60D5"/>
    <w:rsid w:val="36B224F9"/>
    <w:rsid w:val="36EC0CC9"/>
    <w:rsid w:val="373F410B"/>
    <w:rsid w:val="37C404E8"/>
    <w:rsid w:val="37EE7094"/>
    <w:rsid w:val="38296C89"/>
    <w:rsid w:val="383002EB"/>
    <w:rsid w:val="38586797"/>
    <w:rsid w:val="38BC0149"/>
    <w:rsid w:val="38D87D1C"/>
    <w:rsid w:val="39636459"/>
    <w:rsid w:val="396B7F6C"/>
    <w:rsid w:val="39B417A9"/>
    <w:rsid w:val="39BD13B3"/>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275B9"/>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10D29"/>
    <w:rsid w:val="3F153163"/>
    <w:rsid w:val="3F1D1096"/>
    <w:rsid w:val="3F2F0234"/>
    <w:rsid w:val="3F6363FE"/>
    <w:rsid w:val="3F756B8F"/>
    <w:rsid w:val="3F95482B"/>
    <w:rsid w:val="4019356B"/>
    <w:rsid w:val="40592157"/>
    <w:rsid w:val="406E1CAE"/>
    <w:rsid w:val="40A0133A"/>
    <w:rsid w:val="40C31A53"/>
    <w:rsid w:val="40FF545D"/>
    <w:rsid w:val="410067C8"/>
    <w:rsid w:val="418F0D2A"/>
    <w:rsid w:val="41D01505"/>
    <w:rsid w:val="41EE046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13CC5"/>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06606A"/>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3650C"/>
    <w:rsid w:val="5A792B1F"/>
    <w:rsid w:val="5A874767"/>
    <w:rsid w:val="5AAD6F28"/>
    <w:rsid w:val="5AD63A24"/>
    <w:rsid w:val="5B0F7B24"/>
    <w:rsid w:val="5B2E1A1D"/>
    <w:rsid w:val="5B4B6CA4"/>
    <w:rsid w:val="5B843A1C"/>
    <w:rsid w:val="5B873E3F"/>
    <w:rsid w:val="5C02690E"/>
    <w:rsid w:val="5C196DA7"/>
    <w:rsid w:val="5C1C63A8"/>
    <w:rsid w:val="5C2A048C"/>
    <w:rsid w:val="5C80234E"/>
    <w:rsid w:val="5C8A680C"/>
    <w:rsid w:val="5CA40764"/>
    <w:rsid w:val="5D0C4701"/>
    <w:rsid w:val="5D0F0395"/>
    <w:rsid w:val="5D221076"/>
    <w:rsid w:val="5D397964"/>
    <w:rsid w:val="5D4D2245"/>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0F371F"/>
    <w:rsid w:val="624F3E49"/>
    <w:rsid w:val="62632286"/>
    <w:rsid w:val="62885958"/>
    <w:rsid w:val="62F40B65"/>
    <w:rsid w:val="62FC2CFE"/>
    <w:rsid w:val="63024505"/>
    <w:rsid w:val="635B1DB5"/>
    <w:rsid w:val="63711FED"/>
    <w:rsid w:val="637D4013"/>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72D84"/>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6433D"/>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A1154B"/>
    <w:rsid w:val="77D1700D"/>
    <w:rsid w:val="77EC04CC"/>
    <w:rsid w:val="78202F3D"/>
    <w:rsid w:val="78775729"/>
    <w:rsid w:val="78A42DB0"/>
    <w:rsid w:val="78A656AB"/>
    <w:rsid w:val="78B2245C"/>
    <w:rsid w:val="78E172CC"/>
    <w:rsid w:val="78EA1D1F"/>
    <w:rsid w:val="7904172F"/>
    <w:rsid w:val="790F7E27"/>
    <w:rsid w:val="792A231A"/>
    <w:rsid w:val="79316829"/>
    <w:rsid w:val="794E3ADA"/>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853827"/>
    <w:rsid w:val="7E9A4E1F"/>
    <w:rsid w:val="7EA7723A"/>
    <w:rsid w:val="7EF56FBB"/>
    <w:rsid w:val="7F0768EB"/>
    <w:rsid w:val="7F143BEC"/>
    <w:rsid w:val="7F715AF2"/>
    <w:rsid w:val="7F886E69"/>
    <w:rsid w:val="BB7FA927"/>
    <w:rsid w:val="BCC39122"/>
    <w:rsid w:val="F5FFD31F"/>
    <w:rsid w:val="FDEED0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qFormat="1" w:uiPriority="99"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link w:val="972"/>
    <w:qFormat/>
    <w:uiPriority w:val="9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link w:val="81"/>
    <w:qFormat/>
    <w:uiPriority w:val="9"/>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2"/>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3"/>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8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8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8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88"/>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89"/>
    <w:qFormat/>
    <w:uiPriority w:val="0"/>
    <w:pPr>
      <w:shd w:val="clear" w:color="auto" w:fill="000080"/>
    </w:pPr>
  </w:style>
  <w:style w:type="paragraph" w:styleId="19">
    <w:name w:val="annotation text"/>
    <w:basedOn w:val="1"/>
    <w:link w:val="90"/>
    <w:qFormat/>
    <w:uiPriority w:val="99"/>
    <w:pPr>
      <w:jc w:val="left"/>
    </w:pPr>
  </w:style>
  <w:style w:type="paragraph" w:styleId="20">
    <w:name w:val="Salutation"/>
    <w:basedOn w:val="1"/>
    <w:next w:val="1"/>
    <w:link w:val="91"/>
    <w:qFormat/>
    <w:uiPriority w:val="0"/>
    <w:rPr>
      <w:rFonts w:ascii="仿宋_GB2312" w:eastAsia="仿宋_GB2312"/>
      <w:sz w:val="28"/>
      <w:szCs w:val="20"/>
    </w:rPr>
  </w:style>
  <w:style w:type="paragraph" w:styleId="21">
    <w:name w:val="Body Text 3"/>
    <w:basedOn w:val="1"/>
    <w:link w:val="92"/>
    <w:qFormat/>
    <w:uiPriority w:val="99"/>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93"/>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94"/>
    <w:qFormat/>
    <w:uiPriority w:val="99"/>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99"/>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95"/>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96"/>
    <w:qFormat/>
    <w:uiPriority w:val="99"/>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97"/>
    <w:qFormat/>
    <w:uiPriority w:val="0"/>
    <w:pPr>
      <w:ind w:left="100" w:leftChars="2500"/>
    </w:pPr>
    <w:rPr>
      <w:rFonts w:ascii="宋体"/>
      <w:sz w:val="24"/>
      <w:szCs w:val="21"/>
      <w:lang w:val="zh-CN"/>
    </w:rPr>
  </w:style>
  <w:style w:type="paragraph" w:styleId="36">
    <w:name w:val="Body Text Indent 2"/>
    <w:basedOn w:val="1"/>
    <w:link w:val="98"/>
    <w:qFormat/>
    <w:uiPriority w:val="0"/>
    <w:pPr>
      <w:spacing w:line="360" w:lineRule="auto"/>
      <w:ind w:firstLine="601"/>
      <w:textAlignment w:val="baseline"/>
    </w:pPr>
    <w:rPr>
      <w:rFonts w:ascii="宋体"/>
      <w:kern w:val="0"/>
      <w:sz w:val="28"/>
      <w:szCs w:val="20"/>
    </w:rPr>
  </w:style>
  <w:style w:type="paragraph" w:styleId="37">
    <w:name w:val="endnote text"/>
    <w:basedOn w:val="1"/>
    <w:link w:val="99"/>
    <w:qFormat/>
    <w:uiPriority w:val="0"/>
    <w:rPr>
      <w:lang w:val="zh-CN"/>
    </w:rPr>
  </w:style>
  <w:style w:type="paragraph" w:styleId="38">
    <w:name w:val="Balloon Text"/>
    <w:basedOn w:val="1"/>
    <w:link w:val="100"/>
    <w:qFormat/>
    <w:uiPriority w:val="0"/>
    <w:rPr>
      <w:sz w:val="18"/>
      <w:szCs w:val="18"/>
    </w:rPr>
  </w:style>
  <w:style w:type="paragraph" w:styleId="39">
    <w:name w:val="footer"/>
    <w:basedOn w:val="1"/>
    <w:link w:val="101"/>
    <w:qFormat/>
    <w:uiPriority w:val="99"/>
    <w:pPr>
      <w:tabs>
        <w:tab w:val="center" w:pos="4153"/>
        <w:tab w:val="right" w:pos="8306"/>
      </w:tabs>
      <w:snapToGrid w:val="0"/>
      <w:jc w:val="left"/>
    </w:pPr>
    <w:rPr>
      <w:sz w:val="18"/>
      <w:szCs w:val="18"/>
    </w:rPr>
  </w:style>
  <w:style w:type="paragraph" w:styleId="40">
    <w:name w:val="header"/>
    <w:basedOn w:val="1"/>
    <w:link w:val="102"/>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10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0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105"/>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106"/>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107"/>
    <w:qFormat/>
    <w:uiPriority w:val="0"/>
    <w:pPr>
      <w:spacing w:after="120" w:line="480" w:lineRule="auto"/>
    </w:pPr>
  </w:style>
  <w:style w:type="paragraph" w:styleId="56">
    <w:name w:val="HTML Preformatted"/>
    <w:basedOn w:val="1"/>
    <w:link w:val="10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109"/>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110"/>
    <w:qFormat/>
    <w:uiPriority w:val="0"/>
    <w:rPr>
      <w:b/>
      <w:bCs/>
    </w:rPr>
  </w:style>
  <w:style w:type="paragraph" w:styleId="60">
    <w:name w:val="Body Text First Indent"/>
    <w:basedOn w:val="23"/>
    <w:link w:val="111"/>
    <w:qFormat/>
    <w:uiPriority w:val="99"/>
    <w:pPr>
      <w:ind w:firstLine="420"/>
    </w:pPr>
    <w:rPr>
      <w:rFonts w:hAnsi="Calibri" w:cs="Times New Roman"/>
      <w:snapToGrid/>
      <w:szCs w:val="20"/>
    </w:rPr>
  </w:style>
  <w:style w:type="paragraph" w:styleId="61">
    <w:name w:val="Body Text First Indent 2"/>
    <w:basedOn w:val="24"/>
    <w:link w:val="112"/>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0"/>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标题 1 字符1"/>
    <w:link w:val="3"/>
    <w:qFormat/>
    <w:uiPriority w:val="9"/>
    <w:rPr>
      <w:b/>
      <w:bCs/>
      <w:kern w:val="44"/>
      <w:sz w:val="44"/>
      <w:szCs w:val="44"/>
    </w:rPr>
  </w:style>
  <w:style w:type="character" w:customStyle="1" w:styleId="80">
    <w:name w:val="正文缩进 字符2"/>
    <w:link w:val="5"/>
    <w:qFormat/>
    <w:uiPriority w:val="0"/>
    <w:rPr>
      <w:rFonts w:ascii="宋体" w:eastAsia="宋体"/>
      <w:snapToGrid w:val="0"/>
      <w:color w:val="000000"/>
      <w:kern w:val="28"/>
      <w:sz w:val="28"/>
      <w:lang w:val="en-US" w:eastAsia="zh-CN" w:bidi="ar-SA"/>
    </w:rPr>
  </w:style>
  <w:style w:type="character" w:customStyle="1" w:styleId="81">
    <w:name w:val="标题 3 字符1"/>
    <w:basedOn w:val="69"/>
    <w:link w:val="4"/>
    <w:qFormat/>
    <w:uiPriority w:val="9"/>
    <w:rPr>
      <w:b/>
      <w:bCs/>
      <w:kern w:val="2"/>
      <w:sz w:val="32"/>
      <w:szCs w:val="32"/>
    </w:rPr>
  </w:style>
  <w:style w:type="character" w:customStyle="1" w:styleId="82">
    <w:name w:val="标题 4 字符1"/>
    <w:link w:val="6"/>
    <w:qFormat/>
    <w:uiPriority w:val="9"/>
    <w:rPr>
      <w:rFonts w:ascii="Arial" w:hAnsi="Arial" w:eastAsia="黑体"/>
      <w:b/>
      <w:bCs/>
      <w:kern w:val="2"/>
      <w:sz w:val="28"/>
      <w:szCs w:val="28"/>
      <w:lang w:val="zh-CN"/>
    </w:rPr>
  </w:style>
  <w:style w:type="character" w:customStyle="1" w:styleId="83">
    <w:name w:val="标题 5 字符"/>
    <w:link w:val="7"/>
    <w:qFormat/>
    <w:uiPriority w:val="9"/>
    <w:rPr>
      <w:b/>
      <w:bCs/>
      <w:kern w:val="2"/>
      <w:sz w:val="28"/>
      <w:szCs w:val="28"/>
    </w:rPr>
  </w:style>
  <w:style w:type="character" w:customStyle="1" w:styleId="84">
    <w:name w:val="标题 6 字符"/>
    <w:link w:val="8"/>
    <w:qFormat/>
    <w:uiPriority w:val="0"/>
    <w:rPr>
      <w:rFonts w:ascii="Arial" w:hAnsi="Arial" w:eastAsia="黑体"/>
      <w:b/>
      <w:bCs/>
      <w:kern w:val="2"/>
      <w:sz w:val="24"/>
      <w:szCs w:val="24"/>
    </w:rPr>
  </w:style>
  <w:style w:type="character" w:customStyle="1" w:styleId="85">
    <w:name w:val="标题 7 字符"/>
    <w:link w:val="9"/>
    <w:qFormat/>
    <w:uiPriority w:val="0"/>
    <w:rPr>
      <w:b/>
      <w:bCs/>
      <w:kern w:val="2"/>
      <w:sz w:val="24"/>
      <w:szCs w:val="24"/>
    </w:rPr>
  </w:style>
  <w:style w:type="character" w:customStyle="1" w:styleId="86">
    <w:name w:val="标题 8 字符"/>
    <w:link w:val="10"/>
    <w:qFormat/>
    <w:uiPriority w:val="0"/>
    <w:rPr>
      <w:rFonts w:ascii="Arial" w:hAnsi="Arial" w:eastAsia="黑体"/>
      <w:kern w:val="2"/>
      <w:sz w:val="24"/>
      <w:szCs w:val="24"/>
    </w:rPr>
  </w:style>
  <w:style w:type="character" w:customStyle="1" w:styleId="87">
    <w:name w:val="标题 9 字符"/>
    <w:link w:val="11"/>
    <w:qFormat/>
    <w:uiPriority w:val="0"/>
    <w:rPr>
      <w:rFonts w:ascii="Arial" w:hAnsi="Arial" w:eastAsia="黑体"/>
      <w:kern w:val="2"/>
      <w:sz w:val="21"/>
      <w:szCs w:val="21"/>
    </w:rPr>
  </w:style>
  <w:style w:type="character" w:customStyle="1" w:styleId="88">
    <w:name w:val="题注 字符"/>
    <w:link w:val="16"/>
    <w:qFormat/>
    <w:uiPriority w:val="0"/>
    <w:rPr>
      <w:b/>
      <w:kern w:val="2"/>
      <w:sz w:val="28"/>
    </w:rPr>
  </w:style>
  <w:style w:type="character" w:customStyle="1" w:styleId="89">
    <w:name w:val="文档结构图 字符"/>
    <w:link w:val="18"/>
    <w:qFormat/>
    <w:uiPriority w:val="0"/>
    <w:rPr>
      <w:kern w:val="2"/>
      <w:sz w:val="21"/>
      <w:szCs w:val="24"/>
      <w:shd w:val="clear" w:color="auto" w:fill="000080"/>
    </w:rPr>
  </w:style>
  <w:style w:type="character" w:customStyle="1" w:styleId="90">
    <w:name w:val="批注文字 字符1"/>
    <w:link w:val="19"/>
    <w:qFormat/>
    <w:uiPriority w:val="0"/>
    <w:rPr>
      <w:kern w:val="2"/>
      <w:sz w:val="21"/>
      <w:szCs w:val="24"/>
    </w:rPr>
  </w:style>
  <w:style w:type="character" w:customStyle="1" w:styleId="91">
    <w:name w:val="称呼 字符"/>
    <w:link w:val="20"/>
    <w:qFormat/>
    <w:uiPriority w:val="0"/>
    <w:rPr>
      <w:rFonts w:ascii="仿宋_GB2312" w:eastAsia="仿宋_GB2312"/>
      <w:kern w:val="2"/>
      <w:sz w:val="28"/>
    </w:rPr>
  </w:style>
  <w:style w:type="character" w:customStyle="1" w:styleId="92">
    <w:name w:val="正文文本 3 字符"/>
    <w:link w:val="21"/>
    <w:qFormat/>
    <w:uiPriority w:val="99"/>
    <w:rPr>
      <w:kern w:val="2"/>
      <w:sz w:val="21"/>
    </w:rPr>
  </w:style>
  <w:style w:type="character" w:customStyle="1" w:styleId="93">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94">
    <w:name w:val="正文文本缩进 字符1"/>
    <w:link w:val="24"/>
    <w:qFormat/>
    <w:uiPriority w:val="0"/>
    <w:rPr>
      <w:rFonts w:ascii="宋体" w:hAnsi="宋体"/>
      <w:kern w:val="2"/>
      <w:sz w:val="24"/>
      <w:szCs w:val="24"/>
    </w:rPr>
  </w:style>
  <w:style w:type="character" w:customStyle="1" w:styleId="95">
    <w:name w:val="HTML 地址 字符"/>
    <w:link w:val="29"/>
    <w:qFormat/>
    <w:uiPriority w:val="0"/>
    <w:rPr>
      <w:rFonts w:ascii="宋体" w:hAnsi="宋体"/>
      <w:i/>
      <w:iCs/>
      <w:sz w:val="24"/>
      <w:szCs w:val="24"/>
    </w:rPr>
  </w:style>
  <w:style w:type="character" w:customStyle="1" w:styleId="96">
    <w:name w:val="纯文本 字符2"/>
    <w:link w:val="32"/>
    <w:qFormat/>
    <w:uiPriority w:val="99"/>
    <w:rPr>
      <w:rFonts w:ascii="宋体" w:hAnsi="Courier New" w:eastAsia="宋体" w:cs="Arial"/>
      <w:snapToGrid w:val="0"/>
      <w:kern w:val="2"/>
      <w:sz w:val="21"/>
      <w:szCs w:val="21"/>
      <w:lang w:val="en-US" w:eastAsia="zh-CN" w:bidi="ar-SA"/>
    </w:rPr>
  </w:style>
  <w:style w:type="character" w:customStyle="1" w:styleId="97">
    <w:name w:val="日期 字符"/>
    <w:link w:val="35"/>
    <w:qFormat/>
    <w:uiPriority w:val="0"/>
    <w:rPr>
      <w:rFonts w:ascii="宋体"/>
      <w:kern w:val="2"/>
      <w:sz w:val="24"/>
      <w:szCs w:val="21"/>
      <w:lang w:val="zh-CN"/>
    </w:rPr>
  </w:style>
  <w:style w:type="character" w:customStyle="1" w:styleId="98">
    <w:name w:val="正文文本缩进 2 字符"/>
    <w:link w:val="36"/>
    <w:qFormat/>
    <w:uiPriority w:val="0"/>
    <w:rPr>
      <w:rFonts w:ascii="宋体"/>
      <w:sz w:val="28"/>
    </w:rPr>
  </w:style>
  <w:style w:type="character" w:customStyle="1" w:styleId="99">
    <w:name w:val="尾注文本 字符"/>
    <w:link w:val="37"/>
    <w:qFormat/>
    <w:uiPriority w:val="0"/>
    <w:rPr>
      <w:kern w:val="2"/>
      <w:sz w:val="21"/>
      <w:szCs w:val="24"/>
      <w:lang w:val="zh-CN"/>
    </w:rPr>
  </w:style>
  <w:style w:type="character" w:customStyle="1" w:styleId="100">
    <w:name w:val="批注框文本 字符1"/>
    <w:link w:val="38"/>
    <w:qFormat/>
    <w:uiPriority w:val="0"/>
    <w:rPr>
      <w:kern w:val="2"/>
      <w:sz w:val="18"/>
      <w:szCs w:val="18"/>
    </w:rPr>
  </w:style>
  <w:style w:type="character" w:customStyle="1" w:styleId="101">
    <w:name w:val="页脚 字符2"/>
    <w:link w:val="39"/>
    <w:qFormat/>
    <w:locked/>
    <w:uiPriority w:val="99"/>
    <w:rPr>
      <w:kern w:val="2"/>
      <w:sz w:val="18"/>
      <w:szCs w:val="18"/>
    </w:rPr>
  </w:style>
  <w:style w:type="character" w:customStyle="1" w:styleId="102">
    <w:name w:val="页眉 字符2"/>
    <w:link w:val="40"/>
    <w:qFormat/>
    <w:uiPriority w:val="99"/>
    <w:rPr>
      <w:kern w:val="2"/>
      <w:sz w:val="18"/>
      <w:szCs w:val="18"/>
    </w:rPr>
  </w:style>
  <w:style w:type="character" w:customStyle="1" w:styleId="103">
    <w:name w:val="签名 字符"/>
    <w:link w:val="41"/>
    <w:qFormat/>
    <w:uiPriority w:val="0"/>
    <w:rPr>
      <w:rFonts w:eastAsia="仿宋_GB2312"/>
      <w:sz w:val="24"/>
    </w:rPr>
  </w:style>
  <w:style w:type="character" w:customStyle="1" w:styleId="104">
    <w:name w:val="副标题 字符"/>
    <w:link w:val="46"/>
    <w:qFormat/>
    <w:uiPriority w:val="0"/>
    <w:rPr>
      <w:rFonts w:ascii="Arial" w:hAnsi="Arial" w:eastAsia="隶书"/>
      <w:b/>
      <w:bCs/>
      <w:kern w:val="28"/>
      <w:sz w:val="44"/>
      <w:szCs w:val="32"/>
      <w:lang w:val="en-US" w:eastAsia="zh-CN" w:bidi="ar-SA"/>
    </w:rPr>
  </w:style>
  <w:style w:type="character" w:customStyle="1" w:styleId="105">
    <w:name w:val="脚注文本 字符"/>
    <w:link w:val="49"/>
    <w:qFormat/>
    <w:uiPriority w:val="0"/>
    <w:rPr>
      <w:color w:val="0000FF"/>
      <w:sz w:val="21"/>
    </w:rPr>
  </w:style>
  <w:style w:type="character" w:customStyle="1" w:styleId="106">
    <w:name w:val="正文文本缩进 3 字符"/>
    <w:link w:val="52"/>
    <w:qFormat/>
    <w:uiPriority w:val="0"/>
    <w:rPr>
      <w:kern w:val="2"/>
      <w:sz w:val="24"/>
    </w:rPr>
  </w:style>
  <w:style w:type="character" w:customStyle="1" w:styleId="107">
    <w:name w:val="正文文本 2 字符1"/>
    <w:link w:val="55"/>
    <w:qFormat/>
    <w:uiPriority w:val="0"/>
    <w:rPr>
      <w:kern w:val="2"/>
      <w:sz w:val="21"/>
      <w:szCs w:val="24"/>
    </w:rPr>
  </w:style>
  <w:style w:type="character" w:customStyle="1" w:styleId="108">
    <w:name w:val="HTML 预设格式 字符"/>
    <w:link w:val="56"/>
    <w:qFormat/>
    <w:uiPriority w:val="0"/>
    <w:rPr>
      <w:rFonts w:ascii="黑体" w:hAnsi="Courier New" w:eastAsia="黑体"/>
    </w:rPr>
  </w:style>
  <w:style w:type="character" w:customStyle="1" w:styleId="109">
    <w:name w:val="标题 字符"/>
    <w:link w:val="58"/>
    <w:qFormat/>
    <w:uiPriority w:val="10"/>
    <w:rPr>
      <w:b/>
      <w:sz w:val="24"/>
      <w:lang w:val="en-GB"/>
    </w:rPr>
  </w:style>
  <w:style w:type="character" w:customStyle="1" w:styleId="110">
    <w:name w:val="批注主题 字符"/>
    <w:link w:val="59"/>
    <w:qFormat/>
    <w:uiPriority w:val="0"/>
    <w:rPr>
      <w:b/>
      <w:bCs/>
      <w:kern w:val="2"/>
      <w:sz w:val="21"/>
      <w:szCs w:val="24"/>
    </w:rPr>
  </w:style>
  <w:style w:type="character" w:customStyle="1" w:styleId="111">
    <w:name w:val="正文文本首行缩进 字符"/>
    <w:link w:val="60"/>
    <w:qFormat/>
    <w:uiPriority w:val="99"/>
    <w:rPr>
      <w:rFonts w:ascii="宋体"/>
      <w:kern w:val="2"/>
      <w:sz w:val="24"/>
      <w:lang w:val="zh-CN"/>
    </w:rPr>
  </w:style>
  <w:style w:type="character" w:customStyle="1" w:styleId="112">
    <w:name w:val="正文文本首行缩进 2 字符"/>
    <w:link w:val="61"/>
    <w:qFormat/>
    <w:uiPriority w:val="0"/>
    <w:rPr>
      <w:rFonts w:ascii="宋体" w:hAnsi="宋体"/>
      <w:kern w:val="2"/>
      <w:sz w:val="21"/>
      <w:szCs w:val="24"/>
    </w:rPr>
  </w:style>
  <w:style w:type="character" w:customStyle="1" w:styleId="113">
    <w:name w:val="表格非标题文字 Char"/>
    <w:link w:val="114"/>
    <w:qFormat/>
    <w:uiPriority w:val="0"/>
    <w:rPr>
      <w:rFonts w:ascii="Futura Bk" w:hAnsi="Futura Bk"/>
      <w:kern w:val="2"/>
      <w:sz w:val="18"/>
      <w:szCs w:val="21"/>
      <w:lang w:val="en-US" w:eastAsia="zh-CN" w:bidi="ar-SA"/>
    </w:rPr>
  </w:style>
  <w:style w:type="paragraph" w:customStyle="1" w:styleId="114">
    <w:name w:val="表格非标题文字"/>
    <w:link w:val="11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5">
    <w:name w:val="*正文 Char"/>
    <w:link w:val="116"/>
    <w:qFormat/>
    <w:locked/>
    <w:uiPriority w:val="0"/>
    <w:rPr>
      <w:rFonts w:ascii="宋体" w:hAnsi="宋体"/>
      <w:sz w:val="24"/>
    </w:rPr>
  </w:style>
  <w:style w:type="paragraph" w:customStyle="1" w:styleId="116">
    <w:name w:val="*正文"/>
    <w:basedOn w:val="1"/>
    <w:link w:val="115"/>
    <w:qFormat/>
    <w:uiPriority w:val="0"/>
    <w:pPr>
      <w:snapToGrid w:val="0"/>
      <w:spacing w:line="360" w:lineRule="auto"/>
      <w:ind w:firstLine="482"/>
      <w:jc w:val="left"/>
    </w:pPr>
    <w:rPr>
      <w:rFonts w:ascii="宋体" w:hAnsi="宋体"/>
      <w:kern w:val="0"/>
      <w:sz w:val="24"/>
      <w:szCs w:val="20"/>
    </w:rPr>
  </w:style>
  <w:style w:type="character" w:customStyle="1" w:styleId="117">
    <w:name w:val="Char Char71"/>
    <w:semiHidden/>
    <w:qFormat/>
    <w:uiPriority w:val="0"/>
    <w:rPr>
      <w:rFonts w:eastAsia="宋体"/>
      <w:kern w:val="2"/>
      <w:sz w:val="21"/>
      <w:szCs w:val="24"/>
      <w:lang w:val="en-US" w:eastAsia="zh-CN" w:bidi="ar-SA"/>
    </w:rPr>
  </w:style>
  <w:style w:type="character" w:customStyle="1" w:styleId="118">
    <w:name w:val="Char Char6"/>
    <w:qFormat/>
    <w:uiPriority w:val="0"/>
    <w:rPr>
      <w:rFonts w:eastAsia="宋体"/>
      <w:kern w:val="2"/>
      <w:sz w:val="21"/>
      <w:szCs w:val="24"/>
      <w:lang w:val="en-US" w:eastAsia="zh-CN" w:bidi="ar-SA"/>
    </w:rPr>
  </w:style>
  <w:style w:type="character" w:customStyle="1" w:styleId="119">
    <w:name w:val="正文缩进 Char"/>
    <w:qFormat/>
    <w:uiPriority w:val="0"/>
    <w:rPr>
      <w:rFonts w:eastAsia="宋体"/>
      <w:kern w:val="2"/>
      <w:sz w:val="21"/>
      <w:lang w:val="en-US" w:eastAsia="zh-CN"/>
    </w:rPr>
  </w:style>
  <w:style w:type="character" w:customStyle="1" w:styleId="120">
    <w:name w:val="正文首行缩进 Char1"/>
    <w:qFormat/>
    <w:uiPriority w:val="0"/>
    <w:rPr>
      <w:rFonts w:ascii="宋体" w:hAnsi="Times New Roman" w:eastAsia="宋体" w:cs="Times New Roman"/>
      <w:snapToGrid w:val="0"/>
      <w:kern w:val="2"/>
      <w:sz w:val="24"/>
      <w:szCs w:val="21"/>
      <w:lang w:val="zh-CN"/>
    </w:rPr>
  </w:style>
  <w:style w:type="character" w:customStyle="1" w:styleId="121">
    <w:name w:val="Char Char28"/>
    <w:qFormat/>
    <w:uiPriority w:val="6"/>
    <w:rPr>
      <w:rFonts w:ascii="仿宋_GB2312" w:hAnsi="仿宋_GB2312" w:eastAsia="仿宋_GB2312"/>
      <w:kern w:val="1"/>
      <w:sz w:val="28"/>
    </w:rPr>
  </w:style>
  <w:style w:type="character" w:customStyle="1" w:styleId="12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23">
    <w:name w:val="Heading 1 Char"/>
    <w:qFormat/>
    <w:uiPriority w:val="6"/>
    <w:rPr>
      <w:rFonts w:ascii="Times New Roman" w:hAnsi="Times New Roman" w:eastAsia="黑体" w:cs="Times New Roman"/>
      <w:b/>
      <w:kern w:val="0"/>
      <w:sz w:val="24"/>
      <w:szCs w:val="24"/>
    </w:rPr>
  </w:style>
  <w:style w:type="character" w:customStyle="1" w:styleId="124">
    <w:name w:val="U_正文 Char"/>
    <w:link w:val="125"/>
    <w:qFormat/>
    <w:uiPriority w:val="0"/>
    <w:rPr>
      <w:sz w:val="24"/>
      <w:szCs w:val="24"/>
    </w:rPr>
  </w:style>
  <w:style w:type="paragraph" w:customStyle="1" w:styleId="125">
    <w:name w:val="U_正文"/>
    <w:basedOn w:val="1"/>
    <w:link w:val="124"/>
    <w:qFormat/>
    <w:uiPriority w:val="0"/>
    <w:pPr>
      <w:adjustRightInd/>
      <w:spacing w:beforeLines="20" w:afterLines="20" w:line="300" w:lineRule="auto"/>
      <w:ind w:firstLine="200" w:firstLineChars="200"/>
    </w:pPr>
    <w:rPr>
      <w:kern w:val="0"/>
      <w:sz w:val="24"/>
    </w:rPr>
  </w:style>
  <w:style w:type="character" w:customStyle="1" w:styleId="126">
    <w:name w:val="HTML 地址 Char1"/>
    <w:qFormat/>
    <w:uiPriority w:val="0"/>
    <w:rPr>
      <w:rFonts w:ascii="Times New Roman" w:hAnsi="Times New Roman" w:eastAsia="宋体" w:cs="Times New Roman"/>
      <w:i/>
      <w:iCs/>
      <w:szCs w:val="24"/>
    </w:rPr>
  </w:style>
  <w:style w:type="character" w:customStyle="1" w:styleId="127">
    <w:name w:val="Char Char51"/>
    <w:qFormat/>
    <w:uiPriority w:val="0"/>
    <w:rPr>
      <w:rFonts w:ascii="宋体" w:hAnsi="Courier New" w:eastAsia="宋体"/>
      <w:kern w:val="2"/>
      <w:sz w:val="21"/>
      <w:lang w:val="en-US" w:eastAsia="zh-CN"/>
    </w:rPr>
  </w:style>
  <w:style w:type="character" w:customStyle="1" w:styleId="128">
    <w:name w:val="表正文 Char"/>
    <w:qFormat/>
    <w:uiPriority w:val="0"/>
    <w:rPr>
      <w:rFonts w:ascii="宋体" w:eastAsia="宋体"/>
      <w:snapToGrid w:val="0"/>
      <w:color w:val="000000"/>
      <w:kern w:val="28"/>
      <w:sz w:val="28"/>
      <w:lang w:val="en-US" w:eastAsia="zh-CN" w:bidi="ar-SA"/>
    </w:rPr>
  </w:style>
  <w:style w:type="character" w:customStyle="1" w:styleId="129">
    <w:name w:val="Char Char34"/>
    <w:qFormat/>
    <w:uiPriority w:val="6"/>
    <w:rPr>
      <w:b/>
      <w:kern w:val="1"/>
      <w:sz w:val="28"/>
      <w:szCs w:val="28"/>
    </w:rPr>
  </w:style>
  <w:style w:type="character" w:customStyle="1" w:styleId="13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31">
    <w:name w:val="哈哈正文 Char"/>
    <w:link w:val="132"/>
    <w:qFormat/>
    <w:uiPriority w:val="0"/>
    <w:rPr>
      <w:rFonts w:ascii="宋体" w:hAnsi="宋体" w:eastAsia="宋体"/>
      <w:kern w:val="2"/>
      <w:sz w:val="24"/>
      <w:lang w:bidi="ar-SA"/>
    </w:rPr>
  </w:style>
  <w:style w:type="paragraph" w:customStyle="1" w:styleId="132">
    <w:name w:val="哈哈正文"/>
    <w:basedOn w:val="1"/>
    <w:link w:val="131"/>
    <w:qFormat/>
    <w:uiPriority w:val="0"/>
    <w:pPr>
      <w:adjustRightInd/>
      <w:spacing w:line="360" w:lineRule="auto"/>
      <w:ind w:firstLine="200" w:firstLineChars="200"/>
    </w:pPr>
    <w:rPr>
      <w:rFonts w:ascii="宋体" w:hAnsi="宋体"/>
      <w:sz w:val="24"/>
      <w:szCs w:val="20"/>
    </w:rPr>
  </w:style>
  <w:style w:type="character" w:customStyle="1" w:styleId="133">
    <w:name w:val="未处理的提及1"/>
    <w:qFormat/>
    <w:uiPriority w:val="0"/>
    <w:rPr>
      <w:color w:val="808080"/>
      <w:shd w:val="clear" w:color="auto" w:fill="E6E6E6"/>
    </w:rPr>
  </w:style>
  <w:style w:type="character" w:customStyle="1" w:styleId="134">
    <w:name w:val="txt"/>
    <w:qFormat/>
    <w:uiPriority w:val="0"/>
    <w:rPr>
      <w:rFonts w:ascii="仿宋_GB2312" w:eastAsia="微软雅黑"/>
      <w:b/>
      <w:kern w:val="2"/>
      <w:sz w:val="32"/>
      <w:szCs w:val="32"/>
      <w:lang w:val="en-US" w:eastAsia="zh-CN" w:bidi="ar-SA"/>
    </w:rPr>
  </w:style>
  <w:style w:type="character" w:customStyle="1" w:styleId="135">
    <w:name w:val="二级标题 Char Char"/>
    <w:qFormat/>
    <w:uiPriority w:val="0"/>
    <w:rPr>
      <w:rFonts w:ascii="宋体" w:hAnsi="宋体" w:eastAsia="宋体"/>
      <w:b/>
      <w:snapToGrid w:val="0"/>
      <w:kern w:val="2"/>
      <w:sz w:val="24"/>
      <w:szCs w:val="24"/>
      <w:lang w:val="en-US" w:eastAsia="zh-CN" w:bidi="ar-SA"/>
    </w:rPr>
  </w:style>
  <w:style w:type="character" w:customStyle="1" w:styleId="136">
    <w:name w:val="Char Char32"/>
    <w:qFormat/>
    <w:uiPriority w:val="6"/>
    <w:rPr>
      <w:b/>
      <w:kern w:val="1"/>
      <w:sz w:val="24"/>
      <w:szCs w:val="24"/>
    </w:rPr>
  </w:style>
  <w:style w:type="character" w:customStyle="1" w:styleId="137">
    <w:name w:val="PI Char1"/>
    <w:qFormat/>
    <w:uiPriority w:val="0"/>
    <w:rPr>
      <w:rFonts w:ascii="宋体" w:hAnsi="宋体"/>
      <w:kern w:val="2"/>
      <w:sz w:val="24"/>
      <w:szCs w:val="24"/>
    </w:rPr>
  </w:style>
  <w:style w:type="character" w:customStyle="1" w:styleId="138">
    <w:name w:val="tw4winTerm"/>
    <w:qFormat/>
    <w:uiPriority w:val="0"/>
    <w:rPr>
      <w:color w:val="0000FF"/>
    </w:rPr>
  </w:style>
  <w:style w:type="character" w:customStyle="1" w:styleId="139">
    <w:name w:val="Footer Char"/>
    <w:qFormat/>
    <w:locked/>
    <w:uiPriority w:val="0"/>
    <w:rPr>
      <w:rFonts w:eastAsia="宋体"/>
      <w:kern w:val="2"/>
      <w:sz w:val="18"/>
      <w:lang w:val="en-US" w:eastAsia="zh-CN" w:bidi="ar-SA"/>
    </w:rPr>
  </w:style>
  <w:style w:type="character" w:customStyle="1" w:styleId="140">
    <w:name w:val="普通文字 Char Char1"/>
    <w:qFormat/>
    <w:uiPriority w:val="0"/>
    <w:rPr>
      <w:rFonts w:ascii="宋体" w:hAnsi="Courier New"/>
      <w:kern w:val="2"/>
      <w:sz w:val="21"/>
    </w:rPr>
  </w:style>
  <w:style w:type="character" w:customStyle="1" w:styleId="141">
    <w:name w:val="Char Char101"/>
    <w:qFormat/>
    <w:uiPriority w:val="6"/>
    <w:rPr>
      <w:rFonts w:ascii="宋体" w:hAnsi="宋体"/>
      <w:kern w:val="2"/>
      <w:sz w:val="21"/>
      <w:szCs w:val="24"/>
      <w:lang w:val="en-US" w:eastAsia="zh-CN"/>
    </w:rPr>
  </w:style>
  <w:style w:type="character" w:customStyle="1" w:styleId="142">
    <w:name w:val="标题 4 Char"/>
    <w:qFormat/>
    <w:uiPriority w:val="0"/>
    <w:rPr>
      <w:rFonts w:ascii="Arial" w:hAnsi="Arial" w:eastAsia="黑体"/>
      <w:b/>
      <w:kern w:val="2"/>
      <w:sz w:val="28"/>
    </w:rPr>
  </w:style>
  <w:style w:type="character" w:customStyle="1" w:styleId="143">
    <w:name w:val="链接"/>
    <w:qFormat/>
    <w:uiPriority w:val="0"/>
    <w:rPr>
      <w:color w:val="0000FF"/>
      <w:sz w:val="21"/>
      <w:szCs w:val="21"/>
      <w:u w:val="single"/>
    </w:rPr>
  </w:style>
  <w:style w:type="character" w:customStyle="1" w:styleId="144">
    <w:name w:val="h4 Char"/>
    <w:qFormat/>
    <w:uiPriority w:val="0"/>
    <w:rPr>
      <w:rFonts w:ascii="Arial" w:hAnsi="Arial" w:eastAsia="黑体"/>
      <w:b/>
      <w:bCs/>
      <w:kern w:val="2"/>
      <w:sz w:val="28"/>
      <w:szCs w:val="28"/>
      <w:lang w:val="zh-CN" w:eastAsia="zh-CN" w:bidi="ar-SA"/>
    </w:rPr>
  </w:style>
  <w:style w:type="character" w:customStyle="1" w:styleId="145">
    <w:name w:val="5正文 Char"/>
    <w:link w:val="146"/>
    <w:qFormat/>
    <w:uiPriority w:val="0"/>
    <w:rPr>
      <w:rFonts w:ascii="仿宋_GB2312" w:hAnsi="微软雅黑" w:eastAsia="仿宋_GB2312"/>
      <w:sz w:val="28"/>
      <w:szCs w:val="21"/>
    </w:rPr>
  </w:style>
  <w:style w:type="paragraph" w:customStyle="1" w:styleId="146">
    <w:name w:val="5正文"/>
    <w:basedOn w:val="1"/>
    <w:link w:val="14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47">
    <w:name w:val="标题 3 字符"/>
    <w:qFormat/>
    <w:uiPriority w:val="9"/>
    <w:rPr>
      <w:b/>
      <w:bCs/>
      <w:kern w:val="2"/>
      <w:sz w:val="32"/>
      <w:szCs w:val="32"/>
    </w:rPr>
  </w:style>
  <w:style w:type="character" w:customStyle="1" w:styleId="148">
    <w:name w:val="样式6 Char"/>
    <w:qFormat/>
    <w:uiPriority w:val="0"/>
    <w:rPr>
      <w:rFonts w:ascii="仿宋_GB2312" w:hAnsi="宋体" w:eastAsia="仿宋_GB2312"/>
      <w:b/>
      <w:bCs/>
      <w:kern w:val="2"/>
      <w:sz w:val="24"/>
      <w:szCs w:val="24"/>
      <w:lang w:val="en-US" w:eastAsia="zh-CN" w:bidi="ar-SA"/>
    </w:rPr>
  </w:style>
  <w:style w:type="character" w:customStyle="1" w:styleId="149">
    <w:name w:val="Char Char14"/>
    <w:qFormat/>
    <w:uiPriority w:val="6"/>
    <w:rPr>
      <w:rFonts w:ascii="黑体" w:hAnsi="黑体" w:eastAsia="黑体"/>
    </w:rPr>
  </w:style>
  <w:style w:type="character" w:customStyle="1" w:styleId="150">
    <w:name w:val="Heading 2 Hidden Char"/>
    <w:qFormat/>
    <w:uiPriority w:val="0"/>
    <w:rPr>
      <w:rFonts w:ascii="仿宋_GB2312" w:eastAsia="仿宋_GB2312"/>
      <w:b/>
      <w:bCs/>
      <w:kern w:val="2"/>
      <w:sz w:val="24"/>
      <w:szCs w:val="24"/>
      <w:lang w:val="zh-CN" w:eastAsia="zh-CN" w:bidi="ar-SA"/>
    </w:rPr>
  </w:style>
  <w:style w:type="character" w:customStyle="1" w:styleId="151">
    <w:name w:val="font11"/>
    <w:qFormat/>
    <w:uiPriority w:val="0"/>
    <w:rPr>
      <w:rFonts w:hint="default" w:ascii="Times New Roman" w:hAnsi="Times New Roman" w:cs="Times New Roman"/>
      <w:color w:val="000000"/>
      <w:sz w:val="22"/>
      <w:szCs w:val="22"/>
      <w:u w:val="none"/>
    </w:rPr>
  </w:style>
  <w:style w:type="character" w:customStyle="1" w:styleId="152">
    <w:name w:val="表正文 Char1"/>
    <w:qFormat/>
    <w:uiPriority w:val="0"/>
    <w:rPr>
      <w:rFonts w:ascii="宋体" w:eastAsia="宋体"/>
      <w:snapToGrid w:val="0"/>
      <w:color w:val="000000"/>
      <w:kern w:val="28"/>
      <w:sz w:val="28"/>
    </w:rPr>
  </w:style>
  <w:style w:type="character" w:customStyle="1" w:styleId="153">
    <w:name w:val="blue1"/>
    <w:basedOn w:val="69"/>
    <w:qFormat/>
    <w:uiPriority w:val="0"/>
    <w:rPr>
      <w:rFonts w:ascii="Arial" w:hAnsi="Arial" w:eastAsia="黑体" w:cs="Arial"/>
      <w:snapToGrid w:val="0"/>
      <w:kern w:val="0"/>
      <w:szCs w:val="21"/>
    </w:rPr>
  </w:style>
  <w:style w:type="character" w:customStyle="1" w:styleId="154">
    <w:name w:val="标书1 Char"/>
    <w:qFormat/>
    <w:uiPriority w:val="0"/>
    <w:rPr>
      <w:rFonts w:eastAsia="宋体"/>
      <w:b/>
      <w:bCs/>
      <w:kern w:val="44"/>
      <w:sz w:val="44"/>
      <w:szCs w:val="44"/>
      <w:lang w:val="en-US" w:eastAsia="zh-CN" w:bidi="ar-SA"/>
    </w:rPr>
  </w:style>
  <w:style w:type="character" w:customStyle="1" w:styleId="155">
    <w:name w:val="样式5 Char"/>
    <w:qFormat/>
    <w:uiPriority w:val="0"/>
    <w:rPr>
      <w:rFonts w:ascii="仿宋_GB2312" w:hAnsi="仿宋" w:eastAsia="仿宋_GB2312"/>
      <w:kern w:val="2"/>
      <w:sz w:val="24"/>
      <w:szCs w:val="24"/>
    </w:rPr>
  </w:style>
  <w:style w:type="character" w:customStyle="1" w:styleId="156">
    <w:name w:val="样式4 Char"/>
    <w:qFormat/>
    <w:uiPriority w:val="0"/>
    <w:rPr>
      <w:rFonts w:ascii="仿宋_GB2312" w:hAnsi="仿宋" w:eastAsia="仿宋_GB2312"/>
      <w:b/>
      <w:kern w:val="2"/>
      <w:sz w:val="32"/>
      <w:szCs w:val="32"/>
      <w:lang w:bidi="ar-SA"/>
    </w:rPr>
  </w:style>
  <w:style w:type="character" w:customStyle="1" w:styleId="157">
    <w:name w:val="插图说明 Char"/>
    <w:qFormat/>
    <w:uiPriority w:val="0"/>
    <w:rPr>
      <w:rFonts w:eastAsia="黑体"/>
      <w:sz w:val="24"/>
      <w:lang w:val="en-US" w:eastAsia="zh-CN"/>
    </w:rPr>
  </w:style>
  <w:style w:type="character" w:customStyle="1" w:styleId="158">
    <w:name w:val="正文2 Char Char"/>
    <w:link w:val="159"/>
    <w:qFormat/>
    <w:uiPriority w:val="0"/>
    <w:rPr>
      <w:rFonts w:eastAsia="宋体"/>
      <w:kern w:val="2"/>
      <w:sz w:val="24"/>
      <w:lang w:val="en-US" w:eastAsia="zh-CN" w:bidi="ar-SA"/>
    </w:rPr>
  </w:style>
  <w:style w:type="paragraph" w:customStyle="1" w:styleId="159">
    <w:name w:val="正文2"/>
    <w:basedOn w:val="1"/>
    <w:link w:val="158"/>
    <w:qFormat/>
    <w:uiPriority w:val="0"/>
    <w:pPr>
      <w:spacing w:before="156" w:line="360" w:lineRule="auto"/>
      <w:ind w:firstLine="510" w:firstLineChars="200"/>
    </w:pPr>
    <w:rPr>
      <w:sz w:val="24"/>
      <w:szCs w:val="20"/>
    </w:rPr>
  </w:style>
  <w:style w:type="character" w:customStyle="1" w:styleId="160">
    <w:name w:val="Char Char24"/>
    <w:qFormat/>
    <w:uiPriority w:val="6"/>
    <w:rPr>
      <w:kern w:val="1"/>
      <w:sz w:val="21"/>
    </w:rPr>
  </w:style>
  <w:style w:type="character" w:customStyle="1" w:styleId="161">
    <w:name w:val="普通文字 Char1 Char"/>
    <w:qFormat/>
    <w:uiPriority w:val="0"/>
    <w:rPr>
      <w:rFonts w:ascii="宋体" w:hAnsi="Courier New" w:eastAsia="宋体"/>
      <w:kern w:val="2"/>
      <w:sz w:val="21"/>
      <w:szCs w:val="24"/>
      <w:lang w:val="en-US" w:eastAsia="zh-CN" w:bidi="ar-SA"/>
    </w:rPr>
  </w:style>
  <w:style w:type="character" w:customStyle="1" w:styleId="162">
    <w:name w:val="h3 Char1"/>
    <w:qFormat/>
    <w:uiPriority w:val="0"/>
    <w:rPr>
      <w:rFonts w:eastAsia="宋体"/>
      <w:b/>
      <w:bCs/>
      <w:kern w:val="2"/>
      <w:sz w:val="32"/>
      <w:szCs w:val="32"/>
      <w:lang w:bidi="ar-SA"/>
    </w:rPr>
  </w:style>
  <w:style w:type="character" w:customStyle="1" w:styleId="163">
    <w:name w:val="标题 Char1"/>
    <w:qFormat/>
    <w:uiPriority w:val="0"/>
    <w:rPr>
      <w:rFonts w:ascii="Cambria" w:hAnsi="Cambria" w:eastAsia="宋体" w:cs="Times New Roman"/>
      <w:b/>
      <w:bCs/>
      <w:sz w:val="32"/>
      <w:szCs w:val="32"/>
      <w:lang w:bidi="ar-SA"/>
    </w:rPr>
  </w:style>
  <w:style w:type="character" w:customStyle="1" w:styleId="164">
    <w:name w:val="gf正文1 Char"/>
    <w:qFormat/>
    <w:uiPriority w:val="0"/>
    <w:rPr>
      <w:rFonts w:ascii="宋体" w:hAnsi="宋体" w:eastAsia="宋体" w:cs="宋体"/>
      <w:kern w:val="2"/>
      <w:sz w:val="24"/>
      <w:szCs w:val="24"/>
      <w:lang w:val="en-US" w:eastAsia="zh-CN" w:bidi="ar-SA"/>
    </w:rPr>
  </w:style>
  <w:style w:type="character" w:customStyle="1" w:styleId="165">
    <w:name w:val="正文文本缩进 Char1"/>
    <w:qFormat/>
    <w:uiPriority w:val="0"/>
    <w:rPr>
      <w:rFonts w:ascii="Calibri" w:hAnsi="Calibri"/>
      <w:sz w:val="28"/>
    </w:rPr>
  </w:style>
  <w:style w:type="character" w:customStyle="1" w:styleId="166">
    <w:name w:val="No Spacing Char"/>
    <w:link w:val="167"/>
    <w:qFormat/>
    <w:uiPriority w:val="1"/>
    <w:rPr>
      <w:sz w:val="22"/>
      <w:szCs w:val="22"/>
      <w:lang w:val="en-US" w:eastAsia="zh-CN" w:bidi="ar-SA"/>
    </w:rPr>
  </w:style>
  <w:style w:type="paragraph" w:customStyle="1" w:styleId="167">
    <w:name w:val="无间隔1"/>
    <w:link w:val="166"/>
    <w:qFormat/>
    <w:uiPriority w:val="1"/>
    <w:rPr>
      <w:rFonts w:ascii="Times New Roman" w:hAnsi="Times New Roman" w:eastAsia="宋体" w:cs="Times New Roman"/>
      <w:sz w:val="22"/>
      <w:szCs w:val="22"/>
      <w:lang w:val="en-US" w:eastAsia="zh-CN" w:bidi="ar-SA"/>
    </w:rPr>
  </w:style>
  <w:style w:type="character" w:customStyle="1" w:styleId="168">
    <w:name w:val="样式7 Char"/>
    <w:qFormat/>
    <w:uiPriority w:val="0"/>
    <w:rPr>
      <w:rFonts w:ascii="仿宋_GB2312" w:hAnsi="仿宋" w:eastAsia="仿宋_GB2312"/>
      <w:b/>
      <w:kern w:val="2"/>
      <w:sz w:val="24"/>
      <w:szCs w:val="24"/>
    </w:rPr>
  </w:style>
  <w:style w:type="character" w:customStyle="1" w:styleId="169">
    <w:name w:val="font12gray1"/>
    <w:qFormat/>
    <w:uiPriority w:val="0"/>
    <w:rPr>
      <w:rFonts w:ascii="仿宋_GB2312" w:eastAsia="微软雅黑"/>
      <w:b/>
      <w:spacing w:val="300"/>
      <w:kern w:val="2"/>
      <w:sz w:val="18"/>
      <w:szCs w:val="18"/>
      <w:lang w:val="en-US" w:eastAsia="zh-CN" w:bidi="ar-SA"/>
    </w:rPr>
  </w:style>
  <w:style w:type="character" w:customStyle="1" w:styleId="170">
    <w:name w:val="Char Char7"/>
    <w:semiHidden/>
    <w:qFormat/>
    <w:uiPriority w:val="0"/>
    <w:rPr>
      <w:rFonts w:eastAsia="宋体"/>
      <w:kern w:val="2"/>
      <w:sz w:val="21"/>
      <w:szCs w:val="24"/>
      <w:lang w:val="en-US" w:eastAsia="zh-CN" w:bidi="ar-SA"/>
    </w:rPr>
  </w:style>
  <w:style w:type="character" w:customStyle="1" w:styleId="171">
    <w:name w:val="表名 Char"/>
    <w:qFormat/>
    <w:uiPriority w:val="0"/>
    <w:rPr>
      <w:rFonts w:eastAsia="宋体"/>
      <w:b/>
      <w:bCs/>
      <w:kern w:val="2"/>
      <w:sz w:val="24"/>
      <w:szCs w:val="24"/>
      <w:lang w:val="en-US" w:eastAsia="zh-CN" w:bidi="ar-SA"/>
    </w:rPr>
  </w:style>
  <w:style w:type="character" w:customStyle="1" w:styleId="172">
    <w:name w:val="Document Map Char"/>
    <w:qFormat/>
    <w:locked/>
    <w:uiPriority w:val="0"/>
    <w:rPr>
      <w:rFonts w:eastAsia="宋体"/>
      <w:kern w:val="2"/>
      <w:sz w:val="21"/>
      <w:szCs w:val="24"/>
      <w:lang w:val="en-US" w:eastAsia="zh-CN" w:bidi="ar-SA"/>
    </w:rPr>
  </w:style>
  <w:style w:type="character" w:customStyle="1" w:styleId="173">
    <w:name w:val="font41"/>
    <w:qFormat/>
    <w:uiPriority w:val="0"/>
    <w:rPr>
      <w:rFonts w:hint="eastAsia" w:ascii="仿宋_GB2312" w:eastAsia="仿宋_GB2312" w:cs="仿宋_GB2312"/>
      <w:color w:val="000000"/>
      <w:sz w:val="22"/>
      <w:szCs w:val="22"/>
      <w:u w:val="none"/>
    </w:rPr>
  </w:style>
  <w:style w:type="character" w:customStyle="1" w:styleId="174">
    <w:name w:val="纯文本 Char_0"/>
    <w:link w:val="175"/>
    <w:qFormat/>
    <w:uiPriority w:val="99"/>
    <w:rPr>
      <w:rFonts w:ascii="宋体" w:hAnsi="Courier New"/>
      <w:kern w:val="2"/>
      <w:sz w:val="21"/>
      <w:szCs w:val="21"/>
      <w:lang w:val="en-US" w:eastAsia="zh-CN"/>
    </w:rPr>
  </w:style>
  <w:style w:type="paragraph" w:customStyle="1" w:styleId="175">
    <w:name w:val="纯文本_0_0"/>
    <w:basedOn w:val="176"/>
    <w:link w:val="174"/>
    <w:qFormat/>
    <w:uiPriority w:val="99"/>
    <w:rPr>
      <w:rFonts w:ascii="宋体" w:hAnsi="Courier New"/>
      <w:szCs w:val="21"/>
    </w:rPr>
  </w:style>
  <w:style w:type="paragraph" w:customStyle="1" w:styleId="17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7">
    <w:name w:val="Balloon Text Char"/>
    <w:qFormat/>
    <w:locked/>
    <w:uiPriority w:val="0"/>
    <w:rPr>
      <w:rFonts w:eastAsia="宋体"/>
      <w:kern w:val="2"/>
      <w:sz w:val="18"/>
      <w:szCs w:val="18"/>
      <w:lang w:val="en-US" w:eastAsia="zh-CN" w:bidi="ar-SA"/>
    </w:rPr>
  </w:style>
  <w:style w:type="character" w:customStyle="1" w:styleId="178">
    <w:name w:val="正文 项目2 Char"/>
    <w:basedOn w:val="179"/>
    <w:qFormat/>
    <w:uiPriority w:val="0"/>
    <w:rPr>
      <w:rFonts w:ascii="仿宋_GB2312" w:hAnsi="仿宋_GB2312" w:eastAsia="仿宋_GB2312"/>
      <w:kern w:val="2"/>
      <w:sz w:val="24"/>
      <w:lang w:bidi="ar-SA"/>
    </w:rPr>
  </w:style>
  <w:style w:type="character" w:customStyle="1" w:styleId="179">
    <w:name w:val="正文 项目 Char"/>
    <w:qFormat/>
    <w:uiPriority w:val="0"/>
    <w:rPr>
      <w:rFonts w:ascii="仿宋_GB2312" w:hAnsi="仿宋_GB2312" w:eastAsia="仿宋_GB2312"/>
      <w:kern w:val="2"/>
      <w:sz w:val="24"/>
      <w:lang w:bidi="ar-SA"/>
    </w:rPr>
  </w:style>
  <w:style w:type="character" w:customStyle="1" w:styleId="180">
    <w:name w:val="h Char Char1"/>
    <w:qFormat/>
    <w:uiPriority w:val="0"/>
    <w:rPr>
      <w:rFonts w:eastAsia="宋体"/>
      <w:kern w:val="2"/>
      <w:sz w:val="18"/>
      <w:szCs w:val="18"/>
      <w:lang w:val="en-US" w:eastAsia="zh-CN" w:bidi="ar-SA"/>
    </w:rPr>
  </w:style>
  <w:style w:type="character" w:customStyle="1" w:styleId="181">
    <w:name w:val="Char Char27"/>
    <w:qFormat/>
    <w:uiPriority w:val="6"/>
    <w:rPr>
      <w:rFonts w:ascii="宋体" w:hAnsi="宋体" w:eastAsia="宋体"/>
      <w:color w:val="000000"/>
      <w:kern w:val="1"/>
      <w:sz w:val="28"/>
      <w:lang w:val="en-US" w:eastAsia="zh-CN" w:bidi="ar-SA"/>
    </w:rPr>
  </w:style>
  <w:style w:type="character" w:customStyle="1" w:styleId="182">
    <w:name w:val="px14"/>
    <w:qFormat/>
    <w:uiPriority w:val="0"/>
    <w:rPr>
      <w:rFonts w:ascii="仿宋_GB2312" w:eastAsia="微软雅黑" w:cs="Times New Roman"/>
      <w:b/>
      <w:kern w:val="2"/>
      <w:sz w:val="32"/>
      <w:szCs w:val="32"/>
      <w:lang w:val="en-US" w:eastAsia="zh-CN" w:bidi="ar-SA"/>
    </w:rPr>
  </w:style>
  <w:style w:type="character" w:customStyle="1" w:styleId="183">
    <w:name w:val="HTML 预设格式 Char1"/>
    <w:qFormat/>
    <w:uiPriority w:val="0"/>
    <w:rPr>
      <w:rFonts w:ascii="Courier New" w:hAnsi="Courier New" w:eastAsia="宋体" w:cs="Courier New"/>
      <w:sz w:val="20"/>
      <w:szCs w:val="20"/>
    </w:rPr>
  </w:style>
  <w:style w:type="character" w:customStyle="1" w:styleId="184">
    <w:name w:val="普通文字 Char1"/>
    <w:qFormat/>
    <w:uiPriority w:val="0"/>
    <w:rPr>
      <w:rFonts w:ascii="宋体" w:hAnsi="Courier New" w:eastAsia="宋体"/>
      <w:kern w:val="2"/>
      <w:sz w:val="21"/>
      <w:lang w:val="en-US" w:eastAsia="zh-CN"/>
    </w:rPr>
  </w:style>
  <w:style w:type="character" w:customStyle="1" w:styleId="185">
    <w:name w:val="hei16b1"/>
    <w:qFormat/>
    <w:uiPriority w:val="0"/>
    <w:rPr>
      <w:rFonts w:hint="default" w:ascii="Arial" w:hAnsi="Arial" w:cs="Arial"/>
      <w:b/>
      <w:bCs/>
      <w:color w:val="000000"/>
      <w:sz w:val="24"/>
      <w:szCs w:val="24"/>
    </w:rPr>
  </w:style>
  <w:style w:type="character" w:customStyle="1" w:styleId="186">
    <w:name w:val="正文（绿盟科技） Char"/>
    <w:link w:val="187"/>
    <w:qFormat/>
    <w:uiPriority w:val="0"/>
    <w:rPr>
      <w:rFonts w:ascii="Arial" w:hAnsi="Arial"/>
      <w:sz w:val="21"/>
      <w:szCs w:val="21"/>
    </w:rPr>
  </w:style>
  <w:style w:type="paragraph" w:customStyle="1" w:styleId="187">
    <w:name w:val="正文（绿盟科技）"/>
    <w:link w:val="186"/>
    <w:qFormat/>
    <w:uiPriority w:val="0"/>
    <w:pPr>
      <w:spacing w:line="300" w:lineRule="auto"/>
    </w:pPr>
    <w:rPr>
      <w:rFonts w:ascii="Arial" w:hAnsi="Arial" w:eastAsia="宋体" w:cs="Times New Roman"/>
      <w:sz w:val="21"/>
      <w:szCs w:val="21"/>
      <w:lang w:val="en-US" w:eastAsia="zh-CN" w:bidi="ar-SA"/>
    </w:rPr>
  </w:style>
  <w:style w:type="character" w:customStyle="1" w:styleId="188">
    <w:name w:val="Char Char19"/>
    <w:qFormat/>
    <w:uiPriority w:val="6"/>
    <w:rPr>
      <w:rFonts w:ascii="宋体" w:hAnsi="宋体"/>
      <w:i/>
      <w:sz w:val="24"/>
      <w:szCs w:val="24"/>
    </w:rPr>
  </w:style>
  <w:style w:type="character" w:customStyle="1" w:styleId="189">
    <w:name w:val="页脚 Char"/>
    <w:qFormat/>
    <w:uiPriority w:val="99"/>
    <w:rPr>
      <w:rFonts w:eastAsia="仿宋_GB2312"/>
      <w:kern w:val="2"/>
      <w:sz w:val="18"/>
      <w:lang w:val="en-US" w:eastAsia="zh-CN"/>
    </w:rPr>
  </w:style>
  <w:style w:type="character" w:customStyle="1" w:styleId="190">
    <w:name w:val="批注主题 Char"/>
    <w:qFormat/>
    <w:uiPriority w:val="0"/>
    <w:rPr>
      <w:rFonts w:eastAsia="宋体"/>
      <w:b/>
      <w:bCs/>
      <w:kern w:val="2"/>
      <w:sz w:val="21"/>
      <w:szCs w:val="24"/>
      <w:lang w:val="en-US" w:eastAsia="zh-CN" w:bidi="ar-SA"/>
    </w:rPr>
  </w:style>
  <w:style w:type="character" w:customStyle="1" w:styleId="191">
    <w:name w:val="Comment Text Char"/>
    <w:qFormat/>
    <w:locked/>
    <w:uiPriority w:val="0"/>
    <w:rPr>
      <w:rFonts w:ascii="宋体" w:hAnsi="宋体" w:eastAsia="宋体"/>
      <w:kern w:val="2"/>
      <w:sz w:val="24"/>
      <w:lang w:val="en-US" w:eastAsia="zh-CN" w:bidi="ar-SA"/>
    </w:rPr>
  </w:style>
  <w:style w:type="character" w:customStyle="1" w:styleId="192">
    <w:name w:val="标题 2 字符"/>
    <w:qFormat/>
    <w:uiPriority w:val="1"/>
    <w:rPr>
      <w:rFonts w:ascii="仿宋_GB2312" w:hAnsi="Times New Roman" w:eastAsia="仿宋_GB2312" w:cs="Times New Roman"/>
      <w:b/>
      <w:kern w:val="2"/>
      <w:sz w:val="24"/>
      <w:lang w:val="zh-CN"/>
    </w:rPr>
  </w:style>
  <w:style w:type="character" w:customStyle="1" w:styleId="193">
    <w:name w:val="Char Char72"/>
    <w:qFormat/>
    <w:uiPriority w:val="0"/>
    <w:rPr>
      <w:rFonts w:eastAsia="宋体"/>
      <w:kern w:val="2"/>
      <w:sz w:val="21"/>
      <w:szCs w:val="24"/>
      <w:lang w:val="en-US" w:eastAsia="zh-CN" w:bidi="ar-SA"/>
    </w:rPr>
  </w:style>
  <w:style w:type="character" w:customStyle="1" w:styleId="194">
    <w:name w:val="正文文本缩进 Char2"/>
    <w:qFormat/>
    <w:uiPriority w:val="0"/>
    <w:rPr>
      <w:rFonts w:ascii="Times New Roman" w:hAnsi="Times New Roman" w:eastAsia="宋体" w:cs="Times New Roman"/>
      <w:snapToGrid w:val="0"/>
      <w:kern w:val="0"/>
      <w:szCs w:val="24"/>
    </w:rPr>
  </w:style>
  <w:style w:type="character" w:customStyle="1" w:styleId="195">
    <w:name w:val="样式2 Char"/>
    <w:qFormat/>
    <w:uiPriority w:val="0"/>
    <w:rPr>
      <w:rFonts w:ascii="仿宋_GB2312" w:hAnsi="仿宋" w:eastAsia="仿宋_GB2312" w:cs="仿宋_GB2312"/>
      <w:b/>
      <w:bCs/>
      <w:sz w:val="32"/>
      <w:szCs w:val="30"/>
      <w:lang w:val="zh-CN"/>
    </w:rPr>
  </w:style>
  <w:style w:type="character" w:customStyle="1" w:styleId="196">
    <w:name w:val="表格名称[858D7CFB-ED40-4347-BF05-701D383B685F]"/>
    <w:link w:val="197"/>
    <w:qFormat/>
    <w:uiPriority w:val="0"/>
    <w:rPr>
      <w:sz w:val="32"/>
    </w:rPr>
  </w:style>
  <w:style w:type="paragraph" w:customStyle="1" w:styleId="197">
    <w:name w:val="表格名称"/>
    <w:basedOn w:val="2"/>
    <w:link w:val="196"/>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98">
    <w:name w:val="Char Char4"/>
    <w:qFormat/>
    <w:uiPriority w:val="0"/>
    <w:rPr>
      <w:rFonts w:eastAsia="宋体"/>
      <w:b/>
      <w:sz w:val="24"/>
      <w:lang w:val="en-GB" w:eastAsia="zh-CN" w:bidi="ar-SA"/>
    </w:rPr>
  </w:style>
  <w:style w:type="character" w:customStyle="1" w:styleId="199">
    <w:name w:val="c7 style3"/>
    <w:qFormat/>
    <w:uiPriority w:val="0"/>
  </w:style>
  <w:style w:type="character" w:customStyle="1" w:styleId="200">
    <w:name w:val="正文文本 3 Char1"/>
    <w:semiHidden/>
    <w:qFormat/>
    <w:uiPriority w:val="99"/>
    <w:rPr>
      <w:rFonts w:ascii="Times New Roman" w:hAnsi="Times New Roman" w:eastAsia="宋体" w:cs="Times New Roman"/>
      <w:sz w:val="16"/>
      <w:szCs w:val="16"/>
    </w:rPr>
  </w:style>
  <w:style w:type="character" w:customStyle="1" w:styleId="201">
    <w:name w:val="tw4winInternal"/>
    <w:qFormat/>
    <w:uiPriority w:val="0"/>
    <w:rPr>
      <w:rFonts w:ascii="Courier New" w:hAnsi="Courier New" w:cs="Courier New"/>
      <w:color w:val="FF0000"/>
      <w:lang w:val="en-US" w:eastAsia="zh-CN"/>
    </w:rPr>
  </w:style>
  <w:style w:type="character" w:customStyle="1" w:styleId="202">
    <w:name w:val="Char Char10"/>
    <w:semiHidden/>
    <w:qFormat/>
    <w:uiPriority w:val="0"/>
    <w:rPr>
      <w:rFonts w:ascii="宋体" w:hAnsi="宋体"/>
      <w:kern w:val="2"/>
      <w:sz w:val="21"/>
      <w:szCs w:val="24"/>
      <w:lang w:val="en-US" w:eastAsia="zh-CN"/>
    </w:rPr>
  </w:style>
  <w:style w:type="character" w:customStyle="1" w:styleId="203">
    <w:name w:val="shadow11"/>
    <w:qFormat/>
    <w:uiPriority w:val="0"/>
    <w:rPr>
      <w:color w:val="000000"/>
      <w:sz w:val="21"/>
    </w:rPr>
  </w:style>
  <w:style w:type="character" w:customStyle="1" w:styleId="204">
    <w:name w:val="正文非缩进 Char3"/>
    <w:qFormat/>
    <w:uiPriority w:val="0"/>
    <w:rPr>
      <w:rFonts w:ascii="宋体" w:eastAsia="宋体"/>
      <w:snapToGrid w:val="0"/>
      <w:color w:val="000000"/>
      <w:kern w:val="28"/>
      <w:sz w:val="28"/>
      <w:lang w:val="en-US" w:eastAsia="zh-CN" w:bidi="ar-SA"/>
    </w:rPr>
  </w:style>
  <w:style w:type="character" w:customStyle="1" w:styleId="205">
    <w:name w:val="Char Char"/>
    <w:qFormat/>
    <w:uiPriority w:val="0"/>
    <w:rPr>
      <w:rFonts w:ascii="宋体" w:hAnsi="Courier New" w:eastAsia="宋体"/>
      <w:kern w:val="2"/>
      <w:sz w:val="21"/>
      <w:lang w:val="en-US" w:eastAsia="zh-CN" w:bidi="ar-SA"/>
    </w:rPr>
  </w:style>
  <w:style w:type="character" w:customStyle="1" w:styleId="206">
    <w:name w:val="签名 Char1"/>
    <w:qFormat/>
    <w:uiPriority w:val="0"/>
    <w:rPr>
      <w:rFonts w:ascii="Times New Roman" w:hAnsi="Times New Roman" w:eastAsia="宋体" w:cs="Times New Roman"/>
      <w:szCs w:val="24"/>
    </w:rPr>
  </w:style>
  <w:style w:type="character" w:customStyle="1" w:styleId="207">
    <w:name w:val="Char Char18"/>
    <w:qFormat/>
    <w:uiPriority w:val="6"/>
    <w:rPr>
      <w:rFonts w:ascii="宋体" w:hAnsi="宋体"/>
      <w:sz w:val="28"/>
    </w:rPr>
  </w:style>
  <w:style w:type="character" w:customStyle="1" w:styleId="208">
    <w:name w:val="批注文字 Char"/>
    <w:qFormat/>
    <w:uiPriority w:val="99"/>
    <w:rPr>
      <w:kern w:val="2"/>
      <w:sz w:val="21"/>
      <w:szCs w:val="24"/>
    </w:rPr>
  </w:style>
  <w:style w:type="character" w:customStyle="1" w:styleId="209">
    <w:name w:val="Char Char22"/>
    <w:qFormat/>
    <w:uiPriority w:val="6"/>
    <w:rPr>
      <w:rFonts w:ascii="宋体" w:hAnsi="宋体"/>
      <w:kern w:val="1"/>
      <w:sz w:val="24"/>
      <w:szCs w:val="24"/>
    </w:rPr>
  </w:style>
  <w:style w:type="character" w:customStyle="1" w:styleId="210">
    <w:name w:val="pt141"/>
    <w:qFormat/>
    <w:uiPriority w:val="0"/>
    <w:rPr>
      <w:color w:val="330066"/>
      <w:sz w:val="22"/>
      <w:szCs w:val="22"/>
    </w:rPr>
  </w:style>
  <w:style w:type="character" w:customStyle="1" w:styleId="211">
    <w:name w:val="正文文本缩进 2 Char1"/>
    <w:semiHidden/>
    <w:qFormat/>
    <w:uiPriority w:val="99"/>
    <w:rPr>
      <w:rFonts w:ascii="Times New Roman" w:hAnsi="Times New Roman" w:eastAsia="宋体" w:cs="Times New Roman"/>
      <w:szCs w:val="24"/>
    </w:rPr>
  </w:style>
  <w:style w:type="character" w:customStyle="1" w:styleId="212">
    <w:name w:val="Char Char611"/>
    <w:qFormat/>
    <w:uiPriority w:val="0"/>
    <w:rPr>
      <w:rFonts w:eastAsia="宋体"/>
      <w:kern w:val="2"/>
      <w:sz w:val="21"/>
      <w:szCs w:val="24"/>
      <w:lang w:val="en-US" w:eastAsia="zh-CN" w:bidi="ar-SA"/>
    </w:rPr>
  </w:style>
  <w:style w:type="character" w:customStyle="1" w:styleId="213">
    <w:name w:val="highlight1"/>
    <w:qFormat/>
    <w:uiPriority w:val="0"/>
    <w:rPr>
      <w:rFonts w:ascii="仿宋_GB2312" w:eastAsia="微软雅黑"/>
      <w:b/>
      <w:kern w:val="2"/>
      <w:sz w:val="23"/>
      <w:szCs w:val="23"/>
      <w:lang w:val="en-US" w:eastAsia="zh-CN" w:bidi="ar-SA"/>
    </w:rPr>
  </w:style>
  <w:style w:type="character" w:customStyle="1" w:styleId="214">
    <w:name w:val="my正文 Char"/>
    <w:link w:val="215"/>
    <w:qFormat/>
    <w:locked/>
    <w:uiPriority w:val="0"/>
    <w:rPr>
      <w:rFonts w:ascii="Tahoma" w:hAnsi="Tahoma"/>
      <w:sz w:val="24"/>
      <w:szCs w:val="24"/>
    </w:rPr>
  </w:style>
  <w:style w:type="paragraph" w:customStyle="1" w:styleId="215">
    <w:name w:val="my正文"/>
    <w:basedOn w:val="1"/>
    <w:link w:val="214"/>
    <w:qFormat/>
    <w:uiPriority w:val="0"/>
    <w:pPr>
      <w:adjustRightInd/>
      <w:spacing w:line="360" w:lineRule="auto"/>
      <w:ind w:firstLine="480" w:firstLineChars="200"/>
    </w:pPr>
    <w:rPr>
      <w:rFonts w:ascii="Tahoma" w:hAnsi="Tahoma"/>
      <w:kern w:val="0"/>
      <w:sz w:val="24"/>
    </w:rPr>
  </w:style>
  <w:style w:type="character" w:customStyle="1" w:styleId="216">
    <w:name w:val="Used by Word for text of Help footnotes Char Char1"/>
    <w:qFormat/>
    <w:uiPriority w:val="0"/>
    <w:rPr>
      <w:color w:val="0000FF"/>
      <w:sz w:val="21"/>
    </w:rPr>
  </w:style>
  <w:style w:type="character" w:customStyle="1" w:styleId="217">
    <w:name w:val="页眉 Char"/>
    <w:qFormat/>
    <w:uiPriority w:val="99"/>
    <w:rPr>
      <w:rFonts w:eastAsia="仿宋_GB2312"/>
      <w:kern w:val="2"/>
      <w:sz w:val="18"/>
      <w:lang w:val="en-US" w:eastAsia="zh-CN"/>
    </w:rPr>
  </w:style>
  <w:style w:type="character" w:customStyle="1" w:styleId="218">
    <w:name w:val="FA正文 Char Char"/>
    <w:qFormat/>
    <w:uiPriority w:val="0"/>
    <w:rPr>
      <w:rFonts w:hAnsi="宋体"/>
      <w:kern w:val="2"/>
      <w:sz w:val="24"/>
      <w:lang w:bidi="ar-SA"/>
    </w:rPr>
  </w:style>
  <w:style w:type="character" w:customStyle="1" w:styleId="219">
    <w:name w:val="纯文本 字符"/>
    <w:qFormat/>
    <w:uiPriority w:val="99"/>
    <w:rPr>
      <w:rFonts w:ascii="宋体" w:hAnsi="Courier New" w:eastAsia="宋体" w:cs="Arial"/>
      <w:snapToGrid w:val="0"/>
      <w:kern w:val="2"/>
      <w:sz w:val="21"/>
      <w:szCs w:val="21"/>
      <w:lang w:val="en-US" w:eastAsia="zh-CN" w:bidi="ar-SA"/>
    </w:rPr>
  </w:style>
  <w:style w:type="character" w:customStyle="1" w:styleId="220">
    <w:name w:val="3级 Char"/>
    <w:link w:val="221"/>
    <w:qFormat/>
    <w:uiPriority w:val="0"/>
    <w:rPr>
      <w:rFonts w:ascii="宋体" w:hAnsi="宋体"/>
      <w:b/>
      <w:bCs/>
      <w:snapToGrid/>
      <w:sz w:val="28"/>
    </w:rPr>
  </w:style>
  <w:style w:type="paragraph" w:customStyle="1" w:styleId="221">
    <w:name w:val="3级"/>
    <w:basedOn w:val="222"/>
    <w:link w:val="220"/>
    <w:qFormat/>
    <w:uiPriority w:val="0"/>
    <w:pPr>
      <w:ind w:left="0" w:right="466" w:firstLine="288"/>
    </w:pPr>
    <w:rPr>
      <w:rFonts w:hAnsi="宋体"/>
      <w:snapToGrid/>
    </w:rPr>
  </w:style>
  <w:style w:type="paragraph" w:customStyle="1" w:styleId="222">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3">
    <w:name w:val="myp11"/>
    <w:qFormat/>
    <w:uiPriority w:val="0"/>
    <w:rPr>
      <w:rFonts w:ascii="仿宋_GB2312" w:eastAsia="微软雅黑"/>
      <w:b/>
      <w:kern w:val="2"/>
      <w:sz w:val="32"/>
      <w:szCs w:val="32"/>
      <w:lang w:val="en-US" w:eastAsia="zh-CN" w:bidi="ar-SA"/>
    </w:rPr>
  </w:style>
  <w:style w:type="character" w:customStyle="1" w:styleId="224">
    <w:name w:val="H6 Char"/>
    <w:qFormat/>
    <w:uiPriority w:val="0"/>
    <w:rPr>
      <w:rFonts w:ascii="Arial" w:hAnsi="Arial" w:eastAsia="黑体"/>
      <w:b/>
      <w:bCs/>
      <w:kern w:val="2"/>
      <w:sz w:val="24"/>
      <w:szCs w:val="24"/>
    </w:rPr>
  </w:style>
  <w:style w:type="character" w:customStyle="1" w:styleId="225">
    <w:name w:val="Char Char91"/>
    <w:qFormat/>
    <w:uiPriority w:val="0"/>
    <w:rPr>
      <w:rFonts w:eastAsia="宋体"/>
      <w:kern w:val="2"/>
      <w:sz w:val="18"/>
      <w:szCs w:val="18"/>
      <w:lang w:val="en-US" w:eastAsia="zh-CN" w:bidi="ar-SA"/>
    </w:rPr>
  </w:style>
  <w:style w:type="character" w:customStyle="1" w:styleId="226">
    <w:name w:val="副标题 Char1"/>
    <w:qFormat/>
    <w:uiPriority w:val="0"/>
    <w:rPr>
      <w:rFonts w:ascii="Cambria" w:hAnsi="Cambria" w:eastAsia="宋体" w:cs="Times New Roman"/>
      <w:b/>
      <w:bCs/>
      <w:snapToGrid w:val="0"/>
      <w:kern w:val="28"/>
      <w:sz w:val="32"/>
      <w:szCs w:val="32"/>
    </w:rPr>
  </w:style>
  <w:style w:type="character" w:customStyle="1" w:styleId="227">
    <w:name w:val="font61"/>
    <w:qFormat/>
    <w:uiPriority w:val="0"/>
    <w:rPr>
      <w:rFonts w:hint="eastAsia" w:ascii="仿宋" w:hAnsi="仿宋" w:eastAsia="仿宋" w:cs="仿宋"/>
      <w:color w:val="000000"/>
      <w:sz w:val="20"/>
      <w:szCs w:val="20"/>
      <w:u w:val="none"/>
    </w:rPr>
  </w:style>
  <w:style w:type="character" w:customStyle="1" w:styleId="22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29">
    <w:name w:val="Char Char211"/>
    <w:qFormat/>
    <w:uiPriority w:val="0"/>
    <w:rPr>
      <w:rFonts w:eastAsia="宋体"/>
      <w:b/>
      <w:bCs/>
      <w:kern w:val="2"/>
      <w:sz w:val="21"/>
      <w:szCs w:val="24"/>
      <w:lang w:val="en-US" w:eastAsia="zh-CN" w:bidi="ar-SA"/>
    </w:rPr>
  </w:style>
  <w:style w:type="character" w:customStyle="1" w:styleId="230">
    <w:name w:val="标题 2 Char"/>
    <w:qFormat/>
    <w:uiPriority w:val="9"/>
    <w:rPr>
      <w:rFonts w:ascii="Arial" w:hAnsi="Arial" w:eastAsia="黑体"/>
      <w:b/>
      <w:kern w:val="2"/>
      <w:sz w:val="32"/>
      <w:lang w:val="en-US" w:eastAsia="zh-CN"/>
    </w:rPr>
  </w:style>
  <w:style w:type="character" w:customStyle="1" w:styleId="231">
    <w:name w:val="maywed421"/>
    <w:qFormat/>
    <w:uiPriority w:val="0"/>
    <w:rPr>
      <w:color w:val="366FB6"/>
      <w:u w:val="none"/>
    </w:rPr>
  </w:style>
  <w:style w:type="character" w:customStyle="1" w:styleId="232">
    <w:name w:val="正文文本缩进 Char"/>
    <w:qFormat/>
    <w:uiPriority w:val="99"/>
    <w:rPr>
      <w:rFonts w:ascii="宋体" w:hAnsi="宋体"/>
      <w:kern w:val="2"/>
      <w:sz w:val="24"/>
      <w:szCs w:val="24"/>
    </w:rPr>
  </w:style>
  <w:style w:type="character" w:customStyle="1" w:styleId="233">
    <w:name w:val="Char Char102"/>
    <w:semiHidden/>
    <w:qFormat/>
    <w:uiPriority w:val="0"/>
    <w:rPr>
      <w:rFonts w:ascii="宋体" w:hAnsi="宋体"/>
      <w:kern w:val="2"/>
      <w:sz w:val="21"/>
      <w:szCs w:val="24"/>
      <w:lang w:val="en-US" w:eastAsia="zh-CN"/>
    </w:rPr>
  </w:style>
  <w:style w:type="character" w:customStyle="1" w:styleId="234">
    <w:name w:val="页眉 Char1"/>
    <w:qFormat/>
    <w:uiPriority w:val="0"/>
    <w:rPr>
      <w:rFonts w:eastAsia="宋体"/>
      <w:kern w:val="2"/>
      <w:sz w:val="18"/>
      <w:szCs w:val="18"/>
      <w:lang w:val="en-US" w:eastAsia="zh-CN" w:bidi="ar-SA"/>
    </w:rPr>
  </w:style>
  <w:style w:type="character" w:customStyle="1" w:styleId="235">
    <w:name w:val="md"/>
    <w:basedOn w:val="69"/>
    <w:qFormat/>
    <w:uiPriority w:val="0"/>
    <w:rPr>
      <w:rFonts w:ascii="Arial" w:hAnsi="Arial" w:eastAsia="黑体" w:cs="Arial"/>
      <w:snapToGrid w:val="0"/>
      <w:kern w:val="0"/>
      <w:szCs w:val="21"/>
    </w:rPr>
  </w:style>
  <w:style w:type="character" w:customStyle="1" w:styleId="236">
    <w:name w:val="big1"/>
    <w:qFormat/>
    <w:uiPriority w:val="0"/>
    <w:rPr>
      <w:rFonts w:hint="eastAsia" w:ascii="宋体" w:hAnsi="宋体" w:eastAsia="宋体"/>
      <w:color w:val="333333"/>
      <w:sz w:val="22"/>
      <w:szCs w:val="22"/>
    </w:rPr>
  </w:style>
  <w:style w:type="character" w:customStyle="1" w:styleId="237">
    <w:name w:val="Char Char311"/>
    <w:qFormat/>
    <w:uiPriority w:val="0"/>
    <w:rPr>
      <w:rFonts w:eastAsia="宋体"/>
      <w:kern w:val="2"/>
      <w:sz w:val="21"/>
      <w:szCs w:val="24"/>
      <w:lang w:val="en-US" w:eastAsia="zh-CN" w:bidi="ar-SA"/>
    </w:rPr>
  </w:style>
  <w:style w:type="character" w:customStyle="1" w:styleId="238">
    <w:name w:val="Char Char81"/>
    <w:qFormat/>
    <w:uiPriority w:val="6"/>
    <w:rPr>
      <w:rFonts w:eastAsia="宋体"/>
      <w:b/>
      <w:sz w:val="24"/>
      <w:lang w:val="en-GB" w:eastAsia="zh-CN"/>
    </w:rPr>
  </w:style>
  <w:style w:type="character" w:customStyle="1" w:styleId="239">
    <w:name w:val="样式3 Char"/>
    <w:basedOn w:val="195"/>
    <w:qFormat/>
    <w:uiPriority w:val="0"/>
    <w:rPr>
      <w:rFonts w:ascii="仿宋_GB2312" w:hAnsi="仿宋" w:eastAsia="仿宋_GB2312" w:cs="仿宋_GB2312"/>
      <w:sz w:val="32"/>
      <w:szCs w:val="30"/>
      <w:lang w:val="zh-CN"/>
    </w:rPr>
  </w:style>
  <w:style w:type="character" w:customStyle="1" w:styleId="240">
    <w:name w:val="正文首行缩进 2 Char1"/>
    <w:qFormat/>
    <w:uiPriority w:val="0"/>
    <w:rPr>
      <w:rFonts w:ascii="Times New Roman" w:hAnsi="Times New Roman" w:eastAsia="宋体" w:cs="Times New Roman"/>
      <w:kern w:val="2"/>
      <w:sz w:val="24"/>
      <w:szCs w:val="24"/>
    </w:rPr>
  </w:style>
  <w:style w:type="character" w:customStyle="1" w:styleId="241">
    <w:name w:val="副标题 Char2"/>
    <w:qFormat/>
    <w:uiPriority w:val="0"/>
    <w:rPr>
      <w:rFonts w:ascii="Cambria" w:hAnsi="Cambria" w:eastAsia="宋体" w:cs="Times New Roman"/>
      <w:b/>
      <w:bCs/>
      <w:snapToGrid w:val="0"/>
      <w:kern w:val="28"/>
      <w:sz w:val="32"/>
      <w:szCs w:val="32"/>
    </w:rPr>
  </w:style>
  <w:style w:type="character" w:customStyle="1" w:styleId="242">
    <w:name w:val="标题4-dyf Char"/>
    <w:link w:val="243"/>
    <w:qFormat/>
    <w:uiPriority w:val="0"/>
    <w:rPr>
      <w:rFonts w:ascii="Cambria" w:hAnsi="Cambria"/>
      <w:b/>
      <w:bCs/>
      <w:color w:val="000000"/>
      <w:kern w:val="2"/>
      <w:sz w:val="21"/>
      <w:szCs w:val="21"/>
    </w:rPr>
  </w:style>
  <w:style w:type="paragraph" w:customStyle="1" w:styleId="243">
    <w:name w:val="标题4-dyf"/>
    <w:basedOn w:val="6"/>
    <w:link w:val="24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44">
    <w:name w:val="dectext1"/>
    <w:qFormat/>
    <w:uiPriority w:val="0"/>
    <w:rPr>
      <w:rFonts w:ascii="宋体" w:hAnsi="宋体" w:eastAsia="宋体"/>
      <w:color w:val="333333"/>
      <w:sz w:val="21"/>
      <w:szCs w:val="21"/>
      <w:u w:val="none"/>
    </w:rPr>
  </w:style>
  <w:style w:type="character" w:customStyle="1" w:styleId="245">
    <w:name w:val="冯 Char"/>
    <w:link w:val="246"/>
    <w:qFormat/>
    <w:uiPriority w:val="0"/>
    <w:rPr>
      <w:rFonts w:ascii="宋体" w:hAnsi="宋体"/>
      <w:color w:val="000000"/>
      <w:sz w:val="24"/>
      <w:szCs w:val="24"/>
    </w:rPr>
  </w:style>
  <w:style w:type="paragraph" w:customStyle="1" w:styleId="246">
    <w:name w:val="冯"/>
    <w:basedOn w:val="1"/>
    <w:link w:val="245"/>
    <w:qFormat/>
    <w:uiPriority w:val="0"/>
    <w:pPr>
      <w:widowControl/>
      <w:adjustRightInd/>
      <w:spacing w:line="360" w:lineRule="auto"/>
      <w:ind w:firstLine="480" w:firstLineChars="200"/>
    </w:pPr>
    <w:rPr>
      <w:rFonts w:ascii="宋体" w:hAnsi="宋体"/>
      <w:color w:val="000000"/>
      <w:kern w:val="0"/>
      <w:sz w:val="24"/>
    </w:rPr>
  </w:style>
  <w:style w:type="character" w:customStyle="1" w:styleId="247">
    <w:name w:val="Header Char"/>
    <w:qFormat/>
    <w:locked/>
    <w:uiPriority w:val="0"/>
    <w:rPr>
      <w:rFonts w:eastAsia="宋体"/>
      <w:kern w:val="2"/>
      <w:sz w:val="18"/>
      <w:szCs w:val="18"/>
      <w:lang w:val="en-US" w:eastAsia="zh-CN" w:bidi="ar-SA"/>
    </w:rPr>
  </w:style>
  <w:style w:type="character" w:customStyle="1" w:styleId="248">
    <w:name w:val="Char Char12"/>
    <w:qFormat/>
    <w:uiPriority w:val="0"/>
    <w:rPr>
      <w:rFonts w:ascii="仿宋_GB2312" w:eastAsia="仿宋_GB2312"/>
      <w:b/>
      <w:bCs/>
      <w:kern w:val="2"/>
      <w:sz w:val="24"/>
      <w:szCs w:val="24"/>
      <w:lang w:val="zh-CN" w:eastAsia="zh-CN" w:bidi="ar-SA"/>
    </w:rPr>
  </w:style>
  <w:style w:type="character" w:customStyle="1" w:styleId="249">
    <w:name w:val="普通文字 Char3"/>
    <w:qFormat/>
    <w:uiPriority w:val="0"/>
    <w:rPr>
      <w:rFonts w:ascii="宋体" w:hAnsi="Courier New" w:eastAsia="宋体"/>
      <w:kern w:val="2"/>
      <w:sz w:val="21"/>
      <w:lang w:val="en-US" w:eastAsia="zh-CN" w:bidi="ar-SA"/>
    </w:rPr>
  </w:style>
  <w:style w:type="character" w:customStyle="1" w:styleId="250">
    <w:name w:val="公文正文 Char"/>
    <w:qFormat/>
    <w:uiPriority w:val="0"/>
    <w:rPr>
      <w:rFonts w:ascii="仿宋_GB2312" w:eastAsia="仿宋_GB2312"/>
      <w:kern w:val="2"/>
      <w:sz w:val="24"/>
      <w:szCs w:val="24"/>
      <w:lang w:val="en-US" w:eastAsia="zh-CN" w:bidi="ar-SA"/>
    </w:rPr>
  </w:style>
  <w:style w:type="character" w:customStyle="1" w:styleId="251">
    <w:name w:val="正文首行缩进 Char Char Char Char Char"/>
    <w:qFormat/>
    <w:uiPriority w:val="0"/>
    <w:rPr>
      <w:rFonts w:ascii="宋体"/>
      <w:kern w:val="2"/>
      <w:sz w:val="24"/>
      <w:lang w:val="zh-CN"/>
    </w:rPr>
  </w:style>
  <w:style w:type="character" w:customStyle="1" w:styleId="252">
    <w:name w:val="PI Char"/>
    <w:qFormat/>
    <w:uiPriority w:val="0"/>
    <w:rPr>
      <w:rFonts w:ascii="宋体" w:hAnsi="宋体" w:eastAsia="宋体"/>
      <w:kern w:val="2"/>
      <w:sz w:val="24"/>
      <w:szCs w:val="24"/>
      <w:lang w:val="en-US" w:eastAsia="zh-CN" w:bidi="ar-SA"/>
    </w:rPr>
  </w:style>
  <w:style w:type="character" w:customStyle="1" w:styleId="253">
    <w:name w:val="Default Char"/>
    <w:link w:val="254"/>
    <w:qFormat/>
    <w:uiPriority w:val="0"/>
    <w:rPr>
      <w:rFonts w:ascii="仿宋_GB2312" w:eastAsia="仿宋_GB2312" w:cs="仿宋_GB2312"/>
      <w:color w:val="000000"/>
      <w:sz w:val="24"/>
      <w:szCs w:val="24"/>
      <w:lang w:val="en-US" w:eastAsia="zh-CN" w:bidi="ar-SA"/>
    </w:rPr>
  </w:style>
  <w:style w:type="paragraph" w:customStyle="1" w:styleId="254">
    <w:name w:val="Default"/>
    <w:link w:val="25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5">
    <w:name w:val="style91"/>
    <w:qFormat/>
    <w:uiPriority w:val="0"/>
    <w:rPr>
      <w:color w:val="333333"/>
    </w:rPr>
  </w:style>
  <w:style w:type="character" w:customStyle="1" w:styleId="256">
    <w:name w:val="列出段落 Char2"/>
    <w:qFormat/>
    <w:uiPriority w:val="34"/>
    <w:rPr>
      <w:rFonts w:ascii="Calibri" w:hAnsi="Calibri"/>
      <w:kern w:val="2"/>
      <w:sz w:val="28"/>
    </w:rPr>
  </w:style>
  <w:style w:type="character" w:customStyle="1" w:styleId="257">
    <w:name w:val="mdeck"/>
    <w:qFormat/>
    <w:uiPriority w:val="0"/>
    <w:rPr>
      <w:rFonts w:ascii="仿宋_GB2312" w:eastAsia="微软雅黑"/>
      <w:b/>
      <w:kern w:val="2"/>
      <w:sz w:val="32"/>
      <w:szCs w:val="32"/>
      <w:lang w:val="en-US" w:eastAsia="zh-CN" w:bidi="ar-SA"/>
    </w:rPr>
  </w:style>
  <w:style w:type="character" w:customStyle="1" w:styleId="258">
    <w:name w:val="unnamed11"/>
    <w:qFormat/>
    <w:uiPriority w:val="0"/>
    <w:rPr>
      <w:sz w:val="20"/>
      <w:szCs w:val="20"/>
    </w:rPr>
  </w:style>
  <w:style w:type="character" w:customStyle="1" w:styleId="259">
    <w:name w:val="正文文本 Char2"/>
    <w:semiHidden/>
    <w:qFormat/>
    <w:uiPriority w:val="99"/>
    <w:rPr>
      <w:rFonts w:ascii="Times New Roman" w:hAnsi="Times New Roman" w:eastAsia="宋体" w:cs="Times New Roman"/>
      <w:snapToGrid w:val="0"/>
      <w:kern w:val="0"/>
      <w:szCs w:val="24"/>
    </w:rPr>
  </w:style>
  <w:style w:type="character" w:customStyle="1" w:styleId="260">
    <w:name w:val="标书正文格式 Char"/>
    <w:qFormat/>
    <w:uiPriority w:val="0"/>
    <w:rPr>
      <w:rFonts w:eastAsia="楷体_GB2312"/>
      <w:kern w:val="2"/>
      <w:sz w:val="24"/>
      <w:szCs w:val="24"/>
      <w:lang w:bidi="ar-SA"/>
    </w:rPr>
  </w:style>
  <w:style w:type="character" w:customStyle="1" w:styleId="261">
    <w:name w:val="Char Char11"/>
    <w:qFormat/>
    <w:locked/>
    <w:uiPriority w:val="0"/>
    <w:rPr>
      <w:rFonts w:ascii="宋体" w:hAnsi="宋体" w:eastAsia="宋体"/>
      <w:b/>
      <w:kern w:val="2"/>
      <w:sz w:val="24"/>
      <w:szCs w:val="24"/>
      <w:lang w:val="en-US" w:eastAsia="zh-CN" w:bidi="ar-SA"/>
    </w:rPr>
  </w:style>
  <w:style w:type="character" w:customStyle="1" w:styleId="262">
    <w:name w:val="ca-131"/>
    <w:qFormat/>
    <w:uiPriority w:val="0"/>
    <w:rPr>
      <w:rFonts w:hint="eastAsia" w:ascii="仿宋_GB2312" w:eastAsia="仿宋_GB2312"/>
      <w:b/>
      <w:bCs/>
      <w:color w:val="000000"/>
      <w:spacing w:val="-20"/>
      <w:sz w:val="24"/>
      <w:szCs w:val="24"/>
    </w:rPr>
  </w:style>
  <w:style w:type="character" w:customStyle="1" w:styleId="263">
    <w:name w:val="tw4winMark"/>
    <w:qFormat/>
    <w:uiPriority w:val="0"/>
    <w:rPr>
      <w:rFonts w:ascii="Courier New" w:hAnsi="Courier New" w:cs="Courier New"/>
      <w:vanish/>
      <w:color w:val="800080"/>
      <w:sz w:val="24"/>
      <w:szCs w:val="24"/>
      <w:vertAlign w:val="subscript"/>
    </w:rPr>
  </w:style>
  <w:style w:type="character" w:customStyle="1" w:styleId="264">
    <w:name w:val="正文样式 Char"/>
    <w:link w:val="265"/>
    <w:qFormat/>
    <w:uiPriority w:val="0"/>
    <w:rPr>
      <w:rFonts w:ascii="Calibri" w:hAnsi="Calibri"/>
      <w:sz w:val="24"/>
      <w:szCs w:val="24"/>
    </w:rPr>
  </w:style>
  <w:style w:type="paragraph" w:customStyle="1" w:styleId="265">
    <w:name w:val="正文样式"/>
    <w:basedOn w:val="1"/>
    <w:link w:val="264"/>
    <w:qFormat/>
    <w:uiPriority w:val="0"/>
    <w:pPr>
      <w:adjustRightInd/>
      <w:spacing w:line="360" w:lineRule="auto"/>
      <w:ind w:firstLine="480" w:firstLineChars="200"/>
    </w:pPr>
    <w:rPr>
      <w:kern w:val="0"/>
      <w:sz w:val="24"/>
    </w:rPr>
  </w:style>
  <w:style w:type="character" w:customStyle="1" w:styleId="266">
    <w:name w:val="表正文 Char3"/>
    <w:qFormat/>
    <w:uiPriority w:val="0"/>
    <w:rPr>
      <w:rFonts w:eastAsia="宋体"/>
    </w:rPr>
  </w:style>
  <w:style w:type="character" w:customStyle="1" w:styleId="267">
    <w:name w:val="H5 Char"/>
    <w:qFormat/>
    <w:uiPriority w:val="0"/>
    <w:rPr>
      <w:b/>
      <w:bCs/>
      <w:kern w:val="2"/>
      <w:sz w:val="28"/>
      <w:szCs w:val="28"/>
    </w:rPr>
  </w:style>
  <w:style w:type="character" w:customStyle="1" w:styleId="268">
    <w:name w:val="Char Char3"/>
    <w:qFormat/>
    <w:uiPriority w:val="0"/>
    <w:rPr>
      <w:rFonts w:eastAsia="宋体"/>
      <w:kern w:val="2"/>
      <w:sz w:val="21"/>
      <w:szCs w:val="24"/>
      <w:lang w:val="en-US" w:eastAsia="zh-CN" w:bidi="ar-SA"/>
    </w:rPr>
  </w:style>
  <w:style w:type="character" w:customStyle="1" w:styleId="269">
    <w:name w:val="正文 编号 Char"/>
    <w:qFormat/>
    <w:uiPriority w:val="0"/>
    <w:rPr>
      <w:rFonts w:ascii="仿宋_GB2312" w:hAnsi="仿宋_GB2312" w:eastAsia="仿宋_GB2312"/>
      <w:kern w:val="2"/>
      <w:sz w:val="24"/>
      <w:lang w:bidi="ar-SA"/>
    </w:rPr>
  </w:style>
  <w:style w:type="character" w:customStyle="1" w:styleId="270">
    <w:name w:val="question-title2"/>
    <w:qFormat/>
    <w:uiPriority w:val="6"/>
    <w:rPr>
      <w:rFonts w:ascii="Arial" w:hAnsi="Arial" w:eastAsia="黑体" w:cs="Arial"/>
      <w:snapToGrid w:val="0"/>
      <w:kern w:val="0"/>
      <w:szCs w:val="21"/>
    </w:rPr>
  </w:style>
  <w:style w:type="character" w:customStyle="1" w:styleId="271">
    <w:name w:val="gf正文1 Char Char"/>
    <w:link w:val="272"/>
    <w:qFormat/>
    <w:uiPriority w:val="0"/>
    <w:rPr>
      <w:rFonts w:ascii="宋体" w:hAnsi="宋体" w:cs="宋体"/>
      <w:kern w:val="2"/>
      <w:sz w:val="24"/>
      <w:szCs w:val="24"/>
    </w:rPr>
  </w:style>
  <w:style w:type="paragraph" w:customStyle="1" w:styleId="272">
    <w:name w:val="gf正文1"/>
    <w:basedOn w:val="1"/>
    <w:link w:val="27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73">
    <w:name w:val="Char Char15"/>
    <w:qFormat/>
    <w:uiPriority w:val="6"/>
    <w:rPr>
      <w:rFonts w:ascii="宋体" w:hAnsi="宋体"/>
      <w:kern w:val="1"/>
      <w:sz w:val="21"/>
    </w:rPr>
  </w:style>
  <w:style w:type="character" w:customStyle="1" w:styleId="274">
    <w:name w:val="正文缩进 Char3"/>
    <w:qFormat/>
    <w:uiPriority w:val="0"/>
    <w:rPr>
      <w:rFonts w:ascii="宋体" w:eastAsia="宋体"/>
      <w:snapToGrid w:val="0"/>
      <w:color w:val="000000"/>
      <w:kern w:val="28"/>
      <w:sz w:val="28"/>
      <w:lang w:val="en-US" w:eastAsia="zh-CN" w:bidi="ar-SA"/>
    </w:rPr>
  </w:style>
  <w:style w:type="character" w:customStyle="1" w:styleId="275">
    <w:name w:val="列出段落 Char1"/>
    <w:link w:val="276"/>
    <w:qFormat/>
    <w:uiPriority w:val="0"/>
    <w:rPr>
      <w:rFonts w:ascii="Calibri" w:hAnsi="Calibri"/>
      <w:sz w:val="24"/>
      <w:lang w:eastAsia="en-US"/>
    </w:rPr>
  </w:style>
  <w:style w:type="paragraph" w:customStyle="1" w:styleId="276">
    <w:name w:val="列表1"/>
    <w:basedOn w:val="1"/>
    <w:next w:val="277"/>
    <w:link w:val="275"/>
    <w:qFormat/>
    <w:uiPriority w:val="0"/>
    <w:pPr>
      <w:widowControl/>
      <w:adjustRightInd/>
      <w:spacing w:after="200" w:line="360" w:lineRule="auto"/>
      <w:ind w:left="720" w:firstLine="200" w:firstLineChars="200"/>
      <w:jc w:val="left"/>
    </w:pPr>
    <w:rPr>
      <w:kern w:val="0"/>
      <w:sz w:val="24"/>
      <w:szCs w:val="20"/>
      <w:lang w:eastAsia="en-US"/>
    </w:rPr>
  </w:style>
  <w:style w:type="paragraph" w:styleId="277">
    <w:name w:val="List Paragraph"/>
    <w:basedOn w:val="1"/>
    <w:qFormat/>
    <w:uiPriority w:val="99"/>
    <w:pPr>
      <w:spacing w:line="360" w:lineRule="auto"/>
      <w:ind w:firstLine="200" w:firstLineChars="200"/>
    </w:pPr>
    <w:rPr>
      <w:rFonts w:eastAsia="楷体_GB2312" w:cs="Lucida Sans"/>
      <w:sz w:val="24"/>
    </w:rPr>
  </w:style>
  <w:style w:type="character" w:customStyle="1" w:styleId="278">
    <w:name w:val="Char Char8"/>
    <w:qFormat/>
    <w:uiPriority w:val="0"/>
    <w:rPr>
      <w:rFonts w:eastAsia="宋体"/>
      <w:b/>
      <w:sz w:val="24"/>
      <w:lang w:val="en-GB" w:eastAsia="zh-CN"/>
    </w:rPr>
  </w:style>
  <w:style w:type="character" w:customStyle="1" w:styleId="279">
    <w:name w:val="Normal Indent Char Char"/>
    <w:qFormat/>
    <w:uiPriority w:val="0"/>
    <w:rPr>
      <w:rFonts w:eastAsia="宋体"/>
      <w:kern w:val="2"/>
      <w:sz w:val="21"/>
      <w:lang w:val="en-US" w:eastAsia="zh-CN" w:bidi="ar-SA"/>
    </w:rPr>
  </w:style>
  <w:style w:type="character" w:customStyle="1" w:styleId="280">
    <w:name w:val="列表段落 字符"/>
    <w:link w:val="281"/>
    <w:qFormat/>
    <w:uiPriority w:val="34"/>
  </w:style>
  <w:style w:type="paragraph" w:customStyle="1" w:styleId="281">
    <w:name w:val="_Style 280"/>
    <w:basedOn w:val="1"/>
    <w:next w:val="277"/>
    <w:link w:val="280"/>
    <w:qFormat/>
    <w:uiPriority w:val="34"/>
    <w:pPr>
      <w:adjustRightInd/>
      <w:ind w:firstLine="420" w:firstLineChars="200"/>
    </w:pPr>
    <w:rPr>
      <w:rFonts w:ascii="Calibri" w:hAnsi="Calibri"/>
      <w:szCs w:val="22"/>
    </w:rPr>
  </w:style>
  <w:style w:type="character" w:customStyle="1" w:styleId="282">
    <w:name w:val="Ò³Ã¼ Char Char1"/>
    <w:qFormat/>
    <w:uiPriority w:val="0"/>
    <w:rPr>
      <w:rFonts w:eastAsia="宋体"/>
      <w:kern w:val="2"/>
      <w:sz w:val="18"/>
      <w:szCs w:val="18"/>
      <w:lang w:val="en-US" w:eastAsia="zh-CN" w:bidi="ar-SA"/>
    </w:rPr>
  </w:style>
  <w:style w:type="character" w:customStyle="1" w:styleId="283">
    <w:name w:val="方案正文 Char"/>
    <w:qFormat/>
    <w:uiPriority w:val="0"/>
    <w:rPr>
      <w:rFonts w:ascii="仿宋_GB2312" w:eastAsia="仿宋_GB2312"/>
      <w:b/>
      <w:color w:val="000000"/>
      <w:kern w:val="2"/>
      <w:sz w:val="24"/>
      <w:lang w:val="en-US" w:eastAsia="zh-CN" w:bidi="ar-SA"/>
    </w:rPr>
  </w:style>
  <w:style w:type="character" w:customStyle="1" w:styleId="284">
    <w:name w:val="Char Char30"/>
    <w:qFormat/>
    <w:uiPriority w:val="6"/>
    <w:rPr>
      <w:rFonts w:ascii="Arial" w:hAnsi="Arial" w:eastAsia="黑体"/>
      <w:kern w:val="1"/>
      <w:sz w:val="21"/>
      <w:szCs w:val="21"/>
    </w:rPr>
  </w:style>
  <w:style w:type="character" w:customStyle="1" w:styleId="285">
    <w:name w:val="font01"/>
    <w:qFormat/>
    <w:uiPriority w:val="0"/>
    <w:rPr>
      <w:rFonts w:hint="eastAsia" w:ascii="微软雅黑" w:hAnsi="微软雅黑" w:eastAsia="微软雅黑" w:cs="微软雅黑"/>
      <w:color w:val="000000"/>
      <w:sz w:val="20"/>
      <w:szCs w:val="20"/>
      <w:u w:val="none"/>
    </w:rPr>
  </w:style>
  <w:style w:type="character" w:customStyle="1" w:styleId="286">
    <w:name w:val="Char Char20"/>
    <w:qFormat/>
    <w:uiPriority w:val="6"/>
    <w:rPr>
      <w:kern w:val="1"/>
      <w:sz w:val="24"/>
    </w:rPr>
  </w:style>
  <w:style w:type="character" w:customStyle="1" w:styleId="287">
    <w:name w:val="tw4winExternal"/>
    <w:qFormat/>
    <w:uiPriority w:val="0"/>
    <w:rPr>
      <w:rFonts w:ascii="Courier New" w:hAnsi="Courier New" w:cs="Courier New"/>
      <w:color w:val="808080"/>
      <w:lang w:val="en-US" w:eastAsia="zh-CN"/>
    </w:rPr>
  </w:style>
  <w:style w:type="character" w:customStyle="1" w:styleId="288">
    <w:name w:val="标题 4 Char1"/>
    <w:qFormat/>
    <w:uiPriority w:val="9"/>
    <w:rPr>
      <w:rFonts w:ascii="Cambria" w:hAnsi="Cambria" w:eastAsia="宋体" w:cs="Times New Roman"/>
      <w:b/>
      <w:bCs/>
      <w:kern w:val="2"/>
      <w:sz w:val="28"/>
      <w:szCs w:val="28"/>
    </w:rPr>
  </w:style>
  <w:style w:type="character" w:customStyle="1" w:styleId="289">
    <w:name w:val="批注文字 Char2"/>
    <w:qFormat/>
    <w:uiPriority w:val="99"/>
    <w:rPr>
      <w:rFonts w:ascii="Times New Roman" w:hAnsi="Times New Roman" w:eastAsia="宋体" w:cs="Times New Roman"/>
      <w:snapToGrid w:val="0"/>
      <w:kern w:val="0"/>
      <w:szCs w:val="24"/>
    </w:rPr>
  </w:style>
  <w:style w:type="character" w:customStyle="1" w:styleId="290">
    <w:name w:val="正文文本 2 Char"/>
    <w:qFormat/>
    <w:uiPriority w:val="0"/>
    <w:rPr>
      <w:rFonts w:eastAsia="宋体"/>
      <w:kern w:val="2"/>
      <w:sz w:val="21"/>
      <w:szCs w:val="24"/>
      <w:lang w:val="en-US" w:eastAsia="zh-CN" w:bidi="ar-SA"/>
    </w:rPr>
  </w:style>
  <w:style w:type="character" w:customStyle="1" w:styleId="291">
    <w:name w:val="Ò³Ã¼ Char Char"/>
    <w:qFormat/>
    <w:uiPriority w:val="0"/>
    <w:rPr>
      <w:rFonts w:eastAsia="宋体"/>
      <w:kern w:val="2"/>
      <w:sz w:val="18"/>
      <w:lang w:val="en-US" w:eastAsia="zh-CN" w:bidi="ar-SA"/>
    </w:rPr>
  </w:style>
  <w:style w:type="character" w:customStyle="1" w:styleId="292">
    <w:name w:val="message1"/>
    <w:qFormat/>
    <w:uiPriority w:val="0"/>
    <w:rPr>
      <w:rFonts w:hint="default" w:ascii="Tahoma" w:hAnsi="Tahoma" w:cs="Tahoma"/>
      <w:sz w:val="18"/>
      <w:szCs w:val="18"/>
    </w:rPr>
  </w:style>
  <w:style w:type="character" w:customStyle="1" w:styleId="293">
    <w:name w:val="Char Char23"/>
    <w:qFormat/>
    <w:uiPriority w:val="6"/>
    <w:rPr>
      <w:color w:val="0000FF"/>
      <w:sz w:val="21"/>
    </w:rPr>
  </w:style>
  <w:style w:type="character" w:customStyle="1" w:styleId="294">
    <w:name w:val="批注框文本 字符"/>
    <w:qFormat/>
    <w:uiPriority w:val="0"/>
    <w:rPr>
      <w:rFonts w:ascii="Arial" w:hAnsi="Arial" w:eastAsia="黑体" w:cs="Arial"/>
      <w:snapToGrid w:val="0"/>
      <w:kern w:val="0"/>
      <w:sz w:val="18"/>
      <w:szCs w:val="18"/>
    </w:rPr>
  </w:style>
  <w:style w:type="character" w:customStyle="1" w:styleId="295">
    <w:name w:val="纯文本 Char2"/>
    <w:semiHidden/>
    <w:qFormat/>
    <w:uiPriority w:val="99"/>
    <w:rPr>
      <w:rFonts w:ascii="宋体" w:hAnsi="Courier New" w:eastAsia="宋体" w:cs="Courier New"/>
    </w:rPr>
  </w:style>
  <w:style w:type="character" w:customStyle="1" w:styleId="296">
    <w:name w:val="Char Char25"/>
    <w:qFormat/>
    <w:uiPriority w:val="6"/>
    <w:rPr>
      <w:rFonts w:ascii="宋体" w:hAnsi="宋体"/>
      <w:kern w:val="1"/>
      <w:sz w:val="24"/>
      <w:lang w:val="zh-CN"/>
    </w:rPr>
  </w:style>
  <w:style w:type="character" w:customStyle="1" w:styleId="297">
    <w:name w:val="Char Char411"/>
    <w:qFormat/>
    <w:uiPriority w:val="0"/>
    <w:rPr>
      <w:rFonts w:eastAsia="宋体"/>
      <w:b/>
      <w:sz w:val="24"/>
      <w:lang w:val="en-GB" w:eastAsia="zh-CN" w:bidi="ar-SA"/>
    </w:rPr>
  </w:style>
  <w:style w:type="character" w:customStyle="1" w:styleId="298">
    <w:name w:val="Heading 7 Char"/>
    <w:qFormat/>
    <w:locked/>
    <w:uiPriority w:val="0"/>
    <w:rPr>
      <w:rFonts w:ascii="宋体" w:hAnsi="宋体" w:eastAsia="宋体"/>
      <w:b/>
      <w:bCs/>
      <w:kern w:val="2"/>
      <w:sz w:val="24"/>
      <w:szCs w:val="24"/>
      <w:lang w:val="en-US" w:eastAsia="zh-CN" w:bidi="ar-SA"/>
    </w:rPr>
  </w:style>
  <w:style w:type="character" w:customStyle="1" w:styleId="299">
    <w:name w:val="此正文 Char"/>
    <w:link w:val="300"/>
    <w:qFormat/>
    <w:uiPriority w:val="0"/>
    <w:rPr>
      <w:kern w:val="2"/>
      <w:sz w:val="24"/>
      <w:szCs w:val="24"/>
    </w:rPr>
  </w:style>
  <w:style w:type="paragraph" w:customStyle="1" w:styleId="300">
    <w:name w:val="此正文"/>
    <w:basedOn w:val="1"/>
    <w:link w:val="299"/>
    <w:qFormat/>
    <w:uiPriority w:val="0"/>
    <w:pPr>
      <w:adjustRightInd/>
      <w:spacing w:line="360" w:lineRule="auto"/>
      <w:ind w:firstLine="200" w:firstLineChars="200"/>
    </w:pPr>
    <w:rPr>
      <w:sz w:val="24"/>
    </w:rPr>
  </w:style>
  <w:style w:type="character" w:customStyle="1" w:styleId="301">
    <w:name w:val="Char Char2"/>
    <w:qFormat/>
    <w:uiPriority w:val="0"/>
    <w:rPr>
      <w:rFonts w:eastAsia="宋体"/>
      <w:b/>
      <w:bCs/>
      <w:kern w:val="2"/>
      <w:sz w:val="21"/>
      <w:szCs w:val="24"/>
      <w:lang w:val="en-US" w:eastAsia="zh-CN" w:bidi="ar-SA"/>
    </w:rPr>
  </w:style>
  <w:style w:type="character" w:customStyle="1" w:styleId="302">
    <w:name w:val="Footer-Even Char1"/>
    <w:qFormat/>
    <w:uiPriority w:val="0"/>
    <w:rPr>
      <w:rFonts w:eastAsia="宋体"/>
      <w:kern w:val="2"/>
      <w:sz w:val="18"/>
      <w:szCs w:val="18"/>
      <w:lang w:val="en-US" w:eastAsia="zh-CN" w:bidi="ar-SA"/>
    </w:rPr>
  </w:style>
  <w:style w:type="character" w:customStyle="1" w:styleId="303">
    <w:name w:val="Char Char29"/>
    <w:qFormat/>
    <w:uiPriority w:val="6"/>
    <w:rPr>
      <w:rFonts w:ascii="Arial" w:hAnsi="Arial" w:eastAsia="微软雅黑"/>
      <w:b/>
      <w:kern w:val="1"/>
      <w:sz w:val="44"/>
      <w:szCs w:val="32"/>
      <w:lang w:val="en-US" w:eastAsia="zh-CN" w:bidi="ar-SA"/>
    </w:rPr>
  </w:style>
  <w:style w:type="character" w:customStyle="1" w:styleId="304">
    <w:name w:val="font81"/>
    <w:qFormat/>
    <w:uiPriority w:val="0"/>
    <w:rPr>
      <w:rFonts w:ascii="微软雅黑" w:hAnsi="微软雅黑" w:eastAsia="微软雅黑" w:cs="微软雅黑"/>
      <w:color w:val="000000"/>
      <w:sz w:val="20"/>
      <w:szCs w:val="20"/>
      <w:u w:val="none"/>
    </w:rPr>
  </w:style>
  <w:style w:type="character" w:customStyle="1" w:styleId="305">
    <w:name w:val="Char Char312"/>
    <w:qFormat/>
    <w:uiPriority w:val="0"/>
    <w:rPr>
      <w:rFonts w:ascii="Times New Roman" w:hAnsi="Times New Roman" w:eastAsia="宋体" w:cs="Times New Roman"/>
      <w:b/>
      <w:kern w:val="2"/>
      <w:sz w:val="32"/>
      <w:szCs w:val="24"/>
      <w:lang w:val="en-US" w:eastAsia="zh-CN" w:bidi="ar-SA"/>
    </w:rPr>
  </w:style>
  <w:style w:type="character" w:customStyle="1" w:styleId="306">
    <w:name w:val="t21"/>
    <w:qFormat/>
    <w:uiPriority w:val="0"/>
    <w:rPr>
      <w:rFonts w:ascii="仿宋_GB2312" w:eastAsia="微软雅黑"/>
      <w:b/>
      <w:kern w:val="2"/>
      <w:sz w:val="23"/>
      <w:szCs w:val="23"/>
      <w:lang w:val="en-US" w:eastAsia="zh-CN" w:bidi="ar-SA"/>
    </w:rPr>
  </w:style>
  <w:style w:type="character" w:customStyle="1" w:styleId="307">
    <w:name w:val="样式8 Char"/>
    <w:qFormat/>
    <w:uiPriority w:val="0"/>
    <w:rPr>
      <w:rFonts w:ascii="仿宋_GB2312" w:hAnsi="宋体" w:eastAsia="仿宋_GB2312"/>
      <w:b/>
      <w:bCs/>
      <w:kern w:val="2"/>
      <w:sz w:val="24"/>
      <w:szCs w:val="24"/>
    </w:rPr>
  </w:style>
  <w:style w:type="character" w:customStyle="1" w:styleId="308">
    <w:name w:val="表格 Char Char"/>
    <w:qFormat/>
    <w:uiPriority w:val="0"/>
    <w:rPr>
      <w:rFonts w:ascii="宋体" w:hAnsi="宋体" w:eastAsia="宋体"/>
      <w:lang w:bidi="ar-SA"/>
    </w:rPr>
  </w:style>
  <w:style w:type="character" w:customStyle="1" w:styleId="309">
    <w:name w:val="正文文本 字符1"/>
    <w:qFormat/>
    <w:uiPriority w:val="0"/>
    <w:rPr>
      <w:rFonts w:ascii="Calibri" w:hAnsi="Calibri" w:eastAsia="黑体" w:cs="Arial"/>
      <w:snapToGrid w:val="0"/>
      <w:kern w:val="2"/>
      <w:sz w:val="28"/>
      <w:szCs w:val="21"/>
    </w:rPr>
  </w:style>
  <w:style w:type="character" w:customStyle="1" w:styleId="310">
    <w:name w:val="标题 6 Char1"/>
    <w:qFormat/>
    <w:uiPriority w:val="0"/>
    <w:rPr>
      <w:rFonts w:ascii="Arial" w:hAnsi="Arial" w:eastAsia="黑体" w:cs="Times New Roman"/>
      <w:b/>
      <w:sz w:val="24"/>
      <w:szCs w:val="20"/>
      <w:lang w:bidi="ar-SA"/>
    </w:rPr>
  </w:style>
  <w:style w:type="character" w:customStyle="1" w:styleId="311">
    <w:name w:val="带编号样式 Char"/>
    <w:qFormat/>
    <w:uiPriority w:val="0"/>
    <w:rPr>
      <w:rFonts w:ascii="仿宋_GB2312" w:eastAsia="仿宋_GB2312"/>
      <w:color w:val="000000"/>
      <w:sz w:val="24"/>
      <w:lang w:bidi="ar-SA"/>
    </w:rPr>
  </w:style>
  <w:style w:type="character" w:customStyle="1" w:styleId="312">
    <w:name w:val="unnamed31"/>
    <w:qFormat/>
    <w:uiPriority w:val="0"/>
    <w:rPr>
      <w:rFonts w:ascii="Tahoma" w:hAnsi="Tahoma" w:eastAsia="宋体"/>
      <w:b/>
      <w:kern w:val="2"/>
      <w:sz w:val="24"/>
      <w:szCs w:val="32"/>
      <w:u w:val="none"/>
      <w:lang w:val="en-US" w:eastAsia="zh-CN" w:bidi="ar-SA"/>
    </w:rPr>
  </w:style>
  <w:style w:type="character" w:customStyle="1" w:styleId="313">
    <w:name w:val="正文首行缩进 Char Char Char Char Char Char1"/>
    <w:qFormat/>
    <w:uiPriority w:val="0"/>
    <w:rPr>
      <w:rFonts w:ascii="宋体" w:eastAsia="宋体"/>
      <w:kern w:val="2"/>
      <w:sz w:val="24"/>
      <w:szCs w:val="24"/>
      <w:lang w:val="zh-CN" w:bidi="ar-SA"/>
    </w:rPr>
  </w:style>
  <w:style w:type="character" w:customStyle="1" w:styleId="314">
    <w:name w:val="文本正文 Char Char"/>
    <w:qFormat/>
    <w:locked/>
    <w:uiPriority w:val="0"/>
    <w:rPr>
      <w:sz w:val="24"/>
      <w:lang w:bidi="ar-SA"/>
    </w:rPr>
  </w:style>
  <w:style w:type="character" w:customStyle="1" w:styleId="315">
    <w:name w:val="正文缩进 字符"/>
    <w:qFormat/>
    <w:uiPriority w:val="0"/>
    <w:rPr>
      <w:rFonts w:ascii="宋体" w:eastAsia="宋体"/>
      <w:snapToGrid w:val="0"/>
      <w:color w:val="000000"/>
      <w:kern w:val="28"/>
      <w:sz w:val="28"/>
      <w:lang w:val="en-US" w:eastAsia="zh-CN" w:bidi="ar-SA"/>
    </w:rPr>
  </w:style>
  <w:style w:type="character" w:customStyle="1" w:styleId="316">
    <w:name w:val="样式 样式 标题 4h4H4Fab-4T5Ref Heading 1rh1Heading sqlsect 1.2.3.... +... Char"/>
    <w:link w:val="317"/>
    <w:qFormat/>
    <w:uiPriority w:val="0"/>
    <w:rPr>
      <w:rFonts w:ascii="微软雅黑" w:hAnsi="微软雅黑" w:eastAsia="微软雅黑"/>
      <w:b/>
      <w:bCs/>
      <w:kern w:val="2"/>
      <w:sz w:val="24"/>
      <w:szCs w:val="28"/>
    </w:rPr>
  </w:style>
  <w:style w:type="paragraph" w:customStyle="1" w:styleId="317">
    <w:name w:val="样式 样式 标题 4h4H4Fab-4T5Ref Heading 1rh1Heading sqlsect 1.2.3.... +..."/>
    <w:basedOn w:val="318"/>
    <w:link w:val="316"/>
    <w:qFormat/>
    <w:uiPriority w:val="0"/>
    <w:pPr>
      <w:tabs>
        <w:tab w:val="left" w:pos="2356"/>
      </w:tabs>
    </w:pPr>
  </w:style>
  <w:style w:type="paragraph" w:customStyle="1" w:styleId="318">
    <w:name w:val="样式 标题 4h4H4Fab-4T5Ref Heading 1rh1Heading sqlsect 1.2.3...."/>
    <w:basedOn w:val="6"/>
    <w:link w:val="319"/>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9">
    <w:name w:val="样式 标题 4h4H4Fab-4T5Ref Heading 1rh1Heading sqlsect 1.2.3.... Char"/>
    <w:link w:val="318"/>
    <w:qFormat/>
    <w:uiPriority w:val="0"/>
    <w:rPr>
      <w:rFonts w:ascii="微软雅黑" w:hAnsi="微软雅黑" w:eastAsia="微软雅黑"/>
      <w:b/>
      <w:bCs/>
      <w:kern w:val="2"/>
      <w:sz w:val="24"/>
      <w:szCs w:val="28"/>
    </w:rPr>
  </w:style>
  <w:style w:type="character" w:customStyle="1" w:styleId="320">
    <w:name w:val="正文非缩进 Char"/>
    <w:qFormat/>
    <w:uiPriority w:val="0"/>
    <w:rPr>
      <w:rFonts w:ascii="宋体" w:eastAsia="宋体"/>
      <w:snapToGrid w:val="0"/>
      <w:color w:val="000000"/>
      <w:kern w:val="28"/>
      <w:sz w:val="28"/>
      <w:lang w:val="en-US" w:eastAsia="zh-CN" w:bidi="ar-SA"/>
    </w:rPr>
  </w:style>
  <w:style w:type="character" w:customStyle="1" w:styleId="321">
    <w:name w:val="Char Char5"/>
    <w:qFormat/>
    <w:uiPriority w:val="0"/>
    <w:rPr>
      <w:rFonts w:ascii="宋体" w:hAnsi="Courier New" w:eastAsia="宋体"/>
      <w:kern w:val="2"/>
      <w:sz w:val="21"/>
      <w:lang w:val="en-US" w:eastAsia="zh-CN"/>
    </w:rPr>
  </w:style>
  <w:style w:type="character" w:customStyle="1" w:styleId="322">
    <w:name w:val="称呼 Char1"/>
    <w:qFormat/>
    <w:uiPriority w:val="0"/>
    <w:rPr>
      <w:rFonts w:ascii="Times New Roman" w:hAnsi="Times New Roman" w:eastAsia="宋体" w:cs="Times New Roman"/>
      <w:szCs w:val="24"/>
    </w:rPr>
  </w:style>
  <w:style w:type="character" w:customStyle="1" w:styleId="323">
    <w:name w:val="正文1 Char"/>
    <w:qFormat/>
    <w:uiPriority w:val="0"/>
    <w:rPr>
      <w:rFonts w:ascii="宋体" w:eastAsia="宋体"/>
      <w:snapToGrid w:val="0"/>
      <w:color w:val="000000"/>
      <w:kern w:val="28"/>
      <w:sz w:val="28"/>
      <w:lang w:val="en-US" w:eastAsia="zh-CN" w:bidi="ar-SA"/>
    </w:rPr>
  </w:style>
  <w:style w:type="character" w:customStyle="1" w:styleId="324">
    <w:name w:val="正文缩进 Char1"/>
    <w:qFormat/>
    <w:uiPriority w:val="0"/>
    <w:rPr>
      <w:rFonts w:ascii="宋体" w:eastAsia="宋体"/>
      <w:snapToGrid w:val="0"/>
      <w:color w:val="000000"/>
      <w:kern w:val="28"/>
      <w:sz w:val="28"/>
      <w:lang w:val="en-US" w:eastAsia="zh-CN" w:bidi="ar-SA"/>
    </w:rPr>
  </w:style>
  <w:style w:type="character" w:customStyle="1" w:styleId="325">
    <w:name w:val="font21"/>
    <w:qFormat/>
    <w:uiPriority w:val="0"/>
    <w:rPr>
      <w:rFonts w:hint="eastAsia" w:ascii="宋体" w:hAnsi="宋体" w:eastAsia="宋体"/>
      <w:kern w:val="2"/>
      <w:sz w:val="28"/>
      <w:szCs w:val="28"/>
      <w:lang w:val="en-US" w:eastAsia="zh-CN" w:bidi="ar-SA"/>
    </w:rPr>
  </w:style>
  <w:style w:type="character" w:customStyle="1" w:styleId="326">
    <w:name w:val="Char Char26"/>
    <w:qFormat/>
    <w:uiPriority w:val="6"/>
    <w:rPr>
      <w:kern w:val="1"/>
      <w:sz w:val="21"/>
      <w:szCs w:val="24"/>
    </w:rPr>
  </w:style>
  <w:style w:type="character" w:customStyle="1" w:styleId="327">
    <w:name w:val="Item List Char"/>
    <w:link w:val="328"/>
    <w:qFormat/>
    <w:uiPriority w:val="0"/>
    <w:rPr>
      <w:rFonts w:ascii="Arial"/>
      <w:bCs/>
      <w:sz w:val="21"/>
      <w:szCs w:val="21"/>
      <w:lang w:val="en-US" w:eastAsia="zh-CN" w:bidi="ar-SA"/>
    </w:rPr>
  </w:style>
  <w:style w:type="paragraph" w:customStyle="1" w:styleId="328">
    <w:name w:val="Item List"/>
    <w:link w:val="32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9">
    <w:name w:val="批注框文本 Char1"/>
    <w:qFormat/>
    <w:uiPriority w:val="0"/>
    <w:rPr>
      <w:rFonts w:ascii="Times New Roman" w:hAnsi="Times New Roman" w:eastAsia="宋体" w:cs="Times New Roman"/>
      <w:sz w:val="18"/>
      <w:szCs w:val="18"/>
    </w:rPr>
  </w:style>
  <w:style w:type="character" w:customStyle="1" w:styleId="330">
    <w:name w:val="纯文本 Char1"/>
    <w:link w:val="331"/>
    <w:qFormat/>
    <w:uiPriority w:val="0"/>
    <w:rPr>
      <w:rFonts w:ascii="宋体" w:hAnsi="Courier New"/>
    </w:rPr>
  </w:style>
  <w:style w:type="paragraph" w:customStyle="1" w:styleId="331">
    <w:name w:val="纯文本1"/>
    <w:basedOn w:val="1"/>
    <w:link w:val="330"/>
    <w:qFormat/>
    <w:uiPriority w:val="0"/>
    <w:pPr>
      <w:adjustRightInd/>
    </w:pPr>
    <w:rPr>
      <w:rFonts w:ascii="宋体" w:hAnsi="Courier New"/>
      <w:kern w:val="0"/>
      <w:sz w:val="20"/>
      <w:szCs w:val="20"/>
    </w:rPr>
  </w:style>
  <w:style w:type="character" w:customStyle="1" w:styleId="332">
    <w:name w:val="h3 Char"/>
    <w:qFormat/>
    <w:uiPriority w:val="0"/>
    <w:rPr>
      <w:rFonts w:eastAsia="宋体"/>
      <w:b/>
      <w:kern w:val="2"/>
      <w:sz w:val="32"/>
      <w:lang w:val="en-US" w:eastAsia="zh-CN" w:bidi="ar-SA"/>
    </w:rPr>
  </w:style>
  <w:style w:type="character" w:customStyle="1" w:styleId="333">
    <w:name w:val="dandyren_title1"/>
    <w:qFormat/>
    <w:uiPriority w:val="0"/>
    <w:rPr>
      <w:b/>
      <w:bCs/>
      <w:color w:val="FF6633"/>
      <w:sz w:val="18"/>
      <w:szCs w:val="18"/>
    </w:rPr>
  </w:style>
  <w:style w:type="character" w:customStyle="1" w:styleId="334">
    <w:name w:val="Char Char31"/>
    <w:qFormat/>
    <w:uiPriority w:val="6"/>
    <w:rPr>
      <w:rFonts w:ascii="Arial" w:hAnsi="Arial" w:eastAsia="黑体"/>
      <w:kern w:val="1"/>
      <w:sz w:val="24"/>
      <w:szCs w:val="24"/>
    </w:rPr>
  </w:style>
  <w:style w:type="character" w:customStyle="1" w:styleId="335">
    <w:name w:val="h Char1"/>
    <w:qFormat/>
    <w:uiPriority w:val="0"/>
    <w:rPr>
      <w:sz w:val="18"/>
      <w:szCs w:val="18"/>
    </w:rPr>
  </w:style>
  <w:style w:type="character" w:customStyle="1" w:styleId="336">
    <w:name w:val="solutionfonts"/>
    <w:qFormat/>
    <w:uiPriority w:val="0"/>
  </w:style>
  <w:style w:type="character" w:customStyle="1" w:styleId="337">
    <w:name w:val="首行缩进 Char"/>
    <w:qFormat/>
    <w:uiPriority w:val="0"/>
    <w:rPr>
      <w:rFonts w:ascii="宋体" w:eastAsia="宋体"/>
      <w:kern w:val="2"/>
      <w:sz w:val="24"/>
      <w:lang w:val="en-US" w:eastAsia="zh-CN" w:bidi="ar-SA"/>
    </w:rPr>
  </w:style>
  <w:style w:type="character" w:customStyle="1" w:styleId="338">
    <w:name w:val="Char Char52"/>
    <w:qFormat/>
    <w:uiPriority w:val="0"/>
    <w:rPr>
      <w:rFonts w:ascii="宋体" w:hAnsi="Courier New" w:eastAsia="宋体"/>
      <w:kern w:val="2"/>
      <w:sz w:val="21"/>
      <w:lang w:val="en-US" w:eastAsia="zh-CN"/>
    </w:rPr>
  </w:style>
  <w:style w:type="character" w:customStyle="1" w:styleId="339">
    <w:name w:val="font31"/>
    <w:qFormat/>
    <w:uiPriority w:val="0"/>
    <w:rPr>
      <w:rFonts w:hint="eastAsia" w:ascii="仿宋" w:hAnsi="仿宋" w:eastAsia="仿宋" w:cs="仿宋"/>
      <w:color w:val="000000"/>
      <w:sz w:val="20"/>
      <w:szCs w:val="20"/>
      <w:u w:val="none"/>
    </w:rPr>
  </w:style>
  <w:style w:type="character" w:customStyle="1" w:styleId="340">
    <w:name w:val="正文说明 Char"/>
    <w:link w:val="341"/>
    <w:qFormat/>
    <w:uiPriority w:val="0"/>
    <w:rPr>
      <w:sz w:val="24"/>
      <w:szCs w:val="24"/>
    </w:rPr>
  </w:style>
  <w:style w:type="paragraph" w:customStyle="1" w:styleId="341">
    <w:name w:val="正文说明"/>
    <w:basedOn w:val="1"/>
    <w:link w:val="340"/>
    <w:qFormat/>
    <w:uiPriority w:val="0"/>
    <w:pPr>
      <w:adjustRightInd/>
      <w:spacing w:line="360" w:lineRule="auto"/>
    </w:pPr>
    <w:rPr>
      <w:kern w:val="0"/>
      <w:sz w:val="24"/>
    </w:rPr>
  </w:style>
  <w:style w:type="character" w:customStyle="1" w:styleId="342">
    <w:name w:val="脚注文本 Char1"/>
    <w:qFormat/>
    <w:uiPriority w:val="0"/>
    <w:rPr>
      <w:rFonts w:ascii="Times New Roman" w:hAnsi="Times New Roman" w:eastAsia="宋体" w:cs="Times New Roman"/>
      <w:sz w:val="18"/>
      <w:szCs w:val="18"/>
    </w:rPr>
  </w:style>
  <w:style w:type="character" w:customStyle="1" w:styleId="343">
    <w:name w:val="Char Char1211"/>
    <w:qFormat/>
    <w:uiPriority w:val="0"/>
    <w:rPr>
      <w:rFonts w:ascii="仿宋_GB2312" w:eastAsia="仿宋_GB2312"/>
      <w:b/>
      <w:bCs/>
      <w:kern w:val="2"/>
      <w:sz w:val="24"/>
      <w:szCs w:val="24"/>
      <w:lang w:val="zh-CN" w:eastAsia="zh-CN" w:bidi="ar-SA"/>
    </w:rPr>
  </w:style>
  <w:style w:type="character" w:customStyle="1" w:styleId="344">
    <w:name w:val="标题 Char"/>
    <w:qFormat/>
    <w:uiPriority w:val="0"/>
    <w:rPr>
      <w:rFonts w:eastAsia="宋体"/>
      <w:b/>
      <w:sz w:val="24"/>
      <w:lang w:val="en-GB" w:eastAsia="zh-CN" w:bidi="ar-SA"/>
    </w:rPr>
  </w:style>
  <w:style w:type="character" w:customStyle="1" w:styleId="345">
    <w:name w:val="Char Char35"/>
    <w:qFormat/>
    <w:uiPriority w:val="6"/>
    <w:rPr>
      <w:rFonts w:ascii="Arial" w:hAnsi="Arial" w:eastAsia="黑体"/>
      <w:b/>
      <w:kern w:val="1"/>
      <w:sz w:val="28"/>
      <w:szCs w:val="28"/>
      <w:lang w:val="zh-CN"/>
    </w:rPr>
  </w:style>
  <w:style w:type="character" w:customStyle="1" w:styleId="346">
    <w:name w:val="纯文本 Char Char Char"/>
    <w:qFormat/>
    <w:uiPriority w:val="0"/>
    <w:rPr>
      <w:rFonts w:ascii="宋体" w:hAnsi="Courier New" w:eastAsia="宋体"/>
      <w:kern w:val="2"/>
      <w:sz w:val="21"/>
      <w:lang w:val="en-US" w:eastAsia="zh-CN" w:bidi="ar-SA"/>
    </w:rPr>
  </w:style>
  <w:style w:type="character" w:customStyle="1" w:styleId="347">
    <w:name w:val="Table Text Char"/>
    <w:link w:val="348"/>
    <w:qFormat/>
    <w:uiPriority w:val="0"/>
    <w:rPr>
      <w:sz w:val="24"/>
      <w:szCs w:val="24"/>
    </w:rPr>
  </w:style>
  <w:style w:type="paragraph" w:customStyle="1" w:styleId="348">
    <w:name w:val="Table Text"/>
    <w:basedOn w:val="1"/>
    <w:link w:val="347"/>
    <w:qFormat/>
    <w:uiPriority w:val="0"/>
    <w:pPr>
      <w:widowControl/>
      <w:spacing w:before="60" w:after="60"/>
      <w:jc w:val="left"/>
    </w:pPr>
    <w:rPr>
      <w:kern w:val="0"/>
      <w:sz w:val="24"/>
    </w:rPr>
  </w:style>
  <w:style w:type="character" w:customStyle="1" w:styleId="349">
    <w:name w:val="正文1 Char1"/>
    <w:qFormat/>
    <w:uiPriority w:val="0"/>
    <w:rPr>
      <w:rFonts w:ascii="仿宋_GB2312" w:hAnsi="Courier New" w:eastAsia="仿宋_GB2312"/>
      <w:kern w:val="28"/>
      <w:sz w:val="24"/>
      <w:szCs w:val="24"/>
      <w:lang w:val="en-US" w:eastAsia="zh-CN"/>
    </w:rPr>
  </w:style>
  <w:style w:type="character" w:customStyle="1" w:styleId="350">
    <w:name w:val="页脚 Char1"/>
    <w:qFormat/>
    <w:uiPriority w:val="0"/>
    <w:rPr>
      <w:rFonts w:eastAsia="宋体"/>
      <w:kern w:val="2"/>
      <w:sz w:val="18"/>
      <w:szCs w:val="18"/>
      <w:lang w:val="en-US" w:eastAsia="zh-CN" w:bidi="ar-SA"/>
    </w:rPr>
  </w:style>
  <w:style w:type="character" w:customStyle="1" w:styleId="351">
    <w:name w:val="Bold"/>
    <w:qFormat/>
    <w:uiPriority w:val="0"/>
    <w:rPr>
      <w:rFonts w:ascii="Arial" w:hAnsi="Arial" w:eastAsia="黑体" w:cs="Times New Roman"/>
      <w:b/>
      <w:kern w:val="2"/>
      <w:sz w:val="32"/>
      <w:szCs w:val="32"/>
      <w:lang w:val="en-US" w:eastAsia="zh-CN" w:bidi="ar-SA"/>
    </w:rPr>
  </w:style>
  <w:style w:type="character" w:customStyle="1" w:styleId="352">
    <w:name w:val="hui3"/>
    <w:qFormat/>
    <w:uiPriority w:val="0"/>
    <w:rPr>
      <w:color w:val="333333"/>
    </w:rPr>
  </w:style>
  <w:style w:type="character" w:customStyle="1" w:styleId="353">
    <w:name w:val="Char Char17"/>
    <w:qFormat/>
    <w:uiPriority w:val="6"/>
    <w:rPr>
      <w:rFonts w:eastAsia="仿宋_GB2312"/>
      <w:sz w:val="24"/>
    </w:rPr>
  </w:style>
  <w:style w:type="character" w:customStyle="1" w:styleId="354">
    <w:name w:val="标题 4 字符"/>
    <w:qFormat/>
    <w:uiPriority w:val="9"/>
    <w:rPr>
      <w:rFonts w:ascii="等线 Light" w:hAnsi="等线 Light" w:eastAsia="等线 Light" w:cs="Times New Roman"/>
      <w:b/>
      <w:bCs/>
      <w:snapToGrid w:val="0"/>
      <w:kern w:val="0"/>
      <w:sz w:val="28"/>
      <w:szCs w:val="28"/>
    </w:rPr>
  </w:style>
  <w:style w:type="character" w:customStyle="1" w:styleId="355">
    <w:name w:val="Char Char37"/>
    <w:qFormat/>
    <w:uiPriority w:val="6"/>
    <w:rPr>
      <w:b/>
      <w:kern w:val="1"/>
      <w:sz w:val="44"/>
      <w:szCs w:val="44"/>
    </w:rPr>
  </w:style>
  <w:style w:type="character" w:customStyle="1" w:styleId="356">
    <w:name w:val="列出段落 Char"/>
    <w:qFormat/>
    <w:uiPriority w:val="0"/>
    <w:rPr>
      <w:rFonts w:eastAsia="楷体_GB2312" w:cs="Lucida Sans"/>
      <w:kern w:val="2"/>
      <w:sz w:val="24"/>
      <w:szCs w:val="24"/>
      <w:lang w:val="en-US" w:eastAsia="zh-CN" w:bidi="ar-SA"/>
    </w:rPr>
  </w:style>
  <w:style w:type="character" w:customStyle="1" w:styleId="357">
    <w:name w:val="正文文本缩进 3 Char1"/>
    <w:semiHidden/>
    <w:qFormat/>
    <w:uiPriority w:val="99"/>
    <w:rPr>
      <w:rFonts w:ascii="Times New Roman" w:hAnsi="Times New Roman" w:eastAsia="宋体" w:cs="Times New Roman"/>
      <w:sz w:val="16"/>
      <w:szCs w:val="16"/>
    </w:rPr>
  </w:style>
  <w:style w:type="character" w:customStyle="1" w:styleId="358">
    <w:name w:val="公文正文 Char Char"/>
    <w:link w:val="359"/>
    <w:qFormat/>
    <w:uiPriority w:val="0"/>
    <w:rPr>
      <w:rFonts w:ascii="仿宋_GB2312" w:eastAsia="仿宋_GB2312"/>
      <w:kern w:val="2"/>
      <w:sz w:val="24"/>
      <w:szCs w:val="24"/>
    </w:rPr>
  </w:style>
  <w:style w:type="paragraph" w:customStyle="1" w:styleId="359">
    <w:name w:val="公文正文"/>
    <w:basedOn w:val="1"/>
    <w:link w:val="358"/>
    <w:qFormat/>
    <w:uiPriority w:val="0"/>
    <w:pPr>
      <w:adjustRightInd/>
      <w:spacing w:before="156" w:line="360" w:lineRule="auto"/>
      <w:ind w:firstLine="360" w:firstLineChars="200"/>
    </w:pPr>
    <w:rPr>
      <w:rFonts w:ascii="仿宋_GB2312" w:eastAsia="仿宋_GB2312"/>
      <w:sz w:val="24"/>
    </w:rPr>
  </w:style>
  <w:style w:type="character" w:customStyle="1" w:styleId="360">
    <w:name w:val="Table Text Char1"/>
    <w:qFormat/>
    <w:uiPriority w:val="0"/>
    <w:rPr>
      <w:rFonts w:eastAsia="宋体"/>
      <w:sz w:val="24"/>
      <w:szCs w:val="24"/>
      <w:lang w:val="en-US" w:eastAsia="zh-CN" w:bidi="ar-SA"/>
    </w:rPr>
  </w:style>
  <w:style w:type="character" w:customStyle="1" w:styleId="361">
    <w:name w:val="标题 1 Char Char"/>
    <w:qFormat/>
    <w:uiPriority w:val="0"/>
    <w:rPr>
      <w:rFonts w:hint="eastAsia" w:ascii="宋体" w:hAnsi="宋体" w:eastAsia="宋体"/>
      <w:b/>
      <w:spacing w:val="-2"/>
      <w:sz w:val="24"/>
      <w:lang w:val="en-US" w:eastAsia="zh-CN" w:bidi="ar-SA"/>
    </w:rPr>
  </w:style>
  <w:style w:type="character" w:customStyle="1" w:styleId="362">
    <w:name w:val="正文（缩进2汉字） Char"/>
    <w:link w:val="363"/>
    <w:qFormat/>
    <w:uiPriority w:val="0"/>
    <w:rPr>
      <w:rFonts w:ascii="宋体"/>
    </w:rPr>
  </w:style>
  <w:style w:type="paragraph" w:customStyle="1" w:styleId="363">
    <w:name w:val="正文（缩进2汉字）"/>
    <w:basedOn w:val="1"/>
    <w:link w:val="362"/>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4">
    <w:name w:val="标书表格字体格式 Char"/>
    <w:qFormat/>
    <w:uiPriority w:val="0"/>
    <w:rPr>
      <w:kern w:val="2"/>
      <w:sz w:val="21"/>
      <w:szCs w:val="24"/>
      <w:lang w:bidi="ar-SA"/>
    </w:rPr>
  </w:style>
  <w:style w:type="character" w:customStyle="1" w:styleId="365">
    <w:name w:val="tw4winError"/>
    <w:qFormat/>
    <w:uiPriority w:val="0"/>
    <w:rPr>
      <w:rFonts w:ascii="Courier New" w:hAnsi="Courier New" w:cs="Courier New"/>
      <w:color w:val="00FF00"/>
      <w:sz w:val="40"/>
      <w:szCs w:val="40"/>
    </w:rPr>
  </w:style>
  <w:style w:type="character" w:customStyle="1" w:styleId="366">
    <w:name w:val="Body Text(ch) Char Char"/>
    <w:qFormat/>
    <w:uiPriority w:val="0"/>
    <w:rPr>
      <w:rFonts w:ascii="宋体"/>
      <w:kern w:val="2"/>
      <w:sz w:val="24"/>
      <w:szCs w:val="21"/>
      <w:lang w:val="zh-CN"/>
    </w:rPr>
  </w:style>
  <w:style w:type="character" w:customStyle="1" w:styleId="367">
    <w:name w:val="正文首行缩进两字 Char"/>
    <w:qFormat/>
    <w:uiPriority w:val="0"/>
    <w:rPr>
      <w:sz w:val="24"/>
      <w:szCs w:val="24"/>
      <w:lang w:val="en-US" w:eastAsia="zh-CN" w:bidi="ar-SA"/>
    </w:rPr>
  </w:style>
  <w:style w:type="character" w:customStyle="1" w:styleId="368">
    <w:name w:val="正文文本 Char"/>
    <w:qFormat/>
    <w:uiPriority w:val="0"/>
    <w:rPr>
      <w:rFonts w:eastAsia="宋体"/>
      <w:kern w:val="2"/>
      <w:sz w:val="24"/>
      <w:szCs w:val="24"/>
      <w:lang w:val="en-US" w:eastAsia="zh-CN" w:bidi="ar-SA"/>
    </w:rPr>
  </w:style>
  <w:style w:type="character" w:customStyle="1" w:styleId="369">
    <w:name w:val="文档结构图 字符1"/>
    <w:qFormat/>
    <w:uiPriority w:val="0"/>
    <w:rPr>
      <w:rFonts w:ascii="宋体" w:hAnsi="Calibri" w:eastAsia="黑体" w:cs="Arial"/>
      <w:snapToGrid w:val="0"/>
      <w:kern w:val="2"/>
      <w:sz w:val="18"/>
      <w:szCs w:val="18"/>
    </w:rPr>
  </w:style>
  <w:style w:type="character" w:customStyle="1" w:styleId="370">
    <w:name w:val="content"/>
    <w:qFormat/>
    <w:uiPriority w:val="0"/>
  </w:style>
  <w:style w:type="character" w:customStyle="1" w:styleId="371">
    <w:name w:val="tw4winPopup"/>
    <w:qFormat/>
    <w:uiPriority w:val="0"/>
    <w:rPr>
      <w:rFonts w:ascii="Courier New" w:hAnsi="Courier New" w:cs="Courier New"/>
      <w:color w:val="008000"/>
      <w:lang w:val="en-US" w:eastAsia="zh-CN"/>
    </w:rPr>
  </w:style>
  <w:style w:type="character" w:customStyle="1" w:styleId="372">
    <w:name w:val="param-name"/>
    <w:qFormat/>
    <w:uiPriority w:val="99"/>
    <w:rPr>
      <w:rFonts w:ascii="Arial" w:hAnsi="Arial" w:eastAsia="黑体" w:cs="Arial"/>
      <w:snapToGrid w:val="0"/>
      <w:kern w:val="0"/>
      <w:szCs w:val="21"/>
    </w:rPr>
  </w:style>
  <w:style w:type="character" w:customStyle="1" w:styleId="373">
    <w:name w:val="标准正文格式 Char"/>
    <w:qFormat/>
    <w:uiPriority w:val="0"/>
    <w:rPr>
      <w:rFonts w:ascii="宋体" w:eastAsia="仿宋_GB2312" w:cs="宋体"/>
      <w:color w:val="000000"/>
      <w:sz w:val="24"/>
      <w:lang w:val="en-US" w:eastAsia="zh-CN" w:bidi="ar-SA"/>
    </w:rPr>
  </w:style>
  <w:style w:type="character" w:customStyle="1" w:styleId="374">
    <w:name w:val="Char Char212"/>
    <w:qFormat/>
    <w:uiPriority w:val="0"/>
    <w:rPr>
      <w:rFonts w:eastAsia="宋体"/>
      <w:b/>
      <w:bCs/>
      <w:kern w:val="2"/>
      <w:sz w:val="21"/>
      <w:szCs w:val="24"/>
      <w:lang w:val="en-US" w:eastAsia="zh-CN" w:bidi="ar-SA"/>
    </w:rPr>
  </w:style>
  <w:style w:type="character" w:customStyle="1" w:styleId="375">
    <w:name w:val="文档结构图 Char"/>
    <w:qFormat/>
    <w:uiPriority w:val="0"/>
    <w:rPr>
      <w:rFonts w:eastAsia="宋体"/>
      <w:kern w:val="2"/>
      <w:sz w:val="21"/>
      <w:szCs w:val="24"/>
      <w:lang w:val="en-US" w:eastAsia="zh-CN" w:bidi="ar-SA"/>
    </w:rPr>
  </w:style>
  <w:style w:type="character" w:customStyle="1" w:styleId="376">
    <w:name w:val="zbggmain style9"/>
    <w:qFormat/>
    <w:uiPriority w:val="0"/>
  </w:style>
  <w:style w:type="character" w:customStyle="1" w:styleId="377">
    <w:name w:val="Char Char16"/>
    <w:qFormat/>
    <w:uiPriority w:val="6"/>
    <w:rPr>
      <w:kern w:val="1"/>
      <w:sz w:val="18"/>
      <w:szCs w:val="18"/>
    </w:rPr>
  </w:style>
  <w:style w:type="character" w:customStyle="1" w:styleId="378">
    <w:name w:val="font51"/>
    <w:qFormat/>
    <w:uiPriority w:val="0"/>
    <w:rPr>
      <w:rFonts w:hint="eastAsia" w:ascii="仿宋" w:hAnsi="仿宋" w:eastAsia="仿宋" w:cs="仿宋"/>
      <w:color w:val="000000"/>
      <w:sz w:val="20"/>
      <w:szCs w:val="20"/>
      <w:u w:val="none"/>
    </w:rPr>
  </w:style>
  <w:style w:type="character" w:customStyle="1" w:styleId="379">
    <w:name w:val="Char Char82"/>
    <w:qFormat/>
    <w:uiPriority w:val="0"/>
    <w:rPr>
      <w:rFonts w:eastAsia="宋体"/>
      <w:b/>
      <w:sz w:val="24"/>
      <w:lang w:val="en-GB" w:eastAsia="zh-CN"/>
    </w:rPr>
  </w:style>
  <w:style w:type="character" w:customStyle="1" w:styleId="380">
    <w:name w:val="日期 Char1"/>
    <w:semiHidden/>
    <w:qFormat/>
    <w:uiPriority w:val="99"/>
    <w:rPr>
      <w:rFonts w:ascii="Times New Roman" w:hAnsi="Times New Roman" w:eastAsia="宋体" w:cs="Times New Roman"/>
      <w:szCs w:val="24"/>
    </w:rPr>
  </w:style>
  <w:style w:type="character" w:customStyle="1" w:styleId="381">
    <w:name w:val="页眉 字符"/>
    <w:qFormat/>
    <w:uiPriority w:val="99"/>
    <w:rPr>
      <w:kern w:val="2"/>
      <w:sz w:val="18"/>
      <w:szCs w:val="18"/>
    </w:rPr>
  </w:style>
  <w:style w:type="character" w:customStyle="1" w:styleId="382">
    <w:name w:val="Char Char33"/>
    <w:qFormat/>
    <w:uiPriority w:val="6"/>
    <w:rPr>
      <w:rFonts w:ascii="Arial" w:hAnsi="Arial" w:eastAsia="黑体"/>
      <w:b/>
      <w:kern w:val="1"/>
      <w:sz w:val="24"/>
      <w:szCs w:val="24"/>
    </w:rPr>
  </w:style>
  <w:style w:type="character" w:customStyle="1" w:styleId="383">
    <w:name w:val="b11_01b Char"/>
    <w:link w:val="384"/>
    <w:qFormat/>
    <w:uiPriority w:val="0"/>
    <w:rPr>
      <w:rFonts w:ascii="Verdana" w:hAnsi="Verdana"/>
      <w:b/>
      <w:bCs/>
      <w:color w:val="4A82CA"/>
      <w:sz w:val="17"/>
      <w:szCs w:val="17"/>
    </w:rPr>
  </w:style>
  <w:style w:type="paragraph" w:customStyle="1" w:styleId="384">
    <w:name w:val="b11_01b"/>
    <w:basedOn w:val="1"/>
    <w:next w:val="1"/>
    <w:link w:val="38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5">
    <w:name w:val="Char Char121"/>
    <w:qFormat/>
    <w:uiPriority w:val="6"/>
    <w:rPr>
      <w:rFonts w:ascii="仿宋_GB2312" w:eastAsia="仿宋_GB2312"/>
      <w:b/>
      <w:bCs/>
      <w:kern w:val="2"/>
      <w:sz w:val="24"/>
      <w:szCs w:val="24"/>
      <w:lang w:val="zh-CN" w:eastAsia="zh-CN" w:bidi="ar-SA"/>
    </w:rPr>
  </w:style>
  <w:style w:type="character" w:customStyle="1" w:styleId="386">
    <w:name w:val="Footer-Even Char"/>
    <w:qFormat/>
    <w:uiPriority w:val="0"/>
    <w:rPr>
      <w:rFonts w:eastAsia="宋体"/>
      <w:kern w:val="2"/>
      <w:sz w:val="18"/>
      <w:lang w:val="en-US" w:eastAsia="zh-CN" w:bidi="ar-SA"/>
    </w:rPr>
  </w:style>
  <w:style w:type="character" w:customStyle="1" w:styleId="387">
    <w:name w:val="Char Char36"/>
    <w:qFormat/>
    <w:uiPriority w:val="6"/>
    <w:rPr>
      <w:rFonts w:ascii="仿宋_GB2312" w:hAnsi="仿宋_GB2312" w:eastAsia="仿宋_GB2312" w:cs="Arial"/>
      <w:b/>
      <w:kern w:val="1"/>
      <w:sz w:val="32"/>
      <w:szCs w:val="32"/>
      <w:lang w:val="zh-CN" w:eastAsia="zh-CN" w:bidi="ar-SA"/>
    </w:rPr>
  </w:style>
  <w:style w:type="character" w:customStyle="1" w:styleId="388">
    <w:name w:val="Char Char61"/>
    <w:qFormat/>
    <w:uiPriority w:val="6"/>
    <w:rPr>
      <w:rFonts w:eastAsia="宋体"/>
      <w:kern w:val="2"/>
      <w:sz w:val="21"/>
      <w:szCs w:val="24"/>
      <w:lang w:val="en-US" w:eastAsia="zh-CN" w:bidi="ar-SA"/>
    </w:rPr>
  </w:style>
  <w:style w:type="character" w:customStyle="1" w:styleId="389">
    <w:name w:val="正文文字缩进 2 Char Char"/>
    <w:qFormat/>
    <w:uiPriority w:val="0"/>
    <w:rPr>
      <w:rFonts w:ascii="宋体"/>
      <w:sz w:val="28"/>
    </w:rPr>
  </w:style>
  <w:style w:type="character" w:customStyle="1" w:styleId="390">
    <w:name w:val="f141"/>
    <w:qFormat/>
    <w:uiPriority w:val="0"/>
    <w:rPr>
      <w:rFonts w:ascii="Tahoma" w:hAnsi="Tahoma" w:eastAsia="宋体"/>
      <w:b/>
      <w:kern w:val="2"/>
      <w:sz w:val="21"/>
      <w:szCs w:val="21"/>
      <w:lang w:val="en-US" w:eastAsia="zh-CN" w:bidi="ar-SA"/>
    </w:rPr>
  </w:style>
  <w:style w:type="character" w:customStyle="1" w:styleId="391">
    <w:name w:val="段落 Char Char"/>
    <w:link w:val="392"/>
    <w:qFormat/>
    <w:uiPriority w:val="0"/>
    <w:rPr>
      <w:rFonts w:ascii="宋体" w:hAnsi="宋体"/>
      <w:sz w:val="24"/>
    </w:rPr>
  </w:style>
  <w:style w:type="paragraph" w:customStyle="1" w:styleId="392">
    <w:name w:val="段落"/>
    <w:basedOn w:val="1"/>
    <w:link w:val="391"/>
    <w:qFormat/>
    <w:uiPriority w:val="0"/>
    <w:pPr>
      <w:adjustRightInd/>
      <w:spacing w:line="360" w:lineRule="auto"/>
      <w:ind w:firstLine="480" w:firstLineChars="200"/>
    </w:pPr>
    <w:rPr>
      <w:rFonts w:ascii="宋体" w:hAnsi="宋体"/>
      <w:kern w:val="0"/>
      <w:sz w:val="24"/>
      <w:szCs w:val="20"/>
    </w:rPr>
  </w:style>
  <w:style w:type="character" w:customStyle="1" w:styleId="393">
    <w:name w:val="标题 3 Char2"/>
    <w:qFormat/>
    <w:uiPriority w:val="0"/>
    <w:rPr>
      <w:rFonts w:eastAsia="宋体"/>
      <w:b/>
      <w:bCs/>
      <w:kern w:val="2"/>
      <w:sz w:val="32"/>
      <w:szCs w:val="32"/>
      <w:lang w:val="en-US" w:eastAsia="zh-CN" w:bidi="ar-SA"/>
    </w:rPr>
  </w:style>
  <w:style w:type="character" w:customStyle="1" w:styleId="394">
    <w:name w:val="apple-converted-space"/>
    <w:qFormat/>
    <w:uiPriority w:val="0"/>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napToGrid w:val="0"/>
      <w:spacing w:afterLines="50"/>
      <w:ind w:firstLine="200" w:firstLineChars="200"/>
    </w:pPr>
    <w:rPr>
      <w:kern w:val="0"/>
      <w:sz w:val="24"/>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spacing w:line="360" w:lineRule="auto"/>
      <w:ind w:firstLine="480" w:firstLineChars="200"/>
    </w:pPr>
    <w:rPr>
      <w:rFonts w:ascii="宋体" w:hAnsi="宋体"/>
      <w:sz w:val="24"/>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h Char Char"/>
    <w:qFormat/>
    <w:uiPriority w:val="0"/>
    <w:rPr>
      <w:rFonts w:eastAsia="宋体"/>
      <w:kern w:val="2"/>
      <w:sz w:val="18"/>
      <w:lang w:val="en-US" w:eastAsia="zh-CN" w:bidi="ar-SA"/>
    </w:rPr>
  </w:style>
  <w:style w:type="character" w:customStyle="1" w:styleId="416">
    <w:name w:val="仿宋正文 Char"/>
    <w:link w:val="417"/>
    <w:qFormat/>
    <w:uiPriority w:val="0"/>
    <w:rPr>
      <w:rFonts w:ascii="仿宋_GB2312" w:eastAsia="仿宋_GB2312"/>
      <w:kern w:val="2"/>
      <w:sz w:val="24"/>
      <w:lang w:val="en-US" w:eastAsia="zh-CN" w:bidi="ar-SA"/>
    </w:rPr>
  </w:style>
  <w:style w:type="paragraph" w:customStyle="1" w:styleId="417">
    <w:name w:val="仿宋正文"/>
    <w:basedOn w:val="1"/>
    <w:link w:val="416"/>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qFormat/>
    <w:uiPriority w:val="0"/>
    <w:rPr>
      <w:rFonts w:ascii="宋体" w:eastAsia="宋体"/>
      <w:kern w:val="2"/>
      <w:sz w:val="24"/>
      <w:lang w:val="zh-CN" w:bidi="ar-SA"/>
    </w:rPr>
  </w:style>
  <w:style w:type="character" w:customStyle="1" w:styleId="419">
    <w:name w:val="样式 宋体"/>
    <w:qFormat/>
    <w:uiPriority w:val="0"/>
    <w:rPr>
      <w:rFonts w:ascii="宋体" w:hAnsi="宋体"/>
      <w:sz w:val="24"/>
    </w:rPr>
  </w:style>
  <w:style w:type="character" w:customStyle="1" w:styleId="420">
    <w:name w:val="tw4winJump"/>
    <w:qFormat/>
    <w:uiPriority w:val="0"/>
    <w:rPr>
      <w:rFonts w:ascii="Courier New" w:hAnsi="Courier New" w:cs="Courier New"/>
      <w:color w:val="008080"/>
      <w:lang w:val="en-US" w:eastAsia="zh-CN"/>
    </w:rPr>
  </w:style>
  <w:style w:type="character" w:customStyle="1" w:styleId="421">
    <w:name w:val="标题 1 字符"/>
    <w:qFormat/>
    <w:uiPriority w:val="9"/>
    <w:rPr>
      <w:rFonts w:ascii="Arial" w:hAnsi="Arial" w:eastAsia="黑体" w:cs="Arial"/>
      <w:b/>
      <w:bCs/>
      <w:snapToGrid w:val="0"/>
      <w:kern w:val="44"/>
      <w:sz w:val="44"/>
      <w:szCs w:val="44"/>
    </w:rPr>
  </w:style>
  <w:style w:type="character" w:customStyle="1" w:styleId="422">
    <w:name w:val="style36"/>
    <w:basedOn w:val="69"/>
    <w:qFormat/>
    <w:uiPriority w:val="0"/>
    <w:rPr>
      <w:rFonts w:ascii="Arial" w:hAnsi="Arial" w:eastAsia="黑体" w:cs="Arial"/>
      <w:snapToGrid w:val="0"/>
      <w:kern w:val="0"/>
      <w:szCs w:val="21"/>
    </w:rPr>
  </w:style>
  <w:style w:type="character" w:customStyle="1" w:styleId="423">
    <w:name w:val="pt9"/>
    <w:qFormat/>
    <w:uiPriority w:val="0"/>
    <w:rPr>
      <w:rFonts w:ascii="仿宋_GB2312" w:eastAsia="微软雅黑"/>
      <w:b/>
      <w:kern w:val="2"/>
      <w:sz w:val="32"/>
      <w:szCs w:val="32"/>
      <w:lang w:val="en-US" w:eastAsia="zh-CN" w:bidi="ar-SA"/>
    </w:rPr>
  </w:style>
  <w:style w:type="character" w:customStyle="1" w:styleId="424">
    <w:name w:val="DO_NOT_TRANSLATE"/>
    <w:qFormat/>
    <w:uiPriority w:val="0"/>
    <w:rPr>
      <w:rFonts w:ascii="Courier New" w:hAnsi="Courier New" w:cs="Courier New"/>
      <w:color w:val="800000"/>
      <w:lang w:val="en-US" w:eastAsia="zh-CN"/>
    </w:rPr>
  </w:style>
  <w:style w:type="character" w:customStyle="1" w:styleId="425">
    <w:name w:val="标书1 Char1"/>
    <w:qFormat/>
    <w:uiPriority w:val="0"/>
    <w:rPr>
      <w:rFonts w:eastAsia="宋体"/>
      <w:b/>
      <w:bCs/>
      <w:kern w:val="44"/>
      <w:sz w:val="44"/>
      <w:szCs w:val="44"/>
      <w:lang w:val="en-US" w:eastAsia="zh-CN" w:bidi="ar-SA"/>
    </w:rPr>
  </w:style>
  <w:style w:type="character" w:customStyle="1" w:styleId="426">
    <w:name w:val="页脚 字符"/>
    <w:qFormat/>
    <w:uiPriority w:val="99"/>
    <w:rPr>
      <w:kern w:val="2"/>
      <w:sz w:val="18"/>
      <w:szCs w:val="18"/>
    </w:rPr>
  </w:style>
  <w:style w:type="character" w:customStyle="1" w:styleId="427">
    <w:name w:val="正文2 Char"/>
    <w:qFormat/>
    <w:uiPriority w:val="0"/>
    <w:rPr>
      <w:rFonts w:eastAsia="宋体"/>
      <w:kern w:val="2"/>
      <w:sz w:val="24"/>
      <w:lang w:val="en-US" w:eastAsia="zh-CN" w:bidi="ar-SA"/>
    </w:rPr>
  </w:style>
  <w:style w:type="character" w:customStyle="1" w:styleId="428">
    <w:name w:val="Char Char21"/>
    <w:qFormat/>
    <w:uiPriority w:val="6"/>
    <w:rPr>
      <w:rFonts w:ascii="宋体" w:hAnsi="宋体"/>
      <w:kern w:val="1"/>
      <w:sz w:val="24"/>
      <w:szCs w:val="21"/>
      <w:lang w:val="zh-CN"/>
    </w:rPr>
  </w:style>
  <w:style w:type="character" w:customStyle="1" w:styleId="429">
    <w:name w:val="样式 正文缩进 + 首行缩进:  2 字符 Char Char"/>
    <w:link w:val="430"/>
    <w:qFormat/>
    <w:uiPriority w:val="0"/>
    <w:rPr>
      <w:rFonts w:cs="宋体"/>
      <w:kern w:val="2"/>
      <w:sz w:val="24"/>
    </w:rPr>
  </w:style>
  <w:style w:type="paragraph" w:customStyle="1" w:styleId="430">
    <w:name w:val="样式 正文缩进 + 首行缩进:  2 字符"/>
    <w:basedOn w:val="5"/>
    <w:link w:val="429"/>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gray6"/>
    <w:basedOn w:val="69"/>
    <w:qFormat/>
    <w:uiPriority w:val="0"/>
    <w:rPr>
      <w:rFonts w:ascii="Arial" w:hAnsi="Arial" w:eastAsia="黑体" w:cs="Arial"/>
      <w:snapToGrid w:val="0"/>
      <w:kern w:val="0"/>
      <w:szCs w:val="21"/>
    </w:rPr>
  </w:style>
  <w:style w:type="character" w:customStyle="1" w:styleId="432">
    <w:name w:val="hui"/>
    <w:basedOn w:val="69"/>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6"/>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outlineLvl w:val="5"/>
    </w:pPr>
  </w:style>
  <w:style w:type="paragraph" w:customStyle="1" w:styleId="474">
    <w:name w:val="5级标题"/>
    <w:basedOn w:val="475"/>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5">
    <w:name w:val="4级标题"/>
    <w:basedOn w:val="27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484"/>
    <w:qFormat/>
    <w:uiPriority w:val="1"/>
    <w:rPr>
      <w:szCs w:val="22"/>
    </w:rPr>
  </w:style>
  <w:style w:type="character" w:customStyle="1" w:styleId="484">
    <w:name w:val="无间隔 字符"/>
    <w:link w:val="483"/>
    <w:qFormat/>
    <w:uiPriority w:val="99"/>
    <w:rPr>
      <w:kern w:val="2"/>
      <w:sz w:val="21"/>
      <w:szCs w:val="22"/>
    </w:rPr>
  </w:style>
  <w:style w:type="paragraph" w:customStyle="1" w:styleId="48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6"/>
    <w:rPr>
      <w:rFonts w:ascii="Tahoma" w:hAnsi="Tahoma" w:cs="仿宋_GB2312"/>
      <w:sz w:val="24"/>
      <w:szCs w:val="20"/>
    </w:rPr>
  </w:style>
  <w:style w:type="paragraph" w:customStyle="1" w:styleId="487">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2"/>
    <w:qFormat/>
    <w:uiPriority w:val="0"/>
    <w:pPr>
      <w:tabs>
        <w:tab w:val="left" w:pos="1260"/>
      </w:tabs>
      <w:ind w:left="1260" w:hanging="420"/>
    </w:pPr>
    <w:rPr>
      <w:rFonts w:ascii="Arial" w:hAnsi="Arial" w:eastAsia="黑体"/>
      <w:lang w:val="en-US"/>
    </w:rPr>
  </w:style>
  <w:style w:type="paragraph" w:customStyle="1" w:styleId="491">
    <w:name w:val="五级无标题条"/>
    <w:basedOn w:val="1"/>
    <w:qFormat/>
    <w:uiPriority w:val="0"/>
    <w:pPr>
      <w:adjustRightInd/>
    </w:pPr>
  </w:style>
  <w:style w:type="paragraph" w:customStyle="1" w:styleId="492">
    <w:name w:val="Char5"/>
    <w:basedOn w:val="1"/>
    <w:qFormat/>
    <w:uiPriority w:val="0"/>
    <w:rPr>
      <w:rFonts w:ascii="仿宋_GB2312" w:eastAsia="仿宋_GB2312"/>
      <w:b/>
      <w:sz w:val="32"/>
      <w:szCs w:val="32"/>
    </w:rPr>
  </w:style>
  <w:style w:type="paragraph" w:customStyle="1" w:styleId="493">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qFormat/>
    <w:uiPriority w:val="0"/>
    <w:rPr>
      <w:rFonts w:ascii="仿宋_GB2312" w:eastAsia="仿宋_GB2312"/>
      <w:b/>
      <w:sz w:val="32"/>
      <w:szCs w:val="32"/>
    </w:rPr>
  </w:style>
  <w:style w:type="paragraph" w:customStyle="1" w:styleId="497">
    <w:name w:val="数字标题3"/>
    <w:basedOn w:val="4"/>
    <w:next w:val="1"/>
    <w:qFormat/>
    <w:uiPriority w:val="0"/>
    <w:pPr>
      <w:spacing w:line="240" w:lineRule="auto"/>
    </w:pPr>
    <w:rPr>
      <w:sz w:val="28"/>
      <w:szCs w:val="28"/>
    </w:rPr>
  </w:style>
  <w:style w:type="paragraph" w:customStyle="1" w:styleId="498">
    <w:name w:val="FA正文"/>
    <w:basedOn w:val="1"/>
    <w:qFormat/>
    <w:uiPriority w:val="0"/>
    <w:pPr>
      <w:spacing w:line="360" w:lineRule="auto"/>
      <w:ind w:firstLine="480" w:firstLineChars="200"/>
    </w:pPr>
    <w:rPr>
      <w:rFonts w:hAnsi="宋体"/>
      <w:sz w:val="24"/>
      <w:szCs w:val="20"/>
    </w:rPr>
  </w:style>
  <w:style w:type="paragraph" w:customStyle="1" w:styleId="499">
    <w:name w:val="MM Topic 5"/>
    <w:basedOn w:val="7"/>
    <w:qFormat/>
    <w:uiPriority w:val="0"/>
    <w:pPr>
      <w:tabs>
        <w:tab w:val="left" w:pos="2520"/>
      </w:tabs>
      <w:adjustRightInd/>
      <w:ind w:left="2520" w:hanging="420"/>
    </w:pPr>
  </w:style>
  <w:style w:type="paragraph" w:customStyle="1" w:styleId="500">
    <w:name w:val="Char Char Char Char Char Char Char Char Char Char1"/>
    <w:basedOn w:val="1"/>
    <w:qFormat/>
    <w:uiPriority w:val="0"/>
    <w:rPr>
      <w:rFonts w:ascii="仿宋_GB2312" w:eastAsia="仿宋_GB2312"/>
      <w:b/>
      <w:sz w:val="32"/>
      <w:szCs w:val="32"/>
    </w:rPr>
  </w:style>
  <w:style w:type="paragraph" w:customStyle="1" w:styleId="50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0"/>
    <w:rPr>
      <w:rFonts w:ascii="仿宋_GB2312" w:eastAsia="仿宋_GB2312"/>
      <w:b/>
      <w:sz w:val="32"/>
      <w:szCs w:val="32"/>
    </w:rPr>
  </w:style>
  <w:style w:type="paragraph" w:customStyle="1" w:styleId="504">
    <w:name w:val="Char2 Char Char Char1"/>
    <w:basedOn w:val="1"/>
    <w:qFormat/>
    <w:uiPriority w:val="6"/>
    <w:rPr>
      <w:rFonts w:ascii="仿宋_GB2312" w:eastAsia="仿宋_GB2312"/>
      <w:b/>
      <w:sz w:val="32"/>
      <w:szCs w:val="32"/>
    </w:rPr>
  </w:style>
  <w:style w:type="paragraph" w:customStyle="1" w:styleId="505">
    <w:name w:val="默认段落样式"/>
    <w:basedOn w:val="159"/>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0"/>
    <w:pPr>
      <w:snapToGrid w:val="0"/>
      <w:spacing w:line="0" w:lineRule="atLeast"/>
      <w:ind w:firstLine="200" w:firstLineChars="200"/>
      <w:jc w:val="center"/>
    </w:pPr>
    <w:rPr>
      <w:sz w:val="24"/>
      <w:szCs w:val="20"/>
    </w:rPr>
  </w:style>
  <w:style w:type="paragraph" w:customStyle="1" w:styleId="5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4"/>
    <w:qFormat/>
    <w:uiPriority w:val="0"/>
    <w:pPr>
      <w:tabs>
        <w:tab w:val="left" w:pos="1680"/>
      </w:tabs>
      <w:adjustRightInd/>
      <w:ind w:left="1680" w:hanging="420"/>
    </w:pPr>
  </w:style>
  <w:style w:type="paragraph" w:customStyle="1" w:styleId="509">
    <w:name w:val="标准小四"/>
    <w:basedOn w:val="1"/>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0"/>
    <w:pPr>
      <w:adjustRightInd/>
      <w:snapToGrid w:val="0"/>
      <w:spacing w:line="300" w:lineRule="auto"/>
    </w:pPr>
    <w:rPr>
      <w:rFonts w:eastAsia="仿宋"/>
      <w:szCs w:val="21"/>
    </w:rPr>
  </w:style>
  <w:style w:type="paragraph" w:customStyle="1" w:styleId="51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6"/>
    <w:pPr>
      <w:adjustRightInd/>
    </w:pPr>
    <w:rPr>
      <w:rFonts w:ascii="Tahoma" w:hAnsi="Tahoma"/>
      <w:sz w:val="24"/>
      <w:szCs w:val="20"/>
    </w:rPr>
  </w:style>
  <w:style w:type="paragraph" w:customStyle="1" w:styleId="514">
    <w:name w:val="列出段落5"/>
    <w:basedOn w:val="1"/>
    <w:qFormat/>
    <w:uiPriority w:val="0"/>
    <w:pPr>
      <w:spacing w:line="360" w:lineRule="auto"/>
      <w:ind w:firstLine="200" w:firstLineChars="200"/>
    </w:pPr>
    <w:rPr>
      <w:rFonts w:eastAsia="楷体_GB2312" w:cs="Lucida Sans"/>
      <w:sz w:val="24"/>
    </w:rPr>
  </w:style>
  <w:style w:type="paragraph" w:customStyle="1" w:styleId="51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qFormat/>
    <w:uiPriority w:val="0"/>
    <w:pPr>
      <w:adjustRightInd/>
      <w:ind w:firstLine="420" w:firstLineChars="200"/>
    </w:pPr>
    <w:rPr>
      <w:rFonts w:eastAsia="仿宋_GB2312"/>
      <w:sz w:val="28"/>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qFormat/>
    <w:uiPriority w:val="0"/>
    <w:pPr>
      <w:adjustRightInd/>
      <w:spacing w:line="300" w:lineRule="auto"/>
      <w:ind w:firstLine="480" w:firstLineChars="200"/>
    </w:pPr>
    <w:rPr>
      <w:sz w:val="24"/>
      <w:szCs w:val="20"/>
    </w:rPr>
  </w:style>
  <w:style w:type="paragraph" w:customStyle="1" w:styleId="52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6"/>
    <w:qFormat/>
    <w:uiPriority w:val="0"/>
    <w:pPr>
      <w:widowControl/>
      <w:jc w:val="left"/>
    </w:pPr>
    <w:rPr>
      <w:rFonts w:cs="宋体"/>
      <w:sz w:val="24"/>
      <w:szCs w:val="20"/>
    </w:rPr>
  </w:style>
  <w:style w:type="paragraph" w:customStyle="1" w:styleId="536">
    <w:name w:val="彩色列表 - 强调文字颜色 11"/>
    <w:basedOn w:val="1"/>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Lines="50" w:afterLines="50" w:line="360" w:lineRule="auto"/>
      <w:ind w:firstLine="422" w:firstLineChars="200"/>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54"/>
    <w:next w:val="254"/>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54"/>
    <w:next w:val="254"/>
    <w:qFormat/>
    <w:uiPriority w:val="0"/>
    <w:rPr>
      <w:rFonts w:ascii="宋体" w:eastAsia="宋体" w:cs="Times New Roman"/>
      <w:color w:val="auto"/>
    </w:rPr>
  </w:style>
  <w:style w:type="paragraph" w:customStyle="1" w:styleId="551">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qFormat/>
    <w:uiPriority w:val="0"/>
    <w:pPr>
      <w:spacing w:line="360" w:lineRule="auto"/>
    </w:pPr>
    <w:rPr>
      <w:szCs w:val="20"/>
    </w:rPr>
  </w:style>
  <w:style w:type="paragraph" w:customStyle="1" w:styleId="556">
    <w:name w:val="Char"/>
    <w:basedOn w:val="1"/>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spacing w:line="360" w:lineRule="auto"/>
      <w:ind w:firstLine="200" w:firstLineChars="200"/>
    </w:pPr>
    <w:rPr>
      <w:rFonts w:ascii="宋体" w:hAnsi="Calibri"/>
      <w:sz w:val="24"/>
    </w:rPr>
  </w:style>
  <w:style w:type="paragraph" w:customStyle="1" w:styleId="56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 w:val="24"/>
      <w:szCs w:val="20"/>
    </w:rPr>
  </w:style>
  <w:style w:type="paragraph" w:customStyle="1" w:styleId="585">
    <w:name w:val="标题五"/>
    <w:basedOn w:val="1"/>
    <w:qFormat/>
    <w:uiPriority w:val="0"/>
    <w:pPr>
      <w:adjustRightInd/>
      <w:spacing w:beforeLines="50" w:line="360" w:lineRule="auto"/>
    </w:pPr>
    <w:rPr>
      <w:b/>
      <w:sz w:val="24"/>
    </w:rPr>
  </w:style>
  <w:style w:type="paragraph" w:customStyle="1" w:styleId="586">
    <w:name w:val="Char Char1101"/>
    <w:basedOn w:val="1"/>
    <w:qFormat/>
    <w:uiPriority w:val="0"/>
    <w:pPr>
      <w:spacing w:line="360" w:lineRule="auto"/>
    </w:pPr>
    <w:rPr>
      <w:rFonts w:ascii="Tahoma" w:hAnsi="Tahoma"/>
      <w:sz w:val="24"/>
      <w:szCs w:val="20"/>
    </w:rPr>
  </w:style>
  <w:style w:type="paragraph" w:customStyle="1" w:styleId="587">
    <w:name w:val="Char Char Char Char Char Char Char Char1"/>
    <w:basedOn w:val="1"/>
    <w:qFormat/>
    <w:uiPriority w:val="0"/>
    <w:pPr>
      <w:tabs>
        <w:tab w:val="left" w:pos="360"/>
      </w:tabs>
    </w:pPr>
    <w:rPr>
      <w:sz w:val="24"/>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 w:val="24"/>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5"/>
    <w:qFormat/>
    <w:uiPriority w:val="0"/>
    <w:pPr>
      <w:snapToGrid w:val="0"/>
      <w:spacing w:line="360" w:lineRule="auto"/>
    </w:pPr>
    <w:rPr>
      <w:rFonts w:ascii="宋体"/>
      <w:b/>
      <w:sz w:val="24"/>
      <w:szCs w:val="20"/>
    </w:rPr>
  </w:style>
  <w:style w:type="paragraph" w:customStyle="1" w:styleId="606">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7">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3"/>
    <w:qFormat/>
    <w:uiPriority w:val="0"/>
    <w:pPr>
      <w:tabs>
        <w:tab w:val="left" w:pos="840"/>
      </w:tabs>
      <w:adjustRightInd/>
      <w:ind w:left="840" w:hanging="420"/>
    </w:pPr>
  </w:style>
  <w:style w:type="paragraph" w:customStyle="1" w:styleId="627">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 w:val="24"/>
      <w:szCs w:val="20"/>
    </w:rPr>
  </w:style>
  <w:style w:type="paragraph" w:customStyle="1" w:styleId="629">
    <w:name w:val="表格"/>
    <w:basedOn w:val="1"/>
    <w:link w:val="630"/>
    <w:qFormat/>
    <w:uiPriority w:val="0"/>
    <w:pPr>
      <w:snapToGrid w:val="0"/>
      <w:ind w:firstLine="42" w:firstLineChars="21"/>
    </w:pPr>
    <w:rPr>
      <w:rFonts w:ascii="宋体" w:hAnsi="宋体"/>
      <w:kern w:val="0"/>
      <w:sz w:val="20"/>
      <w:szCs w:val="20"/>
    </w:rPr>
  </w:style>
  <w:style w:type="character" w:customStyle="1" w:styleId="630">
    <w:name w:val="表格 字符"/>
    <w:basedOn w:val="69"/>
    <w:link w:val="629"/>
    <w:qFormat/>
    <w:uiPriority w:val="0"/>
    <w:rPr>
      <w:rFonts w:ascii="宋体" w:hAnsi="宋体"/>
    </w:rPr>
  </w:style>
  <w:style w:type="paragraph" w:customStyle="1" w:styleId="631">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qFormat/>
    <w:uiPriority w:val="0"/>
    <w:pPr>
      <w:adjustRightInd/>
      <w:spacing w:line="300" w:lineRule="auto"/>
      <w:jc w:val="center"/>
    </w:pPr>
  </w:style>
  <w:style w:type="paragraph" w:customStyle="1" w:styleId="636">
    <w:name w:val="_Style 6"/>
    <w:basedOn w:val="1"/>
    <w:qFormat/>
    <w:uiPriority w:val="34"/>
    <w:pPr>
      <w:adjustRightInd/>
      <w:ind w:firstLine="420" w:firstLineChars="200"/>
    </w:pPr>
    <w:rPr>
      <w:rFonts w:eastAsia="仿宋_GB2312"/>
      <w:sz w:val="28"/>
    </w:rPr>
  </w:style>
  <w:style w:type="paragraph" w:customStyle="1" w:styleId="63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64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3">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4">
    <w:name w:val="trademark"/>
    <w:qFormat/>
    <w:uiPriority w:val="0"/>
    <w:pPr>
      <w:spacing w:after="60"/>
    </w:pPr>
    <w:rPr>
      <w:rFonts w:ascii="Futura Bk" w:hAnsi="Futura Bk" w:eastAsia="宋体" w:cs="Times New Roman"/>
      <w:sz w:val="15"/>
      <w:lang w:val="en-US" w:eastAsia="en-US" w:bidi="ar-SA"/>
    </w:rPr>
  </w:style>
  <w:style w:type="paragraph" w:customStyle="1" w:styleId="64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6">
    <w:name w:val="Char Char1 Char Char Char Char Char Char1"/>
    <w:basedOn w:val="1"/>
    <w:qFormat/>
    <w:uiPriority w:val="0"/>
    <w:rPr>
      <w:rFonts w:ascii="仿宋_GB2312" w:eastAsia="仿宋_GB2312"/>
      <w:b/>
      <w:sz w:val="32"/>
      <w:szCs w:val="20"/>
    </w:rPr>
  </w:style>
  <w:style w:type="paragraph" w:customStyle="1" w:styleId="64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8">
    <w:name w:val="Char1 Char Char Char1"/>
    <w:basedOn w:val="1"/>
    <w:qFormat/>
    <w:uiPriority w:val="0"/>
    <w:pPr>
      <w:adjustRightInd/>
      <w:ind w:firstLine="200" w:firstLineChars="200"/>
    </w:pPr>
    <w:rPr>
      <w:rFonts w:ascii="Tahoma" w:hAnsi="Tahoma"/>
      <w:sz w:val="24"/>
      <w:szCs w:val="20"/>
    </w:rPr>
  </w:style>
  <w:style w:type="paragraph" w:customStyle="1" w:styleId="649">
    <w:name w:val="a1"/>
    <w:basedOn w:val="1"/>
    <w:qFormat/>
    <w:uiPriority w:val="0"/>
    <w:pPr>
      <w:widowControl/>
      <w:spacing w:line="300" w:lineRule="atLeast"/>
      <w:jc w:val="left"/>
    </w:pPr>
    <w:rPr>
      <w:rFonts w:ascii="宋体" w:hAnsi="宋体"/>
      <w:kern w:val="0"/>
      <w:sz w:val="18"/>
      <w:szCs w:val="20"/>
    </w:rPr>
  </w:style>
  <w:style w:type="paragraph" w:customStyle="1" w:styleId="650">
    <w:name w:val="样式7"/>
    <w:basedOn w:val="651"/>
    <w:next w:val="1"/>
    <w:qFormat/>
    <w:uiPriority w:val="0"/>
    <w:pPr>
      <w:spacing w:afterLines="50"/>
      <w:jc w:val="left"/>
      <w:outlineLvl w:val="3"/>
    </w:pPr>
    <w:rPr>
      <w:sz w:val="24"/>
      <w:szCs w:val="24"/>
    </w:rPr>
  </w:style>
  <w:style w:type="paragraph" w:customStyle="1" w:styleId="65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4">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qFormat/>
    <w:uiPriority w:val="0"/>
    <w:pPr>
      <w:adjustRightInd/>
    </w:pPr>
    <w:rPr>
      <w:rFonts w:ascii="Tahoma" w:hAnsi="Tahoma"/>
      <w:sz w:val="24"/>
      <w:szCs w:val="20"/>
    </w:rPr>
  </w:style>
  <w:style w:type="paragraph" w:customStyle="1" w:styleId="65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7">
    <w:name w:val="三级条标题"/>
    <w:basedOn w:val="658"/>
    <w:next w:val="642"/>
    <w:qFormat/>
    <w:uiPriority w:val="0"/>
    <w:pPr>
      <w:tabs>
        <w:tab w:val="left" w:pos="1260"/>
        <w:tab w:val="left" w:pos="1680"/>
        <w:tab w:val="left" w:pos="2100"/>
        <w:tab w:val="left" w:pos="2520"/>
      </w:tabs>
      <w:ind w:left="2520"/>
      <w:outlineLvl w:val="4"/>
    </w:pPr>
  </w:style>
  <w:style w:type="paragraph" w:customStyle="1" w:styleId="658">
    <w:name w:val="二级条标题"/>
    <w:basedOn w:val="659"/>
    <w:next w:val="642"/>
    <w:qFormat/>
    <w:uiPriority w:val="0"/>
    <w:pPr>
      <w:tabs>
        <w:tab w:val="left" w:pos="1260"/>
        <w:tab w:val="left" w:pos="1680"/>
        <w:tab w:val="left" w:pos="2100"/>
      </w:tabs>
      <w:ind w:left="0"/>
      <w:outlineLvl w:val="3"/>
    </w:pPr>
  </w:style>
  <w:style w:type="paragraph" w:customStyle="1" w:styleId="659">
    <w:name w:val="一级条标题"/>
    <w:basedOn w:val="660"/>
    <w:next w:val="642"/>
    <w:qFormat/>
    <w:uiPriority w:val="0"/>
    <w:pPr>
      <w:tabs>
        <w:tab w:val="left" w:pos="1260"/>
        <w:tab w:val="left" w:pos="1680"/>
      </w:tabs>
      <w:spacing w:beforeLines="0" w:afterLines="0"/>
      <w:ind w:left="1680"/>
      <w:outlineLvl w:val="2"/>
    </w:pPr>
  </w:style>
  <w:style w:type="paragraph" w:customStyle="1" w:styleId="660">
    <w:name w:val="章标题"/>
    <w:next w:val="642"/>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1">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3">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5">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7">
    <w:name w:val="正文 项目2"/>
    <w:basedOn w:val="668"/>
    <w:qFormat/>
    <w:uiPriority w:val="0"/>
    <w:pPr>
      <w:tabs>
        <w:tab w:val="left" w:pos="840"/>
      </w:tabs>
      <w:spacing w:after="0"/>
      <w:ind w:left="900"/>
    </w:pPr>
  </w:style>
  <w:style w:type="paragraph" w:customStyle="1" w:styleId="66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9">
    <w:name w:val="Body Text 2*"/>
    <w:basedOn w:val="1"/>
    <w:qFormat/>
    <w:uiPriority w:val="6"/>
    <w:pPr>
      <w:widowControl/>
      <w:adjustRightInd/>
      <w:ind w:left="720" w:hanging="720"/>
    </w:pPr>
    <w:rPr>
      <w:color w:val="000000"/>
      <w:kern w:val="0"/>
      <w:sz w:val="24"/>
      <w:szCs w:val="20"/>
      <w:lang w:val="en-GB"/>
    </w:rPr>
  </w:style>
  <w:style w:type="paragraph" w:customStyle="1" w:styleId="670">
    <w:name w:val="表1"/>
    <w:basedOn w:val="1"/>
    <w:qFormat/>
    <w:uiPriority w:val="0"/>
    <w:pPr>
      <w:tabs>
        <w:tab w:val="left" w:pos="703"/>
      </w:tabs>
      <w:adjustRightInd/>
      <w:spacing w:line="360" w:lineRule="auto"/>
      <w:ind w:left="703"/>
      <w:jc w:val="center"/>
    </w:pPr>
  </w:style>
  <w:style w:type="paragraph" w:customStyle="1" w:styleId="67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3">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4">
    <w:name w:val="2级标题"/>
    <w:basedOn w:val="675"/>
    <w:qFormat/>
    <w:uiPriority w:val="0"/>
    <w:pPr>
      <w:jc w:val="left"/>
      <w:outlineLvl w:val="1"/>
    </w:pPr>
    <w:rPr>
      <w:rFonts w:ascii="Times New Roman" w:hAnsi="Times New Roman" w:eastAsia="仿宋"/>
      <w:sz w:val="30"/>
    </w:rPr>
  </w:style>
  <w:style w:type="paragraph" w:customStyle="1" w:styleId="675">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0">
    <w:name w:val="bullet"/>
    <w:basedOn w:val="1"/>
    <w:qFormat/>
    <w:uiPriority w:val="0"/>
    <w:pPr>
      <w:tabs>
        <w:tab w:val="left" w:pos="840"/>
      </w:tabs>
      <w:adjustRightInd/>
      <w:ind w:left="840" w:hanging="420"/>
    </w:pPr>
  </w:style>
  <w:style w:type="paragraph" w:customStyle="1" w:styleId="68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6"/>
    <w:qFormat/>
    <w:uiPriority w:val="0"/>
    <w:pPr>
      <w:tabs>
        <w:tab w:val="left" w:pos="2100"/>
      </w:tabs>
      <w:adjustRightInd/>
      <w:ind w:left="2100" w:hanging="420"/>
    </w:pPr>
    <w:rPr>
      <w:lang w:val="en-US"/>
    </w:rPr>
  </w:style>
  <w:style w:type="paragraph" w:customStyle="1" w:styleId="689">
    <w:name w:val="Char11"/>
    <w:basedOn w:val="1"/>
    <w:qFormat/>
    <w:uiPriority w:val="0"/>
    <w:pPr>
      <w:tabs>
        <w:tab w:val="left" w:pos="432"/>
      </w:tabs>
      <w:adjustRightInd/>
      <w:spacing w:beforeLines="50" w:afterLines="50"/>
      <w:ind w:left="432" w:hanging="432" w:firstLineChars="200"/>
    </w:pPr>
    <w:rPr>
      <w:sz w:val="24"/>
    </w:rPr>
  </w:style>
  <w:style w:type="paragraph" w:customStyle="1" w:styleId="69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qFormat/>
    <w:uiPriority w:val="6"/>
    <w:pPr>
      <w:spacing w:line="360" w:lineRule="auto"/>
    </w:pPr>
    <w:rPr>
      <w:szCs w:val="20"/>
    </w:rPr>
  </w:style>
  <w:style w:type="paragraph" w:customStyle="1" w:styleId="69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qFormat/>
    <w:uiPriority w:val="0"/>
    <w:pPr>
      <w:adjustRightInd/>
      <w:spacing w:line="360" w:lineRule="auto"/>
      <w:jc w:val="center"/>
    </w:pPr>
    <w:rPr>
      <w:sz w:val="24"/>
    </w:rPr>
  </w:style>
  <w:style w:type="paragraph" w:customStyle="1" w:styleId="702">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3">
    <w:name w:val="Char Char Char Char Char Char Char1"/>
    <w:basedOn w:val="1"/>
    <w:qFormat/>
    <w:uiPriority w:val="6"/>
    <w:rPr>
      <w:rFonts w:ascii="仿宋_GB2312" w:eastAsia="仿宋_GB2312"/>
      <w:b/>
      <w:sz w:val="32"/>
      <w:szCs w:val="32"/>
    </w:rPr>
  </w:style>
  <w:style w:type="paragraph" w:customStyle="1" w:styleId="704">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6">
    <w:name w:val="Char3 Char Char Char11"/>
    <w:basedOn w:val="1"/>
    <w:qFormat/>
    <w:uiPriority w:val="0"/>
    <w:pPr>
      <w:widowControl/>
      <w:adjustRightInd/>
      <w:spacing w:after="160" w:line="240" w:lineRule="exact"/>
      <w:jc w:val="left"/>
    </w:pPr>
    <w:rPr>
      <w:szCs w:val="20"/>
    </w:rPr>
  </w:style>
  <w:style w:type="paragraph" w:customStyle="1" w:styleId="707">
    <w:name w:val="Char Char1121"/>
    <w:basedOn w:val="1"/>
    <w:qFormat/>
    <w:uiPriority w:val="0"/>
    <w:pPr>
      <w:spacing w:line="360" w:lineRule="auto"/>
    </w:pPr>
    <w:rPr>
      <w:szCs w:val="20"/>
    </w:rPr>
  </w:style>
  <w:style w:type="paragraph" w:customStyle="1" w:styleId="70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0">
    <w:name w:val="Normal0"/>
    <w:qFormat/>
    <w:uiPriority w:val="0"/>
    <w:rPr>
      <w:rFonts w:ascii="Times New Roman" w:hAnsi="Times New Roman" w:eastAsia="宋体" w:cs="Times New Roman"/>
      <w:lang w:val="en-US" w:eastAsia="en-US" w:bidi="ar-SA"/>
    </w:rPr>
  </w:style>
  <w:style w:type="paragraph" w:customStyle="1" w:styleId="711">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4">
    <w:name w:val="封面"/>
    <w:basedOn w:val="1"/>
    <w:qFormat/>
    <w:uiPriority w:val="0"/>
    <w:pPr>
      <w:spacing w:line="360" w:lineRule="atLeast"/>
      <w:jc w:val="right"/>
      <w:textAlignment w:val="baseline"/>
    </w:pPr>
    <w:rPr>
      <w:rFonts w:ascii="Symbol" w:hAnsi="Symbol"/>
      <w:kern w:val="0"/>
      <w:szCs w:val="20"/>
    </w:rPr>
  </w:style>
  <w:style w:type="paragraph" w:customStyle="1" w:styleId="71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7">
    <w:name w:val="默认段落字体 Para Char Char Char1 Char"/>
    <w:basedOn w:val="1"/>
    <w:qFormat/>
    <w:uiPriority w:val="0"/>
    <w:pPr>
      <w:spacing w:line="240" w:lineRule="atLeast"/>
      <w:ind w:left="420" w:firstLine="420"/>
    </w:pPr>
    <w:rPr>
      <w:sz w:val="24"/>
    </w:rPr>
  </w:style>
  <w:style w:type="paragraph" w:customStyle="1" w:styleId="718">
    <w:name w:val="WW-正文文字缩进 2"/>
    <w:basedOn w:val="1"/>
    <w:qFormat/>
    <w:uiPriority w:val="0"/>
    <w:pPr>
      <w:suppressAutoHyphens/>
      <w:adjustRightInd/>
      <w:ind w:firstLine="420"/>
    </w:pPr>
    <w:rPr>
      <w:kern w:val="1"/>
      <w:szCs w:val="20"/>
    </w:rPr>
  </w:style>
  <w:style w:type="paragraph" w:customStyle="1" w:styleId="71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21">
    <w:name w:val="有符号正文"/>
    <w:basedOn w:val="1"/>
    <w:qFormat/>
    <w:uiPriority w:val="0"/>
    <w:pPr>
      <w:adjustRightInd/>
      <w:spacing w:line="400" w:lineRule="exact"/>
      <w:ind w:firstLine="200" w:firstLineChars="200"/>
    </w:pPr>
    <w:rPr>
      <w:rFonts w:ascii="Arial" w:hAnsi="Arial"/>
    </w:rPr>
  </w:style>
  <w:style w:type="paragraph" w:customStyle="1" w:styleId="72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4">
    <w:name w:val="4"/>
    <w:basedOn w:val="1"/>
    <w:next w:val="36"/>
    <w:qFormat/>
    <w:uiPriority w:val="0"/>
    <w:pPr>
      <w:spacing w:after="120" w:line="480" w:lineRule="auto"/>
      <w:ind w:left="420" w:leftChars="200"/>
    </w:pPr>
    <w:rPr>
      <w:sz w:val="24"/>
      <w:szCs w:val="20"/>
    </w:rPr>
  </w:style>
  <w:style w:type="paragraph" w:customStyle="1" w:styleId="72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7">
    <w:name w:val="样式 标题 3H3 + 两端对齐"/>
    <w:basedOn w:val="4"/>
    <w:qFormat/>
    <w:uiPriority w:val="0"/>
    <w:pPr>
      <w:keepLines w:val="0"/>
      <w:spacing w:before="0" w:after="0" w:line="240" w:lineRule="auto"/>
      <w:jc w:val="left"/>
    </w:pPr>
    <w:rPr>
      <w:rFonts w:cs="宋体"/>
      <w:sz w:val="21"/>
      <w:szCs w:val="20"/>
    </w:rPr>
  </w:style>
  <w:style w:type="paragraph" w:customStyle="1" w:styleId="72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1">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3">
    <w:name w:val="Char Char1 Char Char Char"/>
    <w:basedOn w:val="1"/>
    <w:qFormat/>
    <w:uiPriority w:val="0"/>
    <w:rPr>
      <w:rFonts w:ascii="仿宋_GB2312" w:eastAsia="仿宋_GB2312"/>
      <w:b/>
      <w:sz w:val="32"/>
      <w:szCs w:val="20"/>
    </w:rPr>
  </w:style>
  <w:style w:type="paragraph" w:customStyle="1" w:styleId="734">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6">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7">
    <w:name w:val="Char Char1 Char Char Char2"/>
    <w:basedOn w:val="1"/>
    <w:qFormat/>
    <w:uiPriority w:val="0"/>
    <w:rPr>
      <w:rFonts w:ascii="仿宋_GB2312" w:eastAsia="仿宋_GB2312"/>
      <w:b/>
      <w:sz w:val="32"/>
      <w:szCs w:val="32"/>
    </w:rPr>
  </w:style>
  <w:style w:type="paragraph" w:customStyle="1" w:styleId="738">
    <w:name w:val="Char3 Char Char Char1"/>
    <w:basedOn w:val="1"/>
    <w:qFormat/>
    <w:uiPriority w:val="6"/>
    <w:pPr>
      <w:widowControl/>
      <w:adjustRightInd/>
      <w:spacing w:after="160" w:line="240" w:lineRule="exact"/>
      <w:jc w:val="left"/>
    </w:pPr>
    <w:rPr>
      <w:szCs w:val="20"/>
    </w:rPr>
  </w:style>
  <w:style w:type="paragraph" w:customStyle="1" w:styleId="739">
    <w:name w:val="Char1 Char Char Char21"/>
    <w:basedOn w:val="1"/>
    <w:qFormat/>
    <w:uiPriority w:val="0"/>
    <w:rPr>
      <w:rFonts w:ascii="Tahoma" w:hAnsi="Tahoma"/>
      <w:sz w:val="24"/>
      <w:szCs w:val="20"/>
    </w:rPr>
  </w:style>
  <w:style w:type="paragraph" w:customStyle="1" w:styleId="74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1">
    <w:name w:val="正文（标题三）"/>
    <w:basedOn w:val="1"/>
    <w:qFormat/>
    <w:uiPriority w:val="0"/>
    <w:pPr>
      <w:spacing w:line="360" w:lineRule="auto"/>
      <w:ind w:firstLine="200" w:firstLineChars="200"/>
    </w:pPr>
    <w:rPr>
      <w:sz w:val="24"/>
    </w:rPr>
  </w:style>
  <w:style w:type="paragraph" w:customStyle="1" w:styleId="74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7">
    <w:name w:val="Char1 Char Char Char4"/>
    <w:basedOn w:val="1"/>
    <w:qFormat/>
    <w:uiPriority w:val="0"/>
    <w:pPr>
      <w:adjustRightInd/>
      <w:ind w:firstLine="200" w:firstLineChars="200"/>
    </w:pPr>
    <w:rPr>
      <w:rFonts w:ascii="Tahoma" w:hAnsi="Tahoma"/>
      <w:sz w:val="24"/>
      <w:szCs w:val="20"/>
    </w:rPr>
  </w:style>
  <w:style w:type="paragraph" w:customStyle="1" w:styleId="748">
    <w:name w:val="_标题2"/>
    <w:basedOn w:val="715"/>
    <w:next w:val="715"/>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9">
    <w:name w:val="样式1 + (中宋体"/>
    <w:basedOn w:val="72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3">
    <w:name w:val="四号　首行缩进"/>
    <w:basedOn w:val="1"/>
    <w:qFormat/>
    <w:uiPriority w:val="0"/>
    <w:pPr>
      <w:adjustRightInd/>
      <w:spacing w:line="360" w:lineRule="auto"/>
    </w:pPr>
    <w:rPr>
      <w:rFonts w:ascii="宋体" w:hAnsi="宋体"/>
      <w:szCs w:val="20"/>
    </w:rPr>
  </w:style>
  <w:style w:type="paragraph" w:customStyle="1" w:styleId="75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5">
    <w:name w:val="Char Char Char Char Char Char Char Char Char Char Char1 Char"/>
    <w:basedOn w:val="1"/>
    <w:qFormat/>
    <w:uiPriority w:val="0"/>
    <w:pPr>
      <w:adjustRightInd/>
    </w:pPr>
    <w:rPr>
      <w:rFonts w:ascii="Tahoma" w:hAnsi="Tahoma"/>
      <w:sz w:val="24"/>
    </w:rPr>
  </w:style>
  <w:style w:type="paragraph" w:customStyle="1" w:styleId="756">
    <w:name w:val="Char Char Char Char11"/>
    <w:basedOn w:val="1"/>
    <w:qFormat/>
    <w:uiPriority w:val="0"/>
    <w:rPr>
      <w:rFonts w:ascii="Tahoma" w:hAnsi="Tahoma"/>
      <w:sz w:val="24"/>
      <w:szCs w:val="20"/>
    </w:rPr>
  </w:style>
  <w:style w:type="paragraph" w:customStyle="1" w:styleId="75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8">
    <w:name w:val="Char Char Char Char"/>
    <w:basedOn w:val="1"/>
    <w:qFormat/>
    <w:uiPriority w:val="0"/>
    <w:rPr>
      <w:rFonts w:ascii="Tahoma" w:hAnsi="Tahoma"/>
      <w:sz w:val="24"/>
      <w:szCs w:val="20"/>
    </w:rPr>
  </w:style>
  <w:style w:type="paragraph" w:customStyle="1" w:styleId="759">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0">
    <w:name w:val="Char19"/>
    <w:basedOn w:val="1"/>
    <w:qFormat/>
    <w:uiPriority w:val="0"/>
    <w:pPr>
      <w:adjustRightInd/>
    </w:pPr>
    <w:rPr>
      <w:szCs w:val="20"/>
    </w:rPr>
  </w:style>
  <w:style w:type="paragraph" w:customStyle="1" w:styleId="76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2">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3">
    <w:name w:val="_Style 5"/>
    <w:basedOn w:val="1"/>
    <w:qFormat/>
    <w:uiPriority w:val="34"/>
    <w:pPr>
      <w:adjustRightInd/>
      <w:ind w:firstLine="420" w:firstLineChars="200"/>
    </w:pPr>
    <w:rPr>
      <w:rFonts w:eastAsia="仿宋_GB2312"/>
      <w:sz w:val="28"/>
    </w:rPr>
  </w:style>
  <w:style w:type="paragraph" w:customStyle="1" w:styleId="76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7">
    <w:name w:val="标书表格字体格式"/>
    <w:next w:val="761"/>
    <w:qFormat/>
    <w:uiPriority w:val="0"/>
    <w:rPr>
      <w:rFonts w:ascii="Times New Roman" w:hAnsi="Times New Roman" w:eastAsia="宋体" w:cs="Times New Roman"/>
      <w:kern w:val="2"/>
      <w:sz w:val="21"/>
      <w:szCs w:val="24"/>
      <w:lang w:val="en-US" w:eastAsia="zh-CN" w:bidi="ar-SA"/>
    </w:rPr>
  </w:style>
  <w:style w:type="paragraph" w:customStyle="1" w:styleId="76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0">
    <w:name w:val="修订3"/>
    <w:qFormat/>
    <w:uiPriority w:val="0"/>
    <w:rPr>
      <w:rFonts w:ascii="Times New Roman" w:hAnsi="Times New Roman" w:eastAsia="宋体" w:cs="Times New Roman"/>
      <w:kern w:val="2"/>
      <w:sz w:val="21"/>
      <w:lang w:val="en-US" w:eastAsia="zh-CN" w:bidi="ar-SA"/>
    </w:rPr>
  </w:style>
  <w:style w:type="paragraph" w:customStyle="1" w:styleId="771">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3">
    <w:name w:val="表文字"/>
    <w:qFormat/>
    <w:uiPriority w:val="0"/>
    <w:rPr>
      <w:rFonts w:ascii="宋体" w:hAnsi="Times New Roman" w:eastAsia="宋体" w:cs="Times New Roman"/>
      <w:kern w:val="2"/>
      <w:lang w:val="en-US" w:eastAsia="zh-CN" w:bidi="ar-SA"/>
    </w:rPr>
  </w:style>
  <w:style w:type="paragraph" w:customStyle="1" w:styleId="774">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7">
    <w:name w:val="Char Char Char Char Char Char Char Char2"/>
    <w:basedOn w:val="1"/>
    <w:qFormat/>
    <w:uiPriority w:val="0"/>
    <w:pPr>
      <w:tabs>
        <w:tab w:val="left" w:pos="360"/>
      </w:tabs>
    </w:pPr>
    <w:rPr>
      <w:sz w:val="24"/>
      <w:szCs w:val="20"/>
    </w:rPr>
  </w:style>
  <w:style w:type="paragraph" w:customStyle="1" w:styleId="77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0">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3">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5">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6">
    <w:name w:val="p0"/>
    <w:basedOn w:val="1"/>
    <w:qFormat/>
    <w:uiPriority w:val="0"/>
    <w:pPr>
      <w:widowControl/>
      <w:adjustRightInd/>
    </w:pPr>
    <w:rPr>
      <w:kern w:val="0"/>
      <w:szCs w:val="21"/>
    </w:rPr>
  </w:style>
  <w:style w:type="paragraph" w:customStyle="1" w:styleId="787">
    <w:name w:val="Char6"/>
    <w:basedOn w:val="1"/>
    <w:qFormat/>
    <w:uiPriority w:val="0"/>
    <w:rPr>
      <w:rFonts w:ascii="仿宋_GB2312" w:eastAsia="仿宋_GB2312"/>
      <w:b/>
      <w:sz w:val="32"/>
      <w:szCs w:val="32"/>
    </w:rPr>
  </w:style>
  <w:style w:type="paragraph" w:customStyle="1" w:styleId="788">
    <w:name w:val="Char111"/>
    <w:basedOn w:val="1"/>
    <w:qFormat/>
    <w:uiPriority w:val="0"/>
    <w:rPr>
      <w:rFonts w:ascii="仿宋_GB2312" w:eastAsia="仿宋_GB2312"/>
      <w:b/>
      <w:sz w:val="32"/>
      <w:szCs w:val="32"/>
    </w:rPr>
  </w:style>
  <w:style w:type="paragraph" w:customStyle="1" w:styleId="789">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9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2">
    <w:name w:val="Char1 Char Char Char2"/>
    <w:basedOn w:val="1"/>
    <w:qFormat/>
    <w:uiPriority w:val="0"/>
    <w:pPr>
      <w:adjustRightInd/>
      <w:ind w:firstLine="200" w:firstLineChars="200"/>
    </w:pPr>
    <w:rPr>
      <w:rFonts w:ascii="Tahoma" w:hAnsi="Tahoma"/>
      <w:sz w:val="24"/>
      <w:szCs w:val="20"/>
    </w:rPr>
  </w:style>
  <w:style w:type="paragraph" w:customStyle="1" w:styleId="793">
    <w:name w:val="列出段落1"/>
    <w:basedOn w:val="1"/>
    <w:link w:val="794"/>
    <w:qFormat/>
    <w:uiPriority w:val="34"/>
    <w:pPr>
      <w:adjustRightInd/>
      <w:spacing w:line="360" w:lineRule="auto"/>
      <w:ind w:firstLine="420" w:firstLineChars="200"/>
    </w:pPr>
    <w:rPr>
      <w:rFonts w:ascii="Calibri" w:hAnsi="Calibri"/>
      <w:sz w:val="24"/>
      <w:szCs w:val="22"/>
    </w:rPr>
  </w:style>
  <w:style w:type="character" w:customStyle="1" w:styleId="794">
    <w:name w:val="列出段落 字符"/>
    <w:link w:val="793"/>
    <w:qFormat/>
    <w:locked/>
    <w:uiPriority w:val="0"/>
    <w:rPr>
      <w:rFonts w:ascii="Calibri" w:hAnsi="Calibri"/>
      <w:kern w:val="2"/>
      <w:sz w:val="24"/>
      <w:szCs w:val="22"/>
    </w:rPr>
  </w:style>
  <w:style w:type="paragraph" w:customStyle="1" w:styleId="795">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6">
    <w:name w:val="Char Char Char Char Char Char Char2"/>
    <w:basedOn w:val="1"/>
    <w:qFormat/>
    <w:uiPriority w:val="0"/>
    <w:rPr>
      <w:rFonts w:ascii="仿宋_GB2312" w:eastAsia="仿宋_GB2312"/>
      <w:b/>
      <w:sz w:val="32"/>
      <w:szCs w:val="32"/>
    </w:rPr>
  </w:style>
  <w:style w:type="paragraph" w:customStyle="1" w:styleId="797">
    <w:name w:val="五级条标题"/>
    <w:basedOn w:val="798"/>
    <w:next w:val="642"/>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7"/>
    <w:next w:val="642"/>
    <w:qFormat/>
    <w:uiPriority w:val="0"/>
    <w:pPr>
      <w:tabs>
        <w:tab w:val="left" w:pos="2940"/>
        <w:tab w:val="clear" w:pos="2520"/>
      </w:tabs>
      <w:ind w:left="2940"/>
      <w:outlineLvl w:val="5"/>
    </w:pPr>
  </w:style>
  <w:style w:type="paragraph" w:customStyle="1" w:styleId="79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qFormat/>
    <w:uiPriority w:val="0"/>
    <w:rPr>
      <w:rFonts w:ascii="仿宋_GB2312" w:eastAsia="仿宋_GB2312"/>
      <w:b/>
      <w:sz w:val="32"/>
      <w:szCs w:val="32"/>
    </w:rPr>
  </w:style>
  <w:style w:type="paragraph" w:customStyle="1" w:styleId="80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3">
    <w:name w:val="首行缩进"/>
    <w:basedOn w:val="1"/>
    <w:qFormat/>
    <w:uiPriority w:val="0"/>
    <w:pPr>
      <w:spacing w:line="360" w:lineRule="auto"/>
      <w:ind w:firstLine="480" w:firstLineChars="200"/>
    </w:pPr>
    <w:rPr>
      <w:rFonts w:ascii="宋体"/>
      <w:sz w:val="24"/>
      <w:szCs w:val="20"/>
    </w:rPr>
  </w:style>
  <w:style w:type="paragraph" w:customStyle="1" w:styleId="80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5">
    <w:name w:val="单元格左对齐"/>
    <w:basedOn w:val="1"/>
    <w:qFormat/>
    <w:uiPriority w:val="0"/>
    <w:pPr>
      <w:adjustRightInd/>
      <w:spacing w:line="360" w:lineRule="auto"/>
    </w:pPr>
    <w:rPr>
      <w:sz w:val="24"/>
    </w:rPr>
  </w:style>
  <w:style w:type="paragraph" w:customStyle="1" w:styleId="806">
    <w:name w:val="正文主体"/>
    <w:basedOn w:val="625"/>
    <w:qFormat/>
    <w:uiPriority w:val="0"/>
  </w:style>
  <w:style w:type="paragraph" w:customStyle="1" w:styleId="80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qFormat/>
    <w:uiPriority w:val="0"/>
    <w:pPr>
      <w:adjustRightInd/>
      <w:spacing w:line="360" w:lineRule="auto"/>
      <w:ind w:firstLine="480" w:firstLineChars="200"/>
    </w:pPr>
    <w:rPr>
      <w:sz w:val="24"/>
      <w:szCs w:val="20"/>
    </w:rPr>
  </w:style>
  <w:style w:type="paragraph" w:customStyle="1" w:styleId="811">
    <w:name w:val="P1"/>
    <w:basedOn w:val="1"/>
    <w:qFormat/>
    <w:uiPriority w:val="0"/>
    <w:pPr>
      <w:adjustRightInd/>
      <w:spacing w:line="288" w:lineRule="auto"/>
      <w:ind w:firstLine="425" w:firstLineChars="200"/>
    </w:pPr>
  </w:style>
  <w:style w:type="paragraph" w:customStyle="1" w:styleId="812">
    <w:name w:val="列表内容"/>
    <w:basedOn w:val="1"/>
    <w:next w:val="1"/>
    <w:qFormat/>
    <w:uiPriority w:val="0"/>
    <w:pPr>
      <w:widowControl/>
      <w:tabs>
        <w:tab w:val="left" w:pos="840"/>
      </w:tabs>
      <w:ind w:left="840" w:hanging="420"/>
      <w:jc w:val="left"/>
    </w:pPr>
    <w:rPr>
      <w:kern w:val="0"/>
      <w:sz w:val="18"/>
    </w:rPr>
  </w:style>
  <w:style w:type="paragraph" w:customStyle="1" w:styleId="813">
    <w:name w:val="Char Char11 Char Char Char1"/>
    <w:basedOn w:val="1"/>
    <w:qFormat/>
    <w:uiPriority w:val="6"/>
    <w:pPr>
      <w:spacing w:line="360" w:lineRule="auto"/>
    </w:pPr>
    <w:rPr>
      <w:szCs w:val="20"/>
    </w:rPr>
  </w:style>
  <w:style w:type="paragraph" w:customStyle="1" w:styleId="81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5">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8">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qFormat/>
    <w:uiPriority w:val="0"/>
    <w:pPr>
      <w:spacing w:line="360" w:lineRule="auto"/>
    </w:pPr>
    <w:rPr>
      <w:szCs w:val="20"/>
    </w:rPr>
  </w:style>
  <w:style w:type="paragraph" w:customStyle="1" w:styleId="82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qFormat/>
    <w:uiPriority w:val="0"/>
    <w:rPr>
      <w:rFonts w:ascii="仿宋_GB2312" w:eastAsia="仿宋_GB2312"/>
      <w:b/>
      <w:sz w:val="32"/>
      <w:szCs w:val="32"/>
    </w:rPr>
  </w:style>
  <w:style w:type="paragraph" w:customStyle="1" w:styleId="82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5">
    <w:name w:val="正文 首行缩进:  2 字符 Char"/>
    <w:basedOn w:val="1"/>
    <w:qFormat/>
    <w:uiPriority w:val="0"/>
    <w:pPr>
      <w:adjustRightInd/>
      <w:spacing w:line="360" w:lineRule="auto"/>
      <w:ind w:firstLine="480"/>
    </w:pPr>
    <w:rPr>
      <w:rFonts w:cs="宋体"/>
      <w:sz w:val="24"/>
      <w:szCs w:val="20"/>
    </w:rPr>
  </w:style>
  <w:style w:type="paragraph" w:customStyle="1" w:styleId="826">
    <w:name w:val="Char Char4 Char Char"/>
    <w:basedOn w:val="1"/>
    <w:qFormat/>
    <w:uiPriority w:val="0"/>
    <w:pPr>
      <w:widowControl/>
      <w:adjustRightInd/>
      <w:spacing w:after="160" w:line="240" w:lineRule="exact"/>
      <w:jc w:val="left"/>
    </w:pPr>
  </w:style>
  <w:style w:type="paragraph" w:customStyle="1" w:styleId="82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qFormat/>
    <w:uiPriority w:val="0"/>
    <w:pPr>
      <w:spacing w:line="360" w:lineRule="auto"/>
    </w:pPr>
    <w:rPr>
      <w:szCs w:val="20"/>
    </w:rPr>
  </w:style>
  <w:style w:type="paragraph" w:customStyle="1" w:styleId="82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1">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qFormat/>
    <w:uiPriority w:val="0"/>
    <w:pPr>
      <w:adjustRightInd/>
      <w:ind w:firstLine="200" w:firstLineChars="200"/>
    </w:pPr>
    <w:rPr>
      <w:rFonts w:ascii="Tahoma" w:hAnsi="Tahoma"/>
      <w:sz w:val="24"/>
      <w:szCs w:val="20"/>
    </w:rPr>
  </w:style>
  <w:style w:type="paragraph" w:customStyle="1" w:styleId="836">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8">
    <w:name w:val="正文 内标"/>
    <w:basedOn w:val="752"/>
    <w:qFormat/>
    <w:uiPriority w:val="0"/>
    <w:pPr>
      <w:tabs>
        <w:tab w:val="left" w:pos="0"/>
      </w:tabs>
      <w:ind w:left="900" w:firstLine="0" w:firstLineChars="0"/>
    </w:pPr>
  </w:style>
  <w:style w:type="paragraph" w:customStyle="1" w:styleId="839">
    <w:name w:val="Bulleted List"/>
    <w:basedOn w:val="1"/>
    <w:qFormat/>
    <w:uiPriority w:val="0"/>
    <w:pPr>
      <w:tabs>
        <w:tab w:val="left" w:pos="1260"/>
      </w:tabs>
      <w:adjustRightInd/>
      <w:ind w:left="1260" w:hanging="420"/>
    </w:pPr>
  </w:style>
  <w:style w:type="paragraph" w:customStyle="1" w:styleId="840">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41">
    <w:name w:val="样式 左侧:  0.85 厘米"/>
    <w:basedOn w:val="1"/>
    <w:qFormat/>
    <w:uiPriority w:val="2"/>
    <w:pPr>
      <w:adjustRightInd/>
      <w:spacing w:line="360" w:lineRule="auto"/>
    </w:pPr>
    <w:rPr>
      <w:rFonts w:cs="宋体"/>
      <w:sz w:val="24"/>
      <w:szCs w:val="20"/>
    </w:rPr>
  </w:style>
  <w:style w:type="paragraph" w:customStyle="1" w:styleId="842">
    <w:name w:val="Char Char Char Char Char Char Char Char Char Char Char Char1 Char"/>
    <w:basedOn w:val="1"/>
    <w:qFormat/>
    <w:uiPriority w:val="0"/>
    <w:rPr>
      <w:rFonts w:ascii="Tahoma" w:hAnsi="Tahoma" w:cs="仿宋_GB2312"/>
      <w:sz w:val="24"/>
      <w:szCs w:val="20"/>
    </w:rPr>
  </w:style>
  <w:style w:type="paragraph" w:customStyle="1" w:styleId="843">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4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6">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7">
    <w:name w:val="Char Char1 Char Char Char Char Char Char"/>
    <w:basedOn w:val="1"/>
    <w:qFormat/>
    <w:uiPriority w:val="0"/>
    <w:rPr>
      <w:rFonts w:ascii="仿宋_GB2312" w:eastAsia="仿宋_GB2312"/>
      <w:b/>
      <w:sz w:val="32"/>
      <w:szCs w:val="20"/>
    </w:rPr>
  </w:style>
  <w:style w:type="paragraph" w:customStyle="1" w:styleId="84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9">
    <w:name w:val="Char Char1 Char Char Char Char Char Char2"/>
    <w:basedOn w:val="1"/>
    <w:qFormat/>
    <w:uiPriority w:val="0"/>
    <w:rPr>
      <w:rFonts w:ascii="仿宋_GB2312" w:eastAsia="仿宋_GB2312"/>
      <w:b/>
      <w:sz w:val="32"/>
      <w:szCs w:val="20"/>
    </w:rPr>
  </w:style>
  <w:style w:type="paragraph" w:customStyle="1" w:styleId="85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9">
    <w:name w:val="Char31"/>
    <w:basedOn w:val="1"/>
    <w:qFormat/>
    <w:uiPriority w:val="0"/>
    <w:pPr>
      <w:adjustRightInd/>
    </w:pPr>
    <w:rPr>
      <w:rFonts w:ascii="仿宋_GB2312" w:eastAsia="仿宋_GB2312"/>
      <w:b/>
      <w:sz w:val="32"/>
      <w:szCs w:val="32"/>
    </w:rPr>
  </w:style>
  <w:style w:type="paragraph" w:customStyle="1" w:styleId="860">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6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3">
    <w:name w:val="Char Char1"/>
    <w:basedOn w:val="1"/>
    <w:qFormat/>
    <w:uiPriority w:val="0"/>
    <w:pPr>
      <w:widowControl/>
      <w:spacing w:after="160" w:line="240" w:lineRule="exact"/>
      <w:jc w:val="left"/>
    </w:pPr>
    <w:rPr>
      <w:rFonts w:eastAsia="仿宋_GB2312"/>
      <w:sz w:val="28"/>
    </w:rPr>
  </w:style>
  <w:style w:type="paragraph" w:customStyle="1" w:styleId="864">
    <w:name w:val="Char21"/>
    <w:basedOn w:val="1"/>
    <w:qFormat/>
    <w:uiPriority w:val="0"/>
    <w:pPr>
      <w:adjustRightInd/>
      <w:ind w:firstLine="200" w:firstLineChars="200"/>
    </w:pPr>
    <w:rPr>
      <w:rFonts w:ascii="仿宋_GB2312" w:eastAsia="仿宋_GB2312"/>
      <w:b/>
      <w:sz w:val="32"/>
      <w:szCs w:val="32"/>
    </w:rPr>
  </w:style>
  <w:style w:type="paragraph" w:customStyle="1" w:styleId="865">
    <w:name w:val="列表段落1"/>
    <w:basedOn w:val="1"/>
    <w:qFormat/>
    <w:uiPriority w:val="34"/>
    <w:pPr>
      <w:adjustRightInd/>
      <w:ind w:right="238" w:firstLine="420"/>
    </w:pPr>
    <w:rPr>
      <w:rFonts w:ascii="Calibri" w:hAnsi="Calibri"/>
      <w:sz w:val="24"/>
    </w:rPr>
  </w:style>
  <w:style w:type="paragraph" w:customStyle="1" w:styleId="866">
    <w:name w:val="Char Char110"/>
    <w:basedOn w:val="1"/>
    <w:qFormat/>
    <w:uiPriority w:val="6"/>
    <w:pPr>
      <w:spacing w:line="360" w:lineRule="auto"/>
    </w:pPr>
    <w:rPr>
      <w:rFonts w:ascii="Tahoma" w:hAnsi="Tahoma"/>
      <w:sz w:val="24"/>
      <w:szCs w:val="20"/>
    </w:rPr>
  </w:style>
  <w:style w:type="paragraph" w:customStyle="1" w:styleId="86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1">
    <w:name w:val="Char Char Char Char Char Char Char Char Char Char Char Char1 Char2"/>
    <w:basedOn w:val="1"/>
    <w:qFormat/>
    <w:uiPriority w:val="0"/>
    <w:rPr>
      <w:rFonts w:ascii="Tahoma" w:hAnsi="Tahoma" w:cs="仿宋_GB2312"/>
      <w:sz w:val="24"/>
      <w:szCs w:val="20"/>
    </w:rPr>
  </w:style>
  <w:style w:type="paragraph" w:customStyle="1" w:styleId="87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4">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6">
    <w:name w:val="_Style 12"/>
    <w:basedOn w:val="18"/>
    <w:qFormat/>
    <w:uiPriority w:val="0"/>
    <w:pPr>
      <w:snapToGrid w:val="0"/>
      <w:spacing w:line="360" w:lineRule="auto"/>
    </w:pPr>
  </w:style>
  <w:style w:type="paragraph" w:customStyle="1" w:styleId="87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9">
    <w:name w:val="_Style 94"/>
    <w:basedOn w:val="1"/>
    <w:next w:val="277"/>
    <w:qFormat/>
    <w:uiPriority w:val="34"/>
    <w:pPr>
      <w:adjustRightInd/>
      <w:spacing w:line="360" w:lineRule="auto"/>
      <w:ind w:firstLine="200" w:firstLineChars="200"/>
    </w:pPr>
    <w:rPr>
      <w:rFonts w:ascii="Calibri" w:hAnsi="Calibri"/>
      <w:sz w:val="28"/>
      <w:szCs w:val="20"/>
    </w:rPr>
  </w:style>
  <w:style w:type="paragraph" w:customStyle="1" w:styleId="88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3">
    <w:name w:val="3级标题"/>
    <w:basedOn w:val="674"/>
    <w:qFormat/>
    <w:uiPriority w:val="0"/>
    <w:pPr>
      <w:outlineLvl w:val="2"/>
    </w:pPr>
  </w:style>
  <w:style w:type="paragraph" w:customStyle="1" w:styleId="88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5">
    <w:name w:val="Char1 Char Char Char3"/>
    <w:basedOn w:val="1"/>
    <w:qFormat/>
    <w:uiPriority w:val="0"/>
    <w:pPr>
      <w:adjustRightInd/>
      <w:ind w:firstLine="200" w:firstLineChars="200"/>
    </w:pPr>
    <w:rPr>
      <w:rFonts w:ascii="Tahoma" w:hAnsi="Tahoma"/>
      <w:sz w:val="24"/>
      <w:szCs w:val="20"/>
    </w:rPr>
  </w:style>
  <w:style w:type="paragraph" w:customStyle="1" w:styleId="88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7">
    <w:name w:val="MM Empty"/>
    <w:basedOn w:val="1"/>
    <w:qFormat/>
    <w:uiPriority w:val="0"/>
    <w:pPr>
      <w:adjustRightInd/>
    </w:pPr>
  </w:style>
  <w:style w:type="paragraph" w:customStyle="1" w:styleId="888">
    <w:name w:val="Char24"/>
    <w:basedOn w:val="1"/>
    <w:qFormat/>
    <w:uiPriority w:val="0"/>
    <w:rPr>
      <w:rFonts w:ascii="仿宋_GB2312" w:eastAsia="仿宋_GB2312"/>
      <w:b/>
      <w:sz w:val="32"/>
      <w:szCs w:val="32"/>
    </w:rPr>
  </w:style>
  <w:style w:type="paragraph" w:customStyle="1" w:styleId="889">
    <w:name w:val="正文箭头"/>
    <w:basedOn w:val="539"/>
    <w:qFormat/>
    <w:uiPriority w:val="0"/>
  </w:style>
  <w:style w:type="paragraph" w:customStyle="1" w:styleId="890">
    <w:name w:val="U_编号2"/>
    <w:basedOn w:val="1"/>
    <w:qFormat/>
    <w:uiPriority w:val="0"/>
    <w:pPr>
      <w:tabs>
        <w:tab w:val="left" w:pos="785"/>
      </w:tabs>
      <w:adjustRightInd/>
      <w:spacing w:beforeLines="10" w:afterLines="10" w:line="300" w:lineRule="auto"/>
    </w:pPr>
    <w:rPr>
      <w:sz w:val="24"/>
    </w:rPr>
  </w:style>
  <w:style w:type="paragraph" w:customStyle="1" w:styleId="89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3">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4">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5">
    <w:name w:val="_Style 1"/>
    <w:basedOn w:val="1"/>
    <w:qFormat/>
    <w:uiPriority w:val="34"/>
    <w:pPr>
      <w:adjustRightInd/>
      <w:ind w:firstLine="420" w:firstLineChars="200"/>
    </w:pPr>
    <w:rPr>
      <w:rFonts w:eastAsia="仿宋_GB2312"/>
      <w:sz w:val="28"/>
    </w:rPr>
  </w:style>
  <w:style w:type="paragraph" w:customStyle="1" w:styleId="896">
    <w:name w:val="表格 内容"/>
    <w:basedOn w:val="731"/>
    <w:qFormat/>
    <w:uiPriority w:val="0"/>
    <w:rPr>
      <w:b w:val="0"/>
      <w:sz w:val="20"/>
    </w:rPr>
  </w:style>
  <w:style w:type="paragraph" w:customStyle="1" w:styleId="897">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9">
    <w:name w:val="数字标题5"/>
    <w:basedOn w:val="7"/>
    <w:next w:val="1"/>
    <w:qFormat/>
    <w:uiPriority w:val="0"/>
    <w:pPr>
      <w:tabs>
        <w:tab w:val="left" w:pos="1080"/>
      </w:tabs>
      <w:ind w:left="1080" w:hanging="1080"/>
    </w:pPr>
  </w:style>
  <w:style w:type="paragraph" w:customStyle="1" w:styleId="900">
    <w:name w:val="数字标题1"/>
    <w:basedOn w:val="3"/>
    <w:next w:val="1"/>
    <w:qFormat/>
    <w:uiPriority w:val="0"/>
    <w:pPr>
      <w:tabs>
        <w:tab w:val="left" w:pos="480"/>
      </w:tabs>
      <w:ind w:left="480" w:hanging="480"/>
    </w:pPr>
  </w:style>
  <w:style w:type="paragraph" w:customStyle="1" w:styleId="90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7">
    <w:name w:val="0"/>
    <w:basedOn w:val="1"/>
    <w:qFormat/>
    <w:uiPriority w:val="0"/>
    <w:pPr>
      <w:widowControl/>
    </w:pPr>
    <w:rPr>
      <w:kern w:val="0"/>
      <w:sz w:val="24"/>
      <w:szCs w:val="20"/>
    </w:rPr>
  </w:style>
  <w:style w:type="paragraph" w:customStyle="1" w:styleId="908">
    <w:name w:val="Char Char113"/>
    <w:basedOn w:val="1"/>
    <w:qFormat/>
    <w:uiPriority w:val="0"/>
    <w:pPr>
      <w:widowControl/>
      <w:spacing w:after="160" w:line="240" w:lineRule="exact"/>
      <w:jc w:val="left"/>
    </w:pPr>
    <w:rPr>
      <w:rFonts w:eastAsia="仿宋_GB2312"/>
      <w:sz w:val="28"/>
    </w:rPr>
  </w:style>
  <w:style w:type="paragraph" w:customStyle="1" w:styleId="90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10">
    <w:name w:val="_Style 8"/>
    <w:basedOn w:val="1"/>
    <w:qFormat/>
    <w:uiPriority w:val="34"/>
    <w:pPr>
      <w:adjustRightInd/>
      <w:ind w:firstLine="420" w:firstLineChars="200"/>
    </w:pPr>
    <w:rPr>
      <w:rFonts w:eastAsia="仿宋_GB2312"/>
      <w:sz w:val="28"/>
    </w:rPr>
  </w:style>
  <w:style w:type="paragraph" w:customStyle="1" w:styleId="91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2">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6">
    <w:name w:val="Char Char112"/>
    <w:basedOn w:val="1"/>
    <w:qFormat/>
    <w:uiPriority w:val="6"/>
    <w:pPr>
      <w:widowControl/>
      <w:spacing w:after="160" w:line="240" w:lineRule="exact"/>
      <w:jc w:val="left"/>
    </w:pPr>
    <w:rPr>
      <w:rFonts w:eastAsia="仿宋_GB2312"/>
      <w:sz w:val="28"/>
    </w:rPr>
  </w:style>
  <w:style w:type="paragraph" w:customStyle="1" w:styleId="917">
    <w:name w:val="正文 图"/>
    <w:basedOn w:val="443"/>
    <w:qFormat/>
    <w:uiPriority w:val="0"/>
    <w:pPr>
      <w:adjustRightInd/>
      <w:spacing w:before="0"/>
      <w:ind w:firstLine="0"/>
      <w:jc w:val="center"/>
    </w:pPr>
    <w:rPr>
      <w:rFonts w:ascii="微软雅黑" w:hAnsi="微软雅黑"/>
    </w:rPr>
  </w:style>
  <w:style w:type="paragraph" w:customStyle="1" w:styleId="91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0">
    <w:name w:val="Thf"/>
    <w:basedOn w:val="563"/>
    <w:qFormat/>
    <w:uiPriority w:val="0"/>
    <w:pPr>
      <w:ind w:left="0"/>
    </w:pPr>
  </w:style>
  <w:style w:type="paragraph" w:customStyle="1" w:styleId="92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3">
    <w:name w:val="注释"/>
    <w:basedOn w:val="1"/>
    <w:qFormat/>
    <w:uiPriority w:val="0"/>
    <w:pPr>
      <w:adjustRightInd/>
      <w:spacing w:line="360" w:lineRule="auto"/>
      <w:ind w:firstLine="480"/>
    </w:pPr>
    <w:rPr>
      <w:sz w:val="24"/>
    </w:rPr>
  </w:style>
  <w:style w:type="table" w:customStyle="1" w:styleId="924">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30">
    <w:name w:val="列出段落111"/>
    <w:basedOn w:val="1"/>
    <w:qFormat/>
    <w:uiPriority w:val="34"/>
    <w:pPr>
      <w:ind w:firstLine="420" w:firstLineChars="200"/>
    </w:pPr>
  </w:style>
  <w:style w:type="character" w:customStyle="1" w:styleId="931">
    <w:name w:val="交叉引用"/>
    <w:qFormat/>
    <w:uiPriority w:val="1"/>
    <w:rPr>
      <w:rFonts w:ascii="Arial" w:hAnsi="Arial" w:eastAsia="黑体"/>
      <w:snapToGrid w:val="0"/>
      <w:color w:val="0000FF"/>
      <w:kern w:val="0"/>
      <w:sz w:val="20"/>
      <w:szCs w:val="21"/>
      <w:u w:val="single"/>
      <w:lang w:val="en-US" w:eastAsia="zh-CN"/>
    </w:rPr>
  </w:style>
  <w:style w:type="character" w:customStyle="1" w:styleId="932">
    <w:name w:val="正文缩进 字符1"/>
    <w:qFormat/>
    <w:uiPriority w:val="0"/>
    <w:rPr>
      <w:rFonts w:ascii="宋体" w:eastAsia="宋体"/>
      <w:snapToGrid w:val="0"/>
      <w:color w:val="000000"/>
      <w:kern w:val="28"/>
      <w:sz w:val="28"/>
      <w:lang w:val="en-US" w:eastAsia="zh-CN" w:bidi="ar-SA"/>
    </w:rPr>
  </w:style>
  <w:style w:type="character" w:customStyle="1" w:styleId="933">
    <w:name w:val="页脚 字符1"/>
    <w:qFormat/>
    <w:locked/>
    <w:uiPriority w:val="99"/>
    <w:rPr>
      <w:kern w:val="2"/>
      <w:sz w:val="18"/>
      <w:szCs w:val="18"/>
    </w:rPr>
  </w:style>
  <w:style w:type="character" w:customStyle="1" w:styleId="934">
    <w:name w:val="页眉 字符1"/>
    <w:qFormat/>
    <w:uiPriority w:val="99"/>
    <w:rPr>
      <w:kern w:val="2"/>
      <w:sz w:val="18"/>
      <w:szCs w:val="18"/>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 w:val="24"/>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77"/>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 w:val="24"/>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69"/>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character" w:customStyle="1" w:styleId="965">
    <w:name w:val="未处理的提及2"/>
    <w:basedOn w:val="69"/>
    <w:semiHidden/>
    <w:unhideWhenUsed/>
    <w:qFormat/>
    <w:uiPriority w:val="99"/>
    <w:rPr>
      <w:color w:val="605E5C"/>
      <w:shd w:val="clear" w:color="auto" w:fill="E1DFDD"/>
    </w:rPr>
  </w:style>
  <w:style w:type="character" w:customStyle="1" w:styleId="966">
    <w:name w:val="纯文本 字符1"/>
    <w:qFormat/>
    <w:locked/>
    <w:uiPriority w:val="0"/>
    <w:rPr>
      <w:rFonts w:eastAsia="宋体"/>
      <w:kern w:val="2"/>
      <w:sz w:val="24"/>
      <w:lang w:val="en-US" w:eastAsia="zh-CN" w:bidi="ar-SA"/>
    </w:rPr>
  </w:style>
  <w:style w:type="paragraph" w:customStyle="1" w:styleId="967">
    <w:name w:val="2级"/>
    <w:basedOn w:val="1"/>
    <w:next w:val="1"/>
    <w:qFormat/>
    <w:uiPriority w:val="0"/>
    <w:pPr>
      <w:numPr>
        <w:ilvl w:val="1"/>
        <w:numId w:val="1"/>
      </w:numPr>
      <w:adjustRightInd/>
      <w:spacing w:beforeLines="50" w:afterLines="50" w:line="360" w:lineRule="auto"/>
      <w:ind w:firstLine="200" w:firstLineChars="200"/>
      <w:outlineLvl w:val="1"/>
    </w:pPr>
    <w:rPr>
      <w:b/>
      <w:sz w:val="28"/>
    </w:rPr>
  </w:style>
  <w:style w:type="paragraph" w:customStyle="1" w:styleId="968">
    <w:name w:val="纯文本_0"/>
    <w:basedOn w:val="1"/>
    <w:unhideWhenUsed/>
    <w:qFormat/>
    <w:uiPriority w:val="0"/>
    <w:pPr>
      <w:adjustRightInd/>
      <w:spacing w:line="360" w:lineRule="auto"/>
      <w:ind w:firstLine="200" w:firstLineChars="200"/>
    </w:pPr>
    <w:rPr>
      <w:rFonts w:ascii="宋体" w:hAnsi="Courier New"/>
      <w:kern w:val="0"/>
      <w:sz w:val="20"/>
      <w:szCs w:val="20"/>
    </w:rPr>
  </w:style>
  <w:style w:type="paragraph" w:customStyle="1" w:styleId="969">
    <w:name w:val="Body Text First Indent 21"/>
    <w:basedOn w:val="970"/>
    <w:qFormat/>
    <w:uiPriority w:val="0"/>
    <w:pPr>
      <w:ind w:firstLine="420"/>
    </w:pPr>
    <w:rPr>
      <w:rFonts w:cs="宋体"/>
    </w:rPr>
  </w:style>
  <w:style w:type="paragraph" w:customStyle="1" w:styleId="970">
    <w:name w:val="Body Text Indent1"/>
    <w:basedOn w:val="1"/>
    <w:next w:val="1"/>
    <w:qFormat/>
    <w:uiPriority w:val="0"/>
    <w:pPr>
      <w:adjustRightInd/>
      <w:spacing w:after="120" w:line="360" w:lineRule="auto"/>
      <w:ind w:left="420" w:leftChars="200" w:firstLine="200" w:firstLineChars="200"/>
    </w:pPr>
    <w:rPr>
      <w:sz w:val="24"/>
    </w:rPr>
  </w:style>
  <w:style w:type="character" w:customStyle="1" w:styleId="971">
    <w:name w:val="Unresolved Mention"/>
    <w:basedOn w:val="69"/>
    <w:semiHidden/>
    <w:unhideWhenUsed/>
    <w:qFormat/>
    <w:uiPriority w:val="99"/>
    <w:rPr>
      <w:color w:val="605E5C"/>
      <w:shd w:val="clear" w:color="auto" w:fill="E1DFDD"/>
    </w:rPr>
  </w:style>
  <w:style w:type="character" w:customStyle="1" w:styleId="972">
    <w:name w:val="标题 2 字符1"/>
    <w:basedOn w:val="69"/>
    <w:link w:val="2"/>
    <w:qFormat/>
    <w:uiPriority w:val="99"/>
    <w:rPr>
      <w:rFonts w:ascii="仿宋_GB2312" w:hAnsi="仿宋" w:eastAsia="仿宋_GB2312"/>
      <w:b/>
      <w:bCs/>
      <w:kern w:val="2"/>
      <w:sz w:val="32"/>
      <w:szCs w:val="32"/>
      <w:lang w:val="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63</Pages>
  <Words>28384</Words>
  <Characters>30172</Characters>
  <Lines>255</Lines>
  <Paragraphs>72</Paragraphs>
  <TotalTime>242</TotalTime>
  <ScaleCrop>false</ScaleCrop>
  <LinksUpToDate>false</LinksUpToDate>
  <CharactersWithSpaces>34093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2023-03-01T07:52:00Z</dcterms:created>
  <dc:creator>玥</dc:creator>
  <cp:lastModifiedBy>NTKO</cp:lastModifiedBy>
  <cp:lastPrinted>2022-07-22T14:17:00Z</cp:lastPrinted>
  <dcterms:modified xsi:type="dcterms:W3CDTF">2023-03-02T06:51:52Z</dcterms:modified>
  <dc:title>杭州市市民卡扩大发卡工程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FC679DDF2C89441380F69573830B99DC</vt:lpwstr>
  </property>
  <property fmtid="{D5CDD505-2E9C-101B-9397-08002B2CF9AE}" pid="5" name="woTemplateTypoMode" linkTarget="0">
    <vt:lpwstr>web</vt:lpwstr>
  </property>
  <property fmtid="{D5CDD505-2E9C-101B-9397-08002B2CF9AE}" pid="6" name="woTemplate" linkTarget="0">
    <vt:i4>1</vt:i4>
  </property>
</Properties>
</file>