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lang w:val="en-US"/>
        </w:rPr>
      </w:pPr>
    </w:p>
    <w:p/>
    <w:p>
      <w:pPr>
        <w:adjustRightInd/>
        <w:spacing w:line="360" w:lineRule="auto"/>
        <w:jc w:val="center"/>
        <w:rPr>
          <w:rFonts w:ascii="仿宋" w:hAnsi="仿宋" w:eastAsia="仿宋" w:cs="仿宋_GB2312"/>
          <w:b/>
          <w:bCs/>
          <w:sz w:val="48"/>
          <w:szCs w:val="48"/>
        </w:rPr>
      </w:pPr>
      <w:r>
        <w:rPr>
          <w:rFonts w:ascii="仿宋" w:hAnsi="仿宋" w:eastAsia="仿宋" w:cs="仿宋_GB2312"/>
          <w:b/>
          <w:bCs/>
          <w:sz w:val="48"/>
          <w:szCs w:val="48"/>
        </w:rPr>
        <w:t>诸暨市妇幼保健院</w:t>
      </w:r>
      <w:r>
        <w:rPr>
          <w:rFonts w:hint="eastAsia" w:ascii="仿宋" w:hAnsi="仿宋" w:eastAsia="仿宋" w:cs="仿宋_GB2312"/>
          <w:b/>
          <w:bCs/>
          <w:sz w:val="48"/>
          <w:szCs w:val="48"/>
        </w:rPr>
        <w:t>M</w:t>
      </w:r>
      <w:r>
        <w:rPr>
          <w:rFonts w:ascii="仿宋" w:hAnsi="仿宋" w:eastAsia="仿宋" w:cs="仿宋_GB2312"/>
          <w:b/>
          <w:bCs/>
          <w:sz w:val="48"/>
          <w:szCs w:val="48"/>
        </w:rPr>
        <w:t>RI采购</w:t>
      </w:r>
      <w:r>
        <w:rPr>
          <w:rFonts w:hint="eastAsia" w:ascii="仿宋" w:hAnsi="仿宋" w:eastAsia="仿宋" w:cs="仿宋_GB2312"/>
          <w:b/>
          <w:bCs/>
          <w:sz w:val="48"/>
          <w:szCs w:val="48"/>
        </w:rPr>
        <w:t>项目</w:t>
      </w:r>
    </w:p>
    <w:p>
      <w:pPr>
        <w:adjustRightInd/>
        <w:spacing w:line="360" w:lineRule="auto"/>
        <w:jc w:val="center"/>
        <w:rPr>
          <w:rFonts w:ascii="仿宋" w:hAnsi="仿宋" w:eastAsia="仿宋" w:cs="仿宋_GB2312"/>
          <w:b/>
          <w:bCs/>
          <w:sz w:val="48"/>
          <w:szCs w:val="48"/>
        </w:rPr>
      </w:pPr>
      <w:r>
        <w:rPr>
          <w:rFonts w:hint="eastAsia" w:ascii="仿宋" w:hAnsi="仿宋" w:eastAsia="仿宋" w:cs="仿宋_GB2312"/>
          <w:b/>
          <w:bCs/>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ascii="仿宋" w:hAnsi="仿宋" w:eastAsia="仿宋" w:cs="仿宋_GB2312"/>
          <w:b/>
          <w:bCs/>
          <w:sz w:val="30"/>
          <w:szCs w:val="30"/>
        </w:rPr>
      </w:pPr>
      <w:r>
        <w:rPr>
          <w:rFonts w:hint="eastAsia" w:ascii="仿宋" w:hAnsi="仿宋" w:eastAsia="仿宋" w:cs="仿宋_GB2312"/>
          <w:b/>
          <w:bCs/>
          <w:sz w:val="30"/>
          <w:szCs w:val="30"/>
        </w:rPr>
        <w:t>编号</w:t>
      </w:r>
      <w:r>
        <w:rPr>
          <w:rFonts w:ascii="仿宋" w:hAnsi="仿宋" w:eastAsia="仿宋" w:cs="仿宋_GB2312"/>
          <w:b/>
          <w:bCs/>
          <w:sz w:val="30"/>
          <w:szCs w:val="30"/>
        </w:rPr>
        <w:t>:</w:t>
      </w:r>
      <w:r>
        <w:rPr>
          <w:rFonts w:hint="eastAsia" w:ascii="仿宋" w:hAnsi="仿宋" w:eastAsia="仿宋" w:cs="仿宋_GB2312"/>
          <w:b/>
          <w:bCs/>
          <w:sz w:val="30"/>
          <w:szCs w:val="30"/>
        </w:rPr>
        <w:t>诸政采202</w:t>
      </w:r>
      <w:r>
        <w:rPr>
          <w:rFonts w:ascii="仿宋" w:hAnsi="仿宋" w:eastAsia="仿宋" w:cs="仿宋_GB2312"/>
          <w:b/>
          <w:bCs/>
          <w:sz w:val="30"/>
          <w:szCs w:val="30"/>
        </w:rPr>
        <w:t>3</w:t>
      </w:r>
      <w:r>
        <w:rPr>
          <w:rFonts w:hint="eastAsia" w:ascii="仿宋" w:hAnsi="仿宋" w:eastAsia="仿宋" w:cs="仿宋_GB2312"/>
          <w:b/>
          <w:bCs/>
          <w:sz w:val="30"/>
          <w:szCs w:val="30"/>
        </w:rPr>
        <w:t>-</w:t>
      </w:r>
      <w:r>
        <w:rPr>
          <w:rFonts w:ascii="仿宋" w:hAnsi="仿宋" w:eastAsia="仿宋" w:cs="仿宋_GB2312"/>
          <w:b/>
          <w:bCs/>
          <w:sz w:val="30"/>
          <w:szCs w:val="30"/>
        </w:rPr>
        <w:t>02</w:t>
      </w:r>
      <w:r>
        <w:rPr>
          <w:rFonts w:hint="eastAsia" w:ascii="仿宋" w:hAnsi="仿宋" w:eastAsia="仿宋" w:cs="仿宋_GB2312"/>
          <w:b/>
          <w:bCs/>
          <w:sz w:val="30"/>
          <w:szCs w:val="30"/>
        </w:rPr>
        <w:t>-0</w:t>
      </w:r>
      <w:r>
        <w:rPr>
          <w:rFonts w:ascii="仿宋" w:hAnsi="仿宋" w:eastAsia="仿宋" w:cs="仿宋_GB2312"/>
          <w:b/>
          <w:bCs/>
          <w:sz w:val="30"/>
          <w:szCs w:val="30"/>
        </w:rPr>
        <w:t>5</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pStyle w:val="2"/>
        <w:rPr>
          <w:lang w:val="en-US"/>
        </w:rPr>
      </w:pPr>
    </w:p>
    <w:p/>
    <w:p>
      <w:pPr>
        <w:pStyle w:val="2"/>
        <w:rPr>
          <w:lang w:val="en-US"/>
        </w:rPr>
      </w:pPr>
    </w:p>
    <w:p/>
    <w:p>
      <w:pPr>
        <w:pStyle w:val="2"/>
        <w:rPr>
          <w:lang w:val="en-US"/>
        </w:rPr>
      </w:pPr>
    </w:p>
    <w:p/>
    <w:p>
      <w:pPr>
        <w:spacing w:line="360" w:lineRule="auto"/>
        <w:rPr>
          <w:rFonts w:ascii="仿宋" w:hAnsi="仿宋" w:eastAsia="仿宋" w:cs="仿宋_GB2312"/>
          <w:sz w:val="32"/>
          <w:szCs w:val="32"/>
        </w:rPr>
      </w:pPr>
    </w:p>
    <w:p>
      <w:pPr>
        <w:spacing w:line="360" w:lineRule="auto"/>
        <w:jc w:val="center"/>
        <w:rPr>
          <w:rFonts w:ascii="仿宋" w:hAnsi="仿宋" w:eastAsia="仿宋" w:cs="仿宋_GB2312"/>
          <w:sz w:val="32"/>
          <w:szCs w:val="32"/>
        </w:rPr>
      </w:pPr>
      <w:r>
        <w:rPr>
          <w:rFonts w:hint="eastAsia" w:ascii="仿宋" w:hAnsi="仿宋" w:eastAsia="仿宋" w:cs="仿宋_GB2312"/>
          <w:sz w:val="32"/>
          <w:szCs w:val="32"/>
        </w:rPr>
        <w:t>诸暨市妇幼保健院</w:t>
      </w:r>
    </w:p>
    <w:p>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诸暨市公共资源交易中心</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仿宋" w:hAnsi="仿宋" w:eastAsia="仿宋" w:cs="仿宋_GB2312"/>
          <w:bCs/>
          <w:sz w:val="32"/>
          <w:szCs w:val="32"/>
        </w:rPr>
        <w:t>〇二三年二月</w:t>
      </w:r>
    </w:p>
    <w:p>
      <w:pPr>
        <w:spacing w:line="360" w:lineRule="auto"/>
        <w:jc w:val="center"/>
        <w:rPr>
          <w:rFonts w:ascii="仿宋" w:hAnsi="仿宋" w:eastAsia="仿宋" w:cs="仿宋_GB2312"/>
          <w:sz w:val="24"/>
        </w:rPr>
      </w:pPr>
      <w:r>
        <w:rPr>
          <w:rFonts w:ascii="仿宋" w:hAnsi="仿宋" w:eastAsia="仿宋" w:cs="仿宋_GB2312"/>
          <w:b/>
          <w:sz w:val="44"/>
          <w:szCs w:val="44"/>
        </w:rPr>
        <w:t xml:space="preserve"> </w:t>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ascii="仿宋_GB2312" w:hAnsi="仿宋" w:eastAsia="仿宋_GB2312"/>
          <w:sz w:val="24"/>
          <w:u w:val="single"/>
        </w:rPr>
        <w:t>诸暨市妇幼保健院</w:t>
      </w:r>
      <w:r>
        <w:rPr>
          <w:rFonts w:hint="eastAsia" w:ascii="仿宋_GB2312" w:hAnsi="仿宋" w:eastAsia="仿宋_GB2312"/>
          <w:sz w:val="24"/>
          <w:u w:val="single"/>
        </w:rPr>
        <w:t>M</w:t>
      </w:r>
      <w:r>
        <w:rPr>
          <w:rFonts w:ascii="仿宋_GB2312" w:hAnsi="仿宋" w:eastAsia="仿宋_GB2312"/>
          <w:sz w:val="24"/>
          <w:u w:val="single"/>
        </w:rPr>
        <w:t>RI采购</w:t>
      </w:r>
      <w:r>
        <w:rPr>
          <w:rFonts w:hint="eastAsia" w:ascii="仿宋_GB2312" w:hAnsi="仿宋" w:eastAsia="仿宋_GB2312"/>
          <w:sz w:val="24"/>
        </w:rPr>
        <w:t>招标项目的潜在投标人应在浙江政府采购网“政府采购云平台”</w:t>
      </w:r>
      <w:r>
        <w:fldChar w:fldCharType="begin"/>
      </w:r>
      <w:r>
        <w:instrText xml:space="preserve"> HYPERLINK "https://www.zcygov.cn/）获取（下载）招标文件，并于2021年" </w:instrText>
      </w:r>
      <w:r>
        <w:fldChar w:fldCharType="separate"/>
      </w:r>
      <w:r>
        <w:rPr>
          <w:rStyle w:val="76"/>
          <w:rFonts w:ascii="仿宋_GB2312" w:hAnsi="仿宋" w:eastAsia="仿宋_GB2312" w:cs="Times New Roman"/>
          <w:snapToGrid/>
          <w:color w:val="auto"/>
          <w:kern w:val="2"/>
          <w:sz w:val="24"/>
          <w:szCs w:val="24"/>
        </w:rPr>
        <w:t>获取（下载）招标文件，并于</w:t>
      </w:r>
      <w:r>
        <w:rPr>
          <w:rFonts w:hint="eastAsia" w:ascii="仿宋_GB2312" w:hAnsi="仿宋" w:eastAsia="仿宋_GB2312"/>
          <w:sz w:val="24"/>
          <w:u w:val="single"/>
        </w:rPr>
        <w:t>202</w:t>
      </w:r>
      <w:r>
        <w:rPr>
          <w:rFonts w:ascii="仿宋_GB2312" w:hAnsi="仿宋" w:eastAsia="仿宋_GB2312"/>
          <w:sz w:val="24"/>
          <w:u w:val="single"/>
        </w:rPr>
        <w:t>3年3</w:t>
      </w:r>
      <w:r>
        <w:rPr>
          <w:rFonts w:hint="eastAsia" w:ascii="仿宋_GB2312" w:hAnsi="仿宋" w:eastAsia="仿宋_GB2312"/>
          <w:sz w:val="24"/>
          <w:u w:val="single"/>
        </w:rPr>
        <w:t>月</w:t>
      </w:r>
      <w:r>
        <w:rPr>
          <w:rFonts w:ascii="仿宋_GB2312" w:hAnsi="仿宋" w:eastAsia="仿宋_GB2312"/>
          <w:sz w:val="24"/>
          <w:u w:val="single"/>
        </w:rPr>
        <w:t>8</w:t>
      </w:r>
      <w:r>
        <w:rPr>
          <w:rFonts w:hint="eastAsia" w:ascii="仿宋_GB2312" w:hAnsi="仿宋" w:eastAsia="仿宋_GB2312"/>
          <w:sz w:val="24"/>
          <w:u w:val="single"/>
        </w:rPr>
        <w:t>日9点30分</w:t>
      </w:r>
      <w:r>
        <w:rPr>
          <w:rFonts w:hint="eastAsia" w:ascii="仿宋_GB2312" w:hAnsi="仿宋" w:eastAsia="仿宋_GB2312"/>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sz w:val="24"/>
        </w:rPr>
        <w:t>诸政采202</w:t>
      </w:r>
      <w:r>
        <w:rPr>
          <w:rFonts w:ascii="仿宋_GB2312" w:hAnsi="仿宋" w:eastAsia="仿宋_GB2312"/>
          <w:sz w:val="24"/>
        </w:rPr>
        <w:t>3</w:t>
      </w:r>
      <w:r>
        <w:rPr>
          <w:rFonts w:hint="eastAsia" w:ascii="仿宋_GB2312" w:hAnsi="仿宋" w:eastAsia="仿宋_GB2312"/>
          <w:sz w:val="24"/>
        </w:rPr>
        <w:t>-</w:t>
      </w:r>
      <w:r>
        <w:rPr>
          <w:rFonts w:ascii="仿宋_GB2312" w:hAnsi="仿宋" w:eastAsia="仿宋_GB2312"/>
          <w:sz w:val="24"/>
        </w:rPr>
        <w:t>02</w:t>
      </w:r>
      <w:r>
        <w:rPr>
          <w:rFonts w:hint="eastAsia" w:ascii="仿宋_GB2312" w:hAnsi="仿宋" w:eastAsia="仿宋_GB2312"/>
          <w:sz w:val="24"/>
        </w:rPr>
        <w:t>-0</w:t>
      </w:r>
      <w:r>
        <w:rPr>
          <w:rFonts w:ascii="仿宋_GB2312" w:hAnsi="仿宋" w:eastAsia="仿宋_GB2312"/>
          <w:sz w:val="24"/>
        </w:rPr>
        <w:t>5</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项目名称：</w:t>
      </w:r>
      <w:r>
        <w:rPr>
          <w:rFonts w:ascii="仿宋_GB2312" w:hAnsi="仿宋" w:eastAsia="仿宋_GB2312"/>
          <w:sz w:val="24"/>
          <w:u w:val="single"/>
        </w:rPr>
        <w:t>诸暨市妇幼保健院</w:t>
      </w:r>
      <w:r>
        <w:rPr>
          <w:rFonts w:hint="eastAsia" w:ascii="仿宋_GB2312" w:hAnsi="仿宋" w:eastAsia="仿宋_GB2312"/>
          <w:sz w:val="24"/>
          <w:u w:val="single"/>
        </w:rPr>
        <w:t>M</w:t>
      </w:r>
      <w:r>
        <w:rPr>
          <w:rFonts w:ascii="仿宋_GB2312" w:hAnsi="仿宋" w:eastAsia="仿宋_GB2312"/>
          <w:sz w:val="24"/>
          <w:u w:val="single"/>
        </w:rPr>
        <w:t>RI采购</w:t>
      </w:r>
      <w:r>
        <w:rPr>
          <w:rFonts w:hint="eastAsia" w:ascii="仿宋_GB2312" w:hAnsi="仿宋" w:eastAsia="仿宋_GB2312"/>
          <w:sz w:val="24"/>
          <w:u w:val="single"/>
        </w:rPr>
        <w:t>项目</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预算金额（元）：</w:t>
      </w:r>
      <w:r>
        <w:rPr>
          <w:rFonts w:ascii="仿宋_GB2312" w:hAnsi="仿宋" w:eastAsia="仿宋_GB2312"/>
          <w:sz w:val="24"/>
        </w:rPr>
        <w:t>620000</w:t>
      </w:r>
      <w:r>
        <w:rPr>
          <w:rFonts w:hint="eastAsia" w:ascii="仿宋_GB2312" w:hAnsi="仿宋" w:eastAsia="仿宋_GB2312"/>
          <w:sz w:val="24"/>
        </w:rPr>
        <w:t>0</w:t>
      </w:r>
    </w:p>
    <w:p>
      <w:pPr>
        <w:spacing w:line="360" w:lineRule="auto"/>
        <w:ind w:firstLine="480"/>
        <w:rPr>
          <w:rFonts w:ascii="仿宋_GB2312" w:hAnsi="仿宋" w:eastAsia="仿宋_GB2312"/>
          <w:sz w:val="24"/>
        </w:rPr>
      </w:pPr>
      <w:r>
        <w:rPr>
          <w:rFonts w:hint="eastAsia" w:ascii="仿宋_GB2312" w:hAnsi="仿宋" w:eastAsia="仿宋_GB2312"/>
          <w:b/>
          <w:sz w:val="24"/>
        </w:rPr>
        <w:t>最高限价（元）：</w:t>
      </w:r>
      <w:r>
        <w:rPr>
          <w:rFonts w:ascii="仿宋_GB2312" w:hAnsi="仿宋" w:eastAsia="仿宋_GB2312"/>
          <w:sz w:val="24"/>
        </w:rPr>
        <w:t>620000</w:t>
      </w:r>
      <w:r>
        <w:rPr>
          <w:rFonts w:hint="eastAsia" w:ascii="仿宋_GB2312" w:hAnsi="仿宋" w:eastAsia="仿宋_GB2312"/>
          <w:sz w:val="24"/>
        </w:rPr>
        <w:t>0</w:t>
      </w:r>
    </w:p>
    <w:p>
      <w:pPr>
        <w:pStyle w:val="793"/>
        <w:autoSpaceDE w:val="0"/>
        <w:autoSpaceDN w:val="0"/>
        <w:adjustRightInd w:val="0"/>
        <w:spacing w:after="120" w:line="240" w:lineRule="auto"/>
        <w:ind w:left="432" w:firstLine="0" w:firstLineChars="0"/>
        <w:rPr>
          <w:rFonts w:ascii="仿宋_GB2312" w:hAnsi="仿宋" w:eastAsia="仿宋_GB2312"/>
          <w:szCs w:val="24"/>
        </w:rPr>
      </w:pPr>
      <w:r>
        <w:rPr>
          <w:rFonts w:hint="eastAsia" w:ascii="仿宋_GB2312" w:hAnsi="仿宋" w:eastAsia="仿宋_GB2312"/>
          <w:b/>
        </w:rPr>
        <w:t>采购需求：</w:t>
      </w:r>
      <w:r>
        <w:rPr>
          <w:rFonts w:hint="eastAsia" w:ascii="仿宋_GB2312" w:hAnsi="仿宋" w:eastAsia="仿宋_GB2312"/>
          <w:szCs w:val="24"/>
        </w:rPr>
        <w:t>M</w:t>
      </w:r>
      <w:r>
        <w:rPr>
          <w:rFonts w:ascii="仿宋_GB2312" w:hAnsi="仿宋" w:eastAsia="仿宋_GB2312"/>
          <w:szCs w:val="24"/>
        </w:rPr>
        <w:t>RI</w:t>
      </w:r>
      <w:r>
        <w:rPr>
          <w:rFonts w:hint="eastAsia" w:ascii="仿宋_GB2312" w:hAnsi="仿宋" w:eastAsia="仿宋_GB2312"/>
          <w:szCs w:val="24"/>
        </w:rPr>
        <w:t>采购。详见招标文件第三部分采购需求。</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合同履约期限：</w:t>
      </w:r>
      <w:r>
        <w:rPr>
          <w:rFonts w:hint="eastAsia" w:ascii="仿宋_GB2312" w:hAnsi="仿宋" w:eastAsia="仿宋_GB2312"/>
          <w:snapToGrid w:val="0"/>
          <w:kern w:val="28"/>
          <w:sz w:val="24"/>
        </w:rPr>
        <w:t>/</w:t>
      </w:r>
    </w:p>
    <w:p>
      <w:pPr>
        <w:pStyle w:val="5"/>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172823123"/>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172823124"/>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sym w:font="Wingdings" w:char="F0FE"/>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_GB2312" w:hAnsi="仿宋" w:eastAsia="仿宋_GB2312"/>
          <w:bCs/>
          <w:sz w:val="24"/>
        </w:rPr>
      </w:pPr>
      <w:r>
        <w:rPr>
          <w:rFonts w:hint="eastAsia" w:ascii="仿宋_GB2312" w:hAnsi="仿宋" w:eastAsia="仿宋_GB2312"/>
          <w:bCs/>
          <w:sz w:val="24"/>
        </w:rPr>
        <w:t>1. 满足《中华人民共和国政府采购法》第二十二条规定；</w:t>
      </w:r>
    </w:p>
    <w:p>
      <w:pPr>
        <w:spacing w:line="360" w:lineRule="auto"/>
        <w:ind w:firstLine="480"/>
        <w:rPr>
          <w:rFonts w:ascii="仿宋_GB2312" w:hAnsi="仿宋" w:eastAsia="仿宋_GB2312"/>
          <w:bCs/>
          <w:sz w:val="24"/>
        </w:rPr>
      </w:pPr>
      <w:r>
        <w:rPr>
          <w:rFonts w:hint="eastAsia" w:ascii="仿宋_GB2312" w:hAnsi="仿宋" w:eastAsia="仿宋_GB2312"/>
          <w:bCs/>
          <w:sz w:val="24"/>
        </w:rPr>
        <w:t>2.未被“信用中国”（www.creditchina.gov.cn)、中国政府采购网（www.ccgp.gov.cn）列入失信被执行人、重大税收违法案件当事人名单、政府采购严重违法失信行为记录名单；</w:t>
      </w:r>
    </w:p>
    <w:p>
      <w:pPr>
        <w:spacing w:line="360" w:lineRule="auto"/>
        <w:ind w:firstLine="484"/>
        <w:rPr>
          <w:rFonts w:ascii="仿宋_GB2312" w:hAnsi="仿宋" w:eastAsia="仿宋_GB2312"/>
          <w:bCs/>
          <w:sz w:val="24"/>
        </w:rPr>
      </w:pPr>
      <w:r>
        <w:rPr>
          <w:rFonts w:hint="eastAsia" w:ascii="仿宋_GB2312" w:hAnsi="仿宋" w:eastAsia="仿宋_GB2312"/>
          <w:bCs/>
          <w:sz w:val="24"/>
        </w:rPr>
        <w:t>3.落实政府采购政策需满足的资格要求：无；</w:t>
      </w:r>
    </w:p>
    <w:p>
      <w:pPr>
        <w:spacing w:line="360" w:lineRule="auto"/>
        <w:ind w:firstLine="480"/>
        <w:rPr>
          <w:rFonts w:ascii="仿宋_GB2312" w:hAnsi="仿宋" w:eastAsia="仿宋_GB2312"/>
          <w:bCs/>
          <w:sz w:val="24"/>
        </w:rPr>
      </w:pPr>
      <w:r>
        <w:rPr>
          <w:rFonts w:hint="eastAsia" w:ascii="仿宋_GB2312" w:hAnsi="仿宋" w:eastAsia="仿宋_GB2312"/>
          <w:bCs/>
          <w:sz w:val="24"/>
        </w:rPr>
        <w:t>4.本项目的特定资格要求：</w:t>
      </w:r>
      <w:r>
        <w:rPr>
          <w:rFonts w:ascii="仿宋_GB2312" w:hAnsi="仿宋" w:eastAsia="仿宋_GB2312"/>
          <w:bCs/>
          <w:sz w:val="24"/>
        </w:rPr>
        <w:t>具有所投标的相应国家规定必备的资质、资格</w:t>
      </w:r>
      <w:r>
        <w:rPr>
          <w:rFonts w:hint="eastAsia" w:ascii="仿宋_GB2312" w:hAnsi="仿宋" w:eastAsia="仿宋_GB2312"/>
          <w:bCs/>
          <w:sz w:val="24"/>
        </w:rPr>
        <w:t>（供应商须具备对应设备生产范围的《医疗器械生产许可证》或对应设备经营范围的《医疗器械经营许可证》）。</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pStyle w:val="32"/>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u w:val="single"/>
        </w:rPr>
        <w:t>/至</w:t>
      </w:r>
      <w:r>
        <w:rPr>
          <w:rFonts w:hint="eastAsia" w:ascii="仿宋_GB2312" w:hAnsi="仿宋" w:eastAsia="仿宋_GB2312"/>
          <w:sz w:val="24"/>
          <w:u w:val="single"/>
        </w:rPr>
        <w:t>202</w:t>
      </w:r>
      <w:r>
        <w:rPr>
          <w:rFonts w:ascii="仿宋_GB2312" w:hAnsi="仿宋" w:eastAsia="仿宋_GB2312"/>
          <w:sz w:val="24"/>
          <w:u w:val="single"/>
        </w:rPr>
        <w:t>3年3月8日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w:t>
      </w:r>
      <w:r>
        <w:rPr>
          <w:rFonts w:hint="eastAsia" w:ascii="仿宋_GB2312" w:hAnsi="仿宋" w:eastAsia="仿宋_GB2312"/>
          <w:sz w:val="24"/>
        </w:rPr>
        <w:t>。招标文件发布截止时间之后有潜在供应商提出要求获取招标文件的，允许获取。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cs="Arial"/>
          <w:snapToGrid w:val="0"/>
          <w:sz w:val="24"/>
          <w:szCs w:val="21"/>
        </w:rPr>
        <w:t>浙江政府采购网（http://zfcg.czt.zj.gov.cn/）</w:t>
      </w:r>
      <w:r>
        <w:rPr>
          <w:rFonts w:ascii="仿宋_GB2312" w:hAnsi="仿宋" w:eastAsia="仿宋_GB2312"/>
          <w:sz w:val="24"/>
        </w:rPr>
        <w:t xml:space="preserve"> </w:t>
      </w:r>
    </w:p>
    <w:p>
      <w:pPr>
        <w:spacing w:line="360" w:lineRule="auto"/>
        <w:ind w:firstLine="482" w:firstLineChars="200"/>
        <w:rPr>
          <w:rFonts w:ascii="仿宋_GB2312" w:hAnsi="仿宋" w:eastAsia="仿宋_GB2312" w:cs="Arial"/>
          <w:snapToGrid w:val="0"/>
          <w:sz w:val="24"/>
          <w:szCs w:val="21"/>
        </w:rPr>
      </w:pPr>
      <w:r>
        <w:rPr>
          <w:rFonts w:hint="eastAsia" w:ascii="仿宋_GB2312" w:hAnsi="仿宋" w:eastAsia="仿宋_GB2312"/>
          <w:b/>
          <w:sz w:val="24"/>
        </w:rPr>
        <w:t>方式：</w:t>
      </w:r>
      <w:r>
        <w:rPr>
          <w:rFonts w:hint="eastAsia" w:ascii="仿宋_GB2312" w:hAnsi="仿宋" w:eastAsia="仿宋_GB2312" w:cs="Arial"/>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w:t>
      </w:r>
      <w:r>
        <w:rPr>
          <w:rFonts w:ascii="仿宋_GB2312" w:hAnsi="仿宋" w:eastAsia="仿宋_GB2312" w:cs="Arial"/>
          <w:snapToGrid w:val="0"/>
          <w:sz w:val="24"/>
          <w:szCs w:val="21"/>
        </w:rPr>
        <w:t xml:space="preserve">0 </w:t>
      </w:r>
      <w:r>
        <w:rPr>
          <w:rFonts w:hint="eastAsia" w:ascii="仿宋_GB2312" w:hAnsi="仿宋" w:eastAsia="仿宋_GB2312" w:cs="Arial"/>
          <w:snapToGrid w:val="0"/>
          <w:sz w:val="24"/>
          <w:szCs w:val="21"/>
        </w:rPr>
        <w:t>元。</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pStyle w:val="32"/>
        <w:spacing w:line="360" w:lineRule="auto"/>
        <w:ind w:firstLine="482" w:firstLineChars="200"/>
        <w:rPr>
          <w:rFonts w:ascii="仿宋_GB2312" w:hAnsi="仿宋" w:eastAsia="仿宋_GB2312"/>
          <w:sz w:val="24"/>
        </w:rPr>
      </w:pPr>
      <w:r>
        <w:rPr>
          <w:rFonts w:hint="eastAsia" w:ascii="仿宋_GB2312" w:hAnsi="仿宋" w:eastAsia="仿宋_GB2312" w:cs="Times New Roman"/>
          <w:b/>
          <w:snapToGrid/>
          <w:sz w:val="24"/>
          <w:szCs w:val="24"/>
        </w:rPr>
        <w:t>提交投标文件截止时间及开标时间：</w:t>
      </w:r>
      <w:r>
        <w:rPr>
          <w:rFonts w:hint="eastAsia" w:ascii="仿宋_GB2312" w:hAnsi="仿宋" w:eastAsia="仿宋_GB2312"/>
          <w:sz w:val="24"/>
        </w:rPr>
        <w:t>投标人应于202</w:t>
      </w:r>
      <w:r>
        <w:rPr>
          <w:rFonts w:ascii="仿宋_GB2312" w:hAnsi="仿宋" w:eastAsia="仿宋_GB2312"/>
          <w:sz w:val="24"/>
        </w:rPr>
        <w:t>3</w:t>
      </w:r>
      <w:r>
        <w:rPr>
          <w:rFonts w:hint="eastAsia" w:ascii="仿宋_GB2312" w:hAnsi="仿宋" w:eastAsia="仿宋_GB2312"/>
          <w:sz w:val="24"/>
        </w:rPr>
        <w:t>年</w:t>
      </w:r>
      <w:r>
        <w:rPr>
          <w:rFonts w:ascii="仿宋_GB2312" w:hAnsi="仿宋" w:eastAsia="仿宋_GB2312"/>
          <w:sz w:val="24"/>
        </w:rPr>
        <w:t>3</w:t>
      </w:r>
      <w:r>
        <w:rPr>
          <w:rFonts w:hint="eastAsia" w:ascii="仿宋_GB2312" w:hAnsi="仿宋" w:eastAsia="仿宋_GB2312"/>
          <w:sz w:val="24"/>
        </w:rPr>
        <w:t>月</w:t>
      </w:r>
      <w:r>
        <w:rPr>
          <w:rFonts w:ascii="仿宋_GB2312" w:hAnsi="仿宋" w:eastAsia="仿宋_GB2312"/>
          <w:sz w:val="24"/>
        </w:rPr>
        <w:t>8</w:t>
      </w:r>
      <w:r>
        <w:rPr>
          <w:rFonts w:hint="eastAsia" w:ascii="仿宋_GB2312" w:hAnsi="仿宋" w:eastAsia="仿宋_GB2312"/>
          <w:sz w:val="24"/>
        </w:rPr>
        <w:t>日9时30分（北京时间）前按照电子投标要求将电子加密标书上传到政府采购云平台，逾期或未上传成功的将导致无法投标或投标无效。</w:t>
      </w:r>
    </w:p>
    <w:p>
      <w:pPr>
        <w:pStyle w:val="32"/>
        <w:spacing w:line="360" w:lineRule="auto"/>
        <w:ind w:firstLine="482" w:firstLineChars="200"/>
        <w:rPr>
          <w:rFonts w:ascii="仿宋_GB2312" w:hAnsi="仿宋" w:eastAsia="仿宋_GB2312"/>
          <w:sz w:val="24"/>
        </w:rPr>
      </w:pPr>
      <w:r>
        <w:rPr>
          <w:rFonts w:hint="eastAsia" w:ascii="仿宋_GB2312" w:hAnsi="仿宋" w:eastAsia="仿宋_GB2312" w:cs="Times New Roman"/>
          <w:b/>
          <w:snapToGrid/>
          <w:sz w:val="24"/>
          <w:szCs w:val="24"/>
        </w:rPr>
        <w:t>开标地点：</w:t>
      </w:r>
      <w:r>
        <w:rPr>
          <w:rFonts w:hint="eastAsia" w:ascii="仿宋_GB2312" w:hAnsi="仿宋" w:eastAsia="仿宋_GB2312"/>
          <w:sz w:val="24"/>
        </w:rPr>
        <w:t>政府采购云平台（www.zcygov.cn）。所有投标人均须准时在“政府采购云平台”在线参加。</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w:t>
      </w:r>
      <w:r>
        <w:rPr>
          <w:rFonts w:hint="eastAsia" w:ascii="仿宋_GB2312" w:hAnsi="仿宋" w:eastAsia="仿宋_GB2312"/>
          <w:sz w:val="24"/>
        </w:rPr>
        <w:t>七</w:t>
      </w:r>
      <w:r>
        <w:rPr>
          <w:rFonts w:ascii="仿宋_GB2312" w:hAnsi="仿宋" w:eastAsia="仿宋_GB2312"/>
          <w:sz w:val="24"/>
        </w:rPr>
        <w:t>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w:t>
      </w:r>
    </w:p>
    <w:p>
      <w:pPr>
        <w:spacing w:line="360" w:lineRule="auto"/>
        <w:ind w:firstLine="480" w:firstLineChars="200"/>
        <w:rPr>
          <w:rFonts w:ascii="仿宋_GB2312" w:hAnsi="仿宋" w:eastAsia="仿宋_GB2312"/>
          <w:sz w:val="24"/>
        </w:rPr>
      </w:pPr>
      <w:r>
        <w:rPr>
          <w:rFonts w:ascii="仿宋_GB2312" w:hAnsi="仿宋" w:eastAsia="仿宋_GB2312"/>
          <w:sz w:val="24"/>
        </w:rPr>
        <w:t>2</w:t>
      </w:r>
      <w:r>
        <w:rPr>
          <w:rFonts w:hint="eastAsia" w:ascii="仿宋_GB2312" w:hAnsi="仿宋" w:eastAsia="仿宋_GB2312"/>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rPr>
        <w:t>.其他事项：（1）需要落实的政府采购政策：包括节约资源、保护环境、支持创新、促进中小企业发展等，详见招标文件的第二部分投标人须知-总则。（2）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w:t>
      </w:r>
      <w:r>
        <w:rPr>
          <w:rFonts w:hint="eastAsia" w:ascii="仿宋_GB2312" w:hAnsi="仿宋" w:eastAsia="仿宋_GB2312" w:cs="仿宋_GB2312"/>
          <w:sz w:val="24"/>
        </w:rPr>
        <w:t>政府采购云平台；进入“项目采购”应用，在获取采购文件菜单中选择项目，获取招标文件；④</w:t>
      </w:r>
      <w:r>
        <w:rPr>
          <w:rFonts w:ascii="仿宋_GB2312" w:hAnsi="仿宋" w:eastAsia="仿宋_GB2312"/>
          <w:sz w:val="24"/>
        </w:rPr>
        <w:t>对未按上述方式获取</w:t>
      </w:r>
      <w:r>
        <w:rPr>
          <w:rFonts w:hint="eastAsia" w:ascii="仿宋_GB2312" w:hAnsi="仿宋" w:eastAsia="仿宋_GB2312"/>
          <w:sz w:val="24"/>
        </w:rPr>
        <w:t>招标</w:t>
      </w:r>
      <w:r>
        <w:rPr>
          <w:rFonts w:ascii="仿宋_GB2312" w:hAnsi="仿宋" w:eastAsia="仿宋_GB2312"/>
          <w:sz w:val="24"/>
        </w:rPr>
        <w:t>文件的供应商</w:t>
      </w:r>
      <w:r>
        <w:rPr>
          <w:rFonts w:hint="eastAsia" w:ascii="仿宋_GB2312" w:hAnsi="仿宋" w:eastAsia="仿宋_GB2312"/>
          <w:sz w:val="24"/>
        </w:rPr>
        <w:t>，视为未参与该项政府采购活动，不具备对该政府采购项目提出质疑的法定权利，但因供应商资格条件或报名时间设定不符合有关法律法规规定等原因使供应商权益受损的除外；⑤</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⑥</w:t>
      </w:r>
      <w:r>
        <w:rPr>
          <w:rFonts w:ascii="仿宋_GB2312" w:hAnsi="仿宋" w:eastAsia="仿宋_GB2312"/>
          <w:sz w:val="24"/>
        </w:rPr>
        <w:t>不提供招标文件纸质版</w:t>
      </w:r>
      <w:r>
        <w:rPr>
          <w:rFonts w:hint="eastAsia" w:ascii="仿宋_GB2312" w:hAnsi="仿宋" w:eastAsia="仿宋_GB2312"/>
          <w:sz w:val="24"/>
        </w:rPr>
        <w:t>；⑦</w:t>
      </w:r>
      <w:r>
        <w:rPr>
          <w:rFonts w:ascii="仿宋_GB2312" w:hAnsi="仿宋" w:eastAsia="仿宋_GB2312" w:cs="仿宋_GB2312"/>
          <w:sz w:val="24"/>
        </w:rPr>
        <w:t>投标文件的传输递交：投标人在投标截止时间前将加密的投标文件上传至政府采购云平台，还可以在投标截止时间前递交备份投标文件1份。</w:t>
      </w:r>
      <w:r>
        <w:rPr>
          <w:rFonts w:ascii="仿宋_GB2312" w:hAnsi="仿宋" w:eastAsia="仿宋_GB2312" w:cs="仿宋_GB2312"/>
          <w:b/>
          <w:bCs/>
          <w:sz w:val="24"/>
        </w:rPr>
        <w:t>备份投标文件的制作、递交详见招标文件第二部分第15点—“备份投标文件”</w:t>
      </w:r>
      <w:r>
        <w:rPr>
          <w:rFonts w:hint="eastAsia" w:ascii="仿宋_GB2312" w:hAnsi="仿宋" w:eastAsia="仿宋_GB2312" w:cs="仿宋_GB2312"/>
          <w:b/>
          <w:bCs/>
          <w:sz w:val="24"/>
        </w:rPr>
        <w:t>；</w:t>
      </w:r>
      <w:r>
        <w:rPr>
          <w:rFonts w:hint="eastAsia" w:ascii="仿宋_GB2312" w:hAnsi="仿宋" w:eastAsia="仿宋_GB2312" w:cs="仿宋_GB2312"/>
          <w:sz w:val="24"/>
        </w:rPr>
        <w:t xml:space="preserve"> ⑧投标文件的解密：投标人按照平台提示和招标文件的规定在3</w:t>
      </w:r>
      <w:r>
        <w:rPr>
          <w:rFonts w:ascii="仿宋_GB2312" w:hAnsi="仿宋" w:eastAsia="仿宋_GB2312" w:cs="仿宋_GB2312"/>
          <w:sz w:val="24"/>
        </w:rPr>
        <w:t>0</w:t>
      </w:r>
      <w:r>
        <w:rPr>
          <w:rFonts w:hint="eastAsia" w:ascii="仿宋_GB2312" w:hAnsi="仿宋" w:eastAsia="仿宋_GB2312" w:cs="仿宋_GB2312"/>
          <w:sz w:val="24"/>
        </w:rPr>
        <w:t>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仿宋_GB2312" w:hAnsi="仿宋" w:eastAsia="仿宋_GB2312"/>
          <w:sz w:val="24"/>
        </w:rPr>
        <w:t>⑨</w:t>
      </w:r>
      <w:r>
        <w:rPr>
          <w:rFonts w:ascii="仿宋_GB2312" w:hAnsi="仿宋" w:eastAsia="仿宋_GB2312" w:cs="仿宋_GB2312"/>
          <w:sz w:val="24"/>
        </w:rPr>
        <w:t>具体操作指南：详见</w:t>
      </w:r>
      <w:r>
        <w:rPr>
          <w:rFonts w:hint="eastAsia" w:ascii="仿宋_GB2312" w:hAnsi="仿宋" w:eastAsia="仿宋_GB2312" w:cs="仿宋_GB2312"/>
          <w:sz w:val="24"/>
        </w:rPr>
        <w:t>政府采购云平台“服务中心</w:t>
      </w:r>
      <w:r>
        <w:rPr>
          <w:rFonts w:ascii="仿宋_GB2312" w:hAnsi="仿宋" w:eastAsia="仿宋_GB2312" w:cs="仿宋_GB2312"/>
          <w:sz w:val="24"/>
        </w:rPr>
        <w:t>-帮助文档-项目采购-操作流程-电子招投标-政府采购项目电子交易管理操作指南-供应商”。</w:t>
      </w:r>
      <w:r>
        <w:rPr>
          <w:rFonts w:hint="eastAsia" w:ascii="仿宋_GB2312" w:hAnsi="仿宋" w:eastAsia="仿宋_GB2312"/>
          <w:sz w:val="24"/>
        </w:rPr>
        <w:t xml:space="preserve"> </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诸暨市妇幼保健院</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诸暨市暨阳街道暨阳路202号</w:t>
      </w:r>
    </w:p>
    <w:p>
      <w:pPr>
        <w:spacing w:line="360" w:lineRule="auto"/>
        <w:ind w:firstLine="480"/>
        <w:rPr>
          <w:rFonts w:ascii="仿宋_GB2312" w:hAnsi="仿宋" w:eastAsia="仿宋"/>
          <w:sz w:val="24"/>
        </w:rPr>
      </w:pPr>
      <w:r>
        <w:rPr>
          <w:rFonts w:hint="eastAsia" w:ascii="仿宋_GB2312" w:hAnsi="仿宋" w:eastAsia="仿宋_GB2312"/>
          <w:sz w:val="24"/>
        </w:rPr>
        <w:t>项目联系人（询问）：杜亚炬</w:t>
      </w:r>
      <w:r>
        <w:rPr>
          <w:rFonts w:ascii="仿宋_GB2312" w:hAnsi="仿宋" w:eastAsia="仿宋_GB2312"/>
          <w:sz w:val="24"/>
        </w:rPr>
        <w:t xml:space="preserve"> </w:t>
      </w:r>
      <w:r>
        <w:rPr>
          <w:rFonts w:hint="eastAsia" w:ascii="仿宋" w:hAnsi="仿宋" w:eastAsia="仿宋"/>
          <w:sz w:val="24"/>
        </w:rPr>
        <w:t xml:space="preserve"> </w:t>
      </w:r>
      <w:r>
        <w:rPr>
          <w:rFonts w:hint="eastAsia" w:ascii="仿宋_GB2312" w:hAnsi="仿宋" w:eastAsia="仿宋"/>
          <w:sz w:val="24"/>
        </w:rPr>
        <w:t xml:space="preserve">  </w:t>
      </w:r>
      <w:r>
        <w:rPr>
          <w:rFonts w:ascii="仿宋_GB2312" w:hAnsi="仿宋" w:eastAsia="仿宋_GB2312"/>
          <w:sz w:val="24"/>
        </w:rPr>
        <w:t>项目联系方式（询问）：15158236738</w:t>
      </w:r>
    </w:p>
    <w:p>
      <w:pPr>
        <w:spacing w:line="360" w:lineRule="auto"/>
        <w:ind w:firstLine="465"/>
        <w:rPr>
          <w:rFonts w:ascii="仿宋_GB2312" w:hAnsi="仿宋" w:eastAsia="仿宋_GB2312"/>
          <w:sz w:val="24"/>
        </w:rPr>
      </w:pPr>
      <w:r>
        <w:rPr>
          <w:rFonts w:ascii="仿宋_GB2312" w:hAnsi="仿宋" w:eastAsia="仿宋_GB2312"/>
          <w:sz w:val="24"/>
        </w:rPr>
        <w:t>质疑联系人：</w:t>
      </w:r>
      <w:r>
        <w:rPr>
          <w:rFonts w:hint="eastAsia" w:ascii="仿宋_GB2312" w:hAnsi="仿宋" w:eastAsia="仿宋_GB2312"/>
          <w:sz w:val="24"/>
        </w:rPr>
        <w:t xml:space="preserve">陈建康          </w:t>
      </w:r>
      <w:r>
        <w:rPr>
          <w:rFonts w:ascii="仿宋_GB2312" w:hAnsi="仿宋" w:eastAsia="仿宋_GB2312"/>
          <w:sz w:val="24"/>
        </w:rPr>
        <w:t>质疑联系方式：13857542068</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称：诸暨市公共资源交易中心</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hint="eastAsia" w:ascii="仿宋" w:hAnsi="仿宋" w:eastAsia="仿宋"/>
          <w:sz w:val="24"/>
        </w:rPr>
        <w:t xml:space="preserve"> </w:t>
      </w:r>
      <w:r>
        <w:rPr>
          <w:rFonts w:hint="eastAsia" w:ascii="仿宋_GB2312" w:hAnsi="仿宋" w:eastAsia="仿宋_GB2312"/>
          <w:sz w:val="24"/>
        </w:rPr>
        <w:t>诸暨市暨东路58号北602</w:t>
      </w:r>
    </w:p>
    <w:p>
      <w:pPr>
        <w:spacing w:line="360" w:lineRule="auto"/>
        <w:ind w:firstLine="484"/>
        <w:rPr>
          <w:rFonts w:ascii="仿宋_GB2312" w:hAnsi="仿宋" w:eastAsia="仿宋_GB2312"/>
          <w:sz w:val="24"/>
        </w:rPr>
      </w:pPr>
      <w:r>
        <w:rPr>
          <w:rFonts w:ascii="仿宋_GB2312" w:hAnsi="仿宋" w:eastAsia="仿宋_GB2312"/>
          <w:sz w:val="24"/>
        </w:rPr>
        <w:t>项目联系人（询问）：</w:t>
      </w:r>
      <w:r>
        <w:rPr>
          <w:rFonts w:hint="eastAsia" w:ascii="仿宋_GB2312" w:hAnsi="仿宋" w:eastAsia="仿宋_GB2312"/>
          <w:sz w:val="24"/>
        </w:rPr>
        <w:t>金泽成</w:t>
      </w:r>
      <w:r>
        <w:rPr>
          <w:rFonts w:ascii="仿宋_GB2312" w:hAnsi="仿宋" w:eastAsia="仿宋_GB2312"/>
          <w:sz w:val="24"/>
        </w:rPr>
        <w:t xml:space="preserve">  </w:t>
      </w:r>
    </w:p>
    <w:p>
      <w:pPr>
        <w:spacing w:line="360" w:lineRule="auto"/>
        <w:ind w:firstLine="484"/>
        <w:rPr>
          <w:rFonts w:ascii="仿宋_GB2312" w:hAnsi="仿宋" w:eastAsia="仿宋_GB2312"/>
          <w:sz w:val="24"/>
        </w:rPr>
      </w:pPr>
      <w:r>
        <w:rPr>
          <w:rFonts w:ascii="仿宋_GB2312" w:hAnsi="仿宋" w:eastAsia="仿宋_GB2312"/>
          <w:sz w:val="24"/>
        </w:rPr>
        <w:t>项目联系方式（询问）：</w:t>
      </w:r>
      <w:r>
        <w:rPr>
          <w:rFonts w:hint="eastAsia" w:ascii="仿宋_GB2312" w:hAnsi="仿宋" w:eastAsia="仿宋_GB2312"/>
          <w:sz w:val="24"/>
        </w:rPr>
        <w:t>0575-8725301</w:t>
      </w:r>
      <w:r>
        <w:rPr>
          <w:rFonts w:ascii="仿宋_GB2312" w:hAnsi="仿宋" w:eastAsia="仿宋_GB2312"/>
          <w:sz w:val="24"/>
        </w:rPr>
        <w:t>5</w:t>
      </w:r>
      <w:r>
        <w:rPr>
          <w:rFonts w:hint="eastAsia" w:ascii="仿宋_GB2312" w:hAnsi="仿宋" w:eastAsia="仿宋_GB2312"/>
          <w:sz w:val="24"/>
        </w:rPr>
        <w:t xml:space="preserve"> </w:t>
      </w:r>
      <w:r>
        <w:rPr>
          <w:rFonts w:ascii="仿宋_GB2312" w:hAnsi="仿宋" w:eastAsia="仿宋_GB2312"/>
          <w:sz w:val="24"/>
        </w:rPr>
        <w:t xml:space="preserve">     传真：</w:t>
      </w:r>
      <w:r>
        <w:rPr>
          <w:rFonts w:hint="eastAsia" w:ascii="仿宋_GB2312" w:hAnsi="仿宋" w:eastAsia="仿宋_GB2312"/>
          <w:sz w:val="24"/>
        </w:rPr>
        <w:t>0575-87221107</w:t>
      </w:r>
    </w:p>
    <w:p>
      <w:pPr>
        <w:spacing w:line="360" w:lineRule="auto"/>
        <w:ind w:firstLine="484"/>
        <w:rPr>
          <w:rFonts w:ascii="仿宋_GB2312" w:hAnsi="仿宋" w:eastAsia="仿宋_GB2312"/>
          <w:sz w:val="24"/>
        </w:rPr>
      </w:pPr>
      <w:r>
        <w:rPr>
          <w:rFonts w:ascii="仿宋_GB2312" w:hAnsi="仿宋" w:eastAsia="仿宋_GB2312"/>
          <w:sz w:val="24"/>
        </w:rPr>
        <w:t>质疑联系人：</w:t>
      </w:r>
      <w:r>
        <w:rPr>
          <w:rFonts w:hint="eastAsia" w:ascii="仿宋_GB2312" w:hAnsi="仿宋" w:eastAsia="仿宋_GB2312"/>
          <w:sz w:val="24"/>
        </w:rPr>
        <w:t>王小林</w:t>
      </w:r>
    </w:p>
    <w:p>
      <w:pPr>
        <w:spacing w:line="360" w:lineRule="auto"/>
        <w:ind w:firstLine="484"/>
        <w:rPr>
          <w:rFonts w:ascii="仿宋_GB2312" w:hAnsi="仿宋" w:eastAsia="仿宋_GB2312"/>
          <w:sz w:val="24"/>
        </w:rPr>
      </w:pPr>
      <w:r>
        <w:rPr>
          <w:rFonts w:ascii="仿宋_GB2312" w:hAnsi="仿宋" w:eastAsia="仿宋_GB2312"/>
          <w:sz w:val="24"/>
        </w:rPr>
        <w:t>质疑联系方式：</w:t>
      </w:r>
      <w:r>
        <w:rPr>
          <w:rFonts w:hint="eastAsia" w:ascii="仿宋_GB2312" w:hAnsi="仿宋" w:eastAsia="仿宋_GB2312"/>
          <w:sz w:val="24"/>
        </w:rPr>
        <w:t>0575-8725301</w:t>
      </w:r>
      <w:r>
        <w:rPr>
          <w:rFonts w:ascii="仿宋_GB2312" w:hAnsi="仿宋" w:eastAsia="仿宋_GB2312"/>
          <w:sz w:val="24"/>
        </w:rPr>
        <w:t>6</w:t>
      </w:r>
      <w:r>
        <w:rPr>
          <w:rFonts w:hint="eastAsia" w:ascii="仿宋_GB2312" w:hAnsi="仿宋" w:eastAsia="仿宋_GB2312"/>
          <w:sz w:val="24"/>
        </w:rPr>
        <w:t xml:space="preserve"> </w:t>
      </w:r>
      <w:r>
        <w:rPr>
          <w:rFonts w:ascii="仿宋_GB2312" w:hAnsi="仿宋" w:eastAsia="仿宋_GB2312"/>
          <w:sz w:val="24"/>
        </w:rPr>
        <w:t xml:space="preserve">             传真：</w:t>
      </w:r>
      <w:r>
        <w:rPr>
          <w:rFonts w:hint="eastAsia" w:ascii="仿宋_GB2312" w:hAnsi="仿宋" w:eastAsia="仿宋_GB2312"/>
          <w:sz w:val="24"/>
        </w:rPr>
        <w:t>0575-87221107</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诸暨市财政局政府采购监管科</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诸暨市人民中路356号</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 xml:space="preserve"> </w:t>
      </w:r>
      <w:r>
        <w:rPr>
          <w:rFonts w:ascii="仿宋_GB2312" w:hAnsi="仿宋" w:eastAsia="仿宋_GB2312"/>
          <w:sz w:val="24"/>
        </w:rPr>
        <w:t>0575-87023633</w:t>
      </w:r>
    </w:p>
    <w:p>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rPr>
        <w:t xml:space="preserve">吕康玮 </w:t>
      </w:r>
      <w:r>
        <w:rPr>
          <w:rFonts w:ascii="仿宋_GB2312" w:hAnsi="仿宋" w:eastAsia="仿宋_GB2312"/>
          <w:sz w:val="24"/>
        </w:rPr>
        <w:t xml:space="preserve">  监督投诉电话：</w:t>
      </w:r>
      <w:r>
        <w:rPr>
          <w:rFonts w:hint="eastAsia" w:ascii="仿宋_GB2312" w:hAnsi="仿宋" w:eastAsia="仿宋_GB2312"/>
          <w:sz w:val="24"/>
        </w:rPr>
        <w:t>0575-87111685</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w:t>
      </w:r>
      <w:r>
        <w:rPr>
          <w:rFonts w:hint="eastAsia" w:ascii="仿宋_GB2312" w:hAnsi="仿宋" w:eastAsia="仿宋_GB2312"/>
          <w:sz w:val="24"/>
        </w:rPr>
        <w:t>若对项目采购电子交易系统操作有疑问，可登录政府采购云平台（</w:t>
      </w:r>
      <w:r>
        <w:rPr>
          <w:rFonts w:ascii="仿宋_GB2312" w:hAnsi="仿宋" w:eastAsia="仿宋_GB2312"/>
          <w:sz w:val="24"/>
        </w:rPr>
        <w:t>https://www.zcygov.cn/），点击右侧咨询小采，获取采小蜜智能服务管家帮助，或拨打</w:t>
      </w:r>
      <w:r>
        <w:rPr>
          <w:rFonts w:hint="eastAsia" w:ascii="仿宋_GB2312" w:hAnsi="仿宋" w:eastAsia="仿宋_GB2312"/>
          <w:sz w:val="24"/>
        </w:rPr>
        <w:t>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7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71"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仿宋_GB2312"/>
                <w:b/>
                <w:sz w:val="24"/>
              </w:rPr>
            </w:pPr>
            <w:r>
              <w:rPr>
                <w:rFonts w:hint="eastAsia" w:ascii="仿宋_GB2312" w:hAnsi="仿宋" w:eastAsia="仿宋_GB2312"/>
                <w:kern w:val="0"/>
                <w:sz w:val="24"/>
                <w:lang w:val="zh-CN"/>
              </w:rPr>
              <w:t>本项目采用</w:t>
            </w:r>
            <w:r>
              <w:rPr>
                <w:rFonts w:hint="eastAsia" w:ascii="仿宋_GB2312" w:hAnsi="仿宋" w:eastAsia="仿宋_GB2312"/>
                <w:kern w:val="0"/>
                <w:sz w:val="24"/>
                <w:u w:val="single"/>
                <w:lang w:val="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741"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jc w:val="left"/>
              <w:rPr>
                <w:rFonts w:ascii="仿宋_GB2312" w:hAnsi="仿宋" w:eastAsia="仿宋_GB2312"/>
                <w:kern w:val="0"/>
                <w:sz w:val="24"/>
                <w:lang w:val="zh-CN"/>
              </w:rPr>
            </w:pPr>
            <w:r>
              <w:rPr>
                <w:rFonts w:hint="eastAsia" w:ascii="仿宋_GB2312" w:hAnsi="仿宋" w:eastAsia="仿宋_GB2312"/>
                <w:kern w:val="0"/>
                <w:sz w:val="24"/>
                <w:lang w:val="zh-CN"/>
              </w:rPr>
              <w:t>有关本项目实施所需的所有费用（含税费）均计入报价。</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提醒：验收时检测费用由采购人承担，不包含在投标总价中。投标报价出现下列情形的，投标无效：</w:t>
            </w:r>
          </w:p>
          <w:p>
            <w:pPr>
              <w:pStyle w:val="277"/>
              <w:numPr>
                <w:ilvl w:val="0"/>
                <w:numId w:val="2"/>
              </w:numPr>
              <w:snapToGrid w:val="0"/>
              <w:ind w:firstLineChars="0"/>
              <w:jc w:val="left"/>
              <w:rPr>
                <w:rFonts w:ascii="仿宋_GB2312" w:hAnsi="仿宋" w:eastAsia="仿宋_GB2312" w:cs="仿宋_GB2312"/>
                <w:bCs/>
                <w:kern w:val="0"/>
                <w:lang w:val="zh-CN"/>
              </w:rPr>
            </w:pPr>
            <w:r>
              <w:rPr>
                <w:rFonts w:hint="eastAsia" w:ascii="仿宋_GB2312" w:hAnsi="仿宋" w:eastAsia="仿宋_GB2312" w:cs="仿宋_GB2312"/>
                <w:bCs/>
                <w:kern w:val="0"/>
                <w:lang w:val="zh-CN"/>
              </w:rPr>
              <w:t>投标文件出现不是唯一的、有选择性投标报价的；</w:t>
            </w:r>
          </w:p>
          <w:p>
            <w:pPr>
              <w:pStyle w:val="277"/>
              <w:numPr>
                <w:ilvl w:val="0"/>
                <w:numId w:val="2"/>
              </w:numPr>
              <w:snapToGrid w:val="0"/>
              <w:ind w:firstLineChars="0"/>
              <w:jc w:val="left"/>
              <w:rPr>
                <w:rFonts w:ascii="仿宋_GB2312" w:hAnsi="仿宋" w:eastAsia="仿宋_GB2312" w:cs="仿宋_GB2312"/>
                <w:bCs/>
                <w:kern w:val="0"/>
                <w:lang w:val="zh-CN"/>
              </w:rPr>
            </w:pPr>
            <w:r>
              <w:rPr>
                <w:rFonts w:hint="eastAsia" w:ascii="仿宋_GB2312" w:hAnsi="仿宋" w:eastAsia="仿宋_GB2312" w:cs="仿宋_GB2312"/>
                <w:bCs/>
                <w:kern w:val="0"/>
                <w:lang w:val="zh-CN"/>
              </w:rPr>
              <w:t>投标报价超过招标文件中规定的预算金额或者最高限价的</w:t>
            </w:r>
            <w:r>
              <w:rPr>
                <w:rFonts w:ascii="仿宋_GB2312" w:hAnsi="仿宋" w:eastAsia="仿宋_GB2312"/>
                <w:bCs/>
                <w:kern w:val="0"/>
                <w:lang w:val="zh-CN"/>
              </w:rPr>
              <w:t>;</w:t>
            </w:r>
          </w:p>
          <w:p>
            <w:pPr>
              <w:pStyle w:val="277"/>
              <w:numPr>
                <w:ilvl w:val="0"/>
                <w:numId w:val="2"/>
              </w:numPr>
              <w:ind w:firstLineChars="0"/>
              <w:rPr>
                <w:rFonts w:ascii="仿宋_GB2312" w:hAnsi="仿宋" w:eastAsia="仿宋_GB2312" w:cs="仿宋_GB2312"/>
                <w:bCs/>
                <w:kern w:val="0"/>
                <w:lang w:val="zh-CN"/>
              </w:rPr>
            </w:pPr>
            <w:r>
              <w:rPr>
                <w:rFonts w:ascii="仿宋_GB2312" w:hAnsi="仿宋" w:eastAsia="仿宋_GB2312" w:cs="仿宋_GB2312"/>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仿宋_GB2312" w:hAnsi="仿宋" w:eastAsia="仿宋_GB2312" w:cs="仿宋_GB2312"/>
                <w:bCs/>
                <w:kern w:val="0"/>
                <w:lang w:val="zh-CN"/>
              </w:rPr>
              <w:t>，</w:t>
            </w:r>
            <w:r>
              <w:rPr>
                <w:rFonts w:ascii="仿宋_GB2312" w:hAnsi="仿宋" w:eastAsia="仿宋_GB2312" w:cs="仿宋_GB2312"/>
                <w:bCs/>
                <w:kern w:val="0"/>
                <w:lang w:val="zh-CN"/>
              </w:rPr>
              <w:t>评标委员会应当将其作为无效投标处理;</w:t>
            </w:r>
          </w:p>
          <w:p>
            <w:pPr>
              <w:pStyle w:val="277"/>
              <w:numPr>
                <w:ilvl w:val="0"/>
                <w:numId w:val="2"/>
              </w:numPr>
              <w:ind w:firstLineChars="0"/>
              <w:rPr>
                <w:rFonts w:ascii="仿宋_GB2312" w:hAnsi="仿宋" w:eastAsia="仿宋_GB2312" w:cs="仿宋_GB2312"/>
                <w:bCs/>
                <w:kern w:val="0"/>
                <w:lang w:val="zh-CN"/>
              </w:rPr>
            </w:pPr>
            <w:r>
              <w:rPr>
                <w:rFonts w:hint="eastAsia" w:ascii="仿宋_GB2312" w:hAnsi="仿宋" w:eastAsia="仿宋_GB2312" w:cs="Arial"/>
                <w:bCs/>
                <w:kern w:val="0"/>
              </w:rPr>
              <w:t>投标人对根据修正原则修正后的报价不确认的</w:t>
            </w:r>
            <w:r>
              <w:rPr>
                <w:rFonts w:hint="eastAsia" w:ascii="仿宋_GB2312" w:hAnsi="仿宋" w:eastAsia="仿宋_GB2312"/>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2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3"/>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737" w:hRule="atLeast"/>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4</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投标人应当提供的资格文件</w:t>
            </w:r>
          </w:p>
        </w:tc>
        <w:tc>
          <w:tcPr>
            <w:tcW w:w="7125" w:type="dxa"/>
            <w:tcBorders>
              <w:top w:val="single" w:color="000000" w:sz="8" w:space="0"/>
              <w:left w:val="single" w:color="000000" w:sz="2" w:space="0"/>
              <w:right w:val="single" w:color="000000" w:sz="8" w:space="0"/>
            </w:tcBorders>
            <w:vAlign w:val="center"/>
          </w:tcPr>
          <w:p>
            <w:pPr>
              <w:snapToGrid w:val="0"/>
              <w:rPr>
                <w:rFonts w:ascii="仿宋_GB2312" w:hAnsi="仿宋" w:eastAsia="仿宋_GB2312" w:cs="Arial"/>
                <w:bCs/>
                <w:kern w:val="0"/>
                <w:sz w:val="24"/>
              </w:rPr>
            </w:pPr>
            <w:r>
              <w:rPr>
                <w:rFonts w:hint="eastAsia" w:ascii="仿宋_GB2312" w:hAnsi="仿宋" w:eastAsia="仿宋_GB2312" w:cs="Arial"/>
                <w:bCs/>
                <w:kern w:val="0"/>
                <w:sz w:val="24"/>
              </w:rPr>
              <w:t>1、</w:t>
            </w:r>
            <w:r>
              <w:rPr>
                <w:rFonts w:ascii="仿宋_GB2312" w:hAnsi="仿宋" w:eastAsia="仿宋_GB2312" w:cs="Arial"/>
                <w:bCs/>
                <w:kern w:val="0"/>
                <w:sz w:val="24"/>
              </w:rPr>
              <w:t>符合参加政府采购活动应当具备的一般条件的承诺函；</w:t>
            </w:r>
          </w:p>
          <w:p>
            <w:pPr>
              <w:pStyle w:val="2"/>
              <w:spacing w:line="240" w:lineRule="auto"/>
              <w:ind w:left="0" w:firstLine="0"/>
              <w:rPr>
                <w:rFonts w:cs="Arial"/>
                <w:b w:val="0"/>
                <w:kern w:val="0"/>
                <w:sz w:val="24"/>
                <w:szCs w:val="24"/>
                <w:lang w:val="en-US"/>
              </w:rPr>
            </w:pPr>
            <w:r>
              <w:rPr>
                <w:rFonts w:cs="Arial"/>
                <w:b w:val="0"/>
                <w:kern w:val="0"/>
                <w:sz w:val="24"/>
                <w:szCs w:val="24"/>
                <w:lang w:val="en-US"/>
              </w:rPr>
              <w:t>2</w:t>
            </w:r>
            <w:r>
              <w:rPr>
                <w:rFonts w:hint="eastAsia" w:cs="Arial"/>
                <w:b w:val="0"/>
                <w:kern w:val="0"/>
                <w:sz w:val="24"/>
                <w:szCs w:val="24"/>
                <w:lang w:val="en-US"/>
              </w:rPr>
              <w:t>、</w:t>
            </w:r>
            <w:r>
              <w:rPr>
                <w:rFonts w:cs="Arial"/>
                <w:b w:val="0"/>
                <w:kern w:val="0"/>
                <w:sz w:val="24"/>
                <w:szCs w:val="24"/>
                <w:lang w:val="en-US"/>
              </w:rPr>
              <w:t>所投标的相应国家规定必备的资质、资格</w:t>
            </w:r>
            <w:r>
              <w:rPr>
                <w:rFonts w:hint="eastAsia" w:cs="Arial"/>
                <w:b w:val="0"/>
                <w:kern w:val="0"/>
                <w:sz w:val="24"/>
                <w:szCs w:val="24"/>
                <w:lang w:val="en-US"/>
              </w:rPr>
              <w:t>（供应商须具备对应标的生产范围的《医疗器械生产许可证》或对应标的经营范围的《医疗器械经营许可证》）。</w:t>
            </w:r>
          </w:p>
          <w:p>
            <w:pPr>
              <w:rPr>
                <w:rFonts w:ascii="仿宋_GB2312" w:hAnsi="仿宋" w:eastAsia="仿宋_GB2312" w:cs="Arial"/>
                <w:b/>
                <w:kern w:val="0"/>
                <w:sz w:val="24"/>
              </w:rPr>
            </w:pPr>
            <w:r>
              <w:rPr>
                <w:rFonts w:hint="eastAsia" w:ascii="仿宋_GB2312" w:hAnsi="仿宋" w:eastAsia="仿宋_GB2312" w:cs="Arial"/>
                <w:b/>
                <w:kern w:val="0"/>
                <w:sz w:val="24"/>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162" w:hRule="atLeast"/>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5</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投标人应当提供的商务技术文件</w:t>
            </w:r>
          </w:p>
        </w:tc>
        <w:tc>
          <w:tcPr>
            <w:tcW w:w="7125" w:type="dxa"/>
            <w:tcBorders>
              <w:top w:val="single" w:color="000000" w:sz="8" w:space="0"/>
              <w:left w:val="single" w:color="000000" w:sz="2" w:space="0"/>
              <w:right w:val="single" w:color="000000" w:sz="8" w:space="0"/>
            </w:tcBorders>
            <w:vAlign w:val="center"/>
          </w:tcPr>
          <w:p>
            <w:pPr>
              <w:pStyle w:val="277"/>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投标函；</w:t>
            </w:r>
          </w:p>
          <w:p>
            <w:pPr>
              <w:pStyle w:val="277"/>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授权委托书或法定代表人（单位负责人、自然人本人）身份证明</w:t>
            </w:r>
            <w:r>
              <w:rPr>
                <w:rFonts w:hint="eastAsia" w:ascii="仿宋_GB2312" w:hAnsi="仿宋" w:eastAsia="仿宋_GB2312" w:cs="仿宋_GB2312"/>
              </w:rPr>
              <w:t>；</w:t>
            </w:r>
          </w:p>
          <w:p>
            <w:pPr>
              <w:pStyle w:val="277"/>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符合性审查资料；</w:t>
            </w:r>
          </w:p>
          <w:p>
            <w:pPr>
              <w:pStyle w:val="277"/>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评标标准相应的商务技术资料；</w:t>
            </w:r>
          </w:p>
          <w:p>
            <w:pPr>
              <w:pStyle w:val="277"/>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商务技术偏离表；</w:t>
            </w:r>
          </w:p>
          <w:p>
            <w:pPr>
              <w:pStyle w:val="277"/>
              <w:numPr>
                <w:ilvl w:val="0"/>
                <w:numId w:val="3"/>
              </w:numPr>
              <w:snapToGrid w:val="0"/>
              <w:ind w:firstLineChars="0"/>
              <w:rPr>
                <w:rFonts w:ascii="仿宋_GB2312" w:hAnsi="仿宋" w:eastAsia="仿宋_GB2312" w:cs="仿宋_GB2312"/>
                <w:lang w:val="zh-CN"/>
              </w:rPr>
            </w:pPr>
            <w:r>
              <w:rPr>
                <w:rFonts w:hint="eastAsia" w:ascii="仿宋_GB2312" w:hAnsi="仿宋" w:eastAsia="仿宋_GB2312" w:cs="仿宋_GB2312"/>
                <w:lang w:val="zh-CN"/>
              </w:rPr>
              <w:t>政府采购供应商廉洁自律承诺书。</w:t>
            </w:r>
          </w:p>
          <w:p>
            <w:pPr>
              <w:spacing w:line="360" w:lineRule="auto"/>
              <w:rPr>
                <w:lang w:val="zh-CN"/>
              </w:rPr>
            </w:pPr>
            <w:r>
              <w:rPr>
                <w:rFonts w:hint="eastAsia" w:ascii="仿宋_GB2312" w:hAnsi="仿宋" w:eastAsia="仿宋_GB2312"/>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230" w:hRule="atLeast"/>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6</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投标人应当提供的报价文件</w:t>
            </w:r>
          </w:p>
        </w:tc>
        <w:tc>
          <w:tcPr>
            <w:tcW w:w="7125" w:type="dxa"/>
            <w:tcBorders>
              <w:top w:val="single" w:color="000000" w:sz="8" w:space="0"/>
              <w:left w:val="single" w:color="000000" w:sz="2" w:space="0"/>
              <w:right w:val="single" w:color="000000" w:sz="8" w:space="0"/>
            </w:tcBorders>
            <w:vAlign w:val="center"/>
          </w:tcPr>
          <w:p>
            <w:pPr>
              <w:pStyle w:val="277"/>
              <w:numPr>
                <w:ilvl w:val="0"/>
                <w:numId w:val="4"/>
              </w:numPr>
              <w:snapToGrid w:val="0"/>
              <w:ind w:firstLineChars="0"/>
              <w:rPr>
                <w:rFonts w:ascii="仿宋_GB2312" w:hAnsi="仿宋" w:eastAsia="仿宋_GB2312" w:cs="仿宋_GB2312"/>
              </w:rPr>
            </w:pPr>
            <w:r>
              <w:rPr>
                <w:rFonts w:ascii="仿宋_GB2312" w:hAnsi="仿宋" w:eastAsia="仿宋_GB2312" w:cs="仿宋_GB2312"/>
              </w:rPr>
              <w:t>开标一览表（报价表）；</w:t>
            </w:r>
          </w:p>
          <w:p>
            <w:pPr>
              <w:pStyle w:val="277"/>
              <w:numPr>
                <w:ilvl w:val="0"/>
                <w:numId w:val="4"/>
              </w:numPr>
              <w:snapToGrid w:val="0"/>
              <w:ind w:firstLineChars="0"/>
              <w:rPr>
                <w:rFonts w:ascii="仿宋_GB2312" w:hAnsi="仿宋" w:eastAsia="仿宋_GB2312" w:cs="仿宋_GB2312"/>
              </w:rPr>
            </w:pPr>
            <w:r>
              <w:rPr>
                <w:rFonts w:hint="eastAsia" w:ascii="仿宋_GB2312" w:hAnsi="仿宋" w:eastAsia="仿宋_GB2312" w:cs="仿宋_GB2312"/>
              </w:rPr>
              <w:t>中小企业声明函（如需）</w:t>
            </w:r>
          </w:p>
          <w:p>
            <w:pPr>
              <w:spacing w:line="360" w:lineRule="auto"/>
              <w:rPr>
                <w:rFonts w:ascii="仿宋_GB2312" w:hAnsi="仿宋" w:eastAsia="仿宋_GB2312"/>
                <w:b/>
                <w:sz w:val="24"/>
              </w:rPr>
            </w:pPr>
            <w:r>
              <w:rPr>
                <w:rFonts w:hint="eastAsia" w:ascii="仿宋_GB2312" w:hAnsi="仿宋" w:eastAsia="仿宋_GB2312"/>
                <w:b/>
                <w:sz w:val="24"/>
              </w:rPr>
              <w:t>投标文件含有采购人不能接受的附加条件的，</w:t>
            </w:r>
            <w:r>
              <w:rPr>
                <w:rFonts w:hint="eastAsia" w:ascii="仿宋_GB2312" w:hAnsi="仿宋" w:eastAsia="仿宋_GB2312"/>
                <w:b/>
                <w:kern w:val="0"/>
                <w:sz w:val="24"/>
                <w:lang w:val="zh-CN"/>
              </w:rPr>
              <w:t>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98"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4"/>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7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5"/>
              </w:sdtPr>
              <w:sdtEndPr>
                <w:rPr>
                  <w:rFonts w:hint="eastAsia" w:ascii="仿宋_GB2312" w:hAnsi="仿宋" w:eastAsia="仿宋_GB2312" w:cs="Times New Roman"/>
                  <w:kern w:val="0"/>
                  <w:sz w:val="24"/>
                </w:rPr>
              </w:sdtEndPr>
              <w:sdtContent>
                <w:sdt>
                  <w:sdtPr>
                    <w:rPr>
                      <w:rFonts w:hint="eastAsia" w:ascii="仿宋_GB2312" w:hAnsi="仿宋" w:eastAsia="仿宋_GB2312" w:cs="Arial"/>
                      <w:kern w:val="0"/>
                      <w:sz w:val="24"/>
                    </w:rPr>
                    <w:id w:val="805436019"/>
                  </w:sdtPr>
                  <w:sdtEndPr>
                    <w:rPr>
                      <w:rFonts w:hint="eastAsia" w:ascii="仿宋_GB2312" w:hAnsi="仿宋" w:eastAsia="仿宋_GB2312" w:cs="Times New Roman"/>
                      <w:kern w:val="0"/>
                      <w:sz w:val="24"/>
                    </w:rPr>
                  </w:sdtEndPr>
                  <w:sdtContent>
                    <w:r>
                      <w:rPr>
                        <w:rFonts w:ascii="MS Gothic" w:hAnsi="MS Gothic" w:eastAsia="MS Gothic" w:cs="Arial"/>
                        <w:kern w:val="0"/>
                        <w:sz w:val="24"/>
                      </w:rPr>
                      <w:sym w:font="Wingdings" w:char="F0FE"/>
                    </w:r>
                  </w:sdtContent>
                </w:sdt>
              </w:sdtContent>
            </w:sdt>
            <w:r>
              <w:rPr>
                <w:rFonts w:ascii="仿宋_GB2312" w:hAnsi="仿宋" w:eastAsia="仿宋_GB2312"/>
                <w:kern w:val="0"/>
                <w:sz w:val="24"/>
              </w:rPr>
              <w:t>A</w:t>
            </w:r>
            <w:r>
              <w:rPr>
                <w:rFonts w:hint="eastAsia" w:ascii="仿宋_GB2312" w:hAnsi="仿宋" w:eastAsia="仿宋_GB2312"/>
                <w:kern w:val="0"/>
                <w:sz w:val="24"/>
              </w:rPr>
              <w:t>不要求提供</w:t>
            </w:r>
            <w:r>
              <w:rPr>
                <w:rFonts w:hint="eastAsia" w:ascii="仿宋_GB2312" w:hAnsi="仿宋"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64" w:hRule="atLeast"/>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7"/>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FF0000"/>
                <w:sz w:val="24"/>
              </w:rPr>
            </w:pPr>
            <w:r>
              <w:rPr>
                <w:rFonts w:hint="eastAsia" w:ascii="仿宋_GB2312" w:hAnsi="仿宋" w:eastAsia="仿宋_GB2312" w:cs="仿宋_GB2312"/>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kern w:val="0"/>
                <w:sz w:val="24"/>
              </w:rPr>
            </w:pPr>
            <w:r>
              <w:rPr>
                <w:rFonts w:hint="eastAsia" w:ascii="仿宋_GB2312" w:hAnsi="仿宋" w:eastAsia="仿宋_GB2312"/>
                <w:kern w:val="0"/>
                <w:sz w:val="24"/>
              </w:rPr>
              <w:t>本项目不收取投标保证金。</w:t>
            </w:r>
          </w:p>
          <w:p>
            <w:pPr>
              <w:snapToGrid w:val="0"/>
              <w:spacing w:line="360" w:lineRule="auto"/>
            </w:pPr>
            <w:r>
              <w:rPr>
                <w:rFonts w:hint="eastAsia" w:ascii="仿宋_GB2312" w:hAnsi="仿宋" w:eastAsia="仿宋_GB2312"/>
                <w:kern w:val="0"/>
                <w:sz w:val="24"/>
              </w:rPr>
              <w:t>签订合同时，中标供应商须向采购人缴纳中标价</w:t>
            </w:r>
            <w:r>
              <w:rPr>
                <w:rFonts w:hint="eastAsia" w:ascii="仿宋_GB2312" w:hAnsi="仿宋" w:eastAsia="仿宋_GB2312"/>
                <w:kern w:val="0"/>
                <w:sz w:val="24"/>
                <w:u w:val="single"/>
              </w:rPr>
              <w:t>1%</w:t>
            </w:r>
            <w:r>
              <w:rPr>
                <w:rFonts w:hint="eastAsia" w:ascii="仿宋_GB2312" w:hAnsi="仿宋" w:eastAsia="仿宋_GB2312"/>
                <w:kern w:val="0"/>
                <w:sz w:val="24"/>
              </w:rPr>
              <w:t>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pPr>
            <w:r>
              <w:rPr>
                <w:rFonts w:hint="eastAsia" w:ascii="仿宋_GB2312" w:hAnsi="仿宋" w:eastAsia="仿宋_GB2312" w:cs="Arial"/>
                <w:kern w:val="0"/>
                <w:sz w:val="24"/>
              </w:rPr>
              <w:t>除招标文件中（采购需求）有特别说明，一般不允许采购进口产品。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18727868"/>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u w:val="single"/>
              </w:rPr>
              <w:t>M</w:t>
            </w:r>
            <w:r>
              <w:rPr>
                <w:rFonts w:ascii="仿宋_GB2312" w:hAnsi="仿宋" w:eastAsia="仿宋_GB2312"/>
                <w:sz w:val="24"/>
                <w:u w:val="single"/>
              </w:rPr>
              <w:t>RI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7" w:hRule="atLeast"/>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pPr>
              <w:adjustRightInd/>
              <w:spacing w:line="360" w:lineRule="auto"/>
              <w:rPr>
                <w:rFonts w:ascii="仿宋_GB2312" w:hAnsi="仿宋" w:eastAsia="仿宋_GB2312" w:cs="Arial"/>
                <w:kern w:val="0"/>
                <w:sz w:val="24"/>
              </w:rPr>
            </w:pPr>
            <w:r>
              <w:rPr>
                <w:rFonts w:hint="eastAsia" w:ascii="仿宋_GB2312" w:hAnsi="仿宋" w:eastAsia="仿宋_GB2312" w:cs="Arial"/>
                <w:kern w:val="0"/>
                <w:sz w:val="24"/>
                <w:u w:val="single"/>
              </w:rPr>
              <w:t>本项目标的</w:t>
            </w:r>
            <w:r>
              <w:rPr>
                <w:rFonts w:hint="eastAsia" w:ascii="仿宋_GB2312" w:hAnsi="仿宋" w:eastAsia="仿宋_GB2312" w:cs="Arial"/>
                <w:kern w:val="0"/>
                <w:sz w:val="24"/>
              </w:rPr>
              <w:t>属于</w:t>
            </w:r>
            <w:r>
              <w:rPr>
                <w:rFonts w:hint="eastAsia" w:ascii="仿宋_GB2312" w:hAnsi="仿宋" w:eastAsia="仿宋_GB2312" w:cs="Arial"/>
                <w:kern w:val="0"/>
                <w:sz w:val="24"/>
                <w:u w:val="single"/>
              </w:rPr>
              <w:t>工业</w:t>
            </w:r>
            <w:r>
              <w:rPr>
                <w:rFonts w:hint="eastAsia" w:ascii="仿宋_GB2312" w:hAnsi="仿宋" w:eastAsia="仿宋_GB2312" w:cs="Arial"/>
                <w:kern w:val="0"/>
                <w:sz w:val="24"/>
              </w:rPr>
              <w:t>行业；供应商在出具《中小企业声明函》前，可通过工业和信息化部官网公共服务平台“中小企业规模类型自测小程序”自测企业规模类型。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82" w:hRule="atLeast"/>
          <w:jc w:val="center"/>
        </w:trPr>
        <w:tc>
          <w:tcPr>
            <w:tcW w:w="698" w:type="dxa"/>
            <w:tcBorders>
              <w:top w:val="single" w:color="auto" w:sz="4" w:space="0"/>
              <w:left w:val="single" w:color="000000" w:sz="8"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4</w:t>
            </w:r>
          </w:p>
        </w:tc>
        <w:tc>
          <w:tcPr>
            <w:tcW w:w="1760"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w:t>
            </w:r>
          </w:p>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融资</w:t>
            </w:r>
          </w:p>
        </w:tc>
        <w:tc>
          <w:tcPr>
            <w:tcW w:w="7125" w:type="dxa"/>
            <w:tcBorders>
              <w:top w:val="single" w:color="000000" w:sz="8" w:space="0"/>
              <w:left w:val="single" w:color="000000" w:sz="2"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28" w:hRule="atLeast"/>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5</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w:t>
            </w:r>
            <w:r>
              <w:rPr>
                <w:rFonts w:ascii="仿宋_GB2312" w:hAnsi="仿宋" w:eastAsia="仿宋_GB2312" w:cs="仿宋_GB2312"/>
                <w:b/>
                <w:sz w:val="24"/>
              </w:rPr>
              <w:t xml:space="preserve"> </w:t>
            </w:r>
          </w:p>
        </w:tc>
        <w:tc>
          <w:tcPr>
            <w:tcW w:w="712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ascii="仿宋_GB2312" w:hAnsi="仿宋" w:eastAsia="仿宋_GB2312" w:cs="仿宋_GB2312"/>
                <w:b/>
                <w:snapToGrid/>
                <w:sz w:val="24"/>
                <w:szCs w:val="24"/>
              </w:rPr>
            </w:pPr>
            <w:r>
              <w:rPr>
                <w:rFonts w:ascii="仿宋_GB2312" w:hAnsi="仿宋" w:eastAsia="仿宋_GB2312" w:cs="仿宋_GB2312"/>
                <w:b/>
                <w:snapToGrid/>
                <w:sz w:val="24"/>
                <w:szCs w:val="24"/>
              </w:rPr>
              <w:t>诸暨市公共资源交易中心邮箱（</w:t>
            </w:r>
            <w:r>
              <w:fldChar w:fldCharType="begin"/>
            </w:r>
            <w:r>
              <w:instrText xml:space="preserve"> HYPERLINK "mailto:zjztb001@aliyun.com" </w:instrText>
            </w:r>
            <w:r>
              <w:fldChar w:fldCharType="separate"/>
            </w:r>
            <w:r>
              <w:rPr>
                <w:rStyle w:val="76"/>
                <w:rFonts w:ascii="仿宋_GB2312" w:hAnsi="仿宋" w:eastAsia="仿宋_GB2312" w:cs="仿宋_GB2312"/>
                <w:b/>
                <w:kern w:val="2"/>
                <w:sz w:val="24"/>
                <w:szCs w:val="24"/>
              </w:rPr>
              <w:t>zjztb001@aliyun.com</w:t>
            </w:r>
            <w:r>
              <w:rPr>
                <w:rStyle w:val="76"/>
                <w:rFonts w:ascii="仿宋_GB2312" w:hAnsi="仿宋" w:eastAsia="仿宋_GB2312" w:cs="仿宋_GB2312"/>
                <w:b/>
                <w:kern w:val="2"/>
                <w:sz w:val="24"/>
                <w:szCs w:val="24"/>
              </w:rPr>
              <w:fldChar w:fldCharType="end"/>
            </w:r>
            <w:r>
              <w:rPr>
                <w:rFonts w:ascii="仿宋_GB2312" w:hAnsi="仿宋" w:eastAsia="仿宋_GB2312" w:cs="仿宋_GB2312"/>
                <w:b/>
                <w:snapToGrid/>
                <w:sz w:val="24"/>
                <w:szCs w:val="24"/>
              </w:rPr>
              <w:t>）</w:t>
            </w:r>
            <w:r>
              <w:rPr>
                <w:rFonts w:hint="eastAsia" w:ascii="仿宋_GB2312" w:hAnsi="仿宋" w:eastAsia="仿宋_GB2312" w:cs="仿宋_GB2312"/>
                <w:b/>
                <w:snapToGrid/>
                <w:sz w:val="24"/>
                <w:szCs w:val="24"/>
              </w:rPr>
              <w:t>。</w:t>
            </w:r>
          </w:p>
          <w:p>
            <w:pPr>
              <w:pStyle w:val="32"/>
              <w:spacing w:line="360" w:lineRule="auto"/>
              <w:rPr>
                <w:rFonts w:ascii="仿宋_GB2312" w:hAnsi="仿宋" w:eastAsia="仿宋_GB2312"/>
                <w:kern w:val="28"/>
                <w:sz w:val="24"/>
              </w:rPr>
            </w:pPr>
            <w:r>
              <w:rPr>
                <w:rFonts w:hint="eastAsia" w:ascii="仿宋_GB2312" w:hAnsi="仿宋" w:eastAsia="仿宋_GB2312" w:cs="仿宋_GB2312"/>
                <w:b/>
                <w:snapToGrid/>
                <w:sz w:val="24"/>
                <w:szCs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6</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b/>
                <w:bCs/>
              </w:rPr>
              <w:t>……</w:t>
            </w:r>
          </w:p>
        </w:tc>
      </w:tr>
    </w:tbl>
    <w:p/>
    <w:p/>
    <w:p/>
    <w:p/>
    <w:p/>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
    <w:p>
      <w:pPr>
        <w:pStyle w:val="2"/>
        <w:rPr>
          <w:lang w:val="en-US"/>
        </w:rPr>
      </w:pPr>
    </w:p>
    <w:p/>
    <w:p>
      <w:pPr>
        <w:pStyle w:val="2"/>
        <w:ind w:left="0" w:firstLine="0"/>
        <w:rPr>
          <w:lang w:val="en-US"/>
        </w:rPr>
      </w:pPr>
    </w:p>
    <w:p/>
    <w:p>
      <w:pPr>
        <w:pStyle w:val="2"/>
        <w:rPr>
          <w:lang w:val="en-US"/>
        </w:rPr>
      </w:pPr>
    </w:p>
    <w:bookmarkEnd w:id="10"/>
    <w:p>
      <w:pPr>
        <w:adjustRightInd/>
        <w:spacing w:line="360" w:lineRule="auto"/>
        <w:ind w:firstLine="3845" w:firstLineChars="1197"/>
        <w:outlineLvl w:val="0"/>
        <w:rPr>
          <w:rFonts w:ascii="仿宋_GB2312" w:hAnsi="仿宋" w:eastAsia="仿宋_GB2312" w:cs="仿宋_GB2312"/>
          <w:b/>
          <w:sz w:val="32"/>
          <w:szCs w:val="20"/>
        </w:rPr>
      </w:pPr>
      <w:bookmarkStart w:id="11" w:name="第三部分"/>
      <w:bookmarkStart w:id="12" w:name="_Toc164416483"/>
      <w:r>
        <w:rPr>
          <w:rFonts w:hint="eastAsia" w:ascii="仿宋_GB2312" w:hAnsi="仿宋" w:eastAsia="仿宋_GB2312" w:cs="仿宋_GB2312"/>
          <w:b/>
          <w:sz w:val="32"/>
          <w:szCs w:val="20"/>
        </w:rPr>
        <w:t>一、总则</w:t>
      </w:r>
    </w:p>
    <w:p>
      <w:pPr>
        <w:snapToGrid w:val="0"/>
        <w:spacing w:line="360" w:lineRule="auto"/>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“采购代理机构”系指招标公告中载明的本项目的采购代理机构。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_GB2312" w:hAnsi="仿宋" w:eastAsia="仿宋_GB2312"/>
          <w:sz w:val="24"/>
        </w:rPr>
        <w:t>“公章”系指单位法定名称章。</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w:t>
      </w:r>
      <w:sdt>
        <w:sdtPr>
          <w:rPr>
            <w:rFonts w:hint="eastAsia" w:ascii="仿宋_GB2312" w:hAnsi="仿宋" w:eastAsia="仿宋_GB2312"/>
            <w:sz w:val="24"/>
          </w:rPr>
          <w:id w:val="512970236"/>
        </w:sdtPr>
        <w:sdtEndPr>
          <w:rPr>
            <w:rFonts w:hint="eastAsia" w:ascii="仿宋_GB2312" w:hAnsi="仿宋" w:eastAsia="仿宋_GB2312"/>
            <w:sz w:val="24"/>
          </w:rPr>
        </w:sdtEndPr>
        <w:sdtContent>
          <w:sdt>
            <w:sdtPr>
              <w:rPr>
                <w:rFonts w:hint="eastAsia" w:ascii="仿宋_GB2312" w:hAnsi="仿宋" w:eastAsia="仿宋_GB2312" w:cs="Arial"/>
                <w:kern w:val="0"/>
                <w:sz w:val="24"/>
              </w:rPr>
              <w:id w:val="10"/>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sz w:val="24"/>
          </w:rPr>
          <w:id w:val="404888855"/>
        </w:sdtPr>
        <w:sdtEndPr>
          <w:rPr>
            <w:rFonts w:hint="eastAsia" w:ascii="仿宋_GB2312" w:hAnsi="仿宋" w:eastAsia="仿宋_GB2312"/>
            <w:sz w:val="24"/>
          </w:rPr>
        </w:sdtEndPr>
        <w:sdtContent>
          <w:r>
            <w:rPr>
              <w:rFonts w:ascii="仿宋_GB2312" w:hAnsi="仿宋" w:eastAsia="仿宋_GB2312"/>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rPr>
          <w:rFonts w:ascii="仿宋_GB2312" w:hAnsi="仿宋" w:eastAsia="仿宋_GB2312"/>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w:t>
      </w:r>
      <w:r>
        <w:rPr>
          <w:rFonts w:hint="eastAsia" w:ascii="仿宋_GB2312" w:hAnsi="宋体" w:eastAsia="仿宋_GB2312" w:cs="宋体"/>
          <w:kern w:val="0"/>
          <w:sz w:val="24"/>
        </w:rPr>
        <w:t>民法典</w:t>
      </w:r>
      <w:r>
        <w:rPr>
          <w:rFonts w:ascii="仿宋_GB2312" w:hAnsi="宋体" w:eastAsia="仿宋_GB2312" w:cs="宋体"/>
          <w:kern w:val="0"/>
          <w:sz w:val="24"/>
        </w:rPr>
        <w:t>》订立劳动合同的从业人员。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sz w:val="24"/>
        </w:rPr>
        <w:t>10%的扣除，用扣除后的价格参与评审。接受大中型企业与小微企业组成联合体或者允许大中型企业向一家或者多家小微企业分包的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rPr>
        <w:t>8采购人严格贯彻落实《保障中小企业款项支付条例》、《浙江省财政厅关于进一步发挥政府采购政策功能全力推动经济稳进提质的通知》，按规定向中小企业支付款项。</w:t>
      </w:r>
    </w:p>
    <w:p>
      <w:pPr>
        <w:spacing w:line="360" w:lineRule="auto"/>
        <w:ind w:firstLine="480" w:firstLineChars="200"/>
        <w:rPr>
          <w:rFonts w:ascii="仿宋_GB2312" w:hAnsi="仿宋" w:eastAsia="仿宋_GB2312"/>
          <w:sz w:val="24"/>
        </w:rPr>
      </w:pPr>
      <w:r>
        <w:rPr>
          <w:rFonts w:ascii="仿宋_GB2312" w:hAnsi="仿宋" w:eastAsia="仿宋_GB2312"/>
          <w:sz w:val="24"/>
        </w:rPr>
        <w:t>3.3.9中小企业信用融资：</w:t>
      </w:r>
      <w:r>
        <w:rPr>
          <w:rFonts w:hint="eastAsia" w:ascii="仿宋_GB2312" w:hAnsi="仿宋" w:eastAsia="仿宋_GB2312"/>
          <w:sz w:val="24"/>
        </w:rPr>
        <w:t>供应商中标后可在政府采购云平台申请政采贷：操作路径：登录政府采购云平台-金融服务中心-【融资服务】。</w:t>
      </w:r>
    </w:p>
    <w:p>
      <w:pPr>
        <w:spacing w:line="360" w:lineRule="auto"/>
        <w:ind w:firstLine="480" w:firstLineChars="2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3年内，以及产品核心技术高于国内领先水平，并具有明晰自主知识产权的“制造精品”产品，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sz w:val="24"/>
        </w:rPr>
      </w:pPr>
      <w:r>
        <w:rPr>
          <w:rFonts w:ascii="仿宋_GB2312" w:hAnsi="仿宋" w:eastAsia="仿宋_GB2312"/>
          <w:b/>
          <w:sz w:val="24"/>
        </w:rPr>
        <w:t xml:space="preserve">4. </w:t>
      </w:r>
      <w:r>
        <w:rPr>
          <w:rFonts w:hint="eastAsia" w:ascii="仿宋_GB2312" w:hAnsi="仿宋" w:eastAsia="仿宋_GB2312"/>
          <w:b/>
          <w:sz w:val="24"/>
        </w:rPr>
        <w:t>询问、质疑、投诉</w:t>
      </w:r>
    </w:p>
    <w:p>
      <w:pPr>
        <w:spacing w:line="360" w:lineRule="auto"/>
        <w:ind w:firstLine="480" w:firstLineChars="200"/>
        <w:rPr>
          <w:rFonts w:ascii="仿宋_GB2312" w:hAnsi="仿宋" w:eastAsia="仿宋_GB2312"/>
          <w:b/>
          <w:sz w:val="24"/>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w:t>
      </w:r>
      <w:r>
        <w:rPr>
          <w:rFonts w:hint="eastAsia" w:ascii="仿宋_GB2312" w:hAnsi="仿宋" w:eastAsia="仿宋_GB2312"/>
          <w:sz w:val="24"/>
        </w:rPr>
        <w:t>7</w:t>
      </w:r>
      <w:r>
        <w:rPr>
          <w:rFonts w:ascii="仿宋_GB2312" w:hAnsi="仿宋" w:eastAsia="仿宋_GB2312"/>
          <w:sz w:val="24"/>
        </w:rPr>
        <w:t>个工作日内，以书面形式向采购人或者采购代理机构提出质疑，否则，采购人或者采购代理机构不予受理</w:t>
      </w:r>
      <w:r>
        <w:rPr>
          <w:rFonts w:hint="eastAsia" w:ascii="仿宋_GB2312" w:hAnsi="仿宋" w:eastAsia="仿宋_GB2312"/>
          <w:sz w:val="24"/>
        </w:rPr>
        <w:t>：</w:t>
      </w:r>
    </w:p>
    <w:p>
      <w:pPr>
        <w:pStyle w:val="5"/>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2"/>
        <w:spacing w:line="360" w:lineRule="auto"/>
        <w:ind w:firstLine="482" w:firstLineChars="200"/>
        <w:rPr>
          <w:rFonts w:ascii="仿宋_GB2312" w:hAnsi="仿宋" w:eastAsia="仿宋_GB2312"/>
          <w:b/>
          <w:sz w:val="24"/>
        </w:rPr>
      </w:pPr>
      <w:r>
        <w:rPr>
          <w:rFonts w:ascii="仿宋_GB2312" w:hAnsi="仿宋" w:eastAsia="仿宋_GB2312"/>
          <w:b/>
          <w:sz w:val="24"/>
        </w:rPr>
        <w:t>4.2.2.</w:t>
      </w:r>
      <w:r>
        <w:rPr>
          <w:rFonts w:hint="eastAsia" w:ascii="仿宋_GB2312" w:hAnsi="仿宋" w:eastAsia="仿宋_GB2312"/>
          <w:b/>
          <w:sz w:val="24"/>
        </w:rPr>
        <w:t>4针对采购文件中特定资格条件、采购需求、评分办法提出的质疑，应向采购人提出；对采购文件中其他内容、采购过程、采购结果提出的质疑，应向采购代理机构提出。</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3.6</w:t>
      </w:r>
      <w:r>
        <w:rPr>
          <w:rFonts w:hint="eastAsia" w:ascii="仿宋_GB2312" w:hAnsi="仿宋" w:eastAsia="仿宋_GB2312"/>
          <w:sz w:val="24"/>
        </w:rPr>
        <w:t>提出质疑的日期。</w:t>
      </w:r>
    </w:p>
    <w:p>
      <w:pPr>
        <w:pStyle w:val="32"/>
        <w:spacing w:line="360" w:lineRule="auto"/>
        <w:ind w:firstLine="480" w:firstLineChars="200"/>
        <w:rPr>
          <w:rFonts w:ascii="仿宋_GB2312" w:hAnsi="仿宋" w:eastAsia="仿宋_GB2312"/>
          <w:sz w:val="24"/>
        </w:rPr>
      </w:pPr>
      <w:r>
        <w:rPr>
          <w:rFonts w:hint="eastAsia" w:ascii="仿宋_GB2312" w:hAnsi="仿宋" w:eastAsia="仿宋_GB2312"/>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r>
        <w:rPr>
          <w:rFonts w:ascii="仿宋_GB2312" w:hAnsi="仿宋" w:eastAsia="仿宋_GB2312"/>
          <w:sz w:val="24"/>
        </w:rPr>
        <w:t>。</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4.2.4</w:t>
      </w:r>
      <w:r>
        <w:rPr>
          <w:rFonts w:hint="eastAsia" w:ascii="仿宋_GB2312" w:hAnsi="仿宋" w:eastAsia="仿宋_GB2312"/>
          <w:sz w:val="24"/>
        </w:rPr>
        <w:t>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仿宋_GB2312" w:hAnsi="仿宋" w:eastAsia="仿宋_GB2312"/>
          <w:sz w:val="24"/>
        </w:rPr>
        <w:t>5个工作日内，在浙江政府采购网的“其他公告”栏目公开质疑答复，答复内容应当完整。质疑</w:t>
      </w:r>
      <w:r>
        <w:rPr>
          <w:rFonts w:hint="eastAsia" w:ascii="仿宋_GB2312" w:hAnsi="仿宋" w:eastAsia="仿宋_GB2312"/>
          <w:sz w:val="24"/>
        </w:rPr>
        <w:t>函作为附件上传。</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4.2.5询问或者质疑事项可能影响采购结果的，采购人应当暂停签订合同，已经签订合同的，应当中止履行合同。</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4.3</w:t>
      </w:r>
      <w:r>
        <w:rPr>
          <w:rFonts w:hint="eastAsia" w:ascii="仿宋_GB2312" w:hAnsi="仿宋" w:eastAsia="仿宋_GB2312"/>
          <w:sz w:val="24"/>
        </w:rPr>
        <w:t>质疑</w:t>
      </w:r>
      <w:r>
        <w:rPr>
          <w:rFonts w:ascii="仿宋_GB2312" w:hAnsi="仿宋" w:eastAsia="仿宋_GB2312"/>
          <w:sz w:val="24"/>
        </w:rPr>
        <w:t>供应商投诉</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4.3.1质疑供应商对采购人、采购代理机构的答复不满意或者采购人、采购代理机构未在规定的时间内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作出答复的，可以在答复期满后十五个工作日内向同级政府采购监督管理部门提出投诉。</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4.3.2</w:t>
      </w:r>
      <w:r>
        <w:rPr>
          <w:rFonts w:hint="eastAsia" w:ascii="仿宋_GB2312" w:hAnsi="仿宋" w:eastAsia="仿宋_GB2312"/>
          <w:sz w:val="24"/>
        </w:rPr>
        <w:t>供应商投诉的事项不得超出已质疑事项的范围，基于质疑答复内容提出的投诉事项除外。</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4.3.3供应</w:t>
      </w:r>
      <w:r>
        <w:rPr>
          <w:rFonts w:hint="eastAsia" w:ascii="仿宋_GB2312" w:hAnsi="仿宋" w:eastAsia="仿宋_GB2312"/>
          <w:sz w:val="24"/>
        </w:rPr>
        <w:t>商投诉应当有明确的请求和必要的证明材料。</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 xml:space="preserve">4.3.5 </w:t>
      </w:r>
      <w:r>
        <w:rPr>
          <w:rFonts w:hint="eastAsia" w:ascii="仿宋_GB2312" w:hAnsi="仿宋" w:eastAsia="仿宋_GB2312"/>
          <w:sz w:val="24"/>
        </w:rPr>
        <w:t>以联合体形式参加政府采购活动的，其投诉应当由组成联合体的所有供应商共同提出。投诉书范本及制作说明详见附件</w:t>
      </w:r>
      <w:r>
        <w:rPr>
          <w:rFonts w:ascii="仿宋_GB2312" w:hAnsi="仿宋" w:eastAsia="仿宋_GB2312"/>
          <w:sz w:val="24"/>
        </w:rPr>
        <w:t>3。</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4.4</w:t>
      </w:r>
      <w:r>
        <w:rPr>
          <w:rFonts w:hint="eastAsia" w:ascii="仿宋_GB2312" w:hAnsi="仿宋" w:eastAsia="仿宋_GB2312"/>
          <w:sz w:val="24"/>
        </w:rPr>
        <w:t>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w:t>
      </w:r>
      <w:r>
        <w:rPr>
          <w:rFonts w:hint="eastAsia" w:ascii="仿宋_GB2312" w:hAnsi="仿宋" w:eastAsia="仿宋_GB2312" w:cs="仿宋_GB2312"/>
          <w:b/>
          <w:sz w:val="32"/>
          <w:szCs w:val="20"/>
        </w:rPr>
        <w:t>补充、</w:t>
      </w:r>
      <w:r>
        <w:rPr>
          <w:rFonts w:ascii="仿宋_GB2312" w:hAnsi="仿宋" w:eastAsia="仿宋_GB2312" w:cs="仿宋_GB2312"/>
          <w:b/>
          <w:sz w:val="32"/>
          <w:szCs w:val="20"/>
        </w:rPr>
        <w:t>修改</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澄清、补充、修改的内容为招标文件的组成部分</w:t>
      </w:r>
      <w:r>
        <w:rPr>
          <w:rFonts w:hint="eastAsia" w:ascii="仿宋_GB2312" w:hAnsi="仿宋" w:eastAsia="仿宋_GB2312" w:cs="仿宋_GB2312"/>
          <w:sz w:val="24"/>
        </w:rPr>
        <w:t>。</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招标文件的澄清、补充、修改</w:t>
      </w:r>
    </w:p>
    <w:p>
      <w:pPr>
        <w:pStyle w:val="159"/>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6.1已获取招标文件的潜在投标人，若有问题需要澄清，应于投标截止时间前，以书面形式向采购代理机构提出。</w:t>
      </w:r>
    </w:p>
    <w:p>
      <w:pPr>
        <w:pStyle w:val="159"/>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采购代理机构对招标文件进行澄清、补充、修改的，将以网上发布补充（更正）公告的形式通知所有潜在投标人，同时视情况延长投标截止时间和开标时间。该澄清、补充、修改的内容为招标文件的组成部分。</w:t>
      </w:r>
    </w:p>
    <w:p>
      <w:pPr>
        <w:pStyle w:val="159"/>
        <w:snapToGrid w:val="0"/>
        <w:spacing w:before="0"/>
        <w:ind w:firstLine="480"/>
        <w:rPr>
          <w:rFonts w:ascii="仿宋_GB2312" w:hAnsi="仿宋" w:eastAsia="仿宋_GB2312"/>
        </w:rPr>
      </w:pPr>
      <w:r>
        <w:rPr>
          <w:rFonts w:hint="eastAsia" w:ascii="仿宋_GB2312" w:hAnsi="仿宋" w:eastAsia="仿宋_GB2312"/>
        </w:rPr>
        <w:t>6.3当招标文件与澄清、补充、修改就同一内容表述不一致的以最后发出的文件或公告为准。</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2"/>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2" w:firstLineChars="200"/>
        <w:rPr>
          <w:rFonts w:ascii="仿宋_GB2312" w:hAnsi="仿宋" w:eastAsia="仿宋_GB2312" w:cs="仿宋_GB2312"/>
          <w:b/>
          <w:bCs/>
          <w:sz w:val="24"/>
        </w:rPr>
      </w:pPr>
      <w:r>
        <w:rPr>
          <w:rFonts w:ascii="仿宋_GB2312" w:hAnsi="仿宋" w:eastAsia="仿宋_GB2312" w:cs="仿宋_GB2312"/>
          <w:b/>
          <w:bCs/>
          <w:sz w:val="24"/>
        </w:rPr>
        <w:t>11.1</w:t>
      </w:r>
      <w:r>
        <w:rPr>
          <w:rFonts w:hint="eastAsia" w:ascii="仿宋_GB2312" w:hAnsi="仿宋" w:eastAsia="仿宋_GB2312" w:cs="仿宋_GB2312"/>
          <w:b/>
          <w:bCs/>
          <w:sz w:val="24"/>
        </w:rPr>
        <w:t>资格文件：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11.1.2落实政府采购政策需满足的资格要求</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11.1.3本项目的特定资格要求</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2" w:firstLineChars="200"/>
        <w:rPr>
          <w:rFonts w:ascii="仿宋_GB2312" w:hAnsi="仿宋" w:eastAsia="仿宋_GB2312" w:cs="仿宋_GB2312"/>
          <w:b/>
          <w:bCs/>
          <w:sz w:val="24"/>
          <w:lang w:val="zh-CN"/>
        </w:rPr>
      </w:pPr>
      <w:r>
        <w:rPr>
          <w:rFonts w:ascii="仿宋_GB2312" w:hAnsi="仿宋" w:eastAsia="仿宋_GB2312" w:cs="仿宋_GB2312"/>
          <w:b/>
          <w:bCs/>
          <w:sz w:val="24"/>
          <w:lang w:val="zh-CN"/>
        </w:rPr>
        <w:t>11.</w:t>
      </w:r>
      <w:r>
        <w:rPr>
          <w:rFonts w:ascii="仿宋_GB2312" w:hAnsi="仿宋" w:eastAsia="仿宋_GB2312" w:cs="仿宋_GB2312"/>
          <w:b/>
          <w:bCs/>
          <w:sz w:val="24"/>
        </w:rPr>
        <w:t>2</w:t>
      </w:r>
      <w:r>
        <w:rPr>
          <w:rFonts w:ascii="仿宋_GB2312" w:hAnsi="仿宋" w:eastAsia="仿宋_GB2312" w:cs="仿宋_GB2312"/>
          <w:b/>
          <w:bCs/>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11.2.3联合协议</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11.2.4分包意向协议</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11.2.6评标标准相应的商务技术资料</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2" w:firstLineChars="200"/>
        <w:rPr>
          <w:rFonts w:ascii="仿宋_GB2312" w:hAnsi="仿宋" w:eastAsia="仿宋_GB2312" w:cs="仿宋_GB2312"/>
          <w:b/>
          <w:bCs/>
          <w:sz w:val="24"/>
          <w:u w:val="single"/>
          <w:lang w:val="zh-CN"/>
        </w:rPr>
      </w:pPr>
      <w:r>
        <w:rPr>
          <w:rFonts w:ascii="仿宋_GB2312" w:hAnsi="仿宋" w:eastAsia="仿宋_GB2312" w:cs="仿宋_GB2312"/>
          <w:b/>
          <w:bCs/>
          <w:kern w:val="0"/>
          <w:sz w:val="24"/>
          <w:lang w:val="zh-CN"/>
        </w:rPr>
        <w:t>11.</w:t>
      </w:r>
      <w:r>
        <w:rPr>
          <w:rFonts w:ascii="仿宋_GB2312" w:hAnsi="仿宋" w:eastAsia="仿宋_GB2312" w:cs="仿宋_GB2312"/>
          <w:b/>
          <w:bCs/>
          <w:kern w:val="0"/>
          <w:sz w:val="24"/>
        </w:rPr>
        <w:t>3</w:t>
      </w:r>
      <w:r>
        <w:rPr>
          <w:rFonts w:hint="eastAsia" w:ascii="仿宋_GB2312" w:hAnsi="仿宋" w:eastAsia="仿宋_GB2312" w:cs="仿宋_GB2312"/>
          <w:b/>
          <w:bCs/>
          <w:sz w:val="24"/>
        </w:rPr>
        <w:t>报价文件：</w:t>
      </w:r>
      <w:r>
        <w:rPr>
          <w:rFonts w:ascii="仿宋_GB2312" w:hAnsi="仿宋" w:eastAsia="仿宋_GB2312" w:cs="仿宋_GB2312"/>
          <w:b/>
          <w:bCs/>
          <w:sz w:val="24"/>
        </w:rPr>
        <w:t xml:space="preserve">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11.3.2中小企业声明函</w:t>
      </w:r>
      <w:r>
        <w:rPr>
          <w:rFonts w:hint="eastAsia" w:ascii="仿宋_GB2312" w:hAnsi="仿宋" w:eastAsia="仿宋_GB2312" w:cs="仿宋_GB2312"/>
          <w:sz w:val="24"/>
        </w:rPr>
        <w:t>（如需）</w:t>
      </w:r>
      <w:r>
        <w:rPr>
          <w:rFonts w:ascii="仿宋_GB2312" w:hAnsi="仿宋" w:eastAsia="仿宋_GB2312" w:cs="仿宋_GB2312"/>
          <w:sz w:val="24"/>
        </w:rPr>
        <w:t>。</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1</w:t>
      </w:r>
      <w:r>
        <w:rPr>
          <w:rFonts w:ascii="仿宋_GB2312" w:hAnsi="仿宋" w:eastAsia="仿宋_GB2312"/>
          <w:b/>
          <w:sz w:val="24"/>
        </w:rPr>
        <w:t>1.4</w:t>
      </w:r>
      <w:r>
        <w:rPr>
          <w:rFonts w:hint="eastAsia" w:ascii="仿宋_GB2312" w:hAnsi="仿宋" w:eastAsia="仿宋_GB2312"/>
          <w:b/>
          <w:sz w:val="24"/>
        </w:rPr>
        <w:t>投标文件含有采购人不能接受的附加条件的，投标无效；投标人提供虚假材料投标的，投标无效。</w:t>
      </w:r>
    </w:p>
    <w:p>
      <w:pPr>
        <w:pStyle w:val="159"/>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12.4</w:t>
      </w:r>
      <w:r>
        <w:rPr>
          <w:rFonts w:hint="eastAsia" w:ascii="仿宋_GB2312" w:hAnsi="仿宋" w:eastAsia="仿宋_GB2312" w:cs="仿宋_GB2312"/>
          <w:kern w:val="0"/>
          <w:sz w:val="24"/>
          <w:lang w:val="zh-CN"/>
        </w:rPr>
        <w:t>投标人应充分考虑完成平台注册、申领CA证书等所需时间，如未在“政府采购云平台”系统内完成相关流程，而引起的投标或响应无效的责任自负。</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59"/>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59"/>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59"/>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59"/>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59"/>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59"/>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59"/>
        <w:spacing w:before="0"/>
        <w:ind w:firstLine="480"/>
        <w:rPr>
          <w:rFonts w:ascii="仿宋_GB2312" w:hAnsi="仿宋" w:eastAsia="仿宋_GB2312" w:cs="仿宋_GB2312"/>
          <w:color w:val="FF0000"/>
          <w:szCs w:val="24"/>
          <w:u w:val="single"/>
        </w:rPr>
      </w:pPr>
      <w:r>
        <w:rPr>
          <w:rFonts w:ascii="仿宋_GB2312" w:hAnsi="仿宋" w:eastAsia="仿宋_GB2312" w:cs="仿宋_GB2312"/>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2"/>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w:t>
      </w:r>
      <w:r>
        <w:rPr>
          <w:rFonts w:hint="eastAsia" w:ascii="仿宋_GB2312" w:hAnsi="仿宋" w:eastAsia="仿宋_GB2312" w:cs="仿宋_GB2312"/>
          <w:sz w:val="24"/>
          <w:szCs w:val="24"/>
        </w:rPr>
        <w:t>向</w:t>
      </w:r>
      <w:r>
        <w:rPr>
          <w:rFonts w:ascii="仿宋_GB2312" w:hAnsi="仿宋" w:eastAsia="仿宋_GB2312" w:cs="仿宋_GB2312"/>
          <w:bCs/>
          <w:snapToGrid/>
          <w:sz w:val="24"/>
          <w:szCs w:val="24"/>
        </w:rPr>
        <w:t>诸暨</w:t>
      </w:r>
      <w:r>
        <w:rPr>
          <w:rFonts w:ascii="仿宋_GB2312" w:hAnsi="仿宋" w:eastAsia="仿宋_GB2312" w:cs="仿宋_GB2312"/>
          <w:bCs/>
          <w:sz w:val="24"/>
          <w:szCs w:val="24"/>
        </w:rPr>
        <w:t>市公共资源交易中心邮箱（</w:t>
      </w:r>
      <w:r>
        <w:rPr>
          <w:rFonts w:ascii="仿宋_GB2312" w:hAnsi="仿宋" w:eastAsia="仿宋_GB2312" w:cs="仿宋_GB2312"/>
          <w:sz w:val="24"/>
          <w:szCs w:val="24"/>
        </w:rPr>
        <w:t>zjztb001@aliyun.com）递交备份投标文件1份，</w:t>
      </w:r>
      <w:r>
        <w:rPr>
          <w:rFonts w:hint="eastAsia" w:ascii="仿宋_GB2312" w:hAnsi="仿宋" w:eastAsia="仿宋_GB2312" w:cs="仿宋_GB2312"/>
          <w:b/>
          <w:sz w:val="24"/>
          <w:szCs w:val="24"/>
        </w:rPr>
        <w:t>但采购人、采购代理机构不强制或变相强制投标人提交备份投标文件。</w:t>
      </w:r>
    </w:p>
    <w:p>
      <w:pPr>
        <w:pStyle w:val="32"/>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w:t>
      </w:r>
      <w:r>
        <w:rPr>
          <w:rFonts w:ascii="仿宋_GB2312" w:hAnsi="仿宋" w:eastAsia="仿宋_GB2312" w:cs="仿宋_GB2312"/>
          <w:b/>
          <w:sz w:val="24"/>
          <w:szCs w:val="24"/>
        </w:rPr>
        <w:t xml:space="preserve"> </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15.3采购代理机构将拒绝接受逾期送达的备份投标文件。</w:t>
      </w:r>
    </w:p>
    <w:p>
      <w:pPr>
        <w:pStyle w:val="32"/>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w:t>
      </w:r>
      <w:r>
        <w:rPr>
          <w:rFonts w:hint="eastAsia" w:ascii="仿宋_GB2312" w:hAnsi="仿宋" w:eastAsia="仿宋_GB2312" w:cs="仿宋_GB2312"/>
          <w:b/>
          <w:sz w:val="24"/>
          <w:szCs w:val="24"/>
        </w:rPr>
        <w:t>4</w:t>
      </w:r>
      <w:r>
        <w:rPr>
          <w:rFonts w:ascii="仿宋_GB2312" w:hAnsi="仿宋" w:eastAsia="仿宋_GB2312" w:cs="仿宋_GB2312"/>
          <w:b/>
          <w:sz w:val="24"/>
          <w:szCs w:val="24"/>
        </w:rPr>
        <w:t>投标人仅提交备份投标文件，没有在电子交易平台传输递交投标文件的，投标无效。</w:t>
      </w:r>
    </w:p>
    <w:p>
      <w:pPr>
        <w:pStyle w:val="32"/>
        <w:spacing w:line="360" w:lineRule="auto"/>
        <w:ind w:firstLine="477" w:firstLineChars="199"/>
        <w:rPr>
          <w:rFonts w:ascii="仿宋_GB2312" w:hAnsi="仿宋" w:eastAsia="仿宋_GB2312" w:cs="仿宋_GB2312"/>
          <w:sz w:val="24"/>
          <w:szCs w:val="24"/>
        </w:rPr>
      </w:pPr>
      <w:r>
        <w:rPr>
          <w:rFonts w:hint="eastAsia" w:ascii="仿宋_GB2312" w:hAnsi="仿宋" w:eastAsia="仿宋_GB2312" w:cs="仿宋_GB2312"/>
          <w:sz w:val="24"/>
          <w:szCs w:val="24"/>
        </w:rPr>
        <w:t>1</w:t>
      </w:r>
      <w:r>
        <w:rPr>
          <w:rFonts w:ascii="仿宋_GB2312" w:hAnsi="仿宋" w:eastAsia="仿宋_GB2312" w:cs="仿宋_GB2312"/>
          <w:sz w:val="24"/>
          <w:szCs w:val="24"/>
        </w:rPr>
        <w:t>5.5</w:t>
      </w:r>
      <w:r>
        <w:rPr>
          <w:rFonts w:hint="eastAsia" w:ascii="仿宋_GB2312" w:hAnsi="仿宋" w:eastAsia="仿宋_GB2312" w:cs="仿宋_GB2312"/>
          <w:sz w:val="24"/>
          <w:szCs w:val="24"/>
        </w:rPr>
        <w:t>投标文件如有补充、修改，备份投标文件应同步调整并再次提交，采购代理机构以最新备份投标文件为准。</w:t>
      </w:r>
    </w:p>
    <w:p>
      <w:pPr>
        <w:pStyle w:val="159"/>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4"/>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第4.2</w:t>
      </w:r>
      <w:r>
        <w:rPr>
          <w:rFonts w:ascii="仿宋_GB2312" w:hAnsi="仿宋" w:eastAsia="仿宋_GB2312"/>
        </w:rPr>
        <w:t>项规定</w:t>
      </w:r>
      <w:r>
        <w:rPr>
          <w:rFonts w:hint="eastAsia" w:ascii="仿宋_GB2312" w:hAnsi="仿宋" w:eastAsia="仿宋_GB2312" w:cs="仿宋_GB2312"/>
          <w:szCs w:val="21"/>
        </w:rPr>
        <w:t>的情形之一的，投标无效。</w:t>
      </w:r>
    </w:p>
    <w:p>
      <w:pPr>
        <w:pStyle w:val="159"/>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sz w:val="24"/>
        </w:rPr>
        <w:t>★</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59"/>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59"/>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59"/>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8"/>
        <w:spacing w:before="0" w:line="360" w:lineRule="auto"/>
        <w:ind w:left="0" w:firstLine="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58"/>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18.1采购代理机构按照招标文件规定的时间通过电子交易平台组织开标，所有投标人均应当准时在线参加。投标人不足3家的，不得开标。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18.2开标时，电子交易平台按开标时间自动提取所有投标文件。采购代理机构依托电子交易平台发起开始解密指令，投标人按照平台提示</w:t>
      </w:r>
      <w:r>
        <w:rPr>
          <w:rFonts w:hint="eastAsia" w:ascii="仿宋_GB2312" w:hAnsi="仿宋" w:eastAsia="仿宋_GB2312" w:cs="仿宋_GB2312"/>
          <w:sz w:val="24"/>
        </w:rPr>
        <w:t>在</w:t>
      </w:r>
      <w:r>
        <w:rPr>
          <w:rFonts w:ascii="仿宋_GB2312" w:hAnsi="仿宋" w:eastAsia="仿宋_GB2312" w:cs="仿宋_GB2312"/>
          <w:sz w:val="24"/>
        </w:rPr>
        <w:t>招标文件规定</w:t>
      </w:r>
      <w:r>
        <w:rPr>
          <w:rFonts w:hint="eastAsia" w:ascii="仿宋_GB2312" w:hAnsi="仿宋" w:eastAsia="仿宋_GB2312" w:cs="仿宋_GB2312"/>
          <w:sz w:val="24"/>
        </w:rPr>
        <w:t>时间</w:t>
      </w:r>
      <w:r>
        <w:rPr>
          <w:rFonts w:ascii="仿宋_GB2312" w:hAnsi="仿宋" w:eastAsia="仿宋_GB2312" w:cs="仿宋_GB2312"/>
          <w:sz w:val="24"/>
        </w:rPr>
        <w:t>内完成在线解密。</w:t>
      </w:r>
    </w:p>
    <w:p>
      <w:pPr>
        <w:pStyle w:val="558"/>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投标文件未按时解密，投标人提供了备份投标文件的，经投标人同意后以备份投标文件作为依据，否则视为投标文件撤回。投标文件已按时解密的，备份投标文件自动失效。</w:t>
      </w:r>
    </w:p>
    <w:p>
      <w:pPr>
        <w:pStyle w:val="558"/>
        <w:spacing w:before="0" w:line="360" w:lineRule="auto"/>
        <w:ind w:left="0" w:firstLine="0"/>
        <w:contextualSpacing/>
        <w:rPr>
          <w:rFonts w:ascii="仿宋_GB2312" w:hAnsi="仿宋" w:eastAsia="仿宋_GB2312" w:cs="仿宋_GB2312"/>
          <w:b/>
          <w:sz w:val="24"/>
        </w:rPr>
      </w:pPr>
      <w:r>
        <w:rPr>
          <w:rFonts w:ascii="仿宋_GB2312" w:hAnsi="仿宋" w:eastAsia="仿宋_GB2312" w:cs="仿宋_GB2312"/>
          <w:b/>
          <w:sz w:val="24"/>
        </w:rPr>
        <w:t>19</w:t>
      </w:r>
      <w:r>
        <w:rPr>
          <w:rFonts w:ascii="仿宋_GB2312" w:hAnsi="仿宋" w:eastAsia="仿宋_GB2312" w:cs="仿宋_GB2312"/>
          <w:b/>
          <w:sz w:val="24"/>
          <w:szCs w:val="24"/>
        </w:rPr>
        <w:t>.</w:t>
      </w:r>
      <w:r>
        <w:rPr>
          <w:rFonts w:ascii="仿宋_GB2312" w:hAnsi="仿宋" w:eastAsia="仿宋_GB2312" w:cs="仿宋_GB2312"/>
          <w:b/>
          <w:sz w:val="24"/>
        </w:rPr>
        <w:t>资格审查</w:t>
      </w:r>
    </w:p>
    <w:p>
      <w:pPr>
        <w:pStyle w:val="159"/>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19.1开标后，采购人或采购代理机构将依法对投标人的资格进行审查。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采购人或采购代理机构依据法律法规和招标文件的规定，对投标人的基本资格条件、特定资格条件进行审查。</w:t>
      </w:r>
    </w:p>
    <w:p>
      <w:pPr>
        <w:pStyle w:val="159"/>
        <w:spacing w:before="0"/>
        <w:ind w:firstLine="480"/>
        <w:rPr>
          <w:rFonts w:ascii="仿宋_GB2312" w:hAnsi="仿宋" w:eastAsia="仿宋_GB2312" w:cs="Arial"/>
          <w:kern w:val="0"/>
          <w:szCs w:val="24"/>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有效资格证明材料的，视为投标人不具备招标文件中规定的资格要求，其投标无效。</w:t>
      </w:r>
    </w:p>
    <w:p>
      <w:pPr>
        <w:pStyle w:val="159"/>
        <w:spacing w:before="0"/>
        <w:ind w:firstLine="480"/>
        <w:rPr>
          <w:rFonts w:ascii="仿宋_GB2312" w:hAnsi="仿宋" w:eastAsia="仿宋_GB2312" w:cs="Arial"/>
          <w:kern w:val="0"/>
          <w:szCs w:val="24"/>
        </w:rPr>
      </w:pPr>
      <w:r>
        <w:rPr>
          <w:rFonts w:ascii="仿宋_GB2312" w:hAnsi="仿宋" w:eastAsia="仿宋_GB2312" w:cs="Arial"/>
          <w:kern w:val="0"/>
          <w:szCs w:val="24"/>
        </w:rPr>
        <w:t>19.4对未通过资格审查的投标人，采购人或采购代理机构告知其未通过的原因。</w:t>
      </w:r>
    </w:p>
    <w:p>
      <w:pPr>
        <w:pStyle w:val="159"/>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59"/>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5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20.1信用信息查询渠道及截止时间：采购代理机构将通过“信用中国”网站(</w:t>
      </w:r>
      <w:r>
        <w:fldChar w:fldCharType="begin"/>
      </w:r>
      <w:r>
        <w:instrText xml:space="preserve"> HYPERLINK "http://www.creditchina" </w:instrText>
      </w:r>
      <w:r>
        <w:fldChar w:fldCharType="separate"/>
      </w:r>
      <w:r>
        <w:rPr>
          <w:rStyle w:val="76"/>
          <w:rFonts w:ascii="仿宋_GB2312" w:hAnsi="仿宋" w:eastAsia="仿宋_GB2312"/>
          <w:snapToGrid/>
          <w:sz w:val="24"/>
          <w:szCs w:val="24"/>
        </w:rPr>
        <w:t>www.creditchina</w:t>
      </w:r>
      <w:r>
        <w:rPr>
          <w:rStyle w:val="76"/>
          <w:rFonts w:ascii="仿宋_GB2312" w:hAnsi="仿宋" w:eastAsia="仿宋_GB2312"/>
          <w:snapToGrid/>
          <w:sz w:val="24"/>
          <w:szCs w:val="24"/>
        </w:rPr>
        <w:fldChar w:fldCharType="end"/>
      </w:r>
      <w:r>
        <w:rPr>
          <w:rFonts w:ascii="仿宋_GB2312" w:hAnsi="仿宋" w:eastAsia="仿宋_GB2312" w:cs="Arial"/>
          <w:kern w:val="0"/>
          <w:szCs w:val="24"/>
        </w:rPr>
        <w:t>.gov.cn)、中国政府采购网(</w:t>
      </w:r>
      <w:r>
        <w:fldChar w:fldCharType="begin"/>
      </w:r>
      <w:r>
        <w:instrText xml:space="preserve"> HYPERLINK "http://www.ccgp" </w:instrText>
      </w:r>
      <w:r>
        <w:fldChar w:fldCharType="separate"/>
      </w:r>
      <w:r>
        <w:rPr>
          <w:rStyle w:val="76"/>
          <w:rFonts w:ascii="仿宋_GB2312" w:hAnsi="仿宋" w:eastAsia="仿宋_GB2312"/>
          <w:snapToGrid/>
          <w:sz w:val="24"/>
          <w:szCs w:val="24"/>
        </w:rPr>
        <w:t>www.ccgp</w:t>
      </w:r>
      <w:r>
        <w:rPr>
          <w:rStyle w:val="76"/>
          <w:rFonts w:ascii="仿宋_GB2312" w:hAnsi="仿宋" w:eastAsia="仿宋_GB2312"/>
          <w:snapToGrid/>
          <w:sz w:val="24"/>
          <w:szCs w:val="24"/>
        </w:rPr>
        <w:fldChar w:fldCharType="end"/>
      </w:r>
      <w:r>
        <w:rPr>
          <w:rFonts w:ascii="仿宋_GB2312" w:hAnsi="仿宋" w:eastAsia="仿宋_GB2312" w:cs="Arial"/>
          <w:kern w:val="0"/>
          <w:szCs w:val="24"/>
        </w:rPr>
        <w:t>.gov.cn)渠道查询投标人投标截止时间当天的信用记录。</w:t>
      </w:r>
    </w:p>
    <w:p>
      <w:pPr>
        <w:pStyle w:val="15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5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59"/>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_GB2312" w:hAnsi="仿宋" w:eastAsia="仿宋_GB2312" w:cs="仿宋_GB2312"/>
          <w:b/>
          <w:sz w:val="24"/>
        </w:rPr>
        <w:t>详见招标文件第四部分评标办法。</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59"/>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5个工作日内通过电子交易平台在评审报告推荐的中标候选人中确定中标供应商</w:t>
      </w:r>
      <w:r>
        <w:rPr>
          <w:rFonts w:hint="eastAsia" w:ascii="仿宋_GB2312" w:hAnsi="仿宋" w:eastAsia="仿宋_GB2312" w:cs="仿宋_GB2312"/>
          <w:szCs w:val="24"/>
        </w:rPr>
        <w:t>，并将结果确认书面提交给采购代理机构</w:t>
      </w:r>
      <w:r>
        <w:rPr>
          <w:rFonts w:ascii="仿宋_GB2312" w:hAnsi="仿宋" w:eastAsia="仿宋_GB2312" w:cs="仿宋_GB2312"/>
          <w:szCs w:val="24"/>
        </w:rPr>
        <w:t>。</w:t>
      </w:r>
    </w:p>
    <w:p>
      <w:pPr>
        <w:pStyle w:val="159"/>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23.1自中标人确定之日起2个工作日内，采购代理机构通过电子交易平台向中标人发出中标通知书，</w:t>
      </w:r>
      <w:r>
        <w:rPr>
          <w:rFonts w:hint="eastAsia" w:ascii="仿宋_GB2312" w:hAnsi="仿宋" w:eastAsia="仿宋_GB2312" w:cs="仿宋_GB2312"/>
          <w:sz w:val="24"/>
        </w:rPr>
        <w:t>同时编制发布采购结果公告。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w:t>
      </w:r>
      <w:r>
        <w:rPr>
          <w:rFonts w:hint="eastAsia" w:ascii="仿宋_GB2312" w:hAnsi="仿宋" w:eastAsia="仿宋_GB2312" w:cs="仿宋_GB2312"/>
          <w:sz w:val="24"/>
        </w:rPr>
        <w:t>2</w:t>
      </w:r>
      <w:r>
        <w:rPr>
          <w:rFonts w:ascii="仿宋_GB2312" w:hAnsi="仿宋" w:eastAsia="仿宋_GB2312" w:cs="仿宋_GB2312"/>
          <w:sz w:val="24"/>
        </w:rPr>
        <w:t>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59"/>
        <w:snapToGrid w:val="0"/>
        <w:spacing w:before="0"/>
        <w:ind w:firstLine="480"/>
        <w:rPr>
          <w:rFonts w:ascii="仿宋_GB2312" w:hAnsi="仿宋" w:eastAsia="仿宋_GB2312"/>
          <w:kern w:val="0"/>
          <w:lang w:val="zh-CN"/>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59"/>
        <w:snapToGrid w:val="0"/>
        <w:spacing w:before="0"/>
        <w:ind w:firstLine="480"/>
        <w:rPr>
          <w:rFonts w:ascii="仿宋_GB2312" w:hAnsi="仿宋" w:eastAsia="仿宋_GB2312"/>
          <w:kern w:val="0"/>
        </w:rPr>
      </w:pPr>
      <w:r>
        <w:rPr>
          <w:rFonts w:ascii="仿宋_GB2312" w:hAnsi="仿宋" w:eastAsia="仿宋_GB2312" w:cs="仿宋_GB2312"/>
        </w:rPr>
        <w:t>25.3</w:t>
      </w:r>
      <w:r>
        <w:rPr>
          <w:rFonts w:hint="eastAsia" w:ascii="仿宋_GB2312" w:hAnsi="仿宋" w:eastAsia="仿宋_GB2312" w:cs="仿宋_GB2312"/>
        </w:rPr>
        <w:t>采购人对合同内容负责。合同金额200万元及以上的必须由法律顾问根据《政府采购法》、《民法典》等对合同条款进行审查，出具法律意见书后方可签订合同。对于合同金额200万元以下的项目，采购单位自行组织审查合同条款。</w:t>
      </w:r>
    </w:p>
    <w:p>
      <w:pPr>
        <w:pStyle w:val="159"/>
        <w:snapToGrid w:val="0"/>
        <w:spacing w:before="0"/>
        <w:ind w:firstLine="480"/>
        <w:rPr>
          <w:rFonts w:ascii="仿宋_GB2312" w:hAnsi="仿宋" w:eastAsia="仿宋_GB2312" w:cs="仿宋_GB2312"/>
        </w:rPr>
      </w:pPr>
      <w:r>
        <w:rPr>
          <w:rFonts w:ascii="仿宋_GB2312" w:hAnsi="仿宋" w:eastAsia="仿宋_GB2312" w:cs="仿宋_GB2312"/>
        </w:rPr>
        <w:t>25.4如签订合同并生效后，供应商无故拒绝或延期，除按照合同条款处理外，</w:t>
      </w:r>
      <w:r>
        <w:rPr>
          <w:rFonts w:hint="eastAsia" w:ascii="仿宋_GB2312" w:hAnsi="仿宋" w:eastAsia="仿宋_GB2312" w:cs="仿宋_GB2312"/>
        </w:rPr>
        <w:t>将上报政府采购监管部门予以处理</w:t>
      </w:r>
      <w:r>
        <w:rPr>
          <w:rFonts w:ascii="仿宋_GB2312" w:hAnsi="仿宋" w:eastAsia="仿宋_GB2312" w:cs="仿宋_GB2312"/>
        </w:rPr>
        <w:t>。</w:t>
      </w:r>
    </w:p>
    <w:p>
      <w:pPr>
        <w:pStyle w:val="159"/>
        <w:snapToGrid w:val="0"/>
        <w:spacing w:before="0"/>
        <w:ind w:firstLine="480"/>
        <w:rPr>
          <w:rFonts w:ascii="仿宋_GB2312" w:hAnsi="仿宋" w:eastAsia="仿宋_GB2312" w:cs="仿宋_GB2312"/>
        </w:rPr>
      </w:pPr>
      <w:r>
        <w:rPr>
          <w:rFonts w:ascii="仿宋_GB2312" w:hAnsi="仿宋" w:eastAsia="仿宋_GB2312" w:cs="仿宋_GB2312"/>
        </w:rPr>
        <w:t>25.5中标供应</w:t>
      </w:r>
      <w:r>
        <w:rPr>
          <w:rFonts w:hint="eastAsia" w:ascii="仿宋_GB2312" w:hAnsi="仿宋" w:eastAsia="仿宋_GB2312" w:cs="仿宋_GB2312"/>
        </w:rPr>
        <w:t>商拒绝与采购人签订合同的，采购人应当重新开展政府采购活动。</w:t>
      </w:r>
    </w:p>
    <w:p>
      <w:pPr>
        <w:pStyle w:val="159"/>
        <w:snapToGrid w:val="0"/>
        <w:spacing w:before="0" w:after="120"/>
        <w:ind w:firstLine="480"/>
        <w:rPr>
          <w:rFonts w:ascii="仿宋_GB2312" w:hAnsi="仿宋" w:eastAsia="仿宋_GB2312" w:cs="仿宋_GB2312"/>
        </w:rPr>
      </w:pPr>
      <w:r>
        <w:rPr>
          <w:rFonts w:ascii="仿宋_GB2312" w:hAnsi="仿宋" w:eastAsia="仿宋_GB2312" w:cs="仿宋_GB2312"/>
        </w:rPr>
        <w:t>25.6采购合同由采购人与中标供应商根据</w:t>
      </w:r>
      <w:r>
        <w:rPr>
          <w:rFonts w:hint="eastAsia" w:ascii="仿宋_GB2312" w:hAnsi="仿宋" w:eastAsia="仿宋_GB2312" w:cs="仿宋_GB2312"/>
        </w:rPr>
        <w:t>招标文件、投标文件等内容签订并公告。</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b/>
          <w:sz w:val="32"/>
        </w:rPr>
      </w:pPr>
      <w:r>
        <w:rPr>
          <w:rFonts w:hint="eastAsia" w:ascii="仿宋_GB2312" w:hAnsi="仿宋" w:eastAsia="仿宋_GB2312" w:cs="Helvetica"/>
          <w:kern w:val="0"/>
          <w:sz w:val="24"/>
        </w:rPr>
        <w:t>供应商可登录政府采购云平台-【金融服务】—【我的项目】—【已备案合同】以保函形式提供。政府采购云平台金融专线400-903-9583。</w:t>
      </w:r>
    </w:p>
    <w:p>
      <w:pPr>
        <w:snapToGrid w:val="0"/>
        <w:spacing w:line="360" w:lineRule="auto"/>
        <w:jc w:val="center"/>
        <w:rPr>
          <w:rFonts w:ascii="仿宋_GB2312" w:hAnsi="仿宋" w:eastAsia="仿宋_GB2312"/>
          <w:b/>
          <w:sz w:val="24"/>
        </w:rPr>
      </w:pPr>
      <w:r>
        <w:rPr>
          <w:rFonts w:hint="eastAsia" w:ascii="仿宋_GB2312" w:hAnsi="仿宋" w:eastAsia="仿宋_GB2312" w:cs="仿宋_GB2312"/>
          <w:b/>
          <w:sz w:val="32"/>
        </w:rPr>
        <w:t>八、电子交易活动的中止</w:t>
      </w:r>
    </w:p>
    <w:p>
      <w:pPr>
        <w:pStyle w:val="159"/>
        <w:snapToGrid w:val="0"/>
        <w:spacing w:before="0"/>
        <w:ind w:firstLine="0" w:firstLineChars="0"/>
        <w:rPr>
          <w:rFonts w:ascii="仿宋_GB2312" w:hAnsi="仿宋" w:eastAsia="仿宋_GB2312" w:cs="仿宋_GB2312"/>
        </w:rPr>
      </w:pPr>
      <w:r>
        <w:rPr>
          <w:rFonts w:ascii="仿宋_GB2312" w:hAnsi="仿宋" w:eastAsia="仿宋_GB2312" w:cs="仿宋_GB2312"/>
          <w:b/>
          <w:bCs/>
        </w:rPr>
        <w:t xml:space="preserve">27.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采购过程中出现以下情形，导致电子交易平台无法正常运行，或者无法保证电子交易的公平、公正和安全时，采购代理机构可中止电子交易活动：</w:t>
      </w:r>
    </w:p>
    <w:p>
      <w:pPr>
        <w:pStyle w:val="159"/>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59"/>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59"/>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59"/>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59"/>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59"/>
        <w:snapToGrid w:val="0"/>
        <w:spacing w:before="0"/>
        <w:ind w:firstLine="0" w:firstLineChars="0"/>
        <w:rPr>
          <w:rFonts w:ascii="仿宋_GB2312" w:hAnsi="仿宋" w:eastAsia="仿宋_GB2312" w:cs="仿宋_GB2312"/>
        </w:rPr>
      </w:pPr>
      <w:r>
        <w:rPr>
          <w:rFonts w:ascii="仿宋_GB2312" w:hAnsi="仿宋" w:eastAsia="仿宋_GB2312" w:cs="仿宋_GB2312"/>
          <w:b/>
          <w:bCs/>
        </w:rPr>
        <w:t>28.</w:t>
      </w:r>
      <w:r>
        <w:rPr>
          <w:rFonts w:ascii="仿宋_GB2312" w:hAnsi="仿宋" w:eastAsia="仿宋_GB2312" w:cs="仿宋_GB2312"/>
        </w:rPr>
        <w:t>出现以上情形，不影响采购公平、公正性的，采购组织机构可以待上述情形消除后继续组织电子交易活动，也可以决定某些环节以纸质形式进行；影响或可能影响采购公平、公正性的，</w:t>
      </w:r>
      <w:r>
        <w:rPr>
          <w:rFonts w:hint="eastAsia" w:ascii="仿宋_GB2312" w:hAnsi="仿宋" w:eastAsia="仿宋_GB2312" w:cs="仿宋_GB2312"/>
        </w:rPr>
        <w:t>报告政府采购监管部门并组织重新采购</w:t>
      </w:r>
      <w:r>
        <w:rPr>
          <w:rFonts w:ascii="仿宋_GB2312" w:hAnsi="仿宋" w:eastAsia="仿宋_GB2312" w:cs="仿宋_GB2312"/>
        </w:rPr>
        <w:t>。</w:t>
      </w: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4"/>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w:t>
      </w:r>
      <w:r>
        <w:rPr>
          <w:rFonts w:hint="eastAsia" w:ascii="仿宋_GB2312" w:hAnsi="仿宋" w:eastAsia="仿宋_GB2312" w:cs="Helvetica"/>
          <w:kern w:val="0"/>
          <w:sz w:val="24"/>
        </w:rPr>
        <w:t>，相关费用原则上由采购人支付（采购需求另行规定的除外）</w:t>
      </w:r>
      <w:r>
        <w:rPr>
          <w:rFonts w:ascii="仿宋_GB2312" w:hAnsi="仿宋" w:eastAsia="仿宋_GB2312" w:cs="Helvetica"/>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bookmarkStart w:id="14" w:name="_Hlt75236290"/>
      <w:bookmarkEnd w:id="14"/>
      <w:bookmarkStart w:id="15" w:name="_Hlt75236011"/>
      <w:bookmarkEnd w:id="15"/>
      <w:bookmarkStart w:id="16" w:name="_Hlt74707468"/>
      <w:bookmarkEnd w:id="16"/>
      <w:bookmarkStart w:id="17" w:name="_Hlt74730295"/>
      <w:bookmarkEnd w:id="17"/>
      <w:bookmarkStart w:id="18" w:name="_Hlt68072990"/>
      <w:bookmarkEnd w:id="18"/>
      <w:bookmarkStart w:id="19" w:name="_Hlt68073093"/>
      <w:bookmarkEnd w:id="19"/>
      <w:bookmarkStart w:id="20" w:name="_Hlt74729768"/>
      <w:bookmarkEnd w:id="20"/>
      <w:bookmarkStart w:id="21" w:name="_Hlt68403820"/>
      <w:bookmarkEnd w:id="21"/>
      <w:bookmarkStart w:id="22" w:name="_Hlt75236101"/>
      <w:bookmarkEnd w:id="22"/>
      <w:bookmarkStart w:id="23" w:name="_Hlt68057669"/>
      <w:bookmarkEnd w:id="23"/>
      <w:bookmarkStart w:id="24" w:name="_Hlt68072998"/>
      <w:bookmarkEnd w:id="24"/>
      <w:bookmarkStart w:id="25" w:name="_Hlt74714665"/>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tbl>
      <w:tblPr>
        <w:tblStyle w:val="62"/>
        <w:tblW w:w="8907"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6"/>
        <w:gridCol w:w="4515"/>
        <w:gridCol w:w="3186"/>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07" w:type="dxa"/>
            <w:gridSpan w:val="3"/>
            <w:tcBorders>
              <w:top w:val="double" w:color="000000" w:sz="4" w:space="0"/>
              <w:left w:val="double" w:color="000000" w:sz="4" w:space="0"/>
              <w:bottom w:val="single" w:color="000000" w:sz="4" w:space="0"/>
              <w:right w:val="double" w:color="000000" w:sz="4" w:space="0"/>
            </w:tcBorders>
            <w:vAlign w:val="center"/>
          </w:tcPr>
          <w:p>
            <w:r>
              <w:rPr>
                <w:rFonts w:hint="eastAsia"/>
              </w:rPr>
              <w:t>1.总体要求</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07" w:type="dxa"/>
            <w:gridSpan w:val="3"/>
            <w:tcBorders>
              <w:top w:val="single" w:color="000000" w:sz="4" w:space="0"/>
              <w:left w:val="double" w:color="000000" w:sz="4" w:space="0"/>
              <w:bottom w:val="single" w:color="000000" w:sz="4" w:space="0"/>
              <w:right w:val="double" w:color="000000" w:sz="4" w:space="0"/>
            </w:tcBorders>
            <w:vAlign w:val="center"/>
          </w:tcPr>
          <w:p>
            <w:r>
              <w:rPr>
                <w:rFonts w:hint="eastAsia"/>
              </w:rPr>
              <w:t>投标机型为各公司高档超导磁共振机型。各个厂家均提供光纤数字化平台的产品。</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07" w:type="dxa"/>
            <w:gridSpan w:val="3"/>
            <w:tcBorders>
              <w:top w:val="single" w:color="000000" w:sz="4" w:space="0"/>
              <w:left w:val="double" w:color="000000" w:sz="4" w:space="0"/>
              <w:bottom w:val="single" w:color="000000" w:sz="4" w:space="0"/>
              <w:right w:val="double" w:color="000000" w:sz="4" w:space="0"/>
            </w:tcBorders>
            <w:vAlign w:val="center"/>
          </w:tcPr>
          <w:p>
            <w:r>
              <w:rPr>
                <w:rFonts w:hint="eastAsia"/>
              </w:rPr>
              <w:t>2. 磁体系统</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2.1</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磁体类型</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超导磁体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bookmarkStart w:id="27" w:name="_Hlk111719180"/>
            <w:r>
              <w:rPr>
                <w:rFonts w:hint="eastAsia"/>
              </w:rPr>
              <w:t>★2.2</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磁场强度</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&lt;1.5T</w:t>
            </w:r>
          </w:p>
          <w:bookmarkEnd w:id="27"/>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2.3</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屏蔽方式</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主动屏蔽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2.4</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抗外界电磁干扰屏蔽技术</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2.5</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三维动态匀场</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2.6</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匀场时间</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≤6秒</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2.7</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5高斯线范围</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≤4.0X2.5 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tcPr>
          <w:p>
            <w:r>
              <w:rPr>
                <w:rFonts w:hint="eastAsia"/>
              </w:rPr>
              <w:t>2.8</w:t>
            </w:r>
          </w:p>
        </w:tc>
        <w:tc>
          <w:tcPr>
            <w:tcW w:w="4515" w:type="dxa"/>
            <w:tcBorders>
              <w:top w:val="single" w:color="000000" w:sz="4" w:space="0"/>
              <w:left w:val="single" w:color="000000" w:sz="4" w:space="0"/>
              <w:bottom w:val="single" w:color="000000" w:sz="4" w:space="0"/>
              <w:right w:val="single" w:color="000000" w:sz="4" w:space="0"/>
            </w:tcBorders>
          </w:tcPr>
          <w:p>
            <w:r>
              <w:rPr>
                <w:rFonts w:hint="eastAsia"/>
              </w:rPr>
              <w:t>磁场均匀度(V-RMS，典型值，24平面32点法)</w:t>
            </w:r>
          </w:p>
        </w:tc>
        <w:tc>
          <w:tcPr>
            <w:tcW w:w="3186" w:type="dxa"/>
            <w:tcBorders>
              <w:top w:val="single" w:color="000000" w:sz="4" w:space="0"/>
              <w:left w:val="single" w:color="000000" w:sz="4" w:space="0"/>
              <w:bottom w:val="single" w:color="000000" w:sz="4" w:space="0"/>
              <w:right w:val="double" w:color="000000" w:sz="4" w:space="0"/>
            </w:tcBorders>
          </w:tc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tcPr>
          <w:p>
            <w:r>
              <w:rPr>
                <w:rFonts w:hint="eastAsia"/>
              </w:rPr>
              <w:t>2.8.1</w:t>
            </w:r>
          </w:p>
        </w:tc>
        <w:tc>
          <w:tcPr>
            <w:tcW w:w="4515" w:type="dxa"/>
            <w:tcBorders>
              <w:top w:val="single" w:color="000000" w:sz="4" w:space="0"/>
              <w:left w:val="single" w:color="000000" w:sz="4" w:space="0"/>
              <w:bottom w:val="single" w:color="000000" w:sz="4" w:space="0"/>
              <w:right w:val="single" w:color="000000" w:sz="4" w:space="0"/>
            </w:tcBorders>
          </w:tcPr>
          <w:p>
            <w:r>
              <w:rPr>
                <w:rFonts w:hint="eastAsia"/>
              </w:rPr>
              <w:t>10 cm DSV</w:t>
            </w:r>
          </w:p>
        </w:tc>
        <w:tc>
          <w:tcPr>
            <w:tcW w:w="3186" w:type="dxa"/>
            <w:tcBorders>
              <w:top w:val="single" w:color="000000" w:sz="4" w:space="0"/>
              <w:left w:val="single" w:color="000000" w:sz="4" w:space="0"/>
              <w:bottom w:val="single" w:color="000000" w:sz="4" w:space="0"/>
              <w:right w:val="double" w:color="000000" w:sz="4" w:space="0"/>
            </w:tcBorders>
          </w:tcPr>
          <w:p>
            <w:r>
              <w:rPr>
                <w:rFonts w:hint="eastAsia"/>
              </w:rPr>
              <w:t>≤0.007ppm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tcPr>
          <w:p>
            <w:r>
              <w:rPr>
                <w:rFonts w:hint="eastAsia"/>
              </w:rPr>
              <w:t>2.8.2</w:t>
            </w:r>
          </w:p>
        </w:tc>
        <w:tc>
          <w:tcPr>
            <w:tcW w:w="4515" w:type="dxa"/>
            <w:tcBorders>
              <w:top w:val="single" w:color="000000" w:sz="4" w:space="0"/>
              <w:left w:val="single" w:color="000000" w:sz="4" w:space="0"/>
              <w:bottom w:val="single" w:color="000000" w:sz="4" w:space="0"/>
              <w:right w:val="single" w:color="000000" w:sz="4" w:space="0"/>
            </w:tcBorders>
          </w:tcPr>
          <w:p>
            <w:r>
              <w:rPr>
                <w:rFonts w:hint="eastAsia"/>
              </w:rPr>
              <w:t>20 cm DSV</w:t>
            </w:r>
          </w:p>
        </w:tc>
        <w:tc>
          <w:tcPr>
            <w:tcW w:w="3186" w:type="dxa"/>
            <w:tcBorders>
              <w:top w:val="single" w:color="000000" w:sz="4" w:space="0"/>
              <w:left w:val="single" w:color="000000" w:sz="4" w:space="0"/>
              <w:bottom w:val="single" w:color="000000" w:sz="4" w:space="0"/>
              <w:right w:val="double" w:color="000000" w:sz="4" w:space="0"/>
            </w:tcBorders>
          </w:tcPr>
          <w:p>
            <w:r>
              <w:rPr>
                <w:rFonts w:hint="eastAsia"/>
              </w:rPr>
              <w:t>≤0.035ppm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tcPr>
          <w:p>
            <w:r>
              <w:rPr>
                <w:rFonts w:hint="eastAsia"/>
              </w:rPr>
              <w:t>2.8.3</w:t>
            </w:r>
          </w:p>
        </w:tc>
        <w:tc>
          <w:tcPr>
            <w:tcW w:w="4515" w:type="dxa"/>
            <w:tcBorders>
              <w:top w:val="single" w:color="000000" w:sz="4" w:space="0"/>
              <w:left w:val="single" w:color="000000" w:sz="4" w:space="0"/>
              <w:bottom w:val="single" w:color="000000" w:sz="4" w:space="0"/>
              <w:right w:val="single" w:color="000000" w:sz="4" w:space="0"/>
            </w:tcBorders>
          </w:tcPr>
          <w:p>
            <w:r>
              <w:rPr>
                <w:rFonts w:hint="eastAsia"/>
              </w:rPr>
              <w:t>30 cm DSV</w:t>
            </w:r>
          </w:p>
        </w:tc>
        <w:tc>
          <w:tcPr>
            <w:tcW w:w="3186" w:type="dxa"/>
            <w:tcBorders>
              <w:top w:val="single" w:color="000000" w:sz="4" w:space="0"/>
              <w:left w:val="single" w:color="000000" w:sz="4" w:space="0"/>
              <w:bottom w:val="single" w:color="000000" w:sz="4" w:space="0"/>
              <w:right w:val="double" w:color="000000" w:sz="4" w:space="0"/>
            </w:tcBorders>
          </w:tcPr>
          <w:p>
            <w:r>
              <w:rPr>
                <w:rFonts w:hint="eastAsia"/>
              </w:rPr>
              <w:t>≤0.1ppm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tcPr>
          <w:p>
            <w:r>
              <w:rPr>
                <w:rFonts w:hint="eastAsia"/>
              </w:rPr>
              <w:t>2.8.4</w:t>
            </w:r>
          </w:p>
        </w:tc>
        <w:tc>
          <w:tcPr>
            <w:tcW w:w="4515" w:type="dxa"/>
            <w:tcBorders>
              <w:top w:val="single" w:color="000000" w:sz="4" w:space="0"/>
              <w:left w:val="single" w:color="000000" w:sz="4" w:space="0"/>
              <w:bottom w:val="single" w:color="000000" w:sz="4" w:space="0"/>
              <w:right w:val="single" w:color="000000" w:sz="4" w:space="0"/>
            </w:tcBorders>
          </w:tcPr>
          <w:p>
            <w:r>
              <w:rPr>
                <w:rFonts w:hint="eastAsia"/>
              </w:rPr>
              <w:t>40 cm DSV</w:t>
            </w:r>
          </w:p>
        </w:tc>
        <w:tc>
          <w:tcPr>
            <w:tcW w:w="3186" w:type="dxa"/>
            <w:tcBorders>
              <w:top w:val="single" w:color="000000" w:sz="4" w:space="0"/>
              <w:left w:val="single" w:color="000000" w:sz="4" w:space="0"/>
              <w:bottom w:val="single" w:color="000000" w:sz="4" w:space="0"/>
              <w:right w:val="double" w:color="000000" w:sz="4" w:space="0"/>
            </w:tcBorders>
          </w:tcPr>
          <w:p>
            <w:r>
              <w:rPr>
                <w:rFonts w:hint="eastAsia"/>
              </w:rPr>
              <w:t>≤0.4ppm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2.9</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液氦消耗量</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零消耗</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bookmarkStart w:id="28" w:name="_Hlk111719198"/>
            <w:r>
              <w:rPr>
                <w:rFonts w:hint="eastAsia"/>
              </w:rPr>
              <w:t>★2.10</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液氦腔容量</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≥1300L</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★2.11</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磁体长度（不含外壳）</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≥1</w:t>
            </w:r>
            <w:r>
              <w:t>57</w:t>
            </w:r>
            <w:r>
              <w:rPr>
                <w:rFonts w:hint="eastAsia"/>
              </w:rPr>
              <w:t xml:space="preserve">cm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2.12</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病人检查通道最窄孔径</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≤60 cm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ascii="宋体" w:hAnsi="宋体" w:cs="宋体"/>
                <w:sz w:val="24"/>
              </w:rPr>
              <w:t>△</w:t>
            </w:r>
            <w:r>
              <w:rPr>
                <w:rFonts w:hint="eastAsia"/>
              </w:rPr>
              <w:t>2.13</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磁体重量（含液氦）</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≥5吨</w:t>
            </w:r>
          </w:p>
          <w:bookmarkEnd w:id="28"/>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07" w:type="dxa"/>
            <w:gridSpan w:val="3"/>
            <w:tcBorders>
              <w:top w:val="single" w:color="000000" w:sz="4" w:space="0"/>
              <w:left w:val="double" w:color="000000" w:sz="4" w:space="0"/>
              <w:bottom w:val="single" w:color="000000" w:sz="4" w:space="0"/>
              <w:right w:val="double" w:color="000000" w:sz="4" w:space="0"/>
            </w:tcBorders>
            <w:vAlign w:val="center"/>
          </w:tcPr>
          <w:p>
            <w:r>
              <w:rPr>
                <w:rFonts w:hint="eastAsia"/>
              </w:rPr>
              <w:t>3. 梯度系统</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3.1</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最大单轴梯度场强(非有效值)</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≥33mT/m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★3.2</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最大单轴梯度切换率(非有效值)</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≥1</w:t>
            </w:r>
            <w:r>
              <w:t>20</w:t>
            </w:r>
            <w:r>
              <w:rPr>
                <w:rFonts w:hint="eastAsia"/>
              </w:rPr>
              <w:t xml:space="preserve"> T/m/s</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3.3</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最大单轴梯度场强和最大单轴梯度切换率同时达到</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满足</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3.4</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最大X、Y、Z轴扫描FOV</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≥50 cm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3.5</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梯度工作方式</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非共振式</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3.6</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软件降噪技术</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3.7</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硬件降噪技术</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3.8</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梯度线圈冷却</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水冷</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3.9</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梯度放大器冷却</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水冷</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3.10</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梯度控制技术</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全数字实时发射接收</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3.11</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工作周期</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100%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07" w:type="dxa"/>
            <w:gridSpan w:val="3"/>
            <w:tcBorders>
              <w:top w:val="single" w:color="000000" w:sz="4" w:space="0"/>
              <w:left w:val="double" w:color="000000" w:sz="4" w:space="0"/>
              <w:bottom w:val="single" w:color="000000" w:sz="4" w:space="0"/>
              <w:right w:val="double" w:color="000000" w:sz="4" w:space="0"/>
            </w:tcBorders>
            <w:vAlign w:val="center"/>
          </w:tcPr>
          <w:p>
            <w:r>
              <w:rPr>
                <w:rFonts w:hint="eastAsia"/>
              </w:rPr>
              <w:t>4. 射频系统</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4.1</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射频系统</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光纤射频系统，模数转换器内置于磁体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4.2</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射频放大器</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固态前放</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bookmarkStart w:id="29" w:name="OLE_LINK2"/>
            <w:r>
              <w:rPr>
                <w:rFonts w:hint="eastAsia" w:ascii="宋体" w:hAnsi="宋体" w:cs="宋体"/>
                <w:sz w:val="24"/>
              </w:rPr>
              <w:t>△</w:t>
            </w:r>
            <w:r>
              <w:rPr>
                <w:rFonts w:hint="eastAsia"/>
              </w:rPr>
              <w:t>4.3</w:t>
            </w:r>
            <w:bookmarkEnd w:id="29"/>
          </w:p>
        </w:tc>
        <w:tc>
          <w:tcPr>
            <w:tcW w:w="4515" w:type="dxa"/>
            <w:tcBorders>
              <w:top w:val="single" w:color="000000" w:sz="4" w:space="0"/>
              <w:left w:val="single" w:color="000000" w:sz="4" w:space="0"/>
              <w:bottom w:val="single" w:color="000000" w:sz="4" w:space="0"/>
              <w:right w:val="single" w:color="000000" w:sz="4" w:space="0"/>
            </w:tcBorders>
            <w:vAlign w:val="center"/>
          </w:tcPr>
          <w:p>
            <w:bookmarkStart w:id="30" w:name="OLE_LINK3"/>
            <w:r>
              <w:rPr>
                <w:rFonts w:hint="eastAsia"/>
              </w:rPr>
              <w:t>射频发射功率</w:t>
            </w:r>
            <w:bookmarkEnd w:id="30"/>
          </w:p>
        </w:tc>
        <w:tc>
          <w:tcPr>
            <w:tcW w:w="3186" w:type="dxa"/>
            <w:tcBorders>
              <w:top w:val="single" w:color="000000" w:sz="4" w:space="0"/>
              <w:left w:val="single" w:color="000000" w:sz="4" w:space="0"/>
              <w:bottom w:val="single" w:color="000000" w:sz="4" w:space="0"/>
              <w:right w:val="double" w:color="000000" w:sz="4" w:space="0"/>
            </w:tcBorders>
            <w:vAlign w:val="center"/>
          </w:tcPr>
          <w:p>
            <w:bookmarkStart w:id="31" w:name="OLE_LINK4"/>
            <w:r>
              <w:rPr>
                <w:rFonts w:hint="eastAsia"/>
              </w:rPr>
              <w:t>≤12kW</w:t>
            </w:r>
            <w:bookmarkEnd w:id="31"/>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ascii="宋体" w:hAnsi="宋体" w:cs="宋体"/>
                <w:sz w:val="24"/>
              </w:rPr>
              <w:t>△</w:t>
            </w:r>
            <w:r>
              <w:rPr>
                <w:rFonts w:hint="eastAsia"/>
              </w:rPr>
              <w:t>4.4</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头部射频发射功率</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≤2kW</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ascii="宋体" w:hAnsi="宋体" w:cs="宋体"/>
                <w:sz w:val="24"/>
              </w:rPr>
              <w:t>△</w:t>
            </w:r>
            <w:r>
              <w:rPr>
                <w:rFonts w:hint="eastAsia"/>
              </w:rPr>
              <w:t>4.5</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射频发射带宽</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≥1300kHz</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4.6</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系统并行终端传输可用通道数</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≥8</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4.7</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系统并行终端传输可用ADC个数</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≥8</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4.8</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各通道接收带宽</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≥1MHz</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4.9</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射频接收采样率(Sampling Rate)</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≥80MHz</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4.10</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射频线圈扫描自动调谐技术</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5.</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射频接收线圈</w:t>
            </w:r>
          </w:p>
        </w:tc>
        <w:tc>
          <w:tcPr>
            <w:tcW w:w="3186" w:type="dxa"/>
            <w:tcBorders>
              <w:top w:val="single" w:color="000000" w:sz="4" w:space="0"/>
              <w:left w:val="single" w:color="000000" w:sz="4" w:space="0"/>
              <w:bottom w:val="single" w:color="000000" w:sz="4" w:space="0"/>
              <w:right w:val="double" w:color="000000" w:sz="4" w:space="0"/>
            </w:tcBorders>
            <w:vAlign w:val="center"/>
          </w:tc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vMerge w:val="restart"/>
            <w:tcBorders>
              <w:top w:val="single" w:color="000000" w:sz="4" w:space="0"/>
              <w:left w:val="double" w:color="000000" w:sz="4" w:space="0"/>
              <w:bottom w:val="single" w:color="000000" w:sz="4" w:space="0"/>
              <w:right w:val="single" w:color="000000" w:sz="4" w:space="0"/>
            </w:tcBorders>
            <w:vAlign w:val="center"/>
          </w:tcPr>
          <w:p>
            <w:r>
              <w:rPr>
                <w:rFonts w:hint="eastAsia"/>
              </w:rPr>
              <w:t>5.1</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各线圈均需支持并行采集功能并兼容EPI序列</w:t>
            </w:r>
          </w:p>
        </w:tc>
        <w:tc>
          <w:tcPr>
            <w:tcW w:w="3186" w:type="dxa"/>
            <w:tcBorders>
              <w:top w:val="single" w:color="000000" w:sz="4" w:space="0"/>
              <w:left w:val="single" w:color="000000" w:sz="4" w:space="0"/>
              <w:bottom w:val="single" w:color="000000" w:sz="4" w:space="0"/>
              <w:right w:val="double" w:color="000000" w:sz="4" w:space="0"/>
            </w:tcBorders>
            <w:vAlign w:val="center"/>
          </w:tc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vMerge w:val="continue"/>
            <w:tcBorders>
              <w:top w:val="single" w:color="000000" w:sz="4" w:space="0"/>
              <w:left w:val="double" w:color="000000" w:sz="4" w:space="0"/>
              <w:bottom w:val="single" w:color="000000" w:sz="4" w:space="0"/>
              <w:right w:val="single" w:color="000000" w:sz="4" w:space="0"/>
            </w:tcBorders>
            <w:vAlign w:val="center"/>
          </w:tcP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头颈联合线圈≥16通道：壹套</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提供</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vMerge w:val="continue"/>
            <w:tcBorders>
              <w:top w:val="single" w:color="000000" w:sz="4" w:space="0"/>
              <w:left w:val="double" w:color="000000" w:sz="4" w:space="0"/>
              <w:bottom w:val="single" w:color="000000" w:sz="4" w:space="0"/>
              <w:right w:val="single" w:color="000000" w:sz="4" w:space="0"/>
            </w:tcBorders>
            <w:vAlign w:val="center"/>
          </w:tcP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体部线圈≥9通道：壹套</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提供</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vMerge w:val="continue"/>
            <w:tcBorders>
              <w:top w:val="single" w:color="000000" w:sz="4" w:space="0"/>
              <w:left w:val="double" w:color="000000" w:sz="4" w:space="0"/>
              <w:bottom w:val="single" w:color="000000" w:sz="4" w:space="0"/>
              <w:right w:val="single" w:color="000000" w:sz="4" w:space="0"/>
            </w:tcBorders>
            <w:vAlign w:val="center"/>
          </w:tcP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全脊柱线圈≥12通道：壹套</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提供</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vMerge w:val="continue"/>
            <w:tcBorders>
              <w:top w:val="single" w:color="000000" w:sz="4" w:space="0"/>
              <w:left w:val="double" w:color="000000" w:sz="4" w:space="0"/>
              <w:bottom w:val="single" w:color="000000" w:sz="4" w:space="0"/>
              <w:right w:val="single" w:color="000000" w:sz="4" w:space="0"/>
            </w:tcBorders>
            <w:vAlign w:val="center"/>
          </w:tcP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正交发射接收体线圈（可用于外周血管成像）：壹套</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提供</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vMerge w:val="continue"/>
            <w:tcBorders>
              <w:top w:val="single" w:color="000000" w:sz="4" w:space="0"/>
              <w:left w:val="double" w:color="000000" w:sz="4" w:space="0"/>
              <w:bottom w:val="single" w:color="000000" w:sz="4" w:space="0"/>
              <w:right w:val="single" w:color="000000" w:sz="4" w:space="0"/>
            </w:tcBorders>
            <w:vAlign w:val="center"/>
          </w:tcP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相控阵柔软线圈（大号）≥4通道：壹套</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提供</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vMerge w:val="continue"/>
            <w:tcBorders>
              <w:top w:val="single" w:color="000000" w:sz="4" w:space="0"/>
              <w:left w:val="double" w:color="000000" w:sz="4" w:space="0"/>
              <w:bottom w:val="single" w:color="000000" w:sz="4" w:space="0"/>
              <w:right w:val="single" w:color="000000" w:sz="4" w:space="0"/>
            </w:tcBorders>
            <w:vAlign w:val="center"/>
          </w:tcP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相控阵柔软线圈（小号）≥4通道：壹套</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提供</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vMerge w:val="continue"/>
            <w:tcBorders>
              <w:top w:val="single" w:color="000000" w:sz="4" w:space="0"/>
              <w:left w:val="double" w:color="000000" w:sz="4" w:space="0"/>
              <w:bottom w:val="single" w:color="000000" w:sz="4" w:space="0"/>
              <w:right w:val="single" w:color="000000" w:sz="4" w:space="0"/>
            </w:tcBorders>
            <w:vAlign w:val="center"/>
          </w:tcP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乳腺相控阵线圈≥8通道：壹套</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提供</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vMerge w:val="continue"/>
            <w:tcBorders>
              <w:top w:val="single" w:color="000000" w:sz="4" w:space="0"/>
              <w:left w:val="double" w:color="000000" w:sz="4" w:space="0"/>
              <w:bottom w:val="single" w:color="000000" w:sz="4" w:space="0"/>
              <w:right w:val="single" w:color="000000" w:sz="4" w:space="0"/>
            </w:tcBorders>
            <w:vAlign w:val="center"/>
          </w:tcP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肩关节相控阵线圈：壹套</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提供</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vMerge w:val="continue"/>
            <w:tcBorders>
              <w:top w:val="single" w:color="000000" w:sz="4" w:space="0"/>
              <w:left w:val="double" w:color="000000" w:sz="4" w:space="0"/>
              <w:bottom w:val="single" w:color="000000" w:sz="4" w:space="0"/>
              <w:right w:val="single" w:color="000000" w:sz="4" w:space="0"/>
            </w:tcBorders>
            <w:vAlign w:val="center"/>
          </w:tcP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膝关节硬质线圈：壹套</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提供</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07" w:type="dxa"/>
            <w:gridSpan w:val="3"/>
            <w:tcBorders>
              <w:top w:val="single" w:color="000000" w:sz="4" w:space="0"/>
              <w:left w:val="double" w:color="000000" w:sz="4" w:space="0"/>
              <w:bottom w:val="single" w:color="000000" w:sz="4" w:space="0"/>
              <w:right w:val="double" w:color="000000" w:sz="4" w:space="0"/>
            </w:tcBorders>
            <w:vAlign w:val="center"/>
          </w:tcPr>
          <w:p>
            <w:r>
              <w:rPr>
                <w:rFonts w:hint="eastAsia"/>
              </w:rPr>
              <w:t>6. 计算机系统</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6.1</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主计算机CPU</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≥四核</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6.2</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CPU个数</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≥4个</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6.3</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CPU位数</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≥64位</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6.4</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主频大小</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≥3.6GHz</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6.5</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内存大小</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 xml:space="preserve">≥64GB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6.6</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计算机显示器</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≥24英寸彩色LCD</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6.7</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显示器分辨率</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≥1920×1200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6.8</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硬盘容量</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 xml:space="preserve">≥1024GB SSD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6.9</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数据存储形式</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CD/DVD</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6.10</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阵列处理器主频</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≥2.1GHz</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6.11</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阵列处理器内存</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≥64GB</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6.12</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阵列处理器硬盘</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 xml:space="preserve">≥480GB SSD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6.13</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图像存储数(256X256无压缩)</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 xml:space="preserve">≥3,000,000幅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vMerge w:val="restart"/>
            <w:tcBorders>
              <w:top w:val="single" w:color="000000" w:sz="4" w:space="0"/>
              <w:left w:val="double" w:color="000000" w:sz="4" w:space="0"/>
              <w:bottom w:val="single" w:color="000000" w:sz="4" w:space="0"/>
              <w:right w:val="single" w:color="000000" w:sz="4" w:space="0"/>
            </w:tcBorders>
            <w:vAlign w:val="center"/>
          </w:tcPr>
          <w:p>
            <w:r>
              <w:rPr>
                <w:rFonts w:hint="eastAsia"/>
              </w:rPr>
              <w:t>6.14</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图像重建速度</w:t>
            </w:r>
          </w:p>
        </w:tc>
        <w:tc>
          <w:tcPr>
            <w:tcW w:w="3186" w:type="dxa"/>
            <w:vMerge w:val="restart"/>
            <w:tcBorders>
              <w:top w:val="single" w:color="000000" w:sz="4" w:space="0"/>
              <w:left w:val="single" w:color="000000" w:sz="4" w:space="0"/>
              <w:bottom w:val="single" w:color="000000" w:sz="4" w:space="0"/>
              <w:right w:val="double" w:color="000000" w:sz="4" w:space="0"/>
            </w:tcBorders>
            <w:vAlign w:val="center"/>
          </w:tcPr>
          <w:p>
            <w:r>
              <w:rPr>
                <w:rFonts w:hint="eastAsia"/>
              </w:rPr>
              <w:t>≥37000幅/秒</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vMerge w:val="continue"/>
            <w:tcBorders>
              <w:top w:val="single" w:color="000000" w:sz="4" w:space="0"/>
              <w:left w:val="double" w:color="000000" w:sz="4" w:space="0"/>
              <w:bottom w:val="single" w:color="000000" w:sz="4" w:space="0"/>
              <w:right w:val="single" w:color="000000" w:sz="4" w:space="0"/>
            </w:tcBorders>
            <w:vAlign w:val="center"/>
          </w:tcP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(256X256, 100% FOV)</w:t>
            </w:r>
          </w:p>
        </w:tc>
        <w:tc>
          <w:tcPr>
            <w:tcW w:w="3186" w:type="dxa"/>
            <w:vMerge w:val="continue"/>
            <w:tcBorders>
              <w:top w:val="single" w:color="000000" w:sz="4" w:space="0"/>
              <w:left w:val="single" w:color="000000" w:sz="4" w:space="0"/>
              <w:bottom w:val="single" w:color="000000" w:sz="4" w:space="0"/>
              <w:right w:val="double" w:color="000000" w:sz="4" w:space="0"/>
            </w:tcBorders>
            <w:vAlign w:val="center"/>
          </w:tc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vMerge w:val="restart"/>
            <w:tcBorders>
              <w:top w:val="single" w:color="000000" w:sz="4" w:space="0"/>
              <w:left w:val="double" w:color="000000" w:sz="4" w:space="0"/>
              <w:bottom w:val="single" w:color="000000" w:sz="4" w:space="0"/>
              <w:right w:val="single" w:color="000000" w:sz="4" w:space="0"/>
            </w:tcBorders>
            <w:vAlign w:val="center"/>
          </w:tcPr>
          <w:p>
            <w:r>
              <w:rPr>
                <w:rFonts w:hint="eastAsia"/>
              </w:rPr>
              <w:t>6.15</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超快速计算机处理技术</w:t>
            </w:r>
          </w:p>
        </w:tc>
        <w:tc>
          <w:tcPr>
            <w:tcW w:w="3186" w:type="dxa"/>
            <w:vMerge w:val="restart"/>
            <w:tcBorders>
              <w:top w:val="single" w:color="000000" w:sz="4" w:space="0"/>
              <w:left w:val="single" w:color="000000" w:sz="4" w:space="0"/>
              <w:bottom w:val="single" w:color="000000" w:sz="4" w:space="0"/>
              <w:right w:val="double" w:color="000000" w:sz="4" w:space="0"/>
            </w:tcBorders>
            <w:vAlign w:val="center"/>
          </w:tcPr>
          <w:p>
            <w:r>
              <w:rPr>
                <w:rFonts w:hint="eastAsia"/>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vMerge w:val="continue"/>
            <w:tcBorders>
              <w:top w:val="single" w:color="000000" w:sz="4" w:space="0"/>
              <w:left w:val="double" w:color="000000" w:sz="4" w:space="0"/>
              <w:bottom w:val="single" w:color="000000" w:sz="4" w:space="0"/>
              <w:right w:val="single" w:color="000000" w:sz="4" w:space="0"/>
            </w:tcBorders>
            <w:vAlign w:val="center"/>
          </w:tcP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同步扫描重建功能（扫描,采集,重建时可同时进行阅片,后处理,照相和存盘功能）</w:t>
            </w:r>
          </w:p>
        </w:tc>
        <w:tc>
          <w:tcPr>
            <w:tcW w:w="3186" w:type="dxa"/>
            <w:vMerge w:val="continue"/>
            <w:tcBorders>
              <w:top w:val="single" w:color="000000" w:sz="4" w:space="0"/>
              <w:left w:val="single" w:color="000000" w:sz="4" w:space="0"/>
              <w:bottom w:val="single" w:color="000000" w:sz="4" w:space="0"/>
              <w:right w:val="double" w:color="000000" w:sz="4" w:space="0"/>
            </w:tcBorders>
            <w:vAlign w:val="center"/>
          </w:tc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6.16</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DICOM3.0接口</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07" w:type="dxa"/>
            <w:gridSpan w:val="3"/>
            <w:tcBorders>
              <w:top w:val="single" w:color="000000" w:sz="4" w:space="0"/>
              <w:left w:val="double" w:color="000000" w:sz="4" w:space="0"/>
              <w:bottom w:val="single" w:color="000000" w:sz="4" w:space="0"/>
              <w:right w:val="double" w:color="000000" w:sz="4" w:space="0"/>
            </w:tcBorders>
            <w:vAlign w:val="center"/>
          </w:tcPr>
          <w:p>
            <w:r>
              <w:rPr>
                <w:rFonts w:hint="eastAsia"/>
              </w:rPr>
              <w:t>7. 系统后处理功能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7.1</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3D后处理</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7.2</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MPR后处理</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7.3</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SSD后处理</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7.4</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MIP后处理</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7.5</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图像回放软件</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7.6</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图像评价软件</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7.7</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实时互动重建</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7.8</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ADC-map</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7.9</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时间信号曲线</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7.10</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图像减影、叠加</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07" w:type="dxa"/>
            <w:gridSpan w:val="3"/>
            <w:tcBorders>
              <w:top w:val="single" w:color="000000" w:sz="4" w:space="0"/>
              <w:left w:val="double" w:color="000000" w:sz="4" w:space="0"/>
              <w:bottom w:val="single" w:color="000000" w:sz="4" w:space="0"/>
              <w:right w:val="double" w:color="000000" w:sz="4" w:space="0"/>
            </w:tcBorders>
            <w:vAlign w:val="center"/>
          </w:tcPr>
          <w:p>
            <w:r>
              <w:rPr>
                <w:rFonts w:hint="eastAsia"/>
              </w:rPr>
              <w:t>8. 检查环境</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8.1</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扫描床最大承重（垂直运动状态下）</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≥160Kg</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8.2</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扫描床移动精度</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≤1mm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8.3</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床旁控制系统</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 xml:space="preserve">双侧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bookmarkStart w:id="32" w:name="OLE_LINK1"/>
            <w:bookmarkStart w:id="33" w:name="_Hlk111719212"/>
            <w:r>
              <w:rPr>
                <w:rFonts w:hint="eastAsia" w:ascii="宋体" w:hAnsi="宋体" w:cs="宋体"/>
                <w:sz w:val="24"/>
              </w:rPr>
              <w:t>△</w:t>
            </w:r>
            <w:bookmarkEnd w:id="32"/>
            <w:r>
              <w:rPr>
                <w:rFonts w:hint="eastAsia"/>
              </w:rPr>
              <w:t>8.4</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最低床位</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≤49cm</w:t>
            </w:r>
          </w:p>
          <w:bookmarkEnd w:id="33"/>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8.5</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检查床最大床速</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≥10cm/s</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8.6</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检查床最大水平移动范围</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≥244cm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8.7</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自动步进扫描床</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8.8</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生理信号显示</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8.9</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紧急制动系统</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8.10</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VCG心电门控</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8.11</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呼吸门控</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8.12</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智能流程优化技术</w:t>
            </w:r>
          </w:p>
        </w:tc>
        <w:tc>
          <w:tcPr>
            <w:tcW w:w="3186" w:type="dxa"/>
            <w:tcBorders>
              <w:top w:val="single" w:color="000000" w:sz="4" w:space="0"/>
              <w:left w:val="single" w:color="000000" w:sz="4" w:space="0"/>
              <w:bottom w:val="single" w:color="000000" w:sz="4" w:space="0"/>
              <w:right w:val="double" w:color="000000" w:sz="4" w:space="0"/>
            </w:tcBorders>
            <w:vAlign w:val="center"/>
          </w:tc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8.12.1</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头部流程优化技术</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具备，DOT Brain或 Ready Brain或SmartExam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8.12.2</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脊柱流程优化技术</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具备，DOT或者EPA技术</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07" w:type="dxa"/>
            <w:gridSpan w:val="3"/>
            <w:tcBorders>
              <w:top w:val="single" w:color="000000" w:sz="4" w:space="0"/>
              <w:left w:val="double" w:color="000000" w:sz="4" w:space="0"/>
              <w:bottom w:val="single" w:color="000000" w:sz="4" w:space="0"/>
              <w:right w:val="double" w:color="000000" w:sz="4" w:space="0"/>
            </w:tcBorders>
            <w:vAlign w:val="center"/>
          </w:tcPr>
          <w:p>
            <w:r>
              <w:t>9</w:t>
            </w:r>
            <w:r>
              <w:rPr>
                <w:rFonts w:hint="eastAsia"/>
              </w:rPr>
              <w:t>. 扫描参数</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t>9</w:t>
            </w:r>
            <w:r>
              <w:rPr>
                <w:rFonts w:hint="eastAsia"/>
              </w:rPr>
              <w:t>.1</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最小二维层厚</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 xml:space="preserve">≤0.1mm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t>9</w:t>
            </w:r>
            <w:r>
              <w:rPr>
                <w:rFonts w:hint="eastAsia"/>
              </w:rPr>
              <w:t>.2</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最小三维层厚</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 xml:space="preserve">≤0.05mm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9.3</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最大采集矩阵</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≥1024×1024</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9.4</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弥散加权B值</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 xml:space="preserve">≥10000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ascii="宋体" w:hAnsi="宋体" w:cs="宋体"/>
                <w:sz w:val="24"/>
              </w:rPr>
              <w:t>△</w:t>
            </w:r>
            <w:r>
              <w:rPr>
                <w:rFonts w:hint="eastAsia"/>
              </w:rPr>
              <w:t>9.5</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2D SE 最短TR（256 x 256）</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≤4 ms</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ascii="宋体" w:hAnsi="宋体" w:cs="宋体"/>
                <w:sz w:val="24"/>
              </w:rPr>
              <w:t>△</w:t>
            </w:r>
            <w:r>
              <w:rPr>
                <w:rFonts w:hint="eastAsia"/>
              </w:rPr>
              <w:t>9.6</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2D SE 最短TE（256 x 256）</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≤2.112 ms</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ascii="宋体" w:hAnsi="宋体" w:cs="宋体"/>
                <w:sz w:val="24"/>
              </w:rPr>
              <w:t>△</w:t>
            </w:r>
            <w:r>
              <w:rPr>
                <w:rFonts w:hint="eastAsia"/>
              </w:rPr>
              <w:t>9.7</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2D FSE 最短TR（256 x 256）</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≤4 ms</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ascii="宋体" w:hAnsi="宋体" w:cs="宋体"/>
                <w:sz w:val="24"/>
              </w:rPr>
              <w:t>△</w:t>
            </w:r>
            <w:r>
              <w:rPr>
                <w:rFonts w:hint="eastAsia"/>
              </w:rPr>
              <w:t>9.8</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2D FSE 最短TE（256 x 256）</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≤2.112 ms</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9.9</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2D FSE最小ESP（256 x 256）</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≤2.112 ms</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9.10</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2D GRE 最短TR（256 x 256）</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≤1.1 ms</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9.11</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2D GRE 最短TE（256 x 256）</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≤0.228 ms</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9.12</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3D GRE 最短TR（256 x 256）</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≤1.14 ms</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9.13</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3D GRE 最短TE（256 x 256）</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≤0.22 ms</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9.14</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最大扫描视野</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≥50cm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9.15</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最小扫描视野</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 xml:space="preserve">≤1cm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9.16</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FSE最大回波链长度</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 xml:space="preserve">≥329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9.17</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EPI最大因子</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 xml:space="preserve">≥512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07" w:type="dxa"/>
            <w:gridSpan w:val="3"/>
            <w:tcBorders>
              <w:top w:val="single" w:color="000000" w:sz="4" w:space="0"/>
              <w:left w:val="double" w:color="000000" w:sz="4" w:space="0"/>
              <w:bottom w:val="single" w:color="000000" w:sz="4" w:space="0"/>
              <w:right w:val="double" w:color="000000" w:sz="4" w:space="0"/>
            </w:tcBorders>
            <w:vAlign w:val="center"/>
          </w:tcPr>
          <w:p>
            <w:r>
              <w:rPr>
                <w:rFonts w:hint="eastAsia"/>
              </w:rPr>
              <w:t>10. 扫描序列</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10.1</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自旋回波(SE)</w:t>
            </w:r>
          </w:p>
        </w:tc>
        <w:tc>
          <w:tcPr>
            <w:tcW w:w="3186" w:type="dxa"/>
            <w:tcBorders>
              <w:top w:val="single" w:color="000000" w:sz="4" w:space="0"/>
              <w:left w:val="single" w:color="000000" w:sz="4" w:space="0"/>
              <w:bottom w:val="single" w:color="000000" w:sz="4" w:space="0"/>
              <w:right w:val="double" w:color="000000" w:sz="4" w:space="0"/>
            </w:tcBorders>
            <w:vAlign w:val="center"/>
          </w:tc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10.1.1</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自旋回波序列</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10.1.2</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2D/3D FSE</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10.1.3</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FSE回波分享</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10.1.4</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三维FSE序列</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10.1.5</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单次激发FSE</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10.1.6</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脂肪抑制序列</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10.1.7</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频率脂肪抑制</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10.1.8</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水抑制序列</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10.2</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反转恢复（IR）</w:t>
            </w:r>
          </w:p>
        </w:tc>
        <w:tc>
          <w:tcPr>
            <w:tcW w:w="3186" w:type="dxa"/>
            <w:tcBorders>
              <w:top w:val="single" w:color="000000" w:sz="4" w:space="0"/>
              <w:left w:val="single" w:color="000000" w:sz="4" w:space="0"/>
              <w:bottom w:val="single" w:color="000000" w:sz="4" w:space="0"/>
              <w:right w:val="double" w:color="000000" w:sz="4" w:space="0"/>
            </w:tcBorders>
            <w:vAlign w:val="center"/>
          </w:tc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10.2.1</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常规IR序列</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10.2.2</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快速IR 序列 (水/脂抑制技术)</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10.2.3</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水抑制( FLAIR)</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10.2.4</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单次激发快速反转恢复序列</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10.3</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梯度回波(GRE)</w:t>
            </w:r>
          </w:p>
        </w:tc>
        <w:tc>
          <w:tcPr>
            <w:tcW w:w="3186" w:type="dxa"/>
            <w:tcBorders>
              <w:top w:val="single" w:color="000000" w:sz="4" w:space="0"/>
              <w:left w:val="single" w:color="000000" w:sz="4" w:space="0"/>
              <w:bottom w:val="single" w:color="000000" w:sz="4" w:space="0"/>
              <w:right w:val="double" w:color="000000" w:sz="4" w:space="0"/>
            </w:tcBorders>
            <w:vAlign w:val="center"/>
          </w:tc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10.3.1</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多层面梯度回波</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10.3.2</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3D梯度回波</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10.3.3</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亚秒T1加权(2D/3D)</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10.3.4</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亚秒T2加权(2D/3D)</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10.3.5</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去除剩余磁化梯度回波技术</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10.3.6</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利用剩余磁化梯度回波技术</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10.3.7</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重T2 加权高对比序列</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具备，TrueFISP或 FIESTA或Balanced FFE</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10.4</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平面回波(EPI)</w:t>
            </w:r>
          </w:p>
        </w:tc>
        <w:tc>
          <w:tcPr>
            <w:tcW w:w="3186" w:type="dxa"/>
            <w:tcBorders>
              <w:top w:val="single" w:color="000000" w:sz="4" w:space="0"/>
              <w:left w:val="single" w:color="000000" w:sz="4" w:space="0"/>
              <w:bottom w:val="single" w:color="000000" w:sz="4" w:space="0"/>
              <w:right w:val="double" w:color="000000" w:sz="4" w:space="0"/>
            </w:tcBorders>
            <w:vAlign w:val="center"/>
          </w:tc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10.4.1</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单次激发EPI</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10.4.2</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自旋回波EPI</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10.4.3</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梯度回波EPI</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10.4.4</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反转EPI</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1</w:t>
            </w:r>
            <w:r>
              <w:t>1</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高级独立后处理工作站</w:t>
            </w:r>
          </w:p>
        </w:tc>
        <w:tc>
          <w:tcPr>
            <w:tcW w:w="3186" w:type="dxa"/>
            <w:tcBorders>
              <w:top w:val="single" w:color="000000" w:sz="4" w:space="0"/>
              <w:left w:val="single" w:color="000000" w:sz="4" w:space="0"/>
              <w:bottom w:val="single" w:color="000000" w:sz="4" w:space="0"/>
              <w:right w:val="double" w:color="000000" w:sz="4" w:space="0"/>
            </w:tcBorders>
            <w:vAlign w:val="center"/>
          </w:tcPr>
          <w:p>
            <w:bookmarkStart w:id="34" w:name="OLE_LINK8"/>
            <w:r>
              <w:rPr>
                <w:rFonts w:hint="eastAsia"/>
              </w:rPr>
              <w:t>具备</w:t>
            </w:r>
            <w:bookmarkEnd w:id="34"/>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t>12</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第三方配置</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12.1</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铁磁探测系统一套</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12.2</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高压注射器一套</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12.3</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线圈柜一个</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12.4</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无磁轮椅、无磁推车、无磁灭火器、无磁耳机、无磁摄像头各一个</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12.5</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Pacs端口一个</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single" w:color="000000" w:sz="4" w:space="0"/>
              <w:right w:val="single" w:color="000000" w:sz="4" w:space="0"/>
            </w:tcBorders>
            <w:vAlign w:val="center"/>
          </w:tcPr>
          <w:p>
            <w:r>
              <w:rPr>
                <w:rFonts w:hint="eastAsia"/>
              </w:rPr>
              <w:t>12.6</w:t>
            </w:r>
          </w:p>
        </w:tc>
        <w:tc>
          <w:tcPr>
            <w:tcW w:w="4515" w:type="dxa"/>
            <w:tcBorders>
              <w:top w:val="single" w:color="000000" w:sz="4" w:space="0"/>
              <w:left w:val="single" w:color="000000" w:sz="4" w:space="0"/>
              <w:bottom w:val="single" w:color="000000" w:sz="4" w:space="0"/>
              <w:right w:val="single" w:color="000000" w:sz="4" w:space="0"/>
            </w:tcBorders>
            <w:vAlign w:val="center"/>
          </w:tcPr>
          <w:p>
            <w:r>
              <w:rPr>
                <w:rFonts w:hint="eastAsia"/>
              </w:rPr>
              <w:t>专业显示器5M一台</w:t>
            </w:r>
          </w:p>
        </w:tc>
        <w:tc>
          <w:tcPr>
            <w:tcW w:w="3186" w:type="dxa"/>
            <w:tcBorders>
              <w:top w:val="single" w:color="000000" w:sz="4" w:space="0"/>
              <w:left w:val="single" w:color="000000" w:sz="4" w:space="0"/>
              <w:bottom w:val="single" w:color="000000" w:sz="4" w:space="0"/>
              <w:right w:val="double" w:color="000000" w:sz="4" w:space="0"/>
            </w:tcBorders>
            <w:vAlign w:val="center"/>
          </w:tcPr>
          <w:p>
            <w:r>
              <w:rPr>
                <w:rFonts w:hint="eastAsia"/>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op w:val="single" w:color="000000" w:sz="4" w:space="0"/>
              <w:left w:val="double" w:color="000000" w:sz="4" w:space="0"/>
              <w:bottom w:val="double" w:color="000000" w:sz="4" w:space="0"/>
              <w:right w:val="single" w:color="000000" w:sz="4" w:space="0"/>
            </w:tcBorders>
            <w:vAlign w:val="center"/>
          </w:tcPr>
          <w:p>
            <w:r>
              <w:rPr>
                <w:rFonts w:hint="eastAsia"/>
              </w:rPr>
              <w:t>12.7</w:t>
            </w:r>
          </w:p>
        </w:tc>
        <w:tc>
          <w:tcPr>
            <w:tcW w:w="4515" w:type="dxa"/>
            <w:tcBorders>
              <w:top w:val="single" w:color="000000" w:sz="4" w:space="0"/>
              <w:left w:val="single" w:color="000000" w:sz="4" w:space="0"/>
              <w:bottom w:val="double" w:color="000000" w:sz="4" w:space="0"/>
              <w:right w:val="single" w:color="000000" w:sz="4" w:space="0"/>
            </w:tcBorders>
            <w:vAlign w:val="center"/>
          </w:tcPr>
          <w:p>
            <w:r>
              <w:rPr>
                <w:rFonts w:hint="eastAsia"/>
              </w:rPr>
              <w:t>磁共振专用水冷机一套</w:t>
            </w:r>
          </w:p>
        </w:tc>
        <w:tc>
          <w:tcPr>
            <w:tcW w:w="3186" w:type="dxa"/>
            <w:tcBorders>
              <w:top w:val="single" w:color="000000" w:sz="4" w:space="0"/>
              <w:left w:val="single" w:color="000000" w:sz="4" w:space="0"/>
              <w:bottom w:val="double" w:color="000000" w:sz="4" w:space="0"/>
              <w:right w:val="double" w:color="000000" w:sz="4" w:space="0"/>
            </w:tcBorders>
            <w:vAlign w:val="center"/>
          </w:tcPr>
          <w:p>
            <w:r>
              <w:rPr>
                <w:rFonts w:hint="eastAsia"/>
              </w:rPr>
              <w:t>具备</w:t>
            </w:r>
          </w:p>
        </w:tc>
      </w:tr>
    </w:tbl>
    <w:p>
      <w:pPr>
        <w:pStyle w:val="399"/>
        <w:spacing w:after="120" w:line="300" w:lineRule="exact"/>
        <w:ind w:firstLine="0" w:firstLineChars="0"/>
        <w:rPr>
          <w:rFonts w:ascii="宋体" w:hAnsi="宋体" w:cs="仿宋"/>
          <w:b/>
          <w:bCs/>
        </w:rPr>
      </w:pPr>
    </w:p>
    <w:p>
      <w:pPr>
        <w:pStyle w:val="399"/>
        <w:spacing w:after="120" w:line="300" w:lineRule="exact"/>
        <w:ind w:firstLine="0" w:firstLineChars="0"/>
        <w:rPr>
          <w:rFonts w:ascii="宋体" w:hAnsi="宋体" w:cs="仿宋"/>
          <w:b/>
          <w:bCs/>
        </w:rPr>
      </w:pPr>
      <w:r>
        <w:rPr>
          <w:rFonts w:hint="eastAsia" w:ascii="宋体" w:hAnsi="宋体" w:cs="仿宋"/>
          <w:b/>
          <w:bCs/>
        </w:rPr>
        <w:t>付款方式</w:t>
      </w:r>
    </w:p>
    <w:p>
      <w:pPr>
        <w:pStyle w:val="399"/>
        <w:spacing w:after="120" w:line="300" w:lineRule="exact"/>
        <w:ind w:firstLine="361" w:firstLineChars="150"/>
        <w:rPr>
          <w:rFonts w:ascii="仿宋_GB2312" w:hAnsi="仿宋" w:eastAsia="仿宋_GB2312" w:cs="Helvetica"/>
          <w:b/>
          <w:bCs/>
          <w:szCs w:val="24"/>
        </w:rPr>
      </w:pPr>
      <w:r>
        <w:rPr>
          <w:rFonts w:hint="eastAsia" w:cs="Helvetica"/>
          <w:b/>
          <w:bCs/>
          <w:szCs w:val="24"/>
        </w:rPr>
        <w:t>按照《</w:t>
      </w:r>
      <w:r>
        <w:rPr>
          <w:rFonts w:hint="eastAsia" w:ascii="仿宋_GB2312" w:hAnsi="仿宋" w:eastAsia="仿宋_GB2312" w:cs="Helvetica"/>
          <w:b/>
          <w:bCs/>
          <w:szCs w:val="24"/>
        </w:rPr>
        <w:t>浙江省财政厅关于进一步发挥政府采购政策 功能全力推动经济稳进提质的通知</w:t>
      </w:r>
      <w:r>
        <w:rPr>
          <w:rFonts w:hint="eastAsia" w:cs="Helvetica"/>
          <w:b/>
          <w:bCs/>
          <w:szCs w:val="24"/>
        </w:rPr>
        <w:t>》（</w:t>
      </w:r>
      <w:r>
        <w:rPr>
          <w:rFonts w:hint="eastAsia" w:ascii="仿宋_GB2312" w:hAnsi="仿宋" w:eastAsia="仿宋_GB2312" w:cs="Helvetica"/>
          <w:b/>
          <w:bCs/>
          <w:szCs w:val="24"/>
        </w:rPr>
        <w:t>浙财采监〔2022〕3号）等文件要求在合同中予以明确。</w:t>
      </w:r>
    </w:p>
    <w:p>
      <w:pPr>
        <w:spacing w:line="360" w:lineRule="auto"/>
        <w:rPr>
          <w:rFonts w:ascii="Calibri" w:hAnsi="Calibri"/>
          <w:b/>
          <w:sz w:val="24"/>
        </w:rPr>
      </w:pPr>
      <w:r>
        <w:rPr>
          <w:rFonts w:hint="eastAsia" w:ascii="Calibri" w:hAnsi="Calibri"/>
          <w:b/>
          <w:sz w:val="24"/>
        </w:rPr>
        <w:t>二、其他要求</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1、带“★”号项为实质性响应要求，如不满足将作无效投标处理。</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★2、投标文件中未作明确规定，但国家有明确规定需具有与投标产品相应的医疗器械注册证及登记表的，必须在资格文件中提供相应证表（复印件加盖投标人公章），未提供作无效投标处理。</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为防止虚假应标，投标人必须在投标文件中提供产品技术参数证明材料，供评委判定应标参数的真实性，未提供充分的证明材料，评委会有权判定应标参数不符合要求，作出无效投标处理。证明材料可以是以下四项中的任一项：</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（1）公开对外宣传的带有技术参数的产品彩页（彩页中实质性响应的技术要求必须明确体现），为应标而临时打印的无效。</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（2）可在投标人官网查询产品技术参数（提供官网截图、网址等信息）。</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（3）投标产品省内用户联系方式（供评委联系核实产品技术参数）。</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（4）评委认可的其他有效证明材料。</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★4、任何不低于最高限价的报价将被视为无效报价。</w:t>
      </w:r>
    </w:p>
    <w:p>
      <w:pPr>
        <w:snapToGrid w:val="0"/>
        <w:spacing w:line="360" w:lineRule="auto"/>
        <w:jc w:val="center"/>
        <w:rPr>
          <w:rFonts w:ascii="仿宋" w:hAnsi="仿宋" w:eastAsia="仿宋" w:cs="仿宋_GB2312"/>
          <w:b/>
          <w:sz w:val="36"/>
          <w:szCs w:val="36"/>
        </w:rPr>
      </w:pPr>
      <w:r>
        <w:rPr>
          <w:rFonts w:ascii="仿宋" w:hAnsi="仿宋" w:eastAsia="仿宋" w:cs="仿宋_GB2312"/>
          <w:b/>
          <w:sz w:val="24"/>
        </w:rPr>
        <w:br w:type="page"/>
      </w: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35" w:name="_Toc184313262"/>
      <w:bookmarkEnd w:id="35"/>
      <w:bookmarkStart w:id="36" w:name="_Toc184312067"/>
      <w:bookmarkEnd w:id="36"/>
      <w:bookmarkStart w:id="37" w:name="_Toc184312085"/>
      <w:bookmarkEnd w:id="37"/>
      <w:bookmarkStart w:id="38" w:name="_Toc184314428"/>
      <w:bookmarkEnd w:id="38"/>
      <w:bookmarkStart w:id="39" w:name="_Toc184310289"/>
      <w:bookmarkEnd w:id="39"/>
      <w:bookmarkStart w:id="40" w:name="_Toc184310297"/>
      <w:bookmarkEnd w:id="40"/>
      <w:bookmarkStart w:id="41" w:name="_Toc184313277"/>
      <w:bookmarkEnd w:id="41"/>
      <w:bookmarkStart w:id="42" w:name="_Toc184314478"/>
      <w:bookmarkEnd w:id="42"/>
      <w:bookmarkStart w:id="43" w:name="_Toc184312072"/>
      <w:bookmarkEnd w:id="43"/>
      <w:bookmarkStart w:id="44" w:name="_Toc184310339"/>
      <w:bookmarkEnd w:id="44"/>
      <w:bookmarkStart w:id="45" w:name="_Toc184312111"/>
      <w:bookmarkEnd w:id="45"/>
      <w:bookmarkStart w:id="46" w:name="_Toc184314414"/>
      <w:bookmarkEnd w:id="46"/>
      <w:bookmarkStart w:id="47" w:name="_Toc184310280"/>
      <w:bookmarkEnd w:id="47"/>
      <w:bookmarkStart w:id="48" w:name="_Toc184314472"/>
      <w:bookmarkEnd w:id="48"/>
      <w:bookmarkStart w:id="49" w:name="_Toc184312077"/>
      <w:bookmarkEnd w:id="49"/>
      <w:bookmarkStart w:id="50" w:name="_Toc184310318"/>
      <w:bookmarkEnd w:id="50"/>
      <w:bookmarkStart w:id="51" w:name="_Toc184312074"/>
      <w:bookmarkEnd w:id="51"/>
      <w:bookmarkStart w:id="52" w:name="_Toc184312075"/>
      <w:bookmarkEnd w:id="52"/>
      <w:bookmarkStart w:id="53" w:name="_Toc184313245"/>
      <w:bookmarkEnd w:id="53"/>
      <w:bookmarkStart w:id="54" w:name="_Toc184313282"/>
      <w:bookmarkEnd w:id="54"/>
      <w:bookmarkStart w:id="55" w:name="_Toc184310276"/>
      <w:bookmarkEnd w:id="55"/>
      <w:bookmarkStart w:id="56" w:name="_Toc184314448"/>
      <w:bookmarkEnd w:id="56"/>
      <w:bookmarkStart w:id="57" w:name="_Toc184310278"/>
      <w:bookmarkEnd w:id="57"/>
      <w:bookmarkStart w:id="58" w:name="_Toc184310344"/>
      <w:bookmarkEnd w:id="58"/>
      <w:bookmarkStart w:id="59" w:name="_Toc184314433"/>
      <w:bookmarkEnd w:id="59"/>
      <w:bookmarkStart w:id="60" w:name="_Toc184312092"/>
      <w:bookmarkEnd w:id="60"/>
      <w:bookmarkStart w:id="61" w:name="_Toc184308075"/>
      <w:bookmarkEnd w:id="61"/>
      <w:bookmarkStart w:id="62" w:name="_Toc184312082"/>
      <w:bookmarkEnd w:id="62"/>
      <w:bookmarkStart w:id="63" w:name="_Toc184308042"/>
      <w:bookmarkEnd w:id="63"/>
      <w:bookmarkStart w:id="64" w:name="_Toc184308059"/>
      <w:bookmarkEnd w:id="64"/>
      <w:bookmarkStart w:id="65" w:name="_Toc184314425"/>
      <w:bookmarkEnd w:id="65"/>
      <w:bookmarkStart w:id="66" w:name="_Toc184313261"/>
      <w:bookmarkEnd w:id="66"/>
      <w:bookmarkStart w:id="67" w:name="_Toc184308106"/>
      <w:bookmarkEnd w:id="67"/>
      <w:bookmarkStart w:id="68" w:name="_Toc184310277"/>
      <w:bookmarkEnd w:id="68"/>
      <w:bookmarkStart w:id="69" w:name="_Toc184308060"/>
      <w:bookmarkEnd w:id="69"/>
      <w:bookmarkStart w:id="70" w:name="_Toc184308062"/>
      <w:bookmarkEnd w:id="70"/>
      <w:bookmarkStart w:id="71" w:name="_Toc184313276"/>
      <w:bookmarkEnd w:id="71"/>
      <w:bookmarkStart w:id="72" w:name="_Toc184314477"/>
      <w:bookmarkEnd w:id="72"/>
      <w:bookmarkStart w:id="73" w:name="_Toc184310332"/>
      <w:bookmarkEnd w:id="73"/>
      <w:bookmarkStart w:id="74" w:name="_Toc184310287"/>
      <w:bookmarkEnd w:id="74"/>
      <w:bookmarkStart w:id="75" w:name="_Toc184310295"/>
      <w:bookmarkEnd w:id="75"/>
      <w:bookmarkStart w:id="76" w:name="_Toc184314471"/>
      <w:bookmarkEnd w:id="76"/>
      <w:bookmarkStart w:id="77" w:name="_Toc184308080"/>
      <w:bookmarkEnd w:id="77"/>
      <w:bookmarkStart w:id="78" w:name="_Toc184314424"/>
      <w:bookmarkEnd w:id="78"/>
      <w:bookmarkStart w:id="79" w:name="_Toc184310304"/>
      <w:bookmarkEnd w:id="79"/>
      <w:bookmarkStart w:id="80" w:name="_Toc184310321"/>
      <w:bookmarkEnd w:id="80"/>
      <w:bookmarkStart w:id="81" w:name="_Toc184314427"/>
      <w:bookmarkEnd w:id="81"/>
      <w:bookmarkStart w:id="82" w:name="_Toc184313290"/>
      <w:bookmarkEnd w:id="82"/>
      <w:bookmarkStart w:id="83" w:name="_Toc184312090"/>
      <w:bookmarkEnd w:id="83"/>
      <w:bookmarkStart w:id="84" w:name="_Toc184313296"/>
      <w:bookmarkEnd w:id="84"/>
      <w:bookmarkStart w:id="85" w:name="_Toc184313300"/>
      <w:bookmarkEnd w:id="85"/>
      <w:bookmarkStart w:id="86" w:name="_Toc184308036"/>
      <w:bookmarkEnd w:id="86"/>
      <w:bookmarkStart w:id="87" w:name="_Toc184314412"/>
      <w:bookmarkEnd w:id="87"/>
      <w:bookmarkStart w:id="88" w:name="_Toc184308098"/>
      <w:bookmarkEnd w:id="88"/>
      <w:bookmarkStart w:id="89" w:name="_Toc184313305"/>
      <w:bookmarkEnd w:id="89"/>
      <w:bookmarkStart w:id="90" w:name="_Toc184312129"/>
      <w:bookmarkEnd w:id="90"/>
      <w:bookmarkStart w:id="91" w:name="_Toc184308097"/>
      <w:bookmarkEnd w:id="91"/>
      <w:bookmarkStart w:id="92" w:name="_Toc184312134"/>
      <w:bookmarkEnd w:id="92"/>
      <w:bookmarkStart w:id="93" w:name="_Toc184308103"/>
      <w:bookmarkEnd w:id="93"/>
      <w:bookmarkStart w:id="94" w:name="_Toc184313304"/>
      <w:bookmarkEnd w:id="94"/>
      <w:bookmarkStart w:id="95" w:name="_Toc184314468"/>
      <w:bookmarkEnd w:id="95"/>
      <w:bookmarkStart w:id="96" w:name="_Toc184314469"/>
      <w:bookmarkEnd w:id="96"/>
      <w:bookmarkStart w:id="97" w:name="_Toc184308068"/>
      <w:bookmarkEnd w:id="97"/>
      <w:bookmarkStart w:id="98" w:name="_Toc184312091"/>
      <w:bookmarkEnd w:id="98"/>
      <w:bookmarkStart w:id="99" w:name="_Toc184308046"/>
      <w:bookmarkEnd w:id="99"/>
      <w:bookmarkStart w:id="100" w:name="_Toc184312130"/>
      <w:bookmarkEnd w:id="100"/>
      <w:bookmarkStart w:id="101" w:name="_Toc184312132"/>
      <w:bookmarkEnd w:id="101"/>
      <w:bookmarkStart w:id="102" w:name="_Toc184313299"/>
      <w:bookmarkEnd w:id="102"/>
      <w:bookmarkStart w:id="103" w:name="_Toc184314470"/>
      <w:bookmarkEnd w:id="103"/>
      <w:bookmarkStart w:id="104" w:name="_Toc184313285"/>
      <w:bookmarkEnd w:id="104"/>
      <w:bookmarkStart w:id="105" w:name="_Toc184310340"/>
      <w:bookmarkEnd w:id="105"/>
      <w:bookmarkStart w:id="106" w:name="_Toc184308076"/>
      <w:bookmarkEnd w:id="106"/>
      <w:bookmarkStart w:id="107" w:name="_Toc184312109"/>
      <w:bookmarkEnd w:id="107"/>
      <w:bookmarkStart w:id="108" w:name="_Toc184310330"/>
      <w:bookmarkEnd w:id="108"/>
      <w:bookmarkStart w:id="109" w:name="_Toc184314481"/>
      <w:bookmarkEnd w:id="109"/>
      <w:bookmarkStart w:id="110" w:name="_Toc184312128"/>
      <w:bookmarkEnd w:id="110"/>
      <w:bookmarkStart w:id="111" w:name="_Toc184312122"/>
      <w:bookmarkEnd w:id="111"/>
      <w:bookmarkStart w:id="112" w:name="_Toc184310329"/>
      <w:bookmarkEnd w:id="112"/>
      <w:bookmarkStart w:id="113" w:name="_Toc184308037"/>
      <w:bookmarkEnd w:id="113"/>
      <w:bookmarkStart w:id="114" w:name="_Toc184310334"/>
      <w:bookmarkEnd w:id="114"/>
      <w:bookmarkStart w:id="115" w:name="_Toc184314452"/>
      <w:bookmarkEnd w:id="115"/>
      <w:bookmarkStart w:id="116" w:name="_Toc184308092"/>
      <w:bookmarkEnd w:id="116"/>
      <w:bookmarkStart w:id="117" w:name="_Toc184308099"/>
      <w:bookmarkEnd w:id="117"/>
      <w:bookmarkStart w:id="118" w:name="_Toc184313297"/>
      <w:bookmarkEnd w:id="118"/>
      <w:bookmarkStart w:id="119" w:name="_Toc184313286"/>
      <w:bookmarkEnd w:id="119"/>
      <w:bookmarkStart w:id="120" w:name="_Toc184310338"/>
      <w:bookmarkEnd w:id="120"/>
      <w:bookmarkStart w:id="121" w:name="_Toc184312133"/>
      <w:bookmarkEnd w:id="121"/>
      <w:bookmarkStart w:id="122" w:name="_Toc184308095"/>
      <w:bookmarkEnd w:id="122"/>
      <w:bookmarkStart w:id="123" w:name="_Toc184308089"/>
      <w:bookmarkEnd w:id="123"/>
      <w:bookmarkStart w:id="124" w:name="_Toc184313288"/>
      <w:bookmarkEnd w:id="124"/>
      <w:bookmarkStart w:id="125" w:name="_Toc184308090"/>
      <w:bookmarkEnd w:id="125"/>
      <w:bookmarkStart w:id="126" w:name="_Toc184312120"/>
      <w:bookmarkEnd w:id="126"/>
      <w:bookmarkStart w:id="127" w:name="_Toc184310326"/>
      <w:bookmarkEnd w:id="127"/>
      <w:bookmarkStart w:id="128" w:name="_Toc184313294"/>
      <w:bookmarkEnd w:id="128"/>
      <w:bookmarkStart w:id="129" w:name="_Toc184314457"/>
      <w:bookmarkEnd w:id="129"/>
      <w:bookmarkStart w:id="130" w:name="_Toc184310331"/>
      <w:bookmarkEnd w:id="130"/>
      <w:bookmarkStart w:id="131" w:name="_Toc184308091"/>
      <w:bookmarkEnd w:id="131"/>
      <w:bookmarkStart w:id="132" w:name="_Toc184314463"/>
      <w:bookmarkEnd w:id="132"/>
      <w:bookmarkStart w:id="133" w:name="_Toc184308094"/>
      <w:bookmarkEnd w:id="133"/>
      <w:bookmarkStart w:id="134" w:name="_Toc184312127"/>
      <w:bookmarkEnd w:id="134"/>
      <w:bookmarkStart w:id="135" w:name="_Toc184310333"/>
      <w:bookmarkEnd w:id="135"/>
      <w:bookmarkStart w:id="136" w:name="_Toc184314467"/>
      <w:bookmarkEnd w:id="136"/>
      <w:bookmarkStart w:id="137" w:name="_Toc184312121"/>
      <w:bookmarkEnd w:id="137"/>
      <w:bookmarkStart w:id="138" w:name="_Toc184312107"/>
      <w:bookmarkEnd w:id="138"/>
      <w:bookmarkStart w:id="139" w:name="_Toc184312123"/>
      <w:bookmarkEnd w:id="139"/>
      <w:bookmarkStart w:id="140" w:name="_Toc184314466"/>
      <w:bookmarkEnd w:id="140"/>
      <w:bookmarkStart w:id="141" w:name="_Toc184314476"/>
      <w:bookmarkEnd w:id="141"/>
      <w:bookmarkStart w:id="142" w:name="_Toc184313298"/>
      <w:bookmarkEnd w:id="142"/>
      <w:bookmarkStart w:id="143" w:name="_Toc184308088"/>
      <w:bookmarkEnd w:id="143"/>
      <w:bookmarkStart w:id="144" w:name="_Toc184310325"/>
      <w:bookmarkEnd w:id="144"/>
      <w:bookmarkStart w:id="145" w:name="_Toc184312114"/>
      <w:bookmarkEnd w:id="145"/>
      <w:bookmarkStart w:id="146" w:name="_Toc184313248"/>
      <w:bookmarkEnd w:id="146"/>
      <w:bookmarkStart w:id="147" w:name="_Toc184312137"/>
      <w:bookmarkEnd w:id="147"/>
      <w:bookmarkStart w:id="148" w:name="_Toc184313241"/>
      <w:bookmarkEnd w:id="148"/>
      <w:bookmarkStart w:id="149" w:name="_Toc184308085"/>
      <w:bookmarkEnd w:id="149"/>
      <w:bookmarkStart w:id="150" w:name="_Toc184308093"/>
      <w:bookmarkEnd w:id="150"/>
      <w:bookmarkStart w:id="151" w:name="_Toc184308087"/>
      <w:bookmarkEnd w:id="151"/>
      <w:bookmarkStart w:id="152" w:name="_Toc184313250"/>
      <w:bookmarkEnd w:id="152"/>
      <w:bookmarkStart w:id="153" w:name="_Toc184308077"/>
      <w:bookmarkEnd w:id="153"/>
      <w:bookmarkStart w:id="154" w:name="_Toc184312105"/>
      <w:bookmarkEnd w:id="154"/>
      <w:bookmarkStart w:id="155" w:name="_Toc184314422"/>
      <w:bookmarkEnd w:id="155"/>
      <w:bookmarkStart w:id="156" w:name="_Toc184310313"/>
      <w:bookmarkEnd w:id="156"/>
      <w:bookmarkStart w:id="157" w:name="_Toc184314464"/>
      <w:bookmarkEnd w:id="157"/>
      <w:bookmarkStart w:id="158" w:name="_Toc184310327"/>
      <w:bookmarkEnd w:id="158"/>
      <w:bookmarkStart w:id="159" w:name="_Toc184314423"/>
      <w:bookmarkEnd w:id="159"/>
      <w:bookmarkStart w:id="160" w:name="_Toc184314480"/>
      <w:bookmarkEnd w:id="160"/>
      <w:bookmarkStart w:id="161" w:name="_Toc184314461"/>
      <w:bookmarkEnd w:id="161"/>
      <w:bookmarkStart w:id="162" w:name="_Toc184314479"/>
      <w:bookmarkEnd w:id="162"/>
      <w:bookmarkStart w:id="163" w:name="_Toc184313301"/>
      <w:bookmarkEnd w:id="163"/>
      <w:bookmarkStart w:id="164" w:name="_Toc184312093"/>
      <w:bookmarkEnd w:id="164"/>
      <w:bookmarkStart w:id="165" w:name="_Toc184314462"/>
      <w:bookmarkEnd w:id="165"/>
      <w:bookmarkStart w:id="166" w:name="_Toc184308063"/>
      <w:bookmarkEnd w:id="166"/>
      <w:bookmarkStart w:id="167" w:name="_Toc184312101"/>
      <w:bookmarkEnd w:id="167"/>
      <w:bookmarkStart w:id="168" w:name="_Toc184313258"/>
      <w:bookmarkEnd w:id="168"/>
      <w:bookmarkStart w:id="169" w:name="_Toc184313255"/>
      <w:bookmarkEnd w:id="169"/>
      <w:bookmarkStart w:id="170" w:name="_Toc184313240"/>
      <w:bookmarkEnd w:id="170"/>
      <w:bookmarkStart w:id="171" w:name="_Toc184314439"/>
      <w:bookmarkEnd w:id="171"/>
      <w:bookmarkStart w:id="172" w:name="_Toc184313268"/>
      <w:bookmarkEnd w:id="172"/>
      <w:bookmarkStart w:id="173" w:name="_Toc184310305"/>
      <w:bookmarkEnd w:id="173"/>
      <w:bookmarkStart w:id="174" w:name="_Toc184313283"/>
      <w:bookmarkEnd w:id="174"/>
      <w:bookmarkStart w:id="175" w:name="_Toc184308069"/>
      <w:bookmarkEnd w:id="175"/>
      <w:bookmarkStart w:id="176" w:name="_Toc184310300"/>
      <w:bookmarkEnd w:id="176"/>
      <w:bookmarkStart w:id="177" w:name="_Toc184308082"/>
      <w:bookmarkEnd w:id="177"/>
      <w:bookmarkStart w:id="178" w:name="_Toc184308078"/>
      <w:bookmarkEnd w:id="178"/>
      <w:bookmarkStart w:id="179" w:name="_Toc184313281"/>
      <w:bookmarkEnd w:id="179"/>
      <w:bookmarkStart w:id="180" w:name="_Toc184310308"/>
      <w:bookmarkEnd w:id="180"/>
      <w:bookmarkStart w:id="181" w:name="_Toc184313269"/>
      <w:bookmarkEnd w:id="181"/>
      <w:bookmarkStart w:id="182" w:name="_Toc184313271"/>
      <w:bookmarkEnd w:id="182"/>
      <w:bookmarkStart w:id="183" w:name="_Toc184310310"/>
      <w:bookmarkEnd w:id="183"/>
      <w:bookmarkStart w:id="184" w:name="_Toc184310293"/>
      <w:bookmarkEnd w:id="184"/>
      <w:bookmarkStart w:id="185" w:name="_Toc184314426"/>
      <w:bookmarkEnd w:id="185"/>
      <w:bookmarkStart w:id="186" w:name="_Toc184313257"/>
      <w:bookmarkEnd w:id="186"/>
      <w:bookmarkStart w:id="187" w:name="_Toc184313267"/>
      <w:bookmarkEnd w:id="187"/>
      <w:bookmarkStart w:id="188" w:name="_Toc184308047"/>
      <w:bookmarkEnd w:id="188"/>
      <w:bookmarkStart w:id="189" w:name="_Toc184310302"/>
      <w:bookmarkEnd w:id="189"/>
      <w:bookmarkStart w:id="190" w:name="_Toc184312100"/>
      <w:bookmarkEnd w:id="190"/>
      <w:bookmarkStart w:id="191" w:name="_Toc184308052"/>
      <w:bookmarkEnd w:id="191"/>
      <w:bookmarkStart w:id="192" w:name="_Toc184312103"/>
      <w:bookmarkEnd w:id="192"/>
      <w:bookmarkStart w:id="193" w:name="_Toc184310282"/>
      <w:bookmarkEnd w:id="193"/>
      <w:bookmarkStart w:id="194" w:name="_Toc184310301"/>
      <w:bookmarkEnd w:id="194"/>
      <w:bookmarkStart w:id="195" w:name="_Toc184314443"/>
      <w:bookmarkEnd w:id="195"/>
      <w:bookmarkStart w:id="196" w:name="_Toc184313273"/>
      <w:bookmarkEnd w:id="196"/>
      <w:bookmarkStart w:id="197" w:name="_Toc184314446"/>
      <w:bookmarkEnd w:id="197"/>
      <w:bookmarkStart w:id="198" w:name="_Toc184312124"/>
      <w:bookmarkEnd w:id="198"/>
      <w:bookmarkStart w:id="199" w:name="_Toc184313302"/>
      <w:bookmarkEnd w:id="199"/>
      <w:bookmarkStart w:id="200" w:name="_Toc184312126"/>
      <w:bookmarkEnd w:id="200"/>
      <w:bookmarkStart w:id="201" w:name="_Toc184313293"/>
      <w:bookmarkEnd w:id="201"/>
      <w:bookmarkStart w:id="202" w:name="_Toc184310309"/>
      <w:bookmarkEnd w:id="202"/>
      <w:bookmarkStart w:id="203" w:name="_Toc184313310"/>
      <w:bookmarkEnd w:id="203"/>
      <w:bookmarkStart w:id="204" w:name="_Toc184310328"/>
      <w:bookmarkEnd w:id="204"/>
      <w:bookmarkStart w:id="205" w:name="_Toc184314421"/>
      <w:bookmarkEnd w:id="205"/>
      <w:bookmarkStart w:id="206" w:name="_Toc184312138"/>
      <w:bookmarkEnd w:id="206"/>
      <w:bookmarkStart w:id="207" w:name="_Toc184313274"/>
      <w:bookmarkEnd w:id="207"/>
      <w:bookmarkStart w:id="208" w:name="_Toc184310286"/>
      <w:bookmarkEnd w:id="208"/>
      <w:bookmarkStart w:id="209" w:name="_Toc184312108"/>
      <w:bookmarkEnd w:id="209"/>
      <w:bookmarkStart w:id="210" w:name="_Toc184312071"/>
      <w:bookmarkEnd w:id="210"/>
      <w:bookmarkStart w:id="211" w:name="_Toc184314441"/>
      <w:bookmarkEnd w:id="211"/>
      <w:bookmarkStart w:id="212" w:name="_Toc184314451"/>
      <w:bookmarkEnd w:id="212"/>
      <w:bookmarkStart w:id="213" w:name="_Toc184310285"/>
      <w:bookmarkEnd w:id="213"/>
      <w:bookmarkStart w:id="214" w:name="_Toc184312099"/>
      <w:bookmarkEnd w:id="214"/>
      <w:bookmarkStart w:id="215" w:name="_Toc184313279"/>
      <w:bookmarkEnd w:id="215"/>
      <w:bookmarkStart w:id="216" w:name="_Toc184313252"/>
      <w:bookmarkEnd w:id="216"/>
      <w:bookmarkStart w:id="217" w:name="_Toc184312080"/>
      <w:bookmarkEnd w:id="217"/>
      <w:bookmarkStart w:id="218" w:name="_Toc184314465"/>
      <w:bookmarkEnd w:id="218"/>
      <w:bookmarkStart w:id="219" w:name="_Toc184313242"/>
      <w:bookmarkEnd w:id="219"/>
      <w:bookmarkStart w:id="220" w:name="_Toc184310324"/>
      <w:bookmarkEnd w:id="220"/>
      <w:bookmarkStart w:id="221" w:name="_Toc184314436"/>
      <w:bookmarkEnd w:id="221"/>
      <w:bookmarkStart w:id="222" w:name="_Toc184312118"/>
      <w:bookmarkEnd w:id="222"/>
      <w:bookmarkStart w:id="223" w:name="_Toc184312119"/>
      <w:bookmarkEnd w:id="223"/>
      <w:bookmarkStart w:id="224" w:name="_Toc184313289"/>
      <w:bookmarkEnd w:id="224"/>
      <w:bookmarkStart w:id="225" w:name="_Toc184308102"/>
      <w:bookmarkEnd w:id="225"/>
      <w:bookmarkStart w:id="226" w:name="_Toc184312136"/>
      <w:bookmarkEnd w:id="226"/>
      <w:bookmarkStart w:id="227" w:name="_Toc184314456"/>
      <w:bookmarkEnd w:id="227"/>
      <w:bookmarkStart w:id="228" w:name="_Toc184312113"/>
      <w:bookmarkEnd w:id="228"/>
      <w:bookmarkStart w:id="229" w:name="_Toc184314419"/>
      <w:bookmarkEnd w:id="229"/>
      <w:bookmarkStart w:id="230" w:name="_Toc184310311"/>
      <w:bookmarkEnd w:id="230"/>
      <w:bookmarkStart w:id="231" w:name="_Toc184313308"/>
      <w:bookmarkEnd w:id="231"/>
      <w:bookmarkStart w:id="232" w:name="_Toc184312081"/>
      <w:bookmarkEnd w:id="232"/>
      <w:bookmarkStart w:id="233" w:name="_Toc184314442"/>
      <w:bookmarkEnd w:id="233"/>
      <w:bookmarkStart w:id="234" w:name="_Toc184310337"/>
      <w:bookmarkEnd w:id="234"/>
      <w:bookmarkStart w:id="235" w:name="_Toc184312078"/>
      <w:bookmarkEnd w:id="235"/>
      <w:bookmarkStart w:id="236" w:name="_Toc184313249"/>
      <w:bookmarkEnd w:id="236"/>
      <w:bookmarkStart w:id="237" w:name="_Toc184308083"/>
      <w:bookmarkEnd w:id="237"/>
      <w:bookmarkStart w:id="238" w:name="_Toc184313239"/>
      <w:bookmarkEnd w:id="238"/>
      <w:bookmarkStart w:id="239" w:name="_Toc184313247"/>
      <w:bookmarkEnd w:id="239"/>
      <w:bookmarkStart w:id="240" w:name="_Toc184312083"/>
      <w:bookmarkEnd w:id="240"/>
      <w:bookmarkStart w:id="241" w:name="_Toc184308065"/>
      <w:bookmarkEnd w:id="241"/>
      <w:bookmarkStart w:id="242" w:name="_Toc184314475"/>
      <w:bookmarkEnd w:id="242"/>
      <w:bookmarkStart w:id="243" w:name="_Toc184310307"/>
      <w:bookmarkEnd w:id="243"/>
      <w:bookmarkStart w:id="244" w:name="_Toc184308072"/>
      <w:bookmarkEnd w:id="244"/>
      <w:bookmarkStart w:id="245" w:name="_Toc184308051"/>
      <w:bookmarkEnd w:id="245"/>
      <w:bookmarkStart w:id="246" w:name="_Toc184308107"/>
      <w:bookmarkEnd w:id="246"/>
      <w:bookmarkStart w:id="247" w:name="_Toc184312131"/>
      <w:bookmarkEnd w:id="247"/>
      <w:bookmarkStart w:id="248" w:name="_Toc184312104"/>
      <w:bookmarkEnd w:id="248"/>
      <w:bookmarkStart w:id="249" w:name="_Toc184314482"/>
      <w:bookmarkEnd w:id="249"/>
      <w:bookmarkStart w:id="250" w:name="_Toc184310319"/>
      <w:bookmarkEnd w:id="250"/>
      <w:bookmarkStart w:id="251" w:name="_Toc184314410"/>
      <w:bookmarkEnd w:id="251"/>
      <w:bookmarkStart w:id="252" w:name="_Toc184314460"/>
      <w:bookmarkEnd w:id="252"/>
      <w:bookmarkStart w:id="253" w:name="_Toc184312068"/>
      <w:bookmarkEnd w:id="253"/>
      <w:bookmarkStart w:id="254" w:name="_Toc184310273"/>
      <w:bookmarkEnd w:id="254"/>
      <w:bookmarkStart w:id="255" w:name="_Toc184314434"/>
      <w:bookmarkEnd w:id="255"/>
      <w:bookmarkStart w:id="256" w:name="_Toc184308058"/>
      <w:bookmarkEnd w:id="256"/>
      <w:bookmarkStart w:id="257" w:name="_Toc184308055"/>
      <w:bookmarkEnd w:id="257"/>
      <w:bookmarkStart w:id="258" w:name="_Toc184312097"/>
      <w:bookmarkEnd w:id="258"/>
      <w:bookmarkStart w:id="259" w:name="_Toc184313266"/>
      <w:bookmarkEnd w:id="259"/>
      <w:bookmarkStart w:id="260" w:name="_Toc184312087"/>
      <w:bookmarkEnd w:id="260"/>
      <w:bookmarkStart w:id="261" w:name="_Toc184310323"/>
      <w:bookmarkEnd w:id="261"/>
      <w:bookmarkStart w:id="262" w:name="_Toc184308086"/>
      <w:bookmarkEnd w:id="262"/>
      <w:bookmarkStart w:id="263" w:name="_Toc184314453"/>
      <w:bookmarkEnd w:id="263"/>
      <w:bookmarkStart w:id="264" w:name="_Toc184313295"/>
      <w:bookmarkEnd w:id="264"/>
      <w:bookmarkStart w:id="265" w:name="_Toc184308048"/>
      <w:bookmarkEnd w:id="265"/>
      <w:bookmarkStart w:id="266" w:name="_Toc184312139"/>
      <w:bookmarkEnd w:id="266"/>
      <w:bookmarkStart w:id="267" w:name="_Toc184313272"/>
      <w:bookmarkEnd w:id="267"/>
      <w:bookmarkStart w:id="268" w:name="_Toc184308079"/>
      <w:bookmarkEnd w:id="268"/>
      <w:bookmarkStart w:id="269" w:name="_Toc184310284"/>
      <w:bookmarkEnd w:id="269"/>
      <w:bookmarkStart w:id="270" w:name="_Toc184314440"/>
      <w:bookmarkEnd w:id="270"/>
      <w:bookmarkStart w:id="271" w:name="_Toc184312079"/>
      <w:bookmarkEnd w:id="271"/>
      <w:bookmarkStart w:id="272" w:name="_Toc184312102"/>
      <w:bookmarkEnd w:id="272"/>
      <w:bookmarkStart w:id="273" w:name="_Toc184310343"/>
      <w:bookmarkEnd w:id="273"/>
      <w:bookmarkStart w:id="274" w:name="_Toc184314444"/>
      <w:bookmarkEnd w:id="274"/>
      <w:bookmarkStart w:id="275" w:name="_Toc184312096"/>
      <w:bookmarkEnd w:id="275"/>
      <w:bookmarkStart w:id="276" w:name="_Toc184308071"/>
      <w:bookmarkEnd w:id="276"/>
      <w:bookmarkStart w:id="277" w:name="_Toc184314420"/>
      <w:bookmarkEnd w:id="277"/>
      <w:bookmarkStart w:id="278" w:name="_Toc184310303"/>
      <w:bookmarkEnd w:id="278"/>
      <w:bookmarkStart w:id="279" w:name="_Toc184308108"/>
      <w:bookmarkEnd w:id="279"/>
      <w:bookmarkStart w:id="280" w:name="_Toc184313291"/>
      <w:bookmarkEnd w:id="280"/>
      <w:bookmarkStart w:id="281" w:name="_Toc184308100"/>
      <w:bookmarkEnd w:id="281"/>
      <w:bookmarkStart w:id="282" w:name="_Toc184313264"/>
      <w:bookmarkEnd w:id="282"/>
      <w:bookmarkStart w:id="283" w:name="_Toc184314445"/>
      <w:bookmarkEnd w:id="283"/>
      <w:bookmarkStart w:id="284" w:name="_Toc184313238"/>
      <w:bookmarkEnd w:id="284"/>
      <w:bookmarkStart w:id="285" w:name="_Toc184308070"/>
      <w:bookmarkEnd w:id="285"/>
      <w:bookmarkStart w:id="286" w:name="_Toc184310283"/>
      <w:bookmarkEnd w:id="286"/>
      <w:bookmarkStart w:id="287" w:name="_Toc184313270"/>
      <w:bookmarkEnd w:id="287"/>
      <w:bookmarkStart w:id="288" w:name="_Toc184308084"/>
      <w:bookmarkEnd w:id="288"/>
      <w:bookmarkStart w:id="289" w:name="_Toc184310306"/>
      <w:bookmarkEnd w:id="289"/>
      <w:bookmarkStart w:id="290" w:name="_Toc184314411"/>
      <w:bookmarkEnd w:id="290"/>
      <w:bookmarkStart w:id="291" w:name="_Toc184312073"/>
      <w:bookmarkEnd w:id="291"/>
      <w:bookmarkStart w:id="292" w:name="_Toc184313246"/>
      <w:bookmarkEnd w:id="292"/>
      <w:bookmarkStart w:id="293" w:name="_Toc184314418"/>
      <w:bookmarkEnd w:id="293"/>
      <w:bookmarkStart w:id="294" w:name="_Toc184310290"/>
      <w:bookmarkEnd w:id="294"/>
      <w:bookmarkStart w:id="295" w:name="_Toc184314474"/>
      <w:bookmarkEnd w:id="295"/>
      <w:bookmarkStart w:id="296" w:name="_Toc184308038"/>
      <w:bookmarkEnd w:id="296"/>
      <w:bookmarkStart w:id="297" w:name="_Toc184313260"/>
      <w:bookmarkEnd w:id="297"/>
      <w:bookmarkStart w:id="298" w:name="_Toc184308105"/>
      <w:bookmarkEnd w:id="298"/>
      <w:bookmarkStart w:id="299" w:name="_Toc184308043"/>
      <w:bookmarkEnd w:id="299"/>
      <w:bookmarkStart w:id="300" w:name="_Toc184308104"/>
      <w:bookmarkEnd w:id="300"/>
      <w:bookmarkStart w:id="301" w:name="_Toc184310274"/>
      <w:bookmarkEnd w:id="301"/>
      <w:bookmarkStart w:id="302" w:name="_Toc184310335"/>
      <w:bookmarkEnd w:id="302"/>
      <w:bookmarkStart w:id="303" w:name="_Toc184314417"/>
      <w:bookmarkEnd w:id="303"/>
      <w:bookmarkStart w:id="304" w:name="_Toc184310342"/>
      <w:bookmarkEnd w:id="304"/>
      <w:bookmarkStart w:id="305" w:name="_Toc184310279"/>
      <w:bookmarkEnd w:id="305"/>
      <w:bookmarkStart w:id="306" w:name="_Toc184313244"/>
      <w:bookmarkEnd w:id="306"/>
      <w:bookmarkStart w:id="307" w:name="_Toc184314416"/>
      <w:bookmarkEnd w:id="307"/>
      <w:bookmarkStart w:id="308" w:name="_Toc184310312"/>
      <w:bookmarkEnd w:id="308"/>
      <w:bookmarkStart w:id="309" w:name="_Toc184310316"/>
      <w:bookmarkEnd w:id="309"/>
      <w:bookmarkStart w:id="310" w:name="_Toc184308044"/>
      <w:bookmarkEnd w:id="310"/>
      <w:bookmarkStart w:id="311" w:name="_Toc184312076"/>
      <w:bookmarkEnd w:id="311"/>
      <w:bookmarkStart w:id="312" w:name="_Toc184310272"/>
      <w:bookmarkEnd w:id="312"/>
      <w:bookmarkStart w:id="313" w:name="_Toc184314415"/>
      <w:bookmarkEnd w:id="313"/>
      <w:bookmarkStart w:id="314" w:name="_Toc184308041"/>
      <w:bookmarkEnd w:id="314"/>
      <w:bookmarkStart w:id="315" w:name="_Toc184308040"/>
      <w:bookmarkEnd w:id="315"/>
      <w:bookmarkStart w:id="316" w:name="_Toc184312088"/>
      <w:bookmarkEnd w:id="316"/>
      <w:bookmarkStart w:id="317" w:name="_Toc184314473"/>
      <w:bookmarkEnd w:id="317"/>
      <w:bookmarkStart w:id="318" w:name="_Toc184310291"/>
      <w:bookmarkEnd w:id="318"/>
      <w:bookmarkStart w:id="319" w:name="_Toc184308057"/>
      <w:bookmarkEnd w:id="319"/>
      <w:bookmarkStart w:id="320" w:name="_Toc184310341"/>
      <w:bookmarkEnd w:id="320"/>
      <w:bookmarkStart w:id="321" w:name="_Toc184312095"/>
      <w:bookmarkEnd w:id="321"/>
      <w:bookmarkStart w:id="322" w:name="_Toc184313259"/>
      <w:bookmarkEnd w:id="322"/>
      <w:bookmarkStart w:id="323" w:name="_Toc184310315"/>
      <w:bookmarkEnd w:id="323"/>
      <w:bookmarkStart w:id="324" w:name="_Toc184313254"/>
      <w:bookmarkEnd w:id="324"/>
      <w:bookmarkStart w:id="325" w:name="_Toc184312084"/>
      <w:bookmarkEnd w:id="325"/>
      <w:bookmarkStart w:id="326" w:name="_Toc184312106"/>
      <w:bookmarkEnd w:id="326"/>
      <w:bookmarkStart w:id="327" w:name="_Toc184314447"/>
      <w:bookmarkEnd w:id="327"/>
      <w:bookmarkStart w:id="328" w:name="_Toc184308074"/>
      <w:bookmarkEnd w:id="328"/>
      <w:bookmarkStart w:id="329" w:name="_Toc184312098"/>
      <w:bookmarkEnd w:id="329"/>
      <w:bookmarkStart w:id="330" w:name="_Toc184314432"/>
      <w:bookmarkEnd w:id="330"/>
      <w:bookmarkStart w:id="331" w:name="_Toc184308064"/>
      <w:bookmarkEnd w:id="331"/>
      <w:bookmarkStart w:id="332" w:name="_Toc184308096"/>
      <w:bookmarkEnd w:id="332"/>
      <w:bookmarkStart w:id="333" w:name="_Toc184308050"/>
      <w:bookmarkEnd w:id="333"/>
      <w:bookmarkStart w:id="334" w:name="_Toc184313309"/>
      <w:bookmarkEnd w:id="334"/>
      <w:bookmarkStart w:id="335" w:name="_Toc184308045"/>
      <w:bookmarkEnd w:id="335"/>
      <w:bookmarkStart w:id="336" w:name="_Toc184313284"/>
      <w:bookmarkEnd w:id="336"/>
      <w:bookmarkStart w:id="337" w:name="_Toc184312110"/>
      <w:bookmarkEnd w:id="337"/>
      <w:bookmarkStart w:id="338" w:name="_Toc184312089"/>
      <w:bookmarkEnd w:id="338"/>
      <w:bookmarkStart w:id="339" w:name="_Toc184313265"/>
      <w:bookmarkEnd w:id="339"/>
      <w:bookmarkStart w:id="340" w:name="_Toc184312125"/>
      <w:bookmarkEnd w:id="340"/>
      <w:bookmarkStart w:id="341" w:name="_Toc184310320"/>
      <w:bookmarkEnd w:id="341"/>
      <w:bookmarkStart w:id="342" w:name="_Toc184313243"/>
      <w:bookmarkEnd w:id="342"/>
      <w:bookmarkStart w:id="343" w:name="_Toc184313278"/>
      <w:bookmarkEnd w:id="343"/>
      <w:bookmarkStart w:id="344" w:name="_Toc184314435"/>
      <w:bookmarkEnd w:id="344"/>
      <w:bookmarkStart w:id="345" w:name="_Toc184310294"/>
      <w:bookmarkEnd w:id="345"/>
      <w:bookmarkStart w:id="346" w:name="_Toc184314437"/>
      <w:bookmarkEnd w:id="346"/>
      <w:bookmarkStart w:id="347" w:name="_Toc184308073"/>
      <w:bookmarkEnd w:id="347"/>
      <w:bookmarkStart w:id="348" w:name="_Toc184308066"/>
      <w:bookmarkEnd w:id="348"/>
      <w:bookmarkStart w:id="349" w:name="_Toc184313256"/>
      <w:bookmarkEnd w:id="349"/>
      <w:bookmarkStart w:id="350" w:name="_Toc184310314"/>
      <w:bookmarkEnd w:id="350"/>
      <w:bookmarkStart w:id="351" w:name="_Toc184314438"/>
      <w:bookmarkEnd w:id="351"/>
      <w:bookmarkStart w:id="352" w:name="_Toc184314431"/>
      <w:bookmarkEnd w:id="352"/>
      <w:bookmarkStart w:id="353" w:name="_Toc184308067"/>
      <w:bookmarkEnd w:id="353"/>
      <w:bookmarkStart w:id="354" w:name="_Toc184308061"/>
      <w:bookmarkEnd w:id="354"/>
      <w:bookmarkStart w:id="355" w:name="_Toc184312070"/>
      <w:bookmarkEnd w:id="355"/>
      <w:bookmarkStart w:id="356" w:name="_Toc184312135"/>
      <w:bookmarkEnd w:id="356"/>
      <w:bookmarkStart w:id="357" w:name="_Toc184314455"/>
      <w:bookmarkEnd w:id="357"/>
      <w:bookmarkStart w:id="358" w:name="_Toc184312117"/>
      <w:bookmarkEnd w:id="358"/>
      <w:bookmarkStart w:id="359" w:name="_Toc184312094"/>
      <w:bookmarkEnd w:id="359"/>
      <w:bookmarkStart w:id="360" w:name="_Toc184313303"/>
      <w:bookmarkEnd w:id="360"/>
      <w:bookmarkStart w:id="361" w:name="_Toc184312115"/>
      <w:bookmarkEnd w:id="361"/>
      <w:bookmarkStart w:id="362" w:name="_Toc184310317"/>
      <w:bookmarkEnd w:id="362"/>
      <w:bookmarkStart w:id="363" w:name="_Toc184310336"/>
      <w:bookmarkEnd w:id="363"/>
      <w:bookmarkStart w:id="364" w:name="_Toc184310281"/>
      <w:bookmarkEnd w:id="364"/>
      <w:bookmarkStart w:id="365" w:name="_Toc184308053"/>
      <w:bookmarkEnd w:id="365"/>
      <w:bookmarkStart w:id="366" w:name="_Toc184314430"/>
      <w:bookmarkEnd w:id="366"/>
      <w:bookmarkStart w:id="367" w:name="_Toc184310322"/>
      <w:bookmarkEnd w:id="367"/>
      <w:bookmarkStart w:id="368" w:name="_Toc184313251"/>
      <w:bookmarkEnd w:id="368"/>
      <w:bookmarkStart w:id="369" w:name="_Toc184310292"/>
      <w:bookmarkEnd w:id="369"/>
      <w:bookmarkStart w:id="370" w:name="_Toc184314454"/>
      <w:bookmarkEnd w:id="370"/>
      <w:bookmarkStart w:id="371" w:name="_Toc184313307"/>
      <w:bookmarkEnd w:id="371"/>
      <w:bookmarkStart w:id="372" w:name="_Toc184314458"/>
      <w:bookmarkEnd w:id="372"/>
      <w:bookmarkStart w:id="373" w:name="_Toc184308101"/>
      <w:bookmarkEnd w:id="373"/>
      <w:bookmarkStart w:id="374" w:name="_Toc184310298"/>
      <w:bookmarkEnd w:id="374"/>
      <w:bookmarkStart w:id="375" w:name="_Toc184308081"/>
      <w:bookmarkEnd w:id="375"/>
      <w:bookmarkStart w:id="376" w:name="_Toc184310288"/>
      <w:bookmarkEnd w:id="376"/>
      <w:bookmarkStart w:id="377" w:name="_Toc184313292"/>
      <w:bookmarkEnd w:id="377"/>
      <w:bookmarkStart w:id="378" w:name="_Toc184308056"/>
      <w:bookmarkEnd w:id="378"/>
      <w:bookmarkStart w:id="379" w:name="_Toc184312086"/>
      <w:bookmarkEnd w:id="379"/>
      <w:bookmarkStart w:id="380" w:name="_Toc184313287"/>
      <w:bookmarkEnd w:id="380"/>
      <w:bookmarkStart w:id="381" w:name="_Toc184313275"/>
      <w:bookmarkEnd w:id="381"/>
      <w:bookmarkStart w:id="382" w:name="_Toc184310275"/>
      <w:bookmarkEnd w:id="382"/>
      <w:bookmarkStart w:id="383" w:name="_Toc184308054"/>
      <w:bookmarkEnd w:id="383"/>
      <w:bookmarkStart w:id="384" w:name="_Toc184314459"/>
      <w:bookmarkEnd w:id="384"/>
      <w:bookmarkStart w:id="385" w:name="_Toc184313263"/>
      <w:bookmarkEnd w:id="385"/>
      <w:bookmarkStart w:id="386" w:name="_Toc184312112"/>
      <w:bookmarkEnd w:id="386"/>
      <w:bookmarkStart w:id="387" w:name="_Toc184312116"/>
      <w:bookmarkEnd w:id="387"/>
      <w:bookmarkStart w:id="388" w:name="_Toc184308049"/>
      <w:bookmarkEnd w:id="388"/>
      <w:bookmarkStart w:id="389" w:name="_Toc184314413"/>
      <w:bookmarkEnd w:id="389"/>
      <w:bookmarkStart w:id="390" w:name="_Toc184313253"/>
      <w:bookmarkEnd w:id="390"/>
      <w:bookmarkStart w:id="391" w:name="_Toc184312069"/>
      <w:bookmarkEnd w:id="391"/>
      <w:bookmarkStart w:id="392" w:name="_Toc184314429"/>
      <w:bookmarkEnd w:id="392"/>
      <w:bookmarkStart w:id="393" w:name="_Toc184313280"/>
      <w:bookmarkEnd w:id="393"/>
      <w:bookmarkStart w:id="394" w:name="_Toc184310296"/>
      <w:bookmarkEnd w:id="394"/>
      <w:bookmarkStart w:id="395" w:name="_Toc184313306"/>
      <w:bookmarkEnd w:id="395"/>
      <w:bookmarkStart w:id="396" w:name="_Toc184308039"/>
      <w:bookmarkEnd w:id="396"/>
      <w:bookmarkStart w:id="397" w:name="_Toc184310299"/>
      <w:bookmarkEnd w:id="397"/>
      <w:bookmarkStart w:id="398" w:name="_Toc184314450"/>
      <w:bookmarkEnd w:id="398"/>
      <w:bookmarkStart w:id="399" w:name="_Toc184314449"/>
      <w:bookmarkEnd w:id="399"/>
      <w:r>
        <w:rPr>
          <w:rFonts w:hint="eastAsia" w:ascii="仿宋" w:hAnsi="仿宋" w:eastAsia="仿宋" w:cs="仿宋_GB2312"/>
          <w:b/>
          <w:sz w:val="36"/>
          <w:szCs w:val="36"/>
        </w:rPr>
        <w:t>评标办法</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500" w:lineRule="exact"/>
        <w:ind w:firstLine="482" w:firstLineChars="200"/>
        <w:rPr>
          <w:rFonts w:ascii="仿宋_GB2312" w:hAnsi="仿宋" w:eastAsia="仿宋_GB2312" w:cs="Arial"/>
          <w:kern w:val="0"/>
          <w:sz w:val="24"/>
        </w:rPr>
      </w:pPr>
      <w:r>
        <w:rPr>
          <w:rFonts w:hint="eastAsia" w:ascii="仿宋_GB2312" w:hAnsi="仿宋" w:eastAsia="仿宋_GB2312" w:cs="Arial"/>
          <w:b/>
          <w:kern w:val="0"/>
          <w:sz w:val="24"/>
        </w:rPr>
        <w:t>1.</w:t>
      </w:r>
      <w:r>
        <w:rPr>
          <w:rFonts w:hint="eastAsia" w:ascii="仿宋_GB2312" w:hAnsi="仿宋" w:eastAsia="仿宋_GB2312" w:cs="Arial"/>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的投标人为中标候选人。评分过程中采用四舍五入法，并保留小数2位。</w:t>
      </w:r>
    </w:p>
    <w:p>
      <w:pPr>
        <w:spacing w:line="500" w:lineRule="exact"/>
        <w:ind w:firstLine="482" w:firstLineChars="200"/>
        <w:rPr>
          <w:rFonts w:ascii="仿宋_GB2312" w:hAnsi="仿宋" w:eastAsia="仿宋_GB2312" w:cs="Arial"/>
          <w:kern w:val="0"/>
          <w:sz w:val="24"/>
        </w:rPr>
      </w:pPr>
      <w:r>
        <w:rPr>
          <w:rFonts w:hint="eastAsia" w:ascii="仿宋_GB2312" w:hAnsi="仿宋" w:eastAsia="仿宋_GB2312" w:cs="Arial"/>
          <w:b/>
          <w:kern w:val="0"/>
          <w:sz w:val="24"/>
        </w:rPr>
        <w:t>2.</w:t>
      </w:r>
      <w:r>
        <w:rPr>
          <w:rFonts w:hint="eastAsia" w:ascii="仿宋_GB2312" w:hAnsi="仿宋" w:eastAsia="仿宋_GB2312" w:cs="Arial"/>
          <w:kern w:val="0"/>
          <w:sz w:val="24"/>
        </w:rPr>
        <w:t>评分办法</w:t>
      </w:r>
    </w:p>
    <w:p>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（1）满分为100分。总得分=技术、商务得分+报价得分；</w:t>
      </w:r>
    </w:p>
    <w:p>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（2）技术、商务得分=技术、商务评分，技术、商务评分=各评委的有效评分的算术平均数；</w:t>
      </w:r>
    </w:p>
    <w:p>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（3）报价得分=（评标基准价/投标报价）*价格权值*100，评标基准价=有效投标人的最低投标报价，价格权值=30%；</w:t>
      </w:r>
    </w:p>
    <w:p>
      <w:pPr>
        <w:snapToGrid w:val="0"/>
        <w:spacing w:line="360" w:lineRule="auto"/>
        <w:ind w:firstLine="484"/>
        <w:rPr>
          <w:rFonts w:ascii="仿宋_GB2312" w:hAnsi="仿宋" w:eastAsia="仿宋_GB2312" w:cs="Arial"/>
          <w:kern w:val="0"/>
          <w:sz w:val="24"/>
        </w:rPr>
      </w:pPr>
      <w:r>
        <w:rPr>
          <w:rFonts w:hint="eastAsia" w:ascii="仿宋_GB2312" w:hAnsi="仿宋" w:eastAsia="仿宋_GB2312" w:cs="Arial"/>
          <w:kern w:val="0"/>
          <w:sz w:val="24"/>
        </w:rPr>
        <w:t>（4）技术、商务分评分细则（70分）：</w:t>
      </w:r>
    </w:p>
    <w:tbl>
      <w:tblPr>
        <w:tblStyle w:val="62"/>
        <w:tblW w:w="8926"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0"/>
        <w:gridCol w:w="7305"/>
        <w:gridCol w:w="801"/>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vAlign w:val="center"/>
          </w:tcPr>
          <w:p>
            <w:pPr>
              <w:spacing w:line="360" w:lineRule="auto"/>
              <w:jc w:val="center"/>
            </w:pPr>
            <w:r>
              <w:t>序号</w:t>
            </w:r>
          </w:p>
        </w:tc>
        <w:tc>
          <w:tcPr>
            <w:tcW w:w="7305" w:type="dxa"/>
            <w:vAlign w:val="center"/>
          </w:tcPr>
          <w:p>
            <w:pPr>
              <w:spacing w:line="360" w:lineRule="auto"/>
              <w:jc w:val="center"/>
            </w:pPr>
            <w:r>
              <w:t>评分细则</w:t>
            </w:r>
          </w:p>
        </w:tc>
        <w:tc>
          <w:tcPr>
            <w:tcW w:w="801" w:type="dxa"/>
            <w:vAlign w:val="center"/>
          </w:tcPr>
          <w:p>
            <w:pPr>
              <w:spacing w:line="360" w:lineRule="auto"/>
              <w:jc w:val="center"/>
            </w:pPr>
            <w:r>
              <w:t>分值</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926" w:type="dxa"/>
            <w:gridSpan w:val="3"/>
            <w:vAlign w:val="center"/>
          </w:tcPr>
          <w:p>
            <w:pPr>
              <w:spacing w:line="360" w:lineRule="auto"/>
              <w:jc w:val="center"/>
            </w:pPr>
            <w:r>
              <w:rPr>
                <w:rFonts w:hint="eastAsia"/>
              </w:rPr>
              <w:t>客观分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vAlign w:val="center"/>
          </w:tcPr>
          <w:p>
            <w:pPr>
              <w:spacing w:line="360" w:lineRule="auto"/>
              <w:jc w:val="center"/>
            </w:pPr>
            <w:r>
              <w:rPr>
                <w:rFonts w:hint="eastAsia"/>
              </w:rPr>
              <w:t>1</w:t>
            </w:r>
          </w:p>
        </w:tc>
        <w:tc>
          <w:tcPr>
            <w:tcW w:w="7305" w:type="dxa"/>
            <w:vAlign w:val="center"/>
          </w:tcPr>
          <w:p>
            <w:pPr>
              <w:spacing w:line="360" w:lineRule="auto"/>
            </w:pPr>
            <w:r>
              <w:rPr>
                <w:color w:val="000000"/>
              </w:rPr>
              <w:t>技术功能符合度</w:t>
            </w:r>
            <w:r>
              <w:rPr>
                <w:rFonts w:hint="eastAsia"/>
                <w:color w:val="000000"/>
              </w:rPr>
              <w:t>：</w:t>
            </w:r>
            <w:r>
              <w:rPr>
                <w:color w:val="000000"/>
              </w:rPr>
              <w:t>对应于</w:t>
            </w:r>
            <w:r>
              <w:rPr>
                <w:rFonts w:hint="eastAsia"/>
                <w:color w:val="000000"/>
              </w:rPr>
              <w:t>采购</w:t>
            </w:r>
            <w:r>
              <w:rPr>
                <w:color w:val="000000"/>
              </w:rPr>
              <w:t>文件</w:t>
            </w:r>
            <w:r>
              <w:rPr>
                <w:rFonts w:hint="eastAsia"/>
                <w:color w:val="000000"/>
              </w:rPr>
              <w:t>第三部分“用户需求书”中“招标技术要求”</w:t>
            </w:r>
            <w:r>
              <w:rPr>
                <w:color w:val="000000"/>
              </w:rPr>
              <w:t>的符合度</w:t>
            </w:r>
            <w:r>
              <w:rPr>
                <w:rFonts w:hint="eastAsia"/>
                <w:color w:val="000000"/>
              </w:rPr>
              <w:t>，</w:t>
            </w:r>
            <w:r>
              <w:rPr>
                <w:color w:val="000000"/>
              </w:rPr>
              <w:t>每</w:t>
            </w:r>
            <w:r>
              <w:rPr>
                <w:rFonts w:hint="eastAsia"/>
                <w:color w:val="000000"/>
              </w:rPr>
              <w:t>一条带“</w:t>
            </w:r>
            <w:r>
              <w:rPr>
                <w:rFonts w:hint="eastAsia"/>
              </w:rPr>
              <w:t>★</w:t>
            </w:r>
            <w:r>
              <w:rPr>
                <w:rFonts w:hint="eastAsia"/>
                <w:color w:val="000000"/>
              </w:rPr>
              <w:t>”标记的条款</w:t>
            </w:r>
            <w:r>
              <w:rPr>
                <w:color w:val="000000"/>
              </w:rPr>
              <w:t>不满足</w:t>
            </w:r>
            <w:r>
              <w:rPr>
                <w:rFonts w:hint="eastAsia"/>
                <w:color w:val="000000"/>
              </w:rPr>
              <w:t>采购文件要求废标，</w:t>
            </w:r>
            <w:r>
              <w:rPr>
                <w:color w:val="000000"/>
              </w:rPr>
              <w:t>每</w:t>
            </w:r>
            <w:r>
              <w:rPr>
                <w:rFonts w:hint="eastAsia"/>
                <w:color w:val="000000"/>
              </w:rPr>
              <w:t>一条带“</w:t>
            </w:r>
            <w:r>
              <w:rPr>
                <w:color w:val="000000"/>
              </w:rPr>
              <w:t>△</w:t>
            </w:r>
            <w:r>
              <w:rPr>
                <w:rFonts w:hint="eastAsia"/>
                <w:color w:val="000000"/>
              </w:rPr>
              <w:t>”标记的条款</w:t>
            </w:r>
            <w:r>
              <w:rPr>
                <w:color w:val="000000"/>
              </w:rPr>
              <w:t>不满足</w:t>
            </w:r>
            <w:r>
              <w:rPr>
                <w:rFonts w:hint="eastAsia"/>
                <w:color w:val="000000"/>
              </w:rPr>
              <w:t>采购文件要求</w:t>
            </w:r>
            <w:r>
              <w:rPr>
                <w:color w:val="000000"/>
              </w:rPr>
              <w:t>扣</w:t>
            </w:r>
            <w:r>
              <w:rPr>
                <w:rFonts w:hint="eastAsia"/>
                <w:color w:val="000000"/>
              </w:rPr>
              <w:t>5分</w:t>
            </w:r>
            <w:r>
              <w:rPr>
                <w:color w:val="000000"/>
              </w:rPr>
              <w:t>，每</w:t>
            </w:r>
            <w:r>
              <w:rPr>
                <w:rFonts w:hint="eastAsia"/>
                <w:color w:val="000000"/>
              </w:rPr>
              <w:t>一条非“</w:t>
            </w:r>
            <w:r>
              <w:rPr>
                <w:color w:val="000000"/>
              </w:rPr>
              <w:t>△</w:t>
            </w:r>
            <w:r>
              <w:rPr>
                <w:rFonts w:hint="eastAsia"/>
                <w:color w:val="000000"/>
              </w:rPr>
              <w:t>”标记的条款</w:t>
            </w:r>
            <w:r>
              <w:rPr>
                <w:color w:val="000000"/>
              </w:rPr>
              <w:t>不满足</w:t>
            </w:r>
            <w:r>
              <w:rPr>
                <w:rFonts w:hint="eastAsia"/>
                <w:color w:val="000000"/>
              </w:rPr>
              <w:t>采购文件要求</w:t>
            </w:r>
            <w:r>
              <w:rPr>
                <w:color w:val="000000"/>
              </w:rPr>
              <w:t>扣</w:t>
            </w:r>
            <w:r>
              <w:rPr>
                <w:rFonts w:hint="eastAsia"/>
                <w:color w:val="000000"/>
              </w:rPr>
              <w:t>2分，扣完为止。</w:t>
            </w:r>
          </w:p>
        </w:tc>
        <w:tc>
          <w:tcPr>
            <w:tcW w:w="801" w:type="dxa"/>
            <w:vAlign w:val="center"/>
          </w:tcPr>
          <w:p>
            <w:pPr>
              <w:spacing w:line="360" w:lineRule="auto"/>
              <w:jc w:val="center"/>
            </w:pPr>
            <w:r>
              <w:rPr>
                <w:rFonts w:hint="eastAsia"/>
              </w:rPr>
              <w:t>4</w:t>
            </w:r>
            <w:r>
              <w:t>5</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vAlign w:val="center"/>
          </w:tcPr>
          <w:p>
            <w:pPr>
              <w:spacing w:line="360" w:lineRule="auto"/>
              <w:jc w:val="center"/>
            </w:pPr>
            <w:r>
              <w:rPr>
                <w:rFonts w:hint="eastAsia"/>
              </w:rPr>
              <w:t>2</w:t>
            </w:r>
          </w:p>
        </w:tc>
        <w:tc>
          <w:tcPr>
            <w:tcW w:w="7305" w:type="dxa"/>
            <w:vAlign w:val="center"/>
          </w:tcPr>
          <w:p>
            <w:pPr>
              <w:spacing w:line="360" w:lineRule="auto"/>
              <w:rPr>
                <w:color w:val="000000"/>
              </w:rPr>
            </w:pPr>
            <w:r>
              <w:rPr>
                <w:rFonts w:hint="eastAsia"/>
                <w:color w:val="000000"/>
              </w:rPr>
              <w:t>投标产品销售业绩：评委对本次相同型号投标产品自2019年1月1日起</w:t>
            </w:r>
            <w:r>
              <w:rPr>
                <w:color w:val="000000"/>
              </w:rPr>
              <w:t>（以</w:t>
            </w:r>
            <w:r>
              <w:rPr>
                <w:rFonts w:hint="eastAsia"/>
                <w:color w:val="000000"/>
              </w:rPr>
              <w:t>合同签定时间为准）与最终用户签订的销售合同评分，每提供一个合同复印件得</w:t>
            </w:r>
            <w:r>
              <w:rPr>
                <w:color w:val="000000"/>
              </w:rPr>
              <w:t>0.5</w:t>
            </w:r>
            <w:r>
              <w:rPr>
                <w:rFonts w:hint="eastAsia"/>
                <w:color w:val="000000"/>
              </w:rPr>
              <w:t>分，最高2分。</w:t>
            </w:r>
          </w:p>
          <w:p>
            <w:pPr>
              <w:spacing w:line="360" w:lineRule="auto"/>
              <w:rPr>
                <w:color w:val="000000"/>
              </w:rPr>
            </w:pPr>
            <w:r>
              <w:rPr>
                <w:rFonts w:hint="eastAsia"/>
                <w:color w:val="000000"/>
              </w:rPr>
              <w:t>投标产品为对省级以上主管部门认定的首台套产品，自纳入《省推广应用指导目录》起三年内参加政府采购活动，视同已具备相应销售业绩，本项得满分。</w:t>
            </w:r>
          </w:p>
        </w:tc>
        <w:tc>
          <w:tcPr>
            <w:tcW w:w="801" w:type="dxa"/>
            <w:vAlign w:val="center"/>
          </w:tcPr>
          <w:p>
            <w:pPr>
              <w:spacing w:line="360" w:lineRule="auto"/>
              <w:jc w:val="center"/>
            </w:pPr>
            <w: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vAlign w:val="center"/>
          </w:tcPr>
          <w:p>
            <w:pPr>
              <w:spacing w:line="360" w:lineRule="auto"/>
              <w:jc w:val="center"/>
            </w:pPr>
            <w:r>
              <w:rPr>
                <w:rFonts w:hint="eastAsia"/>
              </w:rPr>
              <w:t>3</w:t>
            </w:r>
          </w:p>
        </w:tc>
        <w:tc>
          <w:tcPr>
            <w:tcW w:w="7305" w:type="dxa"/>
            <w:vAlign w:val="center"/>
          </w:tcPr>
          <w:p>
            <w:pPr>
              <w:spacing w:line="360" w:lineRule="auto"/>
            </w:pPr>
            <w:r>
              <w:t>优惠</w:t>
            </w:r>
            <w:r>
              <w:rPr>
                <w:rFonts w:hint="eastAsia"/>
              </w:rPr>
              <w:t>方案</w:t>
            </w:r>
            <w:r>
              <w:t>：</w:t>
            </w:r>
            <w:r>
              <w:rPr>
                <w:rFonts w:hint="eastAsia"/>
              </w:rPr>
              <w:t>质保期在满足采购文件的基础上每增加半年加0.5分，最多加</w:t>
            </w:r>
            <w:r>
              <w:t>1</w:t>
            </w:r>
            <w:r>
              <w:rPr>
                <w:rFonts w:hint="eastAsia"/>
              </w:rPr>
              <w:t>分</w:t>
            </w:r>
          </w:p>
        </w:tc>
        <w:tc>
          <w:tcPr>
            <w:tcW w:w="801" w:type="dxa"/>
            <w:vAlign w:val="center"/>
          </w:tcPr>
          <w:p>
            <w:pPr>
              <w:spacing w:line="360" w:lineRule="auto"/>
              <w:jc w:val="center"/>
            </w:pPr>
            <w:r>
              <w:t>1</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vAlign w:val="center"/>
          </w:tcPr>
          <w:p>
            <w:pPr>
              <w:spacing w:line="360" w:lineRule="auto"/>
              <w:jc w:val="center"/>
            </w:pPr>
            <w:r>
              <w:rPr>
                <w:rFonts w:hint="eastAsia"/>
              </w:rPr>
              <w:t>4</w:t>
            </w:r>
          </w:p>
        </w:tc>
        <w:tc>
          <w:tcPr>
            <w:tcW w:w="7305" w:type="dxa"/>
            <w:vAlign w:val="center"/>
          </w:tcPr>
          <w:p>
            <w:pPr>
              <w:spacing w:line="360" w:lineRule="auto"/>
              <w:rPr>
                <w:color w:val="000000"/>
              </w:rPr>
            </w:pPr>
            <w:r>
              <w:rPr>
                <w:color w:val="000000"/>
              </w:rPr>
              <w:t>环境标志产品、节能产品评审：</w:t>
            </w:r>
            <w:r>
              <w:rPr>
                <w:rFonts w:hint="eastAsia"/>
                <w:color w:val="000000"/>
              </w:rPr>
              <w:t>对所投产品是否取得有效的政府采购节能产品、环境标志产品认证证书的情况进行评价给分（已列入强制要求的除外）。所投产品取得节能产品认证证书的，得0.5分；所投产品取得环境标志产品认证证书的，得0.5分；证明材料：提供国家确定的认证机构出具的、处于有效期之内的节能产品、环境标志产品认证证书复印件</w:t>
            </w:r>
          </w:p>
        </w:tc>
        <w:tc>
          <w:tcPr>
            <w:tcW w:w="801" w:type="dxa"/>
            <w:vAlign w:val="center"/>
          </w:tcPr>
          <w:p>
            <w:pPr>
              <w:spacing w:line="360" w:lineRule="auto"/>
              <w:jc w:val="center"/>
            </w:pPr>
            <w:r>
              <w:rPr>
                <w:rFonts w:hint="eastAsia"/>
              </w:rPr>
              <w:t>1</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926" w:type="dxa"/>
            <w:gridSpan w:val="3"/>
            <w:vAlign w:val="center"/>
          </w:tcPr>
          <w:p>
            <w:pPr>
              <w:spacing w:line="360" w:lineRule="auto"/>
              <w:jc w:val="center"/>
            </w:pPr>
            <w:r>
              <w:rPr>
                <w:rFonts w:hint="eastAsia"/>
              </w:rPr>
              <w:t>主观分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vAlign w:val="center"/>
          </w:tcPr>
          <w:p>
            <w:pPr>
              <w:spacing w:line="360" w:lineRule="auto"/>
              <w:jc w:val="center"/>
            </w:pPr>
            <w:r>
              <w:rPr>
                <w:rFonts w:hint="eastAsia"/>
              </w:rPr>
              <w:t>5</w:t>
            </w:r>
          </w:p>
        </w:tc>
        <w:tc>
          <w:tcPr>
            <w:tcW w:w="7305" w:type="dxa"/>
            <w:vAlign w:val="center"/>
          </w:tcPr>
          <w:p>
            <w:pPr>
              <w:spacing w:line="360" w:lineRule="auto"/>
            </w:pPr>
            <w:r>
              <w:t>投标</w:t>
            </w:r>
            <w:r>
              <w:rPr>
                <w:rFonts w:hint="eastAsia"/>
              </w:rPr>
              <w:t>货物的技术</w:t>
            </w:r>
            <w:r>
              <w:t>性能：根据所投</w:t>
            </w:r>
            <w:r>
              <w:rPr>
                <w:rFonts w:hint="eastAsia"/>
              </w:rPr>
              <w:t>货物</w:t>
            </w:r>
            <w:r>
              <w:t>技术性能先进程度、在临床使用效果</w:t>
            </w:r>
            <w:r>
              <w:rPr>
                <w:rFonts w:hint="eastAsia"/>
              </w:rPr>
              <w:t>评分。技术性能先进充分满足临床要求且优化的得3分，技术性能较先进</w:t>
            </w:r>
            <w:r>
              <w:t>满足</w:t>
            </w:r>
            <w:r>
              <w:rPr>
                <w:rFonts w:hint="eastAsia"/>
              </w:rPr>
              <w:t>临床</w:t>
            </w:r>
            <w:r>
              <w:t>要求得</w:t>
            </w:r>
            <w:r>
              <w:rPr>
                <w:rFonts w:hint="eastAsia"/>
              </w:rPr>
              <w:t>2分；技术性能基本满足临床要求的得1分；技术性能不能完全满足临床要求的得0.5分；存在较大的缺陷、技术性能与临床要求差距较大的得0分。</w:t>
            </w:r>
          </w:p>
        </w:tc>
        <w:tc>
          <w:tcPr>
            <w:tcW w:w="801" w:type="dxa"/>
            <w:vAlign w:val="center"/>
          </w:tcPr>
          <w:p>
            <w:pPr>
              <w:spacing w:line="360" w:lineRule="auto"/>
              <w:jc w:val="center"/>
            </w:pPr>
            <w:r>
              <w:rPr>
                <w:rFonts w:hint="eastAsia"/>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vAlign w:val="center"/>
          </w:tcPr>
          <w:p>
            <w:pPr>
              <w:spacing w:line="360" w:lineRule="auto"/>
              <w:jc w:val="center"/>
            </w:pPr>
            <w:r>
              <w:rPr>
                <w:rFonts w:hint="eastAsia"/>
              </w:rPr>
              <w:t>6</w:t>
            </w:r>
          </w:p>
        </w:tc>
        <w:tc>
          <w:tcPr>
            <w:tcW w:w="7305" w:type="dxa"/>
            <w:vAlign w:val="center"/>
          </w:tcPr>
          <w:p>
            <w:pPr>
              <w:spacing w:line="360" w:lineRule="auto"/>
            </w:pPr>
            <w:r>
              <w:t>运行成本：消耗品或易耗品价格</w:t>
            </w:r>
          </w:p>
          <w:p>
            <w:pPr>
              <w:spacing w:line="360" w:lineRule="auto"/>
            </w:pPr>
            <w:r>
              <w:t>评委</w:t>
            </w:r>
            <w:r>
              <w:rPr>
                <w:rFonts w:hint="eastAsia"/>
              </w:rPr>
              <w:t>根据</w:t>
            </w:r>
            <w:r>
              <w:t>消耗品或易耗品价格</w:t>
            </w:r>
            <w:r>
              <w:rPr>
                <w:rFonts w:hint="eastAsia"/>
              </w:rPr>
              <w:t>给分：报价合理运行成本低</w:t>
            </w:r>
            <w:r>
              <w:t>得</w:t>
            </w:r>
            <w:r>
              <w:rPr>
                <w:rFonts w:hint="eastAsia"/>
              </w:rPr>
              <w:t>3</w:t>
            </w:r>
            <w:r>
              <w:t>分；</w:t>
            </w:r>
            <w:r>
              <w:rPr>
                <w:rFonts w:hint="eastAsia"/>
              </w:rPr>
              <w:t>报价和成本较合理得2</w:t>
            </w:r>
            <w:r>
              <w:t>分</w:t>
            </w:r>
            <w:r>
              <w:rPr>
                <w:rFonts w:hint="eastAsia"/>
              </w:rPr>
              <w:t>，报价不</w:t>
            </w:r>
            <w:r>
              <w:t>合理</w:t>
            </w:r>
            <w:r>
              <w:rPr>
                <w:rFonts w:hint="eastAsia"/>
              </w:rPr>
              <w:t>运行成本高1分，无报价得0分。</w:t>
            </w:r>
          </w:p>
        </w:tc>
        <w:tc>
          <w:tcPr>
            <w:tcW w:w="801" w:type="dxa"/>
            <w:vAlign w:val="center"/>
          </w:tcPr>
          <w:p>
            <w:pPr>
              <w:spacing w:line="360" w:lineRule="auto"/>
              <w:jc w:val="center"/>
            </w:pPr>
            <w:r>
              <w:rPr>
                <w:rFonts w:hint="eastAsia"/>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vAlign w:val="center"/>
          </w:tcPr>
          <w:p>
            <w:pPr>
              <w:spacing w:line="360" w:lineRule="auto"/>
              <w:jc w:val="center"/>
            </w:pPr>
            <w:r>
              <w:rPr>
                <w:rFonts w:hint="eastAsia"/>
              </w:rPr>
              <w:t>7</w:t>
            </w:r>
          </w:p>
        </w:tc>
        <w:tc>
          <w:tcPr>
            <w:tcW w:w="7305" w:type="dxa"/>
            <w:vAlign w:val="center"/>
          </w:tcPr>
          <w:p>
            <w:pPr>
              <w:spacing w:line="360" w:lineRule="auto"/>
            </w:pPr>
            <w:r>
              <w:t>维修成本：</w:t>
            </w:r>
            <w:r>
              <w:rPr>
                <w:rFonts w:hint="eastAsia"/>
              </w:rPr>
              <w:t>包括</w:t>
            </w:r>
            <w:r>
              <w:t>保修价格、设备配件价格，维修服务费</w:t>
            </w:r>
            <w:r>
              <w:rPr>
                <w:rFonts w:hint="eastAsia"/>
              </w:rPr>
              <w:t>等维修价格</w:t>
            </w:r>
            <w:r>
              <w:t>。</w:t>
            </w:r>
          </w:p>
          <w:p>
            <w:pPr>
              <w:spacing w:line="360" w:lineRule="auto"/>
            </w:pPr>
            <w:r>
              <w:rPr>
                <w:rFonts w:hint="eastAsia"/>
              </w:rPr>
              <w:t>报价合理维修成本低</w:t>
            </w:r>
            <w:r>
              <w:t>得</w:t>
            </w:r>
            <w:r>
              <w:rPr>
                <w:rFonts w:hint="eastAsia"/>
              </w:rPr>
              <w:t>3</w:t>
            </w:r>
            <w:r>
              <w:t>分；</w:t>
            </w:r>
            <w:r>
              <w:rPr>
                <w:rFonts w:hint="eastAsia"/>
              </w:rPr>
              <w:t>报价和维修成本较合理得2分，报价和</w:t>
            </w:r>
            <w:r>
              <w:t>维修成本</w:t>
            </w:r>
            <w:r>
              <w:rPr>
                <w:rFonts w:hint="eastAsia"/>
              </w:rPr>
              <w:t>一般得1</w:t>
            </w:r>
            <w:r>
              <w:t>分</w:t>
            </w:r>
            <w:r>
              <w:rPr>
                <w:rFonts w:hint="eastAsia"/>
              </w:rPr>
              <w:t>，</w:t>
            </w:r>
            <w:r>
              <w:t>维修成本</w:t>
            </w:r>
            <w:r>
              <w:rPr>
                <w:rFonts w:hint="eastAsia"/>
              </w:rPr>
              <w:t>报价不</w:t>
            </w:r>
            <w:r>
              <w:t>合理</w:t>
            </w:r>
            <w:r>
              <w:rPr>
                <w:rFonts w:hint="eastAsia"/>
              </w:rPr>
              <w:t>得0.5分，无维修报价得0分</w:t>
            </w:r>
          </w:p>
        </w:tc>
        <w:tc>
          <w:tcPr>
            <w:tcW w:w="801" w:type="dxa"/>
            <w:vAlign w:val="center"/>
          </w:tcPr>
          <w:p>
            <w:pPr>
              <w:spacing w:line="360" w:lineRule="auto"/>
              <w:jc w:val="center"/>
            </w:pPr>
            <w:r>
              <w:rPr>
                <w:rFonts w:hint="eastAsia"/>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vAlign w:val="center"/>
          </w:tcPr>
          <w:p>
            <w:pPr>
              <w:spacing w:line="360" w:lineRule="auto"/>
              <w:jc w:val="center"/>
            </w:pPr>
            <w:r>
              <w:rPr>
                <w:rFonts w:hint="eastAsia"/>
              </w:rPr>
              <w:t>8</w:t>
            </w:r>
          </w:p>
        </w:tc>
        <w:tc>
          <w:tcPr>
            <w:tcW w:w="7305" w:type="dxa"/>
            <w:vAlign w:val="center"/>
          </w:tcPr>
          <w:p>
            <w:pPr>
              <w:spacing w:line="360" w:lineRule="auto"/>
            </w:pPr>
            <w:r>
              <w:t>售后服务方案：</w:t>
            </w:r>
          </w:p>
        </w:tc>
        <w:tc>
          <w:tcPr>
            <w:tcW w:w="801" w:type="dxa"/>
            <w:vAlign w:val="center"/>
          </w:tcPr>
          <w:p>
            <w:pPr>
              <w:spacing w:line="360" w:lineRule="auto"/>
              <w:jc w:val="cente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vAlign w:val="center"/>
          </w:tcPr>
          <w:p>
            <w:pPr>
              <w:spacing w:line="360" w:lineRule="auto"/>
              <w:jc w:val="center"/>
            </w:pPr>
            <w:r>
              <w:rPr>
                <w:rFonts w:hint="eastAsia"/>
              </w:rPr>
              <w:t>8.1</w:t>
            </w:r>
          </w:p>
        </w:tc>
        <w:tc>
          <w:tcPr>
            <w:tcW w:w="7305" w:type="dxa"/>
            <w:vAlign w:val="center"/>
          </w:tcPr>
          <w:p>
            <w:pPr>
              <w:spacing w:line="360" w:lineRule="auto"/>
            </w:pPr>
            <w:r>
              <w:t>售后服务方案，包括但不限于服务响应时间、故障解决方案</w:t>
            </w:r>
            <w:r>
              <w:rPr>
                <w:rFonts w:hint="eastAsia"/>
              </w:rPr>
              <w:t>，响应时间短，解决</w:t>
            </w:r>
            <w:r>
              <w:t>方案</w:t>
            </w:r>
            <w:r>
              <w:rPr>
                <w:rFonts w:hint="eastAsia"/>
              </w:rPr>
              <w:t>充分</w:t>
            </w:r>
            <w:r>
              <w:t>得</w:t>
            </w:r>
            <w:r>
              <w:rPr>
                <w:rFonts w:hint="eastAsia"/>
              </w:rPr>
              <w:t>3</w:t>
            </w:r>
            <w:r>
              <w:t>分，</w:t>
            </w:r>
            <w:r>
              <w:rPr>
                <w:rFonts w:hint="eastAsia"/>
              </w:rPr>
              <w:t>响应时间一般，解决</w:t>
            </w:r>
            <w:r>
              <w:t>方案</w:t>
            </w:r>
            <w:r>
              <w:rPr>
                <w:rFonts w:hint="eastAsia"/>
              </w:rPr>
              <w:t>较合理</w:t>
            </w:r>
            <w:r>
              <w:t>得</w:t>
            </w:r>
            <w:r>
              <w:rPr>
                <w:rFonts w:hint="eastAsia"/>
              </w:rPr>
              <w:t>2</w:t>
            </w:r>
            <w:r>
              <w:t>分</w:t>
            </w:r>
            <w:r>
              <w:rPr>
                <w:rFonts w:hint="eastAsia"/>
              </w:rPr>
              <w:t>，响应时间长，解决方案一般1分，响应时间长，解决方案差0.5分，无解决方案得0分</w:t>
            </w:r>
            <w:r>
              <w:t>；</w:t>
            </w:r>
          </w:p>
        </w:tc>
        <w:tc>
          <w:tcPr>
            <w:tcW w:w="801" w:type="dxa"/>
            <w:vAlign w:val="center"/>
          </w:tcPr>
          <w:p>
            <w:pPr>
              <w:spacing w:line="360" w:lineRule="auto"/>
              <w:jc w:val="center"/>
            </w:pPr>
            <w:r>
              <w:rPr>
                <w:rFonts w:hint="eastAsia"/>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vAlign w:val="center"/>
          </w:tcPr>
          <w:p>
            <w:pPr>
              <w:spacing w:line="360" w:lineRule="auto"/>
              <w:jc w:val="center"/>
            </w:pPr>
            <w:r>
              <w:rPr>
                <w:rFonts w:hint="eastAsia"/>
              </w:rPr>
              <w:t>8.2</w:t>
            </w:r>
          </w:p>
        </w:tc>
        <w:tc>
          <w:tcPr>
            <w:tcW w:w="7305" w:type="dxa"/>
            <w:vAlign w:val="center"/>
          </w:tcPr>
          <w:p>
            <w:pPr>
              <w:spacing w:line="360" w:lineRule="auto"/>
            </w:pPr>
            <w:r>
              <w:t>售后服务机构备品备件储备情况</w:t>
            </w:r>
            <w:r>
              <w:rPr>
                <w:rFonts w:hint="eastAsia"/>
              </w:rPr>
              <w:t>，</w:t>
            </w:r>
            <w:r>
              <w:t>储备充足</w:t>
            </w:r>
            <w:r>
              <w:rPr>
                <w:rFonts w:hint="eastAsia"/>
              </w:rPr>
              <w:t>能充分满足售后服务要求得3</w:t>
            </w:r>
            <w:r>
              <w:t>分，储备</w:t>
            </w:r>
            <w:r>
              <w:rPr>
                <w:rFonts w:hint="eastAsia"/>
              </w:rPr>
              <w:t>一般基本能满足售后服务要求得2</w:t>
            </w:r>
            <w:r>
              <w:t>分</w:t>
            </w:r>
            <w:r>
              <w:rPr>
                <w:rFonts w:hint="eastAsia"/>
              </w:rPr>
              <w:t>，</w:t>
            </w:r>
            <w:r>
              <w:t>储备</w:t>
            </w:r>
            <w:r>
              <w:rPr>
                <w:rFonts w:hint="eastAsia"/>
              </w:rPr>
              <w:t>情况差不能满足售后服务要求1</w:t>
            </w:r>
            <w:r>
              <w:t>分</w:t>
            </w:r>
            <w:r>
              <w:rPr>
                <w:rFonts w:hint="eastAsia"/>
              </w:rPr>
              <w:t>，无备品备件储备得0分。</w:t>
            </w:r>
          </w:p>
        </w:tc>
        <w:tc>
          <w:tcPr>
            <w:tcW w:w="801" w:type="dxa"/>
            <w:vAlign w:val="center"/>
          </w:tcPr>
          <w:p>
            <w:pPr>
              <w:spacing w:line="360" w:lineRule="auto"/>
              <w:jc w:val="center"/>
            </w:pPr>
            <w:r>
              <w:rPr>
                <w:rFonts w:hint="eastAsia"/>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vAlign w:val="center"/>
          </w:tcPr>
          <w:p>
            <w:pPr>
              <w:spacing w:line="360" w:lineRule="auto"/>
              <w:jc w:val="center"/>
            </w:pPr>
            <w:r>
              <w:rPr>
                <w:rFonts w:hint="eastAsia"/>
              </w:rPr>
              <w:t>8.3</w:t>
            </w:r>
          </w:p>
        </w:tc>
        <w:tc>
          <w:tcPr>
            <w:tcW w:w="7305" w:type="dxa"/>
            <w:vAlign w:val="center"/>
          </w:tcPr>
          <w:p>
            <w:pPr>
              <w:spacing w:line="360" w:lineRule="auto"/>
            </w:pPr>
            <w:r>
              <w:t>售后服务机构技术服务人员情况，提供姓名、工作经验、资质证书情况</w:t>
            </w:r>
            <w:r>
              <w:rPr>
                <w:rFonts w:hint="eastAsia"/>
              </w:rPr>
              <w:t>，</w:t>
            </w:r>
            <w:r>
              <w:t>人员配备充足</w:t>
            </w:r>
            <w:r>
              <w:rPr>
                <w:rFonts w:hint="eastAsia"/>
              </w:rPr>
              <w:t>售后服务</w:t>
            </w:r>
            <w:r>
              <w:t>经验丰富得</w:t>
            </w:r>
            <w:r>
              <w:rPr>
                <w:rFonts w:hint="eastAsia"/>
              </w:rPr>
              <w:t>2</w:t>
            </w:r>
            <w:r>
              <w:t>分，人员配备</w:t>
            </w:r>
            <w:r>
              <w:rPr>
                <w:rFonts w:hint="eastAsia"/>
              </w:rPr>
              <w:t>和售后服务一般</w:t>
            </w:r>
            <w:r>
              <w:t>得</w:t>
            </w:r>
            <w:r>
              <w:rPr>
                <w:rFonts w:hint="eastAsia"/>
              </w:rPr>
              <w:t>1</w:t>
            </w:r>
            <w:r>
              <w:t>分，人员配备</w:t>
            </w:r>
            <w:r>
              <w:rPr>
                <w:rFonts w:hint="eastAsia"/>
              </w:rPr>
              <w:t>不足售后服务</w:t>
            </w:r>
            <w:r>
              <w:t>经验</w:t>
            </w:r>
            <w:r>
              <w:rPr>
                <w:rFonts w:hint="eastAsia"/>
              </w:rPr>
              <w:t>差0.5</w:t>
            </w:r>
            <w:r>
              <w:t>分，</w:t>
            </w:r>
            <w:r>
              <w:rPr>
                <w:rFonts w:hint="eastAsia"/>
              </w:rPr>
              <w:t>无</w:t>
            </w:r>
            <w:r>
              <w:t>人员配备得</w:t>
            </w:r>
            <w:r>
              <w:rPr>
                <w:rFonts w:hint="eastAsia"/>
              </w:rPr>
              <w:t>0</w:t>
            </w:r>
            <w:r>
              <w:t>分</w:t>
            </w:r>
            <w:r>
              <w:rPr>
                <w:rFonts w:hint="eastAsia"/>
              </w:rPr>
              <w:t>。</w:t>
            </w:r>
          </w:p>
        </w:tc>
        <w:tc>
          <w:tcPr>
            <w:tcW w:w="801" w:type="dxa"/>
            <w:vAlign w:val="center"/>
          </w:tcPr>
          <w:p>
            <w:pPr>
              <w:spacing w:line="360" w:lineRule="auto"/>
              <w:jc w:val="center"/>
            </w:pPr>
            <w:r>
              <w:rPr>
                <w:rFonts w:hint="eastAsia"/>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vAlign w:val="center"/>
          </w:tcPr>
          <w:p>
            <w:pPr>
              <w:spacing w:line="360" w:lineRule="auto"/>
              <w:jc w:val="center"/>
            </w:pPr>
            <w:r>
              <w:rPr>
                <w:rFonts w:hint="eastAsia"/>
              </w:rPr>
              <w:t>9</w:t>
            </w:r>
          </w:p>
        </w:tc>
        <w:tc>
          <w:tcPr>
            <w:tcW w:w="7305" w:type="dxa"/>
            <w:vAlign w:val="center"/>
          </w:tcPr>
          <w:p>
            <w:pPr>
              <w:spacing w:line="360" w:lineRule="auto"/>
            </w:pPr>
            <w:r>
              <w:rPr>
                <w:rFonts w:hint="eastAsia"/>
              </w:rPr>
              <w:t>安装调试方案，包括对场地环境的了解、人员的安排、时间进度的规划，对设备的调试进度安排，调试的步骤、措施，问题的解决方案等，</w:t>
            </w:r>
            <w:r>
              <w:t>方案</w:t>
            </w:r>
            <w:r>
              <w:rPr>
                <w:rFonts w:hint="eastAsia"/>
              </w:rPr>
              <w:t>考虑充分措施有效得2分，方案</w:t>
            </w:r>
            <w:r>
              <w:t>合理</w:t>
            </w:r>
            <w:r>
              <w:rPr>
                <w:rFonts w:hint="eastAsia"/>
              </w:rPr>
              <w:t>措施一般</w:t>
            </w:r>
            <w:r>
              <w:t>得</w:t>
            </w:r>
            <w:r>
              <w:rPr>
                <w:rFonts w:hint="eastAsia"/>
              </w:rPr>
              <w:t>1</w:t>
            </w:r>
            <w:r>
              <w:t>分，</w:t>
            </w:r>
            <w:r>
              <w:rPr>
                <w:rFonts w:hint="eastAsia"/>
              </w:rPr>
              <w:t>无</w:t>
            </w:r>
            <w:r>
              <w:t>方案得0分</w:t>
            </w:r>
          </w:p>
        </w:tc>
        <w:tc>
          <w:tcPr>
            <w:tcW w:w="801" w:type="dxa"/>
            <w:vAlign w:val="center"/>
          </w:tcPr>
          <w:p>
            <w:pPr>
              <w:spacing w:line="360" w:lineRule="auto"/>
              <w:jc w:val="center"/>
            </w:pPr>
            <w:r>
              <w:rPr>
                <w:rFonts w:hint="eastAsia"/>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vAlign w:val="center"/>
          </w:tcPr>
          <w:p>
            <w:pPr>
              <w:spacing w:line="360" w:lineRule="auto"/>
              <w:jc w:val="center"/>
            </w:pPr>
            <w:r>
              <w:rPr>
                <w:rFonts w:hint="eastAsia"/>
              </w:rPr>
              <w:t>10</w:t>
            </w:r>
          </w:p>
        </w:tc>
        <w:tc>
          <w:tcPr>
            <w:tcW w:w="7305" w:type="dxa"/>
            <w:vAlign w:val="center"/>
          </w:tcPr>
          <w:p>
            <w:pPr>
              <w:spacing w:line="360" w:lineRule="auto"/>
            </w:pPr>
            <w:bookmarkStart w:id="409" w:name="_GoBack"/>
            <w:r>
              <w:rPr>
                <w:rFonts w:hint="eastAsia"/>
              </w:rPr>
              <w:t>培训方案，包括但不限于培训对象、课时安排、师资力量安排等，</w:t>
            </w:r>
            <w:r>
              <w:t>方案</w:t>
            </w:r>
            <w:r>
              <w:rPr>
                <w:rFonts w:hint="eastAsia"/>
              </w:rPr>
              <w:t>考虑充分安排有效得2分，方案</w:t>
            </w:r>
            <w:r>
              <w:t>合理</w:t>
            </w:r>
            <w:r>
              <w:rPr>
                <w:rFonts w:hint="eastAsia"/>
              </w:rPr>
              <w:t>安排一般</w:t>
            </w:r>
            <w:r>
              <w:t>得</w:t>
            </w:r>
            <w:r>
              <w:rPr>
                <w:rFonts w:hint="eastAsia"/>
              </w:rPr>
              <w:t>1</w:t>
            </w:r>
            <w:r>
              <w:t>分，</w:t>
            </w:r>
            <w:r>
              <w:rPr>
                <w:rFonts w:hint="eastAsia"/>
              </w:rPr>
              <w:t>无</w:t>
            </w:r>
            <w:r>
              <w:t>方案得0分</w:t>
            </w:r>
            <w:bookmarkEnd w:id="409"/>
          </w:p>
        </w:tc>
        <w:tc>
          <w:tcPr>
            <w:tcW w:w="801" w:type="dxa"/>
            <w:vAlign w:val="center"/>
          </w:tcPr>
          <w:p>
            <w:pPr>
              <w:spacing w:line="360" w:lineRule="auto"/>
              <w:jc w:val="center"/>
            </w:pPr>
            <w:r>
              <w:rPr>
                <w:rFonts w:hint="eastAsia"/>
              </w:rPr>
              <w:t>2</w:t>
            </w:r>
          </w:p>
        </w:tc>
      </w:tr>
    </w:tbl>
    <w:p/>
    <w:p>
      <w:pPr>
        <w:snapToGrid w:val="0"/>
        <w:spacing w:line="360" w:lineRule="auto"/>
        <w:rPr>
          <w:rFonts w:ascii="仿宋" w:hAnsi="仿宋" w:eastAsia="仿宋" w:cs="仿宋_GB2312"/>
          <w:sz w:val="24"/>
        </w:rPr>
      </w:pP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59"/>
        <w:spacing w:before="0"/>
        <w:ind w:firstLine="508" w:firstLineChars="212"/>
        <w:rPr>
          <w:rFonts w:ascii="仿宋_GB2312" w:hAnsi="仿宋" w:eastAsia="仿宋_GB2312" w:cs="Arial"/>
          <w:kern w:val="0"/>
          <w:szCs w:val="24"/>
        </w:rPr>
      </w:pPr>
      <w:r>
        <w:rPr>
          <w:rFonts w:ascii="仿宋_GB2312" w:hAnsi="仿宋" w:eastAsia="仿宋_GB2312" w:cs="Arial"/>
          <w:kern w:val="0"/>
        </w:rPr>
        <w:t>3.4</w:t>
      </w:r>
      <w:r>
        <w:rPr>
          <w:rFonts w:ascii="仿宋_GB2312" w:hAnsi="仿宋" w:eastAsia="仿宋_GB2312" w:cs="Arial"/>
          <w:kern w:val="0"/>
          <w:szCs w:val="24"/>
        </w:rPr>
        <w:t>.1投标文件报价出现前后不一致的，按照下列规定修正：</w:t>
      </w:r>
    </w:p>
    <w:p>
      <w:pPr>
        <w:pStyle w:val="159"/>
        <w:spacing w:before="0"/>
        <w:ind w:firstLine="480"/>
        <w:rPr>
          <w:rFonts w:ascii="仿宋_GB2312" w:hAnsi="仿宋" w:eastAsia="仿宋_GB2312" w:cs="Arial"/>
          <w:kern w:val="0"/>
          <w:szCs w:val="24"/>
        </w:rPr>
      </w:pPr>
      <w:r>
        <w:rPr>
          <w:rFonts w:ascii="仿宋_GB2312" w:hAnsi="仿宋" w:eastAsia="仿宋_GB2312" w:cs="Arial"/>
          <w:kern w:val="0"/>
          <w:szCs w:val="24"/>
        </w:rPr>
        <w:t>3.4.1.1投标文件中开标一览表(报价表)内容与投标文件中相应内容不一致的，以开标一览表(报价表)为准;</w:t>
      </w:r>
    </w:p>
    <w:p>
      <w:pPr>
        <w:pStyle w:val="159"/>
        <w:spacing w:before="0"/>
        <w:ind w:firstLine="480"/>
        <w:rPr>
          <w:rFonts w:ascii="仿宋_GB2312" w:hAnsi="仿宋" w:eastAsia="仿宋_GB2312" w:cs="Arial"/>
          <w:kern w:val="0"/>
          <w:szCs w:val="24"/>
        </w:rPr>
      </w:pPr>
      <w:r>
        <w:rPr>
          <w:rFonts w:ascii="仿宋_GB2312" w:hAnsi="仿宋" w:eastAsia="仿宋_GB2312" w:cs="Arial"/>
          <w:kern w:val="0"/>
          <w:szCs w:val="24"/>
        </w:rPr>
        <w:t>3.4.1.2大写金额和小写金额不一致的，以大写金额为准;</w:t>
      </w:r>
    </w:p>
    <w:p>
      <w:pPr>
        <w:pStyle w:val="159"/>
        <w:spacing w:before="0"/>
        <w:ind w:firstLine="480"/>
        <w:rPr>
          <w:rFonts w:ascii="仿宋_GB2312" w:hAnsi="仿宋" w:eastAsia="仿宋_GB2312" w:cs="Arial"/>
          <w:kern w:val="0"/>
          <w:szCs w:val="24"/>
        </w:rPr>
      </w:pPr>
      <w:r>
        <w:rPr>
          <w:rFonts w:ascii="仿宋_GB2312" w:hAnsi="仿宋" w:eastAsia="仿宋_GB2312" w:cs="Arial"/>
          <w:kern w:val="0"/>
          <w:szCs w:val="24"/>
        </w:rPr>
        <w:t>3.4.1.3单价金额小数点或者百分比有明显错位的，以开标一览表的总价为准，并修改单价;</w:t>
      </w:r>
    </w:p>
    <w:p>
      <w:pPr>
        <w:pStyle w:val="159"/>
        <w:spacing w:before="0"/>
        <w:ind w:firstLine="480"/>
        <w:rPr>
          <w:rFonts w:ascii="仿宋_GB2312" w:hAnsi="仿宋" w:eastAsia="仿宋_GB2312" w:cs="Arial"/>
          <w:kern w:val="0"/>
          <w:szCs w:val="24"/>
        </w:rPr>
      </w:pPr>
      <w:r>
        <w:rPr>
          <w:rFonts w:ascii="仿宋_GB2312" w:hAnsi="仿宋" w:eastAsia="仿宋_GB2312" w:cs="Arial"/>
          <w:kern w:val="0"/>
          <w:szCs w:val="24"/>
        </w:rPr>
        <w:t>3.4.1.4总价金额与按单价汇总金额不一致的，以单价金额计算结果为准。</w:t>
      </w:r>
    </w:p>
    <w:p>
      <w:pPr>
        <w:pStyle w:val="159"/>
        <w:spacing w:before="0"/>
        <w:ind w:firstLine="480"/>
        <w:rPr>
          <w:rFonts w:ascii="仿宋_GB2312" w:hAnsi="仿宋" w:eastAsia="仿宋_GB2312" w:cs="Arial"/>
          <w:kern w:val="0"/>
          <w:szCs w:val="24"/>
        </w:rPr>
      </w:pPr>
      <w:r>
        <w:rPr>
          <w:rFonts w:ascii="仿宋_GB2312" w:hAnsi="仿宋" w:eastAsia="仿宋_GB2312" w:cs="Arial"/>
          <w:kern w:val="0"/>
          <w:szCs w:val="24"/>
        </w:rPr>
        <w:t>3.4.1.5同时出现两种以上不一致的，按照3.4.1</w:t>
      </w:r>
      <w:r>
        <w:rPr>
          <w:rFonts w:hint="eastAsia" w:ascii="仿宋_GB2312" w:hAnsi="仿宋" w:eastAsia="仿宋_GB2312" w:cs="Arial"/>
          <w:kern w:val="0"/>
          <w:szCs w:val="24"/>
        </w:rPr>
        <w:t>规定的顺序修正。修正后的报价按照《政府采购货物和服务招标投标管理办法》（财政部</w:t>
      </w:r>
      <w:r>
        <w:rPr>
          <w:rFonts w:ascii="仿宋_GB2312" w:hAnsi="仿宋" w:eastAsia="仿宋_GB2312" w:cs="Arial"/>
          <w:kern w:val="0"/>
          <w:szCs w:val="24"/>
        </w:rPr>
        <w:t>令</w:t>
      </w:r>
      <w:r>
        <w:rPr>
          <w:rFonts w:hint="eastAsia" w:ascii="仿宋_GB2312" w:hAnsi="仿宋" w:eastAsia="仿宋_GB2312" w:cs="Arial"/>
          <w:kern w:val="0"/>
          <w:szCs w:val="24"/>
        </w:rPr>
        <w:t>第</w:t>
      </w:r>
      <w:r>
        <w:rPr>
          <w:rFonts w:ascii="仿宋_GB2312" w:hAnsi="仿宋" w:eastAsia="仿宋_GB2312" w:cs="Arial"/>
          <w:kern w:val="0"/>
          <w:szCs w:val="24"/>
        </w:rPr>
        <w:t>87号</w:t>
      </w:r>
      <w:r>
        <w:rPr>
          <w:rFonts w:hint="eastAsia" w:ascii="仿宋_GB2312" w:hAnsi="仿宋" w:eastAsia="仿宋_GB2312" w:cs="Arial"/>
          <w:kern w:val="0"/>
          <w:szCs w:val="24"/>
        </w:rPr>
        <w:t>）第五十一条第二款的规定经投标人确认后产生约束力。</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3.4.2</w:t>
      </w:r>
      <w:r>
        <w:rPr>
          <w:rFonts w:hint="eastAsia" w:ascii="仿宋_GB2312" w:hAnsi="仿宋" w:eastAsia="仿宋_GB2312" w:cs="Arial"/>
          <w:kern w:val="0"/>
          <w:sz w:val="24"/>
        </w:rPr>
        <w:t>投标文件出现不是唯一的、有选择性投标报价的，投标无效。</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3.4.3</w:t>
      </w:r>
      <w:r>
        <w:rPr>
          <w:rFonts w:hint="eastAsia" w:ascii="仿宋_GB2312" w:hAnsi="仿宋" w:eastAsia="仿宋_GB2312" w:cs="Arial"/>
          <w:kern w:val="0"/>
          <w:sz w:val="24"/>
        </w:rPr>
        <w:t>投标报价超过招标文件中规定的预算金额或者最高限价的，投标无效。</w:t>
      </w:r>
    </w:p>
    <w:p>
      <w:pPr>
        <w:pStyle w:val="159"/>
        <w:spacing w:before="0"/>
        <w:ind w:firstLine="480"/>
        <w:rPr>
          <w:rFonts w:ascii="仿宋_GB2312" w:hAnsi="仿宋" w:eastAsia="仿宋_GB2312" w:cs="Arial"/>
          <w:kern w:val="0"/>
          <w:szCs w:val="24"/>
        </w:rPr>
      </w:pPr>
      <w:r>
        <w:rPr>
          <w:rFonts w:ascii="仿宋_GB2312" w:hAnsi="仿宋" w:eastAsia="仿宋_GB2312" w:cs="Arial"/>
          <w:kern w:val="0"/>
          <w:szCs w:val="24"/>
        </w:rPr>
        <w:t>3.4.4</w:t>
      </w:r>
      <w:r>
        <w:rPr>
          <w:rFonts w:hint="eastAsia" w:ascii="仿宋_GB2312" w:hAnsi="仿宋" w:eastAsia="仿宋_GB2312" w:cs="Arial"/>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_GB2312" w:hAnsi="仿宋" w:eastAsia="仿宋_GB2312" w:cs="Arial"/>
          <w:kern w:val="0"/>
          <w:szCs w:val="24"/>
        </w:rPr>
        <w:t>;投标人不能证明其报价合理性的，评标委员会应当将其作为无效投标处理。</w:t>
      </w:r>
    </w:p>
    <w:p>
      <w:pPr>
        <w:pStyle w:val="159"/>
        <w:spacing w:before="0"/>
        <w:ind w:firstLine="480"/>
        <w:rPr>
          <w:rFonts w:ascii="仿宋_GB2312" w:hAnsi="仿宋" w:eastAsia="仿宋_GB2312" w:cs="Arial"/>
          <w:kern w:val="0"/>
          <w:szCs w:val="24"/>
        </w:rPr>
      </w:pPr>
      <w:r>
        <w:rPr>
          <w:rFonts w:ascii="仿宋_GB2312" w:hAnsi="仿宋" w:eastAsia="仿宋_GB2312" w:cs="Arial"/>
          <w:kern w:val="0"/>
          <w:szCs w:val="24"/>
        </w:rPr>
        <w:t>3.4.5</w:t>
      </w:r>
      <w:r>
        <w:rPr>
          <w:rFonts w:hint="eastAsia" w:ascii="仿宋_GB2312" w:hAnsi="仿宋" w:eastAsia="仿宋_GB2312" w:cs="Arial"/>
          <w:kern w:val="0"/>
          <w:szCs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s="Arial"/>
          <w:kern w:val="0"/>
          <w:szCs w:val="24"/>
        </w:rPr>
        <w:t>1</w:t>
      </w:r>
      <w:r>
        <w:rPr>
          <w:rFonts w:hint="eastAsia" w:ascii="仿宋_GB2312" w:hAnsi="仿宋" w:eastAsia="仿宋_GB2312" w:cs="Arial"/>
          <w:kern w:val="0"/>
          <w:szCs w:val="24"/>
        </w:rPr>
        <w:t>0</w:t>
      </w:r>
      <w:r>
        <w:rPr>
          <w:rFonts w:ascii="仿宋_GB2312" w:hAnsi="仿宋" w:eastAsia="仿宋_GB2312" w:cs="Arial"/>
          <w:kern w:val="0"/>
          <w:szCs w:val="24"/>
        </w:rPr>
        <w:t>%的扣除，用扣除后的价格参与评审。接受大中型企业与小</w:t>
      </w:r>
      <w:r>
        <w:rPr>
          <w:rFonts w:hint="eastAsia" w:ascii="仿宋_GB2312" w:hAnsi="仿宋" w:eastAsia="仿宋_GB2312" w:cs="Arial"/>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_GB2312" w:hAnsi="仿宋" w:eastAsia="仿宋_GB2312" w:cs="Arial"/>
          <w:kern w:val="0"/>
          <w:szCs w:val="24"/>
        </w:rPr>
        <w:t>30%以上的，对联合体或者大中型企业的报价给予4%的扣除，用扣除后的价格参加评审。组成联合体或者接受分包的小</w:t>
      </w:r>
      <w:r>
        <w:rPr>
          <w:rFonts w:hint="eastAsia" w:ascii="仿宋_GB2312" w:hAnsi="仿宋" w:eastAsia="仿宋_GB2312" w:cs="Arial"/>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r>
        <w:rPr>
          <w:rFonts w:hint="eastAsia" w:ascii="仿宋_GB2312" w:hAnsi="仿宋" w:eastAsia="仿宋_GB2312" w:cs="Arial"/>
          <w:kern w:val="0"/>
          <w:sz w:val="24"/>
        </w:rPr>
        <w:t>。本项目只推荐</w:t>
      </w:r>
      <w:r>
        <w:rPr>
          <w:rFonts w:ascii="仿宋_GB2312" w:hAnsi="仿宋" w:eastAsia="仿宋_GB2312" w:cs="Arial"/>
          <w:kern w:val="0"/>
          <w:sz w:val="24"/>
        </w:rPr>
        <w:t>评审</w:t>
      </w:r>
      <w:r>
        <w:rPr>
          <w:rFonts w:hint="eastAsia" w:ascii="仿宋_GB2312" w:hAnsi="仿宋" w:eastAsia="仿宋_GB2312" w:cs="Arial"/>
          <w:kern w:val="0"/>
          <w:sz w:val="24"/>
        </w:rPr>
        <w:t>综合</w:t>
      </w:r>
      <w:r>
        <w:rPr>
          <w:rFonts w:ascii="仿宋_GB2312" w:hAnsi="仿宋" w:eastAsia="仿宋_GB2312" w:cs="Arial"/>
          <w:kern w:val="0"/>
          <w:sz w:val="24"/>
        </w:rPr>
        <w:t>得分最高的投标人</w:t>
      </w:r>
      <w:r>
        <w:rPr>
          <w:rFonts w:hint="eastAsia" w:ascii="仿宋_GB2312" w:hAnsi="仿宋" w:eastAsia="仿宋_GB2312" w:cs="Arial"/>
          <w:kern w:val="0"/>
          <w:sz w:val="24"/>
        </w:rPr>
        <w:t>为中标候选人。</w:t>
      </w:r>
    </w:p>
    <w:p>
      <w:pPr>
        <w:spacing w:line="360" w:lineRule="auto"/>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59"/>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2"/>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4"/>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4.3.废标。</w:t>
      </w:r>
      <w:r>
        <w:rPr>
          <w:rFonts w:hint="eastAsia" w:ascii="仿宋_GB2312" w:hAnsi="仿宋" w:eastAsia="仿宋_GB2312" w:cs="仿宋_GB2312"/>
        </w:rPr>
        <w:t>根据《中华人民共和国政府采购法》第三十六条之规定，在采购中，出现下列情形之一的，应予废标：</w:t>
      </w:r>
    </w:p>
    <w:p>
      <w:pPr>
        <w:pStyle w:val="24"/>
        <w:snapToGrid w:val="0"/>
        <w:spacing w:line="360" w:lineRule="auto"/>
        <w:rPr>
          <w:rFonts w:ascii="仿宋_GB2312" w:hAnsi="仿宋" w:eastAsia="仿宋_GB2312" w:cs="仿宋_GB2312"/>
        </w:rPr>
      </w:pPr>
      <w:r>
        <w:rPr>
          <w:rFonts w:ascii="仿宋_GB2312" w:hAnsi="仿宋" w:eastAsia="仿宋_GB2312" w:cs="仿宋_GB2312"/>
        </w:rPr>
        <w:t>4.3.1符合专业条件的供应商或者对招标文件作实质响应的供应商不足3家的；</w:t>
      </w:r>
    </w:p>
    <w:p>
      <w:pPr>
        <w:pStyle w:val="24"/>
        <w:snapToGrid w:val="0"/>
        <w:spacing w:line="360" w:lineRule="auto"/>
        <w:rPr>
          <w:rFonts w:ascii="仿宋_GB2312" w:hAnsi="仿宋" w:eastAsia="仿宋_GB2312" w:cs="仿宋_GB2312"/>
        </w:rPr>
      </w:pPr>
      <w:r>
        <w:rPr>
          <w:rFonts w:ascii="仿宋_GB2312" w:hAnsi="仿宋" w:eastAsia="仿宋_GB2312" w:cs="仿宋_GB2312"/>
        </w:rPr>
        <w:t>4.3.2出现影响采购公正的违法、违规行为的；</w:t>
      </w:r>
    </w:p>
    <w:p>
      <w:pPr>
        <w:pStyle w:val="24"/>
        <w:snapToGrid w:val="0"/>
        <w:spacing w:line="360" w:lineRule="auto"/>
        <w:rPr>
          <w:rFonts w:ascii="仿宋_GB2312" w:hAnsi="仿宋" w:eastAsia="仿宋_GB2312" w:cs="仿宋_GB2312"/>
        </w:rPr>
      </w:pPr>
      <w:r>
        <w:rPr>
          <w:rFonts w:ascii="仿宋_GB2312" w:hAnsi="仿宋" w:eastAsia="仿宋_GB2312" w:cs="仿宋_GB2312"/>
        </w:rPr>
        <w:t>4.3.3投标人的报价均超过了采购预算，采购人不能支付的；</w:t>
      </w:r>
    </w:p>
    <w:p>
      <w:pPr>
        <w:pStyle w:val="24"/>
        <w:snapToGrid w:val="0"/>
        <w:spacing w:line="360" w:lineRule="auto"/>
        <w:rPr>
          <w:rFonts w:ascii="仿宋_GB2312" w:hAnsi="仿宋" w:eastAsia="仿宋_GB2312" w:cs="仿宋_GB2312"/>
        </w:rPr>
      </w:pPr>
      <w:r>
        <w:rPr>
          <w:rFonts w:ascii="仿宋_GB2312" w:hAnsi="仿宋" w:eastAsia="仿宋_GB2312" w:cs="仿宋_GB2312"/>
        </w:rPr>
        <w:t>4.3.4因重大变故，采购任务取消的。</w:t>
      </w:r>
    </w:p>
    <w:p>
      <w:pPr>
        <w:pStyle w:val="24"/>
        <w:snapToGrid w:val="0"/>
        <w:spacing w:line="360" w:lineRule="auto"/>
        <w:rPr>
          <w:rFonts w:ascii="仿宋_GB2312" w:hAnsi="仿宋" w:eastAsia="仿宋_GB2312" w:cs="仿宋_GB2312"/>
        </w:rPr>
      </w:pPr>
      <w:r>
        <w:rPr>
          <w:rFonts w:hint="eastAsia" w:ascii="仿宋_GB2312" w:hAnsi="仿宋" w:eastAsia="仿宋_GB2312" w:cs="仿宋_GB2312"/>
        </w:rPr>
        <w:t>废标后，采购代理机构应当将废标理由通知所有投标人。</w:t>
      </w:r>
    </w:p>
    <w:p>
      <w:pPr>
        <w:pStyle w:val="24"/>
        <w:snapToGrid w:val="0"/>
        <w:spacing w:line="360" w:lineRule="auto"/>
        <w:ind w:firstLine="482"/>
        <w:rPr>
          <w:rFonts w:ascii="仿宋_GB2312" w:hAnsi="仿宋" w:eastAsia="仿宋_GB2312" w:cs="仿宋_GB2312"/>
        </w:rPr>
      </w:pPr>
      <w:r>
        <w:rPr>
          <w:rFonts w:ascii="仿宋_GB2312" w:hAnsi="仿宋" w:eastAsia="仿宋_GB2312" w:cs="仿宋_GB2312"/>
          <w:b/>
        </w:rPr>
        <w:t>4.4.修改招标文件，重新组织采购活动。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ascii="仿宋_GB2312" w:hAnsi="仿宋" w:eastAsia="仿宋_GB2312" w:cs="仿宋_GB2312"/>
        </w:rPr>
      </w:pPr>
      <w:r>
        <w:rPr>
          <w:rFonts w:ascii="仿宋_GB2312" w:hAnsi="Helvetica" w:eastAsia="仿宋_GB2312" w:cs="Helvetica"/>
          <w:b/>
          <w:kern w:val="0"/>
        </w:rPr>
        <w:t>4.5</w:t>
      </w:r>
      <w:r>
        <w:rPr>
          <w:rFonts w:hint="eastAsia" w:ascii="仿宋_GB2312" w:hAnsi="Helvetica" w:eastAsia="仿宋_GB2312" w:cs="Helvetica"/>
          <w:b/>
          <w:kern w:val="0"/>
        </w:rPr>
        <w:t>.重新开展采购。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4.5.1未确定中标或者中标人的，终止本次政府采购活动，重新开展政府采购</w:t>
      </w:r>
      <w:r>
        <w:rPr>
          <w:rFonts w:hint="eastAsia" w:ascii="仿宋_GB2312" w:hAnsi="仿宋" w:eastAsia="仿宋_GB2312" w:cs="仿宋_GB2312"/>
        </w:rPr>
        <w:t>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ascii="仿宋_GB2312" w:hAnsi="仿宋" w:eastAsia="仿宋_GB2312" w:cs="仿宋_GB2312"/>
        </w:rPr>
      </w:pPr>
      <w:r>
        <w:rPr>
          <w:rFonts w:ascii="仿宋_GB2312" w:hAnsi="仿宋" w:eastAsia="仿宋_GB2312" w:cs="仿宋_GB2312"/>
        </w:rPr>
        <w:t>4.5.4政府采购合同已经履行，给采购人、供应</w:t>
      </w:r>
      <w:r>
        <w:rPr>
          <w:rFonts w:hint="eastAsia" w:ascii="仿宋_GB2312" w:hAnsi="仿宋" w:eastAsia="仿宋_GB2312" w:cs="仿宋_GB2312"/>
        </w:rPr>
        <w:t>商造成损失的，由责任人承担赔偿责任。</w:t>
      </w:r>
    </w:p>
    <w:p>
      <w:pPr>
        <w:pStyle w:val="24"/>
        <w:snapToGrid w:val="0"/>
        <w:spacing w:line="360" w:lineRule="auto"/>
        <w:rPr>
          <w:rFonts w:ascii="仿宋_GB2312" w:hAnsi="仿宋" w:eastAsia="仿宋_GB2312" w:cs="仿宋_GB2312"/>
        </w:rPr>
      </w:pPr>
      <w:r>
        <w:rPr>
          <w:rFonts w:ascii="仿宋_GB2312" w:hAnsi="仿宋" w:eastAsia="仿宋_GB2312" w:cs="仿宋_GB2312"/>
        </w:rPr>
        <w:t>4.5.5政府采购当事人有其他违反政府采购</w:t>
      </w:r>
      <w:r>
        <w:rPr>
          <w:rFonts w:hint="eastAsia" w:ascii="仿宋_GB2312" w:hAnsi="仿宋" w:eastAsia="仿宋_GB2312" w:cs="仿宋_GB2312"/>
        </w:rPr>
        <w:t>法或者政府采购法实施条例等法律法规规定的行为，经改正后仍然影响或者可能影响中标、成交结果或者依法被认定为中标、成交无效的，依照</w:t>
      </w:r>
      <w:r>
        <w:rPr>
          <w:rFonts w:ascii="仿宋_GB2312" w:hAnsi="仿宋" w:eastAsia="仿宋_GB2312" w:cs="仿宋_GB2312"/>
        </w:rPr>
        <w:t>4.5.1-4.5.</w:t>
      </w:r>
      <w:r>
        <w:rPr>
          <w:rFonts w:hint="eastAsia" w:ascii="仿宋_GB2312" w:hAnsi="仿宋" w:eastAsia="仿宋_GB2312" w:cs="仿宋_GB2312"/>
        </w:rPr>
        <w:t>4</w:t>
      </w:r>
      <w:r>
        <w:rPr>
          <w:rFonts w:ascii="仿宋_GB2312" w:hAnsi="仿宋" w:eastAsia="仿宋_GB2312" w:cs="仿宋_GB2312"/>
        </w:rPr>
        <w:t>规定处理。</w:t>
      </w: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400" w:name="第五部分"/>
      <w:bookmarkStart w:id="401" w:name="_Toc86217003"/>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pStyle w:val="2"/>
        <w:rPr>
          <w:lang w:val="en-US"/>
        </w:rPr>
      </w:pPr>
    </w:p>
    <w:p/>
    <w:p>
      <w:pPr>
        <w:pStyle w:val="2"/>
        <w:rPr>
          <w:lang w:val="en-US"/>
        </w:rPr>
      </w:pPr>
    </w:p>
    <w:p/>
    <w:p>
      <w:pPr>
        <w:pStyle w:val="2"/>
        <w:rPr>
          <w:lang w:val="en-US"/>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（货物类）</w:t>
      </w:r>
    </w:p>
    <w:p>
      <w:pPr>
        <w:pStyle w:val="704"/>
        <w:rPr>
          <w:rFonts w:ascii="仿宋" w:hAnsi="仿宋" w:eastAsia="仿宋"/>
          <w:szCs w:val="24"/>
        </w:rPr>
      </w:pPr>
    </w:p>
    <w:p>
      <w:pPr>
        <w:pStyle w:val="704"/>
        <w:rPr>
          <w:rFonts w:ascii="仿宋" w:hAnsi="仿宋" w:eastAsia="仿宋"/>
          <w:szCs w:val="24"/>
        </w:rPr>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704"/>
        <w:jc w:val="center"/>
        <w:rPr>
          <w:rFonts w:ascii="仿宋" w:hAnsi="仿宋" w:eastAsia="仿宋"/>
          <w:szCs w:val="24"/>
        </w:rPr>
      </w:pPr>
    </w:p>
    <w:p>
      <w:pPr>
        <w:pStyle w:val="24"/>
      </w:pPr>
    </w:p>
    <w:p>
      <w:pPr>
        <w:pStyle w:val="704"/>
        <w:ind w:firstLine="2843" w:firstLineChars="1180"/>
        <w:rPr>
          <w:rFonts w:ascii="仿宋" w:hAnsi="仿宋" w:eastAsia="仿宋"/>
          <w:b/>
          <w:szCs w:val="24"/>
        </w:rPr>
      </w:pPr>
      <w:r>
        <w:rPr>
          <w:rFonts w:hint="eastAsia" w:ascii="仿宋" w:hAnsi="仿宋" w:eastAsia="仿宋"/>
          <w:b/>
          <w:szCs w:val="24"/>
        </w:rPr>
        <w:t>通用合同书</w:t>
      </w:r>
    </w:p>
    <w:p>
      <w:pPr>
        <w:pStyle w:val="704"/>
        <w:rPr>
          <w:rFonts w:ascii="仿宋" w:hAnsi="仿宋" w:eastAsia="仿宋"/>
          <w:szCs w:val="24"/>
        </w:rPr>
      </w:pPr>
    </w:p>
    <w:p>
      <w:pPr>
        <w:pStyle w:val="704"/>
        <w:rPr>
          <w:rFonts w:ascii="仿宋" w:hAnsi="仿宋" w:eastAsia="仿宋"/>
          <w:szCs w:val="24"/>
        </w:rPr>
      </w:pPr>
    </w:p>
    <w:p>
      <w:pPr>
        <w:pStyle w:val="24"/>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600"/>
        <w:spacing w:before="120" w:line="22" w:lineRule="atLeast"/>
        <w:rPr>
          <w:rFonts w:ascii="仿宋" w:hAnsi="仿宋" w:eastAsia="仿宋"/>
          <w:szCs w:val="24"/>
        </w:rPr>
      </w:pPr>
    </w:p>
    <w:p>
      <w:pPr>
        <w:pStyle w:val="600"/>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pStyle w:val="2"/>
        <w:rPr>
          <w:lang w:val="en-US"/>
        </w:rPr>
      </w:pPr>
    </w:p>
    <w:p>
      <w:pPr>
        <w:ind w:firstLine="420" w:firstLineChars="200"/>
        <w:rPr>
          <w:u w:val="single"/>
        </w:rPr>
      </w:pPr>
      <w:r>
        <w:rPr>
          <w:rFonts w:hint="eastAsia"/>
          <w:u w:val="single"/>
        </w:rPr>
        <w:t xml:space="preserve"> </w:t>
      </w:r>
      <w:r>
        <w:rPr>
          <w:u w:val="single"/>
        </w:rPr>
        <w:t xml:space="preserve">                     </w:t>
      </w:r>
      <w:r>
        <w:rPr>
          <w:rFonts w:hint="eastAsia"/>
        </w:rPr>
        <w:t>（甲方）</w:t>
      </w:r>
      <w:r>
        <w:rPr>
          <w:rFonts w:hint="eastAsia"/>
          <w:u w:val="single"/>
        </w:rPr>
        <w:t xml:space="preserve"> </w:t>
      </w:r>
      <w:r>
        <w:rPr>
          <w:u w:val="single"/>
        </w:rPr>
        <w:t xml:space="preserve">                   </w:t>
      </w:r>
      <w:r>
        <w:rPr>
          <w:rFonts w:hint="eastAsia"/>
        </w:rPr>
        <w:t xml:space="preserve"> （项目名称）经诸暨市公共资源交易中心以招标文件（编号：诸政采20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w:t>
      </w:r>
      <w:r>
        <w:t>进行公开招标。甲方确定</w:t>
      </w:r>
      <w:r>
        <w:rPr>
          <w:u w:val="single"/>
        </w:rPr>
        <w:t xml:space="preserve">                              </w:t>
      </w:r>
      <w:r>
        <w:t>（乙方）为中标人。甲、乙双方依据《中华人</w:t>
      </w:r>
      <w:r>
        <w:rPr>
          <w:rFonts w:hint="eastAsia"/>
        </w:rPr>
        <w:t>民共和国政府采购法》、《中华人民共和国民法典》，在平等自愿的基础上，同意按照下面的条款和条件，签署本合同。</w:t>
      </w:r>
    </w:p>
    <w:p>
      <w:pPr>
        <w:rPr>
          <w:b/>
          <w:bCs/>
          <w:u w:val="single"/>
        </w:rPr>
      </w:pPr>
      <w:r>
        <w:rPr>
          <w:rFonts w:hint="eastAsia"/>
          <w:b/>
          <w:bCs/>
        </w:rPr>
        <w:t>（一）项目采购依据</w:t>
      </w:r>
    </w:p>
    <w:p>
      <w:pPr>
        <w:ind w:firstLine="420" w:firstLineChars="200"/>
      </w:pPr>
      <w:r>
        <w:rPr>
          <w:rFonts w:hint="eastAsia"/>
        </w:rPr>
        <w:t>政府采购预算执行确认书。</w:t>
      </w:r>
      <w:r>
        <w:t xml:space="preserve"> </w:t>
      </w:r>
    </w:p>
    <w:p>
      <w:pPr>
        <w:rPr>
          <w:b/>
          <w:bCs/>
        </w:rPr>
      </w:pPr>
      <w:r>
        <w:rPr>
          <w:rFonts w:hint="eastAsia"/>
          <w:b/>
          <w:bCs/>
        </w:rPr>
        <w:t>（二）下列文件构成本合同的组成部分</w:t>
      </w:r>
    </w:p>
    <w:p>
      <w:pPr>
        <w:ind w:firstLine="420" w:firstLineChars="200"/>
      </w:pPr>
      <w:r>
        <w:rPr>
          <w:rFonts w:hint="eastAsia"/>
        </w:rPr>
        <w:t>以下文件为本合同的组成部分，应该认为是一个整体，彼此相互解释，相互补充。</w:t>
      </w:r>
    </w:p>
    <w:p>
      <w:pPr>
        <w:ind w:firstLine="420" w:firstLineChars="200"/>
      </w:pPr>
      <w:r>
        <w:t>a. 本合同书</w:t>
      </w:r>
    </w:p>
    <w:p>
      <w:pPr>
        <w:ind w:firstLine="420" w:firstLineChars="200"/>
      </w:pPr>
      <w:r>
        <w:t>b. 中标通知书</w:t>
      </w:r>
    </w:p>
    <w:p>
      <w:pPr>
        <w:ind w:firstLine="420" w:firstLineChars="200"/>
      </w:pPr>
      <w:r>
        <w:t>c. 询标承诺</w:t>
      </w:r>
    </w:p>
    <w:p>
      <w:pPr>
        <w:ind w:firstLine="420" w:firstLineChars="200"/>
      </w:pPr>
      <w:r>
        <w:t>d. 投标文件</w:t>
      </w:r>
    </w:p>
    <w:p>
      <w:pPr>
        <w:ind w:firstLine="420" w:firstLineChars="200"/>
      </w:pPr>
      <w:r>
        <w:t>e. 招标文件</w:t>
      </w:r>
    </w:p>
    <w:p>
      <w:pPr>
        <w:rPr>
          <w:b/>
          <w:bCs/>
        </w:rPr>
      </w:pPr>
      <w:r>
        <w:rPr>
          <w:rFonts w:hint="eastAsia"/>
          <w:b/>
          <w:bCs/>
        </w:rPr>
        <w:t>（三）合同标的物</w:t>
      </w:r>
    </w:p>
    <w:tbl>
      <w:tblPr>
        <w:tblStyle w:val="62"/>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pPr>
            <w:r>
              <w:rPr>
                <w:rFonts w:hint="eastAsia"/>
              </w:rPr>
              <w:t>产品名称</w:t>
            </w:r>
          </w:p>
        </w:tc>
        <w:tc>
          <w:tcPr>
            <w:tcW w:w="3960" w:type="dxa"/>
            <w:vAlign w:val="center"/>
          </w:tcPr>
          <w:p>
            <w:pPr>
              <w:jc w:val="center"/>
            </w:pPr>
            <w:r>
              <w:rPr>
                <w:rFonts w:hint="eastAsia"/>
              </w:rPr>
              <w:t>规格、型号（或服务内容）</w:t>
            </w:r>
          </w:p>
        </w:tc>
        <w:tc>
          <w:tcPr>
            <w:tcW w:w="1080" w:type="dxa"/>
            <w:vAlign w:val="center"/>
          </w:tcPr>
          <w:p>
            <w:pPr>
              <w:jc w:val="center"/>
            </w:pPr>
            <w:r>
              <w:rPr>
                <w:rFonts w:hint="eastAsia"/>
              </w:rPr>
              <w:t>数量</w:t>
            </w:r>
          </w:p>
        </w:tc>
        <w:tc>
          <w:tcPr>
            <w:tcW w:w="1260" w:type="dxa"/>
            <w:vAlign w:val="center"/>
          </w:tcPr>
          <w:p>
            <w:pPr>
              <w:jc w:val="center"/>
            </w:pPr>
            <w:r>
              <w:rPr>
                <w:rFonts w:hint="eastAsia"/>
              </w:rPr>
              <w:t>单价（元）</w:t>
            </w:r>
          </w:p>
        </w:tc>
        <w:tc>
          <w:tcPr>
            <w:tcW w:w="1440" w:type="dxa"/>
            <w:vAlign w:val="center"/>
          </w:tcPr>
          <w:p>
            <w:pPr>
              <w:jc w:val="cente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bl>
    <w:p>
      <w:pPr>
        <w:ind w:firstLine="420" w:firstLineChars="200"/>
      </w:pPr>
      <w:r>
        <w:rPr>
          <w:rFonts w:hint="eastAsia"/>
        </w:rPr>
        <w:t>（具体标的物或服务内容可根据实际修改）</w:t>
      </w:r>
    </w:p>
    <w:p>
      <w:pPr>
        <w:rPr>
          <w:b/>
          <w:bCs/>
        </w:rPr>
      </w:pPr>
      <w:r>
        <w:rPr>
          <w:rFonts w:hint="eastAsia"/>
          <w:b/>
          <w:bCs/>
        </w:rPr>
        <w:t>（四）合同总价</w:t>
      </w:r>
    </w:p>
    <w:p>
      <w:pPr>
        <w:ind w:firstLine="420" w:firstLineChars="200"/>
      </w:pPr>
      <w:r>
        <w:rPr>
          <w:rFonts w:hint="eastAsia"/>
        </w:rPr>
        <w:t>本合同总价为</w:t>
      </w:r>
      <w:r>
        <w:rPr>
          <w:u w:val="single"/>
        </w:rPr>
        <w:t xml:space="preserve">       </w:t>
      </w:r>
      <w:r>
        <w:t>元人民币</w:t>
      </w:r>
      <w:r>
        <w:rPr>
          <w:rFonts w:hint="eastAsia"/>
        </w:rPr>
        <w:t>，大写</w:t>
      </w:r>
      <w:r>
        <w:rPr>
          <w:rFonts w:hint="eastAsia"/>
          <w:u w:val="single"/>
        </w:rPr>
        <w:t xml:space="preserve"> </w:t>
      </w:r>
      <w:r>
        <w:rPr>
          <w:u w:val="single"/>
        </w:rPr>
        <w:t xml:space="preserve">                                   </w:t>
      </w:r>
      <w:r>
        <w:t>。</w:t>
      </w:r>
    </w:p>
    <w:p>
      <w:pPr>
        <w:rPr>
          <w:b/>
          <w:bCs/>
        </w:rPr>
      </w:pPr>
      <w:r>
        <w:rPr>
          <w:rFonts w:hint="eastAsia"/>
          <w:b/>
          <w:bCs/>
        </w:rPr>
        <w:t>（五）合同价款的支付</w:t>
      </w:r>
    </w:p>
    <w:p>
      <w:pPr>
        <w:ind w:firstLine="420" w:firstLineChars="200"/>
      </w:pPr>
      <w:r>
        <w:t>1</w:t>
      </w:r>
      <w:r>
        <w:rPr>
          <w:rFonts w:hint="eastAsia"/>
        </w:rPr>
        <w:t>.</w:t>
      </w:r>
      <w:r>
        <w:t>本合同中甲乙双方之间所发生的一切费用以人民币进行结算。</w:t>
      </w:r>
    </w:p>
    <w:p>
      <w:pPr>
        <w:ind w:firstLine="420" w:firstLineChars="200"/>
      </w:pPr>
      <w:r>
        <w:t>2</w:t>
      </w:r>
      <w:r>
        <w:rPr>
          <w:rFonts w:hint="eastAsia"/>
        </w:rPr>
        <w:t>.</w:t>
      </w:r>
      <w:r>
        <w:t>支付方式：</w:t>
      </w:r>
    </w:p>
    <w:tbl>
      <w:tblPr>
        <w:tblStyle w:val="62"/>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付款次数</w:t>
            </w:r>
          </w:p>
        </w:tc>
        <w:tc>
          <w:tcPr>
            <w:tcW w:w="1985" w:type="dxa"/>
            <w:vAlign w:val="center"/>
          </w:tcPr>
          <w:p>
            <w:pPr>
              <w:jc w:val="center"/>
            </w:pPr>
            <w:r>
              <w:rPr>
                <w:rFonts w:hint="eastAsia"/>
              </w:rPr>
              <w:t>约定支付条件</w:t>
            </w:r>
          </w:p>
        </w:tc>
        <w:tc>
          <w:tcPr>
            <w:tcW w:w="4394" w:type="dxa"/>
            <w:vAlign w:val="center"/>
          </w:tcPr>
          <w:p>
            <w:pPr>
              <w:jc w:val="center"/>
            </w:pPr>
            <w:r>
              <w:t>付款条件</w:t>
            </w:r>
          </w:p>
        </w:tc>
        <w:tc>
          <w:tcPr>
            <w:tcW w:w="1413" w:type="dxa"/>
            <w:vAlign w:val="center"/>
          </w:tcPr>
          <w:p>
            <w:pPr>
              <w:jc w:val="center"/>
            </w:pPr>
            <w: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1</w:t>
            </w:r>
          </w:p>
        </w:tc>
        <w:tc>
          <w:tcPr>
            <w:tcW w:w="1985" w:type="dxa"/>
            <w:vAlign w:val="center"/>
          </w:tcPr>
          <w:p>
            <w:pPr>
              <w:jc w:val="center"/>
            </w:pPr>
            <w:r>
              <w:t>合同签订后</w:t>
            </w:r>
          </w:p>
        </w:tc>
        <w:tc>
          <w:tcPr>
            <w:tcW w:w="4394" w:type="dxa"/>
            <w:vAlign w:val="center"/>
          </w:tcPr>
          <w:p>
            <w:pPr>
              <w:jc w:val="center"/>
            </w:pPr>
            <w:r>
              <w:rPr>
                <w:rFonts w:hint="eastAsia"/>
              </w:rPr>
              <w:t>满足合同约定支付条件，甲方收到乙方提供的同等金额的正规发票后</w:t>
            </w:r>
            <w:r>
              <w:t xml:space="preserve"> 7 个工作日内，向</w:t>
            </w:r>
            <w:r>
              <w:rPr>
                <w:rFonts w:hint="eastAsia"/>
              </w:rPr>
              <w:t>乙方支付合同总价</w:t>
            </w:r>
            <w:r>
              <w:rPr>
                <w:u w:val="single"/>
              </w:rPr>
              <w:t xml:space="preserve">     </w:t>
            </w:r>
            <w:r>
              <w:t>%的预付款；</w:t>
            </w: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2</w:t>
            </w:r>
          </w:p>
        </w:tc>
        <w:tc>
          <w:tcPr>
            <w:tcW w:w="1985" w:type="dxa"/>
            <w:vAlign w:val="center"/>
          </w:tcPr>
          <w:p>
            <w:pPr>
              <w:jc w:val="center"/>
            </w:pPr>
            <w:r>
              <w:rPr>
                <w:rFonts w:hint="eastAsia"/>
              </w:rPr>
              <w:t>项目验收合格后</w:t>
            </w:r>
          </w:p>
        </w:tc>
        <w:tc>
          <w:tcPr>
            <w:tcW w:w="4394" w:type="dxa"/>
            <w:vAlign w:val="center"/>
          </w:tcPr>
          <w:p>
            <w:pPr>
              <w:jc w:val="center"/>
            </w:pPr>
            <w:r>
              <w:rPr>
                <w:rFonts w:hint="eastAsia"/>
              </w:rPr>
              <w:t>满足合同约定支付条件，甲方收到乙方提供</w:t>
            </w:r>
          </w:p>
          <w:p>
            <w:pPr>
              <w:jc w:val="center"/>
            </w:pPr>
            <w:r>
              <w:rPr>
                <w:rFonts w:hint="eastAsia"/>
              </w:rPr>
              <w:t>的同等金额的正规发票后</w:t>
            </w:r>
            <w:r>
              <w:t xml:space="preserve"> 7 个工作日内，向</w:t>
            </w:r>
          </w:p>
          <w:p>
            <w:pPr>
              <w:jc w:val="center"/>
            </w:pPr>
            <w:r>
              <w:rPr>
                <w:rFonts w:hint="eastAsia"/>
              </w:rPr>
              <w:t>乙方支付合同总价</w:t>
            </w:r>
            <w:r>
              <w:rPr>
                <w:u w:val="single"/>
              </w:rPr>
              <w:t xml:space="preserve">      </w:t>
            </w:r>
            <w:r>
              <w:t>%的合同款。</w:t>
            </w: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3</w:t>
            </w:r>
          </w:p>
        </w:tc>
        <w:tc>
          <w:tcPr>
            <w:tcW w:w="1985" w:type="dxa"/>
            <w:vAlign w:val="center"/>
          </w:tcPr>
          <w:p/>
        </w:tc>
        <w:tc>
          <w:tcPr>
            <w:tcW w:w="4394" w:type="dxa"/>
            <w:vAlign w:val="center"/>
          </w:tcPr>
          <w:p>
            <w:pPr>
              <w:jc w:val="center"/>
            </w:pPr>
          </w:p>
        </w:tc>
        <w:tc>
          <w:tcPr>
            <w:tcW w:w="1413" w:type="dxa"/>
            <w:vAlign w:val="center"/>
          </w:tcPr>
          <w:p>
            <w:pPr>
              <w:jc w:val="center"/>
            </w:pPr>
          </w:p>
        </w:tc>
      </w:tr>
    </w:tbl>
    <w:p>
      <w:pPr>
        <w:ind w:firstLine="420" w:firstLineChars="200"/>
      </w:pPr>
      <w:r>
        <w:t>3</w:t>
      </w:r>
      <w:r>
        <w:rPr>
          <w:rFonts w:hint="eastAsia"/>
        </w:rPr>
        <w:t>.</w:t>
      </w:r>
      <w:r>
        <w:t>甲方应付合同款至以下乙方指定的银行账户：</w:t>
      </w:r>
    </w:p>
    <w:p>
      <w:pPr>
        <w:ind w:firstLine="420" w:firstLineChars="200"/>
      </w:pPr>
      <w:r>
        <w:rPr>
          <w:rFonts w:hint="eastAsia"/>
        </w:rPr>
        <w:t>开户名称：</w:t>
      </w:r>
    </w:p>
    <w:p>
      <w:pPr>
        <w:ind w:firstLine="420" w:firstLineChars="200"/>
      </w:pPr>
      <w:r>
        <w:rPr>
          <w:rFonts w:hint="eastAsia"/>
        </w:rPr>
        <w:t>开户银行：</w:t>
      </w:r>
    </w:p>
    <w:p>
      <w:pPr>
        <w:ind w:firstLine="420" w:firstLineChars="200"/>
      </w:pPr>
      <w:r>
        <w:rPr>
          <w:rFonts w:hint="eastAsia"/>
        </w:rPr>
        <w:t>账</w:t>
      </w:r>
      <w:r>
        <w:t xml:space="preserve"> 号：</w:t>
      </w:r>
    </w:p>
    <w:p>
      <w:pPr>
        <w:rPr>
          <w:b/>
          <w:bCs/>
        </w:rPr>
      </w:pPr>
      <w:r>
        <w:rPr>
          <w:rFonts w:hint="eastAsia"/>
          <w:b/>
          <w:bCs/>
        </w:rPr>
        <w:t>（六）履约保证金</w:t>
      </w:r>
    </w:p>
    <w:p>
      <w:pPr>
        <w:ind w:firstLine="420" w:firstLineChars="200"/>
      </w:pPr>
      <w:r>
        <w:t>1</w:t>
      </w:r>
      <w:r>
        <w:rPr>
          <w:rFonts w:hint="eastAsia"/>
        </w:rPr>
        <w:t>.</w:t>
      </w:r>
      <w:r>
        <w:t>乙方应在合同签订后 5 个工作日内向甲方提交履约保证金为【/】元。</w:t>
      </w:r>
    </w:p>
    <w:p>
      <w:pPr>
        <w:ind w:firstLine="420" w:firstLineChars="200"/>
      </w:pPr>
      <w:r>
        <w:t>2</w:t>
      </w:r>
      <w:r>
        <w:rPr>
          <w:rFonts w:hint="eastAsia"/>
        </w:rPr>
        <w:t>.</w:t>
      </w:r>
      <w:r>
        <w:t>履约保证金用于补偿甲方因乙方不能履行其合同义务而蒙受的损失。</w:t>
      </w:r>
    </w:p>
    <w:p>
      <w:pPr>
        <w:ind w:firstLine="420" w:firstLineChars="200"/>
      </w:pPr>
      <w:r>
        <w:t>3</w:t>
      </w:r>
      <w:r>
        <w:rPr>
          <w:rFonts w:hint="eastAsia"/>
        </w:rPr>
        <w:t>.</w:t>
      </w:r>
      <w:r>
        <w:t>履约保证金有效期限：合同签订之日起至项目通过甲方验收后结束。</w:t>
      </w:r>
    </w:p>
    <w:p>
      <w:pPr>
        <w:ind w:firstLine="420" w:firstLineChars="200"/>
      </w:pPr>
      <w:r>
        <w:t>4</w:t>
      </w:r>
      <w:r>
        <w:rPr>
          <w:rFonts w:hint="eastAsia"/>
        </w:rPr>
        <w:t>.</w:t>
      </w:r>
      <w:r>
        <w:t>履约保证金退还：有效期限满后，按合同约定扣除相关款项（如有）后无息退还。</w:t>
      </w:r>
    </w:p>
    <w:p>
      <w:pPr>
        <w:rPr>
          <w:b/>
          <w:bCs/>
        </w:rPr>
      </w:pPr>
      <w:r>
        <w:rPr>
          <w:rFonts w:hint="eastAsia"/>
          <w:b/>
          <w:bCs/>
        </w:rPr>
        <w:t>（七）服务要求</w:t>
      </w:r>
    </w:p>
    <w:p>
      <w:pPr>
        <w:ind w:firstLine="420" w:firstLineChars="200"/>
      </w:pPr>
      <w:r>
        <w:rPr>
          <w:rFonts w:hint="eastAsia"/>
        </w:rPr>
        <w:t>服务期内，乙方应在充分了解甲方现有环境基础上，提供规范化、高质量的服务，具体服务内容与要求详见附件。</w:t>
      </w:r>
    </w:p>
    <w:p>
      <w:pPr>
        <w:ind w:firstLine="420" w:firstLineChars="200"/>
      </w:pPr>
      <w:r>
        <w:rPr>
          <w:rFonts w:hint="eastAsia"/>
        </w:rPr>
        <w:t>履行期限：</w:t>
      </w:r>
    </w:p>
    <w:p>
      <w:pPr>
        <w:ind w:firstLine="420" w:firstLineChars="200"/>
      </w:pPr>
      <w:r>
        <w:rPr>
          <w:rFonts w:hint="eastAsia"/>
        </w:rPr>
        <w:t>履行地点：</w:t>
      </w:r>
    </w:p>
    <w:p>
      <w:pPr>
        <w:rPr>
          <w:b/>
          <w:bCs/>
        </w:rPr>
      </w:pPr>
      <w:r>
        <w:rPr>
          <w:rFonts w:hint="eastAsia"/>
          <w:b/>
          <w:bCs/>
        </w:rPr>
        <w:t>（八）服务人员</w:t>
      </w:r>
    </w:p>
    <w:p>
      <w:pPr>
        <w:ind w:firstLine="420" w:firstLineChars="200"/>
      </w:pPr>
      <w:r>
        <w:rPr>
          <w:rFonts w:hint="eastAsia"/>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pPr>
      <w:r>
        <w:rPr>
          <w:rFonts w:hint="eastAsia"/>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pPr>
      <w:r>
        <w:rPr>
          <w:rFonts w:hint="eastAsia"/>
        </w:rPr>
        <w:t>甲乙双方指定代表，作为履行本合同服务事宜的主要联系人。</w:t>
      </w:r>
    </w:p>
    <w:p>
      <w:pPr>
        <w:ind w:firstLine="420" w:firstLineChars="200"/>
        <w:rPr>
          <w:u w:val="single"/>
        </w:rPr>
      </w:pPr>
      <w:r>
        <w:rPr>
          <w:rFonts w:hint="eastAsia"/>
        </w:rPr>
        <w:t>甲方代表：</w:t>
      </w:r>
      <w:r>
        <w:rPr>
          <w:u w:val="single"/>
        </w:rPr>
        <w:t xml:space="preserve">                 </w:t>
      </w:r>
      <w:r>
        <w:t>电话：</w:t>
      </w:r>
      <w:r>
        <w:rPr>
          <w:u w:val="single"/>
        </w:rPr>
        <w:t xml:space="preserve">                     </w:t>
      </w:r>
    </w:p>
    <w:p>
      <w:pPr>
        <w:ind w:firstLine="420" w:firstLineChars="200"/>
        <w:rPr>
          <w:u w:val="single"/>
        </w:rPr>
      </w:pPr>
      <w:r>
        <w:rPr>
          <w:rFonts w:hint="eastAsia"/>
        </w:rPr>
        <w:t>乙方代表：</w:t>
      </w:r>
      <w:r>
        <w:rPr>
          <w:u w:val="single"/>
        </w:rPr>
        <w:t xml:space="preserve">                 </w:t>
      </w:r>
      <w:r>
        <w:t>电话：</w:t>
      </w:r>
      <w:r>
        <w:rPr>
          <w:u w:val="single"/>
        </w:rPr>
        <w:t xml:space="preserve">                     </w:t>
      </w:r>
    </w:p>
    <w:p>
      <w:pPr>
        <w:rPr>
          <w:b/>
          <w:bCs/>
        </w:rPr>
      </w:pPr>
      <w:r>
        <w:rPr>
          <w:rFonts w:hint="eastAsia"/>
          <w:b/>
          <w:bCs/>
        </w:rPr>
        <w:t>（九）服务考核</w:t>
      </w:r>
    </w:p>
    <w:p>
      <w:pPr>
        <w:ind w:firstLine="420" w:firstLineChars="200"/>
      </w:pPr>
      <w:r>
        <w:rPr>
          <w:rFonts w:hint="eastAsia"/>
        </w:rPr>
        <w:t>甲方对乙方服务质量进行客观评估，具体考核办法（如有）作为合同附件。</w:t>
      </w:r>
    </w:p>
    <w:p>
      <w:pPr>
        <w:ind w:firstLine="420" w:firstLineChars="200"/>
      </w:pPr>
      <w:r>
        <w:rPr>
          <w:rFonts w:hint="eastAsia"/>
        </w:rPr>
        <w:t>项目完成后，乙方应及时向甲方发出书面履约完成通知，甲方在收到乙方履约完成通知后，按《浙江省财政厅关于印发浙江省政府采购合同暂行办法的通知》（浙财采监〔</w:t>
      </w:r>
      <w:r>
        <w:t>2017〕11 号）相关规定组</w:t>
      </w:r>
      <w:r>
        <w:rPr>
          <w:rFonts w:hint="eastAsia"/>
        </w:rPr>
        <w:t>织验收。验收小组完成验收后应出具验收书，验收书应包括每一项技术、服务、安全等标准的履约情况。</w:t>
      </w:r>
    </w:p>
    <w:p>
      <w:pPr>
        <w:rPr>
          <w:b/>
          <w:bCs/>
        </w:rPr>
      </w:pPr>
      <w:r>
        <w:rPr>
          <w:rFonts w:hint="eastAsia"/>
          <w:b/>
          <w:bCs/>
        </w:rPr>
        <w:t>（十）违约责任</w:t>
      </w:r>
    </w:p>
    <w:p>
      <w:pPr>
        <w:ind w:firstLine="420" w:firstLineChars="200"/>
      </w:pPr>
      <w:r>
        <w:rPr>
          <w:rFonts w:hint="eastAsia"/>
        </w:rPr>
        <w:t>除合同规定的不可抗力外，如果乙方没有按照合同规定的时间提供服务，甲方可要求乙方支付违约金。违约金按每周合同款的</w:t>
      </w:r>
      <w:r>
        <w:rPr>
          <w:u w:val="single"/>
        </w:rPr>
        <w:t xml:space="preserve">     </w:t>
      </w:r>
      <w:r>
        <w:t>%计收。但违约金的最高限额为合同价的</w:t>
      </w:r>
      <w:r>
        <w:rPr>
          <w:u w:val="single"/>
        </w:rPr>
        <w:t xml:space="preserve">    </w:t>
      </w:r>
      <w:r>
        <w:t>%。一周按 7 天计算，</w:t>
      </w:r>
      <w:r>
        <w:rPr>
          <w:rFonts w:hint="eastAsia"/>
        </w:rPr>
        <w:t>不足</w:t>
      </w:r>
      <w:r>
        <w:t xml:space="preserve"> 7 天按一周计算。如果达到最高限额，甲方有权解除合同。</w:t>
      </w:r>
    </w:p>
    <w:p>
      <w:pPr>
        <w:ind w:firstLine="420" w:firstLineChars="200"/>
      </w:pPr>
      <w:r>
        <w:rPr>
          <w:rFonts w:hint="eastAsia"/>
        </w:rPr>
        <w:t>项目结束时验收不合格，乙方应在收到甲方通知后</w:t>
      </w:r>
      <w:r>
        <w:rPr>
          <w:u w:val="single"/>
        </w:rPr>
        <w:t xml:space="preserve"> 7 </w:t>
      </w:r>
      <w:r>
        <w:t>日内退还甲方已支付的合同款，逾期退还</w:t>
      </w:r>
      <w:r>
        <w:rPr>
          <w:rFonts w:hint="eastAsia"/>
        </w:rPr>
        <w:t>合同款的，每日按未退还金额的</w:t>
      </w:r>
      <w:r>
        <w:rPr>
          <w:u w:val="single"/>
        </w:rPr>
        <w:t xml:space="preserve">      </w:t>
      </w:r>
      <w:r>
        <w:t>%支付违约金。</w:t>
      </w:r>
    </w:p>
    <w:p>
      <w:pPr>
        <w:ind w:firstLine="420" w:firstLineChars="200"/>
      </w:pPr>
      <w:r>
        <w:rPr>
          <w:rFonts w:hint="eastAsia"/>
        </w:rPr>
        <w:t>其他违约条款双方协商确定：</w:t>
      </w:r>
      <w:r>
        <w:rPr>
          <w:rFonts w:hint="eastAsia"/>
          <w:u w:val="single"/>
        </w:rPr>
        <w:t xml:space="preserve"> </w:t>
      </w:r>
      <w:r>
        <w:rPr>
          <w:u w:val="single"/>
        </w:rPr>
        <w:t xml:space="preserve">                            </w:t>
      </w:r>
      <w:r>
        <w:rPr>
          <w:rFonts w:hint="eastAsia"/>
          <w:u w:val="single"/>
        </w:rPr>
        <w:t>。</w:t>
      </w:r>
    </w:p>
    <w:p>
      <w:pPr>
        <w:rPr>
          <w:b/>
          <w:bCs/>
        </w:rPr>
      </w:pPr>
      <w:r>
        <w:rPr>
          <w:rFonts w:hint="eastAsia"/>
          <w:b/>
          <w:bCs/>
        </w:rPr>
        <w:t>（十一）解决争议的方法</w:t>
      </w:r>
    </w:p>
    <w:p>
      <w:pPr>
        <w:ind w:firstLine="420" w:firstLineChars="200"/>
      </w:pPr>
      <w:r>
        <w:rPr>
          <w:rFonts w:hint="eastAsia"/>
        </w:rPr>
        <w:t>因合同履行中发生的争议，可通过合同当事人双方友好协商解决。如自协商开始之起</w:t>
      </w:r>
      <w:r>
        <w:t xml:space="preserve"> 15 日内得</w:t>
      </w:r>
      <w:r>
        <w:rPr>
          <w:rFonts w:hint="eastAsia"/>
        </w:rPr>
        <w:t>不到解决，双方应将争议提交政府采购监管部门调解。调解不成的，可向</w:t>
      </w:r>
      <w:r>
        <w:rPr>
          <w:rFonts w:hint="eastAsia"/>
          <w:u w:val="single"/>
        </w:rPr>
        <w:t>（</w:t>
      </w:r>
      <w:r>
        <w:rPr>
          <w:u w:val="single"/>
        </w:rPr>
        <w:t>1）向绍兴市仲裁委员会申请仲裁；</w:t>
      </w:r>
      <w:r>
        <w:rPr>
          <w:rFonts w:hint="eastAsia"/>
          <w:u w:val="single"/>
        </w:rPr>
        <w:t>（</w:t>
      </w:r>
      <w:r>
        <w:rPr>
          <w:u w:val="single"/>
        </w:rPr>
        <w:t>2）向                           人民法院起诉</w:t>
      </w:r>
      <w:r>
        <w:t>。</w:t>
      </w:r>
      <w:r>
        <w:rPr>
          <w:rFonts w:hint="eastAsia"/>
        </w:rPr>
        <w:t>诉讼费用除人民法院另有裁决外，应由败诉方负担。</w:t>
      </w:r>
    </w:p>
    <w:p>
      <w:pPr>
        <w:rPr>
          <w:b/>
          <w:bCs/>
        </w:rPr>
      </w:pPr>
      <w:r>
        <w:rPr>
          <w:rFonts w:hint="eastAsia"/>
          <w:b/>
          <w:bCs/>
        </w:rPr>
        <w:t>（十二）违约解除合同</w:t>
      </w:r>
    </w:p>
    <w:p>
      <w:pPr>
        <w:ind w:firstLine="420" w:firstLineChars="200"/>
      </w:pPr>
      <w:r>
        <w:t>1</w:t>
      </w:r>
      <w:r>
        <w:rPr>
          <w:rFonts w:hint="eastAsia"/>
        </w:rPr>
        <w:t>.</w:t>
      </w:r>
      <w:r>
        <w:t>在乙方违约的情况下，甲方可向乙方发出书面通知，部分或全部终止合同</w:t>
      </w:r>
      <w:r>
        <w:rPr>
          <w:rFonts w:hint="eastAsia"/>
        </w:rPr>
        <w:t>,</w:t>
      </w:r>
      <w:r>
        <w:t>同时保留向乙方</w:t>
      </w:r>
      <w:r>
        <w:rPr>
          <w:rFonts w:hint="eastAsia"/>
        </w:rPr>
        <w:t>追诉的权利：</w:t>
      </w:r>
    </w:p>
    <w:p>
      <w:pPr>
        <w:ind w:firstLine="420" w:firstLineChars="200"/>
      </w:pPr>
      <w:r>
        <w:t>乙方未能在合同规定的限期或甲方同意延长的限期内，提供全部或部分标的物的；</w:t>
      </w:r>
    </w:p>
    <w:p>
      <w:pPr>
        <w:ind w:firstLine="420" w:firstLineChars="200"/>
      </w:pPr>
      <w:r>
        <w:t>乙方未能履行合同规定的其它主要义务的；</w:t>
      </w:r>
    </w:p>
    <w:p>
      <w:pPr>
        <w:ind w:firstLine="420" w:firstLineChars="200"/>
      </w:pPr>
      <w:r>
        <w:t>甲方认为乙方在本合同履行过程中有腐败和欺诈</w:t>
      </w:r>
      <w:r>
        <w:rPr>
          <w:rFonts w:hint="eastAsia"/>
        </w:rPr>
        <w:t>等</w:t>
      </w:r>
      <w:r>
        <w:t>行为的。</w:t>
      </w:r>
    </w:p>
    <w:p>
      <w:pPr>
        <w:ind w:firstLine="420" w:firstLineChars="200"/>
      </w:pPr>
      <w:r>
        <w:t>2</w:t>
      </w:r>
      <w:r>
        <w:rPr>
          <w:rFonts w:hint="eastAsia"/>
        </w:rPr>
        <w:t>.</w:t>
      </w:r>
      <w:r>
        <w:t>甲方解除合同的，合同于甲方发出书面解除合同通知书送达乙方之日起解除。乙方应在合同</w:t>
      </w:r>
      <w:r>
        <w:rPr>
          <w:rFonts w:hint="eastAsia"/>
        </w:rPr>
        <w:t>解除后</w:t>
      </w:r>
      <w:r>
        <w:rPr>
          <w:u w:val="single"/>
        </w:rPr>
        <w:t xml:space="preserve"> 7 </w:t>
      </w:r>
      <w:r>
        <w:t>日内退还甲方已支付的合同款，逾期退还合同款的，每日按未退还金额的</w:t>
      </w:r>
      <w:r>
        <w:rPr>
          <w:u w:val="single"/>
        </w:rPr>
        <w:t xml:space="preserve">    </w:t>
      </w:r>
      <w:r>
        <w:t xml:space="preserve"> %支付违约</w:t>
      </w:r>
      <w:r>
        <w:rPr>
          <w:rFonts w:hint="eastAsia"/>
        </w:rPr>
        <w:t>金。</w:t>
      </w:r>
    </w:p>
    <w:p>
      <w:pPr>
        <w:rPr>
          <w:b/>
          <w:bCs/>
        </w:rPr>
      </w:pPr>
      <w:r>
        <w:rPr>
          <w:rFonts w:hint="eastAsia"/>
          <w:b/>
          <w:bCs/>
        </w:rPr>
        <w:t>（十三）破产终止合同</w:t>
      </w:r>
    </w:p>
    <w:p>
      <w:pPr>
        <w:ind w:firstLine="420" w:firstLineChars="200"/>
      </w:pPr>
      <w:r>
        <w:rPr>
          <w:rFonts w:hint="eastAsia"/>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b/>
          <w:bCs/>
        </w:rPr>
      </w:pPr>
      <w:r>
        <w:rPr>
          <w:rFonts w:hint="eastAsia"/>
          <w:b/>
          <w:bCs/>
        </w:rPr>
        <w:t>（十四）转让和分包</w:t>
      </w:r>
    </w:p>
    <w:p>
      <w:pPr>
        <w:ind w:firstLine="420" w:firstLineChars="200"/>
      </w:pPr>
      <w:r>
        <w:t>1</w:t>
      </w:r>
      <w:r>
        <w:rPr>
          <w:rFonts w:hint="eastAsia"/>
        </w:rPr>
        <w:t>.</w:t>
      </w:r>
      <w:r>
        <w:t>政府采购合同不能转让。</w:t>
      </w:r>
    </w:p>
    <w:p>
      <w:pPr>
        <w:ind w:firstLine="420" w:firstLineChars="200"/>
      </w:pPr>
      <w:r>
        <w:t>2</w:t>
      </w:r>
      <w:r>
        <w:rPr>
          <w:rFonts w:hint="eastAsia"/>
        </w:rPr>
        <w:t>.</w:t>
      </w:r>
      <w:r>
        <w:t>本项目内容</w:t>
      </w:r>
      <w:r>
        <w:rPr>
          <w:u w:val="single"/>
        </w:rPr>
        <w:t>不</w:t>
      </w:r>
      <w:r>
        <w:t>允许分包</w:t>
      </w:r>
      <w:r>
        <w:rPr>
          <w:rFonts w:hint="eastAsia"/>
        </w:rPr>
        <w:t>（按照招标文件要求）</w:t>
      </w:r>
      <w:r>
        <w:t>。</w:t>
      </w:r>
    </w:p>
    <w:p>
      <w:pPr>
        <w:rPr>
          <w:b/>
          <w:bCs/>
        </w:rPr>
      </w:pPr>
      <w:r>
        <w:rPr>
          <w:rFonts w:hint="eastAsia"/>
          <w:b/>
          <w:bCs/>
        </w:rPr>
        <w:t>（十五）合同变更、解除</w:t>
      </w:r>
    </w:p>
    <w:p>
      <w:pPr>
        <w:ind w:firstLine="420" w:firstLineChars="200"/>
      </w:pPr>
      <w:r>
        <w:t>甲方和乙方都不得擅自</w:t>
      </w:r>
      <w:r>
        <w:rPr>
          <w:rFonts w:hint="eastAsia"/>
        </w:rPr>
        <w:t>中止或终止本合同，</w:t>
      </w:r>
      <w:r>
        <w:t>但合同继续履行将损害国家和社会公共利益的除外。</w:t>
      </w:r>
      <w:r>
        <w:rPr>
          <w:rFonts w:hint="eastAsia"/>
        </w:rPr>
        <w:t>不得擅自</w:t>
      </w:r>
      <w:r>
        <w:t>变更本合同，如</w:t>
      </w:r>
      <w:r>
        <w:rPr>
          <w:rFonts w:hint="eastAsia"/>
        </w:rPr>
        <w:t>必须对合同条款进行改动时，当事人双方须共同签署书面文件，做为合同的补充，并报同级政府采购监督管理部门批准和备案。</w:t>
      </w:r>
    </w:p>
    <w:p>
      <w:pPr>
        <w:rPr>
          <w:b/>
          <w:bCs/>
        </w:rPr>
      </w:pPr>
      <w:r>
        <w:rPr>
          <w:rFonts w:hint="eastAsia"/>
          <w:b/>
          <w:bCs/>
        </w:rPr>
        <w:t>（十六）通知</w:t>
      </w:r>
    </w:p>
    <w:p>
      <w:pPr>
        <w:ind w:firstLine="420" w:firstLineChars="200"/>
      </w:pPr>
      <w:r>
        <w:rPr>
          <w:rFonts w:hint="eastAsia"/>
        </w:rPr>
        <w:t>本合同任何一方给另一方的通知，都应以书面形式发送，而另一方也应以书面形式确认并发送到对方明确的地址。</w:t>
      </w:r>
    </w:p>
    <w:p>
      <w:pPr>
        <w:rPr>
          <w:b/>
          <w:bCs/>
        </w:rPr>
      </w:pPr>
      <w:r>
        <w:rPr>
          <w:rFonts w:hint="eastAsia"/>
          <w:b/>
          <w:bCs/>
        </w:rPr>
        <w:t>（十七）计量单位</w:t>
      </w:r>
    </w:p>
    <w:p>
      <w:pPr>
        <w:ind w:firstLine="420" w:firstLineChars="200"/>
      </w:pPr>
      <w:r>
        <w:rPr>
          <w:rFonts w:hint="eastAsia"/>
        </w:rPr>
        <w:t>除技术规范中另有规定外，计量单位均使用国家法定计量单位。</w:t>
      </w:r>
    </w:p>
    <w:p>
      <w:pPr>
        <w:rPr>
          <w:b/>
          <w:bCs/>
        </w:rPr>
      </w:pPr>
      <w:r>
        <w:rPr>
          <w:rFonts w:hint="eastAsia"/>
          <w:b/>
          <w:bCs/>
        </w:rPr>
        <w:t>（十八）不可抗力</w:t>
      </w:r>
    </w:p>
    <w:p>
      <w:pPr>
        <w:ind w:firstLine="420" w:firstLineChars="200"/>
      </w:pPr>
      <w:r>
        <w:t>1</w:t>
      </w:r>
      <w:r>
        <w:rPr>
          <w:rFonts w:hint="eastAsia"/>
        </w:rPr>
        <w:t>.</w:t>
      </w:r>
      <w:r>
        <w:t>如果双方中任何一方遭遇法律规定的不可抗力，致使合同履行受阻时，履行合同的期限应予</w:t>
      </w:r>
      <w:r>
        <w:rPr>
          <w:rFonts w:hint="eastAsia"/>
        </w:rPr>
        <w:t>延长，延长的期限应相当于不可抗力所影响的时间。</w:t>
      </w:r>
    </w:p>
    <w:p>
      <w:pPr>
        <w:ind w:firstLine="420" w:firstLineChars="200"/>
      </w:pPr>
      <w:r>
        <w:t>2</w:t>
      </w:r>
      <w:r>
        <w:rPr>
          <w:rFonts w:hint="eastAsia"/>
        </w:rPr>
        <w:t>.</w:t>
      </w:r>
      <w:r>
        <w:t>受事故影响的一方应在不可抗力的事故发生后尽快书面形式通知另一方，并在事故发生后合</w:t>
      </w:r>
      <w:r>
        <w:rPr>
          <w:rFonts w:hint="eastAsia"/>
        </w:rPr>
        <w:t>同规定时间内，将有关部门出具的证明文件送达另一方。</w:t>
      </w:r>
    </w:p>
    <w:p>
      <w:pPr>
        <w:ind w:firstLine="420" w:firstLineChars="200"/>
      </w:pPr>
      <w:r>
        <w:t>3</w:t>
      </w:r>
      <w:r>
        <w:rPr>
          <w:rFonts w:hint="eastAsia"/>
        </w:rPr>
        <w:t>.</w:t>
      </w:r>
      <w:r>
        <w:t>不可抗力使合同的某些内容有变更必要的，双方应通过协商达成进一步履行合同的协议，因</w:t>
      </w:r>
      <w:r>
        <w:rPr>
          <w:rFonts w:hint="eastAsia"/>
        </w:rPr>
        <w:t>不可抗力致使合同不能履行的，合同终止。</w:t>
      </w:r>
    </w:p>
    <w:p>
      <w:pPr>
        <w:rPr>
          <w:b/>
          <w:bCs/>
        </w:rPr>
      </w:pPr>
      <w:r>
        <w:rPr>
          <w:rFonts w:hint="eastAsia"/>
          <w:b/>
          <w:bCs/>
        </w:rPr>
        <w:t>（十九）合同解释</w:t>
      </w:r>
    </w:p>
    <w:p>
      <w:pPr>
        <w:ind w:firstLine="420" w:firstLineChars="200"/>
      </w:pPr>
      <w:r>
        <w:rPr>
          <w:rFonts w:hint="eastAsia"/>
        </w:rPr>
        <w:t>本合同应按照《中华人民共和国政府采购法》、《中华人民共和国民法典》、《浙江省政府采购合同暂行办法》等进行解释。</w:t>
      </w:r>
    </w:p>
    <w:p>
      <w:r>
        <w:rPr>
          <w:rFonts w:hint="eastAsia"/>
          <w:b/>
          <w:bCs/>
        </w:rPr>
        <w:t>（二十）合同的生效及其他</w:t>
      </w:r>
    </w:p>
    <w:p>
      <w:pPr>
        <w:ind w:firstLine="420" w:firstLineChars="200"/>
      </w:pPr>
      <w:r>
        <w:rPr>
          <w:rFonts w:hint="eastAsia"/>
        </w:rPr>
        <w:t>政府采购项目的采购合同内容的确定应以招标文件和投标文件为基础，不得违背其实质性内容。</w:t>
      </w:r>
    </w:p>
    <w:p>
      <w:r>
        <w:rPr>
          <w:rFonts w:hint="eastAsia"/>
        </w:rPr>
        <w:t>合同将在双方签字盖章后开始生效。授权代表签署的应附法定代表人授权书。</w:t>
      </w:r>
    </w:p>
    <w:p>
      <w:pPr>
        <w:rPr>
          <w:b/>
          <w:bCs/>
        </w:rPr>
      </w:pPr>
      <w:r>
        <w:rPr>
          <w:rFonts w:hint="eastAsia"/>
          <w:b/>
          <w:bCs/>
        </w:rPr>
        <w:t>（二十一）合同附件（如有）</w:t>
      </w:r>
    </w:p>
    <w:p>
      <w:pPr>
        <w:rPr>
          <w:b/>
          <w:bCs/>
        </w:rPr>
      </w:pPr>
      <w:r>
        <w:rPr>
          <w:rFonts w:hint="eastAsia"/>
          <w:b/>
          <w:bCs/>
        </w:rPr>
        <w:t>（二十二）合同份数</w:t>
      </w:r>
    </w:p>
    <w:p>
      <w:r>
        <w:rPr>
          <w:rFonts w:hint="eastAsia"/>
        </w:rPr>
        <w:t>本合同一式</w:t>
      </w:r>
      <w:r>
        <w:rPr>
          <w:rFonts w:hint="eastAsia"/>
          <w:u w:val="single"/>
        </w:rPr>
        <w:t>五</w:t>
      </w:r>
      <w:r>
        <w:rPr>
          <w:rFonts w:hint="eastAsia"/>
        </w:rPr>
        <w:t>份，具同等法律效力。</w:t>
      </w:r>
    </w:p>
    <w:tbl>
      <w:tblPr>
        <w:tblStyle w:val="62"/>
        <w:tblW w:w="8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pPr>
            <w:r>
              <w:rPr>
                <w:rFonts w:hint="eastAsia"/>
              </w:rPr>
              <w:t>甲方</w:t>
            </w:r>
          </w:p>
        </w:tc>
        <w:tc>
          <w:tcPr>
            <w:tcW w:w="4234" w:type="dxa"/>
            <w:vAlign w:val="center"/>
          </w:tcPr>
          <w:p>
            <w:pPr>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c>
          <w:tcPr>
            <w:tcW w:w="423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r>
    </w:tbl>
    <w:p/>
    <w:p/>
    <w:p>
      <w:pPr>
        <w:ind w:firstLine="422" w:firstLineChars="200"/>
        <w:rPr>
          <w:rFonts w:ascii="宋体" w:hAnsi="宋体"/>
          <w:b/>
          <w:color w:val="FF0000"/>
        </w:rPr>
      </w:pPr>
      <w:r>
        <w:rPr>
          <w:rFonts w:hint="eastAsia" w:ascii="宋体" w:hAnsi="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仿宋" w:hAnsi="仿宋" w:eastAsia="仿宋"/>
          <w:sz w:val="24"/>
        </w:rPr>
      </w:pPr>
    </w:p>
    <w:p>
      <w:pPr>
        <w:pStyle w:val="2"/>
        <w:rPr>
          <w:lang w:val="en-US"/>
        </w:rPr>
      </w:pPr>
    </w:p>
    <w:p/>
    <w:p>
      <w:pPr>
        <w:pStyle w:val="2"/>
        <w:rPr>
          <w:lang w:val="en-US"/>
        </w:rPr>
      </w:pPr>
    </w:p>
    <w:p/>
    <w:p>
      <w:pPr>
        <w:pStyle w:val="2"/>
        <w:rPr>
          <w:lang w:val="en-US"/>
        </w:rPr>
      </w:pPr>
    </w:p>
    <w:p/>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400"/>
      <w:r>
        <w:rPr>
          <w:rFonts w:ascii="仿宋" w:hAnsi="仿宋" w:eastAsia="仿宋" w:cs="仿宋_GB2312"/>
          <w:b/>
          <w:sz w:val="36"/>
          <w:szCs w:val="20"/>
        </w:rPr>
        <w:t xml:space="preserve"> </w:t>
      </w:r>
      <w:bookmarkEnd w:id="401"/>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2）所投标的相应国家规定必备的资质、资格</w:t>
      </w:r>
      <w:r>
        <w:rPr>
          <w:rFonts w:hint="eastAsia" w:ascii="仿宋_GB2312" w:hAnsi="仿宋" w:eastAsia="仿宋_GB2312" w:cs="仿宋_GB2312"/>
          <w:sz w:val="24"/>
        </w:rPr>
        <w:t>（供应商须具备对应标的生产范围的《医疗器械生产许可证》或对应标的经营范围的《医疗器械经营许可证》）……………………………………………………………………………………（页码）</w:t>
      </w:r>
    </w:p>
    <w:p>
      <w:pPr>
        <w:snapToGrid w:val="0"/>
        <w:spacing w:line="360" w:lineRule="auto"/>
        <w:rPr>
          <w:rFonts w:ascii="仿宋_GB2312" w:hAnsi="仿宋" w:eastAsia="仿宋_GB2312" w:cs="仿宋_GB2312"/>
          <w:sz w:val="24"/>
        </w:rPr>
      </w:pP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（一）具备《中华人民共和国政府采购法》第二十二条规定的以下条件：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pStyle w:val="2"/>
        <w:rPr>
          <w:lang w:val="en-US"/>
        </w:rPr>
      </w:pPr>
    </w:p>
    <w:p/>
    <w:p>
      <w:pPr>
        <w:pStyle w:val="2"/>
        <w:rPr>
          <w:lang w:val="en-US"/>
        </w:rPr>
      </w:pPr>
    </w:p>
    <w:p/>
    <w:p>
      <w:pPr>
        <w:pStyle w:val="2"/>
        <w:rPr>
          <w:lang w:val="en-US"/>
        </w:rPr>
      </w:pPr>
    </w:p>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b/>
          <w:sz w:val="24"/>
        </w:rPr>
      </w:pPr>
    </w:p>
    <w:p>
      <w:pPr>
        <w:pStyle w:val="2"/>
        <w:rPr>
          <w:lang w:val="en-US"/>
        </w:rPr>
      </w:pPr>
    </w:p>
    <w:p>
      <w:pPr>
        <w:pStyle w:val="2"/>
        <w:rPr>
          <w:lang w:val="en-US"/>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3）符合性审查资料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4）评标标准相应的商务技术资料</w:t>
      </w:r>
      <w:r>
        <w:rPr>
          <w:rFonts w:hint="eastAsia" w:ascii="仿宋_GB2312" w:hAnsi="仿宋" w:eastAsia="仿宋_GB2312" w:cs="仿宋_GB2312"/>
          <w:sz w:val="24"/>
        </w:rPr>
        <w:t>（如需）</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5）商务技术偏离表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6</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pStyle w:val="2"/>
        <w:rPr>
          <w:lang w:val="en-US"/>
        </w:rPr>
      </w:pPr>
    </w:p>
    <w:p/>
    <w:p>
      <w:pPr>
        <w:pStyle w:val="2"/>
        <w:rPr>
          <w:lang w:val="en-US"/>
        </w:rPr>
      </w:pPr>
    </w:p>
    <w:p/>
    <w:p>
      <w:pPr>
        <w:pStyle w:val="2"/>
        <w:rPr>
          <w:lang w:val="en-US"/>
        </w:rPr>
      </w:pPr>
    </w:p>
    <w:p/>
    <w:p>
      <w:pPr>
        <w:pStyle w:val="2"/>
        <w:rPr>
          <w:lang w:val="en-US"/>
        </w:rPr>
      </w:pPr>
    </w:p>
    <w:p/>
    <w:p>
      <w:pPr>
        <w:snapToGrid w:val="0"/>
        <w:spacing w:line="360" w:lineRule="auto"/>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pStyle w:val="2"/>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jc w:val="center"/>
        <w:rPr>
          <w:rFonts w:ascii="仿宋_GB2312" w:hAnsi="仿宋" w:eastAsia="仿宋_GB2312" w:cs="仿宋_GB2312"/>
          <w:kern w:val="0"/>
          <w:sz w:val="24"/>
          <w:lang w:val="zh-CN"/>
        </w:rPr>
      </w:pPr>
      <w:r>
        <w:rPr>
          <w:rFonts w:ascii="仿宋_GB2312" w:hAnsi="仿宋" w:eastAsia="仿宋_GB2312" w:cs="仿宋_GB2312"/>
          <w:b/>
          <w:kern w:val="0"/>
          <w:sz w:val="32"/>
          <w:szCs w:val="32"/>
          <w:lang w:val="zh-CN"/>
        </w:rPr>
        <w:t xml:space="preserve">      </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75"/>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5"/>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75"/>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三、符合性审查资料</w:t>
      </w:r>
    </w:p>
    <w:p>
      <w:pPr>
        <w:jc w:val="center"/>
        <w:rPr>
          <w:rFonts w:ascii="仿宋_GB2312" w:hAnsi="仿宋" w:eastAsia="仿宋_GB2312" w:cs="仿宋_GB2312"/>
          <w:b/>
          <w:kern w:val="0"/>
          <w:sz w:val="32"/>
          <w:szCs w:val="32"/>
        </w:rPr>
      </w:pPr>
    </w:p>
    <w:tbl>
      <w:tblPr>
        <w:tblStyle w:val="62"/>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3714"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投标文件按照招标文件要求签署、盖章。</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投标文件中承诺的投标有效期不少于招标文件中载明的投标有效期。</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招标文件其它实质性要求相应的材料（“★” 系指实质性要求条款，招标文件无其它实质性要求的，无需提供）</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2"/>
        <w:rPr>
          <w:rFonts w:cs="仿宋_GB2312"/>
          <w:kern w:val="0"/>
        </w:rPr>
      </w:pPr>
    </w:p>
    <w:p>
      <w:pPr>
        <w:rPr>
          <w:rFonts w:ascii="仿宋_GB2312" w:hAnsi="仿宋" w:eastAsia="仿宋_GB2312" w:cs="仿宋_GB2312"/>
          <w:b/>
          <w:kern w:val="0"/>
          <w:sz w:val="32"/>
          <w:szCs w:val="32"/>
        </w:rPr>
      </w:pPr>
    </w:p>
    <w:p>
      <w:pPr>
        <w:pStyle w:val="2"/>
        <w:rPr>
          <w:rFonts w:cs="仿宋_GB2312"/>
          <w:kern w:val="0"/>
        </w:rPr>
      </w:pPr>
    </w:p>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四、评标标准相应的商务技术资料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五、商务技术偏离表</w:t>
      </w:r>
    </w:p>
    <w:tbl>
      <w:tblPr>
        <w:tblStyle w:val="92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289"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940" w:type="dxa"/>
          </w:tcPr>
          <w:p>
            <w:pPr>
              <w:jc w:val="center"/>
              <w:rPr>
                <w:rFonts w:ascii="仿宋_GB2312" w:hAnsi="仿宋" w:eastAsia="仿宋_GB2312"/>
                <w:b/>
                <w:bCs/>
                <w:sz w:val="24"/>
              </w:rPr>
            </w:pPr>
            <w:r>
              <w:rPr>
                <w:rFonts w:hint="eastAsia" w:ascii="仿宋_GB2312" w:hAnsi="仿宋" w:eastAsia="仿宋_GB2312"/>
                <w:b/>
                <w:bCs/>
                <w:sz w:val="24"/>
              </w:rPr>
              <w:t>投标文件章节（页码）及具体内容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注：</w:t>
      </w:r>
    </w:p>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2、投标人递交的技术规格书中必须真实逐条列明，否则由投标人自行承担相关风险。</w:t>
      </w:r>
    </w:p>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3、此表在不改变格式的情况下可自行制作。</w:t>
      </w:r>
    </w:p>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4、此表置于商务技术文件中。</w:t>
      </w:r>
    </w:p>
    <w:p>
      <w:pPr>
        <w:jc w:val="left"/>
        <w:rPr>
          <w:rFonts w:ascii="仿宋_GB2312" w:hAnsi="仿宋" w:eastAsia="仿宋_GB2312" w:cs="仿宋_GB2312"/>
          <w:b/>
          <w:kern w:val="0"/>
          <w:sz w:val="24"/>
        </w:rPr>
      </w:pPr>
      <w:r>
        <w:rPr>
          <w:rFonts w:hint="eastAsia" w:ascii="仿宋_GB2312" w:hAnsi="仿宋" w:eastAsia="仿宋_GB2312" w:cs="仿宋_GB2312"/>
          <w:b/>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六、</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（2）中小企业声明函（如需）………………………………………………………（页码）</w:t>
      </w:r>
    </w:p>
    <w:p>
      <w:pPr>
        <w:snapToGrid w:val="0"/>
        <w:spacing w:line="360" w:lineRule="auto"/>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5"/>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695"/>
        <w:keepNext w:val="0"/>
        <w:pageBreakBefore w:val="0"/>
        <w:numPr>
          <w:ilvl w:val="0"/>
          <w:numId w:val="5"/>
        </w:numPr>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开标一览表（报价表）</w:t>
      </w:r>
    </w:p>
    <w:p>
      <w:pPr>
        <w:pStyle w:val="695"/>
        <w:keepNext w:val="0"/>
        <w:pageBreakBefore w:val="0"/>
        <w:tabs>
          <w:tab w:val="clear" w:pos="720"/>
        </w:tabs>
        <w:snapToGrid w:val="0"/>
        <w:spacing w:before="120" w:after="120"/>
        <w:jc w:val="both"/>
        <w:outlineLvl w:val="9"/>
        <w:rPr>
          <w:rFonts w:ascii="仿宋_GB2312" w:hAnsi="仿宋" w:eastAsia="仿宋_GB2312" w:cs="仿宋_GB2312"/>
          <w:kern w:val="2"/>
          <w:sz w:val="32"/>
          <w:szCs w:val="32"/>
        </w:rPr>
      </w:pP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firstLine="8674" w:firstLineChars="3600"/>
        <w:rPr>
          <w:rFonts w:ascii="仿宋_GB2312" w:hAnsi="仿宋" w:eastAsia="仿宋_GB2312" w:cs="仿宋_GB2312"/>
          <w:b/>
          <w:kern w:val="0"/>
          <w:sz w:val="24"/>
          <w:lang w:val="zh-CN"/>
        </w:rPr>
      </w:pPr>
    </w:p>
    <w:p>
      <w:pPr>
        <w:snapToGrid w:val="0"/>
        <w:spacing w:line="360" w:lineRule="auto"/>
        <w:ind w:firstLine="8674" w:firstLineChars="3600"/>
        <w:rPr>
          <w:rFonts w:ascii="仿宋_GB2312" w:hAnsi="仿宋" w:eastAsia="仿宋_GB2312" w:cs="仿宋_GB2312"/>
          <w:b/>
          <w:kern w:val="0"/>
          <w:sz w:val="24"/>
          <w:lang w:val="zh-CN"/>
        </w:rPr>
      </w:pPr>
    </w:p>
    <w:p>
      <w:pPr>
        <w:snapToGrid w:val="0"/>
        <w:spacing w:line="360" w:lineRule="auto"/>
        <w:ind w:firstLine="8674" w:firstLineChars="36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投标人名称（电子签名）：</w:t>
      </w:r>
    </w:p>
    <w:p>
      <w:pPr>
        <w:snapToGrid w:val="0"/>
        <w:spacing w:line="360" w:lineRule="auto"/>
        <w:ind w:firstLine="9638" w:firstLineChars="40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 xml:space="preserve">日 </w:t>
      </w:r>
      <w:r>
        <w:rPr>
          <w:rFonts w:ascii="仿宋_GB2312" w:hAnsi="仿宋" w:eastAsia="仿宋_GB2312" w:cs="仿宋_GB2312"/>
          <w:b/>
          <w:kern w:val="0"/>
          <w:sz w:val="24"/>
          <w:lang w:val="zh-CN"/>
        </w:rPr>
        <w:t xml:space="preserve"> </w:t>
      </w:r>
      <w:r>
        <w:rPr>
          <w:rFonts w:hint="eastAsia" w:ascii="仿宋_GB2312" w:hAnsi="仿宋" w:eastAsia="仿宋_GB2312" w:cs="仿宋_GB2312"/>
          <w:b/>
          <w:kern w:val="0"/>
          <w:sz w:val="24"/>
          <w:lang w:val="zh-CN"/>
        </w:rPr>
        <w:t>期：</w:t>
      </w:r>
    </w:p>
    <w:p>
      <w:pPr>
        <w:snapToGrid w:val="0"/>
        <w:spacing w:line="360" w:lineRule="auto"/>
        <w:ind w:left="480"/>
        <w:rPr>
          <w:rFonts w:ascii="仿宋_GB2312" w:hAnsi="仿宋" w:eastAsia="仿宋_GB2312" w:cs="仿宋_GB2312"/>
          <w:b/>
          <w:kern w:val="0"/>
          <w:sz w:val="24"/>
          <w:lang w:val="zh-CN"/>
        </w:rPr>
      </w:pPr>
    </w:p>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w:t>
      </w:r>
      <w:r>
        <w:rPr>
          <w:rFonts w:hint="eastAsia" w:ascii="仿宋_GB2312" w:hAnsi="仿宋" w:eastAsia="仿宋_GB2312" w:cs="仿宋_GB2312"/>
          <w:kern w:val="0"/>
          <w:sz w:val="24"/>
          <w:lang w:val="zh-CN"/>
        </w:rPr>
        <w:t>单位统一均为人民币元</w:t>
      </w:r>
      <w:r>
        <w:rPr>
          <w:rFonts w:ascii="仿宋_GB2312" w:hAnsi="仿宋" w:eastAsia="仿宋_GB2312" w:cs="仿宋_GB2312"/>
          <w:kern w:val="0"/>
          <w:sz w:val="24"/>
          <w:lang w:val="zh-CN"/>
        </w:rPr>
        <w:t>。</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4、特别提示：采购代理机构将对项目名称和项目编号，中标供应商名称、地址和中标金额，主要中标标的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695"/>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5"/>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695"/>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r>
        <w:rPr>
          <w:rFonts w:ascii="仿宋_GB2312" w:hAnsi="仿宋" w:eastAsia="仿宋_GB2312" w:cs="仿宋_GB2312"/>
          <w:b/>
          <w:sz w:val="24"/>
        </w:rPr>
        <w:t>）。</w:t>
      </w:r>
      <w:r>
        <w:rPr>
          <w:rFonts w:hint="eastAsia" w:ascii="仿宋_GB2312" w:hAnsi="仿宋" w:eastAsia="仿宋_GB2312" w:cs="仿宋_GB2312"/>
          <w:b/>
          <w:sz w:val="24"/>
        </w:rPr>
        <w:t>]</w:t>
      </w:r>
    </w:p>
    <w:p>
      <w:pPr>
        <w:pStyle w:val="695"/>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ind w:left="5060" w:hanging="5060" w:hangingChars="2100"/>
        <w:rPr>
          <w:rFonts w:ascii="仿宋_GB2312" w:hAnsi="仿宋" w:eastAsia="仿宋_GB2312" w:cs="仿宋_GB2312"/>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402" w:name="_Toc465665161"/>
      <w:r>
        <w:rPr>
          <w:rFonts w:hint="eastAsia" w:ascii="仿宋_GB2312" w:hAnsi="仿宋" w:eastAsia="仿宋_GB2312"/>
        </w:rPr>
        <w:t>附件</w:t>
      </w:r>
      <w:bookmarkEnd w:id="402"/>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03" w:name="OLE_LINK14"/>
      <w:bookmarkStart w:id="404" w:name="OLE_LINK13"/>
      <w:r>
        <w:rPr>
          <w:rFonts w:hint="eastAsia" w:ascii="仿宋_GB2312" w:hAnsi="仿宋" w:eastAsia="仿宋_GB2312"/>
          <w:b/>
          <w:spacing w:val="6"/>
          <w:sz w:val="32"/>
          <w:szCs w:val="32"/>
        </w:rPr>
        <w:t>残疾人福利性单位声明函</w:t>
      </w:r>
    </w:p>
    <w:bookmarkEnd w:id="403"/>
    <w:bookmarkEnd w:id="404"/>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pStyle w:val="2"/>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附件4：</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w:t>
      </w:r>
      <w:r>
        <w:rPr>
          <w:rFonts w:hint="eastAsia" w:ascii="仿宋_GB2312" w:hAnsi="宋体" w:eastAsia="仿宋_GB2312"/>
          <w:sz w:val="24"/>
          <w:u w:val="single"/>
        </w:rPr>
        <w:t>工业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工业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Times New Roman"/>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bookmarkStart w:id="405" w:name="_Toc131845147"/>
    <w:bookmarkStart w:id="406" w:name="_Toc36110187"/>
    <w:bookmarkStart w:id="407" w:name="_Toc164085800"/>
    <w:bookmarkStart w:id="408" w:name="_Toc91899912"/>
    <w:r>
      <w:rPr>
        <w:rFonts w:hint="eastAsia" w:ascii="仿宋_GB2312" w:eastAsia="仿宋_GB2312"/>
        <w:kern w:val="0"/>
        <w:szCs w:val="21"/>
      </w:rPr>
      <w:t xml:space="preserve"> 页</w:t>
    </w:r>
    <w:bookmarkEnd w:id="405"/>
    <w:bookmarkEnd w:id="406"/>
    <w:bookmarkEnd w:id="407"/>
    <w:bookmarkEnd w:id="40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诸暨</w:t>
    </w:r>
    <w:r>
      <w:t>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诸暨</w:t>
    </w:r>
    <w:r>
      <w:t>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诸暨</w:t>
    </w:r>
    <w:r>
      <w:t>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诸暨</w:t>
    </w:r>
    <w: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w:t>
    </w:r>
    <w:r>
      <w:rPr>
        <w:rFonts w:hint="eastAsia"/>
      </w:rPr>
      <w:t>诸暨</w:t>
    </w:r>
    <w: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9B14F21"/>
    <w:multiLevelType w:val="multilevel"/>
    <w:tmpl w:val="19B14F21"/>
    <w:lvl w:ilvl="0" w:tentative="0">
      <w:start w:val="1"/>
      <w:numFmt w:val="decimal"/>
      <w:suff w:val="space"/>
      <w:lvlText w:val="第%1章"/>
      <w:lvlJc w:val="left"/>
      <w:pPr>
        <w:ind w:left="425" w:hanging="425"/>
      </w:pPr>
      <w:rPr>
        <w:rFonts w:hint="eastAsia"/>
      </w:rPr>
    </w:lvl>
    <w:lvl w:ilvl="1" w:tentative="0">
      <w:start w:val="1"/>
      <w:numFmt w:val="decimal"/>
      <w:pStyle w:val="967"/>
      <w:suff w:val="space"/>
      <w:lvlText w:val="%1.%2"/>
      <w:lvlJc w:val="left"/>
      <w:pPr>
        <w:ind w:left="425" w:hanging="425"/>
      </w:pPr>
      <w:rPr>
        <w:rFonts w:hint="eastAsia"/>
      </w:rPr>
    </w:lvl>
    <w:lvl w:ilvl="2" w:tentative="0">
      <w:start w:val="1"/>
      <w:numFmt w:val="decimal"/>
      <w:suff w:val="space"/>
      <w:lvlText w:val="%1.%2.%3"/>
      <w:lvlJc w:val="left"/>
      <w:rPr>
        <w:b w:val="0"/>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ind w:left="425" w:hanging="425"/>
      </w:pPr>
      <w:rPr>
        <w:rFonts w:hint="eastAsia"/>
      </w:rPr>
    </w:lvl>
    <w:lvl w:ilvl="4" w:tentative="0">
      <w:start w:val="1"/>
      <w:numFmt w:val="decimal"/>
      <w:suff w:val="space"/>
      <w:lvlText w:val="%1.%2.%3.%4.%5"/>
      <w:lvlJc w:val="left"/>
      <w:pPr>
        <w:ind w:left="425" w:hanging="425"/>
      </w:pPr>
      <w:rPr>
        <w:rFonts w:hint="eastAsia"/>
      </w:rPr>
    </w:lvl>
    <w:lvl w:ilvl="5" w:tentative="0">
      <w:start w:val="1"/>
      <w:numFmt w:val="decimal"/>
      <w:suff w:val="spac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2">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E465744"/>
    <w:multiLevelType w:val="singleLevel"/>
    <w:tmpl w:val="4E465744"/>
    <w:lvl w:ilvl="0" w:tentative="0">
      <w:start w:val="1"/>
      <w:numFmt w:val="chineseCounting"/>
      <w:suff w:val="nothing"/>
      <w:lvlText w:val="%1、"/>
      <w:lvlJc w:val="left"/>
      <w:rPr>
        <w:rFonts w:hint="eastAsia"/>
      </w:rPr>
    </w:lvl>
  </w:abstractNum>
  <w:abstractNum w:abstractNumId="4">
    <w:nsid w:val="4EAF669B"/>
    <w:multiLevelType w:val="multilevel"/>
    <w:tmpl w:val="4EAF669B"/>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wMWI4NGMxYmM4OGI2NTViN2UzYjM1MzExY2EzMzE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6F5"/>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364"/>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4EC"/>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095"/>
    <w:rsid w:val="000B268D"/>
    <w:rsid w:val="000B291B"/>
    <w:rsid w:val="000B3153"/>
    <w:rsid w:val="000B456C"/>
    <w:rsid w:val="000B45B9"/>
    <w:rsid w:val="000B471A"/>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0CB"/>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942"/>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43"/>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404"/>
    <w:rsid w:val="001F0FD1"/>
    <w:rsid w:val="001F1526"/>
    <w:rsid w:val="001F19D1"/>
    <w:rsid w:val="001F1CB9"/>
    <w:rsid w:val="001F1F18"/>
    <w:rsid w:val="001F210D"/>
    <w:rsid w:val="001F2D1E"/>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D5D"/>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7C0"/>
    <w:rsid w:val="00222A31"/>
    <w:rsid w:val="00222CF6"/>
    <w:rsid w:val="00222F64"/>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67A5"/>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660"/>
    <w:rsid w:val="0026470B"/>
    <w:rsid w:val="0026486D"/>
    <w:rsid w:val="00264C4B"/>
    <w:rsid w:val="00264E65"/>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8F"/>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D71"/>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5FD"/>
    <w:rsid w:val="00313C9D"/>
    <w:rsid w:val="0031430C"/>
    <w:rsid w:val="00314919"/>
    <w:rsid w:val="00314C5A"/>
    <w:rsid w:val="0031531A"/>
    <w:rsid w:val="00315394"/>
    <w:rsid w:val="00315533"/>
    <w:rsid w:val="00315D77"/>
    <w:rsid w:val="00315D8E"/>
    <w:rsid w:val="00316002"/>
    <w:rsid w:val="00316CDE"/>
    <w:rsid w:val="0031752D"/>
    <w:rsid w:val="00317709"/>
    <w:rsid w:val="00320688"/>
    <w:rsid w:val="00320B75"/>
    <w:rsid w:val="0032186D"/>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590"/>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8D5"/>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DF6"/>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42F"/>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22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DA0"/>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2EA1"/>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F81"/>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98"/>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303"/>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671"/>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1327"/>
    <w:rsid w:val="00512217"/>
    <w:rsid w:val="00512459"/>
    <w:rsid w:val="005131A2"/>
    <w:rsid w:val="005137E4"/>
    <w:rsid w:val="00513BB9"/>
    <w:rsid w:val="0051440E"/>
    <w:rsid w:val="00514480"/>
    <w:rsid w:val="005148CD"/>
    <w:rsid w:val="00515180"/>
    <w:rsid w:val="00515973"/>
    <w:rsid w:val="00515CE4"/>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417"/>
    <w:rsid w:val="00533499"/>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88D"/>
    <w:rsid w:val="00546BF8"/>
    <w:rsid w:val="00547BA2"/>
    <w:rsid w:val="00550453"/>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3A"/>
    <w:rsid w:val="005A57B8"/>
    <w:rsid w:val="005A5DDE"/>
    <w:rsid w:val="005A64A8"/>
    <w:rsid w:val="005A65C5"/>
    <w:rsid w:val="005A6875"/>
    <w:rsid w:val="005A7016"/>
    <w:rsid w:val="005A73BC"/>
    <w:rsid w:val="005A7A32"/>
    <w:rsid w:val="005A7F85"/>
    <w:rsid w:val="005B00DD"/>
    <w:rsid w:val="005B03B1"/>
    <w:rsid w:val="005B07D5"/>
    <w:rsid w:val="005B1A8A"/>
    <w:rsid w:val="005B1AAB"/>
    <w:rsid w:val="005B20AA"/>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FD7"/>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33"/>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7E2"/>
    <w:rsid w:val="00672906"/>
    <w:rsid w:val="00672C73"/>
    <w:rsid w:val="00673B64"/>
    <w:rsid w:val="006753AC"/>
    <w:rsid w:val="00675430"/>
    <w:rsid w:val="006755F0"/>
    <w:rsid w:val="00675749"/>
    <w:rsid w:val="006759FE"/>
    <w:rsid w:val="0067639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870"/>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4B"/>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820"/>
    <w:rsid w:val="007660EC"/>
    <w:rsid w:val="007662C7"/>
    <w:rsid w:val="00766862"/>
    <w:rsid w:val="007675DD"/>
    <w:rsid w:val="007702BF"/>
    <w:rsid w:val="007705F0"/>
    <w:rsid w:val="00770FBB"/>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5F4"/>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31"/>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506E"/>
    <w:rsid w:val="00836323"/>
    <w:rsid w:val="008367FF"/>
    <w:rsid w:val="00837D3D"/>
    <w:rsid w:val="00837E1B"/>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1FDB"/>
    <w:rsid w:val="00852FA5"/>
    <w:rsid w:val="00853F7D"/>
    <w:rsid w:val="0085517F"/>
    <w:rsid w:val="0085562D"/>
    <w:rsid w:val="00855A78"/>
    <w:rsid w:val="00855DD2"/>
    <w:rsid w:val="00856154"/>
    <w:rsid w:val="00856286"/>
    <w:rsid w:val="0085657E"/>
    <w:rsid w:val="00856F0E"/>
    <w:rsid w:val="008573AF"/>
    <w:rsid w:val="008576B0"/>
    <w:rsid w:val="00860296"/>
    <w:rsid w:val="008602E3"/>
    <w:rsid w:val="00860AAD"/>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3E7"/>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01"/>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C7B81"/>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AC3"/>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5EB"/>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A4D"/>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4D0"/>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DA1"/>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59FD"/>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9F66EA"/>
    <w:rsid w:val="00A000C5"/>
    <w:rsid w:val="00A007B4"/>
    <w:rsid w:val="00A00930"/>
    <w:rsid w:val="00A00CA0"/>
    <w:rsid w:val="00A00E00"/>
    <w:rsid w:val="00A01221"/>
    <w:rsid w:val="00A012A8"/>
    <w:rsid w:val="00A012F1"/>
    <w:rsid w:val="00A016FF"/>
    <w:rsid w:val="00A01886"/>
    <w:rsid w:val="00A0207F"/>
    <w:rsid w:val="00A021AF"/>
    <w:rsid w:val="00A027B1"/>
    <w:rsid w:val="00A028C9"/>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2E8"/>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2FCE"/>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094B"/>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524"/>
    <w:rsid w:val="00AD4B2F"/>
    <w:rsid w:val="00AD5A2E"/>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5F16"/>
    <w:rsid w:val="00AF6476"/>
    <w:rsid w:val="00AF669D"/>
    <w:rsid w:val="00AF672C"/>
    <w:rsid w:val="00AF673E"/>
    <w:rsid w:val="00AF6ABE"/>
    <w:rsid w:val="00AF7389"/>
    <w:rsid w:val="00AF79DF"/>
    <w:rsid w:val="00AF7C37"/>
    <w:rsid w:val="00B00378"/>
    <w:rsid w:val="00B006FB"/>
    <w:rsid w:val="00B00D91"/>
    <w:rsid w:val="00B00E81"/>
    <w:rsid w:val="00B00E84"/>
    <w:rsid w:val="00B01DC4"/>
    <w:rsid w:val="00B01DD9"/>
    <w:rsid w:val="00B01F0E"/>
    <w:rsid w:val="00B038F1"/>
    <w:rsid w:val="00B03C1B"/>
    <w:rsid w:val="00B04678"/>
    <w:rsid w:val="00B047C9"/>
    <w:rsid w:val="00B04A04"/>
    <w:rsid w:val="00B04B78"/>
    <w:rsid w:val="00B04C37"/>
    <w:rsid w:val="00B04F00"/>
    <w:rsid w:val="00B05AA7"/>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8B3"/>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EE2"/>
    <w:rsid w:val="00B47FF3"/>
    <w:rsid w:val="00B503D6"/>
    <w:rsid w:val="00B51520"/>
    <w:rsid w:val="00B515C3"/>
    <w:rsid w:val="00B517C2"/>
    <w:rsid w:val="00B518CE"/>
    <w:rsid w:val="00B518F0"/>
    <w:rsid w:val="00B51F56"/>
    <w:rsid w:val="00B52234"/>
    <w:rsid w:val="00B53623"/>
    <w:rsid w:val="00B53D1D"/>
    <w:rsid w:val="00B53E98"/>
    <w:rsid w:val="00B53F9B"/>
    <w:rsid w:val="00B5406E"/>
    <w:rsid w:val="00B54B19"/>
    <w:rsid w:val="00B55F64"/>
    <w:rsid w:val="00B56CBB"/>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0D52"/>
    <w:rsid w:val="00B81274"/>
    <w:rsid w:val="00B815D3"/>
    <w:rsid w:val="00B81742"/>
    <w:rsid w:val="00B817B5"/>
    <w:rsid w:val="00B81E9D"/>
    <w:rsid w:val="00B823A6"/>
    <w:rsid w:val="00B83C95"/>
    <w:rsid w:val="00B83E76"/>
    <w:rsid w:val="00B83FA0"/>
    <w:rsid w:val="00B84156"/>
    <w:rsid w:val="00B846E6"/>
    <w:rsid w:val="00B8537B"/>
    <w:rsid w:val="00B85502"/>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44"/>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2A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A00"/>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CE"/>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0BE3"/>
    <w:rsid w:val="00CE11E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CF7FBA"/>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10A"/>
    <w:rsid w:val="00D2371E"/>
    <w:rsid w:val="00D237E0"/>
    <w:rsid w:val="00D23A17"/>
    <w:rsid w:val="00D25037"/>
    <w:rsid w:val="00D25382"/>
    <w:rsid w:val="00D25676"/>
    <w:rsid w:val="00D2579F"/>
    <w:rsid w:val="00D2580E"/>
    <w:rsid w:val="00D265A7"/>
    <w:rsid w:val="00D2690C"/>
    <w:rsid w:val="00D27129"/>
    <w:rsid w:val="00D279E7"/>
    <w:rsid w:val="00D27C8C"/>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94D"/>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A7CD6"/>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5B2"/>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2C6"/>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4EE9"/>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DD3"/>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989"/>
    <w:rsid w:val="00EE2A9D"/>
    <w:rsid w:val="00EE32D5"/>
    <w:rsid w:val="00EE3384"/>
    <w:rsid w:val="00EE4236"/>
    <w:rsid w:val="00EE499F"/>
    <w:rsid w:val="00EE56E2"/>
    <w:rsid w:val="00EE5FCD"/>
    <w:rsid w:val="00EE63BF"/>
    <w:rsid w:val="00EE6D45"/>
    <w:rsid w:val="00EE6E89"/>
    <w:rsid w:val="00EF0D4B"/>
    <w:rsid w:val="00EF0FE6"/>
    <w:rsid w:val="00EF1130"/>
    <w:rsid w:val="00EF1432"/>
    <w:rsid w:val="00EF1511"/>
    <w:rsid w:val="00EF1F01"/>
    <w:rsid w:val="00EF2686"/>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9B2"/>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17FA3"/>
    <w:rsid w:val="00F2005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94F"/>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711"/>
    <w:rsid w:val="00FA0DB6"/>
    <w:rsid w:val="00FA1475"/>
    <w:rsid w:val="00FA23F7"/>
    <w:rsid w:val="00FA27EB"/>
    <w:rsid w:val="00FA35B6"/>
    <w:rsid w:val="00FA3A64"/>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6769E6"/>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931095"/>
    <w:rsid w:val="09A92330"/>
    <w:rsid w:val="09B06B87"/>
    <w:rsid w:val="09C13146"/>
    <w:rsid w:val="09E04166"/>
    <w:rsid w:val="0A1C0718"/>
    <w:rsid w:val="0A3E7710"/>
    <w:rsid w:val="0A5B7E63"/>
    <w:rsid w:val="0A843E52"/>
    <w:rsid w:val="0AA374A5"/>
    <w:rsid w:val="0AAB7649"/>
    <w:rsid w:val="0ABC5606"/>
    <w:rsid w:val="0B30404E"/>
    <w:rsid w:val="0B4C6C14"/>
    <w:rsid w:val="0B631A88"/>
    <w:rsid w:val="0B683D45"/>
    <w:rsid w:val="0B7F3F11"/>
    <w:rsid w:val="0B884417"/>
    <w:rsid w:val="0BF6188C"/>
    <w:rsid w:val="0BF73C91"/>
    <w:rsid w:val="0C170175"/>
    <w:rsid w:val="0C3B6140"/>
    <w:rsid w:val="0C571A41"/>
    <w:rsid w:val="0C5C1171"/>
    <w:rsid w:val="0C5E1CBC"/>
    <w:rsid w:val="0C615B50"/>
    <w:rsid w:val="0C8445DA"/>
    <w:rsid w:val="0C87121B"/>
    <w:rsid w:val="0CC007F7"/>
    <w:rsid w:val="0CFE707A"/>
    <w:rsid w:val="0D063BDA"/>
    <w:rsid w:val="0D08375F"/>
    <w:rsid w:val="0D184CFB"/>
    <w:rsid w:val="0D4A4AC2"/>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C150CF"/>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AA793D"/>
    <w:rsid w:val="13BF3CE4"/>
    <w:rsid w:val="141008D8"/>
    <w:rsid w:val="14125FE6"/>
    <w:rsid w:val="14532618"/>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437C2"/>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1FEA5A5B"/>
    <w:rsid w:val="20034907"/>
    <w:rsid w:val="20173E4B"/>
    <w:rsid w:val="204E48BC"/>
    <w:rsid w:val="208921B3"/>
    <w:rsid w:val="20973DEB"/>
    <w:rsid w:val="2099122F"/>
    <w:rsid w:val="20B26522"/>
    <w:rsid w:val="20B44310"/>
    <w:rsid w:val="211116EB"/>
    <w:rsid w:val="216133FC"/>
    <w:rsid w:val="21D56769"/>
    <w:rsid w:val="21E52EF3"/>
    <w:rsid w:val="21FB5D7B"/>
    <w:rsid w:val="220B1C3D"/>
    <w:rsid w:val="220D77DF"/>
    <w:rsid w:val="220F6790"/>
    <w:rsid w:val="221D1D20"/>
    <w:rsid w:val="22334A87"/>
    <w:rsid w:val="22B61C24"/>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67173F"/>
    <w:rsid w:val="27783712"/>
    <w:rsid w:val="27907362"/>
    <w:rsid w:val="28333E1D"/>
    <w:rsid w:val="28454BD6"/>
    <w:rsid w:val="28455253"/>
    <w:rsid w:val="28551971"/>
    <w:rsid w:val="285B1C53"/>
    <w:rsid w:val="289F7086"/>
    <w:rsid w:val="28C32028"/>
    <w:rsid w:val="28CC490F"/>
    <w:rsid w:val="28DE40AA"/>
    <w:rsid w:val="2900009D"/>
    <w:rsid w:val="29345E77"/>
    <w:rsid w:val="294C65AD"/>
    <w:rsid w:val="29806583"/>
    <w:rsid w:val="298B3C4C"/>
    <w:rsid w:val="29E83FC3"/>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8C116E"/>
    <w:rsid w:val="2CE82D6F"/>
    <w:rsid w:val="2D343236"/>
    <w:rsid w:val="2D5E5392"/>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DF67EA"/>
    <w:rsid w:val="30EC586F"/>
    <w:rsid w:val="313703D4"/>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B71EC7"/>
    <w:rsid w:val="34CB4388"/>
    <w:rsid w:val="34FA6E12"/>
    <w:rsid w:val="358D5588"/>
    <w:rsid w:val="363A3B40"/>
    <w:rsid w:val="365302AE"/>
    <w:rsid w:val="36607A0A"/>
    <w:rsid w:val="366E227C"/>
    <w:rsid w:val="366F2E0D"/>
    <w:rsid w:val="367B6A5C"/>
    <w:rsid w:val="36A74ADA"/>
    <w:rsid w:val="36AD60D5"/>
    <w:rsid w:val="36B224F9"/>
    <w:rsid w:val="36EC0CC9"/>
    <w:rsid w:val="373F410B"/>
    <w:rsid w:val="37C404E8"/>
    <w:rsid w:val="37EE7094"/>
    <w:rsid w:val="38296C89"/>
    <w:rsid w:val="383002EB"/>
    <w:rsid w:val="38586797"/>
    <w:rsid w:val="38BC0149"/>
    <w:rsid w:val="38D87D1C"/>
    <w:rsid w:val="39636459"/>
    <w:rsid w:val="396B7F6C"/>
    <w:rsid w:val="39B417A9"/>
    <w:rsid w:val="39BD13B3"/>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275B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10D29"/>
    <w:rsid w:val="3F153163"/>
    <w:rsid w:val="3F1D1096"/>
    <w:rsid w:val="3F2F0234"/>
    <w:rsid w:val="3F6363FE"/>
    <w:rsid w:val="3F756B8F"/>
    <w:rsid w:val="3F95482B"/>
    <w:rsid w:val="4019356B"/>
    <w:rsid w:val="40592157"/>
    <w:rsid w:val="406E1CAE"/>
    <w:rsid w:val="40A0133A"/>
    <w:rsid w:val="40C31A53"/>
    <w:rsid w:val="40FF545D"/>
    <w:rsid w:val="410067C8"/>
    <w:rsid w:val="418F0D2A"/>
    <w:rsid w:val="41D01505"/>
    <w:rsid w:val="41EE046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13CC5"/>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3650C"/>
    <w:rsid w:val="5A792B1F"/>
    <w:rsid w:val="5A874767"/>
    <w:rsid w:val="5AAD6F28"/>
    <w:rsid w:val="5AD63A24"/>
    <w:rsid w:val="5B0F7B24"/>
    <w:rsid w:val="5B2E1A1D"/>
    <w:rsid w:val="5B4B6CA4"/>
    <w:rsid w:val="5B843A1C"/>
    <w:rsid w:val="5B873E3F"/>
    <w:rsid w:val="5C02690E"/>
    <w:rsid w:val="5C196DA7"/>
    <w:rsid w:val="5C1C63A8"/>
    <w:rsid w:val="5C2A048C"/>
    <w:rsid w:val="5C80234E"/>
    <w:rsid w:val="5C8A680C"/>
    <w:rsid w:val="5CA40764"/>
    <w:rsid w:val="5D0C4701"/>
    <w:rsid w:val="5D0F0395"/>
    <w:rsid w:val="5D221076"/>
    <w:rsid w:val="5D397964"/>
    <w:rsid w:val="5D4D2245"/>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0F371F"/>
    <w:rsid w:val="624F3E49"/>
    <w:rsid w:val="62632286"/>
    <w:rsid w:val="62885958"/>
    <w:rsid w:val="62F40B65"/>
    <w:rsid w:val="62FC2CFE"/>
    <w:rsid w:val="63024505"/>
    <w:rsid w:val="635B1DB5"/>
    <w:rsid w:val="63711FED"/>
    <w:rsid w:val="637D4013"/>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72D84"/>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A149F6"/>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6433D"/>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A1154B"/>
    <w:rsid w:val="77D1700D"/>
    <w:rsid w:val="77EC04CC"/>
    <w:rsid w:val="78202F3D"/>
    <w:rsid w:val="78775729"/>
    <w:rsid w:val="78A42DB0"/>
    <w:rsid w:val="78A656AB"/>
    <w:rsid w:val="78B2245C"/>
    <w:rsid w:val="78E172CC"/>
    <w:rsid w:val="78EA1D1F"/>
    <w:rsid w:val="7904172F"/>
    <w:rsid w:val="790F7E27"/>
    <w:rsid w:val="792A231A"/>
    <w:rsid w:val="79316829"/>
    <w:rsid w:val="794E3ADA"/>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853827"/>
    <w:rsid w:val="7E9A4E1F"/>
    <w:rsid w:val="7EA7723A"/>
    <w:rsid w:val="7EF56FBB"/>
    <w:rsid w:val="7F0768EB"/>
    <w:rsid w:val="7F143BEC"/>
    <w:rsid w:val="7F715AF2"/>
    <w:rsid w:val="7F886E69"/>
    <w:rsid w:val="BB7FA927"/>
    <w:rsid w:val="BCC39122"/>
    <w:rsid w:val="F5FFD31F"/>
    <w:rsid w:val="FDEED0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qFormat="1" w:uiPriority="99"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1"/>
    <w:qFormat/>
    <w:uiPriority w:val="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8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8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89"/>
    <w:qFormat/>
    <w:uiPriority w:val="0"/>
    <w:pPr>
      <w:shd w:val="clear" w:color="auto" w:fill="000080"/>
    </w:pPr>
  </w:style>
  <w:style w:type="paragraph" w:styleId="19">
    <w:name w:val="annotation text"/>
    <w:basedOn w:val="1"/>
    <w:link w:val="90"/>
    <w:qFormat/>
    <w:uiPriority w:val="99"/>
    <w:pPr>
      <w:jc w:val="left"/>
    </w:pPr>
  </w:style>
  <w:style w:type="paragraph" w:styleId="20">
    <w:name w:val="Salutation"/>
    <w:basedOn w:val="1"/>
    <w:next w:val="1"/>
    <w:link w:val="91"/>
    <w:qFormat/>
    <w:uiPriority w:val="0"/>
    <w:rPr>
      <w:rFonts w:ascii="仿宋_GB2312" w:eastAsia="仿宋_GB2312"/>
      <w:sz w:val="28"/>
      <w:szCs w:val="20"/>
    </w:rPr>
  </w:style>
  <w:style w:type="paragraph" w:styleId="21">
    <w:name w:val="Body Text 3"/>
    <w:basedOn w:val="1"/>
    <w:link w:val="92"/>
    <w:qFormat/>
    <w:uiPriority w:val="99"/>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3"/>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94"/>
    <w:qFormat/>
    <w:uiPriority w:val="99"/>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95"/>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9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97"/>
    <w:qFormat/>
    <w:uiPriority w:val="0"/>
    <w:pPr>
      <w:ind w:left="100" w:leftChars="2500"/>
    </w:pPr>
    <w:rPr>
      <w:rFonts w:ascii="宋体"/>
      <w:sz w:val="24"/>
      <w:szCs w:val="21"/>
      <w:lang w:val="zh-CN"/>
    </w:rPr>
  </w:style>
  <w:style w:type="paragraph" w:styleId="36">
    <w:name w:val="Body Text Indent 2"/>
    <w:basedOn w:val="1"/>
    <w:link w:val="98"/>
    <w:qFormat/>
    <w:uiPriority w:val="0"/>
    <w:pPr>
      <w:spacing w:line="360" w:lineRule="auto"/>
      <w:ind w:firstLine="601"/>
      <w:textAlignment w:val="baseline"/>
    </w:pPr>
    <w:rPr>
      <w:rFonts w:ascii="宋体"/>
      <w:kern w:val="0"/>
      <w:sz w:val="28"/>
      <w:szCs w:val="20"/>
    </w:rPr>
  </w:style>
  <w:style w:type="paragraph" w:styleId="37">
    <w:name w:val="endnote text"/>
    <w:basedOn w:val="1"/>
    <w:link w:val="99"/>
    <w:qFormat/>
    <w:uiPriority w:val="0"/>
    <w:rPr>
      <w:lang w:val="zh-CN"/>
    </w:rPr>
  </w:style>
  <w:style w:type="paragraph" w:styleId="38">
    <w:name w:val="Balloon Text"/>
    <w:basedOn w:val="1"/>
    <w:link w:val="100"/>
    <w:qFormat/>
    <w:uiPriority w:val="0"/>
    <w:rPr>
      <w:sz w:val="18"/>
      <w:szCs w:val="18"/>
    </w:rPr>
  </w:style>
  <w:style w:type="paragraph" w:styleId="39">
    <w:name w:val="footer"/>
    <w:basedOn w:val="1"/>
    <w:link w:val="101"/>
    <w:qFormat/>
    <w:uiPriority w:val="99"/>
    <w:pPr>
      <w:tabs>
        <w:tab w:val="center" w:pos="4153"/>
        <w:tab w:val="right" w:pos="8306"/>
      </w:tabs>
      <w:snapToGrid w:val="0"/>
      <w:jc w:val="left"/>
    </w:pPr>
    <w:rPr>
      <w:sz w:val="18"/>
      <w:szCs w:val="18"/>
    </w:rPr>
  </w:style>
  <w:style w:type="paragraph" w:styleId="40">
    <w:name w:val="header"/>
    <w:basedOn w:val="1"/>
    <w:link w:val="10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0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0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105"/>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106"/>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107"/>
    <w:qFormat/>
    <w:uiPriority w:val="0"/>
    <w:pPr>
      <w:spacing w:after="120" w:line="480" w:lineRule="auto"/>
    </w:pPr>
  </w:style>
  <w:style w:type="paragraph" w:styleId="56">
    <w:name w:val="HTML Preformatted"/>
    <w:basedOn w:val="1"/>
    <w:link w:val="1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109"/>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10"/>
    <w:qFormat/>
    <w:uiPriority w:val="0"/>
    <w:rPr>
      <w:b/>
      <w:bCs/>
    </w:rPr>
  </w:style>
  <w:style w:type="paragraph" w:styleId="60">
    <w:name w:val="Body Text First Indent"/>
    <w:basedOn w:val="23"/>
    <w:link w:val="111"/>
    <w:qFormat/>
    <w:uiPriority w:val="99"/>
    <w:pPr>
      <w:ind w:firstLine="420"/>
    </w:pPr>
    <w:rPr>
      <w:rFonts w:hAnsi="Calibri" w:cs="Times New Roman"/>
      <w:snapToGrid/>
      <w:szCs w:val="20"/>
    </w:rPr>
  </w:style>
  <w:style w:type="paragraph" w:styleId="61">
    <w:name w:val="Body Text First Indent 2"/>
    <w:basedOn w:val="24"/>
    <w:link w:val="11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0"/>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1 字符1"/>
    <w:link w:val="3"/>
    <w:qFormat/>
    <w:uiPriority w:val="9"/>
    <w:rPr>
      <w:b/>
      <w:bCs/>
      <w:kern w:val="44"/>
      <w:sz w:val="44"/>
      <w:szCs w:val="44"/>
    </w:rPr>
  </w:style>
  <w:style w:type="character" w:customStyle="1" w:styleId="80">
    <w:name w:val="正文缩进 字符2"/>
    <w:link w:val="5"/>
    <w:qFormat/>
    <w:uiPriority w:val="0"/>
    <w:rPr>
      <w:rFonts w:ascii="宋体" w:eastAsia="宋体"/>
      <w:snapToGrid w:val="0"/>
      <w:color w:val="000000"/>
      <w:kern w:val="28"/>
      <w:sz w:val="28"/>
      <w:lang w:val="en-US" w:eastAsia="zh-CN" w:bidi="ar-SA"/>
    </w:rPr>
  </w:style>
  <w:style w:type="character" w:customStyle="1" w:styleId="81">
    <w:name w:val="标题 3 字符1"/>
    <w:basedOn w:val="69"/>
    <w:link w:val="4"/>
    <w:qFormat/>
    <w:uiPriority w:val="9"/>
    <w:rPr>
      <w:b/>
      <w:bCs/>
      <w:kern w:val="2"/>
      <w:sz w:val="32"/>
      <w:szCs w:val="32"/>
    </w:rPr>
  </w:style>
  <w:style w:type="character" w:customStyle="1" w:styleId="82">
    <w:name w:val="标题 4 字符1"/>
    <w:link w:val="6"/>
    <w:qFormat/>
    <w:uiPriority w:val="9"/>
    <w:rPr>
      <w:rFonts w:ascii="Arial" w:hAnsi="Arial" w:eastAsia="黑体"/>
      <w:b/>
      <w:bCs/>
      <w:kern w:val="2"/>
      <w:sz w:val="28"/>
      <w:szCs w:val="28"/>
      <w:lang w:val="zh-CN"/>
    </w:rPr>
  </w:style>
  <w:style w:type="character" w:customStyle="1" w:styleId="83">
    <w:name w:val="标题 5 字符"/>
    <w:link w:val="7"/>
    <w:qFormat/>
    <w:uiPriority w:val="9"/>
    <w:rPr>
      <w:b/>
      <w:bCs/>
      <w:kern w:val="2"/>
      <w:sz w:val="28"/>
      <w:szCs w:val="28"/>
    </w:rPr>
  </w:style>
  <w:style w:type="character" w:customStyle="1" w:styleId="84">
    <w:name w:val="标题 6 字符"/>
    <w:link w:val="8"/>
    <w:qFormat/>
    <w:uiPriority w:val="0"/>
    <w:rPr>
      <w:rFonts w:ascii="Arial" w:hAnsi="Arial" w:eastAsia="黑体"/>
      <w:b/>
      <w:bCs/>
      <w:kern w:val="2"/>
      <w:sz w:val="24"/>
      <w:szCs w:val="24"/>
    </w:rPr>
  </w:style>
  <w:style w:type="character" w:customStyle="1" w:styleId="85">
    <w:name w:val="标题 7 字符"/>
    <w:link w:val="9"/>
    <w:qFormat/>
    <w:uiPriority w:val="0"/>
    <w:rPr>
      <w:b/>
      <w:bCs/>
      <w:kern w:val="2"/>
      <w:sz w:val="24"/>
      <w:szCs w:val="24"/>
    </w:rPr>
  </w:style>
  <w:style w:type="character" w:customStyle="1" w:styleId="86">
    <w:name w:val="标题 8 字符"/>
    <w:link w:val="10"/>
    <w:qFormat/>
    <w:uiPriority w:val="0"/>
    <w:rPr>
      <w:rFonts w:ascii="Arial" w:hAnsi="Arial" w:eastAsia="黑体"/>
      <w:kern w:val="2"/>
      <w:sz w:val="24"/>
      <w:szCs w:val="24"/>
    </w:rPr>
  </w:style>
  <w:style w:type="character" w:customStyle="1" w:styleId="87">
    <w:name w:val="标题 9 字符"/>
    <w:link w:val="11"/>
    <w:qFormat/>
    <w:uiPriority w:val="0"/>
    <w:rPr>
      <w:rFonts w:ascii="Arial" w:hAnsi="Arial" w:eastAsia="黑体"/>
      <w:kern w:val="2"/>
      <w:sz w:val="21"/>
      <w:szCs w:val="21"/>
    </w:rPr>
  </w:style>
  <w:style w:type="character" w:customStyle="1" w:styleId="88">
    <w:name w:val="题注 字符"/>
    <w:link w:val="16"/>
    <w:qFormat/>
    <w:uiPriority w:val="0"/>
    <w:rPr>
      <w:b/>
      <w:kern w:val="2"/>
      <w:sz w:val="28"/>
    </w:rPr>
  </w:style>
  <w:style w:type="character" w:customStyle="1" w:styleId="89">
    <w:name w:val="文档结构图 字符"/>
    <w:link w:val="18"/>
    <w:qFormat/>
    <w:uiPriority w:val="0"/>
    <w:rPr>
      <w:kern w:val="2"/>
      <w:sz w:val="21"/>
      <w:szCs w:val="24"/>
      <w:shd w:val="clear" w:color="auto" w:fill="000080"/>
    </w:rPr>
  </w:style>
  <w:style w:type="character" w:customStyle="1" w:styleId="90">
    <w:name w:val="批注文字 字符1"/>
    <w:link w:val="19"/>
    <w:qFormat/>
    <w:uiPriority w:val="0"/>
    <w:rPr>
      <w:kern w:val="2"/>
      <w:sz w:val="21"/>
      <w:szCs w:val="24"/>
    </w:rPr>
  </w:style>
  <w:style w:type="character" w:customStyle="1" w:styleId="91">
    <w:name w:val="称呼 字符"/>
    <w:link w:val="20"/>
    <w:qFormat/>
    <w:uiPriority w:val="0"/>
    <w:rPr>
      <w:rFonts w:ascii="仿宋_GB2312" w:eastAsia="仿宋_GB2312"/>
      <w:kern w:val="2"/>
      <w:sz w:val="28"/>
    </w:rPr>
  </w:style>
  <w:style w:type="character" w:customStyle="1" w:styleId="92">
    <w:name w:val="正文文本 3 字符"/>
    <w:link w:val="21"/>
    <w:qFormat/>
    <w:uiPriority w:val="99"/>
    <w:rPr>
      <w:kern w:val="2"/>
      <w:sz w:val="21"/>
    </w:rPr>
  </w:style>
  <w:style w:type="character" w:customStyle="1" w:styleId="93">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4">
    <w:name w:val="正文文本缩进 字符1"/>
    <w:link w:val="24"/>
    <w:qFormat/>
    <w:uiPriority w:val="0"/>
    <w:rPr>
      <w:rFonts w:ascii="宋体" w:hAnsi="宋体"/>
      <w:kern w:val="2"/>
      <w:sz w:val="24"/>
      <w:szCs w:val="24"/>
    </w:rPr>
  </w:style>
  <w:style w:type="character" w:customStyle="1" w:styleId="95">
    <w:name w:val="HTML 地址 字符"/>
    <w:link w:val="29"/>
    <w:qFormat/>
    <w:uiPriority w:val="0"/>
    <w:rPr>
      <w:rFonts w:ascii="宋体" w:hAnsi="宋体"/>
      <w:i/>
      <w:iCs/>
      <w:sz w:val="24"/>
      <w:szCs w:val="24"/>
    </w:rPr>
  </w:style>
  <w:style w:type="character" w:customStyle="1" w:styleId="96">
    <w:name w:val="纯文本 字符2"/>
    <w:link w:val="32"/>
    <w:qFormat/>
    <w:uiPriority w:val="0"/>
    <w:rPr>
      <w:rFonts w:ascii="宋体" w:hAnsi="Courier New" w:eastAsia="宋体" w:cs="Arial"/>
      <w:snapToGrid w:val="0"/>
      <w:kern w:val="2"/>
      <w:sz w:val="21"/>
      <w:szCs w:val="21"/>
      <w:lang w:val="en-US" w:eastAsia="zh-CN" w:bidi="ar-SA"/>
    </w:rPr>
  </w:style>
  <w:style w:type="character" w:customStyle="1" w:styleId="97">
    <w:name w:val="日期 字符"/>
    <w:link w:val="35"/>
    <w:qFormat/>
    <w:uiPriority w:val="0"/>
    <w:rPr>
      <w:rFonts w:ascii="宋体"/>
      <w:kern w:val="2"/>
      <w:sz w:val="24"/>
      <w:szCs w:val="21"/>
      <w:lang w:val="zh-CN"/>
    </w:rPr>
  </w:style>
  <w:style w:type="character" w:customStyle="1" w:styleId="98">
    <w:name w:val="正文文本缩进 2 字符"/>
    <w:link w:val="36"/>
    <w:qFormat/>
    <w:uiPriority w:val="0"/>
    <w:rPr>
      <w:rFonts w:ascii="宋体"/>
      <w:sz w:val="28"/>
    </w:rPr>
  </w:style>
  <w:style w:type="character" w:customStyle="1" w:styleId="99">
    <w:name w:val="尾注文本 字符"/>
    <w:link w:val="37"/>
    <w:qFormat/>
    <w:uiPriority w:val="0"/>
    <w:rPr>
      <w:kern w:val="2"/>
      <w:sz w:val="21"/>
      <w:szCs w:val="24"/>
      <w:lang w:val="zh-CN"/>
    </w:rPr>
  </w:style>
  <w:style w:type="character" w:customStyle="1" w:styleId="100">
    <w:name w:val="批注框文本 字符1"/>
    <w:link w:val="38"/>
    <w:qFormat/>
    <w:uiPriority w:val="0"/>
    <w:rPr>
      <w:kern w:val="2"/>
      <w:sz w:val="18"/>
      <w:szCs w:val="18"/>
    </w:rPr>
  </w:style>
  <w:style w:type="character" w:customStyle="1" w:styleId="101">
    <w:name w:val="页脚 字符2"/>
    <w:link w:val="39"/>
    <w:qFormat/>
    <w:locked/>
    <w:uiPriority w:val="99"/>
    <w:rPr>
      <w:kern w:val="2"/>
      <w:sz w:val="18"/>
      <w:szCs w:val="18"/>
    </w:rPr>
  </w:style>
  <w:style w:type="character" w:customStyle="1" w:styleId="102">
    <w:name w:val="页眉 字符2"/>
    <w:link w:val="40"/>
    <w:qFormat/>
    <w:uiPriority w:val="99"/>
    <w:rPr>
      <w:kern w:val="2"/>
      <w:sz w:val="18"/>
      <w:szCs w:val="18"/>
    </w:rPr>
  </w:style>
  <w:style w:type="character" w:customStyle="1" w:styleId="103">
    <w:name w:val="签名 字符"/>
    <w:link w:val="41"/>
    <w:qFormat/>
    <w:uiPriority w:val="0"/>
    <w:rPr>
      <w:rFonts w:eastAsia="仿宋_GB2312"/>
      <w:sz w:val="24"/>
    </w:rPr>
  </w:style>
  <w:style w:type="character" w:customStyle="1" w:styleId="104">
    <w:name w:val="副标题 字符"/>
    <w:link w:val="46"/>
    <w:qFormat/>
    <w:uiPriority w:val="0"/>
    <w:rPr>
      <w:rFonts w:ascii="Arial" w:hAnsi="Arial" w:eastAsia="隶书"/>
      <w:b/>
      <w:bCs/>
      <w:kern w:val="28"/>
      <w:sz w:val="44"/>
      <w:szCs w:val="32"/>
      <w:lang w:val="en-US" w:eastAsia="zh-CN" w:bidi="ar-SA"/>
    </w:rPr>
  </w:style>
  <w:style w:type="character" w:customStyle="1" w:styleId="105">
    <w:name w:val="脚注文本 字符"/>
    <w:link w:val="49"/>
    <w:qFormat/>
    <w:uiPriority w:val="0"/>
    <w:rPr>
      <w:color w:val="0000FF"/>
      <w:sz w:val="21"/>
    </w:rPr>
  </w:style>
  <w:style w:type="character" w:customStyle="1" w:styleId="106">
    <w:name w:val="正文文本缩进 3 字符"/>
    <w:link w:val="52"/>
    <w:qFormat/>
    <w:uiPriority w:val="0"/>
    <w:rPr>
      <w:kern w:val="2"/>
      <w:sz w:val="24"/>
    </w:rPr>
  </w:style>
  <w:style w:type="character" w:customStyle="1" w:styleId="107">
    <w:name w:val="正文文本 2 字符1"/>
    <w:link w:val="55"/>
    <w:qFormat/>
    <w:uiPriority w:val="0"/>
    <w:rPr>
      <w:kern w:val="2"/>
      <w:sz w:val="21"/>
      <w:szCs w:val="24"/>
    </w:rPr>
  </w:style>
  <w:style w:type="character" w:customStyle="1" w:styleId="108">
    <w:name w:val="HTML 预设格式 字符"/>
    <w:link w:val="56"/>
    <w:qFormat/>
    <w:uiPriority w:val="0"/>
    <w:rPr>
      <w:rFonts w:ascii="黑体" w:hAnsi="Courier New" w:eastAsia="黑体"/>
    </w:rPr>
  </w:style>
  <w:style w:type="character" w:customStyle="1" w:styleId="109">
    <w:name w:val="标题 字符"/>
    <w:link w:val="58"/>
    <w:qFormat/>
    <w:uiPriority w:val="10"/>
    <w:rPr>
      <w:b/>
      <w:sz w:val="24"/>
      <w:lang w:val="en-GB"/>
    </w:rPr>
  </w:style>
  <w:style w:type="character" w:customStyle="1" w:styleId="110">
    <w:name w:val="批注主题 字符"/>
    <w:link w:val="59"/>
    <w:qFormat/>
    <w:uiPriority w:val="0"/>
    <w:rPr>
      <w:b/>
      <w:bCs/>
      <w:kern w:val="2"/>
      <w:sz w:val="21"/>
      <w:szCs w:val="24"/>
    </w:rPr>
  </w:style>
  <w:style w:type="character" w:customStyle="1" w:styleId="111">
    <w:name w:val="正文文本首行缩进 字符"/>
    <w:link w:val="60"/>
    <w:qFormat/>
    <w:uiPriority w:val="99"/>
    <w:rPr>
      <w:rFonts w:ascii="宋体"/>
      <w:kern w:val="2"/>
      <w:sz w:val="24"/>
      <w:lang w:val="zh-CN"/>
    </w:rPr>
  </w:style>
  <w:style w:type="character" w:customStyle="1" w:styleId="112">
    <w:name w:val="正文文本首行缩进 2 字符"/>
    <w:link w:val="61"/>
    <w:qFormat/>
    <w:uiPriority w:val="0"/>
    <w:rPr>
      <w:rFonts w:ascii="宋体" w:hAnsi="宋体"/>
      <w:kern w:val="2"/>
      <w:sz w:val="21"/>
      <w:szCs w:val="24"/>
    </w:rPr>
  </w:style>
  <w:style w:type="character" w:customStyle="1" w:styleId="113">
    <w:name w:val="表格非标题文字 Char"/>
    <w:link w:val="114"/>
    <w:qFormat/>
    <w:uiPriority w:val="0"/>
    <w:rPr>
      <w:rFonts w:ascii="Futura Bk" w:hAnsi="Futura Bk"/>
      <w:kern w:val="2"/>
      <w:sz w:val="18"/>
      <w:szCs w:val="21"/>
      <w:lang w:val="en-US" w:eastAsia="zh-CN" w:bidi="ar-SA"/>
    </w:rPr>
  </w:style>
  <w:style w:type="paragraph" w:customStyle="1" w:styleId="114">
    <w:name w:val="表格非标题文字"/>
    <w:link w:val="11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5">
    <w:name w:val="*正文 Char"/>
    <w:link w:val="116"/>
    <w:qFormat/>
    <w:locked/>
    <w:uiPriority w:val="0"/>
    <w:rPr>
      <w:rFonts w:ascii="宋体" w:hAnsi="宋体"/>
      <w:sz w:val="24"/>
    </w:rPr>
  </w:style>
  <w:style w:type="paragraph" w:customStyle="1" w:styleId="116">
    <w:name w:val="*正文"/>
    <w:basedOn w:val="1"/>
    <w:link w:val="115"/>
    <w:qFormat/>
    <w:uiPriority w:val="0"/>
    <w:pPr>
      <w:snapToGrid w:val="0"/>
      <w:spacing w:line="360" w:lineRule="auto"/>
      <w:ind w:firstLine="482"/>
      <w:jc w:val="left"/>
    </w:pPr>
    <w:rPr>
      <w:rFonts w:ascii="宋体" w:hAnsi="宋体"/>
      <w:kern w:val="0"/>
      <w:sz w:val="24"/>
      <w:szCs w:val="20"/>
    </w:rPr>
  </w:style>
  <w:style w:type="character" w:customStyle="1" w:styleId="117">
    <w:name w:val="Char Char71"/>
    <w:semiHidden/>
    <w:qFormat/>
    <w:uiPriority w:val="0"/>
    <w:rPr>
      <w:rFonts w:eastAsia="宋体"/>
      <w:kern w:val="2"/>
      <w:sz w:val="21"/>
      <w:szCs w:val="24"/>
      <w:lang w:val="en-US" w:eastAsia="zh-CN" w:bidi="ar-SA"/>
    </w:rPr>
  </w:style>
  <w:style w:type="character" w:customStyle="1" w:styleId="118">
    <w:name w:val="Char Char6"/>
    <w:qFormat/>
    <w:uiPriority w:val="0"/>
    <w:rPr>
      <w:rFonts w:eastAsia="宋体"/>
      <w:kern w:val="2"/>
      <w:sz w:val="21"/>
      <w:szCs w:val="24"/>
      <w:lang w:val="en-US" w:eastAsia="zh-CN" w:bidi="ar-SA"/>
    </w:rPr>
  </w:style>
  <w:style w:type="character" w:customStyle="1" w:styleId="119">
    <w:name w:val="正文缩进 Char"/>
    <w:qFormat/>
    <w:uiPriority w:val="0"/>
    <w:rPr>
      <w:rFonts w:eastAsia="宋体"/>
      <w:kern w:val="2"/>
      <w:sz w:val="21"/>
      <w:lang w:val="en-US" w:eastAsia="zh-CN"/>
    </w:rPr>
  </w:style>
  <w:style w:type="character" w:customStyle="1" w:styleId="120">
    <w:name w:val="正文首行缩进 Char1"/>
    <w:qFormat/>
    <w:uiPriority w:val="0"/>
    <w:rPr>
      <w:rFonts w:ascii="宋体" w:hAnsi="Times New Roman" w:eastAsia="宋体" w:cs="Times New Roman"/>
      <w:snapToGrid w:val="0"/>
      <w:kern w:val="2"/>
      <w:sz w:val="24"/>
      <w:szCs w:val="21"/>
      <w:lang w:val="zh-CN"/>
    </w:rPr>
  </w:style>
  <w:style w:type="character" w:customStyle="1" w:styleId="121">
    <w:name w:val="Char Char28"/>
    <w:qFormat/>
    <w:uiPriority w:val="6"/>
    <w:rPr>
      <w:rFonts w:ascii="仿宋_GB2312" w:hAnsi="仿宋_GB2312" w:eastAsia="仿宋_GB2312"/>
      <w:kern w:val="1"/>
      <w:sz w:val="28"/>
    </w:rPr>
  </w:style>
  <w:style w:type="character" w:customStyle="1" w:styleId="12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3">
    <w:name w:val="Heading 1 Char"/>
    <w:qFormat/>
    <w:uiPriority w:val="6"/>
    <w:rPr>
      <w:rFonts w:ascii="Times New Roman" w:hAnsi="Times New Roman" w:eastAsia="黑体" w:cs="Times New Roman"/>
      <w:b/>
      <w:kern w:val="0"/>
      <w:sz w:val="24"/>
      <w:szCs w:val="24"/>
    </w:rPr>
  </w:style>
  <w:style w:type="character" w:customStyle="1" w:styleId="124">
    <w:name w:val="U_正文 Char"/>
    <w:link w:val="125"/>
    <w:qFormat/>
    <w:uiPriority w:val="0"/>
    <w:rPr>
      <w:sz w:val="24"/>
      <w:szCs w:val="24"/>
    </w:rPr>
  </w:style>
  <w:style w:type="paragraph" w:customStyle="1" w:styleId="125">
    <w:name w:val="U_正文"/>
    <w:basedOn w:val="1"/>
    <w:link w:val="124"/>
    <w:qFormat/>
    <w:uiPriority w:val="0"/>
    <w:pPr>
      <w:adjustRightInd/>
      <w:spacing w:beforeLines="20" w:afterLines="20" w:line="300" w:lineRule="auto"/>
      <w:ind w:firstLine="200" w:firstLineChars="200"/>
    </w:pPr>
    <w:rPr>
      <w:kern w:val="0"/>
      <w:sz w:val="24"/>
    </w:rPr>
  </w:style>
  <w:style w:type="character" w:customStyle="1" w:styleId="126">
    <w:name w:val="HTML 地址 Char1"/>
    <w:qFormat/>
    <w:uiPriority w:val="0"/>
    <w:rPr>
      <w:rFonts w:ascii="Times New Roman" w:hAnsi="Times New Roman" w:eastAsia="宋体" w:cs="Times New Roman"/>
      <w:i/>
      <w:iCs/>
      <w:szCs w:val="24"/>
    </w:rPr>
  </w:style>
  <w:style w:type="character" w:customStyle="1" w:styleId="127">
    <w:name w:val="Char Char51"/>
    <w:qFormat/>
    <w:uiPriority w:val="0"/>
    <w:rPr>
      <w:rFonts w:ascii="宋体" w:hAnsi="Courier New" w:eastAsia="宋体"/>
      <w:kern w:val="2"/>
      <w:sz w:val="21"/>
      <w:lang w:val="en-US" w:eastAsia="zh-CN"/>
    </w:rPr>
  </w:style>
  <w:style w:type="character" w:customStyle="1" w:styleId="128">
    <w:name w:val="表正文 Char"/>
    <w:qFormat/>
    <w:uiPriority w:val="0"/>
    <w:rPr>
      <w:rFonts w:ascii="宋体" w:eastAsia="宋体"/>
      <w:snapToGrid w:val="0"/>
      <w:color w:val="000000"/>
      <w:kern w:val="28"/>
      <w:sz w:val="28"/>
      <w:lang w:val="en-US" w:eastAsia="zh-CN" w:bidi="ar-SA"/>
    </w:rPr>
  </w:style>
  <w:style w:type="character" w:customStyle="1" w:styleId="129">
    <w:name w:val="Char Char34"/>
    <w:qFormat/>
    <w:uiPriority w:val="6"/>
    <w:rPr>
      <w:b/>
      <w:kern w:val="1"/>
      <w:sz w:val="28"/>
      <w:szCs w:val="28"/>
    </w:rPr>
  </w:style>
  <w:style w:type="character" w:customStyle="1" w:styleId="13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1">
    <w:name w:val="哈哈正文 Char"/>
    <w:link w:val="132"/>
    <w:qFormat/>
    <w:uiPriority w:val="0"/>
    <w:rPr>
      <w:rFonts w:ascii="宋体" w:hAnsi="宋体" w:eastAsia="宋体"/>
      <w:kern w:val="2"/>
      <w:sz w:val="24"/>
      <w:lang w:bidi="ar-SA"/>
    </w:rPr>
  </w:style>
  <w:style w:type="paragraph" w:customStyle="1" w:styleId="132">
    <w:name w:val="哈哈正文"/>
    <w:basedOn w:val="1"/>
    <w:link w:val="131"/>
    <w:qFormat/>
    <w:uiPriority w:val="0"/>
    <w:pPr>
      <w:adjustRightInd/>
      <w:spacing w:line="360" w:lineRule="auto"/>
      <w:ind w:firstLine="200" w:firstLineChars="200"/>
    </w:pPr>
    <w:rPr>
      <w:rFonts w:ascii="宋体" w:hAnsi="宋体"/>
      <w:sz w:val="24"/>
      <w:szCs w:val="20"/>
    </w:rPr>
  </w:style>
  <w:style w:type="character" w:customStyle="1" w:styleId="133">
    <w:name w:val="未处理的提及1"/>
    <w:qFormat/>
    <w:uiPriority w:val="0"/>
    <w:rPr>
      <w:color w:val="808080"/>
      <w:shd w:val="clear" w:color="auto" w:fill="E6E6E6"/>
    </w:rPr>
  </w:style>
  <w:style w:type="character" w:customStyle="1" w:styleId="134">
    <w:name w:val="txt"/>
    <w:qFormat/>
    <w:uiPriority w:val="0"/>
    <w:rPr>
      <w:rFonts w:ascii="仿宋_GB2312" w:eastAsia="微软雅黑"/>
      <w:b/>
      <w:kern w:val="2"/>
      <w:sz w:val="32"/>
      <w:szCs w:val="32"/>
      <w:lang w:val="en-US" w:eastAsia="zh-CN" w:bidi="ar-SA"/>
    </w:rPr>
  </w:style>
  <w:style w:type="character" w:customStyle="1" w:styleId="135">
    <w:name w:val="二级标题 Char Char"/>
    <w:qFormat/>
    <w:uiPriority w:val="0"/>
    <w:rPr>
      <w:rFonts w:ascii="宋体" w:hAnsi="宋体" w:eastAsia="宋体"/>
      <w:b/>
      <w:snapToGrid w:val="0"/>
      <w:kern w:val="2"/>
      <w:sz w:val="24"/>
      <w:szCs w:val="24"/>
      <w:lang w:val="en-US" w:eastAsia="zh-CN" w:bidi="ar-SA"/>
    </w:rPr>
  </w:style>
  <w:style w:type="character" w:customStyle="1" w:styleId="136">
    <w:name w:val="Char Char32"/>
    <w:qFormat/>
    <w:uiPriority w:val="6"/>
    <w:rPr>
      <w:b/>
      <w:kern w:val="1"/>
      <w:sz w:val="24"/>
      <w:szCs w:val="24"/>
    </w:rPr>
  </w:style>
  <w:style w:type="character" w:customStyle="1" w:styleId="137">
    <w:name w:val="PI Char1"/>
    <w:qFormat/>
    <w:uiPriority w:val="0"/>
    <w:rPr>
      <w:rFonts w:ascii="宋体" w:hAnsi="宋体"/>
      <w:kern w:val="2"/>
      <w:sz w:val="24"/>
      <w:szCs w:val="24"/>
    </w:rPr>
  </w:style>
  <w:style w:type="character" w:customStyle="1" w:styleId="138">
    <w:name w:val="tw4winTerm"/>
    <w:qFormat/>
    <w:uiPriority w:val="0"/>
    <w:rPr>
      <w:color w:val="0000FF"/>
    </w:rPr>
  </w:style>
  <w:style w:type="character" w:customStyle="1" w:styleId="139">
    <w:name w:val="Footer Char"/>
    <w:qFormat/>
    <w:locked/>
    <w:uiPriority w:val="0"/>
    <w:rPr>
      <w:rFonts w:eastAsia="宋体"/>
      <w:kern w:val="2"/>
      <w:sz w:val="18"/>
      <w:lang w:val="en-US" w:eastAsia="zh-CN" w:bidi="ar-SA"/>
    </w:rPr>
  </w:style>
  <w:style w:type="character" w:customStyle="1" w:styleId="140">
    <w:name w:val="普通文字 Char Char1"/>
    <w:qFormat/>
    <w:uiPriority w:val="0"/>
    <w:rPr>
      <w:rFonts w:ascii="宋体" w:hAnsi="Courier New"/>
      <w:kern w:val="2"/>
      <w:sz w:val="21"/>
    </w:rPr>
  </w:style>
  <w:style w:type="character" w:customStyle="1" w:styleId="141">
    <w:name w:val="Char Char101"/>
    <w:qFormat/>
    <w:uiPriority w:val="6"/>
    <w:rPr>
      <w:rFonts w:ascii="宋体" w:hAnsi="宋体"/>
      <w:kern w:val="2"/>
      <w:sz w:val="21"/>
      <w:szCs w:val="24"/>
      <w:lang w:val="en-US" w:eastAsia="zh-CN"/>
    </w:rPr>
  </w:style>
  <w:style w:type="character" w:customStyle="1" w:styleId="142">
    <w:name w:val="标题 4 Char"/>
    <w:qFormat/>
    <w:uiPriority w:val="0"/>
    <w:rPr>
      <w:rFonts w:ascii="Arial" w:hAnsi="Arial" w:eastAsia="黑体"/>
      <w:b/>
      <w:kern w:val="2"/>
      <w:sz w:val="28"/>
    </w:rPr>
  </w:style>
  <w:style w:type="character" w:customStyle="1" w:styleId="143">
    <w:name w:val="链接"/>
    <w:qFormat/>
    <w:uiPriority w:val="0"/>
    <w:rPr>
      <w:color w:val="0000FF"/>
      <w:sz w:val="21"/>
      <w:szCs w:val="21"/>
      <w:u w:val="single"/>
    </w:rPr>
  </w:style>
  <w:style w:type="character" w:customStyle="1" w:styleId="144">
    <w:name w:val="h4 Char"/>
    <w:qFormat/>
    <w:uiPriority w:val="0"/>
    <w:rPr>
      <w:rFonts w:ascii="Arial" w:hAnsi="Arial" w:eastAsia="黑体"/>
      <w:b/>
      <w:bCs/>
      <w:kern w:val="2"/>
      <w:sz w:val="28"/>
      <w:szCs w:val="28"/>
      <w:lang w:val="zh-CN" w:eastAsia="zh-CN" w:bidi="ar-SA"/>
    </w:rPr>
  </w:style>
  <w:style w:type="character" w:customStyle="1" w:styleId="145">
    <w:name w:val="5正文 Char"/>
    <w:link w:val="146"/>
    <w:qFormat/>
    <w:uiPriority w:val="0"/>
    <w:rPr>
      <w:rFonts w:ascii="仿宋_GB2312" w:hAnsi="微软雅黑" w:eastAsia="仿宋_GB2312"/>
      <w:sz w:val="28"/>
      <w:szCs w:val="21"/>
    </w:rPr>
  </w:style>
  <w:style w:type="paragraph" w:customStyle="1" w:styleId="146">
    <w:name w:val="5正文"/>
    <w:basedOn w:val="1"/>
    <w:link w:val="14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47">
    <w:name w:val="标题 3 字符"/>
    <w:qFormat/>
    <w:uiPriority w:val="9"/>
    <w:rPr>
      <w:b/>
      <w:bCs/>
      <w:kern w:val="2"/>
      <w:sz w:val="32"/>
      <w:szCs w:val="32"/>
    </w:rPr>
  </w:style>
  <w:style w:type="character" w:customStyle="1" w:styleId="148">
    <w:name w:val="样式6 Char"/>
    <w:qFormat/>
    <w:uiPriority w:val="0"/>
    <w:rPr>
      <w:rFonts w:ascii="仿宋_GB2312" w:hAnsi="宋体" w:eastAsia="仿宋_GB2312"/>
      <w:b/>
      <w:bCs/>
      <w:kern w:val="2"/>
      <w:sz w:val="24"/>
      <w:szCs w:val="24"/>
      <w:lang w:val="en-US" w:eastAsia="zh-CN" w:bidi="ar-SA"/>
    </w:rPr>
  </w:style>
  <w:style w:type="character" w:customStyle="1" w:styleId="149">
    <w:name w:val="Char Char14"/>
    <w:qFormat/>
    <w:uiPriority w:val="6"/>
    <w:rPr>
      <w:rFonts w:ascii="黑体" w:hAnsi="黑体" w:eastAsia="黑体"/>
    </w:rPr>
  </w:style>
  <w:style w:type="character" w:customStyle="1" w:styleId="150">
    <w:name w:val="Heading 2 Hidden Char"/>
    <w:qFormat/>
    <w:uiPriority w:val="0"/>
    <w:rPr>
      <w:rFonts w:ascii="仿宋_GB2312" w:eastAsia="仿宋_GB2312"/>
      <w:b/>
      <w:bCs/>
      <w:kern w:val="2"/>
      <w:sz w:val="24"/>
      <w:szCs w:val="24"/>
      <w:lang w:val="zh-CN" w:eastAsia="zh-CN" w:bidi="ar-SA"/>
    </w:rPr>
  </w:style>
  <w:style w:type="character" w:customStyle="1" w:styleId="151">
    <w:name w:val="font11"/>
    <w:qFormat/>
    <w:uiPriority w:val="0"/>
    <w:rPr>
      <w:rFonts w:hint="default" w:ascii="Times New Roman" w:hAnsi="Times New Roman" w:cs="Times New Roman"/>
      <w:color w:val="000000"/>
      <w:sz w:val="22"/>
      <w:szCs w:val="22"/>
      <w:u w:val="none"/>
    </w:rPr>
  </w:style>
  <w:style w:type="character" w:customStyle="1" w:styleId="152">
    <w:name w:val="表正文 Char1"/>
    <w:qFormat/>
    <w:uiPriority w:val="0"/>
    <w:rPr>
      <w:rFonts w:ascii="宋体" w:eastAsia="宋体"/>
      <w:snapToGrid w:val="0"/>
      <w:color w:val="000000"/>
      <w:kern w:val="28"/>
      <w:sz w:val="28"/>
    </w:rPr>
  </w:style>
  <w:style w:type="character" w:customStyle="1" w:styleId="153">
    <w:name w:val="blue1"/>
    <w:basedOn w:val="69"/>
    <w:qFormat/>
    <w:uiPriority w:val="0"/>
    <w:rPr>
      <w:rFonts w:ascii="Arial" w:hAnsi="Arial" w:eastAsia="黑体" w:cs="Arial"/>
      <w:snapToGrid w:val="0"/>
      <w:kern w:val="0"/>
      <w:szCs w:val="21"/>
    </w:rPr>
  </w:style>
  <w:style w:type="character" w:customStyle="1" w:styleId="154">
    <w:name w:val="标书1 Char"/>
    <w:qFormat/>
    <w:uiPriority w:val="0"/>
    <w:rPr>
      <w:rFonts w:eastAsia="宋体"/>
      <w:b/>
      <w:bCs/>
      <w:kern w:val="44"/>
      <w:sz w:val="44"/>
      <w:szCs w:val="44"/>
      <w:lang w:val="en-US" w:eastAsia="zh-CN" w:bidi="ar-SA"/>
    </w:rPr>
  </w:style>
  <w:style w:type="character" w:customStyle="1" w:styleId="155">
    <w:name w:val="样式5 Char"/>
    <w:qFormat/>
    <w:uiPriority w:val="0"/>
    <w:rPr>
      <w:rFonts w:ascii="仿宋_GB2312" w:hAnsi="仿宋" w:eastAsia="仿宋_GB2312"/>
      <w:kern w:val="2"/>
      <w:sz w:val="24"/>
      <w:szCs w:val="24"/>
    </w:rPr>
  </w:style>
  <w:style w:type="character" w:customStyle="1" w:styleId="156">
    <w:name w:val="样式4 Char"/>
    <w:qFormat/>
    <w:uiPriority w:val="0"/>
    <w:rPr>
      <w:rFonts w:ascii="仿宋_GB2312" w:hAnsi="仿宋" w:eastAsia="仿宋_GB2312"/>
      <w:b/>
      <w:kern w:val="2"/>
      <w:sz w:val="32"/>
      <w:szCs w:val="32"/>
      <w:lang w:bidi="ar-SA"/>
    </w:rPr>
  </w:style>
  <w:style w:type="character" w:customStyle="1" w:styleId="157">
    <w:name w:val="插图说明 Char"/>
    <w:qFormat/>
    <w:uiPriority w:val="0"/>
    <w:rPr>
      <w:rFonts w:eastAsia="黑体"/>
      <w:sz w:val="24"/>
      <w:lang w:val="en-US" w:eastAsia="zh-CN"/>
    </w:rPr>
  </w:style>
  <w:style w:type="character" w:customStyle="1" w:styleId="158">
    <w:name w:val="正文2 Char Char"/>
    <w:link w:val="159"/>
    <w:qFormat/>
    <w:uiPriority w:val="0"/>
    <w:rPr>
      <w:rFonts w:eastAsia="宋体"/>
      <w:kern w:val="2"/>
      <w:sz w:val="24"/>
      <w:lang w:val="en-US" w:eastAsia="zh-CN" w:bidi="ar-SA"/>
    </w:rPr>
  </w:style>
  <w:style w:type="paragraph" w:customStyle="1" w:styleId="159">
    <w:name w:val="正文2"/>
    <w:basedOn w:val="1"/>
    <w:link w:val="158"/>
    <w:qFormat/>
    <w:uiPriority w:val="0"/>
    <w:pPr>
      <w:spacing w:before="156" w:line="360" w:lineRule="auto"/>
      <w:ind w:firstLine="510" w:firstLineChars="200"/>
    </w:pPr>
    <w:rPr>
      <w:sz w:val="24"/>
      <w:szCs w:val="20"/>
    </w:rPr>
  </w:style>
  <w:style w:type="character" w:customStyle="1" w:styleId="160">
    <w:name w:val="Char Char24"/>
    <w:qFormat/>
    <w:uiPriority w:val="6"/>
    <w:rPr>
      <w:kern w:val="1"/>
      <w:sz w:val="21"/>
    </w:rPr>
  </w:style>
  <w:style w:type="character" w:customStyle="1" w:styleId="161">
    <w:name w:val="普通文字 Char1 Char"/>
    <w:qFormat/>
    <w:uiPriority w:val="0"/>
    <w:rPr>
      <w:rFonts w:ascii="宋体" w:hAnsi="Courier New" w:eastAsia="宋体"/>
      <w:kern w:val="2"/>
      <w:sz w:val="21"/>
      <w:szCs w:val="24"/>
      <w:lang w:val="en-US" w:eastAsia="zh-CN" w:bidi="ar-SA"/>
    </w:rPr>
  </w:style>
  <w:style w:type="character" w:customStyle="1" w:styleId="162">
    <w:name w:val="h3 Char1"/>
    <w:qFormat/>
    <w:uiPriority w:val="0"/>
    <w:rPr>
      <w:rFonts w:eastAsia="宋体"/>
      <w:b/>
      <w:bCs/>
      <w:kern w:val="2"/>
      <w:sz w:val="32"/>
      <w:szCs w:val="32"/>
      <w:lang w:bidi="ar-SA"/>
    </w:rPr>
  </w:style>
  <w:style w:type="character" w:customStyle="1" w:styleId="163">
    <w:name w:val="标题 Char1"/>
    <w:qFormat/>
    <w:uiPriority w:val="0"/>
    <w:rPr>
      <w:rFonts w:ascii="Cambria" w:hAnsi="Cambria" w:eastAsia="宋体" w:cs="Times New Roman"/>
      <w:b/>
      <w:bCs/>
      <w:sz w:val="32"/>
      <w:szCs w:val="32"/>
      <w:lang w:bidi="ar-SA"/>
    </w:rPr>
  </w:style>
  <w:style w:type="character" w:customStyle="1" w:styleId="164">
    <w:name w:val="gf正文1 Char"/>
    <w:qFormat/>
    <w:uiPriority w:val="0"/>
    <w:rPr>
      <w:rFonts w:ascii="宋体" w:hAnsi="宋体" w:eastAsia="宋体" w:cs="宋体"/>
      <w:kern w:val="2"/>
      <w:sz w:val="24"/>
      <w:szCs w:val="24"/>
      <w:lang w:val="en-US" w:eastAsia="zh-CN" w:bidi="ar-SA"/>
    </w:rPr>
  </w:style>
  <w:style w:type="character" w:customStyle="1" w:styleId="165">
    <w:name w:val="正文文本缩进 Char1"/>
    <w:qFormat/>
    <w:uiPriority w:val="0"/>
    <w:rPr>
      <w:rFonts w:ascii="Calibri" w:hAnsi="Calibri"/>
      <w:sz w:val="28"/>
    </w:rPr>
  </w:style>
  <w:style w:type="character" w:customStyle="1" w:styleId="166">
    <w:name w:val="No Spacing Char"/>
    <w:link w:val="167"/>
    <w:qFormat/>
    <w:uiPriority w:val="1"/>
    <w:rPr>
      <w:sz w:val="22"/>
      <w:szCs w:val="22"/>
      <w:lang w:val="en-US" w:eastAsia="zh-CN" w:bidi="ar-SA"/>
    </w:rPr>
  </w:style>
  <w:style w:type="paragraph" w:customStyle="1" w:styleId="167">
    <w:name w:val="无间隔1"/>
    <w:link w:val="166"/>
    <w:qFormat/>
    <w:uiPriority w:val="1"/>
    <w:rPr>
      <w:rFonts w:ascii="Times New Roman" w:hAnsi="Times New Roman" w:eastAsia="宋体" w:cs="Times New Roman"/>
      <w:sz w:val="22"/>
      <w:szCs w:val="22"/>
      <w:lang w:val="en-US" w:eastAsia="zh-CN" w:bidi="ar-SA"/>
    </w:rPr>
  </w:style>
  <w:style w:type="character" w:customStyle="1" w:styleId="168">
    <w:name w:val="样式7 Char"/>
    <w:qFormat/>
    <w:uiPriority w:val="0"/>
    <w:rPr>
      <w:rFonts w:ascii="仿宋_GB2312" w:hAnsi="仿宋" w:eastAsia="仿宋_GB2312"/>
      <w:b/>
      <w:kern w:val="2"/>
      <w:sz w:val="24"/>
      <w:szCs w:val="24"/>
    </w:rPr>
  </w:style>
  <w:style w:type="character" w:customStyle="1" w:styleId="169">
    <w:name w:val="font12gray1"/>
    <w:qFormat/>
    <w:uiPriority w:val="0"/>
    <w:rPr>
      <w:rFonts w:ascii="仿宋_GB2312" w:eastAsia="微软雅黑"/>
      <w:b/>
      <w:spacing w:val="300"/>
      <w:kern w:val="2"/>
      <w:sz w:val="18"/>
      <w:szCs w:val="18"/>
      <w:lang w:val="en-US" w:eastAsia="zh-CN" w:bidi="ar-SA"/>
    </w:rPr>
  </w:style>
  <w:style w:type="character" w:customStyle="1" w:styleId="170">
    <w:name w:val="Char Char7"/>
    <w:semiHidden/>
    <w:qFormat/>
    <w:uiPriority w:val="0"/>
    <w:rPr>
      <w:rFonts w:eastAsia="宋体"/>
      <w:kern w:val="2"/>
      <w:sz w:val="21"/>
      <w:szCs w:val="24"/>
      <w:lang w:val="en-US" w:eastAsia="zh-CN" w:bidi="ar-SA"/>
    </w:rPr>
  </w:style>
  <w:style w:type="character" w:customStyle="1" w:styleId="171">
    <w:name w:val="表名 Char"/>
    <w:qFormat/>
    <w:uiPriority w:val="0"/>
    <w:rPr>
      <w:rFonts w:eastAsia="宋体"/>
      <w:b/>
      <w:bCs/>
      <w:kern w:val="2"/>
      <w:sz w:val="24"/>
      <w:szCs w:val="24"/>
      <w:lang w:val="en-US" w:eastAsia="zh-CN" w:bidi="ar-SA"/>
    </w:rPr>
  </w:style>
  <w:style w:type="character" w:customStyle="1" w:styleId="172">
    <w:name w:val="Document Map Char"/>
    <w:qFormat/>
    <w:locked/>
    <w:uiPriority w:val="0"/>
    <w:rPr>
      <w:rFonts w:eastAsia="宋体"/>
      <w:kern w:val="2"/>
      <w:sz w:val="21"/>
      <w:szCs w:val="24"/>
      <w:lang w:val="en-US" w:eastAsia="zh-CN" w:bidi="ar-SA"/>
    </w:rPr>
  </w:style>
  <w:style w:type="character" w:customStyle="1" w:styleId="173">
    <w:name w:val="font41"/>
    <w:qFormat/>
    <w:uiPriority w:val="0"/>
    <w:rPr>
      <w:rFonts w:hint="eastAsia" w:ascii="仿宋_GB2312" w:eastAsia="仿宋_GB2312" w:cs="仿宋_GB2312"/>
      <w:color w:val="000000"/>
      <w:sz w:val="22"/>
      <w:szCs w:val="22"/>
      <w:u w:val="none"/>
    </w:rPr>
  </w:style>
  <w:style w:type="character" w:customStyle="1" w:styleId="174">
    <w:name w:val="纯文本 Char_0"/>
    <w:link w:val="175"/>
    <w:qFormat/>
    <w:uiPriority w:val="0"/>
    <w:rPr>
      <w:rFonts w:ascii="宋体" w:hAnsi="Courier New"/>
      <w:kern w:val="2"/>
      <w:sz w:val="21"/>
      <w:szCs w:val="21"/>
      <w:lang w:val="en-US" w:eastAsia="zh-CN"/>
    </w:rPr>
  </w:style>
  <w:style w:type="paragraph" w:customStyle="1" w:styleId="175">
    <w:name w:val="纯文本_0_0"/>
    <w:basedOn w:val="176"/>
    <w:link w:val="174"/>
    <w:qFormat/>
    <w:uiPriority w:val="0"/>
    <w:rPr>
      <w:rFonts w:ascii="宋体" w:hAnsi="Courier New"/>
      <w:szCs w:val="21"/>
    </w:rPr>
  </w:style>
  <w:style w:type="paragraph" w:customStyle="1" w:styleId="17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7">
    <w:name w:val="Balloon Text Char"/>
    <w:qFormat/>
    <w:locked/>
    <w:uiPriority w:val="0"/>
    <w:rPr>
      <w:rFonts w:eastAsia="宋体"/>
      <w:kern w:val="2"/>
      <w:sz w:val="18"/>
      <w:szCs w:val="18"/>
      <w:lang w:val="en-US" w:eastAsia="zh-CN" w:bidi="ar-SA"/>
    </w:rPr>
  </w:style>
  <w:style w:type="character" w:customStyle="1" w:styleId="178">
    <w:name w:val="正文 项目2 Char"/>
    <w:basedOn w:val="179"/>
    <w:qFormat/>
    <w:uiPriority w:val="0"/>
    <w:rPr>
      <w:rFonts w:ascii="仿宋_GB2312" w:hAnsi="仿宋_GB2312" w:eastAsia="仿宋_GB2312"/>
      <w:kern w:val="2"/>
      <w:sz w:val="24"/>
      <w:lang w:bidi="ar-SA"/>
    </w:rPr>
  </w:style>
  <w:style w:type="character" w:customStyle="1" w:styleId="179">
    <w:name w:val="正文 项目 Char"/>
    <w:qFormat/>
    <w:uiPriority w:val="0"/>
    <w:rPr>
      <w:rFonts w:ascii="仿宋_GB2312" w:hAnsi="仿宋_GB2312" w:eastAsia="仿宋_GB2312"/>
      <w:kern w:val="2"/>
      <w:sz w:val="24"/>
      <w:lang w:bidi="ar-SA"/>
    </w:rPr>
  </w:style>
  <w:style w:type="character" w:customStyle="1" w:styleId="180">
    <w:name w:val="h Char Char1"/>
    <w:qFormat/>
    <w:uiPriority w:val="0"/>
    <w:rPr>
      <w:rFonts w:eastAsia="宋体"/>
      <w:kern w:val="2"/>
      <w:sz w:val="18"/>
      <w:szCs w:val="18"/>
      <w:lang w:val="en-US" w:eastAsia="zh-CN" w:bidi="ar-SA"/>
    </w:rPr>
  </w:style>
  <w:style w:type="character" w:customStyle="1" w:styleId="181">
    <w:name w:val="Char Char27"/>
    <w:qFormat/>
    <w:uiPriority w:val="6"/>
    <w:rPr>
      <w:rFonts w:ascii="宋体" w:hAnsi="宋体" w:eastAsia="宋体"/>
      <w:color w:val="000000"/>
      <w:kern w:val="1"/>
      <w:sz w:val="28"/>
      <w:lang w:val="en-US" w:eastAsia="zh-CN" w:bidi="ar-SA"/>
    </w:rPr>
  </w:style>
  <w:style w:type="character" w:customStyle="1" w:styleId="182">
    <w:name w:val="px14"/>
    <w:qFormat/>
    <w:uiPriority w:val="0"/>
    <w:rPr>
      <w:rFonts w:ascii="仿宋_GB2312" w:eastAsia="微软雅黑" w:cs="Times New Roman"/>
      <w:b/>
      <w:kern w:val="2"/>
      <w:sz w:val="32"/>
      <w:szCs w:val="32"/>
      <w:lang w:val="en-US" w:eastAsia="zh-CN" w:bidi="ar-SA"/>
    </w:rPr>
  </w:style>
  <w:style w:type="character" w:customStyle="1" w:styleId="183">
    <w:name w:val="HTML 预设格式 Char1"/>
    <w:qFormat/>
    <w:uiPriority w:val="0"/>
    <w:rPr>
      <w:rFonts w:ascii="Courier New" w:hAnsi="Courier New" w:eastAsia="宋体" w:cs="Courier New"/>
      <w:sz w:val="20"/>
      <w:szCs w:val="20"/>
    </w:rPr>
  </w:style>
  <w:style w:type="character" w:customStyle="1" w:styleId="184">
    <w:name w:val="普通文字 Char1"/>
    <w:qFormat/>
    <w:uiPriority w:val="0"/>
    <w:rPr>
      <w:rFonts w:ascii="宋体" w:hAnsi="Courier New" w:eastAsia="宋体"/>
      <w:kern w:val="2"/>
      <w:sz w:val="21"/>
      <w:lang w:val="en-US" w:eastAsia="zh-CN"/>
    </w:rPr>
  </w:style>
  <w:style w:type="character" w:customStyle="1" w:styleId="185">
    <w:name w:val="hei16b1"/>
    <w:qFormat/>
    <w:uiPriority w:val="0"/>
    <w:rPr>
      <w:rFonts w:hint="default" w:ascii="Arial" w:hAnsi="Arial" w:cs="Arial"/>
      <w:b/>
      <w:bCs/>
      <w:color w:val="000000"/>
      <w:sz w:val="24"/>
      <w:szCs w:val="24"/>
    </w:rPr>
  </w:style>
  <w:style w:type="character" w:customStyle="1" w:styleId="186">
    <w:name w:val="正文（绿盟科技） Char"/>
    <w:link w:val="187"/>
    <w:qFormat/>
    <w:uiPriority w:val="0"/>
    <w:rPr>
      <w:rFonts w:ascii="Arial" w:hAnsi="Arial"/>
      <w:sz w:val="21"/>
      <w:szCs w:val="21"/>
    </w:rPr>
  </w:style>
  <w:style w:type="paragraph" w:customStyle="1" w:styleId="187">
    <w:name w:val="正文（绿盟科技）"/>
    <w:link w:val="186"/>
    <w:qFormat/>
    <w:uiPriority w:val="0"/>
    <w:pPr>
      <w:spacing w:line="300" w:lineRule="auto"/>
    </w:pPr>
    <w:rPr>
      <w:rFonts w:ascii="Arial" w:hAnsi="Arial" w:eastAsia="宋体" w:cs="Times New Roman"/>
      <w:sz w:val="21"/>
      <w:szCs w:val="21"/>
      <w:lang w:val="en-US" w:eastAsia="zh-CN" w:bidi="ar-SA"/>
    </w:rPr>
  </w:style>
  <w:style w:type="character" w:customStyle="1" w:styleId="188">
    <w:name w:val="Char Char19"/>
    <w:qFormat/>
    <w:uiPriority w:val="6"/>
    <w:rPr>
      <w:rFonts w:ascii="宋体" w:hAnsi="宋体"/>
      <w:i/>
      <w:sz w:val="24"/>
      <w:szCs w:val="24"/>
    </w:rPr>
  </w:style>
  <w:style w:type="character" w:customStyle="1" w:styleId="189">
    <w:name w:val="页脚 Char"/>
    <w:qFormat/>
    <w:uiPriority w:val="99"/>
    <w:rPr>
      <w:rFonts w:eastAsia="仿宋_GB2312"/>
      <w:kern w:val="2"/>
      <w:sz w:val="18"/>
      <w:lang w:val="en-US" w:eastAsia="zh-CN"/>
    </w:rPr>
  </w:style>
  <w:style w:type="character" w:customStyle="1" w:styleId="190">
    <w:name w:val="批注主题 Char"/>
    <w:qFormat/>
    <w:uiPriority w:val="0"/>
    <w:rPr>
      <w:rFonts w:eastAsia="宋体"/>
      <w:b/>
      <w:bCs/>
      <w:kern w:val="2"/>
      <w:sz w:val="21"/>
      <w:szCs w:val="24"/>
      <w:lang w:val="en-US" w:eastAsia="zh-CN" w:bidi="ar-SA"/>
    </w:rPr>
  </w:style>
  <w:style w:type="character" w:customStyle="1" w:styleId="191">
    <w:name w:val="Comment Text Char"/>
    <w:qFormat/>
    <w:locked/>
    <w:uiPriority w:val="0"/>
    <w:rPr>
      <w:rFonts w:ascii="宋体" w:hAnsi="宋体" w:eastAsia="宋体"/>
      <w:kern w:val="2"/>
      <w:sz w:val="24"/>
      <w:lang w:val="en-US" w:eastAsia="zh-CN" w:bidi="ar-SA"/>
    </w:rPr>
  </w:style>
  <w:style w:type="character" w:customStyle="1" w:styleId="192">
    <w:name w:val="标题 2 字符"/>
    <w:qFormat/>
    <w:uiPriority w:val="1"/>
    <w:rPr>
      <w:rFonts w:ascii="仿宋_GB2312" w:hAnsi="Times New Roman" w:eastAsia="仿宋_GB2312" w:cs="Times New Roman"/>
      <w:b/>
      <w:kern w:val="2"/>
      <w:sz w:val="24"/>
      <w:lang w:val="zh-CN"/>
    </w:rPr>
  </w:style>
  <w:style w:type="character" w:customStyle="1" w:styleId="193">
    <w:name w:val="Char Char72"/>
    <w:qFormat/>
    <w:uiPriority w:val="0"/>
    <w:rPr>
      <w:rFonts w:eastAsia="宋体"/>
      <w:kern w:val="2"/>
      <w:sz w:val="21"/>
      <w:szCs w:val="24"/>
      <w:lang w:val="en-US" w:eastAsia="zh-CN" w:bidi="ar-SA"/>
    </w:rPr>
  </w:style>
  <w:style w:type="character" w:customStyle="1" w:styleId="194">
    <w:name w:val="正文文本缩进 Char2"/>
    <w:qFormat/>
    <w:uiPriority w:val="0"/>
    <w:rPr>
      <w:rFonts w:ascii="Times New Roman" w:hAnsi="Times New Roman" w:eastAsia="宋体" w:cs="Times New Roman"/>
      <w:snapToGrid w:val="0"/>
      <w:kern w:val="0"/>
      <w:szCs w:val="24"/>
    </w:rPr>
  </w:style>
  <w:style w:type="character" w:customStyle="1" w:styleId="195">
    <w:name w:val="样式2 Char"/>
    <w:qFormat/>
    <w:uiPriority w:val="0"/>
    <w:rPr>
      <w:rFonts w:ascii="仿宋_GB2312" w:hAnsi="仿宋" w:eastAsia="仿宋_GB2312" w:cs="仿宋_GB2312"/>
      <w:b/>
      <w:bCs/>
      <w:sz w:val="32"/>
      <w:szCs w:val="30"/>
      <w:lang w:val="zh-CN"/>
    </w:rPr>
  </w:style>
  <w:style w:type="character" w:customStyle="1" w:styleId="196">
    <w:name w:val="表格名称[858D7CFB-ED40-4347-BF05-701D383B685F]"/>
    <w:link w:val="197"/>
    <w:qFormat/>
    <w:uiPriority w:val="0"/>
    <w:rPr>
      <w:sz w:val="32"/>
    </w:rPr>
  </w:style>
  <w:style w:type="paragraph" w:customStyle="1" w:styleId="197">
    <w:name w:val="表格名称"/>
    <w:basedOn w:val="2"/>
    <w:link w:val="196"/>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98">
    <w:name w:val="Char Char4"/>
    <w:qFormat/>
    <w:uiPriority w:val="0"/>
    <w:rPr>
      <w:rFonts w:eastAsia="宋体"/>
      <w:b/>
      <w:sz w:val="24"/>
      <w:lang w:val="en-GB" w:eastAsia="zh-CN" w:bidi="ar-SA"/>
    </w:rPr>
  </w:style>
  <w:style w:type="character" w:customStyle="1" w:styleId="199">
    <w:name w:val="c7 style3"/>
    <w:qFormat/>
    <w:uiPriority w:val="0"/>
  </w:style>
  <w:style w:type="character" w:customStyle="1" w:styleId="200">
    <w:name w:val="正文文本 3 Char1"/>
    <w:semiHidden/>
    <w:qFormat/>
    <w:uiPriority w:val="99"/>
    <w:rPr>
      <w:rFonts w:ascii="Times New Roman" w:hAnsi="Times New Roman" w:eastAsia="宋体" w:cs="Times New Roman"/>
      <w:sz w:val="16"/>
      <w:szCs w:val="16"/>
    </w:rPr>
  </w:style>
  <w:style w:type="character" w:customStyle="1" w:styleId="201">
    <w:name w:val="tw4winInternal"/>
    <w:qFormat/>
    <w:uiPriority w:val="0"/>
    <w:rPr>
      <w:rFonts w:ascii="Courier New" w:hAnsi="Courier New" w:cs="Courier New"/>
      <w:color w:val="FF0000"/>
      <w:lang w:val="en-US" w:eastAsia="zh-CN"/>
    </w:rPr>
  </w:style>
  <w:style w:type="character" w:customStyle="1" w:styleId="202">
    <w:name w:val="Char Char10"/>
    <w:semiHidden/>
    <w:qFormat/>
    <w:uiPriority w:val="0"/>
    <w:rPr>
      <w:rFonts w:ascii="宋体" w:hAnsi="宋体"/>
      <w:kern w:val="2"/>
      <w:sz w:val="21"/>
      <w:szCs w:val="24"/>
      <w:lang w:val="en-US" w:eastAsia="zh-CN"/>
    </w:rPr>
  </w:style>
  <w:style w:type="character" w:customStyle="1" w:styleId="203">
    <w:name w:val="shadow11"/>
    <w:qFormat/>
    <w:uiPriority w:val="0"/>
    <w:rPr>
      <w:color w:val="000000"/>
      <w:sz w:val="21"/>
    </w:rPr>
  </w:style>
  <w:style w:type="character" w:customStyle="1" w:styleId="204">
    <w:name w:val="正文非缩进 Char3"/>
    <w:qFormat/>
    <w:uiPriority w:val="0"/>
    <w:rPr>
      <w:rFonts w:ascii="宋体" w:eastAsia="宋体"/>
      <w:snapToGrid w:val="0"/>
      <w:color w:val="000000"/>
      <w:kern w:val="28"/>
      <w:sz w:val="28"/>
      <w:lang w:val="en-US" w:eastAsia="zh-CN" w:bidi="ar-SA"/>
    </w:rPr>
  </w:style>
  <w:style w:type="character" w:customStyle="1" w:styleId="205">
    <w:name w:val="Char Char"/>
    <w:qFormat/>
    <w:uiPriority w:val="0"/>
    <w:rPr>
      <w:rFonts w:ascii="宋体" w:hAnsi="Courier New" w:eastAsia="宋体"/>
      <w:kern w:val="2"/>
      <w:sz w:val="21"/>
      <w:lang w:val="en-US" w:eastAsia="zh-CN" w:bidi="ar-SA"/>
    </w:rPr>
  </w:style>
  <w:style w:type="character" w:customStyle="1" w:styleId="206">
    <w:name w:val="签名 Char1"/>
    <w:qFormat/>
    <w:uiPriority w:val="0"/>
    <w:rPr>
      <w:rFonts w:ascii="Times New Roman" w:hAnsi="Times New Roman" w:eastAsia="宋体" w:cs="Times New Roman"/>
      <w:szCs w:val="24"/>
    </w:rPr>
  </w:style>
  <w:style w:type="character" w:customStyle="1" w:styleId="207">
    <w:name w:val="Char Char18"/>
    <w:qFormat/>
    <w:uiPriority w:val="6"/>
    <w:rPr>
      <w:rFonts w:ascii="宋体" w:hAnsi="宋体"/>
      <w:sz w:val="28"/>
    </w:rPr>
  </w:style>
  <w:style w:type="character" w:customStyle="1" w:styleId="208">
    <w:name w:val="批注文字 Char"/>
    <w:qFormat/>
    <w:uiPriority w:val="99"/>
    <w:rPr>
      <w:kern w:val="2"/>
      <w:sz w:val="21"/>
      <w:szCs w:val="24"/>
    </w:rPr>
  </w:style>
  <w:style w:type="character" w:customStyle="1" w:styleId="209">
    <w:name w:val="Char Char22"/>
    <w:qFormat/>
    <w:uiPriority w:val="6"/>
    <w:rPr>
      <w:rFonts w:ascii="宋体" w:hAnsi="宋体"/>
      <w:kern w:val="1"/>
      <w:sz w:val="24"/>
      <w:szCs w:val="24"/>
    </w:rPr>
  </w:style>
  <w:style w:type="character" w:customStyle="1" w:styleId="210">
    <w:name w:val="pt141"/>
    <w:qFormat/>
    <w:uiPriority w:val="0"/>
    <w:rPr>
      <w:color w:val="330066"/>
      <w:sz w:val="22"/>
      <w:szCs w:val="22"/>
    </w:rPr>
  </w:style>
  <w:style w:type="character" w:customStyle="1" w:styleId="211">
    <w:name w:val="正文文本缩进 2 Char1"/>
    <w:semiHidden/>
    <w:qFormat/>
    <w:uiPriority w:val="99"/>
    <w:rPr>
      <w:rFonts w:ascii="Times New Roman" w:hAnsi="Times New Roman" w:eastAsia="宋体" w:cs="Times New Roman"/>
      <w:szCs w:val="24"/>
    </w:rPr>
  </w:style>
  <w:style w:type="character" w:customStyle="1" w:styleId="212">
    <w:name w:val="Char Char611"/>
    <w:qFormat/>
    <w:uiPriority w:val="0"/>
    <w:rPr>
      <w:rFonts w:eastAsia="宋体"/>
      <w:kern w:val="2"/>
      <w:sz w:val="21"/>
      <w:szCs w:val="24"/>
      <w:lang w:val="en-US" w:eastAsia="zh-CN" w:bidi="ar-SA"/>
    </w:rPr>
  </w:style>
  <w:style w:type="character" w:customStyle="1" w:styleId="213">
    <w:name w:val="highlight1"/>
    <w:qFormat/>
    <w:uiPriority w:val="0"/>
    <w:rPr>
      <w:rFonts w:ascii="仿宋_GB2312" w:eastAsia="微软雅黑"/>
      <w:b/>
      <w:kern w:val="2"/>
      <w:sz w:val="23"/>
      <w:szCs w:val="23"/>
      <w:lang w:val="en-US" w:eastAsia="zh-CN" w:bidi="ar-SA"/>
    </w:rPr>
  </w:style>
  <w:style w:type="character" w:customStyle="1" w:styleId="214">
    <w:name w:val="my正文 Char"/>
    <w:link w:val="215"/>
    <w:qFormat/>
    <w:locked/>
    <w:uiPriority w:val="0"/>
    <w:rPr>
      <w:rFonts w:ascii="Tahoma" w:hAnsi="Tahoma"/>
      <w:sz w:val="24"/>
      <w:szCs w:val="24"/>
    </w:rPr>
  </w:style>
  <w:style w:type="paragraph" w:customStyle="1" w:styleId="215">
    <w:name w:val="my正文"/>
    <w:basedOn w:val="1"/>
    <w:link w:val="214"/>
    <w:qFormat/>
    <w:uiPriority w:val="0"/>
    <w:pPr>
      <w:adjustRightInd/>
      <w:spacing w:line="360" w:lineRule="auto"/>
      <w:ind w:firstLine="480" w:firstLineChars="200"/>
    </w:pPr>
    <w:rPr>
      <w:rFonts w:ascii="Tahoma" w:hAnsi="Tahoma"/>
      <w:kern w:val="0"/>
      <w:sz w:val="24"/>
    </w:rPr>
  </w:style>
  <w:style w:type="character" w:customStyle="1" w:styleId="216">
    <w:name w:val="Used by Word for text of Help footnotes Char Char1"/>
    <w:qFormat/>
    <w:uiPriority w:val="0"/>
    <w:rPr>
      <w:color w:val="0000FF"/>
      <w:sz w:val="21"/>
    </w:rPr>
  </w:style>
  <w:style w:type="character" w:customStyle="1" w:styleId="217">
    <w:name w:val="页眉 Char"/>
    <w:qFormat/>
    <w:uiPriority w:val="99"/>
    <w:rPr>
      <w:rFonts w:eastAsia="仿宋_GB2312"/>
      <w:kern w:val="2"/>
      <w:sz w:val="18"/>
      <w:lang w:val="en-US" w:eastAsia="zh-CN"/>
    </w:rPr>
  </w:style>
  <w:style w:type="character" w:customStyle="1" w:styleId="218">
    <w:name w:val="FA正文 Char Char"/>
    <w:qFormat/>
    <w:uiPriority w:val="0"/>
    <w:rPr>
      <w:rFonts w:hAnsi="宋体"/>
      <w:kern w:val="2"/>
      <w:sz w:val="24"/>
      <w:lang w:bidi="ar-SA"/>
    </w:rPr>
  </w:style>
  <w:style w:type="character" w:customStyle="1" w:styleId="219">
    <w:name w:val="纯文本 字符"/>
    <w:qFormat/>
    <w:uiPriority w:val="99"/>
    <w:rPr>
      <w:rFonts w:ascii="宋体" w:hAnsi="Courier New" w:eastAsia="宋体" w:cs="Arial"/>
      <w:snapToGrid w:val="0"/>
      <w:kern w:val="2"/>
      <w:sz w:val="21"/>
      <w:szCs w:val="21"/>
      <w:lang w:val="en-US" w:eastAsia="zh-CN" w:bidi="ar-SA"/>
    </w:rPr>
  </w:style>
  <w:style w:type="character" w:customStyle="1" w:styleId="220">
    <w:name w:val="3级 Char"/>
    <w:link w:val="221"/>
    <w:qFormat/>
    <w:uiPriority w:val="0"/>
    <w:rPr>
      <w:rFonts w:ascii="宋体" w:hAnsi="宋体"/>
      <w:b/>
      <w:bCs/>
      <w:snapToGrid/>
      <w:sz w:val="28"/>
    </w:rPr>
  </w:style>
  <w:style w:type="paragraph" w:customStyle="1" w:styleId="221">
    <w:name w:val="3级"/>
    <w:basedOn w:val="222"/>
    <w:link w:val="220"/>
    <w:qFormat/>
    <w:uiPriority w:val="0"/>
    <w:pPr>
      <w:ind w:left="0" w:right="466" w:firstLine="288"/>
    </w:pPr>
    <w:rPr>
      <w:rFonts w:hAnsi="宋体"/>
      <w:snapToGrid/>
    </w:rPr>
  </w:style>
  <w:style w:type="paragraph" w:customStyle="1" w:styleId="22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3">
    <w:name w:val="myp11"/>
    <w:qFormat/>
    <w:uiPriority w:val="0"/>
    <w:rPr>
      <w:rFonts w:ascii="仿宋_GB2312" w:eastAsia="微软雅黑"/>
      <w:b/>
      <w:kern w:val="2"/>
      <w:sz w:val="32"/>
      <w:szCs w:val="32"/>
      <w:lang w:val="en-US" w:eastAsia="zh-CN" w:bidi="ar-SA"/>
    </w:rPr>
  </w:style>
  <w:style w:type="character" w:customStyle="1" w:styleId="224">
    <w:name w:val="H6 Char"/>
    <w:qFormat/>
    <w:uiPriority w:val="0"/>
    <w:rPr>
      <w:rFonts w:ascii="Arial" w:hAnsi="Arial" w:eastAsia="黑体"/>
      <w:b/>
      <w:bCs/>
      <w:kern w:val="2"/>
      <w:sz w:val="24"/>
      <w:szCs w:val="24"/>
    </w:rPr>
  </w:style>
  <w:style w:type="character" w:customStyle="1" w:styleId="225">
    <w:name w:val="Char Char91"/>
    <w:qFormat/>
    <w:uiPriority w:val="0"/>
    <w:rPr>
      <w:rFonts w:eastAsia="宋体"/>
      <w:kern w:val="2"/>
      <w:sz w:val="18"/>
      <w:szCs w:val="18"/>
      <w:lang w:val="en-US" w:eastAsia="zh-CN" w:bidi="ar-SA"/>
    </w:rPr>
  </w:style>
  <w:style w:type="character" w:customStyle="1" w:styleId="226">
    <w:name w:val="副标题 Char1"/>
    <w:qFormat/>
    <w:uiPriority w:val="0"/>
    <w:rPr>
      <w:rFonts w:ascii="Cambria" w:hAnsi="Cambria" w:eastAsia="宋体" w:cs="Times New Roman"/>
      <w:b/>
      <w:bCs/>
      <w:snapToGrid w:val="0"/>
      <w:kern w:val="28"/>
      <w:sz w:val="32"/>
      <w:szCs w:val="32"/>
    </w:rPr>
  </w:style>
  <w:style w:type="character" w:customStyle="1" w:styleId="227">
    <w:name w:val="font61"/>
    <w:qFormat/>
    <w:uiPriority w:val="0"/>
    <w:rPr>
      <w:rFonts w:hint="eastAsia" w:ascii="仿宋" w:hAnsi="仿宋" w:eastAsia="仿宋" w:cs="仿宋"/>
      <w:color w:val="000000"/>
      <w:sz w:val="20"/>
      <w:szCs w:val="20"/>
      <w:u w:val="none"/>
    </w:rPr>
  </w:style>
  <w:style w:type="character" w:customStyle="1" w:styleId="22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29">
    <w:name w:val="Char Char211"/>
    <w:qFormat/>
    <w:uiPriority w:val="0"/>
    <w:rPr>
      <w:rFonts w:eastAsia="宋体"/>
      <w:b/>
      <w:bCs/>
      <w:kern w:val="2"/>
      <w:sz w:val="21"/>
      <w:szCs w:val="24"/>
      <w:lang w:val="en-US" w:eastAsia="zh-CN" w:bidi="ar-SA"/>
    </w:rPr>
  </w:style>
  <w:style w:type="character" w:customStyle="1" w:styleId="230">
    <w:name w:val="标题 2 Char"/>
    <w:qFormat/>
    <w:uiPriority w:val="9"/>
    <w:rPr>
      <w:rFonts w:ascii="Arial" w:hAnsi="Arial" w:eastAsia="黑体"/>
      <w:b/>
      <w:kern w:val="2"/>
      <w:sz w:val="32"/>
      <w:lang w:val="en-US" w:eastAsia="zh-CN"/>
    </w:rPr>
  </w:style>
  <w:style w:type="character" w:customStyle="1" w:styleId="231">
    <w:name w:val="maywed421"/>
    <w:qFormat/>
    <w:uiPriority w:val="0"/>
    <w:rPr>
      <w:color w:val="366FB6"/>
      <w:u w:val="none"/>
    </w:rPr>
  </w:style>
  <w:style w:type="character" w:customStyle="1" w:styleId="232">
    <w:name w:val="正文文本缩进 Char"/>
    <w:qFormat/>
    <w:uiPriority w:val="99"/>
    <w:rPr>
      <w:rFonts w:ascii="宋体" w:hAnsi="宋体"/>
      <w:kern w:val="2"/>
      <w:sz w:val="24"/>
      <w:szCs w:val="24"/>
    </w:rPr>
  </w:style>
  <w:style w:type="character" w:customStyle="1" w:styleId="233">
    <w:name w:val="Char Char102"/>
    <w:semiHidden/>
    <w:qFormat/>
    <w:uiPriority w:val="0"/>
    <w:rPr>
      <w:rFonts w:ascii="宋体" w:hAnsi="宋体"/>
      <w:kern w:val="2"/>
      <w:sz w:val="21"/>
      <w:szCs w:val="24"/>
      <w:lang w:val="en-US" w:eastAsia="zh-CN"/>
    </w:rPr>
  </w:style>
  <w:style w:type="character" w:customStyle="1" w:styleId="234">
    <w:name w:val="页眉 Char1"/>
    <w:qFormat/>
    <w:uiPriority w:val="0"/>
    <w:rPr>
      <w:rFonts w:eastAsia="宋体"/>
      <w:kern w:val="2"/>
      <w:sz w:val="18"/>
      <w:szCs w:val="18"/>
      <w:lang w:val="en-US" w:eastAsia="zh-CN" w:bidi="ar-SA"/>
    </w:rPr>
  </w:style>
  <w:style w:type="character" w:customStyle="1" w:styleId="235">
    <w:name w:val="md"/>
    <w:basedOn w:val="69"/>
    <w:qFormat/>
    <w:uiPriority w:val="0"/>
    <w:rPr>
      <w:rFonts w:ascii="Arial" w:hAnsi="Arial" w:eastAsia="黑体" w:cs="Arial"/>
      <w:snapToGrid w:val="0"/>
      <w:kern w:val="0"/>
      <w:szCs w:val="21"/>
    </w:rPr>
  </w:style>
  <w:style w:type="character" w:customStyle="1" w:styleId="236">
    <w:name w:val="big1"/>
    <w:qFormat/>
    <w:uiPriority w:val="0"/>
    <w:rPr>
      <w:rFonts w:hint="eastAsia" w:ascii="宋体" w:hAnsi="宋体" w:eastAsia="宋体"/>
      <w:color w:val="333333"/>
      <w:sz w:val="22"/>
      <w:szCs w:val="22"/>
    </w:rPr>
  </w:style>
  <w:style w:type="character" w:customStyle="1" w:styleId="237">
    <w:name w:val="Char Char311"/>
    <w:qFormat/>
    <w:uiPriority w:val="0"/>
    <w:rPr>
      <w:rFonts w:eastAsia="宋体"/>
      <w:kern w:val="2"/>
      <w:sz w:val="21"/>
      <w:szCs w:val="24"/>
      <w:lang w:val="en-US" w:eastAsia="zh-CN" w:bidi="ar-SA"/>
    </w:rPr>
  </w:style>
  <w:style w:type="character" w:customStyle="1" w:styleId="238">
    <w:name w:val="Char Char81"/>
    <w:qFormat/>
    <w:uiPriority w:val="6"/>
    <w:rPr>
      <w:rFonts w:eastAsia="宋体"/>
      <w:b/>
      <w:sz w:val="24"/>
      <w:lang w:val="en-GB" w:eastAsia="zh-CN"/>
    </w:rPr>
  </w:style>
  <w:style w:type="character" w:customStyle="1" w:styleId="239">
    <w:name w:val="样式3 Char"/>
    <w:basedOn w:val="195"/>
    <w:qFormat/>
    <w:uiPriority w:val="0"/>
    <w:rPr>
      <w:rFonts w:ascii="仿宋_GB2312" w:hAnsi="仿宋" w:eastAsia="仿宋_GB2312" w:cs="仿宋_GB2312"/>
      <w:sz w:val="32"/>
      <w:szCs w:val="30"/>
      <w:lang w:val="zh-CN"/>
    </w:rPr>
  </w:style>
  <w:style w:type="character" w:customStyle="1" w:styleId="240">
    <w:name w:val="正文首行缩进 2 Char1"/>
    <w:qFormat/>
    <w:uiPriority w:val="0"/>
    <w:rPr>
      <w:rFonts w:ascii="Times New Roman" w:hAnsi="Times New Roman" w:eastAsia="宋体" w:cs="Times New Roman"/>
      <w:kern w:val="2"/>
      <w:sz w:val="24"/>
      <w:szCs w:val="24"/>
    </w:rPr>
  </w:style>
  <w:style w:type="character" w:customStyle="1" w:styleId="241">
    <w:name w:val="副标题 Char2"/>
    <w:qFormat/>
    <w:uiPriority w:val="0"/>
    <w:rPr>
      <w:rFonts w:ascii="Cambria" w:hAnsi="Cambria" w:eastAsia="宋体" w:cs="Times New Roman"/>
      <w:b/>
      <w:bCs/>
      <w:snapToGrid w:val="0"/>
      <w:kern w:val="28"/>
      <w:sz w:val="32"/>
      <w:szCs w:val="32"/>
    </w:rPr>
  </w:style>
  <w:style w:type="character" w:customStyle="1" w:styleId="242">
    <w:name w:val="标题4-dyf Char"/>
    <w:link w:val="243"/>
    <w:qFormat/>
    <w:uiPriority w:val="0"/>
    <w:rPr>
      <w:rFonts w:ascii="Cambria" w:hAnsi="Cambria"/>
      <w:b/>
      <w:bCs/>
      <w:color w:val="000000"/>
      <w:kern w:val="2"/>
      <w:sz w:val="21"/>
      <w:szCs w:val="21"/>
    </w:rPr>
  </w:style>
  <w:style w:type="paragraph" w:customStyle="1" w:styleId="243">
    <w:name w:val="标题4-dyf"/>
    <w:basedOn w:val="6"/>
    <w:link w:val="24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4">
    <w:name w:val="dectext1"/>
    <w:qFormat/>
    <w:uiPriority w:val="0"/>
    <w:rPr>
      <w:rFonts w:ascii="宋体" w:hAnsi="宋体" w:eastAsia="宋体"/>
      <w:color w:val="333333"/>
      <w:sz w:val="21"/>
      <w:szCs w:val="21"/>
      <w:u w:val="none"/>
    </w:rPr>
  </w:style>
  <w:style w:type="character" w:customStyle="1" w:styleId="245">
    <w:name w:val="冯 Char"/>
    <w:link w:val="246"/>
    <w:qFormat/>
    <w:uiPriority w:val="0"/>
    <w:rPr>
      <w:rFonts w:ascii="宋体" w:hAnsi="宋体"/>
      <w:color w:val="000000"/>
      <w:sz w:val="24"/>
      <w:szCs w:val="24"/>
    </w:rPr>
  </w:style>
  <w:style w:type="paragraph" w:customStyle="1" w:styleId="246">
    <w:name w:val="冯"/>
    <w:basedOn w:val="1"/>
    <w:link w:val="245"/>
    <w:qFormat/>
    <w:uiPriority w:val="0"/>
    <w:pPr>
      <w:widowControl/>
      <w:adjustRightInd/>
      <w:spacing w:line="360" w:lineRule="auto"/>
      <w:ind w:firstLine="480" w:firstLineChars="200"/>
    </w:pPr>
    <w:rPr>
      <w:rFonts w:ascii="宋体" w:hAnsi="宋体"/>
      <w:color w:val="000000"/>
      <w:kern w:val="0"/>
      <w:sz w:val="24"/>
    </w:rPr>
  </w:style>
  <w:style w:type="character" w:customStyle="1" w:styleId="247">
    <w:name w:val="Header Char"/>
    <w:qFormat/>
    <w:locked/>
    <w:uiPriority w:val="0"/>
    <w:rPr>
      <w:rFonts w:eastAsia="宋体"/>
      <w:kern w:val="2"/>
      <w:sz w:val="18"/>
      <w:szCs w:val="18"/>
      <w:lang w:val="en-US" w:eastAsia="zh-CN" w:bidi="ar-SA"/>
    </w:rPr>
  </w:style>
  <w:style w:type="character" w:customStyle="1" w:styleId="248">
    <w:name w:val="Char Char12"/>
    <w:qFormat/>
    <w:uiPriority w:val="0"/>
    <w:rPr>
      <w:rFonts w:ascii="仿宋_GB2312" w:eastAsia="仿宋_GB2312"/>
      <w:b/>
      <w:bCs/>
      <w:kern w:val="2"/>
      <w:sz w:val="24"/>
      <w:szCs w:val="24"/>
      <w:lang w:val="zh-CN" w:eastAsia="zh-CN" w:bidi="ar-SA"/>
    </w:rPr>
  </w:style>
  <w:style w:type="character" w:customStyle="1" w:styleId="249">
    <w:name w:val="普通文字 Char3"/>
    <w:qFormat/>
    <w:uiPriority w:val="0"/>
    <w:rPr>
      <w:rFonts w:ascii="宋体" w:hAnsi="Courier New" w:eastAsia="宋体"/>
      <w:kern w:val="2"/>
      <w:sz w:val="21"/>
      <w:lang w:val="en-US" w:eastAsia="zh-CN" w:bidi="ar-SA"/>
    </w:rPr>
  </w:style>
  <w:style w:type="character" w:customStyle="1" w:styleId="250">
    <w:name w:val="公文正文 Char"/>
    <w:qFormat/>
    <w:uiPriority w:val="0"/>
    <w:rPr>
      <w:rFonts w:ascii="仿宋_GB2312" w:eastAsia="仿宋_GB2312"/>
      <w:kern w:val="2"/>
      <w:sz w:val="24"/>
      <w:szCs w:val="24"/>
      <w:lang w:val="en-US" w:eastAsia="zh-CN" w:bidi="ar-SA"/>
    </w:rPr>
  </w:style>
  <w:style w:type="character" w:customStyle="1" w:styleId="251">
    <w:name w:val="正文首行缩进 Char Char Char Char Char"/>
    <w:qFormat/>
    <w:uiPriority w:val="0"/>
    <w:rPr>
      <w:rFonts w:ascii="宋体"/>
      <w:kern w:val="2"/>
      <w:sz w:val="24"/>
      <w:lang w:val="zh-CN"/>
    </w:rPr>
  </w:style>
  <w:style w:type="character" w:customStyle="1" w:styleId="252">
    <w:name w:val="PI Char"/>
    <w:qFormat/>
    <w:uiPriority w:val="0"/>
    <w:rPr>
      <w:rFonts w:ascii="宋体" w:hAnsi="宋体" w:eastAsia="宋体"/>
      <w:kern w:val="2"/>
      <w:sz w:val="24"/>
      <w:szCs w:val="24"/>
      <w:lang w:val="en-US" w:eastAsia="zh-CN" w:bidi="ar-SA"/>
    </w:rPr>
  </w:style>
  <w:style w:type="character" w:customStyle="1" w:styleId="253">
    <w:name w:val="Default Char"/>
    <w:link w:val="254"/>
    <w:qFormat/>
    <w:uiPriority w:val="0"/>
    <w:rPr>
      <w:rFonts w:ascii="仿宋_GB2312" w:eastAsia="仿宋_GB2312" w:cs="仿宋_GB2312"/>
      <w:color w:val="000000"/>
      <w:sz w:val="24"/>
      <w:szCs w:val="24"/>
      <w:lang w:val="en-US" w:eastAsia="zh-CN" w:bidi="ar-SA"/>
    </w:rPr>
  </w:style>
  <w:style w:type="paragraph" w:customStyle="1" w:styleId="254">
    <w:name w:val="Default"/>
    <w:link w:val="25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5">
    <w:name w:val="style91"/>
    <w:qFormat/>
    <w:uiPriority w:val="0"/>
    <w:rPr>
      <w:color w:val="333333"/>
    </w:rPr>
  </w:style>
  <w:style w:type="character" w:customStyle="1" w:styleId="256">
    <w:name w:val="列出段落 Char2"/>
    <w:qFormat/>
    <w:uiPriority w:val="34"/>
    <w:rPr>
      <w:rFonts w:ascii="Calibri" w:hAnsi="Calibri"/>
      <w:kern w:val="2"/>
      <w:sz w:val="28"/>
    </w:rPr>
  </w:style>
  <w:style w:type="character" w:customStyle="1" w:styleId="257">
    <w:name w:val="mdeck"/>
    <w:qFormat/>
    <w:uiPriority w:val="0"/>
    <w:rPr>
      <w:rFonts w:ascii="仿宋_GB2312" w:eastAsia="微软雅黑"/>
      <w:b/>
      <w:kern w:val="2"/>
      <w:sz w:val="32"/>
      <w:szCs w:val="32"/>
      <w:lang w:val="en-US" w:eastAsia="zh-CN" w:bidi="ar-SA"/>
    </w:rPr>
  </w:style>
  <w:style w:type="character" w:customStyle="1" w:styleId="258">
    <w:name w:val="unnamed11"/>
    <w:qFormat/>
    <w:uiPriority w:val="0"/>
    <w:rPr>
      <w:sz w:val="20"/>
      <w:szCs w:val="20"/>
    </w:rPr>
  </w:style>
  <w:style w:type="character" w:customStyle="1" w:styleId="259">
    <w:name w:val="正文文本 Char2"/>
    <w:semiHidden/>
    <w:qFormat/>
    <w:uiPriority w:val="99"/>
    <w:rPr>
      <w:rFonts w:ascii="Times New Roman" w:hAnsi="Times New Roman" w:eastAsia="宋体" w:cs="Times New Roman"/>
      <w:snapToGrid w:val="0"/>
      <w:kern w:val="0"/>
      <w:szCs w:val="24"/>
    </w:rPr>
  </w:style>
  <w:style w:type="character" w:customStyle="1" w:styleId="260">
    <w:name w:val="标书正文格式 Char"/>
    <w:qFormat/>
    <w:uiPriority w:val="0"/>
    <w:rPr>
      <w:rFonts w:eastAsia="楷体_GB2312"/>
      <w:kern w:val="2"/>
      <w:sz w:val="24"/>
      <w:szCs w:val="24"/>
      <w:lang w:bidi="ar-SA"/>
    </w:rPr>
  </w:style>
  <w:style w:type="character" w:customStyle="1" w:styleId="261">
    <w:name w:val="Char Char11"/>
    <w:qFormat/>
    <w:locked/>
    <w:uiPriority w:val="0"/>
    <w:rPr>
      <w:rFonts w:ascii="宋体" w:hAnsi="宋体" w:eastAsia="宋体"/>
      <w:b/>
      <w:kern w:val="2"/>
      <w:sz w:val="24"/>
      <w:szCs w:val="24"/>
      <w:lang w:val="en-US" w:eastAsia="zh-CN" w:bidi="ar-SA"/>
    </w:rPr>
  </w:style>
  <w:style w:type="character" w:customStyle="1" w:styleId="262">
    <w:name w:val="ca-131"/>
    <w:qFormat/>
    <w:uiPriority w:val="0"/>
    <w:rPr>
      <w:rFonts w:hint="eastAsia" w:ascii="仿宋_GB2312" w:eastAsia="仿宋_GB2312"/>
      <w:b/>
      <w:bCs/>
      <w:color w:val="000000"/>
      <w:spacing w:val="-20"/>
      <w:sz w:val="24"/>
      <w:szCs w:val="24"/>
    </w:rPr>
  </w:style>
  <w:style w:type="character" w:customStyle="1" w:styleId="263">
    <w:name w:val="tw4winMark"/>
    <w:qFormat/>
    <w:uiPriority w:val="0"/>
    <w:rPr>
      <w:rFonts w:ascii="Courier New" w:hAnsi="Courier New" w:cs="Courier New"/>
      <w:vanish/>
      <w:color w:val="800080"/>
      <w:sz w:val="24"/>
      <w:szCs w:val="24"/>
      <w:vertAlign w:val="subscript"/>
    </w:rPr>
  </w:style>
  <w:style w:type="character" w:customStyle="1" w:styleId="264">
    <w:name w:val="正文样式 Char"/>
    <w:link w:val="265"/>
    <w:qFormat/>
    <w:uiPriority w:val="0"/>
    <w:rPr>
      <w:rFonts w:ascii="Calibri" w:hAnsi="Calibri"/>
      <w:sz w:val="24"/>
      <w:szCs w:val="24"/>
    </w:rPr>
  </w:style>
  <w:style w:type="paragraph" w:customStyle="1" w:styleId="265">
    <w:name w:val="正文样式"/>
    <w:basedOn w:val="1"/>
    <w:link w:val="264"/>
    <w:qFormat/>
    <w:uiPriority w:val="0"/>
    <w:pPr>
      <w:adjustRightInd/>
      <w:spacing w:line="360" w:lineRule="auto"/>
      <w:ind w:firstLine="480" w:firstLineChars="200"/>
    </w:pPr>
    <w:rPr>
      <w:kern w:val="0"/>
      <w:sz w:val="24"/>
    </w:rPr>
  </w:style>
  <w:style w:type="character" w:customStyle="1" w:styleId="266">
    <w:name w:val="表正文 Char3"/>
    <w:qFormat/>
    <w:uiPriority w:val="0"/>
    <w:rPr>
      <w:rFonts w:eastAsia="宋体"/>
    </w:rPr>
  </w:style>
  <w:style w:type="character" w:customStyle="1" w:styleId="267">
    <w:name w:val="H5 Char"/>
    <w:qFormat/>
    <w:uiPriority w:val="0"/>
    <w:rPr>
      <w:b/>
      <w:bCs/>
      <w:kern w:val="2"/>
      <w:sz w:val="28"/>
      <w:szCs w:val="28"/>
    </w:rPr>
  </w:style>
  <w:style w:type="character" w:customStyle="1" w:styleId="268">
    <w:name w:val="Char Char3"/>
    <w:qFormat/>
    <w:uiPriority w:val="0"/>
    <w:rPr>
      <w:rFonts w:eastAsia="宋体"/>
      <w:kern w:val="2"/>
      <w:sz w:val="21"/>
      <w:szCs w:val="24"/>
      <w:lang w:val="en-US" w:eastAsia="zh-CN" w:bidi="ar-SA"/>
    </w:rPr>
  </w:style>
  <w:style w:type="character" w:customStyle="1" w:styleId="269">
    <w:name w:val="正文 编号 Char"/>
    <w:qFormat/>
    <w:uiPriority w:val="0"/>
    <w:rPr>
      <w:rFonts w:ascii="仿宋_GB2312" w:hAnsi="仿宋_GB2312" w:eastAsia="仿宋_GB2312"/>
      <w:kern w:val="2"/>
      <w:sz w:val="24"/>
      <w:lang w:bidi="ar-SA"/>
    </w:rPr>
  </w:style>
  <w:style w:type="character" w:customStyle="1" w:styleId="270">
    <w:name w:val="question-title2"/>
    <w:qFormat/>
    <w:uiPriority w:val="6"/>
    <w:rPr>
      <w:rFonts w:ascii="Arial" w:hAnsi="Arial" w:eastAsia="黑体" w:cs="Arial"/>
      <w:snapToGrid w:val="0"/>
      <w:kern w:val="0"/>
      <w:szCs w:val="21"/>
    </w:rPr>
  </w:style>
  <w:style w:type="character" w:customStyle="1" w:styleId="271">
    <w:name w:val="gf正文1 Char Char"/>
    <w:link w:val="272"/>
    <w:qFormat/>
    <w:uiPriority w:val="0"/>
    <w:rPr>
      <w:rFonts w:ascii="宋体" w:hAnsi="宋体" w:cs="宋体"/>
      <w:kern w:val="2"/>
      <w:sz w:val="24"/>
      <w:szCs w:val="24"/>
    </w:rPr>
  </w:style>
  <w:style w:type="paragraph" w:customStyle="1" w:styleId="272">
    <w:name w:val="gf正文1"/>
    <w:basedOn w:val="1"/>
    <w:link w:val="27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3">
    <w:name w:val="Char Char15"/>
    <w:qFormat/>
    <w:uiPriority w:val="6"/>
    <w:rPr>
      <w:rFonts w:ascii="宋体" w:hAnsi="宋体"/>
      <w:kern w:val="1"/>
      <w:sz w:val="21"/>
    </w:rPr>
  </w:style>
  <w:style w:type="character" w:customStyle="1" w:styleId="274">
    <w:name w:val="正文缩进 Char3"/>
    <w:qFormat/>
    <w:uiPriority w:val="0"/>
    <w:rPr>
      <w:rFonts w:ascii="宋体" w:eastAsia="宋体"/>
      <w:snapToGrid w:val="0"/>
      <w:color w:val="000000"/>
      <w:kern w:val="28"/>
      <w:sz w:val="28"/>
      <w:lang w:val="en-US" w:eastAsia="zh-CN" w:bidi="ar-SA"/>
    </w:rPr>
  </w:style>
  <w:style w:type="character" w:customStyle="1" w:styleId="275">
    <w:name w:val="列出段落 Char1"/>
    <w:link w:val="276"/>
    <w:qFormat/>
    <w:uiPriority w:val="0"/>
    <w:rPr>
      <w:rFonts w:ascii="Calibri" w:hAnsi="Calibri"/>
      <w:sz w:val="24"/>
      <w:lang w:eastAsia="en-US"/>
    </w:rPr>
  </w:style>
  <w:style w:type="paragraph" w:customStyle="1" w:styleId="276">
    <w:name w:val="列表1"/>
    <w:basedOn w:val="1"/>
    <w:next w:val="277"/>
    <w:link w:val="275"/>
    <w:qFormat/>
    <w:uiPriority w:val="0"/>
    <w:pPr>
      <w:widowControl/>
      <w:adjustRightInd/>
      <w:spacing w:after="200" w:line="360" w:lineRule="auto"/>
      <w:ind w:left="720" w:firstLine="200" w:firstLineChars="200"/>
      <w:jc w:val="left"/>
    </w:pPr>
    <w:rPr>
      <w:kern w:val="0"/>
      <w:sz w:val="24"/>
      <w:szCs w:val="20"/>
      <w:lang w:eastAsia="en-US"/>
    </w:rPr>
  </w:style>
  <w:style w:type="paragraph" w:styleId="277">
    <w:name w:val="List Paragraph"/>
    <w:basedOn w:val="1"/>
    <w:qFormat/>
    <w:uiPriority w:val="99"/>
    <w:pPr>
      <w:spacing w:line="360" w:lineRule="auto"/>
      <w:ind w:firstLine="200" w:firstLineChars="200"/>
    </w:pPr>
    <w:rPr>
      <w:rFonts w:eastAsia="楷体_GB2312" w:cs="Lucida Sans"/>
      <w:sz w:val="24"/>
    </w:rPr>
  </w:style>
  <w:style w:type="character" w:customStyle="1" w:styleId="278">
    <w:name w:val="Char Char8"/>
    <w:qFormat/>
    <w:uiPriority w:val="0"/>
    <w:rPr>
      <w:rFonts w:eastAsia="宋体"/>
      <w:b/>
      <w:sz w:val="24"/>
      <w:lang w:val="en-GB" w:eastAsia="zh-CN"/>
    </w:rPr>
  </w:style>
  <w:style w:type="character" w:customStyle="1" w:styleId="279">
    <w:name w:val="Normal Indent Char Char"/>
    <w:qFormat/>
    <w:uiPriority w:val="0"/>
    <w:rPr>
      <w:rFonts w:eastAsia="宋体"/>
      <w:kern w:val="2"/>
      <w:sz w:val="21"/>
      <w:lang w:val="en-US" w:eastAsia="zh-CN" w:bidi="ar-SA"/>
    </w:rPr>
  </w:style>
  <w:style w:type="character" w:customStyle="1" w:styleId="280">
    <w:name w:val="列表段落 字符"/>
    <w:link w:val="281"/>
    <w:qFormat/>
    <w:uiPriority w:val="34"/>
  </w:style>
  <w:style w:type="paragraph" w:customStyle="1" w:styleId="281">
    <w:name w:val="_Style 280"/>
    <w:basedOn w:val="1"/>
    <w:next w:val="277"/>
    <w:link w:val="280"/>
    <w:qFormat/>
    <w:uiPriority w:val="34"/>
    <w:pPr>
      <w:adjustRightInd/>
      <w:ind w:firstLine="420" w:firstLineChars="200"/>
    </w:pPr>
    <w:rPr>
      <w:rFonts w:ascii="Calibri" w:hAnsi="Calibri"/>
      <w:szCs w:val="22"/>
    </w:rPr>
  </w:style>
  <w:style w:type="character" w:customStyle="1" w:styleId="282">
    <w:name w:val="Ò³Ã¼ Char Char1"/>
    <w:qFormat/>
    <w:uiPriority w:val="0"/>
    <w:rPr>
      <w:rFonts w:eastAsia="宋体"/>
      <w:kern w:val="2"/>
      <w:sz w:val="18"/>
      <w:szCs w:val="18"/>
      <w:lang w:val="en-US" w:eastAsia="zh-CN" w:bidi="ar-SA"/>
    </w:rPr>
  </w:style>
  <w:style w:type="character" w:customStyle="1" w:styleId="283">
    <w:name w:val="方案正文 Char"/>
    <w:qFormat/>
    <w:uiPriority w:val="0"/>
    <w:rPr>
      <w:rFonts w:ascii="仿宋_GB2312" w:eastAsia="仿宋_GB2312"/>
      <w:b/>
      <w:color w:val="000000"/>
      <w:kern w:val="2"/>
      <w:sz w:val="24"/>
      <w:lang w:val="en-US" w:eastAsia="zh-CN" w:bidi="ar-SA"/>
    </w:rPr>
  </w:style>
  <w:style w:type="character" w:customStyle="1" w:styleId="284">
    <w:name w:val="Char Char30"/>
    <w:qFormat/>
    <w:uiPriority w:val="6"/>
    <w:rPr>
      <w:rFonts w:ascii="Arial" w:hAnsi="Arial" w:eastAsia="黑体"/>
      <w:kern w:val="1"/>
      <w:sz w:val="21"/>
      <w:szCs w:val="21"/>
    </w:rPr>
  </w:style>
  <w:style w:type="character" w:customStyle="1" w:styleId="285">
    <w:name w:val="font01"/>
    <w:qFormat/>
    <w:uiPriority w:val="0"/>
    <w:rPr>
      <w:rFonts w:hint="eastAsia" w:ascii="微软雅黑" w:hAnsi="微软雅黑" w:eastAsia="微软雅黑" w:cs="微软雅黑"/>
      <w:color w:val="000000"/>
      <w:sz w:val="20"/>
      <w:szCs w:val="20"/>
      <w:u w:val="none"/>
    </w:rPr>
  </w:style>
  <w:style w:type="character" w:customStyle="1" w:styleId="286">
    <w:name w:val="Char Char20"/>
    <w:qFormat/>
    <w:uiPriority w:val="6"/>
    <w:rPr>
      <w:kern w:val="1"/>
      <w:sz w:val="24"/>
    </w:rPr>
  </w:style>
  <w:style w:type="character" w:customStyle="1" w:styleId="287">
    <w:name w:val="tw4winExternal"/>
    <w:qFormat/>
    <w:uiPriority w:val="0"/>
    <w:rPr>
      <w:rFonts w:ascii="Courier New" w:hAnsi="Courier New" w:cs="Courier New"/>
      <w:color w:val="808080"/>
      <w:lang w:val="en-US" w:eastAsia="zh-CN"/>
    </w:rPr>
  </w:style>
  <w:style w:type="character" w:customStyle="1" w:styleId="288">
    <w:name w:val="标题 4 Char1"/>
    <w:qFormat/>
    <w:uiPriority w:val="9"/>
    <w:rPr>
      <w:rFonts w:ascii="Cambria" w:hAnsi="Cambria" w:eastAsia="宋体" w:cs="Times New Roman"/>
      <w:b/>
      <w:bCs/>
      <w:kern w:val="2"/>
      <w:sz w:val="28"/>
      <w:szCs w:val="28"/>
    </w:rPr>
  </w:style>
  <w:style w:type="character" w:customStyle="1" w:styleId="289">
    <w:name w:val="批注文字 Char2"/>
    <w:qFormat/>
    <w:uiPriority w:val="99"/>
    <w:rPr>
      <w:rFonts w:ascii="Times New Roman" w:hAnsi="Times New Roman" w:eastAsia="宋体" w:cs="Times New Roman"/>
      <w:snapToGrid w:val="0"/>
      <w:kern w:val="0"/>
      <w:szCs w:val="24"/>
    </w:rPr>
  </w:style>
  <w:style w:type="character" w:customStyle="1" w:styleId="290">
    <w:name w:val="正文文本 2 Char"/>
    <w:qFormat/>
    <w:uiPriority w:val="0"/>
    <w:rPr>
      <w:rFonts w:eastAsia="宋体"/>
      <w:kern w:val="2"/>
      <w:sz w:val="21"/>
      <w:szCs w:val="24"/>
      <w:lang w:val="en-US" w:eastAsia="zh-CN" w:bidi="ar-SA"/>
    </w:rPr>
  </w:style>
  <w:style w:type="character" w:customStyle="1" w:styleId="291">
    <w:name w:val="Ò³Ã¼ Char Char"/>
    <w:qFormat/>
    <w:uiPriority w:val="0"/>
    <w:rPr>
      <w:rFonts w:eastAsia="宋体"/>
      <w:kern w:val="2"/>
      <w:sz w:val="18"/>
      <w:lang w:val="en-US" w:eastAsia="zh-CN" w:bidi="ar-SA"/>
    </w:rPr>
  </w:style>
  <w:style w:type="character" w:customStyle="1" w:styleId="292">
    <w:name w:val="message1"/>
    <w:qFormat/>
    <w:uiPriority w:val="0"/>
    <w:rPr>
      <w:rFonts w:hint="default" w:ascii="Tahoma" w:hAnsi="Tahoma" w:cs="Tahoma"/>
      <w:sz w:val="18"/>
      <w:szCs w:val="18"/>
    </w:rPr>
  </w:style>
  <w:style w:type="character" w:customStyle="1" w:styleId="293">
    <w:name w:val="Char Char23"/>
    <w:qFormat/>
    <w:uiPriority w:val="6"/>
    <w:rPr>
      <w:color w:val="0000FF"/>
      <w:sz w:val="21"/>
    </w:rPr>
  </w:style>
  <w:style w:type="character" w:customStyle="1" w:styleId="294">
    <w:name w:val="批注框文本 字符"/>
    <w:qFormat/>
    <w:uiPriority w:val="0"/>
    <w:rPr>
      <w:rFonts w:ascii="Arial" w:hAnsi="Arial" w:eastAsia="黑体" w:cs="Arial"/>
      <w:snapToGrid w:val="0"/>
      <w:kern w:val="0"/>
      <w:sz w:val="18"/>
      <w:szCs w:val="18"/>
    </w:rPr>
  </w:style>
  <w:style w:type="character" w:customStyle="1" w:styleId="295">
    <w:name w:val="纯文本 Char2"/>
    <w:semiHidden/>
    <w:qFormat/>
    <w:uiPriority w:val="99"/>
    <w:rPr>
      <w:rFonts w:ascii="宋体" w:hAnsi="Courier New" w:eastAsia="宋体" w:cs="Courier New"/>
    </w:rPr>
  </w:style>
  <w:style w:type="character" w:customStyle="1" w:styleId="296">
    <w:name w:val="Char Char25"/>
    <w:qFormat/>
    <w:uiPriority w:val="6"/>
    <w:rPr>
      <w:rFonts w:ascii="宋体" w:hAnsi="宋体"/>
      <w:kern w:val="1"/>
      <w:sz w:val="24"/>
      <w:lang w:val="zh-CN"/>
    </w:rPr>
  </w:style>
  <w:style w:type="character" w:customStyle="1" w:styleId="297">
    <w:name w:val="Char Char411"/>
    <w:qFormat/>
    <w:uiPriority w:val="0"/>
    <w:rPr>
      <w:rFonts w:eastAsia="宋体"/>
      <w:b/>
      <w:sz w:val="24"/>
      <w:lang w:val="en-GB" w:eastAsia="zh-CN" w:bidi="ar-SA"/>
    </w:rPr>
  </w:style>
  <w:style w:type="character" w:customStyle="1" w:styleId="298">
    <w:name w:val="Heading 7 Char"/>
    <w:qFormat/>
    <w:locked/>
    <w:uiPriority w:val="0"/>
    <w:rPr>
      <w:rFonts w:ascii="宋体" w:hAnsi="宋体" w:eastAsia="宋体"/>
      <w:b/>
      <w:bCs/>
      <w:kern w:val="2"/>
      <w:sz w:val="24"/>
      <w:szCs w:val="24"/>
      <w:lang w:val="en-US" w:eastAsia="zh-CN" w:bidi="ar-SA"/>
    </w:rPr>
  </w:style>
  <w:style w:type="character" w:customStyle="1" w:styleId="299">
    <w:name w:val="此正文 Char"/>
    <w:link w:val="300"/>
    <w:qFormat/>
    <w:uiPriority w:val="0"/>
    <w:rPr>
      <w:kern w:val="2"/>
      <w:sz w:val="24"/>
      <w:szCs w:val="24"/>
    </w:rPr>
  </w:style>
  <w:style w:type="paragraph" w:customStyle="1" w:styleId="300">
    <w:name w:val="此正文"/>
    <w:basedOn w:val="1"/>
    <w:link w:val="299"/>
    <w:qFormat/>
    <w:uiPriority w:val="0"/>
    <w:pPr>
      <w:adjustRightInd/>
      <w:spacing w:line="360" w:lineRule="auto"/>
      <w:ind w:firstLine="200" w:firstLineChars="200"/>
    </w:pPr>
    <w:rPr>
      <w:sz w:val="24"/>
    </w:rPr>
  </w:style>
  <w:style w:type="character" w:customStyle="1" w:styleId="301">
    <w:name w:val="Char Char2"/>
    <w:qFormat/>
    <w:uiPriority w:val="0"/>
    <w:rPr>
      <w:rFonts w:eastAsia="宋体"/>
      <w:b/>
      <w:bCs/>
      <w:kern w:val="2"/>
      <w:sz w:val="21"/>
      <w:szCs w:val="24"/>
      <w:lang w:val="en-US" w:eastAsia="zh-CN" w:bidi="ar-SA"/>
    </w:rPr>
  </w:style>
  <w:style w:type="character" w:customStyle="1" w:styleId="302">
    <w:name w:val="Footer-Even Char1"/>
    <w:qFormat/>
    <w:uiPriority w:val="0"/>
    <w:rPr>
      <w:rFonts w:eastAsia="宋体"/>
      <w:kern w:val="2"/>
      <w:sz w:val="18"/>
      <w:szCs w:val="18"/>
      <w:lang w:val="en-US" w:eastAsia="zh-CN" w:bidi="ar-SA"/>
    </w:rPr>
  </w:style>
  <w:style w:type="character" w:customStyle="1" w:styleId="303">
    <w:name w:val="Char Char29"/>
    <w:qFormat/>
    <w:uiPriority w:val="6"/>
    <w:rPr>
      <w:rFonts w:ascii="Arial" w:hAnsi="Arial" w:eastAsia="微软雅黑"/>
      <w:b/>
      <w:kern w:val="1"/>
      <w:sz w:val="44"/>
      <w:szCs w:val="32"/>
      <w:lang w:val="en-US" w:eastAsia="zh-CN" w:bidi="ar-SA"/>
    </w:rPr>
  </w:style>
  <w:style w:type="character" w:customStyle="1" w:styleId="304">
    <w:name w:val="font81"/>
    <w:qFormat/>
    <w:uiPriority w:val="0"/>
    <w:rPr>
      <w:rFonts w:ascii="微软雅黑" w:hAnsi="微软雅黑" w:eastAsia="微软雅黑" w:cs="微软雅黑"/>
      <w:color w:val="000000"/>
      <w:sz w:val="20"/>
      <w:szCs w:val="20"/>
      <w:u w:val="none"/>
    </w:rPr>
  </w:style>
  <w:style w:type="character" w:customStyle="1" w:styleId="305">
    <w:name w:val="Char Char312"/>
    <w:qFormat/>
    <w:uiPriority w:val="0"/>
    <w:rPr>
      <w:rFonts w:ascii="Times New Roman" w:hAnsi="Times New Roman" w:eastAsia="宋体" w:cs="Times New Roman"/>
      <w:b/>
      <w:kern w:val="2"/>
      <w:sz w:val="32"/>
      <w:szCs w:val="24"/>
      <w:lang w:val="en-US" w:eastAsia="zh-CN" w:bidi="ar-SA"/>
    </w:rPr>
  </w:style>
  <w:style w:type="character" w:customStyle="1" w:styleId="306">
    <w:name w:val="t21"/>
    <w:qFormat/>
    <w:uiPriority w:val="0"/>
    <w:rPr>
      <w:rFonts w:ascii="仿宋_GB2312" w:eastAsia="微软雅黑"/>
      <w:b/>
      <w:kern w:val="2"/>
      <w:sz w:val="23"/>
      <w:szCs w:val="23"/>
      <w:lang w:val="en-US" w:eastAsia="zh-CN" w:bidi="ar-SA"/>
    </w:rPr>
  </w:style>
  <w:style w:type="character" w:customStyle="1" w:styleId="307">
    <w:name w:val="样式8 Char"/>
    <w:qFormat/>
    <w:uiPriority w:val="0"/>
    <w:rPr>
      <w:rFonts w:ascii="仿宋_GB2312" w:hAnsi="宋体" w:eastAsia="仿宋_GB2312"/>
      <w:b/>
      <w:bCs/>
      <w:kern w:val="2"/>
      <w:sz w:val="24"/>
      <w:szCs w:val="24"/>
    </w:rPr>
  </w:style>
  <w:style w:type="character" w:customStyle="1" w:styleId="308">
    <w:name w:val="表格 Char Char"/>
    <w:qFormat/>
    <w:uiPriority w:val="0"/>
    <w:rPr>
      <w:rFonts w:ascii="宋体" w:hAnsi="宋体" w:eastAsia="宋体"/>
      <w:lang w:bidi="ar-SA"/>
    </w:rPr>
  </w:style>
  <w:style w:type="character" w:customStyle="1" w:styleId="309">
    <w:name w:val="正文文本 字符1"/>
    <w:qFormat/>
    <w:uiPriority w:val="0"/>
    <w:rPr>
      <w:rFonts w:ascii="Calibri" w:hAnsi="Calibri" w:eastAsia="黑体" w:cs="Arial"/>
      <w:snapToGrid w:val="0"/>
      <w:kern w:val="2"/>
      <w:sz w:val="28"/>
      <w:szCs w:val="21"/>
    </w:rPr>
  </w:style>
  <w:style w:type="character" w:customStyle="1" w:styleId="310">
    <w:name w:val="标题 6 Char1"/>
    <w:qFormat/>
    <w:uiPriority w:val="0"/>
    <w:rPr>
      <w:rFonts w:ascii="Arial" w:hAnsi="Arial" w:eastAsia="黑体" w:cs="Times New Roman"/>
      <w:b/>
      <w:sz w:val="24"/>
      <w:szCs w:val="20"/>
      <w:lang w:bidi="ar-SA"/>
    </w:rPr>
  </w:style>
  <w:style w:type="character" w:customStyle="1" w:styleId="311">
    <w:name w:val="带编号样式 Char"/>
    <w:qFormat/>
    <w:uiPriority w:val="0"/>
    <w:rPr>
      <w:rFonts w:ascii="仿宋_GB2312" w:eastAsia="仿宋_GB2312"/>
      <w:color w:val="000000"/>
      <w:sz w:val="24"/>
      <w:lang w:bidi="ar-SA"/>
    </w:rPr>
  </w:style>
  <w:style w:type="character" w:customStyle="1" w:styleId="312">
    <w:name w:val="unnamed31"/>
    <w:qFormat/>
    <w:uiPriority w:val="0"/>
    <w:rPr>
      <w:rFonts w:ascii="Tahoma" w:hAnsi="Tahoma" w:eastAsia="宋体"/>
      <w:b/>
      <w:kern w:val="2"/>
      <w:sz w:val="24"/>
      <w:szCs w:val="32"/>
      <w:u w:val="none"/>
      <w:lang w:val="en-US" w:eastAsia="zh-CN" w:bidi="ar-SA"/>
    </w:rPr>
  </w:style>
  <w:style w:type="character" w:customStyle="1" w:styleId="313">
    <w:name w:val="正文首行缩进 Char Char Char Char Char Char1"/>
    <w:qFormat/>
    <w:uiPriority w:val="0"/>
    <w:rPr>
      <w:rFonts w:ascii="宋体" w:eastAsia="宋体"/>
      <w:kern w:val="2"/>
      <w:sz w:val="24"/>
      <w:szCs w:val="24"/>
      <w:lang w:val="zh-CN" w:bidi="ar-SA"/>
    </w:rPr>
  </w:style>
  <w:style w:type="character" w:customStyle="1" w:styleId="314">
    <w:name w:val="文本正文 Char Char"/>
    <w:qFormat/>
    <w:locked/>
    <w:uiPriority w:val="0"/>
    <w:rPr>
      <w:sz w:val="24"/>
      <w:lang w:bidi="ar-SA"/>
    </w:rPr>
  </w:style>
  <w:style w:type="character" w:customStyle="1" w:styleId="315">
    <w:name w:val="正文缩进 字符"/>
    <w:qFormat/>
    <w:uiPriority w:val="0"/>
    <w:rPr>
      <w:rFonts w:ascii="宋体" w:eastAsia="宋体"/>
      <w:snapToGrid w:val="0"/>
      <w:color w:val="000000"/>
      <w:kern w:val="28"/>
      <w:sz w:val="28"/>
      <w:lang w:val="en-US" w:eastAsia="zh-CN" w:bidi="ar-SA"/>
    </w:rPr>
  </w:style>
  <w:style w:type="character" w:customStyle="1" w:styleId="316">
    <w:name w:val="样式 样式 标题 4h4H4Fab-4T5Ref Heading 1rh1Heading sqlsect 1.2.3.... +... Char"/>
    <w:link w:val="317"/>
    <w:qFormat/>
    <w:uiPriority w:val="0"/>
    <w:rPr>
      <w:rFonts w:ascii="微软雅黑" w:hAnsi="微软雅黑" w:eastAsia="微软雅黑"/>
      <w:b/>
      <w:bCs/>
      <w:kern w:val="2"/>
      <w:sz w:val="24"/>
      <w:szCs w:val="28"/>
    </w:rPr>
  </w:style>
  <w:style w:type="paragraph" w:customStyle="1" w:styleId="317">
    <w:name w:val="样式 样式 标题 4h4H4Fab-4T5Ref Heading 1rh1Heading sqlsect 1.2.3.... +..."/>
    <w:basedOn w:val="318"/>
    <w:link w:val="316"/>
    <w:qFormat/>
    <w:uiPriority w:val="0"/>
    <w:pPr>
      <w:tabs>
        <w:tab w:val="left" w:pos="2356"/>
      </w:tabs>
    </w:pPr>
  </w:style>
  <w:style w:type="paragraph" w:customStyle="1" w:styleId="318">
    <w:name w:val="样式 标题 4h4H4Fab-4T5Ref Heading 1rh1Heading sqlsect 1.2.3...."/>
    <w:basedOn w:val="6"/>
    <w:link w:val="3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9">
    <w:name w:val="样式 标题 4h4H4Fab-4T5Ref Heading 1rh1Heading sqlsect 1.2.3.... Char"/>
    <w:link w:val="318"/>
    <w:qFormat/>
    <w:uiPriority w:val="0"/>
    <w:rPr>
      <w:rFonts w:ascii="微软雅黑" w:hAnsi="微软雅黑" w:eastAsia="微软雅黑"/>
      <w:b/>
      <w:bCs/>
      <w:kern w:val="2"/>
      <w:sz w:val="24"/>
      <w:szCs w:val="28"/>
    </w:rPr>
  </w:style>
  <w:style w:type="character" w:customStyle="1" w:styleId="320">
    <w:name w:val="正文非缩进 Char"/>
    <w:qFormat/>
    <w:uiPriority w:val="0"/>
    <w:rPr>
      <w:rFonts w:ascii="宋体" w:eastAsia="宋体"/>
      <w:snapToGrid w:val="0"/>
      <w:color w:val="000000"/>
      <w:kern w:val="28"/>
      <w:sz w:val="28"/>
      <w:lang w:val="en-US" w:eastAsia="zh-CN" w:bidi="ar-SA"/>
    </w:rPr>
  </w:style>
  <w:style w:type="character" w:customStyle="1" w:styleId="321">
    <w:name w:val="Char Char5"/>
    <w:qFormat/>
    <w:uiPriority w:val="0"/>
    <w:rPr>
      <w:rFonts w:ascii="宋体" w:hAnsi="Courier New" w:eastAsia="宋体"/>
      <w:kern w:val="2"/>
      <w:sz w:val="21"/>
      <w:lang w:val="en-US" w:eastAsia="zh-CN"/>
    </w:rPr>
  </w:style>
  <w:style w:type="character" w:customStyle="1" w:styleId="322">
    <w:name w:val="称呼 Char1"/>
    <w:qFormat/>
    <w:uiPriority w:val="0"/>
    <w:rPr>
      <w:rFonts w:ascii="Times New Roman" w:hAnsi="Times New Roman" w:eastAsia="宋体" w:cs="Times New Roman"/>
      <w:szCs w:val="24"/>
    </w:rPr>
  </w:style>
  <w:style w:type="character" w:customStyle="1" w:styleId="323">
    <w:name w:val="正文1 Char"/>
    <w:qFormat/>
    <w:uiPriority w:val="0"/>
    <w:rPr>
      <w:rFonts w:ascii="宋体" w:eastAsia="宋体"/>
      <w:snapToGrid w:val="0"/>
      <w:color w:val="000000"/>
      <w:kern w:val="28"/>
      <w:sz w:val="28"/>
      <w:lang w:val="en-US" w:eastAsia="zh-CN" w:bidi="ar-SA"/>
    </w:rPr>
  </w:style>
  <w:style w:type="character" w:customStyle="1" w:styleId="324">
    <w:name w:val="正文缩进 Char1"/>
    <w:qFormat/>
    <w:uiPriority w:val="0"/>
    <w:rPr>
      <w:rFonts w:ascii="宋体" w:eastAsia="宋体"/>
      <w:snapToGrid w:val="0"/>
      <w:color w:val="000000"/>
      <w:kern w:val="28"/>
      <w:sz w:val="28"/>
      <w:lang w:val="en-US" w:eastAsia="zh-CN" w:bidi="ar-SA"/>
    </w:rPr>
  </w:style>
  <w:style w:type="character" w:customStyle="1" w:styleId="325">
    <w:name w:val="font21"/>
    <w:qFormat/>
    <w:uiPriority w:val="0"/>
    <w:rPr>
      <w:rFonts w:hint="eastAsia" w:ascii="宋体" w:hAnsi="宋体" w:eastAsia="宋体"/>
      <w:kern w:val="2"/>
      <w:sz w:val="28"/>
      <w:szCs w:val="28"/>
      <w:lang w:val="en-US" w:eastAsia="zh-CN" w:bidi="ar-SA"/>
    </w:rPr>
  </w:style>
  <w:style w:type="character" w:customStyle="1" w:styleId="326">
    <w:name w:val="Char Char26"/>
    <w:qFormat/>
    <w:uiPriority w:val="6"/>
    <w:rPr>
      <w:kern w:val="1"/>
      <w:sz w:val="21"/>
      <w:szCs w:val="24"/>
    </w:rPr>
  </w:style>
  <w:style w:type="character" w:customStyle="1" w:styleId="327">
    <w:name w:val="Item List Char"/>
    <w:link w:val="328"/>
    <w:qFormat/>
    <w:uiPriority w:val="0"/>
    <w:rPr>
      <w:rFonts w:ascii="Arial"/>
      <w:bCs/>
      <w:sz w:val="21"/>
      <w:szCs w:val="21"/>
      <w:lang w:val="en-US" w:eastAsia="zh-CN" w:bidi="ar-SA"/>
    </w:rPr>
  </w:style>
  <w:style w:type="paragraph" w:customStyle="1" w:styleId="328">
    <w:name w:val="Item List"/>
    <w:link w:val="32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9">
    <w:name w:val="批注框文本 Char1"/>
    <w:qFormat/>
    <w:uiPriority w:val="0"/>
    <w:rPr>
      <w:rFonts w:ascii="Times New Roman" w:hAnsi="Times New Roman" w:eastAsia="宋体" w:cs="Times New Roman"/>
      <w:sz w:val="18"/>
      <w:szCs w:val="18"/>
    </w:rPr>
  </w:style>
  <w:style w:type="character" w:customStyle="1" w:styleId="330">
    <w:name w:val="纯文本 Char1"/>
    <w:link w:val="331"/>
    <w:qFormat/>
    <w:uiPriority w:val="0"/>
    <w:rPr>
      <w:rFonts w:ascii="宋体" w:hAnsi="Courier New"/>
    </w:rPr>
  </w:style>
  <w:style w:type="paragraph" w:customStyle="1" w:styleId="331">
    <w:name w:val="纯文本1"/>
    <w:basedOn w:val="1"/>
    <w:link w:val="330"/>
    <w:qFormat/>
    <w:uiPriority w:val="0"/>
    <w:pPr>
      <w:adjustRightInd/>
    </w:pPr>
    <w:rPr>
      <w:rFonts w:ascii="宋体" w:hAnsi="Courier New"/>
      <w:kern w:val="0"/>
      <w:sz w:val="20"/>
      <w:szCs w:val="20"/>
    </w:rPr>
  </w:style>
  <w:style w:type="character" w:customStyle="1" w:styleId="332">
    <w:name w:val="h3 Char"/>
    <w:qFormat/>
    <w:uiPriority w:val="0"/>
    <w:rPr>
      <w:rFonts w:eastAsia="宋体"/>
      <w:b/>
      <w:kern w:val="2"/>
      <w:sz w:val="32"/>
      <w:lang w:val="en-US" w:eastAsia="zh-CN" w:bidi="ar-SA"/>
    </w:rPr>
  </w:style>
  <w:style w:type="character" w:customStyle="1" w:styleId="333">
    <w:name w:val="dandyren_title1"/>
    <w:qFormat/>
    <w:uiPriority w:val="0"/>
    <w:rPr>
      <w:b/>
      <w:bCs/>
      <w:color w:val="FF6633"/>
      <w:sz w:val="18"/>
      <w:szCs w:val="18"/>
    </w:rPr>
  </w:style>
  <w:style w:type="character" w:customStyle="1" w:styleId="334">
    <w:name w:val="Char Char31"/>
    <w:qFormat/>
    <w:uiPriority w:val="6"/>
    <w:rPr>
      <w:rFonts w:ascii="Arial" w:hAnsi="Arial" w:eastAsia="黑体"/>
      <w:kern w:val="1"/>
      <w:sz w:val="24"/>
      <w:szCs w:val="24"/>
    </w:rPr>
  </w:style>
  <w:style w:type="character" w:customStyle="1" w:styleId="335">
    <w:name w:val="h Char1"/>
    <w:qFormat/>
    <w:uiPriority w:val="0"/>
    <w:rPr>
      <w:sz w:val="18"/>
      <w:szCs w:val="18"/>
    </w:rPr>
  </w:style>
  <w:style w:type="character" w:customStyle="1" w:styleId="336">
    <w:name w:val="solutionfonts"/>
    <w:qFormat/>
    <w:uiPriority w:val="0"/>
  </w:style>
  <w:style w:type="character" w:customStyle="1" w:styleId="337">
    <w:name w:val="首行缩进 Char"/>
    <w:qFormat/>
    <w:uiPriority w:val="0"/>
    <w:rPr>
      <w:rFonts w:ascii="宋体" w:eastAsia="宋体"/>
      <w:kern w:val="2"/>
      <w:sz w:val="24"/>
      <w:lang w:val="en-US" w:eastAsia="zh-CN" w:bidi="ar-SA"/>
    </w:rPr>
  </w:style>
  <w:style w:type="character" w:customStyle="1" w:styleId="338">
    <w:name w:val="Char Char52"/>
    <w:qFormat/>
    <w:uiPriority w:val="0"/>
    <w:rPr>
      <w:rFonts w:ascii="宋体" w:hAnsi="Courier New" w:eastAsia="宋体"/>
      <w:kern w:val="2"/>
      <w:sz w:val="21"/>
      <w:lang w:val="en-US" w:eastAsia="zh-CN"/>
    </w:rPr>
  </w:style>
  <w:style w:type="character" w:customStyle="1" w:styleId="339">
    <w:name w:val="font31"/>
    <w:qFormat/>
    <w:uiPriority w:val="0"/>
    <w:rPr>
      <w:rFonts w:hint="eastAsia" w:ascii="仿宋" w:hAnsi="仿宋" w:eastAsia="仿宋" w:cs="仿宋"/>
      <w:color w:val="000000"/>
      <w:sz w:val="20"/>
      <w:szCs w:val="20"/>
      <w:u w:val="none"/>
    </w:rPr>
  </w:style>
  <w:style w:type="character" w:customStyle="1" w:styleId="340">
    <w:name w:val="正文说明 Char"/>
    <w:link w:val="341"/>
    <w:qFormat/>
    <w:uiPriority w:val="0"/>
    <w:rPr>
      <w:sz w:val="24"/>
      <w:szCs w:val="24"/>
    </w:rPr>
  </w:style>
  <w:style w:type="paragraph" w:customStyle="1" w:styleId="341">
    <w:name w:val="正文说明"/>
    <w:basedOn w:val="1"/>
    <w:link w:val="340"/>
    <w:qFormat/>
    <w:uiPriority w:val="0"/>
    <w:pPr>
      <w:adjustRightInd/>
      <w:spacing w:line="360" w:lineRule="auto"/>
    </w:pPr>
    <w:rPr>
      <w:kern w:val="0"/>
      <w:sz w:val="24"/>
    </w:rPr>
  </w:style>
  <w:style w:type="character" w:customStyle="1" w:styleId="342">
    <w:name w:val="脚注文本 Char1"/>
    <w:qFormat/>
    <w:uiPriority w:val="0"/>
    <w:rPr>
      <w:rFonts w:ascii="Times New Roman" w:hAnsi="Times New Roman" w:eastAsia="宋体" w:cs="Times New Roman"/>
      <w:sz w:val="18"/>
      <w:szCs w:val="18"/>
    </w:rPr>
  </w:style>
  <w:style w:type="character" w:customStyle="1" w:styleId="343">
    <w:name w:val="Char Char1211"/>
    <w:qFormat/>
    <w:uiPriority w:val="0"/>
    <w:rPr>
      <w:rFonts w:ascii="仿宋_GB2312" w:eastAsia="仿宋_GB2312"/>
      <w:b/>
      <w:bCs/>
      <w:kern w:val="2"/>
      <w:sz w:val="24"/>
      <w:szCs w:val="24"/>
      <w:lang w:val="zh-CN" w:eastAsia="zh-CN" w:bidi="ar-SA"/>
    </w:rPr>
  </w:style>
  <w:style w:type="character" w:customStyle="1" w:styleId="344">
    <w:name w:val="标题 Char"/>
    <w:qFormat/>
    <w:uiPriority w:val="0"/>
    <w:rPr>
      <w:rFonts w:eastAsia="宋体"/>
      <w:b/>
      <w:sz w:val="24"/>
      <w:lang w:val="en-GB" w:eastAsia="zh-CN" w:bidi="ar-SA"/>
    </w:rPr>
  </w:style>
  <w:style w:type="character" w:customStyle="1" w:styleId="345">
    <w:name w:val="Char Char35"/>
    <w:qFormat/>
    <w:uiPriority w:val="6"/>
    <w:rPr>
      <w:rFonts w:ascii="Arial" w:hAnsi="Arial" w:eastAsia="黑体"/>
      <w:b/>
      <w:kern w:val="1"/>
      <w:sz w:val="28"/>
      <w:szCs w:val="28"/>
      <w:lang w:val="zh-CN"/>
    </w:rPr>
  </w:style>
  <w:style w:type="character" w:customStyle="1" w:styleId="346">
    <w:name w:val="纯文本 Char Char Char"/>
    <w:qFormat/>
    <w:uiPriority w:val="0"/>
    <w:rPr>
      <w:rFonts w:ascii="宋体" w:hAnsi="Courier New" w:eastAsia="宋体"/>
      <w:kern w:val="2"/>
      <w:sz w:val="21"/>
      <w:lang w:val="en-US" w:eastAsia="zh-CN" w:bidi="ar-SA"/>
    </w:rPr>
  </w:style>
  <w:style w:type="character" w:customStyle="1" w:styleId="347">
    <w:name w:val="Table Text Char"/>
    <w:link w:val="348"/>
    <w:qFormat/>
    <w:uiPriority w:val="0"/>
    <w:rPr>
      <w:sz w:val="24"/>
      <w:szCs w:val="24"/>
    </w:rPr>
  </w:style>
  <w:style w:type="paragraph" w:customStyle="1" w:styleId="348">
    <w:name w:val="Table Text"/>
    <w:basedOn w:val="1"/>
    <w:link w:val="347"/>
    <w:qFormat/>
    <w:uiPriority w:val="0"/>
    <w:pPr>
      <w:widowControl/>
      <w:spacing w:before="60" w:after="60"/>
      <w:jc w:val="left"/>
    </w:pPr>
    <w:rPr>
      <w:kern w:val="0"/>
      <w:sz w:val="24"/>
    </w:rPr>
  </w:style>
  <w:style w:type="character" w:customStyle="1" w:styleId="349">
    <w:name w:val="正文1 Char1"/>
    <w:qFormat/>
    <w:uiPriority w:val="0"/>
    <w:rPr>
      <w:rFonts w:ascii="仿宋_GB2312" w:hAnsi="Courier New" w:eastAsia="仿宋_GB2312"/>
      <w:kern w:val="28"/>
      <w:sz w:val="24"/>
      <w:szCs w:val="24"/>
      <w:lang w:val="en-US" w:eastAsia="zh-CN"/>
    </w:rPr>
  </w:style>
  <w:style w:type="character" w:customStyle="1" w:styleId="350">
    <w:name w:val="页脚 Char1"/>
    <w:qFormat/>
    <w:uiPriority w:val="0"/>
    <w:rPr>
      <w:rFonts w:eastAsia="宋体"/>
      <w:kern w:val="2"/>
      <w:sz w:val="18"/>
      <w:szCs w:val="18"/>
      <w:lang w:val="en-US" w:eastAsia="zh-CN" w:bidi="ar-SA"/>
    </w:rPr>
  </w:style>
  <w:style w:type="character" w:customStyle="1" w:styleId="351">
    <w:name w:val="Bold"/>
    <w:qFormat/>
    <w:uiPriority w:val="0"/>
    <w:rPr>
      <w:rFonts w:ascii="Arial" w:hAnsi="Arial" w:eastAsia="黑体" w:cs="Times New Roman"/>
      <w:b/>
      <w:kern w:val="2"/>
      <w:sz w:val="32"/>
      <w:szCs w:val="32"/>
      <w:lang w:val="en-US" w:eastAsia="zh-CN" w:bidi="ar-SA"/>
    </w:rPr>
  </w:style>
  <w:style w:type="character" w:customStyle="1" w:styleId="352">
    <w:name w:val="hui3"/>
    <w:qFormat/>
    <w:uiPriority w:val="0"/>
    <w:rPr>
      <w:color w:val="333333"/>
    </w:rPr>
  </w:style>
  <w:style w:type="character" w:customStyle="1" w:styleId="353">
    <w:name w:val="Char Char17"/>
    <w:qFormat/>
    <w:uiPriority w:val="6"/>
    <w:rPr>
      <w:rFonts w:eastAsia="仿宋_GB2312"/>
      <w:sz w:val="24"/>
    </w:rPr>
  </w:style>
  <w:style w:type="character" w:customStyle="1" w:styleId="354">
    <w:name w:val="标题 4 字符"/>
    <w:qFormat/>
    <w:uiPriority w:val="9"/>
    <w:rPr>
      <w:rFonts w:ascii="等线 Light" w:hAnsi="等线 Light" w:eastAsia="等线 Light" w:cs="Times New Roman"/>
      <w:b/>
      <w:bCs/>
      <w:snapToGrid w:val="0"/>
      <w:kern w:val="0"/>
      <w:sz w:val="28"/>
      <w:szCs w:val="28"/>
    </w:rPr>
  </w:style>
  <w:style w:type="character" w:customStyle="1" w:styleId="355">
    <w:name w:val="Char Char37"/>
    <w:qFormat/>
    <w:uiPriority w:val="6"/>
    <w:rPr>
      <w:b/>
      <w:kern w:val="1"/>
      <w:sz w:val="44"/>
      <w:szCs w:val="44"/>
    </w:rPr>
  </w:style>
  <w:style w:type="character" w:customStyle="1" w:styleId="356">
    <w:name w:val="列出段落 Char"/>
    <w:qFormat/>
    <w:uiPriority w:val="0"/>
    <w:rPr>
      <w:rFonts w:eastAsia="楷体_GB2312" w:cs="Lucida Sans"/>
      <w:kern w:val="2"/>
      <w:sz w:val="24"/>
      <w:szCs w:val="24"/>
      <w:lang w:val="en-US" w:eastAsia="zh-CN" w:bidi="ar-SA"/>
    </w:rPr>
  </w:style>
  <w:style w:type="character" w:customStyle="1" w:styleId="357">
    <w:name w:val="正文文本缩进 3 Char1"/>
    <w:semiHidden/>
    <w:qFormat/>
    <w:uiPriority w:val="99"/>
    <w:rPr>
      <w:rFonts w:ascii="Times New Roman" w:hAnsi="Times New Roman" w:eastAsia="宋体" w:cs="Times New Roman"/>
      <w:sz w:val="16"/>
      <w:szCs w:val="16"/>
    </w:rPr>
  </w:style>
  <w:style w:type="character" w:customStyle="1" w:styleId="358">
    <w:name w:val="公文正文 Char Char"/>
    <w:link w:val="359"/>
    <w:qFormat/>
    <w:uiPriority w:val="0"/>
    <w:rPr>
      <w:rFonts w:ascii="仿宋_GB2312" w:eastAsia="仿宋_GB2312"/>
      <w:kern w:val="2"/>
      <w:sz w:val="24"/>
      <w:szCs w:val="24"/>
    </w:rPr>
  </w:style>
  <w:style w:type="paragraph" w:customStyle="1" w:styleId="359">
    <w:name w:val="公文正文"/>
    <w:basedOn w:val="1"/>
    <w:link w:val="358"/>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qFormat/>
    <w:uiPriority w:val="0"/>
    <w:rPr>
      <w:rFonts w:eastAsia="宋体"/>
      <w:sz w:val="24"/>
      <w:szCs w:val="24"/>
      <w:lang w:val="en-US" w:eastAsia="zh-CN" w:bidi="ar-SA"/>
    </w:rPr>
  </w:style>
  <w:style w:type="character" w:customStyle="1" w:styleId="361">
    <w:name w:val="标题 1 Char Char"/>
    <w:qFormat/>
    <w:uiPriority w:val="0"/>
    <w:rPr>
      <w:rFonts w:hint="eastAsia" w:ascii="宋体" w:hAnsi="宋体" w:eastAsia="宋体"/>
      <w:b/>
      <w:spacing w:val="-2"/>
      <w:sz w:val="24"/>
      <w:lang w:val="en-US" w:eastAsia="zh-CN" w:bidi="ar-SA"/>
    </w:rPr>
  </w:style>
  <w:style w:type="character" w:customStyle="1" w:styleId="362">
    <w:name w:val="正文（缩进2汉字） Char"/>
    <w:link w:val="363"/>
    <w:qFormat/>
    <w:uiPriority w:val="0"/>
    <w:rPr>
      <w:rFonts w:ascii="宋体"/>
    </w:rPr>
  </w:style>
  <w:style w:type="paragraph" w:customStyle="1" w:styleId="363">
    <w:name w:val="正文（缩进2汉字）"/>
    <w:basedOn w:val="1"/>
    <w:link w:val="3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7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484"/>
    <w:qFormat/>
    <w:uiPriority w:val="1"/>
    <w:rPr>
      <w:szCs w:val="22"/>
    </w:rPr>
  </w:style>
  <w:style w:type="character" w:customStyle="1" w:styleId="484">
    <w:name w:val="无间隔 字符"/>
    <w:link w:val="483"/>
    <w:qFormat/>
    <w:uiPriority w:val="99"/>
    <w:rPr>
      <w:kern w:val="2"/>
      <w:sz w:val="21"/>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59"/>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54"/>
    <w:next w:val="254"/>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54"/>
    <w:next w:val="254"/>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5"/>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link w:val="630"/>
    <w:qFormat/>
    <w:uiPriority w:val="0"/>
    <w:pPr>
      <w:snapToGrid w:val="0"/>
      <w:ind w:firstLine="42" w:firstLineChars="21"/>
    </w:pPr>
    <w:rPr>
      <w:rFonts w:ascii="宋体" w:hAnsi="宋体"/>
      <w:kern w:val="0"/>
      <w:sz w:val="20"/>
      <w:szCs w:val="20"/>
    </w:rPr>
  </w:style>
  <w:style w:type="character" w:customStyle="1" w:styleId="630">
    <w:name w:val="表格 字符"/>
    <w:basedOn w:val="69"/>
    <w:link w:val="629"/>
    <w:qFormat/>
    <w:uiPriority w:val="0"/>
    <w:rPr>
      <w:rFonts w:ascii="宋体" w:hAnsi="宋体"/>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Lines="0" w:afterLines="0"/>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6"/>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link w:val="794"/>
    <w:qFormat/>
    <w:uiPriority w:val="34"/>
    <w:pPr>
      <w:adjustRightInd/>
      <w:spacing w:line="360" w:lineRule="auto"/>
      <w:ind w:firstLine="420" w:firstLineChars="200"/>
    </w:pPr>
    <w:rPr>
      <w:rFonts w:ascii="Calibri" w:hAnsi="Calibri"/>
      <w:sz w:val="24"/>
      <w:szCs w:val="22"/>
    </w:rPr>
  </w:style>
  <w:style w:type="character" w:customStyle="1" w:styleId="794">
    <w:name w:val="列出段落 字符"/>
    <w:link w:val="793"/>
    <w:qFormat/>
    <w:locked/>
    <w:uiPriority w:val="0"/>
    <w:rPr>
      <w:rFonts w:ascii="Calibri" w:hAnsi="Calibri"/>
      <w:kern w:val="2"/>
      <w:sz w:val="24"/>
      <w:szCs w:val="22"/>
    </w:rPr>
  </w:style>
  <w:style w:type="paragraph" w:customStyle="1" w:styleId="7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2"/>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7"/>
    <w:next w:val="642"/>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5"/>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2"/>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8"/>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77"/>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4"/>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39"/>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1"/>
    <w:qFormat/>
    <w:uiPriority w:val="0"/>
    <w:rPr>
      <w:b w:val="0"/>
      <w:sz w:val="20"/>
    </w:rPr>
  </w:style>
  <w:style w:type="paragraph" w:customStyle="1" w:styleId="897">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qFormat/>
    <w:uiPriority w:val="0"/>
    <w:pPr>
      <w:tabs>
        <w:tab w:val="left" w:pos="1080"/>
      </w:tabs>
      <w:ind w:left="1080" w:hanging="1080"/>
    </w:pPr>
  </w:style>
  <w:style w:type="paragraph" w:customStyle="1" w:styleId="900">
    <w:name w:val="数字标题1"/>
    <w:basedOn w:val="3"/>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3"/>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3"/>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77"/>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character" w:customStyle="1" w:styleId="965">
    <w:name w:val="未处理的提及2"/>
    <w:basedOn w:val="69"/>
    <w:semiHidden/>
    <w:unhideWhenUsed/>
    <w:uiPriority w:val="99"/>
    <w:rPr>
      <w:color w:val="605E5C"/>
      <w:shd w:val="clear" w:color="auto" w:fill="E1DFDD"/>
    </w:rPr>
  </w:style>
  <w:style w:type="character" w:customStyle="1" w:styleId="966">
    <w:name w:val="纯文本 字符1"/>
    <w:qFormat/>
    <w:locked/>
    <w:uiPriority w:val="0"/>
    <w:rPr>
      <w:rFonts w:eastAsia="宋体"/>
      <w:kern w:val="2"/>
      <w:sz w:val="24"/>
      <w:lang w:val="en-US" w:eastAsia="zh-CN" w:bidi="ar-SA"/>
    </w:rPr>
  </w:style>
  <w:style w:type="paragraph" w:customStyle="1" w:styleId="967">
    <w:name w:val="2级"/>
    <w:basedOn w:val="1"/>
    <w:next w:val="1"/>
    <w:qFormat/>
    <w:uiPriority w:val="0"/>
    <w:pPr>
      <w:numPr>
        <w:ilvl w:val="1"/>
        <w:numId w:val="1"/>
      </w:numPr>
      <w:adjustRightInd/>
      <w:spacing w:beforeLines="50" w:afterLines="50" w:line="360" w:lineRule="auto"/>
      <w:ind w:firstLine="200" w:firstLineChars="200"/>
      <w:outlineLvl w:val="1"/>
    </w:pPr>
    <w:rPr>
      <w:b/>
      <w:sz w:val="28"/>
    </w:rPr>
  </w:style>
  <w:style w:type="paragraph" w:customStyle="1" w:styleId="968">
    <w:name w:val="纯文本_0"/>
    <w:basedOn w:val="1"/>
    <w:unhideWhenUsed/>
    <w:qFormat/>
    <w:uiPriority w:val="0"/>
    <w:pPr>
      <w:adjustRightInd/>
      <w:spacing w:line="360" w:lineRule="auto"/>
      <w:ind w:firstLine="200" w:firstLineChars="200"/>
    </w:pPr>
    <w:rPr>
      <w:rFonts w:ascii="宋体" w:hAnsi="Courier New"/>
      <w:kern w:val="0"/>
      <w:sz w:val="20"/>
      <w:szCs w:val="20"/>
    </w:rPr>
  </w:style>
  <w:style w:type="paragraph" w:customStyle="1" w:styleId="969">
    <w:name w:val="Body Text First Indent 21"/>
    <w:basedOn w:val="970"/>
    <w:qFormat/>
    <w:uiPriority w:val="0"/>
    <w:pPr>
      <w:ind w:firstLine="420"/>
    </w:pPr>
    <w:rPr>
      <w:rFonts w:cs="宋体"/>
    </w:rPr>
  </w:style>
  <w:style w:type="paragraph" w:customStyle="1" w:styleId="970">
    <w:name w:val="Body Text Indent1"/>
    <w:basedOn w:val="1"/>
    <w:next w:val="1"/>
    <w:qFormat/>
    <w:uiPriority w:val="0"/>
    <w:pPr>
      <w:adjustRightInd/>
      <w:spacing w:after="120" w:line="360" w:lineRule="auto"/>
      <w:ind w:left="420" w:leftChars="200" w:firstLine="200" w:firstLineChars="200"/>
    </w:pPr>
    <w:rPr>
      <w:sz w:val="24"/>
    </w:rPr>
  </w:style>
  <w:style w:type="character" w:customStyle="1" w:styleId="971">
    <w:name w:val="Unresolved Mention"/>
    <w:basedOn w:val="6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58</Pages>
  <Words>26514</Words>
  <Characters>28790</Characters>
  <Lines>246</Lines>
  <Paragraphs>69</Paragraphs>
  <TotalTime>47</TotalTime>
  <ScaleCrop>false</ScaleCrop>
  <LinksUpToDate>false</LinksUpToDate>
  <CharactersWithSpaces>32723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2023-02-15T07:08:00Z</dcterms:created>
  <dc:creator>玥</dc:creator>
  <cp:lastModifiedBy>NTKO</cp:lastModifiedBy>
  <cp:lastPrinted>2022-07-22T14:17:00Z</cp:lastPrinted>
  <dcterms:modified xsi:type="dcterms:W3CDTF">2023-02-15T07:58:57Z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FCF0E585869849DD8AD4C90D4EF63EB2</vt:lpwstr>
  </property>
  <property fmtid="{D5CDD505-2E9C-101B-9397-08002B2CF9AE}" pid="5" name="woTemplateTypoMode" linkTarget="0">
    <vt:lpwstr>web</vt:lpwstr>
  </property>
  <property fmtid="{D5CDD505-2E9C-101B-9397-08002B2CF9AE}" pid="6" name="woTemplate" linkTarget="0">
    <vt:i4>1</vt:i4>
  </property>
</Properties>
</file>