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center"/>
        <w:rPr>
          <w:rFonts w:ascii="黑体" w:hAnsi="黑体" w:eastAsia="黑体"/>
          <w:b/>
          <w:bCs/>
          <w:sz w:val="48"/>
          <w:szCs w:val="48"/>
        </w:rPr>
      </w:pPr>
      <w:r>
        <w:rPr>
          <w:rFonts w:hint="eastAsia" w:ascii="黑体" w:hAnsi="黑体" w:eastAsia="黑体"/>
          <w:b/>
          <w:bCs/>
          <w:sz w:val="48"/>
          <w:szCs w:val="48"/>
        </w:rPr>
        <w:t>诸暨市中医医院医院信息集成平台及医院信息建设配套硬件集成项目</w:t>
      </w:r>
    </w:p>
    <w:p>
      <w:pPr>
        <w:adjustRightInd/>
        <w:spacing w:line="360" w:lineRule="auto"/>
        <w:jc w:val="center"/>
        <w:rPr>
          <w:rFonts w:ascii="黑体" w:hAnsi="黑体" w:eastAsia="黑体"/>
          <w:b/>
          <w:bCs/>
          <w:sz w:val="48"/>
          <w:szCs w:val="48"/>
        </w:rPr>
      </w:pPr>
      <w:r>
        <w:rPr>
          <w:rFonts w:hint="eastAsia" w:ascii="黑体" w:hAnsi="黑体" w:eastAsia="黑体"/>
          <w:b/>
          <w:bCs/>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（电子招投标）</w:t>
      </w:r>
    </w:p>
    <w:p>
      <w:pPr>
        <w:jc w:val="center"/>
        <w:rPr>
          <w:rFonts w:ascii="仿宋" w:hAnsi="仿宋" w:eastAsia="仿宋" w:cs="仿宋_GB2312"/>
          <w:sz w:val="30"/>
          <w:szCs w:val="30"/>
        </w:rPr>
      </w:pPr>
      <w:r>
        <w:rPr>
          <w:rFonts w:hint="eastAsia" w:ascii="仿宋" w:hAnsi="仿宋" w:eastAsia="仿宋" w:cs="仿宋_GB2312"/>
          <w:sz w:val="30"/>
          <w:szCs w:val="30"/>
        </w:rPr>
        <w:t>（编号：诸政采2022-09-0</w:t>
      </w:r>
      <w:r>
        <w:rPr>
          <w:rFonts w:ascii="仿宋" w:hAnsi="仿宋" w:eastAsia="仿宋" w:cs="仿宋_GB2312"/>
          <w:sz w:val="30"/>
          <w:szCs w:val="30"/>
        </w:rPr>
        <w:t>5</w:t>
      </w:r>
      <w:r>
        <w:rPr>
          <w:rFonts w:hint="eastAsia" w:ascii="仿宋" w:hAnsi="仿宋" w:eastAsia="仿宋" w:cs="仿宋_GB2312"/>
          <w:sz w:val="30"/>
          <w:szCs w:val="30"/>
        </w:rPr>
        <w:t>）</w:t>
      </w:r>
    </w:p>
    <w:p>
      <w:pPr>
        <w:jc w:val="center"/>
        <w:rPr>
          <w:rFonts w:ascii="黑体" w:eastAsia="黑体" w:cs="黑体"/>
          <w:sz w:val="32"/>
          <w:szCs w:val="32"/>
        </w:rPr>
      </w:pPr>
    </w:p>
    <w:p>
      <w:pPr>
        <w:jc w:val="center"/>
        <w:rPr>
          <w:rFonts w:cs="宋体"/>
          <w:b/>
          <w:bCs/>
          <w:sz w:val="84"/>
          <w:szCs w:val="84"/>
        </w:rPr>
      </w:pPr>
    </w:p>
    <w:p>
      <w:pPr>
        <w:pStyle w:val="2"/>
        <w:rPr>
          <w:lang w:val="en-US"/>
        </w:rPr>
      </w:pPr>
    </w:p>
    <w:p/>
    <w:p>
      <w:pPr>
        <w:pStyle w:val="2"/>
        <w:rPr>
          <w:lang w:val="en-US"/>
        </w:rPr>
      </w:pPr>
    </w:p>
    <w:p/>
    <w:p>
      <w:pPr>
        <w:jc w:val="center"/>
        <w:rPr>
          <w:b/>
          <w:bCs/>
          <w:sz w:val="24"/>
        </w:rPr>
      </w:pPr>
    </w:p>
    <w:p>
      <w:pPr>
        <w:pStyle w:val="2"/>
        <w:rPr>
          <w:lang w:val="en-US"/>
        </w:rPr>
      </w:pPr>
    </w:p>
    <w:p/>
    <w:p>
      <w:pPr>
        <w:jc w:val="center"/>
        <w:rPr>
          <w:b/>
          <w:bCs/>
          <w:sz w:val="24"/>
        </w:rPr>
      </w:pPr>
    </w:p>
    <w:p>
      <w:pPr>
        <w:pStyle w:val="2"/>
        <w:rPr>
          <w:lang w:val="en-US"/>
        </w:rPr>
      </w:pP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诸暨市中医医院</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诸暨市公共资源交易中心</w:t>
      </w:r>
    </w:p>
    <w:p>
      <w:pPr>
        <w:spacing w:line="360" w:lineRule="auto"/>
        <w:rPr>
          <w:rFonts w:ascii="仿宋" w:hAnsi="仿宋" w:eastAsia="仿宋" w:cs="仿宋_GB2312"/>
          <w:sz w:val="32"/>
          <w:szCs w:val="32"/>
        </w:rPr>
      </w:pPr>
      <w:r>
        <w:rPr>
          <w:rFonts w:hint="eastAsia" w:ascii="仿宋" w:hAnsi="仿宋" w:eastAsia="仿宋" w:cs="仿宋_GB2312"/>
          <w:sz w:val="32"/>
          <w:szCs w:val="32"/>
        </w:rPr>
        <w:t xml:space="preserve">                   二〇二二年九月</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24"/>
        </w:rPr>
      </w:pPr>
      <w:r>
        <w:rPr>
          <w:rFonts w:ascii="仿宋" w:hAnsi="仿宋" w:eastAsia="仿宋" w:cs="仿宋_GB2312"/>
          <w:b/>
          <w:sz w:val="44"/>
          <w:szCs w:val="44"/>
        </w:rPr>
        <w:t xml:space="preserve"> </w:t>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u w:val="single"/>
        </w:rPr>
        <w:t>诸暨市中医医院医院信息集成平台及医院信息建设配套硬件集成项目</w:t>
      </w:r>
      <w:r>
        <w:rPr>
          <w:rFonts w:hint="eastAsia" w:ascii="仿宋_GB2312" w:hAnsi="仿宋" w:eastAsia="仿宋_GB2312"/>
          <w:sz w:val="24"/>
        </w:rPr>
        <w:t>招标项目的潜在投标人应在浙江政府采购网“政府采购云平台”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获取（下载）招标文件，并于</w:t>
      </w:r>
      <w:r>
        <w:rPr>
          <w:rFonts w:hint="eastAsia" w:ascii="仿宋_GB2312" w:hAnsi="仿宋" w:eastAsia="仿宋_GB2312"/>
          <w:sz w:val="24"/>
          <w:u w:val="single"/>
        </w:rPr>
        <w:t>2022</w:t>
      </w:r>
      <w:r>
        <w:rPr>
          <w:rFonts w:ascii="仿宋_GB2312" w:hAnsi="仿宋" w:eastAsia="仿宋_GB2312"/>
          <w:sz w:val="24"/>
          <w:u w:val="single"/>
        </w:rPr>
        <w:t>年10</w:t>
      </w:r>
      <w:r>
        <w:rPr>
          <w:rFonts w:hint="eastAsia" w:ascii="仿宋_GB2312" w:hAnsi="仿宋" w:eastAsia="仿宋_GB2312"/>
          <w:sz w:val="24"/>
          <w:u w:val="single"/>
        </w:rPr>
        <w:t>月2</w:t>
      </w:r>
      <w:r>
        <w:rPr>
          <w:rFonts w:ascii="仿宋_GB2312" w:hAnsi="仿宋" w:eastAsia="仿宋_GB2312"/>
          <w:sz w:val="24"/>
          <w:u w:val="single"/>
        </w:rPr>
        <w:t>0</w:t>
      </w:r>
      <w:r>
        <w:rPr>
          <w:rFonts w:hint="eastAsia" w:ascii="仿宋_GB2312" w:hAnsi="仿宋" w:eastAsia="仿宋_GB2312"/>
          <w:sz w:val="24"/>
          <w:u w:val="single"/>
        </w:rPr>
        <w:t>日9点00分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cs="仿宋_GB2312"/>
          <w:sz w:val="24"/>
        </w:rPr>
        <w:t>诸政采2022-09-0</w:t>
      </w:r>
      <w:r>
        <w:rPr>
          <w:rFonts w:ascii="仿宋_GB2312" w:hAnsi="仿宋" w:eastAsia="仿宋_GB2312" w:cs="仿宋_GB2312"/>
          <w:sz w:val="24"/>
        </w:rPr>
        <w:t>5</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sz w:val="24"/>
          <w:u w:val="single"/>
        </w:rPr>
        <w:t>诸暨市中医医院医院信息集成平台及医院信息建设配套硬件集成建设项目</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预算金额：</w:t>
      </w:r>
      <w:r>
        <w:rPr>
          <w:rFonts w:ascii="仿宋_GB2312" w:hAnsi="仿宋" w:eastAsia="仿宋_GB2312"/>
          <w:sz w:val="24"/>
        </w:rPr>
        <w:t>737.2</w:t>
      </w:r>
      <w:r>
        <w:rPr>
          <w:rFonts w:hint="eastAsia" w:ascii="仿宋_GB2312" w:hAnsi="仿宋" w:eastAsia="仿宋_GB2312"/>
          <w:sz w:val="24"/>
        </w:rPr>
        <w:t>万元</w:t>
      </w:r>
    </w:p>
    <w:p>
      <w:pPr>
        <w:spacing w:line="360" w:lineRule="auto"/>
        <w:ind w:firstLine="480"/>
        <w:rPr>
          <w:rFonts w:ascii="仿宋_GB2312" w:hAnsi="仿宋" w:eastAsia="仿宋_GB2312"/>
          <w:sz w:val="24"/>
        </w:rPr>
      </w:pPr>
      <w:r>
        <w:rPr>
          <w:rFonts w:hint="eastAsia" w:ascii="仿宋_GB2312" w:hAnsi="仿宋" w:eastAsia="仿宋_GB2312"/>
          <w:b/>
          <w:sz w:val="24"/>
        </w:rPr>
        <w:t>最高限价：</w:t>
      </w:r>
      <w:r>
        <w:rPr>
          <w:rFonts w:ascii="仿宋_GB2312" w:hAnsi="仿宋" w:eastAsia="仿宋_GB2312"/>
          <w:sz w:val="24"/>
        </w:rPr>
        <w:t>737.2</w:t>
      </w:r>
      <w:r>
        <w:rPr>
          <w:rFonts w:hint="eastAsia" w:ascii="仿宋_GB2312" w:hAnsi="仿宋" w:eastAsia="仿宋_GB2312"/>
          <w:sz w:val="24"/>
        </w:rPr>
        <w:t>万元</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采购需求：</w:t>
      </w:r>
      <w:r>
        <w:rPr>
          <w:rFonts w:hint="eastAsia" w:ascii="仿宋_GB2312" w:hAnsi="仿宋" w:eastAsia="仿宋_GB2312"/>
          <w:sz w:val="24"/>
        </w:rPr>
        <w:t>诸暨市中医医院集成平台、医院信息建设配套硬件集成等服务，具体服务要求详见“第三部分 采购需求”。</w:t>
      </w:r>
    </w:p>
    <w:p>
      <w:pPr>
        <w:spacing w:line="360" w:lineRule="auto"/>
        <w:ind w:firstLine="482" w:firstLineChars="200"/>
        <w:jc w:val="left"/>
        <w:rPr>
          <w:rFonts w:ascii="仿宋_GB2312" w:hAnsi="仿宋" w:eastAsia="仿宋_GB2312"/>
          <w:sz w:val="24"/>
        </w:rPr>
      </w:pPr>
      <w:r>
        <w:rPr>
          <w:rFonts w:hint="eastAsia" w:ascii="仿宋_GB2312" w:hAnsi="仿宋" w:eastAsia="仿宋_GB2312"/>
          <w:b/>
          <w:sz w:val="24"/>
        </w:rPr>
        <w:t>招标服务期限：</w:t>
      </w:r>
      <w:r>
        <w:rPr>
          <w:rFonts w:hint="eastAsia" w:ascii="仿宋_GB2312" w:hAnsi="仿宋" w:eastAsia="仿宋_GB2312"/>
          <w:sz w:val="24"/>
        </w:rPr>
        <w:t>合同签订生效起五年。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_GB2312" w:hAnsi="仿宋" w:eastAsia="仿宋_GB2312"/>
          <w:bCs/>
          <w:sz w:val="24"/>
        </w:rPr>
      </w:pPr>
      <w:r>
        <w:rPr>
          <w:rFonts w:hint="eastAsia" w:ascii="仿宋_GB2312" w:hAnsi="仿宋" w:eastAsia="仿宋_GB2312"/>
          <w:bCs/>
          <w:sz w:val="24"/>
        </w:rPr>
        <w:t>1. 满足《中华人民共和国政府采购法》第二十二条规定；</w:t>
      </w:r>
    </w:p>
    <w:p>
      <w:pPr>
        <w:spacing w:line="360" w:lineRule="auto"/>
        <w:ind w:firstLine="480"/>
        <w:rPr>
          <w:rFonts w:ascii="仿宋_GB2312" w:hAnsi="仿宋" w:eastAsia="仿宋_GB2312"/>
          <w:bCs/>
          <w:sz w:val="24"/>
        </w:rPr>
      </w:pPr>
      <w:r>
        <w:rPr>
          <w:rFonts w:hint="eastAsia" w:ascii="仿宋_GB2312" w:hAnsi="仿宋" w:eastAsia="仿宋_GB2312"/>
          <w:bCs/>
          <w:sz w:val="24"/>
        </w:rPr>
        <w:t>2.未被“信用中国”（www.creditchina.gov.cn)、中国政府采购网（www.ccgp.gov.cn）列入失信被执行人、重大税收违法案件当事人名单、政府采购严重违法失信行为记录名单。</w:t>
      </w:r>
    </w:p>
    <w:p>
      <w:pPr>
        <w:spacing w:line="360" w:lineRule="auto"/>
        <w:rPr>
          <w:rFonts w:ascii="仿宋_GB2312" w:hAnsi="仿宋" w:eastAsia="仿宋_GB2312"/>
          <w:bCs/>
          <w:sz w:val="24"/>
        </w:rPr>
      </w:pPr>
      <w:r>
        <w:rPr>
          <w:rFonts w:hint="eastAsia" w:ascii="仿宋_GB2312" w:hAnsi="仿宋" w:eastAsia="仿宋_GB2312"/>
          <w:bCs/>
          <w:sz w:val="24"/>
        </w:rPr>
        <w:t xml:space="preserve">    3.落实政府采购政策需满足的资格要求：</w:t>
      </w:r>
    </w:p>
    <w:p>
      <w:pPr>
        <w:spacing w:line="360" w:lineRule="auto"/>
        <w:ind w:firstLine="480" w:firstLineChars="200"/>
        <w:rPr>
          <w:rFonts w:ascii="仿宋_GB2312" w:hAnsi="仿宋" w:eastAsia="仿宋_GB2312"/>
          <w:bCs/>
          <w:sz w:val="24"/>
        </w:rPr>
      </w:pPr>
      <w:sdt>
        <w:sdtPr>
          <w:rPr>
            <w:rFonts w:hint="eastAsia" w:ascii="仿宋_GB2312" w:hAnsi="仿宋" w:eastAsia="仿宋_GB2312"/>
            <w:bCs/>
            <w:sz w:val="24"/>
          </w:rPr>
          <w:id w:val="545068839"/>
        </w:sdtPr>
        <w:sdtEndPr>
          <w:rPr>
            <w:rFonts w:hint="eastAsia" w:ascii="仿宋_GB2312" w:hAnsi="仿宋" w:eastAsia="仿宋_GB2312"/>
            <w:bCs/>
            <w:sz w:val="24"/>
          </w:rPr>
        </w:sdtEndPr>
        <w:sdtContent>
          <w:r>
            <w:rPr>
              <w:rFonts w:hint="eastAsia" w:ascii="仿宋_GB2312" w:hAnsi="仿宋" w:eastAsia="仿宋_GB2312"/>
              <w:bCs/>
              <w:sz w:val="24"/>
            </w:rPr>
            <w:t>☐</w:t>
          </w:r>
        </w:sdtContent>
      </w:sdt>
      <w:r>
        <w:rPr>
          <w:rFonts w:hint="eastAsia" w:ascii="仿宋_GB2312" w:hAnsi="仿宋" w:eastAsia="仿宋_GB2312"/>
          <w:bCs/>
          <w:sz w:val="24"/>
        </w:rPr>
        <w:t>无；</w:t>
      </w:r>
    </w:p>
    <w:p>
      <w:pPr>
        <w:spacing w:line="360" w:lineRule="auto"/>
        <w:ind w:firstLine="480"/>
        <w:rPr>
          <w:rFonts w:ascii="仿宋_GB2312" w:hAnsi="仿宋" w:eastAsia="仿宋_GB2312" w:cs="Arial"/>
          <w:snapToGrid w:val="0"/>
          <w:sz w:val="24"/>
          <w:szCs w:val="21"/>
        </w:rPr>
      </w:pPr>
      <w:sdt>
        <w:sdtPr>
          <w:rPr>
            <w:rFonts w:hint="eastAsia" w:ascii="仿宋_GB2312" w:hAnsi="仿宋" w:eastAsia="仿宋_GB2312" w:cs="Arial"/>
            <w:kern w:val="0"/>
            <w:sz w:val="24"/>
          </w:rPr>
          <w:id w:val="8041220"/>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8041221"/>
            </w:sdtPr>
            <w:sdtEndPr>
              <w:rPr>
                <w:rFonts w:hint="eastAsia" w:ascii="仿宋_GB2312" w:hAnsi="仿宋" w:eastAsia="仿宋_GB2312" w:cs="Arial"/>
                <w:kern w:val="0"/>
                <w:sz w:val="24"/>
              </w:rPr>
            </w:sdtEndPr>
            <w:sdtContent>
              <w:r>
                <w:rPr>
                  <w:rFonts w:ascii="MS Gothic" w:hAnsi="MS Gothic" w:eastAsia="MS Gothic" w:cs="Arial"/>
                  <w:kern w:val="0"/>
                  <w:sz w:val="24"/>
                </w:rPr>
                <w:sym w:font="Wingdings" w:char="F0FE"/>
              </w:r>
              <w:r>
                <w:rPr>
                  <w:rFonts w:hint="eastAsia" w:ascii="仿宋_GB2312" w:hAnsi="仿宋" w:eastAsia="仿宋_GB2312" w:cs="Arial"/>
                  <w:kern w:val="0"/>
                  <w:sz w:val="24"/>
                </w:rPr>
                <w:t>专门面向中小企业</w:t>
              </w:r>
            </w:sdtContent>
          </w:sdt>
        </w:sdtContent>
      </w:sdt>
      <w:r>
        <w:rPr>
          <w:rFonts w:hint="eastAsia" w:ascii="仿宋_GB2312" w:hAnsi="仿宋" w:eastAsia="仿宋_GB2312"/>
          <w:bCs/>
          <w:sz w:val="24"/>
        </w:rPr>
        <w:t>。</w:t>
      </w:r>
    </w:p>
    <w:p>
      <w:pPr>
        <w:spacing w:line="360" w:lineRule="auto"/>
        <w:ind w:firstLine="480"/>
        <w:rPr>
          <w:rFonts w:ascii="仿宋_GB2312" w:hAnsi="仿宋" w:eastAsia="仿宋_GB2312"/>
          <w:bCs/>
          <w:sz w:val="24"/>
        </w:rPr>
      </w:pPr>
      <w:r>
        <w:rPr>
          <w:rFonts w:hint="eastAsia" w:ascii="仿宋_GB2312" w:hAnsi="仿宋" w:eastAsia="仿宋_GB2312"/>
          <w:bCs/>
          <w:sz w:val="24"/>
        </w:rPr>
        <w:t>4.本项目的特定资格要求：无。</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pStyle w:val="33"/>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年10月11日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w:t>
      </w:r>
      <w:r>
        <w:rPr>
          <w:rFonts w:hint="eastAsia" w:ascii="仿宋_GB2312" w:hAnsi="仿宋" w:eastAsia="仿宋_GB2312"/>
          <w:sz w:val="24"/>
        </w:rPr>
        <w:t>。招标文件发布截止时间之后有潜在供应商提出要求获取招标文件的，允许获取。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cs="Arial"/>
          <w:snapToGrid w:val="0"/>
          <w:sz w:val="24"/>
          <w:szCs w:val="21"/>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cs="Arial"/>
          <w:snapToGrid w:val="0"/>
          <w:sz w:val="24"/>
          <w:szCs w:val="21"/>
        </w:rPr>
      </w:pPr>
      <w:r>
        <w:rPr>
          <w:rFonts w:hint="eastAsia" w:ascii="仿宋_GB2312" w:hAnsi="仿宋" w:eastAsia="仿宋_GB2312"/>
          <w:b/>
          <w:sz w:val="24"/>
        </w:rPr>
        <w:t>方式：</w:t>
      </w:r>
      <w:r>
        <w:rPr>
          <w:rFonts w:hint="eastAsia" w:ascii="仿宋_GB2312" w:hAnsi="仿宋" w:eastAsia="仿宋_GB2312" w:cs="Arial"/>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w:t>
      </w:r>
      <w:r>
        <w:rPr>
          <w:rFonts w:ascii="仿宋_GB2312" w:hAnsi="仿宋" w:eastAsia="仿宋_GB2312" w:cs="Arial"/>
          <w:snapToGrid w:val="0"/>
          <w:sz w:val="24"/>
          <w:szCs w:val="21"/>
        </w:rPr>
        <w:t xml:space="preserve">0 </w:t>
      </w:r>
      <w:r>
        <w:rPr>
          <w:rFonts w:hint="eastAsia" w:ascii="仿宋_GB2312" w:hAnsi="仿宋" w:eastAsia="仿宋_GB2312" w:cs="Arial"/>
          <w:snapToGrid w:val="0"/>
          <w:sz w:val="24"/>
          <w:szCs w:val="21"/>
        </w:rPr>
        <w:t>元。</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提交投标文件截止时间及开标时间：</w:t>
      </w:r>
      <w:r>
        <w:rPr>
          <w:rFonts w:hint="eastAsia" w:ascii="仿宋_GB2312" w:hAnsi="仿宋" w:eastAsia="仿宋_GB2312"/>
          <w:sz w:val="24"/>
        </w:rPr>
        <w:t>投标人应于2022年</w:t>
      </w:r>
      <w:r>
        <w:rPr>
          <w:rFonts w:ascii="仿宋_GB2312" w:hAnsi="仿宋" w:eastAsia="仿宋_GB2312"/>
          <w:sz w:val="24"/>
        </w:rPr>
        <w:t>10</w:t>
      </w:r>
      <w:r>
        <w:rPr>
          <w:rFonts w:hint="eastAsia" w:ascii="仿宋_GB2312" w:hAnsi="仿宋" w:eastAsia="仿宋_GB2312"/>
          <w:sz w:val="24"/>
        </w:rPr>
        <w:t>月</w:t>
      </w:r>
      <w:r>
        <w:rPr>
          <w:rFonts w:ascii="仿宋_GB2312" w:hAnsi="仿宋" w:eastAsia="仿宋_GB2312"/>
          <w:sz w:val="24"/>
        </w:rPr>
        <w:t>20</w:t>
      </w:r>
      <w:r>
        <w:rPr>
          <w:rFonts w:hint="eastAsia" w:ascii="仿宋_GB2312" w:hAnsi="仿宋" w:eastAsia="仿宋_GB2312"/>
          <w:sz w:val="24"/>
        </w:rPr>
        <w:t>日9时00分（北京时间）前按照电子投标要求将电子加密标书上传到政府采购云平台，逾期或未上传成功的将导致无法投标或投标无效。</w:t>
      </w:r>
    </w:p>
    <w:p>
      <w:pPr>
        <w:pStyle w:val="33"/>
        <w:spacing w:line="360" w:lineRule="auto"/>
        <w:ind w:firstLine="482" w:firstLineChars="200"/>
        <w:rPr>
          <w:rFonts w:ascii="仿宋_GB2312" w:hAnsi="仿宋" w:eastAsia="仿宋_GB2312"/>
          <w:sz w:val="24"/>
        </w:rPr>
      </w:pPr>
      <w:r>
        <w:rPr>
          <w:rFonts w:hint="eastAsia" w:ascii="仿宋_GB2312" w:hAnsi="仿宋" w:eastAsia="仿宋_GB2312" w:cs="Times New Roman"/>
          <w:b/>
          <w:snapToGrid/>
          <w:sz w:val="24"/>
          <w:szCs w:val="24"/>
        </w:rPr>
        <w:t>开标地点：</w:t>
      </w:r>
      <w:r>
        <w:rPr>
          <w:rFonts w:hint="eastAsia" w:ascii="仿宋_GB2312" w:hAnsi="仿宋" w:eastAsia="仿宋_GB2312"/>
          <w:sz w:val="24"/>
        </w:rPr>
        <w:t>政府采购云平台（www.zcygov.cn）。所有投标人均须准时在“政府采购云平台”在线参加。</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w:t>
      </w:r>
      <w:r>
        <w:rPr>
          <w:rFonts w:hint="eastAsia" w:ascii="仿宋_GB2312" w:hAnsi="仿宋" w:eastAsia="仿宋_GB2312"/>
          <w:sz w:val="24"/>
        </w:rPr>
        <w:t>七</w:t>
      </w:r>
      <w:r>
        <w:rPr>
          <w:rFonts w:ascii="仿宋_GB2312" w:hAnsi="仿宋" w:eastAsia="仿宋_GB2312"/>
          <w:sz w:val="24"/>
        </w:rPr>
        <w:t>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w:t>
      </w:r>
    </w:p>
    <w:p>
      <w:pPr>
        <w:spacing w:line="360" w:lineRule="auto"/>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.其他事项：（1）需要落实的政府采购政策：包括节约资源、保护环境、支持创新、促进中小企业发展等，详见招标文件的第二部分投标人须知-总则。（2）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w:t>
      </w:r>
      <w:r>
        <w:rPr>
          <w:rFonts w:hint="eastAsia" w:ascii="仿宋_GB2312" w:hAnsi="仿宋" w:eastAsia="仿宋_GB2312" w:cs="仿宋_GB2312"/>
          <w:sz w:val="24"/>
        </w:rPr>
        <w:t>政府采购云平台；进入“项目采购”应用，在获取采购文件菜单中选择项目，获取招标文件；④</w:t>
      </w:r>
      <w:r>
        <w:rPr>
          <w:rFonts w:ascii="仿宋_GB2312" w:hAnsi="仿宋" w:eastAsia="仿宋_GB2312"/>
          <w:sz w:val="24"/>
        </w:rPr>
        <w:t>对未按上述方式获取</w:t>
      </w:r>
      <w:r>
        <w:rPr>
          <w:rFonts w:hint="eastAsia" w:ascii="仿宋_GB2312" w:hAnsi="仿宋" w:eastAsia="仿宋_GB2312"/>
          <w:sz w:val="24"/>
        </w:rPr>
        <w:t>招标</w:t>
      </w:r>
      <w:r>
        <w:rPr>
          <w:rFonts w:ascii="仿宋_GB2312" w:hAnsi="仿宋" w:eastAsia="仿宋_GB2312"/>
          <w:sz w:val="24"/>
        </w:rPr>
        <w:t>文件的供应商</w:t>
      </w:r>
      <w:r>
        <w:rPr>
          <w:rFonts w:hint="eastAsia" w:ascii="仿宋_GB2312" w:hAnsi="仿宋" w:eastAsia="仿宋_GB2312"/>
          <w:sz w:val="24"/>
        </w:rPr>
        <w:t>，视为未参与该项政府采购活动，不具备对该政府采购项目提出质疑的法定权利，但因供应商资格条件或报名时间设定不符合有关法律法规规定等原因使供应商权益受损的除外；⑤</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⑥</w:t>
      </w:r>
      <w:r>
        <w:rPr>
          <w:rFonts w:ascii="仿宋_GB2312" w:hAnsi="仿宋" w:eastAsia="仿宋_GB2312"/>
          <w:sz w:val="24"/>
        </w:rPr>
        <w:t>不提供招标文件纸质版</w:t>
      </w:r>
      <w:r>
        <w:rPr>
          <w:rFonts w:hint="eastAsia" w:ascii="仿宋_GB2312" w:hAnsi="仿宋" w:eastAsia="仿宋_GB2312"/>
          <w:sz w:val="24"/>
        </w:rPr>
        <w:t>；⑦</w:t>
      </w:r>
      <w:r>
        <w:rPr>
          <w:rFonts w:ascii="仿宋_GB2312" w:hAnsi="仿宋" w:eastAsia="仿宋_GB2312" w:cs="仿宋_GB2312"/>
          <w:sz w:val="24"/>
        </w:rPr>
        <w:t>投标文件的传输递交：投标人在投标截止时间前将加密的投标文件上传至政府采购云平台，还可以在投标截止时间前递交备份投标文件1份。</w:t>
      </w:r>
      <w:r>
        <w:rPr>
          <w:rFonts w:ascii="仿宋_GB2312" w:hAnsi="仿宋" w:eastAsia="仿宋_GB2312" w:cs="仿宋_GB2312"/>
          <w:b/>
          <w:bCs/>
          <w:sz w:val="24"/>
        </w:rPr>
        <w:t>备份投标文件的制作、递交详见招标文件第二部分第15点—“备份投标文件”</w:t>
      </w:r>
      <w:r>
        <w:rPr>
          <w:rFonts w:hint="eastAsia" w:ascii="仿宋_GB2312" w:hAnsi="仿宋" w:eastAsia="仿宋_GB2312" w:cs="仿宋_GB2312"/>
          <w:b/>
          <w:bCs/>
          <w:sz w:val="24"/>
        </w:rPr>
        <w:t>；</w:t>
      </w:r>
      <w:r>
        <w:rPr>
          <w:rFonts w:hint="eastAsia" w:ascii="仿宋_GB2312" w:hAnsi="仿宋" w:eastAsia="仿宋_GB2312" w:cs="仿宋_GB2312"/>
          <w:sz w:val="24"/>
        </w:rPr>
        <w:t xml:space="preserve"> ⑧投标文件的解密：投标人按照平台提示和招标文件的规定在3</w:t>
      </w:r>
      <w:r>
        <w:rPr>
          <w:rFonts w:ascii="仿宋_GB2312" w:hAnsi="仿宋" w:eastAsia="仿宋_GB2312" w:cs="仿宋_GB2312"/>
          <w:sz w:val="24"/>
        </w:rPr>
        <w:t>0</w:t>
      </w:r>
      <w:r>
        <w:rPr>
          <w:rFonts w:hint="eastAsia" w:ascii="仿宋_GB2312" w:hAnsi="仿宋" w:eastAsia="仿宋_GB2312" w:cs="仿宋_GB2312"/>
          <w:sz w:val="24"/>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_GB2312" w:hAnsi="仿宋" w:eastAsia="仿宋_GB2312"/>
          <w:sz w:val="24"/>
        </w:rPr>
        <w:t>⑨</w:t>
      </w:r>
      <w:r>
        <w:rPr>
          <w:rFonts w:ascii="仿宋_GB2312" w:hAnsi="仿宋" w:eastAsia="仿宋_GB2312" w:cs="仿宋_GB2312"/>
          <w:sz w:val="24"/>
        </w:rPr>
        <w:t>具体操作指南：详见</w:t>
      </w:r>
      <w:r>
        <w:rPr>
          <w:rFonts w:hint="eastAsia" w:ascii="仿宋_GB2312" w:hAnsi="仿宋" w:eastAsia="仿宋_GB2312" w:cs="仿宋_GB2312"/>
          <w:sz w:val="24"/>
        </w:rPr>
        <w:t>政府采购云平台“服务中心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sz w:val="24"/>
        </w:rPr>
        <w:t xml:space="preserve"> </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诸暨市中医医院</w:t>
      </w:r>
    </w:p>
    <w:p>
      <w:pPr>
        <w:spacing w:line="360" w:lineRule="auto"/>
        <w:ind w:firstLine="465"/>
        <w:rPr>
          <w:rFonts w:ascii="仿宋_GB2312" w:hAnsi="仿宋" w:eastAsia="仿宋_GB2312"/>
          <w:sz w:val="24"/>
        </w:rPr>
      </w:pPr>
      <w:r>
        <w:rPr>
          <w:rFonts w:ascii="仿宋_GB2312" w:hAnsi="仿宋" w:eastAsia="仿宋_GB2312"/>
          <w:sz w:val="24"/>
        </w:rPr>
        <w:t>地    址：</w:t>
      </w:r>
      <w:r>
        <w:rPr>
          <w:rFonts w:hint="eastAsia" w:ascii="仿宋_GB2312" w:hAnsi="仿宋" w:eastAsia="仿宋_GB2312"/>
          <w:sz w:val="24"/>
        </w:rPr>
        <w:t>诸暨市浣东街道东二路521号</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项目联系人（询问）：傅周冰      项目联系方式（询问）：0575-87777245</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质疑联系人：寿凌飞  质疑联系方式：0575-89076826</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称：诸暨市公共资源交易中心</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址：诸暨市暨东路58号6楼北602办公室</w:t>
      </w:r>
    </w:p>
    <w:p>
      <w:pPr>
        <w:spacing w:line="360" w:lineRule="auto"/>
        <w:ind w:firstLine="465"/>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rPr>
        <w:t>金泽成</w:t>
      </w:r>
    </w:p>
    <w:p>
      <w:pPr>
        <w:spacing w:line="360" w:lineRule="auto"/>
        <w:ind w:firstLine="465"/>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0575-8725301</w:t>
      </w:r>
      <w:r>
        <w:rPr>
          <w:rFonts w:ascii="仿宋_GB2312" w:hAnsi="仿宋" w:eastAsia="仿宋_GB2312"/>
          <w:sz w:val="24"/>
        </w:rPr>
        <w:t>5</w:t>
      </w:r>
      <w:r>
        <w:rPr>
          <w:rFonts w:hint="eastAsia" w:ascii="仿宋_GB2312" w:hAnsi="仿宋" w:eastAsia="仿宋_GB2312"/>
          <w:sz w:val="24"/>
        </w:rPr>
        <w:t xml:space="preserve">    </w:t>
      </w:r>
      <w:r>
        <w:rPr>
          <w:rFonts w:ascii="仿宋_GB2312" w:hAnsi="仿宋" w:eastAsia="仿宋_GB2312"/>
          <w:sz w:val="24"/>
        </w:rPr>
        <w:t>传    真：</w:t>
      </w:r>
      <w:r>
        <w:rPr>
          <w:rFonts w:hint="eastAsia" w:ascii="仿宋_GB2312" w:hAnsi="仿宋" w:eastAsia="仿宋_GB2312"/>
          <w:sz w:val="24"/>
        </w:rPr>
        <w:t>0575-87221107</w:t>
      </w:r>
    </w:p>
    <w:p>
      <w:pPr>
        <w:spacing w:line="360" w:lineRule="auto"/>
        <w:ind w:firstLine="465"/>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王小林</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0575-8725301</w:t>
      </w:r>
      <w:r>
        <w:rPr>
          <w:rFonts w:ascii="仿宋_GB2312" w:hAnsi="仿宋" w:eastAsia="仿宋_GB2312"/>
          <w:sz w:val="24"/>
        </w:rPr>
        <w:t>6</w:t>
      </w:r>
      <w:r>
        <w:rPr>
          <w:rFonts w:hint="eastAsia" w:ascii="仿宋_GB2312" w:hAnsi="仿宋" w:eastAsia="仿宋_GB2312"/>
          <w:sz w:val="24"/>
        </w:rPr>
        <w:t xml:space="preserve">           </w:t>
      </w:r>
      <w:r>
        <w:rPr>
          <w:rFonts w:ascii="仿宋_GB2312" w:hAnsi="仿宋" w:eastAsia="仿宋_GB2312"/>
          <w:sz w:val="24"/>
        </w:rPr>
        <w:t xml:space="preserve"> 传    真：</w:t>
      </w:r>
      <w:r>
        <w:rPr>
          <w:rFonts w:hint="eastAsia" w:ascii="仿宋_GB2312" w:hAnsi="仿宋" w:eastAsia="仿宋_GB2312"/>
          <w:sz w:val="24"/>
        </w:rPr>
        <w:t>0575-87221107</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诸暨市财政局政府采购监管科</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诸暨市人民中路356号</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_GB2312" w:hAnsi="仿宋" w:eastAsia="仿宋_GB2312"/>
          <w:sz w:val="24"/>
        </w:rPr>
        <w:t>0575-87023633</w:t>
      </w:r>
    </w:p>
    <w:p>
      <w:pPr>
        <w:spacing w:line="360" w:lineRule="auto"/>
        <w:ind w:firstLine="465"/>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吕康玮 </w:t>
      </w:r>
      <w:r>
        <w:rPr>
          <w:rFonts w:ascii="仿宋_GB2312" w:hAnsi="仿宋" w:eastAsia="仿宋_GB2312"/>
          <w:sz w:val="24"/>
        </w:rPr>
        <w:t xml:space="preserve"> </w:t>
      </w:r>
    </w:p>
    <w:p>
      <w:pPr>
        <w:spacing w:line="360" w:lineRule="auto"/>
        <w:ind w:firstLine="465"/>
        <w:rPr>
          <w:rFonts w:ascii="仿宋_GB2312" w:hAnsi="仿宋" w:eastAsia="仿宋_GB2312"/>
          <w:sz w:val="24"/>
        </w:rPr>
      </w:pPr>
      <w:r>
        <w:rPr>
          <w:rFonts w:ascii="仿宋_GB2312" w:hAnsi="仿宋" w:eastAsia="仿宋_GB2312"/>
          <w:sz w:val="24"/>
        </w:rPr>
        <w:t>监督投诉电话：</w:t>
      </w:r>
      <w:r>
        <w:rPr>
          <w:rFonts w:hint="eastAsia" w:ascii="仿宋_GB2312" w:hAnsi="仿宋" w:eastAsia="仿宋_GB2312"/>
          <w:sz w:val="24"/>
        </w:rPr>
        <w:t xml:space="preserve">0575-87111685 </w:t>
      </w:r>
      <w:r>
        <w:rPr>
          <w:rFonts w:ascii="仿宋_GB2312" w:hAnsi="仿宋" w:eastAsia="仿宋_GB2312"/>
          <w:sz w:val="24"/>
        </w:rPr>
        <w:t xml:space="preserve">       </w:t>
      </w:r>
      <w:r>
        <w:rPr>
          <w:rFonts w:hint="eastAsia" w:ascii="仿宋_GB2312" w:hAnsi="仿宋" w:eastAsia="仿宋_GB2312"/>
          <w:sz w:val="24"/>
        </w:rPr>
        <w:t>电子邮箱：962305234@qq.com</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w:t>
      </w:r>
      <w:r>
        <w:rPr>
          <w:rFonts w:hint="eastAsia" w:ascii="仿宋_GB2312" w:hAnsi="仿宋" w:eastAsia="仿宋_GB2312"/>
          <w:sz w:val="24"/>
        </w:rPr>
        <w:t>若对项目采购电子交易系统操作有疑问，可登录政府采购云平台（</w:t>
      </w:r>
      <w:r>
        <w:rPr>
          <w:rFonts w:ascii="仿宋_GB2312" w:hAnsi="仿宋" w:eastAsia="仿宋_GB2312"/>
          <w:sz w:val="24"/>
        </w:rPr>
        <w:t>https://www.zcygov.cn/），点击右侧咨询小采，获取采小蜜智能服务管家帮助，或拨打</w:t>
      </w:r>
      <w:r>
        <w:rPr>
          <w:rFonts w:hint="eastAsia" w:ascii="仿宋_GB2312" w:hAnsi="仿宋" w:eastAsia="仿宋_GB2312"/>
          <w:sz w:val="24"/>
        </w:rPr>
        <w:t>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4"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仿宋_GB2312"/>
                <w:b/>
                <w:sz w:val="24"/>
              </w:rPr>
            </w:pPr>
            <w:r>
              <w:rPr>
                <w:rFonts w:hint="eastAsia" w:ascii="仿宋_GB2312" w:hAnsi="仿宋" w:eastAsia="仿宋_GB2312"/>
                <w:kern w:val="0"/>
                <w:sz w:val="24"/>
                <w:lang w:val="zh-CN"/>
              </w:rPr>
              <w:t>本项目采用</w:t>
            </w:r>
            <w:r>
              <w:rPr>
                <w:rFonts w:hint="eastAsia" w:ascii="仿宋_GB2312" w:hAnsi="仿宋" w:eastAsia="仿宋_GB2312"/>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2"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kern w:val="0"/>
                <w:sz w:val="24"/>
                <w:lang w:val="zh-CN"/>
              </w:rPr>
            </w:pPr>
            <w:r>
              <w:rPr>
                <w:rFonts w:hint="eastAsia" w:ascii="仿宋_GB2312" w:hAnsi="仿宋" w:eastAsia="仿宋_GB2312"/>
                <w:kern w:val="0"/>
                <w:sz w:val="24"/>
                <w:lang w:val="zh-CN"/>
              </w:rPr>
              <w:t>有关本项目实施所需的所有费用（含税费）均计入报价。</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提醒：验收时检测费用由采购人承担，不包含在投标总价中。投标报价出现下列情形的，投标无效：</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投标文件出现不是唯一的、有选择性投标报价的；</w:t>
            </w:r>
          </w:p>
          <w:p>
            <w:pPr>
              <w:pStyle w:val="279"/>
              <w:numPr>
                <w:ilvl w:val="0"/>
                <w:numId w:val="2"/>
              </w:numPr>
              <w:snapToGrid w:val="0"/>
              <w:ind w:firstLineChars="0"/>
              <w:jc w:val="left"/>
              <w:rPr>
                <w:rFonts w:ascii="仿宋_GB2312" w:hAnsi="仿宋" w:eastAsia="仿宋_GB2312" w:cs="仿宋_GB2312"/>
                <w:bCs/>
                <w:kern w:val="0"/>
                <w:lang w:val="zh-CN"/>
              </w:rPr>
            </w:pPr>
            <w:r>
              <w:rPr>
                <w:rFonts w:hint="eastAsia" w:ascii="仿宋_GB2312" w:hAnsi="仿宋" w:eastAsia="仿宋_GB2312" w:cs="仿宋_GB2312"/>
                <w:bCs/>
                <w:kern w:val="0"/>
                <w:lang w:val="zh-CN"/>
              </w:rPr>
              <w:t>投标报价超过招标文件中规定的预算金额或者最高限价的</w:t>
            </w:r>
            <w:r>
              <w:rPr>
                <w:rFonts w:ascii="仿宋_GB2312" w:hAnsi="仿宋" w:eastAsia="仿宋_GB2312"/>
                <w:bCs/>
                <w:kern w:val="0"/>
                <w:lang w:val="zh-CN"/>
              </w:rPr>
              <w:t>;</w:t>
            </w:r>
          </w:p>
          <w:p>
            <w:pPr>
              <w:pStyle w:val="279"/>
              <w:numPr>
                <w:ilvl w:val="0"/>
                <w:numId w:val="2"/>
              </w:numPr>
              <w:ind w:firstLineChars="0"/>
              <w:rPr>
                <w:rFonts w:ascii="仿宋_GB2312" w:hAnsi="仿宋" w:eastAsia="仿宋_GB2312" w:cs="仿宋_GB2312"/>
                <w:bCs/>
                <w:kern w:val="0"/>
                <w:lang w:val="zh-CN"/>
              </w:rPr>
            </w:pPr>
            <w:r>
              <w:rPr>
                <w:rFonts w:ascii="仿宋_GB2312" w:hAnsi="仿宋" w:eastAsia="仿宋_GB2312" w:cs="仿宋_GB2312"/>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_GB2312" w:hAnsi="仿宋" w:eastAsia="仿宋_GB2312" w:cs="仿宋_GB2312"/>
                <w:bCs/>
                <w:kern w:val="0"/>
                <w:lang w:val="zh-CN"/>
              </w:rPr>
              <w:t>，</w:t>
            </w:r>
            <w:r>
              <w:rPr>
                <w:rFonts w:ascii="仿宋_GB2312" w:hAnsi="仿宋" w:eastAsia="仿宋_GB2312" w:cs="仿宋_GB2312"/>
                <w:bCs/>
                <w:kern w:val="0"/>
                <w:lang w:val="zh-CN"/>
              </w:rPr>
              <w:t>评标委员会应当将其作为无效投标处理;</w:t>
            </w:r>
          </w:p>
          <w:p>
            <w:pPr>
              <w:pStyle w:val="279"/>
              <w:numPr>
                <w:ilvl w:val="0"/>
                <w:numId w:val="2"/>
              </w:numPr>
              <w:ind w:firstLineChars="0"/>
              <w:rPr>
                <w:rFonts w:ascii="仿宋_GB2312" w:hAnsi="仿宋" w:eastAsia="仿宋_GB2312" w:cs="仿宋_GB2312"/>
                <w:bCs/>
                <w:kern w:val="0"/>
                <w:lang w:val="zh-CN"/>
              </w:rPr>
            </w:pPr>
            <w:r>
              <w:rPr>
                <w:rFonts w:hint="eastAsia" w:ascii="仿宋_GB2312" w:hAnsi="仿宋" w:eastAsia="仿宋_GB2312" w:cs="Arial"/>
                <w:bCs/>
                <w:kern w:val="0"/>
              </w:rPr>
              <w:t>投标人对根据修正原则修正后的报价不确认的</w:t>
            </w:r>
            <w:r>
              <w:rPr>
                <w:rFonts w:hint="eastAsia" w:ascii="仿宋_GB2312" w:hAnsi="仿宋" w:eastAsia="仿宋_GB2312"/>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8041245"/>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符合参加政府采购活动应当具备的一般条件的承诺函；</w:t>
            </w:r>
          </w:p>
          <w:p>
            <w:pPr>
              <w:pStyle w:val="279"/>
              <w:numPr>
                <w:ilvl w:val="0"/>
                <w:numId w:val="3"/>
              </w:numPr>
              <w:snapToGrid w:val="0"/>
              <w:ind w:firstLineChars="0"/>
              <w:rPr>
                <w:rFonts w:ascii="仿宋_GB2312" w:hAnsi="仿宋" w:eastAsia="仿宋_GB2312" w:cs="仿宋_GB2312"/>
              </w:rPr>
            </w:pPr>
            <w:r>
              <w:rPr>
                <w:rFonts w:ascii="仿宋_GB2312" w:hAnsi="仿宋" w:eastAsia="仿宋_GB2312" w:cs="仿宋_GB2312"/>
              </w:rPr>
              <w:t>中小企业声明函</w:t>
            </w:r>
            <w:r>
              <w:rPr>
                <w:rFonts w:hint="eastAsia" w:ascii="仿宋_GB2312" w:hAnsi="仿宋" w:eastAsia="仿宋_GB2312" w:cs="仿宋_GB2312"/>
              </w:rPr>
              <w:t>。</w:t>
            </w:r>
          </w:p>
          <w:p>
            <w:pPr>
              <w:spacing w:line="360" w:lineRule="auto"/>
              <w:rPr>
                <w:rFonts w:ascii="Arial" w:hAnsi="Arial" w:eastAsia="黑体" w:cs="Arial"/>
                <w:b/>
                <w:snapToGrid w:val="0"/>
                <w:kern w:val="0"/>
                <w:szCs w:val="21"/>
              </w:rPr>
            </w:pPr>
            <w:r>
              <w:rPr>
                <w:rFonts w:hint="eastAsia" w:ascii="仿宋_GB2312" w:hAnsi="仿宋" w:eastAsia="仿宋_GB2312"/>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投标函；</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授权委托书或法定代表人（单位负责人、自然人本人）身份证明</w:t>
            </w:r>
            <w:r>
              <w:rPr>
                <w:rFonts w:hint="eastAsia" w:ascii="仿宋_GB2312" w:hAnsi="仿宋" w:eastAsia="仿宋_GB2312" w:cs="仿宋_GB2312"/>
              </w:rPr>
              <w:t>；</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符合性审查资料；</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评标标准相应的商务技术资料；</w:t>
            </w:r>
          </w:p>
          <w:p>
            <w:pPr>
              <w:pStyle w:val="279"/>
              <w:numPr>
                <w:ilvl w:val="0"/>
                <w:numId w:val="4"/>
              </w:numPr>
              <w:snapToGrid w:val="0"/>
              <w:ind w:firstLineChars="0"/>
              <w:rPr>
                <w:rFonts w:ascii="仿宋_GB2312" w:hAnsi="仿宋" w:eastAsia="仿宋_GB2312" w:cs="仿宋_GB2312"/>
                <w:lang w:val="zh-CN"/>
              </w:rPr>
            </w:pPr>
            <w:r>
              <w:rPr>
                <w:rFonts w:ascii="仿宋_GB2312" w:hAnsi="仿宋" w:eastAsia="仿宋_GB2312" w:cs="仿宋_GB2312"/>
              </w:rPr>
              <w:t>商务技术偏离表；</w:t>
            </w:r>
          </w:p>
          <w:p>
            <w:pPr>
              <w:pStyle w:val="279"/>
              <w:numPr>
                <w:ilvl w:val="0"/>
                <w:numId w:val="4"/>
              </w:numPr>
              <w:snapToGrid w:val="0"/>
              <w:ind w:firstLineChars="0"/>
              <w:rPr>
                <w:rFonts w:ascii="仿宋_GB2312" w:hAnsi="仿宋" w:eastAsia="仿宋_GB2312" w:cs="仿宋_GB2312"/>
                <w:lang w:val="zh-CN"/>
              </w:rPr>
            </w:pPr>
            <w:r>
              <w:rPr>
                <w:rFonts w:hint="eastAsia" w:ascii="仿宋_GB2312" w:hAnsi="仿宋" w:eastAsia="仿宋_GB2312" w:cs="仿宋_GB2312"/>
                <w:lang w:val="zh-CN"/>
              </w:rPr>
              <w:t>政府采购供应商廉洁自律承诺书。</w:t>
            </w:r>
          </w:p>
          <w:p>
            <w:pPr>
              <w:spacing w:line="360" w:lineRule="auto"/>
              <w:rPr>
                <w:lang w:val="zh-CN"/>
              </w:rPr>
            </w:pPr>
            <w:r>
              <w:rPr>
                <w:rFonts w:hint="eastAsia" w:ascii="仿宋_GB2312" w:hAnsi="仿宋" w:eastAsia="仿宋_GB2312"/>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9"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79"/>
              <w:numPr>
                <w:ilvl w:val="0"/>
                <w:numId w:val="5"/>
              </w:numPr>
              <w:snapToGrid w:val="0"/>
              <w:ind w:firstLineChars="0"/>
              <w:rPr>
                <w:rFonts w:ascii="仿宋_GB2312" w:hAnsi="仿宋" w:eastAsia="仿宋_GB2312" w:cs="仿宋_GB2312"/>
              </w:rPr>
            </w:pPr>
            <w:r>
              <w:rPr>
                <w:rFonts w:ascii="仿宋_GB2312" w:hAnsi="仿宋" w:eastAsia="仿宋_GB2312" w:cs="仿宋_GB2312"/>
              </w:rPr>
              <w:t>开标一览表（报价表）。</w:t>
            </w:r>
          </w:p>
          <w:p>
            <w:pPr>
              <w:spacing w:line="360" w:lineRule="auto"/>
              <w:rPr>
                <w:rFonts w:ascii="仿宋_GB2312" w:hAnsi="仿宋" w:eastAsia="仿宋_GB2312"/>
                <w:b/>
                <w:sz w:val="24"/>
              </w:rPr>
            </w:pPr>
            <w:r>
              <w:rPr>
                <w:rFonts w:hint="eastAsia" w:ascii="仿宋_GB2312" w:hAnsi="仿宋" w:eastAsia="仿宋_GB2312"/>
                <w:b/>
                <w:sz w:val="24"/>
              </w:rPr>
              <w:t>投标文件含有采购人不能接受的附加条件的，</w:t>
            </w:r>
            <w:r>
              <w:rPr>
                <w:rFonts w:hint="eastAsia" w:ascii="仿宋_GB2312" w:hAnsi="仿宋" w:eastAsia="仿宋_GB2312"/>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sdt>
              <w:sdtPr>
                <w:rPr>
                  <w:rFonts w:hint="eastAsia" w:ascii="仿宋_GB2312" w:hAnsi="仿宋" w:eastAsia="仿宋_GB2312" w:cs="Arial"/>
                  <w:kern w:val="0"/>
                  <w:sz w:val="24"/>
                </w:rPr>
                <w:id w:val="-212966419"/>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2"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rPr>
            </w:pPr>
            <w:sdt>
              <w:sdtPr>
                <w:rPr>
                  <w:rFonts w:hint="eastAsia" w:ascii="仿宋_GB2312" w:hAnsi="仿宋" w:eastAsia="仿宋_GB2312" w:cs="Arial"/>
                  <w:kern w:val="0"/>
                  <w:sz w:val="24"/>
                </w:rPr>
                <w:id w:val="-1639946486"/>
              </w:sdtPr>
              <w:sdtEndPr>
                <w:rPr>
                  <w:rFonts w:hint="eastAsia" w:ascii="仿宋_GB2312" w:hAnsi="仿宋" w:eastAsia="仿宋_GB2312" w:cs="Times New Roman"/>
                  <w:kern w:val="0"/>
                  <w:sz w:val="24"/>
                </w:rPr>
              </w:sdtEndPr>
              <w:sdtContent>
                <w:sdt>
                  <w:sdtPr>
                    <w:rPr>
                      <w:rFonts w:hint="eastAsia" w:ascii="仿宋_GB2312" w:hAnsi="仿宋" w:eastAsia="仿宋_GB2312" w:cs="Arial"/>
                      <w:kern w:val="0"/>
                      <w:sz w:val="24"/>
                    </w:rPr>
                    <w:id w:val="805436019"/>
                  </w:sdtPr>
                  <w:sdtEndPr>
                    <w:rPr>
                      <w:rFonts w:hint="eastAsia" w:ascii="仿宋_GB2312" w:hAnsi="仿宋" w:eastAsia="仿宋_GB2312" w:cs="Times New Roman"/>
                      <w:kern w:val="0"/>
                      <w:sz w:val="24"/>
                    </w:rPr>
                  </w:sdtEndPr>
                  <w:sdtContent>
                    <w:r>
                      <w:rPr>
                        <w:rFonts w:ascii="MS Gothic" w:hAnsi="MS Gothic" w:eastAsia="MS Gothic" w:cs="Arial"/>
                        <w:kern w:val="0"/>
                        <w:sz w:val="24"/>
                      </w:rPr>
                      <w:sym w:font="Wingdings" w:char="F0FE"/>
                    </w:r>
                  </w:sdtContent>
                </w:sdt>
              </w:sdtContent>
            </w:sdt>
            <w:r>
              <w:rPr>
                <w:rFonts w:ascii="仿宋_GB2312" w:hAnsi="仿宋" w:eastAsia="仿宋_GB2312"/>
                <w:kern w:val="0"/>
                <w:sz w:val="24"/>
              </w:rPr>
              <w:t xml:space="preserve"> A</w:t>
            </w:r>
            <w:r>
              <w:rPr>
                <w:rFonts w:hint="eastAsia" w:ascii="仿宋_GB2312" w:hAnsi="仿宋" w:eastAsia="仿宋_GB2312"/>
                <w:kern w:val="0"/>
                <w:sz w:val="24"/>
              </w:rPr>
              <w:t>不要求提供</w:t>
            </w:r>
            <w:r>
              <w:rPr>
                <w:rFonts w:hint="eastAsia" w:ascii="仿宋_GB2312" w:hAnsi="仿宋"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s="仿宋_GB2312"/>
                <w:b/>
                <w:kern w:val="0"/>
                <w:sz w:val="24"/>
                <w:lang w:val="zh-CN"/>
              </w:rPr>
            </w:pPr>
            <w:sdt>
              <w:sdtPr>
                <w:rPr>
                  <w:rFonts w:hint="eastAsia" w:ascii="仿宋_GB2312" w:hAnsi="仿宋" w:eastAsia="仿宋_GB2312" w:cs="Arial"/>
                  <w:kern w:val="0"/>
                  <w:sz w:val="24"/>
                </w:rPr>
                <w:id w:val="8041242"/>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kern w:val="0"/>
                <w:sz w:val="24"/>
              </w:rPr>
              <w:t xml:space="preserve"> </w:t>
            </w:r>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FF0000"/>
                <w:sz w:val="24"/>
              </w:rPr>
            </w:pPr>
            <w:r>
              <w:rPr>
                <w:rFonts w:hint="eastAsia" w:ascii="仿宋_GB2312" w:hAnsi="仿宋" w:eastAsia="仿宋_GB2312" w:cs="仿宋_GB2312"/>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kern w:val="0"/>
                <w:sz w:val="24"/>
              </w:rPr>
            </w:pPr>
            <w:r>
              <w:rPr>
                <w:rFonts w:hint="eastAsia" w:ascii="仿宋_GB2312" w:hAnsi="仿宋" w:eastAsia="仿宋_GB2312"/>
                <w:kern w:val="0"/>
                <w:sz w:val="24"/>
              </w:rPr>
              <w:t>本项目不收取投标保证金。</w:t>
            </w:r>
          </w:p>
          <w:p>
            <w:pPr>
              <w:snapToGrid w:val="0"/>
              <w:spacing w:line="360" w:lineRule="auto"/>
            </w:pPr>
            <w:r>
              <w:rPr>
                <w:rFonts w:hint="eastAsia" w:ascii="仿宋_GB2312" w:hAnsi="仿宋" w:eastAsia="仿宋_GB2312"/>
                <w:kern w:val="0"/>
                <w:sz w:val="24"/>
              </w:rPr>
              <w:t>签订合同时，中标供应商须向采购人缴纳中标价1%的履约保证金。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pPr>
            <w:r>
              <w:rPr>
                <w:rFonts w:hint="eastAsia" w:ascii="仿宋_GB2312" w:hAnsi="仿宋" w:eastAsia="仿宋_GB2312" w:cs="Arial"/>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349594685"/>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属于</w:t>
            </w:r>
            <w:r>
              <w:rPr>
                <w:rFonts w:hint="eastAsia" w:ascii="仿宋_GB2312" w:hAnsi="仿宋" w:eastAsia="仿宋_GB2312" w:cs="Arial"/>
                <w:kern w:val="0"/>
                <w:sz w:val="24"/>
                <w:u w:val="single"/>
              </w:rPr>
              <w:t>软件和信息技术服务</w:t>
            </w:r>
            <w:r>
              <w:rPr>
                <w:rFonts w:hint="eastAsia" w:ascii="仿宋_GB2312" w:hAnsi="仿宋" w:eastAsia="仿宋_GB2312" w:cs="Arial"/>
                <w:kern w:val="0"/>
                <w:sz w:val="24"/>
              </w:rPr>
              <w:t>行业。</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供应商在出具《中小企业声明函》前，可通过工业和信息化部官网公共服务平台“中小企业规模类型自测小程序”自测企业规模类型。自测时企业所属行业请选择 </w:t>
            </w:r>
            <w:r>
              <w:rPr>
                <w:rFonts w:hint="eastAsia" w:ascii="仿宋_GB2312" w:hAnsi="仿宋" w:eastAsia="仿宋_GB2312" w:cs="Arial"/>
                <w:kern w:val="0"/>
                <w:sz w:val="24"/>
                <w:u w:val="single"/>
              </w:rPr>
              <w:t>软件和信息技术服务</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3"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w:t>
            </w:r>
            <w:r>
              <w:rPr>
                <w:rFonts w:ascii="仿宋_GB2312" w:hAnsi="仿宋" w:eastAsia="仿宋_GB2312" w:cs="仿宋_GB2312"/>
                <w:b/>
                <w:sz w:val="24"/>
              </w:rPr>
              <w:t xml:space="preserve">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cs="仿宋_GB2312"/>
                <w:b/>
                <w:snapToGrid/>
                <w:sz w:val="24"/>
                <w:szCs w:val="24"/>
              </w:rPr>
            </w:pPr>
            <w:r>
              <w:rPr>
                <w:rFonts w:ascii="仿宋_GB2312" w:hAnsi="仿宋" w:eastAsia="仿宋_GB2312" w:cs="仿宋_GB2312"/>
                <w:b/>
                <w:snapToGrid/>
                <w:sz w:val="24"/>
                <w:szCs w:val="24"/>
              </w:rPr>
              <w:t>诸暨市公共资源交易中心邮箱（</w:t>
            </w:r>
            <w:r>
              <w:fldChar w:fldCharType="begin"/>
            </w:r>
            <w:r>
              <w:instrText xml:space="preserve"> HYPERLINK "mailto:zjztb001@aliyun.com" </w:instrText>
            </w:r>
            <w:r>
              <w:fldChar w:fldCharType="separate"/>
            </w:r>
            <w:r>
              <w:rPr>
                <w:rStyle w:val="78"/>
                <w:rFonts w:ascii="仿宋_GB2312" w:hAnsi="仿宋" w:eastAsia="仿宋_GB2312" w:cs="仿宋_GB2312"/>
                <w:b/>
                <w:kern w:val="2"/>
                <w:sz w:val="24"/>
                <w:szCs w:val="24"/>
              </w:rPr>
              <w:t>zjztb001@aliyun.com</w:t>
            </w:r>
            <w:r>
              <w:rPr>
                <w:rStyle w:val="78"/>
                <w:rFonts w:ascii="仿宋_GB2312" w:hAnsi="仿宋" w:eastAsia="仿宋_GB2312" w:cs="仿宋_GB2312"/>
                <w:b/>
                <w:kern w:val="2"/>
                <w:sz w:val="24"/>
                <w:szCs w:val="24"/>
              </w:rPr>
              <w:fldChar w:fldCharType="end"/>
            </w:r>
            <w:r>
              <w:rPr>
                <w:rFonts w:ascii="仿宋_GB2312" w:hAnsi="仿宋" w:eastAsia="仿宋_GB2312" w:cs="仿宋_GB2312"/>
                <w:b/>
                <w:snapToGrid/>
                <w:sz w:val="24"/>
                <w:szCs w:val="24"/>
              </w:rPr>
              <w:t>）</w:t>
            </w:r>
            <w:r>
              <w:rPr>
                <w:rFonts w:hint="eastAsia" w:ascii="仿宋_GB2312" w:hAnsi="仿宋" w:eastAsia="仿宋_GB2312" w:cs="仿宋_GB2312"/>
                <w:b/>
                <w:snapToGrid/>
                <w:sz w:val="24"/>
                <w:szCs w:val="24"/>
              </w:rPr>
              <w:t>。</w:t>
            </w:r>
          </w:p>
          <w:p>
            <w:pPr>
              <w:pStyle w:val="33"/>
              <w:spacing w:line="360" w:lineRule="auto"/>
              <w:rPr>
                <w:rFonts w:ascii="仿宋_GB2312" w:hAnsi="仿宋" w:eastAsia="仿宋_GB2312"/>
                <w:kern w:val="28"/>
                <w:sz w:val="24"/>
              </w:rPr>
            </w:pPr>
            <w:r>
              <w:rPr>
                <w:rFonts w:hint="eastAsia" w:ascii="仿宋_GB2312" w:hAnsi="仿宋" w:eastAsia="仿宋_GB2312" w:cs="仿宋_GB2312"/>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b/>
                <w:bCs/>
              </w:rPr>
              <w:t>……</w:t>
            </w:r>
          </w:p>
        </w:tc>
      </w:tr>
    </w:tbl>
    <w:p/>
    <w:bookmarkEnd w:id="10"/>
    <w:p>
      <w:pPr>
        <w:adjustRightInd/>
        <w:spacing w:line="360" w:lineRule="auto"/>
        <w:outlineLvl w:val="0"/>
        <w:rPr>
          <w:rFonts w:hint="eastAsia" w:ascii="仿宋_GB2312" w:hAnsi="仿宋" w:eastAsia="仿宋_GB2312" w:cs="仿宋_GB2312"/>
          <w:b/>
          <w:sz w:val="32"/>
          <w:szCs w:val="20"/>
        </w:rPr>
      </w:pPr>
      <w:bookmarkStart w:id="11" w:name="_Toc164416483"/>
      <w:bookmarkStart w:id="12" w:name="第三部分"/>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_GB2312" w:hAnsi="仿宋" w:eastAsia="仿宋_GB2312"/>
          <w:sz w:val="24"/>
        </w:rPr>
        <w:t>“公章”系指单位法定名称章。</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sz w:val="24"/>
          </w:rPr>
          <w:id w:val="512970236"/>
        </w:sdtPr>
        <w:sdtEndPr>
          <w:rPr>
            <w:rFonts w:hint="eastAsia" w:ascii="仿宋_GB2312" w:hAnsi="仿宋" w:eastAsia="仿宋_GB2312"/>
            <w:sz w:val="24"/>
          </w:rPr>
        </w:sdtEndPr>
        <w:sdtContent>
          <w:sdt>
            <w:sdtPr>
              <w:rPr>
                <w:rFonts w:hint="eastAsia" w:ascii="仿宋_GB2312" w:hAnsi="仿宋" w:eastAsia="仿宋_GB2312" w:cs="Arial"/>
                <w:kern w:val="0"/>
                <w:sz w:val="24"/>
              </w:rPr>
              <w:id w:val="-1828113808"/>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sz w:val="24"/>
          </w:rPr>
          <w:id w:val="404888855"/>
        </w:sdtPr>
        <w:sdtEndPr>
          <w:rPr>
            <w:rFonts w:hint="eastAsia" w:ascii="仿宋_GB2312" w:hAnsi="仿宋" w:eastAsia="仿宋_GB2312"/>
            <w:sz w:val="24"/>
          </w:rPr>
        </w:sdtEndPr>
        <w:sdtContent>
          <w:r>
            <w:rPr>
              <w:rFonts w:ascii="仿宋_GB2312" w:hAnsi="仿宋" w:eastAsia="仿宋_GB2312"/>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rPr>
          <w:rFonts w:ascii="仿宋_GB2312" w:hAnsi="仿宋" w:eastAsia="仿宋_GB2312"/>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w:t>
      </w:r>
      <w:r>
        <w:rPr>
          <w:rFonts w:hint="eastAsia" w:ascii="仿宋_GB2312" w:hAnsi="宋体" w:eastAsia="仿宋_GB2312" w:cs="宋体"/>
          <w:kern w:val="0"/>
          <w:sz w:val="24"/>
        </w:rPr>
        <w:t>民法典</w:t>
      </w:r>
      <w:r>
        <w:rPr>
          <w:rFonts w:ascii="仿宋_GB2312" w:hAnsi="宋体" w:eastAsia="仿宋_GB2312" w:cs="宋体"/>
          <w:kern w:val="0"/>
          <w:sz w:val="24"/>
        </w:rPr>
        <w:t>》订立劳动合同的从业人员。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仿宋_GB2312" w:hAnsi="仿宋" w:eastAsia="仿宋_GB2312"/>
          <w:sz w:val="24"/>
        </w:rPr>
      </w:pPr>
      <w:r>
        <w:rPr>
          <w:rFonts w:ascii="仿宋_GB2312" w:hAnsi="仿宋" w:eastAsia="仿宋_GB2312"/>
          <w:sz w:val="24"/>
        </w:rPr>
        <w:t>3.3.9中小企业信用融资：</w:t>
      </w:r>
      <w:r>
        <w:rPr>
          <w:rFonts w:hint="eastAsia" w:ascii="仿宋_GB2312" w:hAnsi="仿宋" w:eastAsia="仿宋_GB2312"/>
          <w:sz w:val="24"/>
        </w:rPr>
        <w:t>供应商中标后可在政府采购云平台申请政采贷：操作路径：登录政府采购云平台-金融服务中心-【融资服务】。</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spacing w:line="360" w:lineRule="auto"/>
        <w:ind w:firstLine="480" w:firstLineChars="200"/>
        <w:rPr>
          <w:rFonts w:ascii="仿宋_GB2312" w:hAnsi="仿宋" w:eastAsia="仿宋_GB2312"/>
          <w:b/>
          <w:sz w:val="24"/>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w:t>
      </w:r>
      <w:r>
        <w:rPr>
          <w:rFonts w:hint="eastAsia" w:ascii="仿宋_GB2312" w:hAnsi="仿宋" w:eastAsia="仿宋_GB2312"/>
          <w:sz w:val="24"/>
        </w:rPr>
        <w:t>7</w:t>
      </w:r>
      <w:r>
        <w:rPr>
          <w:rFonts w:ascii="仿宋_GB2312" w:hAnsi="仿宋" w:eastAsia="仿宋_GB2312"/>
          <w:sz w:val="24"/>
        </w:rPr>
        <w:t>个工作日内，以书面形式向采购人或者采购代理机构提出质疑，否则，采购人或者采购代理机构不予受理</w:t>
      </w:r>
      <w:r>
        <w:rPr>
          <w:rFonts w:hint="eastAsia" w:ascii="仿宋_GB2312" w:hAnsi="仿宋" w:eastAsia="仿宋_GB2312"/>
          <w:sz w:val="24"/>
        </w:rPr>
        <w:t>：</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2" w:firstLineChars="200"/>
        <w:rPr>
          <w:rFonts w:ascii="仿宋_GB2312" w:hAnsi="仿宋" w:eastAsia="仿宋_GB2312"/>
          <w:b/>
          <w:sz w:val="24"/>
        </w:rPr>
      </w:pPr>
      <w:r>
        <w:rPr>
          <w:rFonts w:ascii="仿宋_GB2312" w:hAnsi="仿宋" w:eastAsia="仿宋_GB2312"/>
          <w:b/>
          <w:sz w:val="24"/>
        </w:rPr>
        <w:t>4.2.2.</w:t>
      </w:r>
      <w:r>
        <w:rPr>
          <w:rFonts w:hint="eastAsia" w:ascii="仿宋_GB2312" w:hAnsi="仿宋" w:eastAsia="仿宋_GB2312"/>
          <w:b/>
          <w:sz w:val="24"/>
        </w:rPr>
        <w:t>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3.6</w:t>
      </w:r>
      <w:r>
        <w:rPr>
          <w:rFonts w:hint="eastAsia" w:ascii="仿宋_GB2312" w:hAnsi="仿宋" w:eastAsia="仿宋_GB2312"/>
          <w:sz w:val="24"/>
        </w:rPr>
        <w:t>提出质疑的日期。</w:t>
      </w:r>
    </w:p>
    <w:p>
      <w:pPr>
        <w:pStyle w:val="33"/>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r>
        <w:rPr>
          <w:rFonts w:ascii="仿宋_GB2312" w:hAnsi="仿宋" w:eastAsia="仿宋_GB2312"/>
          <w:sz w:val="24"/>
        </w:rPr>
        <w:t>。</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4.2.4</w:t>
      </w:r>
      <w:r>
        <w:rPr>
          <w:rFonts w:hint="eastAsia" w:ascii="仿宋_GB2312" w:hAnsi="仿宋" w:eastAsia="仿宋_GB2312"/>
          <w:sz w:val="24"/>
        </w:rPr>
        <w:t>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sz w:val="24"/>
        </w:rPr>
        <w:t>5个工作日内，在浙江政府采购网的“其他公告”栏目公开质疑答复，答复内容应当完整。质疑</w:t>
      </w:r>
      <w:r>
        <w:rPr>
          <w:rFonts w:hint="eastAsia" w:ascii="仿宋_GB2312" w:hAnsi="仿宋" w:eastAsia="仿宋_GB2312"/>
          <w:sz w:val="24"/>
        </w:rPr>
        <w:t>函作为附件上传。</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w:t>
      </w:r>
      <w:r>
        <w:rPr>
          <w:rFonts w:hint="eastAsia" w:ascii="仿宋_GB2312" w:hAnsi="仿宋" w:eastAsia="仿宋_GB2312"/>
          <w:sz w:val="24"/>
        </w:rPr>
        <w:t>质疑</w:t>
      </w:r>
      <w:r>
        <w:rPr>
          <w:rFonts w:ascii="仿宋_GB2312" w:hAnsi="仿宋" w:eastAsia="仿宋_GB2312"/>
          <w:sz w:val="24"/>
        </w:rPr>
        <w:t>供应商投诉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4.3.1质疑供应商对采购人、采购代理机构的答复不满意或者采购人、采购代理机构未在规定的时间内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4.3.2</w:t>
      </w:r>
      <w:r>
        <w:rPr>
          <w:rFonts w:hint="eastAsia" w:ascii="仿宋_GB2312" w:hAnsi="仿宋" w:eastAsia="仿宋_GB2312"/>
          <w:sz w:val="24"/>
        </w:rPr>
        <w:t>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4.3.3供应</w:t>
      </w:r>
      <w:r>
        <w:rPr>
          <w:rFonts w:hint="eastAsia" w:ascii="仿宋_GB2312" w:hAnsi="仿宋" w:eastAsia="仿宋_GB2312"/>
          <w:sz w:val="24"/>
        </w:rPr>
        <w:t>商投诉应当有明确的请求和必要的证明材料。</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 xml:space="preserve">4.3.5 </w:t>
      </w:r>
      <w:r>
        <w:rPr>
          <w:rFonts w:hint="eastAsia" w:ascii="仿宋_GB2312" w:hAnsi="仿宋" w:eastAsia="仿宋_GB2312"/>
          <w:sz w:val="24"/>
        </w:rPr>
        <w:t>以联合体形式参加政府采购活动的，其投诉应当由组成联合体的所有供应商共同提出。投诉书范本及制作说明详见附件</w:t>
      </w:r>
      <w:r>
        <w:rPr>
          <w:rFonts w:ascii="仿宋_GB2312" w:hAnsi="仿宋" w:eastAsia="仿宋_GB2312"/>
          <w:sz w:val="24"/>
        </w:rPr>
        <w:t>3。</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4.4</w:t>
      </w:r>
      <w:r>
        <w:rPr>
          <w:rFonts w:hint="eastAsia" w:ascii="仿宋_GB2312" w:hAnsi="仿宋" w:eastAsia="仿宋_GB2312"/>
          <w:sz w:val="24"/>
        </w:rPr>
        <w:t>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w:t>
      </w:r>
      <w:r>
        <w:rPr>
          <w:rFonts w:hint="eastAsia" w:ascii="仿宋_GB2312" w:hAnsi="仿宋" w:eastAsia="仿宋_GB2312" w:cs="仿宋_GB2312"/>
          <w:b/>
          <w:sz w:val="32"/>
          <w:szCs w:val="20"/>
        </w:rPr>
        <w:t>补充、</w:t>
      </w:r>
      <w:r>
        <w:rPr>
          <w:rFonts w:ascii="仿宋_GB2312" w:hAnsi="仿宋" w:eastAsia="仿宋_GB2312" w:cs="仿宋_GB2312"/>
          <w:b/>
          <w:sz w:val="32"/>
          <w:szCs w:val="20"/>
        </w:rPr>
        <w:t>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澄清、补充、修改的内容为招标文件的组成部分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招标文件的澄清、补充、修改</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6.1已获取招标文件的潜在投标人，若有问题需要澄清，应于投标截止时间前，以书面形式向采购代理机构提出。</w:t>
      </w:r>
    </w:p>
    <w:p>
      <w:pPr>
        <w:pStyle w:val="161"/>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采购代理机构对招标文件进行澄清、补充、修改的，将以网上发布补充（更正）公告的形式通知所有潜在投标人，同时视情况延长投标截止时间和开标时间。该澄清、补充、修改的内容为招标文件的组成部分。</w:t>
      </w:r>
    </w:p>
    <w:p>
      <w:pPr>
        <w:pStyle w:val="161"/>
        <w:snapToGrid w:val="0"/>
        <w:spacing w:before="0"/>
        <w:ind w:firstLine="480"/>
        <w:rPr>
          <w:rFonts w:ascii="仿宋_GB2312" w:hAnsi="仿宋" w:eastAsia="仿宋_GB2312"/>
        </w:rPr>
      </w:pPr>
      <w:r>
        <w:rPr>
          <w:rFonts w:hint="eastAsia" w:ascii="仿宋_GB2312" w:hAnsi="仿宋" w:eastAsia="仿宋_GB2312"/>
        </w:rPr>
        <w:t>6.3当招标文件与澄清、补充、修改就同一内容表述不一致的以最后发出的文件或公告为准。</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2" w:firstLineChars="200"/>
        <w:rPr>
          <w:rFonts w:ascii="仿宋_GB2312" w:hAnsi="仿宋" w:eastAsia="仿宋_GB2312" w:cs="仿宋_GB2312"/>
          <w:b/>
          <w:bCs/>
          <w:sz w:val="24"/>
        </w:rPr>
      </w:pPr>
      <w:r>
        <w:rPr>
          <w:rFonts w:ascii="仿宋_GB2312" w:hAnsi="仿宋" w:eastAsia="仿宋_GB2312" w:cs="仿宋_GB2312"/>
          <w:b/>
          <w:bCs/>
          <w:sz w:val="24"/>
        </w:rPr>
        <w:t>11.1</w:t>
      </w:r>
      <w:r>
        <w:rPr>
          <w:rFonts w:hint="eastAsia" w:ascii="仿宋_GB2312" w:hAnsi="仿宋" w:eastAsia="仿宋_GB2312" w:cs="仿宋_GB2312"/>
          <w:b/>
          <w:bCs/>
          <w:sz w:val="24"/>
        </w:rPr>
        <w:t>资格文件：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rPr>
        <w:t>：</w:t>
      </w:r>
      <w:r>
        <w:rPr>
          <w:rFonts w:ascii="仿宋_GB2312" w:hAnsi="仿宋" w:eastAsia="仿宋_GB2312" w:cs="仿宋_GB2312"/>
          <w:sz w:val="24"/>
        </w:rPr>
        <w:t>联合协议</w:t>
      </w:r>
      <w:r>
        <w:rPr>
          <w:rFonts w:hint="eastAsia" w:ascii="仿宋_GB2312" w:hAnsi="仿宋" w:eastAsia="仿宋_GB2312" w:cs="仿宋_GB2312"/>
          <w:sz w:val="24"/>
        </w:rPr>
        <w:t>、联合体单位</w:t>
      </w:r>
      <w:r>
        <w:rPr>
          <w:rFonts w:ascii="仿宋_GB2312" w:hAnsi="仿宋" w:eastAsia="仿宋_GB2312" w:cs="仿宋_GB2312"/>
          <w:sz w:val="24"/>
        </w:rPr>
        <w:t>中小企业声明函；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ascii="仿宋_GB2312" w:hAnsi="仿宋" w:eastAsia="仿宋_GB2312" w:cs="仿宋_GB2312"/>
          <w:b/>
          <w:bCs/>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11.2.3符合性审查资料；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ascii="仿宋_GB2312" w:hAnsi="仿宋" w:eastAsia="仿宋_GB2312" w:cs="仿宋_GB2312"/>
          <w:sz w:val="24"/>
        </w:rPr>
        <w:t>（如需）</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5</w:t>
      </w:r>
      <w:r>
        <w:rPr>
          <w:rFonts w:ascii="仿宋_GB2312" w:hAnsi="仿宋" w:eastAsia="仿宋_GB2312" w:cs="仿宋_GB2312"/>
          <w:sz w:val="24"/>
        </w:rPr>
        <w:t>商务技术偏离表；</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p>
    <w:p>
      <w:pPr>
        <w:snapToGrid w:val="0"/>
        <w:spacing w:line="360" w:lineRule="auto"/>
        <w:ind w:firstLine="482" w:firstLineChars="200"/>
        <w:rPr>
          <w:rFonts w:ascii="仿宋_GB2312" w:hAnsi="仿宋" w:eastAsia="仿宋_GB2312" w:cs="仿宋_GB2312"/>
          <w:b/>
          <w:bCs/>
          <w:sz w:val="24"/>
          <w:u w:val="single"/>
          <w:lang w:val="zh-CN"/>
        </w:rPr>
      </w:pPr>
      <w:r>
        <w:rPr>
          <w:rFonts w:ascii="仿宋_GB2312" w:hAnsi="仿宋" w:eastAsia="仿宋_GB2312" w:cs="仿宋_GB2312"/>
          <w:b/>
          <w:bCs/>
          <w:kern w:val="0"/>
          <w:sz w:val="24"/>
          <w:lang w:val="zh-CN"/>
        </w:rPr>
        <w:t>11.</w:t>
      </w:r>
      <w:r>
        <w:rPr>
          <w:rFonts w:ascii="仿宋_GB2312" w:hAnsi="仿宋" w:eastAsia="仿宋_GB2312" w:cs="仿宋_GB2312"/>
          <w:b/>
          <w:bCs/>
          <w:kern w:val="0"/>
          <w:sz w:val="24"/>
        </w:rPr>
        <w:t>3</w:t>
      </w:r>
      <w:r>
        <w:rPr>
          <w:rFonts w:hint="eastAsia" w:ascii="仿宋_GB2312" w:hAnsi="仿宋" w:eastAsia="仿宋_GB2312" w:cs="仿宋_GB2312"/>
          <w:b/>
          <w:bCs/>
          <w:sz w:val="24"/>
        </w:rPr>
        <w:t>报价文件：</w:t>
      </w:r>
      <w:r>
        <w:rPr>
          <w:rFonts w:ascii="仿宋_GB2312" w:hAnsi="仿宋" w:eastAsia="仿宋_GB2312" w:cs="仿宋_GB2312"/>
          <w:b/>
          <w:bCs/>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r>
        <w:rPr>
          <w:rFonts w:hint="eastAsia" w:ascii="仿宋_GB2312" w:hAnsi="仿宋" w:eastAsia="仿宋_GB2312" w:cs="仿宋_GB2312"/>
          <w:sz w:val="24"/>
        </w:rPr>
        <w:t>）</w:t>
      </w:r>
      <w:r>
        <w:rPr>
          <w:rFonts w:ascii="仿宋_GB2312" w:hAnsi="仿宋" w:eastAsia="仿宋_GB2312" w:cs="仿宋_GB2312"/>
          <w:sz w:val="24"/>
        </w:rPr>
        <w:t>。</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1</w:t>
      </w:r>
      <w:r>
        <w:rPr>
          <w:rFonts w:ascii="仿宋_GB2312" w:hAnsi="仿宋" w:eastAsia="仿宋_GB2312"/>
          <w:b/>
          <w:sz w:val="24"/>
        </w:rPr>
        <w:t>1.4</w:t>
      </w:r>
      <w:r>
        <w:rPr>
          <w:rFonts w:hint="eastAsia" w:ascii="仿宋_GB2312" w:hAnsi="仿宋" w:eastAsia="仿宋_GB2312"/>
          <w:b/>
          <w:sz w:val="24"/>
        </w:rPr>
        <w:t>投标文件含有采购人不能接受的附加条件的，投标无效；投标人提供虚假材料投标的，投标无效。</w:t>
      </w:r>
    </w:p>
    <w:p>
      <w:pPr>
        <w:pStyle w:val="161"/>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12.4</w:t>
      </w:r>
      <w:r>
        <w:rPr>
          <w:rFonts w:hint="eastAsia" w:ascii="仿宋_GB2312" w:hAnsi="仿宋" w:eastAsia="仿宋_GB2312" w:cs="仿宋_GB2312"/>
          <w:kern w:val="0"/>
          <w:sz w:val="24"/>
          <w:lang w:val="zh-CN"/>
        </w:rPr>
        <w:t>投标人应充分考虑完成平台注册、申领CA证书等所需时间，如未在“政府采购云平台”系统内完成相关流程，而引起的投标或响应无效的责任自负。</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6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6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61"/>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1"/>
        <w:spacing w:before="0"/>
        <w:ind w:firstLine="480"/>
        <w:rPr>
          <w:rFonts w:ascii="仿宋_GB2312" w:hAnsi="仿宋" w:eastAsia="仿宋_GB2312" w:cs="仿宋_GB2312"/>
          <w:color w:val="FF0000"/>
          <w:szCs w:val="24"/>
          <w:u w:val="single"/>
        </w:rPr>
      </w:pPr>
      <w:r>
        <w:rPr>
          <w:rFonts w:ascii="仿宋_GB2312" w:hAnsi="仿宋" w:eastAsia="仿宋_GB2312"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w:t>
      </w:r>
      <w:r>
        <w:rPr>
          <w:rFonts w:hint="eastAsia" w:ascii="仿宋_GB2312" w:hAnsi="仿宋" w:eastAsia="仿宋_GB2312" w:cs="仿宋_GB2312"/>
          <w:sz w:val="24"/>
          <w:szCs w:val="24"/>
        </w:rPr>
        <w:t>向</w:t>
      </w:r>
      <w:r>
        <w:rPr>
          <w:rFonts w:ascii="仿宋_GB2312" w:hAnsi="仿宋" w:eastAsia="仿宋_GB2312" w:cs="仿宋_GB2312"/>
          <w:bCs/>
          <w:snapToGrid/>
          <w:sz w:val="24"/>
          <w:szCs w:val="24"/>
        </w:rPr>
        <w:t>诸暨</w:t>
      </w:r>
      <w:r>
        <w:rPr>
          <w:rFonts w:ascii="仿宋_GB2312" w:hAnsi="仿宋" w:eastAsia="仿宋_GB2312" w:cs="仿宋_GB2312"/>
          <w:bCs/>
          <w:sz w:val="24"/>
          <w:szCs w:val="24"/>
        </w:rPr>
        <w:t>市公共资源交易中心邮箱（</w:t>
      </w:r>
      <w:r>
        <w:rPr>
          <w:rFonts w:ascii="仿宋_GB2312" w:hAnsi="仿宋" w:eastAsia="仿宋_GB2312" w:cs="仿宋_GB2312"/>
          <w:sz w:val="24"/>
          <w:szCs w:val="24"/>
        </w:rPr>
        <w:t>zjztb001@aliyun.com）递交备份投标文件1份，</w:t>
      </w:r>
      <w:r>
        <w:rPr>
          <w:rFonts w:hint="eastAsia" w:ascii="仿宋_GB2312" w:hAnsi="仿宋" w:eastAsia="仿宋_GB2312" w:cs="仿宋_GB2312"/>
          <w:b/>
          <w:sz w:val="24"/>
          <w:szCs w:val="24"/>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w:t>
      </w:r>
      <w:r>
        <w:rPr>
          <w:rFonts w:ascii="仿宋_GB2312" w:hAnsi="仿宋" w:eastAsia="仿宋_GB2312" w:cs="仿宋_GB2312"/>
          <w:b/>
          <w:sz w:val="24"/>
          <w:szCs w:val="24"/>
        </w:rPr>
        <w:t xml:space="preserve"> </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15.3采购代理机构将拒绝接受逾期送达的备份投标文件。</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33"/>
        <w:spacing w:line="360" w:lineRule="auto"/>
        <w:ind w:firstLine="477" w:firstLineChars="199"/>
        <w:rPr>
          <w:rFonts w:ascii="仿宋_GB2312" w:hAnsi="仿宋" w:eastAsia="仿宋_GB2312" w:cs="仿宋_GB2312"/>
          <w:sz w:val="24"/>
          <w:szCs w:val="24"/>
        </w:rPr>
      </w:pPr>
      <w:r>
        <w:rPr>
          <w:rFonts w:hint="eastAsia" w:ascii="仿宋_GB2312" w:hAnsi="仿宋" w:eastAsia="仿宋_GB2312" w:cs="仿宋_GB2312"/>
          <w:sz w:val="24"/>
          <w:szCs w:val="24"/>
        </w:rPr>
        <w:t>1</w:t>
      </w:r>
      <w:r>
        <w:rPr>
          <w:rFonts w:ascii="仿宋_GB2312" w:hAnsi="仿宋" w:eastAsia="仿宋_GB2312" w:cs="仿宋_GB2312"/>
          <w:sz w:val="24"/>
          <w:szCs w:val="24"/>
        </w:rPr>
        <w:t>5.5</w:t>
      </w:r>
      <w:r>
        <w:rPr>
          <w:rFonts w:hint="eastAsia" w:ascii="仿宋_GB2312" w:hAnsi="仿宋" w:eastAsia="仿宋_GB2312" w:cs="仿宋_GB2312"/>
          <w:sz w:val="24"/>
          <w:szCs w:val="24"/>
        </w:rPr>
        <w:t>投标文件如有补充、修改，备份投标文件应同步调整并再次提交，采购代理机构以最新备份投标文件为准。</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sz w:val="24"/>
        </w:rPr>
        <w:t>★</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6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6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1"/>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60"/>
        <w:spacing w:before="0" w:line="360" w:lineRule="auto"/>
        <w:ind w:left="0" w:firstLine="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6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18.1采购代理机构按照招标文件规定的时间通过电子交易平台组织开标，所有投标人均应当准时在线参加。投标人不足3家的，不得开标。</w:t>
      </w:r>
    </w:p>
    <w:p>
      <w:pPr>
        <w:pStyle w:val="56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18.2开标时，电子交易平台按开标时间自动提取所有投标文件。采购代理机构依托电子交易平台发起开始解密指令，投标人按照平台提示</w:t>
      </w:r>
      <w:r>
        <w:rPr>
          <w:rFonts w:hint="eastAsia" w:ascii="仿宋_GB2312" w:hAnsi="仿宋" w:eastAsia="仿宋_GB2312" w:cs="仿宋_GB2312"/>
          <w:sz w:val="24"/>
        </w:rPr>
        <w:t>在</w:t>
      </w:r>
      <w:r>
        <w:rPr>
          <w:rFonts w:ascii="仿宋_GB2312" w:hAnsi="仿宋" w:eastAsia="仿宋_GB2312" w:cs="仿宋_GB2312"/>
          <w:sz w:val="24"/>
        </w:rPr>
        <w:t>招标文件规定</w:t>
      </w:r>
      <w:r>
        <w:rPr>
          <w:rFonts w:hint="eastAsia" w:ascii="仿宋_GB2312" w:hAnsi="仿宋" w:eastAsia="仿宋_GB2312" w:cs="仿宋_GB2312"/>
          <w:sz w:val="24"/>
        </w:rPr>
        <w:t>时间</w:t>
      </w:r>
      <w:r>
        <w:rPr>
          <w:rFonts w:ascii="仿宋_GB2312" w:hAnsi="仿宋" w:eastAsia="仿宋_GB2312" w:cs="仿宋_GB2312"/>
          <w:sz w:val="24"/>
        </w:rPr>
        <w:t>内完成在线解密。</w:t>
      </w:r>
    </w:p>
    <w:p>
      <w:pPr>
        <w:pStyle w:val="56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投标文件未按时解密，投标人提供了备份投标文件的，经投标人同意后以备份投标文件作为依据，否则视为投标文件撤回。投标文件已按时解密的，备份投标文件自动失效。</w:t>
      </w:r>
    </w:p>
    <w:p>
      <w:pPr>
        <w:pStyle w:val="560"/>
        <w:spacing w:before="0" w:line="360" w:lineRule="auto"/>
        <w:ind w:left="0" w:firstLine="0"/>
        <w:contextualSpacing/>
        <w:rPr>
          <w:rFonts w:ascii="仿宋_GB2312" w:hAnsi="仿宋" w:eastAsia="仿宋_GB2312" w:cs="仿宋_GB2312"/>
          <w:b/>
          <w:sz w:val="24"/>
        </w:rPr>
      </w:pPr>
      <w:r>
        <w:rPr>
          <w:rFonts w:ascii="仿宋_GB2312" w:hAnsi="仿宋" w:eastAsia="仿宋_GB2312" w:cs="仿宋_GB2312"/>
          <w:b/>
          <w:sz w:val="24"/>
        </w:rPr>
        <w:t>19</w:t>
      </w:r>
      <w:r>
        <w:rPr>
          <w:rFonts w:ascii="仿宋_GB2312" w:hAnsi="仿宋" w:eastAsia="仿宋_GB2312" w:cs="仿宋_GB2312"/>
          <w:b/>
          <w:sz w:val="24"/>
          <w:szCs w:val="24"/>
        </w:rPr>
        <w:t>.</w:t>
      </w:r>
      <w:r>
        <w:rPr>
          <w:rFonts w:ascii="仿宋_GB2312" w:hAnsi="仿宋" w:eastAsia="仿宋_GB2312" w:cs="仿宋_GB2312"/>
          <w:b/>
          <w:sz w:val="24"/>
        </w:rPr>
        <w:t>资格审查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有效资格证明材料的，视为投标人不具备招标文件中规定的资格要求，其投标无效。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19.4对未通过资格审查的投标人，采购人或采购代理机构告知其未通过的原因。</w:t>
      </w:r>
    </w:p>
    <w:p>
      <w:pPr>
        <w:pStyle w:val="16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61"/>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20.1信用信息查询渠道及截止时间：采购代理机构将通过“信用中国”网站(www.creditchina.gov.cn)、中国政府采购网(www.ccgp.gov.cn)渠道查询投标人投标截止时间当天的信用记录。</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61"/>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6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_GB2312" w:hAnsi="仿宋" w:eastAsia="仿宋_GB2312" w:cs="仿宋_GB2312"/>
          <w:b/>
          <w:sz w:val="24"/>
        </w:rPr>
        <w:t>详见招标文件第四部分评标办法。</w:t>
      </w: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61"/>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5个工作日内通过电子交易平台在评审报告推荐的中标候选人中确定中标供应商</w:t>
      </w:r>
      <w:r>
        <w:rPr>
          <w:rFonts w:hint="eastAsia" w:ascii="仿宋_GB2312" w:hAnsi="仿宋" w:eastAsia="仿宋_GB2312" w:cs="仿宋_GB2312"/>
          <w:szCs w:val="24"/>
        </w:rPr>
        <w:t>，并将结果确认书面提交给采购代理机构</w:t>
      </w:r>
      <w:r>
        <w:rPr>
          <w:rFonts w:ascii="仿宋_GB2312" w:hAnsi="仿宋" w:eastAsia="仿宋_GB2312" w:cs="仿宋_GB2312"/>
          <w:szCs w:val="24"/>
        </w:rPr>
        <w:t>。</w:t>
      </w:r>
    </w:p>
    <w:p>
      <w:pPr>
        <w:pStyle w:val="161"/>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23.1自中标人确定之日起2个工作日内，采购代理机构通过电子交易平台向中标人发出中标通知书，</w:t>
      </w:r>
      <w:r>
        <w:rPr>
          <w:rFonts w:hint="eastAsia" w:ascii="仿宋_GB2312" w:hAnsi="仿宋" w:eastAsia="仿宋_GB2312" w:cs="仿宋_GB2312"/>
          <w:sz w:val="24"/>
        </w:rPr>
        <w:t>同时编制发布采购结果公告。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61"/>
        <w:snapToGrid w:val="0"/>
        <w:spacing w:before="0"/>
        <w:ind w:firstLine="480"/>
        <w:rPr>
          <w:rFonts w:ascii="仿宋_GB2312" w:hAnsi="仿宋" w:eastAsia="仿宋_GB2312"/>
          <w:kern w:val="0"/>
          <w:lang w:val="zh-CN"/>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61"/>
        <w:snapToGrid w:val="0"/>
        <w:spacing w:before="0"/>
        <w:ind w:firstLine="480"/>
        <w:rPr>
          <w:rFonts w:ascii="仿宋_GB2312" w:hAnsi="仿宋" w:eastAsia="仿宋_GB2312"/>
          <w:kern w:val="0"/>
        </w:rPr>
      </w:pPr>
      <w:r>
        <w:rPr>
          <w:rFonts w:ascii="仿宋_GB2312" w:hAnsi="仿宋" w:eastAsia="仿宋_GB2312" w:cs="仿宋_GB2312"/>
        </w:rPr>
        <w:t>25.3</w:t>
      </w:r>
      <w:r>
        <w:rPr>
          <w:rFonts w:hint="eastAsia" w:ascii="仿宋_GB2312" w:hAnsi="仿宋" w:eastAsia="仿宋_GB2312" w:cs="仿宋_GB2312"/>
        </w:rPr>
        <w:t>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25.4如签订合同并生效后，供应商无故拒绝或延期，除按照合同条款处理外，</w:t>
      </w:r>
      <w:r>
        <w:rPr>
          <w:rFonts w:hint="eastAsia" w:ascii="仿宋_GB2312" w:hAnsi="仿宋" w:eastAsia="仿宋_GB2312" w:cs="仿宋_GB2312"/>
        </w:rPr>
        <w:t>将上报政府采购监管部门予以处理</w:t>
      </w:r>
      <w:r>
        <w:rPr>
          <w:rFonts w:ascii="仿宋_GB2312" w:hAnsi="仿宋" w:eastAsia="仿宋_GB2312" w:cs="仿宋_GB2312"/>
        </w:rPr>
        <w:t>。</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25.5中标供应</w:t>
      </w:r>
      <w:r>
        <w:rPr>
          <w:rFonts w:hint="eastAsia" w:ascii="仿宋_GB2312" w:hAnsi="仿宋" w:eastAsia="仿宋_GB2312" w:cs="仿宋_GB2312"/>
        </w:rPr>
        <w:t>商拒绝与采购人签订合同的，采购人应当重新开展政府采购活动。</w:t>
      </w:r>
    </w:p>
    <w:p>
      <w:pPr>
        <w:pStyle w:val="161"/>
        <w:snapToGrid w:val="0"/>
        <w:spacing w:before="0" w:after="120"/>
        <w:ind w:firstLine="480"/>
        <w:rPr>
          <w:rFonts w:ascii="仿宋_GB2312" w:hAnsi="仿宋" w:eastAsia="仿宋_GB2312" w:cs="仿宋_GB2312"/>
        </w:rPr>
      </w:pPr>
      <w:r>
        <w:rPr>
          <w:rFonts w:ascii="仿宋_GB2312" w:hAnsi="仿宋" w:eastAsia="仿宋_GB2312" w:cs="仿宋_GB2312"/>
        </w:rPr>
        <w:t>25.6采购合同由采购人与中标供应商根据</w:t>
      </w:r>
      <w:r>
        <w:rPr>
          <w:rFonts w:hint="eastAsia" w:ascii="仿宋_GB2312" w:hAnsi="仿宋" w:eastAsia="仿宋_GB2312" w:cs="仿宋_GB2312"/>
        </w:rPr>
        <w:t>招标文件、投标文件等内容签订并公告。</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b/>
          <w:sz w:val="32"/>
        </w:rPr>
      </w:pPr>
      <w:r>
        <w:rPr>
          <w:rFonts w:hint="eastAsia" w:ascii="仿宋_GB2312" w:hAnsi="仿宋" w:eastAsia="仿宋_GB2312" w:cs="Helvetica"/>
          <w:kern w:val="0"/>
          <w:sz w:val="24"/>
        </w:rPr>
        <w:t>供应商可登录政府采购云平台-【金融服务】—【我的项目】—【已备案合同】以保函形式提供。政府采购云平台金融专线400-903-9583。</w:t>
      </w:r>
    </w:p>
    <w:p>
      <w:pPr>
        <w:snapToGrid w:val="0"/>
        <w:spacing w:line="360" w:lineRule="auto"/>
        <w:jc w:val="center"/>
        <w:rPr>
          <w:rFonts w:ascii="仿宋_GB2312" w:hAnsi="仿宋" w:eastAsia="仿宋_GB2312"/>
          <w:b/>
          <w:sz w:val="24"/>
        </w:rPr>
      </w:pPr>
      <w:r>
        <w:rPr>
          <w:rFonts w:hint="eastAsia" w:ascii="仿宋_GB2312" w:hAnsi="仿宋" w:eastAsia="仿宋_GB2312" w:cs="仿宋_GB2312"/>
          <w:b/>
          <w:sz w:val="32"/>
        </w:rPr>
        <w:t>八、电子交易活动的中止</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 xml:space="preserve">27.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6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61"/>
        <w:snapToGrid w:val="0"/>
        <w:spacing w:before="0"/>
        <w:ind w:firstLine="0" w:firstLineChars="0"/>
        <w:rPr>
          <w:rFonts w:ascii="仿宋_GB2312" w:hAnsi="仿宋" w:eastAsia="仿宋_GB2312" w:cs="仿宋_GB2312"/>
        </w:rPr>
      </w:pPr>
      <w:r>
        <w:rPr>
          <w:rFonts w:ascii="仿宋_GB2312" w:hAnsi="仿宋" w:eastAsia="仿宋_GB2312" w:cs="仿宋_GB2312"/>
          <w:b/>
          <w:bCs/>
        </w:rPr>
        <w:t>28.</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w:t>
      </w:r>
      <w:r>
        <w:rPr>
          <w:rFonts w:hint="eastAsia" w:ascii="仿宋_GB2312" w:hAnsi="仿宋" w:eastAsia="仿宋_GB2312" w:cs="仿宋_GB2312"/>
        </w:rPr>
        <w:t>报告政府采购监管部门并组织重新采购</w:t>
      </w:r>
      <w:r>
        <w:rPr>
          <w:rFonts w:ascii="仿宋_GB2312" w:hAnsi="仿宋" w:eastAsia="仿宋_GB2312" w:cs="仿宋_GB2312"/>
        </w:rPr>
        <w:t>。</w:t>
      </w: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w:t>
      </w:r>
      <w:r>
        <w:rPr>
          <w:rFonts w:hint="eastAsia" w:ascii="仿宋_GB2312" w:hAnsi="仿宋" w:eastAsia="仿宋_GB2312" w:cs="Helvetica"/>
          <w:kern w:val="0"/>
          <w:sz w:val="24"/>
        </w:rPr>
        <w:t>，相关费用原则上由采购人支付（采购需求另行规定的除外）</w:t>
      </w:r>
      <w:r>
        <w:rPr>
          <w:rFonts w:ascii="仿宋_GB2312" w:hAnsi="仿宋" w:eastAsia="仿宋_GB2312" w:cs="Helvetic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68073093"/>
      <w:bookmarkEnd w:id="14"/>
      <w:bookmarkStart w:id="15" w:name="_Hlt68403820"/>
      <w:bookmarkEnd w:id="15"/>
      <w:bookmarkStart w:id="16" w:name="_Hlt74714665"/>
      <w:bookmarkEnd w:id="16"/>
      <w:bookmarkStart w:id="17" w:name="_Hlt68057669"/>
      <w:bookmarkEnd w:id="17"/>
      <w:bookmarkStart w:id="18" w:name="_Hlt68072998"/>
      <w:bookmarkEnd w:id="18"/>
      <w:bookmarkStart w:id="19" w:name="_Hlt75236101"/>
      <w:bookmarkEnd w:id="19"/>
      <w:bookmarkStart w:id="20" w:name="_Hlt74707468"/>
      <w:bookmarkEnd w:id="20"/>
      <w:bookmarkStart w:id="21" w:name="_Hlt74730295"/>
      <w:bookmarkEnd w:id="21"/>
      <w:bookmarkStart w:id="22" w:name="_Hlt68072990"/>
      <w:bookmarkEnd w:id="22"/>
      <w:bookmarkStart w:id="23" w:name="_Hlt74729768"/>
      <w:bookmarkEnd w:id="23"/>
      <w:bookmarkStart w:id="24" w:name="_Hlt75236290"/>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（一）建设清单</w:t>
      </w:r>
    </w:p>
    <w:p>
      <w:pPr>
        <w:pStyle w:val="401"/>
        <w:spacing w:after="120"/>
        <w:ind w:firstLine="420"/>
        <w:rPr>
          <w:rFonts w:hint="eastAsia" w:ascii="宋体" w:hAnsi="宋体" w:cs="仿宋_GB2312"/>
          <w:sz w:val="21"/>
          <w:szCs w:val="21"/>
        </w:rPr>
      </w:pPr>
      <w:r>
        <w:rPr>
          <w:rFonts w:hint="eastAsia" w:ascii="宋体" w:hAnsi="宋体" w:cs="仿宋_GB2312"/>
          <w:sz w:val="21"/>
          <w:szCs w:val="21"/>
        </w:rPr>
        <w:t>本次采购项目为诸暨中医医院集成平台硬件设备采购项目。其招标内容主要为：硬件及基础软件的采购、安装调试、系统集成、运行维护和项目验收以及技术培训和售后现场技术服务等。投标人需按本招标文件的要求完成系统的设计、产品购买、运输、装卸、现场安装、调试及试运行，并完成系统集成、培训及售后服务等工作。本项目为交钥匙工程，项目涉及的软件系统安装实施、硬件设备系统集成以及其他相关项目实施工作均需在移交前完成。系统安全性须符合有关部门要求，能通过第三方检测验收，采购清单如下：</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631"/>
        <w:gridCol w:w="2176"/>
        <w:gridCol w:w="86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序号</w:t>
            </w:r>
          </w:p>
        </w:tc>
        <w:tc>
          <w:tcPr>
            <w:tcW w:w="2137"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设备名称</w:t>
            </w:r>
          </w:p>
        </w:tc>
        <w:tc>
          <w:tcPr>
            <w:tcW w:w="128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技术要求</w:t>
            </w:r>
          </w:p>
        </w:tc>
        <w:tc>
          <w:tcPr>
            <w:tcW w:w="51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单位</w:t>
            </w:r>
          </w:p>
        </w:tc>
        <w:tc>
          <w:tcPr>
            <w:tcW w:w="56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w:t>
            </w:r>
          </w:p>
        </w:tc>
        <w:tc>
          <w:tcPr>
            <w:tcW w:w="2137"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虚拟化超融合系统</w:t>
            </w:r>
          </w:p>
        </w:tc>
        <w:tc>
          <w:tcPr>
            <w:tcW w:w="128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套</w:t>
            </w:r>
          </w:p>
        </w:tc>
        <w:tc>
          <w:tcPr>
            <w:tcW w:w="56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2</w:t>
            </w:r>
          </w:p>
        </w:tc>
        <w:tc>
          <w:tcPr>
            <w:tcW w:w="2137"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HIS数据库服务器</w:t>
            </w:r>
          </w:p>
        </w:tc>
        <w:tc>
          <w:tcPr>
            <w:tcW w:w="128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台</w:t>
            </w:r>
          </w:p>
        </w:tc>
        <w:tc>
          <w:tcPr>
            <w:tcW w:w="56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3</w:t>
            </w:r>
          </w:p>
        </w:tc>
        <w:tc>
          <w:tcPr>
            <w:tcW w:w="2137"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EMR数据库服务器</w:t>
            </w:r>
          </w:p>
        </w:tc>
        <w:tc>
          <w:tcPr>
            <w:tcW w:w="128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台</w:t>
            </w:r>
          </w:p>
        </w:tc>
        <w:tc>
          <w:tcPr>
            <w:tcW w:w="56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4</w:t>
            </w:r>
          </w:p>
        </w:tc>
        <w:tc>
          <w:tcPr>
            <w:tcW w:w="2137"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集成平台数据库服务器</w:t>
            </w:r>
          </w:p>
        </w:tc>
        <w:tc>
          <w:tcPr>
            <w:tcW w:w="128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台</w:t>
            </w:r>
          </w:p>
        </w:tc>
        <w:tc>
          <w:tcPr>
            <w:tcW w:w="561"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5</w:t>
            </w:r>
          </w:p>
        </w:tc>
        <w:tc>
          <w:tcPr>
            <w:tcW w:w="2137" w:type="pct"/>
            <w:vAlign w:val="center"/>
          </w:tcPr>
          <w:p>
            <w:pPr>
              <w:jc w:val="center"/>
              <w:rPr>
                <w:rFonts w:hint="eastAsia" w:ascii="宋体" w:hAnsi="宋体" w:cs="仿宋_GB2312"/>
                <w:kern w:val="0"/>
                <w:szCs w:val="21"/>
              </w:rPr>
            </w:pPr>
            <w:r>
              <w:rPr>
                <w:rFonts w:hint="eastAsia" w:ascii="宋体" w:hAnsi="宋体" w:cs="仿宋_GB2312"/>
                <w:color w:val="000000"/>
                <w:kern w:val="0"/>
                <w:szCs w:val="21"/>
              </w:rPr>
              <w:t>应用系统数据库双活存储</w:t>
            </w:r>
          </w:p>
        </w:tc>
        <w:tc>
          <w:tcPr>
            <w:tcW w:w="1281" w:type="pct"/>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6</w:t>
            </w:r>
          </w:p>
        </w:tc>
        <w:tc>
          <w:tcPr>
            <w:tcW w:w="2137" w:type="pct"/>
            <w:vAlign w:val="center"/>
          </w:tcPr>
          <w:p>
            <w:pPr>
              <w:jc w:val="center"/>
              <w:rPr>
                <w:rFonts w:hint="eastAsia" w:ascii="宋体" w:hAnsi="宋体" w:cs="仿宋_GB2312"/>
                <w:kern w:val="0"/>
                <w:szCs w:val="21"/>
              </w:rPr>
            </w:pPr>
            <w:r>
              <w:rPr>
                <w:rFonts w:hint="eastAsia" w:ascii="宋体" w:hAnsi="宋体" w:cs="仿宋_GB2312"/>
                <w:color w:val="000000"/>
                <w:kern w:val="0"/>
                <w:szCs w:val="21"/>
              </w:rPr>
              <w:t>集成平台双活存储</w:t>
            </w:r>
          </w:p>
        </w:tc>
        <w:tc>
          <w:tcPr>
            <w:tcW w:w="1281" w:type="pct"/>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7</w:t>
            </w:r>
          </w:p>
        </w:tc>
        <w:tc>
          <w:tcPr>
            <w:tcW w:w="2137" w:type="pct"/>
            <w:vAlign w:val="center"/>
          </w:tcPr>
          <w:p>
            <w:pPr>
              <w:jc w:val="center"/>
              <w:rPr>
                <w:rFonts w:hint="eastAsia" w:ascii="宋体" w:hAnsi="宋体" w:cs="仿宋_GB2312"/>
                <w:kern w:val="0"/>
                <w:szCs w:val="21"/>
              </w:rPr>
            </w:pPr>
            <w:r>
              <w:rPr>
                <w:rFonts w:hint="eastAsia" w:ascii="宋体" w:hAnsi="宋体" w:cs="仿宋_GB2312"/>
                <w:color w:val="000000"/>
                <w:kern w:val="0"/>
                <w:szCs w:val="21"/>
              </w:rPr>
              <w:t>PACS分布式存储节点</w:t>
            </w:r>
          </w:p>
        </w:tc>
        <w:tc>
          <w:tcPr>
            <w:tcW w:w="1281" w:type="pct"/>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vAlign w:val="center"/>
          </w:tcPr>
          <w:p>
            <w:pPr>
              <w:jc w:val="center"/>
              <w:rPr>
                <w:rFonts w:hint="eastAsia" w:ascii="宋体" w:hAnsi="宋体" w:cs="仿宋_GB2312"/>
                <w:kern w:val="0"/>
                <w:szCs w:val="21"/>
              </w:rPr>
            </w:pPr>
            <w:r>
              <w:rPr>
                <w:rFonts w:hint="eastAsia" w:ascii="宋体" w:hAnsi="宋体" w:cs="仿宋_GB2312"/>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8</w:t>
            </w:r>
          </w:p>
        </w:tc>
        <w:tc>
          <w:tcPr>
            <w:tcW w:w="2137" w:type="pct"/>
            <w:vAlign w:val="center"/>
          </w:tcPr>
          <w:p>
            <w:pPr>
              <w:jc w:val="center"/>
              <w:rPr>
                <w:rFonts w:hint="eastAsia" w:ascii="宋体" w:hAnsi="宋体" w:cs="仿宋_GB2312"/>
                <w:kern w:val="0"/>
                <w:szCs w:val="21"/>
              </w:rPr>
            </w:pPr>
            <w:r>
              <w:rPr>
                <w:rFonts w:hint="eastAsia" w:ascii="宋体" w:hAnsi="宋体" w:cs="仿宋_GB2312"/>
                <w:color w:val="000000"/>
                <w:kern w:val="0"/>
                <w:szCs w:val="21"/>
              </w:rPr>
              <w:t>核心交换机</w:t>
            </w:r>
          </w:p>
        </w:tc>
        <w:tc>
          <w:tcPr>
            <w:tcW w:w="1281" w:type="pct"/>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9</w:t>
            </w:r>
          </w:p>
        </w:tc>
        <w:tc>
          <w:tcPr>
            <w:tcW w:w="2137" w:type="pct"/>
            <w:vAlign w:val="center"/>
          </w:tcPr>
          <w:p>
            <w:pPr>
              <w:jc w:val="center"/>
              <w:rPr>
                <w:rFonts w:hint="eastAsia" w:ascii="宋体" w:hAnsi="宋体" w:cs="仿宋_GB2312"/>
                <w:kern w:val="0"/>
                <w:szCs w:val="21"/>
              </w:rPr>
            </w:pPr>
            <w:r>
              <w:rPr>
                <w:rFonts w:hint="eastAsia" w:ascii="宋体" w:hAnsi="宋体" w:cs="仿宋_GB2312"/>
                <w:color w:val="000000"/>
                <w:kern w:val="0"/>
                <w:szCs w:val="21"/>
              </w:rPr>
              <w:t>超融合/分布式存储互联交换机</w:t>
            </w:r>
          </w:p>
        </w:tc>
        <w:tc>
          <w:tcPr>
            <w:tcW w:w="1281" w:type="pct"/>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10</w:t>
            </w:r>
          </w:p>
        </w:tc>
        <w:tc>
          <w:tcPr>
            <w:tcW w:w="2137" w:type="pct"/>
            <w:shd w:val="clear" w:color="000000" w:fill="FFFFFF"/>
            <w:vAlign w:val="center"/>
          </w:tcPr>
          <w:p>
            <w:pPr>
              <w:jc w:val="center"/>
              <w:rPr>
                <w:rFonts w:hint="eastAsia" w:ascii="宋体" w:hAnsi="宋体" w:cs="仿宋_GB2312"/>
                <w:kern w:val="0"/>
                <w:szCs w:val="21"/>
              </w:rPr>
            </w:pPr>
            <w:r>
              <w:rPr>
                <w:rFonts w:hint="eastAsia" w:ascii="宋体" w:hAnsi="宋体" w:cs="仿宋_GB2312"/>
                <w:color w:val="000000"/>
                <w:kern w:val="0"/>
                <w:szCs w:val="21"/>
              </w:rPr>
              <w:t>服务器交换机</w:t>
            </w:r>
          </w:p>
        </w:tc>
        <w:tc>
          <w:tcPr>
            <w:tcW w:w="128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shd w:val="clear" w:color="000000" w:fill="FFFFFF"/>
            <w:noWrap/>
          </w:tcPr>
          <w:p>
            <w:pPr>
              <w:jc w:val="center"/>
              <w:rPr>
                <w:rFonts w:hint="eastAsia" w:ascii="宋体" w:hAnsi="宋体" w:cs="仿宋_GB2312"/>
                <w:szCs w:val="21"/>
              </w:rPr>
            </w:pPr>
            <w:r>
              <w:rPr>
                <w:rFonts w:hint="eastAsia" w:ascii="宋体" w:hAnsi="宋体" w:cs="仿宋_GB2312"/>
                <w:kern w:val="0"/>
                <w:szCs w:val="21"/>
              </w:rPr>
              <w:t>台</w:t>
            </w:r>
          </w:p>
        </w:tc>
        <w:tc>
          <w:tcPr>
            <w:tcW w:w="561" w:type="pct"/>
            <w:shd w:val="clear" w:color="000000" w:fill="FFFFFF"/>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11</w:t>
            </w:r>
          </w:p>
        </w:tc>
        <w:tc>
          <w:tcPr>
            <w:tcW w:w="2137" w:type="pct"/>
            <w:shd w:val="clear" w:color="000000" w:fill="FFFFFF"/>
            <w:vAlign w:val="center"/>
          </w:tcPr>
          <w:p>
            <w:pPr>
              <w:jc w:val="center"/>
              <w:rPr>
                <w:rFonts w:hint="eastAsia" w:ascii="宋体" w:hAnsi="宋体" w:cs="仿宋_GB2312"/>
                <w:kern w:val="0"/>
                <w:szCs w:val="21"/>
              </w:rPr>
            </w:pPr>
            <w:r>
              <w:rPr>
                <w:rFonts w:hint="eastAsia" w:ascii="宋体" w:hAnsi="宋体" w:cs="仿宋_GB2312"/>
                <w:color w:val="000000"/>
                <w:kern w:val="0"/>
                <w:szCs w:val="21"/>
              </w:rPr>
              <w:t>存储交换机</w:t>
            </w:r>
          </w:p>
        </w:tc>
        <w:tc>
          <w:tcPr>
            <w:tcW w:w="128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shd w:val="clear" w:color="000000" w:fill="FFFFFF"/>
            <w:noWrap/>
          </w:tcPr>
          <w:p>
            <w:pPr>
              <w:jc w:val="center"/>
              <w:rPr>
                <w:rFonts w:hint="eastAsia" w:ascii="宋体" w:hAnsi="宋体" w:cs="仿宋_GB2312"/>
                <w:szCs w:val="21"/>
              </w:rPr>
            </w:pPr>
            <w:r>
              <w:rPr>
                <w:rFonts w:hint="eastAsia" w:ascii="宋体" w:hAnsi="宋体" w:cs="仿宋_GB2312"/>
                <w:kern w:val="0"/>
                <w:szCs w:val="21"/>
              </w:rPr>
              <w:t>台</w:t>
            </w:r>
          </w:p>
        </w:tc>
        <w:tc>
          <w:tcPr>
            <w:tcW w:w="561" w:type="pct"/>
            <w:shd w:val="clear" w:color="000000" w:fill="FFFFFF"/>
            <w:vAlign w:val="center"/>
          </w:tcPr>
          <w:p>
            <w:pPr>
              <w:jc w:val="center"/>
              <w:rPr>
                <w:rFonts w:hint="eastAsia" w:ascii="宋体" w:hAnsi="宋体" w:cs="仿宋_GB2312"/>
                <w:kern w:val="0"/>
                <w:szCs w:val="21"/>
              </w:rPr>
            </w:pPr>
            <w:r>
              <w:rPr>
                <w:rFonts w:hint="eastAsia" w:ascii="宋体" w:hAnsi="宋体"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12</w:t>
            </w:r>
          </w:p>
        </w:tc>
        <w:tc>
          <w:tcPr>
            <w:tcW w:w="2137" w:type="pct"/>
            <w:shd w:val="clear" w:color="000000" w:fill="FFFFFF"/>
            <w:vAlign w:val="center"/>
          </w:tcPr>
          <w:p>
            <w:pPr>
              <w:jc w:val="center"/>
              <w:rPr>
                <w:rFonts w:hint="eastAsia" w:ascii="宋体" w:hAnsi="宋体" w:cs="仿宋_GB2312"/>
                <w:kern w:val="0"/>
                <w:szCs w:val="21"/>
              </w:rPr>
            </w:pPr>
            <w:r>
              <w:rPr>
                <w:rFonts w:hint="eastAsia" w:ascii="宋体" w:hAnsi="宋体" w:cs="仿宋_GB2312"/>
                <w:color w:val="000000"/>
                <w:kern w:val="0"/>
                <w:szCs w:val="21"/>
              </w:rPr>
              <w:t>数据库实时同步软件</w:t>
            </w:r>
          </w:p>
        </w:tc>
        <w:tc>
          <w:tcPr>
            <w:tcW w:w="128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详见技术要求章节</w:t>
            </w:r>
          </w:p>
        </w:tc>
        <w:tc>
          <w:tcPr>
            <w:tcW w:w="51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套</w:t>
            </w:r>
          </w:p>
        </w:tc>
        <w:tc>
          <w:tcPr>
            <w:tcW w:w="561" w:type="pct"/>
            <w:shd w:val="clear" w:color="000000" w:fill="FFFFFF"/>
            <w:vAlign w:val="center"/>
          </w:tcPr>
          <w:p>
            <w:pPr>
              <w:jc w:val="center"/>
              <w:rPr>
                <w:rFonts w:hint="eastAsia" w:ascii="宋体" w:hAnsi="宋体" w:cs="仿宋_GB2312"/>
                <w:kern w:val="0"/>
                <w:szCs w:val="21"/>
                <w:u w:val="single"/>
              </w:rPr>
            </w:pPr>
            <w:r>
              <w:rPr>
                <w:rFonts w:hint="eastAsia" w:ascii="宋体" w:hAnsi="宋体" w:cs="仿宋_GB2312"/>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13</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数据库实时同步硬件</w:t>
            </w:r>
          </w:p>
        </w:tc>
        <w:tc>
          <w:tcPr>
            <w:tcW w:w="1281" w:type="pct"/>
            <w:shd w:val="clear" w:color="000000" w:fill="FFFFFF"/>
            <w:noWrap/>
          </w:tcPr>
          <w:p>
            <w:pPr>
              <w:jc w:val="center"/>
              <w:rPr>
                <w:rFonts w:hint="eastAsia" w:ascii="宋体" w:hAnsi="宋体" w:cs="仿宋_GB2312"/>
                <w:szCs w:val="21"/>
              </w:rPr>
            </w:pPr>
            <w:r>
              <w:rPr>
                <w:rFonts w:hint="eastAsia" w:ascii="宋体" w:hAnsi="宋体" w:cs="仿宋_GB2312"/>
                <w:kern w:val="0"/>
                <w:szCs w:val="21"/>
              </w:rPr>
              <w:t>详见技术要求章节</w:t>
            </w:r>
          </w:p>
        </w:tc>
        <w:tc>
          <w:tcPr>
            <w:tcW w:w="51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台</w:t>
            </w:r>
          </w:p>
        </w:tc>
        <w:tc>
          <w:tcPr>
            <w:tcW w:w="561" w:type="pct"/>
            <w:shd w:val="clear" w:color="000000" w:fill="FFFFFF"/>
          </w:tcPr>
          <w:p>
            <w:pPr>
              <w:jc w:val="center"/>
              <w:rPr>
                <w:rFonts w:hint="eastAsia" w:ascii="宋体" w:hAnsi="宋体" w:cs="仿宋_GB2312"/>
                <w:szCs w:val="21"/>
              </w:rPr>
            </w:pPr>
            <w:r>
              <w:rPr>
                <w:rFonts w:hint="eastAsia" w:ascii="宋体" w:hAnsi="宋体"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14</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离线备份系统</w:t>
            </w:r>
          </w:p>
        </w:tc>
        <w:tc>
          <w:tcPr>
            <w:tcW w:w="1281" w:type="pct"/>
            <w:shd w:val="clear" w:color="000000" w:fill="FFFFFF"/>
            <w:noWrap/>
          </w:tcPr>
          <w:p>
            <w:pPr>
              <w:jc w:val="center"/>
              <w:rPr>
                <w:rFonts w:hint="eastAsia" w:ascii="宋体" w:hAnsi="宋体" w:cs="仿宋_GB2312"/>
                <w:szCs w:val="21"/>
              </w:rPr>
            </w:pPr>
            <w:r>
              <w:rPr>
                <w:rFonts w:hint="eastAsia" w:ascii="宋体" w:hAnsi="宋体" w:cs="仿宋_GB2312"/>
                <w:kern w:val="0"/>
                <w:szCs w:val="21"/>
              </w:rPr>
              <w:t>详见技术要求章节</w:t>
            </w:r>
          </w:p>
        </w:tc>
        <w:tc>
          <w:tcPr>
            <w:tcW w:w="511" w:type="pct"/>
            <w:shd w:val="clear" w:color="000000" w:fill="FFFFFF"/>
            <w:noWrap/>
            <w:vAlign w:val="center"/>
          </w:tcPr>
          <w:p>
            <w:pPr>
              <w:jc w:val="center"/>
              <w:rPr>
                <w:rFonts w:hint="eastAsia" w:ascii="宋体" w:hAnsi="宋体" w:cs="仿宋_GB2312"/>
                <w:kern w:val="0"/>
                <w:szCs w:val="21"/>
              </w:rPr>
            </w:pPr>
            <w:r>
              <w:rPr>
                <w:rFonts w:hint="eastAsia" w:ascii="宋体" w:hAnsi="宋体" w:cs="仿宋_GB2312"/>
                <w:kern w:val="0"/>
                <w:szCs w:val="21"/>
              </w:rPr>
              <w:t>套</w:t>
            </w:r>
          </w:p>
        </w:tc>
        <w:tc>
          <w:tcPr>
            <w:tcW w:w="561" w:type="pct"/>
            <w:shd w:val="clear" w:color="000000" w:fill="FFFFFF"/>
          </w:tcPr>
          <w:p>
            <w:pPr>
              <w:jc w:val="center"/>
              <w:rPr>
                <w:rFonts w:hint="eastAsia" w:ascii="宋体" w:hAnsi="宋体" w:cs="仿宋_GB2312"/>
                <w:szCs w:val="21"/>
                <w:u w:val="single"/>
              </w:rPr>
            </w:pPr>
            <w:r>
              <w:rPr>
                <w:rFonts w:hint="eastAsia" w:ascii="宋体" w:hAnsi="宋体" w:cs="仿宋_GB2312"/>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15</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交互式应用安全测试系统</w:t>
            </w:r>
          </w:p>
        </w:tc>
        <w:tc>
          <w:tcPr>
            <w:tcW w:w="1281" w:type="pct"/>
            <w:shd w:val="clear" w:color="000000" w:fill="FFFFFF"/>
            <w:noWrap/>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shd w:val="clear" w:color="000000" w:fill="FFFFFF"/>
            <w:noWrap/>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套</w:t>
            </w:r>
          </w:p>
        </w:tc>
        <w:tc>
          <w:tcPr>
            <w:tcW w:w="561" w:type="pct"/>
            <w:shd w:val="clear" w:color="000000" w:fill="FFFFFF"/>
          </w:tcPr>
          <w:p>
            <w:pPr>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16</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数据中心运维管理系统</w:t>
            </w:r>
          </w:p>
        </w:tc>
        <w:tc>
          <w:tcPr>
            <w:tcW w:w="1281" w:type="pct"/>
            <w:shd w:val="clear" w:color="000000" w:fill="FFFFFF"/>
            <w:noWrap/>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shd w:val="clear" w:color="000000" w:fill="FFFFFF"/>
            <w:noWrap/>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套</w:t>
            </w:r>
          </w:p>
        </w:tc>
        <w:tc>
          <w:tcPr>
            <w:tcW w:w="561" w:type="pct"/>
            <w:shd w:val="clear" w:color="000000" w:fill="FFFFFF"/>
          </w:tcPr>
          <w:p>
            <w:pPr>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17</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服务质量管理系统</w:t>
            </w:r>
          </w:p>
        </w:tc>
        <w:tc>
          <w:tcPr>
            <w:tcW w:w="1281" w:type="pct"/>
            <w:shd w:val="clear" w:color="000000" w:fill="FFFFFF"/>
            <w:noWrap/>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shd w:val="clear" w:color="000000" w:fill="FFFFFF"/>
            <w:noWrap/>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套</w:t>
            </w:r>
          </w:p>
        </w:tc>
        <w:tc>
          <w:tcPr>
            <w:tcW w:w="561" w:type="pct"/>
            <w:shd w:val="clear" w:color="000000" w:fill="FFFFFF"/>
          </w:tcPr>
          <w:p>
            <w:pPr>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18</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系统和数据迁移服务</w:t>
            </w:r>
          </w:p>
        </w:tc>
        <w:tc>
          <w:tcPr>
            <w:tcW w:w="1281" w:type="pct"/>
            <w:shd w:val="clear" w:color="000000" w:fill="FFFFFF"/>
            <w:noWrap/>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shd w:val="clear" w:color="000000" w:fill="FFFFFF"/>
            <w:noWrap/>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个</w:t>
            </w:r>
          </w:p>
        </w:tc>
        <w:tc>
          <w:tcPr>
            <w:tcW w:w="561" w:type="pct"/>
            <w:shd w:val="clear" w:color="000000" w:fill="FFFFFF"/>
          </w:tcPr>
          <w:p>
            <w:pPr>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0" w:type="pct"/>
            <w:shd w:val="clear" w:color="auto" w:fill="auto"/>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19</w:t>
            </w:r>
          </w:p>
        </w:tc>
        <w:tc>
          <w:tcPr>
            <w:tcW w:w="2137" w:type="pct"/>
            <w:shd w:val="clear" w:color="000000" w:fill="FFFFFF"/>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设备部署及系统集成</w:t>
            </w:r>
          </w:p>
        </w:tc>
        <w:tc>
          <w:tcPr>
            <w:tcW w:w="1281" w:type="pct"/>
            <w:shd w:val="clear" w:color="000000" w:fill="FFFFFF"/>
            <w:noWrap/>
          </w:tcPr>
          <w:p>
            <w:pPr>
              <w:jc w:val="center"/>
              <w:rPr>
                <w:rFonts w:hint="eastAsia" w:ascii="宋体" w:hAnsi="宋体" w:cs="仿宋_GB2312"/>
                <w:color w:val="000000"/>
                <w:kern w:val="0"/>
                <w:szCs w:val="21"/>
              </w:rPr>
            </w:pPr>
            <w:r>
              <w:rPr>
                <w:rFonts w:hint="eastAsia" w:ascii="宋体" w:hAnsi="宋体" w:cs="仿宋_GB2312"/>
                <w:color w:val="000000"/>
                <w:kern w:val="0"/>
                <w:szCs w:val="21"/>
              </w:rPr>
              <w:t>详见技术要求章节</w:t>
            </w:r>
          </w:p>
        </w:tc>
        <w:tc>
          <w:tcPr>
            <w:tcW w:w="511" w:type="pct"/>
            <w:shd w:val="clear" w:color="000000" w:fill="FFFFFF"/>
            <w:noWrap/>
            <w:vAlign w:val="center"/>
          </w:tcPr>
          <w:p>
            <w:pPr>
              <w:jc w:val="center"/>
              <w:rPr>
                <w:rFonts w:hint="eastAsia" w:ascii="宋体" w:hAnsi="宋体" w:cs="仿宋_GB2312"/>
                <w:color w:val="000000"/>
                <w:kern w:val="0"/>
                <w:szCs w:val="21"/>
              </w:rPr>
            </w:pPr>
            <w:r>
              <w:rPr>
                <w:rFonts w:hint="eastAsia" w:ascii="宋体" w:hAnsi="宋体" w:cs="仿宋_GB2312"/>
                <w:color w:val="000000"/>
                <w:kern w:val="0"/>
                <w:szCs w:val="21"/>
              </w:rPr>
              <w:t>个</w:t>
            </w:r>
          </w:p>
        </w:tc>
        <w:tc>
          <w:tcPr>
            <w:tcW w:w="561" w:type="pct"/>
            <w:shd w:val="clear" w:color="000000" w:fill="FFFFFF"/>
          </w:tcPr>
          <w:p>
            <w:pPr>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1</w:t>
            </w:r>
          </w:p>
        </w:tc>
      </w:tr>
    </w:tbl>
    <w:p>
      <w:pPr>
        <w:jc w:val="left"/>
        <w:rPr>
          <w:rFonts w:hint="eastAsia" w:ascii="宋体" w:hAnsi="宋体" w:cs="仿宋_GB2312"/>
          <w:kern w:val="0"/>
          <w:szCs w:val="21"/>
        </w:rPr>
      </w:pPr>
    </w:p>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（二）总体要求</w:t>
      </w:r>
    </w:p>
    <w:p>
      <w:pPr>
        <w:pStyle w:val="4"/>
        <w:spacing w:before="0" w:after="0" w:line="240" w:lineRule="auto"/>
        <w:rPr>
          <w:rFonts w:hint="eastAsia" w:ascii="宋体" w:hAnsi="宋体" w:cs="仿宋_GB2312"/>
          <w:sz w:val="21"/>
          <w:szCs w:val="21"/>
        </w:rPr>
      </w:pPr>
      <w:bookmarkStart w:id="27" w:name="_Toc104743852"/>
      <w:r>
        <w:rPr>
          <w:rFonts w:hint="eastAsia" w:ascii="宋体" w:hAnsi="宋体" w:cs="仿宋_GB2312"/>
          <w:sz w:val="21"/>
          <w:szCs w:val="21"/>
        </w:rPr>
        <w:t>1 项目背景</w:t>
      </w:r>
      <w:bookmarkEnd w:id="27"/>
    </w:p>
    <w:p>
      <w:pPr>
        <w:pStyle w:val="401"/>
        <w:spacing w:after="120"/>
        <w:ind w:firstLine="420"/>
        <w:rPr>
          <w:rFonts w:hint="eastAsia" w:ascii="宋体" w:hAnsi="宋体" w:cs="仿宋_GB2312"/>
          <w:sz w:val="21"/>
          <w:szCs w:val="21"/>
        </w:rPr>
      </w:pPr>
      <w:r>
        <w:rPr>
          <w:rFonts w:hint="eastAsia" w:ascii="宋体" w:hAnsi="宋体" w:cs="仿宋_GB2312"/>
          <w:sz w:val="21"/>
          <w:szCs w:val="21"/>
        </w:rPr>
        <w:t>根据国家十三五的发展规划，遵从逐步实现人人享有基本医疗卫生服务的目标，未来大型医疗机构将会逐渐实现分级诊疗，同时积极拥抱“互联网+”等技术，快速解决就医难、实现统一安全档案等。</w:t>
      </w:r>
    </w:p>
    <w:p>
      <w:pPr>
        <w:pStyle w:val="401"/>
        <w:spacing w:after="120"/>
        <w:ind w:firstLine="420"/>
        <w:rPr>
          <w:rFonts w:hint="eastAsia" w:ascii="宋体" w:hAnsi="宋体" w:cs="仿宋_GB2312"/>
          <w:sz w:val="21"/>
          <w:szCs w:val="21"/>
        </w:rPr>
      </w:pPr>
      <w:r>
        <w:rPr>
          <w:rFonts w:hint="eastAsia" w:ascii="宋体" w:hAnsi="宋体" w:cs="仿宋_GB2312"/>
          <w:sz w:val="21"/>
          <w:szCs w:val="21"/>
        </w:rPr>
        <w:t xml:space="preserve">随着“互联网+”网络信息技术的迅猛发展，以及人们日益增长的医疗需求，智慧医院的建设成为了不可阻挡的趋势。在今年两会的政府报告中，在医疗卫生行业 推广并且运用“互联网+”技术被首次提上日程。2015年7月初，《国务院关于积极推进“互联网+”行动的指导意见》进一步对“互联网+”在医疗领域的建 设和运用提出了指导性的意见和严格的要求。 </w:t>
      </w:r>
    </w:p>
    <w:p>
      <w:pPr>
        <w:pStyle w:val="401"/>
        <w:spacing w:after="120"/>
        <w:ind w:firstLine="420"/>
        <w:rPr>
          <w:rFonts w:hint="eastAsia" w:ascii="宋体" w:hAnsi="宋体" w:cs="仿宋_GB2312"/>
          <w:sz w:val="21"/>
          <w:szCs w:val="21"/>
        </w:rPr>
      </w:pPr>
      <w:r>
        <w:rPr>
          <w:rFonts w:hint="eastAsia" w:ascii="宋体" w:hAnsi="宋体" w:cs="仿宋_GB2312"/>
          <w:sz w:val="21"/>
          <w:szCs w:val="21"/>
        </w:rPr>
        <w:t>一直以来，“看病难，看病贵”是人民群众最关心的民生问题之一。伴随信息时代的发展，医疗行业和 “互联网+”的融合可以改写医疗行业应用的历史并且能够成为解决“看病难，看病贵”等一系列问题的重要途径。智慧医院的建设则是“互联网+”在医疗行业应 用的具体体现。智慧医院通过物联网、移动互联网、云计算等技术可以逐步实现集疾病预防、网上诊疗、康复照护于一体的远程医疗健康服务平台。现今，国内多地 已经开始加快智慧医院的建设，智慧医院以互联网信息技术为基础，为人们提供全面的数字化、信息化、网络化的优质服务，不仅为更多的患者提供了贴心及时的服务，还提高了医院的办事效率、促进了医疗资源的共享。未来智慧医院的发展将有望破解卫生医疗健康服务的难题，满足广大人民群众的医疗服务需求，实现医疗健康服务的创新和应用。</w:t>
      </w:r>
    </w:p>
    <w:p>
      <w:pPr>
        <w:pStyle w:val="401"/>
        <w:spacing w:after="120"/>
        <w:ind w:firstLine="420"/>
        <w:rPr>
          <w:rFonts w:hint="eastAsia" w:ascii="宋体" w:hAnsi="宋体" w:cs="仿宋_GB2312"/>
          <w:sz w:val="21"/>
          <w:szCs w:val="21"/>
        </w:rPr>
      </w:pPr>
      <w:r>
        <w:rPr>
          <w:rFonts w:hint="eastAsia" w:ascii="宋体" w:hAnsi="宋体" w:cs="仿宋_GB2312"/>
          <w:sz w:val="21"/>
          <w:szCs w:val="21"/>
        </w:rPr>
        <w:t>为了落实国家发展规划，诸暨中医院着手建设医共体项目，该项目是民生工程，满足老百姓就医需求，提高就医效率和质量。</w:t>
      </w:r>
    </w:p>
    <w:p>
      <w:pPr>
        <w:pStyle w:val="4"/>
        <w:spacing w:before="0" w:after="0" w:line="240" w:lineRule="auto"/>
        <w:rPr>
          <w:rFonts w:hint="eastAsia" w:ascii="宋体" w:hAnsi="宋体" w:cs="仿宋_GB2312"/>
          <w:sz w:val="21"/>
          <w:szCs w:val="21"/>
        </w:rPr>
      </w:pPr>
      <w:bookmarkStart w:id="28" w:name="_Toc482911021"/>
      <w:bookmarkStart w:id="29" w:name="_Toc104743853"/>
      <w:r>
        <w:rPr>
          <w:rFonts w:hint="eastAsia" w:ascii="宋体" w:hAnsi="宋体" w:cs="仿宋_GB2312"/>
          <w:sz w:val="21"/>
          <w:szCs w:val="21"/>
        </w:rPr>
        <w:t>2 医院信息化发展</w:t>
      </w:r>
      <w:bookmarkEnd w:id="28"/>
      <w:bookmarkEnd w:id="29"/>
    </w:p>
    <w:p>
      <w:pPr>
        <w:pStyle w:val="401"/>
        <w:spacing w:after="120"/>
        <w:ind w:firstLine="420"/>
        <w:rPr>
          <w:rFonts w:hint="eastAsia" w:ascii="宋体" w:hAnsi="宋体" w:cs="仿宋_GB2312"/>
          <w:sz w:val="21"/>
          <w:szCs w:val="21"/>
        </w:rPr>
      </w:pPr>
      <w:r>
        <w:rPr>
          <w:rFonts w:hint="eastAsia" w:ascii="宋体" w:hAnsi="宋体" w:cs="仿宋_GB2312"/>
          <w:sz w:val="21"/>
          <w:szCs w:val="21"/>
        </w:rPr>
        <w:t>随着信息技术的快速发展，医院正加速实施基于基础信息化网络平台、HIS业务平台的整体建设，以提高医院的服务水平和核心竞争力，从最初的“以财务为中心”的医院信息系统向“以病人为中心”的医院信息系统转变，医院信息化建设已经取得了显著成效。信息化不仅提升了医生的工作效率，使医生有更多的时间为患者服务，也提高了患者满意度，而且无形之中还树立起医院的科技形象品牌，医院信息化正越来越成为强化医院活力与竞争力的关键行为，医疗业务应用与基础网络平台的逐步融合正成为中国医院，尤其是大中型医院业务发展前进的新的驱动力。</w:t>
      </w:r>
    </w:p>
    <w:p>
      <w:pPr>
        <w:pStyle w:val="401"/>
        <w:spacing w:after="120"/>
        <w:ind w:firstLine="420"/>
        <w:rPr>
          <w:rFonts w:hint="eastAsia" w:ascii="宋体" w:hAnsi="宋体" w:cs="仿宋_GB2312"/>
          <w:sz w:val="21"/>
          <w:szCs w:val="21"/>
        </w:rPr>
      </w:pPr>
      <w:r>
        <w:rPr>
          <w:rFonts w:hint="eastAsia" w:ascii="宋体" w:hAnsi="宋体" w:cs="仿宋_GB2312"/>
          <w:sz w:val="21"/>
          <w:szCs w:val="21"/>
        </w:rPr>
        <w:t>诸暨中医医院根据医疗信息化发展和国务院行动指导意见，提升医疗信息化系统业务稳定有序开放运行，保障医疗就诊效率及医疗服务体验。</w:t>
      </w:r>
    </w:p>
    <w:p>
      <w:pPr>
        <w:pStyle w:val="4"/>
        <w:spacing w:before="0" w:after="0" w:line="240" w:lineRule="auto"/>
        <w:rPr>
          <w:rFonts w:hint="eastAsia" w:ascii="宋体" w:hAnsi="宋体" w:cs="仿宋_GB2312"/>
          <w:sz w:val="21"/>
          <w:szCs w:val="21"/>
        </w:rPr>
      </w:pPr>
      <w:bookmarkStart w:id="30" w:name="_Toc104743854"/>
      <w:r>
        <w:rPr>
          <w:rFonts w:hint="eastAsia" w:ascii="宋体" w:hAnsi="宋体" w:cs="仿宋_GB2312"/>
          <w:sz w:val="21"/>
          <w:szCs w:val="21"/>
        </w:rPr>
        <w:t>3 项目要求</w:t>
      </w:r>
      <w:bookmarkEnd w:id="30"/>
    </w:p>
    <w:p>
      <w:pPr>
        <w:pStyle w:val="401"/>
        <w:spacing w:after="120"/>
        <w:ind w:firstLine="420"/>
        <w:rPr>
          <w:rFonts w:hint="eastAsia" w:ascii="宋体" w:hAnsi="宋体" w:cs="仿宋_GB2312"/>
          <w:sz w:val="21"/>
          <w:szCs w:val="21"/>
        </w:rPr>
      </w:pPr>
      <w:r>
        <w:rPr>
          <w:rFonts w:hint="eastAsia" w:ascii="宋体" w:hAnsi="宋体" w:cs="仿宋_GB2312"/>
          <w:sz w:val="21"/>
          <w:szCs w:val="21"/>
        </w:rPr>
        <w:t>本项目是实现诸暨中医医院集成平台硬件采购项目，为应用系统提供硬件平台保障，实现业务系统连续性、可靠性和安全性等，包括超融合系统、服务器系统、存储系统、数据备份系统等核心的硬件平台，建设一个能提供7*24不间断访问需求的、完整的、稳定的、安全的新型数据中心。</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基于信息化现状，从基础架构的高可用保障业务高可用需求，包括数据中心高可用（存储、虚拟化、数据库等）要求实现系统及设备安全等内容；</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基础平台架构简化，防止性能瓶颈，保证未来业务扩容和设备扩容需求，规划应用及数据容灾；</w:t>
      </w:r>
    </w:p>
    <w:p>
      <w:pPr>
        <w:pStyle w:val="401"/>
        <w:spacing w:after="120"/>
        <w:ind w:firstLine="420"/>
        <w:rPr>
          <w:rFonts w:hint="eastAsia" w:ascii="宋体" w:hAnsi="宋体" w:cs="仿宋_GB2312"/>
          <w:sz w:val="21"/>
          <w:szCs w:val="21"/>
        </w:rPr>
      </w:pPr>
      <w:r>
        <w:rPr>
          <w:rFonts w:hint="eastAsia" w:ascii="宋体" w:hAnsi="宋体" w:cs="仿宋_GB2312"/>
          <w:sz w:val="21"/>
          <w:szCs w:val="21"/>
        </w:rPr>
        <w:t>保证所有业务系统及硬件平台冗余，实现业务连续性，优化业务/数据，实现系统高可用与容灾；提供未来医院信息化平台架构规划；</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应根据本项目的需要在投标文件中提供详细的技术解决方案和产品选型方案；</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在系统升级迁移过程中需保证诸暨中医医院业务系统的正常运行，由因实施过程中造成的业务中断由投标人负全部责任；</w:t>
      </w:r>
    </w:p>
    <w:p>
      <w:pPr>
        <w:pStyle w:val="401"/>
        <w:spacing w:after="120"/>
        <w:ind w:firstLine="420"/>
        <w:rPr>
          <w:rFonts w:hint="eastAsia" w:ascii="宋体" w:hAnsi="宋体" w:cs="仿宋_GB2312"/>
          <w:sz w:val="21"/>
          <w:szCs w:val="21"/>
        </w:rPr>
      </w:pPr>
      <w:r>
        <w:rPr>
          <w:rFonts w:hint="eastAsia" w:ascii="宋体" w:hAnsi="宋体" w:cs="仿宋_GB2312"/>
          <w:sz w:val="21"/>
          <w:szCs w:val="21"/>
        </w:rPr>
        <w:t>需提供系统升级后原硬件设备的利旧解决方案，以提升资源利用率；</w:t>
      </w:r>
    </w:p>
    <w:p>
      <w:pPr>
        <w:pStyle w:val="401"/>
        <w:spacing w:after="120"/>
        <w:ind w:firstLine="420"/>
        <w:rPr>
          <w:rFonts w:hint="eastAsia" w:ascii="宋体" w:hAnsi="宋体" w:cs="仿宋_GB2312"/>
          <w:sz w:val="21"/>
          <w:szCs w:val="21"/>
        </w:rPr>
      </w:pPr>
      <w:r>
        <w:rPr>
          <w:rFonts w:hint="eastAsia" w:ascii="宋体" w:hAnsi="宋体" w:cs="仿宋_GB2312"/>
          <w:sz w:val="21"/>
          <w:szCs w:val="21"/>
        </w:rPr>
        <w:t>需保证项目实施完成后，能够实现核心应用系统硬件平台没有单点故障，实现医院信息系统的高可用。</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应在投标文件中提供针对本项目的、详细的系统改造切换实施方案，确保系统改造过程顺利进行，系统割接方案须具有可回溯性，确保应用割接失败的回退</w:t>
      </w:r>
    </w:p>
    <w:p>
      <w:pPr>
        <w:pStyle w:val="401"/>
        <w:spacing w:after="120"/>
        <w:ind w:firstLine="420"/>
        <w:rPr>
          <w:rFonts w:hint="eastAsia" w:ascii="宋体" w:hAnsi="宋体" w:cs="仿宋_GB2312"/>
          <w:sz w:val="21"/>
          <w:szCs w:val="21"/>
        </w:rPr>
      </w:pPr>
      <w:r>
        <w:rPr>
          <w:rFonts w:hint="eastAsia" w:ascii="宋体" w:hAnsi="宋体" w:cs="仿宋_GB2312"/>
          <w:sz w:val="21"/>
          <w:szCs w:val="21"/>
        </w:rPr>
        <w:t>在实施方案中应明确阐述在系统切换过程中如何保证现有业务的正常开展，系统切换前须保证业务能够正常工作；业务停机时间不得超过2个小时，系统实施方案应明确实施步骤及具体时间和可能存在的风险及应对措施</w:t>
      </w:r>
    </w:p>
    <w:p>
      <w:pPr>
        <w:pStyle w:val="401"/>
        <w:spacing w:after="120"/>
        <w:ind w:firstLine="420"/>
        <w:rPr>
          <w:rFonts w:hint="eastAsia" w:ascii="宋体" w:hAnsi="宋体" w:cs="仿宋_GB2312"/>
          <w:sz w:val="21"/>
          <w:szCs w:val="21"/>
        </w:rPr>
      </w:pPr>
      <w:r>
        <w:rPr>
          <w:rFonts w:hint="eastAsia" w:ascii="宋体" w:hAnsi="宋体" w:cs="仿宋_GB2312"/>
          <w:sz w:val="21"/>
          <w:szCs w:val="21"/>
        </w:rPr>
        <w:t>投标人在实施方案中需明确提供相关数据安全保障措施，如出现数据丢失情况中标方负全部责任</w:t>
      </w:r>
    </w:p>
    <w:p>
      <w:pPr>
        <w:pStyle w:val="401"/>
        <w:spacing w:after="120"/>
        <w:ind w:firstLine="420"/>
        <w:rPr>
          <w:rFonts w:hint="eastAsia" w:ascii="宋体" w:hAnsi="宋体" w:cs="仿宋_GB2312"/>
          <w:sz w:val="21"/>
          <w:szCs w:val="21"/>
        </w:rPr>
      </w:pPr>
      <w:r>
        <w:rPr>
          <w:rFonts w:hint="eastAsia" w:ascii="宋体" w:hAnsi="宋体" w:cs="仿宋_GB2312"/>
          <w:sz w:val="21"/>
          <w:szCs w:val="21"/>
        </w:rPr>
        <w:t>结合诸暨市中医医院信息建设现状，以及根据业务发展趋势，本次项目主要集中解决以下问题：</w:t>
      </w:r>
    </w:p>
    <w:p>
      <w:pPr>
        <w:pStyle w:val="279"/>
        <w:numPr>
          <w:ilvl w:val="0"/>
          <w:numId w:val="6"/>
        </w:numPr>
        <w:adjustRightInd/>
        <w:spacing w:line="240" w:lineRule="auto"/>
        <w:ind w:left="920" w:leftChars="237" w:hanging="422" w:hangingChars="176"/>
        <w:rPr>
          <w:rFonts w:hint="eastAsia" w:ascii="宋体" w:hAnsi="宋体"/>
          <w:szCs w:val="21"/>
        </w:rPr>
      </w:pPr>
      <w:r>
        <w:rPr>
          <w:rFonts w:hint="eastAsia" w:ascii="宋体" w:hAnsi="宋体"/>
          <w:szCs w:val="21"/>
        </w:rPr>
        <w:t>结合诸暨市中医医院信息化现状，针对现有情况提出针对性的解决方案，提升诸暨市中医医院整体数据中心硬件平台。</w:t>
      </w:r>
    </w:p>
    <w:p>
      <w:pPr>
        <w:pStyle w:val="279"/>
        <w:numPr>
          <w:ilvl w:val="0"/>
          <w:numId w:val="6"/>
        </w:numPr>
        <w:adjustRightInd/>
        <w:spacing w:line="240" w:lineRule="auto"/>
        <w:ind w:left="920" w:leftChars="237" w:hanging="422" w:hangingChars="176"/>
        <w:rPr>
          <w:rFonts w:hint="eastAsia" w:ascii="宋体" w:hAnsi="宋体"/>
          <w:szCs w:val="21"/>
        </w:rPr>
      </w:pPr>
      <w:r>
        <w:rPr>
          <w:rFonts w:hint="eastAsia" w:ascii="宋体" w:hAnsi="宋体"/>
          <w:szCs w:val="21"/>
        </w:rPr>
        <w:t>根据国家政策和相关要求，建设一套成熟稳定，可靠安全的硬件平台方案，符合互联互通、电子病历等各项评审得分指标要求，做到不扣分。</w:t>
      </w:r>
    </w:p>
    <w:p>
      <w:pPr>
        <w:pStyle w:val="279"/>
        <w:numPr>
          <w:ilvl w:val="0"/>
          <w:numId w:val="6"/>
        </w:numPr>
        <w:adjustRightInd/>
        <w:spacing w:line="240" w:lineRule="auto"/>
        <w:ind w:left="920" w:leftChars="237" w:hanging="422" w:hangingChars="176"/>
        <w:rPr>
          <w:rFonts w:hint="eastAsia" w:ascii="宋体" w:hAnsi="宋体"/>
          <w:szCs w:val="21"/>
        </w:rPr>
      </w:pPr>
      <w:r>
        <w:rPr>
          <w:rFonts w:hint="eastAsia" w:ascii="宋体" w:hAnsi="宋体"/>
          <w:szCs w:val="21"/>
        </w:rPr>
        <w:t>根据相关医疗政策要求，结合诸暨市中医医院数据中心架构现状，需要实现对数据库、虚拟机、存储实现数据安全和业务连续性的保障。</w:t>
      </w:r>
    </w:p>
    <w:p>
      <w:pPr>
        <w:pStyle w:val="279"/>
        <w:numPr>
          <w:ilvl w:val="0"/>
          <w:numId w:val="6"/>
        </w:numPr>
        <w:autoSpaceDE w:val="0"/>
        <w:autoSpaceDN w:val="0"/>
        <w:spacing w:line="240" w:lineRule="auto"/>
        <w:ind w:left="920" w:leftChars="237" w:hanging="422" w:hangingChars="176"/>
        <w:rPr>
          <w:rFonts w:hint="eastAsia" w:ascii="宋体" w:hAnsi="宋体"/>
          <w:szCs w:val="21"/>
        </w:rPr>
      </w:pPr>
      <w:r>
        <w:rPr>
          <w:rFonts w:hint="eastAsia" w:ascii="宋体" w:hAnsi="宋体"/>
          <w:szCs w:val="21"/>
        </w:rPr>
        <w:t>结合诸暨市中医医院信息化建设，根据建设目标，针对已有的设备，提出合理化利旧方案，以保护用户原有投资。</w:t>
      </w:r>
    </w:p>
    <w:p>
      <w:pPr>
        <w:pStyle w:val="279"/>
        <w:numPr>
          <w:ilvl w:val="0"/>
          <w:numId w:val="6"/>
        </w:numPr>
        <w:autoSpaceDE w:val="0"/>
        <w:autoSpaceDN w:val="0"/>
        <w:spacing w:line="240" w:lineRule="auto"/>
        <w:ind w:left="920" w:leftChars="237" w:hanging="422" w:hangingChars="176"/>
        <w:rPr>
          <w:rFonts w:hint="eastAsia" w:ascii="宋体" w:hAnsi="宋体"/>
          <w:szCs w:val="21"/>
        </w:rPr>
      </w:pPr>
      <w:r>
        <w:rPr>
          <w:rFonts w:hint="eastAsia" w:ascii="宋体" w:hAnsi="宋体"/>
          <w:szCs w:val="21"/>
        </w:rPr>
        <w:t>投标人应在投标方案中阐述整个系统的数据迁移方案，需详细描述包含对现有业务的影响以及停机时间，明确风险；</w:t>
      </w:r>
    </w:p>
    <w:p>
      <w:pPr>
        <w:rPr>
          <w:rFonts w:hint="eastAsia" w:ascii="宋体" w:hAnsi="宋体" w:cs="仿宋_GB2312"/>
          <w:szCs w:val="21"/>
        </w:rPr>
      </w:pPr>
      <w:r>
        <w:rPr>
          <w:rFonts w:hint="eastAsia" w:ascii="宋体" w:hAnsi="宋体" w:cs="仿宋_GB2312"/>
          <w:szCs w:val="21"/>
        </w:rPr>
        <w:tab/>
      </w:r>
    </w:p>
    <w:p>
      <w:pPr>
        <w:pStyle w:val="2"/>
        <w:spacing w:line="240" w:lineRule="auto"/>
        <w:rPr>
          <w:rFonts w:hint="eastAsia" w:ascii="宋体" w:hAnsi="宋体" w:eastAsia="宋体" w:cs="仿宋_GB2312"/>
          <w:sz w:val="21"/>
          <w:szCs w:val="21"/>
        </w:rPr>
      </w:pPr>
      <w:bookmarkStart w:id="31" w:name="_Toc104743856"/>
      <w:r>
        <w:rPr>
          <w:rFonts w:hint="eastAsia" w:ascii="宋体" w:hAnsi="宋体" w:eastAsia="宋体" w:cs="仿宋_GB2312"/>
          <w:sz w:val="21"/>
          <w:szCs w:val="21"/>
        </w:rPr>
        <w:t>（三）参数要求</w:t>
      </w:r>
      <w:bookmarkEnd w:id="31"/>
    </w:p>
    <w:p>
      <w:pPr>
        <w:pStyle w:val="4"/>
        <w:spacing w:before="0" w:after="0" w:line="240" w:lineRule="auto"/>
        <w:rPr>
          <w:rFonts w:hint="eastAsia" w:ascii="宋体" w:hAnsi="宋体" w:cs="仿宋_GB2312"/>
          <w:sz w:val="21"/>
          <w:szCs w:val="21"/>
        </w:rPr>
      </w:pPr>
      <w:bookmarkStart w:id="32" w:name="_Toc104743857"/>
      <w:r>
        <w:rPr>
          <w:rFonts w:hint="eastAsia" w:ascii="宋体" w:hAnsi="宋体" w:cs="仿宋_GB2312"/>
          <w:sz w:val="21"/>
          <w:szCs w:val="21"/>
        </w:rPr>
        <w:t>1 虚拟化超融合系统</w:t>
      </w:r>
      <w:bookmarkEnd w:id="32"/>
      <w:r>
        <w:rPr>
          <w:rFonts w:hint="eastAsia" w:ascii="宋体" w:hAnsi="宋体" w:cs="仿宋_GB2312"/>
          <w:sz w:val="21"/>
          <w:szCs w:val="21"/>
        </w:rPr>
        <w:t xml:space="preserve"> </w:t>
      </w:r>
    </w:p>
    <w:tbl>
      <w:tblPr>
        <w:tblStyle w:val="6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tcPr>
          <w:p>
            <w:pPr>
              <w:rPr>
                <w:rFonts w:hint="eastAsia" w:ascii="宋体" w:hAnsi="宋体" w:cs="仿宋_GB2312"/>
                <w:color w:val="000000"/>
                <w:szCs w:val="21"/>
              </w:rPr>
            </w:pPr>
            <w:r>
              <w:rPr>
                <w:rFonts w:hint="eastAsia" w:ascii="宋体" w:hAnsi="宋体" w:cs="仿宋_GB2312"/>
                <w:color w:val="000000"/>
                <w:szCs w:val="21"/>
              </w:rPr>
              <w:t>指标项</w:t>
            </w:r>
          </w:p>
        </w:tc>
        <w:tc>
          <w:tcPr>
            <w:tcW w:w="7654" w:type="dxa"/>
          </w:tcPr>
          <w:p>
            <w:pPr>
              <w:pStyle w:val="256"/>
              <w:rPr>
                <w:rFonts w:hint="eastAsia" w:ascii="宋体" w:hAnsi="宋体"/>
                <w:sz w:val="21"/>
                <w:szCs w:val="21"/>
              </w:rPr>
            </w:pPr>
            <w:r>
              <w:rPr>
                <w:rFonts w:hint="eastAsia" w:ascii="宋体" w:hAnsi="宋体"/>
                <w:sz w:val="21"/>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★硬件参数</w:t>
            </w:r>
          </w:p>
        </w:tc>
        <w:tc>
          <w:tcPr>
            <w:tcW w:w="7654" w:type="dxa"/>
            <w:vAlign w:val="center"/>
          </w:tcPr>
          <w:p>
            <w:pPr>
              <w:pStyle w:val="256"/>
              <w:rPr>
                <w:rFonts w:hint="eastAsia" w:ascii="宋体" w:hAnsi="宋体"/>
                <w:sz w:val="21"/>
                <w:szCs w:val="21"/>
              </w:rPr>
            </w:pPr>
            <w:r>
              <w:rPr>
                <w:rFonts w:hint="eastAsia" w:ascii="宋体" w:hAnsi="宋体"/>
                <w:sz w:val="21"/>
                <w:szCs w:val="21"/>
              </w:rPr>
              <w:t>配置6节点，单节点硬件配置如下：</w:t>
            </w:r>
          </w:p>
          <w:p>
            <w:pPr>
              <w:pStyle w:val="256"/>
              <w:rPr>
                <w:rFonts w:hint="eastAsia" w:ascii="宋体" w:hAnsi="宋体"/>
                <w:sz w:val="21"/>
                <w:szCs w:val="21"/>
              </w:rPr>
            </w:pPr>
            <w:r>
              <w:rPr>
                <w:rFonts w:hint="eastAsia" w:ascii="宋体" w:hAnsi="宋体"/>
                <w:sz w:val="21"/>
                <w:szCs w:val="21"/>
              </w:rPr>
              <w:t>CPU：≥2 Intel 6348 (2.6GHz/28-core)；内存≥32*32GB；系统盘≥2*240GB SSD；缓存盘≥2*3.84T SSD；数据盘≥8*8T SATA；电源：冗余电源；接口≥4万兆电口+4万兆光口（含模块）；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云管理平台</w:t>
            </w:r>
          </w:p>
        </w:tc>
        <w:tc>
          <w:tcPr>
            <w:tcW w:w="7654" w:type="dxa"/>
            <w:vAlign w:val="center"/>
          </w:tcPr>
          <w:p>
            <w:pPr>
              <w:pStyle w:val="256"/>
              <w:rPr>
                <w:rFonts w:hint="eastAsia" w:ascii="宋体" w:hAnsi="宋体"/>
                <w:sz w:val="21"/>
                <w:szCs w:val="21"/>
              </w:rPr>
            </w:pPr>
            <w:r>
              <w:rPr>
                <w:rFonts w:hint="eastAsia" w:ascii="宋体" w:hAnsi="宋体"/>
                <w:sz w:val="21"/>
                <w:szCs w:val="21"/>
              </w:rPr>
              <w:t>▲提供12颗CPU云管平台高级版本授权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云计算管理平台下的计算虚拟化、存储虚拟化、网络虚拟化、CDP连续数据保护等功能组件均为同一厂商品牌提供，保障平台的扩展性和兼容性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支持纳管多个超融合集群，提供统一的镜像管理功能，实现各个可用区上镜像的统一创建和管理，可实现一键快速生成云主机，要求可提供网络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支持对VMware平台上的虚拟机进行管理, 可在云管平台上直接编辑VMware的虚拟机配置，支持编辑其虚拟机的vCPU、内存、磁盘、网络等，支持对VMware资源进行多租户划分、工单审批等；（提供功能截图）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支持业务整体可靠性指标的集中展示，包括业务可靠性、平台可靠性和硬件可靠性，方便管理员能直观地掌握整个数据中心的可靠性状态。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由于还保留着部分业务直接跑在物理服务器上，因此本次采购的超融合的管理平台需支持纳管物理机，支持物理机生命周期的管理（包括添加、开机、关机、删除），支持物理机的监控、监控物理机的CPU、内存等硬件是否有告警异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云平台具备对资源池中CPU、网络、磁盘使用率等指标进行实时的数据统计功能，并支持针对租户使用的CPU、内存和存储等维度的资源进行计费，并提供报表功能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continue"/>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支持租户自定义虚拟网络拓扑，并可以在租户网络环境中，配置虚拟分布式防火墙策略；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服务器虚拟化</w:t>
            </w:r>
          </w:p>
        </w:tc>
        <w:tc>
          <w:tcPr>
            <w:tcW w:w="7654" w:type="dxa"/>
            <w:vAlign w:val="center"/>
          </w:tcPr>
          <w:p>
            <w:pPr>
              <w:pStyle w:val="256"/>
              <w:rPr>
                <w:rFonts w:hint="eastAsia" w:ascii="宋体" w:hAnsi="宋体"/>
                <w:sz w:val="21"/>
                <w:szCs w:val="21"/>
              </w:rPr>
            </w:pPr>
            <w:r>
              <w:rPr>
                <w:rFonts w:hint="eastAsia" w:ascii="宋体" w:hAnsi="宋体"/>
                <w:sz w:val="21"/>
                <w:szCs w:val="21"/>
              </w:rPr>
              <w:t>▲本次提供12颗CPU的服务器虚拟化高级版本授权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支持虚拟机卡死及蓝屏的检测功能并实现自动重启，无需人工干预，减少运维工作量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支持IO重试，当存储出现故障，导致虚拟机无法读取存储数据时，自动挂起虚拟机，避免业务故障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采用分布式管理架构，去中心化，管理平台不依赖于某一个虚拟机或物理机部署，采用分布式架构保障平台更可靠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每个虚拟机都可以安装独立的操作系统，为获得良好的兼容性操作系统支持需要包括Windows、 Linux，并且支持国产操作系统包括：红旗linux、中标麒麟、中标普华、深度linux等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支持双向迁移，可将VMware虚拟机在运行状态下迁移到超融合平台上，也可将超融合平台上的虚拟机在运行状态下迁移到VMware vCenter的集群中，迁移最后阶段业务会中断,可选择自动或手动拉起；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支持平台中的集群资源环境一键检测，对硬件健康、平台底层的虚拟化的运行状态和配置，进行多个维度进行检查，提供快速定位问题功能，确保系统最佳状态；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存储虚拟化</w:t>
            </w:r>
          </w:p>
        </w:tc>
        <w:tc>
          <w:tcPr>
            <w:tcW w:w="7654" w:type="dxa"/>
            <w:vAlign w:val="center"/>
          </w:tcPr>
          <w:p>
            <w:pPr>
              <w:pStyle w:val="256"/>
              <w:rPr>
                <w:rFonts w:hint="eastAsia" w:ascii="宋体" w:hAnsi="宋体"/>
                <w:sz w:val="21"/>
                <w:szCs w:val="21"/>
              </w:rPr>
            </w:pPr>
            <w:r>
              <w:rPr>
                <w:rFonts w:hint="eastAsia" w:ascii="宋体" w:hAnsi="宋体"/>
                <w:sz w:val="21"/>
                <w:szCs w:val="21"/>
              </w:rPr>
              <w:t>▲提供12颗CPU 存储虚拟化高级版本授权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支持存储虚拟化功能，无需安装额外的软件，存储虚拟化与计算虚拟化为紧耦合架构，减少底层开销，提升性能。（需提供产品功能截图）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支持标准的iSCSI协议，允许外部物理主机或应用通过标准的iSCSI接口访问虚拟存储，实现Server SAN和IP SAN的融合，能够使存储资源的利用率发挥到最大价值。在iSCSI接入场景下支持内部负载均衡和高可用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支持存储容量预测功能，可根据现有业务模型，通过AI模型计算并预测虚拟存储卷未来90天的容量值（提供功能截图）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▲支持多副本冗余功能，支持虚拟机级别的2或3副本，创建虚拟机时可自主选择2或3副本策略，当1个或多个主机或者磁盘故障，确保数据依旧正常访问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▲为了便于部署关键业务系统，虚拟存储可支持Oracle RAC，支持共享盘，及共享块设备，支持向导式安装，降低部署复杂度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支持磁盘亚健康监测，包括PCIE SSD寿命告警、硬盘卡、慢的检测和告警、IO错误告警、RAID卡错误告警等，并支持短信告警。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网络虚拟化</w:t>
            </w:r>
          </w:p>
        </w:tc>
        <w:tc>
          <w:tcPr>
            <w:tcW w:w="7654" w:type="dxa"/>
          </w:tcPr>
          <w:p>
            <w:pPr>
              <w:pStyle w:val="256"/>
              <w:rPr>
                <w:rFonts w:hint="eastAsia" w:ascii="宋体" w:hAnsi="宋体"/>
                <w:sz w:val="21"/>
                <w:szCs w:val="21"/>
              </w:rPr>
            </w:pPr>
            <w:r>
              <w:rPr>
                <w:rFonts w:hint="eastAsia" w:ascii="宋体" w:hAnsi="宋体"/>
                <w:sz w:val="21"/>
                <w:szCs w:val="21"/>
              </w:rPr>
              <w:t>提供12颗CPU 网络虚拟化高级版本授权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支持部署虚拟路由器、虚拟交换机、分布式防火墙、虚拟负载均衡、虚拟防火墙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虚拟路由器支持HA功能，当虚拟路由器运行的主机出现故障时，可以实现故障自动恢复，保障业务的高可靠性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提供虚拟路由器、虚拟交换机等设备的连通性探测功能，方便在虚拟化环境中，进行相应的故障排除和恢复，能够定位到出现故障的虚拟网络设备，并且能够排查到acl策略配置错误等层面，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CDP连续数据保护</w:t>
            </w:r>
          </w:p>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▲本次配置持续数据软件，配置200个虚拟机数据保护授权；支持200TB容量，满足以下技术要求：</w:t>
            </w:r>
          </w:p>
          <w:p>
            <w:pPr>
              <w:pStyle w:val="256"/>
              <w:rPr>
                <w:rFonts w:hint="eastAsia" w:ascii="宋体" w:hAnsi="宋体"/>
                <w:sz w:val="21"/>
                <w:szCs w:val="21"/>
              </w:rPr>
            </w:pPr>
            <w:r>
              <w:rPr>
                <w:rFonts w:hint="eastAsia" w:ascii="宋体" w:hAnsi="宋体"/>
                <w:sz w:val="21"/>
                <w:szCs w:val="21"/>
              </w:rPr>
              <w:t>持续数据保护CDP软件模块需采用无代理的方案，避免对虚拟机的稳定性和性能产生影响；为持续保护医院业务及数据的安全与平台的深度兼容性，提供CDP持续数据保护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超融合持续数据保护CDP软件，能够动态的开启和关闭，比如能够提供对正在运行的虚拟机，在不需要重启或中断业务的情况下，就可以开启CDP（提供功能截图）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在主中心对基于SAN/VSAN/NAS/DAS/SDS等存储的VMware虚拟化环境VM虚机提供本地连续数据保护功能;能够在主中心的存储上保存过去一段时间内应用数据的变化的连续记录，在有需要时还原到任意时间点到秒级;</w:t>
            </w:r>
          </w:p>
          <w:p>
            <w:pPr>
              <w:pStyle w:val="256"/>
              <w:rPr>
                <w:rFonts w:hint="eastAsia" w:ascii="宋体" w:hAnsi="宋体"/>
                <w:sz w:val="21"/>
                <w:szCs w:val="21"/>
              </w:rPr>
            </w:pPr>
            <w:r>
              <w:rPr>
                <w:rFonts w:hint="eastAsia" w:ascii="宋体" w:hAnsi="宋体"/>
                <w:sz w:val="21"/>
                <w:szCs w:val="21"/>
              </w:rPr>
              <w:t>在主中心和容灾中心之间提供通过IP网络的数据连续数据复制功能;实现虚拟化平台的容灾，此功能可以基于单个或多个，或一组虚拟机；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支持任意时间点恢复数据，可以捕获并记录VM虚机每一个写I/O操作(不接受快照的方式)，当虚拟机需要恢复时，用户可从任意时间点中选择，使虚拟机能够基于以前的事务快速地从任一时间点恢复(能达到秒级时间点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虚拟机恢复可将对虚拟机任意时间点恢复，并且ESXi服务故障可直接在本地或灾备站点直接使用被保护的虚机，实现与生产虚拟机的切换，无需长时间数据恢复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物理和逻辑数据保护，可以实现对物理和数据逻辑故障的恢复，逻辑故障包括：逻辑错误、人为误操作和病毒等引起的数据库数据丢失、人为或病毒引起的数据库崩溃等故障。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提供一致性组功能，可以将有一致性管理的所有虚拟机，绑定到一个一致性组中，以确保事务向以前时间点的回滚同时进行，从而确保应用程序及虚拟机的数据一致恢复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vAlign w:val="center"/>
          </w:tcPr>
          <w:p>
            <w:pPr>
              <w:pStyle w:val="256"/>
              <w:rPr>
                <w:rFonts w:hint="eastAsia" w:ascii="宋体" w:hAnsi="宋体"/>
                <w:sz w:val="21"/>
                <w:szCs w:val="21"/>
              </w:rPr>
            </w:pPr>
            <w:r>
              <w:rPr>
                <w:rFonts w:hint="eastAsia" w:ascii="宋体" w:hAnsi="宋体"/>
                <w:sz w:val="21"/>
                <w:szCs w:val="21"/>
              </w:rPr>
              <w:t>数据保护方式，对于捕获的写I/O，既支持同步复制到本地站点，也支持异步复制到远程容灾站点。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快照整合功能</w:t>
            </w:r>
          </w:p>
        </w:tc>
        <w:tc>
          <w:tcPr>
            <w:tcW w:w="7654" w:type="dxa"/>
            <w:vAlign w:val="center"/>
          </w:tcPr>
          <w:p>
            <w:pPr>
              <w:pStyle w:val="256"/>
              <w:rPr>
                <w:rFonts w:hint="eastAsia" w:ascii="宋体" w:hAnsi="宋体"/>
                <w:sz w:val="21"/>
                <w:szCs w:val="21"/>
              </w:rPr>
            </w:pPr>
            <w:r>
              <w:rPr>
                <w:rFonts w:hint="eastAsia" w:ascii="宋体" w:hAnsi="宋体"/>
                <w:sz w:val="21"/>
                <w:szCs w:val="21"/>
              </w:rPr>
              <w:t xml:space="preserve">提供快照整合功能，可以让用户能够决定将捕获的每一个写I/O操作保留多久，在哪一时间点将数据更改整合成一个每日、每周或每月恢复点，从而让用户能够以一致性组为单位优化使用的日志空间，这样只使用其一部分就可以跟踪每一个写操作；余下的空间可用于保存每日、每周或每月映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目标端处理</w:t>
            </w:r>
          </w:p>
        </w:tc>
        <w:tc>
          <w:tcPr>
            <w:tcW w:w="7654" w:type="dxa"/>
            <w:vAlign w:val="center"/>
          </w:tcPr>
          <w:p>
            <w:pPr>
              <w:pStyle w:val="256"/>
              <w:rPr>
                <w:rFonts w:hint="eastAsia" w:ascii="宋体" w:hAnsi="宋体"/>
                <w:sz w:val="21"/>
                <w:szCs w:val="21"/>
              </w:rPr>
            </w:pPr>
            <w:r>
              <w:rPr>
                <w:rFonts w:hint="eastAsia" w:ascii="宋体" w:hAnsi="宋体"/>
                <w:sz w:val="21"/>
                <w:szCs w:val="21"/>
              </w:rPr>
              <w:t>支持在执行故障切换之前装载复制的映像以处理和检查一致性的能力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可扩展性</w:t>
            </w:r>
          </w:p>
        </w:tc>
        <w:tc>
          <w:tcPr>
            <w:tcW w:w="7654" w:type="dxa"/>
            <w:vAlign w:val="center"/>
          </w:tcPr>
          <w:p>
            <w:pPr>
              <w:pStyle w:val="256"/>
              <w:rPr>
                <w:rFonts w:hint="eastAsia" w:ascii="宋体" w:hAnsi="宋体"/>
                <w:sz w:val="21"/>
                <w:szCs w:val="21"/>
              </w:rPr>
            </w:pPr>
            <w:r>
              <w:rPr>
                <w:rFonts w:hint="eastAsia" w:ascii="宋体" w:hAnsi="宋体"/>
                <w:sz w:val="21"/>
                <w:szCs w:val="21"/>
              </w:rPr>
              <w:t>提供线性扩展能力，可以通过添加更多应用装置，实现性能的线性扩展和高可用性(HA)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支持操作系统</w:t>
            </w:r>
          </w:p>
        </w:tc>
        <w:tc>
          <w:tcPr>
            <w:tcW w:w="7654" w:type="dxa"/>
            <w:vAlign w:val="center"/>
          </w:tcPr>
          <w:p>
            <w:pPr>
              <w:pStyle w:val="256"/>
              <w:rPr>
                <w:rFonts w:hint="eastAsia" w:ascii="宋体" w:hAnsi="宋体"/>
                <w:sz w:val="21"/>
                <w:szCs w:val="21"/>
              </w:rPr>
            </w:pPr>
            <w:r>
              <w:rPr>
                <w:rFonts w:hint="eastAsia" w:ascii="宋体" w:hAnsi="宋体"/>
                <w:sz w:val="21"/>
                <w:szCs w:val="21"/>
              </w:rPr>
              <w:t>支持各种主流操作系统，包括支持Unix/Windows/RedHat Linux/ SUSE Linux /CentOS Linux/ Ubuntu 等版本虚拟机。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支持存储</w:t>
            </w:r>
          </w:p>
        </w:tc>
        <w:tc>
          <w:tcPr>
            <w:tcW w:w="7654" w:type="dxa"/>
            <w:vAlign w:val="center"/>
          </w:tcPr>
          <w:p>
            <w:pPr>
              <w:pStyle w:val="256"/>
              <w:rPr>
                <w:rFonts w:hint="eastAsia" w:ascii="宋体" w:hAnsi="宋体"/>
                <w:sz w:val="21"/>
                <w:szCs w:val="21"/>
              </w:rPr>
            </w:pPr>
            <w:r>
              <w:rPr>
                <w:rFonts w:hint="eastAsia" w:ascii="宋体" w:hAnsi="宋体"/>
                <w:sz w:val="21"/>
                <w:szCs w:val="21"/>
              </w:rPr>
              <w:t>支持EMC、HDS、HP、IBM、NetApp、HuaWei等多家存储阵列，支持SAN/VSAN/NAS/DAS/SDS存储类型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▲管理方式</w:t>
            </w:r>
          </w:p>
        </w:tc>
        <w:tc>
          <w:tcPr>
            <w:tcW w:w="7654" w:type="dxa"/>
            <w:vAlign w:val="center"/>
          </w:tcPr>
          <w:p>
            <w:pPr>
              <w:pStyle w:val="256"/>
              <w:rPr>
                <w:rFonts w:hint="eastAsia" w:ascii="宋体" w:hAnsi="宋体"/>
                <w:sz w:val="21"/>
                <w:szCs w:val="21"/>
              </w:rPr>
            </w:pPr>
            <w:r>
              <w:rPr>
                <w:rFonts w:hint="eastAsia" w:ascii="宋体" w:hAnsi="宋体"/>
                <w:sz w:val="21"/>
                <w:szCs w:val="21"/>
              </w:rPr>
              <w:t>与VMware深度整合，可通过vSphere client发起对任意虚机的保护；通过vCenter管理所有保护虚机，策略及恢复，无需额外界面及软件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restart"/>
            <w:vAlign w:val="center"/>
          </w:tcPr>
          <w:p>
            <w:pPr>
              <w:rPr>
                <w:rFonts w:hint="eastAsia" w:ascii="宋体" w:hAnsi="宋体" w:cs="仿宋_GB2312"/>
                <w:color w:val="000000"/>
                <w:szCs w:val="21"/>
              </w:rPr>
            </w:pPr>
            <w:r>
              <w:rPr>
                <w:rFonts w:hint="eastAsia" w:ascii="宋体" w:hAnsi="宋体" w:cs="仿宋_GB2312"/>
                <w:color w:val="000000"/>
                <w:szCs w:val="21"/>
              </w:rPr>
              <w:t>延伸集群模块</w:t>
            </w:r>
          </w:p>
        </w:tc>
        <w:tc>
          <w:tcPr>
            <w:tcW w:w="7654" w:type="dxa"/>
          </w:tcPr>
          <w:p>
            <w:pPr>
              <w:pStyle w:val="256"/>
              <w:rPr>
                <w:rFonts w:hint="eastAsia" w:ascii="宋体" w:hAnsi="宋体"/>
                <w:sz w:val="21"/>
                <w:szCs w:val="21"/>
              </w:rPr>
            </w:pPr>
            <w:r>
              <w:rPr>
                <w:rFonts w:hint="eastAsia" w:ascii="宋体" w:hAnsi="宋体"/>
                <w:sz w:val="21"/>
                <w:szCs w:val="21"/>
              </w:rPr>
              <w:t>本次配置同品牌原生延伸集群存储双活软件，本次提供12颗正版CPU的虚拟化双活授权,保证医疗业务的连续性；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6" w:type="dxa"/>
            <w:vMerge w:val="continue"/>
            <w:vAlign w:val="center"/>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支持通过延伸集群的方式实现跨数据中心的数据双活，每个数据中心均保存完整的数据副本，数据同时写入到两个数据中心，任何一个数据中心故障，数据零丢失，业务分钟级别恢复，实现RPO=0，RTO分钟级；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6" w:type="dxa"/>
            <w:vMerge w:val="restart"/>
          </w:tcPr>
          <w:p>
            <w:pPr>
              <w:rPr>
                <w:rFonts w:hint="eastAsia" w:ascii="宋体" w:hAnsi="宋体" w:cs="仿宋_GB2312"/>
                <w:color w:val="000000"/>
                <w:szCs w:val="21"/>
              </w:rPr>
            </w:pPr>
            <w:r>
              <w:rPr>
                <w:rFonts w:hint="eastAsia" w:ascii="宋体" w:hAnsi="宋体" w:cs="仿宋_GB2312"/>
                <w:color w:val="000000"/>
                <w:szCs w:val="21"/>
              </w:rPr>
              <w:t>应用性能监控</w:t>
            </w:r>
          </w:p>
        </w:tc>
        <w:tc>
          <w:tcPr>
            <w:tcW w:w="7654" w:type="dxa"/>
          </w:tcPr>
          <w:p>
            <w:pPr>
              <w:pStyle w:val="256"/>
              <w:rPr>
                <w:rFonts w:hint="eastAsia" w:ascii="宋体" w:hAnsi="宋体"/>
                <w:sz w:val="21"/>
                <w:szCs w:val="21"/>
              </w:rPr>
            </w:pPr>
            <w:r>
              <w:rPr>
                <w:rFonts w:hint="eastAsia" w:ascii="宋体" w:hAnsi="宋体"/>
                <w:sz w:val="21"/>
                <w:szCs w:val="21"/>
              </w:rPr>
              <w:t>提供大屏展示功能，可直观看到当前整个数据中心业务状态（提供功能截图）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支持对oracle、sqlserver、Weblogic数据库及中间件监控，实现对数据库的语句的故障定位排错，执行时延分析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主动探测业务系统，实时监控业务可用性，监控策略包括HTTP、FTP、POP3、SMTP、自定义端口协议等，当业务出现故障时，通过多种方式（短信、邮箱）告知管理员进行排障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6" w:type="dxa"/>
            <w:vMerge w:val="continue"/>
          </w:tcPr>
          <w:p>
            <w:pPr>
              <w:rPr>
                <w:rFonts w:hint="eastAsia" w:ascii="宋体" w:hAnsi="宋体" w:cs="仿宋_GB2312"/>
                <w:color w:val="000000"/>
                <w:szCs w:val="21"/>
              </w:rPr>
            </w:pPr>
          </w:p>
        </w:tc>
        <w:tc>
          <w:tcPr>
            <w:tcW w:w="7654" w:type="dxa"/>
          </w:tcPr>
          <w:p>
            <w:pPr>
              <w:pStyle w:val="256"/>
              <w:rPr>
                <w:rFonts w:hint="eastAsia" w:ascii="宋体" w:hAnsi="宋体"/>
                <w:sz w:val="21"/>
                <w:szCs w:val="21"/>
              </w:rPr>
            </w:pPr>
            <w:r>
              <w:rPr>
                <w:rFonts w:hint="eastAsia" w:ascii="宋体" w:hAnsi="宋体"/>
                <w:sz w:val="21"/>
                <w:szCs w:val="21"/>
              </w:rPr>
              <w:t>提供虚拟机报表功能，可以导出TOPN的虚拟机进行1年以内的性能分析与趋势分析报表，可以自定义报表模板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医疗安全体系建设</w:t>
            </w:r>
          </w:p>
        </w:tc>
        <w:tc>
          <w:tcPr>
            <w:tcW w:w="7654" w:type="dxa"/>
          </w:tcPr>
          <w:p>
            <w:pPr>
              <w:pStyle w:val="256"/>
              <w:rPr>
                <w:rFonts w:hint="eastAsia" w:ascii="宋体" w:hAnsi="宋体"/>
                <w:sz w:val="21"/>
                <w:szCs w:val="21"/>
              </w:rPr>
            </w:pPr>
            <w:r>
              <w:rPr>
                <w:rFonts w:hint="eastAsia" w:ascii="宋体" w:hAnsi="宋体"/>
                <w:sz w:val="21"/>
                <w:szCs w:val="21"/>
              </w:rPr>
              <w:t>支持与安全产品联动(如态势感知)，实现当发生僵尸网络、勒索病毒、挖矿安全事故时，实现自动隔离中毒云主机，并提供故障前一刻的业务安全状态供恢复，将安全事故损失最小化，也支持将病毒虚拟机进行关机或挂起，避免挖坑云主机消耗整个平台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▲测试设备</w:t>
            </w:r>
          </w:p>
        </w:tc>
        <w:tc>
          <w:tcPr>
            <w:tcW w:w="7654" w:type="dxa"/>
            <w:vAlign w:val="center"/>
          </w:tcPr>
          <w:p>
            <w:pPr>
              <w:pStyle w:val="256"/>
              <w:rPr>
                <w:rFonts w:hint="eastAsia" w:ascii="宋体" w:hAnsi="宋体"/>
                <w:sz w:val="21"/>
                <w:szCs w:val="21"/>
              </w:rPr>
            </w:pPr>
            <w:r>
              <w:rPr>
                <w:rFonts w:hint="eastAsia" w:ascii="宋体" w:hAnsi="宋体"/>
                <w:sz w:val="21"/>
                <w:szCs w:val="21"/>
              </w:rPr>
              <w:t>中标后七天内提供相同配置和功能的四节点设备免费使用18个月。用于满足新应用软件系统开发及测试需求，投标提供承诺书。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▲功能测试验证</w:t>
            </w:r>
          </w:p>
        </w:tc>
        <w:tc>
          <w:tcPr>
            <w:tcW w:w="7654" w:type="dxa"/>
          </w:tcPr>
          <w:p>
            <w:pPr>
              <w:pStyle w:val="256"/>
              <w:rPr>
                <w:rFonts w:hint="eastAsia" w:ascii="宋体" w:hAnsi="宋体"/>
                <w:sz w:val="21"/>
                <w:szCs w:val="21"/>
              </w:rPr>
            </w:pPr>
            <w:r>
              <w:rPr>
                <w:rFonts w:hint="eastAsia" w:ascii="宋体" w:hAnsi="宋体"/>
                <w:sz w:val="21"/>
                <w:szCs w:val="21"/>
              </w:rPr>
              <w:t>中标后七天内，提供测试设备对产品功能和性能测试，若无法在规定时间内提供测试设备或测试结果与招标内容不符，影响医院互联互通等级评定和应用软件上线，取消中标资格，中标方承担所有责任；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76" w:type="dxa"/>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654" w:type="dxa"/>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jc w:val="left"/>
        <w:rPr>
          <w:rFonts w:hint="eastAsia" w:ascii="宋体" w:hAnsi="宋体" w:cs="仿宋_GB2312"/>
          <w:kern w:val="0"/>
          <w:szCs w:val="21"/>
        </w:rPr>
      </w:pPr>
    </w:p>
    <w:p>
      <w:pPr>
        <w:pStyle w:val="4"/>
        <w:spacing w:before="0" w:after="0" w:line="240" w:lineRule="auto"/>
        <w:rPr>
          <w:rFonts w:hint="eastAsia" w:ascii="宋体" w:hAnsi="宋体" w:cs="仿宋_GB2312"/>
          <w:sz w:val="21"/>
          <w:szCs w:val="21"/>
        </w:rPr>
      </w:pPr>
      <w:bookmarkStart w:id="33" w:name="_Toc104743858"/>
      <w:r>
        <w:rPr>
          <w:rFonts w:hint="eastAsia" w:ascii="宋体" w:hAnsi="宋体" w:cs="仿宋_GB2312"/>
          <w:sz w:val="21"/>
          <w:szCs w:val="21"/>
        </w:rPr>
        <w:t>2 HIS数据库服务器</w:t>
      </w:r>
      <w:bookmarkEnd w:id="33"/>
    </w:p>
    <w:tbl>
      <w:tblPr>
        <w:tblStyle w:val="64"/>
        <w:tblW w:w="8931" w:type="dxa"/>
        <w:tblInd w:w="108" w:type="dxa"/>
        <w:tblLayout w:type="autofit"/>
        <w:tblCellMar>
          <w:top w:w="0" w:type="dxa"/>
          <w:left w:w="108" w:type="dxa"/>
          <w:bottom w:w="0" w:type="dxa"/>
          <w:right w:w="108" w:type="dxa"/>
        </w:tblCellMar>
      </w:tblPr>
      <w:tblGrid>
        <w:gridCol w:w="1305"/>
        <w:gridCol w:w="7626"/>
      </w:tblGrid>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626"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服务器外型</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机架式</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服务器高度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≥2U，标配原厂导轨</w:t>
            </w:r>
          </w:p>
        </w:tc>
      </w:tr>
      <w:tr>
        <w:tblPrEx>
          <w:tblCellMar>
            <w:top w:w="0" w:type="dxa"/>
            <w:left w:w="108" w:type="dxa"/>
            <w:bottom w:w="0" w:type="dxa"/>
            <w:right w:w="108" w:type="dxa"/>
          </w:tblCellMar>
        </w:tblPrEx>
        <w:trPr>
          <w:trHeight w:val="285" w:hRule="atLeast"/>
        </w:trPr>
        <w:tc>
          <w:tcPr>
            <w:tcW w:w="1305" w:type="dxa"/>
            <w:vMerge w:val="restart"/>
            <w:tcBorders>
              <w:top w:val="nil"/>
              <w:left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★配置要求</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CPU≥2颗Intel 6348 (2.6GHz/28-core)至强系列处理器</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内存≥512GB DDR4-3200内存，Advanced ECC、内存在线热备，具备内存主动式检测，最大支持32根DDR4内存，最高速率3200MT/s，支持RDIMM或LRDIMM</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硬盘≥2*480GB SSD硬盘，托架具备Raid重建不可拔出硬盘提示指示灯。配置≥12个3.5寸热插拔硬盘槽位，可扩展至20个3.5寸热插拔硬盘槽位。</w:t>
            </w:r>
          </w:p>
        </w:tc>
      </w:tr>
      <w:tr>
        <w:tblPrEx>
          <w:tblCellMar>
            <w:top w:w="0" w:type="dxa"/>
            <w:left w:w="108" w:type="dxa"/>
            <w:bottom w:w="0" w:type="dxa"/>
            <w:right w:w="108" w:type="dxa"/>
          </w:tblCellMar>
        </w:tblPrEx>
        <w:trPr>
          <w:trHeight w:val="522" w:hRule="atLeast"/>
        </w:trPr>
        <w:tc>
          <w:tcPr>
            <w:tcW w:w="1305"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阵列控制器</w:t>
            </w:r>
          </w:p>
        </w:tc>
        <w:tc>
          <w:tcPr>
            <w:tcW w:w="7626"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≥1个标配SAS Raid阵列卡（不占用PCIE扩展槽），支持Raid0/1/10/5/6，≥4GB缓存，支持缓存数据保护；</w:t>
            </w:r>
          </w:p>
        </w:tc>
      </w:tr>
      <w:tr>
        <w:tblPrEx>
          <w:tblCellMar>
            <w:top w:w="0" w:type="dxa"/>
            <w:left w:w="108" w:type="dxa"/>
            <w:bottom w:w="0" w:type="dxa"/>
            <w:right w:w="108" w:type="dxa"/>
          </w:tblCellMar>
        </w:tblPrEx>
        <w:trPr>
          <w:trHeight w:val="570"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启动盘可选项</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OS启动盘：支持SATA和PCIe M.2选件，支持双Micro SD卡套件；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▲PCI插槽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最多提供≥8个标准PCIE4.0插槽可用，同时提供阵列卡和网卡扩展，提供官网或技术白皮书截图证明</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网卡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≥4个10Gb 光纤以太网接口（含原厂模块），≥4个千兆以太网口，≥2*双口32G HBA卡</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GPU</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支持多达8个单宽/3个双宽</w:t>
            </w:r>
          </w:p>
        </w:tc>
      </w:tr>
      <w:tr>
        <w:tblPrEx>
          <w:tblCellMar>
            <w:top w:w="0" w:type="dxa"/>
            <w:left w:w="108" w:type="dxa"/>
            <w:bottom w:w="0" w:type="dxa"/>
            <w:right w:w="108" w:type="dxa"/>
          </w:tblCellMar>
        </w:tblPrEx>
        <w:trPr>
          <w:trHeight w:val="34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接口</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≥5个USB3.0接口，最高可扩展至7个USB接口；</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冗余电源</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2个≥800w铂金版热插拔冗余电源，支持96%能效比的钛金版电源选件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冗余风扇</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热插拔冗余风扇</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工作温度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符合ASHARE A4标准，5-45°C标准工作温度</w:t>
            </w:r>
          </w:p>
        </w:tc>
      </w:tr>
      <w:tr>
        <w:tblPrEx>
          <w:tblCellMar>
            <w:top w:w="0" w:type="dxa"/>
            <w:left w:w="108" w:type="dxa"/>
            <w:bottom w:w="0" w:type="dxa"/>
            <w:right w:w="108" w:type="dxa"/>
          </w:tblCellMar>
        </w:tblPrEx>
        <w:trPr>
          <w:trHeight w:val="246" w:hRule="atLeast"/>
        </w:trPr>
        <w:tc>
          <w:tcPr>
            <w:tcW w:w="1305"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嵌入式管理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★配置≥1Gb独立的远程管理控制端口，配置前面板独立的USB管理端口。配置虚拟KVM功能,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提供官网或技术白皮书截图证明</w:t>
            </w:r>
          </w:p>
        </w:tc>
      </w:tr>
      <w:tr>
        <w:tblPrEx>
          <w:tblCellMar>
            <w:top w:w="0" w:type="dxa"/>
            <w:left w:w="108" w:type="dxa"/>
            <w:bottom w:w="0" w:type="dxa"/>
            <w:right w:w="108" w:type="dxa"/>
          </w:tblCellMar>
        </w:tblPrEx>
        <w:trPr>
          <w:trHeight w:val="671"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CellMar>
            <w:top w:w="0" w:type="dxa"/>
            <w:left w:w="108" w:type="dxa"/>
            <w:bottom w:w="0" w:type="dxa"/>
            <w:right w:w="108" w:type="dxa"/>
          </w:tblCellMar>
        </w:tblPrEx>
        <w:trPr>
          <w:trHeight w:val="570"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嵌入式管理工具支持联合管理功能，无需软件即可实现多台服务器统一管理功能，如监控硬件健康状况，固件升级等。</w:t>
            </w:r>
          </w:p>
        </w:tc>
      </w:tr>
      <w:tr>
        <w:tblPrEx>
          <w:tblCellMar>
            <w:top w:w="0" w:type="dxa"/>
            <w:left w:w="108" w:type="dxa"/>
            <w:bottom w:w="0" w:type="dxa"/>
            <w:right w:w="108" w:type="dxa"/>
          </w:tblCellMar>
        </w:tblPrEx>
        <w:trPr>
          <w:trHeight w:val="285"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免费提供升级工具，无需安装代理即可可统一升级同一网络中服务器的固件及驱动程序。</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▲管理芯片安全功能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可信硅根技术：提供基于芯片级别的安全技术，管理芯片原厂商设计和生产，管理芯片功能代码在芯片生产阶段一次性写入；</w:t>
            </w:r>
            <w:r>
              <w:rPr>
                <w:rFonts w:hint="eastAsia" w:ascii="宋体" w:hAnsi="宋体"/>
                <w:sz w:val="21"/>
                <w:szCs w:val="21"/>
              </w:rPr>
              <w:br w:type="textWrapping"/>
            </w:r>
            <w:r>
              <w:rPr>
                <w:rFonts w:hint="eastAsia" w:ascii="宋体" w:hAnsi="宋体"/>
                <w:sz w:val="21"/>
                <w:szCs w:val="21"/>
              </w:rPr>
              <w:t>提供管理芯片运行期间的实时监测，提供防篡改升级、固件安全恢复、固件回滚和固件安全擦除技术，可在监测到威胁时基于上述技术采取处理措施，保护系统安全。提供官网或技术白皮书截图证明</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服务器管理系统</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创建、删除存储卷，显示卷的空间使用率、支持对存储的监控，查看使用情况，以及IO。实时IOPS、卷属性，支持将卷挂载在某个主机上。支持对软件定义存储，以及独立存储等存储的管理。支持创建，删除主机，主机集，支持将存储卷和主机的关联</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▲软件定义存储</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同等CPU数量的软件定义存储功能，可将服务器磁盘组成一个可以共享的存储资源，用于扩展存储空间，整合零散存储空间，基于面向对象的存储架构，可以在同一个图形界面里管理所有计算和存储资源，并支持横向扩展；配置快照与克隆功能；支持去重与压缩功能，支持纠删码、QoS功能；无缝集成虚拟化HA、FT容错、迁移、资源自动调度等功能；</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▲数据保护</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保护功能，采用无代理的方案，为持续保护业务及数据的安全与平台的深度兼容性，最小恢复单位为一个写I/O操作，可从任意时间点中选择，使应用程序能够基于以前的事务快速地从任一时间点恢复。支持本地复制功能。对于捕获的写I/O，既支持同步复制到本地站点，也支持异步复制到远程站点，提供对同一数据卷的并行本地和远程保护;可以恢复到任意时间点的数据，保证数据安全性</w:t>
            </w:r>
          </w:p>
        </w:tc>
      </w:tr>
      <w:tr>
        <w:tblPrEx>
          <w:tblCellMar>
            <w:top w:w="0" w:type="dxa"/>
            <w:left w:w="108" w:type="dxa"/>
            <w:bottom w:w="0" w:type="dxa"/>
            <w:right w:w="108" w:type="dxa"/>
          </w:tblCellMar>
        </w:tblPrEx>
        <w:trPr>
          <w:trHeight w:val="95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配置数据库管理监控功能组件</w:t>
            </w:r>
          </w:p>
          <w:p>
            <w:pPr>
              <w:pStyle w:val="256"/>
              <w:rPr>
                <w:rFonts w:hint="eastAsia" w:ascii="宋体" w:hAnsi="宋体"/>
                <w:sz w:val="21"/>
                <w:szCs w:val="21"/>
              </w:rPr>
            </w:pPr>
            <w:r>
              <w:rPr>
                <w:rFonts w:hint="eastAsia" w:ascii="宋体" w:hAnsi="宋体"/>
                <w:sz w:val="21"/>
                <w:szCs w:val="21"/>
              </w:rPr>
              <w:t>1、能实现Oracle数据库的实时监控、故障诊断、性能分析；无需安装插件或Agent。支持多个库一键巡检，巡检报告包含不同维度得分雷达图。支持用户自定义添加巡检规则。</w:t>
            </w:r>
          </w:p>
          <w:p>
            <w:pPr>
              <w:pStyle w:val="256"/>
              <w:rPr>
                <w:rFonts w:hint="eastAsia" w:ascii="宋体" w:hAnsi="宋体"/>
                <w:sz w:val="21"/>
                <w:szCs w:val="21"/>
              </w:rPr>
            </w:pPr>
            <w:r>
              <w:rPr>
                <w:rFonts w:hint="eastAsia" w:ascii="宋体" w:hAnsi="宋体"/>
                <w:sz w:val="21"/>
                <w:szCs w:val="21"/>
              </w:rPr>
              <w:t>2、能够手动或者定时自动生成全中文健康分析报告（包括配置、性能、管理、安全、备份等方面的分析），报告具备单库跟多库合并的展示，可以自动和历史报告对比分析。</w:t>
            </w:r>
          </w:p>
          <w:p>
            <w:pPr>
              <w:pStyle w:val="256"/>
              <w:rPr>
                <w:rFonts w:hint="eastAsia" w:ascii="宋体" w:hAnsi="宋体"/>
                <w:sz w:val="21"/>
                <w:szCs w:val="21"/>
              </w:rPr>
            </w:pPr>
            <w:r>
              <w:rPr>
                <w:rFonts w:hint="eastAsia" w:ascii="宋体" w:hAnsi="宋体"/>
                <w:sz w:val="21"/>
                <w:szCs w:val="21"/>
              </w:rPr>
              <w:t>3、具备告警功能，比如负载的历史同比、环比的基线告警。支持对主机文件系统，数据库表空间、ASM磁盘空间耗尽的预测，可以定义阈值。</w:t>
            </w:r>
          </w:p>
          <w:p>
            <w:pPr>
              <w:pStyle w:val="256"/>
              <w:rPr>
                <w:rFonts w:ascii="宋体" w:hAnsi="宋体"/>
                <w:sz w:val="21"/>
                <w:szCs w:val="21"/>
              </w:rPr>
            </w:pPr>
            <w:r>
              <w:rPr>
                <w:rFonts w:hint="eastAsia" w:ascii="宋体" w:hAnsi="宋体"/>
                <w:sz w:val="21"/>
                <w:szCs w:val="21"/>
              </w:rPr>
              <w:t>4、对于数据库层面发生除突发性的可用和性能问题（如应用锁阻塞、大SQL语句运行、系统资源不足等问题）拥有自动诊断、自动记录和追溯的功能。5、提供DBA工具包功能，在线制作并下载AWR报告，ASH报告、ADDM报告等。</w:t>
            </w:r>
          </w:p>
          <w:p>
            <w:pPr>
              <w:pStyle w:val="256"/>
              <w:rPr>
                <w:rFonts w:hint="eastAsia" w:ascii="宋体" w:hAnsi="宋体"/>
                <w:sz w:val="21"/>
                <w:szCs w:val="21"/>
              </w:rPr>
            </w:pPr>
            <w:r>
              <w:rPr>
                <w:rFonts w:hint="eastAsia" w:ascii="宋体" w:hAnsi="宋体"/>
                <w:sz w:val="21"/>
                <w:szCs w:val="21"/>
              </w:rPr>
              <w:t>以上功能提供功能截图</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其它安全选项</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提供UEFI安全启动；</w:t>
            </w:r>
            <w:r>
              <w:rPr>
                <w:rFonts w:hint="eastAsia" w:ascii="宋体" w:hAnsi="宋体"/>
                <w:sz w:val="21"/>
                <w:szCs w:val="21"/>
              </w:rPr>
              <w:br w:type="textWrapping"/>
            </w:r>
            <w:r>
              <w:rPr>
                <w:rFonts w:hint="eastAsia" w:ascii="宋体" w:hAnsi="宋体"/>
                <w:sz w:val="21"/>
                <w:szCs w:val="21"/>
              </w:rPr>
              <w:t>可配置机箱入侵侦测，在外部打开机箱时提供报警功能。</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ascii="宋体" w:hAnsi="宋体" w:cs="仿宋_GB2312"/>
          <w:sz w:val="21"/>
          <w:szCs w:val="21"/>
        </w:rPr>
      </w:pPr>
      <w:bookmarkStart w:id="34" w:name="_Toc104743859"/>
      <w:r>
        <w:rPr>
          <w:rFonts w:hint="eastAsia" w:ascii="宋体" w:hAnsi="宋体" w:cs="仿宋_GB2312"/>
          <w:sz w:val="21"/>
          <w:szCs w:val="21"/>
        </w:rPr>
        <w:t>3 EMR数据库服务器</w:t>
      </w:r>
      <w:bookmarkEnd w:id="34"/>
    </w:p>
    <w:p/>
    <w:tbl>
      <w:tblPr>
        <w:tblStyle w:val="64"/>
        <w:tblW w:w="8931" w:type="dxa"/>
        <w:tblInd w:w="108" w:type="dxa"/>
        <w:tblLayout w:type="autofit"/>
        <w:tblCellMar>
          <w:top w:w="0" w:type="dxa"/>
          <w:left w:w="108" w:type="dxa"/>
          <w:bottom w:w="0" w:type="dxa"/>
          <w:right w:w="108" w:type="dxa"/>
        </w:tblCellMar>
      </w:tblPr>
      <w:tblGrid>
        <w:gridCol w:w="1305"/>
        <w:gridCol w:w="7626"/>
      </w:tblGrid>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626"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服务器外型</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机架式</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服务器高度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≥2U，标配原厂导轨</w:t>
            </w:r>
          </w:p>
        </w:tc>
      </w:tr>
      <w:tr>
        <w:tblPrEx>
          <w:tblCellMar>
            <w:top w:w="0" w:type="dxa"/>
            <w:left w:w="108" w:type="dxa"/>
            <w:bottom w:w="0" w:type="dxa"/>
            <w:right w:w="108" w:type="dxa"/>
          </w:tblCellMar>
        </w:tblPrEx>
        <w:trPr>
          <w:trHeight w:val="285" w:hRule="atLeast"/>
        </w:trPr>
        <w:tc>
          <w:tcPr>
            <w:tcW w:w="1305" w:type="dxa"/>
            <w:vMerge w:val="restart"/>
            <w:tcBorders>
              <w:top w:val="nil"/>
              <w:left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★配置要求</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CPU≥2颗Intel 6348 (2.6GHz/28-core)至强系列处理器</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内存≥512GB DDR4-3200内存，Advanced ECC、内存在线热备，具备内存主动式检测，最大支持32根DDR4内存，最高速率3200MT/s，支持RDIMM或LRDIMM</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硬盘≥2*480GB SSD硬盘，托架具备Raid重建不可拔出硬盘提示指示灯。配置≥12个3.5寸热插拔硬盘槽位，可扩展至20个3.5寸热插拔硬盘槽位。</w:t>
            </w:r>
          </w:p>
        </w:tc>
      </w:tr>
      <w:tr>
        <w:tblPrEx>
          <w:tblCellMar>
            <w:top w:w="0" w:type="dxa"/>
            <w:left w:w="108" w:type="dxa"/>
            <w:bottom w:w="0" w:type="dxa"/>
            <w:right w:w="108" w:type="dxa"/>
          </w:tblCellMar>
        </w:tblPrEx>
        <w:trPr>
          <w:trHeight w:val="522" w:hRule="atLeast"/>
        </w:trPr>
        <w:tc>
          <w:tcPr>
            <w:tcW w:w="1305"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阵列控制器</w:t>
            </w:r>
          </w:p>
        </w:tc>
        <w:tc>
          <w:tcPr>
            <w:tcW w:w="7626"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≥1个标配SAS Raid阵列卡（不占用PCIE扩展槽），支持Raid0/1/10/5/6，≥4GB缓存，支持缓存数据保护；</w:t>
            </w:r>
          </w:p>
        </w:tc>
      </w:tr>
      <w:tr>
        <w:tblPrEx>
          <w:tblCellMar>
            <w:top w:w="0" w:type="dxa"/>
            <w:left w:w="108" w:type="dxa"/>
            <w:bottom w:w="0" w:type="dxa"/>
            <w:right w:w="108" w:type="dxa"/>
          </w:tblCellMar>
        </w:tblPrEx>
        <w:trPr>
          <w:trHeight w:val="570"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启动盘可选项</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OS启动盘：支持SATA和PCIe M.2选件，支持双Micro SD卡套件；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▲PCI插槽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最多提供≥8个标准PCIE4.0插槽可用，同时提供阵列卡和网卡扩展，提供官网或技术白皮书截图证明</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网卡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≥4个10Gb 光纤以太网接口（含原厂模块），≥4个千兆以太网口，≥2*双口32G HBA卡</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GPU</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支持多达8个单宽/3个双宽</w:t>
            </w:r>
          </w:p>
        </w:tc>
      </w:tr>
      <w:tr>
        <w:tblPrEx>
          <w:tblCellMar>
            <w:top w:w="0" w:type="dxa"/>
            <w:left w:w="108" w:type="dxa"/>
            <w:bottom w:w="0" w:type="dxa"/>
            <w:right w:w="108" w:type="dxa"/>
          </w:tblCellMar>
        </w:tblPrEx>
        <w:trPr>
          <w:trHeight w:val="34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接口</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≥5个USB3.0接口，最高可扩展至7个USB接口；</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冗余电源</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2个≥800w铂金版热插拔冗余电源，支持96%能效比的钛金版电源选件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冗余风扇</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热插拔冗余风扇</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工作温度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符合ASHARE A4标准，5-45°C标准工作温度</w:t>
            </w:r>
          </w:p>
        </w:tc>
      </w:tr>
      <w:tr>
        <w:tblPrEx>
          <w:tblCellMar>
            <w:top w:w="0" w:type="dxa"/>
            <w:left w:w="108" w:type="dxa"/>
            <w:bottom w:w="0" w:type="dxa"/>
            <w:right w:w="108" w:type="dxa"/>
          </w:tblCellMar>
        </w:tblPrEx>
        <w:trPr>
          <w:trHeight w:val="246" w:hRule="atLeast"/>
        </w:trPr>
        <w:tc>
          <w:tcPr>
            <w:tcW w:w="1305"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嵌入式管理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★配置≥1Gb独立的远程管理控制端口，配置前面板独立的USB管理端口。配置虚拟KVM功能,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提供官网或技术白皮书截图证明</w:t>
            </w:r>
          </w:p>
        </w:tc>
      </w:tr>
      <w:tr>
        <w:tblPrEx>
          <w:tblCellMar>
            <w:top w:w="0" w:type="dxa"/>
            <w:left w:w="108" w:type="dxa"/>
            <w:bottom w:w="0" w:type="dxa"/>
            <w:right w:w="108" w:type="dxa"/>
          </w:tblCellMar>
        </w:tblPrEx>
        <w:trPr>
          <w:trHeight w:val="671"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CellMar>
            <w:top w:w="0" w:type="dxa"/>
            <w:left w:w="108" w:type="dxa"/>
            <w:bottom w:w="0" w:type="dxa"/>
            <w:right w:w="108" w:type="dxa"/>
          </w:tblCellMar>
        </w:tblPrEx>
        <w:trPr>
          <w:trHeight w:val="570"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嵌入式管理工具支持联合管理功能，无需软件即可实现多台服务器统一管理功能，如监控硬件健康状况，固件升级等。</w:t>
            </w:r>
          </w:p>
        </w:tc>
      </w:tr>
      <w:tr>
        <w:tblPrEx>
          <w:tblCellMar>
            <w:top w:w="0" w:type="dxa"/>
            <w:left w:w="108" w:type="dxa"/>
            <w:bottom w:w="0" w:type="dxa"/>
            <w:right w:w="108" w:type="dxa"/>
          </w:tblCellMar>
        </w:tblPrEx>
        <w:trPr>
          <w:trHeight w:val="285"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免费提供升级工具，无需安装代理即可可统一升级同一网络中服务器的固件及驱动程序。</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▲管理芯片安全功能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可信硅根技术：提供基于芯片级别的安全技术，管理芯片原厂商设计和生产，管理芯片功能代码在芯片生产阶段一次性写入；</w:t>
            </w:r>
            <w:r>
              <w:rPr>
                <w:rFonts w:hint="eastAsia" w:ascii="宋体" w:hAnsi="宋体"/>
                <w:sz w:val="21"/>
                <w:szCs w:val="21"/>
              </w:rPr>
              <w:br w:type="textWrapping"/>
            </w:r>
            <w:r>
              <w:rPr>
                <w:rFonts w:hint="eastAsia" w:ascii="宋体" w:hAnsi="宋体"/>
                <w:sz w:val="21"/>
                <w:szCs w:val="21"/>
              </w:rPr>
              <w:t>提供管理芯片运行期间的实时监测，提供防篡改升级、固件安全恢复、固件回滚和固件安全擦除技术，可在监测到威胁时基于上述技术采取处理措施，保护系统安全。提供官网或技术白皮书截图证明</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服务器管理系统</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创建、删除存储卷，显示卷的空间使用率、支持对存储的监控，查看使用情况，以及IO。实时IOPS、卷属性，支持将卷挂载在某个主机上。支持对软件定义存储，以及独立存储等存储的管理。支持创建，删除主机，主机集，支持将存储卷和主机的关联</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▲软件定义存储</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同等CPU数量的软件定义存储功能，可将服务器磁盘组成一个可以共享的存储资源，用于扩展存储空间，整合零散存储空间，基于面向对象的存储架构，可以在同一个图形界面里管理所有计算和存储资源，并支持横向扩展；配置快照与克隆功能；支持去重与压缩功能，支持纠删码、QoS功能；无缝集成虚拟化HA、FT容错、迁移、资源自动调度等功能；</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▲数据保护</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保护功能，采用无代理的方案，为持续保护业务及数据的安全与平台的深度兼容性，最小恢复单位为一个写I/O操作，可从任意时间点中选择，使应用程序能够基于以前的事务快速地从任一时间点恢复。支持本地复制功能。对于捕获的写I/O，既支持同步复制到本地站点，也支持异步复制到远程站点，提供对同一数据卷的并行本地和远程保护;可以恢复到任意时间点的数据，保证数据安全性</w:t>
            </w:r>
          </w:p>
        </w:tc>
      </w:tr>
      <w:tr>
        <w:tblPrEx>
          <w:tblCellMar>
            <w:top w:w="0" w:type="dxa"/>
            <w:left w:w="108" w:type="dxa"/>
            <w:bottom w:w="0" w:type="dxa"/>
            <w:right w:w="108" w:type="dxa"/>
          </w:tblCellMar>
        </w:tblPrEx>
        <w:trPr>
          <w:trHeight w:val="95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配置数据库管理监控功能组件</w:t>
            </w:r>
          </w:p>
          <w:p>
            <w:pPr>
              <w:pStyle w:val="256"/>
              <w:rPr>
                <w:rFonts w:hint="eastAsia" w:ascii="宋体" w:hAnsi="宋体"/>
                <w:sz w:val="21"/>
                <w:szCs w:val="21"/>
              </w:rPr>
            </w:pPr>
            <w:r>
              <w:rPr>
                <w:rFonts w:hint="eastAsia" w:ascii="宋体" w:hAnsi="宋体"/>
                <w:sz w:val="21"/>
                <w:szCs w:val="21"/>
              </w:rPr>
              <w:t>1、能实现Oracle数据库的实时监控、故障诊断、性能分析；无需安装插件或Agent。支持多个库一键巡检，巡检报告包含不同维度得分雷达图。支持用户自定义添加巡检规则。</w:t>
            </w:r>
          </w:p>
          <w:p>
            <w:pPr>
              <w:pStyle w:val="256"/>
              <w:rPr>
                <w:rFonts w:hint="eastAsia" w:ascii="宋体" w:hAnsi="宋体"/>
                <w:sz w:val="21"/>
                <w:szCs w:val="21"/>
              </w:rPr>
            </w:pPr>
            <w:r>
              <w:rPr>
                <w:rFonts w:hint="eastAsia" w:ascii="宋体" w:hAnsi="宋体"/>
                <w:sz w:val="21"/>
                <w:szCs w:val="21"/>
              </w:rPr>
              <w:t>2、能够手动或者定时自动生成全中文健康分析报告（包括配置、性能、管理、安全、备份等方面的分析），报告具备单库跟多库合并的展示，可以自动和历史报告对比分析。</w:t>
            </w:r>
          </w:p>
          <w:p>
            <w:pPr>
              <w:pStyle w:val="256"/>
              <w:rPr>
                <w:rFonts w:hint="eastAsia" w:ascii="宋体" w:hAnsi="宋体"/>
                <w:sz w:val="21"/>
                <w:szCs w:val="21"/>
              </w:rPr>
            </w:pPr>
            <w:r>
              <w:rPr>
                <w:rFonts w:hint="eastAsia" w:ascii="宋体" w:hAnsi="宋体"/>
                <w:sz w:val="21"/>
                <w:szCs w:val="21"/>
              </w:rPr>
              <w:t>3、具备告警功能，比如负载的历史同比、环比的基线告警。支持对主机文件系统，数据库表空间、ASM磁盘空间耗尽的预测，可以定义阈值。</w:t>
            </w:r>
          </w:p>
          <w:p>
            <w:pPr>
              <w:pStyle w:val="256"/>
              <w:rPr>
                <w:rFonts w:ascii="宋体" w:hAnsi="宋体"/>
                <w:sz w:val="21"/>
                <w:szCs w:val="21"/>
              </w:rPr>
            </w:pPr>
            <w:r>
              <w:rPr>
                <w:rFonts w:hint="eastAsia" w:ascii="宋体" w:hAnsi="宋体"/>
                <w:sz w:val="21"/>
                <w:szCs w:val="21"/>
              </w:rPr>
              <w:t>4、对于数据库层面发生除突发性的可用和性能问题（如应用锁阻塞、大SQL语句运行、系统资源不足等问题）拥有自动诊断、自动记录和追溯的功能。5、提供DBA工具包功能，在线制作并下载AWR报告，ASH报告、ADDM报告等。</w:t>
            </w:r>
          </w:p>
          <w:p>
            <w:pPr>
              <w:pStyle w:val="256"/>
              <w:rPr>
                <w:rFonts w:hint="eastAsia" w:ascii="宋体" w:hAnsi="宋体"/>
                <w:sz w:val="21"/>
                <w:szCs w:val="21"/>
              </w:rPr>
            </w:pPr>
            <w:r>
              <w:rPr>
                <w:rFonts w:hint="eastAsia" w:ascii="宋体" w:hAnsi="宋体"/>
                <w:sz w:val="21"/>
                <w:szCs w:val="21"/>
              </w:rPr>
              <w:t>以上功能提供功能截图</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其它安全选项</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提供UEFI安全启动；</w:t>
            </w:r>
            <w:r>
              <w:rPr>
                <w:rFonts w:hint="eastAsia" w:ascii="宋体" w:hAnsi="宋体"/>
                <w:sz w:val="21"/>
                <w:szCs w:val="21"/>
              </w:rPr>
              <w:br w:type="textWrapping"/>
            </w:r>
            <w:r>
              <w:rPr>
                <w:rFonts w:hint="eastAsia" w:ascii="宋体" w:hAnsi="宋体"/>
                <w:sz w:val="21"/>
                <w:szCs w:val="21"/>
              </w:rPr>
              <w:t>可配置机箱入侵侦测，在外部打开机箱时提供报警功能。</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pStyle w:val="22"/>
        <w:rPr>
          <w:rFonts w:hint="eastAsia"/>
        </w:rPr>
      </w:pPr>
    </w:p>
    <w:p>
      <w:pPr>
        <w:pStyle w:val="4"/>
        <w:spacing w:before="0" w:after="0" w:line="240" w:lineRule="auto"/>
        <w:rPr>
          <w:rFonts w:ascii="宋体" w:hAnsi="宋体" w:cs="仿宋_GB2312"/>
          <w:sz w:val="21"/>
          <w:szCs w:val="21"/>
        </w:rPr>
      </w:pPr>
      <w:bookmarkStart w:id="35" w:name="_Toc104743860"/>
      <w:r>
        <w:rPr>
          <w:rFonts w:hint="eastAsia" w:ascii="宋体" w:hAnsi="宋体" w:cs="仿宋_GB2312"/>
          <w:sz w:val="21"/>
          <w:szCs w:val="21"/>
        </w:rPr>
        <w:t>4 集成平台数据库服务器</w:t>
      </w:r>
      <w:bookmarkEnd w:id="35"/>
    </w:p>
    <w:p/>
    <w:tbl>
      <w:tblPr>
        <w:tblStyle w:val="64"/>
        <w:tblW w:w="8931" w:type="dxa"/>
        <w:tblInd w:w="108" w:type="dxa"/>
        <w:tblLayout w:type="autofit"/>
        <w:tblCellMar>
          <w:top w:w="0" w:type="dxa"/>
          <w:left w:w="108" w:type="dxa"/>
          <w:bottom w:w="0" w:type="dxa"/>
          <w:right w:w="108" w:type="dxa"/>
        </w:tblCellMar>
      </w:tblPr>
      <w:tblGrid>
        <w:gridCol w:w="1305"/>
        <w:gridCol w:w="7626"/>
      </w:tblGrid>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626"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服务器外型</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机架式</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服务器高度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≥2U，标配原厂导轨</w:t>
            </w:r>
          </w:p>
        </w:tc>
      </w:tr>
      <w:tr>
        <w:trPr>
          <w:trHeight w:val="285" w:hRule="atLeast"/>
        </w:trPr>
        <w:tc>
          <w:tcPr>
            <w:tcW w:w="1305" w:type="dxa"/>
            <w:vMerge w:val="restart"/>
            <w:tcBorders>
              <w:top w:val="nil"/>
              <w:left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★配置要求</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CPU≥2颗Intel 6348 (2.6GHz/28-core)至强系列处理器</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内存≥512GB DDR4-3200内存，Advanced ECC、内存在线热备，具备内存主动式检测，最大支持32根DDR4内存，最高速率3200MT/s，支持RDIMM或LRDIMM</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硬盘≥2*480GB SSD硬盘，托架具备Raid重建不可拔出硬盘提示指示灯。配置≥12个3.5寸热插拔硬盘槽位，可扩展至20个3.5寸热插拔硬盘槽位。</w:t>
            </w:r>
          </w:p>
        </w:tc>
      </w:tr>
      <w:tr>
        <w:tblPrEx>
          <w:tblCellMar>
            <w:top w:w="0" w:type="dxa"/>
            <w:left w:w="108" w:type="dxa"/>
            <w:bottom w:w="0" w:type="dxa"/>
            <w:right w:w="108" w:type="dxa"/>
          </w:tblCellMar>
        </w:tblPrEx>
        <w:trPr>
          <w:trHeight w:val="522" w:hRule="atLeast"/>
        </w:trPr>
        <w:tc>
          <w:tcPr>
            <w:tcW w:w="1305"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阵列控制器</w:t>
            </w:r>
          </w:p>
        </w:tc>
        <w:tc>
          <w:tcPr>
            <w:tcW w:w="7626"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≥1个标配SAS Raid阵列卡（不占用PCIE扩展槽），支持Raid0/1/10/5/6，≥4GB缓存，支持缓存数据保护；</w:t>
            </w:r>
          </w:p>
        </w:tc>
      </w:tr>
      <w:tr>
        <w:trPr>
          <w:trHeight w:val="570"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启动盘可选项</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OS启动盘：支持SATA和PCIe M.2选件，支持双Micro SD卡套件；</w:t>
            </w:r>
          </w:p>
        </w:tc>
      </w:tr>
      <w:tr>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▲PCI插槽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最多提供≥8个标准PCIE4.0插槽可用，同时提供阵列卡和网卡扩展，提供官网或技术白皮书截图证明</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网卡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≥4个10Gb 光纤以太网接口（含原厂模块），≥4个千兆以太网口，≥2*双口32G HBA卡</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GPU</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支持多达8个单宽/3个双宽</w:t>
            </w:r>
          </w:p>
        </w:tc>
      </w:tr>
      <w:tr>
        <w:tblPrEx>
          <w:tblCellMar>
            <w:top w:w="0" w:type="dxa"/>
            <w:left w:w="108" w:type="dxa"/>
            <w:bottom w:w="0" w:type="dxa"/>
            <w:right w:w="108" w:type="dxa"/>
          </w:tblCellMar>
        </w:tblPrEx>
        <w:trPr>
          <w:trHeight w:val="34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接口</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≥5个USB3.0接口，最高可扩展至7个USB接口；</w:t>
            </w:r>
          </w:p>
        </w:tc>
      </w:tr>
      <w:tr>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冗余电源</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2个≥800w铂金版热插拔冗余电源，支持96%能效比的钛金版电源选件</w:t>
            </w:r>
          </w:p>
        </w:tc>
      </w:tr>
      <w:tr>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冗余风扇</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热插拔冗余风扇</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工作温度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符合ASHARE A4标准，5-45°C标准工作温度</w:t>
            </w:r>
          </w:p>
        </w:tc>
      </w:tr>
      <w:tr>
        <w:tblPrEx>
          <w:tblCellMar>
            <w:top w:w="0" w:type="dxa"/>
            <w:left w:w="108" w:type="dxa"/>
            <w:bottom w:w="0" w:type="dxa"/>
            <w:right w:w="108" w:type="dxa"/>
          </w:tblCellMar>
        </w:tblPrEx>
        <w:trPr>
          <w:trHeight w:val="246" w:hRule="atLeast"/>
        </w:trPr>
        <w:tc>
          <w:tcPr>
            <w:tcW w:w="1305"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嵌入式管理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★配置≥1Gb独立的远程管理控制端口，配置前面板独立的USB管理端口。配置虚拟KVM功能,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提供官网或技术白皮书截图证明</w:t>
            </w:r>
          </w:p>
        </w:tc>
      </w:tr>
      <w:tr>
        <w:tblPrEx>
          <w:tblCellMar>
            <w:top w:w="0" w:type="dxa"/>
            <w:left w:w="108" w:type="dxa"/>
            <w:bottom w:w="0" w:type="dxa"/>
            <w:right w:w="108" w:type="dxa"/>
          </w:tblCellMar>
        </w:tblPrEx>
        <w:trPr>
          <w:trHeight w:val="671"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CellMar>
            <w:top w:w="0" w:type="dxa"/>
            <w:left w:w="108" w:type="dxa"/>
            <w:bottom w:w="0" w:type="dxa"/>
            <w:right w:w="108" w:type="dxa"/>
          </w:tblCellMar>
        </w:tblPrEx>
        <w:trPr>
          <w:trHeight w:val="570"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嵌入式管理工具支持联合管理功能，无需软件即可实现多台服务器统一管理功能，如监控硬件健康状况，固件升级等。</w:t>
            </w:r>
          </w:p>
        </w:tc>
      </w:tr>
      <w:tr>
        <w:trPr>
          <w:trHeight w:val="285"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免费提供升级工具，无需安装代理即可可统一升级同一网络中服务器的固件及驱动程序。</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▲管理芯片安全功能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可信硅根技术：提供基于芯片级别的安全技术，管理芯片原厂商设计和生产，管理芯片功能代码在芯片生产阶段一次性写入；</w:t>
            </w:r>
            <w:r>
              <w:rPr>
                <w:rFonts w:hint="eastAsia" w:ascii="宋体" w:hAnsi="宋体"/>
                <w:sz w:val="21"/>
                <w:szCs w:val="21"/>
              </w:rPr>
              <w:br w:type="textWrapping"/>
            </w:r>
            <w:r>
              <w:rPr>
                <w:rFonts w:hint="eastAsia" w:ascii="宋体" w:hAnsi="宋体"/>
                <w:sz w:val="21"/>
                <w:szCs w:val="21"/>
              </w:rPr>
              <w:t>提供管理芯片运行期间的实时监测，提供防篡改升级、固件安全恢复、固件回滚和固件安全擦除技术，可在监测到威胁时基于上述技术采取处理措施，保护系统安全。提供官网或技术白皮书截图证明</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服务器管理系统</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创建、删除存储卷，显示卷的空间使用率、支持对存储的监控，查看使用情况，以及IO。实时IOPS、卷属性，支持将卷挂载在某个主机上。支持对软件定义存储，以及独立存储等存储的管理。支持创建，删除主机，主机集，支持将存储卷和主机的关联</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▲软件定义存储</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同等CPU数量的软件定义存储功能，可将服务器磁盘组成一个可以共享的存储资源，用于扩展存储空间，整合零散存储空间，基于面向对象的存储架构，可以在同一个图形界面里管理所有计算和存储资源，并支持横向扩展；配置快照与克隆功能；支持去重与压缩功能，支持纠删码、QoS功能；无缝集成虚拟化HA、FT容错、迁移、资源自动调度等功能；</w:t>
            </w:r>
          </w:p>
        </w:tc>
      </w:tr>
      <w:tr>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▲数据保护</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保护功能，采用无代理的方案，为持续保护业务及数据的安全与平台的深度兼容性，最小恢复单位为一个写I/O操作，可从任意时间点中选择，使应用程序能够基于以前的事务快速地从任一时间点恢复。支持本地复制功能。对于捕获的写I/O，既支持同步复制到本地站点，也支持异步复制到远程站点，提供对同一数据卷的并行本地和远程保护;可以恢复到任意时间点的数据，保证数据安全性</w:t>
            </w:r>
          </w:p>
        </w:tc>
      </w:tr>
      <w:tr>
        <w:trPr>
          <w:trHeight w:val="95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配置数据库管理监控功能组件</w:t>
            </w:r>
          </w:p>
          <w:p>
            <w:pPr>
              <w:pStyle w:val="256"/>
              <w:rPr>
                <w:rFonts w:hint="eastAsia" w:ascii="宋体" w:hAnsi="宋体"/>
                <w:sz w:val="21"/>
                <w:szCs w:val="21"/>
              </w:rPr>
            </w:pPr>
            <w:r>
              <w:rPr>
                <w:rFonts w:hint="eastAsia" w:ascii="宋体" w:hAnsi="宋体"/>
                <w:sz w:val="21"/>
                <w:szCs w:val="21"/>
              </w:rPr>
              <w:t>1、能实现Oracle数据库的实时监控、故障诊断、性能分析；无需安装插件或Agent。支持多个库一键巡检，巡检报告包含不同维度得分雷达图。支持用户自定义添加巡检规则。</w:t>
            </w:r>
          </w:p>
          <w:p>
            <w:pPr>
              <w:pStyle w:val="256"/>
              <w:rPr>
                <w:rFonts w:hint="eastAsia" w:ascii="宋体" w:hAnsi="宋体"/>
                <w:sz w:val="21"/>
                <w:szCs w:val="21"/>
              </w:rPr>
            </w:pPr>
            <w:r>
              <w:rPr>
                <w:rFonts w:hint="eastAsia" w:ascii="宋体" w:hAnsi="宋体"/>
                <w:sz w:val="21"/>
                <w:szCs w:val="21"/>
              </w:rPr>
              <w:t>2、能够手动或者定时自动生成全中文健康分析报告（包括配置、性能、管理、安全、备份等方面的分析），报告具备单库跟多库合并的展示，可以自动和历史报告对比分析。</w:t>
            </w:r>
          </w:p>
          <w:p>
            <w:pPr>
              <w:pStyle w:val="256"/>
              <w:rPr>
                <w:rFonts w:hint="eastAsia" w:ascii="宋体" w:hAnsi="宋体"/>
                <w:sz w:val="21"/>
                <w:szCs w:val="21"/>
              </w:rPr>
            </w:pPr>
            <w:r>
              <w:rPr>
                <w:rFonts w:hint="eastAsia" w:ascii="宋体" w:hAnsi="宋体"/>
                <w:sz w:val="21"/>
                <w:szCs w:val="21"/>
              </w:rPr>
              <w:t>3、具备告警功能，比如负载的历史同比、环比的基线告警。支持对主机文件系统，数据库表空间、ASM磁盘空间耗尽的预测，可以定义阈值。</w:t>
            </w:r>
          </w:p>
          <w:p>
            <w:pPr>
              <w:pStyle w:val="256"/>
              <w:rPr>
                <w:rFonts w:ascii="宋体" w:hAnsi="宋体"/>
                <w:sz w:val="21"/>
                <w:szCs w:val="21"/>
              </w:rPr>
            </w:pPr>
            <w:r>
              <w:rPr>
                <w:rFonts w:hint="eastAsia" w:ascii="宋体" w:hAnsi="宋体"/>
                <w:sz w:val="21"/>
                <w:szCs w:val="21"/>
              </w:rPr>
              <w:t>4、对于数据库层面发生除突发性的可用和性能问题（如应用锁阻塞、大SQL语句运行、系统资源不足等问题）拥有自动诊断、自动记录和追溯的功能。5、提供DBA工具包功能，在线制作并下载AWR报告，ASH报告、ADDM报告等。</w:t>
            </w:r>
          </w:p>
          <w:p>
            <w:pPr>
              <w:pStyle w:val="256"/>
              <w:rPr>
                <w:rFonts w:hint="eastAsia" w:ascii="宋体" w:hAnsi="宋体"/>
                <w:sz w:val="21"/>
                <w:szCs w:val="21"/>
              </w:rPr>
            </w:pPr>
            <w:r>
              <w:rPr>
                <w:rFonts w:hint="eastAsia" w:ascii="宋体" w:hAnsi="宋体"/>
                <w:sz w:val="21"/>
                <w:szCs w:val="21"/>
              </w:rPr>
              <w:t>以上功能提供功能截图</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其它安全选项</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提供UEFI安全启动；</w:t>
            </w:r>
            <w:r>
              <w:rPr>
                <w:rFonts w:hint="eastAsia" w:ascii="宋体" w:hAnsi="宋体"/>
                <w:sz w:val="21"/>
                <w:szCs w:val="21"/>
              </w:rPr>
              <w:br w:type="textWrapping"/>
            </w:r>
            <w:r>
              <w:rPr>
                <w:rFonts w:hint="eastAsia" w:ascii="宋体" w:hAnsi="宋体"/>
                <w:sz w:val="21"/>
                <w:szCs w:val="21"/>
              </w:rPr>
              <w:t>可配置机箱入侵侦测，在外部打开机箱时提供报警功能。</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pStyle w:val="22"/>
      </w:pPr>
    </w:p>
    <w:p>
      <w:pPr>
        <w:pStyle w:val="4"/>
        <w:spacing w:before="0" w:after="0" w:line="240" w:lineRule="auto"/>
        <w:rPr>
          <w:rFonts w:hint="eastAsia" w:ascii="宋体" w:hAnsi="宋体" w:cs="仿宋_GB2312"/>
          <w:sz w:val="21"/>
          <w:szCs w:val="21"/>
        </w:rPr>
      </w:pPr>
      <w:bookmarkStart w:id="36" w:name="_Toc104743861"/>
      <w:r>
        <w:rPr>
          <w:rFonts w:hint="eastAsia" w:ascii="宋体" w:hAnsi="宋体" w:cs="仿宋_GB2312"/>
          <w:sz w:val="21"/>
          <w:szCs w:val="21"/>
        </w:rPr>
        <w:t>5 应用系统数据库双活存储</w:t>
      </w:r>
      <w:bookmarkEnd w:id="36"/>
    </w:p>
    <w:p>
      <w:pPr>
        <w:rPr>
          <w:rFonts w:hint="eastAsia" w:ascii="宋体" w:hAnsi="宋体" w:cs="仿宋_GB2312"/>
          <w:szCs w:val="21"/>
        </w:rPr>
      </w:pPr>
    </w:p>
    <w:tbl>
      <w:tblPr>
        <w:tblStyle w:val="64"/>
        <w:tblW w:w="8931" w:type="dxa"/>
        <w:tblInd w:w="108" w:type="dxa"/>
        <w:tblLayout w:type="autofit"/>
        <w:tblCellMar>
          <w:top w:w="0" w:type="dxa"/>
          <w:left w:w="108" w:type="dxa"/>
          <w:bottom w:w="0" w:type="dxa"/>
          <w:right w:w="108" w:type="dxa"/>
        </w:tblCellMar>
      </w:tblPr>
      <w:tblGrid>
        <w:gridCol w:w="1163"/>
        <w:gridCol w:w="7768"/>
      </w:tblGrid>
      <w:tr>
        <w:tblPrEx>
          <w:tblCellMar>
            <w:top w:w="0" w:type="dxa"/>
            <w:left w:w="108" w:type="dxa"/>
            <w:bottom w:w="0" w:type="dxa"/>
            <w:right w:w="108" w:type="dxa"/>
          </w:tblCellMar>
        </w:tblPrEx>
        <w:trPr>
          <w:trHeight w:val="283" w:hRule="atLeast"/>
        </w:trPr>
        <w:tc>
          <w:tcPr>
            <w:tcW w:w="116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768" w:type="dxa"/>
            <w:tcBorders>
              <w:top w:val="single" w:color="auto" w:sz="4" w:space="0"/>
              <w:left w:val="nil"/>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3" w:hRule="atLeast"/>
        </w:trPr>
        <w:tc>
          <w:tcPr>
            <w:tcW w:w="116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768" w:type="dxa"/>
            <w:tcBorders>
              <w:top w:val="single" w:color="auto" w:sz="4" w:space="0"/>
              <w:left w:val="nil"/>
              <w:bottom w:val="single" w:color="auto" w:sz="4" w:space="0"/>
              <w:right w:val="single" w:color="auto" w:sz="4" w:space="0"/>
            </w:tcBorders>
            <w:shd w:val="clear" w:color="000000" w:fill="FFFFFF"/>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▲高可用设计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存储架构专为高性能环境下的高可用存储场景而设计，全冗余性能无损配置，单控制器故障、更换、升级、自动切换，存储系统性能都完全不会受到影响。（要求官网截图证明以证明单控制器故障、更换、升级、自动切换，存储系统性能都完全不会受到影响）</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▲PCIe总线设计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采用PCIe 4.0架构，充分释放前后端IO性能（要求官网截图证明存储阵列采用PCIe 4.0）</w:t>
            </w:r>
          </w:p>
        </w:tc>
      </w:tr>
      <w:tr>
        <w:tblPrEx>
          <w:tblCellMar>
            <w:top w:w="0" w:type="dxa"/>
            <w:left w:w="108" w:type="dxa"/>
            <w:bottom w:w="0" w:type="dxa"/>
            <w:right w:w="108" w:type="dxa"/>
          </w:tblCellMar>
        </w:tblPrEx>
        <w:trPr>
          <w:trHeight w:val="736"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缓存设计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采用NVDIMM非易失性缓存，对写入时不同大小的数据块进行整理和聚合，以条带顺序写入后端介质，极速提升随机写入效率</w:t>
            </w:r>
          </w:p>
        </w:tc>
      </w:tr>
      <w:tr>
        <w:tblPrEx>
          <w:tblCellMar>
            <w:top w:w="0" w:type="dxa"/>
            <w:left w:w="108" w:type="dxa"/>
            <w:bottom w:w="0" w:type="dxa"/>
            <w:right w:w="108" w:type="dxa"/>
          </w:tblCellMar>
        </w:tblPrEx>
        <w:trPr>
          <w:trHeight w:val="556"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Raid设计</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支持三盘校验，同一RAID组内任意三块数据磁盘(不含热备盘)失效时，数据不丢失（要求官网截图证明）</w:t>
            </w:r>
          </w:p>
        </w:tc>
      </w:tr>
      <w:tr>
        <w:tblPrEx>
          <w:tblCellMar>
            <w:top w:w="0" w:type="dxa"/>
            <w:left w:w="108" w:type="dxa"/>
            <w:bottom w:w="0" w:type="dxa"/>
            <w:right w:w="108" w:type="dxa"/>
          </w:tblCellMar>
        </w:tblPrEx>
        <w:trPr>
          <w:trHeight w:val="1320" w:hRule="atLeast"/>
        </w:trPr>
        <w:tc>
          <w:tcPr>
            <w:tcW w:w="1163"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性能稳定性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满足服务稳定性要求，单一存储控制器故障时，系统IOPS性能数值≥90000 IOPS，访问延迟≤0.1ms (实现条件：使用vdbench，4KB数据块，100%随机写入操作，开启2倍以上的实时重删压缩)；（客户保留到货验收权利，如果到货设备无法满足要求，视为虚假应标，可无条件要求退货，并列入采购黑名单）</w:t>
            </w:r>
          </w:p>
        </w:tc>
      </w:tr>
      <w:tr>
        <w:tblPrEx>
          <w:tblCellMar>
            <w:top w:w="0" w:type="dxa"/>
            <w:left w:w="108" w:type="dxa"/>
            <w:bottom w:w="0" w:type="dxa"/>
            <w:right w:w="108" w:type="dxa"/>
          </w:tblCellMar>
        </w:tblPrEx>
        <w:trPr>
          <w:trHeight w:val="660" w:hRule="atLeast"/>
        </w:trPr>
        <w:tc>
          <w:tcPr>
            <w:tcW w:w="1163"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开启重删、压缩、快照功能，存储系统性能都完全不会受到影响（要求官网截图证明）</w:t>
            </w:r>
          </w:p>
        </w:tc>
      </w:tr>
      <w:tr>
        <w:tblPrEx>
          <w:tblCellMar>
            <w:top w:w="0" w:type="dxa"/>
            <w:left w:w="108" w:type="dxa"/>
            <w:bottom w:w="0" w:type="dxa"/>
            <w:right w:w="108" w:type="dxa"/>
          </w:tblCellMar>
        </w:tblPrEx>
        <w:trPr>
          <w:trHeight w:val="345" w:hRule="atLeast"/>
        </w:trPr>
        <w:tc>
          <w:tcPr>
            <w:tcW w:w="1163" w:type="dxa"/>
            <w:tcBorders>
              <w:top w:val="nil"/>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控制器</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配置2个存储控制器，单台存储可以扩展到8个控制器引擎。（不包括外接虚拟化网关或者NAS控制器等）</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★CPU</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双控存储X86架构 CPU主频≥3.1GHz，CPU核数≥32；由于芯片技术和性能差异，采用ARM架构CPU，CPU主频≥3.1GHz，核数</w:t>
            </w:r>
            <w:r>
              <w:rPr>
                <w:rFonts w:hint="eastAsia" w:ascii="宋体" w:hAnsi="宋体"/>
                <w:color w:val="auto"/>
                <w:sz w:val="21"/>
                <w:szCs w:val="21"/>
              </w:rPr>
              <w:t>≥128。</w:t>
            </w:r>
            <w:r>
              <w:rPr>
                <w:rFonts w:hint="eastAsia" w:ascii="宋体" w:hAnsi="宋体"/>
                <w:sz w:val="21"/>
                <w:szCs w:val="21"/>
              </w:rPr>
              <w:t>提供证明材料</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▲缓存</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双活存储系统缓存512GB（缓存不包含SSD磁盘、PCI-E SSD、闪存、压缩或重删缓存和NAS控制器缓存）</w:t>
            </w:r>
          </w:p>
        </w:tc>
      </w:tr>
      <w:tr>
        <w:tblPrEx>
          <w:tblCellMar>
            <w:top w:w="0" w:type="dxa"/>
            <w:left w:w="108" w:type="dxa"/>
            <w:bottom w:w="0" w:type="dxa"/>
            <w:right w:w="108" w:type="dxa"/>
          </w:tblCellMar>
        </w:tblPrEx>
        <w:trPr>
          <w:trHeight w:val="385"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配置千兆电口≥10，10GbE（光口）端口≥8、32Gb FC端口≥8</w:t>
            </w:r>
          </w:p>
        </w:tc>
      </w:tr>
      <w:tr>
        <w:tblPrEx>
          <w:tblCellMar>
            <w:top w:w="0" w:type="dxa"/>
            <w:left w:w="108" w:type="dxa"/>
            <w:bottom w:w="0" w:type="dxa"/>
            <w:right w:w="108" w:type="dxa"/>
          </w:tblCellMar>
        </w:tblPrEx>
        <w:trPr>
          <w:trHeight w:val="418"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端口类型</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支持32Gb FC/16Gb FC/100Gb/25Gb /10Gb /1Gb iSCSI 等主机接口</w:t>
            </w:r>
          </w:p>
        </w:tc>
      </w:tr>
      <w:tr>
        <w:tblPrEx>
          <w:tblCellMar>
            <w:top w:w="0" w:type="dxa"/>
            <w:left w:w="108" w:type="dxa"/>
            <w:bottom w:w="0" w:type="dxa"/>
            <w:right w:w="108" w:type="dxa"/>
          </w:tblCellMar>
        </w:tblPrEx>
        <w:trPr>
          <w:trHeight w:val="303"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端口扩展性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可在线扩展以太网与FC端口，双控最大主机接口数≥58</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容量要求</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配置≥12块1.92TB NVMe SSD</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扩展容量</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保持性能不变，可单独扩展容量，物理容量≥184TB NVMe SSD</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扩展性能</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支持控制器在线升级，可在不更换控制器机框及不搬移硬盘的情况下将控制器升级至同系列存储其他控制器型号，实现双控系统IOPS性能数值≥490000 IOPS，访问延迟≤0.1ms，而无需数据迁移</w:t>
            </w:r>
          </w:p>
        </w:tc>
      </w:tr>
      <w:tr>
        <w:tblPrEx>
          <w:tblCellMar>
            <w:top w:w="0" w:type="dxa"/>
            <w:left w:w="108" w:type="dxa"/>
            <w:bottom w:w="0" w:type="dxa"/>
            <w:right w:w="108" w:type="dxa"/>
          </w:tblCellMar>
        </w:tblPrEx>
        <w:trPr>
          <w:trHeight w:val="347"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扩展集群</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在线不停机横向集群扩展，利用用户冗余10Gbps以太网络，无需额外追加InfiniBand交换机成本，进行存储集群扩展，系统IOPS性能数值≥1960000 IOPS；</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快照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配置数据快照、数据快速恢复许可证，无容量限制。数据快照无性能影响。</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克隆</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配置数据快速零拷贝克隆许可证，无容量限制。数据克隆无性能影响。</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重删压缩</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配置重删压缩许可证，无容量限制。重删压缩性能无损。</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容灾复制</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配置数据容灾复制功能许可证，无容量限制。要求支持存储系统之间、存储系统到存储集群、存储集群之间的多对一数据复制、双向数据复制。要求对Oracle, Exchange, MS Sql Server等应用必须配置一致性数据卷组(Consistency Group)保护功能</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★双活</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存储双活软件或同品牌双活网关搭建存储双活方案（支持距离30KM），存储双活系统同时双读双写，负载均衡，单台存储故障后无感知，系统不宕机、业务不延迟、不中断、不受任何影响；配置合法空间100TB授权许可，可通过原厂服务热线查询正版授权序列号（提供查询方法说明）；使用双活网关时，每台网关节点的缓存≥256GB，双活实施由原厂工程师完成，实施时需提供原厂工程师社保证明，中标后进行存储断电、插拔光纤线、网线等模拟各种潜在故障可能的双活演练</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监控管理功能</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统一管理监控，能够管理存储、服务器、虚拟机、光纤交换机、应用等。实现IT资源云化，统一管理和分配，实现端到端分析监控</w:t>
            </w:r>
          </w:p>
          <w:p>
            <w:pPr>
              <w:pStyle w:val="256"/>
              <w:rPr>
                <w:rFonts w:hint="eastAsia" w:ascii="宋体" w:hAnsi="宋体"/>
                <w:bCs/>
                <w:sz w:val="21"/>
                <w:szCs w:val="21"/>
              </w:rPr>
            </w:pPr>
            <w:r>
              <w:rPr>
                <w:rFonts w:hint="eastAsia" w:ascii="宋体" w:hAnsi="宋体"/>
                <w:bCs/>
                <w:sz w:val="21"/>
                <w:szCs w:val="21"/>
              </w:rPr>
              <w:t>兼容业界主流虚拟机VMware、Hyper-v等，</w:t>
            </w:r>
          </w:p>
          <w:p>
            <w:pPr>
              <w:pStyle w:val="256"/>
              <w:rPr>
                <w:rFonts w:hint="eastAsia" w:ascii="宋体" w:hAnsi="宋体"/>
                <w:bCs/>
                <w:sz w:val="21"/>
                <w:szCs w:val="21"/>
              </w:rPr>
            </w:pPr>
            <w:r>
              <w:rPr>
                <w:rFonts w:hint="eastAsia" w:ascii="宋体" w:hAnsi="宋体"/>
                <w:bCs/>
                <w:sz w:val="21"/>
                <w:szCs w:val="21"/>
              </w:rPr>
              <w:t>兼容业界主流服务器windows、linux等，</w:t>
            </w:r>
          </w:p>
          <w:p>
            <w:pPr>
              <w:pStyle w:val="256"/>
              <w:rPr>
                <w:rFonts w:hint="eastAsia" w:ascii="宋体" w:hAnsi="宋体"/>
                <w:bCs/>
                <w:sz w:val="21"/>
                <w:szCs w:val="21"/>
              </w:rPr>
            </w:pPr>
            <w:r>
              <w:rPr>
                <w:rFonts w:hint="eastAsia" w:ascii="宋体" w:hAnsi="宋体"/>
                <w:bCs/>
                <w:sz w:val="21"/>
                <w:szCs w:val="21"/>
              </w:rPr>
              <w:t>兼容业界主流光纤交换机博科、思科，</w:t>
            </w:r>
          </w:p>
          <w:p>
            <w:pPr>
              <w:pStyle w:val="256"/>
              <w:rPr>
                <w:rFonts w:hint="eastAsia" w:ascii="宋体" w:hAnsi="宋体"/>
                <w:bCs/>
                <w:sz w:val="21"/>
                <w:szCs w:val="21"/>
              </w:rPr>
            </w:pPr>
            <w:r>
              <w:rPr>
                <w:rFonts w:hint="eastAsia" w:ascii="宋体" w:hAnsi="宋体"/>
                <w:bCs/>
                <w:sz w:val="21"/>
                <w:szCs w:val="21"/>
              </w:rPr>
              <w:t>兼容业界主流存储EMC、IBM、HDS、HP、Netapp、PureStorage等</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color w:val="000000"/>
                <w:szCs w:val="21"/>
              </w:rPr>
              <w:t>▲</w:t>
            </w:r>
            <w:r>
              <w:rPr>
                <w:rFonts w:hint="eastAsia" w:ascii="宋体" w:hAnsi="宋体" w:cs="仿宋_GB2312"/>
                <w:bCs/>
                <w:color w:val="000000"/>
                <w:szCs w:val="21"/>
              </w:rPr>
              <w:t>存储监控指标</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能够实时监控存储关键性能，比如端口、缓存、处理器、RAID组、LUN等，可以监控以下存储性能参数。</w:t>
            </w:r>
          </w:p>
          <w:p>
            <w:pPr>
              <w:pStyle w:val="256"/>
              <w:rPr>
                <w:rFonts w:hint="eastAsia" w:ascii="宋体" w:hAnsi="宋体"/>
                <w:bCs/>
                <w:sz w:val="21"/>
                <w:szCs w:val="21"/>
              </w:rPr>
            </w:pPr>
            <w:r>
              <w:rPr>
                <w:rFonts w:hint="eastAsia" w:ascii="宋体" w:hAnsi="宋体"/>
                <w:sz w:val="21"/>
                <w:szCs w:val="21"/>
              </w:rPr>
              <w:t>监控存储整体空间消耗；</w:t>
            </w:r>
          </w:p>
          <w:p>
            <w:pPr>
              <w:pStyle w:val="256"/>
              <w:rPr>
                <w:rFonts w:hint="eastAsia" w:ascii="宋体" w:hAnsi="宋体"/>
                <w:bCs/>
                <w:sz w:val="21"/>
                <w:szCs w:val="21"/>
              </w:rPr>
            </w:pPr>
            <w:r>
              <w:rPr>
                <w:rFonts w:hint="eastAsia" w:ascii="宋体" w:hAnsi="宋体"/>
                <w:sz w:val="21"/>
                <w:szCs w:val="21"/>
              </w:rPr>
              <w:t>监控存储整体物理状态；</w:t>
            </w:r>
          </w:p>
          <w:p>
            <w:pPr>
              <w:pStyle w:val="256"/>
              <w:rPr>
                <w:rFonts w:hint="eastAsia" w:ascii="宋体" w:hAnsi="宋体"/>
                <w:bCs/>
                <w:sz w:val="21"/>
                <w:szCs w:val="21"/>
              </w:rPr>
            </w:pPr>
            <w:r>
              <w:rPr>
                <w:rFonts w:hint="eastAsia" w:ascii="宋体" w:hAnsi="宋体"/>
                <w:bCs/>
                <w:sz w:val="21"/>
                <w:szCs w:val="21"/>
              </w:rPr>
              <w:t>前端端口及处理器性能利用率</w:t>
            </w:r>
          </w:p>
          <w:p>
            <w:pPr>
              <w:pStyle w:val="256"/>
              <w:rPr>
                <w:rFonts w:hint="eastAsia" w:ascii="宋体" w:hAnsi="宋体"/>
                <w:bCs/>
                <w:sz w:val="21"/>
                <w:szCs w:val="21"/>
              </w:rPr>
            </w:pPr>
            <w:r>
              <w:rPr>
                <w:rFonts w:hint="eastAsia" w:ascii="宋体" w:hAnsi="宋体"/>
                <w:bCs/>
                <w:sz w:val="21"/>
                <w:szCs w:val="21"/>
              </w:rPr>
              <w:t>后端端口及处理器性能利用率</w:t>
            </w:r>
          </w:p>
          <w:p>
            <w:pPr>
              <w:pStyle w:val="256"/>
              <w:rPr>
                <w:rFonts w:hint="eastAsia" w:ascii="宋体" w:hAnsi="宋体"/>
                <w:bCs/>
                <w:sz w:val="21"/>
                <w:szCs w:val="21"/>
              </w:rPr>
            </w:pPr>
            <w:r>
              <w:rPr>
                <w:rFonts w:hint="eastAsia" w:ascii="宋体" w:hAnsi="宋体"/>
                <w:bCs/>
                <w:sz w:val="21"/>
                <w:szCs w:val="21"/>
              </w:rPr>
              <w:t>缓存写等待</w:t>
            </w:r>
          </w:p>
          <w:p>
            <w:pPr>
              <w:pStyle w:val="256"/>
              <w:rPr>
                <w:rFonts w:hint="eastAsia" w:ascii="宋体" w:hAnsi="宋体"/>
                <w:bCs/>
                <w:sz w:val="21"/>
                <w:szCs w:val="21"/>
              </w:rPr>
            </w:pPr>
            <w:r>
              <w:rPr>
                <w:rFonts w:hint="eastAsia" w:ascii="宋体" w:hAnsi="宋体"/>
                <w:bCs/>
                <w:sz w:val="21"/>
                <w:szCs w:val="21"/>
              </w:rPr>
              <w:t>LUN读命中, 读、写响应时间</w:t>
            </w:r>
          </w:p>
          <w:p>
            <w:pPr>
              <w:pStyle w:val="256"/>
              <w:rPr>
                <w:rFonts w:hint="eastAsia" w:ascii="宋体" w:hAnsi="宋体"/>
                <w:bCs/>
                <w:sz w:val="21"/>
                <w:szCs w:val="21"/>
              </w:rPr>
            </w:pPr>
            <w:r>
              <w:rPr>
                <w:rFonts w:hint="eastAsia" w:ascii="宋体" w:hAnsi="宋体"/>
                <w:bCs/>
                <w:sz w:val="21"/>
                <w:szCs w:val="21"/>
              </w:rPr>
              <w:t>RAID组性能利用率</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预测分析、异常检测、故障定位、机器学习</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预测分析：依据资源关联关系，自动规划未来资源分配，实现资源合理配置</w:t>
            </w:r>
          </w:p>
          <w:p>
            <w:pPr>
              <w:pStyle w:val="256"/>
              <w:rPr>
                <w:rFonts w:hint="eastAsia" w:ascii="宋体" w:hAnsi="宋体"/>
                <w:bCs/>
                <w:sz w:val="21"/>
                <w:szCs w:val="21"/>
              </w:rPr>
            </w:pPr>
            <w:r>
              <w:rPr>
                <w:rFonts w:hint="eastAsia" w:ascii="宋体" w:hAnsi="宋体"/>
                <w:bCs/>
                <w:sz w:val="21"/>
                <w:szCs w:val="21"/>
              </w:rPr>
              <w:t>异常检测：识别从虚拟机、服务器到存储设备的异常状况，识别故障根本原因给出修复建议，确保达成要求的服务等级</w:t>
            </w:r>
          </w:p>
          <w:p>
            <w:pPr>
              <w:pStyle w:val="256"/>
              <w:rPr>
                <w:rFonts w:hint="eastAsia" w:ascii="宋体" w:hAnsi="宋体"/>
                <w:bCs/>
                <w:sz w:val="21"/>
                <w:szCs w:val="21"/>
              </w:rPr>
            </w:pPr>
            <w:r>
              <w:rPr>
                <w:rFonts w:hint="eastAsia" w:ascii="宋体" w:hAnsi="宋体"/>
                <w:bCs/>
                <w:sz w:val="21"/>
                <w:szCs w:val="21"/>
              </w:rPr>
              <w:t>提供当前数据中心端到端拓扑视图，提供性能问题的根因分析，快速定位性能瓶颈。提供分析诊断以快速识别、隔离和确定问题的根本原因。可以生成恢复计划，为解决性能问题提供指导。</w:t>
            </w:r>
          </w:p>
          <w:p>
            <w:pPr>
              <w:pStyle w:val="256"/>
              <w:rPr>
                <w:rFonts w:hint="eastAsia" w:ascii="宋体" w:hAnsi="宋体"/>
                <w:bCs/>
                <w:sz w:val="21"/>
                <w:szCs w:val="21"/>
              </w:rPr>
            </w:pPr>
            <w:r>
              <w:rPr>
                <w:rFonts w:hint="eastAsia" w:ascii="宋体" w:hAnsi="宋体"/>
                <w:bCs/>
                <w:sz w:val="21"/>
                <w:szCs w:val="21"/>
              </w:rPr>
              <w:t>机器学习：内置机器学习辅助分析，发现新现象、趋势、异常，管理平台自动给出调整建议</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监控指标阀值</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对整个系统分别建立性能阀值，超过阀值可以自动报警</w:t>
            </w:r>
          </w:p>
          <w:p>
            <w:pPr>
              <w:pStyle w:val="256"/>
              <w:rPr>
                <w:rFonts w:hint="eastAsia" w:ascii="宋体" w:hAnsi="宋体"/>
                <w:bCs/>
                <w:sz w:val="21"/>
                <w:szCs w:val="21"/>
              </w:rPr>
            </w:pPr>
            <w:r>
              <w:rPr>
                <w:rFonts w:hint="eastAsia" w:ascii="宋体" w:hAnsi="宋体"/>
                <w:bCs/>
                <w:sz w:val="21"/>
                <w:szCs w:val="21"/>
              </w:rPr>
              <w:t>VM：vCPU Ready、vCPU usage、Memory Usage %、Active memory</w:t>
            </w:r>
          </w:p>
          <w:p>
            <w:pPr>
              <w:pStyle w:val="256"/>
              <w:rPr>
                <w:rFonts w:hint="eastAsia" w:ascii="宋体" w:hAnsi="宋体"/>
                <w:bCs/>
                <w:sz w:val="21"/>
                <w:szCs w:val="21"/>
              </w:rPr>
            </w:pPr>
            <w:r>
              <w:rPr>
                <w:rFonts w:hint="eastAsia" w:ascii="宋体" w:hAnsi="宋体"/>
                <w:bCs/>
                <w:sz w:val="21"/>
                <w:szCs w:val="21"/>
              </w:rPr>
              <w:t>、Memory Swap in/out rate、Memory Swap in/out rate</w:t>
            </w:r>
          </w:p>
          <w:p>
            <w:pPr>
              <w:pStyle w:val="256"/>
              <w:rPr>
                <w:rFonts w:hint="eastAsia" w:ascii="宋体" w:hAnsi="宋体"/>
                <w:bCs/>
                <w:sz w:val="21"/>
                <w:szCs w:val="21"/>
              </w:rPr>
            </w:pPr>
            <w:r>
              <w:rPr>
                <w:rFonts w:hint="eastAsia" w:ascii="宋体" w:hAnsi="宋体"/>
                <w:bCs/>
                <w:sz w:val="21"/>
                <w:szCs w:val="21"/>
              </w:rPr>
              <w:t>ESX：pCPU usage、Host CPU Ready1、Device Latency (R/W)</w:t>
            </w:r>
          </w:p>
          <w:p>
            <w:pPr>
              <w:pStyle w:val="256"/>
              <w:rPr>
                <w:rFonts w:hint="eastAsia" w:ascii="宋体" w:hAnsi="宋体"/>
                <w:bCs/>
                <w:sz w:val="21"/>
                <w:szCs w:val="21"/>
              </w:rPr>
            </w:pPr>
            <w:r>
              <w:rPr>
                <w:rFonts w:hint="eastAsia" w:ascii="宋体" w:hAnsi="宋体"/>
                <w:bCs/>
                <w:sz w:val="21"/>
                <w:szCs w:val="21"/>
              </w:rPr>
              <w:t>、Memory Swap in/out rate、Device Latency (R/W)</w:t>
            </w:r>
          </w:p>
          <w:p>
            <w:pPr>
              <w:pStyle w:val="256"/>
              <w:rPr>
                <w:rFonts w:hint="eastAsia" w:ascii="宋体" w:hAnsi="宋体"/>
                <w:bCs/>
                <w:sz w:val="21"/>
                <w:szCs w:val="21"/>
              </w:rPr>
            </w:pPr>
            <w:r>
              <w:rPr>
                <w:rFonts w:hint="eastAsia" w:ascii="宋体" w:hAnsi="宋体"/>
                <w:bCs/>
                <w:sz w:val="21"/>
                <w:szCs w:val="21"/>
              </w:rPr>
              <w:t>Storage：、Port usage、MPB utilization1、Write Pending %</w:t>
            </w:r>
          </w:p>
          <w:p>
            <w:pPr>
              <w:pStyle w:val="256"/>
              <w:rPr>
                <w:rFonts w:hint="eastAsia" w:ascii="宋体" w:hAnsi="宋体"/>
                <w:bCs/>
                <w:sz w:val="21"/>
                <w:szCs w:val="21"/>
              </w:rPr>
            </w:pPr>
            <w:r>
              <w:rPr>
                <w:rFonts w:hint="eastAsia" w:ascii="宋体" w:hAnsi="宋体"/>
                <w:bCs/>
                <w:sz w:val="21"/>
                <w:szCs w:val="21"/>
              </w:rPr>
              <w:t>、Side file %、Pool Utilization、Parity Group Utilization %</w:t>
            </w:r>
          </w:p>
          <w:p>
            <w:pPr>
              <w:pStyle w:val="256"/>
              <w:rPr>
                <w:rFonts w:hint="eastAsia" w:ascii="宋体" w:hAnsi="宋体"/>
                <w:sz w:val="21"/>
                <w:szCs w:val="21"/>
              </w:rPr>
            </w:pPr>
            <w:r>
              <w:rPr>
                <w:rFonts w:hint="eastAsia" w:ascii="宋体" w:hAnsi="宋体"/>
                <w:bCs/>
                <w:sz w:val="21"/>
                <w:szCs w:val="21"/>
              </w:rPr>
              <w:t>Parity Group Read Hit %</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应用性能监控和管理</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监控应用系统主机的性能，</w:t>
            </w:r>
            <w:r>
              <w:rPr>
                <w:rFonts w:hint="eastAsia" w:ascii="宋体" w:hAnsi="宋体"/>
                <w:sz w:val="21"/>
                <w:szCs w:val="21"/>
              </w:rPr>
              <w:t>要求监控服务器主机I/O大小和读写比、延迟、队列深度等；</w:t>
            </w:r>
            <w:r>
              <w:rPr>
                <w:rFonts w:hint="eastAsia" w:ascii="宋体" w:hAnsi="宋体"/>
                <w:bCs/>
                <w:sz w:val="21"/>
                <w:szCs w:val="21"/>
              </w:rPr>
              <w:t>如无法满足预先设置的服务等级要求（比如应用响应时延），自动发出告警。</w:t>
            </w:r>
          </w:p>
          <w:p>
            <w:pPr>
              <w:pStyle w:val="256"/>
              <w:rPr>
                <w:rFonts w:hint="eastAsia" w:ascii="宋体" w:hAnsi="宋体"/>
                <w:bCs/>
                <w:sz w:val="21"/>
                <w:szCs w:val="21"/>
              </w:rPr>
            </w:pPr>
            <w:r>
              <w:rPr>
                <w:rFonts w:hint="eastAsia" w:ascii="宋体" w:hAnsi="宋体"/>
                <w:bCs/>
                <w:sz w:val="21"/>
                <w:szCs w:val="21"/>
              </w:rPr>
              <w:t>针对应用系统历史任意时间点或时间段的数据进行回顾，对应用系统不同时间段数据进行分析比对，监控内容与实时监控内容相同。投标时提供技术文档和功能界面展示</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Oracle数据库</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支持并配置跨数据中心的双活，配合Oracle数据库的RAC集群技术，可以实现两个站点的主机同时对同一Oracle数据库进行读写操作；</w:t>
            </w:r>
          </w:p>
        </w:tc>
      </w:tr>
      <w:tr>
        <w:tblPrEx>
          <w:tblCellMar>
            <w:top w:w="0" w:type="dxa"/>
            <w:left w:w="108" w:type="dxa"/>
            <w:bottom w:w="0" w:type="dxa"/>
            <w:right w:w="108" w:type="dxa"/>
          </w:tblCellMar>
        </w:tblPrEx>
        <w:trPr>
          <w:trHeight w:val="246"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▲异构存储管理功能</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异构存储管理，在单个群集内实现存储域的自动共享、平衡和故障切换；能够在异构阵列之间移动生产卷并无主机中断或宕机；能够创建分条卷、联合卷和切片卷，并能够实现异构阵列镜像数据，可以在网络中创建一个异构存储池。可升级为跨多数据中心的实现高可用性和工作负载，支持同步或异步模式。需要将已有存储进行虚拟化后统一管理，可以把数据直接复制和克隆到其他存储中，实现当新购存储计划外宕机时，可以通过该功能实现一键操作，在30秒内能够将业务切换到原有存储中，用于支撑业务系统的快速恢复，</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★存储整合性</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为了保证医院二个双活机房数据同步方案实现效果，新购存储必须和医院现有存储完全融合、互相联通兼容。要求实现多台存储数据多活，形成一个存储资源池，数据可以在多台设备间灵活在线迁移，在利旧的同时极大地提升整体方案的可靠性。要求详细描述互联实现方式、整体方案架构以及相关技术实现细节，要求整个方案实现过程中零宕机，对现有设备和业务系统无任何干扰，设备运行过程中业务永不间断，提供相关说明材料承诺书。</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连续数据保护</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可实现本次项目数据卷中≥50台虚拟机之前任意时间点数据的回滚与恢复；支持三种保护方式：VM本地保护、VM远程保护、VM保护同时在本地和远程均有副本；配置基于vCenter plug-in的管理维护插件以便捷高效地管理影子虚机；提供相关技术文档及证明材料</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精简配置</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配置精简配置功能，无容量限制</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集群负载均衡</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配置存储集群负载均衡管理软件，无客户端及容量限制。</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配置图形化管理界面，配置命令行及存储集群统一图形化管理界面，支持日志监控及审计</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操作系统</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支持MS Windows、VMware ESX、Linux、AIX、PowerVM、HP UNIX、Solaris、Oracle Linux、Oracle VM等多种操作系统</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平台对接</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支持REST API、OpenStack、Hadoop</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应用集成</w:t>
            </w:r>
          </w:p>
        </w:tc>
        <w:tc>
          <w:tcPr>
            <w:tcW w:w="7768"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支持VMware VAAI、SRM、vCenter、vVols、Oracle、SAP、SAP HANA TDI、CITRIX、MS ODX、MS HyperV、MC SCVMM、CommVault等集成</w:t>
            </w:r>
          </w:p>
        </w:tc>
      </w:tr>
      <w:tr>
        <w:tblPrEx>
          <w:tblCellMar>
            <w:top w:w="0" w:type="dxa"/>
            <w:left w:w="108" w:type="dxa"/>
            <w:bottom w:w="0" w:type="dxa"/>
            <w:right w:w="108" w:type="dxa"/>
          </w:tblCellMar>
        </w:tblPrEx>
        <w:trPr>
          <w:trHeight w:val="990"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智能分析平台</w:t>
            </w:r>
          </w:p>
        </w:tc>
        <w:tc>
          <w:tcPr>
            <w:tcW w:w="7768" w:type="dxa"/>
            <w:tcBorders>
              <w:top w:val="single" w:color="auto" w:sz="4" w:space="0"/>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智能分析平台，无容量限制，基于大数据进行容量分析、性能趋势分析和健康状况检查等，提供可用性预测、自动预警、健康预警和自动生成建议报告；实现端到端应用分析，精确定位虚拟机到存储之间瓶颈所在</w:t>
            </w:r>
          </w:p>
        </w:tc>
      </w:tr>
      <w:tr>
        <w:tblPrEx>
          <w:tblCellMar>
            <w:top w:w="0" w:type="dxa"/>
            <w:left w:w="108" w:type="dxa"/>
            <w:bottom w:w="0" w:type="dxa"/>
            <w:right w:w="108" w:type="dxa"/>
          </w:tblCellMar>
        </w:tblPrEx>
        <w:trPr>
          <w:trHeight w:val="671"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▲测试设备</w:t>
            </w:r>
          </w:p>
        </w:tc>
        <w:tc>
          <w:tcPr>
            <w:tcW w:w="7768"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中标后七天内提供相同配置和功能的设备免费使用18个月。用于满足新应用软件系统开发及测试需求，投标提供承诺书。</w:t>
            </w:r>
          </w:p>
        </w:tc>
      </w:tr>
      <w:tr>
        <w:tblPrEx>
          <w:tblCellMar>
            <w:top w:w="0" w:type="dxa"/>
            <w:left w:w="108" w:type="dxa"/>
            <w:bottom w:w="0" w:type="dxa"/>
            <w:right w:w="108" w:type="dxa"/>
          </w:tblCellMar>
        </w:tblPrEx>
        <w:trPr>
          <w:trHeight w:val="990"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▲功能测试验证</w:t>
            </w:r>
          </w:p>
        </w:tc>
        <w:tc>
          <w:tcPr>
            <w:tcW w:w="7768" w:type="dxa"/>
            <w:tcBorders>
              <w:top w:val="single" w:color="auto" w:sz="4" w:space="0"/>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中标后七天内，提供测试设备对产品功能和性能测试，若无法在规定时间内提供测试设备或测试结果与招标内容不符，影响医院互联互通等级评定和应用软件上线，取消中标资格，中标方承担所有责任；</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37" w:name="_Toc104743862"/>
      <w:r>
        <w:rPr>
          <w:rFonts w:hint="eastAsia" w:ascii="宋体" w:hAnsi="宋体" w:cs="仿宋_GB2312"/>
          <w:sz w:val="21"/>
          <w:szCs w:val="21"/>
        </w:rPr>
        <w:t>6 集成平台双活存储</w:t>
      </w:r>
      <w:bookmarkEnd w:id="37"/>
    </w:p>
    <w:p>
      <w:pPr>
        <w:rPr>
          <w:rFonts w:ascii="宋体" w:hAnsi="宋体" w:cs="仿宋_GB2312"/>
          <w:szCs w:val="21"/>
        </w:rPr>
      </w:pPr>
    </w:p>
    <w:tbl>
      <w:tblPr>
        <w:tblStyle w:val="64"/>
        <w:tblW w:w="8931" w:type="dxa"/>
        <w:tblInd w:w="108" w:type="dxa"/>
        <w:tblLayout w:type="autofit"/>
        <w:tblCellMar>
          <w:top w:w="0" w:type="dxa"/>
          <w:left w:w="108" w:type="dxa"/>
          <w:bottom w:w="0" w:type="dxa"/>
          <w:right w:w="108" w:type="dxa"/>
        </w:tblCellMar>
      </w:tblPr>
      <w:tblGrid>
        <w:gridCol w:w="1163"/>
        <w:gridCol w:w="7768"/>
      </w:tblGrid>
      <w:tr>
        <w:trPr>
          <w:trHeight w:val="283" w:hRule="atLeast"/>
        </w:trPr>
        <w:tc>
          <w:tcPr>
            <w:tcW w:w="116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768" w:type="dxa"/>
            <w:tcBorders>
              <w:top w:val="single" w:color="auto" w:sz="4" w:space="0"/>
              <w:left w:val="nil"/>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3" w:hRule="atLeast"/>
        </w:trPr>
        <w:tc>
          <w:tcPr>
            <w:tcW w:w="1163"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768" w:type="dxa"/>
            <w:tcBorders>
              <w:top w:val="single" w:color="auto" w:sz="4" w:space="0"/>
              <w:left w:val="nil"/>
              <w:bottom w:val="single" w:color="auto" w:sz="4" w:space="0"/>
              <w:right w:val="single" w:color="auto" w:sz="4" w:space="0"/>
            </w:tcBorders>
            <w:shd w:val="clear" w:color="000000" w:fill="FFFFFF"/>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▲高可用设计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存储架构专为高性能环境下的高可用存储场景而设计，全冗余性能无损配置，单控制器故障、更换、升级、自动切换，存储系统性能都完全不会受到影响。（要求官网截图证明以证明单控制器故障、更换、升级、自动切换，存储系统性能都完全不会受到影响）</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▲PCIe总线设计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采用PCIe 4.0架构，充分释放前后端IO性能（要求官网截图证明存储阵列采用PCIe 4.0）</w:t>
            </w:r>
          </w:p>
        </w:tc>
      </w:tr>
      <w:tr>
        <w:trPr>
          <w:trHeight w:val="736" w:hRule="atLeast"/>
        </w:trPr>
        <w:tc>
          <w:tcPr>
            <w:tcW w:w="1163"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缓存设计</w:t>
            </w:r>
          </w:p>
        </w:tc>
        <w:tc>
          <w:tcPr>
            <w:tcW w:w="7768"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采用NVDIMM非易失性缓存，对写入时不同大小的数据块进行整理和聚合，以条带顺序写入后端介质，极速提升随机写入效率</w:t>
            </w:r>
          </w:p>
        </w:tc>
      </w:tr>
      <w:tr>
        <w:trPr>
          <w:trHeight w:val="556"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Raid设计</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支持三盘校验，同一RAID组内任意三块数据磁盘(不含热备盘)失效时，数据不丢失（要求官网截图证明）</w:t>
            </w:r>
          </w:p>
        </w:tc>
      </w:tr>
      <w:tr>
        <w:tblPrEx>
          <w:tblCellMar>
            <w:top w:w="0" w:type="dxa"/>
            <w:left w:w="108" w:type="dxa"/>
            <w:bottom w:w="0" w:type="dxa"/>
            <w:right w:w="108" w:type="dxa"/>
          </w:tblCellMar>
        </w:tblPrEx>
        <w:trPr>
          <w:trHeight w:val="1320" w:hRule="atLeast"/>
        </w:trPr>
        <w:tc>
          <w:tcPr>
            <w:tcW w:w="1163" w:type="dxa"/>
            <w:vMerge w:val="restart"/>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性能稳定性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满足服务稳定性要求，单一存储控制器故障时，系统IOPS性能数值≥90000 IOPS，访问延迟≤0.1ms (实现条件：使用vdbench，4KB数据块，100%随机写入操作，开启2倍以上的实时重删压缩)；（客户保留到货验收权利，如果到货设备无法满足要求，视为虚假应标，可无条件要求退货，并列入采购黑名单）</w:t>
            </w:r>
          </w:p>
        </w:tc>
      </w:tr>
      <w:tr>
        <w:tblPrEx>
          <w:tblCellMar>
            <w:top w:w="0" w:type="dxa"/>
            <w:left w:w="108" w:type="dxa"/>
            <w:bottom w:w="0" w:type="dxa"/>
            <w:right w:w="108" w:type="dxa"/>
          </w:tblCellMar>
        </w:tblPrEx>
        <w:trPr>
          <w:trHeight w:val="660" w:hRule="atLeast"/>
        </w:trPr>
        <w:tc>
          <w:tcPr>
            <w:tcW w:w="1163"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开启重删、压缩、快照功能，存储系统性能都完全不会受到影响（要求官网截图证明）</w:t>
            </w:r>
          </w:p>
        </w:tc>
      </w:tr>
      <w:tr>
        <w:tblPrEx>
          <w:tblCellMar>
            <w:top w:w="0" w:type="dxa"/>
            <w:left w:w="108" w:type="dxa"/>
            <w:bottom w:w="0" w:type="dxa"/>
            <w:right w:w="108" w:type="dxa"/>
          </w:tblCellMar>
        </w:tblPrEx>
        <w:trPr>
          <w:trHeight w:val="345" w:hRule="atLeast"/>
        </w:trPr>
        <w:tc>
          <w:tcPr>
            <w:tcW w:w="1163" w:type="dxa"/>
            <w:tcBorders>
              <w:top w:val="nil"/>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控制器</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配置2个存储控制器，单台存储可以扩展到8个控制器引擎。（不包括外接虚拟化网关或者NAS控制器等）</w:t>
            </w:r>
          </w:p>
        </w:tc>
      </w:tr>
      <w:tr>
        <w:trPr>
          <w:trHeight w:val="660" w:hRule="atLeast"/>
        </w:trPr>
        <w:tc>
          <w:tcPr>
            <w:tcW w:w="1163" w:type="dxa"/>
            <w:tcBorders>
              <w:top w:val="nil"/>
              <w:left w:val="single" w:color="auto" w:sz="4" w:space="0"/>
              <w:bottom w:val="single" w:color="000000"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★CPU</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双控存储X86架构 CPU主频≥3.1GHz，CPU核数≥32；由于芯片技术和性能差异，采用ARM架构CPU，CPU主频≥3.1GHz，核数</w:t>
            </w:r>
            <w:r>
              <w:rPr>
                <w:rFonts w:hint="eastAsia" w:ascii="宋体" w:hAnsi="宋体"/>
                <w:color w:val="auto"/>
                <w:sz w:val="21"/>
                <w:szCs w:val="21"/>
              </w:rPr>
              <w:t>≥128。</w:t>
            </w:r>
            <w:r>
              <w:rPr>
                <w:rFonts w:hint="eastAsia" w:ascii="宋体" w:hAnsi="宋体"/>
                <w:sz w:val="21"/>
                <w:szCs w:val="21"/>
              </w:rPr>
              <w:t>提供证明材料</w:t>
            </w:r>
          </w:p>
        </w:tc>
      </w:tr>
      <w:tr>
        <w:trPr>
          <w:trHeight w:val="660"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▲缓存</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双活存储系统缓存512GB（缓存不包含SSD磁盘、PCI-E SSD、闪存、压缩或重删缓存和NAS控制器缓存）</w:t>
            </w:r>
          </w:p>
        </w:tc>
      </w:tr>
      <w:tr>
        <w:tblPrEx>
          <w:tblCellMar>
            <w:top w:w="0" w:type="dxa"/>
            <w:left w:w="108" w:type="dxa"/>
            <w:bottom w:w="0" w:type="dxa"/>
            <w:right w:w="108" w:type="dxa"/>
          </w:tblCellMar>
        </w:tblPrEx>
        <w:trPr>
          <w:trHeight w:val="385"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配置千兆电口≥10，10GbE（光口）端口≥8、32Gb FC端口≥8</w:t>
            </w:r>
          </w:p>
        </w:tc>
      </w:tr>
      <w:tr>
        <w:tblPrEx>
          <w:tblCellMar>
            <w:top w:w="0" w:type="dxa"/>
            <w:left w:w="108" w:type="dxa"/>
            <w:bottom w:w="0" w:type="dxa"/>
            <w:right w:w="108" w:type="dxa"/>
          </w:tblCellMar>
        </w:tblPrEx>
        <w:trPr>
          <w:trHeight w:val="418"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端口类型</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支持32Gb FC/16Gb FC/100Gb/25Gb /10Gb /1Gb iSCSI 等主机接口</w:t>
            </w:r>
          </w:p>
        </w:tc>
      </w:tr>
      <w:tr>
        <w:tblPrEx>
          <w:tblCellMar>
            <w:top w:w="0" w:type="dxa"/>
            <w:left w:w="108" w:type="dxa"/>
            <w:bottom w:w="0" w:type="dxa"/>
            <w:right w:w="108" w:type="dxa"/>
          </w:tblCellMar>
        </w:tblPrEx>
        <w:trPr>
          <w:trHeight w:val="303" w:hRule="atLeast"/>
        </w:trPr>
        <w:tc>
          <w:tcPr>
            <w:tcW w:w="1163" w:type="dxa"/>
            <w:tcBorders>
              <w:top w:val="nil"/>
              <w:left w:val="single" w:color="auto" w:sz="4" w:space="0"/>
              <w:bottom w:val="single" w:color="auto" w:sz="4" w:space="0"/>
              <w:right w:val="single" w:color="auto" w:sz="4" w:space="0"/>
            </w:tcBorders>
            <w:vAlign w:val="center"/>
          </w:tcPr>
          <w:p>
            <w:pPr>
              <w:jc w:val="left"/>
              <w:rPr>
                <w:rFonts w:hint="eastAsia" w:ascii="宋体" w:hAnsi="宋体" w:cs="仿宋_GB2312"/>
                <w:color w:val="000000"/>
                <w:szCs w:val="21"/>
              </w:rPr>
            </w:pPr>
            <w:r>
              <w:rPr>
                <w:rFonts w:hint="eastAsia" w:ascii="宋体" w:hAnsi="宋体" w:cs="仿宋_GB2312"/>
                <w:color w:val="000000"/>
                <w:szCs w:val="21"/>
              </w:rPr>
              <w:t>端口扩展性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可在线扩展以太网与FC端口，双控最大主机接口数≥58</w:t>
            </w:r>
          </w:p>
        </w:tc>
      </w:tr>
      <w:tr>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容量要求</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配置≥15块1.92TB NVMe SSD</w:t>
            </w:r>
          </w:p>
        </w:tc>
      </w:tr>
      <w:tr>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扩展容量</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保持性能不变，可单独扩展容量，物理容量≥184TB NVMe SSD</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扩展性能</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支持控制器在线升级，可在不更换控制器机框及不搬移硬盘的情况下将控制器升级至同系列存储其他控制器型号，实现双控系统IOPS性能数值≥490000 IOPS，访问延迟≤0.1ms，而无需数据迁移</w:t>
            </w:r>
          </w:p>
        </w:tc>
      </w:tr>
      <w:tr>
        <w:tblPrEx>
          <w:tblCellMar>
            <w:top w:w="0" w:type="dxa"/>
            <w:left w:w="108" w:type="dxa"/>
            <w:bottom w:w="0" w:type="dxa"/>
            <w:right w:w="108" w:type="dxa"/>
          </w:tblCellMar>
        </w:tblPrEx>
        <w:trPr>
          <w:trHeight w:val="347"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扩展集群</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在线不停机横向集群扩展，利用用户冗余10Gbps以太网络，无需额外追加InfiniBand交换机成本，进行存储集群扩展，系统IOPS性能数值≥1960000 IOPS；</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快照</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配置数据快照、数据快速恢复许可证，无容量限制。数据快照无性能影响。</w:t>
            </w:r>
          </w:p>
        </w:tc>
      </w:tr>
      <w:tr>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克隆</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配置数据快速零拷贝克隆许可证，无容量限制。数据克隆无性能影响。</w:t>
            </w:r>
          </w:p>
        </w:tc>
      </w:tr>
      <w:tr>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重删压缩</w:t>
            </w:r>
          </w:p>
        </w:tc>
        <w:tc>
          <w:tcPr>
            <w:tcW w:w="7768"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配置重删压缩许可证，无容量限制。重删压缩性能无损。</w:t>
            </w:r>
          </w:p>
        </w:tc>
      </w:tr>
      <w:tr>
        <w:tblPrEx>
          <w:tblCellMar>
            <w:top w:w="0" w:type="dxa"/>
            <w:left w:w="108" w:type="dxa"/>
            <w:bottom w:w="0" w:type="dxa"/>
            <w:right w:w="108" w:type="dxa"/>
          </w:tblCellMar>
        </w:tblPrEx>
        <w:trPr>
          <w:trHeight w:val="99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容灾复制</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配置数据容灾复制功能许可证，无容量限制。要求支持存储系统之间、存储系统到存储集群、存储集群之间的多对一数据复制、双向数据复制。要求对Oracle, Exchange, MS Sql Server等应用必须配置一致性数据卷组(Consistency Group)保护功能</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★双活</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存储双活软件或同品牌双活网关搭建存储双活方案（支持距离30KM），存储双活系统同时双读双写，负载均衡，单台存储故障后无感知，系统不宕机、业务不延迟、不中断、不受任何影响；配置合法空间100TB授权许可，可通过原厂服务热线查询正版授权序列号（提供查询方法说明）；使用双活网关时，每台网关节点的缓存≥256GB，双活实施由原厂工程师完成，实施时需提供原厂工程师社保证明，中标后进行存储断电、插拔光纤线、网线等模拟各种潜在故障可能的双活演练</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监控管理功能</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统一管理监控，能够管理存储、服务器、虚拟机、光纤交换机、应用等。实现IT资源云化，统一管理和分配，实现端到端分析监控</w:t>
            </w:r>
          </w:p>
          <w:p>
            <w:pPr>
              <w:pStyle w:val="256"/>
              <w:rPr>
                <w:rFonts w:hint="eastAsia" w:ascii="宋体" w:hAnsi="宋体"/>
                <w:bCs/>
                <w:sz w:val="21"/>
                <w:szCs w:val="21"/>
              </w:rPr>
            </w:pPr>
            <w:r>
              <w:rPr>
                <w:rFonts w:hint="eastAsia" w:ascii="宋体" w:hAnsi="宋体"/>
                <w:bCs/>
                <w:sz w:val="21"/>
                <w:szCs w:val="21"/>
              </w:rPr>
              <w:t>兼容业界主流虚拟机VMware、Hyper-v等，</w:t>
            </w:r>
          </w:p>
          <w:p>
            <w:pPr>
              <w:pStyle w:val="256"/>
              <w:rPr>
                <w:rFonts w:hint="eastAsia" w:ascii="宋体" w:hAnsi="宋体"/>
                <w:bCs/>
                <w:sz w:val="21"/>
                <w:szCs w:val="21"/>
              </w:rPr>
            </w:pPr>
            <w:r>
              <w:rPr>
                <w:rFonts w:hint="eastAsia" w:ascii="宋体" w:hAnsi="宋体"/>
                <w:bCs/>
                <w:sz w:val="21"/>
                <w:szCs w:val="21"/>
              </w:rPr>
              <w:t>兼容业界主流服务器windows、linux等，</w:t>
            </w:r>
          </w:p>
          <w:p>
            <w:pPr>
              <w:pStyle w:val="256"/>
              <w:rPr>
                <w:rFonts w:hint="eastAsia" w:ascii="宋体" w:hAnsi="宋体"/>
                <w:bCs/>
                <w:sz w:val="21"/>
                <w:szCs w:val="21"/>
              </w:rPr>
            </w:pPr>
            <w:r>
              <w:rPr>
                <w:rFonts w:hint="eastAsia" w:ascii="宋体" w:hAnsi="宋体"/>
                <w:bCs/>
                <w:sz w:val="21"/>
                <w:szCs w:val="21"/>
              </w:rPr>
              <w:t>兼容业界主流光纤交换机博科、思科，</w:t>
            </w:r>
          </w:p>
          <w:p>
            <w:pPr>
              <w:pStyle w:val="256"/>
              <w:rPr>
                <w:rFonts w:hint="eastAsia" w:ascii="宋体" w:hAnsi="宋体"/>
                <w:bCs/>
                <w:sz w:val="21"/>
                <w:szCs w:val="21"/>
              </w:rPr>
            </w:pPr>
            <w:r>
              <w:rPr>
                <w:rFonts w:hint="eastAsia" w:ascii="宋体" w:hAnsi="宋体"/>
                <w:bCs/>
                <w:sz w:val="21"/>
                <w:szCs w:val="21"/>
              </w:rPr>
              <w:t>兼容业界主流存储EMC、IBM、HDS、HP、Netapp、PureStorage等</w:t>
            </w:r>
          </w:p>
        </w:tc>
      </w:tr>
      <w:tr>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color w:val="000000"/>
                <w:szCs w:val="21"/>
              </w:rPr>
              <w:t>▲</w:t>
            </w:r>
            <w:r>
              <w:rPr>
                <w:rFonts w:hint="eastAsia" w:ascii="宋体" w:hAnsi="宋体" w:cs="仿宋_GB2312"/>
                <w:bCs/>
                <w:color w:val="000000"/>
                <w:szCs w:val="21"/>
              </w:rPr>
              <w:t>存储监控指标</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能够实时监控存储关键性能，比如端口、缓存、处理器、RAID组、LUN等，可以监控以下存储性能参数。</w:t>
            </w:r>
          </w:p>
          <w:p>
            <w:pPr>
              <w:pStyle w:val="256"/>
              <w:rPr>
                <w:rFonts w:hint="eastAsia" w:ascii="宋体" w:hAnsi="宋体"/>
                <w:bCs/>
                <w:sz w:val="21"/>
                <w:szCs w:val="21"/>
              </w:rPr>
            </w:pPr>
            <w:r>
              <w:rPr>
                <w:rFonts w:hint="eastAsia" w:ascii="宋体" w:hAnsi="宋体"/>
                <w:sz w:val="21"/>
                <w:szCs w:val="21"/>
              </w:rPr>
              <w:t>监控存储整体空间消耗；</w:t>
            </w:r>
          </w:p>
          <w:p>
            <w:pPr>
              <w:pStyle w:val="256"/>
              <w:rPr>
                <w:rFonts w:hint="eastAsia" w:ascii="宋体" w:hAnsi="宋体"/>
                <w:bCs/>
                <w:sz w:val="21"/>
                <w:szCs w:val="21"/>
              </w:rPr>
            </w:pPr>
            <w:r>
              <w:rPr>
                <w:rFonts w:hint="eastAsia" w:ascii="宋体" w:hAnsi="宋体"/>
                <w:sz w:val="21"/>
                <w:szCs w:val="21"/>
              </w:rPr>
              <w:t>监控存储整体物理状态；</w:t>
            </w:r>
          </w:p>
          <w:p>
            <w:pPr>
              <w:pStyle w:val="256"/>
              <w:rPr>
                <w:rFonts w:hint="eastAsia" w:ascii="宋体" w:hAnsi="宋体"/>
                <w:bCs/>
                <w:sz w:val="21"/>
                <w:szCs w:val="21"/>
              </w:rPr>
            </w:pPr>
            <w:r>
              <w:rPr>
                <w:rFonts w:hint="eastAsia" w:ascii="宋体" w:hAnsi="宋体"/>
                <w:bCs/>
                <w:sz w:val="21"/>
                <w:szCs w:val="21"/>
              </w:rPr>
              <w:t>前端端口及处理器性能利用率</w:t>
            </w:r>
          </w:p>
          <w:p>
            <w:pPr>
              <w:pStyle w:val="256"/>
              <w:rPr>
                <w:rFonts w:hint="eastAsia" w:ascii="宋体" w:hAnsi="宋体"/>
                <w:bCs/>
                <w:sz w:val="21"/>
                <w:szCs w:val="21"/>
              </w:rPr>
            </w:pPr>
            <w:r>
              <w:rPr>
                <w:rFonts w:hint="eastAsia" w:ascii="宋体" w:hAnsi="宋体"/>
                <w:bCs/>
                <w:sz w:val="21"/>
                <w:szCs w:val="21"/>
              </w:rPr>
              <w:t>后端端口及处理器性能利用率</w:t>
            </w:r>
          </w:p>
          <w:p>
            <w:pPr>
              <w:pStyle w:val="256"/>
              <w:rPr>
                <w:rFonts w:hint="eastAsia" w:ascii="宋体" w:hAnsi="宋体"/>
                <w:bCs/>
                <w:sz w:val="21"/>
                <w:szCs w:val="21"/>
              </w:rPr>
            </w:pPr>
            <w:r>
              <w:rPr>
                <w:rFonts w:hint="eastAsia" w:ascii="宋体" w:hAnsi="宋体"/>
                <w:bCs/>
                <w:sz w:val="21"/>
                <w:szCs w:val="21"/>
              </w:rPr>
              <w:t>缓存写等待</w:t>
            </w:r>
          </w:p>
          <w:p>
            <w:pPr>
              <w:pStyle w:val="256"/>
              <w:rPr>
                <w:rFonts w:hint="eastAsia" w:ascii="宋体" w:hAnsi="宋体"/>
                <w:bCs/>
                <w:sz w:val="21"/>
                <w:szCs w:val="21"/>
              </w:rPr>
            </w:pPr>
            <w:r>
              <w:rPr>
                <w:rFonts w:hint="eastAsia" w:ascii="宋体" w:hAnsi="宋体"/>
                <w:bCs/>
                <w:sz w:val="21"/>
                <w:szCs w:val="21"/>
              </w:rPr>
              <w:t>LUN读命中, 读、写响应时间</w:t>
            </w:r>
          </w:p>
          <w:p>
            <w:pPr>
              <w:pStyle w:val="256"/>
              <w:rPr>
                <w:rFonts w:hint="eastAsia" w:ascii="宋体" w:hAnsi="宋体"/>
                <w:bCs/>
                <w:sz w:val="21"/>
                <w:szCs w:val="21"/>
              </w:rPr>
            </w:pPr>
            <w:r>
              <w:rPr>
                <w:rFonts w:hint="eastAsia" w:ascii="宋体" w:hAnsi="宋体"/>
                <w:bCs/>
                <w:sz w:val="21"/>
                <w:szCs w:val="21"/>
              </w:rPr>
              <w:t>RAID组性能利用率</w:t>
            </w:r>
          </w:p>
        </w:tc>
      </w:tr>
      <w:tr>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预测分析、异常检测、故障定位、机器学习</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预测分析：依据资源关联关系，自动规划未来资源分配，实现资源合理配置</w:t>
            </w:r>
          </w:p>
          <w:p>
            <w:pPr>
              <w:pStyle w:val="256"/>
              <w:rPr>
                <w:rFonts w:hint="eastAsia" w:ascii="宋体" w:hAnsi="宋体"/>
                <w:bCs/>
                <w:sz w:val="21"/>
                <w:szCs w:val="21"/>
              </w:rPr>
            </w:pPr>
            <w:r>
              <w:rPr>
                <w:rFonts w:hint="eastAsia" w:ascii="宋体" w:hAnsi="宋体"/>
                <w:bCs/>
                <w:sz w:val="21"/>
                <w:szCs w:val="21"/>
              </w:rPr>
              <w:t>异常检测：识别从虚拟机、服务器到存储设备的异常状况，识别故障根本原因给出修复建议，确保达成要求的服务等级</w:t>
            </w:r>
          </w:p>
          <w:p>
            <w:pPr>
              <w:pStyle w:val="256"/>
              <w:rPr>
                <w:rFonts w:hint="eastAsia" w:ascii="宋体" w:hAnsi="宋体"/>
                <w:bCs/>
                <w:sz w:val="21"/>
                <w:szCs w:val="21"/>
              </w:rPr>
            </w:pPr>
            <w:r>
              <w:rPr>
                <w:rFonts w:hint="eastAsia" w:ascii="宋体" w:hAnsi="宋体"/>
                <w:bCs/>
                <w:sz w:val="21"/>
                <w:szCs w:val="21"/>
              </w:rPr>
              <w:t>提供当前数据中心端到端拓扑视图，提供性能问题的根因分析，快速定位性能瓶颈。提供分析诊断以快速识别、隔离和确定问题的根本原因。可以生成恢复计划，为解决性能问题提供指导。</w:t>
            </w:r>
          </w:p>
          <w:p>
            <w:pPr>
              <w:pStyle w:val="256"/>
              <w:rPr>
                <w:rFonts w:hint="eastAsia" w:ascii="宋体" w:hAnsi="宋体"/>
                <w:bCs/>
                <w:sz w:val="21"/>
                <w:szCs w:val="21"/>
              </w:rPr>
            </w:pPr>
            <w:r>
              <w:rPr>
                <w:rFonts w:hint="eastAsia" w:ascii="宋体" w:hAnsi="宋体"/>
                <w:bCs/>
                <w:sz w:val="21"/>
                <w:szCs w:val="21"/>
              </w:rPr>
              <w:t>机器学习：内置机器学习辅助分析，发现新现象、趋势、异常，管理平台自动给出调整建议</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监控指标阀值</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对整个系统分别建立性能阀值，超过阀值可以自动报警</w:t>
            </w:r>
          </w:p>
          <w:p>
            <w:pPr>
              <w:pStyle w:val="256"/>
              <w:rPr>
                <w:rFonts w:hint="eastAsia" w:ascii="宋体" w:hAnsi="宋体"/>
                <w:bCs/>
                <w:sz w:val="21"/>
                <w:szCs w:val="21"/>
              </w:rPr>
            </w:pPr>
            <w:r>
              <w:rPr>
                <w:rFonts w:hint="eastAsia" w:ascii="宋体" w:hAnsi="宋体"/>
                <w:bCs/>
                <w:sz w:val="21"/>
                <w:szCs w:val="21"/>
              </w:rPr>
              <w:t>VM：vCPU Ready、vCPU usage、Memory Usage %、Active memory</w:t>
            </w:r>
          </w:p>
          <w:p>
            <w:pPr>
              <w:pStyle w:val="256"/>
              <w:rPr>
                <w:rFonts w:hint="eastAsia" w:ascii="宋体" w:hAnsi="宋体"/>
                <w:bCs/>
                <w:sz w:val="21"/>
                <w:szCs w:val="21"/>
              </w:rPr>
            </w:pPr>
            <w:r>
              <w:rPr>
                <w:rFonts w:hint="eastAsia" w:ascii="宋体" w:hAnsi="宋体"/>
                <w:bCs/>
                <w:sz w:val="21"/>
                <w:szCs w:val="21"/>
              </w:rPr>
              <w:t>、Memory Swap in/out rate、Memory Swap in/out rate</w:t>
            </w:r>
          </w:p>
          <w:p>
            <w:pPr>
              <w:pStyle w:val="256"/>
              <w:rPr>
                <w:rFonts w:hint="eastAsia" w:ascii="宋体" w:hAnsi="宋体"/>
                <w:bCs/>
                <w:sz w:val="21"/>
                <w:szCs w:val="21"/>
              </w:rPr>
            </w:pPr>
            <w:r>
              <w:rPr>
                <w:rFonts w:hint="eastAsia" w:ascii="宋体" w:hAnsi="宋体"/>
                <w:bCs/>
                <w:sz w:val="21"/>
                <w:szCs w:val="21"/>
              </w:rPr>
              <w:t>ESX：pCPU usage、Host CPU Ready1、Device Latency (R/W)</w:t>
            </w:r>
          </w:p>
          <w:p>
            <w:pPr>
              <w:pStyle w:val="256"/>
              <w:rPr>
                <w:rFonts w:hint="eastAsia" w:ascii="宋体" w:hAnsi="宋体"/>
                <w:bCs/>
                <w:sz w:val="21"/>
                <w:szCs w:val="21"/>
              </w:rPr>
            </w:pPr>
            <w:r>
              <w:rPr>
                <w:rFonts w:hint="eastAsia" w:ascii="宋体" w:hAnsi="宋体"/>
                <w:bCs/>
                <w:sz w:val="21"/>
                <w:szCs w:val="21"/>
              </w:rPr>
              <w:t>、Memory Swap in/out rate、Device Latency (R/W)</w:t>
            </w:r>
          </w:p>
          <w:p>
            <w:pPr>
              <w:pStyle w:val="256"/>
              <w:rPr>
                <w:rFonts w:hint="eastAsia" w:ascii="宋体" w:hAnsi="宋体"/>
                <w:bCs/>
                <w:sz w:val="21"/>
                <w:szCs w:val="21"/>
              </w:rPr>
            </w:pPr>
            <w:r>
              <w:rPr>
                <w:rFonts w:hint="eastAsia" w:ascii="宋体" w:hAnsi="宋体"/>
                <w:bCs/>
                <w:sz w:val="21"/>
                <w:szCs w:val="21"/>
              </w:rPr>
              <w:t>Storage：、Port usage、MPB utilization1、Write Pending %</w:t>
            </w:r>
          </w:p>
          <w:p>
            <w:pPr>
              <w:pStyle w:val="256"/>
              <w:rPr>
                <w:rFonts w:hint="eastAsia" w:ascii="宋体" w:hAnsi="宋体"/>
                <w:bCs/>
                <w:sz w:val="21"/>
                <w:szCs w:val="21"/>
              </w:rPr>
            </w:pPr>
            <w:r>
              <w:rPr>
                <w:rFonts w:hint="eastAsia" w:ascii="宋体" w:hAnsi="宋体"/>
                <w:bCs/>
                <w:sz w:val="21"/>
                <w:szCs w:val="21"/>
              </w:rPr>
              <w:t>、Side file %、Pool Utilization、Parity Group Utilization %</w:t>
            </w:r>
          </w:p>
          <w:p>
            <w:pPr>
              <w:pStyle w:val="256"/>
              <w:rPr>
                <w:rFonts w:hint="eastAsia" w:ascii="宋体" w:hAnsi="宋体"/>
                <w:sz w:val="21"/>
                <w:szCs w:val="21"/>
              </w:rPr>
            </w:pPr>
            <w:r>
              <w:rPr>
                <w:rFonts w:hint="eastAsia" w:ascii="宋体" w:hAnsi="宋体"/>
                <w:bCs/>
                <w:sz w:val="21"/>
                <w:szCs w:val="21"/>
              </w:rPr>
              <w:t>Parity Group Read Hit %</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应用性能监控和管理</w:t>
            </w:r>
          </w:p>
        </w:tc>
        <w:tc>
          <w:tcPr>
            <w:tcW w:w="7768" w:type="dxa"/>
            <w:tcBorders>
              <w:top w:val="nil"/>
              <w:left w:val="nil"/>
              <w:bottom w:val="single" w:color="auto" w:sz="4" w:space="0"/>
              <w:right w:val="single" w:color="auto" w:sz="4" w:space="0"/>
            </w:tcBorders>
          </w:tcPr>
          <w:p>
            <w:pPr>
              <w:pStyle w:val="256"/>
              <w:rPr>
                <w:rFonts w:hint="eastAsia" w:ascii="宋体" w:hAnsi="宋体"/>
                <w:bCs/>
                <w:sz w:val="21"/>
                <w:szCs w:val="21"/>
              </w:rPr>
            </w:pPr>
            <w:r>
              <w:rPr>
                <w:rFonts w:hint="eastAsia" w:ascii="宋体" w:hAnsi="宋体"/>
                <w:bCs/>
                <w:sz w:val="21"/>
                <w:szCs w:val="21"/>
              </w:rPr>
              <w:t>监控应用系统主机的性能，</w:t>
            </w:r>
            <w:r>
              <w:rPr>
                <w:rFonts w:hint="eastAsia" w:ascii="宋体" w:hAnsi="宋体"/>
                <w:sz w:val="21"/>
                <w:szCs w:val="21"/>
              </w:rPr>
              <w:t>要求监控服务器主机I/O大小和读写比、延迟、队列深度等；</w:t>
            </w:r>
            <w:r>
              <w:rPr>
                <w:rFonts w:hint="eastAsia" w:ascii="宋体" w:hAnsi="宋体"/>
                <w:bCs/>
                <w:sz w:val="21"/>
                <w:szCs w:val="21"/>
              </w:rPr>
              <w:t>如无法满足预先设置的服务等级要求（比如应用响应时延），自动发出告警。</w:t>
            </w:r>
          </w:p>
          <w:p>
            <w:pPr>
              <w:pStyle w:val="256"/>
              <w:rPr>
                <w:rFonts w:hint="eastAsia" w:ascii="宋体" w:hAnsi="宋体"/>
                <w:bCs/>
                <w:sz w:val="21"/>
                <w:szCs w:val="21"/>
              </w:rPr>
            </w:pPr>
            <w:r>
              <w:rPr>
                <w:rFonts w:hint="eastAsia" w:ascii="宋体" w:hAnsi="宋体"/>
                <w:bCs/>
                <w:sz w:val="21"/>
                <w:szCs w:val="21"/>
              </w:rPr>
              <w:t>针对应用系统历史任意时间点或时间段的数据进行回顾，对应用系统不同时间段数据进行分析比对，监控内容与实时监控内容相同。投标时提供技术文档和功能界面展示</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Oracle数据库</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支持并配置跨数据中心的双活，配合Oracle数据库的RAC集群技术，可以实现两个站点的主机同时对同一Oracle数据库进行读写操作；</w:t>
            </w:r>
          </w:p>
        </w:tc>
      </w:tr>
      <w:tr>
        <w:trPr>
          <w:trHeight w:val="246"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▲异构存储管理功能</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异构存储管理，在单个群集内实现存储域的自动共享、平衡和故障切换；能够在异构阵列之间移动生产卷并无主机中断或宕机；能够创建分条卷、联合卷和切片卷，并能够实现异构阵列镜像数据，可以在网络中创建一个异构存储池。可升级为跨多数据中心的实现高可用性和工作负载，支持同步或异步模式。需要将已有存储进行虚拟化后统一管理，可以把数据直接复制和克隆到其他存储中，实现当新购存储计划外宕机时，可以通过该功能实现一键操作，在30秒内能够将业务切换到原有存储中，用于支撑业务系统的快速恢复，</w:t>
            </w:r>
          </w:p>
        </w:tc>
      </w:tr>
      <w:tr>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★存储整合性</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为了保证医院二个双活机房数据同步方案实现效果，新购存储必须和医院现有存储完全融合、互相联通兼容。要求实现多台存储数据多活，形成一个存储资源池，数据可以在多台设备间灵活在线迁移，在利旧的同时极大地提升整体方案的可靠性。要求详细描述互联实现方式、整体方案架构以及相关技术实现细节，要求整个方案实现过程中零宕机，对现有设备和业务系统无任何干扰，设备运行过程中业务永不间断，提供相关说明材料承诺书。</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连续数据保护</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可实现本次项目数据卷中≥50台虚拟机之前任意时间点数据的回滚与恢复；支持三种保护方式：VM本地保护、VM远程保护、VM保护同时在本地和远程均有副本；配置基于vCenter plug-in的管理维护插件以便捷高效地管理影子虚机；提供相关技术文档及证明材料</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精简配置</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配置精简配置功能，无容量限制</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集群负载均衡</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配置存储集群负载均衡管理软件，无客户端及容量限制。</w:t>
            </w:r>
          </w:p>
        </w:tc>
      </w:tr>
      <w:tr>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配置图形化管理界面，配置命令行及存储集群统一图形化管理界面，支持日志监控及审计</w:t>
            </w:r>
          </w:p>
        </w:tc>
      </w:tr>
      <w:tr>
        <w:trPr>
          <w:trHeight w:val="66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操作系统</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支持MS Windows、VMware ESX、Linux、AIX、PowerVM、HP UNIX、Solaris、Oracle Linux、Oracle VM等多种操作系统</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平台对接</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支持REST API、OpenStack、Hadoop</w:t>
            </w:r>
          </w:p>
        </w:tc>
      </w:tr>
      <w:tr>
        <w:tblPrEx>
          <w:tblCellMar>
            <w:top w:w="0" w:type="dxa"/>
            <w:left w:w="108" w:type="dxa"/>
            <w:bottom w:w="0" w:type="dxa"/>
            <w:right w:w="108" w:type="dxa"/>
          </w:tblCellMar>
        </w:tblPrEx>
        <w:trPr>
          <w:trHeight w:val="660" w:hRule="atLeast"/>
        </w:trPr>
        <w:tc>
          <w:tcPr>
            <w:tcW w:w="1163"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应用集成</w:t>
            </w:r>
          </w:p>
        </w:tc>
        <w:tc>
          <w:tcPr>
            <w:tcW w:w="7768"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支持VMware VAAI、SRM、vCenter、vVols、Oracle、SAP、SAP HANA TDI、CITRIX、MS ODX、MS HyperV、MC SCVMM、CommVault等集成</w:t>
            </w:r>
          </w:p>
        </w:tc>
      </w:tr>
      <w:tr>
        <w:tblPrEx>
          <w:tblCellMar>
            <w:top w:w="0" w:type="dxa"/>
            <w:left w:w="108" w:type="dxa"/>
            <w:bottom w:w="0" w:type="dxa"/>
            <w:right w:w="108" w:type="dxa"/>
          </w:tblCellMar>
        </w:tblPrEx>
        <w:trPr>
          <w:trHeight w:val="990"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智能分析平台</w:t>
            </w:r>
          </w:p>
        </w:tc>
        <w:tc>
          <w:tcPr>
            <w:tcW w:w="7768" w:type="dxa"/>
            <w:tcBorders>
              <w:top w:val="single" w:color="auto" w:sz="4" w:space="0"/>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配置智能分析平台，无容量限制，基于大数据进行容量分析、性能趋势分析和健康状况检查等，提供可用性预测、自动预警、健康预警和自动生成建议报告；实现端到端应用分析，精确定位虚拟机到存储之间瓶颈所在</w:t>
            </w:r>
          </w:p>
        </w:tc>
      </w:tr>
      <w:tr>
        <w:trPr>
          <w:trHeight w:val="671"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▲测试设备</w:t>
            </w:r>
          </w:p>
        </w:tc>
        <w:tc>
          <w:tcPr>
            <w:tcW w:w="7768"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中标后七天内提供相同配置和功能的设备免费使用18个月。用于满足新应用软件系统开发及测试需求，投标提供承诺书。</w:t>
            </w:r>
          </w:p>
        </w:tc>
      </w:tr>
      <w:tr>
        <w:trPr>
          <w:trHeight w:val="990" w:hRule="atLeast"/>
        </w:trPr>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▲功能测试验证</w:t>
            </w:r>
          </w:p>
        </w:tc>
        <w:tc>
          <w:tcPr>
            <w:tcW w:w="7768" w:type="dxa"/>
            <w:tcBorders>
              <w:top w:val="single" w:color="auto" w:sz="4" w:space="0"/>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中标后七天内，提供测试设备对产品功能和性能测试，若无法在规定时间内提供测试设备或测试结果与招标内容不符，影响医院互联互通等级评定和应用软件上线，取消中标资格，中标方承担所有责任；</w:t>
            </w:r>
          </w:p>
        </w:tc>
      </w:tr>
      <w:tr>
        <w:tblPrEx>
          <w:tblCellMar>
            <w:top w:w="0" w:type="dxa"/>
            <w:left w:w="108" w:type="dxa"/>
            <w:bottom w:w="0" w:type="dxa"/>
            <w:right w:w="108" w:type="dxa"/>
          </w:tblCellMar>
        </w:tblPrEx>
        <w:trPr>
          <w:trHeight w:val="330" w:hRule="atLeast"/>
        </w:trPr>
        <w:tc>
          <w:tcPr>
            <w:tcW w:w="1163"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768"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pStyle w:val="22"/>
        <w:rPr>
          <w:rFonts w:hint="eastAsia"/>
        </w:rPr>
      </w:pPr>
    </w:p>
    <w:p>
      <w:pPr>
        <w:pStyle w:val="4"/>
        <w:spacing w:before="0" w:after="0" w:line="240" w:lineRule="auto"/>
        <w:rPr>
          <w:rFonts w:hint="eastAsia" w:ascii="宋体" w:hAnsi="宋体" w:cs="仿宋_GB2312"/>
          <w:sz w:val="21"/>
          <w:szCs w:val="21"/>
        </w:rPr>
      </w:pPr>
      <w:bookmarkStart w:id="38" w:name="_Toc104743863"/>
      <w:r>
        <w:rPr>
          <w:rFonts w:hint="eastAsia" w:ascii="宋体" w:hAnsi="宋体" w:cs="仿宋_GB2312"/>
          <w:sz w:val="21"/>
          <w:szCs w:val="21"/>
        </w:rPr>
        <w:t>7 PACS分布式存储节点</w:t>
      </w:r>
      <w:bookmarkEnd w:id="38"/>
    </w:p>
    <w:p>
      <w:pPr>
        <w:rPr>
          <w:rFonts w:ascii="宋体" w:hAnsi="宋体" w:cs="仿宋_GB2312"/>
          <w:szCs w:val="21"/>
        </w:rPr>
      </w:pPr>
    </w:p>
    <w:tbl>
      <w:tblPr>
        <w:tblStyle w:val="64"/>
        <w:tblW w:w="8931" w:type="dxa"/>
        <w:tblInd w:w="108" w:type="dxa"/>
        <w:tblLayout w:type="autofit"/>
        <w:tblCellMar>
          <w:top w:w="0" w:type="dxa"/>
          <w:left w:w="108" w:type="dxa"/>
          <w:bottom w:w="0" w:type="dxa"/>
          <w:right w:w="108" w:type="dxa"/>
        </w:tblCellMar>
      </w:tblPr>
      <w:tblGrid>
        <w:gridCol w:w="1305"/>
        <w:gridCol w:w="7626"/>
      </w:tblGrid>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626"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5"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制造商</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kern w:val="2"/>
                <w:sz w:val="21"/>
                <w:szCs w:val="21"/>
              </w:rPr>
            </w:pPr>
            <w:r>
              <w:rPr>
                <w:rFonts w:hint="eastAsia" w:ascii="宋体" w:hAnsi="宋体"/>
                <w:kern w:val="2"/>
                <w:sz w:val="21"/>
                <w:szCs w:val="21"/>
              </w:rPr>
              <w:t>技术成熟的服务器制造商</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服务器外型</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机架式</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服务器高度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≥2U，标配原厂导轨</w:t>
            </w:r>
          </w:p>
        </w:tc>
      </w:tr>
      <w:tr>
        <w:tblPrEx>
          <w:tblCellMar>
            <w:top w:w="0" w:type="dxa"/>
            <w:left w:w="108" w:type="dxa"/>
            <w:bottom w:w="0" w:type="dxa"/>
            <w:right w:w="108" w:type="dxa"/>
          </w:tblCellMar>
        </w:tblPrEx>
        <w:trPr>
          <w:trHeight w:val="285" w:hRule="atLeast"/>
        </w:trPr>
        <w:tc>
          <w:tcPr>
            <w:tcW w:w="1305" w:type="dxa"/>
            <w:vMerge w:val="restart"/>
            <w:tcBorders>
              <w:top w:val="nil"/>
              <w:left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★配置要求</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CPU≥2颗Intel 5218R (2.1GHz/20-core)至强系列处理器</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内存≥128GB DDR4-3200内存，Advanced ECC、内存在线热备，具备内存主动式检测，最大支持32根DDR4内存，最高速率3200MT/s，支持RDIMM或LRDIMM</w:t>
            </w:r>
          </w:p>
        </w:tc>
      </w:tr>
      <w:tr>
        <w:tblPrEx>
          <w:tblCellMar>
            <w:top w:w="0" w:type="dxa"/>
            <w:left w:w="108" w:type="dxa"/>
            <w:bottom w:w="0" w:type="dxa"/>
            <w:right w:w="108" w:type="dxa"/>
          </w:tblCellMar>
        </w:tblPrEx>
        <w:trPr>
          <w:trHeight w:val="285" w:hRule="atLeast"/>
        </w:trPr>
        <w:tc>
          <w:tcPr>
            <w:tcW w:w="1305" w:type="dxa"/>
            <w:vMerge w:val="continue"/>
            <w:tcBorders>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硬盘≥2*480GB SSD硬盘，≥2*1.92TB SSD硬盘，≥12*8TB SATA硬盘，托架具备Raid重建不可拔出硬盘提示指示灯。配置≥12个3.5寸热插拔硬盘槽位，可扩展至20个3.5寸热插拔硬盘槽位。</w:t>
            </w:r>
          </w:p>
        </w:tc>
      </w:tr>
      <w:tr>
        <w:tblPrEx>
          <w:tblCellMar>
            <w:top w:w="0" w:type="dxa"/>
            <w:left w:w="108" w:type="dxa"/>
            <w:bottom w:w="0" w:type="dxa"/>
            <w:right w:w="108" w:type="dxa"/>
          </w:tblCellMar>
        </w:tblPrEx>
        <w:trPr>
          <w:trHeight w:val="522" w:hRule="atLeast"/>
        </w:trPr>
        <w:tc>
          <w:tcPr>
            <w:tcW w:w="1305"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阵列控制器</w:t>
            </w:r>
          </w:p>
        </w:tc>
        <w:tc>
          <w:tcPr>
            <w:tcW w:w="7626"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≥1个标配SAS Raid阵列卡（不占用PCIE扩展槽），支持Raid0/1/10/5/6，≥4GB缓存，支持缓存数据保护；</w:t>
            </w:r>
          </w:p>
        </w:tc>
      </w:tr>
      <w:tr>
        <w:tblPrEx>
          <w:tblCellMar>
            <w:top w:w="0" w:type="dxa"/>
            <w:left w:w="108" w:type="dxa"/>
            <w:bottom w:w="0" w:type="dxa"/>
            <w:right w:w="108" w:type="dxa"/>
          </w:tblCellMar>
        </w:tblPrEx>
        <w:trPr>
          <w:trHeight w:val="570" w:hRule="atLeast"/>
        </w:trPr>
        <w:tc>
          <w:tcPr>
            <w:tcW w:w="1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启动盘可选项</w:t>
            </w:r>
          </w:p>
        </w:tc>
        <w:tc>
          <w:tcPr>
            <w:tcW w:w="7626"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OS启动盘：支持SATA和PCIe M.2选件，支持双Micro SD卡套件；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▲PCI插槽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最多提供≥8个标准PCIE4.0插槽可用，同时提供阵列卡和网卡扩展，提供官网或技术白皮书截图证明</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网卡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≥4个10Gb 光纤以太网接口（含原厂模块），≥4个千兆以太网口，≥2*双口32G HBA卡</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GPU</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支持多达8个单宽/3个双宽</w:t>
            </w:r>
          </w:p>
        </w:tc>
      </w:tr>
      <w:tr>
        <w:tblPrEx>
          <w:tblCellMar>
            <w:top w:w="0" w:type="dxa"/>
            <w:left w:w="108" w:type="dxa"/>
            <w:bottom w:w="0" w:type="dxa"/>
            <w:right w:w="108" w:type="dxa"/>
          </w:tblCellMar>
        </w:tblPrEx>
        <w:trPr>
          <w:trHeight w:val="34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接口</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≥5个USB3.0接口，最高可扩展至7个USB接口；</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冗余电源</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2个≥800w铂金版热插拔冗余电源，支持96%能效比的钛金版电源选件</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冗余风扇</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热插拔冗余风扇</w:t>
            </w:r>
          </w:p>
        </w:tc>
      </w:tr>
      <w:tr>
        <w:tblPrEx>
          <w:tblCellMar>
            <w:top w:w="0" w:type="dxa"/>
            <w:left w:w="108" w:type="dxa"/>
            <w:bottom w:w="0" w:type="dxa"/>
            <w:right w:w="108" w:type="dxa"/>
          </w:tblCellMar>
        </w:tblPrEx>
        <w:trPr>
          <w:trHeight w:val="28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工作温度</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符合ASHARE A4标准，5-45°C标准工作温度</w:t>
            </w:r>
          </w:p>
        </w:tc>
      </w:tr>
      <w:tr>
        <w:tblPrEx>
          <w:tblCellMar>
            <w:top w:w="0" w:type="dxa"/>
            <w:left w:w="108" w:type="dxa"/>
            <w:bottom w:w="0" w:type="dxa"/>
            <w:right w:w="108" w:type="dxa"/>
          </w:tblCellMar>
        </w:tblPrEx>
        <w:trPr>
          <w:trHeight w:val="246" w:hRule="atLeast"/>
        </w:trPr>
        <w:tc>
          <w:tcPr>
            <w:tcW w:w="1305"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嵌入式管理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★配置≥1Gb独立的远程管理控制端口，配置前面板独立的USB管理端口。配置虚拟KVM功能, 可实现与操作系统无关的远程对服务器的完全控制，包括远程的开机、关机、重启、更新Firmware、虚拟软驱、虚拟光驱、虚拟文件夹等操作，提供服务器健康日记、服务器控制台录屏/回放功能，能够提供电源监控，支持3D图形化的机箱内部温度拓扑图显示，可支持动态功率封顶。提供官网或技术白皮书截图证明</w:t>
            </w:r>
          </w:p>
        </w:tc>
      </w:tr>
      <w:tr>
        <w:tblPrEx>
          <w:tblCellMar>
            <w:top w:w="0" w:type="dxa"/>
            <w:left w:w="108" w:type="dxa"/>
            <w:bottom w:w="0" w:type="dxa"/>
            <w:right w:w="108" w:type="dxa"/>
          </w:tblCellMar>
        </w:tblPrEx>
        <w:trPr>
          <w:trHeight w:val="671"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CellMar>
            <w:top w:w="0" w:type="dxa"/>
            <w:left w:w="108" w:type="dxa"/>
            <w:bottom w:w="0" w:type="dxa"/>
            <w:right w:w="108" w:type="dxa"/>
          </w:tblCellMar>
        </w:tblPrEx>
        <w:trPr>
          <w:trHeight w:val="570"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嵌入式管理工具支持联合管理功能，无需软件即可实现多台服务器统一管理功能，如监控硬件健康状况，固件升级等。</w:t>
            </w:r>
          </w:p>
        </w:tc>
      </w:tr>
      <w:tr>
        <w:tblPrEx>
          <w:tblCellMar>
            <w:top w:w="0" w:type="dxa"/>
            <w:left w:w="108" w:type="dxa"/>
            <w:bottom w:w="0" w:type="dxa"/>
            <w:right w:w="108" w:type="dxa"/>
          </w:tblCellMar>
        </w:tblPrEx>
        <w:trPr>
          <w:trHeight w:val="285" w:hRule="atLeast"/>
        </w:trPr>
        <w:tc>
          <w:tcPr>
            <w:tcW w:w="1305"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免费提供升级工具，无需安装代理即可可统一升级同一网络中服务器的固件及驱动程序。</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▲管理芯片安全功能</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可信硅根技术：提供基于芯片级别的安全技术，管理芯片原厂商设计和生产，管理芯片功能代码在芯片生产阶段一次性写入；</w:t>
            </w:r>
            <w:r>
              <w:rPr>
                <w:rFonts w:hint="eastAsia" w:ascii="宋体" w:hAnsi="宋体"/>
                <w:sz w:val="21"/>
                <w:szCs w:val="21"/>
              </w:rPr>
              <w:br w:type="textWrapping"/>
            </w:r>
            <w:r>
              <w:rPr>
                <w:rFonts w:hint="eastAsia" w:ascii="宋体" w:hAnsi="宋体"/>
                <w:sz w:val="21"/>
                <w:szCs w:val="21"/>
              </w:rPr>
              <w:t>提供管理芯片运行期间的实时监测，提供防篡改升级、固件安全恢复、固件回滚和固件安全擦除技术，可在监测到威胁时基于上述技术采取处理措施，保护系统安全。提供官网或技术白皮书截图证明</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服务器管理系统</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创建、删除存储卷，显示卷的空间使用率、支持对存储的监控，查看使用情况，以及IO。实时IOPS、卷属性，支持将卷挂载在某个主机上。支持对软件定义存储，以及独立存储等存储的管理。支持创建，删除主机，主机集，支持将存储卷和主机的关联</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▲软件定义存储</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同等CPU数量的软件定义存储功能，可将服务器磁盘组成一个可以共享的存储资源，用于扩展存储空间，整合零散存储空间，基于面向对象的存储架构，可以在同一个图形界面里管理所有计算和存储资源，并支持横向扩展；配置快照与克隆功能；支持去重与压缩功能，支持纠删码、QoS功能；无缝集成虚拟化HA、FT容错、迁移、资源自动调度等功能；</w:t>
            </w:r>
          </w:p>
        </w:tc>
      </w:tr>
      <w:tr>
        <w:tblPrEx>
          <w:tblCellMar>
            <w:top w:w="0" w:type="dxa"/>
            <w:left w:w="108" w:type="dxa"/>
            <w:bottom w:w="0" w:type="dxa"/>
            <w:right w:w="108" w:type="dxa"/>
          </w:tblCellMar>
        </w:tblPrEx>
        <w:trPr>
          <w:trHeight w:val="114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▲数据保护</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保护功能，采用无代理的方案，为持续保护业务及数据的安全与平台的深度兼容性，最小恢复单位为一个写I/O操作，可从任意时间点中选择，使应用程序能够基于以前的事务快速地从任一时间点恢复。支持本地复制功能。对于捕获的写I/O，既支持同步复制到本地站点，也支持异步复制到远程站点，提供对同一数据卷的并行本地和远程保护;可以恢复到任意时间点的数据，保证数据安全性</w:t>
            </w:r>
          </w:p>
        </w:tc>
      </w:tr>
      <w:tr>
        <w:tblPrEx>
          <w:tblCellMar>
            <w:top w:w="0" w:type="dxa"/>
            <w:left w:w="108" w:type="dxa"/>
            <w:bottom w:w="0" w:type="dxa"/>
            <w:right w:w="108" w:type="dxa"/>
          </w:tblCellMar>
        </w:tblPrEx>
        <w:trPr>
          <w:trHeight w:val="955"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▲数据管理</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配置数据库管理监控功能组件</w:t>
            </w:r>
          </w:p>
          <w:p>
            <w:pPr>
              <w:pStyle w:val="256"/>
              <w:rPr>
                <w:rFonts w:hint="eastAsia" w:ascii="宋体" w:hAnsi="宋体"/>
                <w:sz w:val="21"/>
                <w:szCs w:val="21"/>
              </w:rPr>
            </w:pPr>
            <w:r>
              <w:rPr>
                <w:rFonts w:hint="eastAsia" w:ascii="宋体" w:hAnsi="宋体"/>
                <w:sz w:val="21"/>
                <w:szCs w:val="21"/>
              </w:rPr>
              <w:t>1、能实现Oracle数据库的实时监控、故障诊断、性能分析；无需安装插件或Agent。支持多个库一键巡检，巡检报告包含不同维度得分雷达图。支持用户自定义添加巡检规则。</w:t>
            </w:r>
          </w:p>
          <w:p>
            <w:pPr>
              <w:pStyle w:val="256"/>
              <w:rPr>
                <w:rFonts w:hint="eastAsia" w:ascii="宋体" w:hAnsi="宋体"/>
                <w:sz w:val="21"/>
                <w:szCs w:val="21"/>
              </w:rPr>
            </w:pPr>
            <w:r>
              <w:rPr>
                <w:rFonts w:hint="eastAsia" w:ascii="宋体" w:hAnsi="宋体"/>
                <w:sz w:val="21"/>
                <w:szCs w:val="21"/>
              </w:rPr>
              <w:t>2、能够手动或者定时自动生成全中文健康分析报告（包括配置、性能、管理、安全、备份等方面的分析），报告具备单库跟多库合并的展示，可以自动和历史报告对比分析。</w:t>
            </w:r>
          </w:p>
          <w:p>
            <w:pPr>
              <w:pStyle w:val="256"/>
              <w:rPr>
                <w:rFonts w:hint="eastAsia" w:ascii="宋体" w:hAnsi="宋体"/>
                <w:sz w:val="21"/>
                <w:szCs w:val="21"/>
              </w:rPr>
            </w:pPr>
            <w:r>
              <w:rPr>
                <w:rFonts w:hint="eastAsia" w:ascii="宋体" w:hAnsi="宋体"/>
                <w:sz w:val="21"/>
                <w:szCs w:val="21"/>
              </w:rPr>
              <w:t>3、具备告警功能，比如负载的历史同比、环比的基线告警。支持对主机文件系统，数据库表空间、ASM磁盘空间耗尽的预测，可以定义阈值。</w:t>
            </w:r>
          </w:p>
          <w:p>
            <w:pPr>
              <w:pStyle w:val="256"/>
              <w:rPr>
                <w:rFonts w:ascii="宋体" w:hAnsi="宋体"/>
                <w:sz w:val="21"/>
                <w:szCs w:val="21"/>
              </w:rPr>
            </w:pPr>
            <w:r>
              <w:rPr>
                <w:rFonts w:hint="eastAsia" w:ascii="宋体" w:hAnsi="宋体"/>
                <w:sz w:val="21"/>
                <w:szCs w:val="21"/>
              </w:rPr>
              <w:t>4、对于数据库层面发生除突发性的可用和性能问题（如应用锁阻塞、大SQL语句运行、系统资源不足等问题）拥有自动诊断、自动记录和追溯的功能。5、提供DBA工具包功能，在线制作并下载AWR报告，ASH报告、ADDM报告等。</w:t>
            </w:r>
          </w:p>
          <w:p>
            <w:pPr>
              <w:pStyle w:val="256"/>
              <w:rPr>
                <w:rFonts w:hint="eastAsia" w:ascii="宋体" w:hAnsi="宋体"/>
                <w:sz w:val="21"/>
                <w:szCs w:val="21"/>
              </w:rPr>
            </w:pPr>
            <w:r>
              <w:rPr>
                <w:rFonts w:hint="eastAsia" w:ascii="宋体" w:hAnsi="宋体"/>
                <w:sz w:val="21"/>
                <w:szCs w:val="21"/>
              </w:rPr>
              <w:t>以上功能提供功能截图</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其它安全选项</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提供UEFI安全启动；</w:t>
            </w:r>
            <w:r>
              <w:rPr>
                <w:rFonts w:hint="eastAsia" w:ascii="宋体" w:hAnsi="宋体"/>
                <w:sz w:val="21"/>
                <w:szCs w:val="21"/>
              </w:rPr>
              <w:br w:type="textWrapping"/>
            </w:r>
            <w:r>
              <w:rPr>
                <w:rFonts w:hint="eastAsia" w:ascii="宋体" w:hAnsi="宋体"/>
                <w:sz w:val="21"/>
                <w:szCs w:val="21"/>
              </w:rPr>
              <w:t>可配置机箱入侵侦测，在外部打开机箱时提供报警功能。</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▲对应用支持</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满足医院对于医学影像数据的安全存储和有效使用；</w:t>
            </w:r>
          </w:p>
          <w:p>
            <w:pPr>
              <w:pStyle w:val="256"/>
              <w:rPr>
                <w:rFonts w:hint="eastAsia" w:ascii="宋体" w:hAnsi="宋体"/>
                <w:sz w:val="21"/>
                <w:szCs w:val="21"/>
              </w:rPr>
            </w:pPr>
            <w:r>
              <w:rPr>
                <w:rFonts w:hint="eastAsia" w:ascii="宋体" w:hAnsi="宋体"/>
                <w:sz w:val="21"/>
                <w:szCs w:val="21"/>
              </w:rPr>
              <w:t>满足医院对于非医学影像数据的安全备份和恢复；</w:t>
            </w:r>
          </w:p>
          <w:p>
            <w:pPr>
              <w:pStyle w:val="256"/>
              <w:rPr>
                <w:rFonts w:hint="eastAsia" w:ascii="宋体" w:hAnsi="宋体"/>
                <w:sz w:val="21"/>
                <w:szCs w:val="21"/>
              </w:rPr>
            </w:pPr>
            <w:r>
              <w:rPr>
                <w:rFonts w:hint="eastAsia" w:ascii="宋体" w:hAnsi="宋体"/>
                <w:sz w:val="21"/>
                <w:szCs w:val="21"/>
              </w:rPr>
              <w:t xml:space="preserve">满足医院、下属社区医院、管理部门等相关机构安全可控的，基于权限的，对于数据进行分享与调取；  </w:t>
            </w:r>
          </w:p>
          <w:p>
            <w:pPr>
              <w:pStyle w:val="256"/>
              <w:rPr>
                <w:rFonts w:hint="eastAsia" w:ascii="宋体" w:hAnsi="宋体"/>
                <w:sz w:val="21"/>
                <w:szCs w:val="21"/>
              </w:rPr>
            </w:pPr>
            <w:r>
              <w:rPr>
                <w:rFonts w:hint="eastAsia" w:ascii="宋体" w:hAnsi="宋体"/>
                <w:sz w:val="21"/>
                <w:szCs w:val="21"/>
              </w:rPr>
              <w:t>对于医院数据的读写记录以及权限管理，被写入到区块链分布式账本中，实现对于数据使用的管理与痕迹追溯；</w:t>
            </w:r>
          </w:p>
          <w:p>
            <w:pPr>
              <w:pStyle w:val="256"/>
              <w:rPr>
                <w:rFonts w:hint="eastAsia" w:ascii="宋体" w:hAnsi="宋体"/>
                <w:sz w:val="21"/>
                <w:szCs w:val="21"/>
              </w:rPr>
            </w:pPr>
            <w:r>
              <w:rPr>
                <w:rFonts w:hint="eastAsia" w:ascii="宋体" w:hAnsi="宋体"/>
                <w:sz w:val="21"/>
                <w:szCs w:val="21"/>
              </w:rPr>
              <w:t xml:space="preserve">支持pbft共识算法，支持拜占庭容错； </w:t>
            </w:r>
          </w:p>
          <w:p>
            <w:pPr>
              <w:pStyle w:val="256"/>
              <w:rPr>
                <w:rFonts w:hint="eastAsia" w:ascii="宋体" w:hAnsi="宋体"/>
                <w:sz w:val="21"/>
                <w:szCs w:val="21"/>
              </w:rPr>
            </w:pPr>
            <w:r>
              <w:rPr>
                <w:rFonts w:hint="eastAsia" w:ascii="宋体" w:hAnsi="宋体"/>
                <w:sz w:val="21"/>
                <w:szCs w:val="21"/>
              </w:rPr>
              <w:t>支持数据碎片化存储，将碎片化的文件分布式存储在多个节点；</w:t>
            </w:r>
          </w:p>
          <w:p>
            <w:pPr>
              <w:pStyle w:val="256"/>
              <w:rPr>
                <w:rFonts w:hint="eastAsia" w:ascii="宋体" w:hAnsi="宋体"/>
                <w:sz w:val="21"/>
                <w:szCs w:val="21"/>
              </w:rPr>
            </w:pPr>
            <w:r>
              <w:rPr>
                <w:rFonts w:hint="eastAsia" w:ascii="宋体" w:hAnsi="宋体"/>
                <w:sz w:val="21"/>
                <w:szCs w:val="21"/>
              </w:rPr>
              <w:t>支持半数存储节点下线的情况下，系统的正常运行与数据的读写；</w:t>
            </w:r>
          </w:p>
          <w:p>
            <w:pPr>
              <w:pStyle w:val="256"/>
              <w:rPr>
                <w:rFonts w:hint="eastAsia" w:ascii="宋体" w:hAnsi="宋体"/>
                <w:sz w:val="21"/>
                <w:szCs w:val="21"/>
              </w:rPr>
            </w:pPr>
            <w:r>
              <w:rPr>
                <w:rFonts w:hint="eastAsia" w:ascii="宋体" w:hAnsi="宋体"/>
                <w:sz w:val="21"/>
                <w:szCs w:val="21"/>
              </w:rPr>
              <w:t>支持区块链系统及存储容量的动态扩容；</w:t>
            </w:r>
          </w:p>
          <w:p>
            <w:pPr>
              <w:pStyle w:val="256"/>
              <w:rPr>
                <w:rFonts w:hint="eastAsia" w:ascii="宋体" w:hAnsi="宋体"/>
                <w:sz w:val="21"/>
                <w:szCs w:val="21"/>
              </w:rPr>
            </w:pPr>
            <w:r>
              <w:rPr>
                <w:rFonts w:hint="eastAsia" w:ascii="宋体" w:hAnsi="宋体"/>
                <w:sz w:val="21"/>
                <w:szCs w:val="21"/>
              </w:rPr>
              <w:t>支持chord网络层架构，支持端对端的数据传输与通讯；</w:t>
            </w:r>
          </w:p>
          <w:p>
            <w:pPr>
              <w:pStyle w:val="256"/>
              <w:rPr>
                <w:rFonts w:hint="eastAsia" w:ascii="宋体" w:hAnsi="宋体"/>
                <w:sz w:val="21"/>
                <w:szCs w:val="21"/>
              </w:rPr>
            </w:pPr>
            <w:r>
              <w:rPr>
                <w:rFonts w:hint="eastAsia" w:ascii="宋体" w:hAnsi="宋体"/>
                <w:sz w:val="21"/>
                <w:szCs w:val="21"/>
              </w:rPr>
              <w:t>支持本区块链系统和数据与其他区块链或非区块链系统的集成。</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数据安全性</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支持国际主流加密算法：签名算法ECDSA/ ED25519/RSA，摘要算法SHA256/SHA384，分组对称加密算法3DES/AES128/AES256；</w:t>
            </w:r>
          </w:p>
          <w:p>
            <w:pPr>
              <w:pStyle w:val="256"/>
              <w:rPr>
                <w:rFonts w:hint="eastAsia" w:ascii="宋体" w:hAnsi="宋体"/>
                <w:sz w:val="21"/>
                <w:szCs w:val="21"/>
              </w:rPr>
            </w:pPr>
            <w:r>
              <w:rPr>
                <w:rFonts w:hint="eastAsia" w:ascii="宋体" w:hAnsi="宋体"/>
                <w:sz w:val="21"/>
                <w:szCs w:val="21"/>
              </w:rPr>
              <w:t>支持MLLP（v1，v2），TCP/IP，HTTP，DICOM等标准化通讯协议，支持DICOM，HL7 v2，HL7 v3等通用医疗数据格式；</w:t>
            </w:r>
          </w:p>
          <w:p>
            <w:pPr>
              <w:pStyle w:val="256"/>
              <w:rPr>
                <w:rFonts w:hint="eastAsia" w:ascii="宋体" w:hAnsi="宋体"/>
                <w:sz w:val="21"/>
                <w:szCs w:val="21"/>
              </w:rPr>
            </w:pPr>
            <w:r>
              <w:rPr>
                <w:rFonts w:hint="eastAsia" w:ascii="宋体" w:hAnsi="宋体"/>
                <w:sz w:val="21"/>
                <w:szCs w:val="21"/>
              </w:rPr>
              <w:t>支持Erasure Coding，将原始数据碎片化处理；</w:t>
            </w:r>
          </w:p>
          <w:p>
            <w:pPr>
              <w:pStyle w:val="256"/>
              <w:rPr>
                <w:rFonts w:hint="eastAsia" w:ascii="宋体" w:hAnsi="宋体"/>
                <w:sz w:val="21"/>
                <w:szCs w:val="21"/>
              </w:rPr>
            </w:pPr>
            <w:r>
              <w:rPr>
                <w:rFonts w:hint="eastAsia" w:ascii="宋体" w:hAnsi="宋体"/>
                <w:sz w:val="21"/>
                <w:szCs w:val="21"/>
              </w:rPr>
              <w:t>支持curve25519、XSalsa20、Poly1305等加密算法，实现端到端加密的数据传输；</w:t>
            </w:r>
          </w:p>
          <w:p>
            <w:pPr>
              <w:pStyle w:val="256"/>
              <w:rPr>
                <w:rFonts w:hint="eastAsia" w:ascii="宋体" w:hAnsi="宋体"/>
                <w:sz w:val="21"/>
                <w:szCs w:val="21"/>
              </w:rPr>
            </w:pPr>
            <w:r>
              <w:rPr>
                <w:rFonts w:hint="eastAsia" w:ascii="宋体" w:hAnsi="宋体"/>
                <w:sz w:val="21"/>
                <w:szCs w:val="21"/>
              </w:rPr>
              <w:t>支持对于dos，ddos等ad hoc网络环境下的攻击方式的防护；</w:t>
            </w:r>
          </w:p>
          <w:p>
            <w:pPr>
              <w:pStyle w:val="256"/>
              <w:rPr>
                <w:rFonts w:hint="eastAsia" w:ascii="宋体" w:hAnsi="宋体"/>
                <w:sz w:val="21"/>
                <w:szCs w:val="21"/>
              </w:rPr>
            </w:pPr>
            <w:r>
              <w:rPr>
                <w:rFonts w:hint="eastAsia" w:ascii="宋体" w:hAnsi="宋体"/>
                <w:sz w:val="21"/>
                <w:szCs w:val="21"/>
              </w:rPr>
              <w:t>支持区块链底层API权限控制，只有授权用户才能够调用特定的API；</w:t>
            </w:r>
          </w:p>
          <w:p>
            <w:pPr>
              <w:pStyle w:val="256"/>
              <w:rPr>
                <w:rFonts w:hint="eastAsia" w:ascii="宋体" w:hAnsi="宋体"/>
                <w:sz w:val="21"/>
                <w:szCs w:val="21"/>
              </w:rPr>
            </w:pPr>
            <w:r>
              <w:rPr>
                <w:rFonts w:hint="eastAsia" w:ascii="宋体" w:hAnsi="宋体"/>
                <w:sz w:val="21"/>
                <w:szCs w:val="21"/>
              </w:rPr>
              <w:t>支持数据层面的安全防护与权限管理，即安全管理与权限验证都直接作用于数据，而不是作用于数据库；</w:t>
            </w:r>
          </w:p>
          <w:p>
            <w:pPr>
              <w:pStyle w:val="256"/>
              <w:rPr>
                <w:rFonts w:hint="eastAsia" w:ascii="宋体" w:hAnsi="宋体"/>
                <w:sz w:val="21"/>
                <w:szCs w:val="21"/>
              </w:rPr>
            </w:pPr>
            <w:r>
              <w:rPr>
                <w:rFonts w:hint="eastAsia" w:ascii="宋体" w:hAnsi="宋体"/>
                <w:sz w:val="21"/>
                <w:szCs w:val="21"/>
              </w:rPr>
              <w:t>系统采取冗余、定期备份或做数据容灾备份等措施来保证数据的安全。</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▲软件版本</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中标方三天内免费提供四节点硬件设备或软件版本用于应用软件测试，软件版本安装在四台服务器上，构建与硬件版本相同的平台和功能特性。不少于30TB的容量。</w:t>
            </w:r>
          </w:p>
        </w:tc>
      </w:tr>
      <w:tr>
        <w:tblPrEx>
          <w:tblCellMar>
            <w:top w:w="0" w:type="dxa"/>
            <w:left w:w="108" w:type="dxa"/>
            <w:bottom w:w="0" w:type="dxa"/>
            <w:right w:w="108" w:type="dxa"/>
          </w:tblCellMar>
        </w:tblPrEx>
        <w:trPr>
          <w:trHeight w:val="570" w:hRule="atLeast"/>
        </w:trPr>
        <w:tc>
          <w:tcPr>
            <w:tcW w:w="1305"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626"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39" w:name="_Toc104743864"/>
      <w:r>
        <w:rPr>
          <w:rFonts w:hint="eastAsia" w:ascii="宋体" w:hAnsi="宋体" w:cs="仿宋_GB2312"/>
          <w:sz w:val="21"/>
          <w:szCs w:val="21"/>
        </w:rPr>
        <w:t>8 核心交换机</w:t>
      </w:r>
      <w:bookmarkEnd w:id="39"/>
    </w:p>
    <w:p>
      <w:pPr>
        <w:rPr>
          <w:rFonts w:hint="eastAsia" w:ascii="宋体" w:hAnsi="宋体" w:cs="仿宋_GB2312"/>
          <w:szCs w:val="21"/>
        </w:rPr>
      </w:pPr>
    </w:p>
    <w:tbl>
      <w:tblPr>
        <w:tblStyle w:val="64"/>
        <w:tblW w:w="48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vAlign w:val="center"/>
          </w:tcPr>
          <w:p>
            <w:pPr>
              <w:rPr>
                <w:rFonts w:hint="eastAsia" w:ascii="宋体" w:hAnsi="宋体" w:cs="仿宋_GB2312"/>
                <w:szCs w:val="21"/>
              </w:rPr>
            </w:pPr>
            <w:r>
              <w:rPr>
                <w:rFonts w:hint="eastAsia" w:ascii="宋体" w:hAnsi="宋体" w:cs="仿宋_GB2312"/>
                <w:szCs w:val="21"/>
              </w:rPr>
              <w:t>技术指标</w:t>
            </w:r>
          </w:p>
        </w:tc>
        <w:tc>
          <w:tcPr>
            <w:tcW w:w="4286" w:type="pct"/>
            <w:vAlign w:val="center"/>
          </w:tcPr>
          <w:p>
            <w:pPr>
              <w:rPr>
                <w:rFonts w:hint="eastAsia" w:ascii="宋体" w:hAnsi="宋体" w:cs="仿宋_GB2312"/>
                <w:szCs w:val="21"/>
              </w:rPr>
            </w:pPr>
            <w:r>
              <w:rPr>
                <w:rFonts w:hint="eastAsia" w:ascii="宋体" w:hAnsi="宋体" w:cs="仿宋_GB2312"/>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▲产品架构</w:t>
            </w:r>
          </w:p>
        </w:tc>
        <w:tc>
          <w:tcPr>
            <w:tcW w:w="4286" w:type="pct"/>
          </w:tcPr>
          <w:p>
            <w:pPr>
              <w:pStyle w:val="256"/>
              <w:rPr>
                <w:rFonts w:hint="eastAsia" w:ascii="宋体" w:hAnsi="宋体"/>
                <w:sz w:val="21"/>
                <w:szCs w:val="21"/>
              </w:rPr>
            </w:pPr>
            <w:r>
              <w:rPr>
                <w:rFonts w:hint="eastAsia" w:ascii="宋体" w:hAnsi="宋体"/>
                <w:sz w:val="21"/>
                <w:szCs w:val="21"/>
              </w:rPr>
              <w:t>支持正交多级交换架构（CLOS），业务板卡与交换网板采用完全正交设计，跨线卡业务流量通过正交连接器直接上交换网板，背板走线为零，极大规避信号衰减，具备平滑演进能力，提供官网证明和实物正反面图片，指明槽位物理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★性能指标</w:t>
            </w:r>
          </w:p>
        </w:tc>
        <w:tc>
          <w:tcPr>
            <w:tcW w:w="4286" w:type="pct"/>
          </w:tcPr>
          <w:p>
            <w:pPr>
              <w:pStyle w:val="256"/>
              <w:rPr>
                <w:rFonts w:hint="eastAsia" w:ascii="宋体" w:hAnsi="宋体"/>
                <w:sz w:val="21"/>
                <w:szCs w:val="21"/>
              </w:rPr>
            </w:pPr>
            <w:r>
              <w:rPr>
                <w:rFonts w:hint="eastAsia" w:ascii="宋体" w:hAnsi="宋体"/>
                <w:sz w:val="21"/>
                <w:szCs w:val="21"/>
              </w:rPr>
              <w:t>交换容量≥500Tbps，包转发率≥96000Mpps，提供官网截图及链接证明，如存在双参数，以较小值为准，业务插槽数≥8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14" w:type="pct"/>
          </w:tcPr>
          <w:p>
            <w:pPr>
              <w:rPr>
                <w:rFonts w:hint="eastAsia" w:ascii="宋体" w:hAnsi="宋体" w:cs="仿宋_GB2312"/>
                <w:szCs w:val="21"/>
              </w:rPr>
            </w:pPr>
            <w:r>
              <w:rPr>
                <w:rFonts w:hint="eastAsia" w:ascii="宋体" w:hAnsi="宋体" w:cs="仿宋_GB2312"/>
                <w:szCs w:val="21"/>
              </w:rPr>
              <w:t>主控冗余</w:t>
            </w:r>
          </w:p>
        </w:tc>
        <w:tc>
          <w:tcPr>
            <w:tcW w:w="4286" w:type="pct"/>
          </w:tcPr>
          <w:p>
            <w:pPr>
              <w:pStyle w:val="256"/>
              <w:rPr>
                <w:rFonts w:hint="eastAsia" w:ascii="宋体" w:hAnsi="宋体"/>
                <w:sz w:val="21"/>
                <w:szCs w:val="21"/>
              </w:rPr>
            </w:pPr>
            <w:r>
              <w:rPr>
                <w:rFonts w:hint="eastAsia" w:ascii="宋体" w:hAnsi="宋体"/>
                <w:sz w:val="21"/>
                <w:szCs w:val="21"/>
              </w:rPr>
              <w:t>主控引擎模块≥2，满足1+1冗余，主控槽位为全尺寸设计，与业务卡槽位宽度相同的全宽槽位，提供更好的扩展性和可靠性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14" w:type="pct"/>
          </w:tcPr>
          <w:p>
            <w:pPr>
              <w:rPr>
                <w:rFonts w:hint="eastAsia" w:ascii="宋体" w:hAnsi="宋体" w:cs="仿宋_GB2312"/>
                <w:szCs w:val="21"/>
              </w:rPr>
            </w:pPr>
            <w:r>
              <w:rPr>
                <w:rFonts w:hint="eastAsia" w:ascii="宋体" w:hAnsi="宋体" w:cs="仿宋_GB2312"/>
                <w:szCs w:val="21"/>
              </w:rPr>
              <w:t>★接口要求</w:t>
            </w:r>
          </w:p>
        </w:tc>
        <w:tc>
          <w:tcPr>
            <w:tcW w:w="4286" w:type="pct"/>
          </w:tcPr>
          <w:p>
            <w:pPr>
              <w:pStyle w:val="256"/>
              <w:rPr>
                <w:rFonts w:hint="eastAsia" w:ascii="宋体" w:hAnsi="宋体"/>
                <w:sz w:val="21"/>
                <w:szCs w:val="21"/>
              </w:rPr>
            </w:pPr>
            <w:r>
              <w:rPr>
                <w:rFonts w:hint="eastAsia" w:ascii="宋体" w:hAnsi="宋体"/>
                <w:sz w:val="21"/>
                <w:szCs w:val="21"/>
              </w:rPr>
              <w:t>以太网支持千兆电口、千兆光口、万兆光口、万兆电口、25G端口、40G端口、100G端口，提供官网链接和截图证明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14" w:type="pct"/>
          </w:tcPr>
          <w:p>
            <w:pPr>
              <w:rPr>
                <w:rFonts w:hint="eastAsia" w:ascii="宋体" w:hAnsi="宋体" w:cs="仿宋_GB2312"/>
                <w:szCs w:val="21"/>
              </w:rPr>
            </w:pPr>
            <w:r>
              <w:rPr>
                <w:rFonts w:hint="eastAsia" w:ascii="宋体" w:hAnsi="宋体" w:cs="仿宋_GB2312"/>
                <w:szCs w:val="21"/>
              </w:rPr>
              <w:t>接口密度</w:t>
            </w:r>
          </w:p>
        </w:tc>
        <w:tc>
          <w:tcPr>
            <w:tcW w:w="4286" w:type="pct"/>
          </w:tcPr>
          <w:p>
            <w:pPr>
              <w:pStyle w:val="256"/>
              <w:rPr>
                <w:rFonts w:hint="eastAsia" w:ascii="宋体" w:hAnsi="宋体"/>
                <w:sz w:val="21"/>
                <w:szCs w:val="21"/>
              </w:rPr>
            </w:pPr>
            <w:r>
              <w:rPr>
                <w:rFonts w:hint="eastAsia" w:ascii="宋体" w:hAnsi="宋体"/>
                <w:sz w:val="21"/>
                <w:szCs w:val="21"/>
              </w:rPr>
              <w:t>单槽位万兆电端口密度≥24</w:t>
            </w:r>
          </w:p>
          <w:p>
            <w:pPr>
              <w:pStyle w:val="256"/>
              <w:rPr>
                <w:rFonts w:hint="eastAsia" w:ascii="宋体" w:hAnsi="宋体"/>
                <w:sz w:val="21"/>
                <w:szCs w:val="21"/>
              </w:rPr>
            </w:pPr>
            <w:r>
              <w:rPr>
                <w:rFonts w:hint="eastAsia" w:ascii="宋体" w:hAnsi="宋体"/>
                <w:sz w:val="21"/>
                <w:szCs w:val="21"/>
              </w:rPr>
              <w:t>单槽位25G端口密度≥48</w:t>
            </w:r>
          </w:p>
          <w:p>
            <w:pPr>
              <w:pStyle w:val="256"/>
              <w:rPr>
                <w:rFonts w:hint="eastAsia" w:ascii="宋体" w:hAnsi="宋体"/>
                <w:sz w:val="21"/>
                <w:szCs w:val="21"/>
              </w:rPr>
            </w:pPr>
            <w:r>
              <w:rPr>
                <w:rFonts w:hint="eastAsia" w:ascii="宋体" w:hAnsi="宋体"/>
                <w:sz w:val="21"/>
                <w:szCs w:val="21"/>
              </w:rPr>
              <w:t>单槽位40G端口密度≥32</w:t>
            </w:r>
          </w:p>
          <w:p>
            <w:pPr>
              <w:pStyle w:val="256"/>
              <w:rPr>
                <w:rFonts w:hint="eastAsia" w:ascii="宋体" w:hAnsi="宋体"/>
                <w:sz w:val="21"/>
                <w:szCs w:val="21"/>
              </w:rPr>
            </w:pPr>
            <w:r>
              <w:rPr>
                <w:rFonts w:hint="eastAsia" w:ascii="宋体" w:hAnsi="宋体"/>
                <w:sz w:val="21"/>
                <w:szCs w:val="21"/>
              </w:rPr>
              <w:t>单槽位100G端口密度≥32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714" w:type="pct"/>
          </w:tcPr>
          <w:p>
            <w:pPr>
              <w:rPr>
                <w:rFonts w:hint="eastAsia" w:ascii="宋体" w:hAnsi="宋体" w:cs="仿宋_GB2312"/>
                <w:szCs w:val="21"/>
              </w:rPr>
            </w:pPr>
            <w:r>
              <w:rPr>
                <w:rFonts w:hint="eastAsia" w:ascii="宋体" w:hAnsi="宋体" w:cs="仿宋_GB2312"/>
                <w:szCs w:val="21"/>
              </w:rPr>
              <w:t>▲网络安全一体化</w:t>
            </w:r>
          </w:p>
        </w:tc>
        <w:tc>
          <w:tcPr>
            <w:tcW w:w="4286" w:type="pct"/>
          </w:tcPr>
          <w:p>
            <w:pPr>
              <w:pStyle w:val="256"/>
              <w:rPr>
                <w:rFonts w:hint="eastAsia" w:ascii="宋体" w:hAnsi="宋体"/>
                <w:sz w:val="21"/>
                <w:szCs w:val="21"/>
              </w:rPr>
            </w:pPr>
            <w:r>
              <w:rPr>
                <w:rFonts w:hint="eastAsia" w:ascii="宋体" w:hAnsi="宋体"/>
                <w:sz w:val="21"/>
                <w:szCs w:val="21"/>
              </w:rPr>
              <w:t>支持安全业务插卡，支持FW、IPS、ACG、LB、SSL VPN等功能，以满足后续控制、管理的要求，提供官网链接和截图证明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4" w:type="pct"/>
          </w:tcPr>
          <w:p>
            <w:pPr>
              <w:rPr>
                <w:rFonts w:hint="eastAsia" w:ascii="宋体" w:hAnsi="宋体" w:cs="仿宋_GB2312"/>
                <w:szCs w:val="21"/>
              </w:rPr>
            </w:pPr>
            <w:r>
              <w:rPr>
                <w:rFonts w:hint="eastAsia" w:ascii="宋体" w:hAnsi="宋体" w:cs="仿宋_GB2312"/>
                <w:szCs w:val="21"/>
              </w:rPr>
              <w:t>电源冗余</w:t>
            </w:r>
          </w:p>
        </w:tc>
        <w:tc>
          <w:tcPr>
            <w:tcW w:w="4286" w:type="pct"/>
          </w:tcPr>
          <w:p>
            <w:pPr>
              <w:pStyle w:val="256"/>
              <w:rPr>
                <w:rFonts w:hint="eastAsia" w:ascii="宋体" w:hAnsi="宋体"/>
                <w:sz w:val="21"/>
                <w:szCs w:val="21"/>
              </w:rPr>
            </w:pPr>
            <w:r>
              <w:rPr>
                <w:rFonts w:hint="eastAsia" w:ascii="宋体" w:hAnsi="宋体"/>
                <w:sz w:val="21"/>
                <w:szCs w:val="21"/>
              </w:rPr>
              <w:t>电源模块冗余，倒换时间0ms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tcPr>
          <w:p>
            <w:pPr>
              <w:rPr>
                <w:rFonts w:hint="eastAsia" w:ascii="宋体" w:hAnsi="宋体" w:cs="仿宋_GB2312"/>
                <w:szCs w:val="21"/>
              </w:rPr>
            </w:pPr>
            <w:r>
              <w:rPr>
                <w:rFonts w:hint="eastAsia" w:ascii="宋体" w:hAnsi="宋体" w:cs="仿宋_GB2312"/>
                <w:szCs w:val="21"/>
              </w:rPr>
              <w:t>关键部件热插拔</w:t>
            </w:r>
          </w:p>
        </w:tc>
        <w:tc>
          <w:tcPr>
            <w:tcW w:w="4286" w:type="pct"/>
          </w:tcPr>
          <w:p>
            <w:pPr>
              <w:pStyle w:val="256"/>
              <w:rPr>
                <w:rFonts w:hint="eastAsia" w:ascii="宋体" w:hAnsi="宋体"/>
                <w:sz w:val="21"/>
                <w:szCs w:val="21"/>
              </w:rPr>
            </w:pPr>
            <w:r>
              <w:rPr>
                <w:rFonts w:hint="eastAsia" w:ascii="宋体" w:hAnsi="宋体"/>
                <w:sz w:val="21"/>
                <w:szCs w:val="21"/>
              </w:rPr>
              <w:t>主控交换卡、电源、接口模块、网板等关键部件可热插拔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vMerge w:val="restart"/>
            <w:tcBorders>
              <w:top w:val="single" w:color="auto" w:sz="4" w:space="0"/>
              <w:left w:val="single" w:color="auto" w:sz="4" w:space="0"/>
              <w:right w:val="single" w:color="auto" w:sz="4" w:space="0"/>
            </w:tcBorders>
          </w:tcPr>
          <w:p>
            <w:pPr>
              <w:rPr>
                <w:rFonts w:hint="eastAsia" w:ascii="宋体" w:hAnsi="宋体" w:cs="仿宋_GB2312"/>
                <w:szCs w:val="21"/>
              </w:rPr>
            </w:pPr>
            <w:r>
              <w:rPr>
                <w:rFonts w:hint="eastAsia" w:ascii="宋体" w:hAnsi="宋体" w:cs="仿宋_GB2312"/>
                <w:szCs w:val="21"/>
              </w:rPr>
              <w:t>融合</w:t>
            </w:r>
          </w:p>
        </w:tc>
        <w:tc>
          <w:tcPr>
            <w:tcW w:w="4286" w:type="pct"/>
            <w:tcBorders>
              <w:top w:val="single" w:color="auto" w:sz="4" w:space="0"/>
              <w:left w:val="single" w:color="auto" w:sz="4" w:space="0"/>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支持融合 AC 功能：无需额外配置单独硬件，并能在交换机上对所有上线的AP进行管理与配置，提供工信部权威第三方测试报告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vMerge w:val="continue"/>
            <w:tcBorders>
              <w:left w:val="single" w:color="auto" w:sz="4" w:space="0"/>
              <w:bottom w:val="single" w:color="auto" w:sz="4" w:space="0"/>
              <w:right w:val="single" w:color="auto" w:sz="4" w:space="0"/>
            </w:tcBorders>
          </w:tcPr>
          <w:p>
            <w:pPr>
              <w:rPr>
                <w:rFonts w:hint="eastAsia" w:ascii="宋体" w:hAnsi="宋体" w:cs="仿宋_GB2312"/>
                <w:szCs w:val="21"/>
              </w:rPr>
            </w:pPr>
          </w:p>
        </w:tc>
        <w:tc>
          <w:tcPr>
            <w:tcW w:w="4286" w:type="pct"/>
            <w:tcBorders>
              <w:top w:val="single" w:color="auto" w:sz="4" w:space="0"/>
              <w:left w:val="single" w:color="auto" w:sz="4" w:space="0"/>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内置智能图形化管理功能：支持通过图形化界面对设备配置及命令一键下发和版本智能升级，提供工信部权威第三方测试报告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tcPr>
          <w:p>
            <w:pPr>
              <w:rPr>
                <w:rFonts w:hint="eastAsia" w:ascii="宋体" w:hAnsi="宋体" w:cs="仿宋_GB2312"/>
                <w:szCs w:val="21"/>
              </w:rPr>
            </w:pPr>
            <w:r>
              <w:rPr>
                <w:rFonts w:hint="eastAsia" w:ascii="宋体" w:hAnsi="宋体" w:cs="仿宋_GB2312"/>
                <w:szCs w:val="21"/>
              </w:rPr>
              <w:t>▲虚拟化</w:t>
            </w:r>
          </w:p>
        </w:tc>
        <w:tc>
          <w:tcPr>
            <w:tcW w:w="4286" w:type="pct"/>
          </w:tcPr>
          <w:p>
            <w:pPr>
              <w:pStyle w:val="256"/>
              <w:rPr>
                <w:rFonts w:hint="eastAsia" w:ascii="宋体" w:hAnsi="宋体"/>
                <w:sz w:val="21"/>
                <w:szCs w:val="21"/>
              </w:rPr>
            </w:pPr>
            <w:r>
              <w:rPr>
                <w:rFonts w:hint="eastAsia" w:ascii="宋体" w:hAnsi="宋体"/>
                <w:sz w:val="21"/>
                <w:szCs w:val="21"/>
              </w:rPr>
              <w:t>支持多虚一技术，一虚多（1：N）的技术，支持4框虚拟化技术, 提供工信部权威第三方测试报告</w:t>
            </w:r>
          </w:p>
          <w:p>
            <w:pPr>
              <w:pStyle w:val="256"/>
              <w:rPr>
                <w:rFonts w:hint="eastAsia" w:ascii="宋体" w:hAnsi="宋体"/>
                <w:sz w:val="21"/>
                <w:szCs w:val="21"/>
              </w:rPr>
            </w:pPr>
            <w:r>
              <w:rPr>
                <w:rFonts w:hint="eastAsia" w:ascii="宋体" w:hAnsi="宋体"/>
                <w:bCs/>
                <w:sz w:val="21"/>
                <w:szCs w:val="21"/>
              </w:rPr>
              <w:t>为保障业主方现有应用系统业务连续性，投标设备需要和现有两台核心交换机融合后虚拟为一台，分布到两个数据中心。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4" w:type="pct"/>
            <w:vMerge w:val="restart"/>
          </w:tcPr>
          <w:p>
            <w:pPr>
              <w:rPr>
                <w:rFonts w:hint="eastAsia" w:ascii="宋体" w:hAnsi="宋体" w:cs="仿宋_GB2312"/>
                <w:szCs w:val="21"/>
              </w:rPr>
            </w:pPr>
            <w:r>
              <w:rPr>
                <w:rFonts w:hint="eastAsia" w:ascii="宋体" w:hAnsi="宋体" w:cs="仿宋_GB2312"/>
                <w:szCs w:val="21"/>
              </w:rPr>
              <w:t>可靠性</w:t>
            </w:r>
          </w:p>
        </w:tc>
        <w:tc>
          <w:tcPr>
            <w:tcW w:w="4286" w:type="pct"/>
          </w:tcPr>
          <w:p>
            <w:pPr>
              <w:pStyle w:val="256"/>
              <w:rPr>
                <w:rFonts w:hint="eastAsia" w:ascii="宋体" w:hAnsi="宋体"/>
                <w:sz w:val="21"/>
                <w:szCs w:val="21"/>
              </w:rPr>
            </w:pPr>
            <w:r>
              <w:rPr>
                <w:rFonts w:hint="eastAsia" w:ascii="宋体" w:hAnsi="宋体"/>
                <w:sz w:val="21"/>
                <w:szCs w:val="21"/>
              </w:rPr>
              <w:t xml:space="preserve">支持主控板冗余，倒换时间为0ms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14" w:type="pct"/>
            <w:vMerge w:val="continue"/>
          </w:tcPr>
          <w:p>
            <w:pPr>
              <w:rPr>
                <w:rFonts w:hint="eastAsia" w:ascii="宋体" w:hAnsi="宋体" w:cs="仿宋_GB2312"/>
                <w:szCs w:val="21"/>
              </w:rPr>
            </w:pPr>
          </w:p>
        </w:tc>
        <w:tc>
          <w:tcPr>
            <w:tcW w:w="4286" w:type="pct"/>
          </w:tcPr>
          <w:p>
            <w:pPr>
              <w:pStyle w:val="256"/>
              <w:rPr>
                <w:rFonts w:hint="eastAsia" w:ascii="宋体" w:hAnsi="宋体"/>
                <w:sz w:val="21"/>
                <w:szCs w:val="21"/>
              </w:rPr>
            </w:pPr>
            <w:r>
              <w:rPr>
                <w:rFonts w:hint="eastAsia" w:ascii="宋体" w:hAnsi="宋体"/>
                <w:sz w:val="21"/>
                <w:szCs w:val="21"/>
              </w:rPr>
              <w:t>支持BFD，BFD for VRRP/BGP/IS-IS/OSPF/RSVP/LDP/RIP/静态路由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IPv6</w:t>
            </w:r>
          </w:p>
        </w:tc>
        <w:tc>
          <w:tcPr>
            <w:tcW w:w="4286" w:type="pct"/>
          </w:tcPr>
          <w:p>
            <w:pPr>
              <w:pStyle w:val="256"/>
              <w:rPr>
                <w:rFonts w:hint="eastAsia" w:ascii="宋体" w:hAnsi="宋体"/>
                <w:color w:val="auto"/>
                <w:kern w:val="2"/>
                <w:sz w:val="21"/>
                <w:szCs w:val="21"/>
              </w:rPr>
            </w:pPr>
            <w:r>
              <w:rPr>
                <w:rFonts w:hint="eastAsia" w:ascii="宋体" w:hAnsi="宋体"/>
                <w:color w:val="auto"/>
                <w:kern w:val="2"/>
                <w:sz w:val="21"/>
                <w:szCs w:val="21"/>
              </w:rPr>
              <w:t>支持RIPng、OSPFv3、BGP4+、IS-ISv6协议</w:t>
            </w:r>
          </w:p>
          <w:p>
            <w:pPr>
              <w:pStyle w:val="256"/>
              <w:rPr>
                <w:rFonts w:hint="eastAsia" w:ascii="宋体" w:hAnsi="宋体"/>
                <w:color w:val="auto"/>
                <w:kern w:val="2"/>
                <w:sz w:val="21"/>
                <w:szCs w:val="21"/>
              </w:rPr>
            </w:pPr>
            <w:r>
              <w:rPr>
                <w:rFonts w:hint="eastAsia" w:ascii="宋体" w:hAnsi="宋体"/>
                <w:color w:val="auto"/>
                <w:kern w:val="2"/>
                <w:sz w:val="21"/>
                <w:szCs w:val="21"/>
              </w:rPr>
              <w:t>支持IPv6策略路</w:t>
            </w:r>
          </w:p>
          <w:p>
            <w:pPr>
              <w:pStyle w:val="256"/>
              <w:rPr>
                <w:rFonts w:hint="eastAsia" w:ascii="宋体" w:hAnsi="宋体"/>
                <w:color w:val="auto"/>
                <w:kern w:val="2"/>
                <w:sz w:val="21"/>
                <w:szCs w:val="21"/>
              </w:rPr>
            </w:pPr>
            <w:r>
              <w:rPr>
                <w:rFonts w:hint="eastAsia" w:ascii="宋体" w:hAnsi="宋体"/>
                <w:color w:val="auto"/>
                <w:kern w:val="2"/>
                <w:sz w:val="21"/>
                <w:szCs w:val="21"/>
              </w:rPr>
              <w:t>支持DHCPv6功能、IPv6 portal功能、IPv6管理功能</w:t>
            </w:r>
          </w:p>
          <w:p>
            <w:pPr>
              <w:pStyle w:val="256"/>
              <w:rPr>
                <w:rFonts w:hint="eastAsia" w:ascii="宋体" w:hAnsi="宋体"/>
                <w:sz w:val="21"/>
                <w:szCs w:val="21"/>
              </w:rPr>
            </w:pPr>
            <w:r>
              <w:rPr>
                <w:rFonts w:hint="eastAsia" w:ascii="宋体" w:hAnsi="宋体"/>
                <w:sz w:val="21"/>
                <w:szCs w:val="21"/>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MPLS</w:t>
            </w:r>
          </w:p>
        </w:tc>
        <w:tc>
          <w:tcPr>
            <w:tcW w:w="4286" w:type="pct"/>
          </w:tcPr>
          <w:p>
            <w:pPr>
              <w:pStyle w:val="256"/>
              <w:rPr>
                <w:rFonts w:hint="eastAsia" w:ascii="宋体" w:hAnsi="宋体"/>
                <w:color w:val="auto"/>
                <w:kern w:val="2"/>
                <w:sz w:val="21"/>
                <w:szCs w:val="21"/>
              </w:rPr>
            </w:pPr>
            <w:r>
              <w:rPr>
                <w:rFonts w:hint="eastAsia" w:ascii="宋体" w:hAnsi="宋体"/>
                <w:color w:val="auto"/>
                <w:kern w:val="2"/>
                <w:sz w:val="21"/>
                <w:szCs w:val="21"/>
              </w:rPr>
              <w:t>支持MPLS Segment Routing 功能, 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vAlign w:val="center"/>
          </w:tcPr>
          <w:p>
            <w:pPr>
              <w:rPr>
                <w:rFonts w:hint="eastAsia" w:ascii="宋体" w:hAnsi="宋体" w:cs="仿宋_GB2312"/>
                <w:szCs w:val="21"/>
              </w:rPr>
            </w:pPr>
            <w:r>
              <w:rPr>
                <w:rFonts w:hint="eastAsia" w:ascii="宋体" w:hAnsi="宋体" w:cs="仿宋_GB2312"/>
                <w:szCs w:val="21"/>
              </w:rPr>
              <w:t>▲智能网管功能</w:t>
            </w:r>
          </w:p>
        </w:tc>
        <w:tc>
          <w:tcPr>
            <w:tcW w:w="4286" w:type="pct"/>
            <w:vAlign w:val="center"/>
          </w:tcPr>
          <w:p>
            <w:pPr>
              <w:pStyle w:val="256"/>
              <w:rPr>
                <w:rFonts w:hint="eastAsia" w:ascii="宋体" w:hAnsi="宋体"/>
                <w:sz w:val="21"/>
                <w:szCs w:val="21"/>
              </w:rPr>
            </w:pPr>
            <w:r>
              <w:rPr>
                <w:rFonts w:hint="eastAsia" w:ascii="宋体" w:hAnsi="宋体"/>
                <w:sz w:val="21"/>
                <w:szCs w:val="21"/>
              </w:rPr>
              <w:t>内置智能管理功能，支持通过图形化界面设备配置及命令一键下发和版本智能升级，提供权威机构的第三方测试报告证明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成熟度</w:t>
            </w:r>
          </w:p>
        </w:tc>
        <w:tc>
          <w:tcPr>
            <w:tcW w:w="4286" w:type="pct"/>
          </w:tcPr>
          <w:p>
            <w:pPr>
              <w:pStyle w:val="256"/>
              <w:rPr>
                <w:rFonts w:hint="eastAsia" w:ascii="宋体" w:hAnsi="宋体"/>
                <w:sz w:val="21"/>
                <w:szCs w:val="21"/>
              </w:rPr>
            </w:pPr>
            <w:r>
              <w:rPr>
                <w:rFonts w:hint="eastAsia" w:ascii="宋体" w:hAnsi="宋体"/>
                <w:sz w:val="21"/>
                <w:szCs w:val="21"/>
              </w:rPr>
              <w:t>提供工信部入网证，且入网时间大于三年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tcPr>
          <w:p>
            <w:pPr>
              <w:rPr>
                <w:rFonts w:hint="eastAsia" w:ascii="宋体" w:hAnsi="宋体" w:cs="仿宋_GB2312"/>
                <w:szCs w:val="21"/>
              </w:rPr>
            </w:pPr>
            <w:r>
              <w:rPr>
                <w:rFonts w:hint="eastAsia" w:ascii="宋体" w:hAnsi="宋体" w:cs="仿宋_GB2312"/>
                <w:szCs w:val="21"/>
              </w:rPr>
              <w:t>配置要求</w:t>
            </w:r>
          </w:p>
        </w:tc>
        <w:tc>
          <w:tcPr>
            <w:tcW w:w="4286" w:type="pct"/>
          </w:tcPr>
          <w:p>
            <w:pPr>
              <w:pStyle w:val="256"/>
              <w:rPr>
                <w:rFonts w:hint="eastAsia" w:ascii="宋体" w:hAnsi="宋体"/>
                <w:sz w:val="21"/>
                <w:szCs w:val="21"/>
              </w:rPr>
            </w:pPr>
            <w:r>
              <w:rPr>
                <w:rFonts w:hint="eastAsia" w:ascii="宋体" w:hAnsi="宋体"/>
                <w:sz w:val="21"/>
                <w:szCs w:val="21"/>
              </w:rPr>
              <w:t>本次实配双主控引擎、3块交换网板、48个千兆电口、32个万兆光口、4个40G光口；配置冗余模块化电源、冗余模块化风扇；配置交换机虚拟化功能，配置1条5米40G互联线缆用于堆叠互联；32个万兆光模块、4个40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vAlign w:val="center"/>
          </w:tcPr>
          <w:p>
            <w:pPr>
              <w:rPr>
                <w:rFonts w:hint="eastAsia" w:ascii="宋体" w:hAnsi="宋体" w:cs="仿宋_GB2312"/>
                <w:szCs w:val="21"/>
              </w:rPr>
            </w:pPr>
            <w:r>
              <w:rPr>
                <w:rFonts w:hint="eastAsia" w:ascii="宋体" w:hAnsi="宋体" w:cs="仿宋_GB2312"/>
                <w:szCs w:val="21"/>
              </w:rPr>
              <w:t>产品资质</w:t>
            </w:r>
          </w:p>
        </w:tc>
        <w:tc>
          <w:tcPr>
            <w:tcW w:w="4286" w:type="pct"/>
            <w:vAlign w:val="center"/>
          </w:tcPr>
          <w:p>
            <w:pPr>
              <w:pStyle w:val="256"/>
              <w:rPr>
                <w:rFonts w:hint="eastAsia" w:ascii="宋体" w:hAnsi="宋体"/>
                <w:sz w:val="21"/>
                <w:szCs w:val="21"/>
              </w:rPr>
            </w:pPr>
            <w:r>
              <w:rPr>
                <w:rFonts w:hint="eastAsia" w:ascii="宋体" w:hAnsi="宋体"/>
                <w:sz w:val="21"/>
                <w:szCs w:val="21"/>
              </w:rPr>
              <w:t>提供产品入网许可证及第三方测试报告</w:t>
            </w:r>
          </w:p>
          <w:p>
            <w:pPr>
              <w:pStyle w:val="256"/>
              <w:rPr>
                <w:rFonts w:hint="eastAsia" w:ascii="宋体" w:hAnsi="宋体"/>
                <w:sz w:val="21"/>
                <w:szCs w:val="21"/>
              </w:rPr>
            </w:pPr>
            <w:r>
              <w:rPr>
                <w:rFonts w:hint="eastAsia" w:ascii="宋体" w:hAnsi="宋体"/>
                <w:sz w:val="21"/>
                <w:szCs w:val="21"/>
              </w:rPr>
              <w:t>产品制造厂商应具有健全的环保体系，建立有害物质的检测手段，严格管理产品采购和生产环节，禁止或控制有毒有害物质的使用。通过QC 080000有害物质过程管理体系认证。要求提供证书复印件并加盖产品制造商公章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14" w:type="pct"/>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4286" w:type="pct"/>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0" w:name="_Toc104743865"/>
      <w:r>
        <w:rPr>
          <w:rFonts w:hint="eastAsia" w:ascii="宋体" w:hAnsi="宋体" w:cs="仿宋_GB2312"/>
          <w:sz w:val="21"/>
          <w:szCs w:val="21"/>
        </w:rPr>
        <w:t>9 超融合/分布式存储互联交换机</w:t>
      </w:r>
      <w:bookmarkEnd w:id="40"/>
    </w:p>
    <w:p>
      <w:pPr>
        <w:rPr>
          <w:rFonts w:hint="eastAsia" w:ascii="宋体" w:hAnsi="宋体" w:cs="仿宋_GB2312"/>
          <w:color w:val="000000"/>
          <w:szCs w:val="21"/>
        </w:rPr>
      </w:pPr>
    </w:p>
    <w:tbl>
      <w:tblPr>
        <w:tblStyle w:val="64"/>
        <w:tblW w:w="48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技术指标</w:t>
            </w:r>
          </w:p>
        </w:tc>
        <w:tc>
          <w:tcPr>
            <w:tcW w:w="4087" w:type="pct"/>
            <w:vAlign w:val="center"/>
          </w:tcPr>
          <w:p>
            <w:pPr>
              <w:rPr>
                <w:rFonts w:hint="eastAsia" w:ascii="宋体" w:hAnsi="宋体" w:cs="仿宋_GB2312"/>
                <w:szCs w:val="21"/>
              </w:rPr>
            </w:pPr>
            <w:r>
              <w:rPr>
                <w:rFonts w:hint="eastAsia" w:ascii="宋体" w:hAnsi="宋体" w:cs="仿宋_GB2312"/>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交换容量</w:t>
            </w:r>
          </w:p>
        </w:tc>
        <w:tc>
          <w:tcPr>
            <w:tcW w:w="4087" w:type="pct"/>
            <w:vAlign w:val="center"/>
          </w:tcPr>
          <w:p>
            <w:pPr>
              <w:pStyle w:val="256"/>
              <w:rPr>
                <w:rFonts w:hint="eastAsia" w:ascii="宋体" w:hAnsi="宋体"/>
                <w:sz w:val="21"/>
                <w:szCs w:val="21"/>
              </w:rPr>
            </w:pPr>
            <w:r>
              <w:rPr>
                <w:rFonts w:hint="eastAsia" w:ascii="宋体" w:hAnsi="宋体"/>
                <w:sz w:val="21"/>
                <w:szCs w:val="21"/>
              </w:rPr>
              <w:t>2.56Tbps/23.04Tbps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转发性能</w:t>
            </w:r>
          </w:p>
        </w:tc>
        <w:tc>
          <w:tcPr>
            <w:tcW w:w="4087" w:type="pct"/>
            <w:vAlign w:val="center"/>
          </w:tcPr>
          <w:p>
            <w:pPr>
              <w:pStyle w:val="256"/>
              <w:rPr>
                <w:rFonts w:hint="eastAsia" w:ascii="宋体" w:hAnsi="宋体"/>
                <w:sz w:val="21"/>
                <w:szCs w:val="21"/>
              </w:rPr>
            </w:pPr>
            <w:r>
              <w:rPr>
                <w:rFonts w:hint="eastAsia" w:ascii="宋体" w:hAnsi="宋体"/>
                <w:sz w:val="21"/>
                <w:szCs w:val="21"/>
              </w:rPr>
              <w:t>≥720Mpps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扩展插槽数</w:t>
            </w:r>
          </w:p>
        </w:tc>
        <w:tc>
          <w:tcPr>
            <w:tcW w:w="4087" w:type="pct"/>
            <w:vAlign w:val="center"/>
          </w:tcPr>
          <w:p>
            <w:pPr>
              <w:pStyle w:val="256"/>
              <w:rPr>
                <w:rFonts w:hint="eastAsia" w:ascii="宋体" w:hAnsi="宋体"/>
                <w:sz w:val="21"/>
                <w:szCs w:val="21"/>
              </w:rPr>
            </w:pPr>
            <w:r>
              <w:rPr>
                <w:rFonts w:hint="eastAsia" w:ascii="宋体" w:hAnsi="宋体"/>
                <w:sz w:val="21"/>
                <w:szCs w:val="21"/>
              </w:rPr>
              <w:t>扩展插槽≥2，要求提供官网截图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安全插卡</w:t>
            </w:r>
          </w:p>
        </w:tc>
        <w:tc>
          <w:tcPr>
            <w:tcW w:w="4087" w:type="pct"/>
            <w:vAlign w:val="center"/>
          </w:tcPr>
          <w:p>
            <w:pPr>
              <w:pStyle w:val="256"/>
              <w:rPr>
                <w:rFonts w:hint="eastAsia" w:ascii="宋体" w:hAnsi="宋体"/>
                <w:sz w:val="21"/>
                <w:szCs w:val="21"/>
              </w:rPr>
            </w:pPr>
            <w:r>
              <w:rPr>
                <w:rFonts w:hint="eastAsia" w:ascii="宋体" w:hAnsi="宋体"/>
                <w:sz w:val="21"/>
                <w:szCs w:val="21"/>
              </w:rPr>
              <w:t>要求支持安全插卡，要求提供官网截图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电源</w:t>
            </w:r>
          </w:p>
        </w:tc>
        <w:tc>
          <w:tcPr>
            <w:tcW w:w="4087" w:type="pct"/>
            <w:vAlign w:val="center"/>
          </w:tcPr>
          <w:p>
            <w:pPr>
              <w:pStyle w:val="256"/>
              <w:rPr>
                <w:rFonts w:hint="eastAsia" w:ascii="宋体" w:hAnsi="宋体"/>
                <w:sz w:val="21"/>
                <w:szCs w:val="21"/>
              </w:rPr>
            </w:pPr>
            <w:r>
              <w:rPr>
                <w:rFonts w:hint="eastAsia" w:ascii="宋体" w:hAnsi="宋体"/>
                <w:sz w:val="21"/>
                <w:szCs w:val="21"/>
              </w:rPr>
              <w:t>模块化双电源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风扇</w:t>
            </w:r>
          </w:p>
        </w:tc>
        <w:tc>
          <w:tcPr>
            <w:tcW w:w="4087" w:type="pct"/>
            <w:vAlign w:val="center"/>
          </w:tcPr>
          <w:p>
            <w:pPr>
              <w:pStyle w:val="256"/>
              <w:rPr>
                <w:rFonts w:hint="eastAsia" w:ascii="宋体" w:hAnsi="宋体"/>
                <w:sz w:val="21"/>
                <w:szCs w:val="21"/>
              </w:rPr>
            </w:pPr>
            <w:r>
              <w:rPr>
                <w:rFonts w:hint="eastAsia" w:ascii="宋体" w:hAnsi="宋体"/>
                <w:sz w:val="21"/>
                <w:szCs w:val="21"/>
              </w:rPr>
              <w:t>模块化双风扇，前/后通风，风道可调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★接口形态</w:t>
            </w:r>
          </w:p>
        </w:tc>
        <w:tc>
          <w:tcPr>
            <w:tcW w:w="4087" w:type="pct"/>
            <w:vAlign w:val="center"/>
          </w:tcPr>
          <w:p>
            <w:pPr>
              <w:pStyle w:val="256"/>
              <w:rPr>
                <w:rFonts w:hint="eastAsia" w:ascii="宋体" w:hAnsi="宋体"/>
                <w:sz w:val="21"/>
                <w:szCs w:val="21"/>
              </w:rPr>
            </w:pPr>
            <w:r>
              <w:rPr>
                <w:rFonts w:hint="eastAsia" w:ascii="宋体" w:hAnsi="宋体"/>
                <w:sz w:val="21"/>
                <w:szCs w:val="21"/>
              </w:rPr>
              <w:t>24个10G/1G BASE-X SFP+端口，2个40G QSFP+端口，2个Slot，提供官网截图，24个万兆光模块、2个40G光模块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ERPS</w:t>
            </w:r>
          </w:p>
        </w:tc>
        <w:tc>
          <w:tcPr>
            <w:tcW w:w="4087" w:type="pct"/>
            <w:vAlign w:val="center"/>
          </w:tcPr>
          <w:p>
            <w:pPr>
              <w:pStyle w:val="256"/>
              <w:rPr>
                <w:rFonts w:hint="eastAsia" w:ascii="宋体" w:hAnsi="宋体"/>
                <w:sz w:val="21"/>
                <w:szCs w:val="21"/>
              </w:rPr>
            </w:pPr>
            <w:r>
              <w:rPr>
                <w:rFonts w:hint="eastAsia" w:ascii="宋体" w:hAnsi="宋体"/>
                <w:sz w:val="21"/>
                <w:szCs w:val="21"/>
              </w:rPr>
              <w:t>要求支持ERPS功能，并且收敛时间小于50ms，提供测试报告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CPU保护</w:t>
            </w:r>
          </w:p>
        </w:tc>
        <w:tc>
          <w:tcPr>
            <w:tcW w:w="4087" w:type="pct"/>
            <w:vAlign w:val="center"/>
          </w:tcPr>
          <w:p>
            <w:pPr>
              <w:pStyle w:val="256"/>
              <w:rPr>
                <w:rFonts w:hint="eastAsia" w:ascii="宋体" w:hAnsi="宋体"/>
                <w:sz w:val="21"/>
                <w:szCs w:val="21"/>
              </w:rPr>
            </w:pPr>
            <w:r>
              <w:rPr>
                <w:rFonts w:hint="eastAsia" w:ascii="宋体" w:hAnsi="宋体"/>
                <w:sz w:val="21"/>
                <w:szCs w:val="21"/>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Triple</w:t>
            </w:r>
          </w:p>
        </w:tc>
        <w:tc>
          <w:tcPr>
            <w:tcW w:w="4087" w:type="pct"/>
            <w:vAlign w:val="center"/>
          </w:tcPr>
          <w:p>
            <w:pPr>
              <w:pStyle w:val="256"/>
              <w:rPr>
                <w:rFonts w:hint="eastAsia" w:ascii="宋体" w:hAnsi="宋体"/>
                <w:sz w:val="21"/>
                <w:szCs w:val="21"/>
              </w:rPr>
            </w:pPr>
            <w:r>
              <w:rPr>
                <w:rFonts w:hint="eastAsia" w:ascii="宋体" w:hAnsi="宋体"/>
                <w:sz w:val="21"/>
                <w:szCs w:val="21"/>
              </w:rPr>
              <w:t>要求支持Triple功能，端口同时开启802.1X，MAC认证及Portal功能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SAVI</w:t>
            </w:r>
          </w:p>
        </w:tc>
        <w:tc>
          <w:tcPr>
            <w:tcW w:w="4087" w:type="pct"/>
            <w:vAlign w:val="center"/>
          </w:tcPr>
          <w:p>
            <w:pPr>
              <w:pStyle w:val="256"/>
              <w:rPr>
                <w:rFonts w:hint="eastAsia" w:ascii="宋体" w:hAnsi="宋体"/>
                <w:sz w:val="21"/>
                <w:szCs w:val="21"/>
              </w:rPr>
            </w:pPr>
            <w:r>
              <w:rPr>
                <w:rFonts w:hint="eastAsia" w:ascii="宋体" w:hAnsi="宋体"/>
                <w:sz w:val="21"/>
                <w:szCs w:val="21"/>
              </w:rPr>
              <w:t>要求设备支持SAVI功能，设备在SAVI DHCPv6-only模式下DHCPv6 client只能使用DHCPv6方式获取到的IPv6地址访问网络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云管理</w:t>
            </w:r>
          </w:p>
        </w:tc>
        <w:tc>
          <w:tcPr>
            <w:tcW w:w="4087" w:type="pct"/>
            <w:vAlign w:val="center"/>
          </w:tcPr>
          <w:p>
            <w:pPr>
              <w:pStyle w:val="256"/>
              <w:rPr>
                <w:rFonts w:hint="eastAsia" w:ascii="宋体" w:hAnsi="宋体"/>
                <w:sz w:val="21"/>
                <w:szCs w:val="21"/>
              </w:rPr>
            </w:pPr>
            <w:r>
              <w:rPr>
                <w:rFonts w:hint="eastAsia" w:ascii="宋体" w:hAnsi="宋体"/>
                <w:sz w:val="21"/>
                <w:szCs w:val="21"/>
              </w:rPr>
              <w:t>要求设备能够被公有云平台管理，能通过蓝牙方式登录公有云平台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restart"/>
          </w:tcPr>
          <w:p>
            <w:pPr>
              <w:rPr>
                <w:rFonts w:hint="eastAsia" w:ascii="宋体" w:hAnsi="宋体" w:cs="仿宋_GB2312"/>
                <w:szCs w:val="21"/>
              </w:rPr>
            </w:pPr>
            <w:r>
              <w:rPr>
                <w:rFonts w:hint="eastAsia" w:ascii="宋体" w:hAnsi="宋体" w:cs="仿宋_GB2312"/>
                <w:szCs w:val="21"/>
              </w:rPr>
              <w:t>堆叠</w:t>
            </w:r>
          </w:p>
        </w:tc>
        <w:tc>
          <w:tcPr>
            <w:tcW w:w="4087" w:type="pct"/>
            <w:vAlign w:val="center"/>
          </w:tcPr>
          <w:p>
            <w:pPr>
              <w:pStyle w:val="256"/>
              <w:rPr>
                <w:rFonts w:hint="eastAsia" w:ascii="宋体" w:hAnsi="宋体"/>
                <w:sz w:val="21"/>
                <w:szCs w:val="21"/>
              </w:rPr>
            </w:pPr>
            <w:r>
              <w:rPr>
                <w:rFonts w:hint="eastAsia" w:ascii="宋体" w:hAnsi="宋体"/>
                <w:sz w:val="21"/>
                <w:szCs w:val="21"/>
              </w:rPr>
              <w:t>最大堆叠台数&gt;=9台，要求提供测试报告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支持通过标准以太端口进行堆叠（万兆或40G均支持）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▲Macsec</w:t>
            </w:r>
          </w:p>
        </w:tc>
        <w:tc>
          <w:tcPr>
            <w:tcW w:w="4087" w:type="pct"/>
            <w:vAlign w:val="center"/>
          </w:tcPr>
          <w:p>
            <w:pPr>
              <w:pStyle w:val="256"/>
              <w:rPr>
                <w:rFonts w:hint="eastAsia" w:ascii="宋体" w:hAnsi="宋体"/>
                <w:sz w:val="21"/>
                <w:szCs w:val="21"/>
              </w:rPr>
            </w:pPr>
            <w:r>
              <w:rPr>
                <w:rFonts w:hint="eastAsia" w:ascii="宋体" w:hAnsi="宋体"/>
                <w:sz w:val="21"/>
                <w:szCs w:val="21"/>
              </w:rPr>
              <w:t>支持802.1ae Macsec安全加密，实现MAC层安全加密，包括用户数据加密、数据帧完整性检查及数据源真实性校验。无需软件授权，要求提供官网截图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SDN/OPENFLOW</w:t>
            </w:r>
          </w:p>
        </w:tc>
        <w:tc>
          <w:tcPr>
            <w:tcW w:w="4087" w:type="pct"/>
            <w:vAlign w:val="center"/>
          </w:tcPr>
          <w:p>
            <w:pPr>
              <w:pStyle w:val="256"/>
              <w:rPr>
                <w:rFonts w:hint="eastAsia" w:ascii="宋体" w:hAnsi="宋体"/>
                <w:sz w:val="21"/>
                <w:szCs w:val="21"/>
              </w:rPr>
            </w:pPr>
            <w:r>
              <w:rPr>
                <w:rFonts w:hint="eastAsia" w:ascii="宋体" w:hAnsi="宋体"/>
                <w:sz w:val="21"/>
                <w:szCs w:val="21"/>
              </w:rPr>
              <w:t>支持OPENFLOW 1.3标准支持普通模式和Openflow 模式切换，需提供官网网站命令手册佐证支持多控制器（EQUAL模式、主备模式）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管理和维护</w:t>
            </w:r>
          </w:p>
        </w:tc>
        <w:tc>
          <w:tcPr>
            <w:tcW w:w="4087" w:type="pct"/>
            <w:vAlign w:val="center"/>
          </w:tcPr>
          <w:p>
            <w:pPr>
              <w:pStyle w:val="256"/>
              <w:rPr>
                <w:rFonts w:hint="eastAsia" w:ascii="宋体" w:hAnsi="宋体"/>
                <w:sz w:val="21"/>
                <w:szCs w:val="21"/>
              </w:rPr>
            </w:pPr>
            <w:r>
              <w:rPr>
                <w:rFonts w:hint="eastAsia" w:ascii="宋体" w:hAnsi="宋体"/>
                <w:sz w:val="21"/>
                <w:szCs w:val="21"/>
              </w:rPr>
              <w:t>支持SNMP V1/V2/V3、RMON、SSHV2</w:t>
            </w:r>
          </w:p>
          <w:p>
            <w:pPr>
              <w:pStyle w:val="256"/>
              <w:rPr>
                <w:rFonts w:hint="eastAsia" w:ascii="宋体" w:hAnsi="宋体"/>
                <w:sz w:val="21"/>
                <w:szCs w:val="21"/>
              </w:rPr>
            </w:pPr>
            <w:r>
              <w:rPr>
                <w:rFonts w:hint="eastAsia" w:ascii="宋体" w:hAnsi="宋体"/>
                <w:sz w:val="21"/>
                <w:szCs w:val="21"/>
              </w:rPr>
              <w:t>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产品资质</w:t>
            </w:r>
          </w:p>
        </w:tc>
        <w:tc>
          <w:tcPr>
            <w:tcW w:w="4087" w:type="pct"/>
            <w:vAlign w:val="center"/>
          </w:tcPr>
          <w:p>
            <w:pPr>
              <w:pStyle w:val="256"/>
              <w:rPr>
                <w:rFonts w:hint="eastAsia" w:ascii="宋体" w:hAnsi="宋体"/>
                <w:sz w:val="21"/>
                <w:szCs w:val="21"/>
              </w:rPr>
            </w:pPr>
            <w:r>
              <w:rPr>
                <w:rFonts w:hint="eastAsia" w:ascii="宋体" w:hAnsi="宋体"/>
                <w:sz w:val="21"/>
                <w:szCs w:val="21"/>
              </w:rPr>
              <w:t>提供产品入网许可证及第三方测试报告</w:t>
            </w:r>
          </w:p>
          <w:p>
            <w:pPr>
              <w:pStyle w:val="256"/>
              <w:rPr>
                <w:rFonts w:hint="eastAsia" w:ascii="宋体" w:hAnsi="宋体"/>
                <w:sz w:val="21"/>
                <w:szCs w:val="21"/>
              </w:rPr>
            </w:pPr>
            <w:r>
              <w:rPr>
                <w:rFonts w:hint="eastAsia" w:ascii="宋体" w:hAnsi="宋体"/>
                <w:sz w:val="21"/>
                <w:szCs w:val="21"/>
              </w:rPr>
              <w:t>产品制造厂商应具有健全的环保体系，建立有害物质的检测手段，严格管理产品采购和生产环节，禁止或控制有毒有害物质的使用。通过QC 080000有害物质过程管理体系认证。要求提供证书复印件并加盖产品制造商公章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4087" w:type="pct"/>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1" w:name="_Toc104743866"/>
      <w:r>
        <w:rPr>
          <w:rFonts w:hint="eastAsia" w:ascii="宋体" w:hAnsi="宋体" w:cs="仿宋_GB2312"/>
          <w:sz w:val="21"/>
          <w:szCs w:val="21"/>
        </w:rPr>
        <w:t>10 服务器交换机</w:t>
      </w:r>
      <w:bookmarkEnd w:id="41"/>
    </w:p>
    <w:tbl>
      <w:tblPr>
        <w:tblStyle w:val="64"/>
        <w:tblW w:w="48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技术指标</w:t>
            </w:r>
          </w:p>
        </w:tc>
        <w:tc>
          <w:tcPr>
            <w:tcW w:w="4087" w:type="pct"/>
            <w:vAlign w:val="center"/>
          </w:tcPr>
          <w:p>
            <w:pPr>
              <w:rPr>
                <w:rFonts w:hint="eastAsia" w:ascii="宋体" w:hAnsi="宋体" w:cs="仿宋_GB2312"/>
                <w:szCs w:val="21"/>
              </w:rPr>
            </w:pPr>
            <w:r>
              <w:rPr>
                <w:rFonts w:hint="eastAsia" w:ascii="宋体" w:hAnsi="宋体" w:cs="仿宋_GB2312"/>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交换容量</w:t>
            </w:r>
          </w:p>
        </w:tc>
        <w:tc>
          <w:tcPr>
            <w:tcW w:w="4087" w:type="pct"/>
            <w:vAlign w:val="center"/>
          </w:tcPr>
          <w:p>
            <w:pPr>
              <w:pStyle w:val="256"/>
              <w:rPr>
                <w:rFonts w:hint="eastAsia" w:ascii="宋体" w:hAnsi="宋体"/>
                <w:sz w:val="21"/>
                <w:szCs w:val="21"/>
              </w:rPr>
            </w:pPr>
            <w:r>
              <w:rPr>
                <w:rFonts w:hint="eastAsia" w:ascii="宋体" w:hAnsi="宋体"/>
                <w:sz w:val="21"/>
                <w:szCs w:val="21"/>
              </w:rPr>
              <w:t>2.56Tbps/23.04Tbps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转发性能</w:t>
            </w:r>
          </w:p>
        </w:tc>
        <w:tc>
          <w:tcPr>
            <w:tcW w:w="4087" w:type="pct"/>
            <w:vAlign w:val="center"/>
          </w:tcPr>
          <w:p>
            <w:pPr>
              <w:pStyle w:val="256"/>
              <w:rPr>
                <w:rFonts w:hint="eastAsia" w:ascii="宋体" w:hAnsi="宋体"/>
                <w:sz w:val="21"/>
                <w:szCs w:val="21"/>
              </w:rPr>
            </w:pPr>
            <w:r>
              <w:rPr>
                <w:rFonts w:hint="eastAsia" w:ascii="宋体" w:hAnsi="宋体"/>
                <w:sz w:val="21"/>
                <w:szCs w:val="21"/>
              </w:rPr>
              <w:t>≥1080Mpps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扩展插槽数</w:t>
            </w:r>
          </w:p>
        </w:tc>
        <w:tc>
          <w:tcPr>
            <w:tcW w:w="4087" w:type="pct"/>
            <w:vAlign w:val="center"/>
          </w:tcPr>
          <w:p>
            <w:pPr>
              <w:pStyle w:val="256"/>
              <w:rPr>
                <w:rFonts w:hint="eastAsia" w:ascii="宋体" w:hAnsi="宋体"/>
                <w:sz w:val="21"/>
                <w:szCs w:val="21"/>
              </w:rPr>
            </w:pPr>
            <w:r>
              <w:rPr>
                <w:rFonts w:hint="eastAsia" w:ascii="宋体" w:hAnsi="宋体"/>
                <w:sz w:val="21"/>
                <w:szCs w:val="21"/>
              </w:rPr>
              <w:t>扩展插槽≥2，要求提供官网截图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安全插卡</w:t>
            </w:r>
          </w:p>
        </w:tc>
        <w:tc>
          <w:tcPr>
            <w:tcW w:w="4087" w:type="pct"/>
            <w:vAlign w:val="center"/>
          </w:tcPr>
          <w:p>
            <w:pPr>
              <w:pStyle w:val="256"/>
              <w:rPr>
                <w:rFonts w:hint="eastAsia" w:ascii="宋体" w:hAnsi="宋体"/>
                <w:sz w:val="21"/>
                <w:szCs w:val="21"/>
              </w:rPr>
            </w:pPr>
            <w:r>
              <w:rPr>
                <w:rFonts w:hint="eastAsia" w:ascii="宋体" w:hAnsi="宋体"/>
                <w:sz w:val="21"/>
                <w:szCs w:val="21"/>
              </w:rPr>
              <w:t>要求支持安全插卡，要求提供官网截图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电源</w:t>
            </w:r>
          </w:p>
        </w:tc>
        <w:tc>
          <w:tcPr>
            <w:tcW w:w="4087" w:type="pct"/>
            <w:vAlign w:val="center"/>
          </w:tcPr>
          <w:p>
            <w:pPr>
              <w:pStyle w:val="256"/>
              <w:rPr>
                <w:rFonts w:hint="eastAsia" w:ascii="宋体" w:hAnsi="宋体"/>
                <w:sz w:val="21"/>
                <w:szCs w:val="21"/>
              </w:rPr>
            </w:pPr>
            <w:r>
              <w:rPr>
                <w:rFonts w:hint="eastAsia" w:ascii="宋体" w:hAnsi="宋体"/>
                <w:sz w:val="21"/>
                <w:szCs w:val="21"/>
              </w:rPr>
              <w:t>模块化双电源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风扇</w:t>
            </w:r>
          </w:p>
        </w:tc>
        <w:tc>
          <w:tcPr>
            <w:tcW w:w="4087" w:type="pct"/>
            <w:vAlign w:val="center"/>
          </w:tcPr>
          <w:p>
            <w:pPr>
              <w:pStyle w:val="256"/>
              <w:rPr>
                <w:rFonts w:hint="eastAsia" w:ascii="宋体" w:hAnsi="宋体"/>
                <w:sz w:val="21"/>
                <w:szCs w:val="21"/>
              </w:rPr>
            </w:pPr>
            <w:r>
              <w:rPr>
                <w:rFonts w:hint="eastAsia" w:ascii="宋体" w:hAnsi="宋体"/>
                <w:sz w:val="21"/>
                <w:szCs w:val="21"/>
              </w:rPr>
              <w:t>模块化双风扇，前/后通风，风道可调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★接口形态</w:t>
            </w:r>
          </w:p>
        </w:tc>
        <w:tc>
          <w:tcPr>
            <w:tcW w:w="4087" w:type="pct"/>
            <w:vAlign w:val="center"/>
          </w:tcPr>
          <w:p>
            <w:pPr>
              <w:pStyle w:val="256"/>
              <w:rPr>
                <w:rFonts w:hint="eastAsia" w:ascii="宋体" w:hAnsi="宋体"/>
                <w:sz w:val="21"/>
                <w:szCs w:val="21"/>
              </w:rPr>
            </w:pPr>
            <w:r>
              <w:rPr>
                <w:rFonts w:hint="eastAsia" w:ascii="宋体" w:hAnsi="宋体"/>
                <w:sz w:val="21"/>
                <w:szCs w:val="21"/>
              </w:rPr>
              <w:t>48个1/10GE SFP+光接口，2个QSFP+光接口，2个Slot，提供官网截图，24个万兆光模块、2个40G光模块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ERPS</w:t>
            </w:r>
          </w:p>
        </w:tc>
        <w:tc>
          <w:tcPr>
            <w:tcW w:w="4087" w:type="pct"/>
            <w:vAlign w:val="center"/>
          </w:tcPr>
          <w:p>
            <w:pPr>
              <w:pStyle w:val="256"/>
              <w:rPr>
                <w:rFonts w:hint="eastAsia" w:ascii="宋体" w:hAnsi="宋体"/>
                <w:sz w:val="21"/>
                <w:szCs w:val="21"/>
              </w:rPr>
            </w:pPr>
            <w:r>
              <w:rPr>
                <w:rFonts w:hint="eastAsia" w:ascii="宋体" w:hAnsi="宋体"/>
                <w:sz w:val="21"/>
                <w:szCs w:val="21"/>
              </w:rPr>
              <w:t>要求支持ERPS功能，并且收敛时间小于50ms，提供测试报告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CPU保护</w:t>
            </w:r>
          </w:p>
        </w:tc>
        <w:tc>
          <w:tcPr>
            <w:tcW w:w="4087" w:type="pct"/>
            <w:vAlign w:val="center"/>
          </w:tcPr>
          <w:p>
            <w:pPr>
              <w:pStyle w:val="256"/>
              <w:rPr>
                <w:rFonts w:hint="eastAsia" w:ascii="宋体" w:hAnsi="宋体"/>
                <w:sz w:val="21"/>
                <w:szCs w:val="21"/>
              </w:rPr>
            </w:pPr>
            <w:r>
              <w:rPr>
                <w:rFonts w:hint="eastAsia" w:ascii="宋体" w:hAnsi="宋体"/>
                <w:sz w:val="21"/>
                <w:szCs w:val="21"/>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Triple</w:t>
            </w:r>
          </w:p>
        </w:tc>
        <w:tc>
          <w:tcPr>
            <w:tcW w:w="4087" w:type="pct"/>
            <w:vAlign w:val="center"/>
          </w:tcPr>
          <w:p>
            <w:pPr>
              <w:pStyle w:val="256"/>
              <w:rPr>
                <w:rFonts w:hint="eastAsia" w:ascii="宋体" w:hAnsi="宋体"/>
                <w:sz w:val="21"/>
                <w:szCs w:val="21"/>
              </w:rPr>
            </w:pPr>
            <w:r>
              <w:rPr>
                <w:rFonts w:hint="eastAsia" w:ascii="宋体" w:hAnsi="宋体"/>
                <w:sz w:val="21"/>
                <w:szCs w:val="21"/>
              </w:rPr>
              <w:t>要求支持Triple功能，端口同时开启802.1X，MAC认证及Portal功能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SAVI</w:t>
            </w:r>
          </w:p>
        </w:tc>
        <w:tc>
          <w:tcPr>
            <w:tcW w:w="4087" w:type="pct"/>
            <w:vAlign w:val="center"/>
          </w:tcPr>
          <w:p>
            <w:pPr>
              <w:pStyle w:val="256"/>
              <w:rPr>
                <w:rFonts w:hint="eastAsia" w:ascii="宋体" w:hAnsi="宋体"/>
                <w:sz w:val="21"/>
                <w:szCs w:val="21"/>
              </w:rPr>
            </w:pPr>
            <w:r>
              <w:rPr>
                <w:rFonts w:hint="eastAsia" w:ascii="宋体" w:hAnsi="宋体"/>
                <w:sz w:val="21"/>
                <w:szCs w:val="21"/>
              </w:rPr>
              <w:t>要求设备支持SAVI功能，设备在SAVI DHCPv6-only模式下DHCPv6 client只能使用DHCPv6方式获取到的IPv6地址访问网络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云管理</w:t>
            </w:r>
          </w:p>
        </w:tc>
        <w:tc>
          <w:tcPr>
            <w:tcW w:w="4087" w:type="pct"/>
            <w:vAlign w:val="center"/>
          </w:tcPr>
          <w:p>
            <w:pPr>
              <w:pStyle w:val="256"/>
              <w:rPr>
                <w:rFonts w:hint="eastAsia" w:ascii="宋体" w:hAnsi="宋体"/>
                <w:sz w:val="21"/>
                <w:szCs w:val="21"/>
              </w:rPr>
            </w:pPr>
            <w:r>
              <w:rPr>
                <w:rFonts w:hint="eastAsia" w:ascii="宋体" w:hAnsi="宋体"/>
                <w:sz w:val="21"/>
                <w:szCs w:val="21"/>
              </w:rPr>
              <w:t>要求设备能够被公有云平台管理，能通过蓝牙方式登录公有云平台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restart"/>
          </w:tcPr>
          <w:p>
            <w:pPr>
              <w:rPr>
                <w:rFonts w:hint="eastAsia" w:ascii="宋体" w:hAnsi="宋体" w:cs="仿宋_GB2312"/>
                <w:szCs w:val="21"/>
              </w:rPr>
            </w:pPr>
            <w:r>
              <w:rPr>
                <w:rFonts w:hint="eastAsia" w:ascii="宋体" w:hAnsi="宋体" w:cs="仿宋_GB2312"/>
                <w:szCs w:val="21"/>
              </w:rPr>
              <w:t>堆叠</w:t>
            </w:r>
          </w:p>
        </w:tc>
        <w:tc>
          <w:tcPr>
            <w:tcW w:w="4087" w:type="pct"/>
            <w:vAlign w:val="center"/>
          </w:tcPr>
          <w:p>
            <w:pPr>
              <w:pStyle w:val="256"/>
              <w:rPr>
                <w:rFonts w:hint="eastAsia" w:ascii="宋体" w:hAnsi="宋体"/>
                <w:sz w:val="21"/>
                <w:szCs w:val="21"/>
              </w:rPr>
            </w:pPr>
            <w:r>
              <w:rPr>
                <w:rFonts w:hint="eastAsia" w:ascii="宋体" w:hAnsi="宋体"/>
                <w:sz w:val="21"/>
                <w:szCs w:val="21"/>
              </w:rPr>
              <w:t>最大堆叠台数&gt;=9台，要求提供测试报告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支持跨设备链路聚合，单一IP管理，分布式弹性路由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支持通过标准以太端口进行堆叠（万兆或40G均支持）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支持完善的堆叠分裂检测机制，堆叠分裂后能自动完成MAC和IP地址的重配置，无需手动干预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Merge w:val="continue"/>
          </w:tcPr>
          <w:p>
            <w:pPr>
              <w:rPr>
                <w:rFonts w:hint="eastAsia" w:ascii="宋体" w:hAnsi="宋体" w:cs="仿宋_GB2312"/>
                <w:szCs w:val="21"/>
              </w:rPr>
            </w:pPr>
          </w:p>
        </w:tc>
        <w:tc>
          <w:tcPr>
            <w:tcW w:w="4087" w:type="pct"/>
            <w:vAlign w:val="center"/>
          </w:tcPr>
          <w:p>
            <w:pPr>
              <w:pStyle w:val="256"/>
              <w:rPr>
                <w:rFonts w:hint="eastAsia" w:ascii="宋体" w:hAnsi="宋体"/>
                <w:sz w:val="21"/>
                <w:szCs w:val="21"/>
              </w:rPr>
            </w:pPr>
            <w:r>
              <w:rPr>
                <w:rFonts w:hint="eastAsia" w:ascii="宋体" w:hAnsi="宋体"/>
                <w:sz w:val="21"/>
                <w:szCs w:val="21"/>
              </w:rPr>
              <w:t>支持远程堆叠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▲Macsec</w:t>
            </w:r>
          </w:p>
        </w:tc>
        <w:tc>
          <w:tcPr>
            <w:tcW w:w="4087" w:type="pct"/>
            <w:vAlign w:val="center"/>
          </w:tcPr>
          <w:p>
            <w:pPr>
              <w:pStyle w:val="256"/>
              <w:rPr>
                <w:rFonts w:hint="eastAsia" w:ascii="宋体" w:hAnsi="宋体"/>
                <w:sz w:val="21"/>
                <w:szCs w:val="21"/>
              </w:rPr>
            </w:pPr>
            <w:r>
              <w:rPr>
                <w:rFonts w:hint="eastAsia" w:ascii="宋体" w:hAnsi="宋体"/>
                <w:sz w:val="21"/>
                <w:szCs w:val="21"/>
              </w:rPr>
              <w:t>支持802.1ae Macsec安全加密，实现MAC层安全加密，包括用户数据加密、数据帧完整性检查及数据源真实性校验。无需软件授权，要求提供官网截图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SDN/OPENFLOW</w:t>
            </w:r>
          </w:p>
        </w:tc>
        <w:tc>
          <w:tcPr>
            <w:tcW w:w="4087" w:type="pct"/>
            <w:vAlign w:val="center"/>
          </w:tcPr>
          <w:p>
            <w:pPr>
              <w:pStyle w:val="256"/>
              <w:rPr>
                <w:rFonts w:hint="eastAsia" w:ascii="宋体" w:hAnsi="宋体"/>
                <w:sz w:val="21"/>
                <w:szCs w:val="21"/>
              </w:rPr>
            </w:pPr>
            <w:r>
              <w:rPr>
                <w:rFonts w:hint="eastAsia" w:ascii="宋体" w:hAnsi="宋体"/>
                <w:sz w:val="21"/>
                <w:szCs w:val="21"/>
              </w:rPr>
              <w:t>支持OPENFLOW 1.3标准支持普通模式和Openflow 模式切换，需提供官网网站命令手册佐证支持多控制器（EQUAL模式、主备模式）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管理和维护</w:t>
            </w:r>
          </w:p>
        </w:tc>
        <w:tc>
          <w:tcPr>
            <w:tcW w:w="4087" w:type="pct"/>
            <w:vAlign w:val="center"/>
          </w:tcPr>
          <w:p>
            <w:pPr>
              <w:pStyle w:val="256"/>
              <w:rPr>
                <w:rFonts w:hint="eastAsia" w:ascii="宋体" w:hAnsi="宋体"/>
                <w:sz w:val="21"/>
                <w:szCs w:val="21"/>
              </w:rPr>
            </w:pPr>
            <w:r>
              <w:rPr>
                <w:rFonts w:hint="eastAsia" w:ascii="宋体" w:hAnsi="宋体"/>
                <w:sz w:val="21"/>
                <w:szCs w:val="21"/>
              </w:rPr>
              <w:t>支持SNMP V1/V2/V3、RMON、SSHV2</w:t>
            </w:r>
          </w:p>
          <w:p>
            <w:pPr>
              <w:pStyle w:val="256"/>
              <w:rPr>
                <w:rFonts w:hint="eastAsia" w:ascii="宋体" w:hAnsi="宋体"/>
                <w:sz w:val="21"/>
                <w:szCs w:val="21"/>
              </w:rPr>
            </w:pPr>
            <w:r>
              <w:rPr>
                <w:rFonts w:hint="eastAsia" w:ascii="宋体" w:hAnsi="宋体"/>
                <w:sz w:val="21"/>
                <w:szCs w:val="21"/>
              </w:rPr>
              <w:t>支持OAM(802.1AG， 802.3AH)以太网运行、维护和管理标准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szCs w:val="21"/>
              </w:rPr>
            </w:pPr>
            <w:r>
              <w:rPr>
                <w:rFonts w:hint="eastAsia" w:ascii="宋体" w:hAnsi="宋体" w:cs="仿宋_GB2312"/>
                <w:szCs w:val="21"/>
              </w:rPr>
              <w:t>产品资质</w:t>
            </w:r>
          </w:p>
        </w:tc>
        <w:tc>
          <w:tcPr>
            <w:tcW w:w="4087" w:type="pct"/>
            <w:vAlign w:val="center"/>
          </w:tcPr>
          <w:p>
            <w:pPr>
              <w:pStyle w:val="256"/>
              <w:rPr>
                <w:rFonts w:hint="eastAsia" w:ascii="宋体" w:hAnsi="宋体"/>
                <w:sz w:val="21"/>
                <w:szCs w:val="21"/>
              </w:rPr>
            </w:pPr>
            <w:r>
              <w:rPr>
                <w:rFonts w:hint="eastAsia" w:ascii="宋体" w:hAnsi="宋体"/>
                <w:sz w:val="21"/>
                <w:szCs w:val="21"/>
              </w:rPr>
              <w:t>提供产品入网许可证及第三方测试报告</w:t>
            </w:r>
          </w:p>
          <w:p>
            <w:pPr>
              <w:pStyle w:val="256"/>
              <w:rPr>
                <w:rFonts w:hint="eastAsia" w:ascii="宋体" w:hAnsi="宋体"/>
                <w:sz w:val="21"/>
                <w:szCs w:val="21"/>
              </w:rPr>
            </w:pPr>
            <w:r>
              <w:rPr>
                <w:rFonts w:hint="eastAsia" w:ascii="宋体" w:hAnsi="宋体"/>
                <w:sz w:val="21"/>
                <w:szCs w:val="21"/>
              </w:rPr>
              <w:t>产品制造厂商应具有健全的环保体系，建立有害物质的检测手段，严格管理产品采购和生产环节，禁止或控制有毒有害物质的使用。通过QC 080000有害物质过程管理体系认证。要求提供证书复印件并加盖产品制造商公章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913" w:type="pct"/>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4087" w:type="pct"/>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2" w:name="_Toc104743867"/>
      <w:r>
        <w:rPr>
          <w:rFonts w:hint="eastAsia" w:ascii="宋体" w:hAnsi="宋体" w:cs="仿宋_GB2312"/>
          <w:sz w:val="21"/>
          <w:szCs w:val="21"/>
        </w:rPr>
        <w:t>11 存储交换机</w:t>
      </w:r>
      <w:bookmarkEnd w:id="42"/>
    </w:p>
    <w:tbl>
      <w:tblPr>
        <w:tblStyle w:val="6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766" w:type="dxa"/>
            <w:vAlign w:val="center"/>
          </w:tcPr>
          <w:p>
            <w:pPr>
              <w:jc w:val="left"/>
              <w:rPr>
                <w:rFonts w:hint="eastAsia" w:ascii="宋体" w:hAnsi="宋体" w:cs="仿宋_GB2312"/>
                <w:bCs/>
                <w:color w:val="000000"/>
                <w:kern w:val="0"/>
                <w:szCs w:val="21"/>
              </w:rPr>
            </w:pPr>
            <w:r>
              <w:rPr>
                <w:rFonts w:hint="eastAsia" w:ascii="宋体" w:hAnsi="宋体" w:cs="仿宋_GB2312"/>
                <w:bCs/>
                <w:color w:val="000000"/>
                <w:kern w:val="0"/>
                <w:szCs w:val="21"/>
              </w:rPr>
              <w:t>指标项</w:t>
            </w:r>
          </w:p>
        </w:tc>
        <w:tc>
          <w:tcPr>
            <w:tcW w:w="7174" w:type="dxa"/>
            <w:vAlign w:val="center"/>
          </w:tcPr>
          <w:p>
            <w:pPr>
              <w:jc w:val="left"/>
              <w:rPr>
                <w:rFonts w:hint="eastAsia" w:ascii="宋体" w:hAnsi="宋体" w:cs="仿宋_GB2312"/>
                <w:bCs/>
                <w:color w:val="000000"/>
                <w:kern w:val="0"/>
                <w:szCs w:val="21"/>
              </w:rPr>
            </w:pPr>
            <w:r>
              <w:rPr>
                <w:rFonts w:hint="eastAsia" w:ascii="宋体" w:hAnsi="宋体" w:cs="仿宋_GB2312"/>
                <w:bCs/>
                <w:color w:val="000000"/>
                <w:kern w:val="0"/>
                <w:szCs w:val="21"/>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766" w:type="dxa"/>
            <w:vAlign w:val="center"/>
          </w:tcPr>
          <w:p>
            <w:pPr>
              <w:rPr>
                <w:rFonts w:hint="eastAsia" w:ascii="宋体" w:hAnsi="宋体" w:cs="仿宋_GB2312"/>
                <w:color w:val="000000"/>
                <w:szCs w:val="21"/>
              </w:rPr>
            </w:pPr>
            <w:r>
              <w:rPr>
                <w:rFonts w:hint="eastAsia" w:ascii="宋体" w:hAnsi="宋体" w:cs="仿宋_GB2312"/>
                <w:color w:val="000000"/>
                <w:szCs w:val="21"/>
              </w:rPr>
              <w:t>类型</w:t>
            </w:r>
          </w:p>
        </w:tc>
        <w:tc>
          <w:tcPr>
            <w:tcW w:w="7174" w:type="dxa"/>
            <w:vAlign w:val="center"/>
          </w:tcPr>
          <w:p>
            <w:pPr>
              <w:pStyle w:val="256"/>
              <w:rPr>
                <w:rFonts w:hint="eastAsia" w:ascii="宋体" w:hAnsi="宋体"/>
                <w:sz w:val="21"/>
                <w:szCs w:val="21"/>
              </w:rPr>
            </w:pPr>
            <w:r>
              <w:rPr>
                <w:rFonts w:hint="eastAsia" w:ascii="宋体" w:hAnsi="宋体"/>
                <w:sz w:val="21"/>
                <w:szCs w:val="21"/>
              </w:rPr>
              <w:t>FC协议交换机，支持SNMPv3, SMI-S，TACACS+,AAA, SFTP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▲配置功能</w:t>
            </w:r>
          </w:p>
        </w:tc>
        <w:tc>
          <w:tcPr>
            <w:tcW w:w="7174" w:type="dxa"/>
            <w:vAlign w:val="center"/>
          </w:tcPr>
          <w:p>
            <w:pPr>
              <w:pStyle w:val="256"/>
              <w:rPr>
                <w:rFonts w:hint="eastAsia" w:ascii="宋体" w:hAnsi="宋体"/>
                <w:sz w:val="21"/>
                <w:szCs w:val="21"/>
              </w:rPr>
            </w:pPr>
            <w:r>
              <w:rPr>
                <w:rFonts w:hint="eastAsia" w:ascii="宋体" w:hAnsi="宋体"/>
                <w:sz w:val="21"/>
                <w:szCs w:val="21"/>
              </w:rPr>
              <w:t>配置VSAN技术和VoQ技术功能许可</w:t>
            </w:r>
          </w:p>
          <w:p>
            <w:pPr>
              <w:pStyle w:val="256"/>
              <w:rPr>
                <w:rFonts w:hint="eastAsia" w:ascii="宋体" w:hAnsi="宋体"/>
                <w:sz w:val="21"/>
                <w:szCs w:val="21"/>
              </w:rPr>
            </w:pPr>
            <w:r>
              <w:rPr>
                <w:rFonts w:hint="eastAsia" w:ascii="宋体" w:hAnsi="宋体"/>
                <w:sz w:val="21"/>
                <w:szCs w:val="21"/>
              </w:rPr>
              <w:t>配置ISL Trunking、Extended Fabric、Fabric Vision软件功能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系统架构</w:t>
            </w:r>
          </w:p>
        </w:tc>
        <w:tc>
          <w:tcPr>
            <w:tcW w:w="7174" w:type="dxa"/>
            <w:vAlign w:val="center"/>
          </w:tcPr>
          <w:p>
            <w:pPr>
              <w:pStyle w:val="256"/>
              <w:rPr>
                <w:rFonts w:hint="eastAsia" w:ascii="宋体" w:hAnsi="宋体"/>
                <w:sz w:val="21"/>
                <w:szCs w:val="21"/>
              </w:rPr>
            </w:pPr>
            <w:r>
              <w:rPr>
                <w:rFonts w:hint="eastAsia" w:ascii="宋体" w:hAnsi="宋体"/>
                <w:sz w:val="21"/>
                <w:szCs w:val="21"/>
              </w:rPr>
              <w:t>机架式安装，无拥塞架构设计，所有FC端口全线速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▲端口速率</w:t>
            </w:r>
          </w:p>
        </w:tc>
        <w:tc>
          <w:tcPr>
            <w:tcW w:w="7174" w:type="dxa"/>
            <w:vAlign w:val="center"/>
          </w:tcPr>
          <w:p>
            <w:pPr>
              <w:pStyle w:val="256"/>
              <w:rPr>
                <w:rFonts w:hint="eastAsia" w:ascii="宋体" w:hAnsi="宋体"/>
                <w:sz w:val="21"/>
                <w:szCs w:val="21"/>
              </w:rPr>
            </w:pPr>
            <w:r>
              <w:rPr>
                <w:rFonts w:hint="eastAsia" w:ascii="宋体" w:hAnsi="宋体"/>
                <w:sz w:val="21"/>
                <w:szCs w:val="21"/>
              </w:rPr>
              <w:t>同时支持FC 128Gb/s, 32Gb/s，16Gb/s， 8Gb/s和4Gb/s速率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端口类型</w:t>
            </w:r>
          </w:p>
        </w:tc>
        <w:tc>
          <w:tcPr>
            <w:tcW w:w="7174" w:type="dxa"/>
            <w:vAlign w:val="center"/>
          </w:tcPr>
          <w:p>
            <w:pPr>
              <w:pStyle w:val="256"/>
              <w:rPr>
                <w:rFonts w:hint="eastAsia" w:ascii="宋体" w:hAnsi="宋体"/>
                <w:sz w:val="21"/>
                <w:szCs w:val="21"/>
              </w:rPr>
            </w:pPr>
            <w:r>
              <w:rPr>
                <w:rFonts w:hint="eastAsia" w:ascii="宋体" w:hAnsi="宋体"/>
                <w:sz w:val="21"/>
                <w:szCs w:val="21"/>
              </w:rPr>
              <w:t>同时支持F/E/M/EX等端口类型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互联扩展</w:t>
            </w:r>
          </w:p>
        </w:tc>
        <w:tc>
          <w:tcPr>
            <w:tcW w:w="7174" w:type="dxa"/>
            <w:vAlign w:val="center"/>
          </w:tcPr>
          <w:p>
            <w:pPr>
              <w:pStyle w:val="256"/>
              <w:rPr>
                <w:rFonts w:hint="eastAsia" w:ascii="宋体" w:hAnsi="宋体"/>
                <w:sz w:val="21"/>
                <w:szCs w:val="21"/>
              </w:rPr>
            </w:pPr>
            <w:r>
              <w:rPr>
                <w:rFonts w:hint="eastAsia" w:ascii="宋体" w:hAnsi="宋体"/>
                <w:sz w:val="21"/>
                <w:szCs w:val="21"/>
              </w:rPr>
              <w:t>可支持多台交换机级联和Fabric扩展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链路捆绑</w:t>
            </w:r>
          </w:p>
        </w:tc>
        <w:tc>
          <w:tcPr>
            <w:tcW w:w="7174" w:type="dxa"/>
            <w:vAlign w:val="center"/>
          </w:tcPr>
          <w:p>
            <w:pPr>
              <w:pStyle w:val="256"/>
              <w:rPr>
                <w:rFonts w:hint="eastAsia" w:ascii="宋体" w:hAnsi="宋体"/>
                <w:sz w:val="21"/>
                <w:szCs w:val="21"/>
              </w:rPr>
            </w:pPr>
            <w:r>
              <w:rPr>
                <w:rFonts w:hint="eastAsia" w:ascii="宋体" w:hAnsi="宋体"/>
                <w:sz w:val="21"/>
                <w:szCs w:val="21"/>
              </w:rPr>
              <w:t>支持基于数据帧级的“即插即用”的链路捆绑功能，单个链路聚合带宽最大256G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系统延时</w:t>
            </w:r>
          </w:p>
        </w:tc>
        <w:tc>
          <w:tcPr>
            <w:tcW w:w="7174" w:type="dxa"/>
            <w:vAlign w:val="center"/>
          </w:tcPr>
          <w:p>
            <w:pPr>
              <w:pStyle w:val="256"/>
              <w:rPr>
                <w:rFonts w:hint="eastAsia" w:ascii="宋体" w:hAnsi="宋体"/>
                <w:sz w:val="21"/>
                <w:szCs w:val="21"/>
              </w:rPr>
            </w:pPr>
            <w:r>
              <w:rPr>
                <w:rFonts w:hint="eastAsia" w:ascii="宋体" w:hAnsi="宋体"/>
                <w:sz w:val="21"/>
                <w:szCs w:val="21"/>
              </w:rPr>
              <w:t>平均延迟≤2.1微秒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监控管理</w:t>
            </w:r>
          </w:p>
        </w:tc>
        <w:tc>
          <w:tcPr>
            <w:tcW w:w="7174" w:type="dxa"/>
            <w:vAlign w:val="center"/>
          </w:tcPr>
          <w:p>
            <w:pPr>
              <w:pStyle w:val="256"/>
              <w:rPr>
                <w:rFonts w:hint="eastAsia" w:ascii="宋体" w:hAnsi="宋体"/>
                <w:sz w:val="21"/>
                <w:szCs w:val="21"/>
              </w:rPr>
            </w:pPr>
            <w:r>
              <w:rPr>
                <w:rFonts w:hint="eastAsia" w:ascii="宋体" w:hAnsi="宋体"/>
                <w:sz w:val="21"/>
                <w:szCs w:val="21"/>
              </w:rPr>
              <w:t>支持SNMPv1/v3的集中监控管理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安全性</w:t>
            </w:r>
          </w:p>
        </w:tc>
        <w:tc>
          <w:tcPr>
            <w:tcW w:w="7174" w:type="dxa"/>
            <w:vAlign w:val="center"/>
          </w:tcPr>
          <w:p>
            <w:pPr>
              <w:pStyle w:val="256"/>
              <w:rPr>
                <w:rFonts w:hint="eastAsia" w:ascii="宋体" w:hAnsi="宋体"/>
                <w:sz w:val="21"/>
                <w:szCs w:val="21"/>
              </w:rPr>
            </w:pPr>
            <w:r>
              <w:rPr>
                <w:rFonts w:hint="eastAsia" w:ascii="宋体" w:hAnsi="宋体"/>
                <w:sz w:val="21"/>
                <w:szCs w:val="21"/>
              </w:rPr>
              <w:t>支持数据的压缩及加密、基于数据帧级别的前向纠错和交换机接入认证功能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诊断</w:t>
            </w:r>
          </w:p>
        </w:tc>
        <w:tc>
          <w:tcPr>
            <w:tcW w:w="7174" w:type="dxa"/>
            <w:vAlign w:val="center"/>
          </w:tcPr>
          <w:p>
            <w:pPr>
              <w:pStyle w:val="256"/>
              <w:rPr>
                <w:rFonts w:hint="eastAsia" w:ascii="宋体" w:hAnsi="宋体"/>
                <w:sz w:val="21"/>
                <w:szCs w:val="21"/>
              </w:rPr>
            </w:pPr>
            <w:r>
              <w:rPr>
                <w:rFonts w:hint="eastAsia" w:ascii="宋体" w:hAnsi="宋体"/>
                <w:sz w:val="21"/>
                <w:szCs w:val="21"/>
              </w:rPr>
              <w:t>提供基于D_Port的端口自诊断功能，包括电/光环回、链路流量、延时和距离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管理功能</w:t>
            </w:r>
          </w:p>
        </w:tc>
        <w:tc>
          <w:tcPr>
            <w:tcW w:w="7174" w:type="dxa"/>
            <w:vAlign w:val="center"/>
          </w:tcPr>
          <w:p>
            <w:pPr>
              <w:pStyle w:val="256"/>
              <w:rPr>
                <w:rFonts w:hint="eastAsia" w:ascii="宋体" w:hAnsi="宋体"/>
                <w:sz w:val="21"/>
                <w:szCs w:val="21"/>
              </w:rPr>
            </w:pPr>
            <w:r>
              <w:rPr>
                <w:rFonts w:hint="eastAsia" w:ascii="宋体" w:hAnsi="宋体"/>
                <w:sz w:val="21"/>
                <w:szCs w:val="21"/>
              </w:rPr>
              <w:t>具备免费的HTTP方式的交换机管理并支持端口性能监控，参数修改等功能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冗余性要求</w:t>
            </w:r>
          </w:p>
        </w:tc>
        <w:tc>
          <w:tcPr>
            <w:tcW w:w="7174" w:type="dxa"/>
            <w:vAlign w:val="center"/>
          </w:tcPr>
          <w:p>
            <w:pPr>
              <w:pStyle w:val="256"/>
              <w:rPr>
                <w:rFonts w:hint="eastAsia" w:ascii="宋体" w:hAnsi="宋体"/>
                <w:sz w:val="21"/>
                <w:szCs w:val="21"/>
              </w:rPr>
            </w:pPr>
            <w:r>
              <w:rPr>
                <w:rFonts w:hint="eastAsia" w:ascii="宋体" w:hAnsi="宋体"/>
                <w:sz w:val="21"/>
                <w:szCs w:val="21"/>
              </w:rPr>
              <w:t>风扇电源等部件均可热插拔并支持在线升级微码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kern w:val="0"/>
                <w:szCs w:val="21"/>
              </w:rPr>
              <w:t>配置</w:t>
            </w:r>
          </w:p>
        </w:tc>
        <w:tc>
          <w:tcPr>
            <w:tcW w:w="7174" w:type="dxa"/>
            <w:vAlign w:val="center"/>
          </w:tcPr>
          <w:p>
            <w:pPr>
              <w:pStyle w:val="256"/>
              <w:rPr>
                <w:rFonts w:hint="eastAsia" w:ascii="宋体" w:hAnsi="宋体"/>
                <w:sz w:val="21"/>
                <w:szCs w:val="21"/>
              </w:rPr>
            </w:pPr>
            <w:r>
              <w:rPr>
                <w:rFonts w:hint="eastAsia" w:ascii="宋体" w:hAnsi="宋体"/>
                <w:sz w:val="21"/>
                <w:szCs w:val="21"/>
              </w:rPr>
              <w:t>激活24个FC端口，配置24个32G FC多模光模块，满配相关线缆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66" w:type="dxa"/>
            <w:vAlign w:val="center"/>
          </w:tcPr>
          <w:p>
            <w:pPr>
              <w:rPr>
                <w:rFonts w:hint="eastAsia" w:ascii="宋体" w:hAnsi="宋体" w:cs="仿宋_GB2312"/>
                <w:color w:val="000000"/>
                <w:kern w:val="0"/>
                <w:szCs w:val="21"/>
              </w:rPr>
            </w:pPr>
            <w:r>
              <w:rPr>
                <w:rFonts w:hint="eastAsia" w:ascii="宋体" w:hAnsi="宋体" w:cs="仿宋_GB2312"/>
                <w:color w:val="000000"/>
                <w:szCs w:val="21"/>
              </w:rPr>
              <w:t>服务</w:t>
            </w:r>
          </w:p>
        </w:tc>
        <w:tc>
          <w:tcPr>
            <w:tcW w:w="7174" w:type="dxa"/>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3" w:name="_Toc104743868"/>
      <w:r>
        <w:rPr>
          <w:rFonts w:hint="eastAsia" w:ascii="宋体" w:hAnsi="宋体" w:cs="仿宋_GB2312"/>
          <w:sz w:val="21"/>
          <w:szCs w:val="21"/>
        </w:rPr>
        <w:t>12 数据库实时同步软件</w:t>
      </w:r>
      <w:bookmarkEnd w:id="43"/>
    </w:p>
    <w:p>
      <w:pPr>
        <w:rPr>
          <w:rFonts w:hint="eastAsia" w:ascii="宋体" w:hAnsi="宋体" w:cs="仿宋_GB2312"/>
          <w:color w:val="000000"/>
          <w:kern w:val="0"/>
          <w:szCs w:val="21"/>
        </w:rPr>
      </w:pP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92" w:type="dxa"/>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指标</w:t>
            </w:r>
          </w:p>
        </w:tc>
        <w:tc>
          <w:tcPr>
            <w:tcW w:w="7229" w:type="dxa"/>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692" w:type="dxa"/>
            <w:vMerge w:val="restart"/>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szCs w:val="21"/>
              </w:rPr>
              <w:t>▲</w:t>
            </w:r>
            <w:r>
              <w:rPr>
                <w:rFonts w:hint="eastAsia" w:ascii="宋体" w:hAnsi="宋体" w:cs="仿宋_GB2312"/>
                <w:bCs/>
                <w:color w:val="000000"/>
                <w:szCs w:val="21"/>
              </w:rPr>
              <w:t>基本功能要求</w:t>
            </w: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 xml:space="preserve">实现核心业务系统数据实时同步灾备要求；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highlight w:val="yellow"/>
              </w:rPr>
            </w:pPr>
            <w:r>
              <w:rPr>
                <w:rFonts w:hint="eastAsia" w:ascii="宋体" w:hAnsi="宋体"/>
                <w:sz w:val="21"/>
                <w:szCs w:val="21"/>
              </w:rPr>
              <w:t>软件授权许可：同时合法支持8CPU、30TB存储容量、5套数据库授权许可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要求软件支持Oracle、Sybase、SQL、MySQL、DB2、Cache等主流数据库的交易复制，且灾备数据库始终处于Open状态，实现业务系统读写分离，灾备系统查询分析等服务，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要求软件支持任意数据库版本，硬件平台异构实时灾备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692" w:type="dxa"/>
            <w:vMerge w:val="restart"/>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兼容性要求</w:t>
            </w: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支持主流操作系统：Linux、HP-UNIX、Sun Solaris、IBM AIX、Windows、中标麒麟；并支持操作系统异构；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支持Oracle/Sybase/SQLServer/MYSQL/DB2/Gbase8a/Gbase8M/Hadoop/Hbase/华为MPP/Hbase/Hive/Cache/GP/阿里云RDS（Mysql、PostgreSQL、PPAS、PolarDB）等主流数据库的不同版本；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在数据迁移初始化同步过程中，业务不能停止；在异构平台或跨数据库版本之间的数据初始化过程中不需要人工干预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92" w:type="dxa"/>
            <w:vMerge w:val="restart"/>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数据库容灾要求</w:t>
            </w: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支持一对一，双向，一对多，多对一，和级联复制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支持数据转换、数据拆分及分发；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支持从多个数据库中同一类型表的记录整合到一个表中去；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支持数据转换，包括列映射、增/删除列、列转换；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支持DML操作复制、支持SEQUENCE、函数、存储过程、视图、同义词、索引、应用包、用户等数据库对象进行复制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支持没有PK/UK字段的表的复制、并无需打开或修改数据库参数，可定义并过滤不需要复制的事务；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2" w:type="dxa"/>
            <w:vMerge w:val="continue"/>
            <w:tcBorders>
              <w:left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支持按照schema方式设置复制关系，无需单表设置复制关系，支持不同源和目标端在不同的schema名情况下的复制；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692"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仿宋_GB2312"/>
                <w:bCs/>
                <w:color w:val="000000"/>
                <w:szCs w:val="21"/>
              </w:rPr>
            </w:pP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支持中文汉字内码，符合双字6节编码；支持DXF数据格式的装载；支持Rowid mapping的方式实现数据快速定位；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故障应对能力</w:t>
            </w: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在遇到系统错误引起的复制中断时，例如硬件故障、数据库故障、网络中断或延迟，分级存储机制能完好的保存已经合成的交易信息，避免数据丢失，直到系统故障解决，恢复从队列传输的中断点开始；</w:t>
            </w:r>
          </w:p>
          <w:p>
            <w:pPr>
              <w:pStyle w:val="256"/>
              <w:rPr>
                <w:rFonts w:hint="eastAsia" w:ascii="宋体" w:hAnsi="宋体"/>
                <w:sz w:val="21"/>
                <w:szCs w:val="21"/>
              </w:rPr>
            </w:pPr>
            <w:r>
              <w:rPr>
                <w:rFonts w:hint="eastAsia" w:ascii="宋体" w:hAnsi="宋体"/>
                <w:sz w:val="21"/>
                <w:szCs w:val="21"/>
              </w:rPr>
              <w:t>系统需提供数据比对功能，如果发现不一致情况后能够提供便利的单表以及单用户的数据修复工作，要求操作简单，修复速度快，且修复过程中不影响业务正常运行；</w:t>
            </w:r>
          </w:p>
          <w:p>
            <w:pPr>
              <w:pStyle w:val="256"/>
              <w:rPr>
                <w:rFonts w:hint="eastAsia" w:ascii="宋体" w:hAnsi="宋体"/>
                <w:sz w:val="21"/>
                <w:szCs w:val="21"/>
              </w:rPr>
            </w:pPr>
            <w:r>
              <w:rPr>
                <w:rFonts w:hint="eastAsia" w:ascii="宋体" w:hAnsi="宋体"/>
                <w:sz w:val="21"/>
                <w:szCs w:val="21"/>
              </w:rPr>
              <w:t>生产灾备切换后，支持快速的增量回切、全量回切功能；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DDL支持要求</w:t>
            </w: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支持从数据库日志中分析所有DDL操作，不影响整个同步过程。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智能要求</w:t>
            </w: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在源端数据库数据结构发生变化(如修改表结构，增加表等)后，复制软件可自动将新增结构变化同步到目标端。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2"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仿宋_GB2312"/>
                <w:bCs/>
                <w:color w:val="000000"/>
                <w:szCs w:val="21"/>
              </w:rPr>
            </w:pPr>
            <w:r>
              <w:rPr>
                <w:rFonts w:hint="eastAsia" w:ascii="宋体" w:hAnsi="宋体" w:cs="仿宋_GB2312"/>
                <w:bCs/>
                <w:color w:val="000000"/>
                <w:szCs w:val="21"/>
              </w:rPr>
              <w:t>归档功能</w:t>
            </w:r>
          </w:p>
        </w:tc>
        <w:tc>
          <w:tcPr>
            <w:tcW w:w="7229" w:type="dxa"/>
            <w:tcBorders>
              <w:top w:val="single" w:color="auto" w:sz="4" w:space="0"/>
              <w:left w:val="single" w:color="auto" w:sz="4" w:space="0"/>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按照客户要求将使用频度低的数据一次性(从数据库文件读取)或者连续归档(分析数据库日志)到目标数据库中，并在源端进行数据清理，从而减少源库数据量，提升系统效率，分担系统压力。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szCs w:val="21"/>
              </w:rPr>
              <w:t>▲</w:t>
            </w:r>
            <w:r>
              <w:rPr>
                <w:rFonts w:hint="eastAsia" w:ascii="宋体" w:hAnsi="宋体" w:cs="仿宋_GB2312"/>
                <w:bCs/>
                <w:color w:val="000000"/>
                <w:szCs w:val="21"/>
              </w:rPr>
              <w:t>其他要求</w:t>
            </w:r>
          </w:p>
        </w:tc>
        <w:tc>
          <w:tcPr>
            <w:tcW w:w="7229"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 xml:space="preserve">提供同步软件产品著作权登记证书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2" w:type="dxa"/>
            <w:tcBorders>
              <w:top w:val="single" w:color="auto" w:sz="4" w:space="0"/>
              <w:left w:val="single" w:color="auto" w:sz="4" w:space="0"/>
              <w:right w:val="single" w:color="auto" w:sz="4" w:space="0"/>
            </w:tcBorders>
            <w:vAlign w:val="center"/>
          </w:tcPr>
          <w:p>
            <w:pPr>
              <w:jc w:val="left"/>
              <w:rPr>
                <w:rFonts w:hint="eastAsia" w:ascii="宋体" w:hAnsi="宋体" w:cs="仿宋_GB2312"/>
                <w:bCs/>
                <w:color w:val="000000"/>
                <w:szCs w:val="21"/>
              </w:rPr>
            </w:pPr>
            <w:r>
              <w:rPr>
                <w:rFonts w:hint="eastAsia" w:ascii="宋体" w:hAnsi="宋体" w:cs="仿宋_GB2312"/>
                <w:bCs/>
                <w:color w:val="000000"/>
                <w:szCs w:val="21"/>
              </w:rPr>
              <w:t>服务</w:t>
            </w:r>
          </w:p>
        </w:tc>
        <w:tc>
          <w:tcPr>
            <w:tcW w:w="7229" w:type="dxa"/>
            <w:tcBorders>
              <w:top w:val="single" w:color="auto" w:sz="4" w:space="0"/>
              <w:left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灾备系统查询分析等服务；提供原厂实施服务，三年原厂质保服务，每年四次现场巡检，免费升级服务；</w:t>
            </w:r>
          </w:p>
        </w:tc>
      </w:tr>
    </w:tbl>
    <w:p>
      <w:pPr>
        <w:rPr>
          <w:rFonts w:hint="eastAsia" w:ascii="宋体" w:hAnsi="宋体" w:cs="仿宋_GB2312"/>
          <w:color w:val="000000"/>
          <w:kern w:val="0"/>
          <w:szCs w:val="21"/>
        </w:rPr>
      </w:pPr>
    </w:p>
    <w:p>
      <w:pPr>
        <w:pStyle w:val="4"/>
        <w:spacing w:before="0" w:after="0" w:line="240" w:lineRule="auto"/>
        <w:rPr>
          <w:rFonts w:hint="eastAsia" w:ascii="宋体" w:hAnsi="宋体" w:cs="仿宋_GB2312"/>
          <w:sz w:val="21"/>
          <w:szCs w:val="21"/>
        </w:rPr>
      </w:pPr>
      <w:bookmarkStart w:id="44" w:name="_Toc104743869"/>
      <w:r>
        <w:rPr>
          <w:rFonts w:hint="eastAsia" w:ascii="宋体" w:hAnsi="宋体" w:cs="仿宋_GB2312"/>
          <w:sz w:val="21"/>
          <w:szCs w:val="21"/>
        </w:rPr>
        <w:t>13 数据库实时同步硬件</w:t>
      </w:r>
      <w:bookmarkEnd w:id="44"/>
    </w:p>
    <w:tbl>
      <w:tblPr>
        <w:tblStyle w:val="64"/>
        <w:tblW w:w="8931" w:type="dxa"/>
        <w:tblInd w:w="108" w:type="dxa"/>
        <w:tblLayout w:type="autofit"/>
        <w:tblCellMar>
          <w:top w:w="0" w:type="dxa"/>
          <w:left w:w="108" w:type="dxa"/>
          <w:bottom w:w="0" w:type="dxa"/>
          <w:right w:w="108" w:type="dxa"/>
        </w:tblCellMar>
      </w:tblPr>
      <w:tblGrid>
        <w:gridCol w:w="1560"/>
        <w:gridCol w:w="7371"/>
      </w:tblGrid>
      <w:tr>
        <w:tblPrEx>
          <w:tblCellMar>
            <w:top w:w="0" w:type="dxa"/>
            <w:left w:w="108" w:type="dxa"/>
            <w:bottom w:w="0" w:type="dxa"/>
            <w:right w:w="108" w:type="dxa"/>
          </w:tblCellMar>
        </w:tblPrEx>
        <w:trPr>
          <w:trHeight w:val="285" w:hRule="atLeast"/>
        </w:trPr>
        <w:tc>
          <w:tcPr>
            <w:tcW w:w="15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c>
          <w:tcPr>
            <w:tcW w:w="7371"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参数要求</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外型</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机架式</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高度</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≥2U，标配原厂导轨</w:t>
            </w:r>
          </w:p>
        </w:tc>
      </w:tr>
      <w:tr>
        <w:tblPrEx>
          <w:tblCellMar>
            <w:top w:w="0" w:type="dxa"/>
            <w:left w:w="108" w:type="dxa"/>
            <w:bottom w:w="0" w:type="dxa"/>
            <w:right w:w="108" w:type="dxa"/>
          </w:tblCellMar>
        </w:tblPrEx>
        <w:trPr>
          <w:trHeight w:val="285" w:hRule="atLeast"/>
        </w:trPr>
        <w:tc>
          <w:tcPr>
            <w:tcW w:w="1560" w:type="dxa"/>
            <w:vMerge w:val="restart"/>
            <w:tcBorders>
              <w:top w:val="nil"/>
              <w:left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★配置要求</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CPU≥2颗Intel至强系列处理器(20-core)</w:t>
            </w:r>
          </w:p>
        </w:tc>
      </w:tr>
      <w:tr>
        <w:tblPrEx>
          <w:tblCellMar>
            <w:top w:w="0" w:type="dxa"/>
            <w:left w:w="108" w:type="dxa"/>
            <w:bottom w:w="0" w:type="dxa"/>
            <w:right w:w="108" w:type="dxa"/>
          </w:tblCellMar>
        </w:tblPrEx>
        <w:trPr>
          <w:trHeight w:val="285" w:hRule="atLeast"/>
        </w:trPr>
        <w:tc>
          <w:tcPr>
            <w:tcW w:w="1560" w:type="dxa"/>
            <w:vMerge w:val="continue"/>
            <w:tcBorders>
              <w:left w:val="single" w:color="auto" w:sz="4" w:space="0"/>
              <w:right w:val="single" w:color="auto" w:sz="4" w:space="0"/>
            </w:tcBorders>
            <w:vAlign w:val="center"/>
          </w:tcPr>
          <w:p>
            <w:pPr>
              <w:rPr>
                <w:rFonts w:hint="eastAsia" w:ascii="宋体" w:hAnsi="宋体" w:cs="仿宋_GB2312"/>
                <w:color w:val="000000"/>
                <w:szCs w:val="21"/>
              </w:rPr>
            </w:pP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内存≥512GB DDR4-3200内存</w:t>
            </w:r>
          </w:p>
        </w:tc>
      </w:tr>
      <w:tr>
        <w:tblPrEx>
          <w:tblCellMar>
            <w:top w:w="0" w:type="dxa"/>
            <w:left w:w="108" w:type="dxa"/>
            <w:bottom w:w="0" w:type="dxa"/>
            <w:right w:w="108" w:type="dxa"/>
          </w:tblCellMar>
        </w:tblPrEx>
        <w:trPr>
          <w:trHeight w:val="285" w:hRule="atLeast"/>
        </w:trPr>
        <w:tc>
          <w:tcPr>
            <w:tcW w:w="1560" w:type="dxa"/>
            <w:vMerge w:val="continue"/>
            <w:tcBorders>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硬盘≥4*1.92TB SSD硬盘，4*1.2TB SAS硬盘，</w:t>
            </w:r>
          </w:p>
        </w:tc>
      </w:tr>
      <w:tr>
        <w:tblPrEx>
          <w:tblCellMar>
            <w:top w:w="0" w:type="dxa"/>
            <w:left w:w="108" w:type="dxa"/>
            <w:bottom w:w="0" w:type="dxa"/>
            <w:right w:w="108" w:type="dxa"/>
          </w:tblCellMar>
        </w:tblPrEx>
        <w:trPr>
          <w:trHeight w:val="522" w:hRule="atLeast"/>
        </w:trPr>
        <w:tc>
          <w:tcPr>
            <w:tcW w:w="1560" w:type="dxa"/>
            <w:tcBorders>
              <w:top w:val="nil"/>
              <w:left w:val="single" w:color="auto" w:sz="4" w:space="0"/>
              <w:bottom w:val="nil"/>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阵列控制器</w:t>
            </w:r>
          </w:p>
        </w:tc>
        <w:tc>
          <w:tcPr>
            <w:tcW w:w="7371" w:type="dxa"/>
            <w:tcBorders>
              <w:top w:val="nil"/>
              <w:left w:val="nil"/>
              <w:bottom w:val="nil"/>
              <w:right w:val="single" w:color="auto" w:sz="4" w:space="0"/>
            </w:tcBorders>
            <w:vAlign w:val="center"/>
          </w:tcPr>
          <w:p>
            <w:pPr>
              <w:pStyle w:val="256"/>
              <w:rPr>
                <w:rFonts w:hint="eastAsia" w:ascii="宋体" w:hAnsi="宋体"/>
                <w:sz w:val="21"/>
                <w:szCs w:val="21"/>
              </w:rPr>
            </w:pPr>
            <w:r>
              <w:rPr>
                <w:rFonts w:hint="eastAsia" w:ascii="宋体" w:hAnsi="宋体"/>
                <w:sz w:val="21"/>
                <w:szCs w:val="21"/>
              </w:rPr>
              <w:t>≥1个标配SAS Raid阵列卡（不占用PCIE扩展槽），支持Raid0/1/10/5/6，≥4GB缓存，支持缓存数据保护；</w:t>
            </w:r>
          </w:p>
        </w:tc>
      </w:tr>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启动盘可选项</w:t>
            </w:r>
          </w:p>
        </w:tc>
        <w:tc>
          <w:tcPr>
            <w:tcW w:w="7371"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OS启动盘：支持SATA和PCIe M.2选件，支持双Micro SD卡套件；</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网卡</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≥4个10Gb 光纤以太网接口（含原厂模块），≥4个千兆以太网口，≥2*双口32G HBA卡</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GPU</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支持多达8个单宽/3个双宽</w:t>
            </w:r>
          </w:p>
        </w:tc>
      </w:tr>
      <w:tr>
        <w:tblPrEx>
          <w:tblCellMar>
            <w:top w:w="0" w:type="dxa"/>
            <w:left w:w="108" w:type="dxa"/>
            <w:bottom w:w="0" w:type="dxa"/>
            <w:right w:w="108" w:type="dxa"/>
          </w:tblCellMar>
        </w:tblPrEx>
        <w:trPr>
          <w:trHeight w:val="34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接口</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≥5个USB3.0接口，最高可扩展至7个USB接口；</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冗余电源</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2个≥500w铂金版热插拔冗余电源，支持96%能效比的钛金版电源选件</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冗余风扇</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热插拔冗余风扇</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工作温度</w:t>
            </w:r>
          </w:p>
        </w:tc>
        <w:tc>
          <w:tcPr>
            <w:tcW w:w="7371"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符合ASHARE A4标准，5-45°C标准工作温度</w:t>
            </w:r>
          </w:p>
        </w:tc>
      </w:tr>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服务</w:t>
            </w:r>
          </w:p>
        </w:tc>
        <w:tc>
          <w:tcPr>
            <w:tcW w:w="7371"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提供原厂商三年7x24原厂保修和技术支持服务，为了货物是原厂家最新生产合法渠道货物，投标时提供售后服务承诺说明文件。</w:t>
            </w:r>
          </w:p>
        </w:tc>
      </w:tr>
    </w:tbl>
    <w:p>
      <w:pPr>
        <w:rPr>
          <w:rFonts w:hint="eastAsia" w:ascii="宋体" w:hAnsi="宋体" w:cs="仿宋_GB2312"/>
          <w:color w:val="000000"/>
          <w:kern w:val="0"/>
          <w:szCs w:val="21"/>
        </w:rPr>
      </w:pPr>
    </w:p>
    <w:p>
      <w:pPr>
        <w:pStyle w:val="4"/>
        <w:spacing w:before="0" w:after="0" w:line="240" w:lineRule="auto"/>
        <w:rPr>
          <w:rFonts w:hint="eastAsia" w:ascii="宋体" w:hAnsi="宋体" w:cs="仿宋_GB2312"/>
          <w:sz w:val="21"/>
          <w:szCs w:val="21"/>
        </w:rPr>
      </w:pPr>
      <w:bookmarkStart w:id="45" w:name="_Toc104743870"/>
      <w:r>
        <w:rPr>
          <w:rFonts w:hint="eastAsia" w:ascii="宋体" w:hAnsi="宋体" w:cs="仿宋_GB2312"/>
          <w:sz w:val="21"/>
          <w:szCs w:val="21"/>
        </w:rPr>
        <w:t>14 离线备份系统</w:t>
      </w:r>
      <w:bookmarkEnd w:id="45"/>
    </w:p>
    <w:tbl>
      <w:tblPr>
        <w:tblStyle w:val="6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szCs w:val="21"/>
              </w:rPr>
            </w:pPr>
            <w:r>
              <w:rPr>
                <w:rFonts w:hint="eastAsia" w:ascii="宋体" w:hAnsi="宋体" w:cs="仿宋_GB2312"/>
                <w:szCs w:val="21"/>
              </w:rPr>
              <w:t>技术</w:t>
            </w:r>
          </w:p>
        </w:tc>
        <w:tc>
          <w:tcPr>
            <w:tcW w:w="7371" w:type="dxa"/>
          </w:tcPr>
          <w:p>
            <w:pPr>
              <w:rPr>
                <w:rFonts w:hint="eastAsia" w:ascii="宋体" w:hAnsi="宋体" w:cs="仿宋_GB2312"/>
                <w:szCs w:val="21"/>
              </w:rPr>
            </w:pPr>
            <w:r>
              <w:rPr>
                <w:rFonts w:hint="eastAsia" w:ascii="宋体" w:hAnsi="宋体" w:cs="仿宋_GB2312"/>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体系结构</w:t>
            </w:r>
          </w:p>
        </w:tc>
        <w:tc>
          <w:tcPr>
            <w:tcW w:w="7371" w:type="dxa"/>
            <w:vAlign w:val="center"/>
          </w:tcPr>
          <w:p>
            <w:pPr>
              <w:pStyle w:val="256"/>
              <w:rPr>
                <w:rFonts w:hint="eastAsia" w:ascii="宋体" w:hAnsi="宋体"/>
                <w:sz w:val="21"/>
                <w:szCs w:val="21"/>
              </w:rPr>
            </w:pPr>
            <w:r>
              <w:rPr>
                <w:rFonts w:hint="eastAsia" w:ascii="宋体" w:hAnsi="宋体"/>
                <w:sz w:val="21"/>
                <w:szCs w:val="21"/>
              </w:rPr>
              <w:t xml:space="preserve">软件实现系统功能，备份空间由硬件提供，可以实现数据保护、数据恢复、数据迁移、数据发现以及数据调用等多种数据管理功能。即一个管理平台能实现：应用数据管理、企业级备份及灾难恢复、存储快照及复制管理、终端数据安全及保护、云盘共享、虚拟机及混合云数据管理、大数据管理、数据归档及信息治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平台构成方式</w:t>
            </w:r>
          </w:p>
        </w:tc>
        <w:tc>
          <w:tcPr>
            <w:tcW w:w="7371" w:type="dxa"/>
          </w:tcPr>
          <w:p>
            <w:pPr>
              <w:pStyle w:val="256"/>
              <w:rPr>
                <w:rFonts w:hint="eastAsia" w:ascii="宋体" w:hAnsi="宋体"/>
                <w:sz w:val="21"/>
                <w:szCs w:val="21"/>
              </w:rPr>
            </w:pPr>
            <w:r>
              <w:rPr>
                <w:rFonts w:hint="eastAsia" w:ascii="宋体" w:hAnsi="宋体"/>
                <w:sz w:val="21"/>
                <w:szCs w:val="21"/>
              </w:rPr>
              <w:t>采用“软件定义”的方式，利用通用的服务器构成数据管理平台，利用通用的存储设备（磁盘、磁带、云存储）构成数据存储仓库。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▲硬件配置</w:t>
            </w:r>
          </w:p>
        </w:tc>
        <w:tc>
          <w:tcPr>
            <w:tcW w:w="7371" w:type="dxa"/>
          </w:tcPr>
          <w:p>
            <w:pPr>
              <w:pStyle w:val="256"/>
              <w:rPr>
                <w:rFonts w:hint="eastAsia" w:ascii="宋体" w:hAnsi="宋体"/>
                <w:sz w:val="21"/>
                <w:szCs w:val="21"/>
              </w:rPr>
            </w:pPr>
            <w:r>
              <w:rPr>
                <w:rFonts w:hint="eastAsia" w:ascii="宋体" w:hAnsi="宋体"/>
                <w:sz w:val="21"/>
                <w:szCs w:val="21"/>
              </w:rPr>
              <w:t>机架式服务器，配置2个英特尔至强CPU，20核，128GB DDR4内存，配置RAID卡，带有CacheCade功能，通过启用PERC卡级别的数据分层。配置2*1.92TB  SSD硬盘；50TB  SATA HDD硬盘；4个万兆网口（含模块），4个千兆网口，2*双口16G HBA卡，配置冗余电源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开放性</w:t>
            </w:r>
          </w:p>
        </w:tc>
        <w:tc>
          <w:tcPr>
            <w:tcW w:w="7371" w:type="dxa"/>
          </w:tcPr>
          <w:p>
            <w:pPr>
              <w:pStyle w:val="256"/>
              <w:rPr>
                <w:rFonts w:hint="eastAsia" w:ascii="宋体" w:hAnsi="宋体"/>
                <w:sz w:val="21"/>
                <w:szCs w:val="21"/>
              </w:rPr>
            </w:pPr>
            <w:r>
              <w:rPr>
                <w:rFonts w:hint="eastAsia" w:ascii="宋体" w:hAnsi="宋体"/>
                <w:sz w:val="21"/>
                <w:szCs w:val="21"/>
              </w:rPr>
              <w:t>平台利用第三方接口，调用备份、归档、复制、快照以及REST命令等多种API接口，来获取、收集数据，并将数据保存在数据存储仓库中。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扩展性</w:t>
            </w:r>
          </w:p>
        </w:tc>
        <w:tc>
          <w:tcPr>
            <w:tcW w:w="7371" w:type="dxa"/>
          </w:tcPr>
          <w:p>
            <w:pPr>
              <w:pStyle w:val="256"/>
              <w:rPr>
                <w:rFonts w:hint="eastAsia" w:ascii="宋体" w:hAnsi="宋体"/>
                <w:sz w:val="21"/>
                <w:szCs w:val="21"/>
              </w:rPr>
            </w:pPr>
            <w:r>
              <w:rPr>
                <w:rFonts w:hint="eastAsia" w:ascii="宋体" w:hAnsi="宋体"/>
                <w:sz w:val="21"/>
                <w:szCs w:val="21"/>
              </w:rPr>
              <w:t>平台具有超强的横向扩展能力，单一平台就能管理PB级的数据，管理2万个以上客户端，管理多个私有云和公有云，管理上百个分支机构。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操作系统平台兼容性</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数据管理软件客户端支持各种主流操作Unix、Linux、Windows、MAC OS系统，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数据库及应用兼容性</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数据管理软件支持多平台下的主流数据库和应用的在线备份，包括：Active Directory、SQL Server、Exchange、SharePoint，Oracle、Oracle RAC、Sybase、DB2、DB2 MultiNode、 Informix、MySQL,、IBM Lotus Domino、 PostgreSQL、Documentum、SAP on Oracle/DB2/MaxDB、SAP HANA、MongoDB、Caché、3DFS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▲NAS兼容性</w:t>
            </w:r>
          </w:p>
        </w:tc>
        <w:tc>
          <w:tcPr>
            <w:tcW w:w="7371" w:type="dxa"/>
            <w:vAlign w:val="center"/>
          </w:tcPr>
          <w:p>
            <w:pPr>
              <w:pStyle w:val="256"/>
              <w:rPr>
                <w:rFonts w:hint="eastAsia" w:ascii="宋体" w:hAnsi="宋体"/>
                <w:sz w:val="21"/>
                <w:szCs w:val="21"/>
              </w:rPr>
            </w:pPr>
            <w:r>
              <w:rPr>
                <w:rFonts w:hint="eastAsia" w:ascii="宋体" w:hAnsi="宋体"/>
                <w:sz w:val="21"/>
                <w:szCs w:val="21"/>
              </w:rPr>
              <w:t>支持多种NAS设备的保护，通过NDMP协议实现全备份及增量备份，同时支持NAS的3-Way保护，本次需配置NetApp NAS备份模块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虚拟机、云平台以及大数据平台兼容性</w:t>
            </w:r>
          </w:p>
        </w:tc>
        <w:tc>
          <w:tcPr>
            <w:tcW w:w="7371" w:type="dxa"/>
            <w:vAlign w:val="center"/>
          </w:tcPr>
          <w:p>
            <w:pPr>
              <w:pStyle w:val="256"/>
              <w:rPr>
                <w:rFonts w:hint="eastAsia" w:ascii="宋体" w:hAnsi="宋体"/>
                <w:sz w:val="21"/>
                <w:szCs w:val="21"/>
              </w:rPr>
            </w:pPr>
            <w:r>
              <w:rPr>
                <w:rFonts w:hint="eastAsia" w:ascii="宋体" w:hAnsi="宋体"/>
                <w:sz w:val="21"/>
                <w:szCs w:val="21"/>
              </w:rPr>
              <w:t>支持VMware、、Huawei Fusion Compute、OpenStack、Docker、Amazon EC2/RDS、Microsoft Azure等主流虚拟化平台。</w:t>
            </w:r>
          </w:p>
          <w:p>
            <w:pPr>
              <w:pStyle w:val="256"/>
              <w:rPr>
                <w:rFonts w:hint="eastAsia" w:ascii="宋体" w:hAnsi="宋体"/>
                <w:sz w:val="21"/>
                <w:szCs w:val="21"/>
              </w:rPr>
            </w:pPr>
            <w:r>
              <w:rPr>
                <w:rFonts w:hint="eastAsia" w:ascii="宋体" w:hAnsi="宋体"/>
                <w:sz w:val="21"/>
                <w:szCs w:val="21"/>
              </w:rPr>
              <w:t>支持Amazon S3、Azure Blob Storage、Google Mail、Google Drive、OneDrive for Business、Salesforce、Azure SQL、O365、Alicoud等主流云平台。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▲备份介质支持</w:t>
            </w:r>
          </w:p>
        </w:tc>
        <w:tc>
          <w:tcPr>
            <w:tcW w:w="7371" w:type="dxa"/>
            <w:vAlign w:val="center"/>
          </w:tcPr>
          <w:p>
            <w:pPr>
              <w:pStyle w:val="256"/>
              <w:rPr>
                <w:rFonts w:hint="eastAsia" w:ascii="宋体" w:hAnsi="宋体"/>
                <w:sz w:val="21"/>
                <w:szCs w:val="21"/>
              </w:rPr>
            </w:pPr>
            <w:r>
              <w:rPr>
                <w:rFonts w:hint="eastAsia" w:ascii="宋体" w:hAnsi="宋体"/>
                <w:sz w:val="21"/>
                <w:szCs w:val="21"/>
              </w:rPr>
              <w:t>支持磁盘备份介质、NAS、VTL和磁带备份介质，支持LTO4、LTO5、LTO6、LTO7、LTO8驱动器。支持磁带出库管理，并支持磁带对磁带拷贝。</w:t>
            </w:r>
          </w:p>
          <w:p>
            <w:pPr>
              <w:pStyle w:val="256"/>
              <w:rPr>
                <w:rFonts w:hint="eastAsia" w:ascii="宋体" w:hAnsi="宋体"/>
                <w:sz w:val="21"/>
                <w:szCs w:val="21"/>
              </w:rPr>
            </w:pPr>
            <w:r>
              <w:rPr>
                <w:rFonts w:hint="eastAsia" w:ascii="宋体" w:hAnsi="宋体"/>
                <w:sz w:val="21"/>
                <w:szCs w:val="21"/>
              </w:rPr>
              <w:t>支持多台介质服务器之间可利用SAN/iSCSI传送备份数据，这样在做LAN-Free备份时可以共享同一个磁盘LUN或介质驱动器。</w:t>
            </w:r>
          </w:p>
          <w:p>
            <w:pPr>
              <w:pStyle w:val="256"/>
              <w:rPr>
                <w:rFonts w:hint="eastAsia" w:ascii="宋体" w:hAnsi="宋体"/>
                <w:sz w:val="21"/>
                <w:szCs w:val="21"/>
              </w:rPr>
            </w:pPr>
            <w:r>
              <w:rPr>
                <w:rFonts w:hint="eastAsia" w:ascii="宋体" w:hAnsi="宋体"/>
                <w:sz w:val="21"/>
                <w:szCs w:val="21"/>
              </w:rPr>
              <w:t>支持AliCloud、Amazon S3及兼容云存储厂商、AT&amp;T Synaptic Storage、Caringo CAStor、DDN WOS、Dell DX Object Storage Platform、EMC Atmos、EVault LTS2、Google、Hitachi Content Platform、HGST、Huawei OceanStor 9000 Storage System、Microsoft Azure Storage、OpenStack® Object Storage、Oracle Storage Cloud Service、Rackspace Cloud Files、Verizon等,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图形化管理</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数据管理软件支持对Oracle、MS SQ、Sybase，MySQL，MS Exchange，SharePoint及Lotus Domino的全中文图形化的备份恢复操作，以简化备份恢复管理, 优先考虑无需写任何脚本。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▲数据库及应用的备份恢复</w:t>
            </w:r>
          </w:p>
        </w:tc>
        <w:tc>
          <w:tcPr>
            <w:tcW w:w="7371" w:type="dxa"/>
            <w:vAlign w:val="center"/>
          </w:tcPr>
          <w:p>
            <w:pPr>
              <w:pStyle w:val="256"/>
              <w:rPr>
                <w:rFonts w:hint="eastAsia" w:ascii="宋体" w:hAnsi="宋体"/>
                <w:sz w:val="21"/>
                <w:szCs w:val="21"/>
              </w:rPr>
            </w:pPr>
            <w:r>
              <w:rPr>
                <w:rFonts w:hint="eastAsia" w:ascii="宋体" w:hAnsi="宋体"/>
                <w:sz w:val="21"/>
                <w:szCs w:val="21"/>
              </w:rPr>
              <w:t>1、对所保护的对象支持在线数据备份，能确保操作系统、应用系统的数据完整性一致性</w:t>
            </w:r>
          </w:p>
          <w:p>
            <w:pPr>
              <w:pStyle w:val="256"/>
              <w:rPr>
                <w:rFonts w:hint="eastAsia" w:ascii="宋体" w:hAnsi="宋体"/>
                <w:sz w:val="21"/>
                <w:szCs w:val="21"/>
              </w:rPr>
            </w:pPr>
            <w:r>
              <w:rPr>
                <w:rFonts w:hint="eastAsia" w:ascii="宋体" w:hAnsi="宋体"/>
                <w:sz w:val="21"/>
                <w:szCs w:val="21"/>
              </w:rPr>
              <w:t>2、能对文件系统及应用进行数据块级别增量备份及合成全备份，极大提高海量小文件及应用的备份性能。支持的系统： Windows、UNIX/Linux、MySQL、PostgreSQL、Exchange、SQL Server</w:t>
            </w:r>
          </w:p>
          <w:p>
            <w:pPr>
              <w:pStyle w:val="256"/>
              <w:rPr>
                <w:rFonts w:hint="eastAsia" w:ascii="宋体" w:hAnsi="宋体"/>
                <w:sz w:val="21"/>
                <w:szCs w:val="21"/>
              </w:rPr>
            </w:pPr>
            <w:r>
              <w:rPr>
                <w:rFonts w:hint="eastAsia" w:ascii="宋体" w:hAnsi="宋体"/>
                <w:sz w:val="21"/>
                <w:szCs w:val="21"/>
              </w:rPr>
              <w:t>3、把数据库归档日志即时复制到目标数据库，并立即把复制日志应用到目标数据库，确保数据库即时同步。要求支持的数据库： Oracle、Oracle RAC、PostgreSQL</w:t>
            </w:r>
          </w:p>
          <w:p>
            <w:pPr>
              <w:pStyle w:val="256"/>
              <w:rPr>
                <w:rFonts w:hint="eastAsia" w:ascii="宋体" w:hAnsi="宋体"/>
                <w:sz w:val="21"/>
                <w:szCs w:val="21"/>
              </w:rPr>
            </w:pPr>
            <w:r>
              <w:rPr>
                <w:rFonts w:hint="eastAsia" w:ascii="宋体" w:hAnsi="宋体"/>
                <w:sz w:val="21"/>
                <w:szCs w:val="21"/>
              </w:rPr>
              <w:t>4、对关键应用数据库的Log备份至关重要，Log自动备份极大提高了数据健壮性，防止Log丢失，也可以防范Log空间不足引起的数据库停机。</w:t>
            </w:r>
          </w:p>
          <w:p>
            <w:pPr>
              <w:pStyle w:val="256"/>
              <w:rPr>
                <w:rFonts w:hint="eastAsia" w:ascii="宋体" w:hAnsi="宋体"/>
                <w:sz w:val="21"/>
                <w:szCs w:val="21"/>
              </w:rPr>
            </w:pPr>
            <w:r>
              <w:rPr>
                <w:rFonts w:hint="eastAsia" w:ascii="宋体" w:hAnsi="宋体"/>
                <w:sz w:val="21"/>
                <w:szCs w:val="21"/>
              </w:rPr>
              <w:t>支持的数据库：SQL Server、Oracle、Oracle RAC、SAP for Oracle、Notes Database</w:t>
            </w:r>
          </w:p>
          <w:p>
            <w:pPr>
              <w:pStyle w:val="256"/>
              <w:rPr>
                <w:rFonts w:hint="eastAsia" w:ascii="宋体" w:hAnsi="宋体"/>
                <w:sz w:val="21"/>
                <w:szCs w:val="21"/>
              </w:rPr>
            </w:pPr>
            <w:r>
              <w:rPr>
                <w:rFonts w:hint="eastAsia" w:ascii="宋体" w:hAnsi="宋体"/>
                <w:sz w:val="21"/>
                <w:szCs w:val="21"/>
              </w:rPr>
              <w:t>5、把数据库归档日志即时复制到目标数据库，并立即把复制日志应用到目标数据库，确保数据库即时同步。支持的数据库： Oracle、Oracle RAC、PostgreSQL</w:t>
            </w:r>
          </w:p>
          <w:p>
            <w:pPr>
              <w:pStyle w:val="256"/>
              <w:rPr>
                <w:rFonts w:hint="eastAsia" w:ascii="宋体" w:hAnsi="宋体"/>
                <w:sz w:val="21"/>
                <w:szCs w:val="21"/>
              </w:rPr>
            </w:pPr>
            <w:r>
              <w:rPr>
                <w:rFonts w:hint="eastAsia" w:ascii="宋体" w:hAnsi="宋体"/>
                <w:sz w:val="21"/>
                <w:szCs w:val="21"/>
              </w:rPr>
              <w:t>SQL Server、Oracle、Oracle RAC、SAP for Oracle、Notes Database</w:t>
            </w:r>
          </w:p>
          <w:p>
            <w:pPr>
              <w:pStyle w:val="256"/>
              <w:rPr>
                <w:rFonts w:hint="eastAsia" w:ascii="宋体" w:hAnsi="宋体"/>
                <w:sz w:val="21"/>
                <w:szCs w:val="21"/>
              </w:rPr>
            </w:pPr>
            <w:r>
              <w:rPr>
                <w:rFonts w:hint="eastAsia" w:ascii="宋体" w:hAnsi="宋体"/>
                <w:sz w:val="21"/>
                <w:szCs w:val="21"/>
              </w:rPr>
              <w:t>6、无需写任何脚本，利用图形界面提供单表恢复功能，极大简化数据库恢复操作。支持的数据库： Oracle、Oracle RAC、MySQL、PostgreSQL、SQL Server、DB2、Informix</w:t>
            </w:r>
          </w:p>
          <w:p>
            <w:pPr>
              <w:pStyle w:val="256"/>
              <w:rPr>
                <w:rFonts w:hint="eastAsia" w:ascii="宋体" w:hAnsi="宋体"/>
                <w:sz w:val="21"/>
                <w:szCs w:val="21"/>
              </w:rPr>
            </w:pPr>
            <w:r>
              <w:rPr>
                <w:rFonts w:hint="eastAsia" w:ascii="宋体" w:hAnsi="宋体"/>
                <w:sz w:val="21"/>
                <w:szCs w:val="21"/>
              </w:rPr>
              <w:t>7、当操作系统磁盘被破坏时，能进行裸机恢复，完整恢复操作系统及应用程序。当操作系统状态或文件被破坏时，可直接恢复系统状态或文件。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rPr>
                <w:rFonts w:hint="eastAsia" w:ascii="宋体" w:hAnsi="宋体" w:cs="仿宋_GB2312"/>
                <w:kern w:val="0"/>
                <w:szCs w:val="21"/>
              </w:rPr>
            </w:pPr>
            <w:r>
              <w:rPr>
                <w:rFonts w:hint="eastAsia" w:ascii="宋体" w:hAnsi="宋体" w:cs="仿宋_GB2312"/>
                <w:kern w:val="0"/>
                <w:szCs w:val="21"/>
              </w:rPr>
              <w:t>▲虚拟机备份支持</w:t>
            </w:r>
          </w:p>
        </w:tc>
        <w:tc>
          <w:tcPr>
            <w:tcW w:w="7371" w:type="dxa"/>
            <w:vAlign w:val="center"/>
          </w:tcPr>
          <w:p>
            <w:pPr>
              <w:pStyle w:val="256"/>
              <w:rPr>
                <w:rFonts w:hint="eastAsia" w:ascii="宋体" w:hAnsi="宋体"/>
                <w:sz w:val="21"/>
                <w:szCs w:val="21"/>
              </w:rPr>
            </w:pPr>
            <w:r>
              <w:rPr>
                <w:rFonts w:hint="eastAsia" w:ascii="宋体" w:hAnsi="宋体"/>
                <w:sz w:val="21"/>
                <w:szCs w:val="21"/>
              </w:rPr>
              <w:t>1、虚拟机备份模块（VSA）安装在备份代理服务器中，而不是安装在需要备份的虚拟机中，对多个虚拟机进行在线备份。能实现对变化的数据块进行增量备份，并能进行合成全备份，极大方便部署并提高虚拟机备份性能；能支持Amazon、Citrix Xen、Microsoft Azure、Microsoft Hyper-V、Nutanix、 Acropolis、OpenStack、Oracle VM、Red Hat Virtualization、VMware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rPr>
                <w:rFonts w:hint="eastAsia" w:ascii="宋体" w:hAnsi="宋体" w:cs="仿宋_GB2312"/>
                <w:kern w:val="0"/>
                <w:szCs w:val="21"/>
              </w:rPr>
            </w:pPr>
          </w:p>
        </w:tc>
        <w:tc>
          <w:tcPr>
            <w:tcW w:w="7371" w:type="dxa"/>
            <w:vAlign w:val="center"/>
          </w:tcPr>
          <w:p>
            <w:pPr>
              <w:pStyle w:val="256"/>
              <w:rPr>
                <w:rFonts w:hint="eastAsia" w:ascii="宋体" w:hAnsi="宋体"/>
                <w:sz w:val="21"/>
                <w:szCs w:val="21"/>
              </w:rPr>
            </w:pPr>
            <w:r>
              <w:rPr>
                <w:rFonts w:hint="eastAsia" w:ascii="宋体" w:hAnsi="宋体"/>
                <w:sz w:val="21"/>
                <w:szCs w:val="21"/>
              </w:rPr>
              <w:t>2、对虚拟机增量数据块进行即时复制保护，满足用户灾难备份的ROP/RTO要求，能复制到同平台的虚拟机，也可以复制到AWS、ARM、Azure云平台。</w:t>
            </w:r>
          </w:p>
          <w:p>
            <w:pPr>
              <w:pStyle w:val="256"/>
              <w:rPr>
                <w:rFonts w:hint="eastAsia" w:ascii="宋体" w:hAnsi="宋体"/>
                <w:sz w:val="21"/>
                <w:szCs w:val="21"/>
              </w:rPr>
            </w:pPr>
            <w:r>
              <w:rPr>
                <w:rFonts w:hint="eastAsia" w:ascii="宋体" w:hAnsi="宋体"/>
                <w:sz w:val="21"/>
                <w:szCs w:val="21"/>
              </w:rPr>
              <w:t>能支持： VMware、Hyper-V、AWS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rPr>
                <w:rFonts w:hint="eastAsia" w:ascii="宋体" w:hAnsi="宋体" w:cs="仿宋_GB2312"/>
                <w:kern w:val="0"/>
                <w:szCs w:val="21"/>
              </w:rPr>
            </w:pPr>
          </w:p>
        </w:tc>
        <w:tc>
          <w:tcPr>
            <w:tcW w:w="7371" w:type="dxa"/>
            <w:vAlign w:val="center"/>
          </w:tcPr>
          <w:p>
            <w:pPr>
              <w:pStyle w:val="256"/>
              <w:rPr>
                <w:rFonts w:hint="eastAsia" w:ascii="宋体" w:hAnsi="宋体"/>
                <w:sz w:val="21"/>
                <w:szCs w:val="21"/>
              </w:rPr>
            </w:pPr>
            <w:r>
              <w:rPr>
                <w:rFonts w:hint="eastAsia" w:ascii="宋体" w:hAnsi="宋体"/>
                <w:sz w:val="21"/>
                <w:szCs w:val="21"/>
              </w:rPr>
              <w:t>3、支持物理机完整恢复到虚拟机环境中，还支持虚拟机跨平台完整恢复到另一虚拟机环境中或公有云环境中。</w:t>
            </w:r>
          </w:p>
          <w:p>
            <w:pPr>
              <w:pStyle w:val="256"/>
              <w:rPr>
                <w:rFonts w:hint="eastAsia" w:ascii="宋体" w:hAnsi="宋体"/>
                <w:sz w:val="21"/>
                <w:szCs w:val="21"/>
              </w:rPr>
            </w:pPr>
            <w:r>
              <w:rPr>
                <w:rFonts w:hint="eastAsia" w:ascii="宋体" w:hAnsi="宋体"/>
                <w:sz w:val="21"/>
                <w:szCs w:val="21"/>
              </w:rPr>
              <w:t>需要支持的跨平台迁移转换：物理机到VMware、Hyper-V</w:t>
            </w:r>
          </w:p>
          <w:p>
            <w:pPr>
              <w:pStyle w:val="256"/>
              <w:rPr>
                <w:rFonts w:hint="eastAsia" w:ascii="宋体" w:hAnsi="宋体"/>
                <w:sz w:val="21"/>
                <w:szCs w:val="21"/>
              </w:rPr>
            </w:pPr>
            <w:r>
              <w:rPr>
                <w:rFonts w:hint="eastAsia" w:ascii="宋体" w:hAnsi="宋体"/>
                <w:sz w:val="21"/>
                <w:szCs w:val="21"/>
              </w:rPr>
              <w:t>VMware到Hyper-V、OpenStack、AWS、Azure</w:t>
            </w:r>
          </w:p>
          <w:p>
            <w:pPr>
              <w:pStyle w:val="256"/>
              <w:rPr>
                <w:rFonts w:hint="eastAsia" w:ascii="宋体" w:hAnsi="宋体"/>
                <w:sz w:val="21"/>
                <w:szCs w:val="21"/>
              </w:rPr>
            </w:pPr>
            <w:r>
              <w:rPr>
                <w:rFonts w:hint="eastAsia" w:ascii="宋体" w:hAnsi="宋体"/>
                <w:sz w:val="21"/>
                <w:szCs w:val="21"/>
              </w:rPr>
              <w:t>Hyper-V到VMware、AWS、Azure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rPr>
                <w:rFonts w:hint="eastAsia" w:ascii="宋体" w:hAnsi="宋体" w:cs="仿宋_GB2312"/>
                <w:kern w:val="0"/>
                <w:szCs w:val="21"/>
              </w:rPr>
            </w:pPr>
          </w:p>
        </w:tc>
        <w:tc>
          <w:tcPr>
            <w:tcW w:w="7371" w:type="dxa"/>
            <w:vAlign w:val="center"/>
          </w:tcPr>
          <w:p>
            <w:pPr>
              <w:pStyle w:val="256"/>
              <w:rPr>
                <w:rFonts w:hint="eastAsia" w:ascii="宋体" w:hAnsi="宋体"/>
                <w:sz w:val="21"/>
                <w:szCs w:val="21"/>
              </w:rPr>
            </w:pPr>
            <w:r>
              <w:rPr>
                <w:rFonts w:hint="eastAsia" w:ascii="宋体" w:hAnsi="宋体"/>
                <w:sz w:val="21"/>
                <w:szCs w:val="21"/>
              </w:rPr>
              <w:t>4、不需要恢复虚拟机备份数据，直接浏览并恢复虚拟机中文件，极大提高恢复速度并简化恢复操作。支持虚拟化： VMware、Hyper-V、Citrix Xen、Red Hat Virtualization、Amazon、Azure、Nutanix Acropolis、OracleVM、OpenStack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rPr>
                <w:rFonts w:hint="eastAsia" w:ascii="宋体" w:hAnsi="宋体" w:cs="仿宋_GB2312"/>
                <w:kern w:val="0"/>
                <w:szCs w:val="21"/>
              </w:rPr>
            </w:pPr>
          </w:p>
        </w:tc>
        <w:tc>
          <w:tcPr>
            <w:tcW w:w="7371" w:type="dxa"/>
            <w:vAlign w:val="center"/>
          </w:tcPr>
          <w:p>
            <w:pPr>
              <w:pStyle w:val="256"/>
              <w:rPr>
                <w:rFonts w:hint="eastAsia" w:ascii="宋体" w:hAnsi="宋体"/>
                <w:sz w:val="21"/>
                <w:szCs w:val="21"/>
              </w:rPr>
            </w:pPr>
            <w:r>
              <w:rPr>
                <w:rFonts w:hint="eastAsia" w:ascii="宋体" w:hAnsi="宋体"/>
                <w:sz w:val="21"/>
                <w:szCs w:val="21"/>
              </w:rPr>
              <w:t>5、不需要恢复虚拟机备份数据，直接运行备份虚拟机，并可选择同时进行后台恢复，不仅提高了RTO，也极大简化了恢复测试。</w:t>
            </w:r>
          </w:p>
          <w:p>
            <w:pPr>
              <w:pStyle w:val="256"/>
              <w:rPr>
                <w:rFonts w:hint="eastAsia" w:ascii="宋体" w:hAnsi="宋体"/>
                <w:sz w:val="21"/>
                <w:szCs w:val="21"/>
              </w:rPr>
            </w:pPr>
            <w:r>
              <w:rPr>
                <w:rFonts w:hint="eastAsia" w:ascii="宋体" w:hAnsi="宋体"/>
                <w:sz w:val="21"/>
                <w:szCs w:val="21"/>
              </w:rPr>
              <w:t>支持的虚拟化平台： VMware、Hyper-V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rPr>
                <w:rFonts w:hint="eastAsia" w:ascii="宋体" w:hAnsi="宋体" w:cs="仿宋_GB2312"/>
                <w:kern w:val="0"/>
                <w:szCs w:val="21"/>
              </w:rPr>
            </w:pPr>
          </w:p>
        </w:tc>
        <w:tc>
          <w:tcPr>
            <w:tcW w:w="7371" w:type="dxa"/>
            <w:vAlign w:val="center"/>
          </w:tcPr>
          <w:p>
            <w:pPr>
              <w:pStyle w:val="256"/>
              <w:rPr>
                <w:rFonts w:hint="eastAsia" w:ascii="宋体" w:hAnsi="宋体"/>
                <w:sz w:val="21"/>
                <w:szCs w:val="21"/>
              </w:rPr>
            </w:pPr>
            <w:r>
              <w:rPr>
                <w:rFonts w:hint="eastAsia" w:ascii="宋体" w:hAnsi="宋体"/>
                <w:sz w:val="21"/>
                <w:szCs w:val="21"/>
              </w:rPr>
              <w:t>6、不需要恢复虚拟机备份数据，直接运行备份虚拟机，并可选择同时进行后台恢复，不仅提高了RTO，也极大简化了恢复测试。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持续复制功能</w:t>
            </w:r>
          </w:p>
        </w:tc>
        <w:tc>
          <w:tcPr>
            <w:tcW w:w="7371" w:type="dxa"/>
            <w:vAlign w:val="center"/>
          </w:tcPr>
          <w:p>
            <w:pPr>
              <w:pStyle w:val="256"/>
              <w:rPr>
                <w:rFonts w:hint="eastAsia" w:ascii="宋体" w:hAnsi="宋体"/>
                <w:sz w:val="21"/>
                <w:szCs w:val="21"/>
              </w:rPr>
            </w:pPr>
            <w:r>
              <w:rPr>
                <w:rFonts w:hint="eastAsia" w:ascii="宋体" w:hAnsi="宋体"/>
                <w:sz w:val="21"/>
                <w:szCs w:val="21"/>
              </w:rPr>
              <w:t>支持文件系统及相关应用连续数据复制保护，并能创建应用一致点快照，数据丢失少并确保应用一致性，满足用户灾难备份的ROP/RTO要求，支持一对多，多对一模式。支持的平台及应用： Windows、AIX、HP-UX、Linux、Solaris、Exchange、SQL Server、AD、Oracle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数据归档/迁移功能</w:t>
            </w:r>
          </w:p>
        </w:tc>
        <w:tc>
          <w:tcPr>
            <w:tcW w:w="7371" w:type="dxa"/>
            <w:vAlign w:val="center"/>
          </w:tcPr>
          <w:p>
            <w:pPr>
              <w:pStyle w:val="256"/>
              <w:rPr>
                <w:rFonts w:hint="eastAsia" w:ascii="宋体" w:hAnsi="宋体"/>
                <w:sz w:val="21"/>
                <w:szCs w:val="21"/>
              </w:rPr>
            </w:pPr>
            <w:r>
              <w:rPr>
                <w:rFonts w:hint="eastAsia" w:ascii="宋体" w:hAnsi="宋体"/>
                <w:sz w:val="21"/>
                <w:szCs w:val="21"/>
              </w:rPr>
              <w:t>1、对不常使用的文件自动归档到二级存储并保留归档存根，需要访问时，归档数据自动回迁，这样可减少对在线存储的占用，也减少数据备份数据和备份窗口的目的。要求支持的文件系统： Windows、Unix、Linux及NAS</w:t>
            </w:r>
          </w:p>
          <w:p>
            <w:pPr>
              <w:pStyle w:val="256"/>
              <w:rPr>
                <w:rFonts w:hint="eastAsia" w:ascii="宋体" w:hAnsi="宋体"/>
                <w:sz w:val="21"/>
                <w:szCs w:val="21"/>
              </w:rPr>
            </w:pPr>
            <w:r>
              <w:rPr>
                <w:rFonts w:hint="eastAsia" w:ascii="宋体" w:hAnsi="宋体"/>
                <w:sz w:val="21"/>
                <w:szCs w:val="21"/>
              </w:rPr>
              <w:t>2、支持虚拟机归档，可自动对不经常使用的虚拟机做自动关机，并将整个虚拟机自动迁移到二级存储，需要访问时可实现虚拟机自动回调，以降低主存储成本及释放虚拟服务器资源。要求支持虚拟机平台：VMware、Hyper-V、OpenS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重复数据删除技术支持</w:t>
            </w:r>
          </w:p>
        </w:tc>
        <w:tc>
          <w:tcPr>
            <w:tcW w:w="7371" w:type="dxa"/>
            <w:vAlign w:val="center"/>
          </w:tcPr>
          <w:p>
            <w:pPr>
              <w:pStyle w:val="256"/>
              <w:rPr>
                <w:rFonts w:hint="eastAsia" w:ascii="宋体" w:hAnsi="宋体"/>
                <w:sz w:val="21"/>
                <w:szCs w:val="21"/>
              </w:rPr>
            </w:pPr>
            <w:r>
              <w:rPr>
                <w:rFonts w:hint="eastAsia" w:ascii="宋体" w:hAnsi="宋体"/>
                <w:sz w:val="21"/>
                <w:szCs w:val="21"/>
              </w:rPr>
              <w:t>内含数据块级别去重功能，支持源端去重、目标端去重、全局去重，重复数据复制功能。采用SHA-512去重算法，理论上没有重码，并可调整去重因子大小，以提高不同应用的去重比。支持磁盘、磁带、云存储去重。去重数据恢复不依赖去重数据库，数据更安全。利用去重数据进行合成全备份，使全备份速度极大提高，而且不占用生产设备资源。仅复制去重后的新增数据块，利用该功能可以极大提高灾难备份的效率，节省网络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多备份域集中管理</w:t>
            </w:r>
          </w:p>
        </w:tc>
        <w:tc>
          <w:tcPr>
            <w:tcW w:w="7371" w:type="dxa"/>
          </w:tcPr>
          <w:p>
            <w:pPr>
              <w:pStyle w:val="256"/>
              <w:rPr>
                <w:rFonts w:hint="eastAsia" w:ascii="宋体" w:hAnsi="宋体"/>
                <w:sz w:val="21"/>
                <w:szCs w:val="21"/>
              </w:rPr>
            </w:pPr>
            <w:r>
              <w:rPr>
                <w:rFonts w:hint="eastAsia" w:ascii="宋体" w:hAnsi="宋体"/>
                <w:sz w:val="21"/>
                <w:szCs w:val="21"/>
              </w:rPr>
              <w:t>多个备份域可以进行集中管控，备份数据可跨域传输，跨域恢复，多备份域可共享云存储，极大简化云灾备中心部署和管理。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用户权限管理</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内置完善的用户和用户组管理功能，对不同业务系统分组管理，且能对单个用户组的操作权限作细致划分，如：备份、恢复、介质管理、报告等，并可对用户的操作进行追踪审计，以满足企业级客户多部门分组管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跨域防火墙</w:t>
            </w:r>
          </w:p>
        </w:tc>
        <w:tc>
          <w:tcPr>
            <w:tcW w:w="7371" w:type="dxa"/>
          </w:tcPr>
          <w:p>
            <w:pPr>
              <w:pStyle w:val="256"/>
              <w:rPr>
                <w:rFonts w:hint="eastAsia" w:ascii="宋体" w:hAnsi="宋体"/>
                <w:sz w:val="21"/>
                <w:szCs w:val="21"/>
              </w:rPr>
            </w:pPr>
            <w:r>
              <w:rPr>
                <w:rFonts w:hint="eastAsia" w:ascii="宋体" w:hAnsi="宋体"/>
                <w:sz w:val="21"/>
                <w:szCs w:val="21"/>
              </w:rPr>
              <w:t>支持多种防火墙：单向/双向端口隧道直连（仅需一个端口）、端口转发网关、DMZ、HTTP代理（包括WIFI连接）、上述各种方式组合的防火墙。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预检测功能</w:t>
            </w:r>
          </w:p>
        </w:tc>
        <w:tc>
          <w:tcPr>
            <w:tcW w:w="7371" w:type="dxa"/>
            <w:vAlign w:val="center"/>
          </w:tcPr>
          <w:p>
            <w:pPr>
              <w:pStyle w:val="256"/>
              <w:rPr>
                <w:rFonts w:hint="eastAsia" w:ascii="宋体" w:hAnsi="宋体"/>
                <w:sz w:val="21"/>
                <w:szCs w:val="21"/>
              </w:rPr>
            </w:pPr>
            <w:r>
              <w:rPr>
                <w:rFonts w:hint="eastAsia" w:ascii="宋体" w:hAnsi="宋体"/>
                <w:sz w:val="21"/>
                <w:szCs w:val="21"/>
              </w:rPr>
              <w:t>能定时或在备份前对备份系统的每个环节进行检测，提供预检报告，及早发现各种软件、硬件、网络及系统问题，以便保证备份系统稳定工作。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断点续传功能</w:t>
            </w:r>
          </w:p>
        </w:tc>
        <w:tc>
          <w:tcPr>
            <w:tcW w:w="7371" w:type="dxa"/>
            <w:vAlign w:val="center"/>
          </w:tcPr>
          <w:p>
            <w:pPr>
              <w:pStyle w:val="256"/>
              <w:rPr>
                <w:rFonts w:hint="eastAsia" w:ascii="宋体" w:hAnsi="宋体"/>
                <w:sz w:val="21"/>
                <w:szCs w:val="21"/>
              </w:rPr>
            </w:pPr>
            <w:r>
              <w:rPr>
                <w:rFonts w:hint="eastAsia" w:ascii="宋体" w:hAnsi="宋体"/>
                <w:sz w:val="21"/>
                <w:szCs w:val="21"/>
              </w:rPr>
              <w:t>支持断点续传功能，可以在图形界面上对文件系统和数据库进行中断、继续复制备份操作，复制备份从断点继续，而不是从头开始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支持自服务恢复操作</w:t>
            </w:r>
          </w:p>
        </w:tc>
        <w:tc>
          <w:tcPr>
            <w:tcW w:w="7371" w:type="dxa"/>
          </w:tcPr>
          <w:p>
            <w:pPr>
              <w:pStyle w:val="256"/>
              <w:rPr>
                <w:rFonts w:hint="eastAsia" w:ascii="宋体" w:hAnsi="宋体"/>
                <w:sz w:val="21"/>
                <w:szCs w:val="21"/>
              </w:rPr>
            </w:pPr>
            <w:r>
              <w:rPr>
                <w:rFonts w:hint="eastAsia" w:ascii="宋体" w:hAnsi="宋体"/>
                <w:sz w:val="21"/>
                <w:szCs w:val="21"/>
              </w:rPr>
              <w:t>数据的拥有者能对自己拥有的数据进行恢复操作，不需要麻烦备份管理员，从而极大减轻备份管理员的工作压力。可支持自服务恢复的数据类型： 文件、邮件、虚拟机、Oracle、SQL Server、SAP HANA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支持自动恢复演练</w:t>
            </w:r>
          </w:p>
        </w:tc>
        <w:tc>
          <w:tcPr>
            <w:tcW w:w="7371" w:type="dxa"/>
          </w:tcPr>
          <w:p>
            <w:pPr>
              <w:pStyle w:val="256"/>
              <w:rPr>
                <w:rFonts w:hint="eastAsia" w:ascii="宋体" w:hAnsi="宋体"/>
                <w:sz w:val="21"/>
                <w:szCs w:val="21"/>
              </w:rPr>
            </w:pPr>
            <w:r>
              <w:rPr>
                <w:rFonts w:hint="eastAsia" w:ascii="宋体" w:hAnsi="宋体"/>
                <w:sz w:val="21"/>
                <w:szCs w:val="21"/>
              </w:rPr>
              <w:t>通过制定恢复演练策略，自动完整恢复演练测试，可恢复到灾备中心的物理机、虚拟机，或者私有云及公有云中。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报警功能</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数据管理软件能收集各种报警信息，并以短信、电子邮件等方式发送给管理员，支持与主流事件报警平台集成，以实现统一事件告警和审计。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报表功能</w:t>
            </w:r>
          </w:p>
        </w:tc>
        <w:tc>
          <w:tcPr>
            <w:tcW w:w="7371" w:type="dxa"/>
            <w:vAlign w:val="center"/>
          </w:tcPr>
          <w:p>
            <w:pPr>
              <w:pStyle w:val="256"/>
              <w:rPr>
                <w:rFonts w:hint="eastAsia" w:ascii="宋体" w:hAnsi="宋体"/>
                <w:sz w:val="21"/>
                <w:szCs w:val="21"/>
              </w:rPr>
            </w:pPr>
            <w:r>
              <w:rPr>
                <w:rFonts w:hint="eastAsia" w:ascii="宋体" w:hAnsi="宋体"/>
                <w:sz w:val="21"/>
                <w:szCs w:val="21"/>
              </w:rPr>
              <w:t>数据管理软件集成了中文界面的Web图形化报表系统，无需提供第三方软件，支持完善的运维报表，统计分析备份系统的健康状态，数据分布，数据增长，方便运维管理及系统优化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▲配置要求</w:t>
            </w:r>
          </w:p>
        </w:tc>
        <w:tc>
          <w:tcPr>
            <w:tcW w:w="7371" w:type="dxa"/>
          </w:tcPr>
          <w:p>
            <w:pPr>
              <w:pStyle w:val="256"/>
              <w:rPr>
                <w:rFonts w:hint="eastAsia" w:ascii="宋体" w:hAnsi="宋体"/>
                <w:sz w:val="21"/>
                <w:szCs w:val="21"/>
              </w:rPr>
            </w:pPr>
            <w:r>
              <w:rPr>
                <w:rFonts w:hint="eastAsia" w:ascii="宋体" w:hAnsi="宋体"/>
                <w:sz w:val="21"/>
                <w:szCs w:val="21"/>
              </w:rPr>
              <w:t>备份物理服务器许可*20；虚拟机数200个；备份容量200TB；支持各种数据库，虚拟化，操作系统备份，压缩和重复数据删除许可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kern w:val="0"/>
                <w:szCs w:val="21"/>
              </w:rPr>
            </w:pPr>
            <w:r>
              <w:rPr>
                <w:rFonts w:hint="eastAsia" w:ascii="宋体" w:hAnsi="宋体" w:cs="仿宋_GB2312"/>
                <w:kern w:val="0"/>
                <w:szCs w:val="21"/>
              </w:rPr>
              <w:t>访问控制</w:t>
            </w:r>
          </w:p>
        </w:tc>
        <w:tc>
          <w:tcPr>
            <w:tcW w:w="7371" w:type="dxa"/>
          </w:tcPr>
          <w:p>
            <w:pPr>
              <w:pStyle w:val="256"/>
              <w:rPr>
                <w:rFonts w:hint="eastAsia" w:ascii="宋体" w:hAnsi="宋体"/>
                <w:sz w:val="21"/>
                <w:szCs w:val="21"/>
              </w:rPr>
            </w:pPr>
            <w:r>
              <w:rPr>
                <w:rFonts w:hint="eastAsia" w:ascii="宋体" w:hAnsi="宋体"/>
                <w:sz w:val="21"/>
                <w:szCs w:val="21"/>
              </w:rPr>
              <w:t>因政策法规要求，备份软件需具备接入堡垒机的功能，运维人员访问备份软件服务器必须经过堡垒机设备才能登陆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rPr>
                <w:rFonts w:hint="eastAsia" w:ascii="宋体" w:hAnsi="宋体" w:cs="仿宋_GB2312"/>
                <w:color w:val="000000"/>
                <w:szCs w:val="21"/>
              </w:rPr>
            </w:pPr>
            <w:r>
              <w:rPr>
                <w:rFonts w:hint="eastAsia" w:ascii="宋体" w:hAnsi="宋体" w:cs="仿宋_GB2312"/>
                <w:color w:val="000000"/>
                <w:szCs w:val="21"/>
              </w:rPr>
              <w:t>▲功能测试验证</w:t>
            </w:r>
          </w:p>
        </w:tc>
        <w:tc>
          <w:tcPr>
            <w:tcW w:w="7371" w:type="dxa"/>
          </w:tcPr>
          <w:p>
            <w:pPr>
              <w:pStyle w:val="256"/>
              <w:rPr>
                <w:rFonts w:hint="eastAsia" w:ascii="宋体" w:hAnsi="宋体"/>
                <w:sz w:val="21"/>
                <w:szCs w:val="21"/>
              </w:rPr>
            </w:pPr>
            <w:r>
              <w:rPr>
                <w:rFonts w:hint="eastAsia" w:ascii="宋体" w:hAnsi="宋体"/>
                <w:sz w:val="21"/>
                <w:szCs w:val="21"/>
              </w:rPr>
              <w:t>中标后七天内，提供测试系统对产品功能和性能测试，若无法在规定时间内提供测试设备或测试结果与招标内容不符，影响医院互联互通等级评定和应用软件上线，取消中标资格，中标方承担所有责任；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rPr>
                <w:rFonts w:hint="eastAsia" w:ascii="宋体" w:hAnsi="宋体" w:cs="仿宋_GB2312"/>
                <w:kern w:val="0"/>
                <w:szCs w:val="21"/>
              </w:rPr>
            </w:pPr>
            <w:r>
              <w:rPr>
                <w:rFonts w:hint="eastAsia" w:ascii="宋体" w:hAnsi="宋体" w:cs="仿宋_GB2312"/>
                <w:kern w:val="0"/>
                <w:szCs w:val="21"/>
              </w:rPr>
              <w:t>服务要求</w:t>
            </w:r>
          </w:p>
        </w:tc>
        <w:tc>
          <w:tcPr>
            <w:tcW w:w="7371" w:type="dxa"/>
          </w:tcPr>
          <w:p>
            <w:pPr>
              <w:pStyle w:val="256"/>
              <w:rPr>
                <w:rFonts w:hint="eastAsia" w:ascii="宋体" w:hAnsi="宋体"/>
                <w:sz w:val="21"/>
                <w:szCs w:val="21"/>
              </w:rPr>
            </w:pPr>
            <w:r>
              <w:rPr>
                <w:rFonts w:hint="eastAsia" w:ascii="宋体" w:hAnsi="宋体"/>
                <w:sz w:val="21"/>
                <w:szCs w:val="21"/>
              </w:rPr>
              <w:t>提供原厂商三年7*24技术支持服务和保修服务，投标提供技术保修服务承诺</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6" w:name="_Toc104743871"/>
      <w:r>
        <w:rPr>
          <w:rFonts w:hint="eastAsia" w:ascii="宋体" w:hAnsi="宋体" w:cs="仿宋_GB2312"/>
          <w:sz w:val="21"/>
          <w:szCs w:val="21"/>
        </w:rPr>
        <w:t>15 交互式应用安全测试系统</w:t>
      </w:r>
      <w:bookmarkEnd w:id="46"/>
    </w:p>
    <w:tbl>
      <w:tblPr>
        <w:tblStyle w:val="6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pct20" w:color="auto" w:fill="auto"/>
          </w:tcPr>
          <w:p>
            <w:pPr>
              <w:ind w:left="1"/>
              <w:jc w:val="center"/>
              <w:rPr>
                <w:rFonts w:hint="eastAsia" w:ascii="宋体" w:hAnsi="宋体" w:cs="仿宋_GB2312"/>
                <w:color w:val="000000"/>
                <w:szCs w:val="21"/>
              </w:rPr>
            </w:pPr>
            <w:r>
              <w:rPr>
                <w:rFonts w:hint="eastAsia" w:ascii="宋体" w:hAnsi="宋体" w:cs="仿宋_GB2312"/>
                <w:color w:val="000000"/>
                <w:szCs w:val="21"/>
              </w:rPr>
              <w:t>指标项</w:t>
            </w:r>
          </w:p>
        </w:tc>
        <w:tc>
          <w:tcPr>
            <w:tcW w:w="7626" w:type="dxa"/>
            <w:shd w:val="pct20" w:color="auto" w:fill="auto"/>
          </w:tcPr>
          <w:p>
            <w:pPr>
              <w:ind w:left="1"/>
              <w:jc w:val="center"/>
              <w:rPr>
                <w:rFonts w:hint="eastAsia" w:ascii="宋体" w:hAnsi="宋体" w:cs="仿宋_GB2312"/>
                <w:color w:val="000000"/>
                <w:szCs w:val="21"/>
              </w:rPr>
            </w:pPr>
            <w:r>
              <w:rPr>
                <w:rFonts w:hint="eastAsia" w:ascii="宋体" w:hAnsi="宋体" w:cs="仿宋_GB2312"/>
                <w:color w:val="000000"/>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主要功能</w:t>
            </w:r>
          </w:p>
        </w:tc>
        <w:tc>
          <w:tcPr>
            <w:tcW w:w="7626" w:type="dxa"/>
          </w:tcPr>
          <w:p>
            <w:pPr>
              <w:pStyle w:val="256"/>
              <w:rPr>
                <w:rFonts w:hint="eastAsia" w:ascii="宋体" w:hAnsi="宋体"/>
                <w:sz w:val="21"/>
                <w:szCs w:val="21"/>
              </w:rPr>
            </w:pPr>
            <w:r>
              <w:rPr>
                <w:rFonts w:hint="eastAsia" w:ascii="宋体" w:hAnsi="宋体"/>
                <w:sz w:val="21"/>
                <w:szCs w:val="21"/>
              </w:rPr>
              <w:t>支持Java、PHP、.NET、Python等语言开发的应用系统漏洞风险检测；自动化应用漏洞检测安全分析：利用运行时非执行态的交互式检测技术，通过对应用软件功能的操作即可精确输出安全测试的结果，在检测过程不重放数据报文，不产生脏数据和无效流量。无须对被检测应用进行改造提前下支持应用具备数据传输加密、签名验签、一次性访问资源等场景的实时漏洞检测；包括支持OS命令注入、HQL注入、SQL注入、SMTP注入、XPATH注入、JAVA反射注入、日志注入、XML 外部实体注入、反序列化漏洞、目录遍历、CSRF跨站请求伪造、SSRF 服务器端请求伪造、URL跳转、XSS 跨站脚本攻击、数据库连接弱口令、检测弱加密算法、硬编码漏洞、正则表达式拒绝服务攻击、使用弱随机数等安全漏洞；支持展示漏洞形成的详细数据流传播过程以及具体产生漏洞的代码片段，支持对应用程序引入的开源第三方组件漏洞进行检测、开源许可风险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▲Agent技术</w:t>
            </w:r>
          </w:p>
        </w:tc>
        <w:tc>
          <w:tcPr>
            <w:tcW w:w="7626" w:type="dxa"/>
          </w:tcPr>
          <w:p>
            <w:pPr>
              <w:pStyle w:val="256"/>
              <w:rPr>
                <w:rFonts w:hint="eastAsia" w:ascii="宋体" w:hAnsi="宋体"/>
                <w:sz w:val="21"/>
                <w:szCs w:val="21"/>
              </w:rPr>
            </w:pPr>
            <w:r>
              <w:rPr>
                <w:rFonts w:hint="eastAsia" w:ascii="宋体" w:hAnsi="宋体"/>
                <w:sz w:val="21"/>
                <w:szCs w:val="21"/>
              </w:rPr>
              <w:t>插桩Agent支持JAVA、Python、PHP、.Net开发的Web应用，同时插桩Agent必须采用动</w:t>
            </w:r>
            <w:r>
              <w:rPr>
                <w:rFonts w:hint="eastAsia" w:ascii="宋体" w:hAnsi="宋体"/>
                <w:bCs/>
                <w:sz w:val="21"/>
                <w:szCs w:val="21"/>
              </w:rPr>
              <w:t>动态污点分析</w:t>
            </w:r>
            <w:r>
              <w:rPr>
                <w:rFonts w:hint="eastAsia" w:ascii="宋体" w:hAnsi="宋体"/>
                <w:sz w:val="21"/>
                <w:szCs w:val="21"/>
              </w:rPr>
              <w:t>技术检测漏洞。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sz w:val="21"/>
                <w:szCs w:val="21"/>
              </w:rPr>
              <w:t>为了实现功能测试阶段同步进行漏洞检测，以及为了覆盖接口具有签名验签、一次性Token、短信验证、验证码等环境的安全检测覆盖率；Agent在执行漏洞检测时必须是静默监听，不重放任何数据报文，不生产“脏数据”和“脏操作，因此插桩Agent必须采用</w:t>
            </w:r>
            <w:r>
              <w:rPr>
                <w:rFonts w:hint="eastAsia" w:ascii="宋体" w:hAnsi="宋体"/>
                <w:bCs/>
                <w:sz w:val="21"/>
                <w:szCs w:val="21"/>
              </w:rPr>
              <w:t>动态污点分析技术</w:t>
            </w:r>
            <w:r>
              <w:rPr>
                <w:rFonts w:hint="eastAsia" w:ascii="宋体" w:hAnsi="宋体"/>
                <w:sz w:val="21"/>
                <w:szCs w:val="21"/>
              </w:rPr>
              <w:t>检测漏洞。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漏洞检测能力</w:t>
            </w:r>
          </w:p>
        </w:tc>
        <w:tc>
          <w:tcPr>
            <w:tcW w:w="7626" w:type="dxa"/>
          </w:tcPr>
          <w:p>
            <w:pPr>
              <w:pStyle w:val="256"/>
              <w:rPr>
                <w:rFonts w:hint="eastAsia" w:ascii="宋体" w:hAnsi="宋体"/>
                <w:sz w:val="21"/>
                <w:szCs w:val="21"/>
              </w:rPr>
            </w:pPr>
            <w:r>
              <w:rPr>
                <w:rFonts w:hint="eastAsia" w:ascii="宋体" w:hAnsi="宋体"/>
                <w:sz w:val="21"/>
                <w:szCs w:val="21"/>
              </w:rPr>
              <w:t>支持SQL注入、XSS、SSRF、命令注入等Web应用漏洞检测，基于动态污点分析技术的被动模式内置不少于60种应用漏洞检测类型；支持第三方开源组件的漏洞检测与许可分析。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▲JavaAgent兼容性</w:t>
            </w:r>
          </w:p>
        </w:tc>
        <w:tc>
          <w:tcPr>
            <w:tcW w:w="7626" w:type="dxa"/>
          </w:tcPr>
          <w:p>
            <w:pPr>
              <w:pStyle w:val="256"/>
              <w:rPr>
                <w:rFonts w:hint="eastAsia" w:ascii="宋体" w:hAnsi="宋体"/>
                <w:sz w:val="21"/>
                <w:szCs w:val="21"/>
              </w:rPr>
            </w:pPr>
            <w:r>
              <w:rPr>
                <w:rFonts w:hint="eastAsia" w:ascii="宋体" w:hAnsi="宋体"/>
                <w:sz w:val="21"/>
                <w:szCs w:val="21"/>
              </w:rPr>
              <w:t>支持Open JDK1.6、1.7、1.8、9、11、13、17，支持Oracle JDK1.6、1.7、1.8、9、11、13、17；在一个Agent中同时支持以上所有JDK版本方便制作docker容器镜像; 支持Tomcat、WebLogic、JBoss、WebSphere、Dubbo、SpringBoot、Netty、Jetty、undertow、resin、SpringCloud、OSGI、东方通、宝兰德、Apache、Nginx、Django、Flask、.NET Framework等中间件或服务器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容器化支持</w:t>
            </w:r>
          </w:p>
        </w:tc>
        <w:tc>
          <w:tcPr>
            <w:tcW w:w="7626" w:type="dxa"/>
          </w:tcPr>
          <w:p>
            <w:pPr>
              <w:pStyle w:val="256"/>
              <w:rPr>
                <w:rFonts w:hint="eastAsia" w:ascii="宋体" w:hAnsi="宋体"/>
                <w:sz w:val="21"/>
                <w:szCs w:val="21"/>
              </w:rPr>
            </w:pPr>
            <w:r>
              <w:rPr>
                <w:rFonts w:hint="eastAsia" w:ascii="宋体" w:hAnsi="宋体"/>
                <w:sz w:val="21"/>
                <w:szCs w:val="21"/>
              </w:rPr>
              <w:t>插装模式的Agent要求支持应用在docker、K8S等环境中的漏洞检测，同时系统应针对Agent管理、漏洞汇聚、漏洞管理等能适应K8S环境下的动态、灵活、多变的特性。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应用管理功能</w:t>
            </w:r>
          </w:p>
        </w:tc>
        <w:tc>
          <w:tcPr>
            <w:tcW w:w="7626" w:type="dxa"/>
          </w:tcPr>
          <w:p>
            <w:pPr>
              <w:pStyle w:val="256"/>
              <w:rPr>
                <w:rFonts w:hint="eastAsia" w:ascii="宋体" w:hAnsi="宋体"/>
                <w:sz w:val="21"/>
                <w:szCs w:val="21"/>
              </w:rPr>
            </w:pPr>
            <w:r>
              <w:rPr>
                <w:rFonts w:hint="eastAsia" w:ascii="宋体" w:hAnsi="宋体"/>
                <w:sz w:val="21"/>
                <w:szCs w:val="21"/>
              </w:rPr>
              <w:t>用户可根据实际自行添加、删除应用，并可以对应用的属性进行编辑修改，内容包含但不限于应用名称、重要性、描述等，可以对自定义应用标签等内容；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sz w:val="21"/>
                <w:szCs w:val="21"/>
              </w:rPr>
              <w:t>应用汇总展示功能，应用安全总体评分情况，并可以根据应用安全进行排序，支持汇总展示应用漏洞总体情况，内容包括漏洞危害等级、漏洞状态、漏洞数量等内容；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服务器（Agent）管理功能</w:t>
            </w:r>
          </w:p>
        </w:tc>
        <w:tc>
          <w:tcPr>
            <w:tcW w:w="7626" w:type="dxa"/>
          </w:tcPr>
          <w:p>
            <w:pPr>
              <w:pStyle w:val="256"/>
              <w:rPr>
                <w:rFonts w:hint="eastAsia" w:ascii="宋体" w:hAnsi="宋体"/>
                <w:sz w:val="21"/>
                <w:szCs w:val="21"/>
              </w:rPr>
            </w:pPr>
            <w:r>
              <w:rPr>
                <w:rFonts w:hint="eastAsia" w:ascii="宋体" w:hAnsi="宋体"/>
                <w:sz w:val="21"/>
                <w:szCs w:val="21"/>
              </w:rPr>
              <w:t>支持在中心管端集中管理服务器（Agent），包括展示服务器（Agent）的离线、在线状态等；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sz w:val="21"/>
                <w:szCs w:val="21"/>
              </w:rPr>
              <w:t>支持服务器（Agent）一键开启或关闭漏洞检测功能；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bCs/>
                <w:sz w:val="21"/>
                <w:szCs w:val="21"/>
              </w:rPr>
              <w:t>▲</w:t>
            </w:r>
            <w:r>
              <w:rPr>
                <w:rFonts w:hint="eastAsia" w:ascii="宋体" w:hAnsi="宋体"/>
                <w:sz w:val="21"/>
                <w:szCs w:val="21"/>
              </w:rPr>
              <w:t>支持在线配置服务器（Agent）日志级别、日志存储容量限制、日志存储位置等内容；同时支持对服务器（Agent）日志可以在管理中心集中下载分析服务器（Agent）日志的详细日志；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自定义漏洞检测</w:t>
            </w:r>
          </w:p>
        </w:tc>
        <w:tc>
          <w:tcPr>
            <w:tcW w:w="7626" w:type="dxa"/>
          </w:tcPr>
          <w:p>
            <w:pPr>
              <w:pStyle w:val="256"/>
              <w:rPr>
                <w:rFonts w:hint="eastAsia" w:ascii="宋体" w:hAnsi="宋体"/>
                <w:sz w:val="21"/>
                <w:szCs w:val="21"/>
              </w:rPr>
            </w:pPr>
            <w:r>
              <w:rPr>
                <w:rFonts w:hint="eastAsia" w:ascii="宋体" w:hAnsi="宋体"/>
                <w:sz w:val="21"/>
                <w:szCs w:val="21"/>
              </w:rPr>
              <w:t>支持在动态污点分析模式下的漏洞自定义功能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自定义插桩点</w:t>
            </w:r>
          </w:p>
        </w:tc>
        <w:tc>
          <w:tcPr>
            <w:tcW w:w="7626" w:type="dxa"/>
          </w:tcPr>
          <w:p>
            <w:pPr>
              <w:pStyle w:val="256"/>
              <w:rPr>
                <w:rFonts w:hint="eastAsia" w:ascii="宋体" w:hAnsi="宋体"/>
                <w:sz w:val="21"/>
                <w:szCs w:val="21"/>
              </w:rPr>
            </w:pPr>
            <w:r>
              <w:rPr>
                <w:rFonts w:hint="eastAsia" w:ascii="宋体" w:hAnsi="宋体"/>
                <w:sz w:val="21"/>
                <w:szCs w:val="21"/>
              </w:rPr>
              <w:t>支持Sources,Sinks,Sanitizers各阶段的自定义插桩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漏洞标准兼容</w:t>
            </w:r>
          </w:p>
        </w:tc>
        <w:tc>
          <w:tcPr>
            <w:tcW w:w="7626" w:type="dxa"/>
          </w:tcPr>
          <w:p>
            <w:pPr>
              <w:pStyle w:val="256"/>
              <w:rPr>
                <w:rFonts w:hint="eastAsia" w:ascii="宋体" w:hAnsi="宋体"/>
                <w:sz w:val="21"/>
                <w:szCs w:val="21"/>
              </w:rPr>
            </w:pPr>
            <w:r>
              <w:rPr>
                <w:rFonts w:hint="eastAsia" w:ascii="宋体" w:hAnsi="宋体"/>
                <w:sz w:val="21"/>
                <w:szCs w:val="21"/>
              </w:rPr>
              <w:t>兼容CNNVD、CVE、CWE、OWASP等国内国际标准漏洞库；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应用漏洞展示</w:t>
            </w:r>
          </w:p>
        </w:tc>
        <w:tc>
          <w:tcPr>
            <w:tcW w:w="7626" w:type="dxa"/>
            <w:vAlign w:val="center"/>
          </w:tcPr>
          <w:p>
            <w:pPr>
              <w:pStyle w:val="256"/>
              <w:rPr>
                <w:rFonts w:hint="eastAsia" w:ascii="宋体" w:hAnsi="宋体"/>
                <w:sz w:val="21"/>
                <w:szCs w:val="21"/>
              </w:rPr>
            </w:pPr>
            <w:r>
              <w:rPr>
                <w:rFonts w:hint="eastAsia" w:ascii="宋体" w:hAnsi="宋体"/>
                <w:sz w:val="21"/>
                <w:szCs w:val="21"/>
              </w:rPr>
              <w:t>支持展示详细的应用内部数据处理过程及各级方法调用过程，针对应用漏洞产生的位置与传播过程中，应能清晰的展示key与value并进行突出显示；支持溯源展示导致应用漏洞代码的对应代码片段；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支持持展示所有历史检测的URL，可以清晰的看到每个URL的漏洞检测纪录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bCs/>
                <w:sz w:val="21"/>
                <w:szCs w:val="21"/>
              </w:rPr>
              <w:t>▲</w:t>
            </w:r>
            <w:r>
              <w:rPr>
                <w:rFonts w:hint="eastAsia" w:ascii="宋体" w:hAnsi="宋体"/>
                <w:sz w:val="21"/>
                <w:szCs w:val="21"/>
              </w:rPr>
              <w:t>支持自动发现被检测的应用API接口，可以同步展示到后台，同时支持展示以应用维度API检测覆盖率，支持以应用维度展示已经覆盖和未覆盖的API，支持展示不同版本的接口覆盖情况，并支持查询结果的导出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支持展示HTTP/HTTPS报文的原始信息，并可以根据需要进行重放HTTP/HTTPS报文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bCs/>
                <w:sz w:val="21"/>
                <w:szCs w:val="21"/>
              </w:rPr>
              <w:t>▲</w:t>
            </w:r>
            <w:r>
              <w:rPr>
                <w:rFonts w:hint="eastAsia" w:ascii="宋体" w:hAnsi="宋体"/>
                <w:sz w:val="21"/>
                <w:szCs w:val="21"/>
              </w:rPr>
              <w:t>当针对同一接口进行多次检测后应保留检测纪录，每条检测纪录都可以查看HTTP报文、漏洞详情等内容; 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提供漏洞修复建议、漏洞原理、不安全的漏洞代码示例和安全的修复漏洞代码的示例；支持漏洞危险等级、漏洞修复建议，漏洞代码修复样例、参考URL等内容的自定义；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▲智能服务熔断保护</w:t>
            </w:r>
          </w:p>
        </w:tc>
        <w:tc>
          <w:tcPr>
            <w:tcW w:w="7626" w:type="dxa"/>
            <w:vAlign w:val="center"/>
          </w:tcPr>
          <w:p>
            <w:pPr>
              <w:pStyle w:val="256"/>
              <w:rPr>
                <w:rFonts w:hint="eastAsia" w:ascii="宋体" w:hAnsi="宋体"/>
                <w:sz w:val="21"/>
                <w:szCs w:val="21"/>
              </w:rPr>
            </w:pPr>
            <w:r>
              <w:rPr>
                <w:rFonts w:hint="eastAsia" w:ascii="宋体" w:hAnsi="宋体"/>
                <w:sz w:val="21"/>
                <w:szCs w:val="21"/>
              </w:rPr>
              <w:t>线程级熔断保护功能：Agent可根据请求预先配置污染源跟踪深度上限次数、请求响应时间上限时间的配置，自动丢弃本次请求的检测，避免对应用的性能产生更大影响，投标时提供界面截图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进程级熔断保护与自动恢复功能：</w:t>
            </w:r>
          </w:p>
          <w:p>
            <w:pPr>
              <w:pStyle w:val="256"/>
              <w:rPr>
                <w:rFonts w:hint="eastAsia" w:ascii="宋体" w:hAnsi="宋体"/>
                <w:sz w:val="21"/>
                <w:szCs w:val="21"/>
              </w:rPr>
            </w:pPr>
            <w:r>
              <w:rPr>
                <w:rFonts w:hint="eastAsia" w:ascii="宋体" w:hAnsi="宋体"/>
                <w:sz w:val="21"/>
                <w:szCs w:val="21"/>
              </w:rPr>
              <w:t>Agent可根据是否达到CPU占用率达到阈值，或内存占用率达到阈值自动停用Agent的检测状态，当达到预先配置的恢复条件阈值时Agent自动进入检测状态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Agent安装与更新</w:t>
            </w:r>
          </w:p>
        </w:tc>
        <w:tc>
          <w:tcPr>
            <w:tcW w:w="7626" w:type="dxa"/>
            <w:vAlign w:val="center"/>
          </w:tcPr>
          <w:p>
            <w:pPr>
              <w:pStyle w:val="256"/>
              <w:rPr>
                <w:rFonts w:hint="eastAsia" w:ascii="宋体" w:hAnsi="宋体"/>
                <w:sz w:val="21"/>
                <w:szCs w:val="21"/>
              </w:rPr>
            </w:pPr>
            <w:r>
              <w:rPr>
                <w:rFonts w:hint="eastAsia" w:ascii="宋体" w:hAnsi="宋体"/>
                <w:sz w:val="21"/>
                <w:szCs w:val="21"/>
              </w:rPr>
              <w:t>Agent支持在线热安装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bCs/>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Agent在线热更新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Agent智能诊断</w:t>
            </w:r>
          </w:p>
        </w:tc>
        <w:tc>
          <w:tcPr>
            <w:tcW w:w="7626" w:type="dxa"/>
            <w:vAlign w:val="center"/>
          </w:tcPr>
          <w:p>
            <w:pPr>
              <w:pStyle w:val="256"/>
              <w:rPr>
                <w:rFonts w:hint="eastAsia" w:ascii="宋体" w:hAnsi="宋体"/>
                <w:sz w:val="21"/>
                <w:szCs w:val="21"/>
              </w:rPr>
            </w:pPr>
            <w:r>
              <w:rPr>
                <w:rFonts w:hint="eastAsia" w:ascii="宋体" w:hAnsi="宋体"/>
                <w:sz w:val="21"/>
                <w:szCs w:val="21"/>
              </w:rPr>
              <w:t>支持故障定位和漏洞规则优化的诊断，至少应支持在线反编译、监控插桩点、污点传播分析等诊断功能，投标时提供界面截图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bCs/>
                <w:color w:val="000000"/>
                <w:szCs w:val="21"/>
              </w:rPr>
              <w:t>▲</w:t>
            </w:r>
            <w:r>
              <w:rPr>
                <w:rFonts w:hint="eastAsia" w:ascii="宋体" w:hAnsi="宋体" w:cs="仿宋_GB2312"/>
                <w:color w:val="000000"/>
                <w:szCs w:val="21"/>
              </w:rPr>
              <w:t>主动验证功能</w:t>
            </w:r>
          </w:p>
        </w:tc>
        <w:tc>
          <w:tcPr>
            <w:tcW w:w="7626" w:type="dxa"/>
            <w:vAlign w:val="center"/>
          </w:tcPr>
          <w:p>
            <w:pPr>
              <w:pStyle w:val="256"/>
              <w:rPr>
                <w:rFonts w:hint="eastAsia" w:ascii="宋体" w:hAnsi="宋体"/>
                <w:sz w:val="21"/>
                <w:szCs w:val="21"/>
              </w:rPr>
            </w:pPr>
            <w:r>
              <w:rPr>
                <w:rFonts w:hint="eastAsia" w:ascii="宋体" w:hAnsi="宋体"/>
                <w:sz w:val="21"/>
                <w:szCs w:val="21"/>
              </w:rPr>
              <w:t>支持针对已检测出的漏洞进行自动化无人为干预的主动验证功能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主动验证支持展示漏洞验证的过程信息、验证方法与判断依据等内容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主动验证功能可依据应用为单位进行个性化的配置，可自定义排除登录、退出等接口主动验证，避免意外退出已登录的状态。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漏洞管理</w:t>
            </w:r>
          </w:p>
        </w:tc>
        <w:tc>
          <w:tcPr>
            <w:tcW w:w="7626" w:type="dxa"/>
            <w:vAlign w:val="center"/>
          </w:tcPr>
          <w:p>
            <w:pPr>
              <w:pStyle w:val="256"/>
              <w:rPr>
                <w:rFonts w:hint="eastAsia" w:ascii="宋体" w:hAnsi="宋体"/>
                <w:sz w:val="21"/>
                <w:szCs w:val="21"/>
              </w:rPr>
            </w:pPr>
            <w:r>
              <w:rPr>
                <w:rFonts w:hint="eastAsia" w:ascii="宋体" w:hAnsi="宋体"/>
                <w:sz w:val="21"/>
                <w:szCs w:val="21"/>
              </w:rPr>
              <w:t>支持漏洞状态管理，用户可以根据自身特点来对漏洞状态自定义管理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支持将漏洞信息一键提交到JIRA中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可以把漏洞分配给指定人员处理，漏洞处理过程须保持完整的日志纪录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支持对漏洞进行标签、评论互动、备注等功能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支持应用漏洞平均修复时间，支持展示应用漏洞的趋势性内容展示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bCs/>
                <w:color w:val="000000"/>
                <w:szCs w:val="21"/>
              </w:rPr>
              <w:t>▲</w:t>
            </w:r>
            <w:r>
              <w:rPr>
                <w:rFonts w:hint="eastAsia" w:ascii="宋体" w:hAnsi="宋体" w:cs="仿宋_GB2312"/>
                <w:color w:val="000000"/>
                <w:szCs w:val="21"/>
              </w:rPr>
              <w:t>敏感数据检测</w:t>
            </w:r>
          </w:p>
        </w:tc>
        <w:tc>
          <w:tcPr>
            <w:tcW w:w="7626" w:type="dxa"/>
            <w:vAlign w:val="center"/>
          </w:tcPr>
          <w:p>
            <w:pPr>
              <w:pStyle w:val="256"/>
              <w:rPr>
                <w:rFonts w:hint="eastAsia" w:ascii="宋体" w:hAnsi="宋体"/>
                <w:sz w:val="21"/>
                <w:szCs w:val="21"/>
              </w:rPr>
            </w:pPr>
            <w:r>
              <w:rPr>
                <w:rFonts w:hint="eastAsia" w:ascii="宋体" w:hAnsi="宋体"/>
                <w:sz w:val="21"/>
                <w:szCs w:val="21"/>
              </w:rPr>
              <w:t>支持敏感数据未加密存储、敏感数据未加密返回前端等敏感数据的安全风险检测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敏感数据检测规则支持用户自定义参数的敏感数据配置检测，投标时提供界面截图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敏感数据检测规则支持用户自定义内容的敏感数据配置检测，投标时提供界面截图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版本管理</w:t>
            </w:r>
          </w:p>
        </w:tc>
        <w:tc>
          <w:tcPr>
            <w:tcW w:w="7626" w:type="dxa"/>
            <w:vAlign w:val="center"/>
          </w:tcPr>
          <w:p>
            <w:pPr>
              <w:pStyle w:val="256"/>
              <w:rPr>
                <w:rFonts w:hint="eastAsia" w:ascii="宋体" w:hAnsi="宋体"/>
                <w:sz w:val="21"/>
                <w:szCs w:val="21"/>
              </w:rPr>
            </w:pPr>
            <w:r>
              <w:rPr>
                <w:rFonts w:hint="eastAsia" w:ascii="宋体" w:hAnsi="宋体"/>
                <w:sz w:val="21"/>
                <w:szCs w:val="21"/>
              </w:rPr>
              <w:t>支持自动化版本管理功能，可以实现根据用户读取被检测应用中的版本信息，系统自动生成漏洞版本信息，不同版本的漏洞数据可以同时汇聚展示；投标时提供界面截图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bCs/>
                <w:color w:val="000000"/>
                <w:szCs w:val="21"/>
              </w:rPr>
            </w:pPr>
            <w:r>
              <w:rPr>
                <w:rFonts w:hint="eastAsia" w:ascii="宋体" w:hAnsi="宋体" w:cs="仿宋_GB2312"/>
                <w:bCs/>
                <w:color w:val="000000"/>
                <w:szCs w:val="21"/>
              </w:rPr>
              <w:t>事件管理</w:t>
            </w:r>
          </w:p>
        </w:tc>
        <w:tc>
          <w:tcPr>
            <w:tcW w:w="7626" w:type="dxa"/>
            <w:vAlign w:val="center"/>
          </w:tcPr>
          <w:p>
            <w:pPr>
              <w:pStyle w:val="256"/>
              <w:rPr>
                <w:rFonts w:hint="eastAsia" w:ascii="宋体" w:hAnsi="宋体"/>
                <w:bCs/>
                <w:sz w:val="21"/>
                <w:szCs w:val="21"/>
              </w:rPr>
            </w:pPr>
            <w:r>
              <w:rPr>
                <w:rFonts w:hint="eastAsia" w:ascii="宋体" w:hAnsi="宋体"/>
                <w:bCs/>
                <w:sz w:val="21"/>
                <w:szCs w:val="21"/>
              </w:rPr>
              <w:t>管理员可以预先定义的特定事件类型，当特定事件发生后自动执行相关的动作；如：当IAST检测到高危漏洞，同时IAST对发现的漏洞主动验证结果漏洞为真实存在，那么系统就自动把这个漏洞的相关信息提供给JIRA；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bCs/>
                <w:color w:val="000000"/>
                <w:szCs w:val="21"/>
              </w:rPr>
            </w:pPr>
            <w:r>
              <w:rPr>
                <w:rFonts w:hint="eastAsia" w:ascii="宋体" w:hAnsi="宋体" w:cs="仿宋_GB2312"/>
                <w:bCs/>
                <w:color w:val="000000"/>
                <w:szCs w:val="21"/>
              </w:rPr>
              <w:t>▲安全策略管理</w:t>
            </w:r>
          </w:p>
        </w:tc>
        <w:tc>
          <w:tcPr>
            <w:tcW w:w="7626" w:type="dxa"/>
            <w:vAlign w:val="center"/>
          </w:tcPr>
          <w:p>
            <w:pPr>
              <w:pStyle w:val="256"/>
              <w:rPr>
                <w:rFonts w:hint="eastAsia" w:ascii="宋体" w:hAnsi="宋体"/>
                <w:bCs/>
                <w:sz w:val="21"/>
                <w:szCs w:val="21"/>
              </w:rPr>
            </w:pPr>
            <w:r>
              <w:rPr>
                <w:rFonts w:hint="eastAsia" w:ascii="宋体" w:hAnsi="宋体"/>
                <w:bCs/>
                <w:sz w:val="21"/>
                <w:szCs w:val="21"/>
              </w:rPr>
              <w:t>支持针对应用配置个性化漏洞检测规则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bCs/>
                <w:color w:val="000000"/>
                <w:szCs w:val="21"/>
              </w:rPr>
            </w:pPr>
          </w:p>
        </w:tc>
        <w:tc>
          <w:tcPr>
            <w:tcW w:w="7626" w:type="dxa"/>
            <w:vAlign w:val="center"/>
          </w:tcPr>
          <w:p>
            <w:pPr>
              <w:pStyle w:val="256"/>
              <w:rPr>
                <w:rFonts w:hint="eastAsia" w:ascii="宋体" w:hAnsi="宋体"/>
                <w:bCs/>
                <w:sz w:val="21"/>
                <w:szCs w:val="21"/>
              </w:rPr>
            </w:pPr>
            <w:r>
              <w:rPr>
                <w:rFonts w:hint="eastAsia" w:ascii="宋体" w:hAnsi="宋体"/>
                <w:bCs/>
                <w:sz w:val="21"/>
                <w:szCs w:val="21"/>
              </w:rPr>
              <w:t>支持针对应用的并发检测量进行自定义配置功能，防止应用检测过载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bCs/>
                <w:color w:val="000000"/>
                <w:szCs w:val="21"/>
              </w:rPr>
            </w:pPr>
          </w:p>
        </w:tc>
        <w:tc>
          <w:tcPr>
            <w:tcW w:w="7626" w:type="dxa"/>
            <w:vAlign w:val="center"/>
          </w:tcPr>
          <w:p>
            <w:pPr>
              <w:pStyle w:val="256"/>
              <w:rPr>
                <w:rFonts w:hint="eastAsia" w:ascii="宋体" w:hAnsi="宋体"/>
                <w:bCs/>
                <w:sz w:val="21"/>
                <w:szCs w:val="21"/>
              </w:rPr>
            </w:pPr>
            <w:r>
              <w:rPr>
                <w:rFonts w:hint="eastAsia" w:ascii="宋体" w:hAnsi="宋体"/>
                <w:bCs/>
                <w:sz w:val="21"/>
                <w:szCs w:val="21"/>
              </w:rPr>
              <w:t>支持限定来源IP地址的检测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bCs/>
                <w:color w:val="000000"/>
                <w:szCs w:val="21"/>
              </w:rPr>
            </w:pPr>
          </w:p>
        </w:tc>
        <w:tc>
          <w:tcPr>
            <w:tcW w:w="7626" w:type="dxa"/>
            <w:vAlign w:val="center"/>
          </w:tcPr>
          <w:p>
            <w:pPr>
              <w:pStyle w:val="256"/>
              <w:rPr>
                <w:rFonts w:hint="eastAsia" w:ascii="宋体" w:hAnsi="宋体"/>
                <w:bCs/>
                <w:sz w:val="21"/>
                <w:szCs w:val="21"/>
              </w:rPr>
            </w:pPr>
            <w:r>
              <w:rPr>
                <w:rFonts w:hint="eastAsia" w:ascii="宋体" w:hAnsi="宋体"/>
                <w:bCs/>
                <w:sz w:val="21"/>
                <w:szCs w:val="21"/>
              </w:rPr>
              <w:t>支持针对应用的自定义过滤器的安全规则，用于消除因程序使用无法识别的过滤方法而导致的误报问题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bCs/>
                <w:color w:val="000000"/>
                <w:szCs w:val="21"/>
              </w:rPr>
            </w:pPr>
          </w:p>
        </w:tc>
        <w:tc>
          <w:tcPr>
            <w:tcW w:w="7626" w:type="dxa"/>
            <w:vAlign w:val="center"/>
          </w:tcPr>
          <w:p>
            <w:pPr>
              <w:pStyle w:val="256"/>
              <w:rPr>
                <w:rFonts w:hint="eastAsia" w:ascii="宋体" w:hAnsi="宋体"/>
                <w:bCs/>
                <w:sz w:val="21"/>
                <w:szCs w:val="21"/>
              </w:rPr>
            </w:pPr>
            <w:r>
              <w:rPr>
                <w:rFonts w:hint="eastAsia" w:ascii="宋体" w:hAnsi="宋体"/>
                <w:bCs/>
                <w:sz w:val="21"/>
                <w:szCs w:val="21"/>
              </w:rPr>
              <w:t>支持根据URL、请求参数、包名等内容定义排除规则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bCs/>
                <w:color w:val="000000"/>
                <w:szCs w:val="21"/>
              </w:rPr>
            </w:pPr>
            <w:r>
              <w:rPr>
                <w:rFonts w:hint="eastAsia" w:ascii="宋体" w:hAnsi="宋体" w:cs="仿宋_GB2312"/>
                <w:bCs/>
                <w:color w:val="000000"/>
                <w:szCs w:val="21"/>
              </w:rPr>
              <w:t>▲安全质量基线</w:t>
            </w:r>
          </w:p>
        </w:tc>
        <w:tc>
          <w:tcPr>
            <w:tcW w:w="7626" w:type="dxa"/>
            <w:vAlign w:val="center"/>
          </w:tcPr>
          <w:p>
            <w:pPr>
              <w:pStyle w:val="256"/>
              <w:rPr>
                <w:rFonts w:hint="eastAsia" w:ascii="宋体" w:hAnsi="宋体"/>
                <w:bCs/>
                <w:sz w:val="21"/>
                <w:szCs w:val="21"/>
              </w:rPr>
            </w:pPr>
            <w:r>
              <w:rPr>
                <w:rFonts w:hint="eastAsia" w:ascii="宋体" w:hAnsi="宋体"/>
                <w:bCs/>
                <w:sz w:val="21"/>
                <w:szCs w:val="21"/>
              </w:rPr>
              <w:t>管理员可以为每个应用定义安全质量基线，通过应用安全基线的定义可以明确应用安全检测标准，方便流水线调用检测结果。安全质量基线可以使用API覆盖率、漏洞等级与漏洞数量等几个维度进行组合定义。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开源组件风险检测功能</w:t>
            </w:r>
          </w:p>
        </w:tc>
        <w:tc>
          <w:tcPr>
            <w:tcW w:w="7626" w:type="dxa"/>
            <w:vAlign w:val="center"/>
          </w:tcPr>
          <w:p>
            <w:pPr>
              <w:pStyle w:val="256"/>
              <w:rPr>
                <w:rFonts w:hint="eastAsia" w:ascii="宋体" w:hAnsi="宋体"/>
                <w:sz w:val="21"/>
                <w:szCs w:val="21"/>
              </w:rPr>
            </w:pPr>
            <w:r>
              <w:rPr>
                <w:rFonts w:hint="eastAsia" w:ascii="宋体" w:hAnsi="宋体"/>
                <w:sz w:val="21"/>
                <w:szCs w:val="21"/>
              </w:rPr>
              <w:t>详细展示应用系统的三方组件情况，包含应用系统的三方组件危害分布情况等级（严重，高危，中危，低危）；三方组件漏洞数量统计（漏洞三方组件数量、cve漏洞数量）；三方组件安全评分；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支持展示jar三方组件的存储路径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针对java第三方开源组件支持查看所有版本的风险情况方便研发修复组件问题时的选型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支持与CVE、CNNVD漏洞库对接展示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支持第三方开源组件所使用开源许可协议的风险检测功能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支持离线（与互联网隔离状态）方式的检测与升级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合规检测功能</w:t>
            </w:r>
          </w:p>
        </w:tc>
        <w:tc>
          <w:tcPr>
            <w:tcW w:w="7626" w:type="dxa"/>
            <w:vAlign w:val="center"/>
          </w:tcPr>
          <w:p>
            <w:pPr>
              <w:pStyle w:val="256"/>
              <w:rPr>
                <w:rFonts w:hint="eastAsia" w:ascii="宋体" w:hAnsi="宋体"/>
                <w:sz w:val="21"/>
                <w:szCs w:val="21"/>
              </w:rPr>
            </w:pPr>
            <w:r>
              <w:rPr>
                <w:rFonts w:hint="eastAsia" w:ascii="宋体" w:hAnsi="宋体"/>
                <w:sz w:val="21"/>
                <w:szCs w:val="21"/>
              </w:rPr>
              <w:t>支持OWASP Top 10 2017与2013为标准的检测与报表展示，投标时提供界面截图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支持CWE/SANS 2011 为标准的检测与报表展示，投标时提供界面截图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支持PCI-DSS v3.2.1为标准的检测与报表展示，投标时提供界面截图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支持GDPR为标准的检测与报表展示，投标时提供界面截图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统计分析</w:t>
            </w:r>
          </w:p>
        </w:tc>
        <w:tc>
          <w:tcPr>
            <w:tcW w:w="7626" w:type="dxa"/>
            <w:vAlign w:val="center"/>
          </w:tcPr>
          <w:p>
            <w:pPr>
              <w:pStyle w:val="256"/>
              <w:rPr>
                <w:rFonts w:hint="eastAsia" w:ascii="宋体" w:hAnsi="宋体"/>
                <w:sz w:val="21"/>
                <w:szCs w:val="21"/>
              </w:rPr>
            </w:pPr>
            <w:r>
              <w:rPr>
                <w:rFonts w:hint="eastAsia" w:ascii="宋体" w:hAnsi="宋体"/>
                <w:sz w:val="21"/>
                <w:szCs w:val="21"/>
              </w:rPr>
              <w:t>支持检测结果自动对应用系统安全评分的功能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支持查看应用漏洞趋势的功能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支持查看应用漏洞Top类型分布的功能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vAlign w:val="center"/>
          </w:tcPr>
          <w:p>
            <w:pPr>
              <w:pStyle w:val="256"/>
              <w:rPr>
                <w:rFonts w:hint="eastAsia" w:ascii="宋体" w:hAnsi="宋体"/>
                <w:sz w:val="21"/>
                <w:szCs w:val="21"/>
              </w:rPr>
            </w:pPr>
            <w:r>
              <w:rPr>
                <w:rFonts w:hint="eastAsia" w:ascii="宋体" w:hAnsi="宋体"/>
                <w:sz w:val="21"/>
                <w:szCs w:val="21"/>
              </w:rPr>
              <w:t>支持三方组件漏洞严重程度比例的展示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报表功能</w:t>
            </w:r>
          </w:p>
        </w:tc>
        <w:tc>
          <w:tcPr>
            <w:tcW w:w="7626" w:type="dxa"/>
          </w:tcPr>
          <w:p>
            <w:pPr>
              <w:pStyle w:val="256"/>
              <w:rPr>
                <w:rFonts w:hint="eastAsia" w:ascii="宋体" w:hAnsi="宋体"/>
                <w:sz w:val="21"/>
                <w:szCs w:val="21"/>
              </w:rPr>
            </w:pPr>
            <w:r>
              <w:rPr>
                <w:rFonts w:hint="eastAsia" w:ascii="宋体" w:hAnsi="宋体"/>
                <w:sz w:val="21"/>
                <w:szCs w:val="21"/>
              </w:rPr>
              <w:t>具有丰富的多维度报表展示功能，支持Excel、WORD格式;</w:t>
            </w:r>
          </w:p>
          <w:p>
            <w:pPr>
              <w:pStyle w:val="256"/>
              <w:rPr>
                <w:rFonts w:hint="eastAsia" w:ascii="宋体" w:hAnsi="宋体"/>
                <w:sz w:val="21"/>
                <w:szCs w:val="21"/>
              </w:rPr>
            </w:pPr>
            <w:r>
              <w:rPr>
                <w:rFonts w:hint="eastAsia" w:ascii="宋体" w:hAnsi="宋体"/>
                <w:sz w:val="21"/>
                <w:szCs w:val="21"/>
              </w:rPr>
              <w:t>支持报表功能自定义功能，用户可以自行定义输出报告的内容，其中包括：安全检测概述、系统信息、应用漏洞统计分析图表、应用漏洞TOP10、应用漏洞危害等级分布、应用漏洞状态分布、最近7天新增漏洞趋势、平均修复时间、应用漏洞合规状态分布、应用漏洞详情、漏洞风险、修复建议、概要信息、漏洞描述、漏洞调用栈、验证情况、三方组件统计分析图表、三方组件危害等级分布、三方组件使用年限分布、三方组件许可风险等级分布、三方组件风险详情、三方组件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系统管理功能</w:t>
            </w:r>
          </w:p>
        </w:tc>
        <w:tc>
          <w:tcPr>
            <w:tcW w:w="7626" w:type="dxa"/>
          </w:tcPr>
          <w:p>
            <w:pPr>
              <w:pStyle w:val="256"/>
              <w:rPr>
                <w:rFonts w:hint="eastAsia" w:ascii="宋体" w:hAnsi="宋体"/>
                <w:sz w:val="21"/>
                <w:szCs w:val="21"/>
              </w:rPr>
            </w:pPr>
            <w:r>
              <w:rPr>
                <w:rFonts w:hint="eastAsia" w:ascii="宋体" w:hAnsi="宋体"/>
                <w:sz w:val="21"/>
                <w:szCs w:val="21"/>
              </w:rPr>
              <w:t>可实现系统周期性自动备份功能，并可对备份数据进行离线下载保存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sz w:val="21"/>
                <w:szCs w:val="21"/>
              </w:rPr>
              <w:t>用户可自定义用户以及所属角色，可灵活分配角色系统使用权限，做到权限分离；支持设置个人相关信息、个人性化系统超时配置等内容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vAlign w:val="center"/>
          </w:tcPr>
          <w:p>
            <w:pPr>
              <w:ind w:left="1"/>
              <w:jc w:val="center"/>
              <w:rPr>
                <w:rFonts w:hint="eastAsia" w:ascii="宋体" w:hAnsi="宋体" w:cs="仿宋_GB2312"/>
                <w:color w:val="000000"/>
                <w:szCs w:val="21"/>
              </w:rPr>
            </w:pPr>
          </w:p>
        </w:tc>
        <w:tc>
          <w:tcPr>
            <w:tcW w:w="7626" w:type="dxa"/>
          </w:tcPr>
          <w:p>
            <w:pPr>
              <w:pStyle w:val="256"/>
              <w:rPr>
                <w:rFonts w:hint="eastAsia" w:ascii="宋体" w:hAnsi="宋体"/>
                <w:sz w:val="21"/>
                <w:szCs w:val="21"/>
              </w:rPr>
            </w:pPr>
            <w:r>
              <w:rPr>
                <w:rFonts w:hint="eastAsia" w:ascii="宋体" w:hAnsi="宋体"/>
                <w:sz w:val="21"/>
                <w:szCs w:val="21"/>
              </w:rPr>
              <w:t>具备API功能，支持与第三方系统的对接，支持APIkey的生成与管理，第三方系统可以通过APIkey作为认证信息进行相关操作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用户权限</w:t>
            </w:r>
          </w:p>
        </w:tc>
        <w:tc>
          <w:tcPr>
            <w:tcW w:w="7626" w:type="dxa"/>
          </w:tcPr>
          <w:p>
            <w:pPr>
              <w:pStyle w:val="256"/>
              <w:rPr>
                <w:rFonts w:hint="eastAsia" w:ascii="宋体" w:hAnsi="宋体"/>
                <w:sz w:val="21"/>
                <w:szCs w:val="21"/>
              </w:rPr>
            </w:pPr>
            <w:r>
              <w:rPr>
                <w:rFonts w:hint="eastAsia" w:ascii="宋体" w:hAnsi="宋体"/>
                <w:sz w:val="21"/>
                <w:szCs w:val="21"/>
              </w:rPr>
              <w:t>系统支持三种权限，系统管理员、小组管理员、普通用户，可以灵活配置。同时应用和用户可以灵活的配置到小组，分区隔离不同小组之间访问权限。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邀请注册功能</w:t>
            </w:r>
          </w:p>
        </w:tc>
        <w:tc>
          <w:tcPr>
            <w:tcW w:w="7626" w:type="dxa"/>
          </w:tcPr>
          <w:p>
            <w:pPr>
              <w:pStyle w:val="256"/>
              <w:rPr>
                <w:rFonts w:hint="eastAsia" w:ascii="宋体" w:hAnsi="宋体"/>
                <w:sz w:val="21"/>
                <w:szCs w:val="21"/>
              </w:rPr>
            </w:pPr>
            <w:r>
              <w:rPr>
                <w:rFonts w:hint="eastAsia" w:ascii="宋体" w:hAnsi="宋体"/>
                <w:sz w:val="21"/>
                <w:szCs w:val="21"/>
              </w:rPr>
              <w:t>支持系统用户邀请注册功能，系统使用者可以通过管理员或小组管理员的注册邀请链接进行自主注册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统一身份认证</w:t>
            </w:r>
          </w:p>
        </w:tc>
        <w:tc>
          <w:tcPr>
            <w:tcW w:w="7626" w:type="dxa"/>
          </w:tcPr>
          <w:p>
            <w:pPr>
              <w:pStyle w:val="256"/>
              <w:rPr>
                <w:rFonts w:hint="eastAsia" w:ascii="宋体" w:hAnsi="宋体"/>
                <w:sz w:val="21"/>
                <w:szCs w:val="21"/>
              </w:rPr>
            </w:pPr>
            <w:r>
              <w:rPr>
                <w:rFonts w:hint="eastAsia" w:ascii="宋体" w:hAnsi="宋体"/>
                <w:sz w:val="21"/>
                <w:szCs w:val="21"/>
              </w:rPr>
              <w:t>支持与windows AD域控同步用户信息与认证信息，以实现和现有帐号体系的同步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bCs/>
                <w:color w:val="000000"/>
                <w:szCs w:val="21"/>
              </w:rPr>
              <w:t>▲</w:t>
            </w:r>
            <w:r>
              <w:rPr>
                <w:rFonts w:hint="eastAsia" w:ascii="宋体" w:hAnsi="宋体" w:cs="仿宋_GB2312"/>
                <w:color w:val="000000"/>
                <w:szCs w:val="21"/>
              </w:rPr>
              <w:t>国产化平台支持要求</w:t>
            </w:r>
          </w:p>
        </w:tc>
        <w:tc>
          <w:tcPr>
            <w:tcW w:w="7626" w:type="dxa"/>
          </w:tcPr>
          <w:p>
            <w:pPr>
              <w:pStyle w:val="256"/>
              <w:rPr>
                <w:rFonts w:hint="eastAsia" w:ascii="宋体" w:hAnsi="宋体"/>
                <w:sz w:val="21"/>
                <w:szCs w:val="21"/>
              </w:rPr>
            </w:pPr>
            <w:r>
              <w:rPr>
                <w:rFonts w:hint="eastAsia" w:ascii="宋体" w:hAnsi="宋体"/>
                <w:sz w:val="21"/>
                <w:szCs w:val="21"/>
              </w:rPr>
              <w:t>IAST后台系统支持以软件形式部署在统信UOS、</w:t>
            </w:r>
            <w:r>
              <w:rPr>
                <w:rFonts w:hint="eastAsia" w:ascii="宋体" w:hAnsi="宋体"/>
                <w:color w:val="222222"/>
                <w:sz w:val="21"/>
                <w:szCs w:val="21"/>
                <w:shd w:val="clear" w:color="auto" w:fill="FFFFFF"/>
              </w:rPr>
              <w:t>中标麒麟的操作系统，支持X86、ARM等CPU架构，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扩展功能</w:t>
            </w:r>
          </w:p>
        </w:tc>
        <w:tc>
          <w:tcPr>
            <w:tcW w:w="7626" w:type="dxa"/>
          </w:tcPr>
          <w:p>
            <w:pPr>
              <w:pStyle w:val="256"/>
              <w:rPr>
                <w:rFonts w:hint="eastAsia" w:ascii="宋体" w:hAnsi="宋体"/>
                <w:sz w:val="21"/>
                <w:szCs w:val="21"/>
              </w:rPr>
            </w:pPr>
            <w:r>
              <w:rPr>
                <w:rFonts w:hint="eastAsia" w:ascii="宋体" w:hAnsi="宋体"/>
                <w:sz w:val="21"/>
                <w:szCs w:val="21"/>
              </w:rPr>
              <w:t>可通过许可激活方式升级支持java WEB应用自我保护技术(RASP)的功能，在同一个Agent上实现IAST和RASP功能；RASP支持对安全漏洞的自动防御，可实现对SQL注入防御、OGNL注入防御、不安全的反序列化防御、命令注入防御、WebShell行为防御、HTTP Method篡改防御、登录滥用防御、SSRF防御、扫描器扫描防御、任意文件写入防御、路径遍历防御、XXE防御、部分执行类0DAY漏洞的防御，投标时提供界面截图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bCs/>
                <w:color w:val="000000"/>
                <w:szCs w:val="21"/>
              </w:rPr>
              <w:t>▲</w:t>
            </w:r>
            <w:r>
              <w:rPr>
                <w:rFonts w:hint="eastAsia" w:ascii="宋体" w:hAnsi="宋体" w:cs="仿宋_GB2312"/>
                <w:color w:val="000000"/>
                <w:szCs w:val="21"/>
              </w:rPr>
              <w:t>许可配置</w:t>
            </w:r>
          </w:p>
        </w:tc>
        <w:tc>
          <w:tcPr>
            <w:tcW w:w="7626" w:type="dxa"/>
          </w:tcPr>
          <w:p>
            <w:pPr>
              <w:pStyle w:val="256"/>
              <w:rPr>
                <w:rFonts w:hint="eastAsia" w:ascii="宋体" w:hAnsi="宋体"/>
                <w:sz w:val="21"/>
                <w:szCs w:val="21"/>
              </w:rPr>
            </w:pPr>
            <w:r>
              <w:rPr>
                <w:rFonts w:hint="eastAsia" w:ascii="宋体" w:hAnsi="宋体"/>
                <w:sz w:val="21"/>
                <w:szCs w:val="21"/>
              </w:rPr>
              <w:t>配置Agent并发许可不少于10个核心业务高级授权；在并发许可内不限检测应用、项目数量、不限在线用户数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ind w:left="1"/>
              <w:jc w:val="center"/>
              <w:rPr>
                <w:rFonts w:hint="eastAsia" w:ascii="宋体" w:hAnsi="宋体" w:cs="仿宋_GB2312"/>
                <w:color w:val="000000"/>
                <w:szCs w:val="21"/>
              </w:rPr>
            </w:pPr>
            <w:r>
              <w:rPr>
                <w:rFonts w:hint="eastAsia" w:ascii="宋体" w:hAnsi="宋体" w:cs="仿宋_GB2312"/>
                <w:color w:val="000000"/>
                <w:szCs w:val="21"/>
              </w:rPr>
              <w:t>许可使用</w:t>
            </w:r>
          </w:p>
        </w:tc>
        <w:tc>
          <w:tcPr>
            <w:tcW w:w="7626" w:type="dxa"/>
          </w:tcPr>
          <w:p>
            <w:pPr>
              <w:pStyle w:val="256"/>
              <w:rPr>
                <w:rFonts w:hint="eastAsia" w:ascii="宋体" w:hAnsi="宋体"/>
                <w:sz w:val="21"/>
                <w:szCs w:val="21"/>
              </w:rPr>
            </w:pPr>
            <w:r>
              <w:rPr>
                <w:rFonts w:hint="eastAsia" w:ascii="宋体" w:hAnsi="宋体"/>
                <w:sz w:val="21"/>
                <w:szCs w:val="21"/>
              </w:rPr>
              <w:t>支持针对Agent为单位进行许可分配，当长期不使用时可以把Agent许可进行回收，提高许可使用效率降低采购成本；</w:t>
            </w:r>
          </w:p>
          <w:p>
            <w:pPr>
              <w:pStyle w:val="256"/>
              <w:rPr>
                <w:rFonts w:hint="eastAsia" w:ascii="宋体" w:hAnsi="宋体"/>
                <w:sz w:val="21"/>
                <w:szCs w:val="21"/>
              </w:rPr>
            </w:pPr>
            <w:r>
              <w:rPr>
                <w:rFonts w:hint="eastAsia" w:ascii="宋体" w:hAnsi="宋体"/>
                <w:sz w:val="21"/>
                <w:szCs w:val="21"/>
              </w:rPr>
              <w:t>支持为每个小组分配许可占用上限；可按小组配置成不同的许可模式，如：支持配额模式（本小组许可不会被其他小组占用）、共享模式（所有小后共享同一个许可池）。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Align w:val="center"/>
          </w:tcPr>
          <w:p>
            <w:pPr>
              <w:rPr>
                <w:rFonts w:hint="eastAsia" w:ascii="宋体" w:hAnsi="宋体" w:cs="仿宋_GB2312"/>
                <w:color w:val="000000"/>
                <w:szCs w:val="21"/>
              </w:rPr>
            </w:pPr>
            <w:r>
              <w:rPr>
                <w:rFonts w:hint="eastAsia" w:ascii="宋体" w:hAnsi="宋体" w:cs="仿宋_GB2312"/>
                <w:color w:val="000000"/>
                <w:szCs w:val="21"/>
              </w:rPr>
              <w:t>▲功能测试验证</w:t>
            </w:r>
          </w:p>
        </w:tc>
        <w:tc>
          <w:tcPr>
            <w:tcW w:w="7626" w:type="dxa"/>
          </w:tcPr>
          <w:p>
            <w:pPr>
              <w:pStyle w:val="256"/>
              <w:rPr>
                <w:rFonts w:hint="eastAsia" w:ascii="宋体" w:hAnsi="宋体"/>
                <w:sz w:val="21"/>
                <w:szCs w:val="21"/>
              </w:rPr>
            </w:pPr>
            <w:r>
              <w:rPr>
                <w:rFonts w:hint="eastAsia" w:ascii="宋体" w:hAnsi="宋体"/>
                <w:sz w:val="21"/>
                <w:szCs w:val="21"/>
              </w:rPr>
              <w:t>中标后七天内，提供测试产品对功能和性能测试，若无法在规定时间内提供测试设备或测试结果与招标内容不符，影响医院互联互通等级评定和应用软件上线，取消中标资格，中标方承担所有责任；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ind w:left="1"/>
              <w:jc w:val="center"/>
              <w:rPr>
                <w:rFonts w:hint="eastAsia" w:ascii="宋体" w:hAnsi="宋体" w:cs="仿宋_GB2312"/>
                <w:color w:val="000000"/>
                <w:szCs w:val="21"/>
              </w:rPr>
            </w:pPr>
            <w:r>
              <w:rPr>
                <w:rFonts w:hint="eastAsia" w:ascii="宋体" w:hAnsi="宋体" w:cs="仿宋_GB2312"/>
                <w:color w:val="000000"/>
                <w:szCs w:val="21"/>
              </w:rPr>
              <w:t>售后服务</w:t>
            </w:r>
          </w:p>
        </w:tc>
        <w:tc>
          <w:tcPr>
            <w:tcW w:w="7626" w:type="dxa"/>
          </w:tcPr>
          <w:p>
            <w:pPr>
              <w:pStyle w:val="256"/>
              <w:rPr>
                <w:rFonts w:hint="eastAsia" w:ascii="宋体" w:hAnsi="宋体"/>
                <w:sz w:val="21"/>
                <w:szCs w:val="21"/>
                <w:highlight w:val="yellow"/>
              </w:rPr>
            </w:pPr>
            <w:r>
              <w:rPr>
                <w:rFonts w:hint="eastAsia" w:ascii="宋体" w:hAnsi="宋体"/>
                <w:sz w:val="21"/>
                <w:szCs w:val="21"/>
              </w:rPr>
              <w:t>提供不少于三年免费保修及规则库升级服务，提供原厂商三年7*24技术支持服务，投标提供技术保修服务承诺</w:t>
            </w:r>
          </w:p>
        </w:tc>
      </w:tr>
    </w:tbl>
    <w:p>
      <w:pPr>
        <w:rPr>
          <w:rFonts w:hint="eastAsia" w:ascii="宋体" w:hAnsi="宋体" w:cs="仿宋_GB2312"/>
          <w:color w:val="000000"/>
          <w:szCs w:val="21"/>
        </w:rPr>
      </w:pPr>
    </w:p>
    <w:p>
      <w:pPr>
        <w:pStyle w:val="4"/>
        <w:spacing w:before="0" w:after="0" w:line="240" w:lineRule="auto"/>
        <w:rPr>
          <w:rFonts w:hint="eastAsia" w:ascii="宋体" w:hAnsi="宋体" w:cs="仿宋_GB2312"/>
          <w:sz w:val="21"/>
          <w:szCs w:val="21"/>
        </w:rPr>
      </w:pPr>
      <w:bookmarkStart w:id="47" w:name="_Toc104743872"/>
      <w:r>
        <w:rPr>
          <w:rFonts w:hint="eastAsia" w:ascii="宋体" w:hAnsi="宋体" w:cs="仿宋_GB2312"/>
          <w:sz w:val="21"/>
          <w:szCs w:val="21"/>
        </w:rPr>
        <w:t>16 数据中心运维管理系统</w:t>
      </w:r>
      <w:bookmarkEnd w:id="47"/>
    </w:p>
    <w:tbl>
      <w:tblPr>
        <w:tblStyle w:val="64"/>
        <w:tblW w:w="48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177"/>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5" w:type="pct"/>
            <w:vAlign w:val="center"/>
          </w:tcPr>
          <w:p>
            <w:pPr>
              <w:jc w:val="center"/>
              <w:rPr>
                <w:rFonts w:hint="eastAsia" w:ascii="宋体" w:hAnsi="宋体" w:cs="仿宋_GB2312"/>
                <w:kern w:val="0"/>
                <w:szCs w:val="21"/>
              </w:rPr>
            </w:pPr>
            <w:r>
              <w:rPr>
                <w:rFonts w:hint="eastAsia" w:ascii="宋体" w:hAnsi="宋体" w:cs="仿宋_GB2312"/>
                <w:kern w:val="0"/>
                <w:szCs w:val="21"/>
              </w:rPr>
              <w:t>指标项</w:t>
            </w:r>
          </w:p>
        </w:tc>
        <w:tc>
          <w:tcPr>
            <w:tcW w:w="4285" w:type="pct"/>
            <w:gridSpan w:val="2"/>
            <w:vAlign w:val="center"/>
          </w:tcPr>
          <w:p>
            <w:pPr>
              <w:jc w:val="left"/>
              <w:rPr>
                <w:rFonts w:hint="eastAsia" w:ascii="宋体" w:hAnsi="宋体" w:cs="仿宋_GB2312"/>
                <w:kern w:val="0"/>
                <w:szCs w:val="21"/>
              </w:rPr>
            </w:pPr>
            <w:r>
              <w:rPr>
                <w:rFonts w:hint="eastAsia" w:ascii="宋体" w:hAnsi="宋体" w:cs="仿宋_GB2312"/>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系统</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管理范围</w:t>
            </w:r>
          </w:p>
        </w:tc>
        <w:tc>
          <w:tcPr>
            <w:tcW w:w="3572" w:type="pct"/>
            <w:vAlign w:val="center"/>
          </w:tcPr>
          <w:p>
            <w:pPr>
              <w:pStyle w:val="256"/>
              <w:rPr>
                <w:rFonts w:hint="eastAsia" w:ascii="宋体" w:hAnsi="宋体"/>
                <w:sz w:val="21"/>
                <w:szCs w:val="21"/>
              </w:rPr>
            </w:pPr>
            <w:r>
              <w:rPr>
                <w:rFonts w:hint="eastAsia" w:ascii="宋体" w:hAnsi="宋体"/>
                <w:sz w:val="21"/>
                <w:szCs w:val="21"/>
              </w:rPr>
              <w:t>支持节点数≥2000；监控设备类型为交换机、服务器、操作系统、数据库、网络安全设备、应用监控等。部分设备监控细则项要求可定制化开发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管理界面</w:t>
            </w:r>
          </w:p>
        </w:tc>
        <w:tc>
          <w:tcPr>
            <w:tcW w:w="3572" w:type="pct"/>
            <w:vAlign w:val="center"/>
          </w:tcPr>
          <w:p>
            <w:pPr>
              <w:pStyle w:val="256"/>
              <w:rPr>
                <w:rFonts w:hint="eastAsia" w:ascii="宋体" w:hAnsi="宋体"/>
                <w:sz w:val="21"/>
                <w:szCs w:val="21"/>
              </w:rPr>
            </w:pPr>
            <w:r>
              <w:rPr>
                <w:rFonts w:hint="eastAsia" w:ascii="宋体" w:hAnsi="宋体"/>
                <w:sz w:val="21"/>
                <w:szCs w:val="21"/>
              </w:rPr>
              <w:t>全中文界面，采用HTML5技术，要求B/S模式的管理，界面友好，支持基于Web的图形用户界面（GUI），能够以简单、直观的方式显示信息，简化配置；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▲操作系统</w:t>
            </w:r>
          </w:p>
        </w:tc>
        <w:tc>
          <w:tcPr>
            <w:tcW w:w="3572" w:type="pct"/>
            <w:vAlign w:val="center"/>
          </w:tcPr>
          <w:p>
            <w:pPr>
              <w:pStyle w:val="256"/>
              <w:rPr>
                <w:rFonts w:hint="eastAsia" w:ascii="宋体" w:hAnsi="宋体"/>
                <w:sz w:val="21"/>
                <w:szCs w:val="21"/>
              </w:rPr>
            </w:pPr>
            <w:r>
              <w:rPr>
                <w:rFonts w:hint="eastAsia" w:ascii="宋体" w:hAnsi="宋体"/>
                <w:sz w:val="21"/>
                <w:szCs w:val="21"/>
              </w:rPr>
              <w:t>软件基于自主开发系统或是采用CentOS操作系统（64位）；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用户</w:t>
            </w:r>
          </w:p>
        </w:tc>
        <w:tc>
          <w:tcPr>
            <w:tcW w:w="3572" w:type="pct"/>
            <w:vAlign w:val="center"/>
          </w:tcPr>
          <w:p>
            <w:pPr>
              <w:pStyle w:val="256"/>
              <w:rPr>
                <w:rFonts w:hint="eastAsia" w:ascii="宋体" w:hAnsi="宋体"/>
                <w:sz w:val="21"/>
                <w:szCs w:val="21"/>
              </w:rPr>
            </w:pPr>
            <w:r>
              <w:rPr>
                <w:rFonts w:hint="eastAsia" w:ascii="宋体" w:hAnsi="宋体"/>
                <w:sz w:val="21"/>
                <w:szCs w:val="21"/>
              </w:rPr>
              <w:t>支持多用户基于角色的用户管理，可以按权限进行管理。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开发</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定制开发</w:t>
            </w:r>
          </w:p>
        </w:tc>
        <w:tc>
          <w:tcPr>
            <w:tcW w:w="3572" w:type="pct"/>
            <w:vAlign w:val="center"/>
          </w:tcPr>
          <w:p>
            <w:pPr>
              <w:pStyle w:val="256"/>
              <w:rPr>
                <w:rFonts w:hint="eastAsia" w:ascii="宋体" w:hAnsi="宋体"/>
                <w:sz w:val="21"/>
                <w:szCs w:val="21"/>
              </w:rPr>
            </w:pPr>
            <w:r>
              <w:rPr>
                <w:rFonts w:hint="eastAsia" w:ascii="宋体" w:hAnsi="宋体"/>
                <w:sz w:val="21"/>
                <w:szCs w:val="21"/>
              </w:rPr>
              <w:t>本次项目要求厂商对系统进行定制性需要开发，开发内容包括但不限制于1、多大屏类型的大屏展示页面2、对设备的定制性开发扩展监控3、各应用系统的监控 4、资产管理的定制开发等内容。定制需求周期为三年。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要求与其他各第三方系统进行整合对接定制开发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支持研发现场系统优化服务；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支持IT运维流程设计服务；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支持ITIL与OA业务系统对接；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大屏展示系统</w:t>
            </w:r>
          </w:p>
        </w:tc>
        <w:tc>
          <w:tcPr>
            <w:tcW w:w="3572" w:type="pct"/>
            <w:vAlign w:val="center"/>
          </w:tcPr>
          <w:p>
            <w:pPr>
              <w:pStyle w:val="256"/>
              <w:rPr>
                <w:rFonts w:hint="eastAsia" w:ascii="宋体" w:hAnsi="宋体"/>
                <w:sz w:val="21"/>
                <w:szCs w:val="21"/>
              </w:rPr>
            </w:pPr>
            <w:r>
              <w:rPr>
                <w:rFonts w:hint="eastAsia" w:ascii="宋体" w:hAnsi="宋体"/>
                <w:sz w:val="21"/>
                <w:szCs w:val="21"/>
              </w:rPr>
              <w:t>大屏展示，通过可视化图表实时展示系统运行状况，大屏要求对接视频监控画面，动力环境系统运行状况，安全告警状况等多视图多屏页面 。支持不同管理视图和实时拓扑图在大屏幕上切换；要求大屏展示界面美观，并可根据用户需求来开发定制大屏界面，大屏展示系统能抽取其他业务系统数据，进行数据可视化展示及告警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业务服务</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业务服务管理组件</w:t>
            </w:r>
          </w:p>
        </w:tc>
        <w:tc>
          <w:tcPr>
            <w:tcW w:w="3572" w:type="pct"/>
            <w:vAlign w:val="center"/>
          </w:tcPr>
          <w:p>
            <w:pPr>
              <w:pStyle w:val="256"/>
              <w:rPr>
                <w:rFonts w:hint="eastAsia" w:ascii="宋体" w:hAnsi="宋体"/>
                <w:sz w:val="21"/>
                <w:szCs w:val="21"/>
              </w:rPr>
            </w:pPr>
            <w:r>
              <w:rPr>
                <w:rFonts w:hint="eastAsia" w:ascii="宋体" w:hAnsi="宋体"/>
                <w:sz w:val="21"/>
                <w:szCs w:val="21"/>
              </w:rPr>
              <w:t>支持通过端到端的方式对业务系统进行实时监测；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支持业务系统异常波动告警；支持通过大屏实时展示业务系统运行状态；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可根据客户需求，定制业务系统展示模块；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准入</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准入管理</w:t>
            </w:r>
          </w:p>
        </w:tc>
        <w:tc>
          <w:tcPr>
            <w:tcW w:w="3572" w:type="pct"/>
            <w:vMerge w:val="restart"/>
            <w:vAlign w:val="center"/>
          </w:tcPr>
          <w:p>
            <w:pPr>
              <w:pStyle w:val="256"/>
              <w:rPr>
                <w:rFonts w:hint="eastAsia" w:ascii="宋体" w:hAnsi="宋体"/>
                <w:sz w:val="21"/>
                <w:szCs w:val="21"/>
              </w:rPr>
            </w:pPr>
            <w:r>
              <w:rPr>
                <w:rFonts w:hint="eastAsia" w:ascii="宋体" w:hAnsi="宋体"/>
                <w:sz w:val="21"/>
                <w:szCs w:val="21"/>
              </w:rPr>
              <w:t>要求投标方提供的软件具备网络接入控制功能，无需第三方软件及硬件，就可以及时发现非法占用IP资源，内部设备非法跨网段接入，以及外部设备非法接入内部网络，并进一步定位到设备端口，实现实时干扰，保障全网的IP管理秩序和网络接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Merge w:val="continue"/>
            <w:vAlign w:val="center"/>
          </w:tcPr>
          <w:p>
            <w:pPr>
              <w:pStyle w:val="256"/>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堡垒系统组件</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堡垒系统组件</w:t>
            </w:r>
          </w:p>
        </w:tc>
        <w:tc>
          <w:tcPr>
            <w:tcW w:w="3572" w:type="pct"/>
            <w:vAlign w:val="center"/>
          </w:tcPr>
          <w:p>
            <w:pPr>
              <w:pStyle w:val="256"/>
              <w:rPr>
                <w:rFonts w:hint="eastAsia" w:ascii="宋体" w:hAnsi="宋体"/>
                <w:sz w:val="21"/>
                <w:szCs w:val="21"/>
              </w:rPr>
            </w:pPr>
            <w:r>
              <w:rPr>
                <w:rFonts w:hint="eastAsia" w:ascii="宋体" w:hAnsi="宋体"/>
                <w:sz w:val="21"/>
                <w:szCs w:val="21"/>
              </w:rPr>
              <w:t>具备网络设备web terminal远程登录功能，支持TELNET，ssh ,RDP，web等登录方式。实现WEB端与本地管理完全一样的操作和功能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具备设备密码的管理功能。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highlight w:val="yellow"/>
              </w:rPr>
            </w:pPr>
            <w:r>
              <w:rPr>
                <w:rFonts w:hint="eastAsia" w:ascii="宋体" w:hAnsi="宋体"/>
                <w:sz w:val="21"/>
                <w:szCs w:val="21"/>
              </w:rPr>
              <w:t>支持集中管理所有用户操作记录；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Align w:val="center"/>
          </w:tcPr>
          <w:p>
            <w:pPr>
              <w:jc w:val="center"/>
              <w:rPr>
                <w:rFonts w:hint="eastAsia" w:ascii="宋体" w:hAnsi="宋体" w:cs="仿宋_GB2312"/>
                <w:kern w:val="0"/>
                <w:szCs w:val="21"/>
              </w:rPr>
            </w:pPr>
            <w:r>
              <w:rPr>
                <w:rFonts w:hint="eastAsia" w:ascii="宋体" w:hAnsi="宋体" w:cs="仿宋_GB2312"/>
                <w:kern w:val="0"/>
                <w:szCs w:val="21"/>
              </w:rPr>
              <w:t>呼叫中心</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Web呼叫中心</w:t>
            </w:r>
          </w:p>
        </w:tc>
        <w:tc>
          <w:tcPr>
            <w:tcW w:w="3572" w:type="pct"/>
            <w:vAlign w:val="center"/>
          </w:tcPr>
          <w:p>
            <w:pPr>
              <w:pStyle w:val="256"/>
              <w:rPr>
                <w:rFonts w:hint="eastAsia" w:ascii="宋体" w:hAnsi="宋体"/>
                <w:sz w:val="21"/>
                <w:szCs w:val="21"/>
              </w:rPr>
            </w:pPr>
            <w:r>
              <w:rPr>
                <w:rFonts w:hint="eastAsia" w:ascii="宋体" w:hAnsi="宋体"/>
                <w:sz w:val="21"/>
                <w:szCs w:val="21"/>
              </w:rPr>
              <w:t>具备web 呼叫中心功能，可进行在线的咨询及远程服务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ITIL服务管理组件</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ITIL服务管理组件</w:t>
            </w:r>
          </w:p>
        </w:tc>
        <w:tc>
          <w:tcPr>
            <w:tcW w:w="3572" w:type="pct"/>
            <w:vAlign w:val="center"/>
          </w:tcPr>
          <w:p>
            <w:pPr>
              <w:pStyle w:val="256"/>
              <w:rPr>
                <w:rFonts w:hint="eastAsia" w:ascii="宋体" w:hAnsi="宋体"/>
                <w:sz w:val="21"/>
                <w:szCs w:val="21"/>
              </w:rPr>
            </w:pPr>
            <w:r>
              <w:rPr>
                <w:rFonts w:hint="eastAsia" w:ascii="宋体" w:hAnsi="宋体"/>
                <w:sz w:val="21"/>
                <w:szCs w:val="21"/>
              </w:rPr>
              <w:t>用户可以通过服务台实现客户流程事件的入口，和相应事件状态的管理；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支持知识库管理，知识库搜索引擎，管理客户的知识库信息，可定制化；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支持事件KPI，可生成相应事件的统计报告；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支持自定义流程，可根据客户的组织架构定义个性化流程；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支持自定义表单，可个性化生成流程业务表单；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支持大屏展示，展示待办、已办数、待办流程展示、工作量的统计。待办流程可查看流程详情与流程图信息；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监控管理</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监控方式</w:t>
            </w:r>
          </w:p>
        </w:tc>
        <w:tc>
          <w:tcPr>
            <w:tcW w:w="3572" w:type="pct"/>
            <w:vAlign w:val="center"/>
          </w:tcPr>
          <w:p>
            <w:pPr>
              <w:pStyle w:val="256"/>
              <w:rPr>
                <w:rFonts w:hint="eastAsia" w:ascii="宋体" w:hAnsi="宋体"/>
                <w:sz w:val="21"/>
                <w:szCs w:val="21"/>
              </w:rPr>
            </w:pPr>
            <w:r>
              <w:rPr>
                <w:rFonts w:hint="eastAsia" w:ascii="宋体" w:hAnsi="宋体"/>
                <w:sz w:val="21"/>
                <w:szCs w:val="21"/>
              </w:rPr>
              <w:t>支持SNMP、WMI、SSH、TELNET、SHELL、IPMI、HTTP、Agent、Rsyslog、TCPDUMP、JDBC、JMX和仿真等方式进行数据采集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网络设备监控</w:t>
            </w:r>
          </w:p>
        </w:tc>
        <w:tc>
          <w:tcPr>
            <w:tcW w:w="3572" w:type="pct"/>
            <w:vAlign w:val="center"/>
          </w:tcPr>
          <w:p>
            <w:pPr>
              <w:pStyle w:val="256"/>
              <w:rPr>
                <w:rFonts w:hint="eastAsia" w:ascii="宋体" w:hAnsi="宋体"/>
                <w:sz w:val="21"/>
                <w:szCs w:val="21"/>
              </w:rPr>
            </w:pPr>
            <w:r>
              <w:rPr>
                <w:rFonts w:hint="eastAsia" w:ascii="宋体" w:hAnsi="宋体"/>
                <w:sz w:val="21"/>
                <w:szCs w:val="21"/>
              </w:rPr>
              <w:t>支持主流厂商交换机、路由器、网络安全设备；可添加定制所有支持SNMP协议的网络设备；要求监控细项可定制化开发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网络设备监控</w:t>
            </w:r>
          </w:p>
        </w:tc>
        <w:tc>
          <w:tcPr>
            <w:tcW w:w="3572" w:type="pct"/>
            <w:vAlign w:val="center"/>
          </w:tcPr>
          <w:p>
            <w:pPr>
              <w:pStyle w:val="256"/>
              <w:rPr>
                <w:rFonts w:hint="eastAsia" w:ascii="宋体" w:hAnsi="宋体"/>
                <w:sz w:val="21"/>
                <w:szCs w:val="21"/>
              </w:rPr>
            </w:pPr>
            <w:r>
              <w:rPr>
                <w:rFonts w:hint="eastAsia" w:ascii="宋体" w:hAnsi="宋体"/>
                <w:sz w:val="21"/>
                <w:szCs w:val="21"/>
              </w:rPr>
              <w:t>必须能够持续监测网络设备状态。以不同的颜色从拓扑图上区分出网络设备的状态（包括连续运行时间、CPU负载、Mem利用率等），并显示出各链路的实时数据流量；在拓扑图上直接显示各设备间每条线路实时数据流量（包括帧流量、广播流量、数据丢包情况和出错包情况等）提供对交换机的信息查询功能，包括接口所连接的设备名及IP地址、系统信息、接口流量分布情况、设备路由表、ARP缓存等信息。以上数据均可按数据表或图形时间曲线展开数据分析，在数据表方式中，每一列数据均可按用户要求进行升序、降序，便于寻找峰值数据、最小数据，也可即时提供网络设备的基本信息；能够直接开启和关闭端口。能够以列表方式显示设备中所有端口的流量分布情况（包括出入端口的流量、数据帧流量、广播包流量、丢包情况和错误包情况）。对网络中异常情况能够进行告警并且记入日志；系统支持基于周期轮询的系统性能指标的统计，历史的性能指标数据能够保存一年以上。管理系统也能够支持对设备运行性能实时查看，能够以秒为颗粒度实时的对特定性能指标绘制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服务器及应用监控</w:t>
            </w:r>
          </w:p>
        </w:tc>
        <w:tc>
          <w:tcPr>
            <w:tcW w:w="3572" w:type="pct"/>
            <w:vAlign w:val="center"/>
          </w:tcPr>
          <w:p>
            <w:pPr>
              <w:pStyle w:val="256"/>
              <w:rPr>
                <w:rFonts w:hint="eastAsia" w:ascii="宋体" w:hAnsi="宋体"/>
                <w:sz w:val="21"/>
                <w:szCs w:val="21"/>
              </w:rPr>
            </w:pPr>
            <w:r>
              <w:rPr>
                <w:rFonts w:hint="eastAsia" w:ascii="宋体" w:hAnsi="宋体"/>
                <w:sz w:val="21"/>
                <w:szCs w:val="21"/>
              </w:rPr>
              <w:t>主机：以多种形式实时展示主机服务器的软硬件配置信息、运行状态，如CPU、内存、磁盘运行等情况；提供文件管理指标、进程运行指标，以及检查日志和网络连接等。数据库：能够监控到数据库的各类关键参数指标，这些指标包括：基本信息、告警信息、锁信息、错误信息、配置信息、空间信息、活动信息、进程信息、文件信息、会话信息、缓存信息、日志信息、性能信息、存储信息、管理器信息、库表信息等。中间件：基于监视所记录的各种中间件的状态数据，可帮助业务人员分析服务响应速度变化的技术原因和规律，在业务受到影响前，主动发现潜在问题。提供对中间件各类关键参数指标的监控，这些指标包括：基本信息，数据库连接池信息、会话信息、任务信息、JTA、JVM、Servlet、EJB、JDBC、运行队列、内存信息、线程信息等等。应用：支持对多种web应用的实时监控，对端口状态、响应时间、连接信息等提供关键参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历史曲线</w:t>
            </w:r>
          </w:p>
        </w:tc>
        <w:tc>
          <w:tcPr>
            <w:tcW w:w="3572" w:type="pct"/>
            <w:vAlign w:val="center"/>
          </w:tcPr>
          <w:p>
            <w:pPr>
              <w:pStyle w:val="256"/>
              <w:rPr>
                <w:rFonts w:hint="eastAsia" w:ascii="宋体" w:hAnsi="宋体"/>
                <w:sz w:val="21"/>
                <w:szCs w:val="21"/>
              </w:rPr>
            </w:pPr>
            <w:r>
              <w:rPr>
                <w:rFonts w:hint="eastAsia" w:ascii="宋体" w:hAnsi="宋体"/>
                <w:sz w:val="21"/>
                <w:szCs w:val="21"/>
              </w:rPr>
              <w:t>支持所有监控参数的历史数据查询；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支持所有监控参数数据的1年内的数据查询；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支持用户自定义时间段的历史数据查询；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监控视图</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监控雷达</w:t>
            </w:r>
          </w:p>
        </w:tc>
        <w:tc>
          <w:tcPr>
            <w:tcW w:w="3572" w:type="pct"/>
            <w:vAlign w:val="center"/>
          </w:tcPr>
          <w:p>
            <w:pPr>
              <w:pStyle w:val="256"/>
              <w:rPr>
                <w:rFonts w:hint="eastAsia" w:ascii="宋体" w:hAnsi="宋体"/>
                <w:sz w:val="21"/>
                <w:szCs w:val="21"/>
              </w:rPr>
            </w:pPr>
            <w:r>
              <w:rPr>
                <w:rFonts w:hint="eastAsia" w:ascii="宋体" w:hAnsi="宋体"/>
                <w:sz w:val="21"/>
                <w:szCs w:val="21"/>
              </w:rPr>
              <w:t>支持雷达扫描器；雷达扫描可以直观显示所监控的节点及正常与否；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提供监控告警类型显示以及声音告警提示；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节点视图</w:t>
            </w:r>
          </w:p>
        </w:tc>
        <w:tc>
          <w:tcPr>
            <w:tcW w:w="3572" w:type="pct"/>
            <w:vAlign w:val="center"/>
          </w:tcPr>
          <w:p>
            <w:pPr>
              <w:pStyle w:val="256"/>
              <w:rPr>
                <w:rFonts w:hint="eastAsia" w:ascii="宋体" w:hAnsi="宋体"/>
                <w:sz w:val="21"/>
                <w:szCs w:val="21"/>
              </w:rPr>
            </w:pPr>
            <w:r>
              <w:rPr>
                <w:rFonts w:hint="eastAsia" w:ascii="宋体" w:hAnsi="宋体"/>
                <w:sz w:val="21"/>
                <w:szCs w:val="21"/>
              </w:rPr>
              <w:t>提供监控节点的设备类型、系统类型、运行服务状态的直观试图；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提过节点运行正常率的最差TOP10排名；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提过节点CPU、Memory、Disk的使用率的排名；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机柜视图</w:t>
            </w:r>
          </w:p>
        </w:tc>
        <w:tc>
          <w:tcPr>
            <w:tcW w:w="3572" w:type="pct"/>
            <w:vAlign w:val="center"/>
          </w:tcPr>
          <w:p>
            <w:pPr>
              <w:pStyle w:val="256"/>
              <w:rPr>
                <w:rFonts w:hint="eastAsia" w:ascii="宋体" w:hAnsi="宋体"/>
                <w:sz w:val="21"/>
                <w:szCs w:val="21"/>
              </w:rPr>
            </w:pPr>
            <w:r>
              <w:rPr>
                <w:rFonts w:hint="eastAsia" w:ascii="宋体" w:hAnsi="宋体"/>
                <w:sz w:val="21"/>
                <w:szCs w:val="21"/>
              </w:rPr>
              <w:t>对机房内的机柜使用情况进行统一的管理，系统能够很方便的对机柜内的设备摆放情况进行编辑、调整。并能实时显示设备当前的运行状态，在需要时，可以很方便的打开机柜内设备的真实面板图进行操作。（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网络接口视图</w:t>
            </w:r>
          </w:p>
        </w:tc>
        <w:tc>
          <w:tcPr>
            <w:tcW w:w="3572" w:type="pct"/>
            <w:vAlign w:val="center"/>
          </w:tcPr>
          <w:p>
            <w:pPr>
              <w:pStyle w:val="256"/>
              <w:rPr>
                <w:rFonts w:hint="eastAsia" w:ascii="宋体" w:hAnsi="宋体"/>
                <w:sz w:val="21"/>
                <w:szCs w:val="21"/>
              </w:rPr>
            </w:pPr>
            <w:r>
              <w:rPr>
                <w:rFonts w:hint="eastAsia" w:ascii="宋体" w:hAnsi="宋体"/>
                <w:sz w:val="21"/>
                <w:szCs w:val="21"/>
              </w:rPr>
              <w:t>提供设备网络接口的状态、流量、收发错包/丢包直观显示；（提供功能截图）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日志管理</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支持设备</w:t>
            </w:r>
          </w:p>
        </w:tc>
        <w:tc>
          <w:tcPr>
            <w:tcW w:w="3572" w:type="pct"/>
            <w:vAlign w:val="center"/>
          </w:tcPr>
          <w:p>
            <w:pPr>
              <w:pStyle w:val="256"/>
              <w:rPr>
                <w:rFonts w:hint="eastAsia" w:ascii="宋体" w:hAnsi="宋体"/>
                <w:sz w:val="21"/>
                <w:szCs w:val="21"/>
              </w:rPr>
            </w:pPr>
            <w:r>
              <w:rPr>
                <w:rFonts w:hint="eastAsia" w:ascii="宋体" w:hAnsi="宋体"/>
                <w:sz w:val="21"/>
                <w:szCs w:val="21"/>
              </w:rPr>
              <w:t>支持网络设备（交换机、路由器），安全设备（防火墙）系统日志管理；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支持Windows全系列主机和Linux/Unix全系列主机日志的管理；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日志规则库</w:t>
            </w:r>
          </w:p>
        </w:tc>
        <w:tc>
          <w:tcPr>
            <w:tcW w:w="3572" w:type="pct"/>
            <w:vAlign w:val="center"/>
          </w:tcPr>
          <w:p>
            <w:pPr>
              <w:pStyle w:val="256"/>
              <w:rPr>
                <w:rFonts w:hint="eastAsia" w:ascii="宋体" w:hAnsi="宋体"/>
                <w:sz w:val="21"/>
                <w:szCs w:val="21"/>
              </w:rPr>
            </w:pPr>
            <w:r>
              <w:rPr>
                <w:rFonts w:hint="eastAsia" w:ascii="宋体" w:hAnsi="宋体"/>
                <w:sz w:val="21"/>
                <w:szCs w:val="21"/>
              </w:rPr>
              <w:t>内置大于1000条以上日志规则库（提供功能截图）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日志显示</w:t>
            </w:r>
          </w:p>
        </w:tc>
        <w:tc>
          <w:tcPr>
            <w:tcW w:w="3572" w:type="pct"/>
            <w:vAlign w:val="center"/>
          </w:tcPr>
          <w:p>
            <w:pPr>
              <w:pStyle w:val="256"/>
              <w:rPr>
                <w:rFonts w:hint="eastAsia" w:ascii="宋体" w:hAnsi="宋体"/>
                <w:sz w:val="21"/>
                <w:szCs w:val="21"/>
              </w:rPr>
            </w:pPr>
            <w:r>
              <w:rPr>
                <w:rFonts w:hint="eastAsia" w:ascii="宋体" w:hAnsi="宋体"/>
                <w:sz w:val="21"/>
                <w:szCs w:val="21"/>
              </w:rPr>
              <w:t>采用瀑布式日志显示，根据时间排列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管理功能</w:t>
            </w:r>
          </w:p>
        </w:tc>
        <w:tc>
          <w:tcPr>
            <w:tcW w:w="3572" w:type="pct"/>
            <w:vAlign w:val="center"/>
          </w:tcPr>
          <w:p>
            <w:pPr>
              <w:pStyle w:val="256"/>
              <w:rPr>
                <w:rFonts w:hint="eastAsia" w:ascii="宋体" w:hAnsi="宋体"/>
                <w:sz w:val="21"/>
                <w:szCs w:val="21"/>
              </w:rPr>
            </w:pPr>
            <w:r>
              <w:rPr>
                <w:rFonts w:hint="eastAsia" w:ascii="宋体" w:hAnsi="宋体"/>
                <w:sz w:val="21"/>
                <w:szCs w:val="21"/>
              </w:rPr>
              <w:t>支持自定义日志自动移除功能；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支持自定义日志告警规则；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支持日志实时告警功能；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所采集日志可以按主机、时间、告警级别自动备份；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统计图表</w:t>
            </w:r>
          </w:p>
        </w:tc>
        <w:tc>
          <w:tcPr>
            <w:tcW w:w="3572" w:type="pct"/>
            <w:vAlign w:val="center"/>
          </w:tcPr>
          <w:p>
            <w:pPr>
              <w:pStyle w:val="256"/>
              <w:rPr>
                <w:rFonts w:hint="eastAsia" w:ascii="宋体" w:hAnsi="宋体"/>
                <w:sz w:val="21"/>
                <w:szCs w:val="21"/>
              </w:rPr>
            </w:pPr>
            <w:r>
              <w:rPr>
                <w:rFonts w:hint="eastAsia" w:ascii="宋体" w:hAnsi="宋体"/>
                <w:sz w:val="21"/>
                <w:szCs w:val="21"/>
              </w:rPr>
              <w:t>可按任意指定时间、指定设备、指定事件/告警类型等条件组合查询日志；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提供日志告警级别的统计比例饼形图；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提供日志告警主机的TopN图表；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可按指定条件生成主机事件、日期、告警级别、告警事件来源、告警事件类型的统计图表；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资产管理</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合同管理</w:t>
            </w:r>
          </w:p>
        </w:tc>
        <w:tc>
          <w:tcPr>
            <w:tcW w:w="3572" w:type="pct"/>
            <w:vAlign w:val="center"/>
          </w:tcPr>
          <w:p>
            <w:pPr>
              <w:pStyle w:val="256"/>
              <w:rPr>
                <w:rFonts w:hint="eastAsia" w:ascii="宋体" w:hAnsi="宋体"/>
                <w:sz w:val="21"/>
                <w:szCs w:val="21"/>
              </w:rPr>
            </w:pPr>
            <w:r>
              <w:rPr>
                <w:rFonts w:hint="eastAsia" w:ascii="宋体" w:hAnsi="宋体"/>
                <w:sz w:val="21"/>
                <w:szCs w:val="21"/>
              </w:rPr>
              <w:t>支持合同管理；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支持设备与合同的关联；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维保折旧</w:t>
            </w:r>
          </w:p>
        </w:tc>
        <w:tc>
          <w:tcPr>
            <w:tcW w:w="3572" w:type="pct"/>
            <w:vAlign w:val="center"/>
          </w:tcPr>
          <w:p>
            <w:pPr>
              <w:pStyle w:val="256"/>
              <w:rPr>
                <w:rFonts w:hint="eastAsia" w:ascii="宋体" w:hAnsi="宋体"/>
                <w:sz w:val="21"/>
                <w:szCs w:val="21"/>
              </w:rPr>
            </w:pPr>
            <w:r>
              <w:rPr>
                <w:rFonts w:hint="eastAsia" w:ascii="宋体" w:hAnsi="宋体"/>
                <w:sz w:val="21"/>
                <w:szCs w:val="21"/>
              </w:rPr>
              <w:t>支持设备的维保管理，具有维保到期提醒功能；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支持资产折旧管理；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▲二维码管理</w:t>
            </w:r>
          </w:p>
        </w:tc>
        <w:tc>
          <w:tcPr>
            <w:tcW w:w="3572" w:type="pct"/>
            <w:vAlign w:val="center"/>
          </w:tcPr>
          <w:p>
            <w:pPr>
              <w:pStyle w:val="256"/>
              <w:rPr>
                <w:rFonts w:hint="eastAsia" w:ascii="宋体" w:hAnsi="宋体"/>
                <w:sz w:val="21"/>
                <w:szCs w:val="21"/>
              </w:rPr>
            </w:pPr>
            <w:r>
              <w:rPr>
                <w:rFonts w:hint="eastAsia" w:ascii="宋体" w:hAnsi="宋体"/>
                <w:sz w:val="21"/>
                <w:szCs w:val="21"/>
              </w:rPr>
              <w:t>支持设备二维码标签管理；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通过智能手机扫描二维码可以查看设备的信息及状态，可以进行设备信息配置以及进行资产盘点；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机房资产</w:t>
            </w:r>
          </w:p>
        </w:tc>
        <w:tc>
          <w:tcPr>
            <w:tcW w:w="3572" w:type="pct"/>
            <w:vAlign w:val="center"/>
          </w:tcPr>
          <w:p>
            <w:pPr>
              <w:pStyle w:val="256"/>
              <w:rPr>
                <w:rFonts w:hint="eastAsia" w:ascii="宋体" w:hAnsi="宋体"/>
                <w:sz w:val="21"/>
                <w:szCs w:val="21"/>
              </w:rPr>
            </w:pPr>
            <w:r>
              <w:rPr>
                <w:rFonts w:hint="eastAsia" w:ascii="宋体" w:hAnsi="宋体"/>
                <w:sz w:val="21"/>
                <w:szCs w:val="21"/>
              </w:rPr>
              <w:t>支持机房机架物理拓扑显示，用户可以直观地看到每个机架上的每台设备的运行状态；可以看到设备的真实面板图；支持通过鼠标拖动进行机柜内设备布局信息的调整（提供功能截图）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查询及图表</w:t>
            </w:r>
          </w:p>
        </w:tc>
        <w:tc>
          <w:tcPr>
            <w:tcW w:w="3572" w:type="pct"/>
            <w:vAlign w:val="center"/>
          </w:tcPr>
          <w:p>
            <w:pPr>
              <w:pStyle w:val="256"/>
              <w:rPr>
                <w:rFonts w:hint="eastAsia" w:ascii="宋体" w:hAnsi="宋体"/>
                <w:sz w:val="21"/>
                <w:szCs w:val="21"/>
              </w:rPr>
            </w:pPr>
            <w:r>
              <w:rPr>
                <w:rFonts w:hint="eastAsia" w:ascii="宋体" w:hAnsi="宋体"/>
                <w:sz w:val="21"/>
                <w:szCs w:val="21"/>
              </w:rPr>
              <w:t>可按设备类型、品牌型号、存放位置、业务归属、管理归属、维保状态等信息进行查询；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支持生成设备的使用状态、品牌分类、维保状态、业务归属、采购日期等图表；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运维辅助</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IP地址管理</w:t>
            </w:r>
          </w:p>
        </w:tc>
        <w:tc>
          <w:tcPr>
            <w:tcW w:w="3572" w:type="pct"/>
            <w:vAlign w:val="center"/>
          </w:tcPr>
          <w:p>
            <w:pPr>
              <w:pStyle w:val="256"/>
              <w:rPr>
                <w:rFonts w:hint="eastAsia" w:ascii="宋体" w:hAnsi="宋体"/>
                <w:sz w:val="21"/>
                <w:szCs w:val="21"/>
              </w:rPr>
            </w:pPr>
            <w:r>
              <w:rPr>
                <w:rFonts w:hint="eastAsia" w:ascii="宋体" w:hAnsi="宋体"/>
                <w:sz w:val="21"/>
                <w:szCs w:val="21"/>
              </w:rPr>
              <w:t>提过IP地址资源分配管理；提供IP地址使用历史回溯功能；可以对IP地址分配、使用数据生成Excel或PDF格式的统计报表；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▲全网设备定位</w:t>
            </w:r>
          </w:p>
        </w:tc>
        <w:tc>
          <w:tcPr>
            <w:tcW w:w="3572" w:type="pct"/>
            <w:vAlign w:val="center"/>
          </w:tcPr>
          <w:p>
            <w:pPr>
              <w:pStyle w:val="256"/>
              <w:rPr>
                <w:rFonts w:hint="eastAsia" w:ascii="宋体" w:hAnsi="宋体"/>
                <w:sz w:val="21"/>
                <w:szCs w:val="21"/>
              </w:rPr>
            </w:pPr>
            <w:r>
              <w:rPr>
                <w:rFonts w:hint="eastAsia" w:ascii="宋体" w:hAnsi="宋体"/>
                <w:sz w:val="21"/>
                <w:szCs w:val="21"/>
              </w:rPr>
              <w:t>支持全网统一IP/MAC/设备端口对照一览表，支持跨网段、跨地域的IP地址管理，自动、动态、完整提供全网所有活动用户的网络连接位置信息，可根据IP地址-机器名-MAC-物理端口唯一对应关系，支持IP全网动态定位，迅速定位其所连接到的交换机端口，便于故障定位和问题查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故障管理</w:t>
            </w:r>
          </w:p>
        </w:tc>
        <w:tc>
          <w:tcPr>
            <w:tcW w:w="3572" w:type="pct"/>
            <w:vAlign w:val="center"/>
          </w:tcPr>
          <w:p>
            <w:pPr>
              <w:pStyle w:val="256"/>
              <w:rPr>
                <w:rFonts w:hint="eastAsia" w:ascii="宋体" w:hAnsi="宋体"/>
                <w:sz w:val="21"/>
                <w:szCs w:val="21"/>
              </w:rPr>
            </w:pPr>
            <w:r>
              <w:rPr>
                <w:rFonts w:hint="eastAsia" w:ascii="宋体" w:hAnsi="宋体"/>
                <w:sz w:val="21"/>
                <w:szCs w:val="21"/>
              </w:rPr>
              <w:t>支持对于运维中的故障问题记录、分类、统计功能；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支持自定义故障级别；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支持自定义故障分类；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可以按时间周期、故障级别、故障类型提供故障记录的图表分析；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提供故障记录的生成PDF格式文档，并下载；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运维文档管理</w:t>
            </w:r>
          </w:p>
        </w:tc>
        <w:tc>
          <w:tcPr>
            <w:tcW w:w="3572" w:type="pct"/>
            <w:vAlign w:val="center"/>
          </w:tcPr>
          <w:p>
            <w:pPr>
              <w:pStyle w:val="256"/>
              <w:rPr>
                <w:rFonts w:hint="eastAsia" w:ascii="宋体" w:hAnsi="宋体"/>
                <w:sz w:val="21"/>
                <w:szCs w:val="21"/>
              </w:rPr>
            </w:pPr>
            <w:r>
              <w:rPr>
                <w:rFonts w:hint="eastAsia" w:ascii="宋体" w:hAnsi="宋体"/>
                <w:sz w:val="21"/>
                <w:szCs w:val="21"/>
              </w:rPr>
              <w:t>能够实现对运维文档的WEB管理；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可以在线编辑、上传、下载运维技术文档；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支持常用文档格式（WORD、EXCEL、PDF、JPG等）；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运维通讯录</w:t>
            </w:r>
          </w:p>
        </w:tc>
        <w:tc>
          <w:tcPr>
            <w:tcW w:w="3572" w:type="pct"/>
            <w:vAlign w:val="center"/>
          </w:tcPr>
          <w:p>
            <w:pPr>
              <w:pStyle w:val="256"/>
              <w:rPr>
                <w:rFonts w:hint="eastAsia" w:ascii="宋体" w:hAnsi="宋体"/>
                <w:sz w:val="21"/>
                <w:szCs w:val="21"/>
              </w:rPr>
            </w:pPr>
            <w:r>
              <w:rPr>
                <w:rFonts w:hint="eastAsia" w:ascii="宋体" w:hAnsi="宋体"/>
                <w:sz w:val="21"/>
                <w:szCs w:val="21"/>
              </w:rPr>
              <w:t>支持运维应急通信录功能；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通信录按公司划分；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拓扑管理</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拓扑功能</w:t>
            </w:r>
          </w:p>
        </w:tc>
        <w:tc>
          <w:tcPr>
            <w:tcW w:w="3572" w:type="pct"/>
            <w:vAlign w:val="center"/>
          </w:tcPr>
          <w:p>
            <w:pPr>
              <w:pStyle w:val="256"/>
              <w:rPr>
                <w:rFonts w:hint="eastAsia" w:ascii="宋体" w:hAnsi="宋体"/>
                <w:sz w:val="21"/>
                <w:szCs w:val="21"/>
              </w:rPr>
            </w:pPr>
            <w:r>
              <w:rPr>
                <w:rFonts w:hint="eastAsia" w:ascii="宋体" w:hAnsi="宋体"/>
                <w:sz w:val="21"/>
                <w:szCs w:val="21"/>
              </w:rPr>
              <w:t>支持多层次网络拓扑结构图；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支持拖拽进行设备拓扑布局；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支持托拽直接完成设备链路连接；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直观显示网络链接流量数值或占用情况，并以不同颜色进行显示；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直观显示设备监控及性能监控状态，并以不同颜色进行显示；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显示设备互联端口以及流量来源端口；（提供功能截图）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5" w:type="pct"/>
            <w:vMerge w:val="continue"/>
            <w:vAlign w:val="center"/>
          </w:tcPr>
          <w:p>
            <w:pPr>
              <w:jc w:val="center"/>
              <w:rPr>
                <w:rFonts w:hint="eastAsia" w:ascii="宋体" w:hAnsi="宋体" w:cs="仿宋_GB2312"/>
                <w:kern w:val="0"/>
                <w:szCs w:val="21"/>
              </w:rPr>
            </w:pP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拓扑配置</w:t>
            </w:r>
          </w:p>
        </w:tc>
        <w:tc>
          <w:tcPr>
            <w:tcW w:w="3572" w:type="pct"/>
            <w:vAlign w:val="center"/>
          </w:tcPr>
          <w:p>
            <w:pPr>
              <w:pStyle w:val="256"/>
              <w:rPr>
                <w:rFonts w:hint="eastAsia" w:ascii="宋体" w:hAnsi="宋体"/>
                <w:sz w:val="21"/>
                <w:szCs w:val="21"/>
              </w:rPr>
            </w:pPr>
            <w:r>
              <w:rPr>
                <w:rFonts w:hint="eastAsia" w:ascii="宋体" w:hAnsi="宋体"/>
                <w:sz w:val="21"/>
                <w:szCs w:val="21"/>
              </w:rPr>
              <w:t>用户可以自定义、编辑、修改业务拓扑图，业务拓扑的元素包括主机、网络设备、安全设备、数据库、中间件、各种类型的服务和应用；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拓扑融合</w:t>
            </w:r>
          </w:p>
        </w:tc>
        <w:tc>
          <w:tcPr>
            <w:tcW w:w="3572" w:type="pct"/>
            <w:vAlign w:val="center"/>
          </w:tcPr>
          <w:p>
            <w:pPr>
              <w:pStyle w:val="256"/>
              <w:rPr>
                <w:rFonts w:hint="eastAsia" w:ascii="宋体" w:hAnsi="宋体"/>
                <w:sz w:val="21"/>
                <w:szCs w:val="21"/>
              </w:rPr>
            </w:pPr>
            <w:r>
              <w:rPr>
                <w:rFonts w:hint="eastAsia" w:ascii="宋体" w:hAnsi="宋体"/>
                <w:sz w:val="21"/>
                <w:szCs w:val="21"/>
              </w:rPr>
              <w:t>通过点击拓扑中的设备，可直接进入对应设备流量汇总列表页面；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通过点击拓扑中的链路，可选择进入对应链路最近四小时、最近一周、最近一月的流量报表页面；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告警管理</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监控告警</w:t>
            </w:r>
          </w:p>
        </w:tc>
        <w:tc>
          <w:tcPr>
            <w:tcW w:w="3572" w:type="pct"/>
            <w:vAlign w:val="center"/>
          </w:tcPr>
          <w:p>
            <w:pPr>
              <w:pStyle w:val="256"/>
              <w:rPr>
                <w:rFonts w:hint="eastAsia" w:ascii="宋体" w:hAnsi="宋体"/>
                <w:sz w:val="21"/>
                <w:szCs w:val="21"/>
              </w:rPr>
            </w:pPr>
            <w:r>
              <w:rPr>
                <w:rFonts w:hint="eastAsia" w:ascii="宋体" w:hAnsi="宋体"/>
                <w:sz w:val="21"/>
                <w:szCs w:val="21"/>
              </w:rPr>
              <w:t>支持监控主机/设备的在线监控告警；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支持各项性能监控数据的阀值监控告警；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支持日志告警；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告警方式</w:t>
            </w:r>
          </w:p>
        </w:tc>
        <w:tc>
          <w:tcPr>
            <w:tcW w:w="3572" w:type="pct"/>
            <w:vAlign w:val="center"/>
          </w:tcPr>
          <w:p>
            <w:pPr>
              <w:pStyle w:val="256"/>
              <w:rPr>
                <w:rFonts w:hint="eastAsia" w:ascii="宋体" w:hAnsi="宋体"/>
                <w:sz w:val="21"/>
                <w:szCs w:val="21"/>
              </w:rPr>
            </w:pPr>
            <w:r>
              <w:rPr>
                <w:rFonts w:hint="eastAsia" w:ascii="宋体" w:hAnsi="宋体"/>
                <w:sz w:val="21"/>
                <w:szCs w:val="21"/>
              </w:rPr>
              <w:t>支持自定义告警分组；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支持EMAIL、微信、声音、短信告警方式；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告警记录</w:t>
            </w:r>
          </w:p>
        </w:tc>
        <w:tc>
          <w:tcPr>
            <w:tcW w:w="3572" w:type="pct"/>
            <w:vAlign w:val="center"/>
          </w:tcPr>
          <w:p>
            <w:pPr>
              <w:pStyle w:val="256"/>
              <w:rPr>
                <w:rFonts w:hint="eastAsia" w:ascii="宋体" w:hAnsi="宋体"/>
                <w:sz w:val="21"/>
                <w:szCs w:val="21"/>
              </w:rPr>
            </w:pPr>
            <w:r>
              <w:rPr>
                <w:rFonts w:hint="eastAsia" w:ascii="宋体" w:hAnsi="宋体"/>
                <w:sz w:val="21"/>
                <w:szCs w:val="21"/>
              </w:rPr>
              <w:t>记录全部的告警事件；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可以提供告警的发生时间、恢复时间信息；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提供运维人员对于告警的确认以及处理记录功能；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restart"/>
            <w:vAlign w:val="center"/>
          </w:tcPr>
          <w:p>
            <w:pPr>
              <w:jc w:val="center"/>
              <w:rPr>
                <w:rFonts w:hint="eastAsia" w:ascii="宋体" w:hAnsi="宋体" w:cs="仿宋_GB2312"/>
                <w:kern w:val="0"/>
                <w:szCs w:val="21"/>
              </w:rPr>
            </w:pPr>
            <w:r>
              <w:rPr>
                <w:rFonts w:hint="eastAsia" w:ascii="宋体" w:hAnsi="宋体" w:cs="仿宋_GB2312"/>
                <w:kern w:val="0"/>
                <w:szCs w:val="21"/>
              </w:rPr>
              <w:t>报告报表</w:t>
            </w:r>
          </w:p>
        </w:tc>
        <w:tc>
          <w:tcPr>
            <w:tcW w:w="713" w:type="pct"/>
            <w:vMerge w:val="restart"/>
            <w:vAlign w:val="center"/>
          </w:tcPr>
          <w:p>
            <w:pPr>
              <w:jc w:val="left"/>
              <w:rPr>
                <w:rFonts w:hint="eastAsia" w:ascii="宋体" w:hAnsi="宋体" w:cs="仿宋_GB2312"/>
                <w:kern w:val="0"/>
                <w:szCs w:val="21"/>
              </w:rPr>
            </w:pPr>
            <w:r>
              <w:rPr>
                <w:rFonts w:hint="eastAsia" w:ascii="宋体" w:hAnsi="宋体" w:cs="仿宋_GB2312"/>
                <w:kern w:val="0"/>
                <w:szCs w:val="21"/>
              </w:rPr>
              <w:t>报告报表</w:t>
            </w:r>
          </w:p>
        </w:tc>
        <w:tc>
          <w:tcPr>
            <w:tcW w:w="3572" w:type="pct"/>
            <w:vAlign w:val="center"/>
          </w:tcPr>
          <w:p>
            <w:pPr>
              <w:pStyle w:val="256"/>
              <w:rPr>
                <w:rFonts w:hint="eastAsia" w:ascii="宋体" w:hAnsi="宋体"/>
                <w:sz w:val="21"/>
                <w:szCs w:val="21"/>
              </w:rPr>
            </w:pPr>
            <w:r>
              <w:rPr>
                <w:rFonts w:hint="eastAsia" w:ascii="宋体" w:hAnsi="宋体"/>
                <w:sz w:val="21"/>
                <w:szCs w:val="21"/>
              </w:rPr>
              <w:t>支持自动定义生成报告报表功能；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可针对节点生成全数据统计报告；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可生成节点运行可用性、节点资源利用率的统计报告；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可生成资产数据统计报告；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可生成告警报告文档；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715" w:type="pct"/>
            <w:vMerge w:val="continue"/>
            <w:vAlign w:val="center"/>
          </w:tcPr>
          <w:p>
            <w:pPr>
              <w:jc w:val="center"/>
              <w:rPr>
                <w:rFonts w:hint="eastAsia" w:ascii="宋体" w:hAnsi="宋体" w:cs="仿宋_GB2312"/>
                <w:kern w:val="0"/>
                <w:szCs w:val="21"/>
              </w:rPr>
            </w:pPr>
          </w:p>
        </w:tc>
        <w:tc>
          <w:tcPr>
            <w:tcW w:w="713" w:type="pct"/>
            <w:vMerge w:val="continue"/>
            <w:vAlign w:val="center"/>
          </w:tcPr>
          <w:p>
            <w:pPr>
              <w:jc w:val="left"/>
              <w:rPr>
                <w:rFonts w:hint="eastAsia" w:ascii="宋体" w:hAnsi="宋体" w:cs="仿宋_GB2312"/>
                <w:kern w:val="0"/>
                <w:szCs w:val="21"/>
              </w:rPr>
            </w:pPr>
          </w:p>
        </w:tc>
        <w:tc>
          <w:tcPr>
            <w:tcW w:w="3572" w:type="pct"/>
            <w:vAlign w:val="center"/>
          </w:tcPr>
          <w:p>
            <w:pPr>
              <w:pStyle w:val="256"/>
              <w:rPr>
                <w:rFonts w:hint="eastAsia" w:ascii="宋体" w:hAnsi="宋体"/>
                <w:sz w:val="21"/>
                <w:szCs w:val="21"/>
              </w:rPr>
            </w:pPr>
            <w:r>
              <w:rPr>
                <w:rFonts w:hint="eastAsia" w:ascii="宋体" w:hAnsi="宋体"/>
                <w:sz w:val="21"/>
                <w:szCs w:val="21"/>
              </w:rPr>
              <w:t>提供报告下载功能；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Align w:val="center"/>
          </w:tcPr>
          <w:p>
            <w:pPr>
              <w:jc w:val="center"/>
              <w:rPr>
                <w:rFonts w:hint="eastAsia" w:ascii="宋体" w:hAnsi="宋体" w:cs="仿宋_GB2312"/>
                <w:kern w:val="0"/>
                <w:szCs w:val="21"/>
              </w:rPr>
            </w:pPr>
            <w:r>
              <w:rPr>
                <w:rFonts w:hint="eastAsia" w:ascii="宋体" w:hAnsi="宋体" w:cs="仿宋_GB2312"/>
                <w:kern w:val="0"/>
                <w:szCs w:val="21"/>
              </w:rPr>
              <w:t>服务</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升级服务</w:t>
            </w:r>
          </w:p>
        </w:tc>
        <w:tc>
          <w:tcPr>
            <w:tcW w:w="3572" w:type="pct"/>
            <w:vAlign w:val="center"/>
          </w:tcPr>
          <w:p>
            <w:pPr>
              <w:pStyle w:val="256"/>
              <w:rPr>
                <w:rFonts w:hint="eastAsia" w:ascii="宋体" w:hAnsi="宋体"/>
                <w:sz w:val="21"/>
                <w:szCs w:val="21"/>
              </w:rPr>
            </w:pPr>
            <w:r>
              <w:rPr>
                <w:rFonts w:hint="eastAsia" w:ascii="宋体" w:hAnsi="宋体"/>
                <w:sz w:val="21"/>
                <w:szCs w:val="21"/>
              </w:rPr>
              <w:t>提供三年免费升级，并提供终身免费日常维护指导；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5" w:type="pct"/>
            <w:vAlign w:val="center"/>
          </w:tcPr>
          <w:p>
            <w:pPr>
              <w:jc w:val="center"/>
              <w:rPr>
                <w:rFonts w:hint="eastAsia" w:ascii="宋体" w:hAnsi="宋体" w:cs="仿宋_GB2312"/>
                <w:kern w:val="0"/>
                <w:szCs w:val="21"/>
              </w:rPr>
            </w:pPr>
            <w:r>
              <w:rPr>
                <w:rFonts w:hint="eastAsia" w:ascii="宋体" w:hAnsi="宋体" w:cs="仿宋_GB2312"/>
                <w:kern w:val="0"/>
                <w:szCs w:val="21"/>
              </w:rPr>
              <w:t>测试</w:t>
            </w:r>
          </w:p>
        </w:tc>
        <w:tc>
          <w:tcPr>
            <w:tcW w:w="713" w:type="pct"/>
            <w:vAlign w:val="center"/>
          </w:tcPr>
          <w:p>
            <w:pPr>
              <w:rPr>
                <w:rFonts w:hint="eastAsia" w:ascii="宋体" w:hAnsi="宋体" w:cs="仿宋_GB2312"/>
                <w:color w:val="000000"/>
                <w:szCs w:val="21"/>
              </w:rPr>
            </w:pPr>
            <w:r>
              <w:rPr>
                <w:rFonts w:hint="eastAsia" w:ascii="宋体" w:hAnsi="宋体" w:cs="仿宋_GB2312"/>
                <w:color w:val="000000"/>
                <w:szCs w:val="21"/>
              </w:rPr>
              <w:t>▲功能测试</w:t>
            </w:r>
          </w:p>
        </w:tc>
        <w:tc>
          <w:tcPr>
            <w:tcW w:w="3572" w:type="pct"/>
          </w:tcPr>
          <w:p>
            <w:pPr>
              <w:pStyle w:val="256"/>
              <w:rPr>
                <w:rFonts w:hint="eastAsia" w:ascii="宋体" w:hAnsi="宋体"/>
                <w:sz w:val="21"/>
                <w:szCs w:val="21"/>
              </w:rPr>
            </w:pPr>
            <w:r>
              <w:rPr>
                <w:rFonts w:hint="eastAsia" w:ascii="宋体" w:hAnsi="宋体"/>
                <w:sz w:val="21"/>
                <w:szCs w:val="21"/>
              </w:rPr>
              <w:t>中标后七天内，提供测试产品对功能和性能测试，若无法在规定时间内提供测试设备或测试结果与招标内容不符，影响医院互联互通等级评定和应用软件上线，取消中标资格，中标方承担所有责任；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5" w:type="pct"/>
            <w:vAlign w:val="center"/>
          </w:tcPr>
          <w:p>
            <w:pPr>
              <w:jc w:val="center"/>
              <w:rPr>
                <w:rFonts w:hint="eastAsia" w:ascii="宋体" w:hAnsi="宋体" w:cs="仿宋_GB2312"/>
                <w:kern w:val="0"/>
                <w:szCs w:val="21"/>
              </w:rPr>
            </w:pPr>
            <w:r>
              <w:rPr>
                <w:rFonts w:hint="eastAsia" w:ascii="宋体" w:hAnsi="宋体" w:cs="仿宋_GB2312"/>
                <w:kern w:val="0"/>
                <w:szCs w:val="21"/>
              </w:rPr>
              <w:t>其他</w:t>
            </w:r>
          </w:p>
        </w:tc>
        <w:tc>
          <w:tcPr>
            <w:tcW w:w="713" w:type="pct"/>
            <w:vAlign w:val="center"/>
          </w:tcPr>
          <w:p>
            <w:pPr>
              <w:jc w:val="left"/>
              <w:rPr>
                <w:rFonts w:hint="eastAsia" w:ascii="宋体" w:hAnsi="宋体" w:cs="仿宋_GB2312"/>
                <w:kern w:val="0"/>
                <w:szCs w:val="21"/>
              </w:rPr>
            </w:pPr>
            <w:r>
              <w:rPr>
                <w:rFonts w:hint="eastAsia" w:ascii="宋体" w:hAnsi="宋体" w:cs="仿宋_GB2312"/>
                <w:kern w:val="0"/>
                <w:szCs w:val="21"/>
              </w:rPr>
              <w:t>服务</w:t>
            </w:r>
          </w:p>
        </w:tc>
        <w:tc>
          <w:tcPr>
            <w:tcW w:w="3572" w:type="pct"/>
            <w:vAlign w:val="center"/>
          </w:tcPr>
          <w:p>
            <w:pPr>
              <w:pStyle w:val="256"/>
              <w:rPr>
                <w:rFonts w:hint="eastAsia" w:ascii="宋体" w:hAnsi="宋体"/>
                <w:sz w:val="21"/>
                <w:szCs w:val="21"/>
              </w:rPr>
            </w:pPr>
            <w:r>
              <w:rPr>
                <w:rFonts w:hint="eastAsia" w:ascii="宋体" w:hAnsi="宋体"/>
                <w:sz w:val="21"/>
                <w:szCs w:val="21"/>
              </w:rPr>
              <w:t>提供原厂商三年7*24技术支持服务和保修服务，投标提供技术保修服务承诺</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48" w:name="_Toc104743873"/>
      <w:r>
        <w:rPr>
          <w:rFonts w:hint="eastAsia" w:ascii="宋体" w:hAnsi="宋体" w:cs="仿宋_GB2312"/>
          <w:sz w:val="21"/>
          <w:szCs w:val="21"/>
        </w:rPr>
        <w:t>17服务质量管理系统</w:t>
      </w:r>
      <w:bookmarkEnd w:id="48"/>
    </w:p>
    <w:tbl>
      <w:tblPr>
        <w:tblStyle w:val="64"/>
        <w:tblW w:w="8931" w:type="dxa"/>
        <w:tblInd w:w="108" w:type="dxa"/>
        <w:tblLayout w:type="fixed"/>
        <w:tblCellMar>
          <w:top w:w="0" w:type="dxa"/>
          <w:left w:w="108" w:type="dxa"/>
          <w:bottom w:w="0" w:type="dxa"/>
          <w:right w:w="108" w:type="dxa"/>
        </w:tblCellMar>
      </w:tblPr>
      <w:tblGrid>
        <w:gridCol w:w="709"/>
        <w:gridCol w:w="879"/>
        <w:gridCol w:w="7343"/>
      </w:tblGrid>
      <w:tr>
        <w:tblPrEx>
          <w:tblCellMar>
            <w:top w:w="0" w:type="dxa"/>
            <w:left w:w="108" w:type="dxa"/>
            <w:bottom w:w="0" w:type="dxa"/>
            <w:right w:w="108" w:type="dxa"/>
          </w:tblCellMar>
        </w:tblPrEx>
        <w:trPr>
          <w:trHeight w:val="312" w:hRule="atLeast"/>
        </w:trPr>
        <w:tc>
          <w:tcPr>
            <w:tcW w:w="15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功能要求</w:t>
            </w:r>
          </w:p>
        </w:tc>
        <w:tc>
          <w:tcPr>
            <w:tcW w:w="7343" w:type="dxa"/>
            <w:tcBorders>
              <w:top w:val="single" w:color="auto" w:sz="4" w:space="0"/>
              <w:left w:val="nil"/>
              <w:bottom w:val="single" w:color="auto" w:sz="4" w:space="0"/>
              <w:right w:val="single" w:color="auto" w:sz="4" w:space="0"/>
            </w:tcBorders>
            <w:shd w:val="clear" w:color="000000" w:fill="FFFFFF"/>
            <w:vAlign w:val="center"/>
          </w:tcPr>
          <w:p>
            <w:pPr>
              <w:rPr>
                <w:rFonts w:hint="eastAsia" w:ascii="宋体" w:hAnsi="宋体" w:cs="仿宋_GB2312"/>
                <w:color w:val="000000"/>
                <w:szCs w:val="21"/>
              </w:rPr>
            </w:pPr>
            <w:r>
              <w:rPr>
                <w:rFonts w:hint="eastAsia" w:ascii="宋体" w:hAnsi="宋体" w:cs="仿宋_GB2312"/>
                <w:color w:val="000000"/>
                <w:szCs w:val="21"/>
              </w:rPr>
              <w:t>技术指标</w:t>
            </w:r>
          </w:p>
        </w:tc>
      </w:tr>
      <w:tr>
        <w:tblPrEx>
          <w:tblCellMar>
            <w:top w:w="0" w:type="dxa"/>
            <w:left w:w="108" w:type="dxa"/>
            <w:bottom w:w="0" w:type="dxa"/>
            <w:right w:w="108" w:type="dxa"/>
          </w:tblCellMar>
        </w:tblPrEx>
        <w:trPr>
          <w:trHeight w:val="440" w:hRule="atLeast"/>
        </w:trPr>
        <w:tc>
          <w:tcPr>
            <w:tcW w:w="1588"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系统整体要求</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管理系统平台要求基于B/S架构，采用JAVA+HTML5开发，客户端支持IE9以上版本及其他Chrome、火狐等主流浏览器</w:t>
            </w:r>
          </w:p>
        </w:tc>
      </w:tr>
      <w:tr>
        <w:tblPrEx>
          <w:tblCellMar>
            <w:top w:w="0" w:type="dxa"/>
            <w:left w:w="108" w:type="dxa"/>
            <w:bottom w:w="0" w:type="dxa"/>
            <w:right w:w="108" w:type="dxa"/>
          </w:tblCellMar>
        </w:tblPrEx>
        <w:trPr>
          <w:trHeight w:val="1020" w:hRule="atLeast"/>
        </w:trPr>
        <w:tc>
          <w:tcPr>
            <w:tcW w:w="15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必须遵循“ITIL最佳实践”框架，可实现基于IT信息部门的信息化，包括工单管理、合同管理、项目管理、资产管理、巡检管理、耗材管理、知识库管理等ITIL核心流程。支持移动端微信号。促进提升信息科的工作效率及服务质量。</w:t>
            </w:r>
          </w:p>
        </w:tc>
      </w:tr>
      <w:tr>
        <w:tblPrEx>
          <w:tblCellMar>
            <w:top w:w="0" w:type="dxa"/>
            <w:left w:w="108" w:type="dxa"/>
            <w:bottom w:w="0" w:type="dxa"/>
            <w:right w:w="108" w:type="dxa"/>
          </w:tblCellMar>
        </w:tblPrEx>
        <w:trPr>
          <w:trHeight w:val="44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系统功能</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角色与权限</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提供普通用户、管理员、工程师、供应商、监理等多种角色。</w:t>
            </w:r>
          </w:p>
        </w:tc>
      </w:tr>
      <w:tr>
        <w:tblPrEx>
          <w:tblCellMar>
            <w:top w:w="0" w:type="dxa"/>
            <w:left w:w="108" w:type="dxa"/>
            <w:bottom w:w="0" w:type="dxa"/>
            <w:right w:w="108" w:type="dxa"/>
          </w:tblCellMar>
        </w:tblPrEx>
        <w:trPr>
          <w:trHeight w:val="6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提供权限域功能，控制不同类型用户的权限范围，包含合同管理、项目管理、工单管理、巡检管理、资产管理、知识库管理等数据</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富文本编辑框</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富文本编辑框常用功能，包括全屏放大、表格、格式调整、链接、特殊符号、锚点等功能。提供编辑框内图片复制粘贴功能，可以从粘贴板直接粘贴，支持BMP、JPG、PNP等常见图片格式，且可以定义图片大小。提供编辑框内word文档快速导入功能，支持03、07等常见版本，且保持文档格式正常。</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文档在线预览</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提供附件内容在线预览，支持包括各版本Office文档、PDF及图片等附件格式，支持PowerPoint文档在线播放，在线预览需保持排版、格式正常，同时提供打印功能。</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支持只读浏览word、excel、ppt、pdf文档，可禁止修改、复制粘贴、下载等操作。</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文档在线编辑</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提供office文档在线编辑功能，包括各版本word、PPT、Excel</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支持修改痕迹保留，模板套用，多人同时编辑控制，word文档拆分合并，word文档内容差异对比等功能。</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可自定义office工具条，对话框及右键菜单；可以禁止复制、下载、打印、复制、另存等功能；</w:t>
            </w:r>
          </w:p>
        </w:tc>
      </w:tr>
      <w:tr>
        <w:tblPrEx>
          <w:tblCellMar>
            <w:top w:w="0" w:type="dxa"/>
            <w:left w:w="108" w:type="dxa"/>
            <w:bottom w:w="0" w:type="dxa"/>
            <w:right w:w="108" w:type="dxa"/>
          </w:tblCellMar>
        </w:tblPrEx>
        <w:trPr>
          <w:trHeight w:val="85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系统提醒</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系统提供站内消息、微信公众后、企业微信号等多种提醒方式，提醒事项包括：工单指派，工单转派，巡检任务，合同计划，项目审批，项目变更，项目验收等</w:t>
            </w:r>
          </w:p>
        </w:tc>
      </w:tr>
      <w:tr>
        <w:tblPrEx>
          <w:tblCellMar>
            <w:top w:w="0" w:type="dxa"/>
            <w:left w:w="108" w:type="dxa"/>
            <w:bottom w:w="0" w:type="dxa"/>
            <w:right w:w="108" w:type="dxa"/>
          </w:tblCellMar>
        </w:tblPrEx>
        <w:trPr>
          <w:trHeight w:val="42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系统对接要求</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支持医疗行业HL7标准协议；Windows AD，LDAP协议；</w:t>
            </w:r>
          </w:p>
        </w:tc>
      </w:tr>
      <w:tr>
        <w:tblPrEx>
          <w:tblCellMar>
            <w:top w:w="0" w:type="dxa"/>
            <w:left w:w="108" w:type="dxa"/>
            <w:bottom w:w="0" w:type="dxa"/>
            <w:right w:w="108" w:type="dxa"/>
          </w:tblCellMar>
        </w:tblPrEx>
        <w:trPr>
          <w:trHeight w:val="571"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系统接口开放，功能扩展要求支持与现有的资产管理系统、运维监控系统、OA系统等软件进行数据对接，实现流程衔接和数据同步；</w:t>
            </w:r>
          </w:p>
        </w:tc>
      </w:tr>
      <w:tr>
        <w:tblPrEx>
          <w:tblCellMar>
            <w:top w:w="0" w:type="dxa"/>
            <w:left w:w="108" w:type="dxa"/>
            <w:bottom w:w="0" w:type="dxa"/>
            <w:right w:w="108" w:type="dxa"/>
          </w:tblCellMar>
        </w:tblPrEx>
        <w:trPr>
          <w:trHeight w:val="408"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提供标准的API接口。</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数据备份</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提供对系统数据和附件进行相应备份。</w:t>
            </w:r>
          </w:p>
        </w:tc>
      </w:tr>
      <w:tr>
        <w:tblPrEx>
          <w:tblCellMar>
            <w:top w:w="0" w:type="dxa"/>
            <w:left w:w="108" w:type="dxa"/>
            <w:bottom w:w="0" w:type="dxa"/>
            <w:right w:w="108" w:type="dxa"/>
          </w:tblCellMar>
        </w:tblPrEx>
        <w:trPr>
          <w:trHeight w:val="44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首页功能</w:t>
            </w: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▲大数据展示</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终端大屏展示，提供图形动态化方式实时展示信息科室人员工作统计、工单事件、来电统计及时效等信息；数据定时自动刷新；提供功能界面展示，项目看板功能支持项目的实时展示，包括且不限于项目整体数量、进行中的项目数量、任务完成情况等数据；工单看板功能支持工单的实时展示，包括且不限于工单数量、工单类型、工单状态等信息，可查看工单处理进度明细；</w:t>
            </w:r>
          </w:p>
        </w:tc>
      </w:tr>
      <w:tr>
        <w:tblPrEx>
          <w:tblCellMar>
            <w:top w:w="0" w:type="dxa"/>
            <w:left w:w="108" w:type="dxa"/>
            <w:bottom w:w="0" w:type="dxa"/>
            <w:right w:w="108" w:type="dxa"/>
          </w:tblCellMar>
        </w:tblPrEx>
        <w:trPr>
          <w:trHeight w:val="81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报表统计</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合同报表，对已签订合同生成报表统计，可通过时间段、合同类别、合同状态等维度进行数据统计分析，同时可统计合同对应的供应商，合同金额和付款金额情况。</w:t>
            </w:r>
          </w:p>
        </w:tc>
      </w:tr>
      <w:tr>
        <w:tblPrEx>
          <w:tblCellMar>
            <w:top w:w="0" w:type="dxa"/>
            <w:left w:w="108" w:type="dxa"/>
            <w:bottom w:w="0" w:type="dxa"/>
            <w:right w:w="108" w:type="dxa"/>
          </w:tblCellMar>
        </w:tblPrEx>
        <w:trPr>
          <w:trHeight w:val="7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项目统计，系统内项目生成报表统计，提供以时间段、项目类别、项目状态、项目阶段等进行项目的数据统计分析，同时可统计项目对应供应商。</w:t>
            </w:r>
          </w:p>
        </w:tc>
      </w:tr>
      <w:tr>
        <w:tblPrEx>
          <w:tblCellMar>
            <w:top w:w="0" w:type="dxa"/>
            <w:left w:w="108" w:type="dxa"/>
            <w:bottom w:w="0" w:type="dxa"/>
            <w:right w:w="108" w:type="dxa"/>
          </w:tblCellMar>
        </w:tblPrEx>
        <w:trPr>
          <w:trHeight w:val="85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工单统计，系统内工单生成报表统计，提供以时间段、工单类别、工单状态、工单趋势等多个维度，包括：报修来电量、建单量、未接通来电量、工程师接单量、接单时效。。</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巡检统计，提供巡检任务的数据报表，内容包括且不限于巡检总任务量、完成任务量、异常对象排行、工程师巡检排行等；</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 xml:space="preserve">资产统计，提供以资产状态、供应商、关联合同、地理位置等多种方式的资产视图展现； </w:t>
            </w:r>
          </w:p>
        </w:tc>
      </w:tr>
      <w:tr>
        <w:tblPrEx>
          <w:tblCellMar>
            <w:top w:w="0" w:type="dxa"/>
            <w:left w:w="108" w:type="dxa"/>
            <w:bottom w:w="0" w:type="dxa"/>
            <w:right w:w="108" w:type="dxa"/>
          </w:tblCellMar>
        </w:tblPrEx>
        <w:trPr>
          <w:trHeight w:val="7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耗材统计，支持实时监控耗材使用情况的数据统计分析功能；</w:t>
            </w:r>
          </w:p>
        </w:tc>
      </w:tr>
      <w:tr>
        <w:tblPrEx>
          <w:tblCellMar>
            <w:top w:w="0" w:type="dxa"/>
            <w:left w:w="108" w:type="dxa"/>
            <w:bottom w:w="0" w:type="dxa"/>
            <w:right w:w="108" w:type="dxa"/>
          </w:tblCellMar>
        </w:tblPrEx>
        <w:trPr>
          <w:trHeight w:val="6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▲全局检索</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实现全局快速查询功能，查询内容包括且不限于合同编号、合同名称、项目名称、资产设备名称、设备型号、设备序列号、供应商单位名称等；</w:t>
            </w:r>
          </w:p>
        </w:tc>
      </w:tr>
      <w:tr>
        <w:tblPrEx>
          <w:tblCellMar>
            <w:top w:w="0" w:type="dxa"/>
            <w:left w:w="108" w:type="dxa"/>
            <w:bottom w:w="0" w:type="dxa"/>
            <w:right w:w="108" w:type="dxa"/>
          </w:tblCellMar>
        </w:tblPrEx>
        <w:trPr>
          <w:trHeight w:val="68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数据关联与查询，通过查询单个对象，可检索到所有关联信息；例如通过查询合同编号，可查询到与此合同相关的设备清单，巡检任务，项目进度，供应商单位等信息；</w:t>
            </w:r>
          </w:p>
        </w:tc>
      </w:tr>
      <w:tr>
        <w:tblPrEx>
          <w:tblCellMar>
            <w:top w:w="0" w:type="dxa"/>
            <w:left w:w="108" w:type="dxa"/>
            <w:bottom w:w="0" w:type="dxa"/>
            <w:right w:w="108" w:type="dxa"/>
          </w:tblCellMar>
        </w:tblPrEx>
        <w:trPr>
          <w:trHeight w:val="381"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实现对结构化数据及非结构化数据的全文关键字检索。</w:t>
            </w:r>
          </w:p>
        </w:tc>
      </w:tr>
      <w:tr>
        <w:tblPrEx>
          <w:tblCellMar>
            <w:top w:w="0" w:type="dxa"/>
            <w:left w:w="108" w:type="dxa"/>
            <w:bottom w:w="0" w:type="dxa"/>
            <w:right w:w="108" w:type="dxa"/>
          </w:tblCellMar>
        </w:tblPrEx>
        <w:trPr>
          <w:trHeight w:val="81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合同管理功能</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合同整体要求</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经过结构化录入形成基础服务数据，合同条款内容实现自动化提醒和执行，为项目管理和日常维护提供数据支撑，实现合同系统化管理，提升查询与统计效率。</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提供合同附件的管理，包括合同电子档案、收（开）发票等内容；支持合同附件或增补内容管理。</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合同付款</w:t>
            </w: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新增合同提供付款方式录入，根据状态进度生成付款计划。付款申请可上传附件。支持付款统计。</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合同提醒</w:t>
            </w: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提供对合同付款提醒、合同到期提醒、巡检任务提醒等内容。可自定义提醒周期。</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合同检索</w:t>
            </w: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提供按照合同名称关键字、合同编号、供应商单位、合同状态、合同签订时间等进行快速查询；</w:t>
            </w:r>
          </w:p>
        </w:tc>
      </w:tr>
      <w:tr>
        <w:tblPrEx>
          <w:tblCellMar>
            <w:top w:w="0" w:type="dxa"/>
            <w:left w:w="108" w:type="dxa"/>
            <w:bottom w:w="0" w:type="dxa"/>
            <w:right w:w="108" w:type="dxa"/>
          </w:tblCellMar>
        </w:tblPrEx>
        <w:trPr>
          <w:trHeight w:val="60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项目管理功能</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项目管理整体要求</w:t>
            </w: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对项目全生命周期的监控和管理，包括且不限于：通过关键性里程碑管理项目的总体进度和阶段性成果，同时可拆解建立任务计划对子任务进度进行实施监控、提供设备到货跟踪、提供项目交付物文档的管理、项目实施日志录入、提供验收报告和项目遗留问题等管理；</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项目申报</w:t>
            </w:r>
          </w:p>
        </w:tc>
        <w:tc>
          <w:tcPr>
            <w:tcW w:w="7343"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提供项目背景介绍、项目达成目标、预算投入情况等便于院内申报审批。申报成功可进入立项启动</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项目提醒功能</w:t>
            </w:r>
          </w:p>
        </w:tc>
        <w:tc>
          <w:tcPr>
            <w:tcW w:w="7343" w:type="dxa"/>
            <w:tcBorders>
              <w:top w:val="single" w:color="auto" w:sz="4" w:space="0"/>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提供项目提醒功能，包括且不限于项目实施阶段性成果、验收及变更等内容，对项目每个节点可控</w:t>
            </w:r>
          </w:p>
        </w:tc>
      </w:tr>
      <w:tr>
        <w:tblPrEx>
          <w:tblCellMar>
            <w:top w:w="0" w:type="dxa"/>
            <w:left w:w="108" w:type="dxa"/>
            <w:bottom w:w="0" w:type="dxa"/>
            <w:right w:w="108" w:type="dxa"/>
          </w:tblCellMar>
        </w:tblPrEx>
        <w:trPr>
          <w:trHeight w:val="76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任务计划管理</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提供建立自定义里程碑及任务计划，支持对任务计划设定模板，包括且不限于项目调研、项目实施、安装部署、项目评审、项目验收等任务；</w:t>
            </w:r>
          </w:p>
        </w:tc>
      </w:tr>
      <w:tr>
        <w:tblPrEx>
          <w:tblCellMar>
            <w:top w:w="0" w:type="dxa"/>
            <w:left w:w="108" w:type="dxa"/>
            <w:bottom w:w="0" w:type="dxa"/>
            <w:right w:w="108" w:type="dxa"/>
          </w:tblCellMar>
        </w:tblPrEx>
        <w:trPr>
          <w:trHeight w:val="70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交付物管理</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提供项目交付物管理，可将项目实施过程的文档收集管理，如项目计划书、设备交付清单表、环境调研报告、变更申请表、初验报告、终验报告等；</w:t>
            </w:r>
          </w:p>
        </w:tc>
      </w:tr>
      <w:tr>
        <w:tblPrEx>
          <w:tblCellMar>
            <w:top w:w="0" w:type="dxa"/>
            <w:left w:w="108" w:type="dxa"/>
            <w:bottom w:w="0" w:type="dxa"/>
            <w:right w:w="108" w:type="dxa"/>
          </w:tblCellMar>
        </w:tblPrEx>
        <w:trPr>
          <w:trHeight w:val="80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关联查询与检索</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功能扩展要求支持提供通过多个条件查询项目，并可通过项目查询到关联的合同、资产设备清单、供应商单位等；查询条件包括且不限于项目编号、项目名称关键字、供应商单位等；</w:t>
            </w:r>
          </w:p>
        </w:tc>
      </w:tr>
      <w:tr>
        <w:tblPrEx>
          <w:tblCellMar>
            <w:top w:w="0" w:type="dxa"/>
            <w:left w:w="108" w:type="dxa"/>
            <w:bottom w:w="0" w:type="dxa"/>
            <w:right w:w="108" w:type="dxa"/>
          </w:tblCellMar>
        </w:tblPrEx>
        <w:trPr>
          <w:trHeight w:val="70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工单管理功能</w:t>
            </w: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工单整体要求</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系统要求提供PC端、移动电话、移动端等多种工单发起方式，实现工单全流程闭环管理，包括创建、指派、实施、转接、评价、归档等流程；可在移动端完成工单的持续管理。提供对工单数据进行图表展示。</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工单报修渠道</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提供PC端、移动电话、微信公众号及企业微信等多渠道报修方式；</w:t>
            </w:r>
          </w:p>
        </w:tc>
      </w:tr>
      <w:tr>
        <w:tblPrEx>
          <w:tblCellMar>
            <w:top w:w="0" w:type="dxa"/>
            <w:left w:w="108" w:type="dxa"/>
            <w:bottom w:w="0" w:type="dxa"/>
            <w:right w:w="108" w:type="dxa"/>
          </w:tblCellMar>
        </w:tblPrEx>
        <w:trPr>
          <w:trHeight w:val="6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来电识别</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提供报修来电自动识别科室、用户，快速创建工单自动关联科室和电话，并可以根据来电号码关联历史工单。</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电话录音</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来电通话可自动录音，音频文件在系统做保存可下载；</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系统派单规则</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提供自定义人工手动派单；系统接单后可进行再次转派；派单时可查看工程师状态和工单量。</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功能扩展要求支持系统智能派单，可根据事件类别、资产设备类型、报修科室自动派发；</w:t>
            </w:r>
          </w:p>
        </w:tc>
      </w:tr>
      <w:tr>
        <w:tblPrEx>
          <w:tblCellMar>
            <w:top w:w="0" w:type="dxa"/>
            <w:left w:w="108" w:type="dxa"/>
            <w:bottom w:w="0" w:type="dxa"/>
            <w:right w:w="108" w:type="dxa"/>
          </w:tblCellMar>
        </w:tblPrEx>
        <w:trPr>
          <w:trHeight w:val="25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终端功能支持</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提供来电弹屏功能，系统能自动获取来电人信息等内容；</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提供终端语音识别录入，可将语音在线转换文字内容。</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工单消息推送</w:t>
            </w:r>
          </w:p>
        </w:tc>
        <w:tc>
          <w:tcPr>
            <w:tcW w:w="7343"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提供通过移动端、PC端等接收工单指派和完成的消息；</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知识库对接</w:t>
            </w:r>
          </w:p>
        </w:tc>
        <w:tc>
          <w:tcPr>
            <w:tcW w:w="7343"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提供工单处理结果到知识库的直接快速转入；</w:t>
            </w:r>
          </w:p>
        </w:tc>
      </w:tr>
      <w:tr>
        <w:tblPrEx>
          <w:tblCellMar>
            <w:top w:w="0" w:type="dxa"/>
            <w:left w:w="108" w:type="dxa"/>
            <w:bottom w:w="0" w:type="dxa"/>
            <w:right w:w="108" w:type="dxa"/>
          </w:tblCellMar>
        </w:tblPrEx>
        <w:trPr>
          <w:trHeight w:val="58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超时催单提醒</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功能扩展要求支持工单定义超时时间，超时未接单、未完成自动向首次接单人员发出提醒。</w:t>
            </w:r>
          </w:p>
        </w:tc>
      </w:tr>
      <w:tr>
        <w:tblPrEx>
          <w:tblCellMar>
            <w:top w:w="0" w:type="dxa"/>
            <w:left w:w="108" w:type="dxa"/>
            <w:bottom w:w="0" w:type="dxa"/>
            <w:right w:w="108" w:type="dxa"/>
          </w:tblCellMar>
        </w:tblPrEx>
        <w:trPr>
          <w:trHeight w:val="54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巡检管理功能</w:t>
            </w:r>
          </w:p>
        </w:tc>
        <w:tc>
          <w:tcPr>
            <w:tcW w:w="879" w:type="dxa"/>
            <w:tcBorders>
              <w:top w:val="nil"/>
              <w:left w:val="nil"/>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巡检整体要求</w:t>
            </w:r>
          </w:p>
        </w:tc>
        <w:tc>
          <w:tcPr>
            <w:tcW w:w="7343"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对供应商单位交付设备及项目进行巡检管理，规范供应商在项目验收后的巡检工作流程。提供科室内对各系统进行巡检的管理功能，提供完整的巡检过程管理和结果统计，</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巡检类型</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提供针对供应商单位的合同巡检，及信息科室的内部日常巡检；</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巡检指标</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提供针对不同对象，自定义巡检内容；</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巡检提醒</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巡检任务提供站内消息、移动端等多种方式的到期自动提醒功能；</w:t>
            </w:r>
          </w:p>
        </w:tc>
      </w:tr>
      <w:tr>
        <w:tblPrEx>
          <w:tblCellMar>
            <w:top w:w="0" w:type="dxa"/>
            <w:left w:w="108" w:type="dxa"/>
            <w:bottom w:w="0" w:type="dxa"/>
            <w:right w:w="108" w:type="dxa"/>
          </w:tblCellMar>
        </w:tblPrEx>
        <w:trPr>
          <w:trHeight w:val="600" w:hRule="atLeast"/>
        </w:trPr>
        <w:tc>
          <w:tcPr>
            <w:tcW w:w="709"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资产设备管理功能</w:t>
            </w: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资产管理整体要求</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对入库、出库、变更、借用、领用、折旧、报废等资产的全流程生命周期管理；通过完善资产IP、版本号等，帮助信息科进行软硬件资产的精细化管理，实时掌握资产状态。可生成条码管理，并通过资产可查询关联的合同、项目、供应商等信息。</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序列号管理</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提供资产主件及配件的序列号精细化管理；</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条码管理</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提供通过主件及配件的SN号生成其唯一条码/二维码；</w:t>
            </w:r>
          </w:p>
        </w:tc>
      </w:tr>
      <w:tr>
        <w:tblPrEx>
          <w:tblCellMar>
            <w:top w:w="0" w:type="dxa"/>
            <w:left w:w="108" w:type="dxa"/>
            <w:bottom w:w="0" w:type="dxa"/>
            <w:right w:w="108" w:type="dxa"/>
          </w:tblCellMar>
        </w:tblPrEx>
        <w:trPr>
          <w:trHeight w:val="560" w:hRule="atLeast"/>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7343"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功能扩展要求支持通过移动端识别资产条码，查询资产基本信息、质保状态、维修记录、生命周期、巡检任务和记录等；</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自动获取质保</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提供资产与合同项目的数据关联，合同及项目验收交付设备可自动转入资产系统，同时根据验收时间自动计算质保。</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自定义类型</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提供资产的自定义分类，支持至少三级内容。</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shd w:val="clear" w:color="auto" w:fill="auto"/>
            <w:vAlign w:val="center"/>
          </w:tcPr>
          <w:p>
            <w:pPr>
              <w:rPr>
                <w:rFonts w:hint="eastAsia" w:ascii="宋体" w:hAnsi="宋体" w:cs="仿宋_GB2312"/>
                <w:color w:val="000000"/>
                <w:szCs w:val="21"/>
              </w:rPr>
            </w:pPr>
            <w:r>
              <w:rPr>
                <w:rFonts w:hint="eastAsia" w:ascii="宋体" w:hAnsi="宋体" w:cs="仿宋_GB2312"/>
                <w:color w:val="000000"/>
                <w:szCs w:val="21"/>
              </w:rPr>
              <w:t>资产盘点</w:t>
            </w:r>
          </w:p>
        </w:tc>
        <w:tc>
          <w:tcPr>
            <w:tcW w:w="7343" w:type="dxa"/>
            <w:tcBorders>
              <w:top w:val="nil"/>
              <w:left w:val="nil"/>
              <w:bottom w:val="single" w:color="auto" w:sz="4" w:space="0"/>
              <w:right w:val="single" w:color="auto" w:sz="4" w:space="0"/>
            </w:tcBorders>
            <w:shd w:val="clear" w:color="000000" w:fill="FFFFFF"/>
            <w:vAlign w:val="center"/>
          </w:tcPr>
          <w:p>
            <w:pPr>
              <w:pStyle w:val="256"/>
              <w:rPr>
                <w:rFonts w:hint="eastAsia" w:ascii="宋体" w:hAnsi="宋体"/>
                <w:sz w:val="21"/>
                <w:szCs w:val="21"/>
              </w:rPr>
            </w:pPr>
            <w:r>
              <w:rPr>
                <w:rFonts w:hint="eastAsia" w:ascii="宋体" w:hAnsi="宋体"/>
                <w:sz w:val="21"/>
                <w:szCs w:val="21"/>
              </w:rPr>
              <w:t>功能扩展要求支持对接现有无线定位引擎及地图引擎，结合蓝牙或RFID，提供资产定位；</w:t>
            </w:r>
          </w:p>
        </w:tc>
      </w:tr>
      <w:tr>
        <w:tblPrEx>
          <w:tblCellMar>
            <w:top w:w="0" w:type="dxa"/>
            <w:left w:w="108" w:type="dxa"/>
            <w:bottom w:w="0" w:type="dxa"/>
            <w:right w:w="108" w:type="dxa"/>
          </w:tblCellMar>
        </w:tblPrEx>
        <w:trPr>
          <w:trHeight w:val="388" w:hRule="atLeast"/>
        </w:trPr>
        <w:tc>
          <w:tcPr>
            <w:tcW w:w="709" w:type="dxa"/>
            <w:vMerge w:val="restart"/>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供应商管理功能</w:t>
            </w: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供应商整体要求</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通过供应商管理，实现对单个供应商关联的合同、项目、资产设备、巡检任务等合作记录快速查询；系统可开放给供应商进行项目实施录入、巡检结果录入，工单维修等工作，简化甲方工作量，同时可通过系统规范供应商工作流程，数据支撑管理</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数据关联</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功能扩展要求支持系统内提供对单个供应商查找与之关联的合同、项目、资产、巡检等数据。</w:t>
            </w:r>
          </w:p>
        </w:tc>
      </w:tr>
      <w:tr>
        <w:tblPrEx>
          <w:tblCellMar>
            <w:top w:w="0" w:type="dxa"/>
            <w:left w:w="108" w:type="dxa"/>
            <w:bottom w:w="0" w:type="dxa"/>
            <w:right w:w="108" w:type="dxa"/>
          </w:tblCellMar>
        </w:tblPrEx>
        <w:trPr>
          <w:trHeight w:val="440" w:hRule="atLeast"/>
        </w:trPr>
        <w:tc>
          <w:tcPr>
            <w:tcW w:w="709" w:type="dxa"/>
            <w:vMerge w:val="continue"/>
            <w:tcBorders>
              <w:top w:val="nil"/>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nil"/>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供应商配置</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提供对供应商合作级别、业务范围标签等自定义配置；</w:t>
            </w:r>
          </w:p>
        </w:tc>
      </w:tr>
      <w:tr>
        <w:tblPrEx>
          <w:tblCellMar>
            <w:top w:w="0" w:type="dxa"/>
            <w:left w:w="108" w:type="dxa"/>
            <w:bottom w:w="0" w:type="dxa"/>
            <w:right w:w="108" w:type="dxa"/>
          </w:tblCellMar>
        </w:tblPrEx>
        <w:trPr>
          <w:trHeight w:val="600"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知识库</w:t>
            </w: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知识库整体要求</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将信息科常见问题的解决方案，日常维护手册，产品配置手册作统一系统化管理，知识库要求关联工单模块，通过工单和资产类型快速查询知识库。形成有效知识体系，提升问题解决效率实现经验分享。</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自定义分类</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提供知识库的自定义分类和标签管理；</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知识库建立</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提供从工单处理到知识库的快速录入，及日常新增；</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数据安全</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提供关键性知识库文档的权限加密功能（提供功能截图）</w:t>
            </w:r>
          </w:p>
        </w:tc>
      </w:tr>
      <w:tr>
        <w:tblPrEx>
          <w:tblCellMar>
            <w:top w:w="0" w:type="dxa"/>
            <w:left w:w="108" w:type="dxa"/>
            <w:bottom w:w="0" w:type="dxa"/>
            <w:right w:w="108"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在线预览编辑</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提供知识库附件的在线预览与编辑操作，包括word、PPT、Excel等；无需下载即可在线完成知识库维护更新。支持对操作修改痕迹的保留。提供功能截图</w:t>
            </w:r>
          </w:p>
        </w:tc>
      </w:tr>
      <w:tr>
        <w:tblPrEx>
          <w:tblCellMar>
            <w:top w:w="0" w:type="dxa"/>
            <w:left w:w="108" w:type="dxa"/>
            <w:bottom w:w="0" w:type="dxa"/>
            <w:right w:w="108" w:type="dxa"/>
          </w:tblCellMar>
        </w:tblPrEx>
        <w:trPr>
          <w:trHeight w:val="9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nil"/>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知识库检索</w:t>
            </w:r>
          </w:p>
        </w:tc>
        <w:tc>
          <w:tcPr>
            <w:tcW w:w="7343" w:type="dxa"/>
            <w:tcBorders>
              <w:top w:val="single" w:color="auto" w:sz="4" w:space="0"/>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提供知识库的正文关键字检索；</w:t>
            </w:r>
          </w:p>
        </w:tc>
      </w:tr>
      <w:tr>
        <w:tblPrEx>
          <w:tblCellMar>
            <w:top w:w="0" w:type="dxa"/>
            <w:left w:w="108" w:type="dxa"/>
            <w:bottom w:w="0" w:type="dxa"/>
            <w:right w:w="108" w:type="dxa"/>
          </w:tblCellMar>
        </w:tblPrEx>
        <w:trPr>
          <w:trHeight w:val="29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系统辅助</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排班管理</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功能扩展要求提供对信息科室人员的日常工作排班功能；</w:t>
            </w:r>
          </w:p>
        </w:tc>
      </w:tr>
      <w:tr>
        <w:tblPrEx>
          <w:tblCellMar>
            <w:top w:w="0" w:type="dxa"/>
            <w:left w:w="108" w:type="dxa"/>
            <w:bottom w:w="0" w:type="dxa"/>
            <w:right w:w="108" w:type="dxa"/>
          </w:tblCellMar>
        </w:tblPrEx>
        <w:trPr>
          <w:trHeight w:val="45"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功能扩展要求提供对信息科室人员的日报、周报、月报等管理功能；</w:t>
            </w:r>
          </w:p>
        </w:tc>
      </w:tr>
      <w:tr>
        <w:tblPrEx>
          <w:tblCellMar>
            <w:top w:w="0" w:type="dxa"/>
            <w:left w:w="108" w:type="dxa"/>
            <w:bottom w:w="0" w:type="dxa"/>
            <w:right w:w="108" w:type="dxa"/>
          </w:tblCellMar>
        </w:tblPrEx>
        <w:trPr>
          <w:trHeight w:val="13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会议管理</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提供信息科日常会议的安排及记录功能；</w:t>
            </w:r>
          </w:p>
        </w:tc>
      </w:tr>
      <w:tr>
        <w:tblPrEx>
          <w:tblCellMar>
            <w:top w:w="0" w:type="dxa"/>
            <w:left w:w="108" w:type="dxa"/>
            <w:bottom w:w="0" w:type="dxa"/>
            <w:right w:w="108" w:type="dxa"/>
          </w:tblCellMar>
        </w:tblPrEx>
        <w:trPr>
          <w:trHeight w:val="136"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文档管理</w:t>
            </w:r>
          </w:p>
        </w:tc>
        <w:tc>
          <w:tcPr>
            <w:tcW w:w="7343" w:type="dxa"/>
            <w:tcBorders>
              <w:top w:val="single" w:color="auto" w:sz="4" w:space="0"/>
              <w:left w:val="single" w:color="auto" w:sz="4" w:space="0"/>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功能扩展要求提供针对信息科室的日常工作文档管理平台；</w:t>
            </w:r>
          </w:p>
        </w:tc>
      </w:tr>
      <w:tr>
        <w:tblPrEx>
          <w:tblCellMar>
            <w:top w:w="0" w:type="dxa"/>
            <w:left w:w="108" w:type="dxa"/>
            <w:bottom w:w="0" w:type="dxa"/>
            <w:right w:w="108" w:type="dxa"/>
          </w:tblCellMar>
        </w:tblPrEx>
        <w:trPr>
          <w:trHeight w:val="440" w:hRule="atLeast"/>
        </w:trPr>
        <w:tc>
          <w:tcPr>
            <w:tcW w:w="158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_GB2312"/>
                <w:color w:val="000000"/>
                <w:szCs w:val="21"/>
              </w:rPr>
            </w:pPr>
            <w:r>
              <w:rPr>
                <w:rFonts w:hint="eastAsia" w:ascii="宋体" w:hAnsi="宋体" w:cs="仿宋_GB2312"/>
                <w:color w:val="000000"/>
                <w:szCs w:val="21"/>
              </w:rPr>
              <w:t>▲功能测试</w:t>
            </w:r>
          </w:p>
        </w:tc>
        <w:tc>
          <w:tcPr>
            <w:tcW w:w="7343" w:type="dxa"/>
            <w:tcBorders>
              <w:top w:val="nil"/>
              <w:left w:val="nil"/>
              <w:bottom w:val="single" w:color="auto" w:sz="4" w:space="0"/>
              <w:right w:val="single" w:color="auto" w:sz="4" w:space="0"/>
            </w:tcBorders>
          </w:tcPr>
          <w:p>
            <w:pPr>
              <w:pStyle w:val="256"/>
              <w:rPr>
                <w:rFonts w:hint="eastAsia" w:ascii="宋体" w:hAnsi="宋体"/>
                <w:sz w:val="21"/>
                <w:szCs w:val="21"/>
              </w:rPr>
            </w:pPr>
            <w:r>
              <w:rPr>
                <w:rFonts w:hint="eastAsia" w:ascii="宋体" w:hAnsi="宋体"/>
                <w:sz w:val="21"/>
                <w:szCs w:val="21"/>
              </w:rPr>
              <w:t>中标后七天内，提供测试产品对功能和性能测试，若无法在规定时间内提供测试设备或测试结果与招标内容不符，影响医院互联互通等级评定和应用软件上线，取消中标资格，中标方承担所有责任；</w:t>
            </w:r>
          </w:p>
        </w:tc>
      </w:tr>
      <w:tr>
        <w:tblPrEx>
          <w:tblCellMar>
            <w:top w:w="0" w:type="dxa"/>
            <w:left w:w="108" w:type="dxa"/>
            <w:bottom w:w="0" w:type="dxa"/>
            <w:right w:w="108" w:type="dxa"/>
          </w:tblCellMar>
        </w:tblPrEx>
        <w:trPr>
          <w:trHeight w:val="440" w:hRule="atLeast"/>
        </w:trPr>
        <w:tc>
          <w:tcPr>
            <w:tcW w:w="1588"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仿宋_GB2312"/>
                <w:kern w:val="0"/>
                <w:szCs w:val="21"/>
              </w:rPr>
            </w:pPr>
            <w:r>
              <w:rPr>
                <w:rFonts w:hint="eastAsia" w:ascii="宋体" w:hAnsi="宋体" w:cs="仿宋_GB2312"/>
                <w:kern w:val="0"/>
                <w:szCs w:val="21"/>
              </w:rPr>
              <w:t>服务</w:t>
            </w:r>
          </w:p>
        </w:tc>
        <w:tc>
          <w:tcPr>
            <w:tcW w:w="7343" w:type="dxa"/>
            <w:tcBorders>
              <w:top w:val="nil"/>
              <w:left w:val="nil"/>
              <w:bottom w:val="single" w:color="auto" w:sz="4" w:space="0"/>
              <w:right w:val="single" w:color="auto" w:sz="4" w:space="0"/>
            </w:tcBorders>
            <w:vAlign w:val="center"/>
          </w:tcPr>
          <w:p>
            <w:pPr>
              <w:pStyle w:val="256"/>
              <w:rPr>
                <w:rFonts w:hint="eastAsia" w:ascii="宋体" w:hAnsi="宋体"/>
                <w:sz w:val="21"/>
                <w:szCs w:val="21"/>
              </w:rPr>
            </w:pPr>
            <w:r>
              <w:rPr>
                <w:rFonts w:hint="eastAsia" w:ascii="宋体" w:hAnsi="宋体"/>
                <w:sz w:val="21"/>
                <w:szCs w:val="21"/>
              </w:rPr>
              <w:t>提供原厂商三年7*24技术支持服务和保修服务，投标提供技术保修服务承诺</w:t>
            </w:r>
          </w:p>
        </w:tc>
      </w:tr>
    </w:tbl>
    <w:p>
      <w:pPr>
        <w:pStyle w:val="4"/>
        <w:spacing w:before="0" w:after="0" w:line="240" w:lineRule="auto"/>
        <w:rPr>
          <w:rFonts w:hint="eastAsia" w:ascii="宋体" w:hAnsi="宋体" w:cs="仿宋_GB2312"/>
          <w:sz w:val="21"/>
          <w:szCs w:val="21"/>
        </w:rPr>
      </w:pPr>
      <w:bookmarkStart w:id="49" w:name="_Toc104743874"/>
      <w:r>
        <w:rPr>
          <w:rFonts w:hint="eastAsia" w:ascii="宋体" w:hAnsi="宋体" w:cs="仿宋_GB2312"/>
          <w:sz w:val="21"/>
          <w:szCs w:val="21"/>
        </w:rPr>
        <w:t>18 系统和数据迁移服务</w:t>
      </w:r>
      <w:bookmarkEnd w:id="49"/>
    </w:p>
    <w:tbl>
      <w:tblPr>
        <w:tblStyle w:val="64"/>
        <w:tblW w:w="893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75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指标项</w:t>
            </w:r>
          </w:p>
        </w:tc>
        <w:tc>
          <w:tcPr>
            <w:tcW w:w="7513" w:type="dxa"/>
            <w:vAlign w:val="center"/>
          </w:tcPr>
          <w:p>
            <w:pPr>
              <w:rPr>
                <w:rFonts w:hint="eastAsia" w:ascii="宋体" w:hAnsi="宋体" w:cs="仿宋_GB2312"/>
                <w:color w:val="000000"/>
                <w:szCs w:val="21"/>
              </w:rPr>
            </w:pPr>
            <w:r>
              <w:rPr>
                <w:rFonts w:hint="eastAsia" w:ascii="宋体" w:hAnsi="宋体" w:cs="仿宋_GB2312"/>
                <w:color w:val="000000"/>
                <w:szCs w:val="21"/>
              </w:rPr>
              <w:t>技术规格要求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迁移目标</w:t>
            </w:r>
          </w:p>
        </w:tc>
        <w:tc>
          <w:tcPr>
            <w:tcW w:w="7513" w:type="dxa"/>
            <w:vAlign w:val="center"/>
          </w:tcPr>
          <w:p>
            <w:pPr>
              <w:pStyle w:val="256"/>
              <w:rPr>
                <w:rFonts w:hint="eastAsia" w:ascii="宋体" w:hAnsi="宋体"/>
                <w:sz w:val="21"/>
                <w:szCs w:val="21"/>
              </w:rPr>
            </w:pPr>
            <w:r>
              <w:rPr>
                <w:rFonts w:hint="eastAsia" w:ascii="宋体" w:hAnsi="宋体"/>
                <w:sz w:val="21"/>
                <w:szCs w:val="21"/>
              </w:rPr>
              <w:t>医院现有核心业务系统HIS、EMR、PACS 和其他相关业务系统、全医核心业务数据，数据仓库数据、虚拟机应用、虚拟机数据等迁移到新部署平台，和已有各类系统优化和整合，包含数据备份和数据容灾等。保证数据和系统不间断迁移，数据保证零丢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★数据一致性和性能要求</w:t>
            </w:r>
          </w:p>
        </w:tc>
        <w:tc>
          <w:tcPr>
            <w:tcW w:w="7513" w:type="dxa"/>
            <w:vAlign w:val="center"/>
          </w:tcPr>
          <w:p>
            <w:pPr>
              <w:pStyle w:val="256"/>
              <w:rPr>
                <w:rFonts w:hint="eastAsia" w:ascii="宋体" w:hAnsi="宋体"/>
                <w:sz w:val="21"/>
                <w:szCs w:val="21"/>
              </w:rPr>
            </w:pPr>
            <w:r>
              <w:rPr>
                <w:rFonts w:hint="eastAsia" w:ascii="宋体" w:hAnsi="宋体"/>
                <w:sz w:val="21"/>
                <w:szCs w:val="21"/>
              </w:rPr>
              <w:t>投标方必须保证：</w:t>
            </w:r>
          </w:p>
          <w:p>
            <w:pPr>
              <w:pStyle w:val="256"/>
              <w:ind w:left="273" w:hanging="273" w:hangingChars="130"/>
              <w:rPr>
                <w:rFonts w:hint="eastAsia" w:ascii="宋体" w:hAnsi="宋体"/>
                <w:kern w:val="2"/>
                <w:sz w:val="21"/>
                <w:szCs w:val="21"/>
              </w:rPr>
            </w:pPr>
            <w:r>
              <w:rPr>
                <w:rFonts w:hint="eastAsia" w:ascii="宋体" w:hAnsi="宋体"/>
                <w:kern w:val="2"/>
                <w:sz w:val="21"/>
                <w:szCs w:val="21"/>
              </w:rPr>
              <w:t>1.整个迁移过程业务数据零丢失，并提供方法验证数据一致性和可用性，得到业主方认可；</w:t>
            </w:r>
          </w:p>
          <w:p>
            <w:pPr>
              <w:pStyle w:val="256"/>
              <w:ind w:left="273" w:hanging="273" w:hangingChars="130"/>
              <w:rPr>
                <w:rFonts w:hint="eastAsia" w:ascii="宋体" w:hAnsi="宋体"/>
                <w:kern w:val="2"/>
                <w:sz w:val="21"/>
                <w:szCs w:val="21"/>
              </w:rPr>
            </w:pPr>
            <w:r>
              <w:rPr>
                <w:rFonts w:hint="eastAsia" w:ascii="宋体" w:hAnsi="宋体"/>
                <w:kern w:val="2"/>
                <w:sz w:val="21"/>
                <w:szCs w:val="21"/>
              </w:rPr>
              <w:t>2.各个业务系统数据可用性和业务系统性能迁移后要优于之前，要进行充分测试并提供性能对比测评报告得到业主方认可。</w:t>
            </w:r>
          </w:p>
          <w:p>
            <w:pPr>
              <w:pStyle w:val="256"/>
              <w:ind w:left="273" w:hanging="273" w:hangingChars="130"/>
              <w:rPr>
                <w:rFonts w:hint="eastAsia" w:ascii="宋体" w:hAnsi="宋体"/>
                <w:kern w:val="2"/>
                <w:sz w:val="21"/>
                <w:szCs w:val="21"/>
              </w:rPr>
            </w:pPr>
            <w:r>
              <w:rPr>
                <w:rFonts w:hint="eastAsia" w:ascii="宋体" w:hAnsi="宋体"/>
                <w:kern w:val="2"/>
                <w:sz w:val="21"/>
                <w:szCs w:val="21"/>
              </w:rPr>
              <w:t>3.迁移方法，迁移工具乙方自行解决，但是必须经过业主方确认和认可。</w:t>
            </w:r>
          </w:p>
          <w:p>
            <w:pPr>
              <w:pStyle w:val="256"/>
              <w:ind w:left="273" w:hanging="273" w:hangingChars="130"/>
              <w:rPr>
                <w:rFonts w:hint="eastAsia" w:ascii="宋体" w:hAnsi="宋体"/>
                <w:kern w:val="2"/>
                <w:sz w:val="21"/>
                <w:szCs w:val="21"/>
              </w:rPr>
            </w:pPr>
            <w:r>
              <w:rPr>
                <w:rFonts w:hint="eastAsia" w:ascii="宋体" w:hAnsi="宋体"/>
                <w:kern w:val="2"/>
                <w:sz w:val="21"/>
                <w:szCs w:val="21"/>
              </w:rPr>
              <w:t>4.迁移后必须经过严格测试，达到业主方业务系统要求。</w:t>
            </w:r>
          </w:p>
          <w:p>
            <w:pPr>
              <w:pStyle w:val="256"/>
              <w:ind w:left="273" w:hanging="273" w:hangingChars="130"/>
              <w:rPr>
                <w:rFonts w:hint="eastAsia" w:ascii="宋体" w:hAnsi="宋体"/>
                <w:kern w:val="2"/>
                <w:sz w:val="21"/>
                <w:szCs w:val="21"/>
              </w:rPr>
            </w:pPr>
            <w:r>
              <w:rPr>
                <w:rFonts w:hint="eastAsia" w:ascii="宋体" w:hAnsi="宋体"/>
                <w:kern w:val="2"/>
                <w:sz w:val="21"/>
                <w:szCs w:val="21"/>
              </w:rPr>
              <w:t>5.迁移失败，乙方自愿承担一切损失和后果。</w:t>
            </w:r>
          </w:p>
          <w:p>
            <w:pPr>
              <w:pStyle w:val="256"/>
              <w:ind w:left="273" w:hanging="273" w:hangingChars="130"/>
              <w:rPr>
                <w:rFonts w:hint="eastAsia" w:ascii="宋体" w:hAnsi="宋体"/>
                <w:sz w:val="21"/>
                <w:szCs w:val="21"/>
              </w:rPr>
            </w:pPr>
            <w:r>
              <w:rPr>
                <w:rFonts w:hint="eastAsia" w:ascii="宋体" w:hAnsi="宋体"/>
                <w:kern w:val="2"/>
                <w:sz w:val="21"/>
                <w:szCs w:val="21"/>
              </w:rPr>
              <w:t>6.</w:t>
            </w:r>
            <w:r>
              <w:rPr>
                <w:rFonts w:hint="eastAsia" w:ascii="宋体" w:hAnsi="宋体"/>
                <w:sz w:val="21"/>
                <w:szCs w:val="21"/>
              </w:rPr>
              <w:t>中标方负责协调现有应用软件（HIS、EMR、LIS、PACS等）的迁移工作，包括与应用软件厂商交流和方案确定。所产生的所有费用均需中标方承担。如果涉及硬件平台的搬迁由中标方负责，所涉及原有硬件设备的搬迁所产生的第三方费用均由中标方承担。</w:t>
            </w:r>
          </w:p>
          <w:p>
            <w:pPr>
              <w:pStyle w:val="256"/>
              <w:ind w:left="273" w:hanging="273" w:hangingChars="130"/>
              <w:rPr>
                <w:rFonts w:hint="eastAsia" w:ascii="宋体" w:hAnsi="宋体"/>
                <w:kern w:val="2"/>
                <w:sz w:val="21"/>
                <w:szCs w:val="21"/>
              </w:rPr>
            </w:pPr>
            <w:r>
              <w:rPr>
                <w:rFonts w:hint="eastAsia" w:ascii="宋体" w:hAnsi="宋体"/>
                <w:sz w:val="21"/>
                <w:szCs w:val="21"/>
              </w:rPr>
              <w:t>7.</w:t>
            </w:r>
            <w:r>
              <w:rPr>
                <w:rFonts w:hint="eastAsia" w:ascii="宋体" w:hAnsi="宋体"/>
                <w:kern w:val="2"/>
                <w:sz w:val="21"/>
                <w:szCs w:val="21"/>
              </w:rPr>
              <w:t>根据业主方实际环境出具调研报告及详细的数据和系统迁移方案（包括现有架构、设备型号配置以及如何与新设备如何平滑过渡的实施方案）。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▲业务保证</w:t>
            </w:r>
          </w:p>
        </w:tc>
        <w:tc>
          <w:tcPr>
            <w:tcW w:w="7513" w:type="dxa"/>
            <w:vAlign w:val="center"/>
          </w:tcPr>
          <w:p>
            <w:pPr>
              <w:pStyle w:val="256"/>
              <w:rPr>
                <w:rFonts w:hint="eastAsia" w:ascii="宋体" w:hAnsi="宋体"/>
                <w:sz w:val="21"/>
                <w:szCs w:val="21"/>
              </w:rPr>
            </w:pPr>
            <w:r>
              <w:rPr>
                <w:rFonts w:hint="eastAsia" w:ascii="宋体" w:hAnsi="宋体"/>
                <w:sz w:val="21"/>
                <w:szCs w:val="21"/>
              </w:rPr>
              <w:t>本次迁移对业务系统的总停机影响时间不超过15分钟，数据保证零丢失，整个过程不能影响业务正常运行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应急要求</w:t>
            </w:r>
          </w:p>
        </w:tc>
        <w:tc>
          <w:tcPr>
            <w:tcW w:w="7513" w:type="dxa"/>
            <w:vAlign w:val="center"/>
          </w:tcPr>
          <w:p>
            <w:pPr>
              <w:pStyle w:val="256"/>
              <w:rPr>
                <w:rFonts w:hint="eastAsia" w:ascii="宋体" w:hAnsi="宋体"/>
                <w:sz w:val="21"/>
                <w:szCs w:val="21"/>
              </w:rPr>
            </w:pPr>
            <w:r>
              <w:rPr>
                <w:rFonts w:hint="eastAsia" w:ascii="宋体" w:hAnsi="宋体"/>
                <w:sz w:val="21"/>
                <w:szCs w:val="21"/>
              </w:rPr>
              <w:t>应充分考虑迁移过程中存在的风险及隐患，制定合理的应急机制，当发生实施失败或重大故障时，系统必须在能在15分钟恢复正常使用，并提供可行的业务回切方案；</w:t>
            </w:r>
          </w:p>
          <w:p>
            <w:pPr>
              <w:pStyle w:val="256"/>
              <w:rPr>
                <w:rFonts w:hint="eastAsia" w:ascii="宋体" w:hAnsi="宋体"/>
                <w:sz w:val="21"/>
                <w:szCs w:val="21"/>
              </w:rPr>
            </w:pPr>
            <w:r>
              <w:rPr>
                <w:rFonts w:hint="eastAsia" w:ascii="宋体" w:hAnsi="宋体"/>
                <w:sz w:val="21"/>
                <w:szCs w:val="21"/>
              </w:rPr>
              <w:t>投标方需要在整个迁移过程中，提供超融合系统一套容量100TB，作为应急存储，提供三台2路cpu服务器，内存256GB作为应急服务器，迁移前提供一台CDP 30TB容量作为数据安全性保障设备把现有数据库数据安全保护。</w:t>
            </w:r>
          </w:p>
          <w:p>
            <w:pPr>
              <w:pStyle w:val="256"/>
              <w:rPr>
                <w:rFonts w:hint="eastAsia" w:ascii="宋体" w:hAnsi="宋体"/>
                <w:sz w:val="21"/>
                <w:szCs w:val="21"/>
              </w:rPr>
            </w:pPr>
            <w:r>
              <w:rPr>
                <w:rFonts w:hint="eastAsia" w:ascii="宋体" w:hAnsi="宋体"/>
                <w:sz w:val="21"/>
                <w:szCs w:val="21"/>
              </w:rPr>
              <w:t>要求服务商在浙江医疗行业有2个50万以上部署和数据迁移案例，并提供合同复印件（原件待查）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测试要求</w:t>
            </w:r>
          </w:p>
        </w:tc>
        <w:tc>
          <w:tcPr>
            <w:tcW w:w="7513" w:type="dxa"/>
            <w:vAlign w:val="center"/>
          </w:tcPr>
          <w:p>
            <w:pPr>
              <w:pStyle w:val="256"/>
              <w:rPr>
                <w:rFonts w:hint="eastAsia" w:ascii="宋体" w:hAnsi="宋体"/>
                <w:sz w:val="21"/>
                <w:szCs w:val="21"/>
              </w:rPr>
            </w:pPr>
            <w:r>
              <w:rPr>
                <w:rFonts w:hint="eastAsia" w:ascii="宋体" w:hAnsi="宋体"/>
                <w:sz w:val="21"/>
                <w:szCs w:val="21"/>
              </w:rPr>
              <w:t>正式迁移实施前必须在测试环境里进行完全测试，包括数据可用性、安全性、稳定性、兼容性、性能、功能等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418" w:type="dxa"/>
            <w:vAlign w:val="center"/>
          </w:tcPr>
          <w:p>
            <w:pPr>
              <w:rPr>
                <w:rFonts w:hint="eastAsia" w:ascii="宋体" w:hAnsi="宋体" w:cs="仿宋_GB2312"/>
                <w:color w:val="000000"/>
                <w:szCs w:val="21"/>
              </w:rPr>
            </w:pPr>
            <w:r>
              <w:rPr>
                <w:rFonts w:hint="eastAsia" w:ascii="宋体" w:hAnsi="宋体" w:cs="仿宋_GB2312"/>
                <w:color w:val="000000"/>
                <w:szCs w:val="21"/>
              </w:rPr>
              <w:t>服务承诺</w:t>
            </w:r>
          </w:p>
        </w:tc>
        <w:tc>
          <w:tcPr>
            <w:tcW w:w="7513" w:type="dxa"/>
            <w:vAlign w:val="center"/>
          </w:tcPr>
          <w:p>
            <w:pPr>
              <w:pStyle w:val="256"/>
              <w:rPr>
                <w:rFonts w:hint="eastAsia" w:ascii="宋体" w:hAnsi="宋体"/>
                <w:sz w:val="21"/>
                <w:szCs w:val="21"/>
              </w:rPr>
            </w:pPr>
            <w:r>
              <w:rPr>
                <w:rFonts w:hint="eastAsia" w:ascii="宋体" w:hAnsi="宋体"/>
                <w:sz w:val="21"/>
                <w:szCs w:val="21"/>
              </w:rPr>
              <w:t>投标时需要对以上内容作出承诺，实施失败，乙方自愿承担一切损失和后果。</w:t>
            </w:r>
          </w:p>
        </w:tc>
      </w:tr>
    </w:tbl>
    <w:p>
      <w:pPr>
        <w:rPr>
          <w:rFonts w:hint="eastAsia" w:ascii="宋体" w:hAnsi="宋体" w:cs="仿宋_GB2312"/>
          <w:szCs w:val="21"/>
        </w:rPr>
      </w:pPr>
    </w:p>
    <w:p>
      <w:pPr>
        <w:pStyle w:val="4"/>
        <w:spacing w:before="0" w:after="0" w:line="240" w:lineRule="auto"/>
        <w:rPr>
          <w:rFonts w:hint="eastAsia" w:ascii="宋体" w:hAnsi="宋体" w:cs="仿宋_GB2312"/>
          <w:sz w:val="21"/>
          <w:szCs w:val="21"/>
        </w:rPr>
      </w:pPr>
      <w:bookmarkStart w:id="50" w:name="_Toc104743875"/>
      <w:r>
        <w:rPr>
          <w:rFonts w:hint="eastAsia" w:ascii="宋体" w:hAnsi="宋体" w:cs="仿宋_GB2312"/>
          <w:sz w:val="21"/>
          <w:szCs w:val="21"/>
        </w:rPr>
        <w:t>19 设备部署及系统集成</w:t>
      </w:r>
      <w:bookmarkEnd w:id="50"/>
    </w:p>
    <w:tbl>
      <w:tblPr>
        <w:tblStyle w:val="6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hint="eastAsia" w:ascii="宋体" w:hAnsi="宋体" w:cs="仿宋_GB2312"/>
                <w:szCs w:val="21"/>
              </w:rPr>
            </w:pPr>
            <w:r>
              <w:rPr>
                <w:rFonts w:hint="eastAsia" w:ascii="宋体" w:hAnsi="宋体" w:cs="仿宋_GB2312"/>
                <w:szCs w:val="21"/>
              </w:rPr>
              <w:t>项目</w:t>
            </w:r>
          </w:p>
        </w:tc>
        <w:tc>
          <w:tcPr>
            <w:tcW w:w="7797" w:type="dxa"/>
          </w:tcPr>
          <w:p>
            <w:pPr>
              <w:rPr>
                <w:rFonts w:hint="eastAsia" w:ascii="宋体" w:hAnsi="宋体" w:cs="仿宋_GB2312"/>
                <w:szCs w:val="21"/>
              </w:rPr>
            </w:pPr>
            <w:r>
              <w:rPr>
                <w:rFonts w:hint="eastAsia" w:ascii="宋体" w:hAnsi="宋体" w:cs="仿宋_GB2312"/>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rPr>
                <w:rFonts w:hint="eastAsia" w:ascii="宋体" w:hAnsi="宋体" w:cs="仿宋_GB2312"/>
                <w:color w:val="000000"/>
                <w:szCs w:val="21"/>
              </w:rPr>
            </w:pPr>
            <w:r>
              <w:rPr>
                <w:rFonts w:hint="eastAsia" w:ascii="宋体" w:hAnsi="宋体" w:cs="仿宋_GB2312"/>
                <w:color w:val="000000"/>
                <w:szCs w:val="21"/>
              </w:rPr>
              <w:t>★系统实施</w:t>
            </w:r>
          </w:p>
        </w:tc>
        <w:tc>
          <w:tcPr>
            <w:tcW w:w="7797" w:type="dxa"/>
          </w:tcPr>
          <w:p>
            <w:pPr>
              <w:pStyle w:val="256"/>
              <w:rPr>
                <w:rFonts w:hint="eastAsia" w:ascii="宋体" w:hAnsi="宋体"/>
                <w:sz w:val="21"/>
                <w:szCs w:val="21"/>
              </w:rPr>
            </w:pPr>
            <w:r>
              <w:rPr>
                <w:rFonts w:hint="eastAsia" w:ascii="宋体" w:hAnsi="宋体"/>
                <w:sz w:val="21"/>
                <w:szCs w:val="21"/>
              </w:rPr>
              <w:t>提供所有新购设备和系统的上架和系统安装和调试。所有设备和系统安装调试需中标集成商和相应原厂工程师现场实施，提供承诺书。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主要业务系统数据库（oracle和SQL）服务器要求安装Linux for RAC，部分系统从原平台（IBM、HP和EMC）迁移至新系统平台，为保障数据无丢失以及停机时间为零。原系统迁移需oracle、SQL原厂工程师和其他相关原厂工程师现场实施及保障不少于15个工作日，提供原厂身份社保证明。PACS系统和部分系统迁移至新系统，保证数据无丢失以及应用零停机。保障整个系统无单点故障，无业务停机。</w:t>
            </w:r>
          </w:p>
          <w:p>
            <w:pPr>
              <w:pStyle w:val="256"/>
              <w:rPr>
                <w:rFonts w:hint="eastAsia" w:ascii="宋体" w:hAnsi="宋体"/>
                <w:sz w:val="21"/>
                <w:szCs w:val="21"/>
              </w:rPr>
            </w:pPr>
            <w:r>
              <w:rPr>
                <w:rFonts w:hint="eastAsia" w:ascii="宋体" w:hAnsi="宋体"/>
                <w:sz w:val="21"/>
                <w:szCs w:val="21"/>
              </w:rPr>
              <w:t>中标方需充分考虑院区现有的软、硬件配置和使用情况，由此产生第三方费用由中标方承担。 系统的可用性；如有问题，承诺无条件配合相应的软件开发商完成调试工作。服务：三年7X24小时技术支持。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新购系统的规划、实施；全院硬件系统搭建、新旧系统和设备割接；数据库优化、巡检、及系统维护服务等。投标人需要根据目前硬件系统现状，结合此次项目的建设情况，设计并实施一个适合医院的高可靠的系统，在关键设备出现故障时不影响正常工作，同时又能够使系统的运行达到最佳状态。</w:t>
            </w:r>
          </w:p>
          <w:p>
            <w:pPr>
              <w:pStyle w:val="256"/>
              <w:rPr>
                <w:rFonts w:hint="eastAsia" w:ascii="宋体" w:hAnsi="宋体"/>
                <w:sz w:val="21"/>
                <w:szCs w:val="21"/>
              </w:rPr>
            </w:pPr>
            <w:r>
              <w:rPr>
                <w:rFonts w:hint="eastAsia" w:ascii="宋体" w:hAnsi="宋体"/>
                <w:sz w:val="21"/>
                <w:szCs w:val="21"/>
              </w:rPr>
              <w:t>投标人在系统升级割接过程中需确保过程顺利进行，系统割接过程须具有可回溯性，确保应用割接失败的回退。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本项目实施团队成员不得少于6人，项目实施经验不少于五年，至少包括1名OCM工程师，1名VCP工程师，一名主机存储工程师，一名CCIE工程师，一名CISP网络安全工程师，团队项目经理要求具有项目管理师认证的工程师担任，项目副经理必须由具有PMP证书的工程师担任，项目经理应做好统一协调工作，要求本项目必须在指定工期内完成；投标时项目组人员一经确定不可更换，以上工程师要求在投标方所在公司工作三年以上，并承诺以上工程师在免费服务期内可随时响应并到现场解决采购方的实际技术问题。提供人员简介、相关资格证书及在本公司的近一年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rPr>
                <w:rFonts w:hint="eastAsia" w:ascii="宋体" w:hAnsi="宋体" w:cs="仿宋_GB2312"/>
                <w:color w:val="000000"/>
                <w:szCs w:val="21"/>
              </w:rPr>
            </w:pPr>
            <w:r>
              <w:rPr>
                <w:rFonts w:hint="eastAsia" w:ascii="宋体" w:hAnsi="宋体" w:cs="仿宋_GB2312"/>
                <w:color w:val="000000"/>
                <w:szCs w:val="21"/>
              </w:rPr>
              <w:t>★售后服务</w:t>
            </w:r>
          </w:p>
        </w:tc>
        <w:tc>
          <w:tcPr>
            <w:tcW w:w="7797" w:type="dxa"/>
          </w:tcPr>
          <w:p>
            <w:pPr>
              <w:pStyle w:val="256"/>
              <w:rPr>
                <w:rFonts w:hint="eastAsia" w:ascii="宋体" w:hAnsi="宋体"/>
                <w:sz w:val="21"/>
                <w:szCs w:val="21"/>
              </w:rPr>
            </w:pPr>
            <w:r>
              <w:rPr>
                <w:rFonts w:hint="eastAsia" w:ascii="宋体" w:hAnsi="宋体"/>
                <w:sz w:val="21"/>
                <w:szCs w:val="21"/>
              </w:rPr>
              <w:t>中标单位需保证三年内提供四名具有五年工作经验以上的工程师负责7*24小时专项支持服务，一名OCM数据库工程师，一名VCP工程师，一名CCIE工程师，一名CISP网络安全工程师，要求工程师30分钟内到达用户现场；以上工程师需提供证书原件和社保证明等证明材料。服务年限要求：三年7X24小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提供三年内每年四次现场数据库全面检测和评估服务，每次不少于五天，每次由OCM工程师（提供社保和证书原件）完成,每次出具正式的检测和评估报告, 包括数据库健康检查，数据库管理、系统配置、数据库的备份、需要时数据库的恢复、错误分析与处理，以及必要时的技术咨询服务。提出系统改造和优化方案,对系统实施改造和优化，配合完成服务年度内所有主机存储数据库等系统优化与改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pPr>
              <w:rPr>
                <w:rFonts w:hint="eastAsia" w:ascii="宋体" w:hAnsi="宋体" w:cs="仿宋_GB2312"/>
                <w:color w:val="000000"/>
                <w:szCs w:val="21"/>
              </w:rPr>
            </w:pPr>
            <w:r>
              <w:rPr>
                <w:rFonts w:hint="eastAsia" w:ascii="宋体" w:hAnsi="宋体" w:cs="仿宋_GB2312"/>
                <w:color w:val="000000"/>
                <w:szCs w:val="21"/>
              </w:rPr>
              <w:t>★测试和备件</w:t>
            </w:r>
          </w:p>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为了保证设备性能和可靠性，中标后5个工作日内，中标方需提供招标设备和系统用于现场功能和性能测试，由第三方出具测试报告，所涉及的测试费用由中标承担，如测试结果与投标参数不符，中标方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在保修期内发生的软硬件故障全部提供免费服务。采购方有权要求提供与本次项目服务器和存储相同档次设备，放在采购方做备件，当在线运行设备故障宕机时第一时间更换。当有部件故障（包括CPU、内存、电源、硬盘等配件），必须以最快的速度无条件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pPr>
              <w:rPr>
                <w:rFonts w:hint="eastAsia" w:ascii="宋体" w:hAnsi="宋体" w:cs="仿宋_GB2312"/>
                <w:color w:val="000000"/>
                <w:szCs w:val="21"/>
              </w:rPr>
            </w:pPr>
          </w:p>
        </w:tc>
        <w:tc>
          <w:tcPr>
            <w:tcW w:w="7797" w:type="dxa"/>
          </w:tcPr>
          <w:p>
            <w:pPr>
              <w:pStyle w:val="256"/>
              <w:rPr>
                <w:rFonts w:hint="eastAsia" w:ascii="宋体" w:hAnsi="宋体"/>
                <w:sz w:val="21"/>
                <w:szCs w:val="21"/>
              </w:rPr>
            </w:pPr>
            <w:r>
              <w:rPr>
                <w:rFonts w:hint="eastAsia" w:ascii="宋体" w:hAnsi="宋体"/>
                <w:sz w:val="21"/>
                <w:szCs w:val="21"/>
              </w:rPr>
              <w:t>投标方必须确保备件符合系统技术要求，在接到报修通知后，在可能需要使用相关备件的紧急情况下，其他备用设备在2小时内必须到达，如果发现投标方使用二手部件或兼容设备进行维修，将视为违约，并有权对投标响应方进行处罚或终止保修合同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hint="eastAsia" w:ascii="宋体" w:hAnsi="宋体" w:cs="仿宋_GB2312"/>
                <w:color w:val="000000"/>
                <w:szCs w:val="21"/>
              </w:rPr>
            </w:pPr>
            <w:r>
              <w:rPr>
                <w:rFonts w:hint="eastAsia" w:ascii="宋体" w:hAnsi="宋体" w:cs="仿宋_GB2312"/>
                <w:color w:val="000000"/>
                <w:szCs w:val="21"/>
              </w:rPr>
              <w:t>集成能力</w:t>
            </w:r>
          </w:p>
        </w:tc>
        <w:tc>
          <w:tcPr>
            <w:tcW w:w="7797" w:type="dxa"/>
          </w:tcPr>
          <w:p>
            <w:pPr>
              <w:pStyle w:val="256"/>
              <w:rPr>
                <w:rFonts w:hint="eastAsia" w:ascii="宋体" w:hAnsi="宋体"/>
                <w:sz w:val="21"/>
                <w:szCs w:val="21"/>
              </w:rPr>
            </w:pPr>
            <w:r>
              <w:rPr>
                <w:rFonts w:hint="eastAsia" w:ascii="宋体" w:hAnsi="宋体"/>
                <w:sz w:val="21"/>
                <w:szCs w:val="21"/>
              </w:rPr>
              <w:t>通过ISO22301业务连续性认证</w:t>
            </w:r>
          </w:p>
          <w:p>
            <w:pPr>
              <w:pStyle w:val="256"/>
              <w:rPr>
                <w:rFonts w:hint="eastAsia" w:ascii="宋体" w:hAnsi="宋体"/>
                <w:sz w:val="21"/>
                <w:szCs w:val="21"/>
              </w:rPr>
            </w:pPr>
            <w:r>
              <w:rPr>
                <w:rFonts w:hint="eastAsia" w:ascii="宋体" w:hAnsi="宋体"/>
                <w:sz w:val="21"/>
                <w:szCs w:val="21"/>
              </w:rPr>
              <w:t>通过ISO27001信息安全体系认证</w:t>
            </w:r>
          </w:p>
          <w:p>
            <w:pPr>
              <w:pStyle w:val="256"/>
              <w:rPr>
                <w:rFonts w:hint="eastAsia" w:ascii="宋体" w:hAnsi="宋体"/>
                <w:sz w:val="21"/>
                <w:szCs w:val="21"/>
              </w:rPr>
            </w:pPr>
            <w:r>
              <w:rPr>
                <w:rFonts w:hint="eastAsia" w:ascii="宋体" w:hAnsi="宋体"/>
                <w:sz w:val="21"/>
                <w:szCs w:val="21"/>
              </w:rPr>
              <w:t>具备系统集成及服务企业能力评价二级认证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rPr>
                <w:rFonts w:hint="eastAsia" w:ascii="宋体" w:hAnsi="宋体" w:cs="仿宋_GB2312"/>
                <w:color w:val="000000"/>
                <w:szCs w:val="21"/>
              </w:rPr>
            </w:pPr>
            <w:r>
              <w:rPr>
                <w:rFonts w:hint="eastAsia" w:ascii="宋体" w:hAnsi="宋体" w:cs="仿宋_GB2312"/>
                <w:color w:val="000000"/>
                <w:szCs w:val="21"/>
              </w:rPr>
              <w:t>其他</w:t>
            </w:r>
          </w:p>
        </w:tc>
        <w:tc>
          <w:tcPr>
            <w:tcW w:w="7797" w:type="dxa"/>
          </w:tcPr>
          <w:p>
            <w:pPr>
              <w:pStyle w:val="256"/>
              <w:rPr>
                <w:rFonts w:hint="eastAsia" w:ascii="宋体" w:hAnsi="宋体"/>
                <w:sz w:val="21"/>
                <w:szCs w:val="21"/>
              </w:rPr>
            </w:pPr>
            <w:r>
              <w:rPr>
                <w:rFonts w:hint="eastAsia" w:ascii="宋体" w:hAnsi="宋体"/>
                <w:sz w:val="21"/>
                <w:szCs w:val="21"/>
              </w:rPr>
              <w:t>投标时对以上服务要求条款作出明确报价和响应情况偏离表，合同执行过程中如有任何伪造技术证件资质等弄虚作假情况，中标单位承担一切法律责任。</w:t>
            </w:r>
          </w:p>
        </w:tc>
      </w:tr>
    </w:tbl>
    <w:p>
      <w:pPr>
        <w:pStyle w:val="401"/>
        <w:spacing w:after="120"/>
        <w:ind w:firstLine="420"/>
        <w:rPr>
          <w:rFonts w:hint="eastAsia" w:ascii="宋体" w:hAnsi="宋体" w:cs="仿宋_GB2312"/>
          <w:sz w:val="21"/>
          <w:szCs w:val="21"/>
        </w:rPr>
      </w:pPr>
    </w:p>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（四））系统维护期（质保期）</w:t>
      </w:r>
    </w:p>
    <w:p>
      <w:pPr>
        <w:pStyle w:val="5"/>
        <w:spacing w:line="240" w:lineRule="auto"/>
        <w:ind w:firstLine="478" w:firstLineChars="228"/>
        <w:rPr>
          <w:rFonts w:hint="eastAsia" w:hAnsi="宋体" w:cs="仿宋_GB2312"/>
          <w:sz w:val="21"/>
          <w:szCs w:val="21"/>
        </w:rPr>
      </w:pPr>
      <w:bookmarkStart w:id="51" w:name="_Hlk109568714"/>
      <w:r>
        <w:rPr>
          <w:rFonts w:hint="eastAsia" w:hAnsi="宋体" w:cs="仿宋_GB2312"/>
          <w:sz w:val="21"/>
          <w:szCs w:val="21"/>
        </w:rPr>
        <w:t>要求提供不少于五年7×24免费售后现场技术服务，保修期从项目验收合格之日起开始计算。</w:t>
      </w:r>
      <w:bookmarkEnd w:id="51"/>
    </w:p>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（五）</w:t>
      </w:r>
      <w:bookmarkStart w:id="52" w:name="_Hlk109568752"/>
      <w:r>
        <w:rPr>
          <w:rFonts w:hint="eastAsia" w:ascii="宋体" w:hAnsi="宋体" w:eastAsia="宋体" w:cs="仿宋_GB2312"/>
          <w:sz w:val="21"/>
          <w:szCs w:val="21"/>
        </w:rPr>
        <w:t>产品技术要求</w:t>
      </w:r>
      <w:bookmarkEnd w:id="52"/>
    </w:p>
    <w:p>
      <w:pPr>
        <w:pStyle w:val="5"/>
        <w:spacing w:line="240" w:lineRule="auto"/>
        <w:ind w:firstLine="478" w:firstLineChars="228"/>
        <w:rPr>
          <w:rFonts w:hint="eastAsia" w:hAnsi="宋体" w:cs="仿宋_GB2312"/>
          <w:sz w:val="21"/>
          <w:szCs w:val="21"/>
        </w:rPr>
      </w:pPr>
      <w:bookmarkStart w:id="53" w:name="_Hlk109568765"/>
      <w:r>
        <w:rPr>
          <w:rFonts w:hint="eastAsia" w:hAnsi="宋体" w:cs="仿宋_GB2312"/>
          <w:sz w:val="21"/>
          <w:szCs w:val="21"/>
        </w:rPr>
        <w:t>（1）、投标产品应是目前市场上的主流产品。</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2）、所投产品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bookmarkEnd w:id="53"/>
    <w:p>
      <w:pPr>
        <w:pStyle w:val="5"/>
        <w:spacing w:line="240" w:lineRule="auto"/>
        <w:ind w:firstLine="478" w:firstLineChars="228"/>
        <w:rPr>
          <w:rFonts w:hint="eastAsia" w:hAnsi="宋体" w:cs="仿宋_GB2312"/>
          <w:sz w:val="21"/>
          <w:szCs w:val="21"/>
        </w:rPr>
      </w:pPr>
      <w:r>
        <w:rPr>
          <w:rFonts w:hint="eastAsia" w:hAnsi="宋体" w:cs="仿宋_GB2312"/>
          <w:sz w:val="21"/>
          <w:szCs w:val="21"/>
        </w:rPr>
        <w:t>（3）、应用支持及升级服务包括主要版本的故障排除、版本维护、故障修复、补丁和主要版本升级、规则库、引擎、控制台的技术支持等。</w:t>
      </w:r>
    </w:p>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（六）</w:t>
      </w:r>
      <w:bookmarkStart w:id="54" w:name="_Hlk109568825"/>
      <w:r>
        <w:rPr>
          <w:rFonts w:hint="eastAsia" w:ascii="宋体" w:hAnsi="宋体" w:eastAsia="宋体" w:cs="仿宋_GB2312"/>
          <w:sz w:val="21"/>
          <w:szCs w:val="21"/>
        </w:rPr>
        <w:t>辅料和人工</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1.本项目的所有软、硬件(如线缆、软件、硬件模块等，包括未列出而系统实施又必需的软件、硬件)需配齐以构成一套完整实用系统，所有辅材尽可能采用原装配套产品，没有原装配套的产品也必须使用业内主流的用户能接受的产品，如有任何遗漏，由中标人免费补齐。投标集成商需在合同签订前出示原厂商售后服务说明承诺书原件</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2.所提供的设备应是经过实践的最新产品，各种技术指标符合本次招标文件技术规范的要求。所有采用产品（包括配件、附件）均具有正规标识的正规产品，招标方可以根据需要对产品进行测试要求。</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3.所投产品需为原厂全新产品，符合国家技术规范和质量标准，通过国家有关部门检测合格的原产地产品，未曾开箱使用，能够与采购单位现有设备正常连接；设备安装调试完毕后，能在其功能范围内保障采购单位的系统安全、稳定运行</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4.投标方案中的硬件设备如需使用特别接头、插座等，由投标人免费提供。</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5.投标总价应包括运抵采购单位诸暨市中医医院的运保费及安装调试费等。</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6.完成设备的安装调试，电源、相关缆线（网线、光纤线）必须齐全并满足机房实际布局连接要求；新增设备后如涉及到机房布局需要进行调整，投标人需免费提供相应的服务器、机柜搬移服务和数据迁移承诺。</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7.本次招标的供货除包括上述设备外，还应包括随机的辅助设备、专用电线电缆、随机软件、技术资料（包括操作手册、使用指南、维修指南和含维修网点在内的服务手册等）、设备运行所必需的随机消耗材料，相应的技术服务与质量保证。</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8.验收条件：开箱验收：清点设备装箱内容符合装箱单所列并符合招标文件要求和承诺书承诺；开机验收：设备应通电开机后进行所规定时间的试运行后方可验收。</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9.所投产品的应详细列明投标设备的所有技术指标（包括所投产品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bookmarkEnd w:id="54"/>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（七）</w:t>
      </w:r>
      <w:bookmarkStart w:id="55" w:name="_Hlk109568974"/>
      <w:r>
        <w:rPr>
          <w:rFonts w:hint="eastAsia" w:ascii="宋体" w:hAnsi="宋体" w:eastAsia="宋体" w:cs="仿宋_GB2312"/>
          <w:sz w:val="21"/>
          <w:szCs w:val="21"/>
        </w:rPr>
        <w:t>服务响应和培训要求</w:t>
      </w:r>
      <w:bookmarkEnd w:id="55"/>
    </w:p>
    <w:p>
      <w:pPr>
        <w:pStyle w:val="5"/>
        <w:spacing w:line="240" w:lineRule="auto"/>
        <w:ind w:firstLine="478" w:firstLineChars="228"/>
        <w:rPr>
          <w:rFonts w:hint="eastAsia" w:hAnsi="宋体" w:cs="仿宋_GB2312"/>
          <w:sz w:val="21"/>
          <w:szCs w:val="21"/>
        </w:rPr>
      </w:pPr>
      <w:bookmarkStart w:id="56" w:name="_Hlk109568995"/>
      <w:r>
        <w:rPr>
          <w:rFonts w:hint="eastAsia" w:hAnsi="宋体" w:cs="仿宋_GB2312"/>
          <w:sz w:val="21"/>
          <w:szCs w:val="21"/>
        </w:rPr>
        <w:t>(1)、质量保证：</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a 投标货物必须是符合国家技术规范和质量标准的合格产品，满足采购人的使用需求，并具有可靠的售后服务体系，质量可靠、使用安全。</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b投标人保证其提供的货物中所有预装和为本项目安装的软件均为具有合法版权或使用权的正版软件且无质量瑕疵；</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c 在质保期内，如遇产品升级、改版，应免费提供更新、升级服务。</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(2)、要求投标人提供的服务不得低于标准服务，即与投标设备制造厂商通过网站等对外公布的有效服务标准相一致（投标人不得另行制作网页）。在标准服务基础上，投标人还应达到以下标准：</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a</w:t>
      </w:r>
      <w:r>
        <w:rPr>
          <w:rFonts w:hint="eastAsia" w:hAnsi="宋体" w:cs="仿宋_GB2312"/>
          <w:sz w:val="21"/>
          <w:szCs w:val="21"/>
        </w:rPr>
        <w:tab/>
      </w:r>
      <w:r>
        <w:rPr>
          <w:rFonts w:hint="eastAsia" w:hAnsi="宋体" w:cs="仿宋_GB2312"/>
          <w:sz w:val="21"/>
          <w:szCs w:val="21"/>
        </w:rPr>
        <w:t>投标货物制造厂商应具有完善的服务保障体系（在最终供货地有直接设立或授权的售后服务机构，配备有足够的、有相应资质的专业技术人员）；供应商也应就投标货物的品质和服务对采购机构和采购人负责。</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b</w:t>
      </w:r>
      <w:r>
        <w:rPr>
          <w:rFonts w:hint="eastAsia" w:hAnsi="宋体" w:cs="仿宋_GB2312"/>
          <w:sz w:val="21"/>
          <w:szCs w:val="21"/>
        </w:rPr>
        <w:tab/>
      </w:r>
      <w:r>
        <w:rPr>
          <w:rFonts w:hint="eastAsia" w:hAnsi="宋体" w:cs="仿宋_GB2312"/>
          <w:sz w:val="21"/>
          <w:szCs w:val="21"/>
        </w:rPr>
        <w:t>投标人应明确说明此次投标的服务策略，提供此次投标货物的服务计划（售后服务内容、等级、相关服务指标、售后服务组织机构及人员安排情况及其联络信息）。</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c</w:t>
      </w:r>
      <w:r>
        <w:rPr>
          <w:rFonts w:hint="eastAsia" w:hAnsi="宋体" w:cs="仿宋_GB2312"/>
          <w:sz w:val="21"/>
          <w:szCs w:val="21"/>
        </w:rPr>
        <w:tab/>
      </w:r>
      <w:r>
        <w:rPr>
          <w:rFonts w:hint="eastAsia" w:hAnsi="宋体" w:cs="仿宋_GB2312"/>
          <w:sz w:val="21"/>
          <w:szCs w:val="21"/>
        </w:rPr>
        <w:t>在质保期内供应商必须为最终用户提供技术服务热线（7*24小时），负责解答用户在设备使用中遇到的问题，并及时提出解决问题的建议和操作方法。技术服务热线支持应是中文服务。</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d</w:t>
      </w:r>
      <w:r>
        <w:rPr>
          <w:rFonts w:hint="eastAsia" w:hAnsi="宋体" w:cs="仿宋_GB2312"/>
          <w:sz w:val="21"/>
          <w:szCs w:val="21"/>
        </w:rPr>
        <w:tab/>
      </w:r>
      <w:r>
        <w:rPr>
          <w:rFonts w:hint="eastAsia" w:hAnsi="宋体" w:cs="仿宋_GB2312"/>
          <w:sz w:val="21"/>
          <w:szCs w:val="21"/>
        </w:rPr>
        <w:t xml:space="preserve">在投标货物质保期内，供应商应提供不低于7*24小时的现场质保和技术支持服务，对故障即时响应，3小时以内到现场，5小时以内解决问题；不能当场修复的，必须采取提供备品、备件或备机等措施，以保证采购人的正常使用。如果逾期未作出响应，供应商应承担由于故障所造成的全部损失。 </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e</w:t>
      </w:r>
      <w:r>
        <w:rPr>
          <w:rFonts w:hint="eastAsia" w:hAnsi="宋体" w:cs="仿宋_GB2312"/>
          <w:sz w:val="21"/>
          <w:szCs w:val="21"/>
        </w:rPr>
        <w:tab/>
      </w:r>
      <w:r>
        <w:rPr>
          <w:rFonts w:hint="eastAsia" w:hAnsi="宋体" w:cs="仿宋_GB2312"/>
          <w:sz w:val="21"/>
          <w:szCs w:val="21"/>
        </w:rPr>
        <w:t>当投标货物发生非人为因素严重故障时，供应商应当免费在七日内将补充或者更换的货物运抵发生故障的货物所在地，由此产生的一切相关费用由供应商负担。</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f</w:t>
      </w:r>
      <w:r>
        <w:rPr>
          <w:rFonts w:hint="eastAsia" w:hAnsi="宋体" w:cs="仿宋_GB2312"/>
          <w:sz w:val="21"/>
          <w:szCs w:val="21"/>
        </w:rPr>
        <w:tab/>
      </w:r>
      <w:r>
        <w:rPr>
          <w:rFonts w:hint="eastAsia" w:hAnsi="宋体" w:cs="仿宋_GB2312"/>
          <w:sz w:val="21"/>
          <w:szCs w:val="21"/>
        </w:rPr>
        <w:t>质保期内所有因更换或修理设备或部件而导致设备停止运行的时间应从其质保期内扣除。</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g</w:t>
      </w:r>
      <w:r>
        <w:rPr>
          <w:rFonts w:hint="eastAsia" w:hAnsi="宋体" w:cs="仿宋_GB2312"/>
          <w:sz w:val="21"/>
          <w:szCs w:val="21"/>
        </w:rPr>
        <w:tab/>
      </w:r>
      <w:r>
        <w:rPr>
          <w:rFonts w:hint="eastAsia" w:hAnsi="宋体" w:cs="仿宋_GB2312"/>
          <w:sz w:val="21"/>
          <w:szCs w:val="21"/>
        </w:rPr>
        <w:t>供应商在质保期内安装的任何零配件，必须是其投标设备制造厂商原产的或是经其认可的。</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h</w:t>
      </w:r>
      <w:r>
        <w:rPr>
          <w:rFonts w:hint="eastAsia" w:hAnsi="宋体" w:cs="仿宋_GB2312"/>
          <w:sz w:val="21"/>
          <w:szCs w:val="21"/>
        </w:rPr>
        <w:tab/>
      </w:r>
      <w:r>
        <w:rPr>
          <w:rFonts w:hint="eastAsia" w:hAnsi="宋体" w:cs="仿宋_GB2312"/>
          <w:sz w:val="21"/>
          <w:szCs w:val="21"/>
        </w:rPr>
        <w:t>所有的替代零配件必须是新的未使用和未经修复的，除非最终用户提供书面许可，否则不可使用此范围外的其他（非新的）配件。</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i  供应商必须为维修和技术支持所未能解决的问题和故障提供正式的升级方案。</w:t>
      </w:r>
    </w:p>
    <w:p>
      <w:pPr>
        <w:pStyle w:val="5"/>
        <w:spacing w:line="240" w:lineRule="auto"/>
        <w:ind w:firstLine="478" w:firstLineChars="228"/>
        <w:rPr>
          <w:rFonts w:hint="eastAsia" w:hAnsi="宋体" w:cs="仿宋_GB2312"/>
          <w:sz w:val="21"/>
          <w:szCs w:val="21"/>
        </w:rPr>
      </w:pPr>
      <w:r>
        <w:rPr>
          <w:rFonts w:hint="eastAsia" w:hAnsi="宋体" w:cs="仿宋_GB2312"/>
          <w:sz w:val="21"/>
          <w:szCs w:val="21"/>
        </w:rPr>
        <w:t>j 在质保期内，供应商有责任解决所提供的投标设备和软件系统的任何问题，在质保期满后，当需要时，供应商仍须对因投标设备本身的固有缺陷和瑕疵承担相应责任。</w:t>
      </w:r>
    </w:p>
    <w:p>
      <w:pPr>
        <w:pStyle w:val="5"/>
        <w:spacing w:line="240" w:lineRule="auto"/>
        <w:rPr>
          <w:rFonts w:hint="eastAsia" w:hAnsi="宋体" w:cs="仿宋_GB2312"/>
          <w:sz w:val="21"/>
          <w:szCs w:val="21"/>
        </w:rPr>
      </w:pPr>
      <w:r>
        <w:rPr>
          <w:rFonts w:hint="eastAsia" w:hAnsi="宋体" w:cs="仿宋_GB2312"/>
          <w:sz w:val="21"/>
          <w:szCs w:val="21"/>
        </w:rPr>
        <w:t>(3)、对设备服务要求的有效响应将被视为投标人对其所投标设备的服务承诺，如果中标，须将服务承诺列入合同的设备服务条款。</w:t>
      </w:r>
    </w:p>
    <w:p>
      <w:pPr>
        <w:ind w:firstLine="482"/>
        <w:rPr>
          <w:rFonts w:hint="eastAsia" w:ascii="宋体" w:hAnsi="宋体" w:cs="仿宋_GB2312"/>
          <w:szCs w:val="21"/>
        </w:rPr>
      </w:pPr>
      <w:r>
        <w:rPr>
          <w:rFonts w:hint="eastAsia" w:ascii="宋体" w:hAnsi="宋体" w:cs="仿宋_GB2312"/>
          <w:szCs w:val="21"/>
        </w:rPr>
        <w:t>(4)、投标人需列出对项目功能测试、试运转及培训方案的详细计划，包括培训内容（包括软硬件的安装、维护、调试及使用技能等）、时间、地点、人次，重点对相应应用的操作、使用投标人须保证所提供产品具有合法的版权或使用权，本项目采购的产品，如在本项目范围内使用过程中出现版权或使用权纠纷，应由中标人负责，采购人不承担责任。</w:t>
      </w:r>
    </w:p>
    <w:bookmarkEnd w:id="56"/>
    <w:p>
      <w:pPr>
        <w:pStyle w:val="2"/>
        <w:spacing w:line="240" w:lineRule="auto"/>
        <w:rPr>
          <w:rFonts w:hint="eastAsia" w:ascii="宋体" w:hAnsi="宋体" w:eastAsia="宋体" w:cs="仿宋_GB2312"/>
          <w:sz w:val="21"/>
          <w:szCs w:val="21"/>
        </w:rPr>
      </w:pPr>
      <w:bookmarkStart w:id="57" w:name="_Toc458373098"/>
      <w:bookmarkStart w:id="58" w:name="_Toc324275915"/>
      <w:bookmarkStart w:id="59" w:name="_Toc335903788"/>
      <w:bookmarkStart w:id="60" w:name="_Toc104743877"/>
      <w:r>
        <w:rPr>
          <w:rFonts w:hint="eastAsia" w:ascii="宋体" w:hAnsi="宋体" w:eastAsia="宋体" w:cs="仿宋_GB2312"/>
          <w:sz w:val="21"/>
          <w:szCs w:val="21"/>
        </w:rPr>
        <w:t>（八）质量保证</w:t>
      </w:r>
      <w:bookmarkEnd w:id="57"/>
      <w:bookmarkEnd w:id="58"/>
      <w:bookmarkEnd w:id="59"/>
      <w:bookmarkEnd w:id="60"/>
    </w:p>
    <w:p>
      <w:pPr>
        <w:rPr>
          <w:rFonts w:hint="eastAsia" w:ascii="宋体" w:hAnsi="宋体" w:cs="仿宋_GB2312"/>
          <w:szCs w:val="21"/>
        </w:rPr>
      </w:pPr>
      <w:r>
        <w:rPr>
          <w:rFonts w:hint="eastAsia" w:ascii="宋体" w:hAnsi="宋体" w:cs="仿宋_GB2312"/>
          <w:szCs w:val="21"/>
        </w:rPr>
        <w:t>1、投标产品必须是符合国家技术规范和质量标准的合格产品，满足采购单位的使用需求，并具有可靠的售后服务体系，质量可靠、使用安全，有要求原厂服务内容的投标时要提供原厂质保服务承诺文件。</w:t>
      </w:r>
    </w:p>
    <w:p>
      <w:pPr>
        <w:rPr>
          <w:rFonts w:hint="eastAsia" w:ascii="宋体" w:hAnsi="宋体" w:cs="仿宋_GB2312"/>
          <w:szCs w:val="21"/>
        </w:rPr>
      </w:pPr>
      <w:r>
        <w:rPr>
          <w:rFonts w:hint="eastAsia" w:ascii="宋体" w:hAnsi="宋体" w:cs="仿宋_GB2312"/>
          <w:szCs w:val="21"/>
        </w:rPr>
        <w:t>2、在质保期内，如遇软件产品升级、改版，应免费提供更新、升级服务。</w:t>
      </w:r>
    </w:p>
    <w:p>
      <w:pPr>
        <w:pStyle w:val="2"/>
        <w:spacing w:line="240" w:lineRule="auto"/>
        <w:rPr>
          <w:rFonts w:hint="eastAsia" w:ascii="宋体" w:hAnsi="宋体" w:eastAsia="宋体" w:cs="仿宋_GB2312"/>
          <w:sz w:val="21"/>
          <w:szCs w:val="21"/>
        </w:rPr>
      </w:pPr>
      <w:bookmarkStart w:id="61" w:name="_Toc104743878"/>
      <w:bookmarkStart w:id="62" w:name="_Toc458373099"/>
      <w:bookmarkStart w:id="63" w:name="_Toc335903789"/>
      <w:bookmarkStart w:id="64" w:name="_Toc324275916"/>
      <w:r>
        <w:rPr>
          <w:rFonts w:hint="eastAsia" w:ascii="宋体" w:hAnsi="宋体" w:eastAsia="宋体" w:cs="仿宋_GB2312"/>
          <w:sz w:val="21"/>
          <w:szCs w:val="21"/>
        </w:rPr>
        <w:t>（九）★</w:t>
      </w:r>
      <w:bookmarkStart w:id="65" w:name="_Hlk109569038"/>
      <w:r>
        <w:rPr>
          <w:rFonts w:hint="eastAsia" w:ascii="宋体" w:hAnsi="宋体" w:eastAsia="宋体" w:cs="仿宋_GB2312"/>
          <w:sz w:val="21"/>
          <w:szCs w:val="21"/>
        </w:rPr>
        <w:t>服务承诺</w:t>
      </w:r>
      <w:bookmarkEnd w:id="61"/>
      <w:bookmarkEnd w:id="62"/>
      <w:bookmarkEnd w:id="63"/>
      <w:bookmarkEnd w:id="64"/>
      <w:bookmarkEnd w:id="65"/>
    </w:p>
    <w:p>
      <w:pPr>
        <w:rPr>
          <w:rFonts w:hint="eastAsia" w:ascii="宋体" w:hAnsi="宋体" w:cs="仿宋_GB2312"/>
          <w:szCs w:val="21"/>
        </w:rPr>
      </w:pPr>
      <w:bookmarkStart w:id="66" w:name="_Hlk109569080"/>
      <w:r>
        <w:rPr>
          <w:rFonts w:hint="eastAsia" w:ascii="宋体" w:hAnsi="宋体" w:cs="仿宋_GB2312"/>
          <w:szCs w:val="21"/>
        </w:rPr>
        <w:t>1、要求投标人提供的服务内容不得低于标准服务，即与投标产品制造厂商通过网站等对外公布的有效服务标准相一致（投标人不得另行制作网页）。在标准服务基础上，投标人还应达到以下标准：</w:t>
      </w:r>
    </w:p>
    <w:p>
      <w:pPr>
        <w:ind w:firstLine="540"/>
        <w:rPr>
          <w:rFonts w:hint="eastAsia" w:ascii="宋体" w:hAnsi="宋体" w:cs="仿宋_GB2312"/>
          <w:szCs w:val="21"/>
        </w:rPr>
      </w:pPr>
      <w:r>
        <w:rPr>
          <w:rFonts w:hint="eastAsia" w:ascii="宋体" w:hAnsi="宋体" w:cs="仿宋_GB2312"/>
          <w:szCs w:val="21"/>
        </w:rPr>
        <w:t>1）如果设备在质保期内发生设备故障，投标人应及时予以响应（免费上门服务），否则采购人将自行采取必要的措施，由此产生风险和费用由投标人承担。</w:t>
      </w:r>
    </w:p>
    <w:p>
      <w:pPr>
        <w:ind w:firstLine="540"/>
        <w:rPr>
          <w:rFonts w:hint="eastAsia" w:ascii="宋体" w:hAnsi="宋体" w:cs="仿宋_GB2312"/>
          <w:szCs w:val="21"/>
        </w:rPr>
      </w:pPr>
      <w:r>
        <w:rPr>
          <w:rFonts w:hint="eastAsia" w:ascii="宋体" w:hAnsi="宋体" w:cs="仿宋_GB2312"/>
          <w:szCs w:val="21"/>
        </w:rPr>
        <w:t>2）投标人所提供产品必须满足原厂质保服务要求，详见“技术参数要求”。投标时必须出示原厂商售后服务说明承诺书原件，保修期从设备上电验收合格之日起开始计算。</w:t>
      </w:r>
    </w:p>
    <w:p>
      <w:pPr>
        <w:ind w:firstLine="540"/>
        <w:rPr>
          <w:rFonts w:hint="eastAsia" w:ascii="宋体" w:hAnsi="宋体" w:cs="仿宋_GB2312"/>
          <w:szCs w:val="21"/>
        </w:rPr>
      </w:pPr>
      <w:r>
        <w:rPr>
          <w:rFonts w:hint="eastAsia" w:ascii="宋体" w:hAnsi="宋体" w:cs="仿宋_GB2312"/>
          <w:szCs w:val="21"/>
        </w:rPr>
        <w:t>3）投标人应明确说明此次投标的服务策略，提供此次投标货物的服务计划（售后服务内容、等级、相关服务指标、售后服务组织机构及人员安排情况）。</w:t>
      </w:r>
    </w:p>
    <w:p>
      <w:pPr>
        <w:ind w:firstLine="540"/>
        <w:rPr>
          <w:rFonts w:hint="eastAsia" w:ascii="宋体" w:hAnsi="宋体" w:cs="仿宋_GB2312"/>
          <w:szCs w:val="21"/>
        </w:rPr>
      </w:pPr>
      <w:r>
        <w:rPr>
          <w:rFonts w:hint="eastAsia" w:ascii="宋体" w:hAnsi="宋体" w:cs="仿宋_GB2312"/>
          <w:szCs w:val="21"/>
        </w:rPr>
        <w:t>4）对投标硬件产品，系统集成供应商应提供不低于原厂三年的现场质保和技术支持服务，必须采取提供备品、备件或备机等措施，以保证采购单位的正常使用。</w:t>
      </w:r>
    </w:p>
    <w:p>
      <w:pPr>
        <w:ind w:firstLine="540"/>
        <w:rPr>
          <w:rFonts w:hint="eastAsia" w:ascii="宋体" w:hAnsi="宋体" w:cs="仿宋_GB2312"/>
          <w:szCs w:val="21"/>
        </w:rPr>
      </w:pPr>
      <w:r>
        <w:rPr>
          <w:rFonts w:hint="eastAsia" w:ascii="宋体" w:hAnsi="宋体" w:cs="仿宋_GB2312"/>
          <w:szCs w:val="21"/>
        </w:rPr>
        <w:t>5）当投标货物发生非人为因素严重故障时，供应商应当免费在十五日内将补充或者更换的货物运抵发生故障的货物所在地，由此产生的一切相关费用由供应商负担。</w:t>
      </w:r>
    </w:p>
    <w:p>
      <w:pPr>
        <w:ind w:firstLine="540"/>
        <w:rPr>
          <w:rFonts w:hint="eastAsia" w:ascii="宋体" w:hAnsi="宋体" w:cs="仿宋_GB2312"/>
          <w:szCs w:val="21"/>
        </w:rPr>
      </w:pPr>
      <w:r>
        <w:rPr>
          <w:rFonts w:hint="eastAsia" w:ascii="宋体" w:hAnsi="宋体" w:cs="仿宋_GB2312"/>
          <w:szCs w:val="21"/>
        </w:rPr>
        <w:t>6）供应商在质保期内安装的任何零配件，必须是新的未使用和未经修复的，必须是其投标设备制造厂商原产或者最终用户许可，否则不可使用此范围外的其他（非新的）配件。</w:t>
      </w:r>
    </w:p>
    <w:p>
      <w:pPr>
        <w:ind w:firstLine="540"/>
        <w:rPr>
          <w:rFonts w:hint="eastAsia" w:ascii="宋体" w:hAnsi="宋体" w:cs="仿宋_GB2312"/>
          <w:szCs w:val="21"/>
        </w:rPr>
      </w:pPr>
      <w:r>
        <w:rPr>
          <w:rFonts w:hint="eastAsia" w:ascii="宋体" w:hAnsi="宋体" w:cs="仿宋_GB2312"/>
          <w:szCs w:val="21"/>
        </w:rPr>
        <w:t>7）供应商必须为维修和技术支持所未能解决的问题和故障提供正式的解决方案。</w:t>
      </w:r>
    </w:p>
    <w:p>
      <w:pPr>
        <w:ind w:firstLine="540"/>
        <w:rPr>
          <w:rFonts w:hint="eastAsia" w:ascii="宋体" w:hAnsi="宋体" w:cs="仿宋_GB2312"/>
          <w:szCs w:val="21"/>
        </w:rPr>
      </w:pPr>
      <w:r>
        <w:rPr>
          <w:rFonts w:hint="eastAsia" w:ascii="宋体" w:hAnsi="宋体" w:cs="仿宋_GB2312"/>
          <w:szCs w:val="21"/>
        </w:rPr>
        <w:t>8）项目实施完成后，供应商需要针对诸暨市中医医院信息技术人员进行安全技能培训，课程内容包括但不限定于，服务器、存储设备、数据库、容灾备份常见问题处理等相关内容。</w:t>
      </w:r>
    </w:p>
    <w:p>
      <w:pPr>
        <w:rPr>
          <w:rFonts w:hint="eastAsia" w:ascii="宋体" w:hAnsi="宋体" w:cs="仿宋_GB2312"/>
          <w:szCs w:val="21"/>
        </w:rPr>
      </w:pPr>
      <w:r>
        <w:rPr>
          <w:rFonts w:hint="eastAsia" w:ascii="宋体" w:hAnsi="宋体" w:cs="仿宋_GB2312"/>
          <w:szCs w:val="21"/>
        </w:rPr>
        <w:t>2、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pPr>
        <w:rPr>
          <w:rFonts w:hint="eastAsia" w:ascii="宋体" w:hAnsi="宋体" w:cs="仿宋_GB2312"/>
          <w:szCs w:val="21"/>
        </w:rPr>
      </w:pPr>
      <w:r>
        <w:rPr>
          <w:rFonts w:hint="eastAsia" w:ascii="宋体" w:hAnsi="宋体" w:cs="仿宋_GB2312"/>
          <w:szCs w:val="21"/>
        </w:rPr>
        <w:t>3、对设备服务要求的有效响应将被视为投标人对其所投标设备的服务承诺，如果中标，须将服务承诺列入合同的设备服务条款。</w:t>
      </w:r>
    </w:p>
    <w:p>
      <w:pPr>
        <w:rPr>
          <w:rFonts w:hint="eastAsia" w:ascii="宋体" w:hAnsi="宋体" w:cs="仿宋_GB2312"/>
          <w:szCs w:val="21"/>
        </w:rPr>
      </w:pPr>
      <w:r>
        <w:rPr>
          <w:rFonts w:hint="eastAsia" w:ascii="宋体" w:hAnsi="宋体" w:cs="仿宋_GB2312"/>
          <w:szCs w:val="21"/>
        </w:rPr>
        <w:t>4、投标人须保证所提供硬件产品包括相关附件为相应硬件厂家原装正品，软件产品为相关厂家正版软件，符合国家有关规定。投标人须保证所提供产品具有合法的版权或使用权，投标时提供承诺书，本项目采购的产品，如在本项目范围内使用过程中出现版权或使用权纠纷，应由中标人负责，采购人不承担责任。</w:t>
      </w:r>
    </w:p>
    <w:p>
      <w:pPr>
        <w:rPr>
          <w:rFonts w:hint="eastAsia" w:ascii="宋体" w:hAnsi="宋体" w:cs="仿宋_GB2312"/>
          <w:szCs w:val="21"/>
        </w:rPr>
      </w:pPr>
      <w:r>
        <w:rPr>
          <w:rFonts w:hint="eastAsia" w:ascii="宋体" w:hAnsi="宋体" w:cs="仿宋_GB2312"/>
          <w:szCs w:val="21"/>
        </w:rPr>
        <w:t>5、项目所涉及的所有设备及软件到货时，须提供原厂商的证明文件或生产厂商服务证明文件，注明供货对象为诸暨市中医医院，诸暨市中医医院是所有设备及软件的最终用户。</w:t>
      </w:r>
    </w:p>
    <w:bookmarkEnd w:id="66"/>
    <w:p>
      <w:pPr>
        <w:pStyle w:val="2"/>
        <w:spacing w:line="240" w:lineRule="auto"/>
        <w:rPr>
          <w:rFonts w:hint="eastAsia" w:ascii="宋体" w:hAnsi="宋体" w:eastAsia="宋体" w:cs="仿宋_GB2312"/>
          <w:sz w:val="21"/>
          <w:szCs w:val="21"/>
        </w:rPr>
      </w:pPr>
      <w:r>
        <w:rPr>
          <w:rFonts w:hint="eastAsia" w:ascii="宋体" w:hAnsi="宋体" w:eastAsia="宋体" w:cs="仿宋_GB2312"/>
          <w:sz w:val="21"/>
          <w:szCs w:val="21"/>
        </w:rPr>
        <w:t>（十）付款方式</w:t>
      </w:r>
    </w:p>
    <w:p>
      <w:pPr>
        <w:rPr>
          <w:rFonts w:hint="eastAsia" w:ascii="宋体" w:hAnsi="宋体" w:cs="仿宋_GB2312"/>
          <w:szCs w:val="21"/>
        </w:rPr>
      </w:pPr>
      <w:r>
        <w:rPr>
          <w:rFonts w:hint="eastAsia" w:ascii="宋体" w:hAnsi="宋体" w:cs="仿宋_GB2312"/>
          <w:szCs w:val="21"/>
        </w:rPr>
        <w:t xml:space="preserve">    合同签订后10个工作日内预付合同建设部分总金额的</w:t>
      </w:r>
      <w:r>
        <w:rPr>
          <w:rFonts w:ascii="宋体" w:hAnsi="宋体" w:cs="仿宋_GB2312"/>
          <w:szCs w:val="21"/>
        </w:rPr>
        <w:t>4</w:t>
      </w:r>
      <w:r>
        <w:rPr>
          <w:rFonts w:hint="eastAsia" w:ascii="宋体" w:hAnsi="宋体" w:cs="仿宋_GB2312"/>
          <w:szCs w:val="21"/>
        </w:rPr>
        <w:t>0%；设备全部到货开箱验收合格支付合同建设部分总金额的</w:t>
      </w:r>
      <w:r>
        <w:rPr>
          <w:rFonts w:ascii="宋体" w:hAnsi="宋体" w:cs="仿宋_GB2312"/>
          <w:szCs w:val="21"/>
        </w:rPr>
        <w:t>2</w:t>
      </w:r>
      <w:r>
        <w:rPr>
          <w:rFonts w:hint="eastAsia" w:ascii="宋体" w:hAnsi="宋体" w:cs="仿宋_GB2312"/>
          <w:szCs w:val="21"/>
        </w:rPr>
        <w:t>0%；项目整体通过验收后支付合同建设部分总金额的</w:t>
      </w:r>
      <w:r>
        <w:rPr>
          <w:rFonts w:ascii="宋体" w:hAnsi="宋体" w:cs="仿宋_GB2312"/>
          <w:szCs w:val="21"/>
        </w:rPr>
        <w:t>3</w:t>
      </w:r>
      <w:r>
        <w:rPr>
          <w:rFonts w:hint="eastAsia" w:ascii="宋体" w:hAnsi="宋体" w:cs="仿宋_GB2312"/>
          <w:szCs w:val="21"/>
        </w:rPr>
        <w:t>5%.；剩余部分总金额5%，在质保期满十五天内付清。</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67" w:name="_Toc184310344"/>
      <w:bookmarkEnd w:id="67"/>
      <w:bookmarkStart w:id="68" w:name="_Toc184310278"/>
      <w:bookmarkEnd w:id="68"/>
      <w:bookmarkStart w:id="69" w:name="_Toc184314448"/>
      <w:bookmarkEnd w:id="69"/>
      <w:bookmarkStart w:id="70" w:name="_Toc184310276"/>
      <w:bookmarkEnd w:id="70"/>
      <w:bookmarkStart w:id="71" w:name="_Toc184313282"/>
      <w:bookmarkEnd w:id="71"/>
      <w:bookmarkStart w:id="72" w:name="_Toc184313245"/>
      <w:bookmarkEnd w:id="72"/>
      <w:bookmarkStart w:id="73" w:name="_Toc184312075"/>
      <w:bookmarkEnd w:id="73"/>
      <w:bookmarkStart w:id="74" w:name="_Toc184312074"/>
      <w:bookmarkEnd w:id="74"/>
      <w:bookmarkStart w:id="75" w:name="_Toc184310318"/>
      <w:bookmarkEnd w:id="75"/>
      <w:bookmarkStart w:id="76" w:name="_Toc184312077"/>
      <w:bookmarkEnd w:id="76"/>
      <w:bookmarkStart w:id="77" w:name="_Toc184314472"/>
      <w:bookmarkEnd w:id="77"/>
      <w:bookmarkStart w:id="78" w:name="_Toc184310280"/>
      <w:bookmarkEnd w:id="78"/>
      <w:bookmarkStart w:id="79" w:name="_Toc184314414"/>
      <w:bookmarkEnd w:id="79"/>
      <w:bookmarkStart w:id="80" w:name="_Toc184312111"/>
      <w:bookmarkEnd w:id="80"/>
      <w:bookmarkStart w:id="81" w:name="_Toc184308041"/>
      <w:bookmarkEnd w:id="81"/>
      <w:bookmarkStart w:id="82" w:name="_Toc184314415"/>
      <w:bookmarkEnd w:id="82"/>
      <w:bookmarkStart w:id="83" w:name="_Toc184310272"/>
      <w:bookmarkEnd w:id="83"/>
      <w:bookmarkStart w:id="84" w:name="_Toc184312076"/>
      <w:bookmarkEnd w:id="84"/>
      <w:bookmarkStart w:id="85" w:name="_Toc184308044"/>
      <w:bookmarkEnd w:id="85"/>
      <w:bookmarkStart w:id="86" w:name="_Toc184310316"/>
      <w:bookmarkEnd w:id="86"/>
      <w:bookmarkStart w:id="87" w:name="_Toc184310312"/>
      <w:bookmarkEnd w:id="87"/>
      <w:bookmarkStart w:id="88" w:name="_Toc184312092"/>
      <w:bookmarkEnd w:id="88"/>
      <w:bookmarkStart w:id="89" w:name="_Toc184314433"/>
      <w:bookmarkEnd w:id="89"/>
      <w:bookmarkStart w:id="90" w:name="_Toc184308075"/>
      <w:bookmarkEnd w:id="90"/>
      <w:bookmarkStart w:id="91" w:name="_Toc184308077"/>
      <w:bookmarkEnd w:id="91"/>
      <w:bookmarkStart w:id="92" w:name="_Toc184312105"/>
      <w:bookmarkEnd w:id="92"/>
      <w:bookmarkStart w:id="93" w:name="_Toc184310327"/>
      <w:bookmarkEnd w:id="93"/>
      <w:bookmarkStart w:id="94" w:name="_Toc184310313"/>
      <w:bookmarkEnd w:id="94"/>
      <w:bookmarkStart w:id="95" w:name="_Toc184314422"/>
      <w:bookmarkEnd w:id="95"/>
      <w:bookmarkStart w:id="96" w:name="_Toc184314464"/>
      <w:bookmarkEnd w:id="96"/>
      <w:bookmarkStart w:id="97" w:name="_Toc184313250"/>
      <w:bookmarkEnd w:id="97"/>
      <w:bookmarkStart w:id="98" w:name="_Toc184308087"/>
      <w:bookmarkEnd w:id="98"/>
      <w:bookmarkStart w:id="99" w:name="_Toc184308093"/>
      <w:bookmarkEnd w:id="99"/>
      <w:bookmarkStart w:id="100" w:name="_Toc184308085"/>
      <w:bookmarkEnd w:id="100"/>
      <w:bookmarkStart w:id="101" w:name="_Toc184313241"/>
      <w:bookmarkEnd w:id="101"/>
      <w:bookmarkStart w:id="102" w:name="_Toc184312137"/>
      <w:bookmarkEnd w:id="102"/>
      <w:bookmarkStart w:id="103" w:name="_Toc184313248"/>
      <w:bookmarkEnd w:id="103"/>
      <w:bookmarkStart w:id="104" w:name="_Toc184312114"/>
      <w:bookmarkEnd w:id="104"/>
      <w:bookmarkStart w:id="105" w:name="_Toc184310325"/>
      <w:bookmarkEnd w:id="105"/>
      <w:bookmarkStart w:id="106" w:name="_Toc184308088"/>
      <w:bookmarkEnd w:id="106"/>
      <w:bookmarkStart w:id="107" w:name="_Toc184313298"/>
      <w:bookmarkEnd w:id="107"/>
      <w:bookmarkStart w:id="108" w:name="_Toc184314476"/>
      <w:bookmarkEnd w:id="108"/>
      <w:bookmarkStart w:id="109" w:name="_Toc184314466"/>
      <w:bookmarkEnd w:id="109"/>
      <w:bookmarkStart w:id="110" w:name="_Toc184312123"/>
      <w:bookmarkEnd w:id="110"/>
      <w:bookmarkStart w:id="111" w:name="_Toc184310286"/>
      <w:bookmarkEnd w:id="111"/>
      <w:bookmarkStart w:id="112" w:name="_Toc184312108"/>
      <w:bookmarkEnd w:id="112"/>
      <w:bookmarkStart w:id="113" w:name="_Toc184312071"/>
      <w:bookmarkEnd w:id="113"/>
      <w:bookmarkStart w:id="114" w:name="_Toc184314441"/>
      <w:bookmarkEnd w:id="114"/>
      <w:bookmarkStart w:id="115" w:name="_Toc184314451"/>
      <w:bookmarkEnd w:id="115"/>
      <w:bookmarkStart w:id="116" w:name="_Toc184312124"/>
      <w:bookmarkEnd w:id="116"/>
      <w:bookmarkStart w:id="117" w:name="_Toc184313302"/>
      <w:bookmarkEnd w:id="117"/>
      <w:bookmarkStart w:id="118" w:name="_Toc184313252"/>
      <w:bookmarkEnd w:id="118"/>
      <w:bookmarkStart w:id="119" w:name="_Toc184312080"/>
      <w:bookmarkEnd w:id="119"/>
      <w:bookmarkStart w:id="120" w:name="_Toc184314465"/>
      <w:bookmarkEnd w:id="120"/>
      <w:bookmarkStart w:id="121" w:name="_Toc184313242"/>
      <w:bookmarkEnd w:id="121"/>
      <w:bookmarkStart w:id="122" w:name="_Toc184310324"/>
      <w:bookmarkEnd w:id="122"/>
      <w:bookmarkStart w:id="123" w:name="_Toc184314436"/>
      <w:bookmarkEnd w:id="123"/>
      <w:bookmarkStart w:id="124" w:name="_Toc184312118"/>
      <w:bookmarkEnd w:id="124"/>
      <w:bookmarkStart w:id="125" w:name="_Toc184312119"/>
      <w:bookmarkEnd w:id="125"/>
      <w:bookmarkStart w:id="126" w:name="_Toc184313289"/>
      <w:bookmarkEnd w:id="126"/>
      <w:bookmarkStart w:id="127" w:name="_Toc184308102"/>
      <w:bookmarkEnd w:id="127"/>
      <w:bookmarkStart w:id="128" w:name="_Toc184312136"/>
      <w:bookmarkEnd w:id="128"/>
      <w:bookmarkStart w:id="129" w:name="_Toc184314456"/>
      <w:bookmarkEnd w:id="129"/>
      <w:bookmarkStart w:id="130" w:name="_Toc184312113"/>
      <w:bookmarkEnd w:id="130"/>
      <w:bookmarkStart w:id="131" w:name="_Toc184314419"/>
      <w:bookmarkEnd w:id="131"/>
      <w:bookmarkStart w:id="132" w:name="_Toc184312126"/>
      <w:bookmarkEnd w:id="132"/>
      <w:bookmarkStart w:id="133" w:name="_Toc184313293"/>
      <w:bookmarkEnd w:id="133"/>
      <w:bookmarkStart w:id="134" w:name="_Toc184310309"/>
      <w:bookmarkEnd w:id="134"/>
      <w:bookmarkStart w:id="135" w:name="_Toc184313310"/>
      <w:bookmarkEnd w:id="135"/>
      <w:bookmarkStart w:id="136" w:name="_Toc184310328"/>
      <w:bookmarkEnd w:id="136"/>
      <w:bookmarkStart w:id="137" w:name="_Toc184314421"/>
      <w:bookmarkEnd w:id="137"/>
      <w:bookmarkStart w:id="138" w:name="_Toc184310307"/>
      <w:bookmarkEnd w:id="138"/>
      <w:bookmarkStart w:id="139" w:name="_Toc184308072"/>
      <w:bookmarkEnd w:id="139"/>
      <w:bookmarkStart w:id="140" w:name="_Toc184308051"/>
      <w:bookmarkEnd w:id="140"/>
      <w:bookmarkStart w:id="141" w:name="_Toc184308107"/>
      <w:bookmarkEnd w:id="141"/>
      <w:bookmarkStart w:id="142" w:name="_Toc184312131"/>
      <w:bookmarkEnd w:id="142"/>
      <w:bookmarkStart w:id="143" w:name="_Toc184312104"/>
      <w:bookmarkEnd w:id="143"/>
      <w:bookmarkStart w:id="144" w:name="_Toc184314482"/>
      <w:bookmarkEnd w:id="144"/>
      <w:bookmarkStart w:id="145" w:name="_Toc184310319"/>
      <w:bookmarkEnd w:id="145"/>
      <w:bookmarkStart w:id="146" w:name="_Toc184314410"/>
      <w:bookmarkEnd w:id="146"/>
      <w:bookmarkStart w:id="147" w:name="_Toc184314460"/>
      <w:bookmarkEnd w:id="147"/>
      <w:bookmarkStart w:id="148" w:name="_Toc184312138"/>
      <w:bookmarkEnd w:id="148"/>
      <w:bookmarkStart w:id="149" w:name="_Toc184313274"/>
      <w:bookmarkEnd w:id="149"/>
      <w:bookmarkStart w:id="150" w:name="_Toc184310285"/>
      <w:bookmarkEnd w:id="150"/>
      <w:bookmarkStart w:id="151" w:name="_Toc184312099"/>
      <w:bookmarkEnd w:id="151"/>
      <w:bookmarkStart w:id="152" w:name="_Toc184313279"/>
      <w:bookmarkEnd w:id="152"/>
      <w:bookmarkStart w:id="153" w:name="_Toc184310323"/>
      <w:bookmarkEnd w:id="153"/>
      <w:bookmarkStart w:id="154" w:name="_Toc184308086"/>
      <w:bookmarkEnd w:id="154"/>
      <w:bookmarkStart w:id="155" w:name="_Toc184314453"/>
      <w:bookmarkEnd w:id="155"/>
      <w:bookmarkStart w:id="156" w:name="_Toc184313295"/>
      <w:bookmarkEnd w:id="156"/>
      <w:bookmarkStart w:id="157" w:name="_Toc184308048"/>
      <w:bookmarkEnd w:id="157"/>
      <w:bookmarkStart w:id="158" w:name="_Toc184312139"/>
      <w:bookmarkEnd w:id="158"/>
      <w:bookmarkStart w:id="159" w:name="_Toc184313272"/>
      <w:bookmarkEnd w:id="159"/>
      <w:bookmarkStart w:id="160" w:name="_Toc184308079"/>
      <w:bookmarkEnd w:id="160"/>
      <w:bookmarkStart w:id="161" w:name="_Toc184310284"/>
      <w:bookmarkEnd w:id="161"/>
      <w:bookmarkStart w:id="162" w:name="_Toc184314440"/>
      <w:bookmarkEnd w:id="162"/>
      <w:bookmarkStart w:id="163" w:name="_Toc184312079"/>
      <w:bookmarkEnd w:id="163"/>
      <w:bookmarkStart w:id="164" w:name="_Toc184312102"/>
      <w:bookmarkEnd w:id="164"/>
      <w:bookmarkStart w:id="165" w:name="_Toc184310343"/>
      <w:bookmarkEnd w:id="165"/>
      <w:bookmarkStart w:id="166" w:name="_Toc184314444"/>
      <w:bookmarkEnd w:id="166"/>
      <w:bookmarkStart w:id="167" w:name="_Toc184312096"/>
      <w:bookmarkEnd w:id="167"/>
      <w:bookmarkStart w:id="168" w:name="_Toc184308071"/>
      <w:bookmarkEnd w:id="168"/>
      <w:bookmarkStart w:id="169" w:name="_Toc184314420"/>
      <w:bookmarkEnd w:id="169"/>
      <w:bookmarkStart w:id="170" w:name="_Toc184310303"/>
      <w:bookmarkEnd w:id="170"/>
      <w:bookmarkStart w:id="171" w:name="_Toc184308108"/>
      <w:bookmarkEnd w:id="171"/>
      <w:bookmarkStart w:id="172" w:name="_Toc184313291"/>
      <w:bookmarkEnd w:id="172"/>
      <w:bookmarkStart w:id="173" w:name="_Toc184308100"/>
      <w:bookmarkEnd w:id="173"/>
      <w:bookmarkStart w:id="174" w:name="_Toc184313264"/>
      <w:bookmarkEnd w:id="174"/>
      <w:bookmarkStart w:id="175" w:name="_Toc184314445"/>
      <w:bookmarkEnd w:id="175"/>
      <w:bookmarkStart w:id="176" w:name="_Toc184313238"/>
      <w:bookmarkEnd w:id="176"/>
      <w:bookmarkStart w:id="177" w:name="_Toc184308070"/>
      <w:bookmarkEnd w:id="177"/>
      <w:bookmarkStart w:id="178" w:name="_Toc184310283"/>
      <w:bookmarkEnd w:id="178"/>
      <w:bookmarkStart w:id="179" w:name="_Toc184313270"/>
      <w:bookmarkEnd w:id="179"/>
      <w:bookmarkStart w:id="180" w:name="_Toc184308084"/>
      <w:bookmarkEnd w:id="180"/>
      <w:bookmarkStart w:id="181" w:name="_Toc184310306"/>
      <w:bookmarkEnd w:id="181"/>
      <w:bookmarkStart w:id="182" w:name="_Toc184310311"/>
      <w:bookmarkEnd w:id="182"/>
      <w:bookmarkStart w:id="183" w:name="_Toc184313308"/>
      <w:bookmarkEnd w:id="183"/>
      <w:bookmarkStart w:id="184" w:name="_Toc184312081"/>
      <w:bookmarkEnd w:id="184"/>
      <w:bookmarkStart w:id="185" w:name="_Toc184314442"/>
      <w:bookmarkEnd w:id="185"/>
      <w:bookmarkStart w:id="186" w:name="_Toc184310337"/>
      <w:bookmarkEnd w:id="186"/>
      <w:bookmarkStart w:id="187" w:name="_Toc184312078"/>
      <w:bookmarkEnd w:id="187"/>
      <w:bookmarkStart w:id="188" w:name="_Toc184313249"/>
      <w:bookmarkEnd w:id="188"/>
      <w:bookmarkStart w:id="189" w:name="_Toc184308083"/>
      <w:bookmarkEnd w:id="189"/>
      <w:bookmarkStart w:id="190" w:name="_Toc184313239"/>
      <w:bookmarkEnd w:id="190"/>
      <w:bookmarkStart w:id="191" w:name="_Toc184313247"/>
      <w:bookmarkEnd w:id="191"/>
      <w:bookmarkStart w:id="192" w:name="_Toc184312083"/>
      <w:bookmarkEnd w:id="192"/>
      <w:bookmarkStart w:id="193" w:name="_Toc184308065"/>
      <w:bookmarkEnd w:id="193"/>
      <w:bookmarkStart w:id="194" w:name="_Toc184314475"/>
      <w:bookmarkEnd w:id="194"/>
      <w:bookmarkStart w:id="195" w:name="_Toc184308040"/>
      <w:bookmarkEnd w:id="195"/>
      <w:bookmarkStart w:id="196" w:name="_Toc184312088"/>
      <w:bookmarkEnd w:id="196"/>
      <w:bookmarkStart w:id="197" w:name="_Toc184314473"/>
      <w:bookmarkEnd w:id="197"/>
      <w:bookmarkStart w:id="198" w:name="_Toc184310291"/>
      <w:bookmarkEnd w:id="198"/>
      <w:bookmarkStart w:id="199" w:name="_Toc184308057"/>
      <w:bookmarkEnd w:id="199"/>
      <w:bookmarkStart w:id="200" w:name="_Toc184310341"/>
      <w:bookmarkEnd w:id="200"/>
      <w:bookmarkStart w:id="201" w:name="_Toc184312095"/>
      <w:bookmarkEnd w:id="201"/>
      <w:bookmarkStart w:id="202" w:name="_Toc184313259"/>
      <w:bookmarkEnd w:id="202"/>
      <w:bookmarkStart w:id="203" w:name="_Toc184310315"/>
      <w:bookmarkEnd w:id="203"/>
      <w:bookmarkStart w:id="204" w:name="_Toc184313254"/>
      <w:bookmarkEnd w:id="204"/>
      <w:bookmarkStart w:id="205" w:name="_Toc184312084"/>
      <w:bookmarkEnd w:id="205"/>
      <w:bookmarkStart w:id="206" w:name="_Toc184312106"/>
      <w:bookmarkEnd w:id="206"/>
      <w:bookmarkStart w:id="207" w:name="_Toc184314447"/>
      <w:bookmarkEnd w:id="207"/>
      <w:bookmarkStart w:id="208" w:name="_Toc184308074"/>
      <w:bookmarkEnd w:id="208"/>
      <w:bookmarkStart w:id="209" w:name="_Toc184312098"/>
      <w:bookmarkEnd w:id="209"/>
      <w:bookmarkStart w:id="210" w:name="_Toc184314432"/>
      <w:bookmarkEnd w:id="210"/>
      <w:bookmarkStart w:id="211" w:name="_Toc184308064"/>
      <w:bookmarkEnd w:id="211"/>
      <w:bookmarkStart w:id="212" w:name="_Toc184312068"/>
      <w:bookmarkEnd w:id="212"/>
      <w:bookmarkStart w:id="213" w:name="_Toc184310273"/>
      <w:bookmarkEnd w:id="213"/>
      <w:bookmarkStart w:id="214" w:name="_Toc184314434"/>
      <w:bookmarkEnd w:id="214"/>
      <w:bookmarkStart w:id="215" w:name="_Toc184308058"/>
      <w:bookmarkEnd w:id="215"/>
      <w:bookmarkStart w:id="216" w:name="_Toc184308055"/>
      <w:bookmarkEnd w:id="216"/>
      <w:bookmarkStart w:id="217" w:name="_Toc184312097"/>
      <w:bookmarkEnd w:id="217"/>
      <w:bookmarkStart w:id="218" w:name="_Toc184313266"/>
      <w:bookmarkEnd w:id="218"/>
      <w:bookmarkStart w:id="219" w:name="_Toc184312087"/>
      <w:bookmarkEnd w:id="219"/>
      <w:bookmarkStart w:id="220" w:name="_Toc184308066"/>
      <w:bookmarkEnd w:id="220"/>
      <w:bookmarkStart w:id="221" w:name="_Toc184313256"/>
      <w:bookmarkEnd w:id="221"/>
      <w:bookmarkStart w:id="222" w:name="_Toc184310314"/>
      <w:bookmarkEnd w:id="222"/>
      <w:bookmarkStart w:id="223" w:name="_Toc184314438"/>
      <w:bookmarkEnd w:id="223"/>
      <w:bookmarkStart w:id="224" w:name="_Toc184314431"/>
      <w:bookmarkEnd w:id="224"/>
      <w:bookmarkStart w:id="225" w:name="_Toc184308067"/>
      <w:bookmarkEnd w:id="225"/>
      <w:bookmarkStart w:id="226" w:name="_Toc184308061"/>
      <w:bookmarkEnd w:id="226"/>
      <w:bookmarkStart w:id="227" w:name="_Toc184312070"/>
      <w:bookmarkEnd w:id="227"/>
      <w:bookmarkStart w:id="228" w:name="_Toc184312135"/>
      <w:bookmarkEnd w:id="228"/>
      <w:bookmarkStart w:id="229" w:name="_Toc184314455"/>
      <w:bookmarkEnd w:id="229"/>
      <w:bookmarkStart w:id="230" w:name="_Toc184312117"/>
      <w:bookmarkEnd w:id="230"/>
      <w:bookmarkStart w:id="231" w:name="_Toc184312094"/>
      <w:bookmarkEnd w:id="231"/>
      <w:bookmarkStart w:id="232" w:name="_Toc184313303"/>
      <w:bookmarkEnd w:id="232"/>
      <w:bookmarkStart w:id="233" w:name="_Toc184312115"/>
      <w:bookmarkEnd w:id="233"/>
      <w:bookmarkStart w:id="234" w:name="_Toc184310317"/>
      <w:bookmarkEnd w:id="234"/>
      <w:bookmarkStart w:id="235" w:name="_Toc184310336"/>
      <w:bookmarkEnd w:id="235"/>
      <w:bookmarkStart w:id="236" w:name="_Toc184310281"/>
      <w:bookmarkEnd w:id="236"/>
      <w:bookmarkStart w:id="237" w:name="_Toc184308053"/>
      <w:bookmarkEnd w:id="237"/>
      <w:bookmarkStart w:id="238" w:name="_Toc184314430"/>
      <w:bookmarkEnd w:id="238"/>
      <w:bookmarkStart w:id="239" w:name="_Toc184310322"/>
      <w:bookmarkEnd w:id="239"/>
      <w:bookmarkStart w:id="240" w:name="_Toc184313251"/>
      <w:bookmarkEnd w:id="240"/>
      <w:bookmarkStart w:id="241" w:name="_Toc184310292"/>
      <w:bookmarkEnd w:id="241"/>
      <w:bookmarkStart w:id="242" w:name="_Toc184314454"/>
      <w:bookmarkEnd w:id="242"/>
      <w:bookmarkStart w:id="243" w:name="_Toc184313307"/>
      <w:bookmarkEnd w:id="243"/>
      <w:bookmarkStart w:id="244" w:name="_Toc184314458"/>
      <w:bookmarkEnd w:id="244"/>
      <w:bookmarkStart w:id="245" w:name="_Toc184308101"/>
      <w:bookmarkEnd w:id="245"/>
      <w:bookmarkStart w:id="246" w:name="_Toc184310298"/>
      <w:bookmarkEnd w:id="246"/>
      <w:bookmarkStart w:id="247" w:name="_Toc184308081"/>
      <w:bookmarkEnd w:id="247"/>
      <w:bookmarkStart w:id="248" w:name="_Toc184310288"/>
      <w:bookmarkEnd w:id="248"/>
      <w:bookmarkStart w:id="249" w:name="_Toc184313292"/>
      <w:bookmarkEnd w:id="249"/>
      <w:bookmarkStart w:id="250" w:name="_Toc184308056"/>
      <w:bookmarkEnd w:id="250"/>
      <w:bookmarkStart w:id="251" w:name="_Toc184312086"/>
      <w:bookmarkEnd w:id="251"/>
      <w:bookmarkStart w:id="252" w:name="_Toc184313287"/>
      <w:bookmarkEnd w:id="252"/>
      <w:bookmarkStart w:id="253" w:name="_Toc184313275"/>
      <w:bookmarkEnd w:id="253"/>
      <w:bookmarkStart w:id="254" w:name="_Toc184310275"/>
      <w:bookmarkEnd w:id="254"/>
      <w:bookmarkStart w:id="255" w:name="_Toc184308054"/>
      <w:bookmarkEnd w:id="255"/>
      <w:bookmarkStart w:id="256" w:name="_Toc184314459"/>
      <w:bookmarkEnd w:id="256"/>
      <w:bookmarkStart w:id="257" w:name="_Toc184313263"/>
      <w:bookmarkEnd w:id="257"/>
      <w:bookmarkStart w:id="258" w:name="_Toc184312112"/>
      <w:bookmarkEnd w:id="258"/>
      <w:bookmarkStart w:id="259" w:name="_Toc184312116"/>
      <w:bookmarkEnd w:id="259"/>
      <w:bookmarkStart w:id="260" w:name="_Toc184308049"/>
      <w:bookmarkEnd w:id="260"/>
      <w:bookmarkStart w:id="261" w:name="_Toc184314413"/>
      <w:bookmarkEnd w:id="261"/>
      <w:bookmarkStart w:id="262" w:name="_Toc184313253"/>
      <w:bookmarkEnd w:id="262"/>
      <w:bookmarkStart w:id="263" w:name="_Toc184312069"/>
      <w:bookmarkEnd w:id="263"/>
      <w:bookmarkStart w:id="264" w:name="_Toc184314429"/>
      <w:bookmarkEnd w:id="264"/>
      <w:bookmarkStart w:id="265" w:name="_Toc184313280"/>
      <w:bookmarkEnd w:id="265"/>
      <w:bookmarkStart w:id="266" w:name="_Toc184310296"/>
      <w:bookmarkEnd w:id="266"/>
      <w:bookmarkStart w:id="267" w:name="_Toc184313306"/>
      <w:bookmarkEnd w:id="267"/>
      <w:bookmarkStart w:id="268" w:name="_Toc184308039"/>
      <w:bookmarkEnd w:id="268"/>
      <w:bookmarkStart w:id="269" w:name="_Toc184310299"/>
      <w:bookmarkEnd w:id="269"/>
      <w:bookmarkStart w:id="270" w:name="_Toc184314450"/>
      <w:bookmarkEnd w:id="270"/>
      <w:bookmarkStart w:id="271" w:name="_Toc184314449"/>
      <w:bookmarkEnd w:id="271"/>
      <w:bookmarkStart w:id="272" w:name="_Toc184313262"/>
      <w:bookmarkEnd w:id="272"/>
      <w:bookmarkStart w:id="273" w:name="_Toc184312067"/>
      <w:bookmarkEnd w:id="273"/>
      <w:bookmarkStart w:id="274" w:name="_Toc184312085"/>
      <w:bookmarkEnd w:id="274"/>
      <w:bookmarkStart w:id="275" w:name="_Toc184314428"/>
      <w:bookmarkEnd w:id="275"/>
      <w:bookmarkStart w:id="276" w:name="_Toc184310289"/>
      <w:bookmarkEnd w:id="276"/>
      <w:bookmarkStart w:id="277" w:name="_Toc184310297"/>
      <w:bookmarkEnd w:id="277"/>
      <w:bookmarkStart w:id="278" w:name="_Toc184313277"/>
      <w:bookmarkEnd w:id="278"/>
      <w:bookmarkStart w:id="279" w:name="_Toc184314478"/>
      <w:bookmarkEnd w:id="279"/>
      <w:bookmarkStart w:id="280" w:name="_Toc184312072"/>
      <w:bookmarkEnd w:id="280"/>
      <w:bookmarkStart w:id="281" w:name="_Toc184310339"/>
      <w:bookmarkEnd w:id="281"/>
      <w:bookmarkStart w:id="282" w:name="_Toc184314411"/>
      <w:bookmarkEnd w:id="282"/>
      <w:bookmarkStart w:id="283" w:name="_Toc184312073"/>
      <w:bookmarkEnd w:id="283"/>
      <w:bookmarkStart w:id="284" w:name="_Toc184313246"/>
      <w:bookmarkEnd w:id="284"/>
      <w:bookmarkStart w:id="285" w:name="_Toc184314418"/>
      <w:bookmarkEnd w:id="285"/>
      <w:bookmarkStart w:id="286" w:name="_Toc184310290"/>
      <w:bookmarkEnd w:id="286"/>
      <w:bookmarkStart w:id="287" w:name="_Toc184314474"/>
      <w:bookmarkEnd w:id="287"/>
      <w:bookmarkStart w:id="288" w:name="_Toc184308038"/>
      <w:bookmarkEnd w:id="288"/>
      <w:bookmarkStart w:id="289" w:name="_Toc184313260"/>
      <w:bookmarkEnd w:id="289"/>
      <w:bookmarkStart w:id="290" w:name="_Toc184308105"/>
      <w:bookmarkEnd w:id="290"/>
      <w:bookmarkStart w:id="291" w:name="_Toc184308043"/>
      <w:bookmarkEnd w:id="291"/>
      <w:bookmarkStart w:id="292" w:name="_Toc184308104"/>
      <w:bookmarkEnd w:id="292"/>
      <w:bookmarkStart w:id="293" w:name="_Toc184310274"/>
      <w:bookmarkEnd w:id="293"/>
      <w:bookmarkStart w:id="294" w:name="_Toc184310335"/>
      <w:bookmarkEnd w:id="294"/>
      <w:bookmarkStart w:id="295" w:name="_Toc184314417"/>
      <w:bookmarkEnd w:id="295"/>
      <w:bookmarkStart w:id="296" w:name="_Toc184310342"/>
      <w:bookmarkEnd w:id="296"/>
      <w:bookmarkStart w:id="297" w:name="_Toc184310279"/>
      <w:bookmarkEnd w:id="297"/>
      <w:bookmarkStart w:id="298" w:name="_Toc184313244"/>
      <w:bookmarkEnd w:id="298"/>
      <w:bookmarkStart w:id="299" w:name="_Toc184314416"/>
      <w:bookmarkEnd w:id="299"/>
      <w:bookmarkStart w:id="300" w:name="_Toc184312082"/>
      <w:bookmarkEnd w:id="300"/>
      <w:bookmarkStart w:id="301" w:name="_Toc184308042"/>
      <w:bookmarkEnd w:id="301"/>
      <w:bookmarkStart w:id="302" w:name="_Toc184308059"/>
      <w:bookmarkEnd w:id="302"/>
      <w:bookmarkStart w:id="303" w:name="_Toc184314425"/>
      <w:bookmarkEnd w:id="303"/>
      <w:bookmarkStart w:id="304" w:name="_Toc184313261"/>
      <w:bookmarkEnd w:id="304"/>
      <w:bookmarkStart w:id="305" w:name="_Toc184308106"/>
      <w:bookmarkEnd w:id="305"/>
      <w:bookmarkStart w:id="306" w:name="_Toc184310277"/>
      <w:bookmarkEnd w:id="306"/>
      <w:bookmarkStart w:id="307" w:name="_Toc184308060"/>
      <w:bookmarkEnd w:id="307"/>
      <w:bookmarkStart w:id="308" w:name="_Toc184308062"/>
      <w:bookmarkEnd w:id="308"/>
      <w:bookmarkStart w:id="309" w:name="_Toc184313276"/>
      <w:bookmarkEnd w:id="309"/>
      <w:bookmarkStart w:id="310" w:name="_Toc184314477"/>
      <w:bookmarkEnd w:id="310"/>
      <w:bookmarkStart w:id="311" w:name="_Toc184310332"/>
      <w:bookmarkEnd w:id="311"/>
      <w:bookmarkStart w:id="312" w:name="_Toc184310287"/>
      <w:bookmarkEnd w:id="312"/>
      <w:bookmarkStart w:id="313" w:name="_Toc184310295"/>
      <w:bookmarkEnd w:id="313"/>
      <w:bookmarkStart w:id="314" w:name="_Toc184314471"/>
      <w:bookmarkEnd w:id="314"/>
      <w:bookmarkStart w:id="315" w:name="_Toc184308080"/>
      <w:bookmarkEnd w:id="315"/>
      <w:bookmarkStart w:id="316" w:name="_Toc184308096"/>
      <w:bookmarkEnd w:id="316"/>
      <w:bookmarkStart w:id="317" w:name="_Toc184308050"/>
      <w:bookmarkEnd w:id="317"/>
      <w:bookmarkStart w:id="318" w:name="_Toc184313309"/>
      <w:bookmarkEnd w:id="318"/>
      <w:bookmarkStart w:id="319" w:name="_Toc184308045"/>
      <w:bookmarkEnd w:id="319"/>
      <w:bookmarkStart w:id="320" w:name="_Toc184313284"/>
      <w:bookmarkEnd w:id="320"/>
      <w:bookmarkStart w:id="321" w:name="_Toc184312110"/>
      <w:bookmarkEnd w:id="321"/>
      <w:bookmarkStart w:id="322" w:name="_Toc184312089"/>
      <w:bookmarkEnd w:id="322"/>
      <w:bookmarkStart w:id="323" w:name="_Toc184313265"/>
      <w:bookmarkEnd w:id="323"/>
      <w:bookmarkStart w:id="324" w:name="_Toc184312125"/>
      <w:bookmarkEnd w:id="324"/>
      <w:bookmarkStart w:id="325" w:name="_Toc184310320"/>
      <w:bookmarkEnd w:id="325"/>
      <w:bookmarkStart w:id="326" w:name="_Toc184313243"/>
      <w:bookmarkEnd w:id="326"/>
      <w:bookmarkStart w:id="327" w:name="_Toc184313278"/>
      <w:bookmarkEnd w:id="327"/>
      <w:bookmarkStart w:id="328" w:name="_Toc184314435"/>
      <w:bookmarkEnd w:id="328"/>
      <w:bookmarkStart w:id="329" w:name="_Toc184310294"/>
      <w:bookmarkEnd w:id="329"/>
      <w:bookmarkStart w:id="330" w:name="_Toc184314437"/>
      <w:bookmarkEnd w:id="330"/>
      <w:bookmarkStart w:id="331" w:name="_Toc184308073"/>
      <w:bookmarkEnd w:id="331"/>
      <w:bookmarkStart w:id="332" w:name="_Toc184314424"/>
      <w:bookmarkEnd w:id="332"/>
      <w:bookmarkStart w:id="333" w:name="_Toc184310304"/>
      <w:bookmarkEnd w:id="333"/>
      <w:bookmarkStart w:id="334" w:name="_Toc184310321"/>
      <w:bookmarkEnd w:id="334"/>
      <w:bookmarkStart w:id="335" w:name="_Toc184314427"/>
      <w:bookmarkEnd w:id="335"/>
      <w:bookmarkStart w:id="336" w:name="_Toc184313290"/>
      <w:bookmarkEnd w:id="336"/>
      <w:bookmarkStart w:id="337" w:name="_Toc184312090"/>
      <w:bookmarkEnd w:id="337"/>
      <w:bookmarkStart w:id="338" w:name="_Toc184313296"/>
      <w:bookmarkEnd w:id="338"/>
      <w:bookmarkStart w:id="339" w:name="_Toc184313300"/>
      <w:bookmarkEnd w:id="339"/>
      <w:bookmarkStart w:id="340" w:name="_Toc184308036"/>
      <w:bookmarkEnd w:id="340"/>
      <w:bookmarkStart w:id="341" w:name="_Toc184314412"/>
      <w:bookmarkEnd w:id="341"/>
      <w:bookmarkStart w:id="342" w:name="_Toc184308098"/>
      <w:bookmarkEnd w:id="342"/>
      <w:bookmarkStart w:id="343" w:name="_Toc184313305"/>
      <w:bookmarkEnd w:id="343"/>
      <w:bookmarkStart w:id="344" w:name="_Toc184312129"/>
      <w:bookmarkEnd w:id="344"/>
      <w:bookmarkStart w:id="345" w:name="_Toc184308097"/>
      <w:bookmarkEnd w:id="345"/>
      <w:bookmarkStart w:id="346" w:name="_Toc184312134"/>
      <w:bookmarkEnd w:id="346"/>
      <w:bookmarkStart w:id="347" w:name="_Toc184308103"/>
      <w:bookmarkEnd w:id="347"/>
      <w:bookmarkStart w:id="348" w:name="_Toc184313304"/>
      <w:bookmarkEnd w:id="348"/>
      <w:bookmarkStart w:id="349" w:name="_Toc184314468"/>
      <w:bookmarkEnd w:id="349"/>
      <w:bookmarkStart w:id="350" w:name="_Toc184314469"/>
      <w:bookmarkEnd w:id="350"/>
      <w:bookmarkStart w:id="351" w:name="_Toc184308068"/>
      <w:bookmarkEnd w:id="351"/>
      <w:bookmarkStart w:id="352" w:name="_Toc184312091"/>
      <w:bookmarkEnd w:id="352"/>
      <w:bookmarkStart w:id="353" w:name="_Toc184308046"/>
      <w:bookmarkEnd w:id="353"/>
      <w:bookmarkStart w:id="354" w:name="_Toc184312130"/>
      <w:bookmarkEnd w:id="354"/>
      <w:bookmarkStart w:id="355" w:name="_Toc184312132"/>
      <w:bookmarkEnd w:id="355"/>
      <w:bookmarkStart w:id="356" w:name="_Toc184313299"/>
      <w:bookmarkEnd w:id="356"/>
      <w:bookmarkStart w:id="357" w:name="_Toc184314470"/>
      <w:bookmarkEnd w:id="357"/>
      <w:bookmarkStart w:id="358" w:name="_Toc184313285"/>
      <w:bookmarkEnd w:id="358"/>
      <w:bookmarkStart w:id="359" w:name="_Toc184310340"/>
      <w:bookmarkEnd w:id="359"/>
      <w:bookmarkStart w:id="360" w:name="_Toc184308076"/>
      <w:bookmarkEnd w:id="360"/>
      <w:bookmarkStart w:id="361" w:name="_Toc184312109"/>
      <w:bookmarkEnd w:id="361"/>
      <w:bookmarkStart w:id="362" w:name="_Toc184310330"/>
      <w:bookmarkEnd w:id="362"/>
      <w:bookmarkStart w:id="363" w:name="_Toc184314481"/>
      <w:bookmarkEnd w:id="363"/>
      <w:bookmarkStart w:id="364" w:name="_Toc184312128"/>
      <w:bookmarkEnd w:id="364"/>
      <w:bookmarkStart w:id="365" w:name="_Toc184312122"/>
      <w:bookmarkEnd w:id="365"/>
      <w:bookmarkStart w:id="366" w:name="_Toc184310329"/>
      <w:bookmarkEnd w:id="366"/>
      <w:bookmarkStart w:id="367" w:name="_Toc184308037"/>
      <w:bookmarkEnd w:id="367"/>
      <w:bookmarkStart w:id="368" w:name="_Toc184310334"/>
      <w:bookmarkEnd w:id="368"/>
      <w:bookmarkStart w:id="369" w:name="_Toc184314452"/>
      <w:bookmarkEnd w:id="369"/>
      <w:bookmarkStart w:id="370" w:name="_Toc184308092"/>
      <w:bookmarkEnd w:id="370"/>
      <w:bookmarkStart w:id="371" w:name="_Toc184308099"/>
      <w:bookmarkEnd w:id="371"/>
      <w:bookmarkStart w:id="372" w:name="_Toc184313297"/>
      <w:bookmarkEnd w:id="372"/>
      <w:bookmarkStart w:id="373" w:name="_Toc184313286"/>
      <w:bookmarkEnd w:id="373"/>
      <w:bookmarkStart w:id="374" w:name="_Toc184310338"/>
      <w:bookmarkEnd w:id="374"/>
      <w:bookmarkStart w:id="375" w:name="_Toc184312133"/>
      <w:bookmarkEnd w:id="375"/>
      <w:bookmarkStart w:id="376" w:name="_Toc184308095"/>
      <w:bookmarkEnd w:id="376"/>
      <w:bookmarkStart w:id="377" w:name="_Toc184308089"/>
      <w:bookmarkEnd w:id="377"/>
      <w:bookmarkStart w:id="378" w:name="_Toc184313288"/>
      <w:bookmarkEnd w:id="378"/>
      <w:bookmarkStart w:id="379" w:name="_Toc184308090"/>
      <w:bookmarkEnd w:id="379"/>
      <w:bookmarkStart w:id="380" w:name="_Toc184312120"/>
      <w:bookmarkEnd w:id="380"/>
      <w:bookmarkStart w:id="381" w:name="_Toc184310326"/>
      <w:bookmarkEnd w:id="381"/>
      <w:bookmarkStart w:id="382" w:name="_Toc184313294"/>
      <w:bookmarkEnd w:id="382"/>
      <w:bookmarkStart w:id="383" w:name="_Toc184314457"/>
      <w:bookmarkEnd w:id="383"/>
      <w:bookmarkStart w:id="384" w:name="_Toc184310331"/>
      <w:bookmarkEnd w:id="384"/>
      <w:bookmarkStart w:id="385" w:name="_Toc184308091"/>
      <w:bookmarkEnd w:id="385"/>
      <w:bookmarkStart w:id="386" w:name="_Toc184314463"/>
      <w:bookmarkEnd w:id="386"/>
      <w:bookmarkStart w:id="387" w:name="_Toc184308094"/>
      <w:bookmarkEnd w:id="387"/>
      <w:bookmarkStart w:id="388" w:name="_Toc184312127"/>
      <w:bookmarkEnd w:id="388"/>
      <w:bookmarkStart w:id="389" w:name="_Toc184310333"/>
      <w:bookmarkEnd w:id="389"/>
      <w:bookmarkStart w:id="390" w:name="_Toc184314467"/>
      <w:bookmarkEnd w:id="390"/>
      <w:bookmarkStart w:id="391" w:name="_Toc184312121"/>
      <w:bookmarkEnd w:id="391"/>
      <w:bookmarkStart w:id="392" w:name="_Toc184312107"/>
      <w:bookmarkEnd w:id="392"/>
      <w:bookmarkStart w:id="393" w:name="_Toc184314423"/>
      <w:bookmarkEnd w:id="393"/>
      <w:bookmarkStart w:id="394" w:name="_Toc184314480"/>
      <w:bookmarkEnd w:id="394"/>
      <w:bookmarkStart w:id="395" w:name="_Toc184314461"/>
      <w:bookmarkEnd w:id="395"/>
      <w:bookmarkStart w:id="396" w:name="_Toc184314479"/>
      <w:bookmarkEnd w:id="396"/>
      <w:bookmarkStart w:id="397" w:name="_Toc184313301"/>
      <w:bookmarkEnd w:id="397"/>
      <w:bookmarkStart w:id="398" w:name="_Toc184312093"/>
      <w:bookmarkEnd w:id="398"/>
      <w:bookmarkStart w:id="399" w:name="_Toc184314462"/>
      <w:bookmarkEnd w:id="399"/>
      <w:bookmarkStart w:id="400" w:name="_Toc184308063"/>
      <w:bookmarkEnd w:id="400"/>
      <w:bookmarkStart w:id="401" w:name="_Toc184312101"/>
      <w:bookmarkEnd w:id="401"/>
      <w:bookmarkStart w:id="402" w:name="_Toc184313258"/>
      <w:bookmarkEnd w:id="402"/>
      <w:bookmarkStart w:id="403" w:name="_Toc184313255"/>
      <w:bookmarkEnd w:id="403"/>
      <w:bookmarkStart w:id="404" w:name="_Toc184313240"/>
      <w:bookmarkEnd w:id="404"/>
      <w:bookmarkStart w:id="405" w:name="_Toc184314439"/>
      <w:bookmarkEnd w:id="405"/>
      <w:bookmarkStart w:id="406" w:name="_Toc184313268"/>
      <w:bookmarkEnd w:id="406"/>
      <w:bookmarkStart w:id="407" w:name="_Toc184310305"/>
      <w:bookmarkEnd w:id="407"/>
      <w:bookmarkStart w:id="408" w:name="_Toc184313283"/>
      <w:bookmarkEnd w:id="408"/>
      <w:bookmarkStart w:id="409" w:name="_Toc184308069"/>
      <w:bookmarkEnd w:id="409"/>
      <w:bookmarkStart w:id="410" w:name="_Toc184310300"/>
      <w:bookmarkEnd w:id="410"/>
      <w:bookmarkStart w:id="411" w:name="_Toc184308082"/>
      <w:bookmarkEnd w:id="411"/>
      <w:bookmarkStart w:id="412" w:name="_Toc184308078"/>
      <w:bookmarkEnd w:id="412"/>
      <w:bookmarkStart w:id="413" w:name="_Toc184313281"/>
      <w:bookmarkEnd w:id="413"/>
      <w:bookmarkStart w:id="414" w:name="_Toc184310308"/>
      <w:bookmarkEnd w:id="414"/>
      <w:bookmarkStart w:id="415" w:name="_Toc184313269"/>
      <w:bookmarkEnd w:id="415"/>
      <w:bookmarkStart w:id="416" w:name="_Toc184313271"/>
      <w:bookmarkEnd w:id="416"/>
      <w:bookmarkStart w:id="417" w:name="_Toc184310310"/>
      <w:bookmarkEnd w:id="417"/>
      <w:bookmarkStart w:id="418" w:name="_Toc184310293"/>
      <w:bookmarkEnd w:id="418"/>
      <w:bookmarkStart w:id="419" w:name="_Toc184314426"/>
      <w:bookmarkEnd w:id="419"/>
      <w:bookmarkStart w:id="420" w:name="_Toc184313257"/>
      <w:bookmarkEnd w:id="420"/>
      <w:bookmarkStart w:id="421" w:name="_Toc184313267"/>
      <w:bookmarkEnd w:id="421"/>
      <w:bookmarkStart w:id="422" w:name="_Toc184308047"/>
      <w:bookmarkEnd w:id="422"/>
      <w:bookmarkStart w:id="423" w:name="_Toc184310302"/>
      <w:bookmarkEnd w:id="423"/>
      <w:bookmarkStart w:id="424" w:name="_Toc184312100"/>
      <w:bookmarkEnd w:id="424"/>
      <w:bookmarkStart w:id="425" w:name="_Toc184308052"/>
      <w:bookmarkEnd w:id="425"/>
      <w:bookmarkStart w:id="426" w:name="_Toc184312103"/>
      <w:bookmarkEnd w:id="426"/>
      <w:bookmarkStart w:id="427" w:name="_Toc184310282"/>
      <w:bookmarkEnd w:id="427"/>
      <w:bookmarkStart w:id="428" w:name="_Toc184310301"/>
      <w:bookmarkEnd w:id="428"/>
      <w:bookmarkStart w:id="429" w:name="_Toc184314443"/>
      <w:bookmarkEnd w:id="429"/>
      <w:bookmarkStart w:id="430" w:name="_Toc184313273"/>
      <w:bookmarkEnd w:id="430"/>
      <w:bookmarkStart w:id="431" w:name="_Toc184314446"/>
      <w:bookmarkEnd w:id="431"/>
      <w:r>
        <w:rPr>
          <w:rFonts w:hint="eastAsia" w:ascii="仿宋" w:hAnsi="仿宋" w:eastAsia="仿宋" w:cs="仿宋_GB2312"/>
          <w:b/>
          <w:sz w:val="36"/>
          <w:szCs w:val="36"/>
        </w:rPr>
        <w:t>评标办法</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1.</w:t>
      </w:r>
      <w:r>
        <w:rPr>
          <w:rFonts w:hint="eastAsia" w:ascii="仿宋_GB2312" w:hAnsi="仿宋" w:eastAsia="仿宋_GB2312" w:cs="Arial"/>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的投标人为中标候选人。评分过程中采用四舍五入法，并保留小数2位。</w:t>
      </w:r>
    </w:p>
    <w:p>
      <w:pPr>
        <w:spacing w:line="500" w:lineRule="exact"/>
        <w:ind w:firstLine="482" w:firstLineChars="200"/>
        <w:rPr>
          <w:rFonts w:ascii="仿宋_GB2312" w:hAnsi="仿宋" w:eastAsia="仿宋_GB2312" w:cs="Arial"/>
          <w:kern w:val="0"/>
          <w:sz w:val="24"/>
        </w:rPr>
      </w:pPr>
      <w:r>
        <w:rPr>
          <w:rFonts w:hint="eastAsia" w:ascii="仿宋_GB2312" w:hAnsi="仿宋" w:eastAsia="仿宋_GB2312" w:cs="Arial"/>
          <w:b/>
          <w:kern w:val="0"/>
          <w:sz w:val="24"/>
        </w:rPr>
        <w:t>2.</w:t>
      </w:r>
      <w:r>
        <w:rPr>
          <w:rFonts w:hint="eastAsia" w:ascii="仿宋_GB2312" w:hAnsi="仿宋" w:eastAsia="仿宋_GB2312" w:cs="Arial"/>
          <w:kern w:val="0"/>
          <w:sz w:val="24"/>
        </w:rPr>
        <w:t>评分办法</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（1）满分为100分。总得分=技术、商务得分+报价得分；</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（2）技术、商务得分=技术、商务评分，技术、商务评分=各评委的有效评分的算术平均数；</w:t>
      </w:r>
    </w:p>
    <w:p>
      <w:pPr>
        <w:spacing w:line="500" w:lineRule="exact"/>
        <w:ind w:firstLine="480" w:firstLineChars="200"/>
        <w:rPr>
          <w:rFonts w:ascii="仿宋_GB2312" w:hAnsi="仿宋" w:eastAsia="仿宋_GB2312" w:cs="Arial"/>
          <w:kern w:val="0"/>
          <w:sz w:val="24"/>
        </w:rPr>
      </w:pPr>
      <w:r>
        <w:rPr>
          <w:rFonts w:hint="eastAsia" w:ascii="仿宋_GB2312" w:hAnsi="仿宋" w:eastAsia="仿宋_GB2312" w:cs="Arial"/>
          <w:kern w:val="0"/>
          <w:sz w:val="24"/>
        </w:rPr>
        <w:t>（3）报价得分=（评标基准价/投标报价）*价格权值*100，评标基准价=有效投标人的最低投标报价，价格权值=</w:t>
      </w:r>
      <w:r>
        <w:rPr>
          <w:rFonts w:ascii="仿宋_GB2312" w:hAnsi="仿宋" w:eastAsia="仿宋_GB2312" w:cs="Arial"/>
          <w:kern w:val="0"/>
          <w:sz w:val="24"/>
        </w:rPr>
        <w:t>3</w:t>
      </w:r>
      <w:r>
        <w:rPr>
          <w:rFonts w:hint="eastAsia" w:ascii="仿宋_GB2312" w:hAnsi="仿宋" w:eastAsia="仿宋_GB2312" w:cs="Arial"/>
          <w:kern w:val="0"/>
          <w:sz w:val="24"/>
        </w:rPr>
        <w:t>0%；</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 xml:space="preserve">    （4）技术、商务分评分细则（</w:t>
      </w:r>
      <w:r>
        <w:rPr>
          <w:rFonts w:ascii="仿宋_GB2312" w:hAnsi="仿宋" w:eastAsia="仿宋_GB2312" w:cs="Arial"/>
          <w:kern w:val="0"/>
          <w:sz w:val="24"/>
        </w:rPr>
        <w:t>7</w:t>
      </w:r>
      <w:r>
        <w:rPr>
          <w:rFonts w:hint="eastAsia" w:ascii="仿宋_GB2312" w:hAnsi="仿宋" w:eastAsia="仿宋_GB2312" w:cs="Arial"/>
          <w:kern w:val="0"/>
          <w:sz w:val="24"/>
        </w:rPr>
        <w:t>0分）：</w:t>
      </w:r>
    </w:p>
    <w:tbl>
      <w:tblPr>
        <w:tblStyle w:val="64"/>
        <w:tblW w:w="9010" w:type="dxa"/>
        <w:tblInd w:w="93" w:type="dxa"/>
        <w:tblLayout w:type="fixed"/>
        <w:tblCellMar>
          <w:top w:w="0" w:type="dxa"/>
          <w:left w:w="108" w:type="dxa"/>
          <w:bottom w:w="0" w:type="dxa"/>
          <w:right w:w="108" w:type="dxa"/>
        </w:tblCellMar>
      </w:tblPr>
      <w:tblGrid>
        <w:gridCol w:w="1083"/>
        <w:gridCol w:w="7016"/>
        <w:gridCol w:w="911"/>
      </w:tblGrid>
      <w:tr>
        <w:tblPrEx>
          <w:tblCellMar>
            <w:top w:w="0" w:type="dxa"/>
            <w:left w:w="108" w:type="dxa"/>
            <w:bottom w:w="0" w:type="dxa"/>
            <w:right w:w="108" w:type="dxa"/>
          </w:tblCellMar>
        </w:tblPrEx>
        <w:trPr>
          <w:trHeight w:val="525" w:hRule="atLeast"/>
        </w:trPr>
        <w:tc>
          <w:tcPr>
            <w:tcW w:w="10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评分内容</w:t>
            </w:r>
          </w:p>
        </w:tc>
        <w:tc>
          <w:tcPr>
            <w:tcW w:w="701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评分标准</w:t>
            </w:r>
          </w:p>
        </w:tc>
        <w:tc>
          <w:tcPr>
            <w:tcW w:w="91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分值</w:t>
            </w:r>
          </w:p>
        </w:tc>
      </w:tr>
      <w:tr>
        <w:tblPrEx>
          <w:tblCellMar>
            <w:top w:w="0" w:type="dxa"/>
            <w:left w:w="108" w:type="dxa"/>
            <w:bottom w:w="0" w:type="dxa"/>
            <w:right w:w="108" w:type="dxa"/>
          </w:tblCellMar>
        </w:tblPrEx>
        <w:trPr>
          <w:trHeight w:val="1035" w:hRule="atLeast"/>
        </w:trPr>
        <w:tc>
          <w:tcPr>
            <w:tcW w:w="1083" w:type="dxa"/>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产品技术参数</w:t>
            </w: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产品性能、技术指标：根据投标供应商提供的设备性能质量、技术指标和系统功能要求进行评定，满足招标文件要求得</w:t>
            </w:r>
            <w:r>
              <w:rPr>
                <w:rFonts w:ascii="宋体" w:hAnsi="宋体" w:cs="宋体"/>
                <w:color w:val="000000"/>
                <w:kern w:val="0"/>
                <w:szCs w:val="21"/>
                <w:lang w:bidi="ar"/>
              </w:rPr>
              <w:t>30</w:t>
            </w:r>
            <w:r>
              <w:rPr>
                <w:rFonts w:hint="eastAsia" w:ascii="宋体" w:hAnsi="宋体" w:cs="宋体"/>
                <w:color w:val="000000"/>
                <w:kern w:val="0"/>
                <w:szCs w:val="21"/>
                <w:lang w:bidi="ar"/>
              </w:rPr>
              <w:t>分。技术指标中打“★”号的指标为实质性指标，不得负偏离，打“▲”号的指标每有一项负偏离的扣2分，其他一般指标负偏离的每有一项扣1分。</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0-</w:t>
            </w:r>
            <w:r>
              <w:rPr>
                <w:rFonts w:ascii="宋体" w:hAnsi="宋体" w:cs="宋体"/>
                <w:color w:val="000000"/>
                <w:kern w:val="0"/>
                <w:szCs w:val="21"/>
                <w:lang w:bidi="ar"/>
              </w:rPr>
              <w:t>30</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2011"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资信</w:t>
            </w: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1、为保证医院业务系统平台连续性,减少信息化平台瘫痪发生，投标人具有ISO 22301业务连续性管理体系认证得2分；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2、为保证项目实施过程中人员健康管理规范性和安全性，取得ISO 45001职业健康安全管理体系认证得1分、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3、为保证医院业务系统信息安全性和运维服务管理能力，投标人取得ISO 27001信息安全管理体系认证和ISO 20000运维管理体系认证，每一项得1分，共2分。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投标人保证证书有效可用性，以上证书复印件加盖公章，原件备查。</w:t>
            </w:r>
          </w:p>
        </w:tc>
        <w:tc>
          <w:tcPr>
            <w:tcW w:w="91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0-5分</w:t>
            </w:r>
          </w:p>
        </w:tc>
      </w:tr>
      <w:tr>
        <w:tblPrEx>
          <w:tblCellMar>
            <w:top w:w="0" w:type="dxa"/>
            <w:left w:w="108" w:type="dxa"/>
            <w:bottom w:w="0" w:type="dxa"/>
            <w:right w:w="108" w:type="dxa"/>
          </w:tblCellMar>
        </w:tblPrEx>
        <w:trPr>
          <w:trHeight w:val="9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cs="宋体"/>
                <w:color w:val="000000"/>
                <w:szCs w:val="21"/>
              </w:rPr>
            </w:pP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ascii="宋体" w:hAnsi="宋体" w:cs="宋体"/>
                <w:kern w:val="0"/>
                <w:szCs w:val="21"/>
                <w:lang w:bidi="ar"/>
              </w:rPr>
            </w:pPr>
            <w:r>
              <w:rPr>
                <w:rFonts w:hint="eastAsia" w:ascii="宋体" w:hAnsi="宋体" w:cs="宋体"/>
                <w:kern w:val="0"/>
                <w:szCs w:val="21"/>
                <w:lang w:bidi="ar"/>
              </w:rPr>
              <w:t>为保证投标人集成能力：</w:t>
            </w:r>
          </w:p>
          <w:p>
            <w:pPr>
              <w:widowControl/>
              <w:jc w:val="left"/>
              <w:textAlignment w:val="top"/>
              <w:rPr>
                <w:rFonts w:hint="eastAsia" w:ascii="宋体" w:hAnsi="宋体" w:cs="宋体"/>
                <w:kern w:val="0"/>
                <w:szCs w:val="21"/>
                <w:lang w:bidi="ar"/>
              </w:rPr>
            </w:pPr>
            <w:r>
              <w:rPr>
                <w:rFonts w:hint="eastAsia" w:ascii="宋体" w:hAnsi="宋体" w:cs="宋体"/>
                <w:kern w:val="0"/>
                <w:szCs w:val="21"/>
                <w:lang w:bidi="ar"/>
              </w:rPr>
              <w:t>具有系统集成及服务企业能力评价三级及以上得1分；</w:t>
            </w:r>
          </w:p>
          <w:p>
            <w:pPr>
              <w:widowControl/>
              <w:jc w:val="left"/>
              <w:textAlignment w:val="top"/>
              <w:rPr>
                <w:rFonts w:hint="eastAsia" w:ascii="宋体" w:hAnsi="宋体" w:cs="宋体"/>
                <w:szCs w:val="21"/>
              </w:rPr>
            </w:pPr>
            <w:r>
              <w:rPr>
                <w:rFonts w:hint="eastAsia" w:ascii="宋体" w:hAnsi="宋体" w:cs="宋体"/>
                <w:kern w:val="0"/>
                <w:szCs w:val="21"/>
                <w:lang w:bidi="ar"/>
              </w:rPr>
              <w:t>具有软件企业认证得1分；</w:t>
            </w:r>
          </w:p>
          <w:p>
            <w:pPr>
              <w:widowControl/>
              <w:jc w:val="left"/>
              <w:textAlignment w:val="top"/>
              <w:rPr>
                <w:rFonts w:hint="eastAsia" w:ascii="宋体" w:hAnsi="宋体" w:cs="宋体"/>
                <w:szCs w:val="21"/>
              </w:rPr>
            </w:pPr>
            <w:r>
              <w:rPr>
                <w:rFonts w:hint="eastAsia" w:ascii="宋体" w:hAnsi="宋体" w:cs="宋体"/>
                <w:kern w:val="0"/>
                <w:szCs w:val="21"/>
                <w:lang w:bidi="ar"/>
              </w:rPr>
              <w:t>省级科技型中小企业得1分；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以上证书提供复印件加盖公章，原件备查。</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0-</w:t>
            </w:r>
            <w:r>
              <w:rPr>
                <w:rFonts w:ascii="宋体" w:hAnsi="宋体" w:cs="宋体"/>
                <w:color w:val="000000"/>
                <w:kern w:val="0"/>
                <w:szCs w:val="21"/>
                <w:lang w:bidi="ar"/>
              </w:rPr>
              <w:t>3</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525"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cs="宋体"/>
                <w:color w:val="000000"/>
                <w:szCs w:val="21"/>
              </w:rPr>
            </w:pP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szCs w:val="21"/>
              </w:rPr>
            </w:pPr>
            <w:r>
              <w:rPr>
                <w:rFonts w:hint="eastAsia" w:ascii="宋体" w:hAnsi="宋体" w:cs="宋体"/>
                <w:kern w:val="0"/>
                <w:szCs w:val="21"/>
                <w:lang w:bidi="ar"/>
              </w:rPr>
              <w:t>为了体现投标人的信息技术专业能力，投标人具有"数据快速分布式读取”、“数据综合分析管理"等相关技术专利，得</w:t>
            </w:r>
            <w:r>
              <w:rPr>
                <w:rFonts w:ascii="宋体" w:hAnsi="宋体" w:cs="宋体"/>
                <w:kern w:val="0"/>
                <w:szCs w:val="21"/>
                <w:lang w:bidi="ar"/>
              </w:rPr>
              <w:t>1</w:t>
            </w:r>
            <w:r>
              <w:rPr>
                <w:rFonts w:hint="eastAsia" w:ascii="宋体" w:hAnsi="宋体" w:cs="宋体"/>
                <w:kern w:val="0"/>
                <w:szCs w:val="21"/>
                <w:lang w:bidi="ar"/>
              </w:rPr>
              <w:t>分。</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szCs w:val="21"/>
              </w:rPr>
            </w:pPr>
            <w:r>
              <w:rPr>
                <w:rFonts w:hint="eastAsia" w:ascii="宋体" w:hAnsi="宋体" w:cs="宋体"/>
                <w:kern w:val="0"/>
                <w:szCs w:val="21"/>
                <w:lang w:bidi="ar"/>
              </w:rPr>
              <w:t>0-</w:t>
            </w:r>
            <w:r>
              <w:rPr>
                <w:rFonts w:ascii="宋体" w:hAnsi="宋体" w:cs="宋体"/>
                <w:kern w:val="0"/>
                <w:szCs w:val="21"/>
                <w:lang w:bidi="ar"/>
              </w:rPr>
              <w:t>1</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708"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项目管理</w:t>
            </w: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具有自主开发的项目管理系统软件著作权得1分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具有自主开发的医疗行业管理系统软件著作权得1分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具有自主开发的巡检工具软件著作权得1分。</w:t>
            </w:r>
          </w:p>
        </w:tc>
        <w:tc>
          <w:tcPr>
            <w:tcW w:w="91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0-3分</w:t>
            </w:r>
          </w:p>
        </w:tc>
      </w:tr>
      <w:tr>
        <w:tblPrEx>
          <w:tblCellMar>
            <w:top w:w="0" w:type="dxa"/>
            <w:left w:w="108" w:type="dxa"/>
            <w:bottom w:w="0" w:type="dxa"/>
            <w:right w:w="108" w:type="dxa"/>
          </w:tblCellMar>
        </w:tblPrEx>
        <w:trPr>
          <w:trHeight w:val="345"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同类业绩</w:t>
            </w: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提供2020年以来类似案例每个得1分，最高得3分，</w:t>
            </w:r>
          </w:p>
          <w:p>
            <w:pPr>
              <w:widowControl/>
              <w:jc w:val="left"/>
              <w:textAlignment w:val="top"/>
              <w:rPr>
                <w:rFonts w:hint="eastAsia" w:ascii="宋体" w:hAnsi="宋体" w:cs="宋体"/>
                <w:color w:val="000000"/>
                <w:szCs w:val="21"/>
              </w:rPr>
            </w:pPr>
            <w:r>
              <w:rPr>
                <w:rFonts w:hint="eastAsia" w:ascii="宋体" w:hAnsi="宋体" w:cs="宋体"/>
                <w:color w:val="000000"/>
                <w:kern w:val="0"/>
                <w:szCs w:val="21"/>
                <w:lang w:bidi="ar"/>
              </w:rPr>
              <w:t>提供项目合同复印件和验收报告。</w:t>
            </w:r>
          </w:p>
        </w:tc>
        <w:tc>
          <w:tcPr>
            <w:tcW w:w="91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0-3分</w:t>
            </w:r>
          </w:p>
        </w:tc>
      </w:tr>
      <w:tr>
        <w:tblPrEx>
          <w:tblCellMar>
            <w:top w:w="0" w:type="dxa"/>
            <w:left w:w="108" w:type="dxa"/>
            <w:bottom w:w="0" w:type="dxa"/>
            <w:right w:w="108" w:type="dxa"/>
          </w:tblCellMar>
        </w:tblPrEx>
        <w:trPr>
          <w:trHeight w:val="3983"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项目技术团队</w:t>
            </w:r>
          </w:p>
        </w:tc>
        <w:tc>
          <w:tcPr>
            <w:tcW w:w="7016" w:type="dxa"/>
            <w:tcBorders>
              <w:top w:val="nil"/>
              <w:left w:val="single" w:color="000000" w:sz="8" w:space="0"/>
              <w:bottom w:val="single" w:color="000000" w:sz="8" w:space="0"/>
              <w:right w:val="single" w:color="000000" w:sz="8" w:space="0"/>
            </w:tcBorders>
            <w:shd w:val="clear" w:color="auto" w:fill="auto"/>
          </w:tcPr>
          <w:p>
            <w:pPr>
              <w:widowControl/>
              <w:jc w:val="left"/>
              <w:textAlignment w:val="top"/>
              <w:rPr>
                <w:rFonts w:hint="eastAsia" w:ascii="宋体" w:hAnsi="宋体" w:cs="宋体"/>
                <w:kern w:val="0"/>
                <w:szCs w:val="21"/>
                <w:lang w:bidi="ar"/>
              </w:rPr>
            </w:pPr>
            <w:r>
              <w:rPr>
                <w:rFonts w:hint="eastAsia" w:ascii="宋体" w:hAnsi="宋体" w:cs="宋体"/>
                <w:kern w:val="0"/>
                <w:szCs w:val="21"/>
                <w:lang w:bidi="ar"/>
              </w:rPr>
              <w:t>根据投标人拟定的项目组专业人员的技术能力情况评分，为保证本次项目顺利实施，</w:t>
            </w:r>
          </w:p>
          <w:p>
            <w:pPr>
              <w:widowControl/>
              <w:jc w:val="left"/>
              <w:textAlignment w:val="top"/>
              <w:rPr>
                <w:rFonts w:ascii="宋体" w:hAnsi="宋体" w:cs="宋体"/>
                <w:kern w:val="0"/>
                <w:szCs w:val="21"/>
                <w:lang w:bidi="ar"/>
              </w:rPr>
            </w:pPr>
            <w:r>
              <w:rPr>
                <w:rFonts w:hint="eastAsia" w:ascii="宋体" w:hAnsi="宋体" w:cs="宋体"/>
                <w:kern w:val="0"/>
                <w:szCs w:val="21"/>
                <w:lang w:bidi="ar"/>
              </w:rPr>
              <w:t>（1）本项目的项目经理:</w:t>
            </w:r>
          </w:p>
          <w:p>
            <w:pPr>
              <w:widowControl/>
              <w:jc w:val="left"/>
              <w:textAlignment w:val="top"/>
              <w:rPr>
                <w:rFonts w:hint="eastAsia" w:ascii="宋体" w:hAnsi="宋体" w:cs="宋体"/>
                <w:kern w:val="0"/>
                <w:szCs w:val="21"/>
                <w:lang w:bidi="ar"/>
              </w:rPr>
            </w:pPr>
            <w:r>
              <w:rPr>
                <w:rFonts w:hint="eastAsia" w:ascii="宋体" w:hAnsi="宋体" w:cs="宋体"/>
                <w:kern w:val="0"/>
                <w:szCs w:val="21"/>
                <w:lang w:bidi="ar"/>
              </w:rPr>
              <w:t>同时具有项目管理工程师证书和信息系统监理师（2分）；</w:t>
            </w:r>
          </w:p>
          <w:p>
            <w:pPr>
              <w:widowControl/>
              <w:jc w:val="left"/>
              <w:textAlignment w:val="top"/>
              <w:rPr>
                <w:rFonts w:hint="eastAsia" w:ascii="宋体" w:hAnsi="宋体" w:cs="宋体"/>
                <w:kern w:val="0"/>
                <w:szCs w:val="21"/>
                <w:lang w:bidi="ar"/>
              </w:rPr>
            </w:pPr>
            <w:r>
              <w:rPr>
                <w:rFonts w:hint="eastAsia" w:ascii="宋体" w:hAnsi="宋体" w:cs="宋体"/>
                <w:kern w:val="0"/>
                <w:szCs w:val="21"/>
                <w:lang w:bidi="ar"/>
              </w:rPr>
              <w:t>（2）本项目组技术团队（本项最高得5分）：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具有Oracle优化大师OCM认证（</w:t>
            </w:r>
            <w:r>
              <w:rPr>
                <w:rFonts w:ascii="宋体" w:hAnsi="宋体" w:cs="宋体"/>
                <w:kern w:val="0"/>
                <w:szCs w:val="21"/>
                <w:lang w:bidi="ar"/>
              </w:rPr>
              <w:t>1</w:t>
            </w:r>
            <w:r>
              <w:rPr>
                <w:rFonts w:hint="eastAsia" w:ascii="宋体" w:hAnsi="宋体" w:cs="宋体"/>
                <w:kern w:val="0"/>
                <w:szCs w:val="21"/>
                <w:lang w:bidi="ar"/>
              </w:rPr>
              <w:t>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具有软件分布式架构高级认证（</w:t>
            </w:r>
            <w:r>
              <w:rPr>
                <w:rFonts w:ascii="宋体" w:hAnsi="宋体" w:cs="宋体"/>
                <w:kern w:val="0"/>
                <w:szCs w:val="21"/>
                <w:lang w:bidi="ar"/>
              </w:rPr>
              <w:t>1</w:t>
            </w:r>
            <w:r>
              <w:rPr>
                <w:rFonts w:hint="eastAsia" w:ascii="宋体" w:hAnsi="宋体" w:cs="宋体"/>
                <w:kern w:val="0"/>
                <w:szCs w:val="21"/>
                <w:lang w:bidi="ar"/>
              </w:rPr>
              <w:t>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具有注册渗透测试工程师CISP-PTE（1分）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具有ITSS-IT服务项目经理证书（1分）；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具有AI人工智能技术认证证书（1分）；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具有微服务架构高级证书（1分）；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具有国家工信部认证云计算架构高级考试认证（1分）；</w:t>
            </w:r>
          </w:p>
          <w:p>
            <w:pPr>
              <w:widowControl/>
              <w:numPr>
                <w:ilvl w:val="0"/>
                <w:numId w:val="7"/>
              </w:numPr>
              <w:adjustRightInd/>
              <w:jc w:val="left"/>
              <w:textAlignment w:val="top"/>
              <w:rPr>
                <w:rFonts w:ascii="宋体" w:hAnsi="宋体" w:cs="宋体"/>
                <w:kern w:val="0"/>
                <w:szCs w:val="21"/>
                <w:lang w:bidi="ar"/>
              </w:rPr>
            </w:pPr>
            <w:r>
              <w:rPr>
                <w:rFonts w:hint="eastAsia" w:ascii="宋体" w:hAnsi="宋体" w:cs="宋体"/>
                <w:kern w:val="0"/>
                <w:szCs w:val="21"/>
                <w:lang w:bidi="ar"/>
              </w:rPr>
              <w:t>具有红帽操作系统RHCE认证证书（1分）；</w:t>
            </w:r>
          </w:p>
          <w:p>
            <w:pPr>
              <w:widowControl/>
              <w:textAlignment w:val="top"/>
              <w:rPr>
                <w:rFonts w:hint="eastAsia" w:ascii="宋体" w:hAnsi="宋体" w:cs="宋体"/>
                <w:kern w:val="0"/>
                <w:szCs w:val="21"/>
                <w:lang w:bidi="ar"/>
              </w:rPr>
            </w:pPr>
            <w:r>
              <w:rPr>
                <w:rFonts w:hint="eastAsia" w:ascii="宋体" w:hAnsi="宋体" w:cs="宋体"/>
                <w:kern w:val="0"/>
                <w:szCs w:val="21"/>
                <w:lang w:bidi="ar"/>
              </w:rPr>
              <w:t>以上实施人员必须为投标人在职员工，投标时提供相关证书复印件及近三个月（2</w:t>
            </w:r>
            <w:r>
              <w:rPr>
                <w:rFonts w:ascii="宋体" w:hAnsi="宋体" w:cs="宋体"/>
                <w:kern w:val="0"/>
                <w:szCs w:val="21"/>
                <w:lang w:bidi="ar"/>
              </w:rPr>
              <w:t>022</w:t>
            </w:r>
            <w:r>
              <w:rPr>
                <w:rFonts w:hint="eastAsia" w:ascii="宋体" w:hAnsi="宋体" w:cs="宋体"/>
                <w:kern w:val="0"/>
                <w:szCs w:val="21"/>
                <w:lang w:bidi="ar"/>
              </w:rPr>
              <w:t>年7月至9月）的社保证明。</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szCs w:val="21"/>
              </w:rPr>
            </w:pPr>
            <w:r>
              <w:rPr>
                <w:rFonts w:hint="eastAsia" w:ascii="宋体" w:hAnsi="宋体" w:cs="宋体"/>
                <w:kern w:val="0"/>
                <w:szCs w:val="21"/>
                <w:lang w:bidi="ar"/>
              </w:rPr>
              <w:t>0-</w:t>
            </w:r>
            <w:r>
              <w:rPr>
                <w:rFonts w:ascii="宋体" w:hAnsi="宋体" w:cs="宋体"/>
                <w:kern w:val="0"/>
                <w:szCs w:val="21"/>
                <w:lang w:bidi="ar"/>
              </w:rPr>
              <w:t>7</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765"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实施方案</w:t>
            </w:r>
          </w:p>
        </w:tc>
        <w:tc>
          <w:tcPr>
            <w:tcW w:w="7016" w:type="dxa"/>
            <w:tcBorders>
              <w:top w:val="nil"/>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项目实施方案设计的完整性、先进性和可行性：根据总体部署及现场组织管理机构、总进度计划及保证措施、主要投标设备介绍，投标设备技术、功能、参数列表、性能等，本项最高得5分。</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0-5分</w:t>
            </w:r>
          </w:p>
        </w:tc>
      </w:tr>
      <w:tr>
        <w:tblPrEx>
          <w:tblCellMar>
            <w:top w:w="0" w:type="dxa"/>
            <w:left w:w="108" w:type="dxa"/>
            <w:bottom w:w="0" w:type="dxa"/>
            <w:right w:w="108" w:type="dxa"/>
          </w:tblCellMar>
        </w:tblPrEx>
        <w:trPr>
          <w:trHeight w:val="1275"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cs="宋体"/>
                <w:color w:val="000000"/>
                <w:szCs w:val="21"/>
              </w:rPr>
            </w:pPr>
          </w:p>
        </w:tc>
        <w:tc>
          <w:tcPr>
            <w:tcW w:w="7016" w:type="dxa"/>
            <w:tcBorders>
              <w:top w:val="nil"/>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cs="宋体"/>
                <w:szCs w:val="21"/>
              </w:rPr>
            </w:pPr>
            <w:r>
              <w:rPr>
                <w:rFonts w:hint="eastAsia" w:ascii="宋体" w:hAnsi="宋体" w:cs="宋体"/>
                <w:kern w:val="0"/>
                <w:szCs w:val="21"/>
                <w:lang w:bidi="ar"/>
              </w:rPr>
              <w:t>投标人提供的项目组织措施、施工质量保证计划，项目验收方案、培训方案等综合评分，根据项目实施的可行性，服务备件库完整性、维护期内外的后续技术支持和维护能力情况、对服务承诺的保障措施，人员安排是否合理，培训计划是否可行性及合理性等情况，本项最高得</w:t>
            </w:r>
            <w:r>
              <w:rPr>
                <w:rFonts w:ascii="宋体" w:hAnsi="宋体" w:cs="宋体"/>
                <w:kern w:val="0"/>
                <w:szCs w:val="21"/>
                <w:lang w:bidi="ar"/>
              </w:rPr>
              <w:t>5</w:t>
            </w:r>
            <w:r>
              <w:rPr>
                <w:rFonts w:hint="eastAsia" w:ascii="宋体" w:hAnsi="宋体" w:cs="宋体"/>
                <w:kern w:val="0"/>
                <w:szCs w:val="21"/>
                <w:lang w:bidi="ar"/>
              </w:rPr>
              <w:t>分。</w:t>
            </w:r>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szCs w:val="21"/>
              </w:rPr>
            </w:pPr>
            <w:r>
              <w:rPr>
                <w:rFonts w:hint="eastAsia" w:ascii="宋体" w:hAnsi="宋体" w:cs="宋体"/>
                <w:kern w:val="0"/>
                <w:szCs w:val="21"/>
                <w:lang w:bidi="ar"/>
              </w:rPr>
              <w:t>0-</w:t>
            </w:r>
            <w:r>
              <w:rPr>
                <w:rFonts w:ascii="宋体" w:hAnsi="宋体" w:cs="宋体"/>
                <w:kern w:val="0"/>
                <w:szCs w:val="21"/>
                <w:lang w:bidi="ar"/>
              </w:rPr>
              <w:t>5</w:t>
            </w:r>
            <w:r>
              <w:rPr>
                <w:rFonts w:hint="eastAsia" w:ascii="宋体" w:hAnsi="宋体" w:cs="宋体"/>
                <w:kern w:val="0"/>
                <w:szCs w:val="21"/>
                <w:lang w:bidi="ar"/>
              </w:rPr>
              <w:t>分</w:t>
            </w:r>
          </w:p>
        </w:tc>
      </w:tr>
      <w:tr>
        <w:tblPrEx>
          <w:tblCellMar>
            <w:top w:w="0" w:type="dxa"/>
            <w:left w:w="108" w:type="dxa"/>
            <w:bottom w:w="0" w:type="dxa"/>
            <w:right w:w="108" w:type="dxa"/>
          </w:tblCellMar>
        </w:tblPrEx>
        <w:trPr>
          <w:trHeight w:val="525" w:hRule="atLeast"/>
        </w:trPr>
        <w:tc>
          <w:tcPr>
            <w:tcW w:w="108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售后服务能力</w:t>
            </w:r>
          </w:p>
        </w:tc>
        <w:tc>
          <w:tcPr>
            <w:tcW w:w="7016" w:type="dxa"/>
            <w:tcBorders>
              <w:top w:val="nil"/>
              <w:left w:val="single" w:color="000000" w:sz="8" w:space="0"/>
              <w:bottom w:val="single" w:color="auto" w:sz="4" w:space="0"/>
              <w:right w:val="single" w:color="000000" w:sz="8" w:space="0"/>
            </w:tcBorders>
            <w:shd w:val="clear" w:color="auto" w:fill="auto"/>
          </w:tcPr>
          <w:p>
            <w:pPr>
              <w:widowControl/>
              <w:textAlignment w:val="top"/>
              <w:rPr>
                <w:rFonts w:hint="eastAsia" w:ascii="宋体" w:hAnsi="宋体" w:cs="宋体"/>
                <w:color w:val="000000"/>
                <w:kern w:val="0"/>
                <w:szCs w:val="21"/>
                <w:lang w:bidi="ar"/>
              </w:rPr>
            </w:pPr>
            <w:r>
              <w:rPr>
                <w:rFonts w:hint="eastAsia" w:ascii="宋体" w:hAnsi="宋体" w:cs="宋体"/>
                <w:color w:val="000000"/>
                <w:kern w:val="0"/>
                <w:szCs w:val="21"/>
                <w:lang w:bidi="ar"/>
              </w:rPr>
              <w:t>根据投标人售后服务响应时间、服务内容、服务体系及技术力量支撑情况，综合比较打分，最高得</w:t>
            </w:r>
            <w:r>
              <w:rPr>
                <w:rFonts w:ascii="宋体" w:hAnsi="宋体" w:cs="宋体"/>
                <w:color w:val="000000"/>
                <w:kern w:val="0"/>
                <w:szCs w:val="21"/>
                <w:lang w:bidi="ar"/>
              </w:rPr>
              <w:t>4</w:t>
            </w:r>
            <w:r>
              <w:rPr>
                <w:rFonts w:hint="eastAsia" w:ascii="宋体" w:hAnsi="宋体" w:cs="宋体"/>
                <w:color w:val="000000"/>
                <w:kern w:val="0"/>
                <w:szCs w:val="21"/>
                <w:lang w:bidi="ar"/>
              </w:rPr>
              <w:t>分。</w:t>
            </w:r>
          </w:p>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投标人针对本项目的售后服务运维团队具有中国软件评测中心下发的信息系统运维工程师证书得</w:t>
            </w:r>
            <w:r>
              <w:rPr>
                <w:rFonts w:ascii="宋体" w:hAnsi="宋体" w:cs="宋体"/>
                <w:color w:val="000000"/>
                <w:kern w:val="0"/>
                <w:szCs w:val="21"/>
                <w:lang w:bidi="ar"/>
              </w:rPr>
              <w:t>1</w:t>
            </w:r>
            <w:r>
              <w:rPr>
                <w:rFonts w:hint="eastAsia" w:ascii="宋体" w:hAnsi="宋体" w:cs="宋体"/>
                <w:color w:val="000000"/>
                <w:kern w:val="0"/>
                <w:szCs w:val="21"/>
                <w:lang w:bidi="ar"/>
              </w:rPr>
              <w:t>分。</w:t>
            </w:r>
          </w:p>
        </w:tc>
        <w:tc>
          <w:tcPr>
            <w:tcW w:w="911"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0-5分</w:t>
            </w:r>
          </w:p>
        </w:tc>
      </w:tr>
      <w:tr>
        <w:tblPrEx>
          <w:tblCellMar>
            <w:top w:w="0" w:type="dxa"/>
            <w:left w:w="108" w:type="dxa"/>
            <w:bottom w:w="0" w:type="dxa"/>
            <w:right w:w="108" w:type="dxa"/>
          </w:tblCellMar>
        </w:tblPrEx>
        <w:trPr>
          <w:trHeight w:val="780" w:hRule="atLeast"/>
        </w:trPr>
        <w:tc>
          <w:tcPr>
            <w:tcW w:w="1083"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cs="宋体"/>
                <w:color w:val="000000"/>
                <w:szCs w:val="21"/>
              </w:rPr>
            </w:pPr>
          </w:p>
        </w:tc>
        <w:tc>
          <w:tcPr>
            <w:tcW w:w="7016" w:type="dxa"/>
            <w:tcBorders>
              <w:top w:val="single" w:color="auto" w:sz="4" w:space="0"/>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为协助医院建立国家对医院智慧服务标准，保证售后服务规范性和合规性，投标人具有独立自主开发的“服务质量管理系统”，有自主知识产权软件著作权得2分。</w:t>
            </w:r>
          </w:p>
        </w:tc>
        <w:tc>
          <w:tcPr>
            <w:tcW w:w="911"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0-2分</w:t>
            </w:r>
          </w:p>
        </w:tc>
      </w:tr>
      <w:tr>
        <w:tblPrEx>
          <w:tblCellMar>
            <w:top w:w="0" w:type="dxa"/>
            <w:left w:w="108" w:type="dxa"/>
            <w:bottom w:w="0" w:type="dxa"/>
            <w:right w:w="108" w:type="dxa"/>
          </w:tblCellMar>
        </w:tblPrEx>
        <w:trPr>
          <w:trHeight w:val="525" w:hRule="atLeast"/>
        </w:trPr>
        <w:tc>
          <w:tcPr>
            <w:tcW w:w="1083" w:type="dxa"/>
            <w:tcBorders>
              <w:top w:val="nil"/>
              <w:left w:val="single" w:color="000000" w:sz="8" w:space="0"/>
              <w:bottom w:val="single" w:color="000000" w:sz="8" w:space="0"/>
              <w:right w:val="single" w:color="000000" w:sz="8" w:space="0"/>
            </w:tcBorders>
            <w:shd w:val="clear" w:color="auto" w:fill="auto"/>
            <w:vAlign w:val="center"/>
          </w:tcPr>
          <w:p>
            <w:pPr>
              <w:widowControl/>
              <w:textAlignment w:val="top"/>
              <w:rPr>
                <w:rFonts w:hint="eastAsia" w:ascii="宋体" w:hAnsi="宋体" w:cs="宋体"/>
                <w:color w:val="000000"/>
                <w:szCs w:val="21"/>
              </w:rPr>
            </w:pPr>
            <w:r>
              <w:rPr>
                <w:rFonts w:hint="eastAsia" w:ascii="宋体" w:hAnsi="宋体" w:cs="宋体"/>
                <w:color w:val="000000"/>
                <w:kern w:val="0"/>
                <w:szCs w:val="21"/>
                <w:lang w:bidi="ar"/>
              </w:rPr>
              <w:t>优惠承诺</w:t>
            </w:r>
          </w:p>
        </w:tc>
        <w:tc>
          <w:tcPr>
            <w:tcW w:w="7016" w:type="dxa"/>
            <w:tcBorders>
              <w:top w:val="nil"/>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cs="宋体"/>
                <w:color w:val="000000"/>
                <w:szCs w:val="21"/>
              </w:rPr>
            </w:pPr>
            <w:bookmarkStart w:id="441" w:name="_GoBack"/>
            <w:r>
              <w:rPr>
                <w:rFonts w:hint="eastAsia" w:ascii="宋体" w:hAnsi="宋体" w:cs="宋体"/>
                <w:color w:val="000000"/>
                <w:kern w:val="0"/>
                <w:szCs w:val="21"/>
                <w:lang w:bidi="ar"/>
              </w:rPr>
              <w:t>根据投标人提供的优惠承诺的实际价值，但投标人不得提供与本项目无关的其他商品、服务。</w:t>
            </w:r>
            <w:bookmarkEnd w:id="441"/>
          </w:p>
        </w:tc>
        <w:tc>
          <w:tcPr>
            <w:tcW w:w="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ascii="宋体" w:hAnsi="宋体" w:cs="宋体"/>
                <w:color w:val="000000"/>
                <w:szCs w:val="21"/>
              </w:rPr>
            </w:pPr>
            <w:r>
              <w:rPr>
                <w:rFonts w:hint="eastAsia" w:ascii="宋体" w:hAnsi="宋体" w:cs="宋体"/>
                <w:color w:val="000000"/>
                <w:kern w:val="0"/>
                <w:szCs w:val="21"/>
                <w:lang w:bidi="ar"/>
              </w:rPr>
              <w:t>0-1分</w:t>
            </w:r>
          </w:p>
        </w:tc>
      </w:tr>
    </w:tbl>
    <w:p>
      <w:pPr>
        <w:snapToGrid w:val="0"/>
        <w:spacing w:line="360" w:lineRule="auto"/>
        <w:rPr>
          <w:rFonts w:ascii="仿宋_GB2312" w:hAnsi="仿宋" w:eastAsia="仿宋_GB2312" w:cs="Arial"/>
          <w:kern w:val="0"/>
          <w:sz w:val="24"/>
        </w:rPr>
      </w:pPr>
    </w:p>
    <w:p>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61"/>
        <w:spacing w:before="0"/>
        <w:ind w:firstLine="508" w:firstLineChars="212"/>
        <w:rPr>
          <w:rFonts w:ascii="仿宋_GB2312" w:hAnsi="仿宋" w:eastAsia="仿宋_GB2312" w:cs="Arial"/>
          <w:kern w:val="0"/>
          <w:szCs w:val="24"/>
        </w:rPr>
      </w:pPr>
      <w:r>
        <w:rPr>
          <w:rFonts w:ascii="仿宋_GB2312" w:hAnsi="仿宋" w:eastAsia="仿宋_GB2312" w:cs="Arial"/>
          <w:kern w:val="0"/>
        </w:rPr>
        <w:t>3.4</w:t>
      </w:r>
      <w:r>
        <w:rPr>
          <w:rFonts w:ascii="仿宋_GB2312" w:hAnsi="仿宋" w:eastAsia="仿宋_GB2312" w:cs="Arial"/>
          <w:kern w:val="0"/>
          <w:szCs w:val="24"/>
        </w:rPr>
        <w:t>.1投标文件报价出现前后不一致的，按照下列规定修正：</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3.4.1.1投标文件中开标一览表(报价表)内容与投标文件中相应内容不一致的，以开标一览表(报价表)为准;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3.4.1.2大写金额和小写金额不一致的，以大写金额为准;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3.4.1.3单价金额小数点或者百分比有明显错位的，以开标一览表的总价为准，并修改单价;</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3.4.1.4总价金额与按单价汇总金额不一致的，以单价金额计算结果为准。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3.4.1.5同时出现两种以上不一致的，按照3.4.1</w:t>
      </w:r>
      <w:r>
        <w:rPr>
          <w:rFonts w:hint="eastAsia" w:ascii="仿宋_GB2312" w:hAnsi="仿宋" w:eastAsia="仿宋_GB2312" w:cs="Arial"/>
          <w:kern w:val="0"/>
          <w:szCs w:val="24"/>
        </w:rPr>
        <w:t>规定的顺序修正。修正后的报价按照《政府采购货物和服务招标投标管理办法》（财政部</w:t>
      </w:r>
      <w:r>
        <w:rPr>
          <w:rFonts w:ascii="仿宋_GB2312" w:hAnsi="仿宋" w:eastAsia="仿宋_GB2312" w:cs="Arial"/>
          <w:kern w:val="0"/>
          <w:szCs w:val="24"/>
        </w:rPr>
        <w:t>令</w:t>
      </w:r>
      <w:r>
        <w:rPr>
          <w:rFonts w:hint="eastAsia" w:ascii="仿宋_GB2312" w:hAnsi="仿宋" w:eastAsia="仿宋_GB2312" w:cs="Arial"/>
          <w:kern w:val="0"/>
          <w:szCs w:val="24"/>
        </w:rPr>
        <w:t>第</w:t>
      </w:r>
      <w:r>
        <w:rPr>
          <w:rFonts w:ascii="仿宋_GB2312" w:hAnsi="仿宋" w:eastAsia="仿宋_GB2312" w:cs="Arial"/>
          <w:kern w:val="0"/>
          <w:szCs w:val="24"/>
        </w:rPr>
        <w:t>87号</w:t>
      </w:r>
      <w:r>
        <w:rPr>
          <w:rFonts w:hint="eastAsia" w:ascii="仿宋_GB2312" w:hAnsi="仿宋" w:eastAsia="仿宋_GB2312" w:cs="Arial"/>
          <w:kern w:val="0"/>
          <w:szCs w:val="24"/>
        </w:rPr>
        <w:t>）第五十一条第二款的规定经投标人确认后产生约束力。</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3.4.2</w:t>
      </w:r>
      <w:r>
        <w:rPr>
          <w:rFonts w:hint="eastAsia" w:ascii="仿宋_GB2312" w:hAnsi="仿宋" w:eastAsia="仿宋_GB2312" w:cs="Arial"/>
          <w:kern w:val="0"/>
          <w:sz w:val="24"/>
        </w:rPr>
        <w:t>投标文件出现不是唯一的、有选择性投标报价的，投标无效。</w:t>
      </w:r>
    </w:p>
    <w:p>
      <w:pPr>
        <w:snapToGrid w:val="0"/>
        <w:spacing w:line="360" w:lineRule="auto"/>
        <w:ind w:firstLine="480" w:firstLineChars="200"/>
        <w:jc w:val="left"/>
        <w:rPr>
          <w:rFonts w:ascii="仿宋_GB2312" w:hAnsi="仿宋" w:eastAsia="仿宋_GB2312" w:cs="Arial"/>
          <w:kern w:val="0"/>
          <w:sz w:val="24"/>
        </w:rPr>
      </w:pPr>
      <w:r>
        <w:rPr>
          <w:rFonts w:ascii="仿宋_GB2312" w:hAnsi="仿宋" w:eastAsia="仿宋_GB2312" w:cs="Arial"/>
          <w:kern w:val="0"/>
          <w:sz w:val="24"/>
        </w:rPr>
        <w:t>3.4.3</w:t>
      </w:r>
      <w:r>
        <w:rPr>
          <w:rFonts w:hint="eastAsia" w:ascii="仿宋_GB2312" w:hAnsi="仿宋" w:eastAsia="仿宋_GB2312" w:cs="Arial"/>
          <w:kern w:val="0"/>
          <w:sz w:val="24"/>
        </w:rPr>
        <w:t>投标报价超过招标文件中规定的预算金额或者最高限价的，投标无效。</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3.4.4</w:t>
      </w:r>
      <w:r>
        <w:rPr>
          <w:rFonts w:hint="eastAsia" w:ascii="仿宋_GB2312" w:hAnsi="仿宋" w:eastAsia="仿宋_GB2312" w:cs="Arial"/>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hAnsi="仿宋" w:eastAsia="仿宋_GB2312" w:cs="Arial"/>
          <w:kern w:val="0"/>
          <w:szCs w:val="24"/>
        </w:rPr>
        <w:t>;投标人不能证明其报价合理性的，评标委员会应当将其作为无效投标处理。</w:t>
      </w:r>
    </w:p>
    <w:p>
      <w:pPr>
        <w:pStyle w:val="161"/>
        <w:spacing w:before="0"/>
        <w:ind w:firstLine="480"/>
        <w:rPr>
          <w:rFonts w:ascii="仿宋_GB2312" w:hAnsi="仿宋" w:eastAsia="仿宋_GB2312" w:cs="Arial"/>
          <w:kern w:val="0"/>
          <w:szCs w:val="24"/>
        </w:rPr>
      </w:pPr>
      <w:r>
        <w:rPr>
          <w:rFonts w:ascii="仿宋_GB2312" w:hAnsi="仿宋" w:eastAsia="仿宋_GB2312" w:cs="Arial"/>
          <w:kern w:val="0"/>
          <w:szCs w:val="24"/>
        </w:rPr>
        <w:t>3.4.5</w:t>
      </w:r>
      <w:r>
        <w:rPr>
          <w:rFonts w:hint="eastAsia" w:ascii="仿宋_GB2312" w:hAnsi="仿宋" w:eastAsia="仿宋_GB2312" w:cs="Arial"/>
          <w:kern w:val="0"/>
          <w:szCs w:val="24"/>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cs="Arial"/>
          <w:kern w:val="0"/>
          <w:szCs w:val="24"/>
        </w:rPr>
        <w:t>%的扣除，用扣除后的价格参与评审。接受大中型企业与小</w:t>
      </w:r>
      <w:r>
        <w:rPr>
          <w:rFonts w:hint="eastAsia" w:ascii="仿宋_GB2312" w:hAnsi="仿宋" w:eastAsia="仿宋_GB2312" w:cs="Arial"/>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hAnsi="仿宋" w:eastAsia="仿宋_GB2312" w:cs="Arial"/>
          <w:kern w:val="0"/>
          <w:szCs w:val="24"/>
        </w:rPr>
        <w:t>30%以上的，对联合体或者大中型企业的报价给予</w:t>
      </w:r>
      <w:r>
        <w:rPr>
          <w:rFonts w:hint="eastAsia" w:ascii="仿宋_GB2312" w:hAnsi="仿宋" w:eastAsia="仿宋_GB2312" w:cs="Arial"/>
          <w:kern w:val="0"/>
          <w:szCs w:val="24"/>
        </w:rPr>
        <w:t>6</w:t>
      </w:r>
      <w:r>
        <w:rPr>
          <w:rFonts w:ascii="仿宋_GB2312" w:hAnsi="仿宋" w:eastAsia="仿宋_GB2312" w:cs="Arial"/>
          <w:kern w:val="0"/>
          <w:szCs w:val="24"/>
        </w:rPr>
        <w:t>%的扣除，用扣除后的价格参加评审。组成联合体或者接受分包的小</w:t>
      </w:r>
      <w:r>
        <w:rPr>
          <w:rFonts w:hint="eastAsia" w:ascii="仿宋_GB2312" w:hAnsi="仿宋" w:eastAsia="仿宋_GB2312" w:cs="Arial"/>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_GB2312" w:hAnsi="仿宋" w:eastAsia="仿宋_GB2312" w:cs="Arial"/>
          <w:kern w:val="0"/>
          <w:sz w:val="24"/>
        </w:rPr>
        <w:t>。本项目只推荐</w:t>
      </w:r>
      <w:r>
        <w:rPr>
          <w:rFonts w:ascii="仿宋_GB2312" w:hAnsi="仿宋" w:eastAsia="仿宋_GB2312" w:cs="Arial"/>
          <w:kern w:val="0"/>
          <w:sz w:val="24"/>
        </w:rPr>
        <w:t>评审</w:t>
      </w:r>
      <w:r>
        <w:rPr>
          <w:rFonts w:hint="eastAsia" w:ascii="仿宋_GB2312" w:hAnsi="仿宋" w:eastAsia="仿宋_GB2312" w:cs="Arial"/>
          <w:kern w:val="0"/>
          <w:sz w:val="24"/>
        </w:rPr>
        <w:t>综合</w:t>
      </w:r>
      <w:r>
        <w:rPr>
          <w:rFonts w:ascii="仿宋_GB2312" w:hAnsi="仿宋" w:eastAsia="仿宋_GB2312" w:cs="Arial"/>
          <w:kern w:val="0"/>
          <w:sz w:val="24"/>
        </w:rPr>
        <w:t>得分最高的投标人</w:t>
      </w:r>
      <w:r>
        <w:rPr>
          <w:rFonts w:hint="eastAsia" w:ascii="仿宋_GB2312" w:hAnsi="仿宋" w:eastAsia="仿宋_GB2312" w:cs="Arial"/>
          <w:kern w:val="0"/>
          <w:sz w:val="24"/>
        </w:rPr>
        <w:t>为中标候选人。</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61"/>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4.3.废标。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4.3.1符合专业条件的供应商或者对招标文件作实质响应的供应商不足3家的；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4.3.2出现影响采购公正的违法、违规行为的；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4.3.3投标人的报价均超过了采购预算，采购人不能支付的；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4.3.4因重大变故，采购任务取消的。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482"/>
        <w:rPr>
          <w:rFonts w:ascii="仿宋_GB2312" w:hAnsi="仿宋" w:eastAsia="仿宋_GB2312" w:cs="仿宋_GB2312"/>
        </w:rPr>
      </w:pPr>
      <w:r>
        <w:rPr>
          <w:rFonts w:ascii="仿宋_GB2312" w:hAnsi="仿宋" w:eastAsia="仿宋_GB2312" w:cs="仿宋_GB2312"/>
          <w:b/>
        </w:rPr>
        <w:t>4.4.修改招标文件，重新组织采购活动。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_GB2312" w:hAnsi="仿宋" w:eastAsia="仿宋_GB2312" w:cs="仿宋_GB2312"/>
        </w:rPr>
      </w:pPr>
      <w:r>
        <w:rPr>
          <w:rFonts w:ascii="仿宋_GB2312" w:hAnsi="Helvetica" w:eastAsia="仿宋_GB2312" w:cs="Helvetica"/>
          <w:b/>
          <w:kern w:val="0"/>
        </w:rPr>
        <w:t>4.5</w:t>
      </w:r>
      <w:r>
        <w:rPr>
          <w:rFonts w:hint="eastAsia" w:ascii="仿宋_GB2312" w:hAnsi="Helvetica" w:eastAsia="仿宋_GB2312" w:cs="Helvetica"/>
          <w:b/>
          <w:kern w:val="0"/>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4.5.4政府采购合同已经履行，给采购人、供应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4.5.5政府采购当事人有其他违反政府采购</w:t>
      </w:r>
      <w:r>
        <w:rPr>
          <w:rFonts w:hint="eastAsia" w:ascii="仿宋_GB2312" w:hAnsi="仿宋" w:eastAsia="仿宋_GB2312" w:cs="仿宋_GB2312"/>
        </w:rPr>
        <w:t>法或者政府采购法实施条例等法律法规规定的行为，经改正后仍然影响或者可能影响中标、成交结果或者依法被认定为中标、成交无效的，依照</w:t>
      </w:r>
      <w:r>
        <w:rPr>
          <w:rFonts w:ascii="仿宋_GB2312" w:hAnsi="仿宋" w:eastAsia="仿宋_GB2312" w:cs="仿宋_GB2312"/>
        </w:rPr>
        <w:t>4.5.1-4.5.</w:t>
      </w:r>
      <w:r>
        <w:rPr>
          <w:rFonts w:hint="eastAsia" w:ascii="仿宋_GB2312" w:hAnsi="仿宋" w:eastAsia="仿宋_GB2312" w:cs="仿宋_GB2312"/>
        </w:rPr>
        <w:t>4</w:t>
      </w:r>
      <w:r>
        <w:rPr>
          <w:rFonts w:ascii="仿宋_GB2312" w:hAnsi="仿宋" w:eastAsia="仿宋_GB2312" w:cs="仿宋_GB2312"/>
        </w:rPr>
        <w:t>规定处理。</w:t>
      </w:r>
    </w:p>
    <w:bookmarkEnd w:id="26"/>
    <w:p>
      <w:pPr>
        <w:rPr>
          <w:rFonts w:hint="eastAsia"/>
        </w:rPr>
      </w:pPr>
      <w:bookmarkStart w:id="432" w:name="第五部分"/>
      <w:bookmarkStart w:id="433" w:name="_Toc86217003"/>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rPr>
          <w:rFonts w:hint="eastAsia"/>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Pr>
        <w:rPr>
          <w:rFonts w:hint="eastAsia"/>
        </w:rPr>
      </w:pPr>
    </w:p>
    <w:p>
      <w:pPr>
        <w:pStyle w:val="2"/>
        <w:rPr>
          <w:rFonts w:hint="eastAsia"/>
          <w:lang w:val="en-US"/>
        </w:rPr>
      </w:pPr>
    </w:p>
    <w:p>
      <w:pPr>
        <w:pStyle w:val="2"/>
        <w:rPr>
          <w:rFonts w:ascii="Times New Roman" w:hAnsi="Times New Roman" w:eastAsia="宋体"/>
          <w:b w:val="0"/>
          <w:bCs w:val="0"/>
          <w:sz w:val="21"/>
          <w:szCs w:val="24"/>
          <w:lang w:val="en-US"/>
        </w:rPr>
      </w:pPr>
    </w:p>
    <w:p/>
    <w:p>
      <w:pPr>
        <w:pStyle w:val="2"/>
        <w:rPr>
          <w:lang w:val="en-US"/>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（服务类）</w:t>
      </w:r>
    </w:p>
    <w:p>
      <w:pPr>
        <w:pStyle w:val="708"/>
        <w:rPr>
          <w:rFonts w:ascii="仿宋" w:hAnsi="仿宋" w:eastAsia="仿宋"/>
          <w:szCs w:val="24"/>
        </w:rPr>
      </w:pPr>
    </w:p>
    <w:p>
      <w:pPr>
        <w:pStyle w:val="708"/>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708"/>
        <w:jc w:val="center"/>
        <w:rPr>
          <w:rFonts w:ascii="仿宋" w:hAnsi="仿宋" w:eastAsia="仿宋"/>
          <w:szCs w:val="24"/>
        </w:rPr>
      </w:pPr>
    </w:p>
    <w:p>
      <w:pPr>
        <w:pStyle w:val="25"/>
      </w:pPr>
    </w:p>
    <w:p>
      <w:pPr>
        <w:pStyle w:val="708"/>
        <w:ind w:firstLine="2843" w:firstLineChars="1180"/>
        <w:rPr>
          <w:rFonts w:ascii="仿宋" w:hAnsi="仿宋" w:eastAsia="仿宋"/>
          <w:b/>
          <w:szCs w:val="24"/>
        </w:rPr>
      </w:pPr>
      <w:r>
        <w:rPr>
          <w:rFonts w:hint="eastAsia" w:ascii="仿宋" w:hAnsi="仿宋" w:eastAsia="仿宋"/>
          <w:b/>
          <w:szCs w:val="24"/>
        </w:rPr>
        <w:t>通用合同书</w:t>
      </w:r>
    </w:p>
    <w:p>
      <w:pPr>
        <w:pStyle w:val="708"/>
        <w:rPr>
          <w:rFonts w:ascii="仿宋" w:hAnsi="仿宋" w:eastAsia="仿宋"/>
          <w:szCs w:val="24"/>
        </w:rPr>
      </w:pPr>
    </w:p>
    <w:p>
      <w:pPr>
        <w:pStyle w:val="708"/>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603"/>
        <w:spacing w:before="120" w:line="22" w:lineRule="atLeast"/>
        <w:rPr>
          <w:rFonts w:ascii="仿宋" w:hAnsi="仿宋" w:eastAsia="仿宋"/>
          <w:szCs w:val="24"/>
        </w:rPr>
      </w:pPr>
    </w:p>
    <w:p>
      <w:pPr>
        <w:pStyle w:val="603"/>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2"/>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rPr>
          <w:rFonts w:hint="eastAsia"/>
          <w:u w:val="single"/>
        </w:rPr>
        <w:t xml:space="preserve">       </w:t>
      </w:r>
      <w:r>
        <w:rPr>
          <w:u w:val="single"/>
        </w:rPr>
        <w:t xml:space="preserve"> </w:t>
      </w:r>
      <w:r>
        <w:t>元人民币</w:t>
      </w:r>
      <w:r>
        <w:rPr>
          <w:rFonts w:hint="eastAsia"/>
        </w:rPr>
        <w:t>，大写</w:t>
      </w:r>
      <w:r>
        <w:rPr>
          <w:rFonts w:hint="eastAsia"/>
          <w:u w:val="single"/>
        </w:rPr>
        <w:t xml:space="preserve"> </w:t>
      </w:r>
      <w:r>
        <w:rPr>
          <w:u w:val="single"/>
        </w:rPr>
        <w:t xml:space="preserve">                         </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4"/>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p>
        </w:tc>
        <w:tc>
          <w:tcPr>
            <w:tcW w:w="4394" w:type="dxa"/>
            <w:vAlign w:val="center"/>
          </w:tcPr>
          <w:p>
            <w:pPr>
              <w:jc w:val="center"/>
            </w:pP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rPr>
          <w:rFonts w:hint="eastAsia"/>
        </w:rPr>
        <w:t>（具体按照招标文件签订）</w:t>
      </w:r>
    </w:p>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w:t>
      </w:r>
      <w:r>
        <w:rPr>
          <w:rFonts w:hint="eastAsia"/>
          <w:u w:val="single"/>
        </w:rPr>
        <w:t xml:space="preserve">   </w:t>
      </w:r>
      <w:r>
        <w:rPr>
          <w:rFonts w:hint="eastAsia"/>
        </w:rPr>
        <w:t>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2"/>
        <w:rPr>
          <w:lang w:val="en-US"/>
        </w:rPr>
      </w:pPr>
    </w:p>
    <w:p/>
    <w:p>
      <w:pPr>
        <w:pStyle w:val="2"/>
        <w:rPr>
          <w:lang w:val="en-US"/>
        </w:rPr>
      </w:pPr>
    </w:p>
    <w:p/>
    <w:p>
      <w:pPr>
        <w:pStyle w:val="2"/>
        <w:rPr>
          <w:lang w:val="en-US"/>
        </w:rPr>
      </w:pPr>
    </w:p>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32"/>
      <w:r>
        <w:rPr>
          <w:rFonts w:ascii="仿宋" w:hAnsi="仿宋" w:eastAsia="仿宋" w:cs="仿宋_GB2312"/>
          <w:b/>
          <w:sz w:val="36"/>
          <w:szCs w:val="20"/>
        </w:rPr>
        <w:t xml:space="preserve"> </w:t>
      </w:r>
      <w:bookmarkEnd w:id="43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落实政府采购政策需满足的资格要求……………………………………（页码）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（一）具备《中华人民共和国政府采购法》第二十二条规定的以下条件：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pStyle w:val="2"/>
        <w:rPr>
          <w:lang w:val="en-US"/>
        </w:rPr>
      </w:pPr>
    </w:p>
    <w:p/>
    <w:p>
      <w:pPr>
        <w:pStyle w:val="2"/>
        <w:rPr>
          <w:lang w:val="en-US"/>
        </w:rPr>
      </w:pPr>
    </w:p>
    <w:p/>
    <w:p>
      <w:pPr>
        <w:pStyle w:val="2"/>
        <w:rPr>
          <w:lang w:val="en-US"/>
        </w:rPr>
      </w:pPr>
    </w:p>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专门面向中小企业，货物全部由符合政策要求的中小企业（或小微企业）制造或者服务全部由符合政策要求的中小企业（或小微企业）承接的，提供相应的中小企业声明函（附件4）。</w:t>
      </w:r>
      <w:r>
        <w:rPr>
          <w:rFonts w:ascii="仿宋_GB2312" w:hAnsi="仿宋" w:eastAsia="仿宋_GB2312" w:cs="仿宋_GB2312"/>
          <w:sz w:val="24"/>
        </w:rPr>
        <w:t xml:space="preserve"> </w:t>
      </w: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lang w:val="en-US"/>
        </w:rPr>
      </w:pPr>
    </w:p>
    <w:p/>
    <w:p>
      <w:pPr>
        <w:pStyle w:val="2"/>
        <w:rPr>
          <w:rFonts w:hint="eastAsia"/>
          <w:lang w:val="en-US"/>
        </w:rPr>
      </w:pPr>
    </w:p>
    <w:p/>
    <w:p>
      <w:pPr>
        <w:pStyle w:val="2"/>
        <w:rPr>
          <w:lang w:val="en-US"/>
        </w:rPr>
      </w:pPr>
    </w:p>
    <w:p/>
    <w:p>
      <w:pPr>
        <w:pStyle w:val="2"/>
        <w:rPr>
          <w:lang w:val="en-US"/>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（5</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pStyle w:val="177"/>
        <w:spacing w:line="360" w:lineRule="auto"/>
        <w:rPr>
          <w:rFonts w:ascii="仿宋_GB2312" w:hAnsi="仿宋" w:eastAsia="仿宋_GB2312"/>
          <w:bCs/>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7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7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snapToGrid w:val="0"/>
        <w:spacing w:line="360" w:lineRule="auto"/>
        <w:rPr>
          <w:rFonts w:ascii="仿宋_GB2312" w:hAnsi="仿宋" w:eastAsia="仿宋_GB2312" w:cs="仿宋_GB2312"/>
          <w:kern w:val="0"/>
          <w:sz w:val="24"/>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w:t>
      </w:r>
    </w:p>
    <w:p>
      <w:pPr>
        <w:jc w:val="center"/>
        <w:rPr>
          <w:rFonts w:ascii="仿宋_GB2312" w:hAnsi="仿宋" w:eastAsia="仿宋_GB2312" w:cs="仿宋_GB2312"/>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714"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投标文件按照招标文件要求签署、盖章。</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投标文件中承诺的投标有效期不少于招标文件中载明的投标有效期。</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714" w:type="dxa"/>
            <w:vAlign w:val="center"/>
          </w:tcPr>
          <w:p>
            <w:pPr>
              <w:spacing w:line="360" w:lineRule="auto"/>
              <w:rPr>
                <w:rFonts w:ascii="仿宋_GB2312" w:hAnsi="仿宋" w:eastAsia="仿宋_GB2312"/>
                <w:sz w:val="24"/>
              </w:rPr>
            </w:pPr>
            <w:r>
              <w:rPr>
                <w:rFonts w:hint="eastAsia" w:ascii="仿宋_GB2312" w:hAnsi="仿宋" w:eastAsia="仿宋_GB2312"/>
                <w:sz w:val="24"/>
              </w:rPr>
              <w:t>招标文件其它实质性要求相应的材料（“★” 系指实质性要求条款，招标文件无其它实质性要求的，无需提供）</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2"/>
        <w:rPr>
          <w:rFonts w:cs="仿宋_GB2312"/>
          <w:kern w:val="0"/>
        </w:rPr>
      </w:pPr>
    </w:p>
    <w:p>
      <w:pPr>
        <w:rPr>
          <w:rFonts w:ascii="仿宋_GB2312" w:hAnsi="仿宋" w:eastAsia="仿宋_GB2312" w:cs="仿宋_GB2312"/>
          <w:b/>
          <w:kern w:val="0"/>
          <w:sz w:val="32"/>
          <w:szCs w:val="32"/>
        </w:rPr>
      </w:pPr>
    </w:p>
    <w:p>
      <w:pPr>
        <w:pStyle w:val="2"/>
        <w:rPr>
          <w:rFonts w:cs="仿宋_GB2312"/>
          <w:kern w:val="0"/>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四、评标标准相应的商务技术资料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289"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940" w:type="dxa"/>
          </w:tcPr>
          <w:p>
            <w:pPr>
              <w:jc w:val="center"/>
              <w:rPr>
                <w:rFonts w:ascii="仿宋_GB2312" w:hAnsi="仿宋" w:eastAsia="仿宋_GB2312"/>
                <w:b/>
                <w:bCs/>
                <w:sz w:val="24"/>
              </w:rPr>
            </w:pPr>
            <w:r>
              <w:rPr>
                <w:rFonts w:hint="eastAsia" w:ascii="仿宋_GB2312" w:hAnsi="仿宋" w:eastAsia="仿宋_GB2312"/>
                <w:b/>
                <w:bCs/>
                <w:sz w:val="24"/>
              </w:rPr>
              <w:t>投标文件章节（页码）及具体内容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289" w:type="dxa"/>
          </w:tcPr>
          <w:p>
            <w:pPr>
              <w:jc w:val="center"/>
              <w:rPr>
                <w:rFonts w:ascii="仿宋_GB2312" w:hAnsi="仿宋" w:eastAsia="仿宋_GB2312" w:cs="仿宋_GB2312"/>
                <w:b/>
                <w:kern w:val="0"/>
                <w:sz w:val="32"/>
                <w:szCs w:val="32"/>
              </w:rPr>
            </w:pPr>
          </w:p>
        </w:tc>
        <w:tc>
          <w:tcPr>
            <w:tcW w:w="3940"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注：</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2、投标人递交的技术规格书中必须真实逐条列明，否则由投标人自行承担相关风险。</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3、此表在不改变格式的情况下可自行制作。</w:t>
      </w:r>
    </w:p>
    <w:p>
      <w:pPr>
        <w:pStyle w:val="33"/>
        <w:spacing w:line="400" w:lineRule="atLeast"/>
        <w:rPr>
          <w:rFonts w:ascii="仿宋_GB2312" w:hAnsi="仿宋" w:eastAsia="仿宋_GB2312" w:cs="仿宋_GB2312"/>
          <w:snapToGrid/>
          <w:kern w:val="0"/>
          <w:sz w:val="24"/>
          <w:szCs w:val="24"/>
        </w:rPr>
      </w:pPr>
      <w:r>
        <w:rPr>
          <w:rFonts w:hint="eastAsia" w:ascii="仿宋_GB2312" w:hAnsi="仿宋" w:eastAsia="仿宋_GB2312" w:cs="仿宋_GB2312"/>
          <w:snapToGrid/>
          <w:kern w:val="0"/>
          <w:sz w:val="24"/>
          <w:szCs w:val="24"/>
        </w:rPr>
        <w:t>4、此表置于商务技术文件中。</w:t>
      </w:r>
    </w:p>
    <w:p>
      <w:pPr>
        <w:jc w:val="left"/>
        <w:rPr>
          <w:rFonts w:ascii="仿宋_GB2312" w:hAnsi="仿宋" w:eastAsia="仿宋_GB2312" w:cs="仿宋_GB2312"/>
          <w:b/>
          <w:kern w:val="0"/>
          <w:sz w:val="24"/>
        </w:rPr>
      </w:pPr>
      <w:r>
        <w:rPr>
          <w:rFonts w:hint="eastAsia" w:ascii="仿宋_GB2312" w:hAnsi="仿宋" w:eastAsia="仿宋_GB2312" w:cs="仿宋_GB2312"/>
          <w:b/>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9"/>
        <w:keepNext w:val="0"/>
        <w:pageBreakBefore w:val="0"/>
        <w:numPr>
          <w:ilvl w:val="0"/>
          <w:numId w:val="8"/>
        </w:numPr>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开标一览表（报价表）</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gridCol w:w="4677"/>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3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311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467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具体服务</w:t>
            </w:r>
          </w:p>
        </w:tc>
        <w:tc>
          <w:tcPr>
            <w:tcW w:w="538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8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标的一 </w:t>
            </w:r>
          </w:p>
        </w:tc>
        <w:tc>
          <w:tcPr>
            <w:tcW w:w="3119" w:type="dxa"/>
            <w:vAlign w:val="center"/>
          </w:tcPr>
          <w:p>
            <w:pPr>
              <w:snapToGrid w:val="0"/>
              <w:spacing w:line="360" w:lineRule="auto"/>
              <w:jc w:val="center"/>
              <w:rPr>
                <w:rFonts w:ascii="仿宋_GB2312" w:hAnsi="仿宋" w:eastAsia="仿宋_GB2312" w:cs="仿宋_GB2312"/>
                <w:sz w:val="24"/>
              </w:rPr>
            </w:pPr>
          </w:p>
        </w:tc>
        <w:tc>
          <w:tcPr>
            <w:tcW w:w="4677" w:type="dxa"/>
            <w:vAlign w:val="center"/>
          </w:tcPr>
          <w:p>
            <w:pPr>
              <w:snapToGrid w:val="0"/>
              <w:spacing w:line="360" w:lineRule="auto"/>
              <w:jc w:val="center"/>
              <w:rPr>
                <w:rFonts w:ascii="仿宋_GB2312" w:hAnsi="仿宋" w:eastAsia="仿宋_GB2312" w:cs="仿宋_GB2312"/>
                <w:sz w:val="24"/>
              </w:rPr>
            </w:pPr>
          </w:p>
        </w:tc>
        <w:tc>
          <w:tcPr>
            <w:tcW w:w="53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5387"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180" w:type="dxa"/>
            <w:gridSpan w:val="3"/>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5387" w:type="dxa"/>
            <w:vAlign w:val="center"/>
          </w:tcPr>
          <w:p>
            <w:pPr>
              <w:spacing w:line="360" w:lineRule="auto"/>
              <w:jc w:val="center"/>
              <w:rPr>
                <w:rFonts w:ascii="仿宋_GB2312" w:hAnsi="仿宋" w:eastAsia="仿宋_GB2312" w:cs="仿宋_GB2312"/>
                <w:sz w:val="24"/>
              </w:rPr>
            </w:pPr>
          </w:p>
        </w:tc>
      </w:tr>
    </w:tbl>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p>
    <w:p>
      <w:pPr>
        <w:snapToGrid w:val="0"/>
        <w:spacing w:line="360" w:lineRule="auto"/>
        <w:ind w:firstLine="8674" w:firstLineChars="36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投标人名称（电子签名）：</w:t>
      </w:r>
    </w:p>
    <w:p>
      <w:pPr>
        <w:snapToGrid w:val="0"/>
        <w:spacing w:line="360" w:lineRule="auto"/>
        <w:ind w:firstLine="9638" w:firstLineChars="400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 xml:space="preserve">日 </w:t>
      </w:r>
      <w:r>
        <w:rPr>
          <w:rFonts w:ascii="仿宋_GB2312" w:hAnsi="仿宋" w:eastAsia="仿宋_GB2312" w:cs="仿宋_GB2312"/>
          <w:b/>
          <w:kern w:val="0"/>
          <w:sz w:val="24"/>
          <w:lang w:val="zh-CN"/>
        </w:rPr>
        <w:t xml:space="preserve"> </w:t>
      </w:r>
      <w:r>
        <w:rPr>
          <w:rFonts w:hint="eastAsia" w:ascii="仿宋_GB2312" w:hAnsi="仿宋" w:eastAsia="仿宋_GB2312" w:cs="仿宋_GB2312"/>
          <w:b/>
          <w:kern w:val="0"/>
          <w:sz w:val="24"/>
          <w:lang w:val="zh-CN"/>
        </w:rPr>
        <w:t>期：</w:t>
      </w: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w:t>
      </w:r>
      <w:r>
        <w:rPr>
          <w:rFonts w:hint="eastAsia" w:ascii="仿宋_GB2312" w:hAnsi="仿宋" w:eastAsia="仿宋_GB2312" w:cs="仿宋_GB2312"/>
          <w:kern w:val="0"/>
          <w:sz w:val="24"/>
          <w:lang w:val="zh-CN"/>
        </w:rPr>
        <w:t>单位统一均为人民币元</w:t>
      </w:r>
      <w:r>
        <w:rPr>
          <w:rFonts w:ascii="仿宋_GB2312" w:hAnsi="仿宋" w:eastAsia="仿宋_GB2312" w:cs="仿宋_GB2312"/>
          <w:kern w:val="0"/>
          <w:sz w:val="24"/>
          <w:lang w:val="zh-CN"/>
        </w:rPr>
        <w:t>。</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4、特别提示：采购代理机构将对项目名称和项目编号，中标供应商名称、地址和中标金额，主要中标标的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pStyle w:val="699"/>
        <w:keepNext w:val="0"/>
        <w:pageBreakBefore w:val="0"/>
        <w:tabs>
          <w:tab w:val="clear" w:pos="720"/>
        </w:tabs>
        <w:snapToGrid w:val="0"/>
        <w:spacing w:before="120" w:after="120"/>
        <w:ind w:firstLine="482" w:firstLineChars="200"/>
        <w:jc w:val="both"/>
        <w:outlineLvl w:val="9"/>
        <w:rPr>
          <w:rFonts w:ascii="仿宋_GB2312" w:hAnsi="仿宋" w:eastAsia="仿宋_GB2312" w:cs="仿宋_GB2312"/>
          <w:kern w:val="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ind w:right="42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仿宋_GB2312" w:hAnsi="仿宋" w:eastAsia="仿宋_GB2312" w:cs="仿宋_GB2312"/>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434" w:name="_Toc465665161"/>
      <w:r>
        <w:rPr>
          <w:rFonts w:hint="eastAsia" w:ascii="仿宋_GB2312" w:hAnsi="仿宋" w:eastAsia="仿宋_GB2312"/>
        </w:rPr>
        <w:t>附件</w:t>
      </w:r>
      <w:bookmarkEnd w:id="43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35" w:name="OLE_LINK13"/>
      <w:bookmarkStart w:id="436" w:name="OLE_LINK14"/>
      <w:r>
        <w:rPr>
          <w:rFonts w:hint="eastAsia" w:ascii="仿宋_GB2312" w:hAnsi="仿宋" w:eastAsia="仿宋_GB2312"/>
          <w:b/>
          <w:spacing w:val="6"/>
          <w:sz w:val="32"/>
          <w:szCs w:val="32"/>
        </w:rPr>
        <w:t>残疾人福利性单位声明函</w:t>
      </w:r>
    </w:p>
    <w:bookmarkEnd w:id="435"/>
    <w:bookmarkEnd w:id="43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pStyle w:val="2"/>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附件4：</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仿宋" w:eastAsia="仿宋_GB2312" w:cs="Arial"/>
          <w:kern w:val="0"/>
          <w:sz w:val="24"/>
          <w:u w:val="single"/>
        </w:rPr>
        <w:t>软件和信息技术服务</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 xml:space="preserve">，属于 </w:t>
      </w:r>
      <w:r>
        <w:rPr>
          <w:rFonts w:hint="eastAsia" w:ascii="仿宋_GB2312" w:hAnsi="仿宋" w:eastAsia="仿宋_GB2312" w:cs="Arial"/>
          <w:kern w:val="0"/>
          <w:sz w:val="24"/>
          <w:u w:val="single"/>
        </w:rPr>
        <w:t>软件和信息技术服务</w:t>
      </w:r>
      <w:r>
        <w:rPr>
          <w:rFonts w:ascii="仿宋_GB2312" w:hAnsi="宋体" w:eastAsia="仿宋_GB2312"/>
          <w:sz w:val="24"/>
        </w:rPr>
        <w:t xml:space="preserve">；承建（承接）企业为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spacing w:line="360" w:lineRule="auto"/>
        <w:jc w:val="center"/>
        <w:rPr>
          <w:rFonts w:ascii="仿宋_GB2312" w:hAnsi="仿宋" w:eastAsia="仿宋_GB2312" w:cs="仿宋_GB2312"/>
          <w:b/>
          <w:sz w:val="32"/>
          <w:szCs w:val="32"/>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130</w:t>
    </w:r>
    <w:r>
      <w:rPr>
        <w:rFonts w:hint="eastAsia" w:ascii="仿宋_GB2312" w:eastAsia="仿宋_GB2312"/>
        <w:kern w:val="0"/>
        <w:szCs w:val="21"/>
      </w:rPr>
      <w:fldChar w:fldCharType="end"/>
    </w:r>
    <w:bookmarkStart w:id="437" w:name="_Toc91899912"/>
    <w:bookmarkStart w:id="438" w:name="_Toc131845147"/>
    <w:bookmarkStart w:id="439" w:name="_Toc36110187"/>
    <w:bookmarkStart w:id="440" w:name="_Toc164085800"/>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1"/>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396761DB"/>
    <w:multiLevelType w:val="multilevel"/>
    <w:tmpl w:val="396761DB"/>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465744"/>
    <w:multiLevelType w:val="singleLevel"/>
    <w:tmpl w:val="4E465744"/>
    <w:lvl w:ilvl="0" w:tentative="0">
      <w:start w:val="1"/>
      <w:numFmt w:val="chineseCounting"/>
      <w:suff w:val="nothing"/>
      <w:lvlText w:val="%1、"/>
      <w:lvlJc w:val="left"/>
      <w:rPr>
        <w:rFonts w:hint="eastAsia"/>
      </w:rPr>
    </w:lvl>
  </w:abstractNum>
  <w:abstractNum w:abstractNumId="5">
    <w:nsid w:val="4EAF669B"/>
    <w:multiLevelType w:val="multilevel"/>
    <w:tmpl w:val="4EAF669B"/>
    <w:lvl w:ilvl="0" w:tentative="0">
      <w:start w:val="1"/>
      <w:numFmt w:val="decimalEnclosedCircle"/>
      <w:pStyle w:val="994"/>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0A64EE"/>
    <w:multiLevelType w:val="multilevel"/>
    <w:tmpl w:val="5E0A64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WI4NGMxYmM4OGI2NTViN2UzYjM1MzExY2EzMzEifQ=="/>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095"/>
    <w:rsid w:val="000B268D"/>
    <w:rsid w:val="000B291B"/>
    <w:rsid w:val="000B315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FFB"/>
    <w:rsid w:val="00103251"/>
    <w:rsid w:val="00103509"/>
    <w:rsid w:val="0010393D"/>
    <w:rsid w:val="00103EBD"/>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85B"/>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5DC"/>
    <w:rsid w:val="00175942"/>
    <w:rsid w:val="00176AA6"/>
    <w:rsid w:val="00177063"/>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2E5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40C0"/>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59A"/>
    <w:rsid w:val="00291CF1"/>
    <w:rsid w:val="00292AA1"/>
    <w:rsid w:val="00294012"/>
    <w:rsid w:val="002945B0"/>
    <w:rsid w:val="0029499D"/>
    <w:rsid w:val="00294A13"/>
    <w:rsid w:val="00294B10"/>
    <w:rsid w:val="00294DF9"/>
    <w:rsid w:val="00295073"/>
    <w:rsid w:val="00295468"/>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B84"/>
    <w:rsid w:val="003B31A7"/>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13F"/>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1F3A"/>
    <w:rsid w:val="004120DF"/>
    <w:rsid w:val="004126B5"/>
    <w:rsid w:val="0041442F"/>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9AD"/>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76"/>
    <w:rsid w:val="0049333E"/>
    <w:rsid w:val="0049418F"/>
    <w:rsid w:val="0049570D"/>
    <w:rsid w:val="00495C48"/>
    <w:rsid w:val="00495DC6"/>
    <w:rsid w:val="00496CCE"/>
    <w:rsid w:val="00497303"/>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716"/>
    <w:rsid w:val="005668B9"/>
    <w:rsid w:val="00566E39"/>
    <w:rsid w:val="0056704E"/>
    <w:rsid w:val="00567623"/>
    <w:rsid w:val="005701C2"/>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601"/>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5335"/>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06E"/>
    <w:rsid w:val="00835AA0"/>
    <w:rsid w:val="00836323"/>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72B3"/>
    <w:rsid w:val="00887392"/>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97"/>
    <w:rsid w:val="008C17B2"/>
    <w:rsid w:val="008C1E3E"/>
    <w:rsid w:val="008C2059"/>
    <w:rsid w:val="008C21D0"/>
    <w:rsid w:val="008C2DBC"/>
    <w:rsid w:val="008C3A4E"/>
    <w:rsid w:val="008C5371"/>
    <w:rsid w:val="008C623D"/>
    <w:rsid w:val="008C65F4"/>
    <w:rsid w:val="008C6683"/>
    <w:rsid w:val="008C6E0C"/>
    <w:rsid w:val="008C7273"/>
    <w:rsid w:val="008C78F8"/>
    <w:rsid w:val="008C7B81"/>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9B2"/>
    <w:rsid w:val="009804D0"/>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3EAC"/>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9CC"/>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FEA"/>
    <w:rsid w:val="00CA2528"/>
    <w:rsid w:val="00CA35AF"/>
    <w:rsid w:val="00CA3B07"/>
    <w:rsid w:val="00CA3CAB"/>
    <w:rsid w:val="00CA3FC0"/>
    <w:rsid w:val="00CA533F"/>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70"/>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7129"/>
    <w:rsid w:val="00D279E7"/>
    <w:rsid w:val="00D27C8C"/>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00E"/>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D43"/>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671"/>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42D9"/>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5D3722"/>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A0556E"/>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4D2245"/>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334DFD"/>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3"/>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5"/>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7"/>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9"/>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uiPriority w:val="99"/>
    <w:tblPr>
      <w:tblCellMar>
        <w:top w:w="0" w:type="dxa"/>
        <w:left w:w="108" w:type="dxa"/>
        <w:bottom w:w="0" w:type="dxa"/>
        <w:right w:w="108" w:type="dxa"/>
      </w:tblCellMar>
    </w:tblPr>
  </w:style>
  <w:style w:type="paragraph" w:styleId="5">
    <w:name w:val="Normal Indent"/>
    <w:basedOn w:val="1"/>
    <w:link w:val="8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1"/>
    <w:qFormat/>
    <w:uiPriority w:val="99"/>
    <w:pPr>
      <w:shd w:val="clear" w:color="auto" w:fill="000080"/>
    </w:pPr>
  </w:style>
  <w:style w:type="paragraph" w:styleId="20">
    <w:name w:val="annotation text"/>
    <w:basedOn w:val="1"/>
    <w:link w:val="92"/>
    <w:qFormat/>
    <w:uiPriority w:val="99"/>
    <w:pPr>
      <w:jc w:val="left"/>
    </w:pPr>
  </w:style>
  <w:style w:type="paragraph" w:styleId="21">
    <w:name w:val="Salutation"/>
    <w:basedOn w:val="1"/>
    <w:next w:val="1"/>
    <w:link w:val="93"/>
    <w:qFormat/>
    <w:uiPriority w:val="0"/>
    <w:rPr>
      <w:rFonts w:ascii="仿宋_GB2312" w:eastAsia="仿宋_GB2312"/>
      <w:sz w:val="28"/>
      <w:szCs w:val="20"/>
    </w:rPr>
  </w:style>
  <w:style w:type="paragraph" w:styleId="22">
    <w:name w:val="Body Text 3"/>
    <w:basedOn w:val="1"/>
    <w:link w:val="94"/>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5"/>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9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98"/>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9"/>
    <w:qFormat/>
    <w:uiPriority w:val="0"/>
    <w:pPr>
      <w:ind w:left="100" w:leftChars="2500"/>
    </w:pPr>
    <w:rPr>
      <w:rFonts w:ascii="宋体"/>
      <w:sz w:val="24"/>
      <w:szCs w:val="21"/>
      <w:lang w:val="zh-CN"/>
    </w:rPr>
  </w:style>
  <w:style w:type="paragraph" w:styleId="37">
    <w:name w:val="Body Text Indent 2"/>
    <w:basedOn w:val="1"/>
    <w:link w:val="100"/>
    <w:qFormat/>
    <w:uiPriority w:val="0"/>
    <w:pPr>
      <w:spacing w:line="360" w:lineRule="auto"/>
      <w:ind w:firstLine="601"/>
      <w:textAlignment w:val="baseline"/>
    </w:pPr>
    <w:rPr>
      <w:rFonts w:ascii="宋体"/>
      <w:kern w:val="0"/>
      <w:sz w:val="28"/>
      <w:szCs w:val="20"/>
    </w:rPr>
  </w:style>
  <w:style w:type="paragraph" w:styleId="38">
    <w:name w:val="endnote text"/>
    <w:basedOn w:val="1"/>
    <w:link w:val="101"/>
    <w:qFormat/>
    <w:uiPriority w:val="0"/>
    <w:rPr>
      <w:lang w:val="zh-CN"/>
    </w:rPr>
  </w:style>
  <w:style w:type="paragraph" w:styleId="39">
    <w:name w:val="Balloon Text"/>
    <w:basedOn w:val="1"/>
    <w:link w:val="102"/>
    <w:qFormat/>
    <w:uiPriority w:val="99"/>
    <w:rPr>
      <w:sz w:val="18"/>
      <w:szCs w:val="18"/>
    </w:rPr>
  </w:style>
  <w:style w:type="paragraph" w:styleId="40">
    <w:name w:val="footer"/>
    <w:basedOn w:val="1"/>
    <w:link w:val="103"/>
    <w:qFormat/>
    <w:uiPriority w:val="99"/>
    <w:pPr>
      <w:tabs>
        <w:tab w:val="center" w:pos="4153"/>
        <w:tab w:val="right" w:pos="8306"/>
      </w:tabs>
      <w:snapToGrid w:val="0"/>
      <w:jc w:val="left"/>
    </w:pPr>
    <w:rPr>
      <w:sz w:val="18"/>
      <w:szCs w:val="18"/>
    </w:rPr>
  </w:style>
  <w:style w:type="paragraph" w:styleId="41">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1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8"/>
    <w:qFormat/>
    <w:uiPriority w:val="0"/>
    <w:pPr>
      <w:spacing w:line="360" w:lineRule="auto"/>
      <w:ind w:firstLine="420"/>
    </w:pPr>
    <w:rPr>
      <w:sz w:val="24"/>
      <w:szCs w:val="20"/>
    </w:rPr>
  </w:style>
  <w:style w:type="paragraph" w:styleId="54">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5">
    <w:name w:val="toc 2"/>
    <w:basedOn w:val="1"/>
    <w:next w:val="1"/>
    <w:qFormat/>
    <w:uiPriority w:val="39"/>
    <w:pPr>
      <w:ind w:left="420" w:leftChars="200"/>
    </w:pPr>
  </w:style>
  <w:style w:type="paragraph" w:styleId="56">
    <w:name w:val="toc 9"/>
    <w:basedOn w:val="1"/>
    <w:next w:val="1"/>
    <w:qFormat/>
    <w:uiPriority w:val="0"/>
    <w:pPr>
      <w:ind w:left="3360" w:leftChars="1600"/>
    </w:pPr>
  </w:style>
  <w:style w:type="paragraph" w:styleId="57">
    <w:name w:val="Body Text 2"/>
    <w:basedOn w:val="1"/>
    <w:link w:val="109"/>
    <w:qFormat/>
    <w:uiPriority w:val="0"/>
    <w:pPr>
      <w:spacing w:after="120" w:line="480" w:lineRule="auto"/>
    </w:pPr>
  </w:style>
  <w:style w:type="paragraph" w:styleId="58">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12"/>
    <w:qFormat/>
    <w:uiPriority w:val="99"/>
    <w:rPr>
      <w:b/>
      <w:bCs/>
    </w:rPr>
  </w:style>
  <w:style w:type="paragraph" w:styleId="62">
    <w:name w:val="Body Text First Indent"/>
    <w:basedOn w:val="24"/>
    <w:link w:val="113"/>
    <w:qFormat/>
    <w:uiPriority w:val="99"/>
    <w:pPr>
      <w:ind w:firstLine="420"/>
    </w:pPr>
    <w:rPr>
      <w:rFonts w:hAnsi="Calibri" w:cs="Times New Roman"/>
      <w:snapToGrid/>
      <w:szCs w:val="20"/>
    </w:rPr>
  </w:style>
  <w:style w:type="paragraph" w:styleId="63">
    <w:name w:val="Body Text First Indent 2"/>
    <w:basedOn w:val="25"/>
    <w:link w:val="114"/>
    <w:qFormat/>
    <w:uiPriority w:val="0"/>
    <w:pPr>
      <w:adjustRightInd/>
      <w:spacing w:after="120" w:line="240" w:lineRule="auto"/>
      <w:ind w:left="420" w:leftChars="200" w:firstLine="210"/>
    </w:pPr>
    <w:rPr>
      <w:sz w:val="21"/>
    </w:rPr>
  </w:style>
  <w:style w:type="table" w:styleId="65">
    <w:name w:val="Table Grid"/>
    <w:basedOn w:val="6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0"/>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1 字符2"/>
    <w:link w:val="3"/>
    <w:qFormat/>
    <w:uiPriority w:val="9"/>
    <w:rPr>
      <w:b/>
      <w:bCs/>
      <w:kern w:val="44"/>
      <w:sz w:val="44"/>
      <w:szCs w:val="44"/>
    </w:rPr>
  </w:style>
  <w:style w:type="character" w:customStyle="1" w:styleId="82">
    <w:name w:val="正文缩进 字符2"/>
    <w:link w:val="5"/>
    <w:qFormat/>
    <w:uiPriority w:val="0"/>
    <w:rPr>
      <w:rFonts w:ascii="宋体" w:eastAsia="宋体"/>
      <w:snapToGrid w:val="0"/>
      <w:color w:val="000000"/>
      <w:kern w:val="28"/>
      <w:sz w:val="28"/>
      <w:lang w:val="en-US" w:eastAsia="zh-CN" w:bidi="ar-SA"/>
    </w:rPr>
  </w:style>
  <w:style w:type="character" w:customStyle="1" w:styleId="83">
    <w:name w:val="标题 3 字符1"/>
    <w:basedOn w:val="71"/>
    <w:link w:val="4"/>
    <w:qFormat/>
    <w:uiPriority w:val="9"/>
    <w:rPr>
      <w:b/>
      <w:bCs/>
      <w:kern w:val="2"/>
      <w:sz w:val="32"/>
      <w:szCs w:val="32"/>
    </w:rPr>
  </w:style>
  <w:style w:type="character" w:customStyle="1" w:styleId="84">
    <w:name w:val="标题 4 字符1"/>
    <w:link w:val="6"/>
    <w:qFormat/>
    <w:uiPriority w:val="9"/>
    <w:rPr>
      <w:rFonts w:ascii="Arial" w:hAnsi="Arial" w:eastAsia="黑体"/>
      <w:b/>
      <w:bCs/>
      <w:kern w:val="2"/>
      <w:sz w:val="28"/>
      <w:szCs w:val="28"/>
      <w:lang w:val="zh-CN"/>
    </w:rPr>
  </w:style>
  <w:style w:type="character" w:customStyle="1" w:styleId="85">
    <w:name w:val="标题 5 字符1"/>
    <w:link w:val="7"/>
    <w:qFormat/>
    <w:uiPriority w:val="9"/>
    <w:rPr>
      <w:b/>
      <w:bCs/>
      <w:kern w:val="2"/>
      <w:sz w:val="28"/>
      <w:szCs w:val="28"/>
    </w:rPr>
  </w:style>
  <w:style w:type="character" w:customStyle="1" w:styleId="86">
    <w:name w:val="标题 6 字符1"/>
    <w:link w:val="8"/>
    <w:qFormat/>
    <w:uiPriority w:val="0"/>
    <w:rPr>
      <w:rFonts w:ascii="Arial" w:hAnsi="Arial" w:eastAsia="黑体"/>
      <w:b/>
      <w:bCs/>
      <w:kern w:val="2"/>
      <w:sz w:val="24"/>
      <w:szCs w:val="24"/>
    </w:rPr>
  </w:style>
  <w:style w:type="character" w:customStyle="1" w:styleId="87">
    <w:name w:val="标题 7 字符1"/>
    <w:link w:val="9"/>
    <w:qFormat/>
    <w:uiPriority w:val="0"/>
    <w:rPr>
      <w:b/>
      <w:bCs/>
      <w:kern w:val="2"/>
      <w:sz w:val="24"/>
      <w:szCs w:val="24"/>
    </w:rPr>
  </w:style>
  <w:style w:type="character" w:customStyle="1" w:styleId="88">
    <w:name w:val="标题 8 字符1"/>
    <w:link w:val="10"/>
    <w:qFormat/>
    <w:uiPriority w:val="0"/>
    <w:rPr>
      <w:rFonts w:ascii="Arial" w:hAnsi="Arial" w:eastAsia="黑体"/>
      <w:kern w:val="2"/>
      <w:sz w:val="24"/>
      <w:szCs w:val="24"/>
    </w:rPr>
  </w:style>
  <w:style w:type="character" w:customStyle="1" w:styleId="89">
    <w:name w:val="标题 9 字符1"/>
    <w:link w:val="11"/>
    <w:qFormat/>
    <w:uiPriority w:val="0"/>
    <w:rPr>
      <w:rFonts w:ascii="Arial" w:hAnsi="Arial" w:eastAsia="黑体"/>
      <w:kern w:val="2"/>
      <w:sz w:val="21"/>
      <w:szCs w:val="21"/>
    </w:rPr>
  </w:style>
  <w:style w:type="character" w:customStyle="1" w:styleId="90">
    <w:name w:val="题注 字符"/>
    <w:link w:val="16"/>
    <w:qFormat/>
    <w:uiPriority w:val="0"/>
    <w:rPr>
      <w:b/>
      <w:kern w:val="2"/>
      <w:sz w:val="28"/>
    </w:rPr>
  </w:style>
  <w:style w:type="character" w:customStyle="1" w:styleId="91">
    <w:name w:val="文档结构图 字符2"/>
    <w:link w:val="19"/>
    <w:qFormat/>
    <w:uiPriority w:val="0"/>
    <w:rPr>
      <w:kern w:val="2"/>
      <w:sz w:val="21"/>
      <w:szCs w:val="24"/>
      <w:shd w:val="clear" w:color="auto" w:fill="000080"/>
    </w:rPr>
  </w:style>
  <w:style w:type="character" w:customStyle="1" w:styleId="92">
    <w:name w:val="批注文字 字符1"/>
    <w:link w:val="20"/>
    <w:qFormat/>
    <w:uiPriority w:val="99"/>
    <w:rPr>
      <w:kern w:val="2"/>
      <w:sz w:val="21"/>
      <w:szCs w:val="24"/>
    </w:rPr>
  </w:style>
  <w:style w:type="character" w:customStyle="1" w:styleId="93">
    <w:name w:val="称呼 字符"/>
    <w:link w:val="21"/>
    <w:qFormat/>
    <w:uiPriority w:val="0"/>
    <w:rPr>
      <w:rFonts w:ascii="仿宋_GB2312" w:eastAsia="仿宋_GB2312"/>
      <w:kern w:val="2"/>
      <w:sz w:val="28"/>
    </w:rPr>
  </w:style>
  <w:style w:type="character" w:customStyle="1" w:styleId="94">
    <w:name w:val="正文文本 3 字符"/>
    <w:link w:val="22"/>
    <w:qFormat/>
    <w:uiPriority w:val="99"/>
    <w:rPr>
      <w:kern w:val="2"/>
      <w:sz w:val="21"/>
    </w:rPr>
  </w:style>
  <w:style w:type="character" w:customStyle="1" w:styleId="9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6">
    <w:name w:val="正文文本缩进 字符2"/>
    <w:link w:val="25"/>
    <w:qFormat/>
    <w:uiPriority w:val="0"/>
    <w:rPr>
      <w:rFonts w:ascii="宋体" w:hAnsi="宋体"/>
      <w:kern w:val="2"/>
      <w:sz w:val="24"/>
      <w:szCs w:val="24"/>
    </w:rPr>
  </w:style>
  <w:style w:type="character" w:customStyle="1" w:styleId="97">
    <w:name w:val="HTML 地址 字符"/>
    <w:link w:val="30"/>
    <w:qFormat/>
    <w:uiPriority w:val="0"/>
    <w:rPr>
      <w:rFonts w:ascii="宋体" w:hAnsi="宋体"/>
      <w:i/>
      <w:iCs/>
      <w:sz w:val="24"/>
      <w:szCs w:val="24"/>
    </w:rPr>
  </w:style>
  <w:style w:type="character" w:customStyle="1" w:styleId="98">
    <w:name w:val="纯文本 字符2"/>
    <w:link w:val="33"/>
    <w:qFormat/>
    <w:uiPriority w:val="99"/>
    <w:rPr>
      <w:rFonts w:ascii="宋体" w:hAnsi="Courier New" w:eastAsia="宋体" w:cs="Arial"/>
      <w:snapToGrid w:val="0"/>
      <w:kern w:val="2"/>
      <w:sz w:val="21"/>
      <w:szCs w:val="21"/>
      <w:lang w:val="en-US" w:eastAsia="zh-CN" w:bidi="ar-SA"/>
    </w:rPr>
  </w:style>
  <w:style w:type="character" w:customStyle="1" w:styleId="99">
    <w:name w:val="日期 字符"/>
    <w:link w:val="36"/>
    <w:qFormat/>
    <w:uiPriority w:val="0"/>
    <w:rPr>
      <w:rFonts w:ascii="宋体"/>
      <w:kern w:val="2"/>
      <w:sz w:val="24"/>
      <w:szCs w:val="21"/>
      <w:lang w:val="zh-CN"/>
    </w:rPr>
  </w:style>
  <w:style w:type="character" w:customStyle="1" w:styleId="100">
    <w:name w:val="正文文本缩进 2 字符1"/>
    <w:link w:val="37"/>
    <w:qFormat/>
    <w:uiPriority w:val="0"/>
    <w:rPr>
      <w:rFonts w:ascii="宋体"/>
      <w:sz w:val="28"/>
    </w:rPr>
  </w:style>
  <w:style w:type="character" w:customStyle="1" w:styleId="101">
    <w:name w:val="尾注文本 字符"/>
    <w:link w:val="38"/>
    <w:qFormat/>
    <w:uiPriority w:val="0"/>
    <w:rPr>
      <w:kern w:val="2"/>
      <w:sz w:val="21"/>
      <w:szCs w:val="24"/>
      <w:lang w:val="zh-CN"/>
    </w:rPr>
  </w:style>
  <w:style w:type="character" w:customStyle="1" w:styleId="102">
    <w:name w:val="批注框文本 字符1"/>
    <w:link w:val="39"/>
    <w:qFormat/>
    <w:uiPriority w:val="99"/>
    <w:rPr>
      <w:kern w:val="2"/>
      <w:sz w:val="18"/>
      <w:szCs w:val="18"/>
    </w:rPr>
  </w:style>
  <w:style w:type="character" w:customStyle="1" w:styleId="103">
    <w:name w:val="页脚 字符2"/>
    <w:link w:val="40"/>
    <w:qFormat/>
    <w:locked/>
    <w:uiPriority w:val="99"/>
    <w:rPr>
      <w:kern w:val="2"/>
      <w:sz w:val="18"/>
      <w:szCs w:val="18"/>
    </w:rPr>
  </w:style>
  <w:style w:type="character" w:customStyle="1" w:styleId="104">
    <w:name w:val="页眉 字符2"/>
    <w:link w:val="41"/>
    <w:qFormat/>
    <w:uiPriority w:val="99"/>
    <w:rPr>
      <w:kern w:val="2"/>
      <w:sz w:val="18"/>
      <w:szCs w:val="18"/>
    </w:rPr>
  </w:style>
  <w:style w:type="character" w:customStyle="1" w:styleId="105">
    <w:name w:val="签名 字符"/>
    <w:link w:val="42"/>
    <w:qFormat/>
    <w:uiPriority w:val="0"/>
    <w:rPr>
      <w:rFonts w:eastAsia="仿宋_GB2312"/>
      <w:sz w:val="24"/>
    </w:rPr>
  </w:style>
  <w:style w:type="character" w:customStyle="1" w:styleId="106">
    <w:name w:val="副标题 字符"/>
    <w:link w:val="47"/>
    <w:qFormat/>
    <w:uiPriority w:val="0"/>
    <w:rPr>
      <w:rFonts w:ascii="Arial" w:hAnsi="Arial" w:eastAsia="隶书"/>
      <w:b/>
      <w:bCs/>
      <w:kern w:val="28"/>
      <w:sz w:val="44"/>
      <w:szCs w:val="32"/>
      <w:lang w:val="en-US" w:eastAsia="zh-CN" w:bidi="ar-SA"/>
    </w:rPr>
  </w:style>
  <w:style w:type="character" w:customStyle="1" w:styleId="107">
    <w:name w:val="脚注文本 字符"/>
    <w:link w:val="50"/>
    <w:qFormat/>
    <w:uiPriority w:val="0"/>
    <w:rPr>
      <w:color w:val="0000FF"/>
      <w:sz w:val="21"/>
    </w:rPr>
  </w:style>
  <w:style w:type="character" w:customStyle="1" w:styleId="108">
    <w:name w:val="正文文本缩进 3 字符"/>
    <w:link w:val="53"/>
    <w:qFormat/>
    <w:uiPriority w:val="0"/>
    <w:rPr>
      <w:kern w:val="2"/>
      <w:sz w:val="24"/>
    </w:rPr>
  </w:style>
  <w:style w:type="character" w:customStyle="1" w:styleId="109">
    <w:name w:val="正文文本 2 字符1"/>
    <w:link w:val="57"/>
    <w:qFormat/>
    <w:uiPriority w:val="0"/>
    <w:rPr>
      <w:kern w:val="2"/>
      <w:sz w:val="21"/>
      <w:szCs w:val="24"/>
    </w:rPr>
  </w:style>
  <w:style w:type="character" w:customStyle="1" w:styleId="110">
    <w:name w:val="HTML 预设格式 字符"/>
    <w:link w:val="58"/>
    <w:qFormat/>
    <w:uiPriority w:val="0"/>
    <w:rPr>
      <w:rFonts w:ascii="黑体" w:hAnsi="Courier New" w:eastAsia="黑体"/>
    </w:rPr>
  </w:style>
  <w:style w:type="character" w:customStyle="1" w:styleId="111">
    <w:name w:val="标题 字符1"/>
    <w:link w:val="60"/>
    <w:qFormat/>
    <w:uiPriority w:val="10"/>
    <w:rPr>
      <w:b/>
      <w:sz w:val="24"/>
      <w:lang w:val="en-GB"/>
    </w:rPr>
  </w:style>
  <w:style w:type="character" w:customStyle="1" w:styleId="112">
    <w:name w:val="批注主题 字符1"/>
    <w:link w:val="61"/>
    <w:qFormat/>
    <w:uiPriority w:val="99"/>
    <w:rPr>
      <w:b/>
      <w:bCs/>
      <w:kern w:val="2"/>
      <w:sz w:val="21"/>
      <w:szCs w:val="24"/>
    </w:rPr>
  </w:style>
  <w:style w:type="character" w:customStyle="1" w:styleId="113">
    <w:name w:val="正文文本首行缩进 字符"/>
    <w:link w:val="62"/>
    <w:qFormat/>
    <w:uiPriority w:val="99"/>
    <w:rPr>
      <w:rFonts w:ascii="宋体"/>
      <w:kern w:val="2"/>
      <w:sz w:val="24"/>
      <w:lang w:val="zh-CN"/>
    </w:rPr>
  </w:style>
  <w:style w:type="character" w:customStyle="1" w:styleId="114">
    <w:name w:val="正文文本首行缩进 2 字符"/>
    <w:link w:val="63"/>
    <w:qFormat/>
    <w:uiPriority w:val="0"/>
    <w:rPr>
      <w:rFonts w:ascii="宋体" w:hAnsi="宋体"/>
      <w:kern w:val="2"/>
      <w:sz w:val="21"/>
      <w:szCs w:val="24"/>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标题 4 Char"/>
    <w:qFormat/>
    <w:uiPriority w:val="0"/>
    <w:rPr>
      <w:rFonts w:ascii="Arial" w:hAnsi="Arial" w:eastAsia="黑体"/>
      <w:b/>
      <w:kern w:val="2"/>
      <w:sz w:val="28"/>
    </w:rPr>
  </w:style>
  <w:style w:type="character" w:customStyle="1" w:styleId="145">
    <w:name w:val="链接"/>
    <w:qFormat/>
    <w:uiPriority w:val="0"/>
    <w:rPr>
      <w:color w:val="0000FF"/>
      <w:sz w:val="21"/>
      <w:szCs w:val="21"/>
      <w:u w:val="single"/>
    </w:rPr>
  </w:style>
  <w:style w:type="character" w:customStyle="1" w:styleId="146">
    <w:name w:val="h4 Char"/>
    <w:qFormat/>
    <w:uiPriority w:val="0"/>
    <w:rPr>
      <w:rFonts w:ascii="Arial" w:hAnsi="Arial" w:eastAsia="黑体"/>
      <w:b/>
      <w:bCs/>
      <w:kern w:val="2"/>
      <w:sz w:val="28"/>
      <w:szCs w:val="28"/>
      <w:lang w:val="zh-CN" w:eastAsia="zh-CN" w:bidi="ar-SA"/>
    </w:rPr>
  </w:style>
  <w:style w:type="character" w:customStyle="1" w:styleId="147">
    <w:name w:val="5正文 Char"/>
    <w:link w:val="148"/>
    <w:qFormat/>
    <w:uiPriority w:val="0"/>
    <w:rPr>
      <w:rFonts w:ascii="仿宋_GB2312" w:hAnsi="微软雅黑" w:eastAsia="仿宋_GB2312"/>
      <w:sz w:val="28"/>
      <w:szCs w:val="21"/>
    </w:rPr>
  </w:style>
  <w:style w:type="paragraph" w:customStyle="1" w:styleId="148">
    <w:name w:val="5正文"/>
    <w:basedOn w:val="1"/>
    <w:link w:val="14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9">
    <w:name w:val="标题 3 字符"/>
    <w:qFormat/>
    <w:uiPriority w:val="9"/>
    <w:rPr>
      <w:b/>
      <w:bCs/>
      <w:kern w:val="2"/>
      <w:sz w:val="32"/>
      <w:szCs w:val="32"/>
    </w:rPr>
  </w:style>
  <w:style w:type="character" w:customStyle="1" w:styleId="150">
    <w:name w:val="样式6 Char"/>
    <w:qFormat/>
    <w:uiPriority w:val="0"/>
    <w:rPr>
      <w:rFonts w:ascii="仿宋_GB2312" w:hAnsi="宋体" w:eastAsia="仿宋_GB2312"/>
      <w:b/>
      <w:bCs/>
      <w:kern w:val="2"/>
      <w:sz w:val="24"/>
      <w:szCs w:val="24"/>
      <w:lang w:val="en-US" w:eastAsia="zh-CN" w:bidi="ar-SA"/>
    </w:rPr>
  </w:style>
  <w:style w:type="character" w:customStyle="1" w:styleId="151">
    <w:name w:val="Char Char14"/>
    <w:qFormat/>
    <w:uiPriority w:val="6"/>
    <w:rPr>
      <w:rFonts w:ascii="黑体" w:hAnsi="黑体" w:eastAsia="黑体"/>
    </w:rPr>
  </w:style>
  <w:style w:type="character" w:customStyle="1" w:styleId="152">
    <w:name w:val="Heading 2 Hidden Char"/>
    <w:qFormat/>
    <w:uiPriority w:val="0"/>
    <w:rPr>
      <w:rFonts w:ascii="仿宋_GB2312" w:eastAsia="仿宋_GB2312"/>
      <w:b/>
      <w:bCs/>
      <w:kern w:val="2"/>
      <w:sz w:val="24"/>
      <w:szCs w:val="24"/>
      <w:lang w:val="zh-CN" w:eastAsia="zh-CN" w:bidi="ar-SA"/>
    </w:rPr>
  </w:style>
  <w:style w:type="character" w:customStyle="1" w:styleId="153">
    <w:name w:val="font11"/>
    <w:qFormat/>
    <w:uiPriority w:val="0"/>
    <w:rPr>
      <w:rFonts w:hint="default" w:ascii="Times New Roman" w:hAnsi="Times New Roman" w:cs="Times New Roman"/>
      <w:color w:val="000000"/>
      <w:sz w:val="22"/>
      <w:szCs w:val="22"/>
      <w:u w:val="none"/>
    </w:rPr>
  </w:style>
  <w:style w:type="character" w:customStyle="1" w:styleId="154">
    <w:name w:val="表正文 Char1"/>
    <w:qFormat/>
    <w:uiPriority w:val="0"/>
    <w:rPr>
      <w:rFonts w:ascii="宋体" w:eastAsia="宋体"/>
      <w:snapToGrid w:val="0"/>
      <w:color w:val="000000"/>
      <w:kern w:val="28"/>
      <w:sz w:val="28"/>
    </w:rPr>
  </w:style>
  <w:style w:type="character" w:customStyle="1" w:styleId="155">
    <w:name w:val="blue1"/>
    <w:basedOn w:val="71"/>
    <w:qFormat/>
    <w:uiPriority w:val="0"/>
    <w:rPr>
      <w:rFonts w:ascii="Arial" w:hAnsi="Arial" w:eastAsia="黑体" w:cs="Arial"/>
      <w:snapToGrid w:val="0"/>
      <w:kern w:val="0"/>
      <w:szCs w:val="21"/>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样式5 Char"/>
    <w:qFormat/>
    <w:uiPriority w:val="0"/>
    <w:rPr>
      <w:rFonts w:ascii="仿宋_GB2312" w:hAnsi="仿宋" w:eastAsia="仿宋_GB2312"/>
      <w:kern w:val="2"/>
      <w:sz w:val="24"/>
      <w:szCs w:val="24"/>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插图说明 Char"/>
    <w:qFormat/>
    <w:uiPriority w:val="0"/>
    <w:rPr>
      <w:rFonts w:eastAsia="黑体"/>
      <w:sz w:val="24"/>
      <w:lang w:val="en-US" w:eastAsia="zh-CN"/>
    </w:rPr>
  </w:style>
  <w:style w:type="character" w:customStyle="1" w:styleId="160">
    <w:name w:val="正文2 Char Char"/>
    <w:link w:val="161"/>
    <w:qFormat/>
    <w:uiPriority w:val="0"/>
    <w:rPr>
      <w:rFonts w:eastAsia="宋体"/>
      <w:kern w:val="2"/>
      <w:sz w:val="24"/>
      <w:lang w:val="en-US" w:eastAsia="zh-CN" w:bidi="ar-SA"/>
    </w:rPr>
  </w:style>
  <w:style w:type="paragraph" w:customStyle="1" w:styleId="161">
    <w:name w:val="正文2"/>
    <w:basedOn w:val="1"/>
    <w:link w:val="160"/>
    <w:qFormat/>
    <w:uiPriority w:val="0"/>
    <w:pPr>
      <w:spacing w:before="156" w:line="360" w:lineRule="auto"/>
      <w:ind w:firstLine="510" w:firstLineChars="200"/>
    </w:pPr>
    <w:rPr>
      <w:sz w:val="24"/>
      <w:szCs w:val="20"/>
    </w:rPr>
  </w:style>
  <w:style w:type="character" w:customStyle="1" w:styleId="162">
    <w:name w:val="Char Char24"/>
    <w:qFormat/>
    <w:uiPriority w:val="6"/>
    <w:rPr>
      <w:kern w:val="1"/>
      <w:sz w:val="21"/>
    </w:rPr>
  </w:style>
  <w:style w:type="character" w:customStyle="1" w:styleId="163">
    <w:name w:val="普通文字 Char1 Char"/>
    <w:qFormat/>
    <w:uiPriority w:val="0"/>
    <w:rPr>
      <w:rFonts w:ascii="宋体" w:hAnsi="Courier New" w:eastAsia="宋体"/>
      <w:kern w:val="2"/>
      <w:sz w:val="21"/>
      <w:szCs w:val="24"/>
      <w:lang w:val="en-US" w:eastAsia="zh-CN" w:bidi="ar-SA"/>
    </w:rPr>
  </w:style>
  <w:style w:type="character" w:customStyle="1" w:styleId="164">
    <w:name w:val="h3 Char1"/>
    <w:qFormat/>
    <w:uiPriority w:val="0"/>
    <w:rPr>
      <w:rFonts w:eastAsia="宋体"/>
      <w:b/>
      <w:bCs/>
      <w:kern w:val="2"/>
      <w:sz w:val="32"/>
      <w:szCs w:val="32"/>
      <w:lang w:bidi="ar-SA"/>
    </w:rPr>
  </w:style>
  <w:style w:type="character" w:customStyle="1" w:styleId="165">
    <w:name w:val="标题 Char1"/>
    <w:qFormat/>
    <w:uiPriority w:val="0"/>
    <w:rPr>
      <w:rFonts w:ascii="Cambria" w:hAnsi="Cambria" w:eastAsia="宋体" w:cs="Times New Roman"/>
      <w:b/>
      <w:bCs/>
      <w:sz w:val="32"/>
      <w:szCs w:val="32"/>
      <w:lang w:bidi="ar-SA"/>
    </w:rPr>
  </w:style>
  <w:style w:type="character" w:customStyle="1" w:styleId="166">
    <w:name w:val="gf正文1 Char"/>
    <w:qFormat/>
    <w:uiPriority w:val="0"/>
    <w:rPr>
      <w:rFonts w:ascii="宋体" w:hAnsi="宋体" w:eastAsia="宋体" w:cs="宋体"/>
      <w:kern w:val="2"/>
      <w:sz w:val="24"/>
      <w:szCs w:val="24"/>
      <w:lang w:val="en-US" w:eastAsia="zh-CN" w:bidi="ar-SA"/>
    </w:rPr>
  </w:style>
  <w:style w:type="character" w:customStyle="1" w:styleId="167">
    <w:name w:val="正文文本缩进 Char1"/>
    <w:qFormat/>
    <w:uiPriority w:val="0"/>
    <w:rPr>
      <w:rFonts w:ascii="Calibri" w:hAnsi="Calibri"/>
      <w:sz w:val="28"/>
    </w:rPr>
  </w:style>
  <w:style w:type="character" w:customStyle="1" w:styleId="168">
    <w:name w:val="No Spacing Char"/>
    <w:link w:val="169"/>
    <w:qFormat/>
    <w:uiPriority w:val="1"/>
    <w:rPr>
      <w:sz w:val="22"/>
      <w:szCs w:val="22"/>
      <w:lang w:val="en-US" w:eastAsia="zh-CN" w:bidi="ar-SA"/>
    </w:rPr>
  </w:style>
  <w:style w:type="paragraph" w:customStyle="1" w:styleId="169">
    <w:name w:val="无间隔1"/>
    <w:link w:val="168"/>
    <w:qFormat/>
    <w:uiPriority w:val="1"/>
    <w:rPr>
      <w:rFonts w:ascii="Times New Roman" w:hAnsi="Times New Roman" w:eastAsia="宋体" w:cs="Times New Roman"/>
      <w:sz w:val="22"/>
      <w:szCs w:val="22"/>
      <w:lang w:val="en-US" w:eastAsia="zh-CN"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font12gray1"/>
    <w:qFormat/>
    <w:uiPriority w:val="0"/>
    <w:rPr>
      <w:rFonts w:ascii="仿宋_GB2312" w:eastAsia="微软雅黑"/>
      <w:b/>
      <w:spacing w:val="300"/>
      <w:kern w:val="2"/>
      <w:sz w:val="18"/>
      <w:szCs w:val="18"/>
      <w:lang w:val="en-US" w:eastAsia="zh-CN" w:bidi="ar-SA"/>
    </w:rPr>
  </w:style>
  <w:style w:type="character" w:customStyle="1" w:styleId="172">
    <w:name w:val="Char Char7"/>
    <w:semiHidden/>
    <w:qFormat/>
    <w:uiPriority w:val="0"/>
    <w:rPr>
      <w:rFonts w:eastAsia="宋体"/>
      <w:kern w:val="2"/>
      <w:sz w:val="21"/>
      <w:szCs w:val="24"/>
      <w:lang w:val="en-US" w:eastAsia="zh-CN" w:bidi="ar-SA"/>
    </w:rPr>
  </w:style>
  <w:style w:type="character" w:customStyle="1" w:styleId="173">
    <w:name w:val="表名 Char"/>
    <w:qFormat/>
    <w:uiPriority w:val="0"/>
    <w:rPr>
      <w:rFonts w:eastAsia="宋体"/>
      <w:b/>
      <w:bCs/>
      <w:kern w:val="2"/>
      <w:sz w:val="24"/>
      <w:szCs w:val="24"/>
      <w:lang w:val="en-US" w:eastAsia="zh-CN" w:bidi="ar-SA"/>
    </w:rPr>
  </w:style>
  <w:style w:type="character" w:customStyle="1" w:styleId="174">
    <w:name w:val="Document Map Char"/>
    <w:qFormat/>
    <w:locked/>
    <w:uiPriority w:val="0"/>
    <w:rPr>
      <w:rFonts w:eastAsia="宋体"/>
      <w:kern w:val="2"/>
      <w:sz w:val="21"/>
      <w:szCs w:val="24"/>
      <w:lang w:val="en-US" w:eastAsia="zh-CN" w:bidi="ar-SA"/>
    </w:rPr>
  </w:style>
  <w:style w:type="character" w:customStyle="1" w:styleId="175">
    <w:name w:val="font41"/>
    <w:qFormat/>
    <w:uiPriority w:val="0"/>
    <w:rPr>
      <w:rFonts w:hint="eastAsia" w:ascii="仿宋_GB2312" w:eastAsia="仿宋_GB2312" w:cs="仿宋_GB2312"/>
      <w:color w:val="000000"/>
      <w:sz w:val="22"/>
      <w:szCs w:val="22"/>
      <w:u w:val="none"/>
    </w:rPr>
  </w:style>
  <w:style w:type="character" w:customStyle="1" w:styleId="176">
    <w:name w:val="纯文本 Char_0"/>
    <w:link w:val="177"/>
    <w:qFormat/>
    <w:uiPriority w:val="0"/>
    <w:rPr>
      <w:rFonts w:ascii="宋体" w:hAnsi="Courier New"/>
      <w:kern w:val="2"/>
      <w:sz w:val="21"/>
      <w:szCs w:val="21"/>
      <w:lang w:val="en-US" w:eastAsia="zh-CN"/>
    </w:rPr>
  </w:style>
  <w:style w:type="paragraph" w:customStyle="1" w:styleId="177">
    <w:name w:val="纯文本_0_0"/>
    <w:basedOn w:val="178"/>
    <w:link w:val="176"/>
    <w:qFormat/>
    <w:uiPriority w:val="0"/>
    <w:rPr>
      <w:rFonts w:ascii="宋体" w:hAnsi="Courier New"/>
      <w:szCs w:val="21"/>
    </w:rPr>
  </w:style>
  <w:style w:type="paragraph" w:customStyle="1" w:styleId="1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Balloon Text Char"/>
    <w:qFormat/>
    <w:locked/>
    <w:uiPriority w:val="0"/>
    <w:rPr>
      <w:rFonts w:eastAsia="宋体"/>
      <w:kern w:val="2"/>
      <w:sz w:val="18"/>
      <w:szCs w:val="18"/>
      <w:lang w:val="en-US" w:eastAsia="zh-CN" w:bidi="ar-SA"/>
    </w:rPr>
  </w:style>
  <w:style w:type="character" w:customStyle="1" w:styleId="180">
    <w:name w:val="正文 项目2 Char"/>
    <w:basedOn w:val="181"/>
    <w:qFormat/>
    <w:uiPriority w:val="0"/>
    <w:rPr>
      <w:rFonts w:ascii="仿宋_GB2312" w:hAnsi="仿宋_GB2312" w:eastAsia="仿宋_GB2312"/>
      <w:kern w:val="2"/>
      <w:sz w:val="24"/>
      <w:lang w:bidi="ar-SA"/>
    </w:rPr>
  </w:style>
  <w:style w:type="character" w:customStyle="1" w:styleId="181">
    <w:name w:val="正文 项目 Char"/>
    <w:qFormat/>
    <w:uiPriority w:val="0"/>
    <w:rPr>
      <w:rFonts w:ascii="仿宋_GB2312" w:hAnsi="仿宋_GB2312" w:eastAsia="仿宋_GB2312"/>
      <w:kern w:val="2"/>
      <w:sz w:val="24"/>
      <w:lang w:bidi="ar-SA"/>
    </w:rPr>
  </w:style>
  <w:style w:type="character" w:customStyle="1" w:styleId="182">
    <w:name w:val="h Char Char1"/>
    <w:qFormat/>
    <w:uiPriority w:val="0"/>
    <w:rPr>
      <w:rFonts w:eastAsia="宋体"/>
      <w:kern w:val="2"/>
      <w:sz w:val="18"/>
      <w:szCs w:val="18"/>
      <w:lang w:val="en-US" w:eastAsia="zh-CN" w:bidi="ar-SA"/>
    </w:rPr>
  </w:style>
  <w:style w:type="character" w:customStyle="1" w:styleId="183">
    <w:name w:val="Char Char27"/>
    <w:qFormat/>
    <w:uiPriority w:val="6"/>
    <w:rPr>
      <w:rFonts w:ascii="宋体" w:hAnsi="宋体" w:eastAsia="宋体"/>
      <w:color w:val="000000"/>
      <w:kern w:val="1"/>
      <w:sz w:val="28"/>
      <w:lang w:val="en-US" w:eastAsia="zh-CN" w:bidi="ar-SA"/>
    </w:rPr>
  </w:style>
  <w:style w:type="character" w:customStyle="1" w:styleId="184">
    <w:name w:val="px14"/>
    <w:qFormat/>
    <w:uiPriority w:val="0"/>
    <w:rPr>
      <w:rFonts w:ascii="仿宋_GB2312" w:eastAsia="微软雅黑" w:cs="Times New Roman"/>
      <w:b/>
      <w:kern w:val="2"/>
      <w:sz w:val="32"/>
      <w:szCs w:val="32"/>
      <w:lang w:val="en-US" w:eastAsia="zh-CN" w:bidi="ar-SA"/>
    </w:rPr>
  </w:style>
  <w:style w:type="character" w:customStyle="1" w:styleId="185">
    <w:name w:val="HTML 预设格式 Char1"/>
    <w:qFormat/>
    <w:uiPriority w:val="0"/>
    <w:rPr>
      <w:rFonts w:ascii="Courier New" w:hAnsi="Courier New" w:eastAsia="宋体" w:cs="Courier New"/>
      <w:sz w:val="20"/>
      <w:szCs w:val="20"/>
    </w:rPr>
  </w:style>
  <w:style w:type="character" w:customStyle="1" w:styleId="186">
    <w:name w:val="普通文字 Char1"/>
    <w:qFormat/>
    <w:uiPriority w:val="0"/>
    <w:rPr>
      <w:rFonts w:ascii="宋体" w:hAnsi="Courier New" w:eastAsia="宋体"/>
      <w:kern w:val="2"/>
      <w:sz w:val="21"/>
      <w:lang w:val="en-US" w:eastAsia="zh-CN"/>
    </w:rPr>
  </w:style>
  <w:style w:type="character" w:customStyle="1" w:styleId="187">
    <w:name w:val="hei16b1"/>
    <w:qFormat/>
    <w:uiPriority w:val="0"/>
    <w:rPr>
      <w:rFonts w:hint="default" w:ascii="Arial" w:hAnsi="Arial" w:cs="Arial"/>
      <w:b/>
      <w:bCs/>
      <w:color w:val="000000"/>
      <w:sz w:val="24"/>
      <w:szCs w:val="24"/>
    </w:rPr>
  </w:style>
  <w:style w:type="character" w:customStyle="1" w:styleId="188">
    <w:name w:val="正文（绿盟科技） Char"/>
    <w:link w:val="189"/>
    <w:qFormat/>
    <w:uiPriority w:val="0"/>
    <w:rPr>
      <w:rFonts w:ascii="Arial" w:hAnsi="Arial"/>
      <w:sz w:val="21"/>
      <w:szCs w:val="21"/>
    </w:rPr>
  </w:style>
  <w:style w:type="paragraph" w:customStyle="1" w:styleId="189">
    <w:name w:val="正文（绿盟科技）"/>
    <w:link w:val="188"/>
    <w:qFormat/>
    <w:uiPriority w:val="0"/>
    <w:pPr>
      <w:spacing w:line="300" w:lineRule="auto"/>
    </w:pPr>
    <w:rPr>
      <w:rFonts w:ascii="Arial" w:hAnsi="Arial" w:eastAsia="宋体" w:cs="Times New Roman"/>
      <w:sz w:val="21"/>
      <w:szCs w:val="21"/>
      <w:lang w:val="en-US" w:eastAsia="zh-CN" w:bidi="ar-SA"/>
    </w:rPr>
  </w:style>
  <w:style w:type="character" w:customStyle="1" w:styleId="190">
    <w:name w:val="Char Char19"/>
    <w:qFormat/>
    <w:uiPriority w:val="6"/>
    <w:rPr>
      <w:rFonts w:ascii="宋体" w:hAnsi="宋体"/>
      <w:i/>
      <w:sz w:val="24"/>
      <w:szCs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0"/>
    <w:rPr>
      <w:rFonts w:eastAsia="宋体"/>
      <w:b/>
      <w:bCs/>
      <w:kern w:val="2"/>
      <w:sz w:val="21"/>
      <w:szCs w:val="24"/>
      <w:lang w:val="en-US" w:eastAsia="zh-CN" w:bidi="ar-SA"/>
    </w:rPr>
  </w:style>
  <w:style w:type="character" w:customStyle="1" w:styleId="193">
    <w:name w:val="Comment Text Char"/>
    <w:qFormat/>
    <w:locked/>
    <w:uiPriority w:val="0"/>
    <w:rPr>
      <w:rFonts w:ascii="宋体" w:hAnsi="宋体" w:eastAsia="宋体"/>
      <w:kern w:val="2"/>
      <w:sz w:val="24"/>
      <w:lang w:val="en-US" w:eastAsia="zh-CN" w:bidi="ar-SA"/>
    </w:rPr>
  </w:style>
  <w:style w:type="character" w:customStyle="1" w:styleId="194">
    <w:name w:val="标题 2 字符"/>
    <w:qFormat/>
    <w:uiPriority w:val="9"/>
    <w:rPr>
      <w:rFonts w:ascii="仿宋_GB2312" w:hAnsi="Times New Roman" w:eastAsia="仿宋_GB2312" w:cs="Times New Roman"/>
      <w:b/>
      <w:kern w:val="2"/>
      <w:sz w:val="24"/>
      <w:lang w:val="zh-CN"/>
    </w:rPr>
  </w:style>
  <w:style w:type="character" w:customStyle="1" w:styleId="195">
    <w:name w:val="Char Char72"/>
    <w:qFormat/>
    <w:uiPriority w:val="0"/>
    <w:rPr>
      <w:rFonts w:eastAsia="宋体"/>
      <w:kern w:val="2"/>
      <w:sz w:val="21"/>
      <w:szCs w:val="24"/>
      <w:lang w:val="en-US" w:eastAsia="zh-CN" w:bidi="ar-SA"/>
    </w:rPr>
  </w:style>
  <w:style w:type="character" w:customStyle="1" w:styleId="196">
    <w:name w:val="正文文本缩进 Char2"/>
    <w:qFormat/>
    <w:uiPriority w:val="0"/>
    <w:rPr>
      <w:rFonts w:ascii="Times New Roman" w:hAnsi="Times New Roman" w:eastAsia="宋体" w:cs="Times New Roman"/>
      <w:snapToGrid w:val="0"/>
      <w:kern w:val="0"/>
      <w:szCs w:val="24"/>
    </w:rPr>
  </w:style>
  <w:style w:type="character" w:customStyle="1" w:styleId="197">
    <w:name w:val="样式2 Char"/>
    <w:qFormat/>
    <w:uiPriority w:val="0"/>
    <w:rPr>
      <w:rFonts w:ascii="仿宋_GB2312" w:hAnsi="仿宋" w:eastAsia="仿宋_GB2312" w:cs="仿宋_GB2312"/>
      <w:b/>
      <w:bCs/>
      <w:sz w:val="32"/>
      <w:szCs w:val="30"/>
      <w:lang w:val="zh-CN"/>
    </w:rPr>
  </w:style>
  <w:style w:type="character" w:customStyle="1" w:styleId="198">
    <w:name w:val="表格名称[858D7CFB-ED40-4347-BF05-701D383B685F]"/>
    <w:link w:val="199"/>
    <w:qFormat/>
    <w:uiPriority w:val="0"/>
    <w:rPr>
      <w:sz w:val="32"/>
    </w:rPr>
  </w:style>
  <w:style w:type="paragraph" w:customStyle="1" w:styleId="199">
    <w:name w:val="表格名称"/>
    <w:basedOn w:val="2"/>
    <w:link w:val="19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0">
    <w:name w:val="Char Char4"/>
    <w:qFormat/>
    <w:uiPriority w:val="0"/>
    <w:rPr>
      <w:rFonts w:eastAsia="宋体"/>
      <w:b/>
      <w:sz w:val="24"/>
      <w:lang w:val="en-GB" w:eastAsia="zh-CN" w:bidi="ar-SA"/>
    </w:rPr>
  </w:style>
  <w:style w:type="character" w:customStyle="1" w:styleId="201">
    <w:name w:val="c7 style3"/>
    <w:qFormat/>
    <w:uiPriority w:val="0"/>
  </w:style>
  <w:style w:type="character" w:customStyle="1" w:styleId="202">
    <w:name w:val="正文文本 3 Char1"/>
    <w:semiHidden/>
    <w:qFormat/>
    <w:uiPriority w:val="99"/>
    <w:rPr>
      <w:rFonts w:ascii="Times New Roman" w:hAnsi="Times New Roman" w:eastAsia="宋体" w:cs="Times New Roman"/>
      <w:sz w:val="16"/>
      <w:szCs w:val="16"/>
    </w:rPr>
  </w:style>
  <w:style w:type="character" w:customStyle="1" w:styleId="203">
    <w:name w:val="tw4winInternal"/>
    <w:qFormat/>
    <w:uiPriority w:val="0"/>
    <w:rPr>
      <w:rFonts w:ascii="Courier New" w:hAnsi="Courier New" w:cs="Courier New"/>
      <w:color w:val="FF0000"/>
      <w:lang w:val="en-US" w:eastAsia="zh-CN"/>
    </w:rPr>
  </w:style>
  <w:style w:type="character" w:customStyle="1" w:styleId="204">
    <w:name w:val="Char Char10"/>
    <w:semiHidden/>
    <w:qFormat/>
    <w:uiPriority w:val="0"/>
    <w:rPr>
      <w:rFonts w:ascii="宋体" w:hAnsi="宋体"/>
      <w:kern w:val="2"/>
      <w:sz w:val="21"/>
      <w:szCs w:val="24"/>
      <w:lang w:val="en-US" w:eastAsia="zh-CN"/>
    </w:rPr>
  </w:style>
  <w:style w:type="character" w:customStyle="1" w:styleId="205">
    <w:name w:val="shadow11"/>
    <w:qFormat/>
    <w:uiPriority w:val="0"/>
    <w:rPr>
      <w:color w:val="000000"/>
      <w:sz w:val="21"/>
    </w:rPr>
  </w:style>
  <w:style w:type="character" w:customStyle="1" w:styleId="206">
    <w:name w:val="正文非缩进 Char3"/>
    <w:qFormat/>
    <w:uiPriority w:val="0"/>
    <w:rPr>
      <w:rFonts w:ascii="宋体" w:eastAsia="宋体"/>
      <w:snapToGrid w:val="0"/>
      <w:color w:val="000000"/>
      <w:kern w:val="28"/>
      <w:sz w:val="28"/>
      <w:lang w:val="en-US" w:eastAsia="zh-CN" w:bidi="ar-SA"/>
    </w:rPr>
  </w:style>
  <w:style w:type="character" w:customStyle="1" w:styleId="207">
    <w:name w:val="Char Char"/>
    <w:qFormat/>
    <w:uiPriority w:val="0"/>
    <w:rPr>
      <w:rFonts w:ascii="宋体" w:hAnsi="Courier New" w:eastAsia="宋体"/>
      <w:kern w:val="2"/>
      <w:sz w:val="21"/>
      <w:lang w:val="en-US" w:eastAsia="zh-CN" w:bidi="ar-SA"/>
    </w:rPr>
  </w:style>
  <w:style w:type="character" w:customStyle="1" w:styleId="208">
    <w:name w:val="签名 Char1"/>
    <w:qFormat/>
    <w:uiPriority w:val="0"/>
    <w:rPr>
      <w:rFonts w:ascii="Times New Roman" w:hAnsi="Times New Roman" w:eastAsia="宋体" w:cs="Times New Roman"/>
      <w:szCs w:val="24"/>
    </w:rPr>
  </w:style>
  <w:style w:type="character" w:customStyle="1" w:styleId="209">
    <w:name w:val="Char Char18"/>
    <w:qFormat/>
    <w:uiPriority w:val="6"/>
    <w:rPr>
      <w:rFonts w:ascii="宋体" w:hAnsi="宋体"/>
      <w:sz w:val="28"/>
    </w:rPr>
  </w:style>
  <w:style w:type="character" w:customStyle="1" w:styleId="210">
    <w:name w:val="批注文字 Char"/>
    <w:qFormat/>
    <w:uiPriority w:val="99"/>
    <w:rPr>
      <w:kern w:val="2"/>
      <w:sz w:val="21"/>
      <w:szCs w:val="24"/>
    </w:rPr>
  </w:style>
  <w:style w:type="character" w:customStyle="1" w:styleId="211">
    <w:name w:val="Char Char22"/>
    <w:qFormat/>
    <w:uiPriority w:val="6"/>
    <w:rPr>
      <w:rFonts w:ascii="宋体" w:hAnsi="宋体"/>
      <w:kern w:val="1"/>
      <w:sz w:val="24"/>
      <w:szCs w:val="24"/>
    </w:rPr>
  </w:style>
  <w:style w:type="character" w:customStyle="1" w:styleId="212">
    <w:name w:val="pt141"/>
    <w:qFormat/>
    <w:uiPriority w:val="0"/>
    <w:rPr>
      <w:color w:val="330066"/>
      <w:sz w:val="22"/>
      <w:szCs w:val="22"/>
    </w:rPr>
  </w:style>
  <w:style w:type="character" w:customStyle="1" w:styleId="213">
    <w:name w:val="正文文本缩进 2 Char1"/>
    <w:semiHidden/>
    <w:qFormat/>
    <w:uiPriority w:val="99"/>
    <w:rPr>
      <w:rFonts w:ascii="Times New Roman" w:hAnsi="Times New Roman" w:eastAsia="宋体" w:cs="Times New Roman"/>
      <w:szCs w:val="24"/>
    </w:rPr>
  </w:style>
  <w:style w:type="character" w:customStyle="1" w:styleId="214">
    <w:name w:val="Char Char611"/>
    <w:qFormat/>
    <w:uiPriority w:val="0"/>
    <w:rPr>
      <w:rFonts w:eastAsia="宋体"/>
      <w:kern w:val="2"/>
      <w:sz w:val="21"/>
      <w:szCs w:val="24"/>
      <w:lang w:val="en-US" w:eastAsia="zh-CN"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my正文 Char"/>
    <w:link w:val="217"/>
    <w:qFormat/>
    <w:locked/>
    <w:uiPriority w:val="0"/>
    <w:rPr>
      <w:rFonts w:ascii="Tahoma" w:hAnsi="Tahoma"/>
      <w:sz w:val="24"/>
      <w:szCs w:val="24"/>
    </w:rPr>
  </w:style>
  <w:style w:type="paragraph" w:customStyle="1" w:styleId="217">
    <w:name w:val="my正文"/>
    <w:basedOn w:val="1"/>
    <w:link w:val="216"/>
    <w:qFormat/>
    <w:uiPriority w:val="0"/>
    <w:pPr>
      <w:adjustRightInd/>
      <w:spacing w:line="360" w:lineRule="auto"/>
      <w:ind w:firstLine="480" w:firstLineChars="200"/>
    </w:pPr>
    <w:rPr>
      <w:rFonts w:ascii="Tahoma" w:hAnsi="Tahoma"/>
      <w:kern w:val="0"/>
      <w:sz w:val="24"/>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99"/>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H6 Char"/>
    <w:qFormat/>
    <w:uiPriority w:val="0"/>
    <w:rPr>
      <w:rFonts w:ascii="Arial" w:hAnsi="Arial" w:eastAsia="黑体"/>
      <w:b/>
      <w:bCs/>
      <w:kern w:val="2"/>
      <w:sz w:val="24"/>
      <w:szCs w:val="24"/>
    </w:rPr>
  </w:style>
  <w:style w:type="character" w:customStyle="1" w:styleId="227">
    <w:name w:val="Char Char91"/>
    <w:qFormat/>
    <w:uiPriority w:val="0"/>
    <w:rPr>
      <w:rFonts w:eastAsia="宋体"/>
      <w:kern w:val="2"/>
      <w:sz w:val="18"/>
      <w:szCs w:val="18"/>
      <w:lang w:val="en-US" w:eastAsia="zh-CN" w:bidi="ar-SA"/>
    </w:rPr>
  </w:style>
  <w:style w:type="character" w:customStyle="1" w:styleId="228">
    <w:name w:val="副标题 Char1"/>
    <w:qFormat/>
    <w:uiPriority w:val="0"/>
    <w:rPr>
      <w:rFonts w:ascii="Cambria" w:hAnsi="Cambria" w:eastAsia="宋体" w:cs="Times New Roman"/>
      <w:b/>
      <w:bCs/>
      <w:snapToGrid w:val="0"/>
      <w:kern w:val="28"/>
      <w:sz w:val="32"/>
      <w:szCs w:val="32"/>
    </w:rPr>
  </w:style>
  <w:style w:type="character" w:customStyle="1" w:styleId="229">
    <w:name w:val="font61"/>
    <w:qFormat/>
    <w:uiPriority w:val="0"/>
    <w:rPr>
      <w:rFonts w:hint="eastAsia" w:ascii="仿宋" w:hAnsi="仿宋" w:eastAsia="仿宋" w:cs="仿宋"/>
      <w:color w:val="000000"/>
      <w:sz w:val="20"/>
      <w:szCs w:val="20"/>
      <w:u w:val="none"/>
    </w:rPr>
  </w:style>
  <w:style w:type="character" w:customStyle="1" w:styleId="2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1">
    <w:name w:val="Char Char211"/>
    <w:qFormat/>
    <w:uiPriority w:val="0"/>
    <w:rPr>
      <w:rFonts w:eastAsia="宋体"/>
      <w:b/>
      <w:bCs/>
      <w:kern w:val="2"/>
      <w:sz w:val="21"/>
      <w:szCs w:val="24"/>
      <w:lang w:val="en-US" w:eastAsia="zh-CN" w:bidi="ar-SA"/>
    </w:rPr>
  </w:style>
  <w:style w:type="character" w:customStyle="1" w:styleId="232">
    <w:name w:val="标题 2 Char"/>
    <w:qFormat/>
    <w:uiPriority w:val="9"/>
    <w:rPr>
      <w:rFonts w:ascii="Arial" w:hAnsi="Arial" w:eastAsia="黑体"/>
      <w:b/>
      <w:kern w:val="2"/>
      <w:sz w:val="32"/>
      <w:lang w:val="en-US" w:eastAsia="zh-CN"/>
    </w:rPr>
  </w:style>
  <w:style w:type="character" w:customStyle="1" w:styleId="233">
    <w:name w:val="maywed421"/>
    <w:qFormat/>
    <w:uiPriority w:val="0"/>
    <w:rPr>
      <w:color w:val="366FB6"/>
      <w:u w:val="none"/>
    </w:rPr>
  </w:style>
  <w:style w:type="character" w:customStyle="1" w:styleId="234">
    <w:name w:val="正文文本缩进 Char"/>
    <w:qFormat/>
    <w:uiPriority w:val="99"/>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7"/>
    <w:qFormat/>
    <w:uiPriority w:val="0"/>
    <w:rPr>
      <w:rFonts w:ascii="仿宋_GB2312" w:hAnsi="仿宋" w:eastAsia="仿宋_GB2312" w:cs="仿宋_GB2312"/>
      <w:sz w:val="32"/>
      <w:szCs w:val="30"/>
      <w:lang w:val="zh-CN"/>
    </w:rPr>
  </w:style>
  <w:style w:type="character" w:customStyle="1" w:styleId="242">
    <w:name w:val="正文首行缩进 2 Char1"/>
    <w:qFormat/>
    <w:uiPriority w:val="0"/>
    <w:rPr>
      <w:rFonts w:ascii="Times New Roman" w:hAnsi="Times New Roman" w:eastAsia="宋体" w:cs="Times New Roman"/>
      <w:kern w:val="2"/>
      <w:sz w:val="24"/>
      <w:szCs w:val="24"/>
    </w:rPr>
  </w:style>
  <w:style w:type="character" w:customStyle="1" w:styleId="243">
    <w:name w:val="副标题 Char2"/>
    <w:qFormat/>
    <w:uiPriority w:val="0"/>
    <w:rPr>
      <w:rFonts w:ascii="Cambria" w:hAnsi="Cambria" w:eastAsia="宋体" w:cs="Times New Roman"/>
      <w:b/>
      <w:bCs/>
      <w:snapToGrid w:val="0"/>
      <w:kern w:val="28"/>
      <w:sz w:val="32"/>
      <w:szCs w:val="32"/>
    </w:rPr>
  </w:style>
  <w:style w:type="character" w:customStyle="1" w:styleId="244">
    <w:name w:val="标题4-dyf Char"/>
    <w:link w:val="245"/>
    <w:qFormat/>
    <w:uiPriority w:val="0"/>
    <w:rPr>
      <w:rFonts w:ascii="Cambria" w:hAnsi="Cambria"/>
      <w:b/>
      <w:bCs/>
      <w:color w:val="000000"/>
      <w:kern w:val="2"/>
      <w:sz w:val="21"/>
      <w:szCs w:val="21"/>
    </w:rPr>
  </w:style>
  <w:style w:type="paragraph" w:customStyle="1" w:styleId="245">
    <w:name w:val="标题4-dyf"/>
    <w:basedOn w:val="6"/>
    <w:link w:val="2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6">
    <w:name w:val="dectext1"/>
    <w:qFormat/>
    <w:uiPriority w:val="0"/>
    <w:rPr>
      <w:rFonts w:ascii="宋体" w:hAnsi="宋体" w:eastAsia="宋体"/>
      <w:color w:val="333333"/>
      <w:sz w:val="21"/>
      <w:szCs w:val="21"/>
      <w:u w:val="none"/>
    </w:rPr>
  </w:style>
  <w:style w:type="character" w:customStyle="1" w:styleId="247">
    <w:name w:val="冯 Char"/>
    <w:link w:val="248"/>
    <w:qFormat/>
    <w:uiPriority w:val="0"/>
    <w:rPr>
      <w:rFonts w:ascii="宋体" w:hAnsi="宋体"/>
      <w:color w:val="000000"/>
      <w:sz w:val="24"/>
      <w:szCs w:val="24"/>
    </w:rPr>
  </w:style>
  <w:style w:type="paragraph" w:customStyle="1" w:styleId="248">
    <w:name w:val="冯"/>
    <w:basedOn w:val="1"/>
    <w:link w:val="247"/>
    <w:qFormat/>
    <w:uiPriority w:val="0"/>
    <w:pPr>
      <w:widowControl/>
      <w:adjustRightInd/>
      <w:spacing w:line="360" w:lineRule="auto"/>
      <w:ind w:firstLine="480" w:firstLineChars="200"/>
    </w:pPr>
    <w:rPr>
      <w:rFonts w:ascii="宋体" w:hAnsi="宋体"/>
      <w:color w:val="000000"/>
      <w:kern w:val="0"/>
      <w:sz w:val="24"/>
    </w:rPr>
  </w:style>
  <w:style w:type="character" w:customStyle="1" w:styleId="249">
    <w:name w:val="Header Char"/>
    <w:qFormat/>
    <w:locked/>
    <w:uiPriority w:val="0"/>
    <w:rPr>
      <w:rFonts w:eastAsia="宋体"/>
      <w:kern w:val="2"/>
      <w:sz w:val="18"/>
      <w:szCs w:val="18"/>
      <w:lang w:val="en-US" w:eastAsia="zh-CN" w:bidi="ar-SA"/>
    </w:rPr>
  </w:style>
  <w:style w:type="character" w:customStyle="1" w:styleId="250">
    <w:name w:val="Char Char12"/>
    <w:qFormat/>
    <w:uiPriority w:val="0"/>
    <w:rPr>
      <w:rFonts w:ascii="仿宋_GB2312" w:eastAsia="仿宋_GB2312"/>
      <w:b/>
      <w:bCs/>
      <w:kern w:val="2"/>
      <w:sz w:val="24"/>
      <w:szCs w:val="24"/>
      <w:lang w:val="zh-CN" w:eastAsia="zh-CN" w:bidi="ar-SA"/>
    </w:rPr>
  </w:style>
  <w:style w:type="character" w:customStyle="1" w:styleId="251">
    <w:name w:val="普通文字 Char3"/>
    <w:qFormat/>
    <w:uiPriority w:val="0"/>
    <w:rPr>
      <w:rFonts w:ascii="宋体" w:hAnsi="Courier New" w:eastAsia="宋体"/>
      <w:kern w:val="2"/>
      <w:sz w:val="21"/>
      <w:lang w:val="en-US" w:eastAsia="zh-CN" w:bidi="ar-SA"/>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正文首行缩进 Char Char Char Char Char"/>
    <w:qFormat/>
    <w:uiPriority w:val="0"/>
    <w:rPr>
      <w:rFonts w:ascii="宋体"/>
      <w:kern w:val="2"/>
      <w:sz w:val="24"/>
      <w:lang w:val="zh-CN"/>
    </w:rPr>
  </w:style>
  <w:style w:type="character" w:customStyle="1" w:styleId="254">
    <w:name w:val="PI Char"/>
    <w:qFormat/>
    <w:uiPriority w:val="0"/>
    <w:rPr>
      <w:rFonts w:ascii="宋体" w:hAnsi="宋体" w:eastAsia="宋体"/>
      <w:kern w:val="2"/>
      <w:sz w:val="24"/>
      <w:szCs w:val="24"/>
      <w:lang w:val="en-US" w:eastAsia="zh-CN"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style91"/>
    <w:qFormat/>
    <w:uiPriority w:val="0"/>
    <w:rPr>
      <w:color w:val="333333"/>
    </w:rPr>
  </w:style>
  <w:style w:type="character" w:customStyle="1" w:styleId="258">
    <w:name w:val="列出段落 Char2"/>
    <w:qFormat/>
    <w:uiPriority w:val="34"/>
    <w:rPr>
      <w:rFonts w:ascii="Calibri" w:hAnsi="Calibri"/>
      <w:kern w:val="2"/>
      <w:sz w:val="28"/>
    </w:rPr>
  </w:style>
  <w:style w:type="character" w:customStyle="1" w:styleId="259">
    <w:name w:val="mdeck"/>
    <w:qFormat/>
    <w:uiPriority w:val="0"/>
    <w:rPr>
      <w:rFonts w:ascii="仿宋_GB2312" w:eastAsia="微软雅黑"/>
      <w:b/>
      <w:kern w:val="2"/>
      <w:sz w:val="32"/>
      <w:szCs w:val="32"/>
      <w:lang w:val="en-US" w:eastAsia="zh-CN" w:bidi="ar-SA"/>
    </w:rPr>
  </w:style>
  <w:style w:type="character" w:customStyle="1" w:styleId="260">
    <w:name w:val="unnamed11"/>
    <w:qFormat/>
    <w:uiPriority w:val="0"/>
    <w:rPr>
      <w:sz w:val="20"/>
      <w:szCs w:val="20"/>
    </w:rPr>
  </w:style>
  <w:style w:type="character" w:customStyle="1" w:styleId="261">
    <w:name w:val="正文文本 Char2"/>
    <w:semiHidden/>
    <w:qFormat/>
    <w:uiPriority w:val="99"/>
    <w:rPr>
      <w:rFonts w:ascii="Times New Roman" w:hAnsi="Times New Roman" w:eastAsia="宋体" w:cs="Times New Roman"/>
      <w:snapToGrid w:val="0"/>
      <w:kern w:val="0"/>
      <w:szCs w:val="24"/>
    </w:rPr>
  </w:style>
  <w:style w:type="character" w:customStyle="1" w:styleId="262">
    <w:name w:val="标书正文格式 Char"/>
    <w:qFormat/>
    <w:uiPriority w:val="0"/>
    <w:rPr>
      <w:rFonts w:eastAsia="楷体_GB2312"/>
      <w:kern w:val="2"/>
      <w:sz w:val="24"/>
      <w:szCs w:val="24"/>
      <w:lang w:bidi="ar-SA"/>
    </w:rPr>
  </w:style>
  <w:style w:type="character" w:customStyle="1" w:styleId="263">
    <w:name w:val="Char Char11"/>
    <w:qFormat/>
    <w:locked/>
    <w:uiPriority w:val="0"/>
    <w:rPr>
      <w:rFonts w:ascii="宋体" w:hAnsi="宋体" w:eastAsia="宋体"/>
      <w:b/>
      <w:kern w:val="2"/>
      <w:sz w:val="24"/>
      <w:szCs w:val="24"/>
      <w:lang w:val="en-US" w:eastAsia="zh-CN" w:bidi="ar-SA"/>
    </w:rPr>
  </w:style>
  <w:style w:type="character" w:customStyle="1" w:styleId="264">
    <w:name w:val="ca-131"/>
    <w:qFormat/>
    <w:uiPriority w:val="0"/>
    <w:rPr>
      <w:rFonts w:hint="eastAsia" w:ascii="仿宋_GB2312" w:eastAsia="仿宋_GB2312"/>
      <w:b/>
      <w:bCs/>
      <w:color w:val="000000"/>
      <w:spacing w:val="-20"/>
      <w:sz w:val="24"/>
      <w:szCs w:val="24"/>
    </w:rPr>
  </w:style>
  <w:style w:type="character" w:customStyle="1" w:styleId="265">
    <w:name w:val="tw4winMark"/>
    <w:qFormat/>
    <w:uiPriority w:val="0"/>
    <w:rPr>
      <w:rFonts w:ascii="Courier New" w:hAnsi="Courier New" w:cs="Courier New"/>
      <w:vanish/>
      <w:color w:val="800080"/>
      <w:sz w:val="24"/>
      <w:szCs w:val="24"/>
      <w:vertAlign w:val="subscript"/>
    </w:rPr>
  </w:style>
  <w:style w:type="character" w:customStyle="1" w:styleId="266">
    <w:name w:val="正文样式 Char"/>
    <w:link w:val="267"/>
    <w:qFormat/>
    <w:uiPriority w:val="0"/>
    <w:rPr>
      <w:rFonts w:ascii="Calibri" w:hAnsi="Calibri"/>
      <w:sz w:val="24"/>
      <w:szCs w:val="24"/>
    </w:rPr>
  </w:style>
  <w:style w:type="paragraph" w:customStyle="1" w:styleId="267">
    <w:name w:val="正文样式"/>
    <w:basedOn w:val="1"/>
    <w:link w:val="266"/>
    <w:qFormat/>
    <w:uiPriority w:val="0"/>
    <w:pPr>
      <w:adjustRightInd/>
      <w:spacing w:line="360" w:lineRule="auto"/>
      <w:ind w:firstLine="480" w:firstLineChars="200"/>
    </w:pPr>
    <w:rPr>
      <w:kern w:val="0"/>
      <w:sz w:val="24"/>
    </w:rPr>
  </w:style>
  <w:style w:type="character" w:customStyle="1" w:styleId="268">
    <w:name w:val="表正文 Char3"/>
    <w:qFormat/>
    <w:uiPriority w:val="0"/>
    <w:rPr>
      <w:rFonts w:eastAsia="宋体"/>
    </w:rPr>
  </w:style>
  <w:style w:type="character" w:customStyle="1" w:styleId="269">
    <w:name w:val="H5 Char"/>
    <w:qFormat/>
    <w:uiPriority w:val="0"/>
    <w:rPr>
      <w:b/>
      <w:bCs/>
      <w:kern w:val="2"/>
      <w:sz w:val="28"/>
      <w:szCs w:val="28"/>
    </w:rPr>
  </w:style>
  <w:style w:type="character" w:customStyle="1" w:styleId="270">
    <w:name w:val="Char Char3"/>
    <w:qFormat/>
    <w:uiPriority w:val="0"/>
    <w:rPr>
      <w:rFonts w:eastAsia="宋体"/>
      <w:kern w:val="2"/>
      <w:sz w:val="21"/>
      <w:szCs w:val="24"/>
      <w:lang w:val="en-US" w:eastAsia="zh-CN" w:bidi="ar-SA"/>
    </w:rPr>
  </w:style>
  <w:style w:type="character" w:customStyle="1" w:styleId="271">
    <w:name w:val="正文 编号 Char"/>
    <w:qFormat/>
    <w:uiPriority w:val="0"/>
    <w:rPr>
      <w:rFonts w:ascii="仿宋_GB2312" w:hAnsi="仿宋_GB2312" w:eastAsia="仿宋_GB2312"/>
      <w:kern w:val="2"/>
      <w:sz w:val="24"/>
      <w:lang w:bidi="ar-SA"/>
    </w:rPr>
  </w:style>
  <w:style w:type="character" w:customStyle="1" w:styleId="272">
    <w:name w:val="question-title2"/>
    <w:qFormat/>
    <w:uiPriority w:val="6"/>
    <w:rPr>
      <w:rFonts w:ascii="Arial" w:hAnsi="Arial" w:eastAsia="黑体" w:cs="Arial"/>
      <w:snapToGrid w:val="0"/>
      <w:kern w:val="0"/>
      <w:szCs w:val="21"/>
    </w:rPr>
  </w:style>
  <w:style w:type="character" w:customStyle="1" w:styleId="273">
    <w:name w:val="gf正文1 Char Char"/>
    <w:link w:val="274"/>
    <w:qFormat/>
    <w:uiPriority w:val="0"/>
    <w:rPr>
      <w:rFonts w:ascii="宋体" w:hAnsi="宋体" w:cs="宋体"/>
      <w:kern w:val="2"/>
      <w:sz w:val="24"/>
      <w:szCs w:val="24"/>
    </w:rPr>
  </w:style>
  <w:style w:type="paragraph" w:customStyle="1" w:styleId="274">
    <w:name w:val="gf正文1"/>
    <w:basedOn w:val="1"/>
    <w:link w:val="27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5">
    <w:name w:val="Char Char15"/>
    <w:qFormat/>
    <w:uiPriority w:val="6"/>
    <w:rPr>
      <w:rFonts w:ascii="宋体" w:hAnsi="宋体"/>
      <w:kern w:val="1"/>
      <w:sz w:val="21"/>
    </w:rPr>
  </w:style>
  <w:style w:type="character" w:customStyle="1" w:styleId="276">
    <w:name w:val="正文缩进 Char3"/>
    <w:qFormat/>
    <w:uiPriority w:val="0"/>
    <w:rPr>
      <w:rFonts w:ascii="宋体" w:eastAsia="宋体"/>
      <w:snapToGrid w:val="0"/>
      <w:color w:val="000000"/>
      <w:kern w:val="28"/>
      <w:sz w:val="28"/>
      <w:lang w:val="en-US" w:eastAsia="zh-CN" w:bidi="ar-SA"/>
    </w:rPr>
  </w:style>
  <w:style w:type="character" w:customStyle="1" w:styleId="277">
    <w:name w:val="列出段落 Char1"/>
    <w:link w:val="278"/>
    <w:qFormat/>
    <w:uiPriority w:val="0"/>
    <w:rPr>
      <w:rFonts w:ascii="Calibri" w:hAnsi="Calibri"/>
      <w:sz w:val="24"/>
      <w:lang w:eastAsia="en-US"/>
    </w:rPr>
  </w:style>
  <w:style w:type="paragraph" w:customStyle="1" w:styleId="278">
    <w:name w:val="列表1"/>
    <w:basedOn w:val="1"/>
    <w:next w:val="279"/>
    <w:link w:val="277"/>
    <w:qFormat/>
    <w:uiPriority w:val="0"/>
    <w:pPr>
      <w:widowControl/>
      <w:adjustRightInd/>
      <w:spacing w:after="200" w:line="360" w:lineRule="auto"/>
      <w:ind w:left="720" w:firstLine="200" w:firstLineChars="200"/>
      <w:jc w:val="left"/>
    </w:pPr>
    <w:rPr>
      <w:kern w:val="0"/>
      <w:sz w:val="24"/>
      <w:szCs w:val="20"/>
      <w:lang w:eastAsia="en-US"/>
    </w:rPr>
  </w:style>
  <w:style w:type="paragraph" w:styleId="279">
    <w:name w:val="List Paragraph"/>
    <w:basedOn w:val="1"/>
    <w:qFormat/>
    <w:uiPriority w:val="0"/>
    <w:pPr>
      <w:spacing w:line="360" w:lineRule="auto"/>
      <w:ind w:firstLine="200" w:firstLineChars="200"/>
    </w:pPr>
    <w:rPr>
      <w:rFonts w:eastAsia="楷体_GB2312" w:cs="Lucida Sans"/>
      <w:sz w:val="24"/>
    </w:rPr>
  </w:style>
  <w:style w:type="character" w:customStyle="1" w:styleId="280">
    <w:name w:val="Char Char8"/>
    <w:qFormat/>
    <w:uiPriority w:val="0"/>
    <w:rPr>
      <w:rFonts w:eastAsia="宋体"/>
      <w:b/>
      <w:sz w:val="24"/>
      <w:lang w:val="en-GB" w:eastAsia="zh-CN"/>
    </w:rPr>
  </w:style>
  <w:style w:type="character" w:customStyle="1" w:styleId="281">
    <w:name w:val="Normal Indent Char Char"/>
    <w:qFormat/>
    <w:uiPriority w:val="0"/>
    <w:rPr>
      <w:rFonts w:eastAsia="宋体"/>
      <w:kern w:val="2"/>
      <w:sz w:val="21"/>
      <w:lang w:val="en-US" w:eastAsia="zh-CN" w:bidi="ar-SA"/>
    </w:rPr>
  </w:style>
  <w:style w:type="character" w:customStyle="1" w:styleId="282">
    <w:name w:val="列表段落 字符"/>
    <w:link w:val="283"/>
    <w:qFormat/>
    <w:uiPriority w:val="0"/>
  </w:style>
  <w:style w:type="paragraph" w:customStyle="1" w:styleId="283">
    <w:name w:val="_Style 280"/>
    <w:basedOn w:val="1"/>
    <w:next w:val="279"/>
    <w:link w:val="282"/>
    <w:qFormat/>
    <w:uiPriority w:val="34"/>
    <w:pPr>
      <w:adjustRightInd/>
      <w:ind w:firstLine="420" w:firstLineChars="200"/>
    </w:pPr>
    <w:rPr>
      <w:rFonts w:ascii="Calibri" w:hAnsi="Calibri"/>
      <w:szCs w:val="22"/>
    </w:rPr>
  </w:style>
  <w:style w:type="character" w:customStyle="1" w:styleId="284">
    <w:name w:val="Ò³Ã¼ Char Char1"/>
    <w:qFormat/>
    <w:uiPriority w:val="0"/>
    <w:rPr>
      <w:rFonts w:eastAsia="宋体"/>
      <w:kern w:val="2"/>
      <w:sz w:val="18"/>
      <w:szCs w:val="18"/>
      <w:lang w:val="en-US" w:eastAsia="zh-CN" w:bidi="ar-SA"/>
    </w:rPr>
  </w:style>
  <w:style w:type="character" w:customStyle="1" w:styleId="285">
    <w:name w:val="方案正文 Char"/>
    <w:qFormat/>
    <w:uiPriority w:val="0"/>
    <w:rPr>
      <w:rFonts w:ascii="仿宋_GB2312" w:eastAsia="仿宋_GB2312"/>
      <w:b/>
      <w:color w:val="000000"/>
      <w:kern w:val="2"/>
      <w:sz w:val="24"/>
      <w:lang w:val="en-US" w:eastAsia="zh-CN" w:bidi="ar-SA"/>
    </w:rPr>
  </w:style>
  <w:style w:type="character" w:customStyle="1" w:styleId="286">
    <w:name w:val="Char Char30"/>
    <w:qFormat/>
    <w:uiPriority w:val="6"/>
    <w:rPr>
      <w:rFonts w:ascii="Arial" w:hAnsi="Arial" w:eastAsia="黑体"/>
      <w:kern w:val="1"/>
      <w:sz w:val="21"/>
      <w:szCs w:val="21"/>
    </w:rPr>
  </w:style>
  <w:style w:type="character" w:customStyle="1" w:styleId="287">
    <w:name w:val="font01"/>
    <w:qFormat/>
    <w:uiPriority w:val="0"/>
    <w:rPr>
      <w:rFonts w:hint="eastAsia" w:ascii="微软雅黑" w:hAnsi="微软雅黑" w:eastAsia="微软雅黑" w:cs="微软雅黑"/>
      <w:color w:val="000000"/>
      <w:sz w:val="20"/>
      <w:szCs w:val="20"/>
      <w:u w:val="none"/>
    </w:rPr>
  </w:style>
  <w:style w:type="character" w:customStyle="1" w:styleId="288">
    <w:name w:val="Char Char20"/>
    <w:qFormat/>
    <w:uiPriority w:val="6"/>
    <w:rPr>
      <w:kern w:val="1"/>
      <w:sz w:val="24"/>
    </w:rPr>
  </w:style>
  <w:style w:type="character" w:customStyle="1" w:styleId="289">
    <w:name w:val="tw4winExternal"/>
    <w:qFormat/>
    <w:uiPriority w:val="0"/>
    <w:rPr>
      <w:rFonts w:ascii="Courier New" w:hAnsi="Courier New" w:cs="Courier New"/>
      <w:color w:val="808080"/>
      <w:lang w:val="en-US" w:eastAsia="zh-CN"/>
    </w:rPr>
  </w:style>
  <w:style w:type="character" w:customStyle="1" w:styleId="290">
    <w:name w:val="标题 4 Char1"/>
    <w:qFormat/>
    <w:uiPriority w:val="9"/>
    <w:rPr>
      <w:rFonts w:ascii="Cambria" w:hAnsi="Cambria" w:eastAsia="宋体" w:cs="Times New Roman"/>
      <w:b/>
      <w:bCs/>
      <w:kern w:val="2"/>
      <w:sz w:val="28"/>
      <w:szCs w:val="28"/>
    </w:rPr>
  </w:style>
  <w:style w:type="character" w:customStyle="1" w:styleId="291">
    <w:name w:val="批注文字 Char2"/>
    <w:qFormat/>
    <w:uiPriority w:val="99"/>
    <w:rPr>
      <w:rFonts w:ascii="Times New Roman" w:hAnsi="Times New Roman" w:eastAsia="宋体" w:cs="Times New Roman"/>
      <w:snapToGrid w:val="0"/>
      <w:kern w:val="0"/>
      <w:szCs w:val="24"/>
    </w:rPr>
  </w:style>
  <w:style w:type="character" w:customStyle="1" w:styleId="292">
    <w:name w:val="正文文本 2 Char"/>
    <w:qFormat/>
    <w:uiPriority w:val="0"/>
    <w:rPr>
      <w:rFonts w:eastAsia="宋体"/>
      <w:kern w:val="2"/>
      <w:sz w:val="21"/>
      <w:szCs w:val="24"/>
      <w:lang w:val="en-US" w:eastAsia="zh-CN" w:bidi="ar-SA"/>
    </w:rPr>
  </w:style>
  <w:style w:type="character" w:customStyle="1" w:styleId="293">
    <w:name w:val="Ò³Ã¼ Char Char"/>
    <w:qFormat/>
    <w:uiPriority w:val="0"/>
    <w:rPr>
      <w:rFonts w:eastAsia="宋体"/>
      <w:kern w:val="2"/>
      <w:sz w:val="18"/>
      <w:lang w:val="en-US" w:eastAsia="zh-CN" w:bidi="ar-SA"/>
    </w:rPr>
  </w:style>
  <w:style w:type="character" w:customStyle="1" w:styleId="294">
    <w:name w:val="message1"/>
    <w:qFormat/>
    <w:uiPriority w:val="0"/>
    <w:rPr>
      <w:rFonts w:hint="default" w:ascii="Tahoma" w:hAnsi="Tahoma" w:cs="Tahoma"/>
      <w:sz w:val="18"/>
      <w:szCs w:val="18"/>
    </w:rPr>
  </w:style>
  <w:style w:type="character" w:customStyle="1" w:styleId="295">
    <w:name w:val="Char Char23"/>
    <w:qFormat/>
    <w:uiPriority w:val="6"/>
    <w:rPr>
      <w:color w:val="0000FF"/>
      <w:sz w:val="21"/>
    </w:rPr>
  </w:style>
  <w:style w:type="character" w:customStyle="1" w:styleId="296">
    <w:name w:val="批注框文本 字符"/>
    <w:qFormat/>
    <w:uiPriority w:val="99"/>
    <w:rPr>
      <w:rFonts w:ascii="Arial" w:hAnsi="Arial" w:eastAsia="黑体" w:cs="Arial"/>
      <w:snapToGrid w:val="0"/>
      <w:kern w:val="0"/>
      <w:sz w:val="18"/>
      <w:szCs w:val="18"/>
    </w:rPr>
  </w:style>
  <w:style w:type="character" w:customStyle="1" w:styleId="297">
    <w:name w:val="纯文本 Char2"/>
    <w:semiHidden/>
    <w:qFormat/>
    <w:uiPriority w:val="99"/>
    <w:rPr>
      <w:rFonts w:ascii="宋体" w:hAnsi="Courier New" w:eastAsia="宋体" w:cs="Courier New"/>
    </w:rPr>
  </w:style>
  <w:style w:type="character" w:customStyle="1" w:styleId="298">
    <w:name w:val="Char Char25"/>
    <w:qFormat/>
    <w:uiPriority w:val="6"/>
    <w:rPr>
      <w:rFonts w:ascii="宋体" w:hAnsi="宋体"/>
      <w:kern w:val="1"/>
      <w:sz w:val="24"/>
      <w:lang w:val="zh-CN"/>
    </w:rPr>
  </w:style>
  <w:style w:type="character" w:customStyle="1" w:styleId="299">
    <w:name w:val="Char Char411"/>
    <w:qFormat/>
    <w:uiPriority w:val="0"/>
    <w:rPr>
      <w:rFonts w:eastAsia="宋体"/>
      <w:b/>
      <w:sz w:val="24"/>
      <w:lang w:val="en-GB" w:eastAsia="zh-CN" w:bidi="ar-SA"/>
    </w:rPr>
  </w:style>
  <w:style w:type="character" w:customStyle="1" w:styleId="300">
    <w:name w:val="Heading 7 Char"/>
    <w:qFormat/>
    <w:locked/>
    <w:uiPriority w:val="0"/>
    <w:rPr>
      <w:rFonts w:ascii="宋体" w:hAnsi="宋体" w:eastAsia="宋体"/>
      <w:b/>
      <w:bCs/>
      <w:kern w:val="2"/>
      <w:sz w:val="24"/>
      <w:szCs w:val="24"/>
      <w:lang w:val="en-US" w:eastAsia="zh-CN" w:bidi="ar-SA"/>
    </w:rPr>
  </w:style>
  <w:style w:type="character" w:customStyle="1" w:styleId="301">
    <w:name w:val="此正文 Char"/>
    <w:link w:val="302"/>
    <w:qFormat/>
    <w:uiPriority w:val="0"/>
    <w:rPr>
      <w:kern w:val="2"/>
      <w:sz w:val="24"/>
      <w:szCs w:val="24"/>
    </w:rPr>
  </w:style>
  <w:style w:type="paragraph" w:customStyle="1" w:styleId="302">
    <w:name w:val="此正文"/>
    <w:basedOn w:val="1"/>
    <w:link w:val="301"/>
    <w:qFormat/>
    <w:uiPriority w:val="0"/>
    <w:pPr>
      <w:adjustRightInd/>
      <w:spacing w:line="360" w:lineRule="auto"/>
      <w:ind w:firstLine="200" w:firstLineChars="200"/>
    </w:pPr>
    <w:rPr>
      <w:sz w:val="24"/>
    </w:rPr>
  </w:style>
  <w:style w:type="character" w:customStyle="1" w:styleId="303">
    <w:name w:val="Char Char2"/>
    <w:qFormat/>
    <w:uiPriority w:val="0"/>
    <w:rPr>
      <w:rFonts w:eastAsia="宋体"/>
      <w:b/>
      <w:bCs/>
      <w:kern w:val="2"/>
      <w:sz w:val="21"/>
      <w:szCs w:val="24"/>
      <w:lang w:val="en-US" w:eastAsia="zh-CN" w:bidi="ar-SA"/>
    </w:rPr>
  </w:style>
  <w:style w:type="character" w:customStyle="1" w:styleId="304">
    <w:name w:val="Footer-Even Char1"/>
    <w:qFormat/>
    <w:uiPriority w:val="0"/>
    <w:rPr>
      <w:rFonts w:eastAsia="宋体"/>
      <w:kern w:val="2"/>
      <w:sz w:val="18"/>
      <w:szCs w:val="18"/>
      <w:lang w:val="en-US" w:eastAsia="zh-CN" w:bidi="ar-SA"/>
    </w:rPr>
  </w:style>
  <w:style w:type="character" w:customStyle="1" w:styleId="305">
    <w:name w:val="Char Char29"/>
    <w:qFormat/>
    <w:uiPriority w:val="6"/>
    <w:rPr>
      <w:rFonts w:ascii="Arial" w:hAnsi="Arial" w:eastAsia="微软雅黑"/>
      <w:b/>
      <w:kern w:val="1"/>
      <w:sz w:val="44"/>
      <w:szCs w:val="32"/>
      <w:lang w:val="en-US" w:eastAsia="zh-CN" w:bidi="ar-SA"/>
    </w:rPr>
  </w:style>
  <w:style w:type="character" w:customStyle="1" w:styleId="306">
    <w:name w:val="font8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表格 Char Char"/>
    <w:qFormat/>
    <w:uiPriority w:val="0"/>
    <w:rPr>
      <w:rFonts w:ascii="宋体" w:hAnsi="宋体" w:eastAsia="宋体"/>
      <w:lang w:bidi="ar-SA"/>
    </w:rPr>
  </w:style>
  <w:style w:type="character" w:customStyle="1" w:styleId="311">
    <w:name w:val="正文文本 字符1"/>
    <w:qFormat/>
    <w:uiPriority w:val="0"/>
    <w:rPr>
      <w:rFonts w:ascii="Calibri" w:hAnsi="Calibri" w:eastAsia="黑体" w:cs="Arial"/>
      <w:snapToGrid w:val="0"/>
      <w:kern w:val="2"/>
      <w:sz w:val="28"/>
      <w:szCs w:val="21"/>
    </w:rPr>
  </w:style>
  <w:style w:type="character" w:customStyle="1" w:styleId="312">
    <w:name w:val="标题 6 Char1"/>
    <w:qFormat/>
    <w:uiPriority w:val="0"/>
    <w:rPr>
      <w:rFonts w:ascii="Arial" w:hAnsi="Arial" w:eastAsia="黑体" w:cs="Times New Roman"/>
      <w:b/>
      <w:sz w:val="24"/>
      <w:szCs w:val="20"/>
      <w:lang w:bidi="ar-SA"/>
    </w:rPr>
  </w:style>
  <w:style w:type="character" w:customStyle="1" w:styleId="313">
    <w:name w:val="带编号样式 Char"/>
    <w:qFormat/>
    <w:uiPriority w:val="0"/>
    <w:rPr>
      <w:rFonts w:ascii="仿宋_GB2312" w:eastAsia="仿宋_GB2312"/>
      <w:color w:val="000000"/>
      <w:sz w:val="24"/>
      <w:lang w:bidi="ar-SA"/>
    </w:rPr>
  </w:style>
  <w:style w:type="character" w:customStyle="1" w:styleId="314">
    <w:name w:val="unnamed31"/>
    <w:qFormat/>
    <w:uiPriority w:val="0"/>
    <w:rPr>
      <w:rFonts w:ascii="Tahoma" w:hAnsi="Tahoma" w:eastAsia="宋体"/>
      <w:b/>
      <w:kern w:val="2"/>
      <w:sz w:val="24"/>
      <w:szCs w:val="32"/>
      <w:u w:val="none"/>
      <w:lang w:val="en-US" w:eastAsia="zh-CN" w:bidi="ar-SA"/>
    </w:rPr>
  </w:style>
  <w:style w:type="character" w:customStyle="1" w:styleId="315">
    <w:name w:val="正文首行缩进 Char Char Char Char Char Char1"/>
    <w:qFormat/>
    <w:uiPriority w:val="0"/>
    <w:rPr>
      <w:rFonts w:ascii="宋体" w:eastAsia="宋体"/>
      <w:kern w:val="2"/>
      <w:sz w:val="24"/>
      <w:szCs w:val="24"/>
      <w:lang w:val="zh-CN" w:bidi="ar-SA"/>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样式 样式 标题 4h4H4Fab-4T5Ref Heading 1rh1Heading sqlsect 1.2.3.... +... Char"/>
    <w:link w:val="319"/>
    <w:qFormat/>
    <w:uiPriority w:val="0"/>
    <w:rPr>
      <w:rFonts w:ascii="微软雅黑" w:hAnsi="微软雅黑" w:eastAsia="微软雅黑"/>
      <w:b/>
      <w:bCs/>
      <w:kern w:val="2"/>
      <w:sz w:val="24"/>
      <w:szCs w:val="28"/>
    </w:rPr>
  </w:style>
  <w:style w:type="paragraph" w:customStyle="1" w:styleId="319">
    <w:name w:val="样式 样式 标题 4h4H4Fab-4T5Ref Heading 1rh1Heading sqlsect 1.2.3.... +..."/>
    <w:basedOn w:val="320"/>
    <w:link w:val="318"/>
    <w:qFormat/>
    <w:uiPriority w:val="0"/>
    <w:pPr>
      <w:tabs>
        <w:tab w:val="left" w:pos="2356"/>
      </w:tabs>
    </w:pPr>
  </w:style>
  <w:style w:type="paragraph" w:customStyle="1" w:styleId="320">
    <w:name w:val="样式 标题 4h4H4Fab-4T5Ref Heading 1rh1Heading sqlsect 1.2.3...."/>
    <w:basedOn w:val="6"/>
    <w:link w:val="3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1">
    <w:name w:val="样式 标题 4h4H4Fab-4T5Ref Heading 1rh1Heading sqlsect 1.2.3.... Char"/>
    <w:link w:val="320"/>
    <w:qFormat/>
    <w:uiPriority w:val="0"/>
    <w:rPr>
      <w:rFonts w:ascii="微软雅黑" w:hAnsi="微软雅黑" w:eastAsia="微软雅黑"/>
      <w:b/>
      <w:bCs/>
      <w:kern w:val="2"/>
      <w:sz w:val="24"/>
      <w:szCs w:val="28"/>
    </w:rPr>
  </w:style>
  <w:style w:type="character" w:customStyle="1" w:styleId="322">
    <w:name w:val="正文非缩进 Char"/>
    <w:qFormat/>
    <w:uiPriority w:val="0"/>
    <w:rPr>
      <w:rFonts w:ascii="宋体" w:eastAsia="宋体"/>
      <w:snapToGrid w:val="0"/>
      <w:color w:val="000000"/>
      <w:kern w:val="28"/>
      <w:sz w:val="28"/>
      <w:lang w:val="en-US" w:eastAsia="zh-CN" w:bidi="ar-SA"/>
    </w:rPr>
  </w:style>
  <w:style w:type="character" w:customStyle="1" w:styleId="323">
    <w:name w:val="Char Char5"/>
    <w:qFormat/>
    <w:uiPriority w:val="0"/>
    <w:rPr>
      <w:rFonts w:ascii="宋体" w:hAnsi="Courier New" w:eastAsia="宋体"/>
      <w:kern w:val="2"/>
      <w:sz w:val="21"/>
      <w:lang w:val="en-US" w:eastAsia="zh-CN"/>
    </w:rPr>
  </w:style>
  <w:style w:type="character" w:customStyle="1" w:styleId="324">
    <w:name w:val="称呼 Char1"/>
    <w:qFormat/>
    <w:uiPriority w:val="0"/>
    <w:rPr>
      <w:rFonts w:ascii="Times New Roman" w:hAnsi="Times New Roman" w:eastAsia="宋体" w:cs="Times New Roman"/>
      <w:szCs w:val="24"/>
    </w:rPr>
  </w:style>
  <w:style w:type="character" w:customStyle="1" w:styleId="325">
    <w:name w:val="正文1 Char"/>
    <w:qFormat/>
    <w:uiPriority w:val="0"/>
    <w:rPr>
      <w:rFonts w:ascii="宋体" w:eastAsia="宋体"/>
      <w:snapToGrid w:val="0"/>
      <w:color w:val="000000"/>
      <w:kern w:val="28"/>
      <w:sz w:val="28"/>
      <w:lang w:val="en-US" w:eastAsia="zh-CN" w:bidi="ar-SA"/>
    </w:rPr>
  </w:style>
  <w:style w:type="character" w:customStyle="1" w:styleId="326">
    <w:name w:val="正文缩进 Char1"/>
    <w:qFormat/>
    <w:uiPriority w:val="0"/>
    <w:rPr>
      <w:rFonts w:ascii="宋体" w:eastAsia="宋体"/>
      <w:snapToGrid w:val="0"/>
      <w:color w:val="000000"/>
      <w:kern w:val="28"/>
      <w:sz w:val="28"/>
      <w:lang w:val="en-US" w:eastAsia="zh-CN" w:bidi="ar-SA"/>
    </w:rPr>
  </w:style>
  <w:style w:type="character" w:customStyle="1" w:styleId="327">
    <w:name w:val="font21"/>
    <w:qFormat/>
    <w:uiPriority w:val="0"/>
    <w:rPr>
      <w:rFonts w:hint="eastAsia" w:ascii="宋体" w:hAnsi="宋体" w:eastAsia="宋体"/>
      <w:kern w:val="2"/>
      <w:sz w:val="28"/>
      <w:szCs w:val="28"/>
      <w:lang w:val="en-US" w:eastAsia="zh-CN" w:bidi="ar-SA"/>
    </w:rPr>
  </w:style>
  <w:style w:type="character" w:customStyle="1" w:styleId="328">
    <w:name w:val="Char Char26"/>
    <w:qFormat/>
    <w:uiPriority w:val="6"/>
    <w:rPr>
      <w:kern w:val="1"/>
      <w:sz w:val="21"/>
      <w:szCs w:val="24"/>
    </w:rPr>
  </w:style>
  <w:style w:type="character" w:customStyle="1" w:styleId="329">
    <w:name w:val="Item List Char"/>
    <w:link w:val="330"/>
    <w:qFormat/>
    <w:uiPriority w:val="0"/>
    <w:rPr>
      <w:rFonts w:ascii="Arial"/>
      <w:bCs/>
      <w:sz w:val="21"/>
      <w:szCs w:val="21"/>
      <w:lang w:val="en-US" w:eastAsia="zh-CN" w:bidi="ar-SA"/>
    </w:rPr>
  </w:style>
  <w:style w:type="paragraph" w:customStyle="1" w:styleId="330">
    <w:name w:val="Item List"/>
    <w:link w:val="3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1">
    <w:name w:val="批注框文本 Char1"/>
    <w:qFormat/>
    <w:uiPriority w:val="0"/>
    <w:rPr>
      <w:rFonts w:ascii="Times New Roman" w:hAnsi="Times New Roman" w:eastAsia="宋体" w:cs="Times New Roman"/>
      <w:sz w:val="18"/>
      <w:szCs w:val="18"/>
    </w:rPr>
  </w:style>
  <w:style w:type="character" w:customStyle="1" w:styleId="332">
    <w:name w:val="纯文本 Char1"/>
    <w:link w:val="333"/>
    <w:qFormat/>
    <w:uiPriority w:val="0"/>
    <w:rPr>
      <w:rFonts w:ascii="宋体" w:hAnsi="Courier New"/>
    </w:rPr>
  </w:style>
  <w:style w:type="paragraph" w:customStyle="1" w:styleId="333">
    <w:name w:val="纯文本1"/>
    <w:basedOn w:val="1"/>
    <w:link w:val="332"/>
    <w:qFormat/>
    <w:uiPriority w:val="0"/>
    <w:pPr>
      <w:adjustRightInd/>
    </w:pPr>
    <w:rPr>
      <w:rFonts w:ascii="宋体" w:hAnsi="Courier New"/>
      <w:kern w:val="0"/>
      <w:sz w:val="20"/>
      <w:szCs w:val="20"/>
    </w:rPr>
  </w:style>
  <w:style w:type="character" w:customStyle="1" w:styleId="334">
    <w:name w:val="h3 Char"/>
    <w:qFormat/>
    <w:uiPriority w:val="0"/>
    <w:rPr>
      <w:rFonts w:eastAsia="宋体"/>
      <w:b/>
      <w:kern w:val="2"/>
      <w:sz w:val="32"/>
      <w:lang w:val="en-US" w:eastAsia="zh-CN" w:bidi="ar-SA"/>
    </w:rPr>
  </w:style>
  <w:style w:type="character" w:customStyle="1" w:styleId="335">
    <w:name w:val="dandyren_title1"/>
    <w:qFormat/>
    <w:uiPriority w:val="0"/>
    <w:rPr>
      <w:b/>
      <w:bCs/>
      <w:color w:val="FF6633"/>
      <w:sz w:val="18"/>
      <w:szCs w:val="18"/>
    </w:rPr>
  </w:style>
  <w:style w:type="character" w:customStyle="1" w:styleId="336">
    <w:name w:val="Char Char31"/>
    <w:qFormat/>
    <w:uiPriority w:val="6"/>
    <w:rPr>
      <w:rFonts w:ascii="Arial" w:hAnsi="Arial" w:eastAsia="黑体"/>
      <w:kern w:val="1"/>
      <w:sz w:val="24"/>
      <w:szCs w:val="24"/>
    </w:rPr>
  </w:style>
  <w:style w:type="character" w:customStyle="1" w:styleId="337">
    <w:name w:val="h Char1"/>
    <w:qFormat/>
    <w:uiPriority w:val="0"/>
    <w:rPr>
      <w:sz w:val="18"/>
      <w:szCs w:val="18"/>
    </w:rPr>
  </w:style>
  <w:style w:type="character" w:customStyle="1" w:styleId="338">
    <w:name w:val="solutionfonts"/>
    <w:qFormat/>
    <w:uiPriority w:val="0"/>
  </w:style>
  <w:style w:type="character" w:customStyle="1" w:styleId="339">
    <w:name w:val="首行缩进 Char"/>
    <w:qFormat/>
    <w:uiPriority w:val="0"/>
    <w:rPr>
      <w:rFonts w:ascii="宋体" w:eastAsia="宋体"/>
      <w:kern w:val="2"/>
      <w:sz w:val="24"/>
      <w:lang w:val="en-US" w:eastAsia="zh-CN" w:bidi="ar-SA"/>
    </w:rPr>
  </w:style>
  <w:style w:type="character" w:customStyle="1" w:styleId="340">
    <w:name w:val="Char Char52"/>
    <w:qFormat/>
    <w:uiPriority w:val="0"/>
    <w:rPr>
      <w:rFonts w:ascii="宋体" w:hAnsi="Courier New" w:eastAsia="宋体"/>
      <w:kern w:val="2"/>
      <w:sz w:val="21"/>
      <w:lang w:val="en-US" w:eastAsia="zh-CN"/>
    </w:rPr>
  </w:style>
  <w:style w:type="character" w:customStyle="1" w:styleId="341">
    <w:name w:val="font31"/>
    <w:qFormat/>
    <w:uiPriority w:val="0"/>
    <w:rPr>
      <w:rFonts w:hint="eastAsia" w:ascii="仿宋" w:hAnsi="仿宋" w:eastAsia="仿宋" w:cs="仿宋"/>
      <w:color w:val="000000"/>
      <w:sz w:val="20"/>
      <w:szCs w:val="20"/>
      <w:u w:val="none"/>
    </w:rPr>
  </w:style>
  <w:style w:type="character" w:customStyle="1" w:styleId="342">
    <w:name w:val="正文说明 Char"/>
    <w:link w:val="343"/>
    <w:qFormat/>
    <w:uiPriority w:val="0"/>
    <w:rPr>
      <w:sz w:val="24"/>
      <w:szCs w:val="24"/>
    </w:rPr>
  </w:style>
  <w:style w:type="paragraph" w:customStyle="1" w:styleId="343">
    <w:name w:val="正文说明"/>
    <w:basedOn w:val="1"/>
    <w:link w:val="342"/>
    <w:qFormat/>
    <w:uiPriority w:val="0"/>
    <w:pPr>
      <w:adjustRightInd/>
      <w:spacing w:line="360" w:lineRule="auto"/>
    </w:pPr>
    <w:rPr>
      <w:kern w:val="0"/>
      <w:sz w:val="24"/>
    </w:rPr>
  </w:style>
  <w:style w:type="character" w:customStyle="1" w:styleId="344">
    <w:name w:val="脚注文本 Char1"/>
    <w:qFormat/>
    <w:uiPriority w:val="0"/>
    <w:rPr>
      <w:rFonts w:ascii="Times New Roman" w:hAnsi="Times New Roman" w:eastAsia="宋体" w:cs="Times New Roman"/>
      <w:sz w:val="18"/>
      <w:szCs w:val="18"/>
    </w:rPr>
  </w:style>
  <w:style w:type="character" w:customStyle="1" w:styleId="345">
    <w:name w:val="Char Char1211"/>
    <w:qFormat/>
    <w:uiPriority w:val="0"/>
    <w:rPr>
      <w:rFonts w:ascii="仿宋_GB2312" w:eastAsia="仿宋_GB2312"/>
      <w:b/>
      <w:bCs/>
      <w:kern w:val="2"/>
      <w:sz w:val="24"/>
      <w:szCs w:val="24"/>
      <w:lang w:val="zh-CN" w:eastAsia="zh-CN" w:bidi="ar-SA"/>
    </w:rPr>
  </w:style>
  <w:style w:type="character" w:customStyle="1" w:styleId="346">
    <w:name w:val="标题 Char"/>
    <w:qFormat/>
    <w:uiPriority w:val="0"/>
    <w:rPr>
      <w:rFonts w:eastAsia="宋体"/>
      <w:b/>
      <w:sz w:val="24"/>
      <w:lang w:val="en-GB" w:eastAsia="zh-CN" w:bidi="ar-SA"/>
    </w:rPr>
  </w:style>
  <w:style w:type="character" w:customStyle="1" w:styleId="347">
    <w:name w:val="Char Char35"/>
    <w:qFormat/>
    <w:uiPriority w:val="6"/>
    <w:rPr>
      <w:rFonts w:ascii="Arial" w:hAnsi="Arial" w:eastAsia="黑体"/>
      <w:b/>
      <w:kern w:val="1"/>
      <w:sz w:val="28"/>
      <w:szCs w:val="28"/>
      <w:lang w:val="zh-CN"/>
    </w:rPr>
  </w:style>
  <w:style w:type="character" w:customStyle="1" w:styleId="348">
    <w:name w:val="纯文本 Char Char Char"/>
    <w:qFormat/>
    <w:uiPriority w:val="0"/>
    <w:rPr>
      <w:rFonts w:ascii="宋体" w:hAnsi="Courier New" w:eastAsia="宋体"/>
      <w:kern w:val="2"/>
      <w:sz w:val="21"/>
      <w:lang w:val="en-US" w:eastAsia="zh-CN" w:bidi="ar-SA"/>
    </w:rPr>
  </w:style>
  <w:style w:type="character" w:customStyle="1" w:styleId="349">
    <w:name w:val="Table Text Char"/>
    <w:link w:val="350"/>
    <w:qFormat/>
    <w:uiPriority w:val="0"/>
    <w:rPr>
      <w:sz w:val="24"/>
      <w:szCs w:val="24"/>
    </w:rPr>
  </w:style>
  <w:style w:type="paragraph" w:customStyle="1" w:styleId="350">
    <w:name w:val="Table Text"/>
    <w:basedOn w:val="1"/>
    <w:link w:val="349"/>
    <w:qFormat/>
    <w:uiPriority w:val="0"/>
    <w:pPr>
      <w:widowControl/>
      <w:spacing w:before="60" w:after="60"/>
      <w:jc w:val="left"/>
    </w:pPr>
    <w:rPr>
      <w:kern w:val="0"/>
      <w:sz w:val="24"/>
    </w:rPr>
  </w:style>
  <w:style w:type="character" w:customStyle="1" w:styleId="351">
    <w:name w:val="正文1 Char1"/>
    <w:qFormat/>
    <w:uiPriority w:val="0"/>
    <w:rPr>
      <w:rFonts w:ascii="仿宋_GB2312" w:hAnsi="Courier New" w:eastAsia="仿宋_GB2312"/>
      <w:kern w:val="28"/>
      <w:sz w:val="24"/>
      <w:szCs w:val="24"/>
      <w:lang w:val="en-US" w:eastAsia="zh-CN"/>
    </w:rPr>
  </w:style>
  <w:style w:type="character" w:customStyle="1" w:styleId="352">
    <w:name w:val="页脚 Char1"/>
    <w:qFormat/>
    <w:uiPriority w:val="0"/>
    <w:rPr>
      <w:rFonts w:eastAsia="宋体"/>
      <w:kern w:val="2"/>
      <w:sz w:val="18"/>
      <w:szCs w:val="18"/>
      <w:lang w:val="en-US" w:eastAsia="zh-CN" w:bidi="ar-SA"/>
    </w:rPr>
  </w:style>
  <w:style w:type="character" w:customStyle="1" w:styleId="353">
    <w:name w:val="Bold"/>
    <w:qFormat/>
    <w:uiPriority w:val="0"/>
    <w:rPr>
      <w:rFonts w:ascii="Arial" w:hAnsi="Arial" w:eastAsia="黑体" w:cs="Times New Roman"/>
      <w:b/>
      <w:kern w:val="2"/>
      <w:sz w:val="32"/>
      <w:szCs w:val="32"/>
      <w:lang w:val="en-US" w:eastAsia="zh-CN" w:bidi="ar-SA"/>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semiHidden/>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99"/>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gray6"/>
    <w:basedOn w:val="71"/>
    <w:qFormat/>
    <w:uiPriority w:val="0"/>
    <w:rPr>
      <w:rFonts w:ascii="Arial" w:hAnsi="Arial" w:eastAsia="黑体" w:cs="Arial"/>
      <w:snapToGrid w:val="0"/>
      <w:kern w:val="0"/>
      <w:szCs w:val="21"/>
    </w:rPr>
  </w:style>
  <w:style w:type="character" w:customStyle="1" w:styleId="434">
    <w:name w:val="hui"/>
    <w:basedOn w:val="71"/>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486"/>
    <w:qFormat/>
    <w:uiPriority w:val="1"/>
    <w:rPr>
      <w:szCs w:val="22"/>
    </w:rPr>
  </w:style>
  <w:style w:type="character" w:customStyle="1" w:styleId="486">
    <w:name w:val="无间隔 字符"/>
    <w:link w:val="485"/>
    <w:qFormat/>
    <w:uiPriority w:val="99"/>
    <w:rPr>
      <w:kern w:val="2"/>
      <w:sz w:val="21"/>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7"/>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99"/>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61"/>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6"/>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56"/>
    <w:next w:val="25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56"/>
    <w:next w:val="25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link w:val="578"/>
    <w:qFormat/>
    <w:uiPriority w:val="0"/>
    <w:pPr>
      <w:adjustRightInd/>
      <w:ind w:firstLine="560"/>
    </w:pPr>
    <w:rPr>
      <w:rFonts w:ascii="仿宋_GB2312" w:hAnsi="仿宋" w:eastAsia="仿宋_GB2312"/>
      <w:kern w:val="0"/>
      <w:sz w:val="28"/>
      <w:szCs w:val="28"/>
    </w:rPr>
  </w:style>
  <w:style w:type="character" w:customStyle="1" w:styleId="578">
    <w:name w:val="_正文段落 Char"/>
    <w:link w:val="577"/>
    <w:qFormat/>
    <w:uiPriority w:val="0"/>
    <w:rPr>
      <w:rFonts w:ascii="仿宋_GB2312" w:hAnsi="仿宋" w:eastAsia="仿宋_GB2312"/>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link w:val="608"/>
    <w:qFormat/>
    <w:uiPriority w:val="0"/>
    <w:pPr>
      <w:spacing w:line="480" w:lineRule="atLeast"/>
      <w:ind w:firstLine="567"/>
      <w:textAlignment w:val="baseline"/>
    </w:pPr>
    <w:rPr>
      <w:kern w:val="0"/>
      <w:sz w:val="24"/>
      <w:szCs w:val="20"/>
    </w:rPr>
  </w:style>
  <w:style w:type="character" w:customStyle="1" w:styleId="608">
    <w:name w:val="文档正文 Char"/>
    <w:link w:val="607"/>
    <w:uiPriority w:val="0"/>
    <w:rPr>
      <w:sz w:val="24"/>
    </w:rPr>
  </w:style>
  <w:style w:type="paragraph" w:customStyle="1" w:styleId="609">
    <w:name w:val="正文文字表格居中"/>
    <w:basedOn w:val="1"/>
    <w:next w:val="57"/>
    <w:qFormat/>
    <w:uiPriority w:val="0"/>
    <w:pPr>
      <w:snapToGrid w:val="0"/>
      <w:spacing w:line="360" w:lineRule="auto"/>
    </w:pPr>
    <w:rPr>
      <w:rFonts w:ascii="宋体"/>
      <w:b/>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qFormat/>
    <w:uiPriority w:val="7"/>
    <w:pPr>
      <w:adjustRightInd/>
    </w:pPr>
    <w:rPr>
      <w:rFonts w:ascii="宋体" w:hAnsi="Courier New"/>
    </w:rPr>
  </w:style>
  <w:style w:type="paragraph" w:customStyle="1" w:styleId="613">
    <w:name w:val="Char3"/>
    <w:basedOn w:val="1"/>
    <w:qFormat/>
    <w:uiPriority w:val="0"/>
    <w:pPr>
      <w:adjustRightInd/>
    </w:pPr>
    <w:rPr>
      <w:rFonts w:ascii="仿宋_GB2312" w:eastAsia="仿宋_GB2312"/>
      <w:b/>
      <w:sz w:val="32"/>
      <w:szCs w:val="32"/>
    </w:rPr>
  </w:style>
  <w:style w:type="paragraph" w:customStyle="1" w:styleId="61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qFormat/>
    <w:uiPriority w:val="0"/>
    <w:pPr>
      <w:widowControl/>
      <w:adjustRightInd/>
      <w:spacing w:after="160" w:line="240" w:lineRule="exact"/>
      <w:jc w:val="left"/>
    </w:pPr>
    <w:rPr>
      <w:szCs w:val="20"/>
    </w:rPr>
  </w:style>
  <w:style w:type="paragraph" w:customStyle="1" w:styleId="622">
    <w:name w:val="表格标题2"/>
    <w:basedOn w:val="623"/>
    <w:qFormat/>
    <w:uiPriority w:val="0"/>
    <w:rPr>
      <w:b/>
    </w:rPr>
  </w:style>
  <w:style w:type="paragraph" w:customStyle="1" w:styleId="623">
    <w:name w:val="表格内文"/>
    <w:basedOn w:val="1"/>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qFormat/>
    <w:uiPriority w:val="0"/>
    <w:rPr>
      <w:rFonts w:ascii="仿宋_GB2312" w:eastAsia="仿宋_GB2312"/>
      <w:b/>
      <w:sz w:val="32"/>
      <w:szCs w:val="32"/>
    </w:rPr>
  </w:style>
  <w:style w:type="paragraph" w:customStyle="1" w:styleId="62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qFormat/>
    <w:uiPriority w:val="0"/>
    <w:pPr>
      <w:spacing w:line="360" w:lineRule="auto"/>
    </w:pPr>
    <w:rPr>
      <w:szCs w:val="20"/>
    </w:rPr>
  </w:style>
  <w:style w:type="paragraph" w:customStyle="1" w:styleId="62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0">
    <w:name w:val="MM Topic 1"/>
    <w:basedOn w:val="3"/>
    <w:qFormat/>
    <w:uiPriority w:val="0"/>
    <w:pPr>
      <w:tabs>
        <w:tab w:val="left" w:pos="840"/>
      </w:tabs>
      <w:adjustRightInd/>
      <w:ind w:left="840" w:hanging="420"/>
    </w:pPr>
  </w:style>
  <w:style w:type="paragraph" w:customStyle="1" w:styleId="631">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qFormat/>
    <w:uiPriority w:val="0"/>
    <w:pPr>
      <w:spacing w:line="360" w:lineRule="auto"/>
      <w:ind w:firstLine="200" w:firstLineChars="200"/>
    </w:pPr>
    <w:rPr>
      <w:kern w:val="0"/>
      <w:sz w:val="24"/>
      <w:szCs w:val="20"/>
    </w:rPr>
  </w:style>
  <w:style w:type="paragraph" w:customStyle="1" w:styleId="633">
    <w:name w:val="表格"/>
    <w:basedOn w:val="1"/>
    <w:link w:val="634"/>
    <w:qFormat/>
    <w:uiPriority w:val="0"/>
    <w:pPr>
      <w:snapToGrid w:val="0"/>
      <w:ind w:firstLine="42" w:firstLineChars="21"/>
    </w:pPr>
    <w:rPr>
      <w:rFonts w:ascii="宋体" w:hAnsi="宋体"/>
      <w:kern w:val="0"/>
      <w:sz w:val="20"/>
      <w:szCs w:val="20"/>
    </w:rPr>
  </w:style>
  <w:style w:type="character" w:customStyle="1" w:styleId="634">
    <w:name w:val="表格 字符"/>
    <w:basedOn w:val="71"/>
    <w:link w:val="633"/>
    <w:qFormat/>
    <w:uiPriority w:val="0"/>
    <w:rPr>
      <w:rFonts w:ascii="宋体" w:hAnsi="宋体"/>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Lines="0" w:afterLines="0"/>
      <w:ind w:left="1680"/>
      <w:outlineLvl w:val="2"/>
    </w:pPr>
  </w:style>
  <w:style w:type="paragraph" w:customStyle="1" w:styleId="664">
    <w:name w:val="章标题"/>
    <w:next w:val="6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2"/>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7"/>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link w:val="798"/>
    <w:qFormat/>
    <w:uiPriority w:val="0"/>
    <w:pPr>
      <w:adjustRightInd/>
      <w:spacing w:line="360" w:lineRule="auto"/>
      <w:ind w:firstLine="420" w:firstLineChars="200"/>
    </w:pPr>
    <w:rPr>
      <w:rFonts w:ascii="Calibri" w:hAnsi="Calibri"/>
      <w:sz w:val="24"/>
      <w:szCs w:val="22"/>
    </w:rPr>
  </w:style>
  <w:style w:type="character" w:customStyle="1" w:styleId="798">
    <w:name w:val="列出段落 字符"/>
    <w:link w:val="797"/>
    <w:qFormat/>
    <w:locked/>
    <w:uiPriority w:val="0"/>
    <w:rPr>
      <w:rFonts w:ascii="Calibri" w:hAnsi="Calibri"/>
      <w:kern w:val="2"/>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6"/>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1"/>
    <w:next w:val="646"/>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29"/>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6"/>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9"/>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8"/>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5"/>
    <w:qFormat/>
    <w:uiPriority w:val="0"/>
    <w:rPr>
      <w:b w:val="0"/>
      <w:sz w:val="20"/>
    </w:rPr>
  </w:style>
  <w:style w:type="paragraph" w:customStyle="1" w:styleId="90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3">
    <w:name w:val="数字标题5"/>
    <w:basedOn w:val="7"/>
    <w:next w:val="1"/>
    <w:qFormat/>
    <w:uiPriority w:val="0"/>
    <w:pPr>
      <w:tabs>
        <w:tab w:val="left" w:pos="1080"/>
      </w:tabs>
      <w:ind w:left="1080" w:hanging="1080"/>
    </w:pPr>
  </w:style>
  <w:style w:type="paragraph" w:customStyle="1" w:styleId="904">
    <w:name w:val="数字标题1"/>
    <w:basedOn w:val="3"/>
    <w:next w:val="1"/>
    <w:qFormat/>
    <w:uiPriority w:val="0"/>
    <w:pPr>
      <w:tabs>
        <w:tab w:val="left" w:pos="480"/>
      </w:tabs>
      <w:ind w:left="480" w:hanging="480"/>
    </w:pPr>
  </w:style>
  <w:style w:type="paragraph" w:customStyle="1" w:styleId="90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1">
    <w:name w:val="0"/>
    <w:basedOn w:val="1"/>
    <w:qFormat/>
    <w:uiPriority w:val="0"/>
    <w:pPr>
      <w:widowControl/>
    </w:pPr>
    <w:rPr>
      <w:kern w:val="0"/>
      <w:sz w:val="24"/>
      <w:szCs w:val="20"/>
    </w:rPr>
  </w:style>
  <w:style w:type="paragraph" w:customStyle="1" w:styleId="912">
    <w:name w:val="Char Char113"/>
    <w:basedOn w:val="1"/>
    <w:qFormat/>
    <w:uiPriority w:val="0"/>
    <w:pPr>
      <w:widowControl/>
      <w:spacing w:after="160" w:line="240" w:lineRule="exact"/>
      <w:jc w:val="left"/>
    </w:pPr>
    <w:rPr>
      <w:rFonts w:eastAsia="仿宋_GB2312"/>
      <w:sz w:val="28"/>
    </w:rPr>
  </w:style>
  <w:style w:type="paragraph" w:customStyle="1" w:styleId="9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4">
    <w:name w:val="_Style 8"/>
    <w:basedOn w:val="1"/>
    <w:qFormat/>
    <w:uiPriority w:val="34"/>
    <w:pPr>
      <w:adjustRightInd/>
      <w:ind w:firstLine="420" w:firstLineChars="200"/>
    </w:pPr>
    <w:rPr>
      <w:rFonts w:eastAsia="仿宋_GB2312"/>
      <w:sz w:val="28"/>
    </w:rPr>
  </w:style>
  <w:style w:type="paragraph" w:customStyle="1" w:styleId="91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0">
    <w:name w:val="Char Char112"/>
    <w:basedOn w:val="1"/>
    <w:qFormat/>
    <w:uiPriority w:val="6"/>
    <w:pPr>
      <w:widowControl/>
      <w:spacing w:after="160" w:line="240" w:lineRule="exact"/>
      <w:jc w:val="left"/>
    </w:pPr>
    <w:rPr>
      <w:rFonts w:eastAsia="仿宋_GB2312"/>
      <w:sz w:val="28"/>
    </w:rPr>
  </w:style>
  <w:style w:type="paragraph" w:customStyle="1" w:styleId="921">
    <w:name w:val="正文 图"/>
    <w:basedOn w:val="445"/>
    <w:qFormat/>
    <w:uiPriority w:val="0"/>
    <w:pPr>
      <w:adjustRightInd/>
      <w:spacing w:before="0"/>
      <w:ind w:firstLine="0"/>
      <w:jc w:val="center"/>
    </w:pPr>
    <w:rPr>
      <w:rFonts w:ascii="微软雅黑" w:hAnsi="微软雅黑"/>
    </w:rPr>
  </w:style>
  <w:style w:type="paragraph" w:customStyle="1" w:styleId="92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4">
    <w:name w:val="Thf"/>
    <w:basedOn w:val="565"/>
    <w:qFormat/>
    <w:uiPriority w:val="0"/>
    <w:pPr>
      <w:ind w:left="0"/>
    </w:pPr>
  </w:style>
  <w:style w:type="paragraph" w:customStyle="1" w:styleId="92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7">
    <w:name w:val="注释"/>
    <w:basedOn w:val="1"/>
    <w:qFormat/>
    <w:uiPriority w:val="0"/>
    <w:pPr>
      <w:adjustRightInd/>
      <w:spacing w:line="360" w:lineRule="auto"/>
      <w:ind w:firstLine="480"/>
    </w:pPr>
    <w:rPr>
      <w:sz w:val="24"/>
    </w:rPr>
  </w:style>
  <w:style w:type="table" w:customStyle="1" w:styleId="92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4">
    <w:name w:val="列出段落111"/>
    <w:basedOn w:val="1"/>
    <w:qFormat/>
    <w:uiPriority w:val="34"/>
    <w:pPr>
      <w:ind w:firstLine="420" w:firstLineChars="200"/>
    </w:p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9"/>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character" w:customStyle="1" w:styleId="969">
    <w:name w:val="未处理的提及2"/>
    <w:basedOn w:val="71"/>
    <w:semiHidden/>
    <w:unhideWhenUsed/>
    <w:uiPriority w:val="99"/>
    <w:rPr>
      <w:color w:val="605E5C"/>
      <w:shd w:val="clear" w:color="auto" w:fill="E1DFDD"/>
    </w:rPr>
  </w:style>
  <w:style w:type="character" w:customStyle="1" w:styleId="970">
    <w:name w:val="纯文本 字符1"/>
    <w:qFormat/>
    <w:locked/>
    <w:uiPriority w:val="0"/>
    <w:rPr>
      <w:rFonts w:eastAsia="宋体"/>
      <w:kern w:val="2"/>
      <w:sz w:val="24"/>
      <w:lang w:val="en-US" w:eastAsia="zh-CN" w:bidi="ar-SA"/>
    </w:rPr>
  </w:style>
  <w:style w:type="paragraph" w:customStyle="1" w:styleId="971">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2">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3">
    <w:name w:val="Body Text First Indent 21"/>
    <w:basedOn w:val="974"/>
    <w:qFormat/>
    <w:uiPriority w:val="0"/>
    <w:pPr>
      <w:ind w:firstLine="420"/>
    </w:pPr>
    <w:rPr>
      <w:rFonts w:cs="宋体"/>
    </w:rPr>
  </w:style>
  <w:style w:type="paragraph" w:customStyle="1" w:styleId="974">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5">
    <w:name w:val="标题 5 字符"/>
    <w:qFormat/>
    <w:uiPriority w:val="9"/>
    <w:rPr>
      <w:rFonts w:ascii="Wingdings" w:hAnsi="Wingdings" w:eastAsia="Wingdings"/>
      <w:b/>
      <w:bCs/>
      <w:kern w:val="2"/>
      <w:sz w:val="28"/>
      <w:szCs w:val="28"/>
    </w:rPr>
  </w:style>
  <w:style w:type="character" w:customStyle="1" w:styleId="976">
    <w:name w:val="标题 6 字符"/>
    <w:qFormat/>
    <w:uiPriority w:val="0"/>
    <w:rPr>
      <w:rFonts w:ascii="Helvetica" w:hAnsi="Helvetica" w:eastAsia="Helvetica"/>
      <w:b/>
      <w:bCs/>
      <w:kern w:val="2"/>
      <w:sz w:val="24"/>
      <w:szCs w:val="24"/>
    </w:rPr>
  </w:style>
  <w:style w:type="character" w:customStyle="1" w:styleId="977">
    <w:name w:val="标题 7 字符"/>
    <w:qFormat/>
    <w:uiPriority w:val="9"/>
    <w:rPr>
      <w:rFonts w:ascii="Wingdings" w:hAnsi="Wingdings" w:eastAsia="Wingdings"/>
      <w:b/>
      <w:bCs/>
      <w:kern w:val="2"/>
      <w:sz w:val="24"/>
      <w:szCs w:val="24"/>
    </w:rPr>
  </w:style>
  <w:style w:type="character" w:customStyle="1" w:styleId="978">
    <w:name w:val="标题 8 字符"/>
    <w:qFormat/>
    <w:uiPriority w:val="9"/>
    <w:rPr>
      <w:rFonts w:ascii="Helvetica" w:hAnsi="Helvetica" w:eastAsia="Helvetica"/>
      <w:kern w:val="2"/>
      <w:sz w:val="24"/>
      <w:szCs w:val="24"/>
    </w:rPr>
  </w:style>
  <w:style w:type="character" w:customStyle="1" w:styleId="979">
    <w:name w:val="标题 9 字符"/>
    <w:qFormat/>
    <w:uiPriority w:val="9"/>
    <w:rPr>
      <w:rFonts w:ascii="Helvetica" w:hAnsi="Helvetica" w:eastAsia="Helvetica"/>
      <w:kern w:val="2"/>
      <w:sz w:val="21"/>
      <w:szCs w:val="21"/>
    </w:rPr>
  </w:style>
  <w:style w:type="character" w:customStyle="1" w:styleId="980">
    <w:name w:val="文档结构图 字符"/>
    <w:uiPriority w:val="99"/>
    <w:rPr>
      <w:rFonts w:ascii="Wingdings" w:hAnsi="仿宋_GB2312"/>
      <w:kern w:val="2"/>
      <w:sz w:val="18"/>
      <w:szCs w:val="18"/>
    </w:rPr>
  </w:style>
  <w:style w:type="paragraph" w:customStyle="1" w:styleId="981">
    <w:name w:val="_Style 979"/>
    <w:basedOn w:val="1"/>
    <w:next w:val="279"/>
    <w:qFormat/>
    <w:uiPriority w:val="0"/>
    <w:pPr>
      <w:adjustRightInd/>
      <w:ind w:firstLine="420" w:firstLineChars="200"/>
    </w:pPr>
    <w:rPr>
      <w:rFonts w:ascii="仿宋_GB2312" w:hAnsi="仿宋_GB2312" w:eastAsia="等线"/>
    </w:rPr>
  </w:style>
  <w:style w:type="character" w:customStyle="1" w:styleId="982">
    <w:name w:val="正文文本缩进 2 字符"/>
    <w:qFormat/>
    <w:uiPriority w:val="0"/>
    <w:rPr>
      <w:kern w:val="2"/>
      <w:sz w:val="21"/>
      <w:szCs w:val="22"/>
    </w:rPr>
  </w:style>
  <w:style w:type="character" w:customStyle="1" w:styleId="983">
    <w:name w:val="标题 字符"/>
    <w:uiPriority w:val="10"/>
    <w:rPr>
      <w:rFonts w:ascii="Helvetica" w:hAnsi="Helvetica" w:eastAsia="Helvetica"/>
      <w:b/>
      <w:bCs/>
      <w:kern w:val="2"/>
      <w:sz w:val="32"/>
      <w:szCs w:val="32"/>
    </w:rPr>
  </w:style>
  <w:style w:type="character" w:customStyle="1" w:styleId="984">
    <w:name w:val="批注主题 字符"/>
    <w:qFormat/>
    <w:uiPriority w:val="99"/>
    <w:rPr>
      <w:b/>
      <w:bCs/>
      <w:kern w:val="2"/>
      <w:sz w:val="21"/>
      <w:szCs w:val="22"/>
    </w:rPr>
  </w:style>
  <w:style w:type="paragraph" w:customStyle="1" w:styleId="985">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6">
    <w:name w:val="列表段落2"/>
    <w:basedOn w:val="1"/>
    <w:link w:val="987"/>
    <w:qFormat/>
    <w:uiPriority w:val="0"/>
    <w:pPr>
      <w:adjustRightInd/>
      <w:ind w:firstLine="420" w:firstLineChars="200"/>
    </w:pPr>
    <w:rPr>
      <w:rFonts w:ascii="Times New Roman (正文 CS 字体)" w:hAnsi="Times New Roman (正文 CS 字体)" w:eastAsia="等线"/>
      <w:szCs w:val="22"/>
    </w:rPr>
  </w:style>
  <w:style w:type="character" w:customStyle="1" w:styleId="987">
    <w:name w:val="List Paragraph Char"/>
    <w:link w:val="986"/>
    <w:qFormat/>
    <w:uiPriority w:val="0"/>
    <w:rPr>
      <w:rFonts w:ascii="Times New Roman (正文 CS 字体)" w:hAnsi="Times New Roman (正文 CS 字体)" w:eastAsia="等线"/>
      <w:kern w:val="2"/>
      <w:sz w:val="21"/>
      <w:szCs w:val="22"/>
    </w:rPr>
  </w:style>
  <w:style w:type="paragraph" w:customStyle="1" w:styleId="988">
    <w:name w:val="正文文本首行缩进 21"/>
    <w:basedOn w:val="989"/>
    <w:qFormat/>
    <w:uiPriority w:val="0"/>
    <w:pPr>
      <w:ind w:firstLine="420"/>
    </w:pPr>
    <w:rPr>
      <w:rFonts w:eastAsia="Wingdings" w:cs="Wingdings"/>
    </w:rPr>
  </w:style>
  <w:style w:type="paragraph" w:customStyle="1" w:styleId="989">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0">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1">
    <w:name w:val="标题 1 字符1"/>
    <w:uiPriority w:val="9"/>
    <w:rPr>
      <w:rFonts w:eastAsia="Times New Roman (正文 CS 字体)"/>
      <w:b/>
      <w:bCs/>
      <w:kern w:val="44"/>
      <w:sz w:val="44"/>
      <w:szCs w:val="44"/>
    </w:rPr>
  </w:style>
  <w:style w:type="character" w:customStyle="1" w:styleId="992">
    <w:name w:val="标题 2 字符1"/>
    <w:uiPriority w:val="9"/>
    <w:rPr>
      <w:rFonts w:ascii="Times New Roman (正文 CS 字体)" w:hAnsi="Times New Roman (正文 CS 字体)" w:eastAsia="Times New Roman (正文 CS 字体)"/>
      <w:b/>
      <w:bCs/>
      <w:kern w:val="2"/>
      <w:sz w:val="36"/>
      <w:szCs w:val="32"/>
    </w:rPr>
  </w:style>
  <w:style w:type="paragraph" w:customStyle="1" w:styleId="993">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4">
    <w:name w:val="Bullet 1"/>
    <w:basedOn w:val="1"/>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5">
    <w:name w:val="样式 正文缩进 + 首行缩进:  2 字符 Char"/>
    <w:uiPriority w:val="0"/>
    <w:rPr>
      <w:sz w:val="24"/>
    </w:rPr>
  </w:style>
  <w:style w:type="paragraph" w:customStyle="1" w:styleId="996">
    <w:name w:val="GHC 正文"/>
    <w:basedOn w:val="1"/>
    <w:link w:val="997"/>
    <w:qFormat/>
    <w:uiPriority w:val="0"/>
    <w:pPr>
      <w:adjustRightInd/>
      <w:spacing w:line="360" w:lineRule="auto"/>
      <w:ind w:firstLine="420" w:firstLineChars="200"/>
    </w:pPr>
    <w:rPr>
      <w:rFonts w:ascii="Wingdings" w:hAnsi="Wingdings" w:eastAsia="等线"/>
      <w:sz w:val="24"/>
      <w:lang w:val="en-AU"/>
    </w:rPr>
  </w:style>
  <w:style w:type="character" w:customStyle="1" w:styleId="997">
    <w:name w:val="GHC 正文 Char"/>
    <w:link w:val="996"/>
    <w:uiPriority w:val="0"/>
    <w:rPr>
      <w:rFonts w:ascii="Wingdings" w:hAnsi="Wingdings" w:eastAsia="等线"/>
      <w:kern w:val="2"/>
      <w:sz w:val="24"/>
      <w:szCs w:val="24"/>
      <w:lang w:val="en-AU"/>
    </w:rPr>
  </w:style>
  <w:style w:type="paragraph" w:customStyle="1" w:styleId="998">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999">
    <w:name w:val="0段落文字"/>
    <w:basedOn w:val="998"/>
    <w:qFormat/>
    <w:uiPriority w:val="0"/>
  </w:style>
  <w:style w:type="paragraph" w:customStyle="1" w:styleId="1000">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1">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2">
    <w:name w:val="letter list Char"/>
    <w:uiPriority w:val="0"/>
    <w:rPr>
      <w:b/>
      <w:bCs/>
      <w:sz w:val="24"/>
      <w:szCs w:val="24"/>
    </w:rPr>
  </w:style>
  <w:style w:type="character" w:customStyle="1" w:styleId="1003">
    <w:name w:val="Legal Level 1.1.1. Char"/>
    <w:uiPriority w:val="0"/>
    <w:rPr>
      <w:rFonts w:ascii="Helvetica" w:hAnsi="Helvetica" w:eastAsia="Wingdings" w:cs="Times New Roman (正文 CS 字体)"/>
      <w:sz w:val="24"/>
      <w:szCs w:val="24"/>
    </w:rPr>
  </w:style>
  <w:style w:type="character" w:customStyle="1" w:styleId="1004">
    <w:name w:val="三级标题 Char"/>
    <w:uiPriority w:val="0"/>
    <w:rPr>
      <w:rFonts w:ascii="Helvetica" w:hAnsi="Helvetica" w:eastAsia="Wingdings" w:cs="Times New Roman (正文 CS 字体)"/>
      <w:szCs w:val="21"/>
    </w:rPr>
  </w:style>
  <w:style w:type="character" w:customStyle="1" w:styleId="1005">
    <w:name w:val="正文文本缩进 字符1"/>
    <w:uiPriority w:val="0"/>
    <w:rPr>
      <w:kern w:val="2"/>
      <w:sz w:val="21"/>
      <w:szCs w:val="22"/>
    </w:rPr>
  </w:style>
  <w:style w:type="character" w:customStyle="1" w:styleId="1006">
    <w:name w:val="列出段落 字符1"/>
    <w:qFormat/>
    <w:uiPriority w:val="0"/>
    <w:rPr>
      <w:rFonts w:ascii="Times New Roman (正文 CS 字体)" w:hAnsi="Times New Roman (正文 CS 字体)" w:eastAsia="Wingdings" w:cs="Times New Roman (正文 CS 字体)"/>
      <w:szCs w:val="24"/>
    </w:rPr>
  </w:style>
  <w:style w:type="paragraph" w:customStyle="1" w:styleId="1007">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8">
    <w:name w:val="TOC 标题2"/>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09">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0">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1">
    <w:name w:val="TOC 标题3"/>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2">
    <w:name w:val="修订4"/>
    <w:semiHidden/>
    <w:uiPriority w:val="99"/>
    <w:rPr>
      <w:rFonts w:ascii="仿宋_GB2312" w:hAnsi="仿宋_GB2312" w:eastAsia="等线" w:cs="Times New Roman (正文 CS 字体)"/>
      <w:kern w:val="2"/>
      <w:sz w:val="24"/>
      <w:szCs w:val="22"/>
      <w:lang w:val="en-US" w:eastAsia="zh-CN" w:bidi="ar-SA"/>
    </w:rPr>
  </w:style>
  <w:style w:type="paragraph" w:customStyle="1" w:styleId="1013">
    <w:name w:val="List Paragraph2"/>
    <w:basedOn w:val="1"/>
    <w:qFormat/>
    <w:uiPriority w:val="0"/>
    <w:pPr>
      <w:adjustRightInd/>
      <w:ind w:firstLine="420" w:firstLineChars="200"/>
    </w:pPr>
    <w:rPr>
      <w:szCs w:val="22"/>
    </w:rPr>
  </w:style>
  <w:style w:type="paragraph" w:customStyle="1" w:styleId="1014">
    <w:name w:val="Body Text First Indent 2"/>
    <w:basedOn w:val="1015"/>
    <w:qFormat/>
    <w:uiPriority w:val="0"/>
    <w:pPr>
      <w:ind w:firstLine="420"/>
    </w:pPr>
    <w:rPr>
      <w:rFonts w:ascii="Times New Roman (正文 CS 字体)" w:hAnsi="Times New Roman (正文 CS 字体)" w:eastAsia="Wingdings" w:cs="Wingdings"/>
    </w:rPr>
  </w:style>
  <w:style w:type="paragraph" w:customStyle="1" w:styleId="1015">
    <w:name w:val="Body Text Indent"/>
    <w:basedOn w:val="1"/>
    <w:next w:val="1"/>
    <w:qFormat/>
    <w:uiPriority w:val="0"/>
    <w:pPr>
      <w:adjustRightInd/>
      <w:spacing w:after="120"/>
      <w:ind w:left="420" w:leftChars="200"/>
    </w:pPr>
    <w:rPr>
      <w:color w:val="000000"/>
      <w:szCs w:val="21"/>
    </w:rPr>
  </w:style>
  <w:style w:type="paragraph" w:customStyle="1" w:styleId="1016">
    <w:name w:val="No Spacing1"/>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1017">
    <w:name w:val="网格型13"/>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网格型12"/>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网格型17"/>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网格型21"/>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网格型41"/>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7"/>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8"/>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网格型91"/>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网格型15"/>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网格型16"/>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网格型51"/>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网格型11"/>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网格型24"/>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网格型26"/>
    <w:basedOn w:val="64"/>
    <w:qFormat/>
    <w:uiPriority w:val="3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网格型811"/>
    <w:basedOn w:val="64"/>
    <w:qFormat/>
    <w:uiPriority w:val="39"/>
    <w:rPr>
      <w:rFonts w:ascii="仿宋_GB2312" w:hAnsi="仿宋_GB2312"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网格型20"/>
    <w:basedOn w:val="64"/>
    <w:qFormat/>
    <w:uiPriority w:val="39"/>
    <w:rPr>
      <w:rFonts w:ascii="仿宋_GB2312" w:hAnsi="仿宋_GB2312"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网格型1011"/>
    <w:basedOn w:val="64"/>
    <w:qFormat/>
    <w:uiPriority w:val="39"/>
    <w:rPr>
      <w:rFonts w:ascii="仿宋_GB2312" w:hAnsi="仿宋_GB2312"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网格型18"/>
    <w:basedOn w:val="64"/>
    <w:qFormat/>
    <w:uiPriority w:val="59"/>
    <w:rPr>
      <w:rFonts w:ascii="Times New Roman (正文 CS 字体)" w:hAnsi="Times New Roman (正文 CS 字体)" w:cs="Times New Roman (正文 CS 字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5">
    <w:name w:val="TOC Heading"/>
    <w:basedOn w:val="3"/>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36">
    <w:name w:val="TOC Heading1"/>
    <w:basedOn w:val="3"/>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37">
    <w:name w:val="Revision"/>
    <w:semiHidden/>
    <w:uiPriority w:val="99"/>
    <w:rPr>
      <w:rFonts w:ascii="仿宋_GB2312" w:hAnsi="仿宋_GB2312"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8824-A5A9-4186-AC8D-0E5AA589C30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70068</Words>
  <Characters>77708</Characters>
  <Lines>610</Lines>
  <Paragraphs>171</Paragraphs>
  <TotalTime>68</TotalTime>
  <ScaleCrop>false</ScaleCrop>
  <LinksUpToDate>false</LinksUpToDate>
  <CharactersWithSpaces>82097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2022-09-29T08:58:00Z</dcterms:created>
  <dc:creator>玥</dc:creator>
  <cp:lastModifiedBy>NTKO</cp:lastModifiedBy>
  <cp:lastPrinted>2022-09-08T03:15:00Z</cp:lastPrinted>
  <dcterms:modified xsi:type="dcterms:W3CDTF">2022-09-30T08:24:00Z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9974CD4ED8CB4CFBB07F70DE960E0DA3</vt:lpwstr>
  </property>
</Properties>
</file>