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诸暨市自然资源和规划局2022年土地评估服务项目招标文件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（编号：诸政采2022-08-05）</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诸暨市自然资源和规划局</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二〇二二年八月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诸暨市自然资源和规划局2022年土地评估服务</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9月15日9点00分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诸政采2022-08-05</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诸暨市自然资源和规划局2022年土地评估服务</w:t>
      </w:r>
      <w:r>
        <w:rPr>
          <w:rFonts w:hint="eastAsia" w:ascii="仿宋_GB2312" w:hAnsi="仿宋" w:eastAsia="仿宋_GB2312"/>
          <w:sz w:val="24"/>
        </w:rPr>
        <w:t>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240万元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ascii="仿宋_GB2312" w:hAnsi="仿宋" w:eastAsia="仿宋_GB2312"/>
          <w:sz w:val="24"/>
        </w:rPr>
        <w:t xml:space="preserve"> </w:t>
      </w:r>
      <w:r>
        <w:rPr>
          <w:rFonts w:hint="eastAsia" w:ascii="仿宋_GB2312" w:hAnsi="仿宋" w:eastAsia="仿宋_GB2312"/>
          <w:sz w:val="24"/>
        </w:rPr>
        <w:t>标的一：</w:t>
      </w:r>
      <w:r>
        <w:rPr>
          <w:rFonts w:hint="eastAsia" w:ascii="仿宋_GB2312" w:hAnsi="仿宋" w:eastAsia="仿宋_GB2312" w:cs="Helvetica"/>
          <w:kern w:val="0"/>
          <w:sz w:val="24"/>
        </w:rPr>
        <w:t>60%、</w:t>
      </w:r>
      <w:r>
        <w:rPr>
          <w:rFonts w:hint="eastAsia" w:ascii="仿宋_GB2312" w:hAnsi="仿宋" w:eastAsia="仿宋_GB2312"/>
          <w:sz w:val="24"/>
        </w:rPr>
        <w:t>标的二:</w:t>
      </w:r>
      <w:r>
        <w:rPr>
          <w:rFonts w:hint="eastAsia" w:ascii="仿宋_GB2312" w:hAnsi="仿宋" w:eastAsia="仿宋_GB2312" w:cs="Helvetica"/>
          <w:kern w:val="0"/>
          <w:sz w:val="24"/>
        </w:rPr>
        <w:t>60%、</w:t>
      </w:r>
      <w:r>
        <w:rPr>
          <w:rFonts w:hint="eastAsia" w:ascii="仿宋_GB2312" w:hAnsi="仿宋" w:eastAsia="仿宋_GB2312"/>
          <w:sz w:val="24"/>
        </w:rPr>
        <w:t>标的三：</w:t>
      </w:r>
      <w:r>
        <w:rPr>
          <w:rFonts w:hint="eastAsia" w:ascii="仿宋_GB2312" w:hAnsi="仿宋" w:eastAsia="仿宋_GB2312" w:cs="Helvetica"/>
          <w:kern w:val="0"/>
          <w:sz w:val="24"/>
        </w:rPr>
        <w:t>60%</w:t>
      </w:r>
    </w:p>
    <w:p>
      <w:pPr>
        <w:ind w:firstLine="482" w:firstLineChars="200"/>
        <w:rPr>
          <w:rFonts w:ascii="仿宋_GB2312" w:hAnsi="仿宋" w:eastAsia="仿宋_GB2312"/>
          <w:sz w:val="24"/>
        </w:rPr>
      </w:pPr>
      <w:r>
        <w:rPr>
          <w:rFonts w:hint="eastAsia" w:ascii="仿宋_GB2312" w:hAnsi="仿宋" w:eastAsia="仿宋_GB2312"/>
          <w:b/>
          <w:sz w:val="24"/>
        </w:rPr>
        <w:t>采购需求：</w:t>
      </w:r>
      <w:r>
        <w:rPr>
          <w:rFonts w:hint="eastAsia" w:ascii="仿宋_GB2312" w:hAnsi="仿宋" w:eastAsia="仿宋_GB2312"/>
          <w:sz w:val="24"/>
        </w:rPr>
        <w:t>本项目共分为三个标的，标的1为片区1（包括暨阳街道、次坞、应店街、山下湖等镇街）；标的2为片区2（包括浣东街道、店口、枫桥、赵家、东和、东白湖、浬浦等镇街）；标的3为片区3（包括大唐街道、暨南街道、姚江、牌头、安华、同山、璜山、陈宅、马剑、五泄、岭北等镇街）。</w:t>
      </w:r>
    </w:p>
    <w:p>
      <w:pPr>
        <w:ind w:firstLine="480" w:firstLineChars="200"/>
        <w:rPr>
          <w:rFonts w:ascii="仿宋_GB2312" w:hAnsi="仿宋" w:eastAsia="仿宋_GB2312"/>
          <w:sz w:val="24"/>
        </w:rPr>
      </w:pPr>
      <w:r>
        <w:rPr>
          <w:rFonts w:hint="eastAsia" w:ascii="仿宋_GB2312" w:hAnsi="仿宋" w:eastAsia="仿宋_GB2312"/>
          <w:sz w:val="24"/>
        </w:rPr>
        <w:t>本项目采用折扣率报价，服务费用按实际工作量结算，不超过预算，详见下表。</w:t>
      </w:r>
    </w:p>
    <w:tbl>
      <w:tblPr>
        <w:tblStyle w:val="6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58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91"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w:t>
            </w:r>
          </w:p>
        </w:tc>
        <w:tc>
          <w:tcPr>
            <w:tcW w:w="6583"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标的内容</w:t>
            </w:r>
          </w:p>
        </w:tc>
        <w:tc>
          <w:tcPr>
            <w:tcW w:w="1244" w:type="dxa"/>
            <w:vAlign w:val="center"/>
          </w:tcPr>
          <w:p>
            <w:pPr>
              <w:pStyle w:val="32"/>
              <w:spacing w:line="440" w:lineRule="exact"/>
              <w:jc w:val="center"/>
              <w:rPr>
                <w:rFonts w:ascii="仿宋_GB2312" w:hAnsi="仿宋" w:eastAsia="仿宋_GB2312" w:cs="Times New Roman"/>
                <w:snapToGrid/>
                <w:sz w:val="24"/>
                <w:szCs w:val="24"/>
              </w:rPr>
            </w:pPr>
            <w:r>
              <w:rPr>
                <w:rFonts w:ascii="仿宋_GB2312" w:hAnsi="仿宋" w:eastAsia="仿宋_GB2312" w:cs="Times New Roman"/>
                <w:snapToGrid/>
                <w:sz w:val="24"/>
                <w:szCs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91"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标的1</w:t>
            </w:r>
          </w:p>
        </w:tc>
        <w:tc>
          <w:tcPr>
            <w:tcW w:w="6583" w:type="dxa"/>
            <w:vAlign w:val="center"/>
          </w:tcPr>
          <w:p>
            <w:pPr>
              <w:pStyle w:val="32"/>
              <w:spacing w:line="440" w:lineRule="exact"/>
              <w:jc w:val="left"/>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片区1（包括暨阳街道、次坞、应店街、山下湖等镇街）土地评估服务</w:t>
            </w:r>
          </w:p>
        </w:tc>
        <w:tc>
          <w:tcPr>
            <w:tcW w:w="1244"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91"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标的2</w:t>
            </w:r>
          </w:p>
        </w:tc>
        <w:tc>
          <w:tcPr>
            <w:tcW w:w="6583" w:type="dxa"/>
            <w:vAlign w:val="center"/>
          </w:tcPr>
          <w:p>
            <w:pPr>
              <w:pStyle w:val="32"/>
              <w:spacing w:line="440" w:lineRule="exact"/>
              <w:jc w:val="left"/>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片区2（包括浣东街道、店口、枫桥、赵家、东和、东白湖、浬浦等镇街）土地评估服务</w:t>
            </w:r>
          </w:p>
        </w:tc>
        <w:tc>
          <w:tcPr>
            <w:tcW w:w="1244"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91"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标的3</w:t>
            </w:r>
          </w:p>
        </w:tc>
        <w:tc>
          <w:tcPr>
            <w:tcW w:w="6583" w:type="dxa"/>
            <w:vAlign w:val="center"/>
          </w:tcPr>
          <w:p>
            <w:pPr>
              <w:pStyle w:val="32"/>
              <w:spacing w:line="440" w:lineRule="exact"/>
              <w:jc w:val="left"/>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片区3（包括大唐街道、暨南街道、姚江、牌头、安华、同山、璜山、陈宅、马剑、五泄、岭北等镇街）土地评估服务</w:t>
            </w:r>
          </w:p>
        </w:tc>
        <w:tc>
          <w:tcPr>
            <w:tcW w:w="1244" w:type="dxa"/>
            <w:vAlign w:val="center"/>
          </w:tcPr>
          <w:p>
            <w:pPr>
              <w:pStyle w:val="32"/>
              <w:spacing w:line="440" w:lineRule="exact"/>
              <w:jc w:val="center"/>
              <w:rPr>
                <w:rFonts w:ascii="仿宋_GB2312" w:hAnsi="仿宋" w:eastAsia="仿宋_GB2312" w:cs="Times New Roman"/>
                <w:snapToGrid/>
                <w:sz w:val="24"/>
                <w:szCs w:val="24"/>
              </w:rPr>
            </w:pPr>
            <w:r>
              <w:rPr>
                <w:rFonts w:hint="eastAsia" w:ascii="仿宋_GB2312" w:hAnsi="仿宋" w:eastAsia="仿宋_GB2312" w:cs="Times New Roman"/>
                <w:snapToGrid/>
                <w:sz w:val="24"/>
                <w:szCs w:val="24"/>
              </w:rPr>
              <w:t>80万元</w:t>
            </w:r>
          </w:p>
        </w:tc>
      </w:tr>
    </w:tbl>
    <w:p>
      <w:pPr>
        <w:ind w:firstLine="480" w:firstLineChars="200"/>
        <w:jc w:val="left"/>
        <w:rPr>
          <w:rFonts w:ascii="仿宋_GB2312" w:hAnsi="仿宋" w:eastAsia="仿宋_GB2312"/>
          <w:sz w:val="24"/>
        </w:rPr>
      </w:pPr>
      <w:r>
        <w:rPr>
          <w:rFonts w:hint="eastAsia" w:ascii="仿宋_GB2312" w:hAnsi="仿宋" w:eastAsia="仿宋_GB2312"/>
          <w:sz w:val="24"/>
        </w:rPr>
        <w:t>具体服务要求详见“第三部分 采购需求”。</w:t>
      </w:r>
    </w:p>
    <w:p>
      <w:pPr>
        <w:ind w:firstLine="480" w:firstLineChars="200"/>
        <w:jc w:val="left"/>
        <w:rPr>
          <w:rFonts w:ascii="仿宋_GB2312" w:hAnsi="仿宋" w:eastAsia="仿宋_GB2312"/>
          <w:sz w:val="24"/>
        </w:rPr>
      </w:pPr>
      <w:r>
        <w:rPr>
          <w:rFonts w:hint="eastAsia" w:ascii="仿宋_GB2312" w:hAnsi="仿宋" w:eastAsia="仿宋_GB2312"/>
          <w:sz w:val="24"/>
        </w:rPr>
        <w:t>招标服务期限：合同签订生效起至2022年12月31日止。</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842998546"/>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545068839"/>
        </w:sdtPr>
        <w:sdtEndPr>
          <w:rPr>
            <w:rFonts w:hint="eastAsia" w:ascii="仿宋_GB2312" w:hAnsi="仿宋" w:eastAsia="仿宋_GB2312"/>
            <w:bCs/>
            <w:sz w:val="24"/>
          </w:rPr>
        </w:sdtEndPr>
        <w:sdtContent>
          <w:r>
            <w:rPr>
              <w:rFonts w:hint="eastAsia" w:ascii="仿宋_GB2312" w:hAnsi="仿宋" w:eastAsia="仿宋_GB2312"/>
              <w:bCs/>
              <w:sz w:val="24"/>
            </w:rPr>
            <w:t>☐</w:t>
          </w:r>
        </w:sdtContent>
      </w:sdt>
      <w:r>
        <w:rPr>
          <w:rFonts w:hint="eastAsia" w:ascii="仿宋_GB2312" w:hAnsi="仿宋" w:eastAsia="仿宋_GB2312"/>
          <w:bCs/>
          <w:sz w:val="24"/>
        </w:rPr>
        <w:t>无；</w:t>
      </w:r>
    </w:p>
    <w:p>
      <w:pPr>
        <w:spacing w:line="360" w:lineRule="auto"/>
        <w:ind w:firstLine="480"/>
        <w:rPr>
          <w:rFonts w:ascii="仿宋_GB2312" w:hAnsi="仿宋" w:eastAsia="仿宋_GB2312"/>
          <w:bCs/>
          <w:sz w:val="24"/>
        </w:rPr>
      </w:pPr>
      <w:sdt>
        <w:sdtPr>
          <w:rPr>
            <w:rFonts w:hint="eastAsia" w:ascii="仿宋_GB2312" w:hAnsi="仿宋" w:eastAsia="仿宋_GB2312"/>
            <w:bCs/>
            <w:sz w:val="24"/>
          </w:rPr>
          <w:id w:val="545068840"/>
        </w:sdtPr>
        <w:sdtEndPr>
          <w:rPr>
            <w:rFonts w:hint="eastAsia" w:ascii="仿宋_GB2312" w:hAnsi="仿宋" w:eastAsia="仿宋_GB2312"/>
            <w:bCs/>
            <w:sz w:val="24"/>
          </w:rPr>
        </w:sdtEndPr>
        <w:sdtContent>
          <w:sdt>
            <w:sdtPr>
              <w:rPr>
                <w:rFonts w:hint="eastAsia" w:ascii="仿宋_GB2312" w:hAnsi="仿宋" w:eastAsia="仿宋_GB2312"/>
                <w:bCs/>
                <w:sz w:val="24"/>
              </w:rPr>
              <w:id w:val="545068841"/>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4.本项目的特定资格要求：通过省级自然资源部门备案可从事土地评估服务的土地估价机构。</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9</w:t>
      </w:r>
      <w:r>
        <w:rPr>
          <w:rFonts w:ascii="仿宋_GB2312" w:hAnsi="仿宋" w:eastAsia="仿宋_GB2312"/>
          <w:sz w:val="24"/>
          <w:u w:val="single"/>
        </w:rPr>
        <w:t>月</w:t>
      </w:r>
      <w:r>
        <w:rPr>
          <w:rFonts w:hint="eastAsia" w:ascii="仿宋_GB2312" w:hAnsi="仿宋" w:eastAsia="仿宋_GB2312"/>
          <w:sz w:val="24"/>
          <w:u w:val="single"/>
        </w:rPr>
        <w:t>1</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投标人应于2022年9月15日9时00分（北京时间）前按照电子投标要求将电子加密标书上传到政府采购云平台，逾期或未上传成功的将导致无法投标或投标无效。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诸暨市自然资源和规划局</w:t>
      </w:r>
    </w:p>
    <w:p>
      <w:pPr>
        <w:spacing w:line="360" w:lineRule="auto"/>
        <w:ind w:firstLine="465"/>
        <w:rPr>
          <w:rFonts w:ascii="仿宋_GB2312" w:hAnsi="仿宋" w:eastAsia="仿宋_GB2312"/>
          <w:sz w:val="24"/>
        </w:rPr>
      </w:pPr>
      <w:r>
        <w:rPr>
          <w:rFonts w:ascii="仿宋_GB2312" w:hAnsi="仿宋" w:eastAsia="仿宋_GB2312"/>
          <w:sz w:val="24"/>
        </w:rPr>
        <w:t>地    址：</w:t>
      </w:r>
      <w:r>
        <w:rPr>
          <w:rFonts w:hint="eastAsia" w:ascii="仿宋_GB2312" w:hAnsi="仿宋" w:eastAsia="仿宋_GB2312"/>
          <w:sz w:val="24"/>
        </w:rPr>
        <w:t>诸暨市暨阳街道东二路53号</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项目联系人（询问）：宣浩祥  项目联系方式（询问）：0575-87980069</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质疑联系人：马奇锋 质疑联系方式：0575-87980013</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王小林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金泽成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 xml:space="preserve">0575-87253015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7"/>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7"/>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540942240"/>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为确保评估服务顺利开展，经采购单位同意，紧急评估项目中标单位可分包给与本项目资格要求相同的单位，协助开展评估服务（须签订分包协议并经采购人审核通过）。</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540942239"/>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7"/>
              <w:numPr>
                <w:ilvl w:val="0"/>
                <w:numId w:val="3"/>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w:t>
            </w:r>
          </w:p>
          <w:p>
            <w:pPr>
              <w:pStyle w:val="277"/>
              <w:numPr>
                <w:ilvl w:val="0"/>
                <w:numId w:val="3"/>
              </w:numPr>
              <w:snapToGrid w:val="0"/>
              <w:ind w:firstLineChars="0"/>
              <w:rPr>
                <w:rFonts w:ascii="仿宋_GB2312" w:hAnsi="仿宋" w:eastAsia="仿宋_GB2312" w:cs="仿宋_GB2312"/>
              </w:rPr>
            </w:pPr>
            <w:r>
              <w:rPr>
                <w:rFonts w:hint="eastAsia" w:ascii="仿宋_GB2312" w:hAnsi="仿宋" w:eastAsia="仿宋_GB2312"/>
                <w:bCs/>
              </w:rPr>
              <w:t>通过省级自然资源部门备案可从事土地评估服务的土地估价机构（提供相关证明）</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联合协议</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分包意向协议</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7"/>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w:t>
            </w:r>
            <w:r>
              <w:rPr>
                <w:rFonts w:ascii="仿宋_GB2312" w:hAnsi="仿宋" w:eastAsia="仿宋_GB2312"/>
                <w:kern w:val="0"/>
                <w:sz w:val="24"/>
              </w:rPr>
              <w:t>方案讲解演示</w:t>
            </w:r>
            <w:r>
              <w:rPr>
                <w:rFonts w:hint="eastAsia" w:ascii="仿宋_GB2312" w:hAnsi="仿宋" w:eastAsia="仿宋_GB2312"/>
                <w:kern w:val="0"/>
                <w:sz w:val="24"/>
              </w:rPr>
              <w:t>采用U盘或光盘演示。投标人须通过现场或邮寄方式递交此项目演示视频存储介质，请各投标人在邮寄过程中自行保护好隐私，并确保在投标截止时间前寄到收件人处。</w:t>
            </w:r>
            <w:r>
              <w:rPr>
                <w:rFonts w:ascii="仿宋_GB2312" w:hAnsi="仿宋" w:eastAsia="仿宋_GB2312"/>
                <w:kern w:val="0"/>
                <w:sz w:val="24"/>
              </w:rPr>
              <w:t>每个投标人</w:t>
            </w:r>
            <w:r>
              <w:rPr>
                <w:rFonts w:hint="eastAsia" w:ascii="仿宋_GB2312" w:hAnsi="仿宋" w:eastAsia="仿宋_GB2312"/>
                <w:kern w:val="0"/>
                <w:sz w:val="24"/>
              </w:rPr>
              <w:t>演示</w:t>
            </w:r>
            <w:r>
              <w:rPr>
                <w:rFonts w:ascii="仿宋_GB2312" w:hAnsi="仿宋" w:eastAsia="仿宋_GB2312"/>
                <w:kern w:val="0"/>
                <w:sz w:val="24"/>
              </w:rPr>
              <w:t>时间不超过20分钟。</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eastAsia="仿宋_GB2312" w:asciiTheme="minorHAnsi" w:hAnsiTheme="minorHAnsi"/>
                <w:sz w:val="24"/>
                <w:u w:val="single"/>
              </w:rPr>
              <w:t>/</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其他未列明 </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
    <w:p>
      <w:pPr>
        <w:pStyle w:val="2"/>
        <w:rPr>
          <w:lang w:val="en-US"/>
        </w:rPr>
      </w:pPr>
    </w:p>
    <w:p/>
    <w:p>
      <w:pPr>
        <w:pStyle w:val="2"/>
        <w:ind w:left="0" w:firstLine="0"/>
        <w:rPr>
          <w:lang w:val="en-US"/>
        </w:rPr>
      </w:pPr>
    </w:p>
    <w:p/>
    <w:p>
      <w:pPr>
        <w:pStyle w:val="2"/>
        <w:rPr>
          <w:lang w:val="en-US"/>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5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9"/>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5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5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5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5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5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8"/>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5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5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5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59"/>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59"/>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011"/>
      <w:bookmarkEnd w:id="14"/>
      <w:bookmarkStart w:id="15" w:name="_Hlt75236290"/>
      <w:bookmarkEnd w:id="15"/>
      <w:bookmarkStart w:id="16" w:name="_Hlt68072990"/>
      <w:bookmarkEnd w:id="16"/>
      <w:bookmarkStart w:id="17" w:name="_Hlt74729768"/>
      <w:bookmarkEnd w:id="17"/>
      <w:bookmarkStart w:id="18" w:name="_Hlt74730295"/>
      <w:bookmarkEnd w:id="18"/>
      <w:bookmarkStart w:id="19" w:name="_Hlt74707468"/>
      <w:bookmarkEnd w:id="19"/>
      <w:bookmarkStart w:id="20" w:name="_Hlt75236101"/>
      <w:bookmarkEnd w:id="20"/>
      <w:bookmarkStart w:id="21" w:name="_Hlt68057669"/>
      <w:bookmarkEnd w:id="21"/>
      <w:bookmarkStart w:id="22" w:name="_Hlt68072998"/>
      <w:bookmarkEnd w:id="22"/>
      <w:bookmarkStart w:id="23" w:name="_Hlt74714665"/>
      <w:bookmarkEnd w:id="23"/>
      <w:bookmarkStart w:id="24" w:name="_Hlt6840382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一、项目概况</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为进一步完善土地定价程序，促进土地市场平稳健康运行，规范地价评估委托行为，根据国土资源部办公厅关于发布的《国有建设用地使用权出让地价评估技术规范》(国土资厅发〔2018〕4号)等文件要求，采购第三方土地评估服务。主要内容为诸暨市域（除开发区以外区域）土地出让(含补缴土地出让金)工作中需由第三方机构对土地价值提供的专业土地评估服务。</w:t>
      </w:r>
    </w:p>
    <w:p>
      <w:pPr>
        <w:tabs>
          <w:tab w:val="left" w:pos="0"/>
        </w:tabs>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本项目共分为三个标的，标的1为片区1（包括暨阳街道、次坞、应店街、山下湖等镇街）；标的2为片区2（包括浣东街道、店口、枫桥、赵家、东和、东白湖、浬浦等镇街）；标的3为片区3（包括大唐街道、暨南街道、姚江、牌头、安华、同山、璜山、陈宅、马剑、五泄、岭北等镇街）。</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本项目采用折扣率报价，服务费用按实际工作量结算，不超过预算，详见下表。</w:t>
      </w:r>
    </w:p>
    <w:tbl>
      <w:tblPr>
        <w:tblStyle w:val="6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2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91" w:type="dxa"/>
            <w:vAlign w:val="center"/>
          </w:tcPr>
          <w:p>
            <w:pPr>
              <w:pStyle w:val="32"/>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标的</w:t>
            </w:r>
          </w:p>
        </w:tc>
        <w:tc>
          <w:tcPr>
            <w:tcW w:w="6217" w:type="dxa"/>
            <w:vAlign w:val="center"/>
          </w:tcPr>
          <w:p>
            <w:pPr>
              <w:pStyle w:val="32"/>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标的内容</w:t>
            </w:r>
          </w:p>
        </w:tc>
        <w:tc>
          <w:tcPr>
            <w:tcW w:w="1610" w:type="dxa"/>
            <w:vAlign w:val="center"/>
          </w:tcPr>
          <w:p>
            <w:pPr>
              <w:pStyle w:val="32"/>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91"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标的1</w:t>
            </w:r>
          </w:p>
        </w:tc>
        <w:tc>
          <w:tcPr>
            <w:tcW w:w="6217" w:type="dxa"/>
            <w:vAlign w:val="center"/>
          </w:tcPr>
          <w:p>
            <w:pPr>
              <w:pStyle w:val="32"/>
              <w:spacing w:line="440" w:lineRule="exact"/>
              <w:jc w:val="left"/>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片区1（包括暨阳街道、次坞、应店街、山下湖等镇街）土地评估服务</w:t>
            </w:r>
          </w:p>
        </w:tc>
        <w:tc>
          <w:tcPr>
            <w:tcW w:w="1610"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291"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标的2</w:t>
            </w:r>
          </w:p>
        </w:tc>
        <w:tc>
          <w:tcPr>
            <w:tcW w:w="6217" w:type="dxa"/>
            <w:vAlign w:val="center"/>
          </w:tcPr>
          <w:p>
            <w:pPr>
              <w:pStyle w:val="32"/>
              <w:spacing w:line="440" w:lineRule="exact"/>
              <w:jc w:val="left"/>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片区2（包括浣东街道、店口、枫桥、赵家、东和、东白湖、浬浦等镇街）土地评估服务</w:t>
            </w:r>
          </w:p>
        </w:tc>
        <w:tc>
          <w:tcPr>
            <w:tcW w:w="1610"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1"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标的3</w:t>
            </w:r>
          </w:p>
        </w:tc>
        <w:tc>
          <w:tcPr>
            <w:tcW w:w="6217" w:type="dxa"/>
            <w:vAlign w:val="center"/>
          </w:tcPr>
          <w:p>
            <w:pPr>
              <w:pStyle w:val="32"/>
              <w:spacing w:line="440" w:lineRule="exact"/>
              <w:jc w:val="left"/>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片区3（包括大唐街道、暨南街道、姚江、牌头、安华、同山、璜山、陈宅、马剑、五泄、岭北等镇街）土地评估服务</w:t>
            </w:r>
          </w:p>
        </w:tc>
        <w:tc>
          <w:tcPr>
            <w:tcW w:w="1610" w:type="dxa"/>
            <w:vAlign w:val="center"/>
          </w:tcPr>
          <w:p>
            <w:pPr>
              <w:pStyle w:val="32"/>
              <w:spacing w:line="440" w:lineRule="exact"/>
              <w:jc w:val="center"/>
              <w:rPr>
                <w:rFonts w:ascii="仿宋_GB2312" w:hAnsi="仿宋" w:eastAsia="仿宋_GB2312" w:cs="Helvetica"/>
                <w:snapToGrid/>
                <w:kern w:val="0"/>
                <w:sz w:val="24"/>
                <w:szCs w:val="24"/>
              </w:rPr>
            </w:pPr>
            <w:r>
              <w:rPr>
                <w:rFonts w:hint="eastAsia" w:ascii="仿宋_GB2312" w:hAnsi="仿宋" w:eastAsia="仿宋_GB2312" w:cs="Helvetica"/>
                <w:snapToGrid/>
                <w:kern w:val="0"/>
                <w:sz w:val="24"/>
                <w:szCs w:val="24"/>
              </w:rPr>
              <w:t>80万元</w:t>
            </w:r>
          </w:p>
        </w:tc>
      </w:tr>
    </w:tbl>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招标服务期限：合同签订之日起至2022年12月31日止。</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二、服务要求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(一)工作进度要求</w:t>
      </w:r>
    </w:p>
    <w:p>
      <w:pPr>
        <w:snapToGrid w:val="0"/>
        <w:spacing w:line="360" w:lineRule="auto"/>
        <w:jc w:val="left"/>
        <w:rPr>
          <w:rFonts w:ascii="仿宋_GB2312" w:hAnsi="仿宋" w:eastAsia="仿宋_GB2312"/>
          <w:kern w:val="0"/>
          <w:sz w:val="24"/>
          <w:lang w:val="zh-CN"/>
        </w:rPr>
      </w:pPr>
      <w:r>
        <w:rPr>
          <w:rFonts w:hint="eastAsia" w:ascii="仿宋_GB2312" w:hAnsi="仿宋" w:eastAsia="仿宋_GB2312" w:cs="Helvetica"/>
          <w:kern w:val="0"/>
          <w:sz w:val="24"/>
        </w:rPr>
        <w:t>根据项目工作量及上级部门要求确定，各中标单位须确保能够满足采购单位的各类紧急评估需求。原则上一般委托项目要求在3个工作日内出具评估报告，紧急委托项目要求24小时内出具评估报告（确保评估报告质量）。为确保评估服务顺利开展，经采购单位同意，紧急评估项目中标单位可分包与本项目资格要求相同的单位协助开展评估服务（须签订分包协议并经采购人审核通过）。若出现需由多家单位开展评估服务的项目，采购单位可委托其余2个标的中标单位同时开展评估服务。</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 xml:space="preserve"> (二)项目质量要求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各中标单位须按相关政策、文件规定的工作规范、规程操作，项目成果必须通过各级主管部门认可。中标单位一个月内连续出现两次错误，或是半年内总计出现3次及以上错误的，采购单位有权解除采购合同，并有权要求中标单位赔偿相关费用。</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(三)各中标单位必须按招标文件的服务标准及投标文件约定的服务价格、服务承诺等向采购单位提供优质服务，不得故意隐瞒和不兑现相关服务承诺。</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(四)各中标单位在提供服务过程中不得侵犯任何第三方知识产权。</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(五)各中标单位在未得到采购单位的书面同意下，不得将部分或全部服务内容分包给他人。</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(六)各中标单位在承接业务时须履行行业主管部门的相关规定。</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(七)各中标单位须在每季度将承接业务清单送采购单位报备。</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二、履约保证金</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履约保证金为项目采购合同总额1</w:t>
      </w:r>
      <w:r>
        <w:rPr>
          <w:rFonts w:ascii="仿宋_GB2312" w:hAnsi="仿宋" w:eastAsia="仿宋_GB2312" w:cs="Helvetica"/>
          <w:kern w:val="0"/>
          <w:sz w:val="24"/>
        </w:rPr>
        <w:t>%。</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三、付款方式</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评估费用结算以评估报告(需经采购单位审核通过)为准，每月结算一次。</w:t>
      </w:r>
      <w:r>
        <w:rPr>
          <w:rFonts w:hint="eastAsia" w:ascii="仿宋_GB2312" w:hAnsi="仿宋" w:eastAsia="仿宋_GB2312"/>
          <w:sz w:val="24"/>
        </w:rPr>
        <w:t>合同签订生效起至2022年12月31日止</w:t>
      </w:r>
      <w:r>
        <w:rPr>
          <w:rFonts w:ascii="仿宋_GB2312" w:hAnsi="仿宋" w:eastAsia="仿宋_GB2312" w:cs="Helvetica"/>
          <w:kern w:val="0"/>
          <w:sz w:val="24"/>
        </w:rPr>
        <w:t>或本项目采购预算金额满止，</w:t>
      </w:r>
      <w:r>
        <w:rPr>
          <w:rFonts w:hint="eastAsia" w:ascii="仿宋_GB2312" w:hAnsi="仿宋" w:eastAsia="仿宋_GB2312" w:cs="Helvetica"/>
          <w:kern w:val="0"/>
          <w:sz w:val="24"/>
        </w:rPr>
        <w:t>先到</w:t>
      </w:r>
      <w:r>
        <w:rPr>
          <w:rFonts w:ascii="仿宋_GB2312" w:hAnsi="仿宋" w:eastAsia="仿宋_GB2312" w:cs="Helvetica"/>
          <w:kern w:val="0"/>
          <w:sz w:val="24"/>
        </w:rPr>
        <w:t>为准。</w:t>
      </w:r>
    </w:p>
    <w:p>
      <w:pPr>
        <w:tabs>
          <w:tab w:val="left" w:pos="0"/>
        </w:tabs>
        <w:spacing w:line="360" w:lineRule="auto"/>
        <w:ind w:firstLine="480"/>
        <w:rPr>
          <w:rFonts w:ascii="仿宋_GB2312" w:hAnsi="仿宋" w:eastAsia="仿宋_GB2312" w:cs="Helvetica"/>
          <w:b/>
          <w:kern w:val="0"/>
          <w:sz w:val="24"/>
        </w:rPr>
      </w:pPr>
      <w:r>
        <w:rPr>
          <w:rFonts w:hint="eastAsia" w:ascii="仿宋_GB2312" w:hAnsi="仿宋" w:eastAsia="仿宋_GB2312" w:cs="Helvetica"/>
          <w:b/>
          <w:kern w:val="0"/>
          <w:sz w:val="24"/>
        </w:rPr>
        <w:t>四、最高限价</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本项目采用单价招标，数量按实结算。最高单价限价以《浙江省物价局关于公布降低后的土地价格评估服务收费标准的通知》(浙价服[2013]98号)文件标准的60%为最高限价，任何超过最高限价的报价将被认定为无效报价。</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“浙价服〔2013〕98号”文件基准收费标准</w:t>
      </w:r>
    </w:p>
    <w:tbl>
      <w:tblPr>
        <w:tblStyle w:val="6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3850"/>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序号</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计费档次(万元)</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1</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100以下(含100)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2</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100-500(含500)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3</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500-2000(含2000)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4</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2000-5000(含5000)</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285"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5</w:t>
            </w:r>
          </w:p>
        </w:tc>
        <w:tc>
          <w:tcPr>
            <w:tcW w:w="3850"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5000以上</w:t>
            </w:r>
          </w:p>
        </w:tc>
        <w:tc>
          <w:tcPr>
            <w:tcW w:w="3937" w:type="dxa"/>
            <w:vAlign w:val="center"/>
          </w:tcPr>
          <w:p>
            <w:pPr>
              <w:jc w:val="center"/>
              <w:rPr>
                <w:rFonts w:ascii="仿宋_GB2312" w:hAnsi="仿宋" w:eastAsia="仿宋_GB2312" w:cs="Helvetica"/>
                <w:kern w:val="0"/>
                <w:sz w:val="24"/>
              </w:rPr>
            </w:pPr>
            <w:r>
              <w:rPr>
                <w:rFonts w:hint="eastAsia" w:ascii="仿宋_GB2312" w:hAnsi="仿宋" w:eastAsia="仿宋_GB2312" w:cs="Helvetica"/>
                <w:kern w:val="0"/>
                <w:sz w:val="24"/>
              </w:rPr>
              <w:t>0.09</w:t>
            </w:r>
          </w:p>
        </w:tc>
      </w:tr>
    </w:tbl>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2、每位投标人只能中一个标的</w:t>
      </w:r>
      <w:r>
        <w:rPr>
          <w:rFonts w:hint="eastAsia" w:ascii="仿宋_GB2312" w:hAnsi="仿宋" w:eastAsia="仿宋_GB2312" w:cs="Arial"/>
          <w:kern w:val="0"/>
          <w:sz w:val="24"/>
        </w:rPr>
        <w:t>。按照标的顺序，标的1的得分最高者为中标候选人后，自动放弃标的2、标的3投标，以此类推。</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（3）报价得分=（评标基准价/投标报价）*价格权值*100，评标基准价=有效投标人的最低投标报价，价格权值=20%；</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    （4）技术、商务分评分细则（80分）：</w:t>
      </w:r>
    </w:p>
    <w:tbl>
      <w:tblPr>
        <w:tblStyle w:val="62"/>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87"/>
        <w:gridCol w:w="1134"/>
        <w:gridCol w:w="464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序号</w:t>
            </w:r>
          </w:p>
        </w:tc>
        <w:tc>
          <w:tcPr>
            <w:tcW w:w="2321" w:type="dxa"/>
            <w:gridSpan w:val="2"/>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评分项目</w:t>
            </w:r>
          </w:p>
        </w:tc>
        <w:tc>
          <w:tcPr>
            <w:tcW w:w="4644" w:type="dxa"/>
            <w:vAlign w:val="center"/>
          </w:tcPr>
          <w:p>
            <w:pPr>
              <w:spacing w:line="400" w:lineRule="exact"/>
              <w:ind w:firstLine="960" w:firstLineChars="400"/>
              <w:jc w:val="left"/>
              <w:rPr>
                <w:rFonts w:ascii="仿宋_GB2312" w:hAnsi="仿宋" w:eastAsia="仿宋_GB2312" w:cs="Arial"/>
                <w:kern w:val="0"/>
                <w:sz w:val="24"/>
              </w:rPr>
            </w:pPr>
            <w:r>
              <w:rPr>
                <w:rFonts w:hint="eastAsia" w:ascii="仿宋_GB2312" w:hAnsi="仿宋" w:eastAsia="仿宋_GB2312" w:cs="Arial"/>
                <w:kern w:val="0"/>
                <w:sz w:val="24"/>
              </w:rPr>
              <w:t>分值及评分标准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56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w:t>
            </w:r>
          </w:p>
        </w:tc>
        <w:tc>
          <w:tcPr>
            <w:tcW w:w="118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资信、技术实力（30分）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资信</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根据近2年省级土地估价师协会颁发并行政主管部门备案的“资信等级证书”评分，每个年度资信等级为一级的得5分，二级的得3分，三级的得2分，其他不得分。</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（提供相关证书复印件加盖投标人公章，不提供不得分）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spacing w:line="400" w:lineRule="exact"/>
              <w:jc w:val="left"/>
              <w:rPr>
                <w:rFonts w:ascii="仿宋_GB2312" w:hAnsi="仿宋" w:eastAsia="仿宋_GB2312" w:cs="Arial"/>
                <w:kern w:val="0"/>
                <w:sz w:val="24"/>
              </w:rPr>
            </w:pPr>
          </w:p>
        </w:tc>
        <w:tc>
          <w:tcPr>
            <w:tcW w:w="1134"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技术力量（20分）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投标人拥有土地估价师人数，每人得1分，最高不超过10分。以省级自然资源部门出具的《关于***（土地估价机构名称）备案情况的函》上载明的土地估价师人数计。</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（提供相关证书复印件加盖投标人公章，不提供不得分）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spacing w:line="400" w:lineRule="exact"/>
              <w:jc w:val="left"/>
              <w:rPr>
                <w:rFonts w:ascii="仿宋_GB2312" w:hAnsi="仿宋" w:eastAsia="仿宋_GB2312" w:cs="Arial"/>
                <w:kern w:val="0"/>
                <w:sz w:val="24"/>
              </w:rPr>
            </w:pPr>
          </w:p>
        </w:tc>
        <w:tc>
          <w:tcPr>
            <w:tcW w:w="1134" w:type="dxa"/>
            <w:vMerge w:val="continue"/>
            <w:vAlign w:val="center"/>
          </w:tcPr>
          <w:p>
            <w:pPr>
              <w:spacing w:line="400" w:lineRule="exact"/>
              <w:jc w:val="left"/>
              <w:rPr>
                <w:rFonts w:ascii="仿宋_GB2312" w:hAnsi="仿宋" w:eastAsia="仿宋_GB2312" w:cs="Arial"/>
                <w:kern w:val="0"/>
                <w:sz w:val="24"/>
              </w:rPr>
            </w:pP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评估拟派项目负责人入围国家级行业协会专家库的得10分，入围省级行业协会的专家库的得5分，入围市级行业协会的专家库的得3分，其它不得分。（提供在有效期内的相应文件或聘书等证明材料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w:t>
            </w:r>
          </w:p>
        </w:tc>
        <w:tc>
          <w:tcPr>
            <w:tcW w:w="1187"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土地市场熟悉状况（10分）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土地市场熟悉状况</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（10分）</w:t>
            </w:r>
          </w:p>
        </w:tc>
        <w:tc>
          <w:tcPr>
            <w:tcW w:w="4644" w:type="dxa"/>
          </w:tcPr>
          <w:p>
            <w:pPr>
              <w:spacing w:line="400" w:lineRule="exact"/>
              <w:jc w:val="left"/>
              <w:rPr>
                <w:rFonts w:ascii="仿宋_GB2312" w:hAnsi="仿宋" w:eastAsia="仿宋_GB2312" w:cs="Arial"/>
                <w:kern w:val="0"/>
                <w:sz w:val="24"/>
              </w:rPr>
            </w:pPr>
            <w:r>
              <w:rPr>
                <w:rFonts w:ascii="仿宋_GB2312" w:hAnsi="仿宋" w:eastAsia="仿宋_GB2312" w:cs="Arial"/>
                <w:kern w:val="0"/>
                <w:sz w:val="24"/>
              </w:rPr>
              <w:t>根据投标人对本项目土地市场特别是土地一级市场评估业务的熟悉程度打分，需提供相关资料佐证</w:t>
            </w:r>
            <w:r>
              <w:rPr>
                <w:rFonts w:hint="eastAsia" w:ascii="仿宋_GB2312" w:hAnsi="仿宋" w:eastAsia="仿宋_GB2312" w:cs="Arial"/>
                <w:kern w:val="0"/>
                <w:sz w:val="24"/>
              </w:rPr>
              <w:t>。</w:t>
            </w:r>
            <w:r>
              <w:rPr>
                <w:rFonts w:ascii="仿宋_GB2312" w:hAnsi="仿宋" w:eastAsia="仿宋_GB2312" w:cs="Arial"/>
                <w:kern w:val="0"/>
                <w:sz w:val="24"/>
              </w:rPr>
              <w:t>熟悉程度</w:t>
            </w:r>
            <w:r>
              <w:rPr>
                <w:rFonts w:hint="eastAsia" w:ascii="仿宋_GB2312" w:hAnsi="仿宋" w:eastAsia="仿宋_GB2312" w:cs="Arial"/>
                <w:kern w:val="0"/>
                <w:sz w:val="24"/>
              </w:rPr>
              <w:t>较好的最高</w:t>
            </w:r>
            <w:r>
              <w:rPr>
                <w:rFonts w:ascii="仿宋_GB2312" w:hAnsi="仿宋" w:eastAsia="仿宋_GB2312" w:cs="Arial"/>
                <w:kern w:val="0"/>
                <w:sz w:val="24"/>
              </w:rPr>
              <w:t>得10分，一般的</w:t>
            </w:r>
            <w:r>
              <w:rPr>
                <w:rFonts w:hint="eastAsia" w:ascii="仿宋_GB2312" w:hAnsi="仿宋" w:eastAsia="仿宋_GB2312" w:cs="Arial"/>
                <w:kern w:val="0"/>
                <w:sz w:val="24"/>
              </w:rPr>
              <w:t>最高</w:t>
            </w:r>
            <w:r>
              <w:rPr>
                <w:rFonts w:ascii="仿宋_GB2312" w:hAnsi="仿宋" w:eastAsia="仿宋_GB2312" w:cs="Arial"/>
                <w:kern w:val="0"/>
                <w:sz w:val="24"/>
              </w:rPr>
              <w:t>得</w:t>
            </w:r>
            <w:r>
              <w:rPr>
                <w:rFonts w:hint="eastAsia" w:ascii="仿宋_GB2312" w:hAnsi="仿宋" w:eastAsia="仿宋_GB2312" w:cs="Arial"/>
                <w:kern w:val="0"/>
                <w:sz w:val="24"/>
              </w:rPr>
              <w:t>7</w:t>
            </w:r>
            <w:r>
              <w:rPr>
                <w:rFonts w:ascii="仿宋_GB2312" w:hAnsi="仿宋" w:eastAsia="仿宋_GB2312" w:cs="Arial"/>
                <w:kern w:val="0"/>
                <w:sz w:val="24"/>
              </w:rPr>
              <w:t>分，</w:t>
            </w:r>
            <w:r>
              <w:rPr>
                <w:rFonts w:hint="eastAsia" w:ascii="仿宋_GB2312" w:hAnsi="仿宋" w:eastAsia="仿宋_GB2312" w:cs="Arial"/>
                <w:kern w:val="0"/>
                <w:sz w:val="24"/>
              </w:rPr>
              <w:t>较</w:t>
            </w:r>
            <w:r>
              <w:rPr>
                <w:rFonts w:ascii="仿宋_GB2312" w:hAnsi="仿宋" w:eastAsia="仿宋_GB2312" w:cs="Arial"/>
                <w:kern w:val="0"/>
                <w:sz w:val="24"/>
              </w:rPr>
              <w:t>差的</w:t>
            </w:r>
            <w:r>
              <w:rPr>
                <w:rFonts w:hint="eastAsia" w:ascii="仿宋_GB2312" w:hAnsi="仿宋" w:eastAsia="仿宋_GB2312" w:cs="Arial"/>
                <w:kern w:val="0"/>
                <w:sz w:val="24"/>
              </w:rPr>
              <w:t>最高</w:t>
            </w:r>
            <w:r>
              <w:rPr>
                <w:rFonts w:ascii="仿宋_GB2312" w:hAnsi="仿宋" w:eastAsia="仿宋_GB2312" w:cs="Arial"/>
                <w:kern w:val="0"/>
                <w:sz w:val="24"/>
              </w:rPr>
              <w:t>得</w:t>
            </w:r>
            <w:r>
              <w:rPr>
                <w:rFonts w:hint="eastAsia" w:ascii="仿宋_GB2312" w:hAnsi="仿宋" w:eastAsia="仿宋_GB2312" w:cs="Arial"/>
                <w:kern w:val="0"/>
                <w:sz w:val="24"/>
              </w:rPr>
              <w:t>4</w:t>
            </w:r>
            <w:r>
              <w:rPr>
                <w:rFonts w:ascii="仿宋_GB2312" w:hAnsi="仿宋" w:eastAsia="仿宋_GB2312" w:cs="Arial"/>
                <w:kern w:val="0"/>
                <w:sz w:val="24"/>
              </w:rPr>
              <w:t>分</w:t>
            </w:r>
            <w:r>
              <w:rPr>
                <w:rFonts w:hint="eastAsia" w:ascii="仿宋_GB2312" w:hAnsi="仿宋" w:eastAsia="仿宋_GB2312" w:cs="Arial"/>
                <w:kern w:val="0"/>
                <w:sz w:val="24"/>
              </w:rPr>
              <w:t>，未提供说明的不得分。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6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3</w:t>
            </w:r>
          </w:p>
        </w:tc>
        <w:tc>
          <w:tcPr>
            <w:tcW w:w="1187"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项目实施方案及质量保证</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（30分）</w:t>
            </w:r>
          </w:p>
        </w:tc>
        <w:tc>
          <w:tcPr>
            <w:tcW w:w="1134"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工作</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方案</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根据投标人对土地坐落地理区位及地价等级划分的熟悉程度，对本项目相关房地产市场宏观趋势的分析进行打分。分析科学、精准、合理的最高得10分，</w:t>
            </w:r>
            <w:r>
              <w:rPr>
                <w:rFonts w:ascii="仿宋_GB2312" w:hAnsi="仿宋" w:eastAsia="仿宋_GB2312" w:cs="Arial"/>
                <w:kern w:val="0"/>
                <w:sz w:val="24"/>
              </w:rPr>
              <w:t>一般的</w:t>
            </w:r>
            <w:r>
              <w:rPr>
                <w:rFonts w:hint="eastAsia" w:ascii="仿宋_GB2312" w:hAnsi="仿宋" w:eastAsia="仿宋_GB2312" w:cs="Arial"/>
                <w:kern w:val="0"/>
                <w:sz w:val="24"/>
              </w:rPr>
              <w:t>最高</w:t>
            </w:r>
            <w:r>
              <w:rPr>
                <w:rFonts w:ascii="仿宋_GB2312" w:hAnsi="仿宋" w:eastAsia="仿宋_GB2312" w:cs="Arial"/>
                <w:kern w:val="0"/>
                <w:sz w:val="24"/>
              </w:rPr>
              <w:t>得</w:t>
            </w:r>
            <w:r>
              <w:rPr>
                <w:rFonts w:hint="eastAsia" w:ascii="仿宋_GB2312" w:hAnsi="仿宋" w:eastAsia="仿宋_GB2312" w:cs="Arial"/>
                <w:kern w:val="0"/>
                <w:sz w:val="24"/>
              </w:rPr>
              <w:t>7</w:t>
            </w:r>
            <w:r>
              <w:rPr>
                <w:rFonts w:ascii="仿宋_GB2312" w:hAnsi="仿宋" w:eastAsia="仿宋_GB2312" w:cs="Arial"/>
                <w:kern w:val="0"/>
                <w:sz w:val="24"/>
              </w:rPr>
              <w:t>分，</w:t>
            </w:r>
            <w:r>
              <w:rPr>
                <w:rFonts w:hint="eastAsia" w:ascii="仿宋_GB2312" w:hAnsi="仿宋" w:eastAsia="仿宋_GB2312" w:cs="Arial"/>
                <w:kern w:val="0"/>
                <w:sz w:val="24"/>
              </w:rPr>
              <w:t>较</w:t>
            </w:r>
            <w:r>
              <w:rPr>
                <w:rFonts w:ascii="仿宋_GB2312" w:hAnsi="仿宋" w:eastAsia="仿宋_GB2312" w:cs="Arial"/>
                <w:kern w:val="0"/>
                <w:sz w:val="24"/>
              </w:rPr>
              <w:t>差的</w:t>
            </w:r>
            <w:r>
              <w:rPr>
                <w:rFonts w:hint="eastAsia" w:ascii="仿宋_GB2312" w:hAnsi="仿宋" w:eastAsia="仿宋_GB2312" w:cs="Arial"/>
                <w:kern w:val="0"/>
                <w:sz w:val="24"/>
              </w:rPr>
              <w:t>最高得4</w:t>
            </w:r>
            <w:r>
              <w:rPr>
                <w:rFonts w:ascii="仿宋_GB2312" w:hAnsi="仿宋" w:eastAsia="仿宋_GB2312" w:cs="Arial"/>
                <w:kern w:val="0"/>
                <w:sz w:val="24"/>
              </w:rPr>
              <w:t>分</w:t>
            </w:r>
            <w:r>
              <w:rPr>
                <w:rFonts w:hint="eastAsia" w:ascii="仿宋_GB2312" w:hAnsi="仿宋" w:eastAsia="仿宋_GB2312" w:cs="Arial"/>
                <w:kern w:val="0"/>
                <w:sz w:val="24"/>
              </w:rPr>
              <w:t>，未提供的不得分。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rPr>
                <w:rFonts w:ascii="仿宋_GB2312" w:hAnsi="仿宋" w:eastAsia="仿宋_GB2312" w:cs="Arial"/>
                <w:kern w:val="0"/>
                <w:sz w:val="24"/>
              </w:rPr>
            </w:pPr>
          </w:p>
        </w:tc>
        <w:tc>
          <w:tcPr>
            <w:tcW w:w="1134" w:type="dxa"/>
            <w:vMerge w:val="continue"/>
            <w:vAlign w:val="center"/>
          </w:tcPr>
          <w:p>
            <w:pPr>
              <w:rPr>
                <w:rFonts w:ascii="仿宋_GB2312" w:hAnsi="仿宋" w:eastAsia="仿宋_GB2312" w:cs="Arial"/>
                <w:kern w:val="0"/>
                <w:sz w:val="24"/>
              </w:rPr>
            </w:pP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根据投标人对土地评估项目工作流程的科学合理性打分，包括制定估价作业方案、选择估价方法的科学合理性、对相关政策把握的准确性等方面，完善的最高得10分，欠佳的最高得7分，一般得最高4分，未提供的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rPr>
                <w:rFonts w:ascii="仿宋_GB2312" w:hAnsi="仿宋" w:eastAsia="仿宋_GB2312" w:cs="Arial"/>
                <w:kern w:val="0"/>
                <w:sz w:val="24"/>
              </w:rPr>
            </w:pPr>
          </w:p>
        </w:tc>
        <w:tc>
          <w:tcPr>
            <w:tcW w:w="1134" w:type="dxa"/>
            <w:vMerge w:val="restart"/>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质量</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保证</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（10分）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投标人提供土地评估质量保证体系，质量内控体系是否健全、完整，质量保证措施是否切实可行，完善的最高得5分，欠佳的最高得3分，一般最高得1分，未提供的不得分。（提供单位在实际执行的内控制度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567" w:type="dxa"/>
            <w:vMerge w:val="continue"/>
            <w:vAlign w:val="center"/>
          </w:tcPr>
          <w:p>
            <w:pPr>
              <w:spacing w:line="400" w:lineRule="exact"/>
              <w:jc w:val="left"/>
              <w:rPr>
                <w:rFonts w:ascii="仿宋_GB2312" w:hAnsi="仿宋" w:eastAsia="仿宋_GB2312" w:cs="Arial"/>
                <w:kern w:val="0"/>
                <w:sz w:val="24"/>
              </w:rPr>
            </w:pPr>
          </w:p>
        </w:tc>
        <w:tc>
          <w:tcPr>
            <w:tcW w:w="1187" w:type="dxa"/>
            <w:vMerge w:val="continue"/>
            <w:vAlign w:val="center"/>
          </w:tcPr>
          <w:p>
            <w:pPr>
              <w:rPr>
                <w:rFonts w:ascii="仿宋_GB2312" w:hAnsi="仿宋" w:eastAsia="仿宋_GB2312" w:cs="Arial"/>
                <w:kern w:val="0"/>
                <w:sz w:val="24"/>
              </w:rPr>
            </w:pPr>
          </w:p>
        </w:tc>
        <w:tc>
          <w:tcPr>
            <w:tcW w:w="1134" w:type="dxa"/>
            <w:vMerge w:val="continue"/>
            <w:vAlign w:val="center"/>
          </w:tcPr>
          <w:p>
            <w:pPr>
              <w:rPr>
                <w:rFonts w:ascii="仿宋_GB2312" w:hAnsi="仿宋" w:eastAsia="仿宋_GB2312" w:cs="Arial"/>
                <w:kern w:val="0"/>
                <w:sz w:val="24"/>
              </w:rPr>
            </w:pP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投标人提供的土地评估质量保证措施是否切实可行，完全可行的最高得5分，基本可行的最高得3分，一般得最高得1分，未提供的不得分。（提供单位在实际执行的内控制度并加盖投标人公章，不提供不得分）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4</w:t>
            </w:r>
          </w:p>
        </w:tc>
        <w:tc>
          <w:tcPr>
            <w:tcW w:w="118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业务</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能力</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（2分）</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土地估价业务（2分）</w:t>
            </w:r>
          </w:p>
        </w:tc>
        <w:tc>
          <w:tcPr>
            <w:tcW w:w="4644" w:type="dxa"/>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近三年完成土地一级市场评估报告150个以上，且年平均完成报告50个以上（含50个）得2分；年平均完成报告30-49个得1.5分（含30个）；年平均完成报告10-29个得1分；平均年完成10个以下（含10个）的不得分。（需提供正确的土地估价报告编号、委托评估协议，以及从“土地估价报告备案系统”中取得的电子备案号等信息）</w:t>
            </w:r>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67"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5</w:t>
            </w:r>
          </w:p>
        </w:tc>
        <w:tc>
          <w:tcPr>
            <w:tcW w:w="2321" w:type="dxa"/>
            <w:gridSpan w:val="2"/>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服务保障（8分）</w:t>
            </w:r>
          </w:p>
        </w:tc>
        <w:tc>
          <w:tcPr>
            <w:tcW w:w="4644" w:type="dxa"/>
          </w:tcPr>
          <w:p>
            <w:pPr>
              <w:spacing w:line="400" w:lineRule="exact"/>
              <w:jc w:val="left"/>
              <w:rPr>
                <w:rFonts w:ascii="仿宋_GB2312" w:hAnsi="仿宋" w:eastAsia="仿宋_GB2312" w:cs="Arial"/>
                <w:kern w:val="0"/>
                <w:sz w:val="24"/>
              </w:rPr>
            </w:pPr>
            <w:bookmarkStart w:id="401" w:name="_GoBack"/>
            <w:r>
              <w:rPr>
                <w:rFonts w:hint="eastAsia" w:ascii="仿宋_GB2312" w:hAnsi="仿宋" w:eastAsia="仿宋_GB2312" w:cs="Arial"/>
                <w:kern w:val="0"/>
                <w:sz w:val="24"/>
              </w:rPr>
              <w:t>1、工作进度要求和项目质量要求满足招标文件要求的得4分，不满足的不得分。</w:t>
            </w:r>
          </w:p>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2、根据投标人提供售后服务保障方案及承诺的合理性、真实可靠性等方面进行打分（如售后服务响应时间、售后服务点的设立情况等），最高得4分。（须提供相关证明材料）</w:t>
            </w:r>
            <w:bookmarkEnd w:id="401"/>
          </w:p>
        </w:tc>
        <w:tc>
          <w:tcPr>
            <w:tcW w:w="1134" w:type="dxa"/>
            <w:vAlign w:val="center"/>
          </w:tcPr>
          <w:p>
            <w:pPr>
              <w:spacing w:line="400" w:lineRule="exact"/>
              <w:jc w:val="left"/>
              <w:rPr>
                <w:rFonts w:ascii="仿宋_GB2312" w:hAnsi="仿宋" w:eastAsia="仿宋_GB2312" w:cs="Arial"/>
                <w:kern w:val="0"/>
                <w:sz w:val="24"/>
              </w:rPr>
            </w:pPr>
            <w:r>
              <w:rPr>
                <w:rFonts w:hint="eastAsia" w:ascii="仿宋_GB2312" w:hAnsi="仿宋" w:eastAsia="仿宋_GB2312" w:cs="Arial"/>
                <w:kern w:val="0"/>
                <w:sz w:val="24"/>
              </w:rPr>
              <w:t>0-8分</w:t>
            </w:r>
          </w:p>
        </w:tc>
      </w:tr>
    </w:tbl>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59"/>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5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4"/>
        <w:rPr>
          <w:rFonts w:ascii="仿宋" w:hAnsi="仿宋" w:eastAsia="仿宋"/>
          <w:szCs w:val="24"/>
        </w:rPr>
      </w:pPr>
    </w:p>
    <w:p>
      <w:pPr>
        <w:pStyle w:val="704"/>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704"/>
        <w:jc w:val="center"/>
        <w:rPr>
          <w:rFonts w:ascii="仿宋" w:hAnsi="仿宋" w:eastAsia="仿宋"/>
          <w:szCs w:val="24"/>
        </w:rPr>
      </w:pPr>
    </w:p>
    <w:p>
      <w:pPr>
        <w:pStyle w:val="24"/>
      </w:pPr>
    </w:p>
    <w:p>
      <w:pPr>
        <w:pStyle w:val="704"/>
        <w:ind w:firstLine="2843" w:firstLineChars="1180"/>
        <w:rPr>
          <w:rFonts w:ascii="仿宋" w:hAnsi="仿宋" w:eastAsia="仿宋"/>
          <w:b/>
          <w:szCs w:val="24"/>
        </w:rPr>
      </w:pPr>
      <w:r>
        <w:rPr>
          <w:rFonts w:hint="eastAsia" w:ascii="仿宋" w:hAnsi="仿宋" w:eastAsia="仿宋"/>
          <w:b/>
          <w:szCs w:val="24"/>
        </w:rPr>
        <w:t>通用合同书</w:t>
      </w:r>
    </w:p>
    <w:p>
      <w:pPr>
        <w:pStyle w:val="704"/>
        <w:rPr>
          <w:rFonts w:ascii="仿宋" w:hAnsi="仿宋" w:eastAsia="仿宋"/>
          <w:szCs w:val="24"/>
        </w:rPr>
      </w:pPr>
    </w:p>
    <w:p>
      <w:pPr>
        <w:pStyle w:val="704"/>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0"/>
        <w:spacing w:before="120" w:line="22" w:lineRule="atLeast"/>
        <w:rPr>
          <w:rFonts w:ascii="仿宋" w:hAnsi="仿宋" w:eastAsia="仿宋"/>
          <w:szCs w:val="24"/>
        </w:rPr>
      </w:pPr>
    </w:p>
    <w:p>
      <w:pPr>
        <w:pStyle w:val="600"/>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bCs/>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5"/>
        <w:spacing w:line="360" w:lineRule="auto"/>
        <w:rPr>
          <w:rFonts w:ascii="仿宋_GB2312" w:hAnsi="仿宋" w:eastAsia="仿宋_GB2312"/>
          <w:bCs/>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2"/>
        <w:tblW w:w="9464" w:type="dxa"/>
        <w:tblInd w:w="0" w:type="dxa"/>
        <w:tblLayout w:type="autofit"/>
        <w:tblCellMar>
          <w:top w:w="0" w:type="dxa"/>
          <w:left w:w="108" w:type="dxa"/>
          <w:bottom w:w="0" w:type="dxa"/>
          <w:right w:w="108" w:type="dxa"/>
        </w:tblCellMar>
      </w:tblPr>
      <w:tblGrid>
        <w:gridCol w:w="959"/>
        <w:gridCol w:w="3289"/>
        <w:gridCol w:w="3940"/>
        <w:gridCol w:w="1276"/>
      </w:tblGrid>
      <w:tr>
        <w:tblPrEx>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numPr>
          <w:ilvl w:val="0"/>
          <w:numId w:val="6"/>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467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3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11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467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538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标的一 </w:t>
            </w:r>
          </w:p>
        </w:tc>
        <w:tc>
          <w:tcPr>
            <w:tcW w:w="311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sz w:val="24"/>
              </w:rPr>
              <w:t>片区1（包括暨阳街道、次坞、应店街、山下湖等镇街）土地评估服务</w:t>
            </w:r>
          </w:p>
        </w:tc>
        <w:tc>
          <w:tcPr>
            <w:tcW w:w="4677"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sz w:val="24"/>
              </w:rPr>
              <w:t>土地评估服务</w:t>
            </w:r>
          </w:p>
        </w:tc>
        <w:tc>
          <w:tcPr>
            <w:tcW w:w="538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sz w:val="24"/>
              </w:rPr>
              <w:t>合同签订生效起至2022年12月31日止。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53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5387" w:type="dxa"/>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ascii="仿宋_GB2312" w:hAnsi="仿宋" w:eastAsia="仿宋_GB2312" w:cs="仿宋_GB2312"/>
          <w:b/>
          <w:kern w:val="0"/>
          <w:sz w:val="24"/>
          <w:lang w:val="zh-CN"/>
        </w:rPr>
        <w:t>本次招标以折扣率形式进行报价</w:t>
      </w:r>
      <w:r>
        <w:rPr>
          <w:rFonts w:hint="eastAsia" w:ascii="仿宋_GB2312" w:hAnsi="仿宋" w:eastAsia="仿宋_GB2312" w:cs="仿宋_GB2312"/>
          <w:b/>
          <w:kern w:val="0"/>
          <w:sz w:val="24"/>
          <w:lang w:val="zh-CN"/>
        </w:rPr>
        <w:t>，报价保留两位小数（例：45.55%）</w:t>
      </w:r>
      <w:r>
        <w:rPr>
          <w:rFonts w:ascii="仿宋_GB2312" w:hAnsi="仿宋" w:eastAsia="仿宋_GB2312" w:cs="仿宋_GB2312"/>
          <w:b/>
          <w:kern w:val="0"/>
          <w:sz w:val="24"/>
          <w:lang w:val="zh-CN"/>
        </w:rPr>
        <w:t>。最高限价以《浙江省物价局关于公布降低后的土地价格评估服务收费标准的通知》(浙价服[2013]98号)文件标准的60%为最高限价，高于此报价</w:t>
      </w:r>
      <w:r>
        <w:rPr>
          <w:rFonts w:hint="eastAsia" w:ascii="仿宋_GB2312" w:hAnsi="仿宋" w:eastAsia="仿宋_GB2312" w:cs="仿宋_GB2312"/>
          <w:b/>
          <w:kern w:val="0"/>
          <w:sz w:val="24"/>
          <w:lang w:val="zh-CN"/>
        </w:rPr>
        <w:t>作无效投标处理。</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w:t>
      </w:r>
      <w:r>
        <w:rPr>
          <w:rFonts w:hint="eastAsia" w:ascii="仿宋_GB2312" w:hAnsi="仿宋" w:eastAsia="仿宋_GB2312" w:cs="仿宋_GB2312"/>
          <w:b/>
          <w:kern w:val="0"/>
          <w:sz w:val="24"/>
          <w:lang w:val="zh-CN"/>
        </w:rPr>
        <w:t>、“0%”、</w:t>
      </w:r>
      <w:r>
        <w:rPr>
          <w:rFonts w:ascii="仿宋_GB2312" w:hAnsi="仿宋" w:eastAsia="仿宋_GB2312" w:cs="仿宋_GB2312"/>
          <w:b/>
          <w:kern w:val="0"/>
          <w:sz w:val="24"/>
          <w:lang w:val="zh-CN"/>
        </w:rPr>
        <w:t>“免费赠送”等形式的无偿报价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r>
        <w:rPr>
          <w:rFonts w:hint="eastAsia" w:ascii="仿宋_GB2312" w:hAnsi="仿宋" w:eastAsia="仿宋_GB2312"/>
          <w:b/>
          <w:kern w:val="0"/>
          <w:sz w:val="24"/>
        </w:rPr>
        <w:t>6、本项目共分3个标的，请投标人按照上述表格格式分标的单独制作报价文件，并按标的上传报价文件。</w:t>
      </w: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其他未列明行业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宋体" w:eastAsia="仿宋_GB2312"/>
          <w:sz w:val="24"/>
          <w:u w:val="single"/>
        </w:rPr>
        <w:t>其他未列明行业</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sz w:val="24"/>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7"/>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25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37C"/>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6F"/>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316"/>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72B3"/>
    <w:rsid w:val="00887392"/>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59"/>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63E"/>
    <w:rsid w:val="00A758E2"/>
    <w:rsid w:val="00A765B1"/>
    <w:rsid w:val="00A772F2"/>
    <w:rsid w:val="00A77828"/>
    <w:rsid w:val="00A77BAA"/>
    <w:rsid w:val="00A800F9"/>
    <w:rsid w:val="00A803A6"/>
    <w:rsid w:val="00A8073D"/>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FEA"/>
    <w:rsid w:val="00CA2528"/>
    <w:rsid w:val="00CA35AF"/>
    <w:rsid w:val="00CA3B07"/>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56E2"/>
    <w:rsid w:val="00EE5FCD"/>
    <w:rsid w:val="00EE63BF"/>
    <w:rsid w:val="00EE6D45"/>
    <w:rsid w:val="00EE6E89"/>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B199E"/>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iPriority="99"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1"/>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99"/>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4"/>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kern w:val="0"/>
      <w:sz w:val="28"/>
      <w:szCs w:val="20"/>
    </w:rPr>
  </w:style>
  <w:style w:type="paragraph" w:styleId="37">
    <w:name w:val="endnote text"/>
    <w:basedOn w:val="1"/>
    <w:link w:val="99"/>
    <w:qFormat/>
    <w:uiPriority w:val="0"/>
    <w:rPr>
      <w:lang w:val="zh-CN"/>
    </w:rPr>
  </w:style>
  <w:style w:type="paragraph" w:styleId="38">
    <w:name w:val="Balloon Text"/>
    <w:basedOn w:val="1"/>
    <w:link w:val="100"/>
    <w:qFormat/>
    <w:uiPriority w:val="0"/>
    <w:rPr>
      <w:sz w:val="18"/>
      <w:szCs w:val="18"/>
    </w:rPr>
  </w:style>
  <w:style w:type="paragraph" w:styleId="39">
    <w:name w:val="footer"/>
    <w:basedOn w:val="1"/>
    <w:link w:val="101"/>
    <w:qFormat/>
    <w:uiPriority w:val="99"/>
    <w:pPr>
      <w:tabs>
        <w:tab w:val="center" w:pos="4153"/>
        <w:tab w:val="right" w:pos="8306"/>
      </w:tabs>
      <w:snapToGrid w:val="0"/>
      <w:jc w:val="left"/>
    </w:pPr>
    <w:rPr>
      <w:sz w:val="18"/>
      <w:szCs w:val="18"/>
    </w:rPr>
  </w:style>
  <w:style w:type="paragraph" w:styleId="40">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7"/>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0"/>
    <w:qFormat/>
    <w:uiPriority w:val="0"/>
    <w:rPr>
      <w:b/>
      <w:bCs/>
    </w:rPr>
  </w:style>
  <w:style w:type="paragraph" w:styleId="60">
    <w:name w:val="Body Text First Indent"/>
    <w:basedOn w:val="23"/>
    <w:link w:val="111"/>
    <w:qFormat/>
    <w:uiPriority w:val="99"/>
    <w:pPr>
      <w:ind w:firstLine="420"/>
    </w:pPr>
    <w:rPr>
      <w:rFonts w:hAnsi="Calibri" w:cs="Times New Roman"/>
      <w:snapToGrid/>
      <w:szCs w:val="20"/>
    </w:rPr>
  </w:style>
  <w:style w:type="paragraph" w:styleId="61">
    <w:name w:val="Body Text First Indent 2"/>
    <w:basedOn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正文缩进 Char2"/>
    <w:link w:val="5"/>
    <w:qFormat/>
    <w:uiPriority w:val="0"/>
    <w:rPr>
      <w:rFonts w:ascii="宋体" w:eastAsia="宋体"/>
      <w:snapToGrid w:val="0"/>
      <w:color w:val="000000"/>
      <w:kern w:val="28"/>
      <w:sz w:val="28"/>
      <w:lang w:val="en-US" w:eastAsia="zh-CN" w:bidi="ar-SA"/>
    </w:rPr>
  </w:style>
  <w:style w:type="character" w:customStyle="1" w:styleId="81">
    <w:name w:val="标题 3 Char"/>
    <w:basedOn w:val="69"/>
    <w:link w:val="4"/>
    <w:qFormat/>
    <w:uiPriority w:val="9"/>
    <w:rPr>
      <w:b/>
      <w:bCs/>
      <w:kern w:val="2"/>
      <w:sz w:val="32"/>
      <w:szCs w:val="32"/>
    </w:rPr>
  </w:style>
  <w:style w:type="character" w:customStyle="1" w:styleId="82">
    <w:name w:val="标题 4 Char2"/>
    <w:link w:val="6"/>
    <w:qFormat/>
    <w:uiPriority w:val="9"/>
    <w:rPr>
      <w:rFonts w:ascii="Arial" w:hAnsi="Arial" w:eastAsia="黑体"/>
      <w:b/>
      <w:bCs/>
      <w:kern w:val="2"/>
      <w:sz w:val="28"/>
      <w:szCs w:val="28"/>
      <w:lang w:val="zh-CN"/>
    </w:rPr>
  </w:style>
  <w:style w:type="character" w:customStyle="1" w:styleId="83">
    <w:name w:val="标题 5 Char"/>
    <w:link w:val="7"/>
    <w:qFormat/>
    <w:uiPriority w:val="9"/>
    <w:rPr>
      <w:b/>
      <w:bCs/>
      <w:kern w:val="2"/>
      <w:sz w:val="28"/>
      <w:szCs w:val="28"/>
    </w:rPr>
  </w:style>
  <w:style w:type="character" w:customStyle="1" w:styleId="84">
    <w:name w:val="标题 6 Char"/>
    <w:link w:val="8"/>
    <w:qFormat/>
    <w:uiPriority w:val="0"/>
    <w:rPr>
      <w:rFonts w:ascii="Arial" w:hAnsi="Arial" w:eastAsia="黑体"/>
      <w:b/>
      <w:bCs/>
      <w:kern w:val="2"/>
      <w:sz w:val="24"/>
      <w:szCs w:val="24"/>
    </w:rPr>
  </w:style>
  <w:style w:type="character" w:customStyle="1" w:styleId="85">
    <w:name w:val="标题 7 Char"/>
    <w:link w:val="9"/>
    <w:qFormat/>
    <w:uiPriority w:val="0"/>
    <w:rPr>
      <w:b/>
      <w:bCs/>
      <w:kern w:val="2"/>
      <w:sz w:val="24"/>
      <w:szCs w:val="24"/>
    </w:rPr>
  </w:style>
  <w:style w:type="character" w:customStyle="1" w:styleId="86">
    <w:name w:val="标题 8 Char"/>
    <w:link w:val="10"/>
    <w:qFormat/>
    <w:uiPriority w:val="0"/>
    <w:rPr>
      <w:rFonts w:ascii="Arial" w:hAnsi="Arial" w:eastAsia="黑体"/>
      <w:kern w:val="2"/>
      <w:sz w:val="24"/>
      <w:szCs w:val="24"/>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题注 Char"/>
    <w:link w:val="16"/>
    <w:qFormat/>
    <w:uiPriority w:val="0"/>
    <w:rPr>
      <w:b/>
      <w:kern w:val="2"/>
      <w:sz w:val="28"/>
    </w:rPr>
  </w:style>
  <w:style w:type="character" w:customStyle="1" w:styleId="89">
    <w:name w:val="文档结构图 Char1"/>
    <w:link w:val="18"/>
    <w:qFormat/>
    <w:uiPriority w:val="0"/>
    <w:rPr>
      <w:kern w:val="2"/>
      <w:sz w:val="21"/>
      <w:szCs w:val="24"/>
      <w:shd w:val="clear" w:color="auto" w:fill="000080"/>
    </w:rPr>
  </w:style>
  <w:style w:type="character" w:customStyle="1" w:styleId="90">
    <w:name w:val="批注文字 Char1"/>
    <w:link w:val="19"/>
    <w:qFormat/>
    <w:uiPriority w:val="0"/>
    <w:rPr>
      <w:kern w:val="2"/>
      <w:sz w:val="21"/>
      <w:szCs w:val="24"/>
    </w:rPr>
  </w:style>
  <w:style w:type="character" w:customStyle="1" w:styleId="91">
    <w:name w:val="称呼 Char"/>
    <w:link w:val="20"/>
    <w:qFormat/>
    <w:uiPriority w:val="0"/>
    <w:rPr>
      <w:rFonts w:ascii="仿宋_GB2312" w:eastAsia="仿宋_GB2312"/>
      <w:kern w:val="2"/>
      <w:sz w:val="28"/>
    </w:rPr>
  </w:style>
  <w:style w:type="character" w:customStyle="1" w:styleId="92">
    <w:name w:val="正文文本 3 Char"/>
    <w:link w:val="21"/>
    <w:qFormat/>
    <w:uiPriority w:val="99"/>
    <w:rPr>
      <w:kern w:val="2"/>
      <w:sz w:val="21"/>
    </w:rPr>
  </w:style>
  <w:style w:type="character" w:customStyle="1" w:styleId="9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
    <w:name w:val="正文文本缩进 Char3"/>
    <w:link w:val="24"/>
    <w:qFormat/>
    <w:uiPriority w:val="0"/>
    <w:rPr>
      <w:rFonts w:ascii="宋体" w:hAnsi="宋体"/>
      <w:kern w:val="2"/>
      <w:sz w:val="24"/>
      <w:szCs w:val="24"/>
    </w:rPr>
  </w:style>
  <w:style w:type="character" w:customStyle="1" w:styleId="95">
    <w:name w:val="HTML 地址 Char"/>
    <w:link w:val="29"/>
    <w:qFormat/>
    <w:uiPriority w:val="0"/>
    <w:rPr>
      <w:rFonts w:ascii="宋体" w:hAnsi="宋体"/>
      <w:i/>
      <w:iCs/>
      <w:sz w:val="24"/>
      <w:szCs w:val="24"/>
    </w:rPr>
  </w:style>
  <w:style w:type="character" w:customStyle="1" w:styleId="96">
    <w:name w:val="纯文本 Char"/>
    <w:link w:val="32"/>
    <w:qFormat/>
    <w:uiPriority w:val="99"/>
    <w:rPr>
      <w:rFonts w:ascii="宋体" w:hAnsi="Courier New" w:eastAsia="宋体" w:cs="Arial"/>
      <w:snapToGrid w:val="0"/>
      <w:kern w:val="2"/>
      <w:sz w:val="21"/>
      <w:szCs w:val="21"/>
      <w:lang w:val="en-US" w:eastAsia="zh-CN" w:bidi="ar-SA"/>
    </w:rPr>
  </w:style>
  <w:style w:type="character" w:customStyle="1" w:styleId="97">
    <w:name w:val="日期 Char"/>
    <w:link w:val="35"/>
    <w:qFormat/>
    <w:uiPriority w:val="0"/>
    <w:rPr>
      <w:rFonts w:ascii="宋体"/>
      <w:kern w:val="2"/>
      <w:sz w:val="24"/>
      <w:szCs w:val="21"/>
      <w:lang w:val="zh-CN"/>
    </w:rPr>
  </w:style>
  <w:style w:type="character" w:customStyle="1" w:styleId="98">
    <w:name w:val="正文文本缩进 2 Char"/>
    <w:link w:val="36"/>
    <w:qFormat/>
    <w:uiPriority w:val="0"/>
    <w:rPr>
      <w:rFonts w:ascii="宋体"/>
      <w:sz w:val="28"/>
    </w:rPr>
  </w:style>
  <w:style w:type="character" w:customStyle="1" w:styleId="99">
    <w:name w:val="尾注文本 Char"/>
    <w:link w:val="37"/>
    <w:qFormat/>
    <w:uiPriority w:val="0"/>
    <w:rPr>
      <w:kern w:val="2"/>
      <w:sz w:val="21"/>
      <w:szCs w:val="24"/>
      <w:lang w:val="zh-CN"/>
    </w:rPr>
  </w:style>
  <w:style w:type="character" w:customStyle="1" w:styleId="100">
    <w:name w:val="批注框文本 Char"/>
    <w:link w:val="38"/>
    <w:qFormat/>
    <w:uiPriority w:val="0"/>
    <w:rPr>
      <w:kern w:val="2"/>
      <w:sz w:val="18"/>
      <w:szCs w:val="18"/>
    </w:rPr>
  </w:style>
  <w:style w:type="character" w:customStyle="1" w:styleId="101">
    <w:name w:val="页脚 Char2"/>
    <w:link w:val="39"/>
    <w:qFormat/>
    <w:locked/>
    <w:uiPriority w:val="99"/>
    <w:rPr>
      <w:kern w:val="2"/>
      <w:sz w:val="18"/>
      <w:szCs w:val="18"/>
    </w:rPr>
  </w:style>
  <w:style w:type="character" w:customStyle="1" w:styleId="102">
    <w:name w:val="页眉 Char2"/>
    <w:link w:val="40"/>
    <w:qFormat/>
    <w:uiPriority w:val="99"/>
    <w:rPr>
      <w:kern w:val="2"/>
      <w:sz w:val="18"/>
      <w:szCs w:val="18"/>
    </w:rPr>
  </w:style>
  <w:style w:type="character" w:customStyle="1" w:styleId="103">
    <w:name w:val="签名 Char"/>
    <w:link w:val="41"/>
    <w:qFormat/>
    <w:uiPriority w:val="0"/>
    <w:rPr>
      <w:rFonts w:eastAsia="仿宋_GB2312"/>
      <w:sz w:val="24"/>
    </w:rPr>
  </w:style>
  <w:style w:type="character" w:customStyle="1" w:styleId="104">
    <w:name w:val="副标题 Char"/>
    <w:link w:val="46"/>
    <w:qFormat/>
    <w:uiPriority w:val="0"/>
    <w:rPr>
      <w:rFonts w:ascii="Arial" w:hAnsi="Arial" w:eastAsia="隶书"/>
      <w:b/>
      <w:bCs/>
      <w:kern w:val="28"/>
      <w:sz w:val="44"/>
      <w:szCs w:val="32"/>
      <w:lang w:val="en-US" w:eastAsia="zh-CN" w:bidi="ar-SA"/>
    </w:rPr>
  </w:style>
  <w:style w:type="character" w:customStyle="1" w:styleId="105">
    <w:name w:val="脚注文本 Char"/>
    <w:link w:val="49"/>
    <w:qFormat/>
    <w:uiPriority w:val="0"/>
    <w:rPr>
      <w:color w:val="0000FF"/>
      <w:sz w:val="21"/>
    </w:rPr>
  </w:style>
  <w:style w:type="character" w:customStyle="1" w:styleId="106">
    <w:name w:val="正文文本缩进 3 Char"/>
    <w:link w:val="52"/>
    <w:qFormat/>
    <w:uiPriority w:val="0"/>
    <w:rPr>
      <w:kern w:val="2"/>
      <w:sz w:val="24"/>
    </w:rPr>
  </w:style>
  <w:style w:type="character" w:customStyle="1" w:styleId="107">
    <w:name w:val="正文文本 2 Char1"/>
    <w:link w:val="55"/>
    <w:qFormat/>
    <w:uiPriority w:val="0"/>
    <w:rPr>
      <w:kern w:val="2"/>
      <w:sz w:val="21"/>
      <w:szCs w:val="24"/>
    </w:rPr>
  </w:style>
  <w:style w:type="character" w:customStyle="1" w:styleId="108">
    <w:name w:val="HTML 预设格式 Char"/>
    <w:link w:val="56"/>
    <w:qFormat/>
    <w:uiPriority w:val="0"/>
    <w:rPr>
      <w:rFonts w:ascii="黑体" w:hAnsi="Courier New" w:eastAsia="黑体"/>
    </w:rPr>
  </w:style>
  <w:style w:type="character" w:customStyle="1" w:styleId="109">
    <w:name w:val="标题 Char2"/>
    <w:link w:val="58"/>
    <w:qFormat/>
    <w:uiPriority w:val="10"/>
    <w:rPr>
      <w:b/>
      <w:sz w:val="24"/>
      <w:lang w:val="en-GB"/>
    </w:rPr>
  </w:style>
  <w:style w:type="character" w:customStyle="1" w:styleId="110">
    <w:name w:val="批注主题 Char1"/>
    <w:link w:val="59"/>
    <w:qFormat/>
    <w:uiPriority w:val="0"/>
    <w:rPr>
      <w:b/>
      <w:bCs/>
      <w:kern w:val="2"/>
      <w:sz w:val="21"/>
      <w:szCs w:val="24"/>
    </w:rPr>
  </w:style>
  <w:style w:type="character" w:customStyle="1" w:styleId="111">
    <w:name w:val="正文首行缩进 Char"/>
    <w:link w:val="60"/>
    <w:qFormat/>
    <w:uiPriority w:val="99"/>
    <w:rPr>
      <w:rFonts w:ascii="宋体"/>
      <w:kern w:val="2"/>
      <w:sz w:val="24"/>
      <w:lang w:val="zh-CN"/>
    </w:rPr>
  </w:style>
  <w:style w:type="character" w:customStyle="1" w:styleId="112">
    <w:name w:val="正文首行缩进 2 Char"/>
    <w:link w:val="61"/>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99"/>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99"/>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99"/>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9"/>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99"/>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link w:val="281"/>
    <w:qFormat/>
    <w:uiPriority w:val="34"/>
  </w:style>
  <w:style w:type="paragraph" w:customStyle="1" w:styleId="281">
    <w:name w:val="_Style 280"/>
    <w:basedOn w:val="1"/>
    <w:next w:val="277"/>
    <w:link w:val="280"/>
    <w:qFormat/>
    <w:uiPriority w:val="34"/>
    <w:pPr>
      <w:adjustRightInd/>
      <w:ind w:firstLine="420" w:firstLineChars="200"/>
    </w:pPr>
    <w:rPr>
      <w:rFonts w:ascii="Calibri" w:hAnsi="Calibri"/>
      <w:szCs w:val="22"/>
    </w:rPr>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1"/>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4"/>
    <w:next w:val="25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4"/>
    <w:next w:val="25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link w:val="630"/>
    <w:qFormat/>
    <w:uiPriority w:val="0"/>
    <w:pPr>
      <w:snapToGrid w:val="0"/>
      <w:ind w:firstLine="42" w:firstLineChars="21"/>
    </w:pPr>
    <w:rPr>
      <w:rFonts w:ascii="宋体" w:hAnsi="宋体"/>
      <w:kern w:val="0"/>
      <w:sz w:val="20"/>
      <w:szCs w:val="20"/>
    </w:rPr>
  </w:style>
  <w:style w:type="character" w:customStyle="1" w:styleId="630">
    <w:name w:val="表格 字符"/>
    <w:basedOn w:val="69"/>
    <w:link w:val="629"/>
    <w:qFormat/>
    <w:uiPriority w:val="0"/>
    <w:rPr>
      <w:rFonts w:ascii="宋体" w:hAnsi="宋体"/>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link w:val="794"/>
    <w:qFormat/>
    <w:uiPriority w:val="0"/>
    <w:pPr>
      <w:adjustRightInd/>
      <w:spacing w:line="360" w:lineRule="auto"/>
      <w:ind w:firstLine="420" w:firstLineChars="200"/>
    </w:pPr>
    <w:rPr>
      <w:rFonts w:ascii="Calibri" w:hAnsi="Calibri"/>
      <w:sz w:val="24"/>
      <w:szCs w:val="22"/>
    </w:rPr>
  </w:style>
  <w:style w:type="character" w:customStyle="1" w:styleId="794">
    <w:name w:val="列出段落 字符"/>
    <w:link w:val="793"/>
    <w:qFormat/>
    <w:locked/>
    <w:uiPriority w:val="0"/>
    <w:rPr>
      <w:rFonts w:ascii="Calibri" w:hAnsi="Calibri"/>
      <w:kern w:val="2"/>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2"/>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7"/>
    <w:next w:val="642"/>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5"/>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2"/>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4"/>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39"/>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1"/>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3"/>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7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Unresolved Mention"/>
    <w:basedOn w:val="69"/>
    <w:semiHidden/>
    <w:unhideWhenUsed/>
    <w:uiPriority w:val="99"/>
    <w:rPr>
      <w:color w:val="605E5C"/>
      <w:shd w:val="clear" w:color="auto" w:fill="E1DFDD"/>
    </w:rPr>
  </w:style>
  <w:style w:type="character" w:customStyle="1" w:styleId="966">
    <w:name w:val="纯文本 字符1"/>
    <w:qFormat/>
    <w:locked/>
    <w:uiPriority w:val="0"/>
    <w:rPr>
      <w:rFonts w:eastAsia="宋体"/>
      <w:kern w:val="2"/>
      <w:sz w:val="24"/>
      <w:lang w:val="en-US" w:eastAsia="zh-CN" w:bidi="ar-SA"/>
    </w:rPr>
  </w:style>
  <w:style w:type="paragraph" w:customStyle="1" w:styleId="967">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8">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69">
    <w:name w:val="Body Text First Indent 21"/>
    <w:basedOn w:val="970"/>
    <w:qFormat/>
    <w:uiPriority w:val="0"/>
    <w:pPr>
      <w:ind w:firstLine="420"/>
    </w:pPr>
    <w:rPr>
      <w:rFonts w:cs="宋体"/>
    </w:rPr>
  </w:style>
  <w:style w:type="paragraph" w:customStyle="1" w:styleId="970">
    <w:name w:val="Body Text Indent1"/>
    <w:basedOn w:val="1"/>
    <w:next w:val="1"/>
    <w:qFormat/>
    <w:uiPriority w:val="0"/>
    <w:pPr>
      <w:adjustRightInd/>
      <w:spacing w:after="120" w:line="360" w:lineRule="auto"/>
      <w:ind w:left="420" w:leftChars="200"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9636-B328-4450-820F-D2922A64437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28952</Words>
  <Characters>30525</Characters>
  <Lines>264</Lines>
  <Paragraphs>74</Paragraphs>
  <TotalTime>99</TotalTime>
  <ScaleCrop>false</ScaleCrop>
  <LinksUpToDate>false</LinksUpToDate>
  <CharactersWithSpaces>35697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2022-08-24T08:02:00Z</dcterms:created>
  <dc:creator>玥</dc:creator>
  <cp:lastModifiedBy>PC</cp:lastModifiedBy>
  <cp:lastPrinted>2022-08-25T02:34:00Z</cp:lastPrinted>
  <dcterms:modified xsi:type="dcterms:W3CDTF">2022-08-25T08:50:40Z</dcterms:modified>
  <dc:title>杭州市市民卡扩大发卡工程</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67AABB8ED013447CA68E8B85E149BF45</vt:lpwstr>
  </property>
</Properties>
</file>