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adjustRightInd/>
        <w:spacing w:line="360" w:lineRule="auto"/>
        <w:jc w:val="center"/>
        <w:rPr>
          <w:rFonts w:ascii="黑体" w:hAnsi="黑体" w:eastAsia="黑体"/>
          <w:b/>
          <w:bCs/>
          <w:sz w:val="52"/>
          <w:szCs w:val="52"/>
        </w:rPr>
      </w:pPr>
      <w:r>
        <w:rPr>
          <w:rFonts w:hint="eastAsia" w:ascii="黑体" w:hAnsi="黑体" w:eastAsia="黑体"/>
          <w:b/>
          <w:bCs/>
          <w:sz w:val="52"/>
          <w:szCs w:val="52"/>
        </w:rPr>
        <w:t>诸暨市自然资源和规划局2022年土地评估服务项目招标文件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（电子招投标）</w:t>
      </w:r>
    </w:p>
    <w:p>
      <w:pPr>
        <w:jc w:val="center"/>
        <w:rPr>
          <w:rFonts w:ascii="仿宋" w:hAnsi="仿宋" w:eastAsia="仿宋" w:cs="仿宋_GB2312"/>
          <w:sz w:val="30"/>
          <w:szCs w:val="30"/>
        </w:rPr>
      </w:pPr>
      <w:r>
        <w:rPr>
          <w:rFonts w:hint="eastAsia" w:ascii="仿宋" w:hAnsi="仿宋" w:eastAsia="仿宋" w:cs="仿宋_GB2312"/>
          <w:sz w:val="30"/>
          <w:szCs w:val="30"/>
        </w:rPr>
        <w:t>（编号：诸政采2022-08-05）</w:t>
      </w:r>
    </w:p>
    <w:p>
      <w:pPr>
        <w:jc w:val="center"/>
        <w:rPr>
          <w:rFonts w:ascii="黑体" w:eastAsia="黑体" w:cs="黑体"/>
          <w:sz w:val="32"/>
          <w:szCs w:val="32"/>
        </w:rPr>
      </w:pPr>
    </w:p>
    <w:p>
      <w:pPr>
        <w:jc w:val="center"/>
        <w:rPr>
          <w:rFonts w:cs="宋体"/>
          <w:b/>
          <w:bCs/>
          <w:sz w:val="84"/>
          <w:szCs w:val="84"/>
        </w:rPr>
      </w:pPr>
    </w:p>
    <w:p>
      <w:pPr>
        <w:pStyle w:val="2"/>
        <w:rPr>
          <w:lang w:val="en-US"/>
        </w:rPr>
      </w:pPr>
    </w:p>
    <w:p/>
    <w:p>
      <w:pPr>
        <w:pStyle w:val="2"/>
        <w:rPr>
          <w:lang w:val="en-US"/>
        </w:rPr>
      </w:pPr>
    </w:p>
    <w:p/>
    <w:p>
      <w:pPr>
        <w:jc w:val="center"/>
        <w:rPr>
          <w:b/>
          <w:bCs/>
          <w:sz w:val="24"/>
        </w:rPr>
      </w:pPr>
    </w:p>
    <w:p>
      <w:pPr>
        <w:pStyle w:val="2"/>
        <w:rPr>
          <w:lang w:val="en-US"/>
        </w:rPr>
      </w:pPr>
    </w:p>
    <w:p/>
    <w:p>
      <w:pPr>
        <w:jc w:val="center"/>
        <w:rPr>
          <w:b/>
          <w:bCs/>
          <w:sz w:val="24"/>
        </w:rPr>
      </w:pPr>
    </w:p>
    <w:p>
      <w:pPr>
        <w:pStyle w:val="2"/>
        <w:rPr>
          <w:lang w:val="en-US"/>
        </w:rPr>
      </w:pP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r>
        <w:rPr>
          <w:rFonts w:hint="eastAsia" w:ascii="仿宋" w:hAnsi="仿宋" w:eastAsia="仿宋" w:cs="仿宋_GB2312"/>
          <w:sz w:val="32"/>
          <w:szCs w:val="32"/>
        </w:rPr>
        <w:t xml:space="preserve">                诸暨市自然资源和规划局</w:t>
      </w:r>
    </w:p>
    <w:p>
      <w:pPr>
        <w:spacing w:line="360" w:lineRule="auto"/>
        <w:rPr>
          <w:rFonts w:ascii="仿宋" w:hAnsi="仿宋" w:eastAsia="仿宋" w:cs="仿宋_GB2312"/>
          <w:sz w:val="32"/>
          <w:szCs w:val="32"/>
        </w:rPr>
      </w:pPr>
      <w:r>
        <w:rPr>
          <w:rFonts w:hint="eastAsia" w:ascii="仿宋" w:hAnsi="仿宋" w:eastAsia="仿宋" w:cs="仿宋_GB2312"/>
          <w:sz w:val="32"/>
          <w:szCs w:val="32"/>
        </w:rPr>
        <w:t xml:space="preserve">                </w:t>
      </w:r>
      <w:r>
        <w:rPr>
          <w:rFonts w:ascii="仿宋" w:hAnsi="仿宋" w:eastAsia="仿宋" w:cs="仿宋_GB2312"/>
          <w:sz w:val="32"/>
          <w:szCs w:val="32"/>
        </w:rPr>
        <w:t>诸暨市公共资源交易中心</w:t>
      </w:r>
    </w:p>
    <w:p>
      <w:pPr>
        <w:spacing w:line="360" w:lineRule="auto"/>
        <w:rPr>
          <w:rFonts w:ascii="仿宋" w:hAnsi="仿宋" w:eastAsia="仿宋" w:cs="仿宋_GB2312"/>
          <w:sz w:val="32"/>
          <w:szCs w:val="32"/>
        </w:rPr>
      </w:pPr>
      <w:r>
        <w:rPr>
          <w:rFonts w:hint="eastAsia" w:ascii="仿宋" w:hAnsi="仿宋" w:eastAsia="仿宋" w:cs="仿宋_GB2312"/>
          <w:sz w:val="32"/>
          <w:szCs w:val="32"/>
        </w:rPr>
        <w:t xml:space="preserve">                   二〇二二年八月</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sz w:val="24"/>
        </w:rPr>
      </w:pPr>
      <w:r>
        <w:rPr>
          <w:rFonts w:ascii="仿宋" w:hAnsi="仿宋" w:eastAsia="仿宋" w:cs="仿宋_GB2312"/>
          <w:b/>
          <w:sz w:val="44"/>
          <w:szCs w:val="44"/>
        </w:rPr>
        <w:t xml:space="preserve"> </w:t>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29822"/>
      <w:bookmarkEnd w:id="4"/>
      <w:bookmarkStart w:id="5" w:name="_Hlt74707423"/>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sz w:val="24"/>
          <w:u w:val="single"/>
        </w:rPr>
        <w:t>诸暨市自然资源和规划局2022年土地评估服务</w:t>
      </w:r>
      <w:r>
        <w:rPr>
          <w:rFonts w:hint="eastAsia" w:ascii="仿宋_GB2312" w:hAnsi="仿宋" w:eastAsia="仿宋_GB2312"/>
          <w:sz w:val="24"/>
        </w:rPr>
        <w:t>招标项目的潜在投标人应在浙江政府采购网“政府采购云平台”</w:t>
      </w:r>
      <w:r>
        <w:fldChar w:fldCharType="begin"/>
      </w:r>
      <w:r>
        <w:instrText xml:space="preserve"> HYPERLINK "https://www.zcygov.cn/）获取（下载）招标文件，并于2021年" </w:instrText>
      </w:r>
      <w:r>
        <w:fldChar w:fldCharType="separate"/>
      </w:r>
      <w:r>
        <w:rPr>
          <w:rStyle w:val="76"/>
          <w:rFonts w:ascii="仿宋_GB2312" w:hAnsi="仿宋" w:eastAsia="仿宋_GB2312" w:cs="Times New Roman"/>
          <w:snapToGrid/>
          <w:color w:val="auto"/>
          <w:kern w:val="2"/>
          <w:sz w:val="24"/>
          <w:szCs w:val="24"/>
        </w:rPr>
        <w:t>获取（下载）招标文件，并于</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9月15日9点00分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spacing w:line="360" w:lineRule="auto"/>
        <w:rPr>
          <w:rFonts w:ascii="仿宋_GB2312" w:hAnsi="仿宋" w:eastAsia="仿宋_GB2312"/>
          <w:b/>
          <w:sz w:val="24"/>
        </w:rPr>
      </w:pPr>
      <w:r>
        <w:rPr>
          <w:rFonts w:hint="eastAsia" w:ascii="仿宋_GB2312" w:hAnsi="仿宋" w:eastAsia="仿宋_GB2312"/>
          <w:b/>
          <w:sz w:val="24"/>
        </w:rPr>
        <w:t>一、项目基本情况</w:t>
      </w:r>
      <w:r>
        <w:rPr>
          <w:rFonts w:ascii="仿宋_GB2312" w:hAnsi="仿宋" w:eastAsia="仿宋_GB2312"/>
          <w:b/>
          <w:sz w:val="24"/>
        </w:rPr>
        <w:t xml:space="preserve">                                            </w:t>
      </w:r>
    </w:p>
    <w:p>
      <w:pPr>
        <w:spacing w:line="360" w:lineRule="auto"/>
        <w:rPr>
          <w:rFonts w:ascii="仿宋_GB2312" w:hAnsi="仿宋" w:eastAsia="仿宋_GB2312" w:cs="仿宋_GB2312"/>
          <w:sz w:val="24"/>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cs="仿宋_GB2312"/>
          <w:sz w:val="24"/>
        </w:rPr>
        <w:t>诸政采2022-08-05</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sz w:val="24"/>
          <w:u w:val="single"/>
        </w:rPr>
        <w:t>诸暨市自然资源和规划局2022年土地评估服务</w:t>
      </w:r>
      <w:r>
        <w:rPr>
          <w:rFonts w:hint="eastAsia" w:ascii="仿宋_GB2312" w:hAnsi="仿宋" w:eastAsia="仿宋_GB2312"/>
          <w:sz w:val="24"/>
        </w:rPr>
        <w:t>项目</w:t>
      </w:r>
    </w:p>
    <w:p>
      <w:pPr>
        <w:spacing w:line="360" w:lineRule="auto"/>
        <w:rPr>
          <w:rFonts w:ascii="仿宋_GB2312" w:hAnsi="仿宋" w:eastAsia="仿宋_GB2312"/>
          <w:sz w:val="24"/>
        </w:rPr>
      </w:pPr>
      <w:r>
        <w:rPr>
          <w:rFonts w:ascii="仿宋_GB2312" w:hAnsi="仿宋" w:eastAsia="仿宋_GB2312"/>
          <w:sz w:val="24"/>
        </w:rPr>
        <w:t xml:space="preserve">   </w:t>
      </w:r>
      <w:r>
        <w:rPr>
          <w:rFonts w:ascii="仿宋_GB2312" w:hAnsi="仿宋" w:eastAsia="仿宋_GB2312"/>
          <w:b/>
          <w:sz w:val="24"/>
        </w:rPr>
        <w:t xml:space="preserve"> 预算金额：</w:t>
      </w:r>
      <w:r>
        <w:rPr>
          <w:rFonts w:hint="eastAsia" w:ascii="仿宋_GB2312" w:hAnsi="仿宋" w:eastAsia="仿宋_GB2312"/>
          <w:sz w:val="24"/>
        </w:rPr>
        <w:t>240万元</w:t>
      </w:r>
    </w:p>
    <w:p>
      <w:pPr>
        <w:spacing w:line="360" w:lineRule="auto"/>
        <w:ind w:firstLine="480"/>
        <w:rPr>
          <w:rFonts w:ascii="仿宋_GB2312" w:hAnsi="仿宋" w:eastAsia="仿宋_GB2312"/>
          <w:sz w:val="24"/>
        </w:rPr>
      </w:pPr>
      <w:r>
        <w:rPr>
          <w:rFonts w:hint="eastAsia" w:ascii="仿宋_GB2312" w:hAnsi="仿宋" w:eastAsia="仿宋_GB2312"/>
          <w:b/>
          <w:sz w:val="24"/>
        </w:rPr>
        <w:t>最高限价：</w:t>
      </w:r>
      <w:r>
        <w:rPr>
          <w:rFonts w:ascii="仿宋_GB2312" w:hAnsi="仿宋" w:eastAsia="仿宋_GB2312"/>
          <w:sz w:val="24"/>
        </w:rPr>
        <w:t xml:space="preserve"> </w:t>
      </w:r>
      <w:r>
        <w:rPr>
          <w:rFonts w:hint="eastAsia" w:ascii="仿宋_GB2312" w:hAnsi="仿宋" w:eastAsia="仿宋_GB2312"/>
          <w:sz w:val="24"/>
        </w:rPr>
        <w:t>标的一：</w:t>
      </w:r>
      <w:r>
        <w:rPr>
          <w:rFonts w:hint="eastAsia" w:ascii="仿宋_GB2312" w:hAnsi="仿宋" w:eastAsia="仿宋_GB2312" w:cs="Helvetica"/>
          <w:kern w:val="0"/>
          <w:sz w:val="24"/>
        </w:rPr>
        <w:t>60%、</w:t>
      </w:r>
      <w:r>
        <w:rPr>
          <w:rFonts w:hint="eastAsia" w:ascii="仿宋_GB2312" w:hAnsi="仿宋" w:eastAsia="仿宋_GB2312"/>
          <w:sz w:val="24"/>
        </w:rPr>
        <w:t>标的二:</w:t>
      </w:r>
      <w:r>
        <w:rPr>
          <w:rFonts w:hint="eastAsia" w:ascii="仿宋_GB2312" w:hAnsi="仿宋" w:eastAsia="仿宋_GB2312" w:cs="Helvetica"/>
          <w:kern w:val="0"/>
          <w:sz w:val="24"/>
        </w:rPr>
        <w:t>60%、</w:t>
      </w:r>
      <w:r>
        <w:rPr>
          <w:rFonts w:hint="eastAsia" w:ascii="仿宋_GB2312" w:hAnsi="仿宋" w:eastAsia="仿宋_GB2312"/>
          <w:sz w:val="24"/>
        </w:rPr>
        <w:t>标的三：</w:t>
      </w:r>
      <w:r>
        <w:rPr>
          <w:rFonts w:hint="eastAsia" w:ascii="仿宋_GB2312" w:hAnsi="仿宋" w:eastAsia="仿宋_GB2312" w:cs="Helvetica"/>
          <w:kern w:val="0"/>
          <w:sz w:val="24"/>
        </w:rPr>
        <w:t>60%</w:t>
      </w:r>
    </w:p>
    <w:p>
      <w:pPr>
        <w:ind w:firstLine="482" w:firstLineChars="200"/>
        <w:rPr>
          <w:rFonts w:ascii="仿宋_GB2312" w:hAnsi="仿宋" w:eastAsia="仿宋_GB2312"/>
          <w:sz w:val="24"/>
        </w:rPr>
      </w:pPr>
      <w:r>
        <w:rPr>
          <w:rFonts w:hint="eastAsia" w:ascii="仿宋_GB2312" w:hAnsi="仿宋" w:eastAsia="仿宋_GB2312"/>
          <w:b/>
          <w:sz w:val="24"/>
        </w:rPr>
        <w:t>采购需求：</w:t>
      </w:r>
      <w:r>
        <w:rPr>
          <w:rFonts w:hint="eastAsia" w:ascii="仿宋_GB2312" w:hAnsi="仿宋" w:eastAsia="仿宋_GB2312"/>
          <w:sz w:val="24"/>
        </w:rPr>
        <w:t>本项目共分为三个标的，标的1为片区1（包括暨阳街道、次坞、应店街、山下湖等镇街）；标的2为片区2（包括浣东街道、店口、枫桥、赵家、东和、东白湖、浬浦等镇街）；标的3为片区3（包括大唐街道、暨南街道、姚江、牌头、安华、同山、璜山、陈宅、马剑、五泄、岭北等镇街）。</w:t>
      </w:r>
    </w:p>
    <w:p>
      <w:pPr>
        <w:ind w:firstLine="480" w:firstLineChars="200"/>
        <w:rPr>
          <w:rFonts w:ascii="仿宋_GB2312" w:hAnsi="仿宋" w:eastAsia="仿宋_GB2312"/>
          <w:sz w:val="24"/>
        </w:rPr>
      </w:pPr>
      <w:r>
        <w:rPr>
          <w:rFonts w:hint="eastAsia" w:ascii="仿宋_GB2312" w:hAnsi="仿宋" w:eastAsia="仿宋_GB2312"/>
          <w:sz w:val="24"/>
        </w:rPr>
        <w:t>本项目采用折扣率报价，服务费用按实际工作量结算，不超过预算，详见下表。</w:t>
      </w:r>
    </w:p>
    <w:tbl>
      <w:tblPr>
        <w:tblStyle w:val="62"/>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6583"/>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91"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标的</w:t>
            </w:r>
          </w:p>
        </w:tc>
        <w:tc>
          <w:tcPr>
            <w:tcW w:w="6583"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标的内容</w:t>
            </w:r>
          </w:p>
        </w:tc>
        <w:tc>
          <w:tcPr>
            <w:tcW w:w="1244" w:type="dxa"/>
            <w:vAlign w:val="center"/>
          </w:tcPr>
          <w:p>
            <w:pPr>
              <w:pStyle w:val="32"/>
              <w:spacing w:line="440" w:lineRule="exact"/>
              <w:jc w:val="center"/>
              <w:rPr>
                <w:rFonts w:ascii="仿宋_GB2312" w:hAnsi="仿宋" w:eastAsia="仿宋_GB2312" w:cs="Times New Roman"/>
                <w:snapToGrid/>
                <w:sz w:val="24"/>
                <w:szCs w:val="24"/>
              </w:rPr>
            </w:pPr>
            <w:r>
              <w:rPr>
                <w:rFonts w:ascii="仿宋_GB2312" w:hAnsi="仿宋" w:eastAsia="仿宋_GB2312" w:cs="Times New Roman"/>
                <w:snapToGrid/>
                <w:sz w:val="24"/>
                <w:szCs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291"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标的1</w:t>
            </w:r>
          </w:p>
        </w:tc>
        <w:tc>
          <w:tcPr>
            <w:tcW w:w="6583" w:type="dxa"/>
            <w:vAlign w:val="center"/>
          </w:tcPr>
          <w:p>
            <w:pPr>
              <w:pStyle w:val="32"/>
              <w:spacing w:line="440" w:lineRule="exact"/>
              <w:jc w:val="left"/>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片区1（包括暨阳街道、次坞、应店街、山下湖等镇街）土地评估服务</w:t>
            </w:r>
          </w:p>
        </w:tc>
        <w:tc>
          <w:tcPr>
            <w:tcW w:w="1244"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291"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标的2</w:t>
            </w:r>
          </w:p>
        </w:tc>
        <w:tc>
          <w:tcPr>
            <w:tcW w:w="6583" w:type="dxa"/>
            <w:vAlign w:val="center"/>
          </w:tcPr>
          <w:p>
            <w:pPr>
              <w:pStyle w:val="32"/>
              <w:spacing w:line="440" w:lineRule="exact"/>
              <w:jc w:val="left"/>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片区2（包括浣东街道、店口、枫桥、赵家、东和、东白湖、浬浦等镇街）土地评估服务</w:t>
            </w:r>
          </w:p>
        </w:tc>
        <w:tc>
          <w:tcPr>
            <w:tcW w:w="1244"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1291"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标的3</w:t>
            </w:r>
          </w:p>
        </w:tc>
        <w:tc>
          <w:tcPr>
            <w:tcW w:w="6583" w:type="dxa"/>
            <w:vAlign w:val="center"/>
          </w:tcPr>
          <w:p>
            <w:pPr>
              <w:pStyle w:val="32"/>
              <w:spacing w:line="440" w:lineRule="exact"/>
              <w:jc w:val="left"/>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片区3（包括大唐街道、暨南街道、姚江、牌头、安华、同山、璜山、陈宅、马剑、五泄、岭北等镇街）土地评估服务</w:t>
            </w:r>
          </w:p>
        </w:tc>
        <w:tc>
          <w:tcPr>
            <w:tcW w:w="1244" w:type="dxa"/>
            <w:vAlign w:val="center"/>
          </w:tcPr>
          <w:p>
            <w:pPr>
              <w:pStyle w:val="32"/>
              <w:spacing w:line="440" w:lineRule="exact"/>
              <w:jc w:val="center"/>
              <w:rPr>
                <w:rFonts w:ascii="仿宋_GB2312" w:hAnsi="仿宋" w:eastAsia="仿宋_GB2312" w:cs="Times New Roman"/>
                <w:snapToGrid/>
                <w:sz w:val="24"/>
                <w:szCs w:val="24"/>
              </w:rPr>
            </w:pPr>
            <w:r>
              <w:rPr>
                <w:rFonts w:hint="eastAsia" w:ascii="仿宋_GB2312" w:hAnsi="仿宋" w:eastAsia="仿宋_GB2312" w:cs="Times New Roman"/>
                <w:snapToGrid/>
                <w:sz w:val="24"/>
                <w:szCs w:val="24"/>
              </w:rPr>
              <w:t>80万元</w:t>
            </w:r>
          </w:p>
        </w:tc>
      </w:tr>
    </w:tbl>
    <w:p>
      <w:pPr>
        <w:ind w:firstLine="480" w:firstLineChars="200"/>
        <w:jc w:val="left"/>
        <w:rPr>
          <w:rFonts w:ascii="仿宋_GB2312" w:hAnsi="仿宋" w:eastAsia="仿宋_GB2312"/>
          <w:sz w:val="24"/>
        </w:rPr>
      </w:pPr>
      <w:r>
        <w:rPr>
          <w:rFonts w:hint="eastAsia" w:ascii="仿宋_GB2312" w:hAnsi="仿宋" w:eastAsia="仿宋_GB2312"/>
          <w:sz w:val="24"/>
        </w:rPr>
        <w:t>具体服务要求详见“第三部分 采购需求”。</w:t>
      </w:r>
    </w:p>
    <w:p>
      <w:pPr>
        <w:ind w:firstLine="480" w:firstLineChars="200"/>
        <w:jc w:val="left"/>
        <w:rPr>
          <w:rFonts w:ascii="仿宋_GB2312" w:hAnsi="仿宋" w:eastAsia="仿宋_GB2312"/>
          <w:sz w:val="24"/>
        </w:rPr>
      </w:pPr>
      <w:r>
        <w:rPr>
          <w:rFonts w:hint="eastAsia" w:ascii="仿宋_GB2312" w:hAnsi="仿宋" w:eastAsia="仿宋_GB2312"/>
          <w:sz w:val="24"/>
        </w:rPr>
        <w:t>招标服务期限：合同签订生效起至2022年12月31日止。</w:t>
      </w:r>
    </w:p>
    <w:p>
      <w:pPr>
        <w:pStyle w:val="5"/>
        <w:spacing w:line="360" w:lineRule="auto"/>
        <w:ind w:firstLine="480"/>
        <w:rPr>
          <w:rFonts w:ascii="仿宋_GB2312" w:hAnsi="仿宋" w:eastAsia="仿宋_GB2312"/>
          <w:b/>
          <w:sz w:val="24"/>
        </w:rPr>
      </w:pPr>
      <w:r>
        <w:rPr>
          <w:rFonts w:hint="eastAsia" w:ascii="仿宋_GB2312" w:hAnsi="仿宋" w:eastAsia="仿宋_GB2312"/>
          <w:b/>
          <w:color w:val="auto"/>
          <w:sz w:val="24"/>
        </w:rPr>
        <w:t>本项目接受联合体投标：</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t>☐</w:t>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sdtPr>
        <w:sdtEndPr>
          <w:rPr>
            <w:rFonts w:hint="eastAsia" w:ascii="仿宋_GB2312" w:hAnsi="仿宋" w:eastAsia="仿宋_GB2312" w:cs="Arial"/>
            <w:color w:val="auto"/>
            <w:kern w:val="0"/>
            <w:sz w:val="24"/>
          </w:rPr>
        </w:sdtEndPr>
        <w:sdtContent>
          <w:sdt>
            <w:sdtPr>
              <w:rPr>
                <w:rFonts w:hint="eastAsia" w:ascii="仿宋_GB2312" w:hAnsi="仿宋" w:eastAsia="仿宋_GB2312" w:cs="Arial"/>
                <w:color w:val="auto"/>
                <w:kern w:val="0"/>
                <w:sz w:val="24"/>
              </w:rPr>
              <w:id w:val="842998546"/>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F0FE"/>
              </w:r>
            </w:sdtContent>
          </w:sdt>
        </w:sdtContent>
      </w:sdt>
      <w:r>
        <w:rPr>
          <w:rFonts w:hint="eastAsia" w:ascii="仿宋_GB2312" w:hAnsi="仿宋" w:eastAsia="仿宋_GB2312"/>
          <w:b/>
          <w:color w:val="auto"/>
          <w:sz w:val="24"/>
        </w:rPr>
        <w:t>否</w:t>
      </w:r>
      <w:r>
        <w:rPr>
          <w:rFonts w:hint="eastAsia" w:cs="Arial" w:asciiTheme="minorEastAsia" w:hAnsiTheme="minorEastAsia" w:eastAsiaTheme="minorEastAsia"/>
          <w:color w:val="auto"/>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二、申请人的资格要求：</w:t>
      </w:r>
    </w:p>
    <w:p>
      <w:pPr>
        <w:spacing w:line="360" w:lineRule="auto"/>
        <w:ind w:firstLine="480"/>
        <w:rPr>
          <w:rFonts w:ascii="仿宋_GB2312" w:hAnsi="仿宋" w:eastAsia="仿宋_GB2312"/>
          <w:bCs/>
          <w:sz w:val="24"/>
        </w:rPr>
      </w:pPr>
      <w:r>
        <w:rPr>
          <w:rFonts w:hint="eastAsia" w:ascii="仿宋_GB2312" w:hAnsi="仿宋" w:eastAsia="仿宋_GB2312"/>
          <w:bCs/>
          <w:sz w:val="24"/>
        </w:rPr>
        <w:t>1. 满足《中华人民共和国政府采购法》第二十二条规定；</w:t>
      </w:r>
    </w:p>
    <w:p>
      <w:pPr>
        <w:spacing w:line="360" w:lineRule="auto"/>
        <w:ind w:firstLine="480"/>
        <w:rPr>
          <w:rFonts w:ascii="仿宋_GB2312" w:hAnsi="仿宋" w:eastAsia="仿宋_GB2312"/>
          <w:bCs/>
          <w:sz w:val="24"/>
        </w:rPr>
      </w:pPr>
      <w:r>
        <w:rPr>
          <w:rFonts w:hint="eastAsia" w:ascii="仿宋_GB2312" w:hAnsi="仿宋" w:eastAsia="仿宋_GB2312"/>
          <w:bCs/>
          <w:sz w:val="24"/>
        </w:rPr>
        <w:t>2.未被“信用中国”（www.creditchina.gov.cn)、中国政府采购网（www.ccgp.gov.cn）列入失信被执行人、重大税收违法案件当事人名单、政府采购严重违法失信行为记录名单。</w:t>
      </w:r>
    </w:p>
    <w:p>
      <w:pPr>
        <w:spacing w:line="360" w:lineRule="auto"/>
        <w:rPr>
          <w:rFonts w:ascii="仿宋_GB2312" w:hAnsi="仿宋" w:eastAsia="仿宋_GB2312"/>
          <w:bCs/>
          <w:sz w:val="24"/>
        </w:rPr>
      </w:pPr>
      <w:r>
        <w:rPr>
          <w:rFonts w:hint="eastAsia" w:ascii="仿宋_GB2312" w:hAnsi="仿宋" w:eastAsia="仿宋_GB2312"/>
          <w:bCs/>
          <w:sz w:val="24"/>
        </w:rPr>
        <w:t xml:space="preserve">    3.落实政府采购政策需满足的资格要求：</w:t>
      </w:r>
    </w:p>
    <w:p>
      <w:pPr>
        <w:spacing w:line="360" w:lineRule="auto"/>
        <w:ind w:firstLine="480" w:firstLineChars="200"/>
        <w:rPr>
          <w:rFonts w:ascii="仿宋_GB2312" w:hAnsi="仿宋" w:eastAsia="仿宋_GB2312"/>
          <w:bCs/>
          <w:sz w:val="24"/>
        </w:rPr>
      </w:pPr>
      <w:sdt>
        <w:sdtPr>
          <w:rPr>
            <w:rFonts w:hint="eastAsia" w:ascii="仿宋_GB2312" w:hAnsi="仿宋" w:eastAsia="仿宋_GB2312"/>
            <w:bCs/>
            <w:sz w:val="24"/>
          </w:rPr>
          <w:id w:val="545068839"/>
        </w:sdtPr>
        <w:sdtEndPr>
          <w:rPr>
            <w:rFonts w:hint="eastAsia" w:ascii="仿宋_GB2312" w:hAnsi="仿宋" w:eastAsia="仿宋_GB2312"/>
            <w:bCs/>
            <w:sz w:val="24"/>
          </w:rPr>
        </w:sdtEndPr>
        <w:sdtContent>
          <w:r>
            <w:rPr>
              <w:rFonts w:hint="eastAsia" w:ascii="仿宋_GB2312" w:hAnsi="仿宋" w:eastAsia="仿宋_GB2312"/>
              <w:bCs/>
              <w:sz w:val="24"/>
            </w:rPr>
            <w:t>☐</w:t>
          </w:r>
        </w:sdtContent>
      </w:sdt>
      <w:r>
        <w:rPr>
          <w:rFonts w:hint="eastAsia" w:ascii="仿宋_GB2312" w:hAnsi="仿宋" w:eastAsia="仿宋_GB2312"/>
          <w:bCs/>
          <w:sz w:val="24"/>
        </w:rPr>
        <w:t>无；</w:t>
      </w:r>
    </w:p>
    <w:p>
      <w:pPr>
        <w:spacing w:line="360" w:lineRule="auto"/>
        <w:ind w:firstLine="480"/>
        <w:rPr>
          <w:rFonts w:ascii="仿宋_GB2312" w:hAnsi="仿宋" w:eastAsia="仿宋_GB2312"/>
          <w:bCs/>
          <w:sz w:val="24"/>
        </w:rPr>
      </w:pPr>
      <w:sdt>
        <w:sdtPr>
          <w:rPr>
            <w:rFonts w:hint="eastAsia" w:ascii="仿宋_GB2312" w:hAnsi="仿宋" w:eastAsia="仿宋_GB2312"/>
            <w:bCs/>
            <w:sz w:val="24"/>
          </w:rPr>
          <w:id w:val="545068840"/>
        </w:sdtPr>
        <w:sdtEndPr>
          <w:rPr>
            <w:rFonts w:hint="eastAsia" w:ascii="仿宋_GB2312" w:hAnsi="仿宋" w:eastAsia="仿宋_GB2312"/>
            <w:bCs/>
            <w:sz w:val="24"/>
          </w:rPr>
        </w:sdtEndPr>
        <w:sdtContent>
          <w:sdt>
            <w:sdtPr>
              <w:rPr>
                <w:rFonts w:hint="eastAsia" w:ascii="仿宋_GB2312" w:hAnsi="仿宋" w:eastAsia="仿宋_GB2312"/>
                <w:bCs/>
                <w:sz w:val="24"/>
              </w:rPr>
              <w:id w:val="545068841"/>
            </w:sdtPr>
            <w:sdtEndPr>
              <w:rPr>
                <w:rFonts w:hint="eastAsia" w:ascii="仿宋_GB2312" w:hAnsi="仿宋" w:eastAsia="仿宋_GB2312"/>
                <w:bCs/>
                <w:sz w:val="24"/>
              </w:rPr>
            </w:sdtEndPr>
            <w:sdtContent>
              <w:r>
                <w:rPr>
                  <w:rFonts w:hint="eastAsia" w:ascii="仿宋_GB2312" w:hAnsi="仿宋" w:eastAsia="仿宋_GB2312"/>
                  <w:bCs/>
                  <w:sz w:val="24"/>
                </w:rPr>
                <w:sym w:font="Wingdings" w:char="F0FE"/>
              </w:r>
            </w:sdtContent>
          </w:sdt>
        </w:sdtContent>
      </w:sdt>
      <w:r>
        <w:rPr>
          <w:rFonts w:hint="eastAsia" w:ascii="仿宋_GB2312" w:hAnsi="仿宋" w:eastAsia="仿宋_GB2312"/>
          <w:bCs/>
          <w:sz w:val="24"/>
        </w:rPr>
        <w:t>专门面向中小企业。</w:t>
      </w:r>
    </w:p>
    <w:p>
      <w:pPr>
        <w:spacing w:line="360" w:lineRule="auto"/>
        <w:ind w:firstLine="480"/>
        <w:rPr>
          <w:rFonts w:ascii="仿宋_GB2312" w:hAnsi="仿宋" w:eastAsia="仿宋_GB2312"/>
          <w:bCs/>
          <w:sz w:val="24"/>
        </w:rPr>
      </w:pPr>
      <w:r>
        <w:rPr>
          <w:rFonts w:hint="eastAsia" w:ascii="仿宋_GB2312" w:hAnsi="仿宋" w:eastAsia="仿宋_GB2312"/>
          <w:bCs/>
          <w:sz w:val="24"/>
        </w:rPr>
        <w:t>4.本项目的特定资格要求：通过省级自然资源部门备案可从事土地评估服务的土地估价机构。</w:t>
      </w:r>
    </w:p>
    <w:p>
      <w:pPr>
        <w:spacing w:line="360" w:lineRule="auto"/>
        <w:rPr>
          <w:rFonts w:ascii="仿宋_GB2312" w:hAnsi="仿宋" w:eastAsia="仿宋_GB2312"/>
          <w:b/>
          <w:sz w:val="24"/>
        </w:rPr>
      </w:pPr>
      <w:r>
        <w:rPr>
          <w:rFonts w:hint="eastAsia" w:ascii="仿宋_GB2312" w:hAnsi="仿宋" w:eastAsia="仿宋_GB2312"/>
          <w:b/>
          <w:sz w:val="24"/>
        </w:rPr>
        <w:t>三、获取招标文件</w:t>
      </w:r>
      <w:r>
        <w:rPr>
          <w:rFonts w:ascii="仿宋_GB2312" w:hAnsi="仿宋" w:eastAsia="仿宋_GB2312"/>
          <w:b/>
          <w:sz w:val="24"/>
        </w:rPr>
        <w:t xml:space="preserve"> </w:t>
      </w:r>
    </w:p>
    <w:p>
      <w:pPr>
        <w:pStyle w:val="32"/>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2022</w:t>
      </w:r>
      <w:r>
        <w:rPr>
          <w:rFonts w:ascii="仿宋_GB2312" w:hAnsi="仿宋" w:eastAsia="仿宋_GB2312"/>
          <w:sz w:val="24"/>
          <w:u w:val="single"/>
        </w:rPr>
        <w:t>年</w:t>
      </w:r>
      <w:r>
        <w:rPr>
          <w:rFonts w:hint="eastAsia" w:ascii="仿宋_GB2312" w:hAnsi="仿宋" w:eastAsia="仿宋_GB2312"/>
          <w:sz w:val="24"/>
          <w:u w:val="single"/>
        </w:rPr>
        <w:t>9</w:t>
      </w:r>
      <w:r>
        <w:rPr>
          <w:rFonts w:ascii="仿宋_GB2312" w:hAnsi="仿宋" w:eastAsia="仿宋_GB2312"/>
          <w:sz w:val="24"/>
          <w:u w:val="single"/>
        </w:rPr>
        <w:t>月</w:t>
      </w:r>
      <w:r>
        <w:rPr>
          <w:rFonts w:hint="eastAsia" w:ascii="仿宋_GB2312" w:hAnsi="仿宋" w:eastAsia="仿宋_GB2312"/>
          <w:sz w:val="24"/>
          <w:u w:val="single"/>
        </w:rPr>
        <w:t>1</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w:t>
      </w:r>
      <w:r>
        <w:rPr>
          <w:rFonts w:hint="eastAsia" w:ascii="仿宋_GB2312" w:hAnsi="仿宋" w:eastAsia="仿宋_GB2312"/>
          <w:sz w:val="24"/>
        </w:rPr>
        <w:t>。招标文件发布截止时间之后有潜在供应商提出要求获取招标文件的，允许获取。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cs="Arial"/>
          <w:snapToGrid w:val="0"/>
          <w:sz w:val="24"/>
          <w:szCs w:val="21"/>
        </w:rPr>
        <w:t>浙江政府采购网（http://zfcg.czt.zj.gov.cn/）</w:t>
      </w:r>
      <w:r>
        <w:rPr>
          <w:rFonts w:ascii="仿宋_GB2312" w:hAnsi="仿宋" w:eastAsia="仿宋_GB2312"/>
          <w:sz w:val="24"/>
        </w:rPr>
        <w:t xml:space="preserve"> </w:t>
      </w:r>
    </w:p>
    <w:p>
      <w:pPr>
        <w:spacing w:line="360" w:lineRule="auto"/>
        <w:ind w:firstLine="482" w:firstLineChars="200"/>
        <w:rPr>
          <w:rFonts w:ascii="仿宋_GB2312" w:hAnsi="仿宋" w:eastAsia="仿宋_GB2312" w:cs="Arial"/>
          <w:snapToGrid w:val="0"/>
          <w:sz w:val="24"/>
          <w:szCs w:val="21"/>
        </w:rPr>
      </w:pPr>
      <w:r>
        <w:rPr>
          <w:rFonts w:hint="eastAsia" w:ascii="仿宋_GB2312" w:hAnsi="仿宋" w:eastAsia="仿宋_GB2312"/>
          <w:b/>
          <w:sz w:val="24"/>
        </w:rPr>
        <w:t>方式：</w:t>
      </w:r>
      <w:r>
        <w:rPr>
          <w:rFonts w:hint="eastAsia" w:ascii="仿宋_GB2312" w:hAnsi="仿宋" w:eastAsia="仿宋_GB2312" w:cs="Arial"/>
          <w:snapToGrid w:val="0"/>
          <w:sz w:val="24"/>
          <w:szCs w:val="21"/>
        </w:rPr>
        <w:t>本项目招标文件采用网上下载方式发布，不提供招标文件纸质版。符合投标人资格条件的供应商请在上述网站采购公告栏目中获取招标文件。本项目无须报名，直接在政府采购云平台上参与电子投标。</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w:t>
      </w:r>
      <w:r>
        <w:rPr>
          <w:rFonts w:ascii="仿宋_GB2312" w:hAnsi="仿宋" w:eastAsia="仿宋_GB2312" w:cs="Arial"/>
          <w:snapToGrid w:val="0"/>
          <w:sz w:val="24"/>
          <w:szCs w:val="21"/>
        </w:rPr>
        <w:t xml:space="preserve">0 </w:t>
      </w:r>
      <w:r>
        <w:rPr>
          <w:rFonts w:hint="eastAsia" w:ascii="仿宋_GB2312" w:hAnsi="仿宋" w:eastAsia="仿宋_GB2312" w:cs="Arial"/>
          <w:snapToGrid w:val="0"/>
          <w:sz w:val="24"/>
          <w:szCs w:val="21"/>
        </w:rPr>
        <w:t>元。</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四、提交投标文件截止时间、开标时间和地点</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提交投标文件截止时间及开标时间：</w:t>
      </w:r>
      <w:r>
        <w:rPr>
          <w:rFonts w:hint="eastAsia" w:ascii="仿宋_GB2312" w:hAnsi="仿宋" w:eastAsia="仿宋_GB2312"/>
          <w:sz w:val="24"/>
        </w:rPr>
        <w:t>投标人应于2022年9月15日9时00分（北京时间）前按照电子投标要求将电子加密标书上传到政府采购云平台，逾期或未上传成功的将导致无法投标或投标无效。</w:t>
      </w:r>
    </w:p>
    <w:p>
      <w:pPr>
        <w:pStyle w:val="32"/>
        <w:spacing w:line="360" w:lineRule="auto"/>
        <w:ind w:firstLine="482" w:firstLineChars="200"/>
        <w:rPr>
          <w:rFonts w:ascii="仿宋_GB2312" w:hAnsi="仿宋" w:eastAsia="仿宋_GB2312"/>
          <w:sz w:val="24"/>
        </w:rPr>
      </w:pPr>
      <w:r>
        <w:rPr>
          <w:rFonts w:hint="eastAsia" w:ascii="仿宋_GB2312" w:hAnsi="仿宋" w:eastAsia="仿宋_GB2312" w:cs="Times New Roman"/>
          <w:b/>
          <w:snapToGrid/>
          <w:sz w:val="24"/>
          <w:szCs w:val="24"/>
        </w:rPr>
        <w:t>开标地点：</w:t>
      </w:r>
      <w:r>
        <w:rPr>
          <w:rFonts w:hint="eastAsia" w:ascii="仿宋_GB2312" w:hAnsi="仿宋" w:eastAsia="仿宋_GB2312"/>
          <w:sz w:val="24"/>
        </w:rPr>
        <w:t>政府采购云平台（www.zcygov.cn）。所有投标人均须准时在“政府采购云平台”在线参加。</w:t>
      </w:r>
    </w:p>
    <w:p>
      <w:pPr>
        <w:spacing w:line="360" w:lineRule="auto"/>
        <w:rPr>
          <w:rFonts w:ascii="仿宋_GB2312" w:hAnsi="仿宋" w:eastAsia="仿宋_GB2312"/>
          <w:sz w:val="24"/>
        </w:rPr>
      </w:pPr>
      <w:r>
        <w:rPr>
          <w:rFonts w:hint="eastAsia" w:ascii="仿宋_GB2312" w:hAnsi="仿宋" w:eastAsia="仿宋_GB2312"/>
          <w:b/>
          <w:sz w:val="24"/>
        </w:rPr>
        <w:t>五、公告期限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spacing w:line="360" w:lineRule="auto"/>
        <w:rPr>
          <w:rFonts w:ascii="仿宋_GB2312" w:hAnsi="仿宋" w:eastAsia="仿宋_GB2312"/>
          <w:b/>
          <w:sz w:val="24"/>
        </w:rPr>
      </w:pPr>
      <w:r>
        <w:rPr>
          <w:rFonts w:hint="eastAsia" w:ascii="仿宋_GB2312" w:hAnsi="仿宋" w:eastAsia="仿宋_GB2312"/>
          <w:b/>
          <w:sz w:val="24"/>
        </w:rPr>
        <w:t>六、其他补充事宜</w:t>
      </w:r>
    </w:p>
    <w:p>
      <w:pPr>
        <w:spacing w:line="360" w:lineRule="auto"/>
        <w:ind w:firstLine="480" w:firstLineChars="200"/>
        <w:rPr>
          <w:rFonts w:ascii="仿宋_GB2312" w:hAnsi="仿宋" w:eastAsia="仿宋_GB2312"/>
          <w:sz w:val="24"/>
        </w:rPr>
      </w:pPr>
      <w:r>
        <w:rPr>
          <w:rFonts w:ascii="仿宋_GB2312" w:hAnsi="仿宋" w:eastAsia="仿宋_GB2312"/>
          <w:sz w:val="24"/>
        </w:rPr>
        <w:t>1.供应商认为招标文件使自己的权益受到损害的，可以自获取招标文件之日或者招标文件公告期限届满之日（公告期限届满后获取招标文件的，以公告期限届满之日为准）起</w:t>
      </w:r>
      <w:r>
        <w:rPr>
          <w:rFonts w:hint="eastAsia" w:ascii="仿宋_GB2312" w:hAnsi="仿宋" w:eastAsia="仿宋_GB2312"/>
          <w:sz w:val="24"/>
        </w:rPr>
        <w:t>七</w:t>
      </w:r>
      <w:r>
        <w:rPr>
          <w:rFonts w:ascii="仿宋_GB2312" w:hAnsi="仿宋" w:eastAsia="仿宋_GB2312"/>
          <w:sz w:val="24"/>
        </w:rPr>
        <w:t>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w:t>
      </w:r>
    </w:p>
    <w:p>
      <w:pPr>
        <w:spacing w:line="360" w:lineRule="auto"/>
        <w:ind w:firstLine="480" w:firstLineChars="200"/>
        <w:rPr>
          <w:rFonts w:ascii="仿宋_GB2312" w:hAnsi="仿宋" w:eastAsia="仿宋_GB2312"/>
          <w:sz w:val="24"/>
        </w:rPr>
      </w:pPr>
      <w:r>
        <w:rPr>
          <w:rFonts w:ascii="仿宋_GB2312" w:hAnsi="仿宋" w:eastAsia="仿宋_GB2312"/>
          <w:sz w:val="24"/>
        </w:rPr>
        <w:t>2</w:t>
      </w:r>
      <w:r>
        <w:rPr>
          <w:rFonts w:hint="eastAsia" w:ascii="仿宋_GB2312" w:hAnsi="仿宋" w:eastAsia="仿宋_GB2312"/>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_GB2312" w:hAnsi="仿宋" w:eastAsia="仿宋_GB2312"/>
          <w:sz w:val="24"/>
        </w:rPr>
      </w:pPr>
      <w:r>
        <w:rPr>
          <w:rFonts w:ascii="仿宋_GB2312" w:hAnsi="仿宋" w:eastAsia="仿宋_GB2312"/>
          <w:sz w:val="24"/>
        </w:rPr>
        <w:t>3</w:t>
      </w:r>
      <w:r>
        <w:rPr>
          <w:rFonts w:hint="eastAsia" w:ascii="仿宋_GB2312" w:hAnsi="仿宋" w:eastAsia="仿宋_GB2312"/>
          <w:sz w:val="24"/>
        </w:rPr>
        <w:t>.其他事项：（1）需要落实的政府采购政策：包括节约资源、保护环境、支持创新、促进中小企业发展等，详见招标文件的第二部分投标人须知-总则。（2）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w:t>
      </w:r>
      <w:r>
        <w:rPr>
          <w:rFonts w:hint="eastAsia" w:ascii="仿宋_GB2312" w:hAnsi="仿宋" w:eastAsia="仿宋_GB2312" w:cs="仿宋_GB2312"/>
          <w:sz w:val="24"/>
        </w:rPr>
        <w:t>政府采购云平台；进入“项目采购”应用，在获取采购文件菜单中选择项目，获取招标文件；④</w:t>
      </w:r>
      <w:r>
        <w:rPr>
          <w:rFonts w:ascii="仿宋_GB2312" w:hAnsi="仿宋" w:eastAsia="仿宋_GB2312"/>
          <w:sz w:val="24"/>
        </w:rPr>
        <w:t>对未按上述方式获取</w:t>
      </w:r>
      <w:r>
        <w:rPr>
          <w:rFonts w:hint="eastAsia" w:ascii="仿宋_GB2312" w:hAnsi="仿宋" w:eastAsia="仿宋_GB2312"/>
          <w:sz w:val="24"/>
        </w:rPr>
        <w:t>招标</w:t>
      </w:r>
      <w:r>
        <w:rPr>
          <w:rFonts w:ascii="仿宋_GB2312" w:hAnsi="仿宋" w:eastAsia="仿宋_GB2312"/>
          <w:sz w:val="24"/>
        </w:rPr>
        <w:t>文件的供应商</w:t>
      </w:r>
      <w:r>
        <w:rPr>
          <w:rFonts w:hint="eastAsia" w:ascii="仿宋_GB2312" w:hAnsi="仿宋" w:eastAsia="仿宋_GB2312"/>
          <w:sz w:val="24"/>
        </w:rPr>
        <w:t>，视为未参与该项政府采购活动，不具备对该政府采购项目提出质疑的法定权利，但因供应商资格条件或报名时间设定不符合有关法律法规规定等原因使供应商权益受损的除外；⑤</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⑥</w:t>
      </w:r>
      <w:r>
        <w:rPr>
          <w:rFonts w:ascii="仿宋_GB2312" w:hAnsi="仿宋" w:eastAsia="仿宋_GB2312"/>
          <w:sz w:val="24"/>
        </w:rPr>
        <w:t>不提供招标文件纸质版</w:t>
      </w:r>
      <w:r>
        <w:rPr>
          <w:rFonts w:hint="eastAsia" w:ascii="仿宋_GB2312" w:hAnsi="仿宋" w:eastAsia="仿宋_GB2312"/>
          <w:sz w:val="24"/>
        </w:rPr>
        <w:t>；⑦</w:t>
      </w:r>
      <w:r>
        <w:rPr>
          <w:rFonts w:ascii="仿宋_GB2312" w:hAnsi="仿宋" w:eastAsia="仿宋_GB2312" w:cs="仿宋_GB2312"/>
          <w:sz w:val="24"/>
        </w:rPr>
        <w:t>投标文件的传输递交：投标人在投标截止时间前将加密的投标文件上传至政府采购云平台，还可以在投标截止时间前递交备份投标文件1份。</w:t>
      </w:r>
      <w:r>
        <w:rPr>
          <w:rFonts w:ascii="仿宋_GB2312" w:hAnsi="仿宋" w:eastAsia="仿宋_GB2312" w:cs="仿宋_GB2312"/>
          <w:b/>
          <w:bCs/>
          <w:sz w:val="24"/>
        </w:rPr>
        <w:t>备份投标文件的制作、递交详见招标文件第二部分第15点—“备份投标文件”</w:t>
      </w:r>
      <w:r>
        <w:rPr>
          <w:rFonts w:hint="eastAsia" w:ascii="仿宋_GB2312" w:hAnsi="仿宋" w:eastAsia="仿宋_GB2312" w:cs="仿宋_GB2312"/>
          <w:b/>
          <w:bCs/>
          <w:sz w:val="24"/>
        </w:rPr>
        <w:t>；</w:t>
      </w:r>
      <w:r>
        <w:rPr>
          <w:rFonts w:hint="eastAsia" w:ascii="仿宋_GB2312" w:hAnsi="仿宋" w:eastAsia="仿宋_GB2312" w:cs="仿宋_GB2312"/>
          <w:sz w:val="24"/>
        </w:rPr>
        <w:t xml:space="preserve"> ⑧投标文件的解密：投标人按照平台提示和招标文件的规定在3</w:t>
      </w:r>
      <w:r>
        <w:rPr>
          <w:rFonts w:ascii="仿宋_GB2312" w:hAnsi="仿宋" w:eastAsia="仿宋_GB2312" w:cs="仿宋_GB2312"/>
          <w:sz w:val="24"/>
        </w:rPr>
        <w:t>0</w:t>
      </w:r>
      <w:r>
        <w:rPr>
          <w:rFonts w:hint="eastAsia" w:ascii="仿宋_GB2312" w:hAnsi="仿宋" w:eastAsia="仿宋_GB2312" w:cs="仿宋_GB2312"/>
          <w:sz w:val="24"/>
        </w:rPr>
        <w:t>分钟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w:t>
      </w:r>
      <w:r>
        <w:rPr>
          <w:rFonts w:hint="eastAsia" w:ascii="仿宋_GB2312" w:hAnsi="仿宋" w:eastAsia="仿宋_GB2312"/>
          <w:sz w:val="24"/>
        </w:rPr>
        <w:t>⑨</w:t>
      </w:r>
      <w:r>
        <w:rPr>
          <w:rFonts w:ascii="仿宋_GB2312" w:hAnsi="仿宋" w:eastAsia="仿宋_GB2312" w:cs="仿宋_GB2312"/>
          <w:sz w:val="24"/>
        </w:rPr>
        <w:t>具体操作指南：详见</w:t>
      </w:r>
      <w:r>
        <w:rPr>
          <w:rFonts w:hint="eastAsia" w:ascii="仿宋_GB2312" w:hAnsi="仿宋" w:eastAsia="仿宋_GB2312" w:cs="仿宋_GB2312"/>
          <w:sz w:val="24"/>
        </w:rPr>
        <w:t>政府采购云平台“服务中心</w:t>
      </w:r>
      <w:r>
        <w:rPr>
          <w:rFonts w:ascii="仿宋_GB2312" w:hAnsi="仿宋" w:eastAsia="仿宋_GB2312" w:cs="仿宋_GB2312"/>
          <w:sz w:val="24"/>
        </w:rPr>
        <w:t>-帮助文档-项目采购-操作流程-电子招投标-政府采购项目电子交易管理操作指南-供应商”。</w:t>
      </w:r>
      <w:r>
        <w:rPr>
          <w:rFonts w:hint="eastAsia" w:ascii="仿宋_GB2312" w:hAnsi="仿宋" w:eastAsia="仿宋_GB2312"/>
          <w:sz w:val="24"/>
        </w:rPr>
        <w:t xml:space="preserve"> </w:t>
      </w:r>
    </w:p>
    <w:p>
      <w:pPr>
        <w:spacing w:line="360" w:lineRule="auto"/>
        <w:rPr>
          <w:rFonts w:ascii="仿宋_GB2312" w:hAnsi="仿宋" w:eastAsia="仿宋_GB2312"/>
          <w:b/>
          <w:sz w:val="24"/>
        </w:rPr>
      </w:pPr>
      <w:r>
        <w:rPr>
          <w:rFonts w:hint="eastAsia" w:ascii="仿宋_GB2312" w:hAnsi="仿宋" w:eastAsia="仿宋_GB2312"/>
          <w:b/>
          <w:sz w:val="24"/>
        </w:rPr>
        <w:t>七、对本次采购提出询问、质疑、投诉，请按以下方式联系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诸暨市自然资源和规划局</w:t>
      </w:r>
    </w:p>
    <w:p>
      <w:pPr>
        <w:spacing w:line="360" w:lineRule="auto"/>
        <w:ind w:firstLine="465"/>
        <w:rPr>
          <w:rFonts w:ascii="仿宋_GB2312" w:hAnsi="仿宋" w:eastAsia="仿宋_GB2312"/>
          <w:sz w:val="24"/>
        </w:rPr>
      </w:pPr>
      <w:r>
        <w:rPr>
          <w:rFonts w:ascii="仿宋_GB2312" w:hAnsi="仿宋" w:eastAsia="仿宋_GB2312"/>
          <w:sz w:val="24"/>
        </w:rPr>
        <w:t>地    址：</w:t>
      </w:r>
      <w:r>
        <w:rPr>
          <w:rFonts w:hint="eastAsia" w:ascii="仿宋_GB2312" w:hAnsi="仿宋" w:eastAsia="仿宋_GB2312"/>
          <w:sz w:val="24"/>
        </w:rPr>
        <w:t>诸暨市暨阳街道东二路53号</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项目联系人（询问）：宣浩祥  项目联系方式（询问）：0575-87980069</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质疑联系人：马奇锋 质疑联系方式：0575-87980013</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 xml:space="preserve">2.采购代理机构信息            </w:t>
      </w:r>
    </w:p>
    <w:p>
      <w:pPr>
        <w:spacing w:line="360" w:lineRule="auto"/>
        <w:ind w:firstLine="480"/>
        <w:rPr>
          <w:rFonts w:ascii="仿宋_GB2312" w:hAnsi="仿宋" w:eastAsia="仿宋_GB2312"/>
          <w:sz w:val="24"/>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称：诸暨市公共资源交易中心</w:t>
      </w:r>
    </w:p>
    <w:p>
      <w:pPr>
        <w:spacing w:line="360" w:lineRule="auto"/>
        <w:ind w:firstLine="480"/>
        <w:rPr>
          <w:rFonts w:ascii="仿宋_GB2312" w:hAnsi="仿宋" w:eastAsia="仿宋_GB2312"/>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址：诸暨市暨东路58号6楼北602办公室</w:t>
      </w:r>
    </w:p>
    <w:p>
      <w:pPr>
        <w:spacing w:line="360" w:lineRule="auto"/>
        <w:ind w:firstLine="465"/>
        <w:rPr>
          <w:rFonts w:ascii="仿宋_GB2312" w:hAnsi="仿宋" w:eastAsia="仿宋_GB2312"/>
          <w:sz w:val="24"/>
        </w:rPr>
      </w:pPr>
      <w:r>
        <w:rPr>
          <w:rFonts w:ascii="仿宋_GB2312" w:hAnsi="仿宋" w:eastAsia="仿宋_GB2312"/>
          <w:sz w:val="24"/>
        </w:rPr>
        <w:t>项目联系人（询问）：</w:t>
      </w:r>
      <w:r>
        <w:rPr>
          <w:rFonts w:hint="eastAsia" w:ascii="仿宋_GB2312" w:hAnsi="仿宋" w:eastAsia="仿宋_GB2312"/>
          <w:sz w:val="24"/>
        </w:rPr>
        <w:t xml:space="preserve">王小林 </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项目联系方式（询问）：</w:t>
      </w:r>
      <w:r>
        <w:rPr>
          <w:rFonts w:hint="eastAsia" w:ascii="仿宋_GB2312" w:hAnsi="仿宋" w:eastAsia="仿宋_GB2312"/>
          <w:sz w:val="24"/>
        </w:rPr>
        <w:t xml:space="preserve">0575-87253016    </w:t>
      </w:r>
      <w:r>
        <w:rPr>
          <w:rFonts w:ascii="仿宋_GB2312" w:hAnsi="仿宋" w:eastAsia="仿宋_GB2312"/>
          <w:sz w:val="24"/>
        </w:rPr>
        <w:t>传    真：</w:t>
      </w:r>
      <w:r>
        <w:rPr>
          <w:rFonts w:hint="eastAsia" w:ascii="仿宋_GB2312" w:hAnsi="仿宋" w:eastAsia="仿宋_GB2312"/>
          <w:sz w:val="24"/>
        </w:rPr>
        <w:t>0575-87221107</w:t>
      </w:r>
    </w:p>
    <w:p>
      <w:pPr>
        <w:spacing w:line="360" w:lineRule="auto"/>
        <w:ind w:firstLine="465"/>
        <w:rPr>
          <w:rFonts w:ascii="仿宋_GB2312" w:hAnsi="仿宋" w:eastAsia="仿宋_GB2312"/>
          <w:sz w:val="24"/>
        </w:rPr>
      </w:pPr>
      <w:r>
        <w:rPr>
          <w:rFonts w:ascii="仿宋_GB2312" w:hAnsi="仿宋" w:eastAsia="仿宋_GB2312"/>
          <w:sz w:val="24"/>
        </w:rPr>
        <w:t>质疑联系人：</w:t>
      </w:r>
      <w:r>
        <w:rPr>
          <w:rFonts w:hint="eastAsia" w:ascii="仿宋_GB2312" w:hAnsi="仿宋" w:eastAsia="仿宋_GB2312"/>
          <w:sz w:val="24"/>
        </w:rPr>
        <w:t xml:space="preserve">金泽成 </w:t>
      </w:r>
      <w:r>
        <w:rPr>
          <w:rFonts w:ascii="仿宋_GB2312" w:hAnsi="仿宋" w:eastAsia="仿宋_GB2312"/>
          <w:sz w:val="24"/>
        </w:rPr>
        <w:t xml:space="preserve">            </w:t>
      </w:r>
      <w:r>
        <w:rPr>
          <w:rFonts w:hint="eastAsia"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质疑联系方式：</w:t>
      </w:r>
      <w:r>
        <w:rPr>
          <w:rFonts w:hint="eastAsia" w:ascii="仿宋_GB2312" w:hAnsi="仿宋" w:eastAsia="仿宋_GB2312"/>
          <w:sz w:val="24"/>
        </w:rPr>
        <w:t xml:space="preserve">0575-87253015            </w:t>
      </w:r>
      <w:r>
        <w:rPr>
          <w:rFonts w:ascii="仿宋_GB2312" w:hAnsi="仿宋" w:eastAsia="仿宋_GB2312"/>
          <w:sz w:val="24"/>
        </w:rPr>
        <w:t>传    真：</w:t>
      </w:r>
      <w:r>
        <w:rPr>
          <w:rFonts w:hint="eastAsia" w:ascii="仿宋_GB2312" w:hAnsi="仿宋" w:eastAsia="仿宋_GB2312"/>
          <w:sz w:val="24"/>
        </w:rPr>
        <w:t>0575-87221107</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rPr>
        <w:t>诸暨市财政局政府采购监管科</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rPr>
        <w:t>诸暨市人民中路356号</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  传    真：</w:t>
      </w:r>
      <w:r>
        <w:rPr>
          <w:rFonts w:hint="eastAsia" w:ascii="仿宋_GB2312" w:hAnsi="仿宋" w:eastAsia="仿宋_GB2312"/>
          <w:sz w:val="24"/>
        </w:rPr>
        <w:t>0575-87023633</w:t>
      </w:r>
    </w:p>
    <w:p>
      <w:pPr>
        <w:spacing w:line="360" w:lineRule="auto"/>
        <w:ind w:firstLine="465"/>
        <w:rPr>
          <w:rFonts w:ascii="仿宋_GB2312" w:hAnsi="仿宋" w:eastAsia="仿宋_GB2312"/>
          <w:sz w:val="24"/>
        </w:rPr>
      </w:pPr>
      <w:r>
        <w:rPr>
          <w:rFonts w:ascii="仿宋_GB2312" w:hAnsi="仿宋" w:eastAsia="仿宋_GB2312"/>
          <w:sz w:val="24"/>
        </w:rPr>
        <w:t>联系人 ：</w:t>
      </w:r>
      <w:r>
        <w:rPr>
          <w:rFonts w:hint="eastAsia" w:ascii="仿宋_GB2312" w:hAnsi="仿宋" w:eastAsia="仿宋_GB2312"/>
          <w:sz w:val="24"/>
        </w:rPr>
        <w:t xml:space="preserve">吕康玮 </w:t>
      </w:r>
      <w:r>
        <w:rPr>
          <w:rFonts w:ascii="仿宋_GB2312" w:hAnsi="仿宋" w:eastAsia="仿宋_GB2312"/>
          <w:sz w:val="24"/>
        </w:rPr>
        <w:t xml:space="preserve"> </w:t>
      </w:r>
    </w:p>
    <w:p>
      <w:pPr>
        <w:spacing w:line="360" w:lineRule="auto"/>
        <w:ind w:firstLine="465"/>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0575-87111685 </w:t>
      </w:r>
      <w:r>
        <w:rPr>
          <w:rFonts w:ascii="仿宋_GB2312" w:hAnsi="仿宋" w:eastAsia="仿宋_GB2312"/>
          <w:sz w:val="24"/>
        </w:rPr>
        <w:t xml:space="preserve">       </w:t>
      </w:r>
      <w:r>
        <w:rPr>
          <w:rFonts w:hint="eastAsia" w:ascii="仿宋_GB2312" w:hAnsi="仿宋" w:eastAsia="仿宋_GB2312"/>
          <w:sz w:val="24"/>
        </w:rPr>
        <w:t>电子邮箱：962305234@qq.com</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w:t>
      </w:r>
      <w:r>
        <w:rPr>
          <w:rFonts w:hint="eastAsia" w:ascii="仿宋_GB2312" w:hAnsi="仿宋" w:eastAsia="仿宋_GB2312"/>
          <w:sz w:val="24"/>
        </w:rPr>
        <w:t>若对项目采购电子交易系统操作有疑问，可登录政府采购云平台（</w:t>
      </w:r>
      <w:r>
        <w:rPr>
          <w:rFonts w:ascii="仿宋_GB2312" w:hAnsi="仿宋" w:eastAsia="仿宋_GB2312"/>
          <w:sz w:val="24"/>
        </w:rPr>
        <w:t>https://www.zcygov.cn/），点击右侧咨询小采，获取采小蜜智能服务管家帮助，或拨打</w:t>
      </w:r>
      <w:r>
        <w:rPr>
          <w:rFonts w:hint="eastAsia" w:ascii="仿宋_GB2312" w:hAnsi="仿宋" w:eastAsia="仿宋_GB2312"/>
          <w:sz w:val="24"/>
        </w:rPr>
        <w:t>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2"/>
        <w:tblW w:w="958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98"/>
        <w:gridCol w:w="1760"/>
        <w:gridCol w:w="71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1</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评标办法</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仿宋_GB2312"/>
                <w:b/>
                <w:sz w:val="24"/>
              </w:rPr>
            </w:pPr>
            <w:r>
              <w:rPr>
                <w:rFonts w:hint="eastAsia" w:ascii="仿宋_GB2312" w:hAnsi="仿宋" w:eastAsia="仿宋_GB2312"/>
                <w:kern w:val="0"/>
                <w:sz w:val="24"/>
                <w:lang w:val="zh-CN"/>
              </w:rPr>
              <w:t>本项目采用</w:t>
            </w:r>
            <w:r>
              <w:rPr>
                <w:rFonts w:hint="eastAsia" w:ascii="仿宋_GB2312" w:hAnsi="仿宋" w:eastAsia="仿宋_GB2312"/>
                <w:kern w:val="0"/>
                <w:sz w:val="24"/>
                <w:u w:val="single"/>
                <w:lang w:val="zh-CN"/>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74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2</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kern w:val="0"/>
                <w:sz w:val="24"/>
                <w:lang w:val="zh-CN"/>
              </w:rPr>
            </w:pPr>
            <w:r>
              <w:rPr>
                <w:rFonts w:hint="eastAsia" w:ascii="仿宋_GB2312" w:hAnsi="仿宋" w:eastAsia="仿宋_GB2312"/>
                <w:kern w:val="0"/>
                <w:sz w:val="24"/>
                <w:lang w:val="zh-CN"/>
              </w:rPr>
              <w:t>有关本项目实施所需的所有费用（含税费）均计入报价。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w:t>
            </w:r>
          </w:p>
          <w:p>
            <w:pPr>
              <w:snapToGrid w:val="0"/>
              <w:spacing w:line="360" w:lineRule="auto"/>
              <w:jc w:val="left"/>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pStyle w:val="277"/>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投标文件出现不是唯一的、有选择性投标报价的；</w:t>
            </w:r>
          </w:p>
          <w:p>
            <w:pPr>
              <w:pStyle w:val="277"/>
              <w:numPr>
                <w:ilvl w:val="0"/>
                <w:numId w:val="2"/>
              </w:numPr>
              <w:snapToGrid w:val="0"/>
              <w:ind w:firstLineChars="0"/>
              <w:jc w:val="left"/>
              <w:rPr>
                <w:rFonts w:ascii="仿宋_GB2312" w:hAnsi="仿宋" w:eastAsia="仿宋_GB2312" w:cs="仿宋_GB2312"/>
                <w:bCs/>
                <w:kern w:val="0"/>
                <w:lang w:val="zh-CN"/>
              </w:rPr>
            </w:pPr>
            <w:r>
              <w:rPr>
                <w:rFonts w:hint="eastAsia" w:ascii="仿宋_GB2312" w:hAnsi="仿宋" w:eastAsia="仿宋_GB2312" w:cs="仿宋_GB2312"/>
                <w:bCs/>
                <w:kern w:val="0"/>
                <w:lang w:val="zh-CN"/>
              </w:rPr>
              <w:t>投标报价超过招标文件中规定的预算金额或者最高限价的</w:t>
            </w:r>
            <w:r>
              <w:rPr>
                <w:rFonts w:ascii="仿宋_GB2312" w:hAnsi="仿宋" w:eastAsia="仿宋_GB2312"/>
                <w:bCs/>
                <w:kern w:val="0"/>
                <w:lang w:val="zh-CN"/>
              </w:rPr>
              <w:t>;</w:t>
            </w:r>
          </w:p>
          <w:p>
            <w:pPr>
              <w:pStyle w:val="277"/>
              <w:numPr>
                <w:ilvl w:val="0"/>
                <w:numId w:val="2"/>
              </w:numPr>
              <w:ind w:firstLineChars="0"/>
              <w:rPr>
                <w:rFonts w:ascii="仿宋_GB2312" w:hAnsi="仿宋" w:eastAsia="仿宋_GB2312" w:cs="仿宋_GB2312"/>
                <w:bCs/>
                <w:kern w:val="0"/>
                <w:lang w:val="zh-CN"/>
              </w:rPr>
            </w:pPr>
            <w:r>
              <w:rPr>
                <w:rFonts w:ascii="仿宋_GB2312" w:hAnsi="仿宋" w:eastAsia="仿宋_GB2312" w:cs="仿宋_GB2312"/>
                <w:bCs/>
                <w:kern w:val="0"/>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r>
              <w:rPr>
                <w:rFonts w:hint="eastAsia" w:ascii="仿宋_GB2312" w:hAnsi="仿宋" w:eastAsia="仿宋_GB2312" w:cs="仿宋_GB2312"/>
                <w:bCs/>
                <w:kern w:val="0"/>
                <w:lang w:val="zh-CN"/>
              </w:rPr>
              <w:t>，</w:t>
            </w:r>
            <w:r>
              <w:rPr>
                <w:rFonts w:ascii="仿宋_GB2312" w:hAnsi="仿宋" w:eastAsia="仿宋_GB2312" w:cs="仿宋_GB2312"/>
                <w:bCs/>
                <w:kern w:val="0"/>
                <w:lang w:val="zh-CN"/>
              </w:rPr>
              <w:t>评标委员会应当将其作为无效投标处理;</w:t>
            </w:r>
          </w:p>
          <w:p>
            <w:pPr>
              <w:pStyle w:val="277"/>
              <w:numPr>
                <w:ilvl w:val="0"/>
                <w:numId w:val="2"/>
              </w:numPr>
              <w:ind w:firstLineChars="0"/>
              <w:rPr>
                <w:rFonts w:ascii="仿宋_GB2312" w:hAnsi="仿宋" w:eastAsia="仿宋_GB2312" w:cs="仿宋_GB2312"/>
                <w:bCs/>
                <w:kern w:val="0"/>
                <w:lang w:val="zh-CN"/>
              </w:rPr>
            </w:pPr>
            <w:r>
              <w:rPr>
                <w:rFonts w:hint="eastAsia" w:ascii="仿宋_GB2312" w:hAnsi="仿宋" w:eastAsia="仿宋_GB2312" w:cs="Arial"/>
                <w:bCs/>
                <w:kern w:val="0"/>
              </w:rPr>
              <w:t>投标人对根据修正原则修正后的报价不确认的</w:t>
            </w:r>
            <w:r>
              <w:rPr>
                <w:rFonts w:hint="eastAsia" w:ascii="仿宋_GB2312" w:hAnsi="仿宋" w:eastAsia="仿宋_GB2312"/>
                <w:bC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21"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3</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540942240"/>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 xml:space="preserve"> A</w:t>
            </w:r>
            <w:r>
              <w:rPr>
                <w:rFonts w:hint="eastAsia" w:ascii="仿宋_GB2312" w:hAnsi="仿宋" w:eastAsia="仿宋_GB2312" w:cs="仿宋_GB2312"/>
                <w:bCs/>
                <w:kern w:val="0"/>
                <w:sz w:val="24"/>
                <w:lang w:val="zh-CN"/>
              </w:rPr>
              <w:t>为确保评估服务顺利开展，经采购单位同意，紧急评估项目中标单位可分包给与本项目资格要求相同的单位，协助开展评估服务（须签订分包协议并经采购人审核通过）。</w:t>
            </w:r>
          </w:p>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540942239"/>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7"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4</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投标人应当提供的资格文件</w:t>
            </w:r>
          </w:p>
        </w:tc>
        <w:tc>
          <w:tcPr>
            <w:tcW w:w="7125" w:type="dxa"/>
            <w:tcBorders>
              <w:top w:val="single" w:color="000000" w:sz="8" w:space="0"/>
              <w:left w:val="single" w:color="000000" w:sz="2" w:space="0"/>
              <w:right w:val="single" w:color="000000" w:sz="8" w:space="0"/>
            </w:tcBorders>
            <w:vAlign w:val="center"/>
          </w:tcPr>
          <w:p>
            <w:pPr>
              <w:pStyle w:val="277"/>
              <w:numPr>
                <w:ilvl w:val="0"/>
                <w:numId w:val="3"/>
              </w:numPr>
              <w:snapToGrid w:val="0"/>
              <w:ind w:firstLineChars="0"/>
              <w:rPr>
                <w:rFonts w:ascii="仿宋_GB2312" w:hAnsi="仿宋" w:eastAsia="仿宋_GB2312" w:cs="仿宋_GB2312"/>
              </w:rPr>
            </w:pPr>
            <w:r>
              <w:rPr>
                <w:rFonts w:ascii="仿宋_GB2312" w:hAnsi="仿宋" w:eastAsia="仿宋_GB2312" w:cs="仿宋_GB2312"/>
              </w:rPr>
              <w:t>符合参加政府采购活动应当具备的一般条件的承诺函；</w:t>
            </w:r>
          </w:p>
          <w:p>
            <w:pPr>
              <w:pStyle w:val="277"/>
              <w:numPr>
                <w:ilvl w:val="0"/>
                <w:numId w:val="3"/>
              </w:numPr>
              <w:snapToGrid w:val="0"/>
              <w:ind w:firstLineChars="0"/>
              <w:rPr>
                <w:rFonts w:ascii="仿宋_GB2312" w:hAnsi="仿宋" w:eastAsia="仿宋_GB2312" w:cs="仿宋_GB2312"/>
              </w:rPr>
            </w:pPr>
            <w:r>
              <w:rPr>
                <w:rFonts w:ascii="仿宋_GB2312" w:hAnsi="仿宋" w:eastAsia="仿宋_GB2312" w:cs="仿宋_GB2312"/>
              </w:rPr>
              <w:t>中小企业声明函</w:t>
            </w:r>
            <w:r>
              <w:rPr>
                <w:rFonts w:hint="eastAsia" w:ascii="仿宋_GB2312" w:hAnsi="仿宋" w:eastAsia="仿宋_GB2312" w:cs="仿宋_GB2312"/>
              </w:rPr>
              <w:t>；</w:t>
            </w:r>
          </w:p>
          <w:p>
            <w:pPr>
              <w:pStyle w:val="277"/>
              <w:numPr>
                <w:ilvl w:val="0"/>
                <w:numId w:val="3"/>
              </w:numPr>
              <w:snapToGrid w:val="0"/>
              <w:ind w:firstLineChars="0"/>
              <w:rPr>
                <w:rFonts w:ascii="仿宋_GB2312" w:hAnsi="仿宋" w:eastAsia="仿宋_GB2312" w:cs="仿宋_GB2312"/>
              </w:rPr>
            </w:pPr>
            <w:r>
              <w:rPr>
                <w:rFonts w:hint="eastAsia" w:ascii="仿宋_GB2312" w:hAnsi="仿宋" w:eastAsia="仿宋_GB2312"/>
                <w:bCs/>
              </w:rPr>
              <w:t>通过省级自然资源部门备案可从事土地评估服务的土地估价机构（提供相关证明）</w:t>
            </w:r>
          </w:p>
          <w:p>
            <w:pPr>
              <w:spacing w:line="360" w:lineRule="auto"/>
              <w:rPr>
                <w:rFonts w:ascii="Arial" w:hAnsi="Arial" w:eastAsia="黑体" w:cs="Arial"/>
                <w:b/>
                <w:snapToGrid w:val="0"/>
                <w:kern w:val="0"/>
                <w:szCs w:val="21"/>
              </w:rPr>
            </w:pPr>
            <w:r>
              <w:rPr>
                <w:rFonts w:hint="eastAsia" w:ascii="仿宋_GB2312" w:hAnsi="仿宋" w:eastAsia="仿宋_GB2312"/>
                <w:b/>
                <w:kern w:val="0"/>
                <w:sz w:val="24"/>
                <w:lang w:val="zh-CN"/>
              </w:rPr>
              <w:t>投标人未提供有效的资格证明文件的，视为投标人不具备招标文件中规定的资格要求，其投标无效。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206"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5</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投标人应当提供的商务技术文件</w:t>
            </w:r>
          </w:p>
        </w:tc>
        <w:tc>
          <w:tcPr>
            <w:tcW w:w="7125" w:type="dxa"/>
            <w:tcBorders>
              <w:top w:val="single" w:color="000000" w:sz="8" w:space="0"/>
              <w:left w:val="single" w:color="000000" w:sz="2" w:space="0"/>
              <w:right w:val="single" w:color="000000" w:sz="8" w:space="0"/>
            </w:tcBorders>
            <w:vAlign w:val="center"/>
          </w:tcPr>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投标函；</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授权委托书或法定代表人（单位负责人、自然人本人）身份证明</w:t>
            </w:r>
            <w:r>
              <w:rPr>
                <w:rFonts w:hint="eastAsia"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联合协议</w:t>
            </w:r>
            <w:r>
              <w:rPr>
                <w:rFonts w:hint="eastAsia" w:ascii="仿宋_GB2312" w:hAnsi="仿宋" w:eastAsia="仿宋_GB2312" w:cs="仿宋_GB2312"/>
              </w:rPr>
              <w:t>（如需）</w:t>
            </w:r>
            <w:r>
              <w:rPr>
                <w:rFonts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分包意向协议</w:t>
            </w:r>
            <w:r>
              <w:rPr>
                <w:rFonts w:hint="eastAsia" w:ascii="仿宋_GB2312" w:hAnsi="仿宋" w:eastAsia="仿宋_GB2312" w:cs="仿宋_GB2312"/>
              </w:rPr>
              <w:t>（如需）</w:t>
            </w:r>
            <w:r>
              <w:rPr>
                <w:rFonts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符合性审查资料；</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评标标准相应的商务技术资料</w:t>
            </w:r>
            <w:r>
              <w:rPr>
                <w:rFonts w:hint="eastAsia" w:ascii="仿宋_GB2312" w:hAnsi="仿宋" w:eastAsia="仿宋_GB2312" w:cs="仿宋_GB2312"/>
              </w:rPr>
              <w:t>（如需）</w:t>
            </w:r>
            <w:r>
              <w:rPr>
                <w:rFonts w:ascii="仿宋_GB2312" w:hAnsi="仿宋" w:eastAsia="仿宋_GB2312" w:cs="仿宋_GB2312"/>
              </w:rPr>
              <w:t>；</w:t>
            </w:r>
          </w:p>
          <w:p>
            <w:pPr>
              <w:pStyle w:val="277"/>
              <w:numPr>
                <w:ilvl w:val="0"/>
                <w:numId w:val="4"/>
              </w:numPr>
              <w:snapToGrid w:val="0"/>
              <w:ind w:firstLineChars="0"/>
              <w:rPr>
                <w:rFonts w:ascii="仿宋_GB2312" w:hAnsi="仿宋" w:eastAsia="仿宋_GB2312" w:cs="仿宋_GB2312"/>
                <w:lang w:val="zh-CN"/>
              </w:rPr>
            </w:pPr>
            <w:r>
              <w:rPr>
                <w:rFonts w:ascii="仿宋_GB2312" w:hAnsi="仿宋" w:eastAsia="仿宋_GB2312" w:cs="仿宋_GB2312"/>
              </w:rPr>
              <w:t>商务技术偏离表；</w:t>
            </w:r>
          </w:p>
          <w:p>
            <w:pPr>
              <w:pStyle w:val="277"/>
              <w:numPr>
                <w:ilvl w:val="0"/>
                <w:numId w:val="4"/>
              </w:numPr>
              <w:snapToGrid w:val="0"/>
              <w:ind w:firstLineChars="0"/>
              <w:rPr>
                <w:rFonts w:ascii="仿宋_GB2312" w:hAnsi="仿宋" w:eastAsia="仿宋_GB2312" w:cs="仿宋_GB2312"/>
                <w:lang w:val="zh-CN"/>
              </w:rPr>
            </w:pPr>
            <w:r>
              <w:rPr>
                <w:rFonts w:hint="eastAsia" w:ascii="仿宋_GB2312" w:hAnsi="仿宋" w:eastAsia="仿宋_GB2312" w:cs="仿宋_GB2312"/>
                <w:lang w:val="zh-CN"/>
              </w:rPr>
              <w:t>政府采购供应商廉洁自律承诺书。</w:t>
            </w:r>
          </w:p>
          <w:p>
            <w:pPr>
              <w:spacing w:line="360" w:lineRule="auto"/>
              <w:rPr>
                <w:lang w:val="zh-CN"/>
              </w:rPr>
            </w:pPr>
            <w:r>
              <w:rPr>
                <w:rFonts w:hint="eastAsia" w:ascii="仿宋_GB2312" w:hAnsi="仿宋" w:eastAsia="仿宋_GB2312"/>
                <w:b/>
                <w:kern w:val="0"/>
                <w:sz w:val="24"/>
                <w:lang w:val="zh-CN"/>
              </w:rPr>
              <w:t>投标文件项目不齐全或内容虚假的，将视为无效投标。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0" w:hRule="atLeast"/>
          <w:tblHeader/>
          <w:jc w:val="center"/>
        </w:trPr>
        <w:tc>
          <w:tcPr>
            <w:tcW w:w="698" w:type="dxa"/>
            <w:tcBorders>
              <w:top w:val="single" w:color="auto" w:sz="4" w:space="0"/>
              <w:left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6</w:t>
            </w:r>
          </w:p>
        </w:tc>
        <w:tc>
          <w:tcPr>
            <w:tcW w:w="1760" w:type="dxa"/>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投标人应当提供的报价文件</w:t>
            </w:r>
          </w:p>
        </w:tc>
        <w:tc>
          <w:tcPr>
            <w:tcW w:w="7125" w:type="dxa"/>
            <w:tcBorders>
              <w:top w:val="single" w:color="000000" w:sz="8" w:space="0"/>
              <w:left w:val="single" w:color="000000" w:sz="2" w:space="0"/>
              <w:right w:val="single" w:color="000000" w:sz="8" w:space="0"/>
            </w:tcBorders>
            <w:vAlign w:val="center"/>
          </w:tcPr>
          <w:p>
            <w:pPr>
              <w:pStyle w:val="277"/>
              <w:numPr>
                <w:ilvl w:val="0"/>
                <w:numId w:val="5"/>
              </w:numPr>
              <w:snapToGrid w:val="0"/>
              <w:ind w:firstLineChars="0"/>
              <w:rPr>
                <w:rFonts w:ascii="仿宋_GB2312" w:hAnsi="仿宋" w:eastAsia="仿宋_GB2312" w:cs="仿宋_GB2312"/>
              </w:rPr>
            </w:pPr>
            <w:r>
              <w:rPr>
                <w:rFonts w:ascii="仿宋_GB2312" w:hAnsi="仿宋" w:eastAsia="仿宋_GB2312" w:cs="仿宋_GB2312"/>
              </w:rPr>
              <w:t>开标一览表（报价表）。</w:t>
            </w:r>
          </w:p>
          <w:p>
            <w:pPr>
              <w:spacing w:line="360" w:lineRule="auto"/>
              <w:rPr>
                <w:rFonts w:ascii="仿宋_GB2312" w:hAnsi="仿宋" w:eastAsia="仿宋_GB2312"/>
                <w:b/>
                <w:sz w:val="24"/>
              </w:rPr>
            </w:pPr>
            <w:r>
              <w:rPr>
                <w:rFonts w:hint="eastAsia" w:ascii="仿宋_GB2312" w:hAnsi="仿宋" w:eastAsia="仿宋_GB2312"/>
                <w:b/>
                <w:sz w:val="24"/>
              </w:rPr>
              <w:t>投标文件含有采购人不能接受的附加条件的，</w:t>
            </w:r>
            <w:r>
              <w:rPr>
                <w:rFonts w:hint="eastAsia" w:ascii="仿宋_GB2312" w:hAnsi="仿宋" w:eastAsia="仿宋_GB2312"/>
                <w:b/>
                <w:kern w:val="0"/>
                <w:sz w:val="24"/>
                <w:lang w:val="zh-CN"/>
              </w:rPr>
              <w:t>将视为无效投标。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7</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55" w:hRule="atLeast"/>
          <w:tblHeader/>
          <w:jc w:val="center"/>
        </w:trPr>
        <w:tc>
          <w:tcPr>
            <w:tcW w:w="69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8</w:t>
            </w:r>
          </w:p>
        </w:tc>
        <w:tc>
          <w:tcPr>
            <w:tcW w:w="1760"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样品提供</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639946486"/>
              </w:sdtPr>
              <w:sdtEndPr>
                <w:rPr>
                  <w:rFonts w:hint="eastAsia" w:ascii="仿宋_GB2312" w:hAnsi="仿宋" w:eastAsia="仿宋_GB2312" w:cs="Times New Roman"/>
                  <w:kern w:val="0"/>
                  <w:sz w:val="24"/>
                </w:rPr>
              </w:sdtEndPr>
              <w:sdtContent>
                <w:r>
                  <w:rPr>
                    <w:rFonts w:hint="eastAsia" w:ascii="仿宋_GB2312" w:hAnsi="仿宋" w:eastAsia="仿宋_GB2312" w:cs="Arial"/>
                    <w:kern w:val="0"/>
                    <w:sz w:val="24"/>
                  </w:rPr>
                  <w:t xml:space="preserve"> </w:t>
                </w:r>
                <w:sdt>
                  <w:sdtPr>
                    <w:rPr>
                      <w:rFonts w:hint="eastAsia" w:ascii="仿宋_GB2312" w:hAnsi="仿宋" w:eastAsia="仿宋_GB2312" w:cs="Arial"/>
                      <w:kern w:val="0"/>
                      <w:sz w:val="24"/>
                    </w:rPr>
                    <w:id w:val="805436019"/>
                  </w:sdtPr>
                  <w:sdtEndPr>
                    <w:rPr>
                      <w:rFonts w:hint="eastAsia" w:ascii="仿宋_GB2312" w:hAnsi="仿宋" w:eastAsia="仿宋_GB2312" w:cs="Times New Roman"/>
                      <w:kern w:val="0"/>
                      <w:sz w:val="24"/>
                    </w:rPr>
                  </w:sdtEndPr>
                  <w:sdtContent>
                    <w:r>
                      <w:rPr>
                        <w:rFonts w:ascii="MS Gothic" w:hAnsi="MS Gothic" w:eastAsia="MS Gothic" w:cs="Arial"/>
                        <w:kern w:val="0"/>
                        <w:sz w:val="24"/>
                      </w:rPr>
                      <w:sym w:font="Wingdings" w:char="F0FE"/>
                    </w:r>
                  </w:sdtContent>
                </w:sdt>
              </w:sdtContent>
            </w:sdt>
            <w:r>
              <w:rPr>
                <w:rFonts w:ascii="仿宋_GB2312" w:hAnsi="仿宋" w:eastAsia="仿宋_GB2312"/>
                <w:kern w:val="0"/>
                <w:sz w:val="24"/>
              </w:rPr>
              <w:t xml:space="preserve"> A</w:t>
            </w:r>
            <w:r>
              <w:rPr>
                <w:rFonts w:hint="eastAsia" w:ascii="仿宋_GB2312" w:hAnsi="仿宋" w:eastAsia="仿宋_GB2312"/>
                <w:kern w:val="0"/>
                <w:sz w:val="24"/>
              </w:rPr>
              <w:t>不要求提供</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1026831988"/>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w:t>
            </w:r>
            <w:r>
              <w:rPr>
                <w:rFonts w:hint="eastAsia" w:ascii="仿宋_GB2312" w:hAnsi="仿宋" w:eastAsia="仿宋_GB2312"/>
                <w:kern w:val="0"/>
                <w:sz w:val="24"/>
              </w:rPr>
              <w:t>要求提供</w:t>
            </w:r>
            <w:r>
              <w:rPr>
                <w:rFonts w:ascii="仿宋_GB2312" w:hAnsi="仿宋" w:eastAsia="仿宋_GB2312"/>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7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9</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w:t>
            </w:r>
            <w:r>
              <w:rPr>
                <w:rFonts w:ascii="仿宋_GB2312" w:hAnsi="仿宋" w:eastAsia="仿宋_GB2312"/>
                <w:kern w:val="0"/>
                <w:sz w:val="24"/>
              </w:rPr>
              <w:t>方案讲解演示</w:t>
            </w:r>
            <w:r>
              <w:rPr>
                <w:rFonts w:hint="eastAsia" w:ascii="仿宋_GB2312" w:hAnsi="仿宋" w:eastAsia="仿宋_GB2312"/>
                <w:kern w:val="0"/>
                <w:sz w:val="24"/>
              </w:rPr>
              <w:t>采用U盘或光盘演示。投标人须通过现场或邮寄方式递交此项目演示视频存储介质，请各投标人在邮寄过程中自行保护好隐私，并确保在投标截止时间前寄到收件人处。</w:t>
            </w:r>
            <w:r>
              <w:rPr>
                <w:rFonts w:ascii="仿宋_GB2312" w:hAnsi="仿宋" w:eastAsia="仿宋_GB2312"/>
                <w:kern w:val="0"/>
                <w:sz w:val="24"/>
              </w:rPr>
              <w:t>每个投标人</w:t>
            </w:r>
            <w:r>
              <w:rPr>
                <w:rFonts w:hint="eastAsia" w:ascii="仿宋_GB2312" w:hAnsi="仿宋" w:eastAsia="仿宋_GB2312"/>
                <w:kern w:val="0"/>
                <w:sz w:val="24"/>
              </w:rPr>
              <w:t>演示</w:t>
            </w:r>
            <w:r>
              <w:rPr>
                <w:rFonts w:ascii="仿宋_GB2312" w:hAnsi="仿宋" w:eastAsia="仿宋_GB2312"/>
                <w:kern w:val="0"/>
                <w:sz w:val="24"/>
              </w:rPr>
              <w:t>时间不超过20分钟。</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color w:val="FF0000"/>
                <w:sz w:val="24"/>
              </w:rPr>
            </w:pPr>
            <w:r>
              <w:rPr>
                <w:rFonts w:hint="eastAsia" w:ascii="仿宋_GB2312" w:hAnsi="仿宋" w:eastAsia="仿宋_GB2312" w:cs="仿宋_GB2312"/>
                <w:sz w:val="24"/>
              </w:rPr>
              <w:t>10</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保证金收取</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kern w:val="0"/>
                <w:sz w:val="24"/>
              </w:rPr>
            </w:pPr>
            <w:r>
              <w:rPr>
                <w:rFonts w:hint="eastAsia" w:ascii="仿宋_GB2312" w:hAnsi="仿宋" w:eastAsia="仿宋_GB2312"/>
                <w:kern w:val="0"/>
                <w:sz w:val="24"/>
              </w:rPr>
              <w:t>本项目不收取投标保证金。</w:t>
            </w:r>
          </w:p>
          <w:p>
            <w:pPr>
              <w:snapToGrid w:val="0"/>
              <w:spacing w:line="360" w:lineRule="auto"/>
            </w:pPr>
            <w:r>
              <w:rPr>
                <w:rFonts w:hint="eastAsia" w:ascii="仿宋_GB2312" w:hAnsi="仿宋" w:eastAsia="仿宋_GB2312"/>
                <w:kern w:val="0"/>
                <w:sz w:val="24"/>
              </w:rPr>
              <w:t>签订合同时，中标供应商须向采购人缴纳中标价1%的履约保证金。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11</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采购进口产品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480" w:firstLineChars="200"/>
            </w:pPr>
            <w:r>
              <w:rPr>
                <w:rFonts w:hint="eastAsia" w:ascii="仿宋_GB2312" w:hAnsi="仿宋" w:eastAsia="仿宋_GB2312" w:cs="Arial"/>
                <w:kern w:val="0"/>
                <w:sz w:val="24"/>
              </w:rPr>
              <w:t>除招标文件中（采购需求）有特别说明，一般不允许采购进口产品。如果招标文件允许采购进口产品（详见采购需求），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12</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349594683"/>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cs="Arial"/>
                <w:kern w:val="0"/>
                <w:sz w:val="24"/>
              </w:rPr>
              <w:t xml:space="preserve"> A</w:t>
            </w:r>
            <w:r>
              <w:rPr>
                <w:rFonts w:hint="eastAsia" w:ascii="仿宋_GB2312" w:hAnsi="仿宋" w:eastAsia="仿宋_GB2312"/>
                <w:sz w:val="24"/>
              </w:rPr>
              <w:t>货物类，单一产品或</w:t>
            </w:r>
            <w:r>
              <w:rPr>
                <w:rFonts w:hint="eastAsia" w:ascii="仿宋_GB2312" w:hAnsi="仿宋" w:eastAsia="仿宋_GB2312"/>
                <w:kern w:val="0"/>
                <w:sz w:val="24"/>
              </w:rPr>
              <w:t>核心产品为：</w:t>
            </w:r>
            <w:r>
              <w:rPr>
                <w:rFonts w:hint="eastAsia" w:ascii="仿宋_GB2312" w:hAnsi="仿宋" w:eastAsia="仿宋_GB2312"/>
                <w:sz w:val="24"/>
                <w:u w:val="single"/>
              </w:rPr>
              <w:t xml:space="preserve"> </w:t>
            </w:r>
            <w:r>
              <w:rPr>
                <w:rFonts w:hint="eastAsia" w:eastAsia="仿宋_GB2312" w:asciiTheme="minorHAnsi" w:hAnsiTheme="minorHAnsi"/>
                <w:sz w:val="24"/>
                <w:u w:val="single"/>
              </w:rPr>
              <w:t>/</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349594685"/>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 xml:space="preserve"> B</w:t>
            </w:r>
            <w:r>
              <w:rPr>
                <w:rFonts w:hint="eastAsia" w:ascii="仿宋_GB2312" w:hAnsi="仿宋" w:eastAsia="仿宋_GB2312"/>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7"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cs="仿宋_GB2312"/>
                <w:sz w:val="24"/>
              </w:rPr>
              <w:t>13</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中小企业划分标准所属行业</w:t>
            </w:r>
          </w:p>
        </w:tc>
        <w:tc>
          <w:tcPr>
            <w:tcW w:w="712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属于</w:t>
            </w:r>
            <w:r>
              <w:rPr>
                <w:rFonts w:hint="eastAsia" w:ascii="仿宋_GB2312" w:hAnsi="仿宋" w:eastAsia="仿宋_GB2312" w:cs="Arial"/>
                <w:kern w:val="0"/>
                <w:sz w:val="24"/>
                <w:u w:val="single"/>
              </w:rPr>
              <w:t xml:space="preserve"> 其他未列明 </w:t>
            </w:r>
            <w:r>
              <w:rPr>
                <w:rFonts w:hint="eastAsia" w:ascii="仿宋_GB2312" w:hAnsi="仿宋" w:eastAsia="仿宋_GB2312" w:cs="Arial"/>
                <w:kern w:val="0"/>
                <w:sz w:val="24"/>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201" w:hRule="atLeast"/>
          <w:tblHeader/>
          <w:jc w:val="center"/>
        </w:trPr>
        <w:tc>
          <w:tcPr>
            <w:tcW w:w="698" w:type="dxa"/>
            <w:tcBorders>
              <w:top w:val="single" w:color="auto" w:sz="4" w:space="0"/>
              <w:left w:val="single" w:color="000000" w:sz="8"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4</w:t>
            </w:r>
          </w:p>
        </w:tc>
        <w:tc>
          <w:tcPr>
            <w:tcW w:w="1760"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w:t>
            </w:r>
          </w:p>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融资</w:t>
            </w:r>
          </w:p>
        </w:tc>
        <w:tc>
          <w:tcPr>
            <w:tcW w:w="7125"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napToGrid w:val="0"/>
                <w:kern w:val="28"/>
                <w:sz w:val="24"/>
              </w:rPr>
              <w:t xml:space="preserve">    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5</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备份投标文件送达地点</w:t>
            </w:r>
            <w:r>
              <w:rPr>
                <w:rFonts w:ascii="仿宋_GB2312" w:hAnsi="仿宋" w:eastAsia="仿宋_GB2312" w:cs="仿宋_GB2312"/>
                <w:b/>
                <w:sz w:val="24"/>
              </w:rPr>
              <w:t xml:space="preserve"> </w:t>
            </w:r>
          </w:p>
        </w:tc>
        <w:tc>
          <w:tcPr>
            <w:tcW w:w="712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ascii="仿宋_GB2312" w:hAnsi="仿宋" w:eastAsia="仿宋_GB2312" w:cs="仿宋_GB2312"/>
                <w:b/>
                <w:snapToGrid/>
                <w:sz w:val="24"/>
                <w:szCs w:val="24"/>
              </w:rPr>
            </w:pPr>
            <w:r>
              <w:rPr>
                <w:rFonts w:ascii="仿宋_GB2312" w:hAnsi="仿宋" w:eastAsia="仿宋_GB2312" w:cs="仿宋_GB2312"/>
                <w:b/>
                <w:snapToGrid/>
                <w:sz w:val="24"/>
                <w:szCs w:val="24"/>
              </w:rPr>
              <w:t>诸暨市公共资源交易中心邮箱（</w:t>
            </w:r>
            <w:r>
              <w:fldChar w:fldCharType="begin"/>
            </w:r>
            <w:r>
              <w:instrText xml:space="preserve"> HYPERLINK "mailto:zjztb001@aliyun.com" </w:instrText>
            </w:r>
            <w:r>
              <w:fldChar w:fldCharType="separate"/>
            </w:r>
            <w:r>
              <w:rPr>
                <w:rStyle w:val="76"/>
                <w:rFonts w:ascii="仿宋_GB2312" w:hAnsi="仿宋" w:eastAsia="仿宋_GB2312" w:cs="仿宋_GB2312"/>
                <w:b/>
                <w:kern w:val="2"/>
                <w:sz w:val="24"/>
                <w:szCs w:val="24"/>
              </w:rPr>
              <w:t>zjztb001@aliyun.com</w:t>
            </w:r>
            <w:r>
              <w:rPr>
                <w:rStyle w:val="76"/>
                <w:rFonts w:ascii="仿宋_GB2312" w:hAnsi="仿宋" w:eastAsia="仿宋_GB2312" w:cs="仿宋_GB2312"/>
                <w:b/>
                <w:kern w:val="2"/>
                <w:sz w:val="24"/>
                <w:szCs w:val="24"/>
              </w:rPr>
              <w:fldChar w:fldCharType="end"/>
            </w:r>
            <w:r>
              <w:rPr>
                <w:rFonts w:ascii="仿宋_GB2312" w:hAnsi="仿宋" w:eastAsia="仿宋_GB2312" w:cs="仿宋_GB2312"/>
                <w:b/>
                <w:snapToGrid/>
                <w:sz w:val="24"/>
                <w:szCs w:val="24"/>
              </w:rPr>
              <w:t>）</w:t>
            </w:r>
            <w:r>
              <w:rPr>
                <w:rFonts w:hint="eastAsia" w:ascii="仿宋_GB2312" w:hAnsi="仿宋" w:eastAsia="仿宋_GB2312" w:cs="仿宋_GB2312"/>
                <w:b/>
                <w:snapToGrid/>
                <w:sz w:val="24"/>
                <w:szCs w:val="24"/>
              </w:rPr>
              <w:t>。</w:t>
            </w:r>
          </w:p>
          <w:p>
            <w:pPr>
              <w:pStyle w:val="32"/>
              <w:spacing w:line="360" w:lineRule="auto"/>
              <w:rPr>
                <w:rFonts w:ascii="仿宋_GB2312" w:hAnsi="仿宋" w:eastAsia="仿宋_GB2312"/>
                <w:kern w:val="28"/>
                <w:sz w:val="24"/>
              </w:rPr>
            </w:pPr>
            <w:r>
              <w:rPr>
                <w:rFonts w:hint="eastAsia" w:ascii="仿宋_GB2312" w:hAnsi="仿宋" w:eastAsia="仿宋_GB2312" w:cs="仿宋_GB2312"/>
                <w:b/>
                <w:snapToGrid/>
                <w:sz w:val="24"/>
                <w:szCs w:val="24"/>
              </w:rPr>
              <w:t>注：本邮箱仅接受备份投标文件，其余文件不予受理。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jc w:val="center"/>
        </w:trPr>
        <w:tc>
          <w:tcPr>
            <w:tcW w:w="698"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r>
              <w:rPr>
                <w:rFonts w:hint="eastAsia" w:ascii="仿宋_GB2312" w:hAnsi="仿宋" w:eastAsia="仿宋_GB2312" w:cs="仿宋_GB2312"/>
                <w:sz w:val="24"/>
              </w:rPr>
              <w:t>6</w:t>
            </w:r>
          </w:p>
        </w:tc>
        <w:tc>
          <w:tcPr>
            <w:tcW w:w="1760"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特别说明</w:t>
            </w:r>
          </w:p>
        </w:tc>
        <w:tc>
          <w:tcPr>
            <w:tcW w:w="712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b/>
                <w:bCs/>
              </w:rPr>
              <w:t>……</w:t>
            </w:r>
          </w:p>
        </w:tc>
      </w:tr>
    </w:tbl>
    <w:p/>
    <w:p/>
    <w:p/>
    <w:p/>
    <w:p/>
    <w:p/>
    <w:p/>
    <w:p/>
    <w:p/>
    <w:p/>
    <w:p>
      <w:pPr>
        <w:pStyle w:val="2"/>
        <w:rPr>
          <w:lang w:val="en-US"/>
        </w:rPr>
      </w:pPr>
    </w:p>
    <w:p/>
    <w:p>
      <w:pPr>
        <w:pStyle w:val="2"/>
        <w:ind w:left="0" w:firstLine="0"/>
        <w:rPr>
          <w:lang w:val="en-US"/>
        </w:rPr>
      </w:pPr>
    </w:p>
    <w:p/>
    <w:p>
      <w:pPr>
        <w:pStyle w:val="2"/>
        <w:rPr>
          <w:lang w:val="en-US"/>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_Toc164416483"/>
      <w:bookmarkStart w:id="12" w:name="第三部分"/>
      <w:r>
        <w:rPr>
          <w:rFonts w:hint="eastAsia" w:ascii="仿宋_GB2312" w:hAnsi="仿宋" w:eastAsia="仿宋_GB2312" w:cs="仿宋_GB2312"/>
          <w:b/>
          <w:sz w:val="32"/>
          <w:szCs w:val="20"/>
        </w:rPr>
        <w:t>一、总则</w:t>
      </w:r>
    </w:p>
    <w:p>
      <w:pPr>
        <w:snapToGrid w:val="0"/>
        <w:spacing w:line="360" w:lineRule="auto"/>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“采购代理机构”系指招标公告中载明的本项目的采购代理机构。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_GB2312" w:hAnsi="仿宋" w:eastAsia="仿宋_GB2312"/>
          <w:sz w:val="24"/>
        </w:rPr>
        <w:t>“公章”系指单位法定名称章。</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w:t>
      </w:r>
      <w:sdt>
        <w:sdtPr>
          <w:rPr>
            <w:rFonts w:hint="eastAsia" w:ascii="仿宋_GB2312" w:hAnsi="仿宋" w:eastAsia="仿宋_GB2312"/>
            <w:sz w:val="24"/>
          </w:rPr>
          <w:id w:val="512970236"/>
        </w:sdtPr>
        <w:sdtEndPr>
          <w:rPr>
            <w:rFonts w:hint="eastAsia" w:ascii="仿宋_GB2312" w:hAnsi="仿宋" w:eastAsia="仿宋_GB2312"/>
            <w:sz w:val="24"/>
          </w:rPr>
        </w:sdtEndPr>
        <w:sdtContent>
          <w:sdt>
            <w:sdtPr>
              <w:rPr>
                <w:rFonts w:hint="eastAsia" w:ascii="仿宋_GB2312" w:hAnsi="仿宋" w:eastAsia="仿宋_GB2312" w:cs="Arial"/>
                <w:kern w:val="0"/>
                <w:sz w:val="24"/>
              </w:rPr>
              <w:id w:val="-1828113808"/>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sz w:val="24"/>
          </w:rPr>
          <w:id w:val="404888855"/>
        </w:sdtPr>
        <w:sdtEndPr>
          <w:rPr>
            <w:rFonts w:hint="eastAsia" w:ascii="仿宋_GB2312" w:hAnsi="仿宋" w:eastAsia="仿宋_GB2312"/>
            <w:sz w:val="24"/>
          </w:rPr>
        </w:sdtEndPr>
        <w:sdtContent>
          <w:r>
            <w:rPr>
              <w:rFonts w:ascii="仿宋_GB2312" w:hAnsi="仿宋" w:eastAsia="仿宋_GB2312"/>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rPr>
          <w:rFonts w:ascii="仿宋_GB2312" w:hAnsi="仿宋" w:eastAsia="仿宋_GB2312"/>
          <w:sz w:val="24"/>
        </w:rPr>
      </w:pPr>
      <w:r>
        <w:rPr>
          <w:rFonts w:ascii="仿宋_GB2312" w:hAnsi="仿宋" w:eastAsia="仿宋_GB2312"/>
          <w:b/>
          <w:sz w:val="24"/>
        </w:rPr>
        <w:t>3.</w:t>
      </w:r>
      <w:r>
        <w:rPr>
          <w:rFonts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w:t>
      </w:r>
      <w:r>
        <w:rPr>
          <w:rFonts w:hint="eastAsia" w:ascii="仿宋_GB2312" w:hAnsi="宋体" w:eastAsia="仿宋_GB2312" w:cs="宋体"/>
          <w:kern w:val="0"/>
          <w:sz w:val="24"/>
        </w:rPr>
        <w:t>民法典</w:t>
      </w:r>
      <w:r>
        <w:rPr>
          <w:rFonts w:ascii="仿宋_GB2312" w:hAnsi="宋体" w:eastAsia="仿宋_GB2312" w:cs="宋体"/>
          <w:kern w:val="0"/>
          <w:sz w:val="24"/>
        </w:rPr>
        <w:t>》订立劳动合同的从业人员。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对于未预留份额专门面向中小企业的政府采购货物或服务项目，以及预留份额政府采购货物或服务项目中的非预留部分标项，对小型和微型企业的投标报价给予2</w:t>
      </w:r>
      <w:r>
        <w:rPr>
          <w:rFonts w:ascii="仿宋_GB2312" w:hAnsi="仿宋" w:eastAsia="仿宋_GB2312"/>
          <w:sz w:val="24"/>
        </w:rPr>
        <w:t>0%的扣除，用扣除后的价格参与评审。接受大中型企业与小微企业组成联合体或者允许大中型企业向一家或者多家小微企业分包的</w:t>
      </w:r>
      <w:r>
        <w:rPr>
          <w:rFonts w:hint="eastAsia" w:ascii="仿宋_GB2312" w:hAnsi="仿宋" w:eastAsia="仿宋_GB2312"/>
          <w:sz w:val="24"/>
        </w:rPr>
        <w:t>政府</w:t>
      </w:r>
      <w:r>
        <w:rPr>
          <w:rFonts w:ascii="仿宋_GB2312" w:hAnsi="仿宋" w:eastAsia="仿宋_GB2312"/>
          <w:sz w:val="24"/>
        </w:rPr>
        <w:t>采购</w:t>
      </w:r>
      <w:r>
        <w:rPr>
          <w:rFonts w:hint="eastAsia" w:ascii="仿宋_GB2312" w:hAnsi="仿宋" w:eastAsia="仿宋_GB2312"/>
          <w:sz w:val="24"/>
        </w:rPr>
        <w:t>货物或服务</w:t>
      </w:r>
      <w:r>
        <w:rPr>
          <w:rFonts w:ascii="仿宋_GB2312" w:hAnsi="仿宋" w:eastAsia="仿宋_GB2312"/>
          <w:sz w:val="24"/>
        </w:rPr>
        <w:t>项目，对于联合协议或者分包意向协议约定小微企业的合同份额占到合同总金额30%以上的，对联合体或者大中型企业的报价给予</w:t>
      </w:r>
      <w:r>
        <w:rPr>
          <w:rFonts w:hint="eastAsia" w:ascii="仿宋_GB2312" w:hAnsi="仿宋" w:eastAsia="仿宋_GB2312"/>
          <w:sz w:val="24"/>
        </w:rPr>
        <w:t>6</w:t>
      </w:r>
      <w:r>
        <w:rPr>
          <w:rFonts w:ascii="仿宋_GB2312" w:hAnsi="仿宋" w:eastAsia="仿宋_GB2312"/>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或未按照要求提供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3.3.</w:t>
      </w:r>
      <w:r>
        <w:rPr>
          <w:rFonts w:hint="eastAsia" w:ascii="仿宋_GB2312" w:hAnsi="仿宋" w:eastAsia="仿宋_GB2312"/>
          <w:sz w:val="24"/>
        </w:rPr>
        <w:t>8采购人严格贯彻落实《保障中小企业款项支付条例》、《浙江省财政厅关于进一步发挥政府采购政策功能全力推动经济稳进提质的通知》，按规定向中小企业支付款项。</w:t>
      </w:r>
    </w:p>
    <w:p>
      <w:pPr>
        <w:spacing w:line="360" w:lineRule="auto"/>
        <w:ind w:firstLine="480" w:firstLineChars="200"/>
        <w:rPr>
          <w:rFonts w:ascii="仿宋_GB2312" w:hAnsi="仿宋" w:eastAsia="仿宋_GB2312"/>
          <w:sz w:val="24"/>
        </w:rPr>
      </w:pPr>
      <w:r>
        <w:rPr>
          <w:rFonts w:ascii="仿宋_GB2312" w:hAnsi="仿宋" w:eastAsia="仿宋_GB2312"/>
          <w:sz w:val="24"/>
        </w:rPr>
        <w:t>3.3.9中小企业信用融资：</w:t>
      </w:r>
      <w:r>
        <w:rPr>
          <w:rFonts w:hint="eastAsia" w:ascii="仿宋_GB2312" w:hAnsi="仿宋" w:eastAsia="仿宋_GB2312"/>
          <w:sz w:val="24"/>
        </w:rPr>
        <w:t>供应商中标后可在政府采购云平台申请政采贷：操作路径：登录政府采购云平台-金融服务中心-【融资服务】。</w:t>
      </w:r>
    </w:p>
    <w:p>
      <w:pPr>
        <w:spacing w:line="360" w:lineRule="auto"/>
        <w:ind w:firstLine="480" w:firstLineChars="2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sz w:val="24"/>
        </w:rPr>
      </w:pPr>
      <w:r>
        <w:rPr>
          <w:rFonts w:ascii="仿宋_GB2312" w:hAnsi="仿宋" w:eastAsia="仿宋_GB2312"/>
          <w:b/>
          <w:sz w:val="24"/>
        </w:rPr>
        <w:t xml:space="preserve">4. </w:t>
      </w:r>
      <w:r>
        <w:rPr>
          <w:rFonts w:hint="eastAsia" w:ascii="仿宋_GB2312" w:hAnsi="仿宋" w:eastAsia="仿宋_GB2312"/>
          <w:b/>
          <w:sz w:val="24"/>
        </w:rPr>
        <w:t>询问、质疑、投诉</w:t>
      </w:r>
    </w:p>
    <w:p>
      <w:pPr>
        <w:spacing w:line="360" w:lineRule="auto"/>
        <w:ind w:firstLine="480" w:firstLineChars="200"/>
        <w:rPr>
          <w:rFonts w:ascii="仿宋_GB2312" w:hAnsi="仿宋" w:eastAsia="仿宋_GB2312"/>
          <w:b/>
          <w:sz w:val="24"/>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w:t>
      </w:r>
      <w:r>
        <w:rPr>
          <w:rFonts w:hint="eastAsia" w:ascii="仿宋_GB2312" w:hAnsi="仿宋" w:eastAsia="仿宋_GB2312"/>
          <w:sz w:val="24"/>
        </w:rPr>
        <w:t>7</w:t>
      </w:r>
      <w:r>
        <w:rPr>
          <w:rFonts w:ascii="仿宋_GB2312" w:hAnsi="仿宋" w:eastAsia="仿宋_GB2312"/>
          <w:sz w:val="24"/>
        </w:rPr>
        <w:t>个工作日内，以书面形式向采购人或者采购代理机构提出质疑，否则，采购人或者采购代理机构不予受理</w:t>
      </w:r>
      <w:r>
        <w:rPr>
          <w:rFonts w:hint="eastAsia" w:ascii="仿宋_GB2312" w:hAnsi="仿宋" w:eastAsia="仿宋_GB2312"/>
          <w:sz w:val="24"/>
        </w:rPr>
        <w:t>：</w:t>
      </w:r>
    </w:p>
    <w:p>
      <w:pPr>
        <w:pStyle w:val="5"/>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2"/>
        <w:spacing w:line="360" w:lineRule="auto"/>
        <w:ind w:firstLine="482" w:firstLineChars="200"/>
        <w:rPr>
          <w:rFonts w:ascii="仿宋_GB2312" w:hAnsi="仿宋" w:eastAsia="仿宋_GB2312"/>
          <w:b/>
          <w:sz w:val="24"/>
        </w:rPr>
      </w:pPr>
      <w:r>
        <w:rPr>
          <w:rFonts w:ascii="仿宋_GB2312" w:hAnsi="仿宋" w:eastAsia="仿宋_GB2312"/>
          <w:b/>
          <w:sz w:val="24"/>
        </w:rPr>
        <w:t>4.2.2.</w:t>
      </w:r>
      <w:r>
        <w:rPr>
          <w:rFonts w:hint="eastAsia" w:ascii="仿宋_GB2312" w:hAnsi="仿宋" w:eastAsia="仿宋_GB2312"/>
          <w:b/>
          <w:sz w:val="24"/>
        </w:rPr>
        <w:t>4针对采购文件中特定资格条件、采购需求、评分办法提出的质疑，应向采购人提出；对采购文件中其他内容、采购过程、采购结果提出的质疑，应向采购代理机构提出。</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2"/>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2"/>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3.6</w:t>
      </w:r>
      <w:r>
        <w:rPr>
          <w:rFonts w:hint="eastAsia" w:ascii="仿宋_GB2312" w:hAnsi="仿宋" w:eastAsia="仿宋_GB2312"/>
          <w:sz w:val="24"/>
        </w:rPr>
        <w:t>提出质疑的日期。</w:t>
      </w:r>
    </w:p>
    <w:p>
      <w:pPr>
        <w:pStyle w:val="32"/>
        <w:spacing w:line="360" w:lineRule="auto"/>
        <w:ind w:firstLine="480" w:firstLineChars="200"/>
        <w:rPr>
          <w:rFonts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质疑函范本及制作说明详见《质疑函范本》（附件2）</w:t>
      </w:r>
      <w:r>
        <w:rPr>
          <w:rFonts w:ascii="仿宋_GB2312" w:hAnsi="仿宋" w:eastAsia="仿宋_GB2312"/>
          <w:sz w:val="24"/>
        </w:rPr>
        <w:t>。</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4.2.4</w:t>
      </w:r>
      <w:r>
        <w:rPr>
          <w:rFonts w:hint="eastAsia" w:ascii="仿宋_GB2312" w:hAnsi="仿宋" w:eastAsia="仿宋_GB2312"/>
          <w:sz w:val="24"/>
        </w:rPr>
        <w:t>采购人或者采购代理机构应当在收到供应商的书面质疑后七个工作日内作出答复，并以书面形式通知质疑供应商和其他与质疑处理结果有利害关系的政府采购当事人，但答复的内容不得涉及商业秘密。采购人或者采购代理机构在质疑回复后</w:t>
      </w:r>
      <w:r>
        <w:rPr>
          <w:rFonts w:ascii="仿宋_GB2312" w:hAnsi="仿宋" w:eastAsia="仿宋_GB2312"/>
          <w:sz w:val="24"/>
        </w:rPr>
        <w:t>5个工作日内，在浙江政府采购网的“其他公告”栏目公开质疑答复，答复内容应当完整。质疑</w:t>
      </w:r>
      <w:r>
        <w:rPr>
          <w:rFonts w:hint="eastAsia" w:ascii="仿宋_GB2312" w:hAnsi="仿宋" w:eastAsia="仿宋_GB2312"/>
          <w:sz w:val="24"/>
        </w:rPr>
        <w:t>函作为附件上传。</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4.2.5询问或者质疑事项可能影响采购结果的，采购人应当暂停签订合同，已经签订合同的，应当中止履行合同。</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w:t>
      </w:r>
      <w:r>
        <w:rPr>
          <w:rFonts w:hint="eastAsia" w:ascii="仿宋_GB2312" w:hAnsi="仿宋" w:eastAsia="仿宋_GB2312"/>
          <w:sz w:val="24"/>
        </w:rPr>
        <w:t>质疑</w:t>
      </w:r>
      <w:r>
        <w:rPr>
          <w:rFonts w:ascii="仿宋_GB2312" w:hAnsi="仿宋" w:eastAsia="仿宋_GB2312"/>
          <w:sz w:val="24"/>
        </w:rPr>
        <w:t>供应商投诉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4.3.1质疑供应商对采购人、采购代理机构的答复不满意或者采购人、采购代理机构未在规定的时间内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作出答复的，可以在答复期满后十五个工作日内向同级政府采购监督管理部门提出投诉。</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4.3.2</w:t>
      </w:r>
      <w:r>
        <w:rPr>
          <w:rFonts w:hint="eastAsia" w:ascii="仿宋_GB2312" w:hAnsi="仿宋" w:eastAsia="仿宋_GB2312"/>
          <w:sz w:val="24"/>
        </w:rPr>
        <w:t>供应商投诉的事项不得超出已质疑事项的范围，基于质疑答复内容提出的投诉事项除外。</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4.3.3供应</w:t>
      </w:r>
      <w:r>
        <w:rPr>
          <w:rFonts w:hint="eastAsia" w:ascii="仿宋_GB2312" w:hAnsi="仿宋" w:eastAsia="仿宋_GB2312"/>
          <w:sz w:val="24"/>
        </w:rPr>
        <w:t>商投诉应当有明确的请求和必要的证明材料。</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 xml:space="preserve">4.3.5 </w:t>
      </w:r>
      <w:r>
        <w:rPr>
          <w:rFonts w:hint="eastAsia" w:ascii="仿宋_GB2312" w:hAnsi="仿宋" w:eastAsia="仿宋_GB2312"/>
          <w:sz w:val="24"/>
        </w:rPr>
        <w:t>以联合体形式参加政府采购活动的，其投诉应当由组成联合体的所有供应商共同提出。投诉书范本及制作说明详见附件</w:t>
      </w:r>
      <w:r>
        <w:rPr>
          <w:rFonts w:ascii="仿宋_GB2312" w:hAnsi="仿宋" w:eastAsia="仿宋_GB2312"/>
          <w:sz w:val="24"/>
        </w:rPr>
        <w:t>3。</w:t>
      </w:r>
    </w:p>
    <w:p>
      <w:pPr>
        <w:pStyle w:val="32"/>
        <w:spacing w:line="360" w:lineRule="auto"/>
        <w:ind w:firstLine="480" w:firstLineChars="200"/>
        <w:rPr>
          <w:rFonts w:ascii="仿宋_GB2312" w:hAnsi="仿宋" w:eastAsia="仿宋_GB2312"/>
          <w:sz w:val="24"/>
        </w:rPr>
      </w:pPr>
      <w:r>
        <w:rPr>
          <w:rFonts w:ascii="仿宋_GB2312" w:hAnsi="仿宋" w:eastAsia="仿宋_GB2312"/>
          <w:sz w:val="24"/>
        </w:rPr>
        <w:t>4.4</w:t>
      </w:r>
      <w:r>
        <w:rPr>
          <w:rFonts w:hint="eastAsia" w:ascii="仿宋_GB2312" w:hAnsi="仿宋" w:eastAsia="仿宋_GB2312"/>
          <w:sz w:val="24"/>
        </w:rPr>
        <w:t>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w:t>
      </w:r>
      <w:r>
        <w:rPr>
          <w:rFonts w:hint="eastAsia" w:ascii="仿宋_GB2312" w:hAnsi="仿宋" w:eastAsia="仿宋_GB2312" w:cs="仿宋_GB2312"/>
          <w:b/>
          <w:sz w:val="32"/>
          <w:szCs w:val="20"/>
        </w:rPr>
        <w:t>补充、</w:t>
      </w:r>
      <w:r>
        <w:rPr>
          <w:rFonts w:ascii="仿宋_GB2312" w:hAnsi="仿宋" w:eastAsia="仿宋_GB2312" w:cs="仿宋_GB2312"/>
          <w:b/>
          <w:sz w:val="32"/>
          <w:szCs w:val="20"/>
        </w:rPr>
        <w:t>修改</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2"/>
        <w:tabs>
          <w:tab w:val="left" w:pos="840"/>
        </w:tabs>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澄清、补充、修改的内容为招标文件的组成部分</w:t>
      </w:r>
      <w:r>
        <w:rPr>
          <w:rFonts w:hint="eastAsia" w:ascii="仿宋_GB2312" w:hAnsi="仿宋" w:eastAsia="仿宋_GB2312" w:cs="仿宋_GB2312"/>
          <w:sz w:val="24"/>
        </w:rPr>
        <w:t>。</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招标文件的澄清、补充、修改</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6.1已获取招标文件的潜在投标人，若有问题需要澄清，应于投标截止时间前，以书面形式向采购代理机构提出。</w:t>
      </w:r>
    </w:p>
    <w:p>
      <w:pPr>
        <w:pStyle w:val="15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采购代理机构对招标文件进行澄清、补充、修改的，将以网上发布补充（更正）公告的形式通知所有潜在投标人，同时视情况延长投标截止时间和开标时间。该澄清、补充、修改的内容为招标文件的组成部分。</w:t>
      </w:r>
    </w:p>
    <w:p>
      <w:pPr>
        <w:pStyle w:val="159"/>
        <w:snapToGrid w:val="0"/>
        <w:spacing w:before="0"/>
        <w:ind w:firstLine="480"/>
        <w:rPr>
          <w:rFonts w:ascii="仿宋_GB2312" w:hAnsi="仿宋" w:eastAsia="仿宋_GB2312"/>
        </w:rPr>
      </w:pPr>
      <w:r>
        <w:rPr>
          <w:rFonts w:hint="eastAsia" w:ascii="仿宋_GB2312" w:hAnsi="仿宋" w:eastAsia="仿宋_GB2312"/>
        </w:rPr>
        <w:t>6.3当招标文件与澄清、补充、修改就同一内容表述不一致的以最后发出的文件或公告为准。</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2"/>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2"/>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5"/>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2" w:firstLineChars="200"/>
        <w:rPr>
          <w:rFonts w:ascii="仿宋_GB2312" w:hAnsi="仿宋" w:eastAsia="仿宋_GB2312" w:cs="仿宋_GB2312"/>
          <w:b/>
          <w:bCs/>
          <w:sz w:val="24"/>
        </w:rPr>
      </w:pPr>
      <w:r>
        <w:rPr>
          <w:rFonts w:ascii="仿宋_GB2312" w:hAnsi="仿宋" w:eastAsia="仿宋_GB2312" w:cs="仿宋_GB2312"/>
          <w:b/>
          <w:bCs/>
          <w:sz w:val="24"/>
        </w:rPr>
        <w:t>11.1</w:t>
      </w:r>
      <w:r>
        <w:rPr>
          <w:rFonts w:hint="eastAsia" w:ascii="仿宋_GB2312" w:hAnsi="仿宋" w:eastAsia="仿宋_GB2312" w:cs="仿宋_GB2312"/>
          <w:b/>
          <w:bCs/>
          <w:sz w:val="24"/>
        </w:rPr>
        <w:t>资格文件：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11.1.2落实政府采购政策需满足的资格要求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11.1.3本项目的特定资格要求</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2" w:firstLineChars="200"/>
        <w:rPr>
          <w:rFonts w:ascii="仿宋_GB2312" w:hAnsi="仿宋" w:eastAsia="仿宋_GB2312" w:cs="仿宋_GB2312"/>
          <w:b/>
          <w:bCs/>
          <w:sz w:val="24"/>
          <w:lang w:val="zh-CN"/>
        </w:rPr>
      </w:pPr>
      <w:r>
        <w:rPr>
          <w:rFonts w:ascii="仿宋_GB2312" w:hAnsi="仿宋" w:eastAsia="仿宋_GB2312" w:cs="仿宋_GB2312"/>
          <w:b/>
          <w:bCs/>
          <w:sz w:val="24"/>
          <w:lang w:val="zh-CN"/>
        </w:rPr>
        <w:t>11.</w:t>
      </w:r>
      <w:r>
        <w:rPr>
          <w:rFonts w:ascii="仿宋_GB2312" w:hAnsi="仿宋" w:eastAsia="仿宋_GB2312" w:cs="仿宋_GB2312"/>
          <w:b/>
          <w:bCs/>
          <w:sz w:val="24"/>
        </w:rPr>
        <w:t>2</w:t>
      </w:r>
      <w:r>
        <w:rPr>
          <w:rFonts w:ascii="仿宋_GB2312" w:hAnsi="仿宋" w:eastAsia="仿宋_GB2312" w:cs="仿宋_GB2312"/>
          <w:b/>
          <w:bCs/>
          <w:sz w:val="24"/>
          <w:lang w:val="zh-CN"/>
        </w:rPr>
        <w:t xml:space="preserve">  </w:t>
      </w:r>
      <w:r>
        <w:rPr>
          <w:rFonts w:hint="eastAsia" w:ascii="仿宋_GB2312" w:hAnsi="仿宋" w:eastAsia="仿宋_GB2312" w:cs="仿宋_GB2312"/>
          <w:b/>
          <w:bCs/>
          <w:sz w:val="24"/>
        </w:rPr>
        <w:t>商务技术</w:t>
      </w:r>
      <w:r>
        <w:rPr>
          <w:rFonts w:hint="eastAsia" w:ascii="仿宋_GB2312" w:hAnsi="仿宋" w:eastAsia="仿宋_GB2312" w:cs="仿宋_GB2312"/>
          <w:b/>
          <w:bCs/>
          <w:sz w:val="24"/>
          <w:lang w:val="zh-CN"/>
        </w:rPr>
        <w:t>文件：</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11.2.2授权委托书或法定代表人（单位负责人、自然人本人）身份证明；</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11.2.3联合协议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11.2.4分包意向协议</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11.2.5符合性审查资料；</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11.2.6评标标准相应的商务技术资料</w:t>
      </w:r>
      <w:r>
        <w:rPr>
          <w:rFonts w:hint="eastAsia" w:ascii="仿宋_GB2312" w:hAnsi="仿宋" w:eastAsia="仿宋_GB2312" w:cs="仿宋_GB2312"/>
          <w:sz w:val="24"/>
        </w:rPr>
        <w:t>（如需）</w:t>
      </w:r>
      <w:r>
        <w:rPr>
          <w:rFonts w:ascii="仿宋_GB2312" w:hAnsi="仿宋" w:eastAsia="仿宋_GB2312" w:cs="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11.2.7商务技术偏离表；</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firstLine="482" w:firstLineChars="200"/>
        <w:rPr>
          <w:rFonts w:ascii="仿宋_GB2312" w:hAnsi="仿宋" w:eastAsia="仿宋_GB2312" w:cs="仿宋_GB2312"/>
          <w:b/>
          <w:bCs/>
          <w:sz w:val="24"/>
          <w:u w:val="single"/>
          <w:lang w:val="zh-CN"/>
        </w:rPr>
      </w:pPr>
      <w:r>
        <w:rPr>
          <w:rFonts w:ascii="仿宋_GB2312" w:hAnsi="仿宋" w:eastAsia="仿宋_GB2312" w:cs="仿宋_GB2312"/>
          <w:b/>
          <w:bCs/>
          <w:kern w:val="0"/>
          <w:sz w:val="24"/>
          <w:lang w:val="zh-CN"/>
        </w:rPr>
        <w:t>11.</w:t>
      </w:r>
      <w:r>
        <w:rPr>
          <w:rFonts w:ascii="仿宋_GB2312" w:hAnsi="仿宋" w:eastAsia="仿宋_GB2312" w:cs="仿宋_GB2312"/>
          <w:b/>
          <w:bCs/>
          <w:kern w:val="0"/>
          <w:sz w:val="24"/>
        </w:rPr>
        <w:t>3</w:t>
      </w:r>
      <w:r>
        <w:rPr>
          <w:rFonts w:hint="eastAsia" w:ascii="仿宋_GB2312" w:hAnsi="仿宋" w:eastAsia="仿宋_GB2312" w:cs="仿宋_GB2312"/>
          <w:b/>
          <w:bCs/>
          <w:sz w:val="24"/>
        </w:rPr>
        <w:t>报价文件：</w:t>
      </w:r>
      <w:r>
        <w:rPr>
          <w:rFonts w:ascii="仿宋_GB2312" w:hAnsi="仿宋" w:eastAsia="仿宋_GB2312" w:cs="仿宋_GB2312"/>
          <w:b/>
          <w:bCs/>
          <w:sz w:val="24"/>
        </w:rPr>
        <w:t xml:space="preserve"> </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11.3.1开标一览表（报价表）；</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11.3.2中小企业声明函</w:t>
      </w:r>
      <w:r>
        <w:rPr>
          <w:rFonts w:hint="eastAsia" w:ascii="仿宋_GB2312" w:hAnsi="仿宋" w:eastAsia="仿宋_GB2312" w:cs="仿宋_GB2312"/>
          <w:sz w:val="24"/>
        </w:rPr>
        <w:t>（如需）</w:t>
      </w:r>
      <w:r>
        <w:rPr>
          <w:rFonts w:ascii="仿宋_GB2312" w:hAnsi="仿宋" w:eastAsia="仿宋_GB2312" w:cs="仿宋_GB2312"/>
          <w:sz w:val="24"/>
        </w:rPr>
        <w:t>。</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1</w:t>
      </w:r>
      <w:r>
        <w:rPr>
          <w:rFonts w:ascii="仿宋_GB2312" w:hAnsi="仿宋" w:eastAsia="仿宋_GB2312"/>
          <w:b/>
          <w:sz w:val="24"/>
        </w:rPr>
        <w:t>1.4</w:t>
      </w:r>
      <w:r>
        <w:rPr>
          <w:rFonts w:hint="eastAsia" w:ascii="仿宋_GB2312" w:hAnsi="仿宋" w:eastAsia="仿宋_GB2312"/>
          <w:b/>
          <w:sz w:val="24"/>
        </w:rPr>
        <w:t>投标文件含有采购人不能接受的附加条件的，投标无效；投标人提供虚假材料投标的，投标无效。</w:t>
      </w:r>
    </w:p>
    <w:p>
      <w:pPr>
        <w:pStyle w:val="15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12.4</w:t>
      </w:r>
      <w:r>
        <w:rPr>
          <w:rFonts w:hint="eastAsia" w:ascii="仿宋_GB2312" w:hAnsi="仿宋" w:eastAsia="仿宋_GB2312" w:cs="仿宋_GB2312"/>
          <w:kern w:val="0"/>
          <w:sz w:val="24"/>
          <w:lang w:val="zh-CN"/>
        </w:rPr>
        <w:t>投标人应充分考虑完成平台注册、申领CA证书等所需时间，如未在“政府采购云平台”系统内完成相关流程，而引起的投标或响应无效的责任自负。</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5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5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5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5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59"/>
        <w:spacing w:before="0"/>
        <w:ind w:firstLine="480"/>
        <w:rPr>
          <w:rFonts w:ascii="仿宋_GB2312" w:hAnsi="仿宋" w:eastAsia="仿宋_GB2312" w:cs="仿宋_GB2312"/>
          <w:color w:val="FF0000"/>
          <w:szCs w:val="24"/>
          <w:u w:val="single"/>
        </w:rPr>
      </w:pPr>
      <w:r>
        <w:rPr>
          <w:rFonts w:ascii="仿宋_GB2312" w:hAnsi="仿宋" w:eastAsia="仿宋_GB2312" w:cs="仿宋_GB2312"/>
          <w:szCs w:val="24"/>
        </w:rPr>
        <w:t>14.3采购人、采购代理机构可以视情况延长投标文件提交的截止时间。在上述情况下，采购代理机构与投标人以前在投标截止期方面的全部权利、责任和义务，将适用于延长至新的投标截止期。</w:t>
      </w:r>
    </w:p>
    <w:p>
      <w:pPr>
        <w:pStyle w:val="32"/>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2"/>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w:t>
      </w:r>
      <w:r>
        <w:rPr>
          <w:rFonts w:hint="eastAsia" w:ascii="仿宋_GB2312" w:hAnsi="仿宋" w:eastAsia="仿宋_GB2312" w:cs="仿宋_GB2312"/>
          <w:sz w:val="24"/>
          <w:szCs w:val="24"/>
        </w:rPr>
        <w:t>向</w:t>
      </w:r>
      <w:r>
        <w:rPr>
          <w:rFonts w:ascii="仿宋_GB2312" w:hAnsi="仿宋" w:eastAsia="仿宋_GB2312" w:cs="仿宋_GB2312"/>
          <w:bCs/>
          <w:snapToGrid/>
          <w:sz w:val="24"/>
          <w:szCs w:val="24"/>
        </w:rPr>
        <w:t>诸暨</w:t>
      </w:r>
      <w:r>
        <w:rPr>
          <w:rFonts w:ascii="仿宋_GB2312" w:hAnsi="仿宋" w:eastAsia="仿宋_GB2312" w:cs="仿宋_GB2312"/>
          <w:bCs/>
          <w:sz w:val="24"/>
          <w:szCs w:val="24"/>
        </w:rPr>
        <w:t>市公共资源交易中心邮箱（</w:t>
      </w:r>
      <w:r>
        <w:rPr>
          <w:rFonts w:ascii="仿宋_GB2312" w:hAnsi="仿宋" w:eastAsia="仿宋_GB2312" w:cs="仿宋_GB2312"/>
          <w:sz w:val="24"/>
          <w:szCs w:val="24"/>
        </w:rPr>
        <w:t>zjztb001@aliyun.com）递交备份投标文件1份，</w:t>
      </w:r>
      <w:r>
        <w:rPr>
          <w:rFonts w:hint="eastAsia" w:ascii="仿宋_GB2312" w:hAnsi="仿宋" w:eastAsia="仿宋_GB2312" w:cs="仿宋_GB2312"/>
          <w:b/>
          <w:sz w:val="24"/>
          <w:szCs w:val="24"/>
        </w:rPr>
        <w:t>但采购人、采购代理机构不强制或变相强制投标人提交备份投标文件。</w:t>
      </w:r>
    </w:p>
    <w:p>
      <w:pPr>
        <w:pStyle w:val="32"/>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w:t>
      </w:r>
      <w:r>
        <w:rPr>
          <w:rFonts w:ascii="仿宋_GB2312" w:hAnsi="仿宋" w:eastAsia="仿宋_GB2312" w:cs="仿宋_GB2312"/>
          <w:b/>
          <w:sz w:val="24"/>
          <w:szCs w:val="24"/>
        </w:rPr>
        <w:t xml:space="preserve"> </w:t>
      </w:r>
    </w:p>
    <w:p>
      <w:pPr>
        <w:pStyle w:val="32"/>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15.3采购代理机构将拒绝接受逾期送达的备份投标文件。</w:t>
      </w:r>
    </w:p>
    <w:p>
      <w:pPr>
        <w:pStyle w:val="32"/>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w:t>
      </w:r>
      <w:r>
        <w:rPr>
          <w:rFonts w:hint="eastAsia" w:ascii="仿宋_GB2312" w:hAnsi="仿宋" w:eastAsia="仿宋_GB2312" w:cs="仿宋_GB2312"/>
          <w:b/>
          <w:sz w:val="24"/>
          <w:szCs w:val="24"/>
        </w:rPr>
        <w:t>4</w:t>
      </w:r>
      <w:r>
        <w:rPr>
          <w:rFonts w:ascii="仿宋_GB2312" w:hAnsi="仿宋" w:eastAsia="仿宋_GB2312" w:cs="仿宋_GB2312"/>
          <w:b/>
          <w:sz w:val="24"/>
          <w:szCs w:val="24"/>
        </w:rPr>
        <w:t>投标人仅提交备份投标文件，没有在电子交易平台传输递交投标文件的，投标无效。</w:t>
      </w:r>
    </w:p>
    <w:p>
      <w:pPr>
        <w:pStyle w:val="32"/>
        <w:spacing w:line="360" w:lineRule="auto"/>
        <w:ind w:firstLine="477" w:firstLineChars="199"/>
        <w:rPr>
          <w:rFonts w:ascii="仿宋_GB2312" w:hAnsi="仿宋" w:eastAsia="仿宋_GB2312" w:cs="仿宋_GB2312"/>
          <w:sz w:val="24"/>
          <w:szCs w:val="24"/>
        </w:rPr>
      </w:pPr>
      <w:r>
        <w:rPr>
          <w:rFonts w:hint="eastAsia" w:ascii="仿宋_GB2312" w:hAnsi="仿宋" w:eastAsia="仿宋_GB2312" w:cs="仿宋_GB2312"/>
          <w:sz w:val="24"/>
          <w:szCs w:val="24"/>
        </w:rPr>
        <w:t>1</w:t>
      </w:r>
      <w:r>
        <w:rPr>
          <w:rFonts w:ascii="仿宋_GB2312" w:hAnsi="仿宋" w:eastAsia="仿宋_GB2312" w:cs="仿宋_GB2312"/>
          <w:sz w:val="24"/>
          <w:szCs w:val="24"/>
        </w:rPr>
        <w:t>5.5</w:t>
      </w:r>
      <w:r>
        <w:rPr>
          <w:rFonts w:hint="eastAsia" w:ascii="仿宋_GB2312" w:hAnsi="仿宋" w:eastAsia="仿宋_GB2312" w:cs="仿宋_GB2312"/>
          <w:sz w:val="24"/>
          <w:szCs w:val="24"/>
        </w:rPr>
        <w:t>投标文件如有补充、修改，备份投标文件应同步调整并再次提交，采购代理机构以最新备份投标文件为准。</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4"/>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第4.2</w:t>
      </w:r>
      <w:r>
        <w:rPr>
          <w:rFonts w:ascii="仿宋_GB2312" w:hAnsi="仿宋" w:eastAsia="仿宋_GB2312"/>
        </w:rPr>
        <w:t>项规定</w:t>
      </w:r>
      <w:r>
        <w:rPr>
          <w:rFonts w:hint="eastAsia" w:ascii="仿宋_GB2312" w:hAnsi="仿宋" w:eastAsia="仿宋_GB2312" w:cs="仿宋_GB2312"/>
          <w:szCs w:val="21"/>
        </w:rPr>
        <w:t>的情形之一的，投标无效。</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sz w:val="24"/>
        </w:rPr>
        <w:t>★</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5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5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5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8"/>
        <w:spacing w:before="0" w:line="360" w:lineRule="auto"/>
        <w:ind w:left="0" w:firstLine="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8"/>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18.1采购代理机构按照招标文件规定的时间通过电子交易平台组织开标，所有投标人均应当准时在线参加。投标人不足3家的，不得开标。</w:t>
      </w:r>
    </w:p>
    <w:p>
      <w:pPr>
        <w:pStyle w:val="558"/>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18.2开标时，电子交易平台按开标时间自动提取所有投标文件。采购代理机构依托电子交易平台发起开始解密指令，投标人按照平台提示</w:t>
      </w:r>
      <w:r>
        <w:rPr>
          <w:rFonts w:hint="eastAsia" w:ascii="仿宋_GB2312" w:hAnsi="仿宋" w:eastAsia="仿宋_GB2312" w:cs="仿宋_GB2312"/>
          <w:sz w:val="24"/>
        </w:rPr>
        <w:t>在</w:t>
      </w:r>
      <w:r>
        <w:rPr>
          <w:rFonts w:ascii="仿宋_GB2312" w:hAnsi="仿宋" w:eastAsia="仿宋_GB2312" w:cs="仿宋_GB2312"/>
          <w:sz w:val="24"/>
        </w:rPr>
        <w:t>招标文件规定</w:t>
      </w:r>
      <w:r>
        <w:rPr>
          <w:rFonts w:hint="eastAsia" w:ascii="仿宋_GB2312" w:hAnsi="仿宋" w:eastAsia="仿宋_GB2312" w:cs="仿宋_GB2312"/>
          <w:sz w:val="24"/>
        </w:rPr>
        <w:t>时间</w:t>
      </w:r>
      <w:r>
        <w:rPr>
          <w:rFonts w:ascii="仿宋_GB2312" w:hAnsi="仿宋" w:eastAsia="仿宋_GB2312" w:cs="仿宋_GB2312"/>
          <w:sz w:val="24"/>
        </w:rPr>
        <w:t>内完成在线解密。</w:t>
      </w:r>
    </w:p>
    <w:p>
      <w:pPr>
        <w:pStyle w:val="558"/>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投标文件未按时解密，投标人提供了备份投标文件的，经投标人同意后以备份投标文件作为依据，否则视为投标文件撤回。投标文件已按时解密的，备份投标文件自动失效。</w:t>
      </w:r>
    </w:p>
    <w:p>
      <w:pPr>
        <w:pStyle w:val="558"/>
        <w:spacing w:before="0" w:line="360" w:lineRule="auto"/>
        <w:ind w:left="0" w:firstLine="0"/>
        <w:contextualSpacing/>
        <w:rPr>
          <w:rFonts w:ascii="仿宋_GB2312" w:hAnsi="仿宋" w:eastAsia="仿宋_GB2312" w:cs="仿宋_GB2312"/>
          <w:b/>
          <w:sz w:val="24"/>
        </w:rPr>
      </w:pPr>
      <w:r>
        <w:rPr>
          <w:rFonts w:ascii="仿宋_GB2312" w:hAnsi="仿宋" w:eastAsia="仿宋_GB2312" w:cs="仿宋_GB2312"/>
          <w:b/>
          <w:sz w:val="24"/>
        </w:rPr>
        <w:t>19</w:t>
      </w:r>
      <w:r>
        <w:rPr>
          <w:rFonts w:ascii="仿宋_GB2312" w:hAnsi="仿宋" w:eastAsia="仿宋_GB2312" w:cs="仿宋_GB2312"/>
          <w:b/>
          <w:sz w:val="24"/>
          <w:szCs w:val="24"/>
        </w:rPr>
        <w:t>.</w:t>
      </w:r>
      <w:r>
        <w:rPr>
          <w:rFonts w:ascii="仿宋_GB2312" w:hAnsi="仿宋" w:eastAsia="仿宋_GB2312" w:cs="仿宋_GB2312"/>
          <w:b/>
          <w:sz w:val="24"/>
        </w:rPr>
        <w:t>资格审查</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19.1开标后，采购人或采购代理机构将依法对投标人的资格进行审查。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采购人或采购代理机构依据法律法规和招标文件的规定，对投标人的基本资格条件、特定资格条件进行审查。</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有效资格证明材料的，视为投标人不具备招标文件中规定的资格要求，其投标无效。</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19.4对未通过资格审查的投标人，采购人或采购代理机构告知其未通过的原因。</w:t>
      </w:r>
    </w:p>
    <w:p>
      <w:pPr>
        <w:pStyle w:val="15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5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20.1信用信息查询渠道及截止时间：采购代理机构将通过“信用中国”网站(www.creditchina.gov.cn)、中国政府采购网(www.ccgp.gov.cn)渠道查询投标人投标截止时间当天的信用记录。</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5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5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评标委员会将根据招标文件和有关规定，履行评标工作职责，并按照评标方法及评分标准，全面衡量各投标人对招标文件的响应情况。对实质上响应招标文件的投标人，按照评审因素进行评审。</w:t>
      </w:r>
      <w:r>
        <w:rPr>
          <w:rFonts w:hint="eastAsia" w:ascii="仿宋_GB2312" w:hAnsi="仿宋" w:eastAsia="仿宋_GB2312" w:cs="仿宋_GB2312"/>
          <w:b/>
          <w:sz w:val="24"/>
        </w:rPr>
        <w:t>详见招标文件第四部分评标办法。</w:t>
      </w: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六、定标</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5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5个工作日内通过电子交易平台在评审报告推荐的中标候选人中确定中标供应商</w:t>
      </w:r>
      <w:r>
        <w:rPr>
          <w:rFonts w:hint="eastAsia" w:ascii="仿宋_GB2312" w:hAnsi="仿宋" w:eastAsia="仿宋_GB2312" w:cs="仿宋_GB2312"/>
          <w:szCs w:val="24"/>
        </w:rPr>
        <w:t>，并将结果确认书面提交给采购代理机构</w:t>
      </w:r>
      <w:r>
        <w:rPr>
          <w:rFonts w:ascii="仿宋_GB2312" w:hAnsi="仿宋" w:eastAsia="仿宋_GB2312" w:cs="仿宋_GB2312"/>
          <w:szCs w:val="24"/>
        </w:rPr>
        <w:t>。</w:t>
      </w:r>
    </w:p>
    <w:p>
      <w:pPr>
        <w:pStyle w:val="15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23.1自中标人确定之日起2个工作日内，采购代理机构通过电子交易平台向中标人发出中标通知书，</w:t>
      </w:r>
      <w:r>
        <w:rPr>
          <w:rFonts w:hint="eastAsia" w:ascii="仿宋_GB2312" w:hAnsi="仿宋" w:eastAsia="仿宋_GB2312" w:cs="仿宋_GB2312"/>
          <w:sz w:val="24"/>
        </w:rPr>
        <w:t>同时编制发布采购结果公告。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w:t>
      </w:r>
      <w:r>
        <w:rPr>
          <w:rFonts w:hint="eastAsia" w:ascii="仿宋_GB2312" w:hAnsi="仿宋" w:eastAsia="仿宋_GB2312" w:cs="仿宋_GB2312"/>
          <w:sz w:val="24"/>
        </w:rPr>
        <w:t>2</w:t>
      </w:r>
      <w:r>
        <w:rPr>
          <w:rFonts w:ascii="仿宋_GB2312" w:hAnsi="仿宋" w:eastAsia="仿宋_GB2312" w:cs="仿宋_GB2312"/>
          <w:sz w:val="24"/>
        </w:rPr>
        <w:t>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59"/>
        <w:snapToGrid w:val="0"/>
        <w:spacing w:before="0"/>
        <w:ind w:firstLine="480"/>
        <w:rPr>
          <w:rFonts w:ascii="仿宋_GB2312" w:hAnsi="仿宋" w:eastAsia="仿宋_GB2312"/>
          <w:kern w:val="0"/>
          <w:lang w:val="zh-CN"/>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59"/>
        <w:snapToGrid w:val="0"/>
        <w:spacing w:before="0"/>
        <w:ind w:firstLine="480"/>
        <w:rPr>
          <w:rFonts w:ascii="仿宋_GB2312" w:hAnsi="仿宋" w:eastAsia="仿宋_GB2312"/>
          <w:kern w:val="0"/>
        </w:rPr>
      </w:pPr>
      <w:r>
        <w:rPr>
          <w:rFonts w:ascii="仿宋_GB2312" w:hAnsi="仿宋" w:eastAsia="仿宋_GB2312" w:cs="仿宋_GB2312"/>
        </w:rPr>
        <w:t>25.3</w:t>
      </w:r>
      <w:r>
        <w:rPr>
          <w:rFonts w:hint="eastAsia" w:ascii="仿宋_GB2312" w:hAnsi="仿宋" w:eastAsia="仿宋_GB2312" w:cs="仿宋_GB2312"/>
        </w:rPr>
        <w:t>采购人对合同内容负责。合同金额200万元及以上的必须由法律顾问根据《政府采购法》、《民法典》等对合同条款进行审查，出具法律意见书后方可签订合同。对于合同金额200万元以下的项目，采购单位自行组织审查合同条款。</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25.4如签订合同并生效后，供应商无故拒绝或延期，除按照合同条款处理外，</w:t>
      </w:r>
      <w:r>
        <w:rPr>
          <w:rFonts w:hint="eastAsia" w:ascii="仿宋_GB2312" w:hAnsi="仿宋" w:eastAsia="仿宋_GB2312" w:cs="仿宋_GB2312"/>
        </w:rPr>
        <w:t>将上报政府采购监管部门予以处理</w:t>
      </w:r>
      <w:r>
        <w:rPr>
          <w:rFonts w:ascii="仿宋_GB2312" w:hAnsi="仿宋" w:eastAsia="仿宋_GB2312" w:cs="仿宋_GB2312"/>
        </w:rPr>
        <w:t>。</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25.5中标供应</w:t>
      </w:r>
      <w:r>
        <w:rPr>
          <w:rFonts w:hint="eastAsia" w:ascii="仿宋_GB2312" w:hAnsi="仿宋" w:eastAsia="仿宋_GB2312" w:cs="仿宋_GB2312"/>
        </w:rPr>
        <w:t>商拒绝与采购人签订合同的，采购人应当重新开展政府采购活动。</w:t>
      </w:r>
    </w:p>
    <w:p>
      <w:pPr>
        <w:pStyle w:val="159"/>
        <w:snapToGrid w:val="0"/>
        <w:spacing w:before="0" w:after="120"/>
        <w:ind w:firstLine="480"/>
        <w:rPr>
          <w:rFonts w:ascii="仿宋_GB2312" w:hAnsi="仿宋" w:eastAsia="仿宋_GB2312" w:cs="仿宋_GB2312"/>
        </w:rPr>
      </w:pPr>
      <w:r>
        <w:rPr>
          <w:rFonts w:ascii="仿宋_GB2312" w:hAnsi="仿宋" w:eastAsia="仿宋_GB2312" w:cs="仿宋_GB2312"/>
        </w:rPr>
        <w:t>25.6采购合同由采购人与中标供应商根据</w:t>
      </w:r>
      <w:r>
        <w:rPr>
          <w:rFonts w:hint="eastAsia" w:ascii="仿宋_GB2312" w:hAnsi="仿宋" w:eastAsia="仿宋_GB2312" w:cs="仿宋_GB2312"/>
        </w:rPr>
        <w:t>招标文件、投标文件等内容签订并公告。</w:t>
      </w:r>
    </w:p>
    <w:p>
      <w:pPr>
        <w:pStyle w:val="24"/>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仿宋_GB2312"/>
          <w:b/>
          <w:sz w:val="32"/>
        </w:rPr>
      </w:pPr>
      <w:r>
        <w:rPr>
          <w:rFonts w:hint="eastAsia" w:ascii="仿宋_GB2312" w:hAnsi="仿宋" w:eastAsia="仿宋_GB2312" w:cs="Helvetica"/>
          <w:kern w:val="0"/>
          <w:sz w:val="24"/>
        </w:rPr>
        <w:t>供应商可登录政府采购云平台-【金融服务】—【我的项目】—【已备案合同】以保函形式提供。政府采购云平台金融专线400-903-9583。</w:t>
      </w:r>
    </w:p>
    <w:p>
      <w:pPr>
        <w:snapToGrid w:val="0"/>
        <w:spacing w:line="360" w:lineRule="auto"/>
        <w:jc w:val="center"/>
        <w:rPr>
          <w:rFonts w:ascii="仿宋_GB2312" w:hAnsi="仿宋" w:eastAsia="仿宋_GB2312"/>
          <w:b/>
          <w:sz w:val="24"/>
        </w:rPr>
      </w:pPr>
      <w:r>
        <w:rPr>
          <w:rFonts w:hint="eastAsia" w:ascii="仿宋_GB2312" w:hAnsi="仿宋" w:eastAsia="仿宋_GB2312" w:cs="仿宋_GB2312"/>
          <w:b/>
          <w:sz w:val="32"/>
        </w:rPr>
        <w:t>八、电子交易活动的中止</w:t>
      </w:r>
    </w:p>
    <w:p>
      <w:pPr>
        <w:pStyle w:val="159"/>
        <w:snapToGrid w:val="0"/>
        <w:spacing w:before="0"/>
        <w:ind w:firstLine="0" w:firstLineChars="0"/>
        <w:rPr>
          <w:rFonts w:ascii="仿宋_GB2312" w:hAnsi="仿宋" w:eastAsia="仿宋_GB2312" w:cs="仿宋_GB2312"/>
        </w:rPr>
      </w:pPr>
      <w:r>
        <w:rPr>
          <w:rFonts w:ascii="仿宋_GB2312" w:hAnsi="仿宋" w:eastAsia="仿宋_GB2312" w:cs="仿宋_GB2312"/>
          <w:b/>
          <w:bCs/>
        </w:rPr>
        <w:t xml:space="preserve">27.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5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59"/>
        <w:snapToGrid w:val="0"/>
        <w:spacing w:before="0"/>
        <w:ind w:firstLine="0" w:firstLineChars="0"/>
        <w:rPr>
          <w:rFonts w:ascii="仿宋_GB2312" w:hAnsi="仿宋" w:eastAsia="仿宋_GB2312" w:cs="仿宋_GB2312"/>
        </w:rPr>
      </w:pPr>
      <w:r>
        <w:rPr>
          <w:rFonts w:ascii="仿宋_GB2312" w:hAnsi="仿宋" w:eastAsia="仿宋_GB2312" w:cs="仿宋_GB2312"/>
          <w:b/>
          <w:bCs/>
        </w:rPr>
        <w:t>28.</w:t>
      </w:r>
      <w:r>
        <w:rPr>
          <w:rFonts w:ascii="仿宋_GB2312" w:hAnsi="仿宋" w:eastAsia="仿宋_GB2312" w:cs="仿宋_GB2312"/>
        </w:rPr>
        <w:t>出现以上情形，不影响采购公平、公正性的，采购组织机构可以待上述情形消除后继续组织电子交易活动，也可以决定某些环节以纸质形式进行；影响或可能影响采购公平、公正性的，</w:t>
      </w:r>
      <w:r>
        <w:rPr>
          <w:rFonts w:hint="eastAsia" w:ascii="仿宋_GB2312" w:hAnsi="仿宋" w:eastAsia="仿宋_GB2312" w:cs="仿宋_GB2312"/>
        </w:rPr>
        <w:t>报告政府采购监管部门并组织重新采购</w:t>
      </w:r>
      <w:r>
        <w:rPr>
          <w:rFonts w:ascii="仿宋_GB2312" w:hAnsi="仿宋" w:eastAsia="仿宋_GB2312" w:cs="仿宋_GB2312"/>
        </w:rPr>
        <w:t>。</w:t>
      </w: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4"/>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w:t>
      </w:r>
      <w:r>
        <w:rPr>
          <w:rFonts w:hint="eastAsia" w:ascii="仿宋_GB2312" w:hAnsi="仿宋" w:eastAsia="仿宋_GB2312" w:cs="Helvetica"/>
          <w:kern w:val="0"/>
          <w:sz w:val="24"/>
        </w:rPr>
        <w:t>，相关费用原则上由采购人支付（采购需求另行规定的除外）</w:t>
      </w:r>
      <w:r>
        <w:rPr>
          <w:rFonts w:ascii="仿宋_GB2312" w:hAnsi="仿宋" w:eastAsia="仿宋_GB2312" w:cs="Helvetica"/>
          <w:kern w:val="0"/>
          <w:sz w:val="24"/>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titlePg/>
          <w:docGrid w:linePitch="312" w:charSpace="0"/>
        </w:sectPr>
      </w:pPr>
      <w:bookmarkStart w:id="14" w:name="_Hlt75236011"/>
      <w:bookmarkEnd w:id="14"/>
      <w:bookmarkStart w:id="15" w:name="_Hlt75236290"/>
      <w:bookmarkEnd w:id="15"/>
      <w:bookmarkStart w:id="16" w:name="_Hlt68072990"/>
      <w:bookmarkEnd w:id="16"/>
      <w:bookmarkStart w:id="17" w:name="_Hlt74729768"/>
      <w:bookmarkEnd w:id="17"/>
      <w:bookmarkStart w:id="18" w:name="_Hlt74730295"/>
      <w:bookmarkEnd w:id="18"/>
      <w:bookmarkStart w:id="19" w:name="_Hlt74707468"/>
      <w:bookmarkEnd w:id="19"/>
      <w:bookmarkStart w:id="20" w:name="_Hlt75236101"/>
      <w:bookmarkEnd w:id="20"/>
      <w:bookmarkStart w:id="21" w:name="_Hlt68057669"/>
      <w:bookmarkEnd w:id="21"/>
      <w:bookmarkStart w:id="22" w:name="_Hlt68072998"/>
      <w:bookmarkEnd w:id="22"/>
      <w:bookmarkStart w:id="23" w:name="_Hlt74714665"/>
      <w:bookmarkEnd w:id="23"/>
      <w:bookmarkStart w:id="24" w:name="_Hlt68403820"/>
      <w:bookmarkEnd w:id="24"/>
      <w:bookmarkStart w:id="25" w:name="_Hlt68073093"/>
      <w:bookmarkEnd w:id="25"/>
    </w:p>
    <w:bookmarkEnd w:id="11"/>
    <w:bookmarkEnd w:id="12"/>
    <w:p>
      <w:pPr>
        <w:spacing w:line="360" w:lineRule="auto"/>
        <w:jc w:val="center"/>
        <w:outlineLvl w:val="0"/>
        <w:rPr>
          <w:rFonts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tabs>
          <w:tab w:val="left" w:pos="0"/>
        </w:tabs>
        <w:spacing w:line="360" w:lineRule="auto"/>
        <w:ind w:firstLine="480"/>
        <w:rPr>
          <w:rFonts w:ascii="仿宋_GB2312" w:hAnsi="仿宋" w:eastAsia="仿宋_GB2312" w:cs="Helvetica"/>
          <w:b/>
          <w:kern w:val="0"/>
          <w:sz w:val="24"/>
        </w:rPr>
      </w:pPr>
      <w:r>
        <w:rPr>
          <w:rFonts w:hint="eastAsia" w:ascii="仿宋_GB2312" w:hAnsi="仿宋" w:eastAsia="仿宋_GB2312" w:cs="Helvetica"/>
          <w:b/>
          <w:kern w:val="0"/>
          <w:sz w:val="24"/>
        </w:rPr>
        <w:t>一、项目概况</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为进一步完善土地定价程序，促进土地市场平稳健康运行，规范地价评估委托行为，根据国土资源部办公厅关于发布的《国有建设用地使用权出让地价评估技术规范》(国土资厅发〔2018〕4号)等文件要求，采购第三方土地评估服务。主要内容为诸暨市域（除开发区以外区域）土地出让(含补缴土地出让金)工作中需由第三方机构对土地价值提供的专业土地评估服务。</w:t>
      </w:r>
    </w:p>
    <w:p>
      <w:pPr>
        <w:tabs>
          <w:tab w:val="left" w:pos="0"/>
        </w:tabs>
        <w:spacing w:line="360" w:lineRule="auto"/>
        <w:ind w:firstLine="480" w:firstLineChars="200"/>
        <w:rPr>
          <w:rFonts w:ascii="仿宋_GB2312" w:hAnsi="仿宋" w:eastAsia="仿宋_GB2312" w:cs="Helvetica"/>
          <w:kern w:val="0"/>
          <w:sz w:val="24"/>
        </w:rPr>
      </w:pPr>
      <w:r>
        <w:rPr>
          <w:rFonts w:hint="eastAsia" w:ascii="仿宋_GB2312" w:hAnsi="仿宋" w:eastAsia="仿宋_GB2312" w:cs="Helvetica"/>
          <w:kern w:val="0"/>
          <w:sz w:val="24"/>
        </w:rPr>
        <w:t>本项目共分为三个标的，标的1为片区1（包括暨阳街道、次坞、应店街、山下湖等镇街）；标的2为片区2（包括浣东街道、店口、枫桥、赵家、东和、东白湖、浬浦等镇街）；标的3为片区3（包括大唐街道、暨南街道、姚江、牌头、安华、同山、璜山、陈宅、马剑、五泄、岭北等镇街）。</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本项目采用折扣率报价，服务费用按实际工作量结算，不超过预算，详见下表。</w:t>
      </w:r>
    </w:p>
    <w:tbl>
      <w:tblPr>
        <w:tblStyle w:val="62"/>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621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291" w:type="dxa"/>
            <w:vAlign w:val="center"/>
          </w:tcPr>
          <w:p>
            <w:pPr>
              <w:pStyle w:val="32"/>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标的</w:t>
            </w:r>
          </w:p>
        </w:tc>
        <w:tc>
          <w:tcPr>
            <w:tcW w:w="6217" w:type="dxa"/>
            <w:vAlign w:val="center"/>
          </w:tcPr>
          <w:p>
            <w:pPr>
              <w:pStyle w:val="32"/>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标的内容</w:t>
            </w:r>
          </w:p>
        </w:tc>
        <w:tc>
          <w:tcPr>
            <w:tcW w:w="1610" w:type="dxa"/>
            <w:vAlign w:val="center"/>
          </w:tcPr>
          <w:p>
            <w:pPr>
              <w:pStyle w:val="32"/>
              <w:spacing w:line="44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291" w:type="dxa"/>
            <w:vAlign w:val="center"/>
          </w:tcPr>
          <w:p>
            <w:pPr>
              <w:pStyle w:val="32"/>
              <w:spacing w:line="440" w:lineRule="exact"/>
              <w:jc w:val="center"/>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标的1</w:t>
            </w:r>
          </w:p>
        </w:tc>
        <w:tc>
          <w:tcPr>
            <w:tcW w:w="6217" w:type="dxa"/>
            <w:vAlign w:val="center"/>
          </w:tcPr>
          <w:p>
            <w:pPr>
              <w:pStyle w:val="32"/>
              <w:spacing w:line="440" w:lineRule="exact"/>
              <w:jc w:val="left"/>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片区1（包括暨阳街道、次坞、应店街、山下湖等镇街）土地评估服务</w:t>
            </w:r>
          </w:p>
        </w:tc>
        <w:tc>
          <w:tcPr>
            <w:tcW w:w="1610" w:type="dxa"/>
            <w:vAlign w:val="center"/>
          </w:tcPr>
          <w:p>
            <w:pPr>
              <w:pStyle w:val="32"/>
              <w:spacing w:line="440" w:lineRule="exact"/>
              <w:jc w:val="center"/>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1291" w:type="dxa"/>
            <w:vAlign w:val="center"/>
          </w:tcPr>
          <w:p>
            <w:pPr>
              <w:pStyle w:val="32"/>
              <w:spacing w:line="440" w:lineRule="exact"/>
              <w:jc w:val="center"/>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标的2</w:t>
            </w:r>
          </w:p>
        </w:tc>
        <w:tc>
          <w:tcPr>
            <w:tcW w:w="6217" w:type="dxa"/>
            <w:vAlign w:val="center"/>
          </w:tcPr>
          <w:p>
            <w:pPr>
              <w:pStyle w:val="32"/>
              <w:spacing w:line="440" w:lineRule="exact"/>
              <w:jc w:val="left"/>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片区2（包括浣东街道、店口、枫桥、赵家、东和、东白湖、浬浦等镇街）土地评估服务</w:t>
            </w:r>
          </w:p>
        </w:tc>
        <w:tc>
          <w:tcPr>
            <w:tcW w:w="1610" w:type="dxa"/>
            <w:vAlign w:val="center"/>
          </w:tcPr>
          <w:p>
            <w:pPr>
              <w:pStyle w:val="32"/>
              <w:spacing w:line="440" w:lineRule="exact"/>
              <w:jc w:val="center"/>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1291" w:type="dxa"/>
            <w:vAlign w:val="center"/>
          </w:tcPr>
          <w:p>
            <w:pPr>
              <w:pStyle w:val="32"/>
              <w:spacing w:line="440" w:lineRule="exact"/>
              <w:jc w:val="center"/>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标的3</w:t>
            </w:r>
          </w:p>
        </w:tc>
        <w:tc>
          <w:tcPr>
            <w:tcW w:w="6217" w:type="dxa"/>
            <w:vAlign w:val="center"/>
          </w:tcPr>
          <w:p>
            <w:pPr>
              <w:pStyle w:val="32"/>
              <w:spacing w:line="440" w:lineRule="exact"/>
              <w:jc w:val="left"/>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片区3（包括大唐街道、暨南街道、姚江、牌头、安华、同山、璜山、陈宅、马剑、五泄、岭北等镇街）土地评估服务</w:t>
            </w:r>
          </w:p>
        </w:tc>
        <w:tc>
          <w:tcPr>
            <w:tcW w:w="1610" w:type="dxa"/>
            <w:vAlign w:val="center"/>
          </w:tcPr>
          <w:p>
            <w:pPr>
              <w:pStyle w:val="32"/>
              <w:spacing w:line="440" w:lineRule="exact"/>
              <w:jc w:val="center"/>
              <w:rPr>
                <w:rFonts w:ascii="仿宋_GB2312" w:hAnsi="仿宋" w:eastAsia="仿宋_GB2312" w:cs="Helvetica"/>
                <w:snapToGrid/>
                <w:kern w:val="0"/>
                <w:sz w:val="24"/>
                <w:szCs w:val="24"/>
              </w:rPr>
            </w:pPr>
            <w:r>
              <w:rPr>
                <w:rFonts w:hint="eastAsia" w:ascii="仿宋_GB2312" w:hAnsi="仿宋" w:eastAsia="仿宋_GB2312" w:cs="Helvetica"/>
                <w:snapToGrid/>
                <w:kern w:val="0"/>
                <w:sz w:val="24"/>
                <w:szCs w:val="24"/>
              </w:rPr>
              <w:t>80万元</w:t>
            </w:r>
          </w:p>
        </w:tc>
      </w:tr>
    </w:tbl>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招标服务期限：合同签订之日起至2022年12月31日止。</w:t>
      </w:r>
    </w:p>
    <w:p>
      <w:pPr>
        <w:tabs>
          <w:tab w:val="left" w:pos="0"/>
        </w:tabs>
        <w:spacing w:line="360" w:lineRule="auto"/>
        <w:ind w:firstLine="480"/>
        <w:rPr>
          <w:rFonts w:ascii="仿宋_GB2312" w:hAnsi="仿宋" w:eastAsia="仿宋_GB2312" w:cs="Helvetica"/>
          <w:b/>
          <w:kern w:val="0"/>
          <w:sz w:val="24"/>
        </w:rPr>
      </w:pPr>
      <w:r>
        <w:rPr>
          <w:rFonts w:hint="eastAsia" w:ascii="仿宋_GB2312" w:hAnsi="仿宋" w:eastAsia="仿宋_GB2312" w:cs="Helvetica"/>
          <w:b/>
          <w:kern w:val="0"/>
          <w:sz w:val="24"/>
        </w:rPr>
        <w:t>二、服务要求</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(一)工作进度要求</w:t>
      </w:r>
    </w:p>
    <w:p>
      <w:pPr>
        <w:snapToGrid w:val="0"/>
        <w:spacing w:line="360" w:lineRule="auto"/>
        <w:jc w:val="left"/>
        <w:rPr>
          <w:rFonts w:ascii="仿宋_GB2312" w:hAnsi="仿宋" w:eastAsia="仿宋_GB2312"/>
          <w:kern w:val="0"/>
          <w:sz w:val="24"/>
          <w:lang w:val="zh-CN"/>
        </w:rPr>
      </w:pPr>
      <w:r>
        <w:rPr>
          <w:rFonts w:hint="eastAsia" w:ascii="仿宋_GB2312" w:hAnsi="仿宋" w:eastAsia="仿宋_GB2312" w:cs="Helvetica"/>
          <w:kern w:val="0"/>
          <w:sz w:val="24"/>
        </w:rPr>
        <w:t>根据项目工作量及上级部门要求确定，各中标单位须确保能够满足采购单位的各类紧急评估需求。原则上一般委托项目要求在3个工作日内出具评估报告，紧急委托项目要求24小时内出具评估报告（确保评估报告质量）。为确保评估服务顺利开展，经采购单位同意，紧急评估项目中标单位可分包与本项目资格要求相同的单位协助开展评估服务（须签订分包协议并经采购人审核通过）。若出现需由多家单位开展评估服务的项目，采购单位可委托其余2个标的中标单位同时开展评估服务。</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 xml:space="preserve"> (二)项目质量要求</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各中标单位须按相关政策、文件规定的工作规范、规程操作，项目成果必须通过各级主管部门认可。中标单位一个月内连续出现两次错误，或是半年内总计出现3次及以上错误的，采购单位有权解除采购合同，并有权要求中标单位赔偿相关费用。</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(三)各中标单位必须按招标文件的服务标准及投标文件约定的服务价格、服务承诺等向采购单位提供优质服务，不得故意隐瞒和不兑现相关服务承诺。</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(四)各中标单位在提供服务过程中不得侵犯任何第三方知识产权。</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(五)各中标单位在未得到采购单位的书面同意下，不得将部分或全部服务内容分包给他人。</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(六)各中标单位在承接业务时须履行行业主管部门的相关规定。</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(七)各中标单位须在每季度将承接业务清单送采购单位报备。</w:t>
      </w:r>
    </w:p>
    <w:p>
      <w:pPr>
        <w:tabs>
          <w:tab w:val="left" w:pos="0"/>
        </w:tabs>
        <w:spacing w:line="360" w:lineRule="auto"/>
        <w:ind w:firstLine="480"/>
        <w:rPr>
          <w:rFonts w:ascii="仿宋_GB2312" w:hAnsi="仿宋" w:eastAsia="仿宋_GB2312" w:cs="Helvetica"/>
          <w:b/>
          <w:kern w:val="0"/>
          <w:sz w:val="24"/>
        </w:rPr>
      </w:pPr>
      <w:r>
        <w:rPr>
          <w:rFonts w:hint="eastAsia" w:ascii="仿宋_GB2312" w:hAnsi="仿宋" w:eastAsia="仿宋_GB2312" w:cs="Helvetica"/>
          <w:b/>
          <w:kern w:val="0"/>
          <w:sz w:val="24"/>
        </w:rPr>
        <w:t>二、履约保证金</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履约保证金为项目采购合同总额1</w:t>
      </w:r>
      <w:r>
        <w:rPr>
          <w:rFonts w:ascii="仿宋_GB2312" w:hAnsi="仿宋" w:eastAsia="仿宋_GB2312" w:cs="Helvetica"/>
          <w:kern w:val="0"/>
          <w:sz w:val="24"/>
        </w:rPr>
        <w:t>%。</w:t>
      </w:r>
    </w:p>
    <w:p>
      <w:pPr>
        <w:tabs>
          <w:tab w:val="left" w:pos="0"/>
        </w:tabs>
        <w:spacing w:line="360" w:lineRule="auto"/>
        <w:ind w:firstLine="480"/>
        <w:rPr>
          <w:rFonts w:ascii="仿宋_GB2312" w:hAnsi="仿宋" w:eastAsia="仿宋_GB2312" w:cs="Helvetica"/>
          <w:b/>
          <w:kern w:val="0"/>
          <w:sz w:val="24"/>
        </w:rPr>
      </w:pPr>
      <w:r>
        <w:rPr>
          <w:rFonts w:hint="eastAsia" w:ascii="仿宋_GB2312" w:hAnsi="仿宋" w:eastAsia="仿宋_GB2312" w:cs="Helvetica"/>
          <w:b/>
          <w:kern w:val="0"/>
          <w:sz w:val="24"/>
        </w:rPr>
        <w:t>三、付款方式</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评估费用结算以评估报告(需经采购单位审核通过)为准，每月结算一次。</w:t>
      </w:r>
      <w:r>
        <w:rPr>
          <w:rFonts w:hint="eastAsia" w:ascii="仿宋_GB2312" w:hAnsi="仿宋" w:eastAsia="仿宋_GB2312"/>
          <w:sz w:val="24"/>
        </w:rPr>
        <w:t>合同签订生效起至2022年12月31日止</w:t>
      </w:r>
      <w:r>
        <w:rPr>
          <w:rFonts w:ascii="仿宋_GB2312" w:hAnsi="仿宋" w:eastAsia="仿宋_GB2312" w:cs="Helvetica"/>
          <w:kern w:val="0"/>
          <w:sz w:val="24"/>
        </w:rPr>
        <w:t>或本项目采购预算金额满止，</w:t>
      </w:r>
      <w:r>
        <w:rPr>
          <w:rFonts w:hint="eastAsia" w:ascii="仿宋_GB2312" w:hAnsi="仿宋" w:eastAsia="仿宋_GB2312" w:cs="Helvetica"/>
          <w:kern w:val="0"/>
          <w:sz w:val="24"/>
        </w:rPr>
        <w:t>先到</w:t>
      </w:r>
      <w:r>
        <w:rPr>
          <w:rFonts w:ascii="仿宋_GB2312" w:hAnsi="仿宋" w:eastAsia="仿宋_GB2312" w:cs="Helvetica"/>
          <w:kern w:val="0"/>
          <w:sz w:val="24"/>
        </w:rPr>
        <w:t>为准。</w:t>
      </w:r>
    </w:p>
    <w:p>
      <w:pPr>
        <w:tabs>
          <w:tab w:val="left" w:pos="0"/>
        </w:tabs>
        <w:spacing w:line="360" w:lineRule="auto"/>
        <w:ind w:firstLine="480"/>
        <w:rPr>
          <w:rFonts w:ascii="仿宋_GB2312" w:hAnsi="仿宋" w:eastAsia="仿宋_GB2312" w:cs="Helvetica"/>
          <w:b/>
          <w:kern w:val="0"/>
          <w:sz w:val="24"/>
        </w:rPr>
      </w:pPr>
      <w:r>
        <w:rPr>
          <w:rFonts w:hint="eastAsia" w:ascii="仿宋_GB2312" w:hAnsi="仿宋" w:eastAsia="仿宋_GB2312" w:cs="Helvetica"/>
          <w:b/>
          <w:kern w:val="0"/>
          <w:sz w:val="24"/>
        </w:rPr>
        <w:t>四、最高限价</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本项目采用单价招标，数量按实结算。最高单价限价以《浙江省物价局关于公布降低后的土地价格评估服务收费标准的通知》(浙价服[2013]98号)文件标准的60%为最高限价，任何超过最高限价的报价将被认定为无效报价。</w:t>
      </w:r>
    </w:p>
    <w:p>
      <w:pPr>
        <w:tabs>
          <w:tab w:val="left" w:pos="0"/>
        </w:tabs>
        <w:spacing w:line="360" w:lineRule="auto"/>
        <w:ind w:firstLine="480"/>
        <w:rPr>
          <w:rFonts w:ascii="仿宋_GB2312" w:hAnsi="仿宋" w:eastAsia="仿宋_GB2312" w:cs="Helvetica"/>
          <w:kern w:val="0"/>
          <w:sz w:val="24"/>
        </w:rPr>
      </w:pPr>
      <w:r>
        <w:rPr>
          <w:rFonts w:hint="eastAsia" w:ascii="仿宋_GB2312" w:hAnsi="仿宋" w:eastAsia="仿宋_GB2312" w:cs="Helvetica"/>
          <w:kern w:val="0"/>
          <w:sz w:val="24"/>
        </w:rPr>
        <w:t>“浙价服〔2013〕98号”文件基准收费标准</w:t>
      </w:r>
    </w:p>
    <w:tbl>
      <w:tblPr>
        <w:tblStyle w:val="62"/>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3850"/>
        <w:gridCol w:w="3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序号</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计费档次(万元)</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1</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100以下(含100)</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2</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100-500(含500)</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3</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500-2000(含2000)</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4</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2000-5000(含5000)</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1285"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5</w:t>
            </w:r>
          </w:p>
        </w:tc>
        <w:tc>
          <w:tcPr>
            <w:tcW w:w="3850"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5000以上</w:t>
            </w:r>
          </w:p>
        </w:tc>
        <w:tc>
          <w:tcPr>
            <w:tcW w:w="3937" w:type="dxa"/>
            <w:vAlign w:val="center"/>
          </w:tcPr>
          <w:p>
            <w:pPr>
              <w:jc w:val="center"/>
              <w:rPr>
                <w:rFonts w:ascii="仿宋_GB2312" w:hAnsi="仿宋" w:eastAsia="仿宋_GB2312" w:cs="Helvetica"/>
                <w:kern w:val="0"/>
                <w:sz w:val="24"/>
              </w:rPr>
            </w:pPr>
            <w:r>
              <w:rPr>
                <w:rFonts w:hint="eastAsia" w:ascii="仿宋_GB2312" w:hAnsi="仿宋" w:eastAsia="仿宋_GB2312" w:cs="Helvetica"/>
                <w:kern w:val="0"/>
                <w:sz w:val="24"/>
              </w:rPr>
              <w:t>0.09</w:t>
            </w:r>
          </w:p>
        </w:tc>
      </w:tr>
    </w:tbl>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p>
    <w:p>
      <w:pPr>
        <w:snapToGrid w:val="0"/>
        <w:spacing w:line="360" w:lineRule="auto"/>
        <w:jc w:val="center"/>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7" w:name="_Toc184310286"/>
      <w:bookmarkEnd w:id="27"/>
      <w:bookmarkStart w:id="28" w:name="_Toc184312108"/>
      <w:bookmarkEnd w:id="28"/>
      <w:bookmarkStart w:id="29" w:name="_Toc184312071"/>
      <w:bookmarkEnd w:id="29"/>
      <w:bookmarkStart w:id="30" w:name="_Toc184314441"/>
      <w:bookmarkEnd w:id="30"/>
      <w:bookmarkStart w:id="31" w:name="_Toc184314451"/>
      <w:bookmarkEnd w:id="31"/>
      <w:bookmarkStart w:id="32" w:name="_Toc184312124"/>
      <w:bookmarkEnd w:id="32"/>
      <w:bookmarkStart w:id="33" w:name="_Toc184313302"/>
      <w:bookmarkEnd w:id="33"/>
      <w:bookmarkStart w:id="34" w:name="_Toc184313252"/>
      <w:bookmarkEnd w:id="34"/>
      <w:bookmarkStart w:id="35" w:name="_Toc184312080"/>
      <w:bookmarkEnd w:id="35"/>
      <w:bookmarkStart w:id="36" w:name="_Toc184314465"/>
      <w:bookmarkEnd w:id="36"/>
      <w:bookmarkStart w:id="37" w:name="_Toc184313242"/>
      <w:bookmarkEnd w:id="37"/>
      <w:bookmarkStart w:id="38" w:name="_Toc184310324"/>
      <w:bookmarkEnd w:id="38"/>
      <w:bookmarkStart w:id="39" w:name="_Toc184314436"/>
      <w:bookmarkEnd w:id="39"/>
      <w:bookmarkStart w:id="40" w:name="_Toc184312118"/>
      <w:bookmarkEnd w:id="40"/>
      <w:bookmarkStart w:id="41" w:name="_Toc184312119"/>
      <w:bookmarkEnd w:id="41"/>
      <w:bookmarkStart w:id="42" w:name="_Toc184313289"/>
      <w:bookmarkEnd w:id="42"/>
      <w:bookmarkStart w:id="43" w:name="_Toc184308102"/>
      <w:bookmarkEnd w:id="43"/>
      <w:bookmarkStart w:id="44" w:name="_Toc184312136"/>
      <w:bookmarkEnd w:id="44"/>
      <w:bookmarkStart w:id="45" w:name="_Toc184314456"/>
      <w:bookmarkEnd w:id="45"/>
      <w:bookmarkStart w:id="46" w:name="_Toc184312113"/>
      <w:bookmarkEnd w:id="46"/>
      <w:bookmarkStart w:id="47" w:name="_Toc184314419"/>
      <w:bookmarkEnd w:id="47"/>
      <w:bookmarkStart w:id="48" w:name="_Toc184312126"/>
      <w:bookmarkEnd w:id="48"/>
      <w:bookmarkStart w:id="49" w:name="_Toc184313293"/>
      <w:bookmarkEnd w:id="49"/>
      <w:bookmarkStart w:id="50" w:name="_Toc184310309"/>
      <w:bookmarkEnd w:id="50"/>
      <w:bookmarkStart w:id="51" w:name="_Toc184313310"/>
      <w:bookmarkEnd w:id="51"/>
      <w:bookmarkStart w:id="52" w:name="_Toc184310328"/>
      <w:bookmarkEnd w:id="52"/>
      <w:bookmarkStart w:id="53" w:name="_Toc184314421"/>
      <w:bookmarkEnd w:id="53"/>
      <w:bookmarkStart w:id="54" w:name="_Toc184310307"/>
      <w:bookmarkEnd w:id="54"/>
      <w:bookmarkStart w:id="55" w:name="_Toc184308072"/>
      <w:bookmarkEnd w:id="55"/>
      <w:bookmarkStart w:id="56" w:name="_Toc184308051"/>
      <w:bookmarkEnd w:id="56"/>
      <w:bookmarkStart w:id="57" w:name="_Toc184308107"/>
      <w:bookmarkEnd w:id="57"/>
      <w:bookmarkStart w:id="58" w:name="_Toc184312131"/>
      <w:bookmarkEnd w:id="58"/>
      <w:bookmarkStart w:id="59" w:name="_Toc184312104"/>
      <w:bookmarkEnd w:id="59"/>
      <w:bookmarkStart w:id="60" w:name="_Toc184314482"/>
      <w:bookmarkEnd w:id="60"/>
      <w:bookmarkStart w:id="61" w:name="_Toc184310319"/>
      <w:bookmarkEnd w:id="61"/>
      <w:bookmarkStart w:id="62" w:name="_Toc184314410"/>
      <w:bookmarkEnd w:id="62"/>
      <w:bookmarkStart w:id="63" w:name="_Toc184314460"/>
      <w:bookmarkEnd w:id="63"/>
      <w:bookmarkStart w:id="64" w:name="_Toc184312138"/>
      <w:bookmarkEnd w:id="64"/>
      <w:bookmarkStart w:id="65" w:name="_Toc184313274"/>
      <w:bookmarkEnd w:id="65"/>
      <w:bookmarkStart w:id="66" w:name="_Toc184310285"/>
      <w:bookmarkEnd w:id="66"/>
      <w:bookmarkStart w:id="67" w:name="_Toc184312099"/>
      <w:bookmarkEnd w:id="67"/>
      <w:bookmarkStart w:id="68" w:name="_Toc184313279"/>
      <w:bookmarkEnd w:id="68"/>
      <w:bookmarkStart w:id="69" w:name="_Toc184310323"/>
      <w:bookmarkEnd w:id="69"/>
      <w:bookmarkStart w:id="70" w:name="_Toc184308086"/>
      <w:bookmarkEnd w:id="70"/>
      <w:bookmarkStart w:id="71" w:name="_Toc184314453"/>
      <w:bookmarkEnd w:id="71"/>
      <w:bookmarkStart w:id="72" w:name="_Toc184313295"/>
      <w:bookmarkEnd w:id="72"/>
      <w:bookmarkStart w:id="73" w:name="_Toc184308048"/>
      <w:bookmarkEnd w:id="73"/>
      <w:bookmarkStart w:id="74" w:name="_Toc184312139"/>
      <w:bookmarkEnd w:id="74"/>
      <w:bookmarkStart w:id="75" w:name="_Toc184313272"/>
      <w:bookmarkEnd w:id="75"/>
      <w:bookmarkStart w:id="76" w:name="_Toc184308079"/>
      <w:bookmarkEnd w:id="76"/>
      <w:bookmarkStart w:id="77" w:name="_Toc184310284"/>
      <w:bookmarkEnd w:id="77"/>
      <w:bookmarkStart w:id="78" w:name="_Toc184314440"/>
      <w:bookmarkEnd w:id="78"/>
      <w:bookmarkStart w:id="79" w:name="_Toc184312079"/>
      <w:bookmarkEnd w:id="79"/>
      <w:bookmarkStart w:id="80" w:name="_Toc184312102"/>
      <w:bookmarkEnd w:id="80"/>
      <w:bookmarkStart w:id="81" w:name="_Toc184310343"/>
      <w:bookmarkEnd w:id="81"/>
      <w:bookmarkStart w:id="82" w:name="_Toc184314444"/>
      <w:bookmarkEnd w:id="82"/>
      <w:bookmarkStart w:id="83" w:name="_Toc184312096"/>
      <w:bookmarkEnd w:id="83"/>
      <w:bookmarkStart w:id="84" w:name="_Toc184308071"/>
      <w:bookmarkEnd w:id="84"/>
      <w:bookmarkStart w:id="85" w:name="_Toc184314420"/>
      <w:bookmarkEnd w:id="85"/>
      <w:bookmarkStart w:id="86" w:name="_Toc184310303"/>
      <w:bookmarkEnd w:id="86"/>
      <w:bookmarkStart w:id="87" w:name="_Toc184308108"/>
      <w:bookmarkEnd w:id="87"/>
      <w:bookmarkStart w:id="88" w:name="_Toc184313291"/>
      <w:bookmarkEnd w:id="88"/>
      <w:bookmarkStart w:id="89" w:name="_Toc184308100"/>
      <w:bookmarkEnd w:id="89"/>
      <w:bookmarkStart w:id="90" w:name="_Toc184313264"/>
      <w:bookmarkEnd w:id="90"/>
      <w:bookmarkStart w:id="91" w:name="_Toc184314445"/>
      <w:bookmarkEnd w:id="91"/>
      <w:bookmarkStart w:id="92" w:name="_Toc184313238"/>
      <w:bookmarkEnd w:id="92"/>
      <w:bookmarkStart w:id="93" w:name="_Toc184308070"/>
      <w:bookmarkEnd w:id="93"/>
      <w:bookmarkStart w:id="94" w:name="_Toc184310283"/>
      <w:bookmarkEnd w:id="94"/>
      <w:bookmarkStart w:id="95" w:name="_Toc184313270"/>
      <w:bookmarkEnd w:id="95"/>
      <w:bookmarkStart w:id="96" w:name="_Toc184308084"/>
      <w:bookmarkEnd w:id="96"/>
      <w:bookmarkStart w:id="97" w:name="_Toc184310306"/>
      <w:bookmarkEnd w:id="97"/>
      <w:bookmarkStart w:id="98" w:name="_Toc184310311"/>
      <w:bookmarkEnd w:id="98"/>
      <w:bookmarkStart w:id="99" w:name="_Toc184313308"/>
      <w:bookmarkEnd w:id="99"/>
      <w:bookmarkStart w:id="100" w:name="_Toc184312081"/>
      <w:bookmarkEnd w:id="100"/>
      <w:bookmarkStart w:id="101" w:name="_Toc184314442"/>
      <w:bookmarkEnd w:id="101"/>
      <w:bookmarkStart w:id="102" w:name="_Toc184310337"/>
      <w:bookmarkEnd w:id="102"/>
      <w:bookmarkStart w:id="103" w:name="_Toc184312078"/>
      <w:bookmarkEnd w:id="103"/>
      <w:bookmarkStart w:id="104" w:name="_Toc184313249"/>
      <w:bookmarkEnd w:id="104"/>
      <w:bookmarkStart w:id="105" w:name="_Toc184308083"/>
      <w:bookmarkEnd w:id="105"/>
      <w:bookmarkStart w:id="106" w:name="_Toc184313239"/>
      <w:bookmarkEnd w:id="106"/>
      <w:bookmarkStart w:id="107" w:name="_Toc184313247"/>
      <w:bookmarkEnd w:id="107"/>
      <w:bookmarkStart w:id="108" w:name="_Toc184312083"/>
      <w:bookmarkEnd w:id="108"/>
      <w:bookmarkStart w:id="109" w:name="_Toc184308065"/>
      <w:bookmarkEnd w:id="109"/>
      <w:bookmarkStart w:id="110" w:name="_Toc184314475"/>
      <w:bookmarkEnd w:id="110"/>
      <w:bookmarkStart w:id="111" w:name="_Toc184308040"/>
      <w:bookmarkEnd w:id="111"/>
      <w:bookmarkStart w:id="112" w:name="_Toc184312088"/>
      <w:bookmarkEnd w:id="112"/>
      <w:bookmarkStart w:id="113" w:name="_Toc184314473"/>
      <w:bookmarkEnd w:id="113"/>
      <w:bookmarkStart w:id="114" w:name="_Toc184310291"/>
      <w:bookmarkEnd w:id="114"/>
      <w:bookmarkStart w:id="115" w:name="_Toc184308057"/>
      <w:bookmarkEnd w:id="115"/>
      <w:bookmarkStart w:id="116" w:name="_Toc184310341"/>
      <w:bookmarkEnd w:id="116"/>
      <w:bookmarkStart w:id="117" w:name="_Toc184312095"/>
      <w:bookmarkEnd w:id="117"/>
      <w:bookmarkStart w:id="118" w:name="_Toc184313259"/>
      <w:bookmarkEnd w:id="118"/>
      <w:bookmarkStart w:id="119" w:name="_Toc184310315"/>
      <w:bookmarkEnd w:id="119"/>
      <w:bookmarkStart w:id="120" w:name="_Toc184313254"/>
      <w:bookmarkEnd w:id="120"/>
      <w:bookmarkStart w:id="121" w:name="_Toc184312084"/>
      <w:bookmarkEnd w:id="121"/>
      <w:bookmarkStart w:id="122" w:name="_Toc184312106"/>
      <w:bookmarkEnd w:id="122"/>
      <w:bookmarkStart w:id="123" w:name="_Toc184314447"/>
      <w:bookmarkEnd w:id="123"/>
      <w:bookmarkStart w:id="124" w:name="_Toc184308074"/>
      <w:bookmarkEnd w:id="124"/>
      <w:bookmarkStart w:id="125" w:name="_Toc184312098"/>
      <w:bookmarkEnd w:id="125"/>
      <w:bookmarkStart w:id="126" w:name="_Toc184314432"/>
      <w:bookmarkEnd w:id="126"/>
      <w:bookmarkStart w:id="127" w:name="_Toc184308064"/>
      <w:bookmarkEnd w:id="127"/>
      <w:bookmarkStart w:id="128" w:name="_Toc184312068"/>
      <w:bookmarkEnd w:id="128"/>
      <w:bookmarkStart w:id="129" w:name="_Toc184310273"/>
      <w:bookmarkEnd w:id="129"/>
      <w:bookmarkStart w:id="130" w:name="_Toc184314434"/>
      <w:bookmarkEnd w:id="130"/>
      <w:bookmarkStart w:id="131" w:name="_Toc184308058"/>
      <w:bookmarkEnd w:id="131"/>
      <w:bookmarkStart w:id="132" w:name="_Toc184308055"/>
      <w:bookmarkEnd w:id="132"/>
      <w:bookmarkStart w:id="133" w:name="_Toc184312097"/>
      <w:bookmarkEnd w:id="133"/>
      <w:bookmarkStart w:id="134" w:name="_Toc184313266"/>
      <w:bookmarkEnd w:id="134"/>
      <w:bookmarkStart w:id="135" w:name="_Toc184312087"/>
      <w:bookmarkEnd w:id="135"/>
      <w:bookmarkStart w:id="136" w:name="_Toc184308066"/>
      <w:bookmarkEnd w:id="136"/>
      <w:bookmarkStart w:id="137" w:name="_Toc184313256"/>
      <w:bookmarkEnd w:id="137"/>
      <w:bookmarkStart w:id="138" w:name="_Toc184310314"/>
      <w:bookmarkEnd w:id="138"/>
      <w:bookmarkStart w:id="139" w:name="_Toc184314438"/>
      <w:bookmarkEnd w:id="139"/>
      <w:bookmarkStart w:id="140" w:name="_Toc184314431"/>
      <w:bookmarkEnd w:id="140"/>
      <w:bookmarkStart w:id="141" w:name="_Toc184308067"/>
      <w:bookmarkEnd w:id="141"/>
      <w:bookmarkStart w:id="142" w:name="_Toc184308061"/>
      <w:bookmarkEnd w:id="142"/>
      <w:bookmarkStart w:id="143" w:name="_Toc184312070"/>
      <w:bookmarkEnd w:id="143"/>
      <w:bookmarkStart w:id="144" w:name="_Toc184312135"/>
      <w:bookmarkEnd w:id="144"/>
      <w:bookmarkStart w:id="145" w:name="_Toc184314455"/>
      <w:bookmarkEnd w:id="145"/>
      <w:bookmarkStart w:id="146" w:name="_Toc184312117"/>
      <w:bookmarkEnd w:id="146"/>
      <w:bookmarkStart w:id="147" w:name="_Toc184312094"/>
      <w:bookmarkEnd w:id="147"/>
      <w:bookmarkStart w:id="148" w:name="_Toc184313303"/>
      <w:bookmarkEnd w:id="148"/>
      <w:bookmarkStart w:id="149" w:name="_Toc184312115"/>
      <w:bookmarkEnd w:id="149"/>
      <w:bookmarkStart w:id="150" w:name="_Toc184310317"/>
      <w:bookmarkEnd w:id="150"/>
      <w:bookmarkStart w:id="151" w:name="_Toc184310336"/>
      <w:bookmarkEnd w:id="151"/>
      <w:bookmarkStart w:id="152" w:name="_Toc184310281"/>
      <w:bookmarkEnd w:id="152"/>
      <w:bookmarkStart w:id="153" w:name="_Toc184308053"/>
      <w:bookmarkEnd w:id="153"/>
      <w:bookmarkStart w:id="154" w:name="_Toc184314430"/>
      <w:bookmarkEnd w:id="154"/>
      <w:bookmarkStart w:id="155" w:name="_Toc184310322"/>
      <w:bookmarkEnd w:id="155"/>
      <w:bookmarkStart w:id="156" w:name="_Toc184313251"/>
      <w:bookmarkEnd w:id="156"/>
      <w:bookmarkStart w:id="157" w:name="_Toc184310292"/>
      <w:bookmarkEnd w:id="157"/>
      <w:bookmarkStart w:id="158" w:name="_Toc184314454"/>
      <w:bookmarkEnd w:id="158"/>
      <w:bookmarkStart w:id="159" w:name="_Toc184313307"/>
      <w:bookmarkEnd w:id="159"/>
      <w:bookmarkStart w:id="160" w:name="_Toc184314458"/>
      <w:bookmarkEnd w:id="160"/>
      <w:bookmarkStart w:id="161" w:name="_Toc184308101"/>
      <w:bookmarkEnd w:id="161"/>
      <w:bookmarkStart w:id="162" w:name="_Toc184310298"/>
      <w:bookmarkEnd w:id="162"/>
      <w:bookmarkStart w:id="163" w:name="_Toc184308081"/>
      <w:bookmarkEnd w:id="163"/>
      <w:bookmarkStart w:id="164" w:name="_Toc184310288"/>
      <w:bookmarkEnd w:id="164"/>
      <w:bookmarkStart w:id="165" w:name="_Toc184313292"/>
      <w:bookmarkEnd w:id="165"/>
      <w:bookmarkStart w:id="166" w:name="_Toc184308056"/>
      <w:bookmarkEnd w:id="166"/>
      <w:bookmarkStart w:id="167" w:name="_Toc184312086"/>
      <w:bookmarkEnd w:id="167"/>
      <w:bookmarkStart w:id="168" w:name="_Toc184313287"/>
      <w:bookmarkEnd w:id="168"/>
      <w:bookmarkStart w:id="169" w:name="_Toc184313275"/>
      <w:bookmarkEnd w:id="169"/>
      <w:bookmarkStart w:id="170" w:name="_Toc184310275"/>
      <w:bookmarkEnd w:id="170"/>
      <w:bookmarkStart w:id="171" w:name="_Toc184308054"/>
      <w:bookmarkEnd w:id="171"/>
      <w:bookmarkStart w:id="172" w:name="_Toc184314459"/>
      <w:bookmarkEnd w:id="172"/>
      <w:bookmarkStart w:id="173" w:name="_Toc184313263"/>
      <w:bookmarkEnd w:id="173"/>
      <w:bookmarkStart w:id="174" w:name="_Toc184312112"/>
      <w:bookmarkEnd w:id="174"/>
      <w:bookmarkStart w:id="175" w:name="_Toc184312116"/>
      <w:bookmarkEnd w:id="175"/>
      <w:bookmarkStart w:id="176" w:name="_Toc184308049"/>
      <w:bookmarkEnd w:id="176"/>
      <w:bookmarkStart w:id="177" w:name="_Toc184314413"/>
      <w:bookmarkEnd w:id="177"/>
      <w:bookmarkStart w:id="178" w:name="_Toc184313253"/>
      <w:bookmarkEnd w:id="178"/>
      <w:bookmarkStart w:id="179" w:name="_Toc184312069"/>
      <w:bookmarkEnd w:id="179"/>
      <w:bookmarkStart w:id="180" w:name="_Toc184314429"/>
      <w:bookmarkEnd w:id="180"/>
      <w:bookmarkStart w:id="181" w:name="_Toc184313280"/>
      <w:bookmarkEnd w:id="181"/>
      <w:bookmarkStart w:id="182" w:name="_Toc184310296"/>
      <w:bookmarkEnd w:id="182"/>
      <w:bookmarkStart w:id="183" w:name="_Toc184313306"/>
      <w:bookmarkEnd w:id="183"/>
      <w:bookmarkStart w:id="184" w:name="_Toc184308039"/>
      <w:bookmarkEnd w:id="184"/>
      <w:bookmarkStart w:id="185" w:name="_Toc184310299"/>
      <w:bookmarkEnd w:id="185"/>
      <w:bookmarkStart w:id="186" w:name="_Toc184314450"/>
      <w:bookmarkEnd w:id="186"/>
      <w:bookmarkStart w:id="187" w:name="_Toc184314449"/>
      <w:bookmarkEnd w:id="187"/>
      <w:bookmarkStart w:id="188" w:name="_Toc184313262"/>
      <w:bookmarkEnd w:id="188"/>
      <w:bookmarkStart w:id="189" w:name="_Toc184312067"/>
      <w:bookmarkEnd w:id="189"/>
      <w:bookmarkStart w:id="190" w:name="_Toc184312085"/>
      <w:bookmarkEnd w:id="190"/>
      <w:bookmarkStart w:id="191" w:name="_Toc184314428"/>
      <w:bookmarkEnd w:id="191"/>
      <w:bookmarkStart w:id="192" w:name="_Toc184310289"/>
      <w:bookmarkEnd w:id="192"/>
      <w:bookmarkStart w:id="193" w:name="_Toc184310297"/>
      <w:bookmarkEnd w:id="193"/>
      <w:bookmarkStart w:id="194" w:name="_Toc184313277"/>
      <w:bookmarkEnd w:id="194"/>
      <w:bookmarkStart w:id="195" w:name="_Toc184314478"/>
      <w:bookmarkEnd w:id="195"/>
      <w:bookmarkStart w:id="196" w:name="_Toc184312072"/>
      <w:bookmarkEnd w:id="196"/>
      <w:bookmarkStart w:id="197" w:name="_Toc184310339"/>
      <w:bookmarkEnd w:id="197"/>
      <w:bookmarkStart w:id="198" w:name="_Toc184314411"/>
      <w:bookmarkEnd w:id="198"/>
      <w:bookmarkStart w:id="199" w:name="_Toc184312073"/>
      <w:bookmarkEnd w:id="199"/>
      <w:bookmarkStart w:id="200" w:name="_Toc184313246"/>
      <w:bookmarkEnd w:id="200"/>
      <w:bookmarkStart w:id="201" w:name="_Toc184314418"/>
      <w:bookmarkEnd w:id="201"/>
      <w:bookmarkStart w:id="202" w:name="_Toc184310290"/>
      <w:bookmarkEnd w:id="202"/>
      <w:bookmarkStart w:id="203" w:name="_Toc184314474"/>
      <w:bookmarkEnd w:id="203"/>
      <w:bookmarkStart w:id="204" w:name="_Toc184308038"/>
      <w:bookmarkEnd w:id="204"/>
      <w:bookmarkStart w:id="205" w:name="_Toc184313260"/>
      <w:bookmarkEnd w:id="205"/>
      <w:bookmarkStart w:id="206" w:name="_Toc184308105"/>
      <w:bookmarkEnd w:id="206"/>
      <w:bookmarkStart w:id="207" w:name="_Toc184308043"/>
      <w:bookmarkEnd w:id="207"/>
      <w:bookmarkStart w:id="208" w:name="_Toc184308104"/>
      <w:bookmarkEnd w:id="208"/>
      <w:bookmarkStart w:id="209" w:name="_Toc184310274"/>
      <w:bookmarkEnd w:id="209"/>
      <w:bookmarkStart w:id="210" w:name="_Toc184310335"/>
      <w:bookmarkEnd w:id="210"/>
      <w:bookmarkStart w:id="211" w:name="_Toc184314417"/>
      <w:bookmarkEnd w:id="211"/>
      <w:bookmarkStart w:id="212" w:name="_Toc184310342"/>
      <w:bookmarkEnd w:id="212"/>
      <w:bookmarkStart w:id="213" w:name="_Toc184310279"/>
      <w:bookmarkEnd w:id="213"/>
      <w:bookmarkStart w:id="214" w:name="_Toc184313244"/>
      <w:bookmarkEnd w:id="214"/>
      <w:bookmarkStart w:id="215" w:name="_Toc184314416"/>
      <w:bookmarkEnd w:id="215"/>
      <w:bookmarkStart w:id="216" w:name="_Toc184310312"/>
      <w:bookmarkEnd w:id="216"/>
      <w:bookmarkStart w:id="217" w:name="_Toc184310316"/>
      <w:bookmarkEnd w:id="217"/>
      <w:bookmarkStart w:id="218" w:name="_Toc184308044"/>
      <w:bookmarkEnd w:id="218"/>
      <w:bookmarkStart w:id="219" w:name="_Toc184312076"/>
      <w:bookmarkEnd w:id="219"/>
      <w:bookmarkStart w:id="220" w:name="_Toc184310272"/>
      <w:bookmarkEnd w:id="220"/>
      <w:bookmarkStart w:id="221" w:name="_Toc184314415"/>
      <w:bookmarkEnd w:id="221"/>
      <w:bookmarkStart w:id="222" w:name="_Toc184308041"/>
      <w:bookmarkEnd w:id="222"/>
      <w:bookmarkStart w:id="223" w:name="_Toc184312111"/>
      <w:bookmarkEnd w:id="223"/>
      <w:bookmarkStart w:id="224" w:name="_Toc184314414"/>
      <w:bookmarkEnd w:id="224"/>
      <w:bookmarkStart w:id="225" w:name="_Toc184310280"/>
      <w:bookmarkEnd w:id="225"/>
      <w:bookmarkStart w:id="226" w:name="_Toc184314472"/>
      <w:bookmarkEnd w:id="226"/>
      <w:bookmarkStart w:id="227" w:name="_Toc184312077"/>
      <w:bookmarkEnd w:id="227"/>
      <w:bookmarkStart w:id="228" w:name="_Toc184310318"/>
      <w:bookmarkEnd w:id="228"/>
      <w:bookmarkStart w:id="229" w:name="_Toc184312074"/>
      <w:bookmarkEnd w:id="229"/>
      <w:bookmarkStart w:id="230" w:name="_Toc184312075"/>
      <w:bookmarkEnd w:id="230"/>
      <w:bookmarkStart w:id="231" w:name="_Toc184313245"/>
      <w:bookmarkEnd w:id="231"/>
      <w:bookmarkStart w:id="232" w:name="_Toc184313282"/>
      <w:bookmarkEnd w:id="232"/>
      <w:bookmarkStart w:id="233" w:name="_Toc184310276"/>
      <w:bookmarkEnd w:id="233"/>
      <w:bookmarkStart w:id="234" w:name="_Toc184314448"/>
      <w:bookmarkEnd w:id="234"/>
      <w:bookmarkStart w:id="235" w:name="_Toc184310278"/>
      <w:bookmarkEnd w:id="235"/>
      <w:bookmarkStart w:id="236" w:name="_Toc184310344"/>
      <w:bookmarkEnd w:id="236"/>
      <w:bookmarkStart w:id="237" w:name="_Toc184314433"/>
      <w:bookmarkEnd w:id="237"/>
      <w:bookmarkStart w:id="238" w:name="_Toc184312092"/>
      <w:bookmarkEnd w:id="238"/>
      <w:bookmarkStart w:id="239" w:name="_Toc184308075"/>
      <w:bookmarkEnd w:id="239"/>
      <w:bookmarkStart w:id="240" w:name="_Toc184312082"/>
      <w:bookmarkEnd w:id="240"/>
      <w:bookmarkStart w:id="241" w:name="_Toc184308042"/>
      <w:bookmarkEnd w:id="241"/>
      <w:bookmarkStart w:id="242" w:name="_Toc184308059"/>
      <w:bookmarkEnd w:id="242"/>
      <w:bookmarkStart w:id="243" w:name="_Toc184314425"/>
      <w:bookmarkEnd w:id="243"/>
      <w:bookmarkStart w:id="244" w:name="_Toc184313261"/>
      <w:bookmarkEnd w:id="244"/>
      <w:bookmarkStart w:id="245" w:name="_Toc184308106"/>
      <w:bookmarkEnd w:id="245"/>
      <w:bookmarkStart w:id="246" w:name="_Toc184310277"/>
      <w:bookmarkEnd w:id="246"/>
      <w:bookmarkStart w:id="247" w:name="_Toc184308060"/>
      <w:bookmarkEnd w:id="247"/>
      <w:bookmarkStart w:id="248" w:name="_Toc184308062"/>
      <w:bookmarkEnd w:id="248"/>
      <w:bookmarkStart w:id="249" w:name="_Toc184313276"/>
      <w:bookmarkEnd w:id="249"/>
      <w:bookmarkStart w:id="250" w:name="_Toc184314477"/>
      <w:bookmarkEnd w:id="250"/>
      <w:bookmarkStart w:id="251" w:name="_Toc184310332"/>
      <w:bookmarkEnd w:id="251"/>
      <w:bookmarkStart w:id="252" w:name="_Toc184310287"/>
      <w:bookmarkEnd w:id="252"/>
      <w:bookmarkStart w:id="253" w:name="_Toc184310295"/>
      <w:bookmarkEnd w:id="253"/>
      <w:bookmarkStart w:id="254" w:name="_Toc184314471"/>
      <w:bookmarkEnd w:id="254"/>
      <w:bookmarkStart w:id="255" w:name="_Toc184308080"/>
      <w:bookmarkEnd w:id="255"/>
      <w:bookmarkStart w:id="256" w:name="_Toc184308096"/>
      <w:bookmarkEnd w:id="256"/>
      <w:bookmarkStart w:id="257" w:name="_Toc184308050"/>
      <w:bookmarkEnd w:id="257"/>
      <w:bookmarkStart w:id="258" w:name="_Toc184313309"/>
      <w:bookmarkEnd w:id="258"/>
      <w:bookmarkStart w:id="259" w:name="_Toc184308045"/>
      <w:bookmarkEnd w:id="259"/>
      <w:bookmarkStart w:id="260" w:name="_Toc184313284"/>
      <w:bookmarkEnd w:id="260"/>
      <w:bookmarkStart w:id="261" w:name="_Toc184312110"/>
      <w:bookmarkEnd w:id="261"/>
      <w:bookmarkStart w:id="262" w:name="_Toc184312089"/>
      <w:bookmarkEnd w:id="262"/>
      <w:bookmarkStart w:id="263" w:name="_Toc184313265"/>
      <w:bookmarkEnd w:id="263"/>
      <w:bookmarkStart w:id="264" w:name="_Toc184312125"/>
      <w:bookmarkEnd w:id="264"/>
      <w:bookmarkStart w:id="265" w:name="_Toc184310320"/>
      <w:bookmarkEnd w:id="265"/>
      <w:bookmarkStart w:id="266" w:name="_Toc184313243"/>
      <w:bookmarkEnd w:id="266"/>
      <w:bookmarkStart w:id="267" w:name="_Toc184313278"/>
      <w:bookmarkEnd w:id="267"/>
      <w:bookmarkStart w:id="268" w:name="_Toc184314435"/>
      <w:bookmarkEnd w:id="268"/>
      <w:bookmarkStart w:id="269" w:name="_Toc184310294"/>
      <w:bookmarkEnd w:id="269"/>
      <w:bookmarkStart w:id="270" w:name="_Toc184314437"/>
      <w:bookmarkEnd w:id="270"/>
      <w:bookmarkStart w:id="271" w:name="_Toc184308073"/>
      <w:bookmarkEnd w:id="271"/>
      <w:bookmarkStart w:id="272" w:name="_Toc184314424"/>
      <w:bookmarkEnd w:id="272"/>
      <w:bookmarkStart w:id="273" w:name="_Toc184310304"/>
      <w:bookmarkEnd w:id="273"/>
      <w:bookmarkStart w:id="274" w:name="_Toc184310321"/>
      <w:bookmarkEnd w:id="274"/>
      <w:bookmarkStart w:id="275" w:name="_Toc184314427"/>
      <w:bookmarkEnd w:id="275"/>
      <w:bookmarkStart w:id="276" w:name="_Toc184313290"/>
      <w:bookmarkEnd w:id="276"/>
      <w:bookmarkStart w:id="277" w:name="_Toc184312090"/>
      <w:bookmarkEnd w:id="277"/>
      <w:bookmarkStart w:id="278" w:name="_Toc184313296"/>
      <w:bookmarkEnd w:id="278"/>
      <w:bookmarkStart w:id="279" w:name="_Toc184313300"/>
      <w:bookmarkEnd w:id="279"/>
      <w:bookmarkStart w:id="280" w:name="_Toc184308036"/>
      <w:bookmarkEnd w:id="280"/>
      <w:bookmarkStart w:id="281" w:name="_Toc184314412"/>
      <w:bookmarkEnd w:id="281"/>
      <w:bookmarkStart w:id="282" w:name="_Toc184308098"/>
      <w:bookmarkEnd w:id="282"/>
      <w:bookmarkStart w:id="283" w:name="_Toc184313305"/>
      <w:bookmarkEnd w:id="283"/>
      <w:bookmarkStart w:id="284" w:name="_Toc184312129"/>
      <w:bookmarkEnd w:id="284"/>
      <w:bookmarkStart w:id="285" w:name="_Toc184308097"/>
      <w:bookmarkEnd w:id="285"/>
      <w:bookmarkStart w:id="286" w:name="_Toc184312134"/>
      <w:bookmarkEnd w:id="286"/>
      <w:bookmarkStart w:id="287" w:name="_Toc184308103"/>
      <w:bookmarkEnd w:id="287"/>
      <w:bookmarkStart w:id="288" w:name="_Toc184313304"/>
      <w:bookmarkEnd w:id="288"/>
      <w:bookmarkStart w:id="289" w:name="_Toc184314468"/>
      <w:bookmarkEnd w:id="289"/>
      <w:bookmarkStart w:id="290" w:name="_Toc184314469"/>
      <w:bookmarkEnd w:id="290"/>
      <w:bookmarkStart w:id="291" w:name="_Toc184308068"/>
      <w:bookmarkEnd w:id="291"/>
      <w:bookmarkStart w:id="292" w:name="_Toc184312091"/>
      <w:bookmarkEnd w:id="292"/>
      <w:bookmarkStart w:id="293" w:name="_Toc184308046"/>
      <w:bookmarkEnd w:id="293"/>
      <w:bookmarkStart w:id="294" w:name="_Toc184312130"/>
      <w:bookmarkEnd w:id="294"/>
      <w:bookmarkStart w:id="295" w:name="_Toc184312132"/>
      <w:bookmarkEnd w:id="295"/>
      <w:bookmarkStart w:id="296" w:name="_Toc184313299"/>
      <w:bookmarkEnd w:id="296"/>
      <w:bookmarkStart w:id="297" w:name="_Toc184314470"/>
      <w:bookmarkEnd w:id="297"/>
      <w:bookmarkStart w:id="298" w:name="_Toc184313285"/>
      <w:bookmarkEnd w:id="298"/>
      <w:bookmarkStart w:id="299" w:name="_Toc184310340"/>
      <w:bookmarkEnd w:id="299"/>
      <w:bookmarkStart w:id="300" w:name="_Toc184308076"/>
      <w:bookmarkEnd w:id="300"/>
      <w:bookmarkStart w:id="301" w:name="_Toc184312109"/>
      <w:bookmarkEnd w:id="301"/>
      <w:bookmarkStart w:id="302" w:name="_Toc184310330"/>
      <w:bookmarkEnd w:id="302"/>
      <w:bookmarkStart w:id="303" w:name="_Toc184314481"/>
      <w:bookmarkEnd w:id="303"/>
      <w:bookmarkStart w:id="304" w:name="_Toc184312128"/>
      <w:bookmarkEnd w:id="304"/>
      <w:bookmarkStart w:id="305" w:name="_Toc184312122"/>
      <w:bookmarkEnd w:id="305"/>
      <w:bookmarkStart w:id="306" w:name="_Toc184310329"/>
      <w:bookmarkEnd w:id="306"/>
      <w:bookmarkStart w:id="307" w:name="_Toc184308037"/>
      <w:bookmarkEnd w:id="307"/>
      <w:bookmarkStart w:id="308" w:name="_Toc184310334"/>
      <w:bookmarkEnd w:id="308"/>
      <w:bookmarkStart w:id="309" w:name="_Toc184314452"/>
      <w:bookmarkEnd w:id="309"/>
      <w:bookmarkStart w:id="310" w:name="_Toc184308092"/>
      <w:bookmarkEnd w:id="310"/>
      <w:bookmarkStart w:id="311" w:name="_Toc184308099"/>
      <w:bookmarkEnd w:id="311"/>
      <w:bookmarkStart w:id="312" w:name="_Toc184313297"/>
      <w:bookmarkEnd w:id="312"/>
      <w:bookmarkStart w:id="313" w:name="_Toc184313286"/>
      <w:bookmarkEnd w:id="313"/>
      <w:bookmarkStart w:id="314" w:name="_Toc184310338"/>
      <w:bookmarkEnd w:id="314"/>
      <w:bookmarkStart w:id="315" w:name="_Toc184312133"/>
      <w:bookmarkEnd w:id="315"/>
      <w:bookmarkStart w:id="316" w:name="_Toc184308095"/>
      <w:bookmarkEnd w:id="316"/>
      <w:bookmarkStart w:id="317" w:name="_Toc184308089"/>
      <w:bookmarkEnd w:id="317"/>
      <w:bookmarkStart w:id="318" w:name="_Toc184313288"/>
      <w:bookmarkEnd w:id="318"/>
      <w:bookmarkStart w:id="319" w:name="_Toc184308090"/>
      <w:bookmarkEnd w:id="319"/>
      <w:bookmarkStart w:id="320" w:name="_Toc184312120"/>
      <w:bookmarkEnd w:id="320"/>
      <w:bookmarkStart w:id="321" w:name="_Toc184310326"/>
      <w:bookmarkEnd w:id="321"/>
      <w:bookmarkStart w:id="322" w:name="_Toc184313294"/>
      <w:bookmarkEnd w:id="322"/>
      <w:bookmarkStart w:id="323" w:name="_Toc184314457"/>
      <w:bookmarkEnd w:id="323"/>
      <w:bookmarkStart w:id="324" w:name="_Toc184310331"/>
      <w:bookmarkEnd w:id="324"/>
      <w:bookmarkStart w:id="325" w:name="_Toc184308091"/>
      <w:bookmarkEnd w:id="325"/>
      <w:bookmarkStart w:id="326" w:name="_Toc184314463"/>
      <w:bookmarkEnd w:id="326"/>
      <w:bookmarkStart w:id="327" w:name="_Toc184308094"/>
      <w:bookmarkEnd w:id="327"/>
      <w:bookmarkStart w:id="328" w:name="_Toc184312127"/>
      <w:bookmarkEnd w:id="328"/>
      <w:bookmarkStart w:id="329" w:name="_Toc184310333"/>
      <w:bookmarkEnd w:id="329"/>
      <w:bookmarkStart w:id="330" w:name="_Toc184314467"/>
      <w:bookmarkEnd w:id="330"/>
      <w:bookmarkStart w:id="331" w:name="_Toc184312121"/>
      <w:bookmarkEnd w:id="331"/>
      <w:bookmarkStart w:id="332" w:name="_Toc184312107"/>
      <w:bookmarkEnd w:id="332"/>
      <w:bookmarkStart w:id="333" w:name="_Toc184312123"/>
      <w:bookmarkEnd w:id="333"/>
      <w:bookmarkStart w:id="334" w:name="_Toc184314466"/>
      <w:bookmarkEnd w:id="334"/>
      <w:bookmarkStart w:id="335" w:name="_Toc184314476"/>
      <w:bookmarkEnd w:id="335"/>
      <w:bookmarkStart w:id="336" w:name="_Toc184313298"/>
      <w:bookmarkEnd w:id="336"/>
      <w:bookmarkStart w:id="337" w:name="_Toc184308088"/>
      <w:bookmarkEnd w:id="337"/>
      <w:bookmarkStart w:id="338" w:name="_Toc184310325"/>
      <w:bookmarkEnd w:id="338"/>
      <w:bookmarkStart w:id="339" w:name="_Toc184312114"/>
      <w:bookmarkEnd w:id="339"/>
      <w:bookmarkStart w:id="340" w:name="_Toc184313248"/>
      <w:bookmarkEnd w:id="340"/>
      <w:bookmarkStart w:id="341" w:name="_Toc184312137"/>
      <w:bookmarkEnd w:id="341"/>
      <w:bookmarkStart w:id="342" w:name="_Toc184313241"/>
      <w:bookmarkEnd w:id="342"/>
      <w:bookmarkStart w:id="343" w:name="_Toc184308085"/>
      <w:bookmarkEnd w:id="343"/>
      <w:bookmarkStart w:id="344" w:name="_Toc184308093"/>
      <w:bookmarkEnd w:id="344"/>
      <w:bookmarkStart w:id="345" w:name="_Toc184308087"/>
      <w:bookmarkEnd w:id="345"/>
      <w:bookmarkStart w:id="346" w:name="_Toc184313250"/>
      <w:bookmarkEnd w:id="346"/>
      <w:bookmarkStart w:id="347" w:name="_Toc184308077"/>
      <w:bookmarkEnd w:id="347"/>
      <w:bookmarkStart w:id="348" w:name="_Toc184312105"/>
      <w:bookmarkEnd w:id="348"/>
      <w:bookmarkStart w:id="349" w:name="_Toc184314422"/>
      <w:bookmarkEnd w:id="349"/>
      <w:bookmarkStart w:id="350" w:name="_Toc184310313"/>
      <w:bookmarkEnd w:id="350"/>
      <w:bookmarkStart w:id="351" w:name="_Toc184314464"/>
      <w:bookmarkEnd w:id="351"/>
      <w:bookmarkStart w:id="352" w:name="_Toc184310327"/>
      <w:bookmarkEnd w:id="352"/>
      <w:bookmarkStart w:id="353" w:name="_Toc184314423"/>
      <w:bookmarkEnd w:id="353"/>
      <w:bookmarkStart w:id="354" w:name="_Toc184314480"/>
      <w:bookmarkEnd w:id="354"/>
      <w:bookmarkStart w:id="355" w:name="_Toc184314461"/>
      <w:bookmarkEnd w:id="355"/>
      <w:bookmarkStart w:id="356" w:name="_Toc184314479"/>
      <w:bookmarkEnd w:id="356"/>
      <w:bookmarkStart w:id="357" w:name="_Toc184313301"/>
      <w:bookmarkEnd w:id="357"/>
      <w:bookmarkStart w:id="358" w:name="_Toc184312093"/>
      <w:bookmarkEnd w:id="358"/>
      <w:bookmarkStart w:id="359" w:name="_Toc184314462"/>
      <w:bookmarkEnd w:id="359"/>
      <w:bookmarkStart w:id="360" w:name="_Toc184308063"/>
      <w:bookmarkEnd w:id="360"/>
      <w:bookmarkStart w:id="361" w:name="_Toc184312101"/>
      <w:bookmarkEnd w:id="361"/>
      <w:bookmarkStart w:id="362" w:name="_Toc184313258"/>
      <w:bookmarkEnd w:id="362"/>
      <w:bookmarkStart w:id="363" w:name="_Toc184313255"/>
      <w:bookmarkEnd w:id="363"/>
      <w:bookmarkStart w:id="364" w:name="_Toc184313240"/>
      <w:bookmarkEnd w:id="364"/>
      <w:bookmarkStart w:id="365" w:name="_Toc184314439"/>
      <w:bookmarkEnd w:id="365"/>
      <w:bookmarkStart w:id="366" w:name="_Toc184313268"/>
      <w:bookmarkEnd w:id="366"/>
      <w:bookmarkStart w:id="367" w:name="_Toc184310305"/>
      <w:bookmarkEnd w:id="367"/>
      <w:bookmarkStart w:id="368" w:name="_Toc184313283"/>
      <w:bookmarkEnd w:id="368"/>
      <w:bookmarkStart w:id="369" w:name="_Toc184308069"/>
      <w:bookmarkEnd w:id="369"/>
      <w:bookmarkStart w:id="370" w:name="_Toc184310300"/>
      <w:bookmarkEnd w:id="370"/>
      <w:bookmarkStart w:id="371" w:name="_Toc184308082"/>
      <w:bookmarkEnd w:id="371"/>
      <w:bookmarkStart w:id="372" w:name="_Toc184308078"/>
      <w:bookmarkEnd w:id="372"/>
      <w:bookmarkStart w:id="373" w:name="_Toc184313281"/>
      <w:bookmarkEnd w:id="373"/>
      <w:bookmarkStart w:id="374" w:name="_Toc184310308"/>
      <w:bookmarkEnd w:id="374"/>
      <w:bookmarkStart w:id="375" w:name="_Toc184313269"/>
      <w:bookmarkEnd w:id="375"/>
      <w:bookmarkStart w:id="376" w:name="_Toc184313271"/>
      <w:bookmarkEnd w:id="376"/>
      <w:bookmarkStart w:id="377" w:name="_Toc184310310"/>
      <w:bookmarkEnd w:id="377"/>
      <w:bookmarkStart w:id="378" w:name="_Toc184310293"/>
      <w:bookmarkEnd w:id="378"/>
      <w:bookmarkStart w:id="379" w:name="_Toc184314426"/>
      <w:bookmarkEnd w:id="379"/>
      <w:bookmarkStart w:id="380" w:name="_Toc184313257"/>
      <w:bookmarkEnd w:id="380"/>
      <w:bookmarkStart w:id="381" w:name="_Toc184313267"/>
      <w:bookmarkEnd w:id="381"/>
      <w:bookmarkStart w:id="382" w:name="_Toc184308047"/>
      <w:bookmarkEnd w:id="382"/>
      <w:bookmarkStart w:id="383" w:name="_Toc184310302"/>
      <w:bookmarkEnd w:id="383"/>
      <w:bookmarkStart w:id="384" w:name="_Toc184312100"/>
      <w:bookmarkEnd w:id="384"/>
      <w:bookmarkStart w:id="385" w:name="_Toc184308052"/>
      <w:bookmarkEnd w:id="385"/>
      <w:bookmarkStart w:id="386" w:name="_Toc184312103"/>
      <w:bookmarkEnd w:id="386"/>
      <w:bookmarkStart w:id="387" w:name="_Toc184310282"/>
      <w:bookmarkEnd w:id="387"/>
      <w:bookmarkStart w:id="388" w:name="_Toc184310301"/>
      <w:bookmarkEnd w:id="388"/>
      <w:bookmarkStart w:id="389" w:name="_Toc184314443"/>
      <w:bookmarkEnd w:id="389"/>
      <w:bookmarkStart w:id="390" w:name="_Toc184313273"/>
      <w:bookmarkEnd w:id="390"/>
      <w:bookmarkStart w:id="391" w:name="_Toc184314446"/>
      <w:bookmarkEnd w:id="391"/>
      <w:r>
        <w:rPr>
          <w:rFonts w:hint="eastAsia" w:ascii="仿宋" w:hAnsi="仿宋" w:eastAsia="仿宋" w:cs="仿宋_GB2312"/>
          <w:b/>
          <w:sz w:val="36"/>
          <w:szCs w:val="36"/>
        </w:rPr>
        <w:t>评标办法</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ind w:firstLine="472" w:firstLineChars="196"/>
        <w:rPr>
          <w:rFonts w:ascii="仿宋_GB2312" w:hAnsi="仿宋" w:eastAsia="仿宋_GB2312" w:cs="Arial"/>
          <w:kern w:val="0"/>
          <w:sz w:val="24"/>
        </w:rPr>
      </w:pPr>
      <w:r>
        <w:rPr>
          <w:rFonts w:hint="eastAsia" w:ascii="仿宋_GB2312" w:hAnsi="仿宋" w:eastAsia="仿宋_GB2312" w:cs="Arial"/>
          <w:b/>
          <w:kern w:val="0"/>
          <w:sz w:val="24"/>
        </w:rPr>
        <w:t>2、每位投标人只能中一个标的</w:t>
      </w:r>
      <w:r>
        <w:rPr>
          <w:rFonts w:hint="eastAsia" w:ascii="仿宋_GB2312" w:hAnsi="仿宋" w:eastAsia="仿宋_GB2312" w:cs="Arial"/>
          <w:kern w:val="0"/>
          <w:sz w:val="24"/>
        </w:rPr>
        <w:t>。按照标的顺序，标的1的得分最高者为中标候选人后，自动放弃标的2、标的3投标，以此类推。</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1.</w:t>
      </w:r>
      <w:r>
        <w:rPr>
          <w:rFonts w:hint="eastAsia" w:ascii="仿宋_GB2312" w:hAnsi="仿宋" w:eastAsia="仿宋_GB2312" w:cs="Arial"/>
          <w:kern w:val="0"/>
          <w:sz w:val="24"/>
        </w:rPr>
        <w:t>合格投标人的评标得分为各项目汇总得分，中标候选资格按评标得分由高到低顺序排列，得分相同的，按投标报价由低到高顺序排列；得分且投标报价相同的，按技术指标由高到低顺序排列。排名第一的的投标人为中标候选人。评分过程中采用四舍五入法，并保留小数2位。</w:t>
      </w:r>
    </w:p>
    <w:p>
      <w:pPr>
        <w:spacing w:line="500" w:lineRule="exact"/>
        <w:ind w:firstLine="482" w:firstLineChars="200"/>
        <w:rPr>
          <w:rFonts w:ascii="仿宋_GB2312" w:hAnsi="仿宋" w:eastAsia="仿宋_GB2312" w:cs="Arial"/>
          <w:kern w:val="0"/>
          <w:sz w:val="24"/>
        </w:rPr>
      </w:pPr>
      <w:r>
        <w:rPr>
          <w:rFonts w:hint="eastAsia" w:ascii="仿宋_GB2312" w:hAnsi="仿宋" w:eastAsia="仿宋_GB2312" w:cs="Arial"/>
          <w:b/>
          <w:kern w:val="0"/>
          <w:sz w:val="24"/>
        </w:rPr>
        <w:t>2.</w:t>
      </w:r>
      <w:r>
        <w:rPr>
          <w:rFonts w:hint="eastAsia" w:ascii="仿宋_GB2312" w:hAnsi="仿宋" w:eastAsia="仿宋_GB2312" w:cs="Arial"/>
          <w:kern w:val="0"/>
          <w:sz w:val="24"/>
        </w:rPr>
        <w:t>评分办法</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（1）满分为100分。总得分=技术、商务得分+报价得分；</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（2）技术、商务得分=技术、商务评分，技术、商务评分=各评委的有效评分的算术平均数；</w:t>
      </w:r>
    </w:p>
    <w:p>
      <w:pPr>
        <w:spacing w:line="500" w:lineRule="exact"/>
        <w:ind w:firstLine="480" w:firstLineChars="200"/>
        <w:rPr>
          <w:rFonts w:ascii="仿宋_GB2312" w:hAnsi="仿宋" w:eastAsia="仿宋_GB2312" w:cs="Arial"/>
          <w:kern w:val="0"/>
          <w:sz w:val="24"/>
        </w:rPr>
      </w:pPr>
      <w:r>
        <w:rPr>
          <w:rFonts w:hint="eastAsia" w:ascii="仿宋_GB2312" w:hAnsi="仿宋" w:eastAsia="仿宋_GB2312" w:cs="Arial"/>
          <w:kern w:val="0"/>
          <w:sz w:val="24"/>
        </w:rPr>
        <w:t>（3）报价得分=（评标基准价/投标报价）*价格权值*100，评标基准价=有效投标人的最低投标报价，价格权值=20%；</w:t>
      </w:r>
    </w:p>
    <w:p>
      <w:pPr>
        <w:snapToGrid w:val="0"/>
        <w:spacing w:line="360" w:lineRule="auto"/>
        <w:rPr>
          <w:rFonts w:ascii="仿宋_GB2312" w:hAnsi="仿宋" w:eastAsia="仿宋_GB2312" w:cs="Arial"/>
          <w:kern w:val="0"/>
          <w:sz w:val="24"/>
        </w:rPr>
      </w:pPr>
      <w:r>
        <w:rPr>
          <w:rFonts w:hint="eastAsia" w:ascii="仿宋_GB2312" w:hAnsi="仿宋" w:eastAsia="仿宋_GB2312" w:cs="Arial"/>
          <w:kern w:val="0"/>
          <w:sz w:val="24"/>
        </w:rPr>
        <w:t xml:space="preserve">    （4）技术、商务分评分细则（80分）：</w:t>
      </w:r>
    </w:p>
    <w:tbl>
      <w:tblPr>
        <w:tblStyle w:val="62"/>
        <w:tblW w:w="8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187"/>
        <w:gridCol w:w="1134"/>
        <w:gridCol w:w="464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67"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序号</w:t>
            </w:r>
          </w:p>
        </w:tc>
        <w:tc>
          <w:tcPr>
            <w:tcW w:w="2321" w:type="dxa"/>
            <w:gridSpan w:val="2"/>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评分项目</w:t>
            </w:r>
          </w:p>
        </w:tc>
        <w:tc>
          <w:tcPr>
            <w:tcW w:w="4644" w:type="dxa"/>
            <w:vAlign w:val="center"/>
          </w:tcPr>
          <w:p>
            <w:pPr>
              <w:spacing w:line="400" w:lineRule="exact"/>
              <w:ind w:firstLine="960" w:firstLineChars="400"/>
              <w:jc w:val="left"/>
              <w:rPr>
                <w:rFonts w:ascii="仿宋_GB2312" w:hAnsi="仿宋" w:eastAsia="仿宋_GB2312" w:cs="Arial"/>
                <w:kern w:val="0"/>
                <w:sz w:val="24"/>
              </w:rPr>
            </w:pPr>
            <w:r>
              <w:rPr>
                <w:rFonts w:hint="eastAsia" w:ascii="仿宋_GB2312" w:hAnsi="仿宋" w:eastAsia="仿宋_GB2312" w:cs="Arial"/>
                <w:kern w:val="0"/>
                <w:sz w:val="24"/>
              </w:rPr>
              <w:t>分值及评分标准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567"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1</w:t>
            </w:r>
          </w:p>
        </w:tc>
        <w:tc>
          <w:tcPr>
            <w:tcW w:w="1187"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资信、技术实力（30分）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资信</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（10分）</w:t>
            </w: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根据近2年省级土地估价师协会颁发并行政主管部门备案的“资信等级证书”评分，每个年度资信等级为一级的得5分，二级的得3分，三级的得2分，其他不得分。</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（提供相关证书复印件加盖投标人公章，不提供不得分）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567" w:type="dxa"/>
            <w:vMerge w:val="continue"/>
            <w:vAlign w:val="center"/>
          </w:tcPr>
          <w:p>
            <w:pPr>
              <w:spacing w:line="400" w:lineRule="exact"/>
              <w:jc w:val="left"/>
              <w:rPr>
                <w:rFonts w:ascii="仿宋_GB2312" w:hAnsi="仿宋" w:eastAsia="仿宋_GB2312" w:cs="Arial"/>
                <w:kern w:val="0"/>
                <w:sz w:val="24"/>
              </w:rPr>
            </w:pPr>
          </w:p>
        </w:tc>
        <w:tc>
          <w:tcPr>
            <w:tcW w:w="1187" w:type="dxa"/>
            <w:vMerge w:val="continue"/>
            <w:vAlign w:val="center"/>
          </w:tcPr>
          <w:p>
            <w:pPr>
              <w:spacing w:line="400" w:lineRule="exact"/>
              <w:jc w:val="left"/>
              <w:rPr>
                <w:rFonts w:ascii="仿宋_GB2312" w:hAnsi="仿宋" w:eastAsia="仿宋_GB2312" w:cs="Arial"/>
                <w:kern w:val="0"/>
                <w:sz w:val="24"/>
              </w:rPr>
            </w:pPr>
          </w:p>
        </w:tc>
        <w:tc>
          <w:tcPr>
            <w:tcW w:w="1134"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技术力量（20分）</w:t>
            </w: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投标人拥有土地估价师人数，每人得1分，最高不超过10分。以省级自然资源部门出具的《关于***（土地估价机构名称）备案情况的函》上载明的土地估价师人数计。</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（提供相关证书复印件加盖投标人公章，不提供不得分）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567" w:type="dxa"/>
            <w:vMerge w:val="continue"/>
            <w:vAlign w:val="center"/>
          </w:tcPr>
          <w:p>
            <w:pPr>
              <w:spacing w:line="400" w:lineRule="exact"/>
              <w:jc w:val="left"/>
              <w:rPr>
                <w:rFonts w:ascii="仿宋_GB2312" w:hAnsi="仿宋" w:eastAsia="仿宋_GB2312" w:cs="Arial"/>
                <w:kern w:val="0"/>
                <w:sz w:val="24"/>
              </w:rPr>
            </w:pPr>
          </w:p>
        </w:tc>
        <w:tc>
          <w:tcPr>
            <w:tcW w:w="1187" w:type="dxa"/>
            <w:vMerge w:val="continue"/>
            <w:vAlign w:val="center"/>
          </w:tcPr>
          <w:p>
            <w:pPr>
              <w:spacing w:line="400" w:lineRule="exact"/>
              <w:jc w:val="left"/>
              <w:rPr>
                <w:rFonts w:ascii="仿宋_GB2312" w:hAnsi="仿宋" w:eastAsia="仿宋_GB2312" w:cs="Arial"/>
                <w:kern w:val="0"/>
                <w:sz w:val="24"/>
              </w:rPr>
            </w:pPr>
          </w:p>
        </w:tc>
        <w:tc>
          <w:tcPr>
            <w:tcW w:w="1134" w:type="dxa"/>
            <w:vMerge w:val="continue"/>
            <w:vAlign w:val="center"/>
          </w:tcPr>
          <w:p>
            <w:pPr>
              <w:spacing w:line="400" w:lineRule="exact"/>
              <w:jc w:val="left"/>
              <w:rPr>
                <w:rFonts w:ascii="仿宋_GB2312" w:hAnsi="仿宋" w:eastAsia="仿宋_GB2312" w:cs="Arial"/>
                <w:kern w:val="0"/>
                <w:sz w:val="24"/>
              </w:rPr>
            </w:pP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土地评估拟派项目负责人入围国家级行业协会专家库的得10分，入围省级行业协会的专家库的得5分，入围市级行业协会的专家库的得3分，其它不得分。（提供在有效期内的相应文件或聘书等证明材料并加盖投标人公章，不提供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567"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2</w:t>
            </w:r>
          </w:p>
        </w:tc>
        <w:tc>
          <w:tcPr>
            <w:tcW w:w="1187"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土地市场熟悉状况（10分）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土地市场熟悉状况</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（10分）</w:t>
            </w:r>
          </w:p>
        </w:tc>
        <w:tc>
          <w:tcPr>
            <w:tcW w:w="4644" w:type="dxa"/>
          </w:tcPr>
          <w:p>
            <w:pPr>
              <w:spacing w:line="400" w:lineRule="exact"/>
              <w:jc w:val="left"/>
              <w:rPr>
                <w:rFonts w:ascii="仿宋_GB2312" w:hAnsi="仿宋" w:eastAsia="仿宋_GB2312" w:cs="Arial"/>
                <w:kern w:val="0"/>
                <w:sz w:val="24"/>
              </w:rPr>
            </w:pPr>
            <w:r>
              <w:rPr>
                <w:rFonts w:ascii="仿宋_GB2312" w:hAnsi="仿宋" w:eastAsia="仿宋_GB2312" w:cs="Arial"/>
                <w:kern w:val="0"/>
                <w:sz w:val="24"/>
              </w:rPr>
              <w:t>根据投标人对本项目土地市场特别是土地一级市场评估业务的熟悉程度打分，需提供相关资料佐证</w:t>
            </w:r>
            <w:r>
              <w:rPr>
                <w:rFonts w:hint="eastAsia" w:ascii="仿宋_GB2312" w:hAnsi="仿宋" w:eastAsia="仿宋_GB2312" w:cs="Arial"/>
                <w:kern w:val="0"/>
                <w:sz w:val="24"/>
              </w:rPr>
              <w:t>。</w:t>
            </w:r>
            <w:r>
              <w:rPr>
                <w:rFonts w:ascii="仿宋_GB2312" w:hAnsi="仿宋" w:eastAsia="仿宋_GB2312" w:cs="Arial"/>
                <w:kern w:val="0"/>
                <w:sz w:val="24"/>
              </w:rPr>
              <w:t>熟悉程度</w:t>
            </w:r>
            <w:r>
              <w:rPr>
                <w:rFonts w:hint="eastAsia" w:ascii="仿宋_GB2312" w:hAnsi="仿宋" w:eastAsia="仿宋_GB2312" w:cs="Arial"/>
                <w:kern w:val="0"/>
                <w:sz w:val="24"/>
              </w:rPr>
              <w:t>较好的最高</w:t>
            </w:r>
            <w:r>
              <w:rPr>
                <w:rFonts w:ascii="仿宋_GB2312" w:hAnsi="仿宋" w:eastAsia="仿宋_GB2312" w:cs="Arial"/>
                <w:kern w:val="0"/>
                <w:sz w:val="24"/>
              </w:rPr>
              <w:t>得10分，一般的</w:t>
            </w:r>
            <w:r>
              <w:rPr>
                <w:rFonts w:hint="eastAsia" w:ascii="仿宋_GB2312" w:hAnsi="仿宋" w:eastAsia="仿宋_GB2312" w:cs="Arial"/>
                <w:kern w:val="0"/>
                <w:sz w:val="24"/>
              </w:rPr>
              <w:t>最高</w:t>
            </w:r>
            <w:r>
              <w:rPr>
                <w:rFonts w:ascii="仿宋_GB2312" w:hAnsi="仿宋" w:eastAsia="仿宋_GB2312" w:cs="Arial"/>
                <w:kern w:val="0"/>
                <w:sz w:val="24"/>
              </w:rPr>
              <w:t>得</w:t>
            </w:r>
            <w:r>
              <w:rPr>
                <w:rFonts w:hint="eastAsia" w:ascii="仿宋_GB2312" w:hAnsi="仿宋" w:eastAsia="仿宋_GB2312" w:cs="Arial"/>
                <w:kern w:val="0"/>
                <w:sz w:val="24"/>
              </w:rPr>
              <w:t>7</w:t>
            </w:r>
            <w:r>
              <w:rPr>
                <w:rFonts w:ascii="仿宋_GB2312" w:hAnsi="仿宋" w:eastAsia="仿宋_GB2312" w:cs="Arial"/>
                <w:kern w:val="0"/>
                <w:sz w:val="24"/>
              </w:rPr>
              <w:t>分，</w:t>
            </w:r>
            <w:r>
              <w:rPr>
                <w:rFonts w:hint="eastAsia" w:ascii="仿宋_GB2312" w:hAnsi="仿宋" w:eastAsia="仿宋_GB2312" w:cs="Arial"/>
                <w:kern w:val="0"/>
                <w:sz w:val="24"/>
              </w:rPr>
              <w:t>较</w:t>
            </w:r>
            <w:r>
              <w:rPr>
                <w:rFonts w:ascii="仿宋_GB2312" w:hAnsi="仿宋" w:eastAsia="仿宋_GB2312" w:cs="Arial"/>
                <w:kern w:val="0"/>
                <w:sz w:val="24"/>
              </w:rPr>
              <w:t>差的</w:t>
            </w:r>
            <w:r>
              <w:rPr>
                <w:rFonts w:hint="eastAsia" w:ascii="仿宋_GB2312" w:hAnsi="仿宋" w:eastAsia="仿宋_GB2312" w:cs="Arial"/>
                <w:kern w:val="0"/>
                <w:sz w:val="24"/>
              </w:rPr>
              <w:t>最高</w:t>
            </w:r>
            <w:r>
              <w:rPr>
                <w:rFonts w:ascii="仿宋_GB2312" w:hAnsi="仿宋" w:eastAsia="仿宋_GB2312" w:cs="Arial"/>
                <w:kern w:val="0"/>
                <w:sz w:val="24"/>
              </w:rPr>
              <w:t>得</w:t>
            </w:r>
            <w:r>
              <w:rPr>
                <w:rFonts w:hint="eastAsia" w:ascii="仿宋_GB2312" w:hAnsi="仿宋" w:eastAsia="仿宋_GB2312" w:cs="Arial"/>
                <w:kern w:val="0"/>
                <w:sz w:val="24"/>
              </w:rPr>
              <w:t>4</w:t>
            </w:r>
            <w:r>
              <w:rPr>
                <w:rFonts w:ascii="仿宋_GB2312" w:hAnsi="仿宋" w:eastAsia="仿宋_GB2312" w:cs="Arial"/>
                <w:kern w:val="0"/>
                <w:sz w:val="24"/>
              </w:rPr>
              <w:t>分</w:t>
            </w:r>
            <w:r>
              <w:rPr>
                <w:rFonts w:hint="eastAsia" w:ascii="仿宋_GB2312" w:hAnsi="仿宋" w:eastAsia="仿宋_GB2312" w:cs="Arial"/>
                <w:kern w:val="0"/>
                <w:sz w:val="24"/>
              </w:rPr>
              <w:t>，未提供说明的不得分。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567"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3</w:t>
            </w:r>
          </w:p>
        </w:tc>
        <w:tc>
          <w:tcPr>
            <w:tcW w:w="1187"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项目实施方案及质量保证</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（30分）</w:t>
            </w:r>
          </w:p>
        </w:tc>
        <w:tc>
          <w:tcPr>
            <w:tcW w:w="1134"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工作</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方案</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（20分）</w:t>
            </w: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根据投标人对土地坐落地理区位及地价等级划分的熟悉程度，对本项目相关房地产市场宏观趋势的分析进行打分。分析科学、精准、合理的最高得10分，</w:t>
            </w:r>
            <w:r>
              <w:rPr>
                <w:rFonts w:ascii="仿宋_GB2312" w:hAnsi="仿宋" w:eastAsia="仿宋_GB2312" w:cs="Arial"/>
                <w:kern w:val="0"/>
                <w:sz w:val="24"/>
              </w:rPr>
              <w:t>一般的</w:t>
            </w:r>
            <w:r>
              <w:rPr>
                <w:rFonts w:hint="eastAsia" w:ascii="仿宋_GB2312" w:hAnsi="仿宋" w:eastAsia="仿宋_GB2312" w:cs="Arial"/>
                <w:kern w:val="0"/>
                <w:sz w:val="24"/>
              </w:rPr>
              <w:t>最高</w:t>
            </w:r>
            <w:r>
              <w:rPr>
                <w:rFonts w:ascii="仿宋_GB2312" w:hAnsi="仿宋" w:eastAsia="仿宋_GB2312" w:cs="Arial"/>
                <w:kern w:val="0"/>
                <w:sz w:val="24"/>
              </w:rPr>
              <w:t>得</w:t>
            </w:r>
            <w:r>
              <w:rPr>
                <w:rFonts w:hint="eastAsia" w:ascii="仿宋_GB2312" w:hAnsi="仿宋" w:eastAsia="仿宋_GB2312" w:cs="Arial"/>
                <w:kern w:val="0"/>
                <w:sz w:val="24"/>
              </w:rPr>
              <w:t>7</w:t>
            </w:r>
            <w:r>
              <w:rPr>
                <w:rFonts w:ascii="仿宋_GB2312" w:hAnsi="仿宋" w:eastAsia="仿宋_GB2312" w:cs="Arial"/>
                <w:kern w:val="0"/>
                <w:sz w:val="24"/>
              </w:rPr>
              <w:t>分，</w:t>
            </w:r>
            <w:r>
              <w:rPr>
                <w:rFonts w:hint="eastAsia" w:ascii="仿宋_GB2312" w:hAnsi="仿宋" w:eastAsia="仿宋_GB2312" w:cs="Arial"/>
                <w:kern w:val="0"/>
                <w:sz w:val="24"/>
              </w:rPr>
              <w:t>较</w:t>
            </w:r>
            <w:r>
              <w:rPr>
                <w:rFonts w:ascii="仿宋_GB2312" w:hAnsi="仿宋" w:eastAsia="仿宋_GB2312" w:cs="Arial"/>
                <w:kern w:val="0"/>
                <w:sz w:val="24"/>
              </w:rPr>
              <w:t>差的</w:t>
            </w:r>
            <w:r>
              <w:rPr>
                <w:rFonts w:hint="eastAsia" w:ascii="仿宋_GB2312" w:hAnsi="仿宋" w:eastAsia="仿宋_GB2312" w:cs="Arial"/>
                <w:kern w:val="0"/>
                <w:sz w:val="24"/>
              </w:rPr>
              <w:t>最高得4</w:t>
            </w:r>
            <w:r>
              <w:rPr>
                <w:rFonts w:ascii="仿宋_GB2312" w:hAnsi="仿宋" w:eastAsia="仿宋_GB2312" w:cs="Arial"/>
                <w:kern w:val="0"/>
                <w:sz w:val="24"/>
              </w:rPr>
              <w:t>分</w:t>
            </w:r>
            <w:r>
              <w:rPr>
                <w:rFonts w:hint="eastAsia" w:ascii="仿宋_GB2312" w:hAnsi="仿宋" w:eastAsia="仿宋_GB2312" w:cs="Arial"/>
                <w:kern w:val="0"/>
                <w:sz w:val="24"/>
              </w:rPr>
              <w:t>，未提供的不得分。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567" w:type="dxa"/>
            <w:vMerge w:val="continue"/>
            <w:vAlign w:val="center"/>
          </w:tcPr>
          <w:p>
            <w:pPr>
              <w:spacing w:line="400" w:lineRule="exact"/>
              <w:jc w:val="left"/>
              <w:rPr>
                <w:rFonts w:ascii="仿宋_GB2312" w:hAnsi="仿宋" w:eastAsia="仿宋_GB2312" w:cs="Arial"/>
                <w:kern w:val="0"/>
                <w:sz w:val="24"/>
              </w:rPr>
            </w:pPr>
          </w:p>
        </w:tc>
        <w:tc>
          <w:tcPr>
            <w:tcW w:w="1187" w:type="dxa"/>
            <w:vMerge w:val="continue"/>
            <w:vAlign w:val="center"/>
          </w:tcPr>
          <w:p>
            <w:pPr>
              <w:rPr>
                <w:rFonts w:ascii="仿宋_GB2312" w:hAnsi="仿宋" w:eastAsia="仿宋_GB2312" w:cs="Arial"/>
                <w:kern w:val="0"/>
                <w:sz w:val="24"/>
              </w:rPr>
            </w:pPr>
          </w:p>
        </w:tc>
        <w:tc>
          <w:tcPr>
            <w:tcW w:w="1134" w:type="dxa"/>
            <w:vMerge w:val="continue"/>
            <w:vAlign w:val="center"/>
          </w:tcPr>
          <w:p>
            <w:pPr>
              <w:rPr>
                <w:rFonts w:ascii="仿宋_GB2312" w:hAnsi="仿宋" w:eastAsia="仿宋_GB2312" w:cs="Arial"/>
                <w:kern w:val="0"/>
                <w:sz w:val="24"/>
              </w:rPr>
            </w:pP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根据投标人对土地评估项目工作流程的科学合理性打分，包括制定估价作业方案、选择估价方法的科学合理性、对相关政策把握的准确性等方面，完善的最高得10分，欠佳的最高得7分，一般得最高4分，未提供的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67" w:type="dxa"/>
            <w:vMerge w:val="continue"/>
            <w:vAlign w:val="center"/>
          </w:tcPr>
          <w:p>
            <w:pPr>
              <w:spacing w:line="400" w:lineRule="exact"/>
              <w:jc w:val="left"/>
              <w:rPr>
                <w:rFonts w:ascii="仿宋_GB2312" w:hAnsi="仿宋" w:eastAsia="仿宋_GB2312" w:cs="Arial"/>
                <w:kern w:val="0"/>
                <w:sz w:val="24"/>
              </w:rPr>
            </w:pPr>
          </w:p>
        </w:tc>
        <w:tc>
          <w:tcPr>
            <w:tcW w:w="1187" w:type="dxa"/>
            <w:vMerge w:val="continue"/>
            <w:vAlign w:val="center"/>
          </w:tcPr>
          <w:p>
            <w:pPr>
              <w:rPr>
                <w:rFonts w:ascii="仿宋_GB2312" w:hAnsi="仿宋" w:eastAsia="仿宋_GB2312" w:cs="Arial"/>
                <w:kern w:val="0"/>
                <w:sz w:val="24"/>
              </w:rPr>
            </w:pPr>
          </w:p>
        </w:tc>
        <w:tc>
          <w:tcPr>
            <w:tcW w:w="1134" w:type="dxa"/>
            <w:vMerge w:val="restart"/>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质量</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保证</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（10分）</w:t>
            </w: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投标人提供土地评估质量保证体系，质量内控体系是否健全、完整，质量保证措施是否切实可行，完善的最高得5分，欠佳的最高得3分，一般最高得1分，未提供的不得分。（提供单位在实际执行的内控制度并加盖投标人公章，不提供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9" w:hRule="atLeast"/>
          <w:jc w:val="center"/>
        </w:trPr>
        <w:tc>
          <w:tcPr>
            <w:tcW w:w="567" w:type="dxa"/>
            <w:vMerge w:val="continue"/>
            <w:vAlign w:val="center"/>
          </w:tcPr>
          <w:p>
            <w:pPr>
              <w:spacing w:line="400" w:lineRule="exact"/>
              <w:jc w:val="left"/>
              <w:rPr>
                <w:rFonts w:ascii="仿宋_GB2312" w:hAnsi="仿宋" w:eastAsia="仿宋_GB2312" w:cs="Arial"/>
                <w:kern w:val="0"/>
                <w:sz w:val="24"/>
              </w:rPr>
            </w:pPr>
          </w:p>
        </w:tc>
        <w:tc>
          <w:tcPr>
            <w:tcW w:w="1187" w:type="dxa"/>
            <w:vMerge w:val="continue"/>
            <w:vAlign w:val="center"/>
          </w:tcPr>
          <w:p>
            <w:pPr>
              <w:rPr>
                <w:rFonts w:ascii="仿宋_GB2312" w:hAnsi="仿宋" w:eastAsia="仿宋_GB2312" w:cs="Arial"/>
                <w:kern w:val="0"/>
                <w:sz w:val="24"/>
              </w:rPr>
            </w:pPr>
          </w:p>
        </w:tc>
        <w:tc>
          <w:tcPr>
            <w:tcW w:w="1134" w:type="dxa"/>
            <w:vMerge w:val="continue"/>
            <w:vAlign w:val="center"/>
          </w:tcPr>
          <w:p>
            <w:pPr>
              <w:rPr>
                <w:rFonts w:ascii="仿宋_GB2312" w:hAnsi="仿宋" w:eastAsia="仿宋_GB2312" w:cs="Arial"/>
                <w:kern w:val="0"/>
                <w:sz w:val="24"/>
              </w:rPr>
            </w:pP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投标人提供的土地评估质量保证措施是否切实可行，完全可行的最高得5分，基本可行的最高得3分，一般得最高得1分，未提供的不得分。（提供单位在实际执行的内控制度并加盖投标人公章，不提供不得分）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jc w:val="center"/>
        </w:trPr>
        <w:tc>
          <w:tcPr>
            <w:tcW w:w="567"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4</w:t>
            </w:r>
          </w:p>
        </w:tc>
        <w:tc>
          <w:tcPr>
            <w:tcW w:w="1187"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业务</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能力</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（2分）</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土地估价业务（2分）</w:t>
            </w:r>
          </w:p>
        </w:tc>
        <w:tc>
          <w:tcPr>
            <w:tcW w:w="4644" w:type="dxa"/>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近三年完成土地一级市场评估报告150个以上，且年平均完成报告50个以上（含50个）得2分；年平均完成报告30-49个得1.5分（含30个）；年平均完成报告10-29个得1分；平均年完成10个以下（含10个）的不得分。（需提供正确的土地估价报告编号、委托评估协议，以及从“土地估价报告备案系统”中取得的电子备案号等信息）</w:t>
            </w:r>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567"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5</w:t>
            </w:r>
          </w:p>
        </w:tc>
        <w:tc>
          <w:tcPr>
            <w:tcW w:w="2321" w:type="dxa"/>
            <w:gridSpan w:val="2"/>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服务保障（8分）</w:t>
            </w:r>
          </w:p>
        </w:tc>
        <w:tc>
          <w:tcPr>
            <w:tcW w:w="4644" w:type="dxa"/>
          </w:tcPr>
          <w:p>
            <w:pPr>
              <w:spacing w:line="400" w:lineRule="exact"/>
              <w:jc w:val="left"/>
              <w:rPr>
                <w:rFonts w:ascii="仿宋_GB2312" w:hAnsi="仿宋" w:eastAsia="仿宋_GB2312" w:cs="Arial"/>
                <w:kern w:val="0"/>
                <w:sz w:val="24"/>
              </w:rPr>
            </w:pPr>
            <w:bookmarkStart w:id="401" w:name="_GoBack"/>
            <w:r>
              <w:rPr>
                <w:rFonts w:hint="eastAsia" w:ascii="仿宋_GB2312" w:hAnsi="仿宋" w:eastAsia="仿宋_GB2312" w:cs="Arial"/>
                <w:kern w:val="0"/>
                <w:sz w:val="24"/>
              </w:rPr>
              <w:t>1、工作进度要求和项目质量要求满足招标文件要求的得4分，不满足的不得分。</w:t>
            </w:r>
          </w:p>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2、根据投标人提供售后服务保障方案及承诺的合理性、真实可靠性等方面进行打分（如售后服务响应时间、售后服务点的设立情况等），最高得4分。（须提供相关证明材料）</w:t>
            </w:r>
            <w:bookmarkEnd w:id="401"/>
          </w:p>
        </w:tc>
        <w:tc>
          <w:tcPr>
            <w:tcW w:w="1134" w:type="dxa"/>
            <w:vAlign w:val="center"/>
          </w:tcPr>
          <w:p>
            <w:pPr>
              <w:spacing w:line="400" w:lineRule="exact"/>
              <w:jc w:val="left"/>
              <w:rPr>
                <w:rFonts w:ascii="仿宋_GB2312" w:hAnsi="仿宋" w:eastAsia="仿宋_GB2312" w:cs="Arial"/>
                <w:kern w:val="0"/>
                <w:sz w:val="24"/>
              </w:rPr>
            </w:pPr>
            <w:r>
              <w:rPr>
                <w:rFonts w:hint="eastAsia" w:ascii="仿宋_GB2312" w:hAnsi="仿宋" w:eastAsia="仿宋_GB2312" w:cs="Arial"/>
                <w:kern w:val="0"/>
                <w:sz w:val="24"/>
              </w:rPr>
              <w:t>0-8分</w:t>
            </w:r>
          </w:p>
        </w:tc>
      </w:tr>
    </w:tbl>
    <w:p>
      <w:pPr>
        <w:snapToGrid w:val="0"/>
        <w:spacing w:line="360" w:lineRule="auto"/>
        <w:rPr>
          <w:rFonts w:ascii="仿宋" w:hAnsi="仿宋" w:eastAsia="仿宋" w:cs="仿宋_GB2312"/>
          <w:sz w:val="24"/>
        </w:rPr>
      </w:pP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spacing w:line="360" w:lineRule="auto"/>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59"/>
        <w:spacing w:before="0"/>
        <w:ind w:firstLine="508" w:firstLineChars="212"/>
        <w:rPr>
          <w:rFonts w:ascii="仿宋_GB2312" w:hAnsi="仿宋" w:eastAsia="仿宋_GB2312" w:cs="Arial"/>
          <w:kern w:val="0"/>
          <w:szCs w:val="24"/>
        </w:rPr>
      </w:pPr>
      <w:r>
        <w:rPr>
          <w:rFonts w:ascii="仿宋_GB2312" w:hAnsi="仿宋" w:eastAsia="仿宋_GB2312" w:cs="Arial"/>
          <w:kern w:val="0"/>
        </w:rPr>
        <w:t>3.4</w:t>
      </w:r>
      <w:r>
        <w:rPr>
          <w:rFonts w:ascii="仿宋_GB2312" w:hAnsi="仿宋" w:eastAsia="仿宋_GB2312" w:cs="Arial"/>
          <w:kern w:val="0"/>
          <w:szCs w:val="24"/>
        </w:rPr>
        <w:t>.1投标文件报价出现前后不一致的，按照下列规定修正：</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3.4.1.1投标文件中开标一览表(报价表)内容与投标文件中相应内容不一致的，以开标一览表(报价表)为准;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3.4.1.2大写金额和小写金额不一致的，以大写金额为准;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3.4.1.3单价金额小数点或者百分比有明显错位的，以开标一览表的总价为准，并修改单价;</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3.4.1.4总价金额与按单价汇总金额不一致的，以单价金额计算结果为准。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3.4.1.5同时出现两种以上不一致的，按照3.4.1</w:t>
      </w:r>
      <w:r>
        <w:rPr>
          <w:rFonts w:hint="eastAsia" w:ascii="仿宋_GB2312" w:hAnsi="仿宋" w:eastAsia="仿宋_GB2312" w:cs="Arial"/>
          <w:kern w:val="0"/>
          <w:szCs w:val="24"/>
        </w:rPr>
        <w:t>规定的顺序修正。修正后的报价按照《政府采购货物和服务招标投标管理办法》（财政部</w:t>
      </w:r>
      <w:r>
        <w:rPr>
          <w:rFonts w:ascii="仿宋_GB2312" w:hAnsi="仿宋" w:eastAsia="仿宋_GB2312" w:cs="Arial"/>
          <w:kern w:val="0"/>
          <w:szCs w:val="24"/>
        </w:rPr>
        <w:t>令</w:t>
      </w:r>
      <w:r>
        <w:rPr>
          <w:rFonts w:hint="eastAsia" w:ascii="仿宋_GB2312" w:hAnsi="仿宋" w:eastAsia="仿宋_GB2312" w:cs="Arial"/>
          <w:kern w:val="0"/>
          <w:szCs w:val="24"/>
        </w:rPr>
        <w:t>第</w:t>
      </w:r>
      <w:r>
        <w:rPr>
          <w:rFonts w:ascii="仿宋_GB2312" w:hAnsi="仿宋" w:eastAsia="仿宋_GB2312" w:cs="Arial"/>
          <w:kern w:val="0"/>
          <w:szCs w:val="24"/>
        </w:rPr>
        <w:t>87号</w:t>
      </w:r>
      <w:r>
        <w:rPr>
          <w:rFonts w:hint="eastAsia" w:ascii="仿宋_GB2312" w:hAnsi="仿宋" w:eastAsia="仿宋_GB2312" w:cs="Arial"/>
          <w:kern w:val="0"/>
          <w:szCs w:val="24"/>
        </w:rPr>
        <w:t>）第五十一条第二款的规定经投标人确认后产生约束力。</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3.4.2</w:t>
      </w:r>
      <w:r>
        <w:rPr>
          <w:rFonts w:hint="eastAsia" w:ascii="仿宋_GB2312" w:hAnsi="仿宋" w:eastAsia="仿宋_GB2312" w:cs="Arial"/>
          <w:kern w:val="0"/>
          <w:sz w:val="24"/>
        </w:rPr>
        <w:t>投标文件出现不是唯一的、有选择性投标报价的，投标无效。</w:t>
      </w:r>
    </w:p>
    <w:p>
      <w:pPr>
        <w:snapToGrid w:val="0"/>
        <w:spacing w:line="360" w:lineRule="auto"/>
        <w:ind w:firstLine="480" w:firstLineChars="200"/>
        <w:jc w:val="left"/>
        <w:rPr>
          <w:rFonts w:ascii="仿宋_GB2312" w:hAnsi="仿宋" w:eastAsia="仿宋_GB2312" w:cs="Arial"/>
          <w:kern w:val="0"/>
          <w:sz w:val="24"/>
        </w:rPr>
      </w:pPr>
      <w:r>
        <w:rPr>
          <w:rFonts w:ascii="仿宋_GB2312" w:hAnsi="仿宋" w:eastAsia="仿宋_GB2312" w:cs="Arial"/>
          <w:kern w:val="0"/>
          <w:sz w:val="24"/>
        </w:rPr>
        <w:t>3.4.3</w:t>
      </w:r>
      <w:r>
        <w:rPr>
          <w:rFonts w:hint="eastAsia" w:ascii="仿宋_GB2312" w:hAnsi="仿宋" w:eastAsia="仿宋_GB2312" w:cs="Arial"/>
          <w:kern w:val="0"/>
          <w:sz w:val="24"/>
        </w:rPr>
        <w:t>投标报价超过招标文件中规定的预算金额或者最高限价的，投标无效。</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3.4.4</w:t>
      </w:r>
      <w:r>
        <w:rPr>
          <w:rFonts w:hint="eastAsia" w:ascii="仿宋_GB2312" w:hAnsi="仿宋" w:eastAsia="仿宋_GB2312" w:cs="Arial"/>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_GB2312" w:hAnsi="仿宋" w:eastAsia="仿宋_GB2312" w:cs="Arial"/>
          <w:kern w:val="0"/>
          <w:szCs w:val="24"/>
        </w:rPr>
        <w:t>;投标人不能证明其报价合理性的，评标委员会应当将其作为无效投标处理。</w:t>
      </w:r>
    </w:p>
    <w:p>
      <w:pPr>
        <w:pStyle w:val="159"/>
        <w:spacing w:before="0"/>
        <w:ind w:firstLine="480"/>
        <w:rPr>
          <w:rFonts w:ascii="仿宋_GB2312" w:hAnsi="仿宋" w:eastAsia="仿宋_GB2312" w:cs="Arial"/>
          <w:kern w:val="0"/>
          <w:szCs w:val="24"/>
        </w:rPr>
      </w:pPr>
      <w:r>
        <w:rPr>
          <w:rFonts w:ascii="仿宋_GB2312" w:hAnsi="仿宋" w:eastAsia="仿宋_GB2312" w:cs="Arial"/>
          <w:kern w:val="0"/>
          <w:szCs w:val="24"/>
        </w:rPr>
        <w:t>3.4.5</w:t>
      </w:r>
      <w:r>
        <w:rPr>
          <w:rFonts w:hint="eastAsia" w:ascii="仿宋_GB2312" w:hAnsi="仿宋" w:eastAsia="仿宋_GB2312" w:cs="Arial"/>
          <w:kern w:val="0"/>
          <w:szCs w:val="24"/>
        </w:rPr>
        <w:t>对于未预留份额专门面向中小企业的政府采购货物或服务项目，以及预留份额政府采购货物或服务项目中的非预留部分标项，对小型和微型企业的投标报价给予20</w:t>
      </w:r>
      <w:r>
        <w:rPr>
          <w:rFonts w:ascii="仿宋_GB2312" w:hAnsi="仿宋" w:eastAsia="仿宋_GB2312" w:cs="Arial"/>
          <w:kern w:val="0"/>
          <w:szCs w:val="24"/>
        </w:rPr>
        <w:t>%的扣除，用扣除后的价格参与评审。接受大中型企业与小</w:t>
      </w:r>
      <w:r>
        <w:rPr>
          <w:rFonts w:hint="eastAsia" w:ascii="仿宋_GB2312" w:hAnsi="仿宋" w:eastAsia="仿宋_GB2312" w:cs="Arial"/>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_GB2312" w:hAnsi="仿宋" w:eastAsia="仿宋_GB2312" w:cs="Arial"/>
          <w:kern w:val="0"/>
          <w:szCs w:val="24"/>
        </w:rPr>
        <w:t>30%以上的，对联合体或者大中型企业的报价给予</w:t>
      </w:r>
      <w:r>
        <w:rPr>
          <w:rFonts w:hint="eastAsia" w:ascii="仿宋_GB2312" w:hAnsi="仿宋" w:eastAsia="仿宋_GB2312" w:cs="Arial"/>
          <w:kern w:val="0"/>
          <w:szCs w:val="24"/>
        </w:rPr>
        <w:t>6</w:t>
      </w:r>
      <w:r>
        <w:rPr>
          <w:rFonts w:ascii="仿宋_GB2312" w:hAnsi="仿宋" w:eastAsia="仿宋_GB2312" w:cs="Arial"/>
          <w:kern w:val="0"/>
          <w:szCs w:val="24"/>
        </w:rPr>
        <w:t>%的扣除，用扣除后的价格参加评审。组成联合体或者接受分包的小</w:t>
      </w:r>
      <w:r>
        <w:rPr>
          <w:rFonts w:hint="eastAsia" w:ascii="仿宋_GB2312" w:hAnsi="仿宋" w:eastAsia="仿宋_GB2312" w:cs="Arial"/>
          <w:kern w:val="0"/>
          <w:szCs w:val="24"/>
        </w:rPr>
        <w:t>微企业与联合体内其他企业、分包企业之间存在直接控股、管理关系的，不享受价格扣除优惠政策。</w:t>
      </w:r>
    </w:p>
    <w:p>
      <w:pPr>
        <w:spacing w:line="360" w:lineRule="auto"/>
        <w:ind w:firstLine="482" w:firstLineChars="200"/>
        <w:rPr>
          <w:rFonts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中标候选人</w:t>
      </w:r>
      <w:r>
        <w:rPr>
          <w:rFonts w:hint="eastAsia" w:ascii="仿宋_GB2312" w:hAnsi="仿宋" w:eastAsia="仿宋_GB2312" w:cs="Arial"/>
          <w:kern w:val="0"/>
          <w:sz w:val="24"/>
        </w:rPr>
        <w:t>。本项目只推荐</w:t>
      </w:r>
      <w:r>
        <w:rPr>
          <w:rFonts w:ascii="仿宋_GB2312" w:hAnsi="仿宋" w:eastAsia="仿宋_GB2312" w:cs="Arial"/>
          <w:kern w:val="0"/>
          <w:sz w:val="24"/>
        </w:rPr>
        <w:t>评审</w:t>
      </w:r>
      <w:r>
        <w:rPr>
          <w:rFonts w:hint="eastAsia" w:ascii="仿宋_GB2312" w:hAnsi="仿宋" w:eastAsia="仿宋_GB2312" w:cs="Arial"/>
          <w:kern w:val="0"/>
          <w:sz w:val="24"/>
        </w:rPr>
        <w:t>综合</w:t>
      </w:r>
      <w:r>
        <w:rPr>
          <w:rFonts w:ascii="仿宋_GB2312" w:hAnsi="仿宋" w:eastAsia="仿宋_GB2312" w:cs="Arial"/>
          <w:kern w:val="0"/>
          <w:sz w:val="24"/>
        </w:rPr>
        <w:t>得分最高的投标人</w:t>
      </w:r>
      <w:r>
        <w:rPr>
          <w:rFonts w:hint="eastAsia" w:ascii="仿宋_GB2312" w:hAnsi="仿宋" w:eastAsia="仿宋_GB2312" w:cs="Arial"/>
          <w:kern w:val="0"/>
          <w:sz w:val="24"/>
        </w:rPr>
        <w:t>为中标候选人。</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59"/>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2"/>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4"/>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4.3.废标。</w:t>
      </w:r>
      <w:r>
        <w:rPr>
          <w:rFonts w:hint="eastAsia" w:ascii="仿宋_GB2312" w:hAnsi="仿宋" w:eastAsia="仿宋_GB2312" w:cs="仿宋_GB2312"/>
        </w:rPr>
        <w:t>根据《中华人民共和国政府采购法》第三十六条之规定，在采购中，出现下列情形之一的，应予废标：</w:t>
      </w:r>
    </w:p>
    <w:p>
      <w:pPr>
        <w:pStyle w:val="24"/>
        <w:snapToGrid w:val="0"/>
        <w:spacing w:line="360" w:lineRule="auto"/>
        <w:rPr>
          <w:rFonts w:ascii="仿宋_GB2312" w:hAnsi="仿宋" w:eastAsia="仿宋_GB2312" w:cs="仿宋_GB2312"/>
        </w:rPr>
      </w:pPr>
      <w:r>
        <w:rPr>
          <w:rFonts w:ascii="仿宋_GB2312" w:hAnsi="仿宋" w:eastAsia="仿宋_GB2312" w:cs="仿宋_GB2312"/>
        </w:rPr>
        <w:t>4.3.1符合专业条件的供应商或者对招标文件作实质响应的供应商不足3家的；</w:t>
      </w:r>
    </w:p>
    <w:p>
      <w:pPr>
        <w:pStyle w:val="24"/>
        <w:snapToGrid w:val="0"/>
        <w:spacing w:line="360" w:lineRule="auto"/>
        <w:rPr>
          <w:rFonts w:ascii="仿宋_GB2312" w:hAnsi="仿宋" w:eastAsia="仿宋_GB2312" w:cs="仿宋_GB2312"/>
        </w:rPr>
      </w:pPr>
      <w:r>
        <w:rPr>
          <w:rFonts w:ascii="仿宋_GB2312" w:hAnsi="仿宋" w:eastAsia="仿宋_GB2312" w:cs="仿宋_GB2312"/>
        </w:rPr>
        <w:t>4.3.2出现影响采购公正的违法、违规行为的；</w:t>
      </w:r>
    </w:p>
    <w:p>
      <w:pPr>
        <w:pStyle w:val="24"/>
        <w:snapToGrid w:val="0"/>
        <w:spacing w:line="360" w:lineRule="auto"/>
        <w:rPr>
          <w:rFonts w:ascii="仿宋_GB2312" w:hAnsi="仿宋" w:eastAsia="仿宋_GB2312" w:cs="仿宋_GB2312"/>
        </w:rPr>
      </w:pPr>
      <w:r>
        <w:rPr>
          <w:rFonts w:ascii="仿宋_GB2312" w:hAnsi="仿宋" w:eastAsia="仿宋_GB2312" w:cs="仿宋_GB2312"/>
        </w:rPr>
        <w:t>4.3.3投标人的报价均超过了采购预算，采购人不能支付的；</w:t>
      </w:r>
    </w:p>
    <w:p>
      <w:pPr>
        <w:pStyle w:val="24"/>
        <w:snapToGrid w:val="0"/>
        <w:spacing w:line="360" w:lineRule="auto"/>
        <w:rPr>
          <w:rFonts w:ascii="仿宋_GB2312" w:hAnsi="仿宋" w:eastAsia="仿宋_GB2312" w:cs="仿宋_GB2312"/>
        </w:rPr>
      </w:pPr>
      <w:r>
        <w:rPr>
          <w:rFonts w:ascii="仿宋_GB2312" w:hAnsi="仿宋" w:eastAsia="仿宋_GB2312" w:cs="仿宋_GB2312"/>
        </w:rPr>
        <w:t>4.3.4因重大变故，采购任务取消的。</w:t>
      </w:r>
    </w:p>
    <w:p>
      <w:pPr>
        <w:pStyle w:val="24"/>
        <w:snapToGrid w:val="0"/>
        <w:spacing w:line="360" w:lineRule="auto"/>
        <w:rPr>
          <w:rFonts w:ascii="仿宋_GB2312" w:hAnsi="仿宋" w:eastAsia="仿宋_GB2312" w:cs="仿宋_GB2312"/>
        </w:rPr>
      </w:pPr>
      <w:r>
        <w:rPr>
          <w:rFonts w:hint="eastAsia" w:ascii="仿宋_GB2312" w:hAnsi="仿宋" w:eastAsia="仿宋_GB2312" w:cs="仿宋_GB2312"/>
        </w:rPr>
        <w:t>废标后，采购代理机构应当将废标理由通知所有投标人。</w:t>
      </w:r>
    </w:p>
    <w:p>
      <w:pPr>
        <w:pStyle w:val="24"/>
        <w:snapToGrid w:val="0"/>
        <w:spacing w:line="360" w:lineRule="auto"/>
        <w:ind w:firstLine="482"/>
        <w:rPr>
          <w:rFonts w:ascii="仿宋_GB2312" w:hAnsi="仿宋" w:eastAsia="仿宋_GB2312" w:cs="仿宋_GB2312"/>
        </w:rPr>
      </w:pPr>
      <w:r>
        <w:rPr>
          <w:rFonts w:ascii="仿宋_GB2312" w:hAnsi="仿宋" w:eastAsia="仿宋_GB2312" w:cs="仿宋_GB2312"/>
          <w:b/>
        </w:rPr>
        <w:t>4.4.修改招标文件，重新组织采购活动。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ascii="仿宋_GB2312" w:hAnsi="仿宋" w:eastAsia="仿宋_GB2312" w:cs="仿宋_GB2312"/>
        </w:rPr>
      </w:pPr>
      <w:r>
        <w:rPr>
          <w:rFonts w:ascii="仿宋_GB2312" w:hAnsi="Helvetica" w:eastAsia="仿宋_GB2312" w:cs="Helvetica"/>
          <w:b/>
          <w:kern w:val="0"/>
        </w:rPr>
        <w:t>4.5</w:t>
      </w:r>
      <w:r>
        <w:rPr>
          <w:rFonts w:hint="eastAsia" w:ascii="仿宋_GB2312" w:hAnsi="Helvetica" w:eastAsia="仿宋_GB2312" w:cs="Helvetica"/>
          <w:b/>
          <w:kern w:val="0"/>
        </w:rPr>
        <w:t>.重新开展采购。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4.5.1未确定中标或者中标人的，终止本次政府采购活动，重新开展政府采购</w:t>
      </w:r>
      <w:r>
        <w:rPr>
          <w:rFonts w:hint="eastAsia" w:ascii="仿宋_GB2312" w:hAnsi="仿宋" w:eastAsia="仿宋_GB2312" w:cs="仿宋_GB2312"/>
        </w:rPr>
        <w:t>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4.5.2已确定中标或者中标人但尚未签订政府采购合同的，中标或者成交结果无效，从合格的中标或者成交候选人中另行确定中标或者中标人；没有合格的中标或者成交候选人的，重新开展政府采购活动。</w:t>
      </w:r>
    </w:p>
    <w:p>
      <w:pPr>
        <w:pStyle w:val="24"/>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4.5.3政府采购合同已签订但尚未履行的，撤销合同，从合格的中标或者成交候选人中另行确定中标或者中标人；没有合格的中标或者成交候选人的，重新开展政府采购活动。</w:t>
      </w:r>
    </w:p>
    <w:p>
      <w:pPr>
        <w:pStyle w:val="24"/>
        <w:snapToGrid w:val="0"/>
        <w:spacing w:line="360" w:lineRule="auto"/>
        <w:rPr>
          <w:rFonts w:ascii="仿宋_GB2312" w:hAnsi="仿宋" w:eastAsia="仿宋_GB2312" w:cs="仿宋_GB2312"/>
        </w:rPr>
      </w:pPr>
      <w:r>
        <w:rPr>
          <w:rFonts w:ascii="仿宋_GB2312" w:hAnsi="仿宋" w:eastAsia="仿宋_GB2312" w:cs="仿宋_GB2312"/>
        </w:rPr>
        <w:t>4.5.4政府采购合同已经履行，给采购人、供应</w:t>
      </w:r>
      <w:r>
        <w:rPr>
          <w:rFonts w:hint="eastAsia" w:ascii="仿宋_GB2312" w:hAnsi="仿宋" w:eastAsia="仿宋_GB2312" w:cs="仿宋_GB2312"/>
        </w:rPr>
        <w:t>商造成损失的，由责任人承担赔偿责任。</w:t>
      </w:r>
    </w:p>
    <w:p>
      <w:pPr>
        <w:pStyle w:val="24"/>
        <w:snapToGrid w:val="0"/>
        <w:spacing w:line="360" w:lineRule="auto"/>
        <w:rPr>
          <w:rFonts w:ascii="仿宋_GB2312" w:hAnsi="仿宋" w:eastAsia="仿宋_GB2312" w:cs="仿宋_GB2312"/>
        </w:rPr>
      </w:pPr>
      <w:r>
        <w:rPr>
          <w:rFonts w:ascii="仿宋_GB2312" w:hAnsi="仿宋" w:eastAsia="仿宋_GB2312" w:cs="仿宋_GB2312"/>
        </w:rPr>
        <w:t>4.5.5政府采购当事人有其他违反政府采购</w:t>
      </w:r>
      <w:r>
        <w:rPr>
          <w:rFonts w:hint="eastAsia" w:ascii="仿宋_GB2312" w:hAnsi="仿宋" w:eastAsia="仿宋_GB2312" w:cs="仿宋_GB2312"/>
        </w:rPr>
        <w:t>法或者政府采购法实施条例等法律法规规定的行为，经改正后仍然影响或者可能影响中标、成交结果或者依法被认定为中标、成交无效的，依照</w:t>
      </w:r>
      <w:r>
        <w:rPr>
          <w:rFonts w:ascii="仿宋_GB2312" w:hAnsi="仿宋" w:eastAsia="仿宋_GB2312" w:cs="仿宋_GB2312"/>
        </w:rPr>
        <w:t>4.5.1-4.5.</w:t>
      </w:r>
      <w:r>
        <w:rPr>
          <w:rFonts w:hint="eastAsia" w:ascii="仿宋_GB2312" w:hAnsi="仿宋" w:eastAsia="仿宋_GB2312" w:cs="仿宋_GB2312"/>
        </w:rPr>
        <w:t>4</w:t>
      </w:r>
      <w:r>
        <w:rPr>
          <w:rFonts w:ascii="仿宋_GB2312" w:hAnsi="仿宋" w:eastAsia="仿宋_GB2312" w:cs="仿宋_GB2312"/>
        </w:rPr>
        <w:t>规定处理。</w:t>
      </w:r>
    </w:p>
    <w:p>
      <w:pPr>
        <w:pStyle w:val="24"/>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2" w:name="第五部分"/>
      <w:bookmarkStart w:id="393"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spacing w:line="360" w:lineRule="auto"/>
        <w:ind w:left="720" w:leftChars="343" w:firstLine="1084" w:firstLineChars="300"/>
        <w:outlineLvl w:val="0"/>
        <w:rPr>
          <w:rFonts w:ascii="仿宋_GB2312" w:hAnsi="仿宋" w:eastAsia="仿宋_GB2312" w:cs="仿宋_GB2312"/>
          <w:b/>
          <w:sz w:val="36"/>
          <w:szCs w:val="36"/>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Pr>
        <w:spacing w:line="360" w:lineRule="auto"/>
        <w:ind w:left="720" w:leftChars="343" w:firstLine="1084" w:firstLineChars="300"/>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第五部分</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拟签订的合同文本</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center"/>
        <w:rPr>
          <w:rFonts w:ascii="楷体" w:hAnsi="楷体" w:eastAsia="楷体"/>
          <w:b/>
          <w:sz w:val="28"/>
          <w:szCs w:val="28"/>
        </w:rPr>
      </w:pPr>
    </w:p>
    <w:p>
      <w:pPr>
        <w:spacing w:line="480" w:lineRule="auto"/>
        <w:jc w:val="center"/>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（货物类）</w:t>
      </w:r>
    </w:p>
    <w:p>
      <w:pPr>
        <w:pStyle w:val="704"/>
        <w:rPr>
          <w:rFonts w:ascii="仿宋" w:hAnsi="仿宋" w:eastAsia="仿宋"/>
          <w:szCs w:val="24"/>
        </w:rPr>
      </w:pPr>
    </w:p>
    <w:p>
      <w:pPr>
        <w:pStyle w:val="704"/>
        <w:rPr>
          <w:rFonts w:ascii="仿宋" w:hAnsi="仿宋" w:eastAsia="仿宋"/>
          <w:szCs w:val="24"/>
        </w:rPr>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704"/>
        <w:jc w:val="center"/>
        <w:rPr>
          <w:rFonts w:ascii="仿宋" w:hAnsi="仿宋" w:eastAsia="仿宋"/>
          <w:szCs w:val="24"/>
        </w:rPr>
      </w:pPr>
    </w:p>
    <w:p>
      <w:pPr>
        <w:pStyle w:val="24"/>
      </w:pPr>
    </w:p>
    <w:p>
      <w:pPr>
        <w:pStyle w:val="704"/>
        <w:ind w:firstLine="2843" w:firstLineChars="1180"/>
        <w:rPr>
          <w:rFonts w:ascii="仿宋" w:hAnsi="仿宋" w:eastAsia="仿宋"/>
          <w:b/>
          <w:szCs w:val="24"/>
        </w:rPr>
      </w:pPr>
      <w:r>
        <w:rPr>
          <w:rFonts w:hint="eastAsia" w:ascii="仿宋" w:hAnsi="仿宋" w:eastAsia="仿宋"/>
          <w:b/>
          <w:szCs w:val="24"/>
        </w:rPr>
        <w:t>通用合同书</w:t>
      </w:r>
    </w:p>
    <w:p>
      <w:pPr>
        <w:pStyle w:val="704"/>
        <w:rPr>
          <w:rFonts w:ascii="仿宋" w:hAnsi="仿宋" w:eastAsia="仿宋"/>
          <w:szCs w:val="24"/>
        </w:rPr>
      </w:pPr>
    </w:p>
    <w:p>
      <w:pPr>
        <w:pStyle w:val="704"/>
        <w:rPr>
          <w:rFonts w:ascii="仿宋" w:hAnsi="仿宋" w:eastAsia="仿宋"/>
          <w:szCs w:val="24"/>
        </w:rPr>
      </w:pPr>
    </w:p>
    <w:p>
      <w:pPr>
        <w:pStyle w:val="24"/>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600"/>
        <w:spacing w:before="120" w:line="22" w:lineRule="atLeast"/>
        <w:rPr>
          <w:rFonts w:ascii="仿宋" w:hAnsi="仿宋" w:eastAsia="仿宋"/>
          <w:szCs w:val="24"/>
        </w:rPr>
      </w:pPr>
    </w:p>
    <w:p>
      <w:pPr>
        <w:pStyle w:val="600"/>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pStyle w:val="2"/>
        <w:rPr>
          <w:lang w:val="en-US"/>
        </w:rPr>
      </w:pPr>
    </w:p>
    <w:p>
      <w:pPr>
        <w:ind w:firstLine="420" w:firstLineChars="200"/>
        <w:rPr>
          <w:u w:val="single"/>
        </w:rPr>
      </w:pPr>
      <w:r>
        <w:rPr>
          <w:rFonts w:hint="eastAsia"/>
          <w:u w:val="single"/>
        </w:rPr>
        <w:t xml:space="preserve"> </w:t>
      </w:r>
      <w:r>
        <w:rPr>
          <w:u w:val="single"/>
        </w:rPr>
        <w:t xml:space="preserve">                     </w:t>
      </w:r>
      <w:r>
        <w:rPr>
          <w:rFonts w:hint="eastAsia"/>
        </w:rPr>
        <w:t>（甲方）</w:t>
      </w:r>
      <w:r>
        <w:rPr>
          <w:rFonts w:hint="eastAsia"/>
          <w:u w:val="single"/>
        </w:rPr>
        <w:t xml:space="preserve"> </w:t>
      </w:r>
      <w:r>
        <w:rPr>
          <w:u w:val="single"/>
        </w:rPr>
        <w:t xml:space="preserve">                   </w:t>
      </w:r>
      <w:r>
        <w:rPr>
          <w:rFonts w:hint="eastAsia"/>
        </w:rPr>
        <w:t xml:space="preserve"> （项目名称）经诸暨市公共资源交易中心以招标文件（编号：诸政采20</w:t>
      </w:r>
      <w:r>
        <w:rPr>
          <w:rFonts w:hint="eastAsia"/>
          <w:u w:val="single"/>
        </w:rPr>
        <w:t xml:space="preserve">    </w:t>
      </w:r>
      <w:r>
        <w:rPr>
          <w:rFonts w:hint="eastAsia"/>
        </w:rPr>
        <w:t>—</w:t>
      </w:r>
      <w:r>
        <w:rPr>
          <w:rFonts w:hint="eastAsia"/>
          <w:u w:val="single"/>
        </w:rPr>
        <w:t xml:space="preserve">    </w:t>
      </w:r>
      <w:r>
        <w:rPr>
          <w:rFonts w:hint="eastAsia"/>
        </w:rPr>
        <w:t>—</w:t>
      </w:r>
      <w:r>
        <w:rPr>
          <w:rFonts w:hint="eastAsia"/>
          <w:u w:val="single"/>
        </w:rPr>
        <w:t xml:space="preserve">    </w:t>
      </w:r>
      <w:r>
        <w:rPr>
          <w:rFonts w:hint="eastAsia"/>
        </w:rPr>
        <w:t>号）</w:t>
      </w:r>
      <w:r>
        <w:t>进行公开招标。甲方确定</w:t>
      </w:r>
      <w:r>
        <w:rPr>
          <w:u w:val="single"/>
        </w:rPr>
        <w:t xml:space="preserve">                              </w:t>
      </w:r>
      <w:r>
        <w:t>（乙方）为中标人。甲、乙双方依据《中华人</w:t>
      </w:r>
      <w:r>
        <w:rPr>
          <w:rFonts w:hint="eastAsia"/>
        </w:rPr>
        <w:t>民共和国政府采购法》、《中华人民共和国民法典》，在平等自愿的基础上，同意按照下面的条款和条件，签署本合同。</w:t>
      </w:r>
    </w:p>
    <w:p>
      <w:pPr>
        <w:rPr>
          <w:b/>
          <w:bCs/>
          <w:u w:val="single"/>
        </w:rPr>
      </w:pPr>
      <w:r>
        <w:rPr>
          <w:rFonts w:hint="eastAsia"/>
          <w:b/>
          <w:bCs/>
        </w:rPr>
        <w:t>（一）项目采购依据</w:t>
      </w:r>
    </w:p>
    <w:p>
      <w:pPr>
        <w:ind w:firstLine="420" w:firstLineChars="200"/>
      </w:pPr>
      <w:r>
        <w:rPr>
          <w:rFonts w:hint="eastAsia"/>
        </w:rPr>
        <w:t>政府采购预算执行确认书。</w:t>
      </w:r>
      <w:r>
        <w:t xml:space="preserve"> </w:t>
      </w:r>
    </w:p>
    <w:p>
      <w:pPr>
        <w:rPr>
          <w:b/>
          <w:bCs/>
        </w:rPr>
      </w:pPr>
      <w:r>
        <w:rPr>
          <w:rFonts w:hint="eastAsia"/>
          <w:b/>
          <w:bCs/>
        </w:rPr>
        <w:t>（二）下列文件构成本合同的组成部分</w:t>
      </w:r>
    </w:p>
    <w:p>
      <w:pPr>
        <w:ind w:firstLine="420" w:firstLineChars="200"/>
      </w:pPr>
      <w:r>
        <w:rPr>
          <w:rFonts w:hint="eastAsia"/>
        </w:rPr>
        <w:t>以下文件为本合同的组成部分，应该认为是一个整体，彼此相互解释，相互补充。</w:t>
      </w:r>
    </w:p>
    <w:p>
      <w:pPr>
        <w:ind w:firstLine="420" w:firstLineChars="200"/>
      </w:pPr>
      <w:r>
        <w:t>a. 本合同书</w:t>
      </w:r>
    </w:p>
    <w:p>
      <w:pPr>
        <w:ind w:firstLine="420" w:firstLineChars="200"/>
      </w:pPr>
      <w:r>
        <w:t>b. 中标通知书</w:t>
      </w:r>
    </w:p>
    <w:p>
      <w:pPr>
        <w:ind w:firstLine="420" w:firstLineChars="200"/>
      </w:pPr>
      <w:r>
        <w:t>c. 询标承诺</w:t>
      </w:r>
    </w:p>
    <w:p>
      <w:pPr>
        <w:ind w:firstLine="420" w:firstLineChars="200"/>
      </w:pPr>
      <w:r>
        <w:t>d. 投标文件</w:t>
      </w:r>
    </w:p>
    <w:p>
      <w:pPr>
        <w:ind w:firstLine="420" w:firstLineChars="200"/>
      </w:pPr>
      <w:r>
        <w:t>e. 招标文件</w:t>
      </w:r>
    </w:p>
    <w:p>
      <w:pPr>
        <w:rPr>
          <w:b/>
          <w:bCs/>
        </w:rPr>
      </w:pPr>
      <w:r>
        <w:rPr>
          <w:rFonts w:hint="eastAsia"/>
          <w:b/>
          <w:bCs/>
        </w:rPr>
        <w:t>（三）合同标的物</w:t>
      </w:r>
    </w:p>
    <w:tbl>
      <w:tblPr>
        <w:tblStyle w:val="62"/>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396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vAlign w:val="center"/>
          </w:tcPr>
          <w:p>
            <w:pPr>
              <w:jc w:val="center"/>
            </w:pPr>
            <w:r>
              <w:rPr>
                <w:rFonts w:hint="eastAsia"/>
              </w:rPr>
              <w:t>产品名称</w:t>
            </w:r>
          </w:p>
        </w:tc>
        <w:tc>
          <w:tcPr>
            <w:tcW w:w="3960" w:type="dxa"/>
            <w:vAlign w:val="center"/>
          </w:tcPr>
          <w:p>
            <w:pPr>
              <w:jc w:val="center"/>
            </w:pPr>
            <w:r>
              <w:rPr>
                <w:rFonts w:hint="eastAsia"/>
              </w:rPr>
              <w:t>规格、型号（或服务内容）</w:t>
            </w:r>
          </w:p>
        </w:tc>
        <w:tc>
          <w:tcPr>
            <w:tcW w:w="1080" w:type="dxa"/>
            <w:vAlign w:val="center"/>
          </w:tcPr>
          <w:p>
            <w:pPr>
              <w:jc w:val="center"/>
            </w:pPr>
            <w:r>
              <w:rPr>
                <w:rFonts w:hint="eastAsia"/>
              </w:rPr>
              <w:t>数量</w:t>
            </w:r>
          </w:p>
        </w:tc>
        <w:tc>
          <w:tcPr>
            <w:tcW w:w="1260" w:type="dxa"/>
            <w:vAlign w:val="center"/>
          </w:tcPr>
          <w:p>
            <w:pPr>
              <w:jc w:val="center"/>
            </w:pPr>
            <w:r>
              <w:rPr>
                <w:rFonts w:hint="eastAsia"/>
              </w:rPr>
              <w:t>单价（元）</w:t>
            </w:r>
          </w:p>
        </w:tc>
        <w:tc>
          <w:tcPr>
            <w:tcW w:w="1440" w:type="dxa"/>
            <w:vAlign w:val="center"/>
          </w:tcPr>
          <w:p>
            <w:pPr>
              <w:jc w:val="center"/>
            </w:pPr>
            <w:r>
              <w:rPr>
                <w:rFonts w:hint="eastAsia"/>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236" w:type="dxa"/>
          </w:tcPr>
          <w:p>
            <w:pPr>
              <w:jc w:val="center"/>
            </w:pPr>
          </w:p>
        </w:tc>
        <w:tc>
          <w:tcPr>
            <w:tcW w:w="3960" w:type="dxa"/>
          </w:tcPr>
          <w:p>
            <w:pPr>
              <w:jc w:val="center"/>
            </w:pPr>
          </w:p>
        </w:tc>
        <w:tc>
          <w:tcPr>
            <w:tcW w:w="1080" w:type="dxa"/>
          </w:tcPr>
          <w:p>
            <w:pPr>
              <w:jc w:val="center"/>
            </w:pPr>
          </w:p>
        </w:tc>
        <w:tc>
          <w:tcPr>
            <w:tcW w:w="1260" w:type="dxa"/>
          </w:tcPr>
          <w:p>
            <w:pPr>
              <w:jc w:val="center"/>
            </w:pPr>
          </w:p>
        </w:tc>
        <w:tc>
          <w:tcPr>
            <w:tcW w:w="1440" w:type="dxa"/>
          </w:tcPr>
          <w:p>
            <w:pPr>
              <w:jc w:val="center"/>
            </w:pPr>
          </w:p>
        </w:tc>
      </w:tr>
    </w:tbl>
    <w:p>
      <w:pPr>
        <w:ind w:firstLine="420" w:firstLineChars="200"/>
      </w:pPr>
      <w:r>
        <w:rPr>
          <w:rFonts w:hint="eastAsia"/>
        </w:rPr>
        <w:t>（具体标的物或服务内容可根据实际修改）</w:t>
      </w:r>
    </w:p>
    <w:p>
      <w:pPr>
        <w:rPr>
          <w:b/>
          <w:bCs/>
        </w:rPr>
      </w:pPr>
      <w:r>
        <w:rPr>
          <w:rFonts w:hint="eastAsia"/>
          <w:b/>
          <w:bCs/>
        </w:rPr>
        <w:t>（四）合同总价</w:t>
      </w:r>
    </w:p>
    <w:p>
      <w:pPr>
        <w:ind w:firstLine="420" w:firstLineChars="200"/>
      </w:pPr>
      <w:r>
        <w:rPr>
          <w:rFonts w:hint="eastAsia"/>
        </w:rPr>
        <w:t>本合同总价为</w:t>
      </w:r>
      <w:r>
        <w:rPr>
          <w:u w:val="single"/>
        </w:rPr>
        <w:t xml:space="preserve">       </w:t>
      </w:r>
      <w:r>
        <w:t>元人民币</w:t>
      </w:r>
      <w:r>
        <w:rPr>
          <w:rFonts w:hint="eastAsia"/>
        </w:rPr>
        <w:t>，大写</w:t>
      </w:r>
      <w:r>
        <w:rPr>
          <w:rFonts w:hint="eastAsia"/>
          <w:u w:val="single"/>
        </w:rPr>
        <w:t xml:space="preserve"> </w:t>
      </w:r>
      <w:r>
        <w:rPr>
          <w:u w:val="single"/>
        </w:rPr>
        <w:t xml:space="preserve">                                   </w:t>
      </w:r>
      <w:r>
        <w:t>。</w:t>
      </w:r>
    </w:p>
    <w:p>
      <w:pPr>
        <w:rPr>
          <w:b/>
          <w:bCs/>
        </w:rPr>
      </w:pPr>
      <w:r>
        <w:rPr>
          <w:rFonts w:hint="eastAsia"/>
          <w:b/>
          <w:bCs/>
        </w:rPr>
        <w:t>（五）合同价款的支付</w:t>
      </w:r>
    </w:p>
    <w:p>
      <w:pPr>
        <w:ind w:firstLine="420" w:firstLineChars="200"/>
      </w:pPr>
      <w:r>
        <w:t>1</w:t>
      </w:r>
      <w:r>
        <w:rPr>
          <w:rFonts w:hint="eastAsia"/>
        </w:rPr>
        <w:t>.</w:t>
      </w:r>
      <w:r>
        <w:t>本合同中甲乙双方之间所发生的一切费用以人民币进行结算。</w:t>
      </w:r>
    </w:p>
    <w:p>
      <w:pPr>
        <w:ind w:firstLine="420" w:firstLineChars="200"/>
      </w:pPr>
      <w:r>
        <w:t>2</w:t>
      </w:r>
      <w:r>
        <w:rPr>
          <w:rFonts w:hint="eastAsia"/>
        </w:rPr>
        <w:t>.</w:t>
      </w:r>
      <w:r>
        <w:t>支付方式：</w:t>
      </w:r>
    </w:p>
    <w:tbl>
      <w:tblPr>
        <w:tblStyle w:val="62"/>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394"/>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付款次数</w:t>
            </w:r>
          </w:p>
        </w:tc>
        <w:tc>
          <w:tcPr>
            <w:tcW w:w="1985" w:type="dxa"/>
            <w:vAlign w:val="center"/>
          </w:tcPr>
          <w:p>
            <w:pPr>
              <w:jc w:val="center"/>
            </w:pPr>
            <w:r>
              <w:rPr>
                <w:rFonts w:hint="eastAsia"/>
              </w:rPr>
              <w:t>约定支付条件</w:t>
            </w:r>
          </w:p>
        </w:tc>
        <w:tc>
          <w:tcPr>
            <w:tcW w:w="4394" w:type="dxa"/>
            <w:vAlign w:val="center"/>
          </w:tcPr>
          <w:p>
            <w:pPr>
              <w:jc w:val="center"/>
            </w:pPr>
            <w:r>
              <w:t>付款条件</w:t>
            </w:r>
          </w:p>
        </w:tc>
        <w:tc>
          <w:tcPr>
            <w:tcW w:w="1413" w:type="dxa"/>
            <w:vAlign w:val="center"/>
          </w:tcPr>
          <w:p>
            <w:pPr>
              <w:jc w:val="center"/>
            </w:pPr>
            <w: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1</w:t>
            </w:r>
          </w:p>
        </w:tc>
        <w:tc>
          <w:tcPr>
            <w:tcW w:w="1985" w:type="dxa"/>
            <w:vAlign w:val="center"/>
          </w:tcPr>
          <w:p>
            <w:pPr>
              <w:jc w:val="center"/>
            </w:pPr>
            <w:r>
              <w:t>合同签订后</w:t>
            </w:r>
          </w:p>
        </w:tc>
        <w:tc>
          <w:tcPr>
            <w:tcW w:w="4394" w:type="dxa"/>
            <w:vAlign w:val="center"/>
          </w:tcPr>
          <w:p>
            <w:pPr>
              <w:jc w:val="center"/>
            </w:pPr>
            <w:r>
              <w:rPr>
                <w:rFonts w:hint="eastAsia"/>
              </w:rPr>
              <w:t>满足合同约定支付条件，甲方收到乙方提供的同等金额的正规发票后</w:t>
            </w:r>
            <w:r>
              <w:t xml:space="preserve"> 7 个工作日内，向</w:t>
            </w:r>
            <w:r>
              <w:rPr>
                <w:rFonts w:hint="eastAsia"/>
              </w:rPr>
              <w:t>乙方支付合同总价</w:t>
            </w:r>
            <w:r>
              <w:rPr>
                <w:u w:val="single"/>
              </w:rPr>
              <w:t xml:space="preserve">     </w:t>
            </w:r>
            <w:r>
              <w:t>%的预付款；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2</w:t>
            </w:r>
          </w:p>
        </w:tc>
        <w:tc>
          <w:tcPr>
            <w:tcW w:w="1985" w:type="dxa"/>
            <w:vAlign w:val="center"/>
          </w:tcPr>
          <w:p>
            <w:pPr>
              <w:jc w:val="center"/>
            </w:pPr>
            <w:r>
              <w:rPr>
                <w:rFonts w:hint="eastAsia"/>
              </w:rPr>
              <w:t>项目验收合格后</w:t>
            </w:r>
          </w:p>
        </w:tc>
        <w:tc>
          <w:tcPr>
            <w:tcW w:w="4394" w:type="dxa"/>
            <w:vAlign w:val="center"/>
          </w:tcPr>
          <w:p>
            <w:pPr>
              <w:jc w:val="center"/>
            </w:pPr>
            <w:r>
              <w:rPr>
                <w:rFonts w:hint="eastAsia"/>
              </w:rPr>
              <w:t>满足合同约定支付条件，甲方收到乙方提供</w:t>
            </w:r>
          </w:p>
          <w:p>
            <w:pPr>
              <w:jc w:val="center"/>
            </w:pPr>
            <w:r>
              <w:rPr>
                <w:rFonts w:hint="eastAsia"/>
              </w:rPr>
              <w:t>的同等金额的正规发票后</w:t>
            </w:r>
            <w:r>
              <w:t xml:space="preserve"> 7 个工作日内，向</w:t>
            </w:r>
          </w:p>
          <w:p>
            <w:pPr>
              <w:jc w:val="center"/>
            </w:pPr>
            <w:r>
              <w:rPr>
                <w:rFonts w:hint="eastAsia"/>
              </w:rPr>
              <w:t>乙方支付合同总价</w:t>
            </w:r>
            <w:r>
              <w:rPr>
                <w:u w:val="single"/>
              </w:rPr>
              <w:t xml:space="preserve">      </w:t>
            </w:r>
            <w:r>
              <w:t>%的合同款。</w:t>
            </w:r>
          </w:p>
        </w:tc>
        <w:tc>
          <w:tcPr>
            <w:tcW w:w="141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29" w:type="dxa"/>
            <w:vAlign w:val="center"/>
          </w:tcPr>
          <w:p>
            <w:pPr>
              <w:jc w:val="center"/>
            </w:pPr>
            <w:r>
              <w:rPr>
                <w:rFonts w:hint="eastAsia"/>
              </w:rPr>
              <w:t>3</w:t>
            </w:r>
          </w:p>
        </w:tc>
        <w:tc>
          <w:tcPr>
            <w:tcW w:w="1985" w:type="dxa"/>
            <w:vAlign w:val="center"/>
          </w:tcPr>
          <w:p/>
        </w:tc>
        <w:tc>
          <w:tcPr>
            <w:tcW w:w="4394" w:type="dxa"/>
            <w:vAlign w:val="center"/>
          </w:tcPr>
          <w:p>
            <w:pPr>
              <w:jc w:val="center"/>
            </w:pPr>
          </w:p>
        </w:tc>
        <w:tc>
          <w:tcPr>
            <w:tcW w:w="1413" w:type="dxa"/>
            <w:vAlign w:val="center"/>
          </w:tcPr>
          <w:p>
            <w:pPr>
              <w:jc w:val="center"/>
            </w:pPr>
          </w:p>
        </w:tc>
      </w:tr>
    </w:tbl>
    <w:p>
      <w:pPr>
        <w:ind w:firstLine="420" w:firstLineChars="200"/>
      </w:pPr>
      <w:r>
        <w:t>3</w:t>
      </w:r>
      <w:r>
        <w:rPr>
          <w:rFonts w:hint="eastAsia"/>
        </w:rPr>
        <w:t>.</w:t>
      </w:r>
      <w:r>
        <w:t>甲方应付合同款至以下乙方指定的银行账户：</w:t>
      </w:r>
    </w:p>
    <w:p>
      <w:pPr>
        <w:ind w:firstLine="420" w:firstLineChars="200"/>
      </w:pPr>
      <w:r>
        <w:rPr>
          <w:rFonts w:hint="eastAsia"/>
        </w:rPr>
        <w:t>开户名称：</w:t>
      </w:r>
    </w:p>
    <w:p>
      <w:pPr>
        <w:ind w:firstLine="420" w:firstLineChars="200"/>
      </w:pPr>
      <w:r>
        <w:rPr>
          <w:rFonts w:hint="eastAsia"/>
        </w:rPr>
        <w:t>开户银行：</w:t>
      </w:r>
    </w:p>
    <w:p>
      <w:pPr>
        <w:ind w:firstLine="420" w:firstLineChars="200"/>
      </w:pPr>
      <w:r>
        <w:rPr>
          <w:rFonts w:hint="eastAsia"/>
        </w:rPr>
        <w:t>账</w:t>
      </w:r>
      <w:r>
        <w:t xml:space="preserve"> 号：</w:t>
      </w:r>
    </w:p>
    <w:p>
      <w:pPr>
        <w:rPr>
          <w:b/>
          <w:bCs/>
        </w:rPr>
      </w:pPr>
      <w:r>
        <w:rPr>
          <w:rFonts w:hint="eastAsia"/>
          <w:b/>
          <w:bCs/>
        </w:rPr>
        <w:t>（六）履约保证金</w:t>
      </w:r>
    </w:p>
    <w:p>
      <w:pPr>
        <w:ind w:firstLine="420" w:firstLineChars="200"/>
      </w:pPr>
      <w:r>
        <w:t>1</w:t>
      </w:r>
      <w:r>
        <w:rPr>
          <w:rFonts w:hint="eastAsia"/>
        </w:rPr>
        <w:t>.</w:t>
      </w:r>
      <w:r>
        <w:t>乙方应在合同签订后 5 个工作日内向甲方提交履约保证金为【/】元。</w:t>
      </w:r>
    </w:p>
    <w:p>
      <w:pPr>
        <w:ind w:firstLine="420" w:firstLineChars="200"/>
      </w:pPr>
      <w:r>
        <w:t>2</w:t>
      </w:r>
      <w:r>
        <w:rPr>
          <w:rFonts w:hint="eastAsia"/>
        </w:rPr>
        <w:t>.</w:t>
      </w:r>
      <w:r>
        <w:t>履约保证金用于补偿甲方因乙方不能履行其合同义务而蒙受的损失。</w:t>
      </w:r>
    </w:p>
    <w:p>
      <w:pPr>
        <w:ind w:firstLine="420" w:firstLineChars="200"/>
      </w:pPr>
      <w:r>
        <w:t>3</w:t>
      </w:r>
      <w:r>
        <w:rPr>
          <w:rFonts w:hint="eastAsia"/>
        </w:rPr>
        <w:t>.</w:t>
      </w:r>
      <w:r>
        <w:t>履约保证金有效期限：合同签订之日起至项目通过甲方验收后结束。</w:t>
      </w:r>
    </w:p>
    <w:p>
      <w:pPr>
        <w:ind w:firstLine="420" w:firstLineChars="200"/>
      </w:pPr>
      <w:r>
        <w:t>4</w:t>
      </w:r>
      <w:r>
        <w:rPr>
          <w:rFonts w:hint="eastAsia"/>
        </w:rPr>
        <w:t>.</w:t>
      </w:r>
      <w:r>
        <w:t>履约保证金退还：有效期限满后，按合同约定扣除相关款项（如有）后无息退还。</w:t>
      </w:r>
    </w:p>
    <w:p>
      <w:pPr>
        <w:rPr>
          <w:b/>
          <w:bCs/>
        </w:rPr>
      </w:pPr>
      <w:r>
        <w:rPr>
          <w:rFonts w:hint="eastAsia"/>
          <w:b/>
          <w:bCs/>
        </w:rPr>
        <w:t>（七）服务要求</w:t>
      </w:r>
    </w:p>
    <w:p>
      <w:pPr>
        <w:ind w:firstLine="420" w:firstLineChars="200"/>
      </w:pPr>
      <w:r>
        <w:rPr>
          <w:rFonts w:hint="eastAsia"/>
        </w:rPr>
        <w:t>服务期内，乙方应在充分了解甲方现有环境基础上，提供规范化、高质量的服务，具体服务内容与要求详见附件。</w:t>
      </w:r>
    </w:p>
    <w:p>
      <w:pPr>
        <w:ind w:firstLine="420" w:firstLineChars="200"/>
      </w:pPr>
      <w:r>
        <w:rPr>
          <w:rFonts w:hint="eastAsia"/>
        </w:rPr>
        <w:t>履行期限：</w:t>
      </w:r>
    </w:p>
    <w:p>
      <w:pPr>
        <w:ind w:firstLine="420" w:firstLineChars="200"/>
      </w:pPr>
      <w:r>
        <w:rPr>
          <w:rFonts w:hint="eastAsia"/>
        </w:rPr>
        <w:t>履行地点：</w:t>
      </w:r>
    </w:p>
    <w:p>
      <w:pPr>
        <w:rPr>
          <w:b/>
          <w:bCs/>
        </w:rPr>
      </w:pPr>
      <w:r>
        <w:rPr>
          <w:rFonts w:hint="eastAsia"/>
          <w:b/>
          <w:bCs/>
        </w:rPr>
        <w:t>（八）服务人员</w:t>
      </w:r>
    </w:p>
    <w:p>
      <w:pPr>
        <w:ind w:firstLine="420" w:firstLineChars="200"/>
      </w:pPr>
      <w:r>
        <w:rPr>
          <w:rFonts w:hint="eastAsia"/>
        </w:rPr>
        <w:t>乙方应派遣一名具有专业知识的资深管理人员负责与甲方对接，负责本项目的项目管理，统筹相关工作，监督项目执行与情况汇报，控制工作质量，执行变更和应急情况管理，并根据实际状况调整乙方人员安排，以保证项目的正常高效运作。</w:t>
      </w:r>
    </w:p>
    <w:p>
      <w:pPr>
        <w:ind w:firstLine="420" w:firstLineChars="200"/>
      </w:pPr>
      <w:r>
        <w:rPr>
          <w:rFonts w:hint="eastAsia"/>
        </w:rPr>
        <w:t>乙方应派出响应文件中指定资历和经验的专业服务人员提供服务，负责对其人员进行监督、指导和管理，甲方有权要求撤换不合格的服务人员。若乙方原因，未经甲方书面同意，乙方不得擅自更换指定的服务人员，否则甲方有权解除合同，另行安排服务商，由此造成的损失由乙方承担。</w:t>
      </w:r>
    </w:p>
    <w:p>
      <w:pPr>
        <w:ind w:firstLine="420" w:firstLineChars="200"/>
      </w:pPr>
      <w:r>
        <w:rPr>
          <w:rFonts w:hint="eastAsia"/>
        </w:rPr>
        <w:t>甲乙双方指定代表，作为履行本合同服务事宜的主要联系人。</w:t>
      </w:r>
    </w:p>
    <w:p>
      <w:pPr>
        <w:ind w:firstLine="420" w:firstLineChars="200"/>
        <w:rPr>
          <w:u w:val="single"/>
        </w:rPr>
      </w:pPr>
      <w:r>
        <w:rPr>
          <w:rFonts w:hint="eastAsia"/>
        </w:rPr>
        <w:t>甲方代表：</w:t>
      </w:r>
      <w:r>
        <w:rPr>
          <w:u w:val="single"/>
        </w:rPr>
        <w:t xml:space="preserve">                 </w:t>
      </w:r>
      <w:r>
        <w:t>电话：</w:t>
      </w:r>
      <w:r>
        <w:rPr>
          <w:u w:val="single"/>
        </w:rPr>
        <w:t xml:space="preserve">                     </w:t>
      </w:r>
    </w:p>
    <w:p>
      <w:pPr>
        <w:ind w:firstLine="420" w:firstLineChars="200"/>
        <w:rPr>
          <w:u w:val="single"/>
        </w:rPr>
      </w:pPr>
      <w:r>
        <w:rPr>
          <w:rFonts w:hint="eastAsia"/>
        </w:rPr>
        <w:t>乙方代表：</w:t>
      </w:r>
      <w:r>
        <w:rPr>
          <w:u w:val="single"/>
        </w:rPr>
        <w:t xml:space="preserve">                 </w:t>
      </w:r>
      <w:r>
        <w:t>电话：</w:t>
      </w:r>
      <w:r>
        <w:rPr>
          <w:u w:val="single"/>
        </w:rPr>
        <w:t xml:space="preserve">                     </w:t>
      </w:r>
    </w:p>
    <w:p>
      <w:pPr>
        <w:rPr>
          <w:b/>
          <w:bCs/>
        </w:rPr>
      </w:pPr>
      <w:r>
        <w:rPr>
          <w:rFonts w:hint="eastAsia"/>
          <w:b/>
          <w:bCs/>
        </w:rPr>
        <w:t>（九）服务考核</w:t>
      </w:r>
    </w:p>
    <w:p>
      <w:pPr>
        <w:ind w:firstLine="420" w:firstLineChars="200"/>
      </w:pPr>
      <w:r>
        <w:rPr>
          <w:rFonts w:hint="eastAsia"/>
        </w:rPr>
        <w:t>甲方对乙方服务质量进行客观评估，具体考核办法（如有）作为合同附件。</w:t>
      </w:r>
    </w:p>
    <w:p>
      <w:pPr>
        <w:ind w:firstLine="420" w:firstLineChars="200"/>
      </w:pPr>
      <w:r>
        <w:rPr>
          <w:rFonts w:hint="eastAsia"/>
        </w:rPr>
        <w:t>项目完成后，乙方应及时向甲方发出书面履约完成通知，甲方在收到乙方履约完成通知后，按《浙江省财政厅关于印发浙江省政府采购合同暂行办法的通知》（浙财采监〔</w:t>
      </w:r>
      <w:r>
        <w:t>2017〕11 号）相关规定组</w:t>
      </w:r>
      <w:r>
        <w:rPr>
          <w:rFonts w:hint="eastAsia"/>
        </w:rPr>
        <w:t>织验收。验收小组完成验收后应出具验收书，验收书应包括每一项技术、服务、安全等标准的履约情况。</w:t>
      </w:r>
    </w:p>
    <w:p>
      <w:pPr>
        <w:rPr>
          <w:b/>
          <w:bCs/>
        </w:rPr>
      </w:pPr>
      <w:r>
        <w:rPr>
          <w:rFonts w:hint="eastAsia"/>
          <w:b/>
          <w:bCs/>
        </w:rPr>
        <w:t>（十）违约责任</w:t>
      </w:r>
    </w:p>
    <w:p>
      <w:pPr>
        <w:ind w:firstLine="420" w:firstLineChars="200"/>
      </w:pPr>
      <w:r>
        <w:rPr>
          <w:rFonts w:hint="eastAsia"/>
        </w:rPr>
        <w:t>除合同规定的不可抗力外，如果乙方没有按照合同规定的时间提供服务，甲方可要求乙方支付违约金。违约金按每周合同款的</w:t>
      </w:r>
      <w:r>
        <w:rPr>
          <w:u w:val="single"/>
        </w:rPr>
        <w:t xml:space="preserve">     </w:t>
      </w:r>
      <w:r>
        <w:t>%计收。但违约金的最高限额为合同价的</w:t>
      </w:r>
      <w:r>
        <w:rPr>
          <w:u w:val="single"/>
        </w:rPr>
        <w:t xml:space="preserve">    </w:t>
      </w:r>
      <w:r>
        <w:t>%。一周按 7 天计算，</w:t>
      </w:r>
      <w:r>
        <w:rPr>
          <w:rFonts w:hint="eastAsia"/>
        </w:rPr>
        <w:t>不足</w:t>
      </w:r>
      <w:r>
        <w:t xml:space="preserve"> 7 天按一周计算。如果达到最高限额，甲方有权解除合同。</w:t>
      </w:r>
    </w:p>
    <w:p>
      <w:pPr>
        <w:ind w:firstLine="420" w:firstLineChars="200"/>
      </w:pPr>
      <w:r>
        <w:rPr>
          <w:rFonts w:hint="eastAsia"/>
        </w:rPr>
        <w:t>项目结束时验收不合格，乙方应在收到甲方通知后</w:t>
      </w:r>
      <w:r>
        <w:rPr>
          <w:u w:val="single"/>
        </w:rPr>
        <w:t xml:space="preserve"> 7 </w:t>
      </w:r>
      <w:r>
        <w:t>日内退还甲方已支付的合同款，逾期退还</w:t>
      </w:r>
      <w:r>
        <w:rPr>
          <w:rFonts w:hint="eastAsia"/>
        </w:rPr>
        <w:t>合同款的，每日按未退还金额的</w:t>
      </w:r>
      <w:r>
        <w:rPr>
          <w:u w:val="single"/>
        </w:rPr>
        <w:t xml:space="preserve">      </w:t>
      </w:r>
      <w:r>
        <w:t>%支付违约金。</w:t>
      </w:r>
    </w:p>
    <w:p>
      <w:pPr>
        <w:ind w:firstLine="420" w:firstLineChars="200"/>
      </w:pPr>
      <w:r>
        <w:rPr>
          <w:rFonts w:hint="eastAsia"/>
        </w:rPr>
        <w:t>其他违约条款双方协商确定：</w:t>
      </w:r>
      <w:r>
        <w:rPr>
          <w:rFonts w:hint="eastAsia"/>
          <w:u w:val="single"/>
        </w:rPr>
        <w:t xml:space="preserve"> </w:t>
      </w:r>
      <w:r>
        <w:rPr>
          <w:u w:val="single"/>
        </w:rPr>
        <w:t xml:space="preserve">                            </w:t>
      </w:r>
      <w:r>
        <w:rPr>
          <w:rFonts w:hint="eastAsia"/>
          <w:u w:val="single"/>
        </w:rPr>
        <w:t>。</w:t>
      </w:r>
    </w:p>
    <w:p>
      <w:pPr>
        <w:rPr>
          <w:b/>
          <w:bCs/>
        </w:rPr>
      </w:pPr>
      <w:r>
        <w:rPr>
          <w:rFonts w:hint="eastAsia"/>
          <w:b/>
          <w:bCs/>
        </w:rPr>
        <w:t>（十一）解决争议的方法</w:t>
      </w:r>
    </w:p>
    <w:p>
      <w:pPr>
        <w:ind w:firstLine="420" w:firstLineChars="200"/>
      </w:pPr>
      <w:r>
        <w:rPr>
          <w:rFonts w:hint="eastAsia"/>
        </w:rPr>
        <w:t>因合同履行中发生的争议，可通过合同当事人双方友好协商解决。如自协商开始之起</w:t>
      </w:r>
      <w:r>
        <w:t xml:space="preserve"> 15 日内得</w:t>
      </w:r>
      <w:r>
        <w:rPr>
          <w:rFonts w:hint="eastAsia"/>
        </w:rPr>
        <w:t>不到解决，双方应将争议提交政府采购监管部门调解。调解不成的，可向</w:t>
      </w:r>
      <w:r>
        <w:rPr>
          <w:rFonts w:hint="eastAsia"/>
          <w:u w:val="single"/>
        </w:rPr>
        <w:t>（</w:t>
      </w:r>
      <w:r>
        <w:rPr>
          <w:u w:val="single"/>
        </w:rPr>
        <w:t>1）向绍兴市仲裁委员会申请仲裁；</w:t>
      </w:r>
      <w:r>
        <w:rPr>
          <w:rFonts w:hint="eastAsia"/>
          <w:u w:val="single"/>
        </w:rPr>
        <w:t>（</w:t>
      </w:r>
      <w:r>
        <w:rPr>
          <w:u w:val="single"/>
        </w:rPr>
        <w:t>2）向                           人民法院起诉</w:t>
      </w:r>
      <w:r>
        <w:t>。</w:t>
      </w:r>
      <w:r>
        <w:rPr>
          <w:rFonts w:hint="eastAsia"/>
        </w:rPr>
        <w:t>诉讼费用除人民法院另有裁决外，应由败诉方负担。</w:t>
      </w:r>
    </w:p>
    <w:p>
      <w:pPr>
        <w:rPr>
          <w:b/>
          <w:bCs/>
        </w:rPr>
      </w:pPr>
      <w:r>
        <w:rPr>
          <w:rFonts w:hint="eastAsia"/>
          <w:b/>
          <w:bCs/>
        </w:rPr>
        <w:t>（十二）违约解除合同</w:t>
      </w:r>
    </w:p>
    <w:p>
      <w:pPr>
        <w:ind w:firstLine="420" w:firstLineChars="200"/>
      </w:pPr>
      <w:r>
        <w:t>1</w:t>
      </w:r>
      <w:r>
        <w:rPr>
          <w:rFonts w:hint="eastAsia"/>
        </w:rPr>
        <w:t>.</w:t>
      </w:r>
      <w:r>
        <w:t>在乙方违约的情况下，甲方可向乙方发出书面通知，部分或全部终止合同</w:t>
      </w:r>
      <w:r>
        <w:rPr>
          <w:rFonts w:hint="eastAsia"/>
        </w:rPr>
        <w:t>,</w:t>
      </w:r>
      <w:r>
        <w:t>同时保留向乙方</w:t>
      </w:r>
      <w:r>
        <w:rPr>
          <w:rFonts w:hint="eastAsia"/>
        </w:rPr>
        <w:t>追诉的权利：</w:t>
      </w:r>
    </w:p>
    <w:p>
      <w:pPr>
        <w:ind w:firstLine="420" w:firstLineChars="200"/>
      </w:pPr>
      <w:r>
        <w:t>乙方未能在合同规定的限期或甲方同意延长的限期内，提供全部或部分标的物的；</w:t>
      </w:r>
    </w:p>
    <w:p>
      <w:pPr>
        <w:ind w:firstLine="420" w:firstLineChars="200"/>
      </w:pPr>
      <w:r>
        <w:t>乙方未能履行合同规定的其它主要义务的；</w:t>
      </w:r>
    </w:p>
    <w:p>
      <w:pPr>
        <w:ind w:firstLine="420" w:firstLineChars="200"/>
      </w:pPr>
      <w:r>
        <w:t>甲方认为乙方在本合同履行过程中有腐败和欺诈</w:t>
      </w:r>
      <w:r>
        <w:rPr>
          <w:rFonts w:hint="eastAsia"/>
        </w:rPr>
        <w:t>等</w:t>
      </w:r>
      <w:r>
        <w:t>行为的。</w:t>
      </w:r>
    </w:p>
    <w:p>
      <w:pPr>
        <w:ind w:firstLine="420" w:firstLineChars="200"/>
      </w:pPr>
      <w:r>
        <w:t>2</w:t>
      </w:r>
      <w:r>
        <w:rPr>
          <w:rFonts w:hint="eastAsia"/>
        </w:rPr>
        <w:t>.</w:t>
      </w:r>
      <w:r>
        <w:t>甲方解除合同的，合同于甲方发出书面解除合同通知书送达乙方之日起解除。乙方应在合同</w:t>
      </w:r>
      <w:r>
        <w:rPr>
          <w:rFonts w:hint="eastAsia"/>
        </w:rPr>
        <w:t>解除后</w:t>
      </w:r>
      <w:r>
        <w:rPr>
          <w:u w:val="single"/>
        </w:rPr>
        <w:t xml:space="preserve"> 7 </w:t>
      </w:r>
      <w:r>
        <w:t>日内退还甲方已支付的合同款，逾期退还合同款的，每日按未退还金额的</w:t>
      </w:r>
      <w:r>
        <w:rPr>
          <w:u w:val="single"/>
        </w:rPr>
        <w:t xml:space="preserve">    </w:t>
      </w:r>
      <w:r>
        <w:t xml:space="preserve"> %支付违约</w:t>
      </w:r>
      <w:r>
        <w:rPr>
          <w:rFonts w:hint="eastAsia"/>
        </w:rPr>
        <w:t>金。</w:t>
      </w:r>
    </w:p>
    <w:p>
      <w:pPr>
        <w:rPr>
          <w:b/>
          <w:bCs/>
        </w:rPr>
      </w:pPr>
      <w:r>
        <w:rPr>
          <w:rFonts w:hint="eastAsia"/>
          <w:b/>
          <w:bCs/>
        </w:rPr>
        <w:t>（十三）破产终止合同</w:t>
      </w:r>
    </w:p>
    <w:p>
      <w:pPr>
        <w:ind w:firstLine="420" w:firstLineChars="200"/>
      </w:pPr>
      <w:r>
        <w:rPr>
          <w:rFonts w:hint="eastAsia"/>
        </w:rPr>
        <w:t>如果乙方破产或无清偿能力时，甲方经报同级政府采购监督管理部门审批同意后，可在任何时候以书面通知乙方，提出终止合同而不给乙方补偿。该合同的终止将不损害或不影响甲方已经采取或将要采取任何行动或补救措施的权利。</w:t>
      </w:r>
    </w:p>
    <w:p>
      <w:pPr>
        <w:rPr>
          <w:b/>
          <w:bCs/>
        </w:rPr>
      </w:pPr>
      <w:r>
        <w:rPr>
          <w:rFonts w:hint="eastAsia"/>
          <w:b/>
          <w:bCs/>
        </w:rPr>
        <w:t>（十四）转让和分包</w:t>
      </w:r>
    </w:p>
    <w:p>
      <w:pPr>
        <w:ind w:firstLine="420" w:firstLineChars="200"/>
      </w:pPr>
      <w:r>
        <w:t>1</w:t>
      </w:r>
      <w:r>
        <w:rPr>
          <w:rFonts w:hint="eastAsia"/>
        </w:rPr>
        <w:t>.</w:t>
      </w:r>
      <w:r>
        <w:t>政府采购合同不能转让。</w:t>
      </w:r>
    </w:p>
    <w:p>
      <w:pPr>
        <w:ind w:firstLine="420" w:firstLineChars="200"/>
      </w:pPr>
      <w:r>
        <w:t>2</w:t>
      </w:r>
      <w:r>
        <w:rPr>
          <w:rFonts w:hint="eastAsia"/>
        </w:rPr>
        <w:t>.</w:t>
      </w:r>
      <w:r>
        <w:t>本项目内容</w:t>
      </w:r>
      <w:r>
        <w:rPr>
          <w:u w:val="single"/>
        </w:rPr>
        <w:t>不</w:t>
      </w:r>
      <w:r>
        <w:t>允许分包</w:t>
      </w:r>
      <w:r>
        <w:rPr>
          <w:rFonts w:hint="eastAsia"/>
        </w:rPr>
        <w:t>（按照招标文件要求）</w:t>
      </w:r>
      <w:r>
        <w:t>。</w:t>
      </w:r>
    </w:p>
    <w:p>
      <w:pPr>
        <w:rPr>
          <w:b/>
          <w:bCs/>
        </w:rPr>
      </w:pPr>
      <w:r>
        <w:rPr>
          <w:rFonts w:hint="eastAsia"/>
          <w:b/>
          <w:bCs/>
        </w:rPr>
        <w:t>（十五）合同变更、解除</w:t>
      </w:r>
    </w:p>
    <w:p>
      <w:pPr>
        <w:ind w:firstLine="420" w:firstLineChars="200"/>
      </w:pPr>
      <w:r>
        <w:t>甲方和乙方都不得擅自</w:t>
      </w:r>
      <w:r>
        <w:rPr>
          <w:rFonts w:hint="eastAsia"/>
        </w:rPr>
        <w:t>中止或终止本合同，</w:t>
      </w:r>
      <w:r>
        <w:t>但合同继续履行将损害国家和社会公共利益的除外。</w:t>
      </w:r>
      <w:r>
        <w:rPr>
          <w:rFonts w:hint="eastAsia"/>
        </w:rPr>
        <w:t>不得擅自</w:t>
      </w:r>
      <w:r>
        <w:t>变更本合同，如</w:t>
      </w:r>
      <w:r>
        <w:rPr>
          <w:rFonts w:hint="eastAsia"/>
        </w:rPr>
        <w:t>必须对合同条款进行改动时，当事人双方须共同签署书面文件，做为合同的补充，并报同级政府采购监督管理部门批准和备案。</w:t>
      </w:r>
    </w:p>
    <w:p>
      <w:pPr>
        <w:rPr>
          <w:b/>
          <w:bCs/>
        </w:rPr>
      </w:pPr>
      <w:r>
        <w:rPr>
          <w:rFonts w:hint="eastAsia"/>
          <w:b/>
          <w:bCs/>
        </w:rPr>
        <w:t>（十六）通知</w:t>
      </w:r>
    </w:p>
    <w:p>
      <w:pPr>
        <w:ind w:firstLine="420" w:firstLineChars="200"/>
      </w:pPr>
      <w:r>
        <w:rPr>
          <w:rFonts w:hint="eastAsia"/>
        </w:rPr>
        <w:t>本合同任何一方给另一方的通知，都应以书面形式发送，而另一方也应以书面形式确认并发送到对方明确的地址。</w:t>
      </w:r>
    </w:p>
    <w:p>
      <w:pPr>
        <w:rPr>
          <w:b/>
          <w:bCs/>
        </w:rPr>
      </w:pPr>
      <w:r>
        <w:rPr>
          <w:rFonts w:hint="eastAsia"/>
          <w:b/>
          <w:bCs/>
        </w:rPr>
        <w:t>（十七）计量单位</w:t>
      </w:r>
    </w:p>
    <w:p>
      <w:pPr>
        <w:ind w:firstLine="420" w:firstLineChars="200"/>
      </w:pPr>
      <w:r>
        <w:rPr>
          <w:rFonts w:hint="eastAsia"/>
        </w:rPr>
        <w:t>除技术规范中另有规定外，计量单位均使用国家法定计量单位。</w:t>
      </w:r>
    </w:p>
    <w:p>
      <w:pPr>
        <w:rPr>
          <w:b/>
          <w:bCs/>
        </w:rPr>
      </w:pPr>
      <w:r>
        <w:rPr>
          <w:rFonts w:hint="eastAsia"/>
          <w:b/>
          <w:bCs/>
        </w:rPr>
        <w:t>（十八）不可抗力</w:t>
      </w:r>
    </w:p>
    <w:p>
      <w:pPr>
        <w:ind w:firstLine="420" w:firstLineChars="200"/>
      </w:pPr>
      <w:r>
        <w:t>1</w:t>
      </w:r>
      <w:r>
        <w:rPr>
          <w:rFonts w:hint="eastAsia"/>
        </w:rPr>
        <w:t>.</w:t>
      </w:r>
      <w:r>
        <w:t>如果双方中任何一方遭遇法律规定的不可抗力，致使合同履行受阻时，履行合同的期限应予</w:t>
      </w:r>
      <w:r>
        <w:rPr>
          <w:rFonts w:hint="eastAsia"/>
        </w:rPr>
        <w:t>延长，延长的期限应相当于不可抗力所影响的时间。</w:t>
      </w:r>
    </w:p>
    <w:p>
      <w:pPr>
        <w:ind w:firstLine="420" w:firstLineChars="200"/>
      </w:pPr>
      <w:r>
        <w:t>2</w:t>
      </w:r>
      <w:r>
        <w:rPr>
          <w:rFonts w:hint="eastAsia"/>
        </w:rPr>
        <w:t>.</w:t>
      </w:r>
      <w:r>
        <w:t>受事故影响的一方应在不可抗力的事故发生后尽快书面形式通知另一方，并在事故发生后合</w:t>
      </w:r>
      <w:r>
        <w:rPr>
          <w:rFonts w:hint="eastAsia"/>
        </w:rPr>
        <w:t>同规定时间内，将有关部门出具的证明文件送达另一方。</w:t>
      </w:r>
    </w:p>
    <w:p>
      <w:pPr>
        <w:ind w:firstLine="420" w:firstLineChars="200"/>
      </w:pPr>
      <w:r>
        <w:t>3</w:t>
      </w:r>
      <w:r>
        <w:rPr>
          <w:rFonts w:hint="eastAsia"/>
        </w:rPr>
        <w:t>.</w:t>
      </w:r>
      <w:r>
        <w:t>不可抗力使合同的某些内容有变更必要的，双方应通过协商达成进一步履行合同的协议，因</w:t>
      </w:r>
      <w:r>
        <w:rPr>
          <w:rFonts w:hint="eastAsia"/>
        </w:rPr>
        <w:t>不可抗力致使合同不能履行的，合同终止。</w:t>
      </w:r>
    </w:p>
    <w:p>
      <w:pPr>
        <w:rPr>
          <w:b/>
          <w:bCs/>
        </w:rPr>
      </w:pPr>
      <w:r>
        <w:rPr>
          <w:rFonts w:hint="eastAsia"/>
          <w:b/>
          <w:bCs/>
        </w:rPr>
        <w:t>（十九）合同解释</w:t>
      </w:r>
    </w:p>
    <w:p>
      <w:pPr>
        <w:ind w:firstLine="420" w:firstLineChars="200"/>
      </w:pPr>
      <w:r>
        <w:rPr>
          <w:rFonts w:hint="eastAsia"/>
        </w:rPr>
        <w:t>本合同应按照《中华人民共和国政府采购法》、《中华人民共和国民法典》、《浙江省政府采购合同暂行办法》等进行解释。</w:t>
      </w:r>
    </w:p>
    <w:p>
      <w:r>
        <w:rPr>
          <w:rFonts w:hint="eastAsia"/>
          <w:b/>
          <w:bCs/>
        </w:rPr>
        <w:t>（二十）合同的生效及其他</w:t>
      </w:r>
    </w:p>
    <w:p>
      <w:pPr>
        <w:ind w:firstLine="420" w:firstLineChars="200"/>
      </w:pPr>
      <w:r>
        <w:rPr>
          <w:rFonts w:hint="eastAsia"/>
        </w:rPr>
        <w:t>政府采购项目的采购合同内容的确定应以招标文件和投标文件为基础，不得违背其实质性内容。</w:t>
      </w:r>
    </w:p>
    <w:p>
      <w:r>
        <w:rPr>
          <w:rFonts w:hint="eastAsia"/>
        </w:rPr>
        <w:t>合同将在双方签字盖章后开始生效。授权代表签署的应附法定代表人授权书。</w:t>
      </w:r>
    </w:p>
    <w:p>
      <w:pPr>
        <w:rPr>
          <w:b/>
          <w:bCs/>
        </w:rPr>
      </w:pPr>
      <w:r>
        <w:rPr>
          <w:rFonts w:hint="eastAsia"/>
          <w:b/>
          <w:bCs/>
        </w:rPr>
        <w:t>（二十一）合同附件（如有）</w:t>
      </w:r>
    </w:p>
    <w:p>
      <w:pPr>
        <w:rPr>
          <w:b/>
          <w:bCs/>
        </w:rPr>
      </w:pPr>
      <w:r>
        <w:rPr>
          <w:rFonts w:hint="eastAsia"/>
          <w:b/>
          <w:bCs/>
        </w:rPr>
        <w:t>（二十二）合同份数</w:t>
      </w:r>
    </w:p>
    <w:p>
      <w:r>
        <w:rPr>
          <w:rFonts w:hint="eastAsia"/>
        </w:rPr>
        <w:t>本合同一式</w:t>
      </w:r>
      <w:r>
        <w:rPr>
          <w:rFonts w:hint="eastAsia"/>
          <w:u w:val="single"/>
        </w:rPr>
        <w:t>五</w:t>
      </w:r>
      <w:r>
        <w:rPr>
          <w:rFonts w:hint="eastAsia"/>
        </w:rPr>
        <w:t>份，具同等法律效力。</w:t>
      </w:r>
    </w:p>
    <w:tbl>
      <w:tblPr>
        <w:tblStyle w:val="6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4"/>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524" w:type="dxa"/>
            <w:vAlign w:val="center"/>
          </w:tcPr>
          <w:p>
            <w:pPr>
              <w:jc w:val="center"/>
            </w:pPr>
            <w:r>
              <w:rPr>
                <w:rFonts w:hint="eastAsia"/>
              </w:rPr>
              <w:t>甲方</w:t>
            </w:r>
          </w:p>
        </w:tc>
        <w:tc>
          <w:tcPr>
            <w:tcW w:w="4234" w:type="dxa"/>
            <w:vAlign w:val="center"/>
          </w:tcPr>
          <w:p>
            <w:pPr>
              <w:jc w:val="center"/>
            </w:pPr>
            <w:r>
              <w:rPr>
                <w:rFonts w:hint="eastAsia"/>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52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c>
          <w:tcPr>
            <w:tcW w:w="4234" w:type="dxa"/>
          </w:tcPr>
          <w:p>
            <w:r>
              <w:rPr>
                <w:rFonts w:hint="eastAsia"/>
              </w:rPr>
              <w:t>单位名称（盖章）</w:t>
            </w:r>
          </w:p>
          <w:p>
            <w:r>
              <w:rPr>
                <w:rFonts w:hint="eastAsia"/>
              </w:rPr>
              <w:t>单位地址：</w:t>
            </w:r>
          </w:p>
          <w:p>
            <w:r>
              <w:rPr>
                <w:rFonts w:hint="eastAsia"/>
              </w:rPr>
              <w:t>法定代表人：</w:t>
            </w:r>
          </w:p>
          <w:p>
            <w:r>
              <w:rPr>
                <w:rFonts w:hint="eastAsia"/>
              </w:rPr>
              <w:t>委托代理人：</w:t>
            </w:r>
          </w:p>
          <w:p>
            <w:r>
              <w:rPr>
                <w:rFonts w:hint="eastAsia"/>
              </w:rPr>
              <w:t>联系电话：</w:t>
            </w:r>
          </w:p>
          <w:p>
            <w:r>
              <w:rPr>
                <w:rFonts w:hint="eastAsia"/>
              </w:rPr>
              <w:t>传真号码：</w:t>
            </w:r>
          </w:p>
          <w:p>
            <w:r>
              <w:rPr>
                <w:rFonts w:hint="eastAsia"/>
              </w:rPr>
              <w:t>邮政编码：</w:t>
            </w:r>
          </w:p>
          <w:p>
            <w:r>
              <w:rPr>
                <w:rFonts w:hint="eastAsia"/>
              </w:rPr>
              <w:t>开户银行：</w:t>
            </w:r>
          </w:p>
          <w:p>
            <w:r>
              <w:rPr>
                <w:rFonts w:hint="eastAsia"/>
              </w:rPr>
              <w:t>账    号：</w:t>
            </w:r>
          </w:p>
          <w:p>
            <w:r>
              <w:rPr>
                <w:rFonts w:hint="eastAsia"/>
              </w:rPr>
              <w:t xml:space="preserve">税 </w:t>
            </w:r>
            <w:r>
              <w:t xml:space="preserve">   </w:t>
            </w:r>
            <w:r>
              <w:rPr>
                <w:rFonts w:hint="eastAsia"/>
              </w:rPr>
              <w:t>号：</w:t>
            </w:r>
          </w:p>
          <w:p>
            <w:r>
              <w:t>签订时间：</w:t>
            </w:r>
          </w:p>
        </w:tc>
      </w:tr>
    </w:tbl>
    <w:p/>
    <w:p/>
    <w:p>
      <w:pPr>
        <w:ind w:firstLine="422" w:firstLineChars="200"/>
        <w:rPr>
          <w:rFonts w:ascii="宋体" w:hAnsi="宋体"/>
          <w:b/>
          <w:color w:val="FF0000"/>
        </w:rPr>
      </w:pPr>
      <w:r>
        <w:rPr>
          <w:rFonts w:hint="eastAsia" w:ascii="宋体" w:hAnsi="宋体"/>
          <w:b/>
          <w:color w:val="FF0000"/>
        </w:rPr>
        <w:t>（注：在正式签约时，双方可以根据上述要求应拟定更为详尽的合同书）</w:t>
      </w:r>
    </w:p>
    <w:p>
      <w:pPr>
        <w:spacing w:line="360" w:lineRule="auto"/>
        <w:ind w:left="-420" w:leftChars="-200" w:right="-420" w:rightChars="-200" w:firstLine="480" w:firstLineChars="200"/>
        <w:jc w:val="center"/>
        <w:outlineLvl w:val="0"/>
        <w:rPr>
          <w:rFonts w:ascii="仿宋" w:hAnsi="仿宋" w:eastAsia="仿宋"/>
          <w:sz w:val="24"/>
        </w:rPr>
      </w:pPr>
    </w:p>
    <w:p>
      <w:pPr>
        <w:pStyle w:val="2"/>
        <w:rPr>
          <w:lang w:val="en-US"/>
        </w:rPr>
      </w:pPr>
    </w:p>
    <w:p/>
    <w:p>
      <w:pPr>
        <w:pStyle w:val="2"/>
        <w:rPr>
          <w:lang w:val="en-US"/>
        </w:rPr>
      </w:pPr>
    </w:p>
    <w:p/>
    <w:p>
      <w:pPr>
        <w:pStyle w:val="2"/>
        <w:rPr>
          <w:lang w:val="en-US"/>
        </w:rPr>
      </w:pPr>
    </w:p>
    <w:p/>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2"/>
      <w:r>
        <w:rPr>
          <w:rFonts w:ascii="仿宋" w:hAnsi="仿宋" w:eastAsia="仿宋" w:cs="仿宋_GB2312"/>
          <w:b/>
          <w:sz w:val="36"/>
          <w:szCs w:val="20"/>
        </w:rPr>
        <w:t xml:space="preserve"> </w:t>
      </w:r>
      <w:bookmarkEnd w:id="393"/>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2）中小企业声明函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（3）</w:t>
      </w:r>
      <w:r>
        <w:rPr>
          <w:rFonts w:hint="eastAsia" w:ascii="仿宋_GB2312" w:hAnsi="仿宋" w:eastAsia="仿宋_GB2312"/>
          <w:bCs/>
          <w:sz w:val="24"/>
        </w:rPr>
        <w:t>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（一）具备《中华人民共和国政府采购法》第二十二条规定的以下条件：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pStyle w:val="2"/>
        <w:rPr>
          <w:lang w:val="en-US"/>
        </w:rPr>
      </w:pPr>
    </w:p>
    <w:p/>
    <w:p>
      <w:pPr>
        <w:pStyle w:val="2"/>
        <w:rPr>
          <w:lang w:val="en-US"/>
        </w:rPr>
      </w:pPr>
    </w:p>
    <w:p/>
    <w:p>
      <w:pPr>
        <w:pStyle w:val="2"/>
        <w:rPr>
          <w:lang w:val="en-US"/>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专门面向中小企业，货物全部由符合政策要求的中小企业（或小微企业）制造或者服务全部由符合政策要求的中小企业（或小微企业）承接的，提供相应的中小企业声明函（附件4）。</w:t>
      </w:r>
      <w:r>
        <w:rPr>
          <w:rFonts w:ascii="仿宋_GB2312" w:hAnsi="仿宋" w:eastAsia="仿宋_GB2312" w:cs="仿宋_GB2312"/>
          <w:sz w:val="24"/>
        </w:rPr>
        <w:t xml:space="preserve"> </w:t>
      </w: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4），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4），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2"/>
        <w:rPr>
          <w:lang w:val="en-US"/>
        </w:rPr>
      </w:pPr>
    </w:p>
    <w:p/>
    <w:p>
      <w:pPr>
        <w:pStyle w:val="2"/>
        <w:rPr>
          <w:lang w:val="en-US"/>
        </w:rPr>
      </w:pPr>
    </w:p>
    <w:p/>
    <w:p>
      <w:pPr>
        <w:pStyle w:val="2"/>
        <w:rPr>
          <w:lang w:val="en-US"/>
        </w:rPr>
      </w:pPr>
    </w:p>
    <w:p/>
    <w:p>
      <w:pPr>
        <w:pStyle w:val="2"/>
        <w:rPr>
          <w:lang w:val="en-US"/>
        </w:rPr>
      </w:pPr>
    </w:p>
    <w:p/>
    <w:p>
      <w:pPr>
        <w:pStyle w:val="2"/>
        <w:rPr>
          <w:lang w:val="en-US"/>
        </w:rPr>
      </w:pPr>
    </w:p>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pStyle w:val="2"/>
        <w:rPr>
          <w:lang w:val="en-US"/>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ascii="仿宋_GB2312" w:hAnsi="仿宋" w:eastAsia="仿宋_GB2312" w:cs="仿宋_GB2312"/>
          <w:sz w:val="24"/>
        </w:rPr>
        <w:t>（如需）</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ascii="仿宋_GB2312" w:hAnsi="仿宋" w:eastAsia="仿宋_GB2312" w:cs="仿宋_GB2312"/>
          <w:sz w:val="24"/>
        </w:rPr>
        <w:t>（如需）</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pStyle w:val="2"/>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pStyle w:val="175"/>
        <w:spacing w:line="360" w:lineRule="auto"/>
        <w:rPr>
          <w:rFonts w:ascii="仿宋_GB2312" w:hAnsi="仿宋" w:eastAsia="仿宋_GB2312"/>
          <w:bCs/>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kern w:val="0"/>
          <w:sz w:val="32"/>
          <w:szCs w:val="32"/>
          <w:lang w:val="zh-CN"/>
        </w:rPr>
      </w:pP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75"/>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75"/>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75"/>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2"/>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3714"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投标文件按照招标文件要求签署、盖章。</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需要使用电子签名或者签字盖章的投标文件的组成部分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节能产品认证证书（本项目拟采购的产品不属于政府强制采购的节能产品品目清单范围的，无需提供）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投标文件中承诺的投标有效期不少于招标文件中载明的投标有效期。</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3714" w:type="dxa"/>
            <w:vAlign w:val="center"/>
          </w:tcPr>
          <w:p>
            <w:pPr>
              <w:spacing w:line="360" w:lineRule="auto"/>
              <w:rPr>
                <w:rFonts w:ascii="仿宋_GB2312" w:hAnsi="仿宋" w:eastAsia="仿宋_GB2312"/>
                <w:sz w:val="24"/>
              </w:rPr>
            </w:pPr>
            <w:r>
              <w:rPr>
                <w:rFonts w:hint="eastAsia" w:ascii="仿宋_GB2312" w:hAnsi="仿宋" w:eastAsia="仿宋_GB2312"/>
                <w:sz w:val="24"/>
              </w:rPr>
              <w:t>招标文件其它实质性要求相应的材料（“★” 系指实质性要求条款，招标文件无其它实质性要求的，无需提供）</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pStyle w:val="2"/>
        <w:rPr>
          <w:rFonts w:cs="仿宋_GB2312"/>
          <w:kern w:val="0"/>
        </w:rPr>
      </w:pPr>
    </w:p>
    <w:p>
      <w:pPr>
        <w:rPr>
          <w:rFonts w:ascii="仿宋_GB2312" w:hAnsi="仿宋" w:eastAsia="仿宋_GB2312" w:cs="仿宋_GB2312"/>
          <w:b/>
          <w:kern w:val="0"/>
          <w:sz w:val="32"/>
          <w:szCs w:val="32"/>
        </w:rPr>
      </w:pPr>
    </w:p>
    <w:p>
      <w:pPr>
        <w:pStyle w:val="2"/>
        <w:rPr>
          <w:rFonts w:cs="仿宋_GB2312"/>
          <w:kern w:val="0"/>
        </w:rPr>
      </w:pPr>
    </w:p>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2"/>
        <w:tblW w:w="9464" w:type="dxa"/>
        <w:tblInd w:w="0" w:type="dxa"/>
        <w:tblLayout w:type="autofit"/>
        <w:tblCellMar>
          <w:top w:w="0" w:type="dxa"/>
          <w:left w:w="108" w:type="dxa"/>
          <w:bottom w:w="0" w:type="dxa"/>
          <w:right w:w="108" w:type="dxa"/>
        </w:tblCellMar>
      </w:tblPr>
      <w:tblGrid>
        <w:gridCol w:w="959"/>
        <w:gridCol w:w="3289"/>
        <w:gridCol w:w="3940"/>
        <w:gridCol w:w="1276"/>
      </w:tblGrid>
      <w:tr>
        <w:tblPrEx>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289"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940" w:type="dxa"/>
          </w:tcPr>
          <w:p>
            <w:pPr>
              <w:jc w:val="center"/>
              <w:rPr>
                <w:rFonts w:ascii="仿宋_GB2312" w:hAnsi="仿宋" w:eastAsia="仿宋_GB2312"/>
                <w:b/>
                <w:bCs/>
                <w:sz w:val="24"/>
              </w:rPr>
            </w:pPr>
            <w:r>
              <w:rPr>
                <w:rFonts w:hint="eastAsia" w:ascii="仿宋_GB2312" w:hAnsi="仿宋" w:eastAsia="仿宋_GB2312"/>
                <w:b/>
                <w:bCs/>
                <w:sz w:val="24"/>
              </w:rPr>
              <w:t>投标文件章节（页码）及具体内容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289" w:type="dxa"/>
          </w:tcPr>
          <w:p>
            <w:pPr>
              <w:jc w:val="center"/>
              <w:rPr>
                <w:rFonts w:ascii="仿宋_GB2312" w:hAnsi="仿宋" w:eastAsia="仿宋_GB2312" w:cs="仿宋_GB2312"/>
                <w:b/>
                <w:kern w:val="0"/>
                <w:sz w:val="32"/>
                <w:szCs w:val="32"/>
              </w:rPr>
            </w:pPr>
          </w:p>
        </w:tc>
        <w:tc>
          <w:tcPr>
            <w:tcW w:w="3940"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注：</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1、此表须与招标文件“采购需求”相应标项内的所有技术规格、商务条款（含技术、功能、配置、附加必备条件、售后服务、安装、验收、付款方式等）相比较且一一对应真实逐条填列，并在“偏离情况”栏注明“正偏离”、“负偏离”或“无偏离”。</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2、投标人递交的技术规格书中必须真实逐条列明，否则由投标人自行承担相关风险。</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3、此表在不改变格式的情况下可自行制作。</w:t>
      </w:r>
    </w:p>
    <w:p>
      <w:pPr>
        <w:pStyle w:val="32"/>
        <w:spacing w:line="400" w:lineRule="atLeast"/>
        <w:rPr>
          <w:rFonts w:ascii="仿宋_GB2312" w:hAnsi="仿宋" w:eastAsia="仿宋_GB2312" w:cs="仿宋_GB2312"/>
          <w:snapToGrid/>
          <w:kern w:val="0"/>
          <w:sz w:val="24"/>
          <w:szCs w:val="24"/>
        </w:rPr>
      </w:pPr>
      <w:r>
        <w:rPr>
          <w:rFonts w:hint="eastAsia" w:ascii="仿宋_GB2312" w:hAnsi="仿宋" w:eastAsia="仿宋_GB2312" w:cs="仿宋_GB2312"/>
          <w:snapToGrid/>
          <w:kern w:val="0"/>
          <w:sz w:val="24"/>
          <w:szCs w:val="24"/>
        </w:rPr>
        <w:t>4、此表置于商务技术文件中。</w:t>
      </w:r>
    </w:p>
    <w:p>
      <w:pPr>
        <w:jc w:val="left"/>
        <w:rPr>
          <w:rFonts w:ascii="仿宋_GB2312" w:hAnsi="仿宋" w:eastAsia="仿宋_GB2312" w:cs="仿宋_GB2312"/>
          <w:b/>
          <w:kern w:val="0"/>
          <w:sz w:val="24"/>
        </w:rPr>
      </w:pPr>
      <w:r>
        <w:rPr>
          <w:rFonts w:hint="eastAsia" w:ascii="仿宋_GB2312" w:hAnsi="仿宋" w:eastAsia="仿宋_GB2312" w:cs="仿宋_GB2312"/>
          <w:b/>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5"/>
        <w:keepNext w:val="0"/>
        <w:pageBreakBefore w:val="0"/>
        <w:numPr>
          <w:ilvl w:val="0"/>
          <w:numId w:val="6"/>
        </w:numPr>
        <w:tabs>
          <w:tab w:val="clear" w:pos="720"/>
        </w:tabs>
        <w:snapToGrid w:val="0"/>
        <w:spacing w:before="120" w:after="120"/>
        <w:ind w:firstLine="643"/>
        <w:outlineLvl w:val="9"/>
        <w:rPr>
          <w:rFonts w:ascii="仿宋_GB2312" w:hAnsi="仿宋" w:eastAsia="仿宋_GB2312" w:cs="仿宋_GB2312"/>
          <w:kern w:val="2"/>
          <w:sz w:val="32"/>
          <w:szCs w:val="32"/>
        </w:rPr>
      </w:pPr>
      <w:r>
        <w:rPr>
          <w:rFonts w:hint="eastAsia" w:ascii="仿宋_GB2312" w:hAnsi="仿宋" w:eastAsia="仿宋_GB2312" w:cs="仿宋_GB2312"/>
          <w:kern w:val="2"/>
          <w:sz w:val="32"/>
          <w:szCs w:val="32"/>
        </w:rPr>
        <w:t>开标一览表（报价表）</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119"/>
        <w:gridCol w:w="4677"/>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13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序号</w:t>
            </w:r>
          </w:p>
        </w:tc>
        <w:tc>
          <w:tcPr>
            <w:tcW w:w="311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名称</w:t>
            </w:r>
          </w:p>
        </w:tc>
        <w:tc>
          <w:tcPr>
            <w:tcW w:w="467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具体服务</w:t>
            </w:r>
          </w:p>
        </w:tc>
        <w:tc>
          <w:tcPr>
            <w:tcW w:w="538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b/>
                <w:sz w:val="24"/>
              </w:rPr>
              <w:t>服务要求（年限）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38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 xml:space="preserve">标的一 </w:t>
            </w:r>
          </w:p>
        </w:tc>
        <w:tc>
          <w:tcPr>
            <w:tcW w:w="3119"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sz w:val="24"/>
              </w:rPr>
              <w:t>片区1（包括暨阳街道、次坞、应店街、山下湖等镇街）土地评估服务</w:t>
            </w:r>
          </w:p>
        </w:tc>
        <w:tc>
          <w:tcPr>
            <w:tcW w:w="4677" w:type="dxa"/>
            <w:vAlign w:val="center"/>
          </w:tcPr>
          <w:p>
            <w:pPr>
              <w:snapToGrid w:val="0"/>
              <w:spacing w:line="360" w:lineRule="auto"/>
              <w:jc w:val="center"/>
              <w:rPr>
                <w:rFonts w:ascii="仿宋_GB2312" w:hAnsi="仿宋" w:eastAsia="仿宋_GB2312" w:cs="仿宋_GB2312"/>
                <w:sz w:val="24"/>
              </w:rPr>
            </w:pPr>
            <w:r>
              <w:rPr>
                <w:rFonts w:hint="eastAsia" w:ascii="仿宋_GB2312" w:hAnsi="仿宋" w:eastAsia="仿宋_GB2312"/>
                <w:sz w:val="24"/>
              </w:rPr>
              <w:t>土地评估服务</w:t>
            </w:r>
          </w:p>
        </w:tc>
        <w:tc>
          <w:tcPr>
            <w:tcW w:w="5387"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sz w:val="24"/>
              </w:rPr>
              <w:t>合同签订生效起至2022年12月31日止。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180"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5387"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180" w:type="dxa"/>
            <w:gridSpan w:val="3"/>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5387" w:type="dxa"/>
            <w:vAlign w:val="center"/>
          </w:tcPr>
          <w:p>
            <w:pPr>
              <w:spacing w:line="360" w:lineRule="auto"/>
              <w:jc w:val="center"/>
              <w:rPr>
                <w:rFonts w:ascii="仿宋_GB2312" w:hAnsi="仿宋" w:eastAsia="仿宋_GB2312" w:cs="仿宋_GB2312"/>
                <w:sz w:val="24"/>
              </w:rPr>
            </w:pPr>
          </w:p>
        </w:tc>
      </w:tr>
    </w:tbl>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p>
    <w:p>
      <w:pPr>
        <w:snapToGrid w:val="0"/>
        <w:spacing w:line="360" w:lineRule="auto"/>
        <w:ind w:firstLine="8674" w:firstLineChars="36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投标人名称（电子签名）：</w:t>
      </w:r>
    </w:p>
    <w:p>
      <w:pPr>
        <w:snapToGrid w:val="0"/>
        <w:spacing w:line="360" w:lineRule="auto"/>
        <w:ind w:firstLine="9638" w:firstLineChars="400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 xml:space="preserve">日 </w:t>
      </w:r>
      <w:r>
        <w:rPr>
          <w:rFonts w:ascii="仿宋_GB2312" w:hAnsi="仿宋" w:eastAsia="仿宋_GB2312" w:cs="仿宋_GB2312"/>
          <w:b/>
          <w:kern w:val="0"/>
          <w:sz w:val="24"/>
          <w:lang w:val="zh-CN"/>
        </w:rPr>
        <w:t xml:space="preserve"> </w:t>
      </w:r>
      <w:r>
        <w:rPr>
          <w:rFonts w:hint="eastAsia" w:ascii="仿宋_GB2312" w:hAnsi="仿宋" w:eastAsia="仿宋_GB2312" w:cs="仿宋_GB2312"/>
          <w:b/>
          <w:kern w:val="0"/>
          <w:sz w:val="24"/>
          <w:lang w:val="zh-CN"/>
        </w:rPr>
        <w:t>期：</w:t>
      </w: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p>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w:t>
      </w:r>
      <w:r>
        <w:rPr>
          <w:rFonts w:ascii="仿宋_GB2312" w:hAnsi="仿宋" w:eastAsia="仿宋_GB2312" w:cs="仿宋_GB2312"/>
          <w:b/>
          <w:kern w:val="0"/>
          <w:sz w:val="24"/>
          <w:lang w:val="zh-CN"/>
        </w:rPr>
        <w:t>本次招标以折扣率形式进行报价</w:t>
      </w:r>
      <w:r>
        <w:rPr>
          <w:rFonts w:hint="eastAsia" w:ascii="仿宋_GB2312" w:hAnsi="仿宋" w:eastAsia="仿宋_GB2312" w:cs="仿宋_GB2312"/>
          <w:b/>
          <w:kern w:val="0"/>
          <w:sz w:val="24"/>
          <w:lang w:val="zh-CN"/>
        </w:rPr>
        <w:t>，报价保留两位小数（例：45.55%）</w:t>
      </w:r>
      <w:r>
        <w:rPr>
          <w:rFonts w:ascii="仿宋_GB2312" w:hAnsi="仿宋" w:eastAsia="仿宋_GB2312" w:cs="仿宋_GB2312"/>
          <w:b/>
          <w:kern w:val="0"/>
          <w:sz w:val="24"/>
          <w:lang w:val="zh-CN"/>
        </w:rPr>
        <w:t>。最高限价以《浙江省物价局关于公布降低后的土地价格评估服务收费标准的通知》(浙价服[2013]98号)文件标准的60%为最高限价，高于此报价</w:t>
      </w:r>
      <w:r>
        <w:rPr>
          <w:rFonts w:hint="eastAsia" w:ascii="仿宋_GB2312" w:hAnsi="仿宋" w:eastAsia="仿宋_GB2312" w:cs="仿宋_GB2312"/>
          <w:b/>
          <w:kern w:val="0"/>
          <w:sz w:val="24"/>
          <w:lang w:val="zh-CN"/>
        </w:rPr>
        <w:t>作无效投标处理。</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w:t>
      </w:r>
      <w:r>
        <w:rPr>
          <w:rFonts w:hint="eastAsia" w:ascii="仿宋_GB2312" w:hAnsi="仿宋" w:eastAsia="仿宋_GB2312" w:cs="仿宋_GB2312"/>
          <w:b/>
          <w:kern w:val="0"/>
          <w:sz w:val="24"/>
          <w:lang w:val="zh-CN"/>
        </w:rPr>
        <w:t>、“0%”、</w:t>
      </w:r>
      <w:r>
        <w:rPr>
          <w:rFonts w:ascii="仿宋_GB2312" w:hAnsi="仿宋" w:eastAsia="仿宋_GB2312" w:cs="仿宋_GB2312"/>
          <w:b/>
          <w:kern w:val="0"/>
          <w:sz w:val="24"/>
          <w:lang w:val="zh-CN"/>
        </w:rPr>
        <w:t>“免费赠送”等形式的无偿报价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4、特别提示：采购代理机构将对项目名称和项目编号，中标供应商名称、地址和中标金额，主要中标标的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spacing w:line="360" w:lineRule="auto"/>
        <w:ind w:firstLine="482" w:firstLineChars="200"/>
        <w:rPr>
          <w:rFonts w:ascii="仿宋_GB2312" w:hAnsi="仿宋" w:eastAsia="仿宋_GB2312"/>
          <w:b/>
          <w:kern w:val="0"/>
          <w:sz w:val="24"/>
        </w:rPr>
      </w:pPr>
      <w:r>
        <w:rPr>
          <w:rFonts w:hint="eastAsia" w:ascii="仿宋_GB2312" w:hAnsi="仿宋" w:eastAsia="仿宋_GB2312"/>
          <w:b/>
          <w:kern w:val="0"/>
          <w:sz w:val="24"/>
        </w:rPr>
        <w:t>6、本项目共分3个标的，请投标人按照上述表格格式分标的单独制作报价文件，并按标的上传报价文件。</w:t>
      </w: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pStyle w:val="695"/>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pStyle w:val="695"/>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4</w:t>
      </w:r>
      <w:r>
        <w:rPr>
          <w:rFonts w:ascii="仿宋_GB2312" w:hAnsi="仿宋" w:eastAsia="仿宋_GB2312" w:cs="仿宋_GB2312"/>
          <w:b/>
          <w:sz w:val="24"/>
        </w:rPr>
        <w:t>）。</w:t>
      </w:r>
      <w:r>
        <w:rPr>
          <w:rFonts w:hint="eastAsia" w:ascii="仿宋_GB2312" w:hAnsi="仿宋" w:eastAsia="仿宋_GB2312" w:cs="仿宋_GB2312"/>
          <w:b/>
          <w:sz w:val="24"/>
        </w:rPr>
        <w:t>]</w:t>
      </w:r>
    </w:p>
    <w:p>
      <w:pPr>
        <w:pStyle w:val="695"/>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tabs>
          <w:tab w:val="left" w:pos="8085"/>
        </w:tabs>
        <w:spacing w:line="360" w:lineRule="auto"/>
        <w:ind w:firstLine="1285" w:firstLineChars="400"/>
        <w:jc w:val="left"/>
        <w:rPr>
          <w:rFonts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snapToGrid w:val="0"/>
          <w:kern w:val="28"/>
          <w:sz w:val="24"/>
        </w:rPr>
        <w:t>供应商中标后可在政府采购云平台申请政采贷：操作路径：登录政府采购云平台 - 金融服务中心 -【融资服务】，可在热门申请中选择产品直接申请，也可点击云智贷匹配适合产品进行申请，或者在可申请项目中根据该项目进行申请。</w:t>
      </w:r>
    </w:p>
    <w:p>
      <w:pPr>
        <w:spacing w:line="360" w:lineRule="auto"/>
        <w:ind w:left="5060" w:hanging="5060" w:hangingChars="2100"/>
        <w:rPr>
          <w:rFonts w:ascii="仿宋_GB2312" w:hAnsi="仿宋" w:eastAsia="仿宋_GB2312" w:cs="仿宋_GB2312"/>
          <w:b/>
          <w:bCs/>
          <w:kern w:val="0"/>
          <w:sz w:val="24"/>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394" w:name="_Toc465665161"/>
      <w:r>
        <w:rPr>
          <w:rFonts w:hint="eastAsia" w:ascii="仿宋_GB2312" w:hAnsi="仿宋" w:eastAsia="仿宋_GB2312"/>
        </w:rPr>
        <w:t>附件</w:t>
      </w:r>
      <w:bookmarkEnd w:id="394"/>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395" w:name="OLE_LINK13"/>
      <w:bookmarkStart w:id="396" w:name="OLE_LINK14"/>
      <w:r>
        <w:rPr>
          <w:rFonts w:hint="eastAsia" w:ascii="仿宋_GB2312" w:hAnsi="仿宋" w:eastAsia="仿宋_GB2312"/>
          <w:b/>
          <w:spacing w:val="6"/>
          <w:sz w:val="32"/>
          <w:szCs w:val="32"/>
        </w:rPr>
        <w:t>残疾人福利性单位声明函</w:t>
      </w:r>
    </w:p>
    <w:bookmarkEnd w:id="395"/>
    <w:bookmarkEnd w:id="396"/>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pStyle w:val="2"/>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附件4：</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其他未列明行业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 xml:space="preserve">，属于 </w:t>
      </w:r>
      <w:r>
        <w:rPr>
          <w:rFonts w:hint="eastAsia" w:ascii="仿宋_GB2312" w:hAnsi="宋体" w:eastAsia="仿宋_GB2312"/>
          <w:sz w:val="24"/>
          <w:u w:val="single"/>
        </w:rPr>
        <w:t>其他未列明行业</w:t>
      </w:r>
      <w:r>
        <w:rPr>
          <w:rFonts w:ascii="仿宋_GB2312" w:hAnsi="宋体" w:eastAsia="仿宋_GB2312"/>
          <w:sz w:val="24"/>
        </w:rPr>
        <w:t xml:space="preserve">；承建（承接）企业为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right="420" w:firstLine="480" w:firstLineChars="200"/>
        <w:rPr>
          <w:rFonts w:ascii="仿宋_GB2312" w:hAnsi="仿宋" w:eastAsia="仿宋_GB2312" w:cs="仿宋_GB2312"/>
          <w:sz w:val="24"/>
        </w:rPr>
      </w:pPr>
    </w:p>
    <w:p>
      <w:pPr>
        <w:spacing w:line="360" w:lineRule="auto"/>
        <w:jc w:val="center"/>
        <w:rPr>
          <w:rFonts w:ascii="仿宋_GB2312" w:hAnsi="仿宋" w:eastAsia="仿宋_GB2312" w:cs="仿宋_GB2312"/>
          <w:b/>
          <w:sz w:val="32"/>
          <w:szCs w:val="32"/>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Arial"/>
    <w:panose1 w:val="020B0604020202020204"/>
    <w:charset w:val="00"/>
    <w:family w:val="roman"/>
    <w:pitch w:val="default"/>
    <w:sig w:usb0="00000000" w:usb1="00000000" w:usb2="00000000" w:usb3="00000000" w:csb0="00000001" w:csb1="0000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64</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397" w:name="_Toc91899912"/>
    <w:bookmarkStart w:id="398" w:name="_Toc131845147"/>
    <w:bookmarkStart w:id="399" w:name="_Toc36110187"/>
    <w:bookmarkStart w:id="400" w:name="_Toc164085800"/>
    <w:r>
      <w:rPr>
        <w:rFonts w:hint="eastAsia" w:ascii="仿宋_GB2312" w:eastAsia="仿宋_GB2312"/>
        <w:kern w:val="0"/>
        <w:szCs w:val="21"/>
      </w:rPr>
      <w:t xml:space="preserve"> 页</w:t>
    </w:r>
    <w:bookmarkEnd w:id="397"/>
    <w:bookmarkEnd w:id="398"/>
    <w:bookmarkEnd w:id="399"/>
    <w:bookmarkEnd w:id="40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诸暨</w:t>
    </w:r>
    <w:r>
      <w:t>市政府采购公开招标文件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诸暨</w:t>
    </w:r>
    <w:r>
      <w:t>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rPr>
      <w:t>诸暨</w:t>
    </w:r>
    <w:r>
      <w:rPr>
        <w:lang w:val="zh-CN"/>
      </w:rPr>
      <w:t>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诸暨</w:t>
    </w:r>
    <w:r>
      <w:t>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p>
  <w:p>
    <w:pPr>
      <w:pStyle w:val="40"/>
    </w:pPr>
    <w:r>
      <w:rPr>
        <w:rFonts w:hint="eastAsia"/>
      </w:rPr>
      <w:t xml:space="preserve">                                                                  诸暨</w:t>
    </w:r>
    <w:r>
      <w:t>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诸暨</w:t>
    </w:r>
    <w:r>
      <w:t>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诸暨</w:t>
    </w:r>
    <w:r>
      <w:t>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rPr>
      <w:t>诸暨</w:t>
    </w:r>
    <w:r>
      <w:t>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5E487D"/>
    <w:multiLevelType w:val="multilevel"/>
    <w:tmpl w:val="0F5E487D"/>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B14F21"/>
    <w:multiLevelType w:val="multilevel"/>
    <w:tmpl w:val="19B14F21"/>
    <w:lvl w:ilvl="0" w:tentative="0">
      <w:start w:val="1"/>
      <w:numFmt w:val="decimal"/>
      <w:suff w:val="space"/>
      <w:lvlText w:val="第%1章"/>
      <w:lvlJc w:val="left"/>
      <w:pPr>
        <w:ind w:left="425" w:hanging="425"/>
      </w:pPr>
      <w:rPr>
        <w:rFonts w:hint="eastAsia"/>
      </w:rPr>
    </w:lvl>
    <w:lvl w:ilvl="1" w:tentative="0">
      <w:start w:val="1"/>
      <w:numFmt w:val="decimal"/>
      <w:pStyle w:val="967"/>
      <w:suff w:val="space"/>
      <w:lvlText w:val="%1.%2"/>
      <w:lvlJc w:val="left"/>
      <w:pPr>
        <w:ind w:left="425" w:hanging="425"/>
      </w:pPr>
      <w:rPr>
        <w:rFonts w:hint="eastAsia"/>
      </w:rPr>
    </w:lvl>
    <w:lvl w:ilvl="2" w:tentative="0">
      <w:start w:val="1"/>
      <w:numFmt w:val="decimal"/>
      <w:suff w:val="space"/>
      <w:lvlText w:val="%1.%2.%3"/>
      <w:lvlJc w:val="left"/>
      <w:rPr>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suff w:val="space"/>
      <w:lvlText w:val="%1.%2.%3.%4"/>
      <w:lvlJc w:val="left"/>
      <w:pPr>
        <w:ind w:left="425" w:hanging="425"/>
      </w:pPr>
      <w:rPr>
        <w:rFonts w:hint="eastAsia"/>
      </w:rPr>
    </w:lvl>
    <w:lvl w:ilvl="4" w:tentative="0">
      <w:start w:val="1"/>
      <w:numFmt w:val="decimal"/>
      <w:suff w:val="space"/>
      <w:lvlText w:val="%1.%2.%3.%4.%5"/>
      <w:lvlJc w:val="left"/>
      <w:pPr>
        <w:ind w:left="425" w:hanging="425"/>
      </w:pPr>
      <w:rPr>
        <w:rFonts w:hint="eastAsia"/>
      </w:rPr>
    </w:lvl>
    <w:lvl w:ilvl="5" w:tentative="0">
      <w:start w:val="1"/>
      <w:numFmt w:val="decimal"/>
      <w:suff w:val="space"/>
      <w:lvlText w:val="%1.%2.%3.%4.%5.%6"/>
      <w:lvlJc w:val="left"/>
      <w:pPr>
        <w:ind w:left="425" w:hanging="425"/>
      </w:pPr>
      <w:rPr>
        <w:rFonts w:hint="eastAsia"/>
      </w:rPr>
    </w:lvl>
    <w:lvl w:ilvl="6" w:tentative="0">
      <w:start w:val="1"/>
      <w:numFmt w:val="decimal"/>
      <w:lvlText w:val="%1.%2.%3.%4.%5.%6.%7"/>
      <w:lvlJc w:val="left"/>
      <w:pPr>
        <w:ind w:left="425" w:hanging="425"/>
      </w:pPr>
      <w:rPr>
        <w:rFonts w:hint="eastAsia"/>
      </w:rPr>
    </w:lvl>
    <w:lvl w:ilvl="7" w:tentative="0">
      <w:start w:val="1"/>
      <w:numFmt w:val="decimal"/>
      <w:lvlText w:val="%1.%2.%3.%4.%5.%6.%7.%8"/>
      <w:lvlJc w:val="left"/>
      <w:pPr>
        <w:ind w:left="425" w:hanging="425"/>
      </w:pPr>
      <w:rPr>
        <w:rFonts w:hint="eastAsia"/>
      </w:rPr>
    </w:lvl>
    <w:lvl w:ilvl="8" w:tentative="0">
      <w:start w:val="1"/>
      <w:numFmt w:val="decimal"/>
      <w:lvlText w:val="%1.%2.%3.%4.%5.%6.%7.%8.%9"/>
      <w:lvlJc w:val="left"/>
      <w:pPr>
        <w:ind w:left="425" w:hanging="425"/>
      </w:pPr>
      <w:rPr>
        <w:rFonts w:hint="eastAsia"/>
      </w:rPr>
    </w:lvl>
  </w:abstractNum>
  <w:abstractNum w:abstractNumId="2">
    <w:nsid w:val="42114FCA"/>
    <w:multiLevelType w:val="multilevel"/>
    <w:tmpl w:val="42114FCA"/>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E465744"/>
    <w:multiLevelType w:val="singleLevel"/>
    <w:tmpl w:val="4E465744"/>
    <w:lvl w:ilvl="0" w:tentative="0">
      <w:start w:val="1"/>
      <w:numFmt w:val="chineseCounting"/>
      <w:suff w:val="nothing"/>
      <w:lvlText w:val="%1、"/>
      <w:lvlJc w:val="left"/>
      <w:rPr>
        <w:rFonts w:hint="eastAsia"/>
      </w:rPr>
    </w:lvl>
  </w:abstractNum>
  <w:abstractNum w:abstractNumId="4">
    <w:nsid w:val="4EAF669B"/>
    <w:multiLevelType w:val="multilevel"/>
    <w:tmpl w:val="4EAF669B"/>
    <w:lvl w:ilvl="0" w:tentative="0">
      <w:start w:val="1"/>
      <w:numFmt w:val="decimalEnclosedCircle"/>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5CC06C3F"/>
    <w:multiLevelType w:val="multilevel"/>
    <w:tmpl w:val="5CC06C3F"/>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51"/>
    <w:rsid w:val="000004F6"/>
    <w:rsid w:val="00000B83"/>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685"/>
    <w:rsid w:val="00024962"/>
    <w:rsid w:val="000249AA"/>
    <w:rsid w:val="00025350"/>
    <w:rsid w:val="000253E5"/>
    <w:rsid w:val="00025776"/>
    <w:rsid w:val="00026EAC"/>
    <w:rsid w:val="000270F2"/>
    <w:rsid w:val="00027115"/>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7D0"/>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428"/>
    <w:rsid w:val="00064278"/>
    <w:rsid w:val="000646CA"/>
    <w:rsid w:val="000665C4"/>
    <w:rsid w:val="00067821"/>
    <w:rsid w:val="0006785E"/>
    <w:rsid w:val="00067F92"/>
    <w:rsid w:val="00067FA7"/>
    <w:rsid w:val="0007038E"/>
    <w:rsid w:val="0007077C"/>
    <w:rsid w:val="00070825"/>
    <w:rsid w:val="0007164A"/>
    <w:rsid w:val="00071CD8"/>
    <w:rsid w:val="00071DB2"/>
    <w:rsid w:val="00072AED"/>
    <w:rsid w:val="00072B56"/>
    <w:rsid w:val="00072D2B"/>
    <w:rsid w:val="00072D51"/>
    <w:rsid w:val="000730B1"/>
    <w:rsid w:val="0007358F"/>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4EC"/>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095"/>
    <w:rsid w:val="000B268D"/>
    <w:rsid w:val="000B291B"/>
    <w:rsid w:val="000B3153"/>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086"/>
    <w:rsid w:val="000D43FE"/>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FFB"/>
    <w:rsid w:val="00103251"/>
    <w:rsid w:val="00103509"/>
    <w:rsid w:val="0010393D"/>
    <w:rsid w:val="00103EBD"/>
    <w:rsid w:val="00104699"/>
    <w:rsid w:val="00104E5B"/>
    <w:rsid w:val="00104EEC"/>
    <w:rsid w:val="001050DC"/>
    <w:rsid w:val="00105482"/>
    <w:rsid w:val="001056A5"/>
    <w:rsid w:val="00105BA9"/>
    <w:rsid w:val="00105C46"/>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146"/>
    <w:rsid w:val="001224FE"/>
    <w:rsid w:val="001231D3"/>
    <w:rsid w:val="001232A7"/>
    <w:rsid w:val="00123F7C"/>
    <w:rsid w:val="001240F0"/>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BC8"/>
    <w:rsid w:val="00145C6D"/>
    <w:rsid w:val="001460FC"/>
    <w:rsid w:val="00146151"/>
    <w:rsid w:val="00146326"/>
    <w:rsid w:val="00147032"/>
    <w:rsid w:val="001470CB"/>
    <w:rsid w:val="00147255"/>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2DE"/>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5942"/>
    <w:rsid w:val="00176AA6"/>
    <w:rsid w:val="00177063"/>
    <w:rsid w:val="00177F6E"/>
    <w:rsid w:val="00180A47"/>
    <w:rsid w:val="001815C0"/>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257"/>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36B"/>
    <w:rsid w:val="0019756A"/>
    <w:rsid w:val="001A06B5"/>
    <w:rsid w:val="001A07F8"/>
    <w:rsid w:val="001A0A23"/>
    <w:rsid w:val="001A0C98"/>
    <w:rsid w:val="001A128B"/>
    <w:rsid w:val="001A1475"/>
    <w:rsid w:val="001A1F0E"/>
    <w:rsid w:val="001A3335"/>
    <w:rsid w:val="001A473A"/>
    <w:rsid w:val="001A4ED9"/>
    <w:rsid w:val="001A5785"/>
    <w:rsid w:val="001A5FD7"/>
    <w:rsid w:val="001A6643"/>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D5EB0"/>
    <w:rsid w:val="001E12F9"/>
    <w:rsid w:val="001E17E3"/>
    <w:rsid w:val="001E2052"/>
    <w:rsid w:val="001E2492"/>
    <w:rsid w:val="001E257C"/>
    <w:rsid w:val="001E286C"/>
    <w:rsid w:val="001E2F34"/>
    <w:rsid w:val="001E35EE"/>
    <w:rsid w:val="001E3DAD"/>
    <w:rsid w:val="001E4B2C"/>
    <w:rsid w:val="001E507F"/>
    <w:rsid w:val="001E56C2"/>
    <w:rsid w:val="001E59FB"/>
    <w:rsid w:val="001E6BF0"/>
    <w:rsid w:val="001E7F81"/>
    <w:rsid w:val="001F0FD1"/>
    <w:rsid w:val="001F1526"/>
    <w:rsid w:val="001F19D1"/>
    <w:rsid w:val="001F1CB9"/>
    <w:rsid w:val="001F1F18"/>
    <w:rsid w:val="001F210D"/>
    <w:rsid w:val="001F2D1E"/>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3D5D"/>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05C"/>
    <w:rsid w:val="00217E1F"/>
    <w:rsid w:val="002204BC"/>
    <w:rsid w:val="00220F7B"/>
    <w:rsid w:val="002213CE"/>
    <w:rsid w:val="00221AF7"/>
    <w:rsid w:val="00222494"/>
    <w:rsid w:val="00222775"/>
    <w:rsid w:val="002227C0"/>
    <w:rsid w:val="00222A31"/>
    <w:rsid w:val="00222CF6"/>
    <w:rsid w:val="00222F64"/>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47AE"/>
    <w:rsid w:val="002359FC"/>
    <w:rsid w:val="002361C8"/>
    <w:rsid w:val="00236690"/>
    <w:rsid w:val="0023669D"/>
    <w:rsid w:val="00237EAE"/>
    <w:rsid w:val="00237FA2"/>
    <w:rsid w:val="002403D5"/>
    <w:rsid w:val="00240C1F"/>
    <w:rsid w:val="00240F55"/>
    <w:rsid w:val="00240F67"/>
    <w:rsid w:val="00241144"/>
    <w:rsid w:val="00242510"/>
    <w:rsid w:val="00242F79"/>
    <w:rsid w:val="00243EEF"/>
    <w:rsid w:val="0024415B"/>
    <w:rsid w:val="00245565"/>
    <w:rsid w:val="002458C1"/>
    <w:rsid w:val="00245E62"/>
    <w:rsid w:val="002460D0"/>
    <w:rsid w:val="00246357"/>
    <w:rsid w:val="002470D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660"/>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8F"/>
    <w:rsid w:val="002743AC"/>
    <w:rsid w:val="0027499D"/>
    <w:rsid w:val="002751CA"/>
    <w:rsid w:val="0027544D"/>
    <w:rsid w:val="00277196"/>
    <w:rsid w:val="002775ED"/>
    <w:rsid w:val="002778AB"/>
    <w:rsid w:val="002802A5"/>
    <w:rsid w:val="00280564"/>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746"/>
    <w:rsid w:val="00290A99"/>
    <w:rsid w:val="00290EAF"/>
    <w:rsid w:val="00290F91"/>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134"/>
    <w:rsid w:val="002A02D6"/>
    <w:rsid w:val="002A07C4"/>
    <w:rsid w:val="002A0921"/>
    <w:rsid w:val="002A0CB3"/>
    <w:rsid w:val="002A1887"/>
    <w:rsid w:val="002A2001"/>
    <w:rsid w:val="002A4060"/>
    <w:rsid w:val="002A4868"/>
    <w:rsid w:val="002A4A05"/>
    <w:rsid w:val="002A4D71"/>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7E2"/>
    <w:rsid w:val="002C3890"/>
    <w:rsid w:val="002C3AD9"/>
    <w:rsid w:val="002C4286"/>
    <w:rsid w:val="002C43FC"/>
    <w:rsid w:val="002C45C3"/>
    <w:rsid w:val="002C483B"/>
    <w:rsid w:val="002C4DFE"/>
    <w:rsid w:val="002C519E"/>
    <w:rsid w:val="002C5A46"/>
    <w:rsid w:val="002C5D5E"/>
    <w:rsid w:val="002C6116"/>
    <w:rsid w:val="002C62F8"/>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A0B"/>
    <w:rsid w:val="002F7DF0"/>
    <w:rsid w:val="002F7FAF"/>
    <w:rsid w:val="00300573"/>
    <w:rsid w:val="003025FE"/>
    <w:rsid w:val="00302A27"/>
    <w:rsid w:val="00303AB6"/>
    <w:rsid w:val="00304640"/>
    <w:rsid w:val="00304AC1"/>
    <w:rsid w:val="00305090"/>
    <w:rsid w:val="00305454"/>
    <w:rsid w:val="00305B9F"/>
    <w:rsid w:val="00305D19"/>
    <w:rsid w:val="00305E21"/>
    <w:rsid w:val="003066C6"/>
    <w:rsid w:val="003066FA"/>
    <w:rsid w:val="00306AD6"/>
    <w:rsid w:val="003077F4"/>
    <w:rsid w:val="00307DC7"/>
    <w:rsid w:val="00307FF2"/>
    <w:rsid w:val="00310EDB"/>
    <w:rsid w:val="00311C51"/>
    <w:rsid w:val="00311D56"/>
    <w:rsid w:val="00311FBD"/>
    <w:rsid w:val="00312016"/>
    <w:rsid w:val="00312340"/>
    <w:rsid w:val="00312DFC"/>
    <w:rsid w:val="0031318C"/>
    <w:rsid w:val="003135FD"/>
    <w:rsid w:val="00313C9D"/>
    <w:rsid w:val="0031430C"/>
    <w:rsid w:val="00314919"/>
    <w:rsid w:val="00314C5A"/>
    <w:rsid w:val="0031531A"/>
    <w:rsid w:val="00315394"/>
    <w:rsid w:val="00315533"/>
    <w:rsid w:val="00315D77"/>
    <w:rsid w:val="00315D8E"/>
    <w:rsid w:val="00316002"/>
    <w:rsid w:val="00316CDE"/>
    <w:rsid w:val="0031752D"/>
    <w:rsid w:val="00317709"/>
    <w:rsid w:val="00320688"/>
    <w:rsid w:val="00320B75"/>
    <w:rsid w:val="00321DB7"/>
    <w:rsid w:val="00321E7A"/>
    <w:rsid w:val="0032226D"/>
    <w:rsid w:val="00322D0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6FFF"/>
    <w:rsid w:val="003373A6"/>
    <w:rsid w:val="00337409"/>
    <w:rsid w:val="00337590"/>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13D"/>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37C"/>
    <w:rsid w:val="00385B16"/>
    <w:rsid w:val="00385B96"/>
    <w:rsid w:val="0038637D"/>
    <w:rsid w:val="003868F6"/>
    <w:rsid w:val="003869DC"/>
    <w:rsid w:val="00386C07"/>
    <w:rsid w:val="00386F58"/>
    <w:rsid w:val="0038700D"/>
    <w:rsid w:val="003879CE"/>
    <w:rsid w:val="00387B88"/>
    <w:rsid w:val="00390B8F"/>
    <w:rsid w:val="00390C0D"/>
    <w:rsid w:val="00390C24"/>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2D1"/>
    <w:rsid w:val="003B5531"/>
    <w:rsid w:val="003B636A"/>
    <w:rsid w:val="003B67D7"/>
    <w:rsid w:val="003B69CE"/>
    <w:rsid w:val="003B7403"/>
    <w:rsid w:val="003C011C"/>
    <w:rsid w:val="003C0E32"/>
    <w:rsid w:val="003C0FDA"/>
    <w:rsid w:val="003C11D7"/>
    <w:rsid w:val="003C16CB"/>
    <w:rsid w:val="003C1B97"/>
    <w:rsid w:val="003C247B"/>
    <w:rsid w:val="003C302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3DF6"/>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44E9"/>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42F"/>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297"/>
    <w:rsid w:val="00425341"/>
    <w:rsid w:val="004255FE"/>
    <w:rsid w:val="00425674"/>
    <w:rsid w:val="00425A82"/>
    <w:rsid w:val="00425C60"/>
    <w:rsid w:val="00426B2C"/>
    <w:rsid w:val="00427FA8"/>
    <w:rsid w:val="0043009D"/>
    <w:rsid w:val="0043026B"/>
    <w:rsid w:val="00430299"/>
    <w:rsid w:val="004306D4"/>
    <w:rsid w:val="00431A2A"/>
    <w:rsid w:val="00432DA0"/>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93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54"/>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33E"/>
    <w:rsid w:val="00482498"/>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0C71"/>
    <w:rsid w:val="0049117E"/>
    <w:rsid w:val="00492503"/>
    <w:rsid w:val="004925C8"/>
    <w:rsid w:val="00492AF9"/>
    <w:rsid w:val="00492B76"/>
    <w:rsid w:val="0049333E"/>
    <w:rsid w:val="0049418F"/>
    <w:rsid w:val="0049570D"/>
    <w:rsid w:val="00495C48"/>
    <w:rsid w:val="00495DC6"/>
    <w:rsid w:val="00496CCE"/>
    <w:rsid w:val="00497303"/>
    <w:rsid w:val="004978C1"/>
    <w:rsid w:val="00497AAD"/>
    <w:rsid w:val="00497BD7"/>
    <w:rsid w:val="00497D1A"/>
    <w:rsid w:val="004A00C9"/>
    <w:rsid w:val="004A03D0"/>
    <w:rsid w:val="004A1049"/>
    <w:rsid w:val="004A1AFA"/>
    <w:rsid w:val="004A1EA7"/>
    <w:rsid w:val="004A26F5"/>
    <w:rsid w:val="004A2EF8"/>
    <w:rsid w:val="004A3A21"/>
    <w:rsid w:val="004A407A"/>
    <w:rsid w:val="004A4C57"/>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1DC"/>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056"/>
    <w:rsid w:val="004F531B"/>
    <w:rsid w:val="004F560C"/>
    <w:rsid w:val="004F5DBB"/>
    <w:rsid w:val="004F5EA8"/>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4F6"/>
    <w:rsid w:val="0051050F"/>
    <w:rsid w:val="0051058B"/>
    <w:rsid w:val="00510DDC"/>
    <w:rsid w:val="00511166"/>
    <w:rsid w:val="00511327"/>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69E5"/>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417"/>
    <w:rsid w:val="00533499"/>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88D"/>
    <w:rsid w:val="00546BF8"/>
    <w:rsid w:val="00547BA2"/>
    <w:rsid w:val="00550AC5"/>
    <w:rsid w:val="00550B7E"/>
    <w:rsid w:val="00551052"/>
    <w:rsid w:val="00551451"/>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56F"/>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2AFC"/>
    <w:rsid w:val="00592CC3"/>
    <w:rsid w:val="00594437"/>
    <w:rsid w:val="00594B70"/>
    <w:rsid w:val="00596CFA"/>
    <w:rsid w:val="00596E5B"/>
    <w:rsid w:val="00596EC6"/>
    <w:rsid w:val="005975CE"/>
    <w:rsid w:val="005A0088"/>
    <w:rsid w:val="005A04F6"/>
    <w:rsid w:val="005A14F0"/>
    <w:rsid w:val="005A1861"/>
    <w:rsid w:val="005A1A31"/>
    <w:rsid w:val="005A3455"/>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78"/>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19E"/>
    <w:rsid w:val="005D0101"/>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1FD7"/>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3B02"/>
    <w:rsid w:val="005F5506"/>
    <w:rsid w:val="005F5A0D"/>
    <w:rsid w:val="005F60DF"/>
    <w:rsid w:val="005F615B"/>
    <w:rsid w:val="005F61DF"/>
    <w:rsid w:val="005F66CC"/>
    <w:rsid w:val="005F680A"/>
    <w:rsid w:val="005F6880"/>
    <w:rsid w:val="005F6B3E"/>
    <w:rsid w:val="005F6ED2"/>
    <w:rsid w:val="005F6EE8"/>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33"/>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02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407"/>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3F8"/>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1AE"/>
    <w:rsid w:val="006A150D"/>
    <w:rsid w:val="006A1B00"/>
    <w:rsid w:val="006A2766"/>
    <w:rsid w:val="006A39D0"/>
    <w:rsid w:val="006A3E91"/>
    <w:rsid w:val="006A4321"/>
    <w:rsid w:val="006A4324"/>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870"/>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27E"/>
    <w:rsid w:val="006D135C"/>
    <w:rsid w:val="006D2F72"/>
    <w:rsid w:val="006D43C1"/>
    <w:rsid w:val="006D5442"/>
    <w:rsid w:val="006D6E4E"/>
    <w:rsid w:val="006D7A7B"/>
    <w:rsid w:val="006D7A8E"/>
    <w:rsid w:val="006D7C59"/>
    <w:rsid w:val="006E00E3"/>
    <w:rsid w:val="006E045C"/>
    <w:rsid w:val="006E0569"/>
    <w:rsid w:val="006E065E"/>
    <w:rsid w:val="006E0849"/>
    <w:rsid w:val="006E08EF"/>
    <w:rsid w:val="006E11D6"/>
    <w:rsid w:val="006E17AC"/>
    <w:rsid w:val="006E189B"/>
    <w:rsid w:val="006E20D9"/>
    <w:rsid w:val="006E27DC"/>
    <w:rsid w:val="006E2902"/>
    <w:rsid w:val="006E2F9D"/>
    <w:rsid w:val="006E30C1"/>
    <w:rsid w:val="006E37C6"/>
    <w:rsid w:val="006E3CF3"/>
    <w:rsid w:val="006E41ED"/>
    <w:rsid w:val="006E4667"/>
    <w:rsid w:val="006E46B7"/>
    <w:rsid w:val="006E475A"/>
    <w:rsid w:val="006E486D"/>
    <w:rsid w:val="006E4880"/>
    <w:rsid w:val="006E48BB"/>
    <w:rsid w:val="006E727B"/>
    <w:rsid w:val="006E76C8"/>
    <w:rsid w:val="006E7851"/>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81D"/>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992"/>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178B9"/>
    <w:rsid w:val="007208A7"/>
    <w:rsid w:val="00720B6A"/>
    <w:rsid w:val="0072104B"/>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577"/>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316"/>
    <w:rsid w:val="007378FD"/>
    <w:rsid w:val="007403FE"/>
    <w:rsid w:val="007413EB"/>
    <w:rsid w:val="007413FB"/>
    <w:rsid w:val="00742D32"/>
    <w:rsid w:val="00742E9B"/>
    <w:rsid w:val="007432BD"/>
    <w:rsid w:val="007444E6"/>
    <w:rsid w:val="0074592C"/>
    <w:rsid w:val="00745C91"/>
    <w:rsid w:val="00746098"/>
    <w:rsid w:val="00746D58"/>
    <w:rsid w:val="00747578"/>
    <w:rsid w:val="0075096B"/>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5820"/>
    <w:rsid w:val="007660EC"/>
    <w:rsid w:val="007662C7"/>
    <w:rsid w:val="00766862"/>
    <w:rsid w:val="007675DD"/>
    <w:rsid w:val="007702BF"/>
    <w:rsid w:val="007705F0"/>
    <w:rsid w:val="00770FBB"/>
    <w:rsid w:val="0077146D"/>
    <w:rsid w:val="00771CAC"/>
    <w:rsid w:val="00772036"/>
    <w:rsid w:val="00773098"/>
    <w:rsid w:val="007739A3"/>
    <w:rsid w:val="00773BD9"/>
    <w:rsid w:val="00773CB0"/>
    <w:rsid w:val="00773D71"/>
    <w:rsid w:val="00774C0B"/>
    <w:rsid w:val="00775526"/>
    <w:rsid w:val="00775651"/>
    <w:rsid w:val="00775F3F"/>
    <w:rsid w:val="0077710B"/>
    <w:rsid w:val="0077765A"/>
    <w:rsid w:val="00780032"/>
    <w:rsid w:val="00780636"/>
    <w:rsid w:val="00780E86"/>
    <w:rsid w:val="0078108C"/>
    <w:rsid w:val="00781727"/>
    <w:rsid w:val="007823E8"/>
    <w:rsid w:val="00782CF3"/>
    <w:rsid w:val="0078324B"/>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515"/>
    <w:rsid w:val="007C27D5"/>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31"/>
    <w:rsid w:val="007D4DED"/>
    <w:rsid w:val="007D508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2B1"/>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1276"/>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1F9"/>
    <w:rsid w:val="00822456"/>
    <w:rsid w:val="00823819"/>
    <w:rsid w:val="00823C4B"/>
    <w:rsid w:val="0082427D"/>
    <w:rsid w:val="00825441"/>
    <w:rsid w:val="00826855"/>
    <w:rsid w:val="00826F2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506E"/>
    <w:rsid w:val="00836323"/>
    <w:rsid w:val="008367FF"/>
    <w:rsid w:val="00837D3D"/>
    <w:rsid w:val="00837E1B"/>
    <w:rsid w:val="00837E9B"/>
    <w:rsid w:val="008404AA"/>
    <w:rsid w:val="008406D7"/>
    <w:rsid w:val="0084074F"/>
    <w:rsid w:val="008407BA"/>
    <w:rsid w:val="00840AA3"/>
    <w:rsid w:val="00840AAC"/>
    <w:rsid w:val="0084101C"/>
    <w:rsid w:val="0084181B"/>
    <w:rsid w:val="00841F29"/>
    <w:rsid w:val="008425CC"/>
    <w:rsid w:val="00842DC2"/>
    <w:rsid w:val="0084357B"/>
    <w:rsid w:val="00843EF3"/>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AAD"/>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01"/>
    <w:rsid w:val="008856C5"/>
    <w:rsid w:val="00886112"/>
    <w:rsid w:val="008864B1"/>
    <w:rsid w:val="008872B3"/>
    <w:rsid w:val="00887392"/>
    <w:rsid w:val="00890A64"/>
    <w:rsid w:val="00890A96"/>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CAF"/>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A7A85"/>
    <w:rsid w:val="008B06A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1E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C7B81"/>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0FD3"/>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5D73"/>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AC3"/>
    <w:rsid w:val="00902B29"/>
    <w:rsid w:val="00903C83"/>
    <w:rsid w:val="00903D77"/>
    <w:rsid w:val="0090408F"/>
    <w:rsid w:val="0090446A"/>
    <w:rsid w:val="00904537"/>
    <w:rsid w:val="00904DC3"/>
    <w:rsid w:val="0090534A"/>
    <w:rsid w:val="00905469"/>
    <w:rsid w:val="00906078"/>
    <w:rsid w:val="0090629C"/>
    <w:rsid w:val="00906653"/>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30"/>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8E1"/>
    <w:rsid w:val="00931AB8"/>
    <w:rsid w:val="00931C19"/>
    <w:rsid w:val="00931C63"/>
    <w:rsid w:val="00931D10"/>
    <w:rsid w:val="0093218A"/>
    <w:rsid w:val="0093386D"/>
    <w:rsid w:val="00934C8E"/>
    <w:rsid w:val="00935194"/>
    <w:rsid w:val="009364A3"/>
    <w:rsid w:val="00936EA5"/>
    <w:rsid w:val="00937114"/>
    <w:rsid w:val="0094015D"/>
    <w:rsid w:val="009405EB"/>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42E0"/>
    <w:rsid w:val="009557A9"/>
    <w:rsid w:val="0095630E"/>
    <w:rsid w:val="00956647"/>
    <w:rsid w:val="00957380"/>
    <w:rsid w:val="00957409"/>
    <w:rsid w:val="00957499"/>
    <w:rsid w:val="00957ED2"/>
    <w:rsid w:val="009604AE"/>
    <w:rsid w:val="00960746"/>
    <w:rsid w:val="009609AF"/>
    <w:rsid w:val="00960DE4"/>
    <w:rsid w:val="009610C7"/>
    <w:rsid w:val="00961164"/>
    <w:rsid w:val="00961867"/>
    <w:rsid w:val="00961A4F"/>
    <w:rsid w:val="009625B7"/>
    <w:rsid w:val="00962A4D"/>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9B2"/>
    <w:rsid w:val="009804D0"/>
    <w:rsid w:val="0098055B"/>
    <w:rsid w:val="00980B30"/>
    <w:rsid w:val="009810BE"/>
    <w:rsid w:val="009817BC"/>
    <w:rsid w:val="009819A7"/>
    <w:rsid w:val="0098220A"/>
    <w:rsid w:val="00982E75"/>
    <w:rsid w:val="00983337"/>
    <w:rsid w:val="009836AA"/>
    <w:rsid w:val="009846BF"/>
    <w:rsid w:val="009851F5"/>
    <w:rsid w:val="0098534B"/>
    <w:rsid w:val="00985616"/>
    <w:rsid w:val="00986019"/>
    <w:rsid w:val="00986281"/>
    <w:rsid w:val="00986F59"/>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4DA1"/>
    <w:rsid w:val="00995B01"/>
    <w:rsid w:val="00996055"/>
    <w:rsid w:val="00996EF4"/>
    <w:rsid w:val="00997044"/>
    <w:rsid w:val="00997BC9"/>
    <w:rsid w:val="009A113D"/>
    <w:rsid w:val="009A1ECA"/>
    <w:rsid w:val="009A2BE9"/>
    <w:rsid w:val="009A2BF3"/>
    <w:rsid w:val="009A3688"/>
    <w:rsid w:val="009A3713"/>
    <w:rsid w:val="009A3923"/>
    <w:rsid w:val="009A3C3E"/>
    <w:rsid w:val="009A4153"/>
    <w:rsid w:val="009A4C2C"/>
    <w:rsid w:val="009A59B3"/>
    <w:rsid w:val="009A5FAE"/>
    <w:rsid w:val="009A6B3A"/>
    <w:rsid w:val="009A70A3"/>
    <w:rsid w:val="009A7B8A"/>
    <w:rsid w:val="009A7E7C"/>
    <w:rsid w:val="009B05D2"/>
    <w:rsid w:val="009B08F6"/>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C74E5"/>
    <w:rsid w:val="009D03B7"/>
    <w:rsid w:val="009D07AD"/>
    <w:rsid w:val="009D0824"/>
    <w:rsid w:val="009D1172"/>
    <w:rsid w:val="009D13CC"/>
    <w:rsid w:val="009D1654"/>
    <w:rsid w:val="009D1AAC"/>
    <w:rsid w:val="009D1BDB"/>
    <w:rsid w:val="009D25DA"/>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08"/>
    <w:rsid w:val="009F33DC"/>
    <w:rsid w:val="009F4550"/>
    <w:rsid w:val="009F56C0"/>
    <w:rsid w:val="009F5C76"/>
    <w:rsid w:val="009F66EA"/>
    <w:rsid w:val="00A000C5"/>
    <w:rsid w:val="00A007B4"/>
    <w:rsid w:val="00A00930"/>
    <w:rsid w:val="00A00CA0"/>
    <w:rsid w:val="00A00E00"/>
    <w:rsid w:val="00A01221"/>
    <w:rsid w:val="00A012A8"/>
    <w:rsid w:val="00A012F1"/>
    <w:rsid w:val="00A016FF"/>
    <w:rsid w:val="00A01886"/>
    <w:rsid w:val="00A0207F"/>
    <w:rsid w:val="00A021AF"/>
    <w:rsid w:val="00A027B1"/>
    <w:rsid w:val="00A028C9"/>
    <w:rsid w:val="00A02B3F"/>
    <w:rsid w:val="00A0307A"/>
    <w:rsid w:val="00A03A7C"/>
    <w:rsid w:val="00A044AA"/>
    <w:rsid w:val="00A0700C"/>
    <w:rsid w:val="00A102F8"/>
    <w:rsid w:val="00A10A20"/>
    <w:rsid w:val="00A117D5"/>
    <w:rsid w:val="00A11C11"/>
    <w:rsid w:val="00A12349"/>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11FC"/>
    <w:rsid w:val="00A526CE"/>
    <w:rsid w:val="00A54909"/>
    <w:rsid w:val="00A54DC0"/>
    <w:rsid w:val="00A550C9"/>
    <w:rsid w:val="00A55228"/>
    <w:rsid w:val="00A55410"/>
    <w:rsid w:val="00A55A04"/>
    <w:rsid w:val="00A564DE"/>
    <w:rsid w:val="00A6054E"/>
    <w:rsid w:val="00A60799"/>
    <w:rsid w:val="00A60EB1"/>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239"/>
    <w:rsid w:val="00A67429"/>
    <w:rsid w:val="00A677E7"/>
    <w:rsid w:val="00A678F1"/>
    <w:rsid w:val="00A67CE9"/>
    <w:rsid w:val="00A70590"/>
    <w:rsid w:val="00A7062E"/>
    <w:rsid w:val="00A70834"/>
    <w:rsid w:val="00A71542"/>
    <w:rsid w:val="00A7171F"/>
    <w:rsid w:val="00A71FA0"/>
    <w:rsid w:val="00A71FBD"/>
    <w:rsid w:val="00A72727"/>
    <w:rsid w:val="00A727D8"/>
    <w:rsid w:val="00A72C1A"/>
    <w:rsid w:val="00A72FCE"/>
    <w:rsid w:val="00A732FB"/>
    <w:rsid w:val="00A7463E"/>
    <w:rsid w:val="00A758E2"/>
    <w:rsid w:val="00A765B1"/>
    <w:rsid w:val="00A772F2"/>
    <w:rsid w:val="00A77828"/>
    <w:rsid w:val="00A77BAA"/>
    <w:rsid w:val="00A800F9"/>
    <w:rsid w:val="00A803A6"/>
    <w:rsid w:val="00A8073D"/>
    <w:rsid w:val="00A80D02"/>
    <w:rsid w:val="00A815FB"/>
    <w:rsid w:val="00A81AEB"/>
    <w:rsid w:val="00A82411"/>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B0F"/>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D08"/>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4C5"/>
    <w:rsid w:val="00AD159E"/>
    <w:rsid w:val="00AD2AB1"/>
    <w:rsid w:val="00AD3132"/>
    <w:rsid w:val="00AD3DA6"/>
    <w:rsid w:val="00AD3F3C"/>
    <w:rsid w:val="00AD447E"/>
    <w:rsid w:val="00AD4B2F"/>
    <w:rsid w:val="00AD5A2E"/>
    <w:rsid w:val="00AD5F0A"/>
    <w:rsid w:val="00AD6A5B"/>
    <w:rsid w:val="00AD6B4F"/>
    <w:rsid w:val="00AD6D19"/>
    <w:rsid w:val="00AD7812"/>
    <w:rsid w:val="00AD7B2C"/>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80F"/>
    <w:rsid w:val="00AF1ED2"/>
    <w:rsid w:val="00AF1F4E"/>
    <w:rsid w:val="00AF2302"/>
    <w:rsid w:val="00AF262A"/>
    <w:rsid w:val="00AF3557"/>
    <w:rsid w:val="00AF3F86"/>
    <w:rsid w:val="00AF4CEE"/>
    <w:rsid w:val="00AF4F4A"/>
    <w:rsid w:val="00AF584C"/>
    <w:rsid w:val="00AF5D84"/>
    <w:rsid w:val="00AF5F16"/>
    <w:rsid w:val="00AF6476"/>
    <w:rsid w:val="00AF669D"/>
    <w:rsid w:val="00AF672C"/>
    <w:rsid w:val="00AF673E"/>
    <w:rsid w:val="00AF6ABE"/>
    <w:rsid w:val="00AF7389"/>
    <w:rsid w:val="00AF79DF"/>
    <w:rsid w:val="00AF7C37"/>
    <w:rsid w:val="00B00378"/>
    <w:rsid w:val="00B006FB"/>
    <w:rsid w:val="00B00D91"/>
    <w:rsid w:val="00B00E81"/>
    <w:rsid w:val="00B00E84"/>
    <w:rsid w:val="00B01DC4"/>
    <w:rsid w:val="00B01DD9"/>
    <w:rsid w:val="00B01F0E"/>
    <w:rsid w:val="00B038F1"/>
    <w:rsid w:val="00B03C1B"/>
    <w:rsid w:val="00B04678"/>
    <w:rsid w:val="00B047C9"/>
    <w:rsid w:val="00B04A04"/>
    <w:rsid w:val="00B04B78"/>
    <w:rsid w:val="00B04C37"/>
    <w:rsid w:val="00B04F00"/>
    <w:rsid w:val="00B05AA7"/>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5FC0"/>
    <w:rsid w:val="00B163E8"/>
    <w:rsid w:val="00B1767E"/>
    <w:rsid w:val="00B20760"/>
    <w:rsid w:val="00B210C7"/>
    <w:rsid w:val="00B2125C"/>
    <w:rsid w:val="00B21676"/>
    <w:rsid w:val="00B219E1"/>
    <w:rsid w:val="00B21ECF"/>
    <w:rsid w:val="00B22150"/>
    <w:rsid w:val="00B226DE"/>
    <w:rsid w:val="00B22FB5"/>
    <w:rsid w:val="00B241D5"/>
    <w:rsid w:val="00B24BE9"/>
    <w:rsid w:val="00B2551D"/>
    <w:rsid w:val="00B25F6D"/>
    <w:rsid w:val="00B25F8C"/>
    <w:rsid w:val="00B260BE"/>
    <w:rsid w:val="00B26677"/>
    <w:rsid w:val="00B26A96"/>
    <w:rsid w:val="00B274E3"/>
    <w:rsid w:val="00B2765C"/>
    <w:rsid w:val="00B27C4B"/>
    <w:rsid w:val="00B30563"/>
    <w:rsid w:val="00B3069E"/>
    <w:rsid w:val="00B30A76"/>
    <w:rsid w:val="00B31246"/>
    <w:rsid w:val="00B32295"/>
    <w:rsid w:val="00B336FD"/>
    <w:rsid w:val="00B338B3"/>
    <w:rsid w:val="00B33AB5"/>
    <w:rsid w:val="00B3412E"/>
    <w:rsid w:val="00B343E0"/>
    <w:rsid w:val="00B35B6D"/>
    <w:rsid w:val="00B35D53"/>
    <w:rsid w:val="00B36492"/>
    <w:rsid w:val="00B367C4"/>
    <w:rsid w:val="00B36D3E"/>
    <w:rsid w:val="00B37B8E"/>
    <w:rsid w:val="00B40222"/>
    <w:rsid w:val="00B404C3"/>
    <w:rsid w:val="00B41A04"/>
    <w:rsid w:val="00B42743"/>
    <w:rsid w:val="00B430E9"/>
    <w:rsid w:val="00B4311F"/>
    <w:rsid w:val="00B431AE"/>
    <w:rsid w:val="00B43D59"/>
    <w:rsid w:val="00B44288"/>
    <w:rsid w:val="00B448BF"/>
    <w:rsid w:val="00B45A59"/>
    <w:rsid w:val="00B45F9F"/>
    <w:rsid w:val="00B4627C"/>
    <w:rsid w:val="00B4641F"/>
    <w:rsid w:val="00B46793"/>
    <w:rsid w:val="00B46953"/>
    <w:rsid w:val="00B47455"/>
    <w:rsid w:val="00B47979"/>
    <w:rsid w:val="00B47A59"/>
    <w:rsid w:val="00B47ECD"/>
    <w:rsid w:val="00B47EE2"/>
    <w:rsid w:val="00B47FF3"/>
    <w:rsid w:val="00B503D6"/>
    <w:rsid w:val="00B51520"/>
    <w:rsid w:val="00B515C3"/>
    <w:rsid w:val="00B517C2"/>
    <w:rsid w:val="00B518CE"/>
    <w:rsid w:val="00B51F56"/>
    <w:rsid w:val="00B52234"/>
    <w:rsid w:val="00B53623"/>
    <w:rsid w:val="00B53D1D"/>
    <w:rsid w:val="00B53E98"/>
    <w:rsid w:val="00B53F9B"/>
    <w:rsid w:val="00B5406E"/>
    <w:rsid w:val="00B54B19"/>
    <w:rsid w:val="00B55F64"/>
    <w:rsid w:val="00B56ECA"/>
    <w:rsid w:val="00B57003"/>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3EFC"/>
    <w:rsid w:val="00B740F6"/>
    <w:rsid w:val="00B74615"/>
    <w:rsid w:val="00B74789"/>
    <w:rsid w:val="00B755B6"/>
    <w:rsid w:val="00B75977"/>
    <w:rsid w:val="00B75A48"/>
    <w:rsid w:val="00B75CC0"/>
    <w:rsid w:val="00B76021"/>
    <w:rsid w:val="00B76FCD"/>
    <w:rsid w:val="00B7764D"/>
    <w:rsid w:val="00B804F8"/>
    <w:rsid w:val="00B8095A"/>
    <w:rsid w:val="00B80D52"/>
    <w:rsid w:val="00B81274"/>
    <w:rsid w:val="00B815D3"/>
    <w:rsid w:val="00B81742"/>
    <w:rsid w:val="00B817B5"/>
    <w:rsid w:val="00B81E9D"/>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3E4"/>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A49"/>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110"/>
    <w:rsid w:val="00BC25D1"/>
    <w:rsid w:val="00BC2DBD"/>
    <w:rsid w:val="00BC3200"/>
    <w:rsid w:val="00BC3BCB"/>
    <w:rsid w:val="00BC3C44"/>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3F71"/>
    <w:rsid w:val="00BF4A15"/>
    <w:rsid w:val="00BF4E0E"/>
    <w:rsid w:val="00BF4E27"/>
    <w:rsid w:val="00BF4F7C"/>
    <w:rsid w:val="00BF537B"/>
    <w:rsid w:val="00BF5901"/>
    <w:rsid w:val="00BF5A41"/>
    <w:rsid w:val="00BF626A"/>
    <w:rsid w:val="00BF688E"/>
    <w:rsid w:val="00BF6D77"/>
    <w:rsid w:val="00BF739A"/>
    <w:rsid w:val="00BF7EF5"/>
    <w:rsid w:val="00C00BF6"/>
    <w:rsid w:val="00C019E5"/>
    <w:rsid w:val="00C0234A"/>
    <w:rsid w:val="00C0247B"/>
    <w:rsid w:val="00C0378E"/>
    <w:rsid w:val="00C042AE"/>
    <w:rsid w:val="00C04314"/>
    <w:rsid w:val="00C04BD0"/>
    <w:rsid w:val="00C05730"/>
    <w:rsid w:val="00C05AF4"/>
    <w:rsid w:val="00C05AFD"/>
    <w:rsid w:val="00C060EA"/>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2F6C"/>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05D"/>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6D2"/>
    <w:rsid w:val="00C379EF"/>
    <w:rsid w:val="00C405C8"/>
    <w:rsid w:val="00C40C2F"/>
    <w:rsid w:val="00C415AC"/>
    <w:rsid w:val="00C4297A"/>
    <w:rsid w:val="00C4360C"/>
    <w:rsid w:val="00C439B8"/>
    <w:rsid w:val="00C43A0B"/>
    <w:rsid w:val="00C43EDA"/>
    <w:rsid w:val="00C43FEC"/>
    <w:rsid w:val="00C4414C"/>
    <w:rsid w:val="00C4443C"/>
    <w:rsid w:val="00C44B5D"/>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4042"/>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A00"/>
    <w:rsid w:val="00C62B88"/>
    <w:rsid w:val="00C62CD3"/>
    <w:rsid w:val="00C634F9"/>
    <w:rsid w:val="00C63B44"/>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4ACE"/>
    <w:rsid w:val="00C75A8F"/>
    <w:rsid w:val="00C76129"/>
    <w:rsid w:val="00C76732"/>
    <w:rsid w:val="00C76C0C"/>
    <w:rsid w:val="00C76FFC"/>
    <w:rsid w:val="00C774E0"/>
    <w:rsid w:val="00C776BA"/>
    <w:rsid w:val="00C7791E"/>
    <w:rsid w:val="00C80A8A"/>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AC1"/>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1FEA"/>
    <w:rsid w:val="00CA2528"/>
    <w:rsid w:val="00CA35AF"/>
    <w:rsid w:val="00CA3B07"/>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5E97"/>
    <w:rsid w:val="00CD64E1"/>
    <w:rsid w:val="00CD66BA"/>
    <w:rsid w:val="00CD699D"/>
    <w:rsid w:val="00CD6BA3"/>
    <w:rsid w:val="00CD70DB"/>
    <w:rsid w:val="00CD7544"/>
    <w:rsid w:val="00CD78D4"/>
    <w:rsid w:val="00CE0697"/>
    <w:rsid w:val="00CE0BE3"/>
    <w:rsid w:val="00CE11E7"/>
    <w:rsid w:val="00CE14CB"/>
    <w:rsid w:val="00CE2E2E"/>
    <w:rsid w:val="00CE3A51"/>
    <w:rsid w:val="00CE41F9"/>
    <w:rsid w:val="00CE48B4"/>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A35"/>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22E"/>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10A"/>
    <w:rsid w:val="00D2371E"/>
    <w:rsid w:val="00D237E0"/>
    <w:rsid w:val="00D23A17"/>
    <w:rsid w:val="00D25037"/>
    <w:rsid w:val="00D25382"/>
    <w:rsid w:val="00D25676"/>
    <w:rsid w:val="00D2579F"/>
    <w:rsid w:val="00D2580E"/>
    <w:rsid w:val="00D265A7"/>
    <w:rsid w:val="00D2690C"/>
    <w:rsid w:val="00D27129"/>
    <w:rsid w:val="00D279E7"/>
    <w:rsid w:val="00D27C8C"/>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74A"/>
    <w:rsid w:val="00D43DEF"/>
    <w:rsid w:val="00D44259"/>
    <w:rsid w:val="00D45C61"/>
    <w:rsid w:val="00D45DDC"/>
    <w:rsid w:val="00D47F6F"/>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6284"/>
    <w:rsid w:val="00D671C7"/>
    <w:rsid w:val="00D672CC"/>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0F4"/>
    <w:rsid w:val="00DA2125"/>
    <w:rsid w:val="00DA21EC"/>
    <w:rsid w:val="00DA24DE"/>
    <w:rsid w:val="00DA270C"/>
    <w:rsid w:val="00DA281F"/>
    <w:rsid w:val="00DA3030"/>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B7F0D"/>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4D3"/>
    <w:rsid w:val="00DE75EF"/>
    <w:rsid w:val="00DE7611"/>
    <w:rsid w:val="00DE7810"/>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BE1"/>
    <w:rsid w:val="00E03C10"/>
    <w:rsid w:val="00E0479F"/>
    <w:rsid w:val="00E04816"/>
    <w:rsid w:val="00E04982"/>
    <w:rsid w:val="00E04D6A"/>
    <w:rsid w:val="00E052C6"/>
    <w:rsid w:val="00E058DB"/>
    <w:rsid w:val="00E05950"/>
    <w:rsid w:val="00E05CD4"/>
    <w:rsid w:val="00E05DE8"/>
    <w:rsid w:val="00E06100"/>
    <w:rsid w:val="00E0614E"/>
    <w:rsid w:val="00E06E97"/>
    <w:rsid w:val="00E0765A"/>
    <w:rsid w:val="00E07B8F"/>
    <w:rsid w:val="00E10712"/>
    <w:rsid w:val="00E10DD1"/>
    <w:rsid w:val="00E1224C"/>
    <w:rsid w:val="00E1254C"/>
    <w:rsid w:val="00E12BDF"/>
    <w:rsid w:val="00E12D39"/>
    <w:rsid w:val="00E13326"/>
    <w:rsid w:val="00E13463"/>
    <w:rsid w:val="00E13601"/>
    <w:rsid w:val="00E13D07"/>
    <w:rsid w:val="00E14356"/>
    <w:rsid w:val="00E14961"/>
    <w:rsid w:val="00E14D76"/>
    <w:rsid w:val="00E14EE9"/>
    <w:rsid w:val="00E15183"/>
    <w:rsid w:val="00E152D5"/>
    <w:rsid w:val="00E15D6C"/>
    <w:rsid w:val="00E1702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8F0"/>
    <w:rsid w:val="00E3394F"/>
    <w:rsid w:val="00E33A0B"/>
    <w:rsid w:val="00E34A2F"/>
    <w:rsid w:val="00E35A45"/>
    <w:rsid w:val="00E35DD3"/>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2BF"/>
    <w:rsid w:val="00E66E11"/>
    <w:rsid w:val="00E672C6"/>
    <w:rsid w:val="00E70192"/>
    <w:rsid w:val="00E70C55"/>
    <w:rsid w:val="00E70E34"/>
    <w:rsid w:val="00E71809"/>
    <w:rsid w:val="00E71D1E"/>
    <w:rsid w:val="00E726F2"/>
    <w:rsid w:val="00E728E2"/>
    <w:rsid w:val="00E738FA"/>
    <w:rsid w:val="00E739B6"/>
    <w:rsid w:val="00E74A2B"/>
    <w:rsid w:val="00E74F8F"/>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5E9A"/>
    <w:rsid w:val="00E87A37"/>
    <w:rsid w:val="00E87B30"/>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65A"/>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536"/>
    <w:rsid w:val="00EE2989"/>
    <w:rsid w:val="00EE2A9D"/>
    <w:rsid w:val="00EE32D5"/>
    <w:rsid w:val="00EE3384"/>
    <w:rsid w:val="00EE4236"/>
    <w:rsid w:val="00EE499F"/>
    <w:rsid w:val="00EE56E2"/>
    <w:rsid w:val="00EE5FCD"/>
    <w:rsid w:val="00EE63BF"/>
    <w:rsid w:val="00EE6D45"/>
    <w:rsid w:val="00EE6E89"/>
    <w:rsid w:val="00EF0D4B"/>
    <w:rsid w:val="00EF0FE6"/>
    <w:rsid w:val="00EF1130"/>
    <w:rsid w:val="00EF1432"/>
    <w:rsid w:val="00EF1511"/>
    <w:rsid w:val="00EF1F01"/>
    <w:rsid w:val="00EF2686"/>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3580"/>
    <w:rsid w:val="00F14B08"/>
    <w:rsid w:val="00F14B4B"/>
    <w:rsid w:val="00F14CD1"/>
    <w:rsid w:val="00F15115"/>
    <w:rsid w:val="00F15A85"/>
    <w:rsid w:val="00F15C81"/>
    <w:rsid w:val="00F15D8C"/>
    <w:rsid w:val="00F15F18"/>
    <w:rsid w:val="00F16B86"/>
    <w:rsid w:val="00F16E1A"/>
    <w:rsid w:val="00F16F92"/>
    <w:rsid w:val="00F17C3E"/>
    <w:rsid w:val="00F17FA3"/>
    <w:rsid w:val="00F2005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0DC4"/>
    <w:rsid w:val="00F512DD"/>
    <w:rsid w:val="00F51A82"/>
    <w:rsid w:val="00F51B78"/>
    <w:rsid w:val="00F51BDD"/>
    <w:rsid w:val="00F52065"/>
    <w:rsid w:val="00F521CE"/>
    <w:rsid w:val="00F5253E"/>
    <w:rsid w:val="00F5254B"/>
    <w:rsid w:val="00F5294F"/>
    <w:rsid w:val="00F52CB7"/>
    <w:rsid w:val="00F53A44"/>
    <w:rsid w:val="00F54E5E"/>
    <w:rsid w:val="00F551DB"/>
    <w:rsid w:val="00F556B3"/>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124"/>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77BC9"/>
    <w:rsid w:val="00F8056E"/>
    <w:rsid w:val="00F805B7"/>
    <w:rsid w:val="00F810C1"/>
    <w:rsid w:val="00F81623"/>
    <w:rsid w:val="00F81D25"/>
    <w:rsid w:val="00F8245C"/>
    <w:rsid w:val="00F82928"/>
    <w:rsid w:val="00F829B9"/>
    <w:rsid w:val="00F83045"/>
    <w:rsid w:val="00F83615"/>
    <w:rsid w:val="00F83C2E"/>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711"/>
    <w:rsid w:val="00FA0DB6"/>
    <w:rsid w:val="00FA1475"/>
    <w:rsid w:val="00FA23F7"/>
    <w:rsid w:val="00FA27EB"/>
    <w:rsid w:val="00FA35B6"/>
    <w:rsid w:val="00FA3A64"/>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4D5C"/>
    <w:rsid w:val="00FC619B"/>
    <w:rsid w:val="00FC665F"/>
    <w:rsid w:val="00FC6C35"/>
    <w:rsid w:val="00FC6C46"/>
    <w:rsid w:val="00FC6D59"/>
    <w:rsid w:val="00FC7561"/>
    <w:rsid w:val="00FC78F5"/>
    <w:rsid w:val="00FC7ACA"/>
    <w:rsid w:val="00FC7AD2"/>
    <w:rsid w:val="00FD10B3"/>
    <w:rsid w:val="00FD11C3"/>
    <w:rsid w:val="00FD154E"/>
    <w:rsid w:val="00FD24D7"/>
    <w:rsid w:val="00FD29CE"/>
    <w:rsid w:val="00FD3AE2"/>
    <w:rsid w:val="00FD3E41"/>
    <w:rsid w:val="00FD3EFA"/>
    <w:rsid w:val="00FD41C6"/>
    <w:rsid w:val="00FD54A8"/>
    <w:rsid w:val="00FD5AE4"/>
    <w:rsid w:val="00FD5D21"/>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35F"/>
    <w:rsid w:val="00FE7877"/>
    <w:rsid w:val="00FE7DD1"/>
    <w:rsid w:val="00FF0B4F"/>
    <w:rsid w:val="00FF0F58"/>
    <w:rsid w:val="00FF183C"/>
    <w:rsid w:val="00FF1A06"/>
    <w:rsid w:val="00FF1AD3"/>
    <w:rsid w:val="00FF1B46"/>
    <w:rsid w:val="00FF219D"/>
    <w:rsid w:val="00FF2A7B"/>
    <w:rsid w:val="00FF3D2B"/>
    <w:rsid w:val="00FF49B4"/>
    <w:rsid w:val="00FF49F4"/>
    <w:rsid w:val="00FF5538"/>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DB199E"/>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13CC5"/>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A0432A"/>
    <w:rsid w:val="51A86090"/>
    <w:rsid w:val="51B7396D"/>
    <w:rsid w:val="522E4CC3"/>
    <w:rsid w:val="5244713B"/>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D6F28"/>
    <w:rsid w:val="5AD63A24"/>
    <w:rsid w:val="5B2E1A1D"/>
    <w:rsid w:val="5B843A1C"/>
    <w:rsid w:val="5B873E3F"/>
    <w:rsid w:val="5C02690E"/>
    <w:rsid w:val="5C196DA7"/>
    <w:rsid w:val="5C2A048C"/>
    <w:rsid w:val="5C80234E"/>
    <w:rsid w:val="5C8A680C"/>
    <w:rsid w:val="5D0C4701"/>
    <w:rsid w:val="5D0F0395"/>
    <w:rsid w:val="5D221076"/>
    <w:rsid w:val="5D397964"/>
    <w:rsid w:val="5D4D2245"/>
    <w:rsid w:val="5D5A391C"/>
    <w:rsid w:val="5D5F10C0"/>
    <w:rsid w:val="5D891B7B"/>
    <w:rsid w:val="5DAD38EE"/>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qFormat="1" w:unhideWhenUsed="0" w:uiPriority="0" w:semiHidden="0" w:name="index 5"/>
    <w:lsdException w:uiPriority="0" w:name="index 6"/>
    <w:lsdException w:qFormat="1" w:uiPriority="99"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iPriority="0" w:name="List 3"/>
    <w:lsdException w:uiPriority="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9"/>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link w:val="81"/>
    <w:qFormat/>
    <w:uiPriority w:val="9"/>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2"/>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3"/>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8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8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80"/>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caption"/>
    <w:basedOn w:val="1"/>
    <w:next w:val="1"/>
    <w:link w:val="88"/>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89"/>
    <w:qFormat/>
    <w:uiPriority w:val="0"/>
    <w:pPr>
      <w:shd w:val="clear" w:color="auto" w:fill="000080"/>
    </w:pPr>
  </w:style>
  <w:style w:type="paragraph" w:styleId="19">
    <w:name w:val="annotation text"/>
    <w:basedOn w:val="1"/>
    <w:link w:val="90"/>
    <w:qFormat/>
    <w:uiPriority w:val="99"/>
    <w:pPr>
      <w:jc w:val="left"/>
    </w:pPr>
  </w:style>
  <w:style w:type="paragraph" w:styleId="20">
    <w:name w:val="Salutation"/>
    <w:basedOn w:val="1"/>
    <w:next w:val="1"/>
    <w:link w:val="91"/>
    <w:qFormat/>
    <w:uiPriority w:val="0"/>
    <w:rPr>
      <w:rFonts w:ascii="仿宋_GB2312" w:eastAsia="仿宋_GB2312"/>
      <w:sz w:val="28"/>
      <w:szCs w:val="20"/>
    </w:rPr>
  </w:style>
  <w:style w:type="paragraph" w:styleId="21">
    <w:name w:val="Body Text 3"/>
    <w:basedOn w:val="1"/>
    <w:link w:val="92"/>
    <w:qFormat/>
    <w:uiPriority w:val="99"/>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3"/>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94"/>
    <w:qFormat/>
    <w:uiPriority w:val="99"/>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95"/>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9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97"/>
    <w:qFormat/>
    <w:uiPriority w:val="0"/>
    <w:pPr>
      <w:ind w:left="100" w:leftChars="2500"/>
    </w:pPr>
    <w:rPr>
      <w:rFonts w:ascii="宋体"/>
      <w:sz w:val="24"/>
      <w:szCs w:val="21"/>
      <w:lang w:val="zh-CN"/>
    </w:rPr>
  </w:style>
  <w:style w:type="paragraph" w:styleId="36">
    <w:name w:val="Body Text Indent 2"/>
    <w:basedOn w:val="1"/>
    <w:link w:val="98"/>
    <w:qFormat/>
    <w:uiPriority w:val="0"/>
    <w:pPr>
      <w:spacing w:line="360" w:lineRule="auto"/>
      <w:ind w:firstLine="601"/>
      <w:textAlignment w:val="baseline"/>
    </w:pPr>
    <w:rPr>
      <w:rFonts w:ascii="宋体"/>
      <w:kern w:val="0"/>
      <w:sz w:val="28"/>
      <w:szCs w:val="20"/>
    </w:rPr>
  </w:style>
  <w:style w:type="paragraph" w:styleId="37">
    <w:name w:val="endnote text"/>
    <w:basedOn w:val="1"/>
    <w:link w:val="99"/>
    <w:qFormat/>
    <w:uiPriority w:val="0"/>
    <w:rPr>
      <w:lang w:val="zh-CN"/>
    </w:rPr>
  </w:style>
  <w:style w:type="paragraph" w:styleId="38">
    <w:name w:val="Balloon Text"/>
    <w:basedOn w:val="1"/>
    <w:link w:val="100"/>
    <w:qFormat/>
    <w:uiPriority w:val="0"/>
    <w:rPr>
      <w:sz w:val="18"/>
      <w:szCs w:val="18"/>
    </w:rPr>
  </w:style>
  <w:style w:type="paragraph" w:styleId="39">
    <w:name w:val="footer"/>
    <w:basedOn w:val="1"/>
    <w:link w:val="101"/>
    <w:qFormat/>
    <w:uiPriority w:val="99"/>
    <w:pPr>
      <w:tabs>
        <w:tab w:val="center" w:pos="4153"/>
        <w:tab w:val="right" w:pos="8306"/>
      </w:tabs>
      <w:snapToGrid w:val="0"/>
      <w:jc w:val="left"/>
    </w:pPr>
    <w:rPr>
      <w:sz w:val="18"/>
      <w:szCs w:val="18"/>
    </w:rPr>
  </w:style>
  <w:style w:type="paragraph" w:styleId="40">
    <w:name w:val="header"/>
    <w:basedOn w:val="1"/>
    <w:link w:val="102"/>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0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10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105"/>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106"/>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107"/>
    <w:qFormat/>
    <w:uiPriority w:val="0"/>
    <w:pPr>
      <w:spacing w:after="120" w:line="480" w:lineRule="auto"/>
    </w:pPr>
  </w:style>
  <w:style w:type="paragraph" w:styleId="56">
    <w:name w:val="HTML Preformatted"/>
    <w:basedOn w:val="1"/>
    <w:link w:val="10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109"/>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110"/>
    <w:qFormat/>
    <w:uiPriority w:val="0"/>
    <w:rPr>
      <w:b/>
      <w:bCs/>
    </w:rPr>
  </w:style>
  <w:style w:type="paragraph" w:styleId="60">
    <w:name w:val="Body Text First Indent"/>
    <w:basedOn w:val="23"/>
    <w:link w:val="111"/>
    <w:qFormat/>
    <w:uiPriority w:val="99"/>
    <w:pPr>
      <w:ind w:firstLine="420"/>
    </w:pPr>
    <w:rPr>
      <w:rFonts w:hAnsi="Calibri" w:cs="Times New Roman"/>
      <w:snapToGrid/>
      <w:szCs w:val="20"/>
    </w:rPr>
  </w:style>
  <w:style w:type="paragraph" w:styleId="61">
    <w:name w:val="Body Text First Indent 2"/>
    <w:basedOn w:val="24"/>
    <w:link w:val="11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0"/>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1 Char"/>
    <w:link w:val="3"/>
    <w:qFormat/>
    <w:uiPriority w:val="9"/>
    <w:rPr>
      <w:b/>
      <w:bCs/>
      <w:kern w:val="44"/>
      <w:sz w:val="44"/>
      <w:szCs w:val="44"/>
    </w:rPr>
  </w:style>
  <w:style w:type="character" w:customStyle="1" w:styleId="80">
    <w:name w:val="正文缩进 Char2"/>
    <w:link w:val="5"/>
    <w:qFormat/>
    <w:uiPriority w:val="0"/>
    <w:rPr>
      <w:rFonts w:ascii="宋体" w:eastAsia="宋体"/>
      <w:snapToGrid w:val="0"/>
      <w:color w:val="000000"/>
      <w:kern w:val="28"/>
      <w:sz w:val="28"/>
      <w:lang w:val="en-US" w:eastAsia="zh-CN" w:bidi="ar-SA"/>
    </w:rPr>
  </w:style>
  <w:style w:type="character" w:customStyle="1" w:styleId="81">
    <w:name w:val="标题 3 Char"/>
    <w:basedOn w:val="69"/>
    <w:link w:val="4"/>
    <w:qFormat/>
    <w:uiPriority w:val="9"/>
    <w:rPr>
      <w:b/>
      <w:bCs/>
      <w:kern w:val="2"/>
      <w:sz w:val="32"/>
      <w:szCs w:val="32"/>
    </w:rPr>
  </w:style>
  <w:style w:type="character" w:customStyle="1" w:styleId="82">
    <w:name w:val="标题 4 Char2"/>
    <w:link w:val="6"/>
    <w:qFormat/>
    <w:uiPriority w:val="9"/>
    <w:rPr>
      <w:rFonts w:ascii="Arial" w:hAnsi="Arial" w:eastAsia="黑体"/>
      <w:b/>
      <w:bCs/>
      <w:kern w:val="2"/>
      <w:sz w:val="28"/>
      <w:szCs w:val="28"/>
      <w:lang w:val="zh-CN"/>
    </w:rPr>
  </w:style>
  <w:style w:type="character" w:customStyle="1" w:styleId="83">
    <w:name w:val="标题 5 Char"/>
    <w:link w:val="7"/>
    <w:qFormat/>
    <w:uiPriority w:val="9"/>
    <w:rPr>
      <w:b/>
      <w:bCs/>
      <w:kern w:val="2"/>
      <w:sz w:val="28"/>
      <w:szCs w:val="28"/>
    </w:rPr>
  </w:style>
  <w:style w:type="character" w:customStyle="1" w:styleId="84">
    <w:name w:val="标题 6 Char"/>
    <w:link w:val="8"/>
    <w:qFormat/>
    <w:uiPriority w:val="0"/>
    <w:rPr>
      <w:rFonts w:ascii="Arial" w:hAnsi="Arial" w:eastAsia="黑体"/>
      <w:b/>
      <w:bCs/>
      <w:kern w:val="2"/>
      <w:sz w:val="24"/>
      <w:szCs w:val="24"/>
    </w:rPr>
  </w:style>
  <w:style w:type="character" w:customStyle="1" w:styleId="85">
    <w:name w:val="标题 7 Char"/>
    <w:link w:val="9"/>
    <w:qFormat/>
    <w:uiPriority w:val="0"/>
    <w:rPr>
      <w:b/>
      <w:bCs/>
      <w:kern w:val="2"/>
      <w:sz w:val="24"/>
      <w:szCs w:val="24"/>
    </w:rPr>
  </w:style>
  <w:style w:type="character" w:customStyle="1" w:styleId="86">
    <w:name w:val="标题 8 Char"/>
    <w:link w:val="10"/>
    <w:qFormat/>
    <w:uiPriority w:val="0"/>
    <w:rPr>
      <w:rFonts w:ascii="Arial" w:hAnsi="Arial" w:eastAsia="黑体"/>
      <w:kern w:val="2"/>
      <w:sz w:val="24"/>
      <w:szCs w:val="24"/>
    </w:rPr>
  </w:style>
  <w:style w:type="character" w:customStyle="1" w:styleId="87">
    <w:name w:val="标题 9 Char"/>
    <w:link w:val="11"/>
    <w:qFormat/>
    <w:uiPriority w:val="0"/>
    <w:rPr>
      <w:rFonts w:ascii="Arial" w:hAnsi="Arial" w:eastAsia="黑体"/>
      <w:kern w:val="2"/>
      <w:sz w:val="21"/>
      <w:szCs w:val="21"/>
    </w:rPr>
  </w:style>
  <w:style w:type="character" w:customStyle="1" w:styleId="88">
    <w:name w:val="题注 Char"/>
    <w:link w:val="16"/>
    <w:qFormat/>
    <w:uiPriority w:val="0"/>
    <w:rPr>
      <w:b/>
      <w:kern w:val="2"/>
      <w:sz w:val="28"/>
    </w:rPr>
  </w:style>
  <w:style w:type="character" w:customStyle="1" w:styleId="89">
    <w:name w:val="文档结构图 Char1"/>
    <w:link w:val="18"/>
    <w:qFormat/>
    <w:uiPriority w:val="0"/>
    <w:rPr>
      <w:kern w:val="2"/>
      <w:sz w:val="21"/>
      <w:szCs w:val="24"/>
      <w:shd w:val="clear" w:color="auto" w:fill="000080"/>
    </w:rPr>
  </w:style>
  <w:style w:type="character" w:customStyle="1" w:styleId="90">
    <w:name w:val="批注文字 Char1"/>
    <w:link w:val="19"/>
    <w:qFormat/>
    <w:uiPriority w:val="0"/>
    <w:rPr>
      <w:kern w:val="2"/>
      <w:sz w:val="21"/>
      <w:szCs w:val="24"/>
    </w:rPr>
  </w:style>
  <w:style w:type="character" w:customStyle="1" w:styleId="91">
    <w:name w:val="称呼 Char"/>
    <w:link w:val="20"/>
    <w:qFormat/>
    <w:uiPriority w:val="0"/>
    <w:rPr>
      <w:rFonts w:ascii="仿宋_GB2312" w:eastAsia="仿宋_GB2312"/>
      <w:kern w:val="2"/>
      <w:sz w:val="28"/>
    </w:rPr>
  </w:style>
  <w:style w:type="character" w:customStyle="1" w:styleId="92">
    <w:name w:val="正文文本 3 Char"/>
    <w:link w:val="21"/>
    <w:qFormat/>
    <w:uiPriority w:val="99"/>
    <w:rPr>
      <w:kern w:val="2"/>
      <w:sz w:val="21"/>
    </w:rPr>
  </w:style>
  <w:style w:type="character" w:customStyle="1" w:styleId="93">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4">
    <w:name w:val="正文文本缩进 Char3"/>
    <w:link w:val="24"/>
    <w:qFormat/>
    <w:uiPriority w:val="0"/>
    <w:rPr>
      <w:rFonts w:ascii="宋体" w:hAnsi="宋体"/>
      <w:kern w:val="2"/>
      <w:sz w:val="24"/>
      <w:szCs w:val="24"/>
    </w:rPr>
  </w:style>
  <w:style w:type="character" w:customStyle="1" w:styleId="95">
    <w:name w:val="HTML 地址 Char"/>
    <w:link w:val="29"/>
    <w:qFormat/>
    <w:uiPriority w:val="0"/>
    <w:rPr>
      <w:rFonts w:ascii="宋体" w:hAnsi="宋体"/>
      <w:i/>
      <w:iCs/>
      <w:sz w:val="24"/>
      <w:szCs w:val="24"/>
    </w:rPr>
  </w:style>
  <w:style w:type="character" w:customStyle="1" w:styleId="96">
    <w:name w:val="纯文本 Char"/>
    <w:link w:val="32"/>
    <w:qFormat/>
    <w:uiPriority w:val="99"/>
    <w:rPr>
      <w:rFonts w:ascii="宋体" w:hAnsi="Courier New" w:eastAsia="宋体" w:cs="Arial"/>
      <w:snapToGrid w:val="0"/>
      <w:kern w:val="2"/>
      <w:sz w:val="21"/>
      <w:szCs w:val="21"/>
      <w:lang w:val="en-US" w:eastAsia="zh-CN" w:bidi="ar-SA"/>
    </w:rPr>
  </w:style>
  <w:style w:type="character" w:customStyle="1" w:styleId="97">
    <w:name w:val="日期 Char"/>
    <w:link w:val="35"/>
    <w:qFormat/>
    <w:uiPriority w:val="0"/>
    <w:rPr>
      <w:rFonts w:ascii="宋体"/>
      <w:kern w:val="2"/>
      <w:sz w:val="24"/>
      <w:szCs w:val="21"/>
      <w:lang w:val="zh-CN"/>
    </w:rPr>
  </w:style>
  <w:style w:type="character" w:customStyle="1" w:styleId="98">
    <w:name w:val="正文文本缩进 2 Char"/>
    <w:link w:val="36"/>
    <w:qFormat/>
    <w:uiPriority w:val="0"/>
    <w:rPr>
      <w:rFonts w:ascii="宋体"/>
      <w:sz w:val="28"/>
    </w:rPr>
  </w:style>
  <w:style w:type="character" w:customStyle="1" w:styleId="99">
    <w:name w:val="尾注文本 Char"/>
    <w:link w:val="37"/>
    <w:qFormat/>
    <w:uiPriority w:val="0"/>
    <w:rPr>
      <w:kern w:val="2"/>
      <w:sz w:val="21"/>
      <w:szCs w:val="24"/>
      <w:lang w:val="zh-CN"/>
    </w:rPr>
  </w:style>
  <w:style w:type="character" w:customStyle="1" w:styleId="100">
    <w:name w:val="批注框文本 Char"/>
    <w:link w:val="38"/>
    <w:qFormat/>
    <w:uiPriority w:val="0"/>
    <w:rPr>
      <w:kern w:val="2"/>
      <w:sz w:val="18"/>
      <w:szCs w:val="18"/>
    </w:rPr>
  </w:style>
  <w:style w:type="character" w:customStyle="1" w:styleId="101">
    <w:name w:val="页脚 Char2"/>
    <w:link w:val="39"/>
    <w:qFormat/>
    <w:locked/>
    <w:uiPriority w:val="99"/>
    <w:rPr>
      <w:kern w:val="2"/>
      <w:sz w:val="18"/>
      <w:szCs w:val="18"/>
    </w:rPr>
  </w:style>
  <w:style w:type="character" w:customStyle="1" w:styleId="102">
    <w:name w:val="页眉 Char2"/>
    <w:link w:val="40"/>
    <w:qFormat/>
    <w:uiPriority w:val="99"/>
    <w:rPr>
      <w:kern w:val="2"/>
      <w:sz w:val="18"/>
      <w:szCs w:val="18"/>
    </w:rPr>
  </w:style>
  <w:style w:type="character" w:customStyle="1" w:styleId="103">
    <w:name w:val="签名 Char"/>
    <w:link w:val="41"/>
    <w:qFormat/>
    <w:uiPriority w:val="0"/>
    <w:rPr>
      <w:rFonts w:eastAsia="仿宋_GB2312"/>
      <w:sz w:val="24"/>
    </w:rPr>
  </w:style>
  <w:style w:type="character" w:customStyle="1" w:styleId="104">
    <w:name w:val="副标题 Char"/>
    <w:link w:val="46"/>
    <w:qFormat/>
    <w:uiPriority w:val="0"/>
    <w:rPr>
      <w:rFonts w:ascii="Arial" w:hAnsi="Arial" w:eastAsia="隶书"/>
      <w:b/>
      <w:bCs/>
      <w:kern w:val="28"/>
      <w:sz w:val="44"/>
      <w:szCs w:val="32"/>
      <w:lang w:val="en-US" w:eastAsia="zh-CN" w:bidi="ar-SA"/>
    </w:rPr>
  </w:style>
  <w:style w:type="character" w:customStyle="1" w:styleId="105">
    <w:name w:val="脚注文本 Char"/>
    <w:link w:val="49"/>
    <w:qFormat/>
    <w:uiPriority w:val="0"/>
    <w:rPr>
      <w:color w:val="0000FF"/>
      <w:sz w:val="21"/>
    </w:rPr>
  </w:style>
  <w:style w:type="character" w:customStyle="1" w:styleId="106">
    <w:name w:val="正文文本缩进 3 Char"/>
    <w:link w:val="52"/>
    <w:qFormat/>
    <w:uiPriority w:val="0"/>
    <w:rPr>
      <w:kern w:val="2"/>
      <w:sz w:val="24"/>
    </w:rPr>
  </w:style>
  <w:style w:type="character" w:customStyle="1" w:styleId="107">
    <w:name w:val="正文文本 2 Char1"/>
    <w:link w:val="55"/>
    <w:qFormat/>
    <w:uiPriority w:val="0"/>
    <w:rPr>
      <w:kern w:val="2"/>
      <w:sz w:val="21"/>
      <w:szCs w:val="24"/>
    </w:rPr>
  </w:style>
  <w:style w:type="character" w:customStyle="1" w:styleId="108">
    <w:name w:val="HTML 预设格式 Char"/>
    <w:link w:val="56"/>
    <w:qFormat/>
    <w:uiPriority w:val="0"/>
    <w:rPr>
      <w:rFonts w:ascii="黑体" w:hAnsi="Courier New" w:eastAsia="黑体"/>
    </w:rPr>
  </w:style>
  <w:style w:type="character" w:customStyle="1" w:styleId="109">
    <w:name w:val="标题 Char2"/>
    <w:link w:val="58"/>
    <w:qFormat/>
    <w:uiPriority w:val="10"/>
    <w:rPr>
      <w:b/>
      <w:sz w:val="24"/>
      <w:lang w:val="en-GB"/>
    </w:rPr>
  </w:style>
  <w:style w:type="character" w:customStyle="1" w:styleId="110">
    <w:name w:val="批注主题 Char1"/>
    <w:link w:val="59"/>
    <w:qFormat/>
    <w:uiPriority w:val="0"/>
    <w:rPr>
      <w:b/>
      <w:bCs/>
      <w:kern w:val="2"/>
      <w:sz w:val="21"/>
      <w:szCs w:val="24"/>
    </w:rPr>
  </w:style>
  <w:style w:type="character" w:customStyle="1" w:styleId="111">
    <w:name w:val="正文首行缩进 Char"/>
    <w:link w:val="60"/>
    <w:qFormat/>
    <w:uiPriority w:val="99"/>
    <w:rPr>
      <w:rFonts w:ascii="宋体"/>
      <w:kern w:val="2"/>
      <w:sz w:val="24"/>
      <w:lang w:val="zh-CN"/>
    </w:rPr>
  </w:style>
  <w:style w:type="character" w:customStyle="1" w:styleId="112">
    <w:name w:val="正文首行缩进 2 Char"/>
    <w:link w:val="61"/>
    <w:qFormat/>
    <w:uiPriority w:val="0"/>
    <w:rPr>
      <w:rFonts w:ascii="宋体" w:hAnsi="宋体"/>
      <w:kern w:val="2"/>
      <w:sz w:val="21"/>
      <w:szCs w:val="24"/>
    </w:rPr>
  </w:style>
  <w:style w:type="character" w:customStyle="1" w:styleId="113">
    <w:name w:val="表格非标题文字 Char"/>
    <w:link w:val="114"/>
    <w:qFormat/>
    <w:uiPriority w:val="0"/>
    <w:rPr>
      <w:rFonts w:ascii="Futura Bk" w:hAnsi="Futura Bk"/>
      <w:kern w:val="2"/>
      <w:sz w:val="18"/>
      <w:szCs w:val="21"/>
      <w:lang w:val="en-US" w:eastAsia="zh-CN" w:bidi="ar-SA"/>
    </w:rPr>
  </w:style>
  <w:style w:type="paragraph" w:customStyle="1" w:styleId="114">
    <w:name w:val="表格非标题文字"/>
    <w:link w:val="113"/>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15">
    <w:name w:val="*正文 Char"/>
    <w:link w:val="116"/>
    <w:qFormat/>
    <w:locked/>
    <w:uiPriority w:val="0"/>
    <w:rPr>
      <w:rFonts w:ascii="宋体" w:hAnsi="宋体"/>
      <w:sz w:val="24"/>
    </w:rPr>
  </w:style>
  <w:style w:type="paragraph" w:customStyle="1" w:styleId="116">
    <w:name w:val="*正文"/>
    <w:basedOn w:val="1"/>
    <w:link w:val="115"/>
    <w:qFormat/>
    <w:uiPriority w:val="0"/>
    <w:pPr>
      <w:snapToGrid w:val="0"/>
      <w:spacing w:line="360" w:lineRule="auto"/>
      <w:ind w:firstLine="482"/>
      <w:jc w:val="left"/>
    </w:pPr>
    <w:rPr>
      <w:rFonts w:ascii="宋体" w:hAnsi="宋体"/>
      <w:kern w:val="0"/>
      <w:sz w:val="24"/>
      <w:szCs w:val="20"/>
    </w:rPr>
  </w:style>
  <w:style w:type="character" w:customStyle="1" w:styleId="117">
    <w:name w:val="Char Char71"/>
    <w:semiHidden/>
    <w:qFormat/>
    <w:uiPriority w:val="0"/>
    <w:rPr>
      <w:rFonts w:eastAsia="宋体"/>
      <w:kern w:val="2"/>
      <w:sz w:val="21"/>
      <w:szCs w:val="24"/>
      <w:lang w:val="en-US" w:eastAsia="zh-CN" w:bidi="ar-SA"/>
    </w:rPr>
  </w:style>
  <w:style w:type="character" w:customStyle="1" w:styleId="118">
    <w:name w:val="Char Char6"/>
    <w:qFormat/>
    <w:uiPriority w:val="0"/>
    <w:rPr>
      <w:rFonts w:eastAsia="宋体"/>
      <w:kern w:val="2"/>
      <w:sz w:val="21"/>
      <w:szCs w:val="24"/>
      <w:lang w:val="en-US" w:eastAsia="zh-CN" w:bidi="ar-SA"/>
    </w:rPr>
  </w:style>
  <w:style w:type="character" w:customStyle="1" w:styleId="119">
    <w:name w:val="正文缩进 Char"/>
    <w:qFormat/>
    <w:uiPriority w:val="0"/>
    <w:rPr>
      <w:rFonts w:eastAsia="宋体"/>
      <w:kern w:val="2"/>
      <w:sz w:val="21"/>
      <w:lang w:val="en-US" w:eastAsia="zh-CN"/>
    </w:rPr>
  </w:style>
  <w:style w:type="character" w:customStyle="1" w:styleId="120">
    <w:name w:val="正文首行缩进 Char1"/>
    <w:qFormat/>
    <w:uiPriority w:val="0"/>
    <w:rPr>
      <w:rFonts w:ascii="宋体" w:hAnsi="Times New Roman" w:eastAsia="宋体" w:cs="Times New Roman"/>
      <w:snapToGrid w:val="0"/>
      <w:kern w:val="2"/>
      <w:sz w:val="24"/>
      <w:szCs w:val="21"/>
      <w:lang w:val="zh-CN"/>
    </w:rPr>
  </w:style>
  <w:style w:type="character" w:customStyle="1" w:styleId="121">
    <w:name w:val="Char Char28"/>
    <w:qFormat/>
    <w:uiPriority w:val="6"/>
    <w:rPr>
      <w:rFonts w:ascii="仿宋_GB2312" w:hAnsi="仿宋_GB2312" w:eastAsia="仿宋_GB2312"/>
      <w:kern w:val="1"/>
      <w:sz w:val="28"/>
    </w:rPr>
  </w:style>
  <w:style w:type="character" w:customStyle="1" w:styleId="12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123">
    <w:name w:val="Heading 1 Char"/>
    <w:qFormat/>
    <w:uiPriority w:val="6"/>
    <w:rPr>
      <w:rFonts w:ascii="Times New Roman" w:hAnsi="Times New Roman" w:eastAsia="黑体" w:cs="Times New Roman"/>
      <w:b/>
      <w:kern w:val="0"/>
      <w:sz w:val="24"/>
      <w:szCs w:val="24"/>
    </w:rPr>
  </w:style>
  <w:style w:type="character" w:customStyle="1" w:styleId="124">
    <w:name w:val="U_正文 Char"/>
    <w:link w:val="125"/>
    <w:qFormat/>
    <w:uiPriority w:val="0"/>
    <w:rPr>
      <w:sz w:val="24"/>
      <w:szCs w:val="24"/>
    </w:rPr>
  </w:style>
  <w:style w:type="paragraph" w:customStyle="1" w:styleId="125">
    <w:name w:val="U_正文"/>
    <w:basedOn w:val="1"/>
    <w:link w:val="124"/>
    <w:qFormat/>
    <w:uiPriority w:val="0"/>
    <w:pPr>
      <w:adjustRightInd/>
      <w:spacing w:beforeLines="20" w:afterLines="20" w:line="300" w:lineRule="auto"/>
      <w:ind w:firstLine="200" w:firstLineChars="200"/>
    </w:pPr>
    <w:rPr>
      <w:kern w:val="0"/>
      <w:sz w:val="24"/>
    </w:rPr>
  </w:style>
  <w:style w:type="character" w:customStyle="1" w:styleId="126">
    <w:name w:val="HTML 地址 Char1"/>
    <w:qFormat/>
    <w:uiPriority w:val="0"/>
    <w:rPr>
      <w:rFonts w:ascii="Times New Roman" w:hAnsi="Times New Roman" w:eastAsia="宋体" w:cs="Times New Roman"/>
      <w:i/>
      <w:iCs/>
      <w:szCs w:val="24"/>
    </w:rPr>
  </w:style>
  <w:style w:type="character" w:customStyle="1" w:styleId="127">
    <w:name w:val="Char Char51"/>
    <w:qFormat/>
    <w:uiPriority w:val="0"/>
    <w:rPr>
      <w:rFonts w:ascii="宋体" w:hAnsi="Courier New" w:eastAsia="宋体"/>
      <w:kern w:val="2"/>
      <w:sz w:val="21"/>
      <w:lang w:val="en-US" w:eastAsia="zh-CN"/>
    </w:rPr>
  </w:style>
  <w:style w:type="character" w:customStyle="1" w:styleId="128">
    <w:name w:val="表正文 Char"/>
    <w:qFormat/>
    <w:uiPriority w:val="0"/>
    <w:rPr>
      <w:rFonts w:ascii="宋体" w:eastAsia="宋体"/>
      <w:snapToGrid w:val="0"/>
      <w:color w:val="000000"/>
      <w:kern w:val="28"/>
      <w:sz w:val="28"/>
      <w:lang w:val="en-US" w:eastAsia="zh-CN" w:bidi="ar-SA"/>
    </w:rPr>
  </w:style>
  <w:style w:type="character" w:customStyle="1" w:styleId="129">
    <w:name w:val="Char Char34"/>
    <w:qFormat/>
    <w:uiPriority w:val="6"/>
    <w:rPr>
      <w:b/>
      <w:kern w:val="1"/>
      <w:sz w:val="28"/>
      <w:szCs w:val="28"/>
    </w:rPr>
  </w:style>
  <w:style w:type="character" w:customStyle="1" w:styleId="130">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31">
    <w:name w:val="哈哈正文 Char"/>
    <w:link w:val="132"/>
    <w:qFormat/>
    <w:uiPriority w:val="0"/>
    <w:rPr>
      <w:rFonts w:ascii="宋体" w:hAnsi="宋体" w:eastAsia="宋体"/>
      <w:kern w:val="2"/>
      <w:sz w:val="24"/>
      <w:lang w:bidi="ar-SA"/>
    </w:rPr>
  </w:style>
  <w:style w:type="paragraph" w:customStyle="1" w:styleId="132">
    <w:name w:val="哈哈正文"/>
    <w:basedOn w:val="1"/>
    <w:link w:val="131"/>
    <w:qFormat/>
    <w:uiPriority w:val="0"/>
    <w:pPr>
      <w:adjustRightInd/>
      <w:spacing w:line="360" w:lineRule="auto"/>
      <w:ind w:firstLine="200" w:firstLineChars="200"/>
    </w:pPr>
    <w:rPr>
      <w:rFonts w:ascii="宋体" w:hAnsi="宋体"/>
      <w:sz w:val="24"/>
      <w:szCs w:val="20"/>
    </w:rPr>
  </w:style>
  <w:style w:type="character" w:customStyle="1" w:styleId="133">
    <w:name w:val="未处理的提及1"/>
    <w:qFormat/>
    <w:uiPriority w:val="0"/>
    <w:rPr>
      <w:color w:val="808080"/>
      <w:shd w:val="clear" w:color="auto" w:fill="E6E6E6"/>
    </w:rPr>
  </w:style>
  <w:style w:type="character" w:customStyle="1" w:styleId="134">
    <w:name w:val="txt"/>
    <w:qFormat/>
    <w:uiPriority w:val="0"/>
    <w:rPr>
      <w:rFonts w:ascii="仿宋_GB2312" w:eastAsia="微软雅黑"/>
      <w:b/>
      <w:kern w:val="2"/>
      <w:sz w:val="32"/>
      <w:szCs w:val="32"/>
      <w:lang w:val="en-US" w:eastAsia="zh-CN" w:bidi="ar-SA"/>
    </w:rPr>
  </w:style>
  <w:style w:type="character" w:customStyle="1" w:styleId="135">
    <w:name w:val="二级标题 Char Char"/>
    <w:qFormat/>
    <w:uiPriority w:val="0"/>
    <w:rPr>
      <w:rFonts w:ascii="宋体" w:hAnsi="宋体" w:eastAsia="宋体"/>
      <w:b/>
      <w:snapToGrid w:val="0"/>
      <w:kern w:val="2"/>
      <w:sz w:val="24"/>
      <w:szCs w:val="24"/>
      <w:lang w:val="en-US" w:eastAsia="zh-CN" w:bidi="ar-SA"/>
    </w:rPr>
  </w:style>
  <w:style w:type="character" w:customStyle="1" w:styleId="136">
    <w:name w:val="Char Char32"/>
    <w:qFormat/>
    <w:uiPriority w:val="6"/>
    <w:rPr>
      <w:b/>
      <w:kern w:val="1"/>
      <w:sz w:val="24"/>
      <w:szCs w:val="24"/>
    </w:rPr>
  </w:style>
  <w:style w:type="character" w:customStyle="1" w:styleId="137">
    <w:name w:val="PI Char1"/>
    <w:qFormat/>
    <w:uiPriority w:val="0"/>
    <w:rPr>
      <w:rFonts w:ascii="宋体" w:hAnsi="宋体"/>
      <w:kern w:val="2"/>
      <w:sz w:val="24"/>
      <w:szCs w:val="24"/>
    </w:rPr>
  </w:style>
  <w:style w:type="character" w:customStyle="1" w:styleId="138">
    <w:name w:val="tw4winTerm"/>
    <w:qFormat/>
    <w:uiPriority w:val="0"/>
    <w:rPr>
      <w:color w:val="0000FF"/>
    </w:rPr>
  </w:style>
  <w:style w:type="character" w:customStyle="1" w:styleId="139">
    <w:name w:val="Footer Char"/>
    <w:qFormat/>
    <w:locked/>
    <w:uiPriority w:val="0"/>
    <w:rPr>
      <w:rFonts w:eastAsia="宋体"/>
      <w:kern w:val="2"/>
      <w:sz w:val="18"/>
      <w:lang w:val="en-US" w:eastAsia="zh-CN" w:bidi="ar-SA"/>
    </w:rPr>
  </w:style>
  <w:style w:type="character" w:customStyle="1" w:styleId="140">
    <w:name w:val="普通文字 Char Char1"/>
    <w:qFormat/>
    <w:uiPriority w:val="0"/>
    <w:rPr>
      <w:rFonts w:ascii="宋体" w:hAnsi="Courier New"/>
      <w:kern w:val="2"/>
      <w:sz w:val="21"/>
    </w:rPr>
  </w:style>
  <w:style w:type="character" w:customStyle="1" w:styleId="141">
    <w:name w:val="Char Char101"/>
    <w:qFormat/>
    <w:uiPriority w:val="6"/>
    <w:rPr>
      <w:rFonts w:ascii="宋体" w:hAnsi="宋体"/>
      <w:kern w:val="2"/>
      <w:sz w:val="21"/>
      <w:szCs w:val="24"/>
      <w:lang w:val="en-US" w:eastAsia="zh-CN"/>
    </w:rPr>
  </w:style>
  <w:style w:type="character" w:customStyle="1" w:styleId="142">
    <w:name w:val="标题 4 Char"/>
    <w:qFormat/>
    <w:uiPriority w:val="0"/>
    <w:rPr>
      <w:rFonts w:ascii="Arial" w:hAnsi="Arial" w:eastAsia="黑体"/>
      <w:b/>
      <w:kern w:val="2"/>
      <w:sz w:val="28"/>
    </w:rPr>
  </w:style>
  <w:style w:type="character" w:customStyle="1" w:styleId="143">
    <w:name w:val="链接"/>
    <w:qFormat/>
    <w:uiPriority w:val="0"/>
    <w:rPr>
      <w:color w:val="0000FF"/>
      <w:sz w:val="21"/>
      <w:szCs w:val="21"/>
      <w:u w:val="single"/>
    </w:rPr>
  </w:style>
  <w:style w:type="character" w:customStyle="1" w:styleId="144">
    <w:name w:val="h4 Char"/>
    <w:qFormat/>
    <w:uiPriority w:val="0"/>
    <w:rPr>
      <w:rFonts w:ascii="Arial" w:hAnsi="Arial" w:eastAsia="黑体"/>
      <w:b/>
      <w:bCs/>
      <w:kern w:val="2"/>
      <w:sz w:val="28"/>
      <w:szCs w:val="28"/>
      <w:lang w:val="zh-CN" w:eastAsia="zh-CN" w:bidi="ar-SA"/>
    </w:rPr>
  </w:style>
  <w:style w:type="character" w:customStyle="1" w:styleId="145">
    <w:name w:val="5正文 Char"/>
    <w:link w:val="146"/>
    <w:qFormat/>
    <w:uiPriority w:val="0"/>
    <w:rPr>
      <w:rFonts w:ascii="仿宋_GB2312" w:hAnsi="微软雅黑" w:eastAsia="仿宋_GB2312"/>
      <w:sz w:val="28"/>
      <w:szCs w:val="21"/>
    </w:rPr>
  </w:style>
  <w:style w:type="paragraph" w:customStyle="1" w:styleId="146">
    <w:name w:val="5正文"/>
    <w:basedOn w:val="1"/>
    <w:link w:val="145"/>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47">
    <w:name w:val="标题 3 字符"/>
    <w:qFormat/>
    <w:uiPriority w:val="9"/>
    <w:rPr>
      <w:b/>
      <w:bCs/>
      <w:kern w:val="2"/>
      <w:sz w:val="32"/>
      <w:szCs w:val="32"/>
    </w:rPr>
  </w:style>
  <w:style w:type="character" w:customStyle="1" w:styleId="148">
    <w:name w:val="样式6 Char"/>
    <w:qFormat/>
    <w:uiPriority w:val="0"/>
    <w:rPr>
      <w:rFonts w:ascii="仿宋_GB2312" w:hAnsi="宋体" w:eastAsia="仿宋_GB2312"/>
      <w:b/>
      <w:bCs/>
      <w:kern w:val="2"/>
      <w:sz w:val="24"/>
      <w:szCs w:val="24"/>
      <w:lang w:val="en-US" w:eastAsia="zh-CN" w:bidi="ar-SA"/>
    </w:rPr>
  </w:style>
  <w:style w:type="character" w:customStyle="1" w:styleId="149">
    <w:name w:val="Char Char14"/>
    <w:qFormat/>
    <w:uiPriority w:val="6"/>
    <w:rPr>
      <w:rFonts w:ascii="黑体" w:hAnsi="黑体" w:eastAsia="黑体"/>
    </w:rPr>
  </w:style>
  <w:style w:type="character" w:customStyle="1" w:styleId="150">
    <w:name w:val="Heading 2 Hidden Char"/>
    <w:qFormat/>
    <w:uiPriority w:val="0"/>
    <w:rPr>
      <w:rFonts w:ascii="仿宋_GB2312" w:eastAsia="仿宋_GB2312"/>
      <w:b/>
      <w:bCs/>
      <w:kern w:val="2"/>
      <w:sz w:val="24"/>
      <w:szCs w:val="24"/>
      <w:lang w:val="zh-CN" w:eastAsia="zh-CN" w:bidi="ar-SA"/>
    </w:rPr>
  </w:style>
  <w:style w:type="character" w:customStyle="1" w:styleId="151">
    <w:name w:val="font11"/>
    <w:qFormat/>
    <w:uiPriority w:val="0"/>
    <w:rPr>
      <w:rFonts w:hint="default" w:ascii="Times New Roman" w:hAnsi="Times New Roman" w:cs="Times New Roman"/>
      <w:color w:val="000000"/>
      <w:sz w:val="22"/>
      <w:szCs w:val="22"/>
      <w:u w:val="none"/>
    </w:rPr>
  </w:style>
  <w:style w:type="character" w:customStyle="1" w:styleId="152">
    <w:name w:val="表正文 Char1"/>
    <w:qFormat/>
    <w:uiPriority w:val="0"/>
    <w:rPr>
      <w:rFonts w:ascii="宋体" w:eastAsia="宋体"/>
      <w:snapToGrid w:val="0"/>
      <w:color w:val="000000"/>
      <w:kern w:val="28"/>
      <w:sz w:val="28"/>
    </w:rPr>
  </w:style>
  <w:style w:type="character" w:customStyle="1" w:styleId="153">
    <w:name w:val="blue1"/>
    <w:basedOn w:val="69"/>
    <w:qFormat/>
    <w:uiPriority w:val="0"/>
    <w:rPr>
      <w:rFonts w:ascii="Arial" w:hAnsi="Arial" w:eastAsia="黑体" w:cs="Arial"/>
      <w:snapToGrid w:val="0"/>
      <w:kern w:val="0"/>
      <w:szCs w:val="21"/>
    </w:rPr>
  </w:style>
  <w:style w:type="character" w:customStyle="1" w:styleId="154">
    <w:name w:val="标书1 Char"/>
    <w:qFormat/>
    <w:uiPriority w:val="0"/>
    <w:rPr>
      <w:rFonts w:eastAsia="宋体"/>
      <w:b/>
      <w:bCs/>
      <w:kern w:val="44"/>
      <w:sz w:val="44"/>
      <w:szCs w:val="44"/>
      <w:lang w:val="en-US" w:eastAsia="zh-CN" w:bidi="ar-SA"/>
    </w:rPr>
  </w:style>
  <w:style w:type="character" w:customStyle="1" w:styleId="155">
    <w:name w:val="样式5 Char"/>
    <w:qFormat/>
    <w:uiPriority w:val="0"/>
    <w:rPr>
      <w:rFonts w:ascii="仿宋_GB2312" w:hAnsi="仿宋" w:eastAsia="仿宋_GB2312"/>
      <w:kern w:val="2"/>
      <w:sz w:val="24"/>
      <w:szCs w:val="24"/>
    </w:rPr>
  </w:style>
  <w:style w:type="character" w:customStyle="1" w:styleId="156">
    <w:name w:val="样式4 Char"/>
    <w:qFormat/>
    <w:uiPriority w:val="0"/>
    <w:rPr>
      <w:rFonts w:ascii="仿宋_GB2312" w:hAnsi="仿宋" w:eastAsia="仿宋_GB2312"/>
      <w:b/>
      <w:kern w:val="2"/>
      <w:sz w:val="32"/>
      <w:szCs w:val="32"/>
      <w:lang w:bidi="ar-SA"/>
    </w:rPr>
  </w:style>
  <w:style w:type="character" w:customStyle="1" w:styleId="157">
    <w:name w:val="插图说明 Char"/>
    <w:qFormat/>
    <w:uiPriority w:val="0"/>
    <w:rPr>
      <w:rFonts w:eastAsia="黑体"/>
      <w:sz w:val="24"/>
      <w:lang w:val="en-US" w:eastAsia="zh-CN"/>
    </w:rPr>
  </w:style>
  <w:style w:type="character" w:customStyle="1" w:styleId="158">
    <w:name w:val="正文2 Char Char"/>
    <w:link w:val="159"/>
    <w:qFormat/>
    <w:uiPriority w:val="0"/>
    <w:rPr>
      <w:rFonts w:eastAsia="宋体"/>
      <w:kern w:val="2"/>
      <w:sz w:val="24"/>
      <w:lang w:val="en-US" w:eastAsia="zh-CN" w:bidi="ar-SA"/>
    </w:rPr>
  </w:style>
  <w:style w:type="paragraph" w:customStyle="1" w:styleId="159">
    <w:name w:val="正文2"/>
    <w:basedOn w:val="1"/>
    <w:link w:val="158"/>
    <w:qFormat/>
    <w:uiPriority w:val="0"/>
    <w:pPr>
      <w:spacing w:before="156" w:line="360" w:lineRule="auto"/>
      <w:ind w:firstLine="510" w:firstLineChars="200"/>
    </w:pPr>
    <w:rPr>
      <w:sz w:val="24"/>
      <w:szCs w:val="20"/>
    </w:rPr>
  </w:style>
  <w:style w:type="character" w:customStyle="1" w:styleId="160">
    <w:name w:val="Char Char24"/>
    <w:qFormat/>
    <w:uiPriority w:val="6"/>
    <w:rPr>
      <w:kern w:val="1"/>
      <w:sz w:val="21"/>
    </w:rPr>
  </w:style>
  <w:style w:type="character" w:customStyle="1" w:styleId="161">
    <w:name w:val="普通文字 Char1 Char"/>
    <w:qFormat/>
    <w:uiPriority w:val="0"/>
    <w:rPr>
      <w:rFonts w:ascii="宋体" w:hAnsi="Courier New" w:eastAsia="宋体"/>
      <w:kern w:val="2"/>
      <w:sz w:val="21"/>
      <w:szCs w:val="24"/>
      <w:lang w:val="en-US" w:eastAsia="zh-CN" w:bidi="ar-SA"/>
    </w:rPr>
  </w:style>
  <w:style w:type="character" w:customStyle="1" w:styleId="162">
    <w:name w:val="h3 Char1"/>
    <w:qFormat/>
    <w:uiPriority w:val="0"/>
    <w:rPr>
      <w:rFonts w:eastAsia="宋体"/>
      <w:b/>
      <w:bCs/>
      <w:kern w:val="2"/>
      <w:sz w:val="32"/>
      <w:szCs w:val="32"/>
      <w:lang w:bidi="ar-SA"/>
    </w:rPr>
  </w:style>
  <w:style w:type="character" w:customStyle="1" w:styleId="163">
    <w:name w:val="标题 Char1"/>
    <w:qFormat/>
    <w:uiPriority w:val="0"/>
    <w:rPr>
      <w:rFonts w:ascii="Cambria" w:hAnsi="Cambria" w:eastAsia="宋体" w:cs="Times New Roman"/>
      <w:b/>
      <w:bCs/>
      <w:sz w:val="32"/>
      <w:szCs w:val="32"/>
      <w:lang w:bidi="ar-SA"/>
    </w:rPr>
  </w:style>
  <w:style w:type="character" w:customStyle="1" w:styleId="164">
    <w:name w:val="gf正文1 Char"/>
    <w:qFormat/>
    <w:uiPriority w:val="0"/>
    <w:rPr>
      <w:rFonts w:ascii="宋体" w:hAnsi="宋体" w:eastAsia="宋体" w:cs="宋体"/>
      <w:kern w:val="2"/>
      <w:sz w:val="24"/>
      <w:szCs w:val="24"/>
      <w:lang w:val="en-US" w:eastAsia="zh-CN" w:bidi="ar-SA"/>
    </w:rPr>
  </w:style>
  <w:style w:type="character" w:customStyle="1" w:styleId="165">
    <w:name w:val="正文文本缩进 Char1"/>
    <w:qFormat/>
    <w:uiPriority w:val="0"/>
    <w:rPr>
      <w:rFonts w:ascii="Calibri" w:hAnsi="Calibri"/>
      <w:sz w:val="28"/>
    </w:rPr>
  </w:style>
  <w:style w:type="character" w:customStyle="1" w:styleId="166">
    <w:name w:val="No Spacing Char"/>
    <w:link w:val="167"/>
    <w:qFormat/>
    <w:uiPriority w:val="1"/>
    <w:rPr>
      <w:sz w:val="22"/>
      <w:szCs w:val="22"/>
      <w:lang w:val="en-US" w:eastAsia="zh-CN" w:bidi="ar-SA"/>
    </w:rPr>
  </w:style>
  <w:style w:type="paragraph" w:customStyle="1" w:styleId="167">
    <w:name w:val="无间隔1"/>
    <w:link w:val="166"/>
    <w:qFormat/>
    <w:uiPriority w:val="1"/>
    <w:rPr>
      <w:rFonts w:ascii="Times New Roman" w:hAnsi="Times New Roman" w:eastAsia="宋体" w:cs="Times New Roman"/>
      <w:sz w:val="22"/>
      <w:szCs w:val="22"/>
      <w:lang w:val="en-US" w:eastAsia="zh-CN" w:bidi="ar-SA"/>
    </w:rPr>
  </w:style>
  <w:style w:type="character" w:customStyle="1" w:styleId="168">
    <w:name w:val="样式7 Char"/>
    <w:qFormat/>
    <w:uiPriority w:val="0"/>
    <w:rPr>
      <w:rFonts w:ascii="仿宋_GB2312" w:hAnsi="仿宋" w:eastAsia="仿宋_GB2312"/>
      <w:b/>
      <w:kern w:val="2"/>
      <w:sz w:val="24"/>
      <w:szCs w:val="24"/>
    </w:rPr>
  </w:style>
  <w:style w:type="character" w:customStyle="1" w:styleId="169">
    <w:name w:val="font12gray1"/>
    <w:qFormat/>
    <w:uiPriority w:val="0"/>
    <w:rPr>
      <w:rFonts w:ascii="仿宋_GB2312" w:eastAsia="微软雅黑"/>
      <w:b/>
      <w:spacing w:val="300"/>
      <w:kern w:val="2"/>
      <w:sz w:val="18"/>
      <w:szCs w:val="18"/>
      <w:lang w:val="en-US" w:eastAsia="zh-CN" w:bidi="ar-SA"/>
    </w:rPr>
  </w:style>
  <w:style w:type="character" w:customStyle="1" w:styleId="170">
    <w:name w:val="Char Char7"/>
    <w:semiHidden/>
    <w:qFormat/>
    <w:uiPriority w:val="0"/>
    <w:rPr>
      <w:rFonts w:eastAsia="宋体"/>
      <w:kern w:val="2"/>
      <w:sz w:val="21"/>
      <w:szCs w:val="24"/>
      <w:lang w:val="en-US" w:eastAsia="zh-CN" w:bidi="ar-SA"/>
    </w:rPr>
  </w:style>
  <w:style w:type="character" w:customStyle="1" w:styleId="171">
    <w:name w:val="表名 Char"/>
    <w:qFormat/>
    <w:uiPriority w:val="0"/>
    <w:rPr>
      <w:rFonts w:eastAsia="宋体"/>
      <w:b/>
      <w:bCs/>
      <w:kern w:val="2"/>
      <w:sz w:val="24"/>
      <w:szCs w:val="24"/>
      <w:lang w:val="en-US" w:eastAsia="zh-CN" w:bidi="ar-SA"/>
    </w:rPr>
  </w:style>
  <w:style w:type="character" w:customStyle="1" w:styleId="172">
    <w:name w:val="Document Map Char"/>
    <w:qFormat/>
    <w:locked/>
    <w:uiPriority w:val="0"/>
    <w:rPr>
      <w:rFonts w:eastAsia="宋体"/>
      <w:kern w:val="2"/>
      <w:sz w:val="21"/>
      <w:szCs w:val="24"/>
      <w:lang w:val="en-US" w:eastAsia="zh-CN" w:bidi="ar-SA"/>
    </w:rPr>
  </w:style>
  <w:style w:type="character" w:customStyle="1" w:styleId="173">
    <w:name w:val="font41"/>
    <w:qFormat/>
    <w:uiPriority w:val="0"/>
    <w:rPr>
      <w:rFonts w:hint="eastAsia" w:ascii="仿宋_GB2312" w:eastAsia="仿宋_GB2312" w:cs="仿宋_GB2312"/>
      <w:color w:val="000000"/>
      <w:sz w:val="22"/>
      <w:szCs w:val="22"/>
      <w:u w:val="none"/>
    </w:rPr>
  </w:style>
  <w:style w:type="character" w:customStyle="1" w:styleId="174">
    <w:name w:val="纯文本 Char_0"/>
    <w:link w:val="175"/>
    <w:qFormat/>
    <w:uiPriority w:val="0"/>
    <w:rPr>
      <w:rFonts w:ascii="宋体" w:hAnsi="Courier New"/>
      <w:kern w:val="2"/>
      <w:sz w:val="21"/>
      <w:szCs w:val="21"/>
      <w:lang w:val="en-US" w:eastAsia="zh-CN"/>
    </w:rPr>
  </w:style>
  <w:style w:type="paragraph" w:customStyle="1" w:styleId="175">
    <w:name w:val="纯文本_0_0"/>
    <w:basedOn w:val="176"/>
    <w:link w:val="174"/>
    <w:qFormat/>
    <w:uiPriority w:val="0"/>
    <w:rPr>
      <w:rFonts w:ascii="宋体" w:hAnsi="Courier New"/>
      <w:szCs w:val="21"/>
    </w:rPr>
  </w:style>
  <w:style w:type="paragraph" w:customStyle="1" w:styleId="176">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77">
    <w:name w:val="Balloon Text Char"/>
    <w:qFormat/>
    <w:locked/>
    <w:uiPriority w:val="0"/>
    <w:rPr>
      <w:rFonts w:eastAsia="宋体"/>
      <w:kern w:val="2"/>
      <w:sz w:val="18"/>
      <w:szCs w:val="18"/>
      <w:lang w:val="en-US" w:eastAsia="zh-CN" w:bidi="ar-SA"/>
    </w:rPr>
  </w:style>
  <w:style w:type="character" w:customStyle="1" w:styleId="178">
    <w:name w:val="正文 项目2 Char"/>
    <w:basedOn w:val="179"/>
    <w:qFormat/>
    <w:uiPriority w:val="0"/>
    <w:rPr>
      <w:rFonts w:ascii="仿宋_GB2312" w:hAnsi="仿宋_GB2312" w:eastAsia="仿宋_GB2312"/>
      <w:kern w:val="2"/>
      <w:sz w:val="24"/>
      <w:lang w:bidi="ar-SA"/>
    </w:rPr>
  </w:style>
  <w:style w:type="character" w:customStyle="1" w:styleId="179">
    <w:name w:val="正文 项目 Char"/>
    <w:qFormat/>
    <w:uiPriority w:val="0"/>
    <w:rPr>
      <w:rFonts w:ascii="仿宋_GB2312" w:hAnsi="仿宋_GB2312" w:eastAsia="仿宋_GB2312"/>
      <w:kern w:val="2"/>
      <w:sz w:val="24"/>
      <w:lang w:bidi="ar-SA"/>
    </w:rPr>
  </w:style>
  <w:style w:type="character" w:customStyle="1" w:styleId="180">
    <w:name w:val="h Char Char1"/>
    <w:qFormat/>
    <w:uiPriority w:val="0"/>
    <w:rPr>
      <w:rFonts w:eastAsia="宋体"/>
      <w:kern w:val="2"/>
      <w:sz w:val="18"/>
      <w:szCs w:val="18"/>
      <w:lang w:val="en-US" w:eastAsia="zh-CN" w:bidi="ar-SA"/>
    </w:rPr>
  </w:style>
  <w:style w:type="character" w:customStyle="1" w:styleId="181">
    <w:name w:val="Char Char27"/>
    <w:qFormat/>
    <w:uiPriority w:val="6"/>
    <w:rPr>
      <w:rFonts w:ascii="宋体" w:hAnsi="宋体" w:eastAsia="宋体"/>
      <w:color w:val="000000"/>
      <w:kern w:val="1"/>
      <w:sz w:val="28"/>
      <w:lang w:val="en-US" w:eastAsia="zh-CN" w:bidi="ar-SA"/>
    </w:rPr>
  </w:style>
  <w:style w:type="character" w:customStyle="1" w:styleId="182">
    <w:name w:val="px14"/>
    <w:qFormat/>
    <w:uiPriority w:val="0"/>
    <w:rPr>
      <w:rFonts w:ascii="仿宋_GB2312" w:eastAsia="微软雅黑" w:cs="Times New Roman"/>
      <w:b/>
      <w:kern w:val="2"/>
      <w:sz w:val="32"/>
      <w:szCs w:val="32"/>
      <w:lang w:val="en-US" w:eastAsia="zh-CN" w:bidi="ar-SA"/>
    </w:rPr>
  </w:style>
  <w:style w:type="character" w:customStyle="1" w:styleId="183">
    <w:name w:val="HTML 预设格式 Char1"/>
    <w:qFormat/>
    <w:uiPriority w:val="0"/>
    <w:rPr>
      <w:rFonts w:ascii="Courier New" w:hAnsi="Courier New" w:eastAsia="宋体" w:cs="Courier New"/>
      <w:sz w:val="20"/>
      <w:szCs w:val="20"/>
    </w:rPr>
  </w:style>
  <w:style w:type="character" w:customStyle="1" w:styleId="184">
    <w:name w:val="普通文字 Char1"/>
    <w:qFormat/>
    <w:uiPriority w:val="0"/>
    <w:rPr>
      <w:rFonts w:ascii="宋体" w:hAnsi="Courier New" w:eastAsia="宋体"/>
      <w:kern w:val="2"/>
      <w:sz w:val="21"/>
      <w:lang w:val="en-US" w:eastAsia="zh-CN"/>
    </w:rPr>
  </w:style>
  <w:style w:type="character" w:customStyle="1" w:styleId="185">
    <w:name w:val="hei16b1"/>
    <w:qFormat/>
    <w:uiPriority w:val="0"/>
    <w:rPr>
      <w:rFonts w:hint="default" w:ascii="Arial" w:hAnsi="Arial" w:cs="Arial"/>
      <w:b/>
      <w:bCs/>
      <w:color w:val="000000"/>
      <w:sz w:val="24"/>
      <w:szCs w:val="24"/>
    </w:rPr>
  </w:style>
  <w:style w:type="character" w:customStyle="1" w:styleId="186">
    <w:name w:val="正文（绿盟科技） Char"/>
    <w:link w:val="187"/>
    <w:qFormat/>
    <w:uiPriority w:val="0"/>
    <w:rPr>
      <w:rFonts w:ascii="Arial" w:hAnsi="Arial"/>
      <w:sz w:val="21"/>
      <w:szCs w:val="21"/>
    </w:rPr>
  </w:style>
  <w:style w:type="paragraph" w:customStyle="1" w:styleId="187">
    <w:name w:val="正文（绿盟科技）"/>
    <w:link w:val="186"/>
    <w:qFormat/>
    <w:uiPriority w:val="0"/>
    <w:pPr>
      <w:spacing w:line="300" w:lineRule="auto"/>
    </w:pPr>
    <w:rPr>
      <w:rFonts w:ascii="Arial" w:hAnsi="Arial" w:eastAsia="宋体" w:cs="Times New Roman"/>
      <w:sz w:val="21"/>
      <w:szCs w:val="21"/>
      <w:lang w:val="en-US" w:eastAsia="zh-CN" w:bidi="ar-SA"/>
    </w:rPr>
  </w:style>
  <w:style w:type="character" w:customStyle="1" w:styleId="188">
    <w:name w:val="Char Char19"/>
    <w:qFormat/>
    <w:uiPriority w:val="6"/>
    <w:rPr>
      <w:rFonts w:ascii="宋体" w:hAnsi="宋体"/>
      <w:i/>
      <w:sz w:val="24"/>
      <w:szCs w:val="24"/>
    </w:rPr>
  </w:style>
  <w:style w:type="character" w:customStyle="1" w:styleId="189">
    <w:name w:val="页脚 Char"/>
    <w:qFormat/>
    <w:uiPriority w:val="99"/>
    <w:rPr>
      <w:rFonts w:eastAsia="仿宋_GB2312"/>
      <w:kern w:val="2"/>
      <w:sz w:val="18"/>
      <w:lang w:val="en-US" w:eastAsia="zh-CN"/>
    </w:rPr>
  </w:style>
  <w:style w:type="character" w:customStyle="1" w:styleId="190">
    <w:name w:val="批注主题 Char"/>
    <w:qFormat/>
    <w:uiPriority w:val="0"/>
    <w:rPr>
      <w:rFonts w:eastAsia="宋体"/>
      <w:b/>
      <w:bCs/>
      <w:kern w:val="2"/>
      <w:sz w:val="21"/>
      <w:szCs w:val="24"/>
      <w:lang w:val="en-US" w:eastAsia="zh-CN" w:bidi="ar-SA"/>
    </w:rPr>
  </w:style>
  <w:style w:type="character" w:customStyle="1" w:styleId="191">
    <w:name w:val="Comment Text Char"/>
    <w:qFormat/>
    <w:locked/>
    <w:uiPriority w:val="0"/>
    <w:rPr>
      <w:rFonts w:ascii="宋体" w:hAnsi="宋体" w:eastAsia="宋体"/>
      <w:kern w:val="2"/>
      <w:sz w:val="24"/>
      <w:lang w:val="en-US" w:eastAsia="zh-CN" w:bidi="ar-SA"/>
    </w:rPr>
  </w:style>
  <w:style w:type="character" w:customStyle="1" w:styleId="192">
    <w:name w:val="标题 2 字符"/>
    <w:qFormat/>
    <w:uiPriority w:val="1"/>
    <w:rPr>
      <w:rFonts w:ascii="仿宋_GB2312" w:hAnsi="Times New Roman" w:eastAsia="仿宋_GB2312" w:cs="Times New Roman"/>
      <w:b/>
      <w:kern w:val="2"/>
      <w:sz w:val="24"/>
      <w:lang w:val="zh-CN"/>
    </w:rPr>
  </w:style>
  <w:style w:type="character" w:customStyle="1" w:styleId="193">
    <w:name w:val="Char Char72"/>
    <w:qFormat/>
    <w:uiPriority w:val="0"/>
    <w:rPr>
      <w:rFonts w:eastAsia="宋体"/>
      <w:kern w:val="2"/>
      <w:sz w:val="21"/>
      <w:szCs w:val="24"/>
      <w:lang w:val="en-US" w:eastAsia="zh-CN" w:bidi="ar-SA"/>
    </w:rPr>
  </w:style>
  <w:style w:type="character" w:customStyle="1" w:styleId="194">
    <w:name w:val="正文文本缩进 Char2"/>
    <w:qFormat/>
    <w:uiPriority w:val="0"/>
    <w:rPr>
      <w:rFonts w:ascii="Times New Roman" w:hAnsi="Times New Roman" w:eastAsia="宋体" w:cs="Times New Roman"/>
      <w:snapToGrid w:val="0"/>
      <w:kern w:val="0"/>
      <w:szCs w:val="24"/>
    </w:rPr>
  </w:style>
  <w:style w:type="character" w:customStyle="1" w:styleId="195">
    <w:name w:val="样式2 Char"/>
    <w:qFormat/>
    <w:uiPriority w:val="0"/>
    <w:rPr>
      <w:rFonts w:ascii="仿宋_GB2312" w:hAnsi="仿宋" w:eastAsia="仿宋_GB2312" w:cs="仿宋_GB2312"/>
      <w:b/>
      <w:bCs/>
      <w:sz w:val="32"/>
      <w:szCs w:val="30"/>
      <w:lang w:val="zh-CN"/>
    </w:rPr>
  </w:style>
  <w:style w:type="character" w:customStyle="1" w:styleId="196">
    <w:name w:val="表格名称[858D7CFB-ED40-4347-BF05-701D383B685F]"/>
    <w:link w:val="197"/>
    <w:qFormat/>
    <w:uiPriority w:val="0"/>
    <w:rPr>
      <w:sz w:val="32"/>
    </w:rPr>
  </w:style>
  <w:style w:type="paragraph" w:customStyle="1" w:styleId="197">
    <w:name w:val="表格名称"/>
    <w:basedOn w:val="2"/>
    <w:link w:val="196"/>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98">
    <w:name w:val="Char Char4"/>
    <w:qFormat/>
    <w:uiPriority w:val="0"/>
    <w:rPr>
      <w:rFonts w:eastAsia="宋体"/>
      <w:b/>
      <w:sz w:val="24"/>
      <w:lang w:val="en-GB" w:eastAsia="zh-CN" w:bidi="ar-SA"/>
    </w:rPr>
  </w:style>
  <w:style w:type="character" w:customStyle="1" w:styleId="199">
    <w:name w:val="c7 style3"/>
    <w:qFormat/>
    <w:uiPriority w:val="0"/>
  </w:style>
  <w:style w:type="character" w:customStyle="1" w:styleId="200">
    <w:name w:val="正文文本 3 Char1"/>
    <w:semiHidden/>
    <w:qFormat/>
    <w:uiPriority w:val="99"/>
    <w:rPr>
      <w:rFonts w:ascii="Times New Roman" w:hAnsi="Times New Roman" w:eastAsia="宋体" w:cs="Times New Roman"/>
      <w:sz w:val="16"/>
      <w:szCs w:val="16"/>
    </w:rPr>
  </w:style>
  <w:style w:type="character" w:customStyle="1" w:styleId="201">
    <w:name w:val="tw4winInternal"/>
    <w:qFormat/>
    <w:uiPriority w:val="0"/>
    <w:rPr>
      <w:rFonts w:ascii="Courier New" w:hAnsi="Courier New" w:cs="Courier New"/>
      <w:color w:val="FF0000"/>
      <w:lang w:val="en-US" w:eastAsia="zh-CN"/>
    </w:rPr>
  </w:style>
  <w:style w:type="character" w:customStyle="1" w:styleId="202">
    <w:name w:val="Char Char10"/>
    <w:semiHidden/>
    <w:qFormat/>
    <w:uiPriority w:val="0"/>
    <w:rPr>
      <w:rFonts w:ascii="宋体" w:hAnsi="宋体"/>
      <w:kern w:val="2"/>
      <w:sz w:val="21"/>
      <w:szCs w:val="24"/>
      <w:lang w:val="en-US" w:eastAsia="zh-CN"/>
    </w:rPr>
  </w:style>
  <w:style w:type="character" w:customStyle="1" w:styleId="203">
    <w:name w:val="shadow11"/>
    <w:qFormat/>
    <w:uiPriority w:val="0"/>
    <w:rPr>
      <w:color w:val="000000"/>
      <w:sz w:val="21"/>
    </w:rPr>
  </w:style>
  <w:style w:type="character" w:customStyle="1" w:styleId="204">
    <w:name w:val="正文非缩进 Char3"/>
    <w:qFormat/>
    <w:uiPriority w:val="0"/>
    <w:rPr>
      <w:rFonts w:ascii="宋体" w:eastAsia="宋体"/>
      <w:snapToGrid w:val="0"/>
      <w:color w:val="000000"/>
      <w:kern w:val="28"/>
      <w:sz w:val="28"/>
      <w:lang w:val="en-US" w:eastAsia="zh-CN" w:bidi="ar-SA"/>
    </w:rPr>
  </w:style>
  <w:style w:type="character" w:customStyle="1" w:styleId="205">
    <w:name w:val="Char Char"/>
    <w:qFormat/>
    <w:uiPriority w:val="0"/>
    <w:rPr>
      <w:rFonts w:ascii="宋体" w:hAnsi="Courier New" w:eastAsia="宋体"/>
      <w:kern w:val="2"/>
      <w:sz w:val="21"/>
      <w:lang w:val="en-US" w:eastAsia="zh-CN" w:bidi="ar-SA"/>
    </w:rPr>
  </w:style>
  <w:style w:type="character" w:customStyle="1" w:styleId="206">
    <w:name w:val="签名 Char1"/>
    <w:qFormat/>
    <w:uiPriority w:val="0"/>
    <w:rPr>
      <w:rFonts w:ascii="Times New Roman" w:hAnsi="Times New Roman" w:eastAsia="宋体" w:cs="Times New Roman"/>
      <w:szCs w:val="24"/>
    </w:rPr>
  </w:style>
  <w:style w:type="character" w:customStyle="1" w:styleId="207">
    <w:name w:val="Char Char18"/>
    <w:qFormat/>
    <w:uiPriority w:val="6"/>
    <w:rPr>
      <w:rFonts w:ascii="宋体" w:hAnsi="宋体"/>
      <w:sz w:val="28"/>
    </w:rPr>
  </w:style>
  <w:style w:type="character" w:customStyle="1" w:styleId="208">
    <w:name w:val="批注文字 Char"/>
    <w:qFormat/>
    <w:uiPriority w:val="99"/>
    <w:rPr>
      <w:kern w:val="2"/>
      <w:sz w:val="21"/>
      <w:szCs w:val="24"/>
    </w:rPr>
  </w:style>
  <w:style w:type="character" w:customStyle="1" w:styleId="209">
    <w:name w:val="Char Char22"/>
    <w:qFormat/>
    <w:uiPriority w:val="6"/>
    <w:rPr>
      <w:rFonts w:ascii="宋体" w:hAnsi="宋体"/>
      <w:kern w:val="1"/>
      <w:sz w:val="24"/>
      <w:szCs w:val="24"/>
    </w:rPr>
  </w:style>
  <w:style w:type="character" w:customStyle="1" w:styleId="210">
    <w:name w:val="pt141"/>
    <w:qFormat/>
    <w:uiPriority w:val="0"/>
    <w:rPr>
      <w:color w:val="330066"/>
      <w:sz w:val="22"/>
      <w:szCs w:val="22"/>
    </w:rPr>
  </w:style>
  <w:style w:type="character" w:customStyle="1" w:styleId="211">
    <w:name w:val="正文文本缩进 2 Char1"/>
    <w:semiHidden/>
    <w:qFormat/>
    <w:uiPriority w:val="99"/>
    <w:rPr>
      <w:rFonts w:ascii="Times New Roman" w:hAnsi="Times New Roman" w:eastAsia="宋体" w:cs="Times New Roman"/>
      <w:szCs w:val="24"/>
    </w:rPr>
  </w:style>
  <w:style w:type="character" w:customStyle="1" w:styleId="212">
    <w:name w:val="Char Char611"/>
    <w:qFormat/>
    <w:uiPriority w:val="0"/>
    <w:rPr>
      <w:rFonts w:eastAsia="宋体"/>
      <w:kern w:val="2"/>
      <w:sz w:val="21"/>
      <w:szCs w:val="24"/>
      <w:lang w:val="en-US" w:eastAsia="zh-CN" w:bidi="ar-SA"/>
    </w:rPr>
  </w:style>
  <w:style w:type="character" w:customStyle="1" w:styleId="213">
    <w:name w:val="highlight1"/>
    <w:qFormat/>
    <w:uiPriority w:val="0"/>
    <w:rPr>
      <w:rFonts w:ascii="仿宋_GB2312" w:eastAsia="微软雅黑"/>
      <w:b/>
      <w:kern w:val="2"/>
      <w:sz w:val="23"/>
      <w:szCs w:val="23"/>
      <w:lang w:val="en-US" w:eastAsia="zh-CN" w:bidi="ar-SA"/>
    </w:rPr>
  </w:style>
  <w:style w:type="character" w:customStyle="1" w:styleId="214">
    <w:name w:val="my正文 Char"/>
    <w:link w:val="215"/>
    <w:qFormat/>
    <w:locked/>
    <w:uiPriority w:val="0"/>
    <w:rPr>
      <w:rFonts w:ascii="Tahoma" w:hAnsi="Tahoma"/>
      <w:sz w:val="24"/>
      <w:szCs w:val="24"/>
    </w:rPr>
  </w:style>
  <w:style w:type="paragraph" w:customStyle="1" w:styleId="215">
    <w:name w:val="my正文"/>
    <w:basedOn w:val="1"/>
    <w:link w:val="214"/>
    <w:qFormat/>
    <w:uiPriority w:val="0"/>
    <w:pPr>
      <w:adjustRightInd/>
      <w:spacing w:line="360" w:lineRule="auto"/>
      <w:ind w:firstLine="480" w:firstLineChars="200"/>
    </w:pPr>
    <w:rPr>
      <w:rFonts w:ascii="Tahoma" w:hAnsi="Tahoma"/>
      <w:kern w:val="0"/>
      <w:sz w:val="24"/>
    </w:rPr>
  </w:style>
  <w:style w:type="character" w:customStyle="1" w:styleId="216">
    <w:name w:val="Used by Word for text of Help footnotes Char Char1"/>
    <w:qFormat/>
    <w:uiPriority w:val="0"/>
    <w:rPr>
      <w:color w:val="0000FF"/>
      <w:sz w:val="21"/>
    </w:rPr>
  </w:style>
  <w:style w:type="character" w:customStyle="1" w:styleId="217">
    <w:name w:val="页眉 Char"/>
    <w:qFormat/>
    <w:uiPriority w:val="99"/>
    <w:rPr>
      <w:rFonts w:eastAsia="仿宋_GB2312"/>
      <w:kern w:val="2"/>
      <w:sz w:val="18"/>
      <w:lang w:val="en-US" w:eastAsia="zh-CN"/>
    </w:rPr>
  </w:style>
  <w:style w:type="character" w:customStyle="1" w:styleId="218">
    <w:name w:val="FA正文 Char Char"/>
    <w:qFormat/>
    <w:uiPriority w:val="0"/>
    <w:rPr>
      <w:rFonts w:hAnsi="宋体"/>
      <w:kern w:val="2"/>
      <w:sz w:val="24"/>
      <w:lang w:bidi="ar-SA"/>
    </w:rPr>
  </w:style>
  <w:style w:type="character" w:customStyle="1" w:styleId="219">
    <w:name w:val="纯文本 字符"/>
    <w:qFormat/>
    <w:uiPriority w:val="99"/>
    <w:rPr>
      <w:rFonts w:ascii="宋体" w:hAnsi="Courier New" w:eastAsia="宋体" w:cs="Arial"/>
      <w:snapToGrid w:val="0"/>
      <w:kern w:val="2"/>
      <w:sz w:val="21"/>
      <w:szCs w:val="21"/>
      <w:lang w:val="en-US" w:eastAsia="zh-CN" w:bidi="ar-SA"/>
    </w:rPr>
  </w:style>
  <w:style w:type="character" w:customStyle="1" w:styleId="220">
    <w:name w:val="3级 Char"/>
    <w:link w:val="221"/>
    <w:qFormat/>
    <w:uiPriority w:val="0"/>
    <w:rPr>
      <w:rFonts w:ascii="宋体" w:hAnsi="宋体"/>
      <w:b/>
      <w:bCs/>
      <w:snapToGrid/>
      <w:sz w:val="28"/>
    </w:rPr>
  </w:style>
  <w:style w:type="paragraph" w:customStyle="1" w:styleId="221">
    <w:name w:val="3级"/>
    <w:basedOn w:val="222"/>
    <w:link w:val="220"/>
    <w:qFormat/>
    <w:uiPriority w:val="0"/>
    <w:pPr>
      <w:ind w:left="0" w:right="466" w:firstLine="288"/>
    </w:pPr>
    <w:rPr>
      <w:rFonts w:hAnsi="宋体"/>
      <w:snapToGrid/>
    </w:rPr>
  </w:style>
  <w:style w:type="paragraph" w:customStyle="1" w:styleId="222">
    <w:name w:val="样式 标题 3h33rd level3BOD 0H3l3CTHeading 3 - oldLevel 3 He..."/>
    <w:basedOn w:val="4"/>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23">
    <w:name w:val="myp11"/>
    <w:qFormat/>
    <w:uiPriority w:val="0"/>
    <w:rPr>
      <w:rFonts w:ascii="仿宋_GB2312" w:eastAsia="微软雅黑"/>
      <w:b/>
      <w:kern w:val="2"/>
      <w:sz w:val="32"/>
      <w:szCs w:val="32"/>
      <w:lang w:val="en-US" w:eastAsia="zh-CN" w:bidi="ar-SA"/>
    </w:rPr>
  </w:style>
  <w:style w:type="character" w:customStyle="1" w:styleId="224">
    <w:name w:val="H6 Char"/>
    <w:qFormat/>
    <w:uiPriority w:val="0"/>
    <w:rPr>
      <w:rFonts w:ascii="Arial" w:hAnsi="Arial" w:eastAsia="黑体"/>
      <w:b/>
      <w:bCs/>
      <w:kern w:val="2"/>
      <w:sz w:val="24"/>
      <w:szCs w:val="24"/>
    </w:rPr>
  </w:style>
  <w:style w:type="character" w:customStyle="1" w:styleId="225">
    <w:name w:val="Char Char91"/>
    <w:qFormat/>
    <w:uiPriority w:val="0"/>
    <w:rPr>
      <w:rFonts w:eastAsia="宋体"/>
      <w:kern w:val="2"/>
      <w:sz w:val="18"/>
      <w:szCs w:val="18"/>
      <w:lang w:val="en-US" w:eastAsia="zh-CN" w:bidi="ar-SA"/>
    </w:rPr>
  </w:style>
  <w:style w:type="character" w:customStyle="1" w:styleId="226">
    <w:name w:val="副标题 Char1"/>
    <w:qFormat/>
    <w:uiPriority w:val="0"/>
    <w:rPr>
      <w:rFonts w:ascii="Cambria" w:hAnsi="Cambria" w:eastAsia="宋体" w:cs="Times New Roman"/>
      <w:b/>
      <w:bCs/>
      <w:snapToGrid w:val="0"/>
      <w:kern w:val="28"/>
      <w:sz w:val="32"/>
      <w:szCs w:val="32"/>
    </w:rPr>
  </w:style>
  <w:style w:type="character" w:customStyle="1" w:styleId="227">
    <w:name w:val="font61"/>
    <w:qFormat/>
    <w:uiPriority w:val="0"/>
    <w:rPr>
      <w:rFonts w:hint="eastAsia" w:ascii="仿宋" w:hAnsi="仿宋" w:eastAsia="仿宋" w:cs="仿宋"/>
      <w:color w:val="000000"/>
      <w:sz w:val="20"/>
      <w:szCs w:val="20"/>
      <w:u w:val="none"/>
    </w:rPr>
  </w:style>
  <w:style w:type="character" w:customStyle="1" w:styleId="228">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29">
    <w:name w:val="Char Char211"/>
    <w:qFormat/>
    <w:uiPriority w:val="0"/>
    <w:rPr>
      <w:rFonts w:eastAsia="宋体"/>
      <w:b/>
      <w:bCs/>
      <w:kern w:val="2"/>
      <w:sz w:val="21"/>
      <w:szCs w:val="24"/>
      <w:lang w:val="en-US" w:eastAsia="zh-CN" w:bidi="ar-SA"/>
    </w:rPr>
  </w:style>
  <w:style w:type="character" w:customStyle="1" w:styleId="230">
    <w:name w:val="标题 2 Char"/>
    <w:qFormat/>
    <w:uiPriority w:val="9"/>
    <w:rPr>
      <w:rFonts w:ascii="Arial" w:hAnsi="Arial" w:eastAsia="黑体"/>
      <w:b/>
      <w:kern w:val="2"/>
      <w:sz w:val="32"/>
      <w:lang w:val="en-US" w:eastAsia="zh-CN"/>
    </w:rPr>
  </w:style>
  <w:style w:type="character" w:customStyle="1" w:styleId="231">
    <w:name w:val="maywed421"/>
    <w:qFormat/>
    <w:uiPriority w:val="0"/>
    <w:rPr>
      <w:color w:val="366FB6"/>
      <w:u w:val="none"/>
    </w:rPr>
  </w:style>
  <w:style w:type="character" w:customStyle="1" w:styleId="232">
    <w:name w:val="正文文本缩进 Char"/>
    <w:qFormat/>
    <w:uiPriority w:val="99"/>
    <w:rPr>
      <w:rFonts w:ascii="宋体" w:hAnsi="宋体"/>
      <w:kern w:val="2"/>
      <w:sz w:val="24"/>
      <w:szCs w:val="24"/>
    </w:rPr>
  </w:style>
  <w:style w:type="character" w:customStyle="1" w:styleId="233">
    <w:name w:val="Char Char102"/>
    <w:semiHidden/>
    <w:qFormat/>
    <w:uiPriority w:val="0"/>
    <w:rPr>
      <w:rFonts w:ascii="宋体" w:hAnsi="宋体"/>
      <w:kern w:val="2"/>
      <w:sz w:val="21"/>
      <w:szCs w:val="24"/>
      <w:lang w:val="en-US" w:eastAsia="zh-CN"/>
    </w:rPr>
  </w:style>
  <w:style w:type="character" w:customStyle="1" w:styleId="234">
    <w:name w:val="页眉 Char1"/>
    <w:qFormat/>
    <w:uiPriority w:val="0"/>
    <w:rPr>
      <w:rFonts w:eastAsia="宋体"/>
      <w:kern w:val="2"/>
      <w:sz w:val="18"/>
      <w:szCs w:val="18"/>
      <w:lang w:val="en-US" w:eastAsia="zh-CN" w:bidi="ar-SA"/>
    </w:rPr>
  </w:style>
  <w:style w:type="character" w:customStyle="1" w:styleId="235">
    <w:name w:val="md"/>
    <w:basedOn w:val="69"/>
    <w:qFormat/>
    <w:uiPriority w:val="0"/>
    <w:rPr>
      <w:rFonts w:ascii="Arial" w:hAnsi="Arial" w:eastAsia="黑体" w:cs="Arial"/>
      <w:snapToGrid w:val="0"/>
      <w:kern w:val="0"/>
      <w:szCs w:val="21"/>
    </w:rPr>
  </w:style>
  <w:style w:type="character" w:customStyle="1" w:styleId="236">
    <w:name w:val="big1"/>
    <w:qFormat/>
    <w:uiPriority w:val="0"/>
    <w:rPr>
      <w:rFonts w:hint="eastAsia" w:ascii="宋体" w:hAnsi="宋体" w:eastAsia="宋体"/>
      <w:color w:val="333333"/>
      <w:sz w:val="22"/>
      <w:szCs w:val="22"/>
    </w:rPr>
  </w:style>
  <w:style w:type="character" w:customStyle="1" w:styleId="237">
    <w:name w:val="Char Char311"/>
    <w:qFormat/>
    <w:uiPriority w:val="0"/>
    <w:rPr>
      <w:rFonts w:eastAsia="宋体"/>
      <w:kern w:val="2"/>
      <w:sz w:val="21"/>
      <w:szCs w:val="24"/>
      <w:lang w:val="en-US" w:eastAsia="zh-CN" w:bidi="ar-SA"/>
    </w:rPr>
  </w:style>
  <w:style w:type="character" w:customStyle="1" w:styleId="238">
    <w:name w:val="Char Char81"/>
    <w:qFormat/>
    <w:uiPriority w:val="6"/>
    <w:rPr>
      <w:rFonts w:eastAsia="宋体"/>
      <w:b/>
      <w:sz w:val="24"/>
      <w:lang w:val="en-GB" w:eastAsia="zh-CN"/>
    </w:rPr>
  </w:style>
  <w:style w:type="character" w:customStyle="1" w:styleId="239">
    <w:name w:val="样式3 Char"/>
    <w:basedOn w:val="195"/>
    <w:qFormat/>
    <w:uiPriority w:val="0"/>
    <w:rPr>
      <w:rFonts w:ascii="仿宋_GB2312" w:hAnsi="仿宋" w:eastAsia="仿宋_GB2312" w:cs="仿宋_GB2312"/>
      <w:sz w:val="32"/>
      <w:szCs w:val="30"/>
      <w:lang w:val="zh-CN"/>
    </w:rPr>
  </w:style>
  <w:style w:type="character" w:customStyle="1" w:styleId="240">
    <w:name w:val="正文首行缩进 2 Char1"/>
    <w:qFormat/>
    <w:uiPriority w:val="0"/>
    <w:rPr>
      <w:rFonts w:ascii="Times New Roman" w:hAnsi="Times New Roman" w:eastAsia="宋体" w:cs="Times New Roman"/>
      <w:kern w:val="2"/>
      <w:sz w:val="24"/>
      <w:szCs w:val="24"/>
    </w:rPr>
  </w:style>
  <w:style w:type="character" w:customStyle="1" w:styleId="241">
    <w:name w:val="副标题 Char2"/>
    <w:qFormat/>
    <w:uiPriority w:val="0"/>
    <w:rPr>
      <w:rFonts w:ascii="Cambria" w:hAnsi="Cambria" w:eastAsia="宋体" w:cs="Times New Roman"/>
      <w:b/>
      <w:bCs/>
      <w:snapToGrid w:val="0"/>
      <w:kern w:val="28"/>
      <w:sz w:val="32"/>
      <w:szCs w:val="32"/>
    </w:rPr>
  </w:style>
  <w:style w:type="character" w:customStyle="1" w:styleId="242">
    <w:name w:val="标题4-dyf Char"/>
    <w:link w:val="243"/>
    <w:qFormat/>
    <w:uiPriority w:val="0"/>
    <w:rPr>
      <w:rFonts w:ascii="Cambria" w:hAnsi="Cambria"/>
      <w:b/>
      <w:bCs/>
      <w:color w:val="000000"/>
      <w:kern w:val="2"/>
      <w:sz w:val="21"/>
      <w:szCs w:val="21"/>
    </w:rPr>
  </w:style>
  <w:style w:type="paragraph" w:customStyle="1" w:styleId="243">
    <w:name w:val="标题4-dyf"/>
    <w:basedOn w:val="6"/>
    <w:link w:val="242"/>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44">
    <w:name w:val="dectext1"/>
    <w:qFormat/>
    <w:uiPriority w:val="0"/>
    <w:rPr>
      <w:rFonts w:ascii="宋体" w:hAnsi="宋体" w:eastAsia="宋体"/>
      <w:color w:val="333333"/>
      <w:sz w:val="21"/>
      <w:szCs w:val="21"/>
      <w:u w:val="none"/>
    </w:rPr>
  </w:style>
  <w:style w:type="character" w:customStyle="1" w:styleId="245">
    <w:name w:val="冯 Char"/>
    <w:link w:val="246"/>
    <w:qFormat/>
    <w:uiPriority w:val="0"/>
    <w:rPr>
      <w:rFonts w:ascii="宋体" w:hAnsi="宋体"/>
      <w:color w:val="000000"/>
      <w:sz w:val="24"/>
      <w:szCs w:val="24"/>
    </w:rPr>
  </w:style>
  <w:style w:type="paragraph" w:customStyle="1" w:styleId="246">
    <w:name w:val="冯"/>
    <w:basedOn w:val="1"/>
    <w:link w:val="245"/>
    <w:qFormat/>
    <w:uiPriority w:val="0"/>
    <w:pPr>
      <w:widowControl/>
      <w:adjustRightInd/>
      <w:spacing w:line="360" w:lineRule="auto"/>
      <w:ind w:firstLine="480" w:firstLineChars="200"/>
    </w:pPr>
    <w:rPr>
      <w:rFonts w:ascii="宋体" w:hAnsi="宋体"/>
      <w:color w:val="000000"/>
      <w:kern w:val="0"/>
      <w:sz w:val="24"/>
    </w:rPr>
  </w:style>
  <w:style w:type="character" w:customStyle="1" w:styleId="247">
    <w:name w:val="Header Char"/>
    <w:qFormat/>
    <w:locked/>
    <w:uiPriority w:val="0"/>
    <w:rPr>
      <w:rFonts w:eastAsia="宋体"/>
      <w:kern w:val="2"/>
      <w:sz w:val="18"/>
      <w:szCs w:val="18"/>
      <w:lang w:val="en-US" w:eastAsia="zh-CN" w:bidi="ar-SA"/>
    </w:rPr>
  </w:style>
  <w:style w:type="character" w:customStyle="1" w:styleId="248">
    <w:name w:val="Char Char12"/>
    <w:qFormat/>
    <w:uiPriority w:val="0"/>
    <w:rPr>
      <w:rFonts w:ascii="仿宋_GB2312" w:eastAsia="仿宋_GB2312"/>
      <w:b/>
      <w:bCs/>
      <w:kern w:val="2"/>
      <w:sz w:val="24"/>
      <w:szCs w:val="24"/>
      <w:lang w:val="zh-CN" w:eastAsia="zh-CN" w:bidi="ar-SA"/>
    </w:rPr>
  </w:style>
  <w:style w:type="character" w:customStyle="1" w:styleId="249">
    <w:name w:val="普通文字 Char3"/>
    <w:qFormat/>
    <w:uiPriority w:val="0"/>
    <w:rPr>
      <w:rFonts w:ascii="宋体" w:hAnsi="Courier New" w:eastAsia="宋体"/>
      <w:kern w:val="2"/>
      <w:sz w:val="21"/>
      <w:lang w:val="en-US" w:eastAsia="zh-CN" w:bidi="ar-SA"/>
    </w:rPr>
  </w:style>
  <w:style w:type="character" w:customStyle="1" w:styleId="250">
    <w:name w:val="公文正文 Char"/>
    <w:qFormat/>
    <w:uiPriority w:val="0"/>
    <w:rPr>
      <w:rFonts w:ascii="仿宋_GB2312" w:eastAsia="仿宋_GB2312"/>
      <w:kern w:val="2"/>
      <w:sz w:val="24"/>
      <w:szCs w:val="24"/>
      <w:lang w:val="en-US" w:eastAsia="zh-CN" w:bidi="ar-SA"/>
    </w:rPr>
  </w:style>
  <w:style w:type="character" w:customStyle="1" w:styleId="251">
    <w:name w:val="正文首行缩进 Char Char Char Char Char"/>
    <w:qFormat/>
    <w:uiPriority w:val="0"/>
    <w:rPr>
      <w:rFonts w:ascii="宋体"/>
      <w:kern w:val="2"/>
      <w:sz w:val="24"/>
      <w:lang w:val="zh-CN"/>
    </w:rPr>
  </w:style>
  <w:style w:type="character" w:customStyle="1" w:styleId="252">
    <w:name w:val="PI Char"/>
    <w:qFormat/>
    <w:uiPriority w:val="0"/>
    <w:rPr>
      <w:rFonts w:ascii="宋体" w:hAnsi="宋体" w:eastAsia="宋体"/>
      <w:kern w:val="2"/>
      <w:sz w:val="24"/>
      <w:szCs w:val="24"/>
      <w:lang w:val="en-US" w:eastAsia="zh-CN" w:bidi="ar-SA"/>
    </w:rPr>
  </w:style>
  <w:style w:type="character" w:customStyle="1" w:styleId="253">
    <w:name w:val="Default Char"/>
    <w:link w:val="254"/>
    <w:qFormat/>
    <w:uiPriority w:val="0"/>
    <w:rPr>
      <w:rFonts w:ascii="仿宋_GB2312" w:eastAsia="仿宋_GB2312" w:cs="仿宋_GB2312"/>
      <w:color w:val="000000"/>
      <w:sz w:val="24"/>
      <w:szCs w:val="24"/>
      <w:lang w:val="en-US" w:eastAsia="zh-CN" w:bidi="ar-SA"/>
    </w:rPr>
  </w:style>
  <w:style w:type="paragraph" w:customStyle="1" w:styleId="254">
    <w:name w:val="Default"/>
    <w:link w:val="25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55">
    <w:name w:val="style91"/>
    <w:qFormat/>
    <w:uiPriority w:val="0"/>
    <w:rPr>
      <w:color w:val="333333"/>
    </w:rPr>
  </w:style>
  <w:style w:type="character" w:customStyle="1" w:styleId="256">
    <w:name w:val="列出段落 Char2"/>
    <w:qFormat/>
    <w:uiPriority w:val="34"/>
    <w:rPr>
      <w:rFonts w:ascii="Calibri" w:hAnsi="Calibri"/>
      <w:kern w:val="2"/>
      <w:sz w:val="28"/>
    </w:rPr>
  </w:style>
  <w:style w:type="character" w:customStyle="1" w:styleId="257">
    <w:name w:val="mdeck"/>
    <w:qFormat/>
    <w:uiPriority w:val="0"/>
    <w:rPr>
      <w:rFonts w:ascii="仿宋_GB2312" w:eastAsia="微软雅黑"/>
      <w:b/>
      <w:kern w:val="2"/>
      <w:sz w:val="32"/>
      <w:szCs w:val="32"/>
      <w:lang w:val="en-US" w:eastAsia="zh-CN" w:bidi="ar-SA"/>
    </w:rPr>
  </w:style>
  <w:style w:type="character" w:customStyle="1" w:styleId="258">
    <w:name w:val="unnamed11"/>
    <w:qFormat/>
    <w:uiPriority w:val="0"/>
    <w:rPr>
      <w:sz w:val="20"/>
      <w:szCs w:val="20"/>
    </w:rPr>
  </w:style>
  <w:style w:type="character" w:customStyle="1" w:styleId="259">
    <w:name w:val="正文文本 Char2"/>
    <w:semiHidden/>
    <w:qFormat/>
    <w:uiPriority w:val="99"/>
    <w:rPr>
      <w:rFonts w:ascii="Times New Roman" w:hAnsi="Times New Roman" w:eastAsia="宋体" w:cs="Times New Roman"/>
      <w:snapToGrid w:val="0"/>
      <w:kern w:val="0"/>
      <w:szCs w:val="24"/>
    </w:rPr>
  </w:style>
  <w:style w:type="character" w:customStyle="1" w:styleId="260">
    <w:name w:val="标书正文格式 Char"/>
    <w:qFormat/>
    <w:uiPriority w:val="0"/>
    <w:rPr>
      <w:rFonts w:eastAsia="楷体_GB2312"/>
      <w:kern w:val="2"/>
      <w:sz w:val="24"/>
      <w:szCs w:val="24"/>
      <w:lang w:bidi="ar-SA"/>
    </w:rPr>
  </w:style>
  <w:style w:type="character" w:customStyle="1" w:styleId="261">
    <w:name w:val="Char Char11"/>
    <w:qFormat/>
    <w:locked/>
    <w:uiPriority w:val="0"/>
    <w:rPr>
      <w:rFonts w:ascii="宋体" w:hAnsi="宋体" w:eastAsia="宋体"/>
      <w:b/>
      <w:kern w:val="2"/>
      <w:sz w:val="24"/>
      <w:szCs w:val="24"/>
      <w:lang w:val="en-US" w:eastAsia="zh-CN" w:bidi="ar-SA"/>
    </w:rPr>
  </w:style>
  <w:style w:type="character" w:customStyle="1" w:styleId="262">
    <w:name w:val="ca-131"/>
    <w:qFormat/>
    <w:uiPriority w:val="0"/>
    <w:rPr>
      <w:rFonts w:hint="eastAsia" w:ascii="仿宋_GB2312" w:eastAsia="仿宋_GB2312"/>
      <w:b/>
      <w:bCs/>
      <w:color w:val="000000"/>
      <w:spacing w:val="-20"/>
      <w:sz w:val="24"/>
      <w:szCs w:val="24"/>
    </w:rPr>
  </w:style>
  <w:style w:type="character" w:customStyle="1" w:styleId="263">
    <w:name w:val="tw4winMark"/>
    <w:qFormat/>
    <w:uiPriority w:val="0"/>
    <w:rPr>
      <w:rFonts w:ascii="Courier New" w:hAnsi="Courier New" w:cs="Courier New"/>
      <w:vanish/>
      <w:color w:val="800080"/>
      <w:sz w:val="24"/>
      <w:szCs w:val="24"/>
      <w:vertAlign w:val="subscript"/>
    </w:rPr>
  </w:style>
  <w:style w:type="character" w:customStyle="1" w:styleId="264">
    <w:name w:val="正文样式 Char"/>
    <w:link w:val="265"/>
    <w:qFormat/>
    <w:uiPriority w:val="0"/>
    <w:rPr>
      <w:rFonts w:ascii="Calibri" w:hAnsi="Calibri"/>
      <w:sz w:val="24"/>
      <w:szCs w:val="24"/>
    </w:rPr>
  </w:style>
  <w:style w:type="paragraph" w:customStyle="1" w:styleId="265">
    <w:name w:val="正文样式"/>
    <w:basedOn w:val="1"/>
    <w:link w:val="264"/>
    <w:qFormat/>
    <w:uiPriority w:val="0"/>
    <w:pPr>
      <w:adjustRightInd/>
      <w:spacing w:line="360" w:lineRule="auto"/>
      <w:ind w:firstLine="480" w:firstLineChars="200"/>
    </w:pPr>
    <w:rPr>
      <w:kern w:val="0"/>
      <w:sz w:val="24"/>
    </w:rPr>
  </w:style>
  <w:style w:type="character" w:customStyle="1" w:styleId="266">
    <w:name w:val="表正文 Char3"/>
    <w:qFormat/>
    <w:uiPriority w:val="0"/>
    <w:rPr>
      <w:rFonts w:eastAsia="宋体"/>
    </w:rPr>
  </w:style>
  <w:style w:type="character" w:customStyle="1" w:styleId="267">
    <w:name w:val="H5 Char"/>
    <w:qFormat/>
    <w:uiPriority w:val="0"/>
    <w:rPr>
      <w:b/>
      <w:bCs/>
      <w:kern w:val="2"/>
      <w:sz w:val="28"/>
      <w:szCs w:val="28"/>
    </w:rPr>
  </w:style>
  <w:style w:type="character" w:customStyle="1" w:styleId="268">
    <w:name w:val="Char Char3"/>
    <w:qFormat/>
    <w:uiPriority w:val="0"/>
    <w:rPr>
      <w:rFonts w:eastAsia="宋体"/>
      <w:kern w:val="2"/>
      <w:sz w:val="21"/>
      <w:szCs w:val="24"/>
      <w:lang w:val="en-US" w:eastAsia="zh-CN" w:bidi="ar-SA"/>
    </w:rPr>
  </w:style>
  <w:style w:type="character" w:customStyle="1" w:styleId="269">
    <w:name w:val="正文 编号 Char"/>
    <w:qFormat/>
    <w:uiPriority w:val="0"/>
    <w:rPr>
      <w:rFonts w:ascii="仿宋_GB2312" w:hAnsi="仿宋_GB2312" w:eastAsia="仿宋_GB2312"/>
      <w:kern w:val="2"/>
      <w:sz w:val="24"/>
      <w:lang w:bidi="ar-SA"/>
    </w:rPr>
  </w:style>
  <w:style w:type="character" w:customStyle="1" w:styleId="270">
    <w:name w:val="question-title2"/>
    <w:qFormat/>
    <w:uiPriority w:val="6"/>
    <w:rPr>
      <w:rFonts w:ascii="Arial" w:hAnsi="Arial" w:eastAsia="黑体" w:cs="Arial"/>
      <w:snapToGrid w:val="0"/>
      <w:kern w:val="0"/>
      <w:szCs w:val="21"/>
    </w:rPr>
  </w:style>
  <w:style w:type="character" w:customStyle="1" w:styleId="271">
    <w:name w:val="gf正文1 Char Char"/>
    <w:link w:val="272"/>
    <w:qFormat/>
    <w:uiPriority w:val="0"/>
    <w:rPr>
      <w:rFonts w:ascii="宋体" w:hAnsi="宋体" w:cs="宋体"/>
      <w:kern w:val="2"/>
      <w:sz w:val="24"/>
      <w:szCs w:val="24"/>
    </w:rPr>
  </w:style>
  <w:style w:type="paragraph" w:customStyle="1" w:styleId="272">
    <w:name w:val="gf正文1"/>
    <w:basedOn w:val="1"/>
    <w:link w:val="271"/>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73">
    <w:name w:val="Char Char15"/>
    <w:qFormat/>
    <w:uiPriority w:val="6"/>
    <w:rPr>
      <w:rFonts w:ascii="宋体" w:hAnsi="宋体"/>
      <w:kern w:val="1"/>
      <w:sz w:val="21"/>
    </w:rPr>
  </w:style>
  <w:style w:type="character" w:customStyle="1" w:styleId="274">
    <w:name w:val="正文缩进 Char3"/>
    <w:qFormat/>
    <w:uiPriority w:val="0"/>
    <w:rPr>
      <w:rFonts w:ascii="宋体" w:eastAsia="宋体"/>
      <w:snapToGrid w:val="0"/>
      <w:color w:val="000000"/>
      <w:kern w:val="28"/>
      <w:sz w:val="28"/>
      <w:lang w:val="en-US" w:eastAsia="zh-CN" w:bidi="ar-SA"/>
    </w:rPr>
  </w:style>
  <w:style w:type="character" w:customStyle="1" w:styleId="275">
    <w:name w:val="列出段落 Char1"/>
    <w:link w:val="276"/>
    <w:qFormat/>
    <w:uiPriority w:val="0"/>
    <w:rPr>
      <w:rFonts w:ascii="Calibri" w:hAnsi="Calibri"/>
      <w:sz w:val="24"/>
      <w:lang w:eastAsia="en-US"/>
    </w:rPr>
  </w:style>
  <w:style w:type="paragraph" w:customStyle="1" w:styleId="276">
    <w:name w:val="列表1"/>
    <w:basedOn w:val="1"/>
    <w:next w:val="277"/>
    <w:link w:val="275"/>
    <w:qFormat/>
    <w:uiPriority w:val="0"/>
    <w:pPr>
      <w:widowControl/>
      <w:adjustRightInd/>
      <w:spacing w:after="200" w:line="360" w:lineRule="auto"/>
      <w:ind w:left="720" w:firstLine="200" w:firstLineChars="200"/>
      <w:jc w:val="left"/>
    </w:pPr>
    <w:rPr>
      <w:kern w:val="0"/>
      <w:sz w:val="24"/>
      <w:szCs w:val="20"/>
      <w:lang w:eastAsia="en-US"/>
    </w:rPr>
  </w:style>
  <w:style w:type="paragraph" w:styleId="277">
    <w:name w:val="List Paragraph"/>
    <w:basedOn w:val="1"/>
    <w:qFormat/>
    <w:uiPriority w:val="34"/>
    <w:pPr>
      <w:spacing w:line="360" w:lineRule="auto"/>
      <w:ind w:firstLine="200" w:firstLineChars="200"/>
    </w:pPr>
    <w:rPr>
      <w:rFonts w:eastAsia="楷体_GB2312" w:cs="Lucida Sans"/>
      <w:sz w:val="24"/>
    </w:rPr>
  </w:style>
  <w:style w:type="character" w:customStyle="1" w:styleId="278">
    <w:name w:val="Char Char8"/>
    <w:qFormat/>
    <w:uiPriority w:val="0"/>
    <w:rPr>
      <w:rFonts w:eastAsia="宋体"/>
      <w:b/>
      <w:sz w:val="24"/>
      <w:lang w:val="en-GB" w:eastAsia="zh-CN"/>
    </w:rPr>
  </w:style>
  <w:style w:type="character" w:customStyle="1" w:styleId="279">
    <w:name w:val="Normal Indent Char Char"/>
    <w:qFormat/>
    <w:uiPriority w:val="0"/>
    <w:rPr>
      <w:rFonts w:eastAsia="宋体"/>
      <w:kern w:val="2"/>
      <w:sz w:val="21"/>
      <w:lang w:val="en-US" w:eastAsia="zh-CN" w:bidi="ar-SA"/>
    </w:rPr>
  </w:style>
  <w:style w:type="character" w:customStyle="1" w:styleId="280">
    <w:name w:val="列表段落 字符"/>
    <w:link w:val="281"/>
    <w:qFormat/>
    <w:uiPriority w:val="34"/>
  </w:style>
  <w:style w:type="paragraph" w:customStyle="1" w:styleId="281">
    <w:name w:val="_Style 280"/>
    <w:basedOn w:val="1"/>
    <w:next w:val="277"/>
    <w:link w:val="280"/>
    <w:qFormat/>
    <w:uiPriority w:val="34"/>
    <w:pPr>
      <w:adjustRightInd/>
      <w:ind w:firstLine="420" w:firstLineChars="200"/>
    </w:pPr>
    <w:rPr>
      <w:rFonts w:ascii="Calibri" w:hAnsi="Calibri"/>
      <w:szCs w:val="22"/>
    </w:rPr>
  </w:style>
  <w:style w:type="character" w:customStyle="1" w:styleId="282">
    <w:name w:val="Ò³Ã¼ Char Char1"/>
    <w:qFormat/>
    <w:uiPriority w:val="0"/>
    <w:rPr>
      <w:rFonts w:eastAsia="宋体"/>
      <w:kern w:val="2"/>
      <w:sz w:val="18"/>
      <w:szCs w:val="18"/>
      <w:lang w:val="en-US" w:eastAsia="zh-CN" w:bidi="ar-SA"/>
    </w:rPr>
  </w:style>
  <w:style w:type="character" w:customStyle="1" w:styleId="283">
    <w:name w:val="方案正文 Char"/>
    <w:qFormat/>
    <w:uiPriority w:val="0"/>
    <w:rPr>
      <w:rFonts w:ascii="仿宋_GB2312" w:eastAsia="仿宋_GB2312"/>
      <w:b/>
      <w:color w:val="000000"/>
      <w:kern w:val="2"/>
      <w:sz w:val="24"/>
      <w:lang w:val="en-US" w:eastAsia="zh-CN" w:bidi="ar-SA"/>
    </w:rPr>
  </w:style>
  <w:style w:type="character" w:customStyle="1" w:styleId="284">
    <w:name w:val="Char Char30"/>
    <w:qFormat/>
    <w:uiPriority w:val="6"/>
    <w:rPr>
      <w:rFonts w:ascii="Arial" w:hAnsi="Arial" w:eastAsia="黑体"/>
      <w:kern w:val="1"/>
      <w:sz w:val="21"/>
      <w:szCs w:val="21"/>
    </w:rPr>
  </w:style>
  <w:style w:type="character" w:customStyle="1" w:styleId="285">
    <w:name w:val="font01"/>
    <w:qFormat/>
    <w:uiPriority w:val="0"/>
    <w:rPr>
      <w:rFonts w:hint="eastAsia" w:ascii="微软雅黑" w:hAnsi="微软雅黑" w:eastAsia="微软雅黑" w:cs="微软雅黑"/>
      <w:color w:val="000000"/>
      <w:sz w:val="20"/>
      <w:szCs w:val="20"/>
      <w:u w:val="none"/>
    </w:rPr>
  </w:style>
  <w:style w:type="character" w:customStyle="1" w:styleId="286">
    <w:name w:val="Char Char20"/>
    <w:qFormat/>
    <w:uiPriority w:val="6"/>
    <w:rPr>
      <w:kern w:val="1"/>
      <w:sz w:val="24"/>
    </w:rPr>
  </w:style>
  <w:style w:type="character" w:customStyle="1" w:styleId="287">
    <w:name w:val="tw4winExternal"/>
    <w:qFormat/>
    <w:uiPriority w:val="0"/>
    <w:rPr>
      <w:rFonts w:ascii="Courier New" w:hAnsi="Courier New" w:cs="Courier New"/>
      <w:color w:val="808080"/>
      <w:lang w:val="en-US" w:eastAsia="zh-CN"/>
    </w:rPr>
  </w:style>
  <w:style w:type="character" w:customStyle="1" w:styleId="288">
    <w:name w:val="标题 4 Char1"/>
    <w:qFormat/>
    <w:uiPriority w:val="9"/>
    <w:rPr>
      <w:rFonts w:ascii="Cambria" w:hAnsi="Cambria" w:eastAsia="宋体" w:cs="Times New Roman"/>
      <w:b/>
      <w:bCs/>
      <w:kern w:val="2"/>
      <w:sz w:val="28"/>
      <w:szCs w:val="28"/>
    </w:rPr>
  </w:style>
  <w:style w:type="character" w:customStyle="1" w:styleId="289">
    <w:name w:val="批注文字 Char2"/>
    <w:qFormat/>
    <w:uiPriority w:val="99"/>
    <w:rPr>
      <w:rFonts w:ascii="Times New Roman" w:hAnsi="Times New Roman" w:eastAsia="宋体" w:cs="Times New Roman"/>
      <w:snapToGrid w:val="0"/>
      <w:kern w:val="0"/>
      <w:szCs w:val="24"/>
    </w:rPr>
  </w:style>
  <w:style w:type="character" w:customStyle="1" w:styleId="290">
    <w:name w:val="正文文本 2 Char"/>
    <w:qFormat/>
    <w:uiPriority w:val="0"/>
    <w:rPr>
      <w:rFonts w:eastAsia="宋体"/>
      <w:kern w:val="2"/>
      <w:sz w:val="21"/>
      <w:szCs w:val="24"/>
      <w:lang w:val="en-US" w:eastAsia="zh-CN" w:bidi="ar-SA"/>
    </w:rPr>
  </w:style>
  <w:style w:type="character" w:customStyle="1" w:styleId="291">
    <w:name w:val="Ò³Ã¼ Char Char"/>
    <w:qFormat/>
    <w:uiPriority w:val="0"/>
    <w:rPr>
      <w:rFonts w:eastAsia="宋体"/>
      <w:kern w:val="2"/>
      <w:sz w:val="18"/>
      <w:lang w:val="en-US" w:eastAsia="zh-CN" w:bidi="ar-SA"/>
    </w:rPr>
  </w:style>
  <w:style w:type="character" w:customStyle="1" w:styleId="292">
    <w:name w:val="message1"/>
    <w:qFormat/>
    <w:uiPriority w:val="0"/>
    <w:rPr>
      <w:rFonts w:hint="default" w:ascii="Tahoma" w:hAnsi="Tahoma" w:cs="Tahoma"/>
      <w:sz w:val="18"/>
      <w:szCs w:val="18"/>
    </w:rPr>
  </w:style>
  <w:style w:type="character" w:customStyle="1" w:styleId="293">
    <w:name w:val="Char Char23"/>
    <w:qFormat/>
    <w:uiPriority w:val="6"/>
    <w:rPr>
      <w:color w:val="0000FF"/>
      <w:sz w:val="21"/>
    </w:rPr>
  </w:style>
  <w:style w:type="character" w:customStyle="1" w:styleId="294">
    <w:name w:val="批注框文本 字符"/>
    <w:qFormat/>
    <w:uiPriority w:val="0"/>
    <w:rPr>
      <w:rFonts w:ascii="Arial" w:hAnsi="Arial" w:eastAsia="黑体" w:cs="Arial"/>
      <w:snapToGrid w:val="0"/>
      <w:kern w:val="0"/>
      <w:sz w:val="18"/>
      <w:szCs w:val="18"/>
    </w:rPr>
  </w:style>
  <w:style w:type="character" w:customStyle="1" w:styleId="295">
    <w:name w:val="纯文本 Char2"/>
    <w:semiHidden/>
    <w:qFormat/>
    <w:uiPriority w:val="99"/>
    <w:rPr>
      <w:rFonts w:ascii="宋体" w:hAnsi="Courier New" w:eastAsia="宋体" w:cs="Courier New"/>
    </w:rPr>
  </w:style>
  <w:style w:type="character" w:customStyle="1" w:styleId="296">
    <w:name w:val="Char Char25"/>
    <w:qFormat/>
    <w:uiPriority w:val="6"/>
    <w:rPr>
      <w:rFonts w:ascii="宋体" w:hAnsi="宋体"/>
      <w:kern w:val="1"/>
      <w:sz w:val="24"/>
      <w:lang w:val="zh-CN"/>
    </w:rPr>
  </w:style>
  <w:style w:type="character" w:customStyle="1" w:styleId="297">
    <w:name w:val="Char Char411"/>
    <w:qFormat/>
    <w:uiPriority w:val="0"/>
    <w:rPr>
      <w:rFonts w:eastAsia="宋体"/>
      <w:b/>
      <w:sz w:val="24"/>
      <w:lang w:val="en-GB" w:eastAsia="zh-CN" w:bidi="ar-SA"/>
    </w:rPr>
  </w:style>
  <w:style w:type="character" w:customStyle="1" w:styleId="298">
    <w:name w:val="Heading 7 Char"/>
    <w:qFormat/>
    <w:locked/>
    <w:uiPriority w:val="0"/>
    <w:rPr>
      <w:rFonts w:ascii="宋体" w:hAnsi="宋体" w:eastAsia="宋体"/>
      <w:b/>
      <w:bCs/>
      <w:kern w:val="2"/>
      <w:sz w:val="24"/>
      <w:szCs w:val="24"/>
      <w:lang w:val="en-US" w:eastAsia="zh-CN" w:bidi="ar-SA"/>
    </w:rPr>
  </w:style>
  <w:style w:type="character" w:customStyle="1" w:styleId="299">
    <w:name w:val="此正文 Char"/>
    <w:link w:val="300"/>
    <w:qFormat/>
    <w:uiPriority w:val="0"/>
    <w:rPr>
      <w:kern w:val="2"/>
      <w:sz w:val="24"/>
      <w:szCs w:val="24"/>
    </w:rPr>
  </w:style>
  <w:style w:type="paragraph" w:customStyle="1" w:styleId="300">
    <w:name w:val="此正文"/>
    <w:basedOn w:val="1"/>
    <w:link w:val="299"/>
    <w:qFormat/>
    <w:uiPriority w:val="0"/>
    <w:pPr>
      <w:adjustRightInd/>
      <w:spacing w:line="360" w:lineRule="auto"/>
      <w:ind w:firstLine="200" w:firstLineChars="200"/>
    </w:pPr>
    <w:rPr>
      <w:sz w:val="24"/>
    </w:rPr>
  </w:style>
  <w:style w:type="character" w:customStyle="1" w:styleId="301">
    <w:name w:val="Char Char2"/>
    <w:qFormat/>
    <w:uiPriority w:val="0"/>
    <w:rPr>
      <w:rFonts w:eastAsia="宋体"/>
      <w:b/>
      <w:bCs/>
      <w:kern w:val="2"/>
      <w:sz w:val="21"/>
      <w:szCs w:val="24"/>
      <w:lang w:val="en-US" w:eastAsia="zh-CN" w:bidi="ar-SA"/>
    </w:rPr>
  </w:style>
  <w:style w:type="character" w:customStyle="1" w:styleId="302">
    <w:name w:val="Footer-Even Char1"/>
    <w:qFormat/>
    <w:uiPriority w:val="0"/>
    <w:rPr>
      <w:rFonts w:eastAsia="宋体"/>
      <w:kern w:val="2"/>
      <w:sz w:val="18"/>
      <w:szCs w:val="18"/>
      <w:lang w:val="en-US" w:eastAsia="zh-CN" w:bidi="ar-SA"/>
    </w:rPr>
  </w:style>
  <w:style w:type="character" w:customStyle="1" w:styleId="303">
    <w:name w:val="Char Char29"/>
    <w:qFormat/>
    <w:uiPriority w:val="6"/>
    <w:rPr>
      <w:rFonts w:ascii="Arial" w:hAnsi="Arial" w:eastAsia="微软雅黑"/>
      <w:b/>
      <w:kern w:val="1"/>
      <w:sz w:val="44"/>
      <w:szCs w:val="32"/>
      <w:lang w:val="en-US" w:eastAsia="zh-CN" w:bidi="ar-SA"/>
    </w:rPr>
  </w:style>
  <w:style w:type="character" w:customStyle="1" w:styleId="304">
    <w:name w:val="font81"/>
    <w:qFormat/>
    <w:uiPriority w:val="0"/>
    <w:rPr>
      <w:rFonts w:ascii="微软雅黑" w:hAnsi="微软雅黑" w:eastAsia="微软雅黑" w:cs="微软雅黑"/>
      <w:color w:val="000000"/>
      <w:sz w:val="20"/>
      <w:szCs w:val="20"/>
      <w:u w:val="none"/>
    </w:rPr>
  </w:style>
  <w:style w:type="character" w:customStyle="1" w:styleId="305">
    <w:name w:val="Char Char312"/>
    <w:qFormat/>
    <w:uiPriority w:val="0"/>
    <w:rPr>
      <w:rFonts w:ascii="Times New Roman" w:hAnsi="Times New Roman" w:eastAsia="宋体" w:cs="Times New Roman"/>
      <w:b/>
      <w:kern w:val="2"/>
      <w:sz w:val="32"/>
      <w:szCs w:val="24"/>
      <w:lang w:val="en-US" w:eastAsia="zh-CN" w:bidi="ar-SA"/>
    </w:rPr>
  </w:style>
  <w:style w:type="character" w:customStyle="1" w:styleId="306">
    <w:name w:val="t21"/>
    <w:qFormat/>
    <w:uiPriority w:val="0"/>
    <w:rPr>
      <w:rFonts w:ascii="仿宋_GB2312" w:eastAsia="微软雅黑"/>
      <w:b/>
      <w:kern w:val="2"/>
      <w:sz w:val="23"/>
      <w:szCs w:val="23"/>
      <w:lang w:val="en-US" w:eastAsia="zh-CN" w:bidi="ar-SA"/>
    </w:rPr>
  </w:style>
  <w:style w:type="character" w:customStyle="1" w:styleId="307">
    <w:name w:val="样式8 Char"/>
    <w:qFormat/>
    <w:uiPriority w:val="0"/>
    <w:rPr>
      <w:rFonts w:ascii="仿宋_GB2312" w:hAnsi="宋体" w:eastAsia="仿宋_GB2312"/>
      <w:b/>
      <w:bCs/>
      <w:kern w:val="2"/>
      <w:sz w:val="24"/>
      <w:szCs w:val="24"/>
    </w:rPr>
  </w:style>
  <w:style w:type="character" w:customStyle="1" w:styleId="308">
    <w:name w:val="表格 Char Char"/>
    <w:qFormat/>
    <w:uiPriority w:val="0"/>
    <w:rPr>
      <w:rFonts w:ascii="宋体" w:hAnsi="宋体" w:eastAsia="宋体"/>
      <w:lang w:bidi="ar-SA"/>
    </w:rPr>
  </w:style>
  <w:style w:type="character" w:customStyle="1" w:styleId="309">
    <w:name w:val="正文文本 字符1"/>
    <w:qFormat/>
    <w:uiPriority w:val="0"/>
    <w:rPr>
      <w:rFonts w:ascii="Calibri" w:hAnsi="Calibri" w:eastAsia="黑体" w:cs="Arial"/>
      <w:snapToGrid w:val="0"/>
      <w:kern w:val="2"/>
      <w:sz w:val="28"/>
      <w:szCs w:val="21"/>
    </w:rPr>
  </w:style>
  <w:style w:type="character" w:customStyle="1" w:styleId="310">
    <w:name w:val="标题 6 Char1"/>
    <w:qFormat/>
    <w:uiPriority w:val="0"/>
    <w:rPr>
      <w:rFonts w:ascii="Arial" w:hAnsi="Arial" w:eastAsia="黑体" w:cs="Times New Roman"/>
      <w:b/>
      <w:sz w:val="24"/>
      <w:szCs w:val="20"/>
      <w:lang w:bidi="ar-SA"/>
    </w:rPr>
  </w:style>
  <w:style w:type="character" w:customStyle="1" w:styleId="311">
    <w:name w:val="带编号样式 Char"/>
    <w:qFormat/>
    <w:uiPriority w:val="0"/>
    <w:rPr>
      <w:rFonts w:ascii="仿宋_GB2312" w:eastAsia="仿宋_GB2312"/>
      <w:color w:val="000000"/>
      <w:sz w:val="24"/>
      <w:lang w:bidi="ar-SA"/>
    </w:rPr>
  </w:style>
  <w:style w:type="character" w:customStyle="1" w:styleId="312">
    <w:name w:val="unnamed31"/>
    <w:qFormat/>
    <w:uiPriority w:val="0"/>
    <w:rPr>
      <w:rFonts w:ascii="Tahoma" w:hAnsi="Tahoma" w:eastAsia="宋体"/>
      <w:b/>
      <w:kern w:val="2"/>
      <w:sz w:val="24"/>
      <w:szCs w:val="32"/>
      <w:u w:val="none"/>
      <w:lang w:val="en-US" w:eastAsia="zh-CN" w:bidi="ar-SA"/>
    </w:rPr>
  </w:style>
  <w:style w:type="character" w:customStyle="1" w:styleId="313">
    <w:name w:val="正文首行缩进 Char Char Char Char Char Char1"/>
    <w:qFormat/>
    <w:uiPriority w:val="0"/>
    <w:rPr>
      <w:rFonts w:ascii="宋体" w:eastAsia="宋体"/>
      <w:kern w:val="2"/>
      <w:sz w:val="24"/>
      <w:szCs w:val="24"/>
      <w:lang w:val="zh-CN" w:bidi="ar-SA"/>
    </w:rPr>
  </w:style>
  <w:style w:type="character" w:customStyle="1" w:styleId="314">
    <w:name w:val="文本正文 Char Char"/>
    <w:qFormat/>
    <w:locked/>
    <w:uiPriority w:val="0"/>
    <w:rPr>
      <w:sz w:val="24"/>
      <w:lang w:bidi="ar-SA"/>
    </w:rPr>
  </w:style>
  <w:style w:type="character" w:customStyle="1" w:styleId="315">
    <w:name w:val="正文缩进 字符"/>
    <w:qFormat/>
    <w:uiPriority w:val="0"/>
    <w:rPr>
      <w:rFonts w:ascii="宋体" w:eastAsia="宋体"/>
      <w:snapToGrid w:val="0"/>
      <w:color w:val="000000"/>
      <w:kern w:val="28"/>
      <w:sz w:val="28"/>
      <w:lang w:val="en-US" w:eastAsia="zh-CN" w:bidi="ar-SA"/>
    </w:rPr>
  </w:style>
  <w:style w:type="character" w:customStyle="1" w:styleId="316">
    <w:name w:val="样式 样式 标题 4h4H4Fab-4T5Ref Heading 1rh1Heading sqlsect 1.2.3.... +... Char"/>
    <w:link w:val="317"/>
    <w:qFormat/>
    <w:uiPriority w:val="0"/>
    <w:rPr>
      <w:rFonts w:ascii="微软雅黑" w:hAnsi="微软雅黑" w:eastAsia="微软雅黑"/>
      <w:b/>
      <w:bCs/>
      <w:kern w:val="2"/>
      <w:sz w:val="24"/>
      <w:szCs w:val="28"/>
    </w:rPr>
  </w:style>
  <w:style w:type="paragraph" w:customStyle="1" w:styleId="317">
    <w:name w:val="样式 样式 标题 4h4H4Fab-4T5Ref Heading 1rh1Heading sqlsect 1.2.3.... +..."/>
    <w:basedOn w:val="318"/>
    <w:link w:val="316"/>
    <w:qFormat/>
    <w:uiPriority w:val="0"/>
    <w:pPr>
      <w:tabs>
        <w:tab w:val="left" w:pos="2356"/>
      </w:tabs>
    </w:pPr>
  </w:style>
  <w:style w:type="paragraph" w:customStyle="1" w:styleId="318">
    <w:name w:val="样式 标题 4h4H4Fab-4T5Ref Heading 1rh1Heading sqlsect 1.2.3...."/>
    <w:basedOn w:val="6"/>
    <w:link w:val="319"/>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19">
    <w:name w:val="样式 标题 4h4H4Fab-4T5Ref Heading 1rh1Heading sqlsect 1.2.3.... Char"/>
    <w:link w:val="318"/>
    <w:qFormat/>
    <w:uiPriority w:val="0"/>
    <w:rPr>
      <w:rFonts w:ascii="微软雅黑" w:hAnsi="微软雅黑" w:eastAsia="微软雅黑"/>
      <w:b/>
      <w:bCs/>
      <w:kern w:val="2"/>
      <w:sz w:val="24"/>
      <w:szCs w:val="28"/>
    </w:rPr>
  </w:style>
  <w:style w:type="character" w:customStyle="1" w:styleId="320">
    <w:name w:val="正文非缩进 Char"/>
    <w:qFormat/>
    <w:uiPriority w:val="0"/>
    <w:rPr>
      <w:rFonts w:ascii="宋体" w:eastAsia="宋体"/>
      <w:snapToGrid w:val="0"/>
      <w:color w:val="000000"/>
      <w:kern w:val="28"/>
      <w:sz w:val="28"/>
      <w:lang w:val="en-US" w:eastAsia="zh-CN" w:bidi="ar-SA"/>
    </w:rPr>
  </w:style>
  <w:style w:type="character" w:customStyle="1" w:styleId="321">
    <w:name w:val="Char Char5"/>
    <w:qFormat/>
    <w:uiPriority w:val="0"/>
    <w:rPr>
      <w:rFonts w:ascii="宋体" w:hAnsi="Courier New" w:eastAsia="宋体"/>
      <w:kern w:val="2"/>
      <w:sz w:val="21"/>
      <w:lang w:val="en-US" w:eastAsia="zh-CN"/>
    </w:rPr>
  </w:style>
  <w:style w:type="character" w:customStyle="1" w:styleId="322">
    <w:name w:val="称呼 Char1"/>
    <w:qFormat/>
    <w:uiPriority w:val="0"/>
    <w:rPr>
      <w:rFonts w:ascii="Times New Roman" w:hAnsi="Times New Roman" w:eastAsia="宋体" w:cs="Times New Roman"/>
      <w:szCs w:val="24"/>
    </w:rPr>
  </w:style>
  <w:style w:type="character" w:customStyle="1" w:styleId="323">
    <w:name w:val="正文1 Char"/>
    <w:qFormat/>
    <w:uiPriority w:val="0"/>
    <w:rPr>
      <w:rFonts w:ascii="宋体" w:eastAsia="宋体"/>
      <w:snapToGrid w:val="0"/>
      <w:color w:val="000000"/>
      <w:kern w:val="28"/>
      <w:sz w:val="28"/>
      <w:lang w:val="en-US" w:eastAsia="zh-CN" w:bidi="ar-SA"/>
    </w:rPr>
  </w:style>
  <w:style w:type="character" w:customStyle="1" w:styleId="324">
    <w:name w:val="正文缩进 Char1"/>
    <w:qFormat/>
    <w:uiPriority w:val="0"/>
    <w:rPr>
      <w:rFonts w:ascii="宋体" w:eastAsia="宋体"/>
      <w:snapToGrid w:val="0"/>
      <w:color w:val="000000"/>
      <w:kern w:val="28"/>
      <w:sz w:val="28"/>
      <w:lang w:val="en-US" w:eastAsia="zh-CN" w:bidi="ar-SA"/>
    </w:rPr>
  </w:style>
  <w:style w:type="character" w:customStyle="1" w:styleId="325">
    <w:name w:val="font21"/>
    <w:qFormat/>
    <w:uiPriority w:val="0"/>
    <w:rPr>
      <w:rFonts w:hint="eastAsia" w:ascii="宋体" w:hAnsi="宋体" w:eastAsia="宋体"/>
      <w:kern w:val="2"/>
      <w:sz w:val="28"/>
      <w:szCs w:val="28"/>
      <w:lang w:val="en-US" w:eastAsia="zh-CN" w:bidi="ar-SA"/>
    </w:rPr>
  </w:style>
  <w:style w:type="character" w:customStyle="1" w:styleId="326">
    <w:name w:val="Char Char26"/>
    <w:qFormat/>
    <w:uiPriority w:val="6"/>
    <w:rPr>
      <w:kern w:val="1"/>
      <w:sz w:val="21"/>
      <w:szCs w:val="24"/>
    </w:rPr>
  </w:style>
  <w:style w:type="character" w:customStyle="1" w:styleId="327">
    <w:name w:val="Item List Char"/>
    <w:link w:val="328"/>
    <w:qFormat/>
    <w:uiPriority w:val="0"/>
    <w:rPr>
      <w:rFonts w:ascii="Arial"/>
      <w:bCs/>
      <w:sz w:val="21"/>
      <w:szCs w:val="21"/>
      <w:lang w:val="en-US" w:eastAsia="zh-CN" w:bidi="ar-SA"/>
    </w:rPr>
  </w:style>
  <w:style w:type="paragraph" w:customStyle="1" w:styleId="328">
    <w:name w:val="Item List"/>
    <w:link w:val="327"/>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9">
    <w:name w:val="批注框文本 Char1"/>
    <w:qFormat/>
    <w:uiPriority w:val="0"/>
    <w:rPr>
      <w:rFonts w:ascii="Times New Roman" w:hAnsi="Times New Roman" w:eastAsia="宋体" w:cs="Times New Roman"/>
      <w:sz w:val="18"/>
      <w:szCs w:val="18"/>
    </w:rPr>
  </w:style>
  <w:style w:type="character" w:customStyle="1" w:styleId="330">
    <w:name w:val="纯文本 Char1"/>
    <w:link w:val="331"/>
    <w:qFormat/>
    <w:uiPriority w:val="0"/>
    <w:rPr>
      <w:rFonts w:ascii="宋体" w:hAnsi="Courier New"/>
    </w:rPr>
  </w:style>
  <w:style w:type="paragraph" w:customStyle="1" w:styleId="331">
    <w:name w:val="纯文本1"/>
    <w:basedOn w:val="1"/>
    <w:link w:val="330"/>
    <w:qFormat/>
    <w:uiPriority w:val="0"/>
    <w:pPr>
      <w:adjustRightInd/>
    </w:pPr>
    <w:rPr>
      <w:rFonts w:ascii="宋体" w:hAnsi="Courier New"/>
      <w:kern w:val="0"/>
      <w:sz w:val="20"/>
      <w:szCs w:val="20"/>
    </w:rPr>
  </w:style>
  <w:style w:type="character" w:customStyle="1" w:styleId="332">
    <w:name w:val="h3 Char"/>
    <w:qFormat/>
    <w:uiPriority w:val="0"/>
    <w:rPr>
      <w:rFonts w:eastAsia="宋体"/>
      <w:b/>
      <w:kern w:val="2"/>
      <w:sz w:val="32"/>
      <w:lang w:val="en-US" w:eastAsia="zh-CN" w:bidi="ar-SA"/>
    </w:rPr>
  </w:style>
  <w:style w:type="character" w:customStyle="1" w:styleId="333">
    <w:name w:val="dandyren_title1"/>
    <w:qFormat/>
    <w:uiPriority w:val="0"/>
    <w:rPr>
      <w:b/>
      <w:bCs/>
      <w:color w:val="FF6633"/>
      <w:sz w:val="18"/>
      <w:szCs w:val="18"/>
    </w:rPr>
  </w:style>
  <w:style w:type="character" w:customStyle="1" w:styleId="334">
    <w:name w:val="Char Char31"/>
    <w:qFormat/>
    <w:uiPriority w:val="6"/>
    <w:rPr>
      <w:rFonts w:ascii="Arial" w:hAnsi="Arial" w:eastAsia="黑体"/>
      <w:kern w:val="1"/>
      <w:sz w:val="24"/>
      <w:szCs w:val="24"/>
    </w:rPr>
  </w:style>
  <w:style w:type="character" w:customStyle="1" w:styleId="335">
    <w:name w:val="h Char1"/>
    <w:qFormat/>
    <w:uiPriority w:val="0"/>
    <w:rPr>
      <w:sz w:val="18"/>
      <w:szCs w:val="18"/>
    </w:rPr>
  </w:style>
  <w:style w:type="character" w:customStyle="1" w:styleId="336">
    <w:name w:val="solutionfonts"/>
    <w:qFormat/>
    <w:uiPriority w:val="0"/>
  </w:style>
  <w:style w:type="character" w:customStyle="1" w:styleId="337">
    <w:name w:val="首行缩进 Char"/>
    <w:qFormat/>
    <w:uiPriority w:val="0"/>
    <w:rPr>
      <w:rFonts w:ascii="宋体" w:eastAsia="宋体"/>
      <w:kern w:val="2"/>
      <w:sz w:val="24"/>
      <w:lang w:val="en-US" w:eastAsia="zh-CN" w:bidi="ar-SA"/>
    </w:rPr>
  </w:style>
  <w:style w:type="character" w:customStyle="1" w:styleId="338">
    <w:name w:val="Char Char52"/>
    <w:qFormat/>
    <w:uiPriority w:val="0"/>
    <w:rPr>
      <w:rFonts w:ascii="宋体" w:hAnsi="Courier New" w:eastAsia="宋体"/>
      <w:kern w:val="2"/>
      <w:sz w:val="21"/>
      <w:lang w:val="en-US" w:eastAsia="zh-CN"/>
    </w:rPr>
  </w:style>
  <w:style w:type="character" w:customStyle="1" w:styleId="339">
    <w:name w:val="font31"/>
    <w:qFormat/>
    <w:uiPriority w:val="0"/>
    <w:rPr>
      <w:rFonts w:hint="eastAsia" w:ascii="仿宋" w:hAnsi="仿宋" w:eastAsia="仿宋" w:cs="仿宋"/>
      <w:color w:val="000000"/>
      <w:sz w:val="20"/>
      <w:szCs w:val="20"/>
      <w:u w:val="none"/>
    </w:rPr>
  </w:style>
  <w:style w:type="character" w:customStyle="1" w:styleId="340">
    <w:name w:val="正文说明 Char"/>
    <w:link w:val="341"/>
    <w:qFormat/>
    <w:uiPriority w:val="0"/>
    <w:rPr>
      <w:sz w:val="24"/>
      <w:szCs w:val="24"/>
    </w:rPr>
  </w:style>
  <w:style w:type="paragraph" w:customStyle="1" w:styleId="341">
    <w:name w:val="正文说明"/>
    <w:basedOn w:val="1"/>
    <w:link w:val="340"/>
    <w:qFormat/>
    <w:uiPriority w:val="0"/>
    <w:pPr>
      <w:adjustRightInd/>
      <w:spacing w:line="360" w:lineRule="auto"/>
    </w:pPr>
    <w:rPr>
      <w:kern w:val="0"/>
      <w:sz w:val="24"/>
    </w:rPr>
  </w:style>
  <w:style w:type="character" w:customStyle="1" w:styleId="342">
    <w:name w:val="脚注文本 Char1"/>
    <w:qFormat/>
    <w:uiPriority w:val="0"/>
    <w:rPr>
      <w:rFonts w:ascii="Times New Roman" w:hAnsi="Times New Roman" w:eastAsia="宋体" w:cs="Times New Roman"/>
      <w:sz w:val="18"/>
      <w:szCs w:val="18"/>
    </w:rPr>
  </w:style>
  <w:style w:type="character" w:customStyle="1" w:styleId="343">
    <w:name w:val="Char Char1211"/>
    <w:qFormat/>
    <w:uiPriority w:val="0"/>
    <w:rPr>
      <w:rFonts w:ascii="仿宋_GB2312" w:eastAsia="仿宋_GB2312"/>
      <w:b/>
      <w:bCs/>
      <w:kern w:val="2"/>
      <w:sz w:val="24"/>
      <w:szCs w:val="24"/>
      <w:lang w:val="zh-CN" w:eastAsia="zh-CN" w:bidi="ar-SA"/>
    </w:rPr>
  </w:style>
  <w:style w:type="character" w:customStyle="1" w:styleId="344">
    <w:name w:val="标题 Char"/>
    <w:qFormat/>
    <w:uiPriority w:val="0"/>
    <w:rPr>
      <w:rFonts w:eastAsia="宋体"/>
      <w:b/>
      <w:sz w:val="24"/>
      <w:lang w:val="en-GB" w:eastAsia="zh-CN" w:bidi="ar-SA"/>
    </w:rPr>
  </w:style>
  <w:style w:type="character" w:customStyle="1" w:styleId="345">
    <w:name w:val="Char Char35"/>
    <w:qFormat/>
    <w:uiPriority w:val="6"/>
    <w:rPr>
      <w:rFonts w:ascii="Arial" w:hAnsi="Arial" w:eastAsia="黑体"/>
      <w:b/>
      <w:kern w:val="1"/>
      <w:sz w:val="28"/>
      <w:szCs w:val="28"/>
      <w:lang w:val="zh-CN"/>
    </w:rPr>
  </w:style>
  <w:style w:type="character" w:customStyle="1" w:styleId="346">
    <w:name w:val="纯文本 Char Char Char"/>
    <w:qFormat/>
    <w:uiPriority w:val="0"/>
    <w:rPr>
      <w:rFonts w:ascii="宋体" w:hAnsi="Courier New" w:eastAsia="宋体"/>
      <w:kern w:val="2"/>
      <w:sz w:val="21"/>
      <w:lang w:val="en-US" w:eastAsia="zh-CN" w:bidi="ar-SA"/>
    </w:rPr>
  </w:style>
  <w:style w:type="character" w:customStyle="1" w:styleId="347">
    <w:name w:val="Table Text Char"/>
    <w:link w:val="348"/>
    <w:qFormat/>
    <w:uiPriority w:val="0"/>
    <w:rPr>
      <w:sz w:val="24"/>
      <w:szCs w:val="24"/>
    </w:rPr>
  </w:style>
  <w:style w:type="paragraph" w:customStyle="1" w:styleId="348">
    <w:name w:val="Table Text"/>
    <w:basedOn w:val="1"/>
    <w:link w:val="347"/>
    <w:qFormat/>
    <w:uiPriority w:val="0"/>
    <w:pPr>
      <w:widowControl/>
      <w:spacing w:before="60" w:after="60"/>
      <w:jc w:val="left"/>
    </w:pPr>
    <w:rPr>
      <w:kern w:val="0"/>
      <w:sz w:val="24"/>
    </w:rPr>
  </w:style>
  <w:style w:type="character" w:customStyle="1" w:styleId="349">
    <w:name w:val="正文1 Char1"/>
    <w:qFormat/>
    <w:uiPriority w:val="0"/>
    <w:rPr>
      <w:rFonts w:ascii="仿宋_GB2312" w:hAnsi="Courier New" w:eastAsia="仿宋_GB2312"/>
      <w:kern w:val="28"/>
      <w:sz w:val="24"/>
      <w:szCs w:val="24"/>
      <w:lang w:val="en-US" w:eastAsia="zh-CN"/>
    </w:rPr>
  </w:style>
  <w:style w:type="character" w:customStyle="1" w:styleId="350">
    <w:name w:val="页脚 Char1"/>
    <w:qFormat/>
    <w:uiPriority w:val="0"/>
    <w:rPr>
      <w:rFonts w:eastAsia="宋体"/>
      <w:kern w:val="2"/>
      <w:sz w:val="18"/>
      <w:szCs w:val="18"/>
      <w:lang w:val="en-US" w:eastAsia="zh-CN" w:bidi="ar-SA"/>
    </w:rPr>
  </w:style>
  <w:style w:type="character" w:customStyle="1" w:styleId="351">
    <w:name w:val="Bold"/>
    <w:qFormat/>
    <w:uiPriority w:val="0"/>
    <w:rPr>
      <w:rFonts w:ascii="Arial" w:hAnsi="Arial" w:eastAsia="黑体" w:cs="Times New Roman"/>
      <w:b/>
      <w:kern w:val="2"/>
      <w:sz w:val="32"/>
      <w:szCs w:val="32"/>
      <w:lang w:val="en-US" w:eastAsia="zh-CN" w:bidi="ar-SA"/>
    </w:rPr>
  </w:style>
  <w:style w:type="character" w:customStyle="1" w:styleId="352">
    <w:name w:val="hui3"/>
    <w:qFormat/>
    <w:uiPriority w:val="0"/>
    <w:rPr>
      <w:color w:val="333333"/>
    </w:rPr>
  </w:style>
  <w:style w:type="character" w:customStyle="1" w:styleId="353">
    <w:name w:val="Char Char17"/>
    <w:qFormat/>
    <w:uiPriority w:val="6"/>
    <w:rPr>
      <w:rFonts w:eastAsia="仿宋_GB2312"/>
      <w:sz w:val="24"/>
    </w:rPr>
  </w:style>
  <w:style w:type="character" w:customStyle="1" w:styleId="354">
    <w:name w:val="标题 4 字符"/>
    <w:qFormat/>
    <w:uiPriority w:val="9"/>
    <w:rPr>
      <w:rFonts w:ascii="等线 Light" w:hAnsi="等线 Light" w:eastAsia="等线 Light" w:cs="Times New Roman"/>
      <w:b/>
      <w:bCs/>
      <w:snapToGrid w:val="0"/>
      <w:kern w:val="0"/>
      <w:sz w:val="28"/>
      <w:szCs w:val="28"/>
    </w:rPr>
  </w:style>
  <w:style w:type="character" w:customStyle="1" w:styleId="355">
    <w:name w:val="Char Char37"/>
    <w:qFormat/>
    <w:uiPriority w:val="6"/>
    <w:rPr>
      <w:b/>
      <w:kern w:val="1"/>
      <w:sz w:val="44"/>
      <w:szCs w:val="44"/>
    </w:rPr>
  </w:style>
  <w:style w:type="character" w:customStyle="1" w:styleId="356">
    <w:name w:val="列出段落 Char"/>
    <w:qFormat/>
    <w:uiPriority w:val="0"/>
    <w:rPr>
      <w:rFonts w:eastAsia="楷体_GB2312" w:cs="Lucida Sans"/>
      <w:kern w:val="2"/>
      <w:sz w:val="24"/>
      <w:szCs w:val="24"/>
      <w:lang w:val="en-US" w:eastAsia="zh-CN" w:bidi="ar-SA"/>
    </w:rPr>
  </w:style>
  <w:style w:type="character" w:customStyle="1" w:styleId="357">
    <w:name w:val="正文文本缩进 3 Char1"/>
    <w:semiHidden/>
    <w:qFormat/>
    <w:uiPriority w:val="99"/>
    <w:rPr>
      <w:rFonts w:ascii="Times New Roman" w:hAnsi="Times New Roman" w:eastAsia="宋体" w:cs="Times New Roman"/>
      <w:sz w:val="16"/>
      <w:szCs w:val="16"/>
    </w:rPr>
  </w:style>
  <w:style w:type="character" w:customStyle="1" w:styleId="358">
    <w:name w:val="公文正文 Char Char"/>
    <w:link w:val="359"/>
    <w:qFormat/>
    <w:uiPriority w:val="0"/>
    <w:rPr>
      <w:rFonts w:ascii="仿宋_GB2312" w:eastAsia="仿宋_GB2312"/>
      <w:kern w:val="2"/>
      <w:sz w:val="24"/>
      <w:szCs w:val="24"/>
    </w:rPr>
  </w:style>
  <w:style w:type="paragraph" w:customStyle="1" w:styleId="359">
    <w:name w:val="公文正文"/>
    <w:basedOn w:val="1"/>
    <w:link w:val="358"/>
    <w:qFormat/>
    <w:uiPriority w:val="0"/>
    <w:pPr>
      <w:adjustRightInd/>
      <w:spacing w:before="156" w:line="360" w:lineRule="auto"/>
      <w:ind w:firstLine="360" w:firstLineChars="200"/>
    </w:pPr>
    <w:rPr>
      <w:rFonts w:ascii="仿宋_GB2312" w:eastAsia="仿宋_GB2312"/>
      <w:sz w:val="24"/>
    </w:rPr>
  </w:style>
  <w:style w:type="character" w:customStyle="1" w:styleId="360">
    <w:name w:val="Table Text Char1"/>
    <w:qFormat/>
    <w:uiPriority w:val="0"/>
    <w:rPr>
      <w:rFonts w:eastAsia="宋体"/>
      <w:sz w:val="24"/>
      <w:szCs w:val="24"/>
      <w:lang w:val="en-US" w:eastAsia="zh-CN" w:bidi="ar-SA"/>
    </w:rPr>
  </w:style>
  <w:style w:type="character" w:customStyle="1" w:styleId="361">
    <w:name w:val="标题 1 Char Char"/>
    <w:qFormat/>
    <w:uiPriority w:val="0"/>
    <w:rPr>
      <w:rFonts w:hint="eastAsia" w:ascii="宋体" w:hAnsi="宋体" w:eastAsia="宋体"/>
      <w:b/>
      <w:spacing w:val="-2"/>
      <w:sz w:val="24"/>
      <w:lang w:val="en-US" w:eastAsia="zh-CN" w:bidi="ar-SA"/>
    </w:rPr>
  </w:style>
  <w:style w:type="character" w:customStyle="1" w:styleId="362">
    <w:name w:val="正文（缩进2汉字） Char"/>
    <w:link w:val="363"/>
    <w:qFormat/>
    <w:uiPriority w:val="0"/>
    <w:rPr>
      <w:rFonts w:ascii="宋体"/>
    </w:rPr>
  </w:style>
  <w:style w:type="paragraph" w:customStyle="1" w:styleId="363">
    <w:name w:val="正文（缩进2汉字）"/>
    <w:basedOn w:val="1"/>
    <w:link w:val="362"/>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4">
    <w:name w:val="标书表格字体格式 Char"/>
    <w:qFormat/>
    <w:uiPriority w:val="0"/>
    <w:rPr>
      <w:kern w:val="2"/>
      <w:sz w:val="21"/>
      <w:szCs w:val="24"/>
      <w:lang w:bidi="ar-SA"/>
    </w:rPr>
  </w:style>
  <w:style w:type="character" w:customStyle="1" w:styleId="365">
    <w:name w:val="tw4winError"/>
    <w:qFormat/>
    <w:uiPriority w:val="0"/>
    <w:rPr>
      <w:rFonts w:ascii="Courier New" w:hAnsi="Courier New" w:cs="Courier New"/>
      <w:color w:val="00FF00"/>
      <w:sz w:val="40"/>
      <w:szCs w:val="40"/>
    </w:rPr>
  </w:style>
  <w:style w:type="character" w:customStyle="1" w:styleId="366">
    <w:name w:val="Body Text(ch) Char Char"/>
    <w:qFormat/>
    <w:uiPriority w:val="0"/>
    <w:rPr>
      <w:rFonts w:ascii="宋体"/>
      <w:kern w:val="2"/>
      <w:sz w:val="24"/>
      <w:szCs w:val="21"/>
      <w:lang w:val="zh-CN"/>
    </w:rPr>
  </w:style>
  <w:style w:type="character" w:customStyle="1" w:styleId="367">
    <w:name w:val="正文首行缩进两字 Char"/>
    <w:qFormat/>
    <w:uiPriority w:val="0"/>
    <w:rPr>
      <w:sz w:val="24"/>
      <w:szCs w:val="24"/>
      <w:lang w:val="en-US" w:eastAsia="zh-CN" w:bidi="ar-SA"/>
    </w:rPr>
  </w:style>
  <w:style w:type="character" w:customStyle="1" w:styleId="368">
    <w:name w:val="正文文本 Char"/>
    <w:qFormat/>
    <w:uiPriority w:val="0"/>
    <w:rPr>
      <w:rFonts w:eastAsia="宋体"/>
      <w:kern w:val="2"/>
      <w:sz w:val="24"/>
      <w:szCs w:val="24"/>
      <w:lang w:val="en-US" w:eastAsia="zh-CN" w:bidi="ar-SA"/>
    </w:rPr>
  </w:style>
  <w:style w:type="character" w:customStyle="1" w:styleId="369">
    <w:name w:val="文档结构图 字符1"/>
    <w:qFormat/>
    <w:uiPriority w:val="0"/>
    <w:rPr>
      <w:rFonts w:ascii="宋体" w:hAnsi="Calibri" w:eastAsia="黑体" w:cs="Arial"/>
      <w:snapToGrid w:val="0"/>
      <w:kern w:val="2"/>
      <w:sz w:val="18"/>
      <w:szCs w:val="18"/>
    </w:rPr>
  </w:style>
  <w:style w:type="character" w:customStyle="1" w:styleId="370">
    <w:name w:val="content"/>
    <w:qFormat/>
    <w:uiPriority w:val="0"/>
  </w:style>
  <w:style w:type="character" w:customStyle="1" w:styleId="371">
    <w:name w:val="tw4winPopup"/>
    <w:qFormat/>
    <w:uiPriority w:val="0"/>
    <w:rPr>
      <w:rFonts w:ascii="Courier New" w:hAnsi="Courier New" w:cs="Courier New"/>
      <w:color w:val="008000"/>
      <w:lang w:val="en-US" w:eastAsia="zh-CN"/>
    </w:rPr>
  </w:style>
  <w:style w:type="character" w:customStyle="1" w:styleId="372">
    <w:name w:val="param-name"/>
    <w:qFormat/>
    <w:uiPriority w:val="99"/>
    <w:rPr>
      <w:rFonts w:ascii="Arial" w:hAnsi="Arial" w:eastAsia="黑体" w:cs="Arial"/>
      <w:snapToGrid w:val="0"/>
      <w:kern w:val="0"/>
      <w:szCs w:val="21"/>
    </w:rPr>
  </w:style>
  <w:style w:type="character" w:customStyle="1" w:styleId="373">
    <w:name w:val="标准正文格式 Char"/>
    <w:qFormat/>
    <w:uiPriority w:val="0"/>
    <w:rPr>
      <w:rFonts w:ascii="宋体" w:eastAsia="仿宋_GB2312" w:cs="宋体"/>
      <w:color w:val="000000"/>
      <w:sz w:val="24"/>
      <w:lang w:val="en-US" w:eastAsia="zh-CN" w:bidi="ar-SA"/>
    </w:rPr>
  </w:style>
  <w:style w:type="character" w:customStyle="1" w:styleId="374">
    <w:name w:val="Char Char212"/>
    <w:qFormat/>
    <w:uiPriority w:val="0"/>
    <w:rPr>
      <w:rFonts w:eastAsia="宋体"/>
      <w:b/>
      <w:bCs/>
      <w:kern w:val="2"/>
      <w:sz w:val="21"/>
      <w:szCs w:val="24"/>
      <w:lang w:val="en-US" w:eastAsia="zh-CN" w:bidi="ar-SA"/>
    </w:rPr>
  </w:style>
  <w:style w:type="character" w:customStyle="1" w:styleId="375">
    <w:name w:val="文档结构图 Char"/>
    <w:qFormat/>
    <w:uiPriority w:val="0"/>
    <w:rPr>
      <w:rFonts w:eastAsia="宋体"/>
      <w:kern w:val="2"/>
      <w:sz w:val="21"/>
      <w:szCs w:val="24"/>
      <w:lang w:val="en-US" w:eastAsia="zh-CN" w:bidi="ar-SA"/>
    </w:rPr>
  </w:style>
  <w:style w:type="character" w:customStyle="1" w:styleId="376">
    <w:name w:val="zbggmain style9"/>
    <w:qFormat/>
    <w:uiPriority w:val="0"/>
  </w:style>
  <w:style w:type="character" w:customStyle="1" w:styleId="377">
    <w:name w:val="Char Char16"/>
    <w:qFormat/>
    <w:uiPriority w:val="6"/>
    <w:rPr>
      <w:kern w:val="1"/>
      <w:sz w:val="18"/>
      <w:szCs w:val="18"/>
    </w:rPr>
  </w:style>
  <w:style w:type="character" w:customStyle="1" w:styleId="378">
    <w:name w:val="font51"/>
    <w:qFormat/>
    <w:uiPriority w:val="0"/>
    <w:rPr>
      <w:rFonts w:hint="eastAsia" w:ascii="仿宋" w:hAnsi="仿宋" w:eastAsia="仿宋" w:cs="仿宋"/>
      <w:color w:val="000000"/>
      <w:sz w:val="20"/>
      <w:szCs w:val="20"/>
      <w:u w:val="none"/>
    </w:rPr>
  </w:style>
  <w:style w:type="character" w:customStyle="1" w:styleId="379">
    <w:name w:val="Char Char82"/>
    <w:qFormat/>
    <w:uiPriority w:val="0"/>
    <w:rPr>
      <w:rFonts w:eastAsia="宋体"/>
      <w:b/>
      <w:sz w:val="24"/>
      <w:lang w:val="en-GB" w:eastAsia="zh-CN"/>
    </w:rPr>
  </w:style>
  <w:style w:type="character" w:customStyle="1" w:styleId="380">
    <w:name w:val="日期 Char1"/>
    <w:semiHidden/>
    <w:qFormat/>
    <w:uiPriority w:val="99"/>
    <w:rPr>
      <w:rFonts w:ascii="Times New Roman" w:hAnsi="Times New Roman" w:eastAsia="宋体" w:cs="Times New Roman"/>
      <w:szCs w:val="24"/>
    </w:rPr>
  </w:style>
  <w:style w:type="character" w:customStyle="1" w:styleId="381">
    <w:name w:val="页眉 字符"/>
    <w:qFormat/>
    <w:uiPriority w:val="99"/>
    <w:rPr>
      <w:kern w:val="2"/>
      <w:sz w:val="18"/>
      <w:szCs w:val="18"/>
    </w:rPr>
  </w:style>
  <w:style w:type="character" w:customStyle="1" w:styleId="382">
    <w:name w:val="Char Char33"/>
    <w:qFormat/>
    <w:uiPriority w:val="6"/>
    <w:rPr>
      <w:rFonts w:ascii="Arial" w:hAnsi="Arial" w:eastAsia="黑体"/>
      <w:b/>
      <w:kern w:val="1"/>
      <w:sz w:val="24"/>
      <w:szCs w:val="24"/>
    </w:rPr>
  </w:style>
  <w:style w:type="character" w:customStyle="1" w:styleId="383">
    <w:name w:val="b11_01b Char"/>
    <w:link w:val="384"/>
    <w:qFormat/>
    <w:uiPriority w:val="0"/>
    <w:rPr>
      <w:rFonts w:ascii="Verdana" w:hAnsi="Verdana"/>
      <w:b/>
      <w:bCs/>
      <w:color w:val="4A82CA"/>
      <w:sz w:val="17"/>
      <w:szCs w:val="17"/>
    </w:rPr>
  </w:style>
  <w:style w:type="paragraph" w:customStyle="1" w:styleId="384">
    <w:name w:val="b11_01b"/>
    <w:basedOn w:val="1"/>
    <w:next w:val="1"/>
    <w:link w:val="383"/>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5">
    <w:name w:val="Char Char121"/>
    <w:qFormat/>
    <w:uiPriority w:val="6"/>
    <w:rPr>
      <w:rFonts w:ascii="仿宋_GB2312" w:eastAsia="仿宋_GB2312"/>
      <w:b/>
      <w:bCs/>
      <w:kern w:val="2"/>
      <w:sz w:val="24"/>
      <w:szCs w:val="24"/>
      <w:lang w:val="zh-CN" w:eastAsia="zh-CN" w:bidi="ar-SA"/>
    </w:rPr>
  </w:style>
  <w:style w:type="character" w:customStyle="1" w:styleId="386">
    <w:name w:val="Footer-Even Char"/>
    <w:qFormat/>
    <w:uiPriority w:val="0"/>
    <w:rPr>
      <w:rFonts w:eastAsia="宋体"/>
      <w:kern w:val="2"/>
      <w:sz w:val="18"/>
      <w:lang w:val="en-US" w:eastAsia="zh-CN" w:bidi="ar-SA"/>
    </w:rPr>
  </w:style>
  <w:style w:type="character" w:customStyle="1" w:styleId="387">
    <w:name w:val="Char Char36"/>
    <w:qFormat/>
    <w:uiPriority w:val="6"/>
    <w:rPr>
      <w:rFonts w:ascii="仿宋_GB2312" w:hAnsi="仿宋_GB2312" w:eastAsia="仿宋_GB2312" w:cs="Arial"/>
      <w:b/>
      <w:kern w:val="1"/>
      <w:sz w:val="32"/>
      <w:szCs w:val="32"/>
      <w:lang w:val="zh-CN" w:eastAsia="zh-CN" w:bidi="ar-SA"/>
    </w:rPr>
  </w:style>
  <w:style w:type="character" w:customStyle="1" w:styleId="388">
    <w:name w:val="Char Char61"/>
    <w:qFormat/>
    <w:uiPriority w:val="6"/>
    <w:rPr>
      <w:rFonts w:eastAsia="宋体"/>
      <w:kern w:val="2"/>
      <w:sz w:val="21"/>
      <w:szCs w:val="24"/>
      <w:lang w:val="en-US" w:eastAsia="zh-CN" w:bidi="ar-SA"/>
    </w:rPr>
  </w:style>
  <w:style w:type="character" w:customStyle="1" w:styleId="389">
    <w:name w:val="正文文字缩进 2 Char Char"/>
    <w:qFormat/>
    <w:uiPriority w:val="0"/>
    <w:rPr>
      <w:rFonts w:ascii="宋体"/>
      <w:sz w:val="28"/>
    </w:rPr>
  </w:style>
  <w:style w:type="character" w:customStyle="1" w:styleId="390">
    <w:name w:val="f141"/>
    <w:qFormat/>
    <w:uiPriority w:val="0"/>
    <w:rPr>
      <w:rFonts w:ascii="Tahoma" w:hAnsi="Tahoma" w:eastAsia="宋体"/>
      <w:b/>
      <w:kern w:val="2"/>
      <w:sz w:val="21"/>
      <w:szCs w:val="21"/>
      <w:lang w:val="en-US" w:eastAsia="zh-CN" w:bidi="ar-SA"/>
    </w:rPr>
  </w:style>
  <w:style w:type="character" w:customStyle="1" w:styleId="391">
    <w:name w:val="段落 Char Char"/>
    <w:link w:val="392"/>
    <w:qFormat/>
    <w:uiPriority w:val="0"/>
    <w:rPr>
      <w:rFonts w:ascii="宋体" w:hAnsi="宋体"/>
      <w:sz w:val="24"/>
    </w:rPr>
  </w:style>
  <w:style w:type="paragraph" w:customStyle="1" w:styleId="392">
    <w:name w:val="段落"/>
    <w:basedOn w:val="1"/>
    <w:link w:val="391"/>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qFormat/>
    <w:uiPriority w:val="0"/>
    <w:rPr>
      <w:rFonts w:eastAsia="宋体"/>
      <w:b/>
      <w:bCs/>
      <w:kern w:val="2"/>
      <w:sz w:val="32"/>
      <w:szCs w:val="32"/>
      <w:lang w:val="en-US" w:eastAsia="zh-CN" w:bidi="ar-SA"/>
    </w:rPr>
  </w:style>
  <w:style w:type="character" w:customStyle="1" w:styleId="394">
    <w:name w:val="apple-converted-space"/>
    <w:qFormat/>
    <w:uiPriority w:val="0"/>
  </w:style>
  <w:style w:type="character" w:customStyle="1" w:styleId="395">
    <w:name w:val="Char Char9"/>
    <w:qFormat/>
    <w:uiPriority w:val="0"/>
    <w:rPr>
      <w:rFonts w:eastAsia="宋体"/>
      <w:kern w:val="2"/>
      <w:sz w:val="18"/>
      <w:szCs w:val="18"/>
      <w:lang w:val="en-US" w:eastAsia="zh-CN" w:bidi="ar-SA"/>
    </w:rPr>
  </w:style>
  <w:style w:type="character" w:customStyle="1" w:styleId="396">
    <w:name w:val="Char Char41"/>
    <w:qFormat/>
    <w:uiPriority w:val="0"/>
    <w:rPr>
      <w:rFonts w:eastAsia="宋体"/>
      <w:b/>
      <w:sz w:val="24"/>
      <w:lang w:val="en-GB" w:eastAsia="zh-CN" w:bidi="ar-SA"/>
    </w:rPr>
  </w:style>
  <w:style w:type="character" w:customStyle="1" w:styleId="397">
    <w:name w:val="large1"/>
    <w:qFormat/>
    <w:uiPriority w:val="0"/>
    <w:rPr>
      <w:rFonts w:hint="eastAsia" w:ascii="宋体" w:hAnsi="宋体" w:eastAsia="宋体"/>
      <w:sz w:val="21"/>
      <w:szCs w:val="21"/>
    </w:rPr>
  </w:style>
  <w:style w:type="character" w:customStyle="1" w:styleId="398">
    <w:name w:val="正文段 Char"/>
    <w:link w:val="399"/>
    <w:qFormat/>
    <w:uiPriority w:val="0"/>
    <w:rPr>
      <w:sz w:val="24"/>
    </w:rPr>
  </w:style>
  <w:style w:type="paragraph" w:customStyle="1" w:styleId="399">
    <w:name w:val="正文段"/>
    <w:basedOn w:val="1"/>
    <w:link w:val="398"/>
    <w:qFormat/>
    <w:uiPriority w:val="0"/>
    <w:pPr>
      <w:widowControl/>
      <w:snapToGrid w:val="0"/>
      <w:spacing w:afterLines="50"/>
      <w:ind w:firstLine="200" w:firstLineChars="200"/>
    </w:pPr>
    <w:rPr>
      <w:kern w:val="0"/>
      <w:sz w:val="24"/>
      <w:szCs w:val="20"/>
    </w:rPr>
  </w:style>
  <w:style w:type="character" w:customStyle="1" w:styleId="400">
    <w:name w:val="Char Char13"/>
    <w:qFormat/>
    <w:uiPriority w:val="6"/>
    <w:rPr>
      <w:rFonts w:ascii="宋体" w:hAnsi="宋体"/>
      <w:kern w:val="1"/>
      <w:sz w:val="21"/>
      <w:szCs w:val="24"/>
    </w:rPr>
  </w:style>
  <w:style w:type="character" w:customStyle="1" w:styleId="401">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402">
    <w:name w:val="冯广丽 Char"/>
    <w:link w:val="403"/>
    <w:qFormat/>
    <w:uiPriority w:val="0"/>
    <w:rPr>
      <w:rFonts w:ascii="宋体" w:hAnsi="宋体"/>
      <w:kern w:val="2"/>
      <w:sz w:val="24"/>
      <w:szCs w:val="22"/>
    </w:rPr>
  </w:style>
  <w:style w:type="paragraph" w:customStyle="1" w:styleId="403">
    <w:name w:val="冯广丽"/>
    <w:basedOn w:val="1"/>
    <w:link w:val="402"/>
    <w:qFormat/>
    <w:uiPriority w:val="0"/>
    <w:pPr>
      <w:adjustRightInd/>
      <w:spacing w:line="360" w:lineRule="auto"/>
      <w:ind w:firstLine="480" w:firstLineChars="200"/>
    </w:pPr>
    <w:rPr>
      <w:rFonts w:ascii="宋体" w:hAnsi="宋体"/>
      <w:sz w:val="24"/>
      <w:szCs w:val="22"/>
    </w:rPr>
  </w:style>
  <w:style w:type="character" w:customStyle="1" w:styleId="404">
    <w:name w:val="批注文字 字符"/>
    <w:qFormat/>
    <w:uiPriority w:val="0"/>
    <w:rPr>
      <w:rFonts w:ascii="Arial" w:hAnsi="Arial" w:eastAsia="黑体" w:cs="Arial"/>
      <w:snapToGrid w:val="0"/>
      <w:kern w:val="0"/>
      <w:szCs w:val="21"/>
    </w:rPr>
  </w:style>
  <w:style w:type="character" w:customStyle="1" w:styleId="405">
    <w:name w:val="Char Char161"/>
    <w:qFormat/>
    <w:uiPriority w:val="0"/>
    <w:rPr>
      <w:rFonts w:eastAsia="宋体"/>
      <w:b/>
      <w:kern w:val="2"/>
      <w:sz w:val="32"/>
      <w:lang w:val="en-US" w:eastAsia="zh-CN"/>
    </w:rPr>
  </w:style>
  <w:style w:type="character" w:customStyle="1" w:styleId="406">
    <w:name w:val="javascript"/>
    <w:qFormat/>
    <w:uiPriority w:val="0"/>
  </w:style>
  <w:style w:type="character" w:customStyle="1" w:styleId="407">
    <w:name w:val="图名 Char"/>
    <w:qFormat/>
    <w:uiPriority w:val="0"/>
    <w:rPr>
      <w:rFonts w:ascii="Arial" w:hAnsi="Arial" w:eastAsia="黑体"/>
      <w:kern w:val="2"/>
      <w:sz w:val="24"/>
      <w:szCs w:val="24"/>
      <w:lang w:val="en-US" w:eastAsia="zh-CN" w:bidi="ar-SA"/>
    </w:rPr>
  </w:style>
  <w:style w:type="character" w:customStyle="1" w:styleId="408">
    <w:name w:val="Used by Word for text of Help footnotes Char Char"/>
    <w:qFormat/>
    <w:uiPriority w:val="0"/>
    <w:rPr>
      <w:rFonts w:ascii="Times New Roman" w:hAnsi="Times New Roman" w:eastAsia="宋体" w:cs="Times New Roman"/>
      <w:sz w:val="20"/>
      <w:szCs w:val="20"/>
    </w:rPr>
  </w:style>
  <w:style w:type="character" w:customStyle="1" w:styleId="409">
    <w:name w:val="编号，小四 Char"/>
    <w:link w:val="410"/>
    <w:qFormat/>
    <w:uiPriority w:val="0"/>
    <w:rPr>
      <w:rFonts w:ascii="Arial" w:hAnsi="Arial"/>
      <w:sz w:val="24"/>
    </w:rPr>
  </w:style>
  <w:style w:type="paragraph" w:customStyle="1" w:styleId="410">
    <w:name w:val="编号，小四"/>
    <w:basedOn w:val="1"/>
    <w:link w:val="409"/>
    <w:qFormat/>
    <w:uiPriority w:val="0"/>
    <w:pPr>
      <w:tabs>
        <w:tab w:val="left" w:pos="432"/>
      </w:tabs>
      <w:adjustRightInd/>
      <w:spacing w:line="360" w:lineRule="auto"/>
      <w:ind w:left="432" w:hanging="432"/>
    </w:pPr>
    <w:rPr>
      <w:rFonts w:ascii="Arial" w:hAnsi="Arial"/>
      <w:kern w:val="0"/>
      <w:sz w:val="24"/>
      <w:szCs w:val="20"/>
    </w:rPr>
  </w:style>
  <w:style w:type="character" w:customStyle="1" w:styleId="411">
    <w:name w:val="Font Style82"/>
    <w:qFormat/>
    <w:uiPriority w:val="99"/>
    <w:rPr>
      <w:rFonts w:ascii="宋体" w:eastAsia="宋体" w:cs="宋体"/>
      <w:color w:val="000000"/>
      <w:sz w:val="14"/>
      <w:szCs w:val="14"/>
    </w:rPr>
  </w:style>
  <w:style w:type="character" w:customStyle="1" w:styleId="412">
    <w:name w:val="标题 2 Char Char"/>
    <w:qFormat/>
    <w:uiPriority w:val="0"/>
    <w:rPr>
      <w:rFonts w:ascii="楷体_GB2312" w:hAnsi="Arial" w:eastAsia="楷体_GB2312"/>
      <w:b/>
      <w:bCs/>
      <w:kern w:val="2"/>
      <w:sz w:val="24"/>
      <w:szCs w:val="32"/>
      <w:lang w:val="en-US" w:eastAsia="zh-CN" w:bidi="ar-SA"/>
    </w:rPr>
  </w:style>
  <w:style w:type="character" w:customStyle="1" w:styleId="413">
    <w:name w:val="未用 Char"/>
    <w:qFormat/>
    <w:uiPriority w:val="0"/>
    <w:rPr>
      <w:rFonts w:ascii="Arial" w:hAnsi="Arial" w:eastAsia="黑体"/>
      <w:kern w:val="2"/>
      <w:sz w:val="21"/>
      <w:szCs w:val="21"/>
      <w:lang w:val="en-US" w:eastAsia="zh-CN" w:bidi="ar-SA"/>
    </w:rPr>
  </w:style>
  <w:style w:type="character" w:customStyle="1" w:styleId="414">
    <w:name w:val="myp1111"/>
    <w:qFormat/>
    <w:uiPriority w:val="0"/>
    <w:rPr>
      <w:rFonts w:hint="default" w:ascii="ˎ̥" w:hAnsi="ˎ̥"/>
      <w:color w:val="000000"/>
      <w:sz w:val="20"/>
      <w:szCs w:val="20"/>
      <w:u w:val="none"/>
    </w:rPr>
  </w:style>
  <w:style w:type="character" w:customStyle="1" w:styleId="415">
    <w:name w:val="h Char Char"/>
    <w:qFormat/>
    <w:uiPriority w:val="0"/>
    <w:rPr>
      <w:rFonts w:eastAsia="宋体"/>
      <w:kern w:val="2"/>
      <w:sz w:val="18"/>
      <w:lang w:val="en-US" w:eastAsia="zh-CN" w:bidi="ar-SA"/>
    </w:rPr>
  </w:style>
  <w:style w:type="character" w:customStyle="1" w:styleId="416">
    <w:name w:val="仿宋正文 Char"/>
    <w:link w:val="417"/>
    <w:qFormat/>
    <w:uiPriority w:val="0"/>
    <w:rPr>
      <w:rFonts w:ascii="仿宋_GB2312" w:eastAsia="仿宋_GB2312"/>
      <w:kern w:val="2"/>
      <w:sz w:val="24"/>
      <w:lang w:val="en-US" w:eastAsia="zh-CN" w:bidi="ar-SA"/>
    </w:rPr>
  </w:style>
  <w:style w:type="paragraph" w:customStyle="1" w:styleId="417">
    <w:name w:val="仿宋正文"/>
    <w:basedOn w:val="1"/>
    <w:link w:val="416"/>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qFormat/>
    <w:uiPriority w:val="0"/>
    <w:rPr>
      <w:rFonts w:ascii="宋体" w:eastAsia="宋体"/>
      <w:kern w:val="2"/>
      <w:sz w:val="24"/>
      <w:lang w:val="zh-CN" w:bidi="ar-SA"/>
    </w:rPr>
  </w:style>
  <w:style w:type="character" w:customStyle="1" w:styleId="419">
    <w:name w:val="样式 宋体"/>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qFormat/>
    <w:uiPriority w:val="9"/>
    <w:rPr>
      <w:rFonts w:ascii="Arial" w:hAnsi="Arial" w:eastAsia="黑体" w:cs="Arial"/>
      <w:b/>
      <w:bCs/>
      <w:snapToGrid w:val="0"/>
      <w:kern w:val="44"/>
      <w:sz w:val="44"/>
      <w:szCs w:val="44"/>
    </w:rPr>
  </w:style>
  <w:style w:type="character" w:customStyle="1" w:styleId="422">
    <w:name w:val="style36"/>
    <w:basedOn w:val="69"/>
    <w:qFormat/>
    <w:uiPriority w:val="0"/>
    <w:rPr>
      <w:rFonts w:ascii="Arial" w:hAnsi="Arial" w:eastAsia="黑体" w:cs="Arial"/>
      <w:snapToGrid w:val="0"/>
      <w:kern w:val="0"/>
      <w:szCs w:val="21"/>
    </w:rPr>
  </w:style>
  <w:style w:type="character" w:customStyle="1" w:styleId="423">
    <w:name w:val="pt9"/>
    <w:qFormat/>
    <w:uiPriority w:val="0"/>
    <w:rPr>
      <w:rFonts w:ascii="仿宋_GB2312" w:eastAsia="微软雅黑"/>
      <w:b/>
      <w:kern w:val="2"/>
      <w:sz w:val="32"/>
      <w:szCs w:val="32"/>
      <w:lang w:val="en-US" w:eastAsia="zh-CN" w:bidi="ar-SA"/>
    </w:rPr>
  </w:style>
  <w:style w:type="character" w:customStyle="1" w:styleId="424">
    <w:name w:val="DO_NOT_TRANSLATE"/>
    <w:qFormat/>
    <w:uiPriority w:val="0"/>
    <w:rPr>
      <w:rFonts w:ascii="Courier New" w:hAnsi="Courier New" w:cs="Courier New"/>
      <w:color w:val="800000"/>
      <w:lang w:val="en-US" w:eastAsia="zh-CN"/>
    </w:rPr>
  </w:style>
  <w:style w:type="character" w:customStyle="1" w:styleId="425">
    <w:name w:val="标书1 Char1"/>
    <w:qFormat/>
    <w:uiPriority w:val="0"/>
    <w:rPr>
      <w:rFonts w:eastAsia="宋体"/>
      <w:b/>
      <w:bCs/>
      <w:kern w:val="44"/>
      <w:sz w:val="44"/>
      <w:szCs w:val="44"/>
      <w:lang w:val="en-US" w:eastAsia="zh-CN" w:bidi="ar-SA"/>
    </w:rPr>
  </w:style>
  <w:style w:type="character" w:customStyle="1" w:styleId="426">
    <w:name w:val="页脚 字符"/>
    <w:qFormat/>
    <w:uiPriority w:val="99"/>
    <w:rPr>
      <w:kern w:val="2"/>
      <w:sz w:val="18"/>
      <w:szCs w:val="18"/>
    </w:rPr>
  </w:style>
  <w:style w:type="character" w:customStyle="1" w:styleId="427">
    <w:name w:val="正文2 Char"/>
    <w:qFormat/>
    <w:uiPriority w:val="0"/>
    <w:rPr>
      <w:rFonts w:eastAsia="宋体"/>
      <w:kern w:val="2"/>
      <w:sz w:val="24"/>
      <w:lang w:val="en-US" w:eastAsia="zh-CN" w:bidi="ar-SA"/>
    </w:rPr>
  </w:style>
  <w:style w:type="character" w:customStyle="1" w:styleId="428">
    <w:name w:val="Char Char21"/>
    <w:qFormat/>
    <w:uiPriority w:val="6"/>
    <w:rPr>
      <w:rFonts w:ascii="宋体" w:hAnsi="宋体"/>
      <w:kern w:val="1"/>
      <w:sz w:val="24"/>
      <w:szCs w:val="21"/>
      <w:lang w:val="zh-CN"/>
    </w:rPr>
  </w:style>
  <w:style w:type="character" w:customStyle="1" w:styleId="429">
    <w:name w:val="样式 正文缩进 + 首行缩进:  2 字符 Char Char"/>
    <w:link w:val="430"/>
    <w:qFormat/>
    <w:uiPriority w:val="0"/>
    <w:rPr>
      <w:rFonts w:cs="宋体"/>
      <w:kern w:val="2"/>
      <w:sz w:val="24"/>
    </w:rPr>
  </w:style>
  <w:style w:type="paragraph" w:customStyle="1" w:styleId="430">
    <w:name w:val="样式 正文缩进 + 首行缩进:  2 字符"/>
    <w:basedOn w:val="5"/>
    <w:link w:val="429"/>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gray6"/>
    <w:basedOn w:val="69"/>
    <w:qFormat/>
    <w:uiPriority w:val="0"/>
    <w:rPr>
      <w:rFonts w:ascii="Arial" w:hAnsi="Arial" w:eastAsia="黑体" w:cs="Arial"/>
      <w:snapToGrid w:val="0"/>
      <w:kern w:val="0"/>
      <w:szCs w:val="21"/>
    </w:rPr>
  </w:style>
  <w:style w:type="character" w:customStyle="1" w:styleId="432">
    <w:name w:val="hui"/>
    <w:basedOn w:val="69"/>
    <w:qFormat/>
    <w:uiPriority w:val="0"/>
    <w:rPr>
      <w:rFonts w:ascii="Arial" w:hAnsi="Arial" w:eastAsia="黑体" w:cs="Arial"/>
      <w:snapToGrid w:val="0"/>
      <w:kern w:val="0"/>
      <w:szCs w:val="21"/>
    </w:rPr>
  </w:style>
  <w:style w:type="character" w:customStyle="1" w:styleId="433">
    <w:name w:val="哈哈正文 Char Char"/>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qFormat/>
    <w:uiPriority w:val="0"/>
    <w:pPr>
      <w:spacing w:before="120" w:line="360" w:lineRule="auto"/>
      <w:ind w:firstLine="567"/>
    </w:pPr>
    <w:rPr>
      <w:rFonts w:ascii="Arial" w:hAnsi="Arial"/>
      <w:sz w:val="20"/>
      <w:szCs w:val="20"/>
    </w:rPr>
  </w:style>
  <w:style w:type="paragraph" w:customStyle="1" w:styleId="444">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1">
    <w:name w:val="封面公司名"/>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qFormat/>
    <w:uiPriority w:val="0"/>
    <w:pPr>
      <w:adjustRightInd/>
      <w:ind w:firstLine="200" w:firstLineChars="200"/>
    </w:pPr>
    <w:rPr>
      <w:rFonts w:ascii="Tahoma" w:hAnsi="Tahoma"/>
      <w:sz w:val="24"/>
      <w:szCs w:val="20"/>
    </w:rPr>
  </w:style>
  <w:style w:type="paragraph" w:customStyle="1" w:styleId="453">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qFormat/>
    <w:uiPriority w:val="0"/>
    <w:pPr>
      <w:tabs>
        <w:tab w:val="left" w:pos="360"/>
      </w:tabs>
    </w:pPr>
    <w:rPr>
      <w:sz w:val="24"/>
      <w:szCs w:val="20"/>
    </w:rPr>
  </w:style>
  <w:style w:type="paragraph" w:customStyle="1" w:styleId="456">
    <w:name w:val="Char Char11 Char Char Char"/>
    <w:basedOn w:val="1"/>
    <w:qFormat/>
    <w:uiPriority w:val="0"/>
    <w:pPr>
      <w:spacing w:line="360" w:lineRule="auto"/>
    </w:pPr>
    <w:rPr>
      <w:szCs w:val="20"/>
    </w:rPr>
  </w:style>
  <w:style w:type="paragraph" w:customStyle="1" w:styleId="457">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qFormat/>
    <w:uiPriority w:val="0"/>
    <w:pPr>
      <w:tabs>
        <w:tab w:val="left" w:pos="2790"/>
        <w:tab w:val="left" w:pos="4230"/>
      </w:tabs>
      <w:spacing w:beforeLines="100"/>
      <w:jc w:val="left"/>
    </w:pPr>
  </w:style>
  <w:style w:type="paragraph" w:customStyle="1" w:styleId="460">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qFormat/>
    <w:uiPriority w:val="0"/>
    <w:pPr>
      <w:tabs>
        <w:tab w:val="left" w:pos="840"/>
      </w:tabs>
      <w:ind w:left="840" w:hanging="420"/>
    </w:pPr>
    <w:rPr>
      <w:rFonts w:ascii="Tahoma" w:hAnsi="Tahoma"/>
      <w:sz w:val="24"/>
    </w:rPr>
  </w:style>
  <w:style w:type="paragraph" w:customStyle="1" w:styleId="462">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2"/>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qFormat/>
    <w:uiPriority w:val="0"/>
    <w:pPr>
      <w:adjustRightInd/>
      <w:spacing w:before="156" w:line="360" w:lineRule="auto"/>
      <w:ind w:firstLine="510" w:firstLineChars="200"/>
    </w:pPr>
    <w:rPr>
      <w:sz w:val="24"/>
      <w:szCs w:val="20"/>
    </w:rPr>
  </w:style>
  <w:style w:type="paragraph" w:customStyle="1" w:styleId="466">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qFormat/>
    <w:uiPriority w:val="0"/>
    <w:rPr>
      <w:rFonts w:ascii="仿宋_GB2312" w:eastAsia="仿宋_GB2312"/>
      <w:b/>
      <w:sz w:val="32"/>
      <w:szCs w:val="32"/>
    </w:rPr>
  </w:style>
  <w:style w:type="paragraph" w:customStyle="1" w:styleId="469">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1">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2">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qFormat/>
    <w:uiPriority w:val="0"/>
    <w:pPr>
      <w:keepNext/>
      <w:tabs>
        <w:tab w:val="left" w:pos="360"/>
      </w:tabs>
      <w:outlineLvl w:val="5"/>
    </w:pPr>
  </w:style>
  <w:style w:type="paragraph" w:customStyle="1" w:styleId="474">
    <w:name w:val="5级标题"/>
    <w:basedOn w:val="475"/>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5">
    <w:name w:val="4级标题"/>
    <w:basedOn w:val="27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qFormat/>
    <w:uiPriority w:val="0"/>
    <w:pPr>
      <w:adjustRightInd/>
      <w:ind w:left="420" w:leftChars="200"/>
      <w:jc w:val="left"/>
    </w:pPr>
    <w:rPr>
      <w:sz w:val="28"/>
      <w:szCs w:val="20"/>
      <w:lang w:eastAsia="zh-TW"/>
    </w:rPr>
  </w:style>
  <w:style w:type="paragraph" w:customStyle="1" w:styleId="477">
    <w:name w:val="Char2 Char Char"/>
    <w:basedOn w:val="1"/>
    <w:qFormat/>
    <w:uiPriority w:val="0"/>
    <w:pPr>
      <w:adjustRightInd/>
    </w:pPr>
    <w:rPr>
      <w:rFonts w:ascii="Tahoma" w:hAnsi="Tahoma"/>
      <w:sz w:val="24"/>
      <w:szCs w:val="20"/>
    </w:rPr>
  </w:style>
  <w:style w:type="paragraph" w:customStyle="1" w:styleId="478">
    <w:name w:val="_Style 11"/>
    <w:basedOn w:val="1"/>
    <w:qFormat/>
    <w:uiPriority w:val="34"/>
    <w:pPr>
      <w:adjustRightInd/>
      <w:ind w:firstLine="420" w:firstLineChars="200"/>
    </w:pPr>
    <w:rPr>
      <w:rFonts w:eastAsia="仿宋_GB2312"/>
      <w:sz w:val="28"/>
    </w:rPr>
  </w:style>
  <w:style w:type="paragraph" w:customStyle="1" w:styleId="479">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qFormat/>
    <w:uiPriority w:val="0"/>
    <w:rPr>
      <w:rFonts w:ascii="Tahoma" w:hAnsi="Tahoma"/>
      <w:sz w:val="24"/>
      <w:szCs w:val="20"/>
    </w:rPr>
  </w:style>
  <w:style w:type="paragraph" w:customStyle="1" w:styleId="481">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2">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484"/>
    <w:qFormat/>
    <w:uiPriority w:val="1"/>
    <w:rPr>
      <w:szCs w:val="22"/>
    </w:rPr>
  </w:style>
  <w:style w:type="character" w:customStyle="1" w:styleId="484">
    <w:name w:val="无间隔 Char"/>
    <w:link w:val="483"/>
    <w:qFormat/>
    <w:uiPriority w:val="99"/>
    <w:rPr>
      <w:kern w:val="2"/>
      <w:sz w:val="21"/>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2"/>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4"/>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7"/>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59"/>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4"/>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0"/>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6"/>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Lines="50"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254"/>
    <w:next w:val="254"/>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254"/>
    <w:next w:val="254"/>
    <w:qFormat/>
    <w:uiPriority w:val="0"/>
    <w:rPr>
      <w:rFonts w:ascii="宋体" w:eastAsia="宋体" w:cs="Times New Roman"/>
      <w:color w:val="auto"/>
    </w:rPr>
  </w:style>
  <w:style w:type="paragraph" w:customStyle="1" w:styleId="551">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5"/>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7">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2"/>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3"/>
    <w:qFormat/>
    <w:uiPriority w:val="0"/>
    <w:pPr>
      <w:tabs>
        <w:tab w:val="left" w:pos="840"/>
      </w:tabs>
      <w:adjustRightInd/>
      <w:ind w:left="840" w:hanging="420"/>
    </w:pPr>
  </w:style>
  <w:style w:type="paragraph" w:customStyle="1" w:styleId="627">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link w:val="630"/>
    <w:qFormat/>
    <w:uiPriority w:val="0"/>
    <w:pPr>
      <w:snapToGrid w:val="0"/>
      <w:ind w:firstLine="42" w:firstLineChars="21"/>
    </w:pPr>
    <w:rPr>
      <w:rFonts w:ascii="宋体" w:hAnsi="宋体"/>
      <w:kern w:val="0"/>
      <w:sz w:val="20"/>
      <w:szCs w:val="20"/>
    </w:rPr>
  </w:style>
  <w:style w:type="character" w:customStyle="1" w:styleId="630">
    <w:name w:val="表格 字符"/>
    <w:basedOn w:val="69"/>
    <w:link w:val="629"/>
    <w:qFormat/>
    <w:uiPriority w:val="0"/>
    <w:rPr>
      <w:rFonts w:ascii="宋体" w:hAnsi="宋体"/>
    </w:rPr>
  </w:style>
  <w:style w:type="paragraph" w:customStyle="1" w:styleId="631">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2">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4">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5">
    <w:name w:val="EB_表格"/>
    <w:basedOn w:val="1"/>
    <w:qFormat/>
    <w:uiPriority w:val="0"/>
    <w:pPr>
      <w:adjustRightInd/>
      <w:spacing w:line="300" w:lineRule="auto"/>
      <w:jc w:val="center"/>
    </w:pPr>
  </w:style>
  <w:style w:type="paragraph" w:customStyle="1" w:styleId="636">
    <w:name w:val="_Style 6"/>
    <w:basedOn w:val="1"/>
    <w:qFormat/>
    <w:uiPriority w:val="34"/>
    <w:pPr>
      <w:adjustRightInd/>
      <w:ind w:firstLine="420" w:firstLineChars="200"/>
    </w:pPr>
    <w:rPr>
      <w:rFonts w:eastAsia="仿宋_GB2312"/>
      <w:sz w:val="28"/>
    </w:rPr>
  </w:style>
  <w:style w:type="paragraph" w:customStyle="1" w:styleId="63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64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1">
    <w:name w:val="正文表标题"/>
    <w:next w:val="64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3">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4">
    <w:name w:val="trademark"/>
    <w:qFormat/>
    <w:uiPriority w:val="0"/>
    <w:pPr>
      <w:spacing w:after="60"/>
    </w:pPr>
    <w:rPr>
      <w:rFonts w:ascii="Futura Bk" w:hAnsi="Futura Bk" w:eastAsia="宋体" w:cs="Times New Roman"/>
      <w:sz w:val="15"/>
      <w:lang w:val="en-US" w:eastAsia="en-US" w:bidi="ar-SA"/>
    </w:rPr>
  </w:style>
  <w:style w:type="paragraph" w:customStyle="1" w:styleId="64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6">
    <w:name w:val="Char Char1 Char Char Char Char Char Char1"/>
    <w:basedOn w:val="1"/>
    <w:qFormat/>
    <w:uiPriority w:val="0"/>
    <w:rPr>
      <w:rFonts w:ascii="仿宋_GB2312" w:eastAsia="仿宋_GB2312"/>
      <w:b/>
      <w:sz w:val="32"/>
      <w:szCs w:val="20"/>
    </w:rPr>
  </w:style>
  <w:style w:type="paragraph" w:customStyle="1" w:styleId="64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8">
    <w:name w:val="Char1 Char Char Char1"/>
    <w:basedOn w:val="1"/>
    <w:qFormat/>
    <w:uiPriority w:val="0"/>
    <w:pPr>
      <w:adjustRightInd/>
      <w:ind w:firstLine="200" w:firstLineChars="200"/>
    </w:pPr>
    <w:rPr>
      <w:rFonts w:ascii="Tahoma" w:hAnsi="Tahoma"/>
      <w:sz w:val="24"/>
      <w:szCs w:val="20"/>
    </w:rPr>
  </w:style>
  <w:style w:type="paragraph" w:customStyle="1" w:styleId="649">
    <w:name w:val="a1"/>
    <w:basedOn w:val="1"/>
    <w:qFormat/>
    <w:uiPriority w:val="0"/>
    <w:pPr>
      <w:widowControl/>
      <w:spacing w:line="300" w:lineRule="atLeast"/>
      <w:jc w:val="left"/>
    </w:pPr>
    <w:rPr>
      <w:rFonts w:ascii="宋体" w:hAnsi="宋体"/>
      <w:kern w:val="0"/>
      <w:sz w:val="18"/>
      <w:szCs w:val="20"/>
    </w:rPr>
  </w:style>
  <w:style w:type="paragraph" w:customStyle="1" w:styleId="650">
    <w:name w:val="样式7"/>
    <w:basedOn w:val="651"/>
    <w:next w:val="1"/>
    <w:qFormat/>
    <w:uiPriority w:val="0"/>
    <w:pPr>
      <w:spacing w:afterLines="50"/>
      <w:jc w:val="left"/>
      <w:outlineLvl w:val="3"/>
    </w:pPr>
    <w:rPr>
      <w:sz w:val="24"/>
      <w:szCs w:val="24"/>
    </w:rPr>
  </w:style>
  <w:style w:type="paragraph" w:customStyle="1" w:styleId="65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4">
    <w:name w:val="样式 样式2 + 左侧:  1 字符 右侧:  1 字符"/>
    <w:basedOn w:val="460"/>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5">
    <w:name w:val="Char2 Char Char2"/>
    <w:basedOn w:val="1"/>
    <w:qFormat/>
    <w:uiPriority w:val="0"/>
    <w:pPr>
      <w:adjustRightInd/>
    </w:pPr>
    <w:rPr>
      <w:rFonts w:ascii="Tahoma" w:hAnsi="Tahoma"/>
      <w:sz w:val="24"/>
      <w:szCs w:val="20"/>
    </w:rPr>
  </w:style>
  <w:style w:type="paragraph" w:customStyle="1" w:styleId="65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7">
    <w:name w:val="三级条标题"/>
    <w:basedOn w:val="658"/>
    <w:next w:val="642"/>
    <w:qFormat/>
    <w:uiPriority w:val="0"/>
    <w:pPr>
      <w:tabs>
        <w:tab w:val="left" w:pos="1260"/>
        <w:tab w:val="left" w:pos="1680"/>
        <w:tab w:val="left" w:pos="2100"/>
        <w:tab w:val="left" w:pos="2520"/>
      </w:tabs>
      <w:ind w:left="2520"/>
      <w:outlineLvl w:val="4"/>
    </w:pPr>
  </w:style>
  <w:style w:type="paragraph" w:customStyle="1" w:styleId="658">
    <w:name w:val="二级条标题"/>
    <w:basedOn w:val="659"/>
    <w:next w:val="642"/>
    <w:qFormat/>
    <w:uiPriority w:val="0"/>
    <w:pPr>
      <w:tabs>
        <w:tab w:val="left" w:pos="1260"/>
        <w:tab w:val="left" w:pos="1680"/>
        <w:tab w:val="left" w:pos="2100"/>
      </w:tabs>
      <w:ind w:left="0"/>
      <w:outlineLvl w:val="3"/>
    </w:pPr>
  </w:style>
  <w:style w:type="paragraph" w:customStyle="1" w:styleId="659">
    <w:name w:val="一级条标题"/>
    <w:basedOn w:val="660"/>
    <w:next w:val="642"/>
    <w:qFormat/>
    <w:uiPriority w:val="0"/>
    <w:pPr>
      <w:tabs>
        <w:tab w:val="left" w:pos="1260"/>
        <w:tab w:val="left" w:pos="1680"/>
      </w:tabs>
      <w:spacing w:beforeLines="0" w:afterLines="0"/>
      <w:ind w:left="1680"/>
      <w:outlineLvl w:val="2"/>
    </w:pPr>
  </w:style>
  <w:style w:type="paragraph" w:customStyle="1" w:styleId="660">
    <w:name w:val="章标题"/>
    <w:next w:val="642"/>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1">
    <w:name w:val="数字标题2"/>
    <w:basedOn w:val="2"/>
    <w:next w:val="1"/>
    <w:qFormat/>
    <w:uiPriority w:val="0"/>
    <w:pPr>
      <w:tabs>
        <w:tab w:val="left" w:pos="480"/>
      </w:tabs>
      <w:ind w:left="480" w:hanging="480"/>
    </w:pPr>
    <w:rPr>
      <w:rFonts w:ascii="Times New Roman" w:eastAsia="宋体"/>
      <w:i/>
      <w:sz w:val="36"/>
      <w:szCs w:val="36"/>
      <w:lang w:val="en-US"/>
    </w:rPr>
  </w:style>
  <w:style w:type="paragraph" w:customStyle="1" w:styleId="66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3">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5">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7">
    <w:name w:val="正文 项目2"/>
    <w:basedOn w:val="668"/>
    <w:qFormat/>
    <w:uiPriority w:val="0"/>
    <w:pPr>
      <w:tabs>
        <w:tab w:val="left" w:pos="840"/>
      </w:tabs>
      <w:spacing w:after="0"/>
      <w:ind w:left="900"/>
    </w:pPr>
  </w:style>
  <w:style w:type="paragraph" w:customStyle="1" w:styleId="66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9">
    <w:name w:val="Body Text 2*"/>
    <w:basedOn w:val="1"/>
    <w:qFormat/>
    <w:uiPriority w:val="6"/>
    <w:pPr>
      <w:widowControl/>
      <w:adjustRightInd/>
      <w:ind w:left="720" w:hanging="720"/>
    </w:pPr>
    <w:rPr>
      <w:color w:val="000000"/>
      <w:kern w:val="0"/>
      <w:sz w:val="24"/>
      <w:szCs w:val="20"/>
      <w:lang w:val="en-GB"/>
    </w:rPr>
  </w:style>
  <w:style w:type="paragraph" w:customStyle="1" w:styleId="670">
    <w:name w:val="表1"/>
    <w:basedOn w:val="1"/>
    <w:qFormat/>
    <w:uiPriority w:val="0"/>
    <w:pPr>
      <w:tabs>
        <w:tab w:val="left" w:pos="703"/>
      </w:tabs>
      <w:adjustRightInd/>
      <w:spacing w:line="360" w:lineRule="auto"/>
      <w:ind w:left="703"/>
      <w:jc w:val="center"/>
    </w:pPr>
  </w:style>
  <w:style w:type="paragraph" w:customStyle="1" w:styleId="67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3">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customStyle="1" w:styleId="674">
    <w:name w:val="2级标题"/>
    <w:basedOn w:val="675"/>
    <w:qFormat/>
    <w:uiPriority w:val="0"/>
    <w:pPr>
      <w:jc w:val="left"/>
      <w:outlineLvl w:val="1"/>
    </w:pPr>
    <w:rPr>
      <w:rFonts w:ascii="Times New Roman" w:hAnsi="Times New Roman" w:eastAsia="仿宋"/>
      <w:sz w:val="30"/>
    </w:rPr>
  </w:style>
  <w:style w:type="paragraph" w:customStyle="1" w:styleId="675">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0">
    <w:name w:val="bullet"/>
    <w:basedOn w:val="1"/>
    <w:qFormat/>
    <w:uiPriority w:val="0"/>
    <w:pPr>
      <w:tabs>
        <w:tab w:val="left" w:pos="840"/>
      </w:tabs>
      <w:adjustRightInd/>
      <w:ind w:left="840" w:hanging="420"/>
    </w:pPr>
  </w:style>
  <w:style w:type="paragraph" w:customStyle="1" w:styleId="68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8">
    <w:name w:val="MM Topic 4"/>
    <w:basedOn w:val="6"/>
    <w:qFormat/>
    <w:uiPriority w:val="0"/>
    <w:pPr>
      <w:tabs>
        <w:tab w:val="left" w:pos="2100"/>
      </w:tabs>
      <w:adjustRightInd/>
      <w:ind w:left="2100" w:hanging="420"/>
    </w:pPr>
    <w:rPr>
      <w:lang w:val="en-US"/>
    </w:rPr>
  </w:style>
  <w:style w:type="paragraph" w:customStyle="1" w:styleId="689">
    <w:name w:val="Char11"/>
    <w:basedOn w:val="1"/>
    <w:qFormat/>
    <w:uiPriority w:val="0"/>
    <w:pPr>
      <w:tabs>
        <w:tab w:val="left" w:pos="432"/>
      </w:tabs>
      <w:adjustRightInd/>
      <w:spacing w:beforeLines="50" w:afterLines="50"/>
      <w:ind w:left="432" w:hanging="432" w:firstLineChars="200"/>
    </w:pPr>
    <w:rPr>
      <w:sz w:val="24"/>
    </w:rPr>
  </w:style>
  <w:style w:type="paragraph" w:customStyle="1" w:styleId="69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1">
    <w:name w:val="Char Char11 Char Char Char Char Char Char Char Char Char1"/>
    <w:basedOn w:val="1"/>
    <w:qFormat/>
    <w:uiPriority w:val="6"/>
    <w:pPr>
      <w:spacing w:line="360" w:lineRule="auto"/>
    </w:pPr>
    <w:rPr>
      <w:szCs w:val="20"/>
    </w:rPr>
  </w:style>
  <w:style w:type="paragraph" w:customStyle="1" w:styleId="69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4">
    <w:name w:val="body text bold"/>
    <w:basedOn w:val="2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1">
    <w:name w:val="单元格居中"/>
    <w:basedOn w:val="1"/>
    <w:qFormat/>
    <w:uiPriority w:val="0"/>
    <w:pPr>
      <w:adjustRightInd/>
      <w:spacing w:line="360" w:lineRule="auto"/>
      <w:jc w:val="center"/>
    </w:pPr>
    <w:rPr>
      <w:sz w:val="24"/>
    </w:rPr>
  </w:style>
  <w:style w:type="paragraph" w:customStyle="1" w:styleId="702">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3">
    <w:name w:val="Char Char Char Char Char Char Char1"/>
    <w:basedOn w:val="1"/>
    <w:qFormat/>
    <w:uiPriority w:val="6"/>
    <w:rPr>
      <w:rFonts w:ascii="仿宋_GB2312" w:eastAsia="仿宋_GB2312"/>
      <w:b/>
      <w:sz w:val="32"/>
      <w:szCs w:val="32"/>
    </w:rPr>
  </w:style>
  <w:style w:type="paragraph" w:customStyle="1" w:styleId="70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qFormat/>
    <w:uiPriority w:val="0"/>
    <w:pPr>
      <w:widowControl/>
      <w:adjustRightInd/>
      <w:spacing w:after="160" w:line="240" w:lineRule="exact"/>
      <w:jc w:val="left"/>
    </w:pPr>
    <w:rPr>
      <w:szCs w:val="20"/>
    </w:rPr>
  </w:style>
  <w:style w:type="paragraph" w:customStyle="1" w:styleId="707">
    <w:name w:val="Char Char1121"/>
    <w:basedOn w:val="1"/>
    <w:qFormat/>
    <w:uiPriority w:val="0"/>
    <w:pPr>
      <w:spacing w:line="360" w:lineRule="auto"/>
    </w:pPr>
    <w:rPr>
      <w:szCs w:val="20"/>
    </w:rPr>
  </w:style>
  <w:style w:type="paragraph" w:customStyle="1" w:styleId="70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qFormat/>
    <w:uiPriority w:val="0"/>
    <w:rPr>
      <w:rFonts w:ascii="Times New Roman" w:hAnsi="Times New Roman" w:eastAsia="宋体" w:cs="Times New Roman"/>
      <w:lang w:val="en-US" w:eastAsia="en-US" w:bidi="ar-SA"/>
    </w:rPr>
  </w:style>
  <w:style w:type="paragraph" w:customStyle="1" w:styleId="711">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qFormat/>
    <w:uiPriority w:val="0"/>
    <w:pPr>
      <w:spacing w:line="360" w:lineRule="atLeast"/>
      <w:jc w:val="right"/>
      <w:textAlignment w:val="baseline"/>
    </w:pPr>
    <w:rPr>
      <w:rFonts w:ascii="Symbol" w:hAnsi="Symbol"/>
      <w:kern w:val="0"/>
      <w:szCs w:val="20"/>
    </w:rPr>
  </w:style>
  <w:style w:type="paragraph" w:customStyle="1" w:styleId="71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qFormat/>
    <w:uiPriority w:val="0"/>
    <w:pPr>
      <w:spacing w:line="240" w:lineRule="atLeast"/>
      <w:ind w:left="420" w:firstLine="420"/>
    </w:pPr>
    <w:rPr>
      <w:sz w:val="24"/>
    </w:rPr>
  </w:style>
  <w:style w:type="paragraph" w:customStyle="1" w:styleId="718">
    <w:name w:val="WW-正文文字缩进 2"/>
    <w:basedOn w:val="1"/>
    <w:qFormat/>
    <w:uiPriority w:val="0"/>
    <w:pPr>
      <w:suppressAutoHyphens/>
      <w:adjustRightInd/>
      <w:ind w:firstLine="420"/>
    </w:pPr>
    <w:rPr>
      <w:kern w:val="1"/>
      <w:szCs w:val="20"/>
    </w:rPr>
  </w:style>
  <w:style w:type="paragraph" w:customStyle="1" w:styleId="71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qFormat/>
    <w:uiPriority w:val="0"/>
    <w:pPr>
      <w:adjustRightInd/>
      <w:spacing w:line="400" w:lineRule="exact"/>
      <w:ind w:firstLine="200" w:firstLineChars="200"/>
    </w:pPr>
    <w:rPr>
      <w:rFonts w:ascii="Arial" w:hAnsi="Arial"/>
    </w:rPr>
  </w:style>
  <w:style w:type="paragraph" w:customStyle="1" w:styleId="72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36"/>
    <w:qFormat/>
    <w:uiPriority w:val="0"/>
    <w:pPr>
      <w:spacing w:after="120" w:line="480" w:lineRule="auto"/>
      <w:ind w:left="420" w:leftChars="200"/>
    </w:pPr>
    <w:rPr>
      <w:sz w:val="24"/>
      <w:szCs w:val="20"/>
    </w:rPr>
  </w:style>
  <w:style w:type="paragraph" w:customStyle="1" w:styleId="72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4"/>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qFormat/>
    <w:uiPriority w:val="0"/>
    <w:rPr>
      <w:rFonts w:ascii="仿宋_GB2312" w:eastAsia="仿宋_GB2312"/>
      <w:b/>
      <w:sz w:val="32"/>
      <w:szCs w:val="20"/>
    </w:rPr>
  </w:style>
  <w:style w:type="paragraph" w:customStyle="1" w:styleId="734">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qFormat/>
    <w:uiPriority w:val="0"/>
    <w:rPr>
      <w:rFonts w:ascii="仿宋_GB2312" w:eastAsia="仿宋_GB2312"/>
      <w:b/>
      <w:sz w:val="32"/>
      <w:szCs w:val="32"/>
    </w:rPr>
  </w:style>
  <w:style w:type="paragraph" w:customStyle="1" w:styleId="738">
    <w:name w:val="Char3 Char Char Char1"/>
    <w:basedOn w:val="1"/>
    <w:qFormat/>
    <w:uiPriority w:val="6"/>
    <w:pPr>
      <w:widowControl/>
      <w:adjustRightInd/>
      <w:spacing w:after="160" w:line="240" w:lineRule="exact"/>
      <w:jc w:val="left"/>
    </w:pPr>
    <w:rPr>
      <w:szCs w:val="20"/>
    </w:rPr>
  </w:style>
  <w:style w:type="paragraph" w:customStyle="1" w:styleId="739">
    <w:name w:val="Char1 Char Char Char21"/>
    <w:basedOn w:val="1"/>
    <w:qFormat/>
    <w:uiPriority w:val="0"/>
    <w:rPr>
      <w:rFonts w:ascii="Tahoma" w:hAnsi="Tahoma"/>
      <w:sz w:val="24"/>
      <w:szCs w:val="20"/>
    </w:rPr>
  </w:style>
  <w:style w:type="paragraph" w:customStyle="1" w:styleId="74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qFormat/>
    <w:uiPriority w:val="0"/>
    <w:pPr>
      <w:spacing w:line="360" w:lineRule="auto"/>
      <w:ind w:firstLine="200" w:firstLineChars="200"/>
    </w:pPr>
    <w:rPr>
      <w:sz w:val="24"/>
    </w:rPr>
  </w:style>
  <w:style w:type="paragraph" w:customStyle="1" w:styleId="74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qFormat/>
    <w:uiPriority w:val="0"/>
    <w:pPr>
      <w:adjustRightInd/>
      <w:ind w:firstLine="200" w:firstLineChars="200"/>
    </w:pPr>
    <w:rPr>
      <w:rFonts w:ascii="Tahoma" w:hAnsi="Tahoma"/>
      <w:sz w:val="24"/>
      <w:szCs w:val="20"/>
    </w:rPr>
  </w:style>
  <w:style w:type="paragraph" w:customStyle="1" w:styleId="748">
    <w:name w:val="_标题2"/>
    <w:basedOn w:val="715"/>
    <w:next w:val="715"/>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qFormat/>
    <w:uiPriority w:val="0"/>
    <w:pPr>
      <w:adjustRightInd/>
      <w:spacing w:line="360" w:lineRule="auto"/>
    </w:pPr>
    <w:rPr>
      <w:rFonts w:ascii="宋体" w:hAnsi="宋体"/>
      <w:szCs w:val="20"/>
    </w:rPr>
  </w:style>
  <w:style w:type="paragraph" w:customStyle="1" w:styleId="75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qFormat/>
    <w:uiPriority w:val="0"/>
    <w:pPr>
      <w:adjustRightInd/>
    </w:pPr>
    <w:rPr>
      <w:rFonts w:ascii="Tahoma" w:hAnsi="Tahoma"/>
      <w:sz w:val="24"/>
    </w:rPr>
  </w:style>
  <w:style w:type="paragraph" w:customStyle="1" w:styleId="756">
    <w:name w:val="Char Char Char Char11"/>
    <w:basedOn w:val="1"/>
    <w:qFormat/>
    <w:uiPriority w:val="0"/>
    <w:rPr>
      <w:rFonts w:ascii="Tahoma" w:hAnsi="Tahoma"/>
      <w:sz w:val="24"/>
      <w:szCs w:val="20"/>
    </w:rPr>
  </w:style>
  <w:style w:type="paragraph" w:customStyle="1" w:styleId="75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qFormat/>
    <w:uiPriority w:val="0"/>
    <w:rPr>
      <w:rFonts w:ascii="Tahoma" w:hAnsi="Tahoma"/>
      <w:sz w:val="24"/>
      <w:szCs w:val="20"/>
    </w:rPr>
  </w:style>
  <w:style w:type="paragraph" w:customStyle="1" w:styleId="759">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qFormat/>
    <w:uiPriority w:val="0"/>
    <w:pPr>
      <w:adjustRightInd/>
    </w:pPr>
    <w:rPr>
      <w:szCs w:val="20"/>
    </w:rPr>
  </w:style>
  <w:style w:type="paragraph" w:customStyle="1" w:styleId="76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qFormat/>
    <w:uiPriority w:val="34"/>
    <w:pPr>
      <w:adjustRightInd/>
      <w:ind w:firstLine="420" w:firstLineChars="200"/>
    </w:pPr>
    <w:rPr>
      <w:rFonts w:eastAsia="仿宋_GB2312"/>
      <w:sz w:val="28"/>
    </w:rPr>
  </w:style>
  <w:style w:type="paragraph" w:customStyle="1" w:styleId="76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3"/>
    <w:qFormat/>
    <w:uiPriority w:val="0"/>
    <w:pPr>
      <w:autoSpaceDE/>
      <w:autoSpaceDN/>
      <w:snapToGrid w:val="0"/>
      <w:ind w:firstLine="480" w:firstLineChars="200"/>
    </w:pPr>
    <w:rPr>
      <w:rFonts w:ascii="Times New Roman"/>
      <w:szCs w:val="24"/>
      <w:lang w:val="en-US"/>
    </w:rPr>
  </w:style>
  <w:style w:type="paragraph" w:customStyle="1" w:styleId="77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qFormat/>
    <w:uiPriority w:val="0"/>
    <w:rPr>
      <w:rFonts w:ascii="宋体" w:hAnsi="Times New Roman" w:eastAsia="宋体" w:cs="Times New Roman"/>
      <w:kern w:val="2"/>
      <w:lang w:val="en-US" w:eastAsia="zh-CN" w:bidi="ar-SA"/>
    </w:rPr>
  </w:style>
  <w:style w:type="paragraph" w:customStyle="1" w:styleId="774">
    <w:name w:val="MM Title"/>
    <w:basedOn w:val="58"/>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qFormat/>
    <w:uiPriority w:val="0"/>
    <w:pPr>
      <w:tabs>
        <w:tab w:val="left" w:pos="360"/>
      </w:tabs>
    </w:pPr>
    <w:rPr>
      <w:sz w:val="24"/>
      <w:szCs w:val="20"/>
    </w:rPr>
  </w:style>
  <w:style w:type="paragraph" w:customStyle="1" w:styleId="77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5"/>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qFormat/>
    <w:uiPriority w:val="0"/>
    <w:pPr>
      <w:widowControl/>
      <w:adjustRightInd/>
    </w:pPr>
    <w:rPr>
      <w:kern w:val="0"/>
      <w:szCs w:val="21"/>
    </w:rPr>
  </w:style>
  <w:style w:type="paragraph" w:customStyle="1" w:styleId="787">
    <w:name w:val="Char6"/>
    <w:basedOn w:val="1"/>
    <w:qFormat/>
    <w:uiPriority w:val="0"/>
    <w:rPr>
      <w:rFonts w:ascii="仿宋_GB2312" w:eastAsia="仿宋_GB2312"/>
      <w:b/>
      <w:sz w:val="32"/>
      <w:szCs w:val="32"/>
    </w:rPr>
  </w:style>
  <w:style w:type="paragraph" w:customStyle="1" w:styleId="788">
    <w:name w:val="Char111"/>
    <w:basedOn w:val="1"/>
    <w:qFormat/>
    <w:uiPriority w:val="0"/>
    <w:rPr>
      <w:rFonts w:ascii="仿宋_GB2312" w:eastAsia="仿宋_GB2312"/>
      <w:b/>
      <w:sz w:val="32"/>
      <w:szCs w:val="32"/>
    </w:rPr>
  </w:style>
  <w:style w:type="paragraph" w:customStyle="1" w:styleId="78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79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qFormat/>
    <w:uiPriority w:val="0"/>
    <w:pPr>
      <w:adjustRightInd/>
      <w:ind w:firstLine="200" w:firstLineChars="200"/>
    </w:pPr>
    <w:rPr>
      <w:rFonts w:ascii="Tahoma" w:hAnsi="Tahoma"/>
      <w:sz w:val="24"/>
      <w:szCs w:val="20"/>
    </w:rPr>
  </w:style>
  <w:style w:type="paragraph" w:customStyle="1" w:styleId="793">
    <w:name w:val="列出段落1"/>
    <w:basedOn w:val="1"/>
    <w:link w:val="794"/>
    <w:qFormat/>
    <w:uiPriority w:val="0"/>
    <w:pPr>
      <w:adjustRightInd/>
      <w:spacing w:line="360" w:lineRule="auto"/>
      <w:ind w:firstLine="420" w:firstLineChars="200"/>
    </w:pPr>
    <w:rPr>
      <w:rFonts w:ascii="Calibri" w:hAnsi="Calibri"/>
      <w:sz w:val="24"/>
      <w:szCs w:val="22"/>
    </w:rPr>
  </w:style>
  <w:style w:type="character" w:customStyle="1" w:styleId="794">
    <w:name w:val="列出段落 字符"/>
    <w:link w:val="793"/>
    <w:qFormat/>
    <w:locked/>
    <w:uiPriority w:val="0"/>
    <w:rPr>
      <w:rFonts w:ascii="Calibri" w:hAnsi="Calibri"/>
      <w:kern w:val="2"/>
      <w:sz w:val="24"/>
      <w:szCs w:val="22"/>
    </w:rPr>
  </w:style>
  <w:style w:type="paragraph" w:customStyle="1" w:styleId="795">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6">
    <w:name w:val="Char Char Char Char Char Char Char2"/>
    <w:basedOn w:val="1"/>
    <w:qFormat/>
    <w:uiPriority w:val="0"/>
    <w:rPr>
      <w:rFonts w:ascii="仿宋_GB2312" w:eastAsia="仿宋_GB2312"/>
      <w:b/>
      <w:sz w:val="32"/>
      <w:szCs w:val="32"/>
    </w:rPr>
  </w:style>
  <w:style w:type="paragraph" w:customStyle="1" w:styleId="797">
    <w:name w:val="五级条标题"/>
    <w:basedOn w:val="798"/>
    <w:next w:val="642"/>
    <w:qFormat/>
    <w:uiPriority w:val="0"/>
    <w:pPr>
      <w:tabs>
        <w:tab w:val="left" w:pos="1260"/>
        <w:tab w:val="left" w:pos="1680"/>
        <w:tab w:val="left" w:pos="2100"/>
        <w:tab w:val="left" w:pos="2940"/>
        <w:tab w:val="left" w:pos="3360"/>
      </w:tabs>
      <w:ind w:left="3360"/>
      <w:outlineLvl w:val="6"/>
    </w:pPr>
  </w:style>
  <w:style w:type="paragraph" w:customStyle="1" w:styleId="798">
    <w:name w:val="四级条标题"/>
    <w:basedOn w:val="657"/>
    <w:next w:val="642"/>
    <w:qFormat/>
    <w:uiPriority w:val="0"/>
    <w:pPr>
      <w:tabs>
        <w:tab w:val="left" w:pos="2940"/>
        <w:tab w:val="clear" w:pos="2520"/>
      </w:tabs>
      <w:ind w:left="2940"/>
      <w:outlineLvl w:val="5"/>
    </w:pPr>
  </w:style>
  <w:style w:type="paragraph" w:customStyle="1" w:styleId="79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800">
    <w:name w:val="Char23"/>
    <w:basedOn w:val="1"/>
    <w:qFormat/>
    <w:uiPriority w:val="0"/>
    <w:rPr>
      <w:rFonts w:ascii="仿宋_GB2312" w:eastAsia="仿宋_GB2312"/>
      <w:b/>
      <w:sz w:val="32"/>
      <w:szCs w:val="32"/>
    </w:rPr>
  </w:style>
  <w:style w:type="paragraph" w:customStyle="1" w:styleId="80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3">
    <w:name w:val="首行缩进"/>
    <w:basedOn w:val="1"/>
    <w:qFormat/>
    <w:uiPriority w:val="0"/>
    <w:pPr>
      <w:spacing w:line="360" w:lineRule="auto"/>
      <w:ind w:firstLine="480" w:firstLineChars="200"/>
    </w:pPr>
    <w:rPr>
      <w:rFonts w:ascii="宋体"/>
      <w:sz w:val="24"/>
      <w:szCs w:val="20"/>
    </w:rPr>
  </w:style>
  <w:style w:type="paragraph" w:customStyle="1" w:styleId="80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5">
    <w:name w:val="单元格左对齐"/>
    <w:basedOn w:val="1"/>
    <w:qFormat/>
    <w:uiPriority w:val="0"/>
    <w:pPr>
      <w:adjustRightInd/>
      <w:spacing w:line="360" w:lineRule="auto"/>
    </w:pPr>
    <w:rPr>
      <w:sz w:val="24"/>
    </w:rPr>
  </w:style>
  <w:style w:type="paragraph" w:customStyle="1" w:styleId="806">
    <w:name w:val="正文主体"/>
    <w:basedOn w:val="625"/>
    <w:qFormat/>
    <w:uiPriority w:val="0"/>
  </w:style>
  <w:style w:type="paragraph" w:customStyle="1" w:styleId="80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10">
    <w:name w:val="正文（首行缩进2字符）"/>
    <w:basedOn w:val="1"/>
    <w:qFormat/>
    <w:uiPriority w:val="0"/>
    <w:pPr>
      <w:adjustRightInd/>
      <w:spacing w:line="360" w:lineRule="auto"/>
      <w:ind w:firstLine="480" w:firstLineChars="200"/>
    </w:pPr>
    <w:rPr>
      <w:sz w:val="24"/>
      <w:szCs w:val="20"/>
    </w:rPr>
  </w:style>
  <w:style w:type="paragraph" w:customStyle="1" w:styleId="811">
    <w:name w:val="P1"/>
    <w:basedOn w:val="1"/>
    <w:qFormat/>
    <w:uiPriority w:val="0"/>
    <w:pPr>
      <w:adjustRightInd/>
      <w:spacing w:line="288" w:lineRule="auto"/>
      <w:ind w:firstLine="425" w:firstLineChars="200"/>
    </w:pPr>
  </w:style>
  <w:style w:type="paragraph" w:customStyle="1" w:styleId="812">
    <w:name w:val="列表内容"/>
    <w:basedOn w:val="1"/>
    <w:next w:val="1"/>
    <w:qFormat/>
    <w:uiPriority w:val="0"/>
    <w:pPr>
      <w:widowControl/>
      <w:tabs>
        <w:tab w:val="left" w:pos="840"/>
      </w:tabs>
      <w:ind w:left="840" w:hanging="420"/>
      <w:jc w:val="left"/>
    </w:pPr>
    <w:rPr>
      <w:kern w:val="0"/>
      <w:sz w:val="18"/>
    </w:rPr>
  </w:style>
  <w:style w:type="paragraph" w:customStyle="1" w:styleId="813">
    <w:name w:val="Char Char11 Char Char Char1"/>
    <w:basedOn w:val="1"/>
    <w:qFormat/>
    <w:uiPriority w:val="6"/>
    <w:pPr>
      <w:spacing w:line="360" w:lineRule="auto"/>
    </w:pPr>
    <w:rPr>
      <w:szCs w:val="20"/>
    </w:rPr>
  </w:style>
  <w:style w:type="paragraph" w:customStyle="1" w:styleId="81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5">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8">
    <w:name w:val="正文文字缩进2字"/>
    <w:basedOn w:val="23"/>
    <w:qFormat/>
    <w:uiPriority w:val="0"/>
    <w:pPr>
      <w:autoSpaceDE/>
      <w:autoSpaceDN/>
      <w:adjustRightInd/>
      <w:spacing w:before="60" w:after="60"/>
      <w:ind w:firstLine="200" w:firstLineChars="200"/>
    </w:pPr>
    <w:rPr>
      <w:rFonts w:ascii="Times New Roman"/>
      <w:szCs w:val="20"/>
      <w:lang w:val="en-US"/>
    </w:rPr>
  </w:style>
  <w:style w:type="paragraph" w:customStyle="1" w:styleId="819">
    <w:name w:val="默认段落字体 Para Char Char Char Char"/>
    <w:basedOn w:val="1"/>
    <w:qFormat/>
    <w:uiPriority w:val="0"/>
    <w:pPr>
      <w:spacing w:line="360" w:lineRule="auto"/>
    </w:pPr>
    <w:rPr>
      <w:szCs w:val="20"/>
    </w:rPr>
  </w:style>
  <w:style w:type="paragraph" w:customStyle="1" w:styleId="82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2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2">
    <w:name w:val="Char2 Char Char Char2"/>
    <w:basedOn w:val="1"/>
    <w:qFormat/>
    <w:uiPriority w:val="0"/>
    <w:rPr>
      <w:rFonts w:ascii="仿宋_GB2312" w:eastAsia="仿宋_GB2312"/>
      <w:b/>
      <w:sz w:val="32"/>
      <w:szCs w:val="32"/>
    </w:rPr>
  </w:style>
  <w:style w:type="paragraph" w:customStyle="1" w:styleId="82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5">
    <w:name w:val="正文 首行缩进:  2 字符 Char"/>
    <w:basedOn w:val="1"/>
    <w:qFormat/>
    <w:uiPriority w:val="0"/>
    <w:pPr>
      <w:adjustRightInd/>
      <w:spacing w:line="360" w:lineRule="auto"/>
      <w:ind w:firstLine="480"/>
    </w:pPr>
    <w:rPr>
      <w:rFonts w:cs="宋体"/>
      <w:sz w:val="24"/>
      <w:szCs w:val="20"/>
    </w:rPr>
  </w:style>
  <w:style w:type="paragraph" w:customStyle="1" w:styleId="826">
    <w:name w:val="Char Char4 Char Char"/>
    <w:basedOn w:val="1"/>
    <w:qFormat/>
    <w:uiPriority w:val="0"/>
    <w:pPr>
      <w:widowControl/>
      <w:adjustRightInd/>
      <w:spacing w:after="160" w:line="240" w:lineRule="exact"/>
      <w:jc w:val="left"/>
    </w:pPr>
  </w:style>
  <w:style w:type="paragraph" w:customStyle="1" w:styleId="82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8">
    <w:name w:val="Char Char11 Char Char Char2"/>
    <w:basedOn w:val="1"/>
    <w:qFormat/>
    <w:uiPriority w:val="0"/>
    <w:pPr>
      <w:spacing w:line="360" w:lineRule="auto"/>
    </w:pPr>
    <w:rPr>
      <w:szCs w:val="20"/>
    </w:rPr>
  </w:style>
  <w:style w:type="paragraph" w:customStyle="1" w:styleId="82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3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1">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5">
    <w:name w:val="Char311"/>
    <w:basedOn w:val="1"/>
    <w:qFormat/>
    <w:uiPriority w:val="0"/>
    <w:pPr>
      <w:adjustRightInd/>
      <w:ind w:firstLine="200" w:firstLineChars="200"/>
    </w:pPr>
    <w:rPr>
      <w:rFonts w:ascii="Tahoma" w:hAnsi="Tahoma"/>
      <w:sz w:val="24"/>
      <w:szCs w:val="20"/>
    </w:rPr>
  </w:style>
  <w:style w:type="paragraph" w:customStyle="1" w:styleId="836">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8">
    <w:name w:val="正文 内标"/>
    <w:basedOn w:val="752"/>
    <w:qFormat/>
    <w:uiPriority w:val="0"/>
    <w:pPr>
      <w:tabs>
        <w:tab w:val="left" w:pos="0"/>
      </w:tabs>
      <w:ind w:left="900" w:firstLine="0" w:firstLineChars="0"/>
    </w:pPr>
  </w:style>
  <w:style w:type="paragraph" w:customStyle="1" w:styleId="839">
    <w:name w:val="Bulleted List"/>
    <w:basedOn w:val="1"/>
    <w:qFormat/>
    <w:uiPriority w:val="0"/>
    <w:pPr>
      <w:tabs>
        <w:tab w:val="left" w:pos="1260"/>
      </w:tabs>
      <w:adjustRightInd/>
      <w:ind w:left="1260" w:hanging="420"/>
    </w:pPr>
  </w:style>
  <w:style w:type="paragraph" w:customStyle="1" w:styleId="840">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841">
    <w:name w:val="样式 左侧:  0.85 厘米"/>
    <w:basedOn w:val="1"/>
    <w:qFormat/>
    <w:uiPriority w:val="2"/>
    <w:pPr>
      <w:adjustRightInd/>
      <w:spacing w:line="360" w:lineRule="auto"/>
    </w:pPr>
    <w:rPr>
      <w:rFonts w:cs="宋体"/>
      <w:sz w:val="24"/>
      <w:szCs w:val="20"/>
    </w:rPr>
  </w:style>
  <w:style w:type="paragraph" w:customStyle="1" w:styleId="842">
    <w:name w:val="Char Char Char Char Char Char Char Char Char Char Char Char1 Char"/>
    <w:basedOn w:val="1"/>
    <w:qFormat/>
    <w:uiPriority w:val="0"/>
    <w:rPr>
      <w:rFonts w:ascii="Tahoma" w:hAnsi="Tahoma" w:cs="仿宋_GB2312"/>
      <w:sz w:val="24"/>
      <w:szCs w:val="20"/>
    </w:rPr>
  </w:style>
  <w:style w:type="paragraph" w:customStyle="1" w:styleId="843">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844">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5">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6">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7">
    <w:name w:val="Char Char1 Char Char Char Char Char Char"/>
    <w:basedOn w:val="1"/>
    <w:qFormat/>
    <w:uiPriority w:val="0"/>
    <w:rPr>
      <w:rFonts w:ascii="仿宋_GB2312" w:eastAsia="仿宋_GB2312"/>
      <w:b/>
      <w:sz w:val="32"/>
      <w:szCs w:val="20"/>
    </w:rPr>
  </w:style>
  <w:style w:type="paragraph" w:customStyle="1" w:styleId="848">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9">
    <w:name w:val="Char Char1 Char Char Char Char Char Char2"/>
    <w:basedOn w:val="1"/>
    <w:qFormat/>
    <w:uiPriority w:val="0"/>
    <w:rPr>
      <w:rFonts w:ascii="仿宋_GB2312" w:eastAsia="仿宋_GB2312"/>
      <w:b/>
      <w:sz w:val="32"/>
      <w:szCs w:val="20"/>
    </w:rPr>
  </w:style>
  <w:style w:type="paragraph" w:customStyle="1" w:styleId="850">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51">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2">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3">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4">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5">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6">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7">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8">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9">
    <w:name w:val="Char31"/>
    <w:basedOn w:val="1"/>
    <w:qFormat/>
    <w:uiPriority w:val="0"/>
    <w:pPr>
      <w:adjustRightInd/>
    </w:pPr>
    <w:rPr>
      <w:rFonts w:ascii="仿宋_GB2312" w:eastAsia="仿宋_GB2312"/>
      <w:b/>
      <w:sz w:val="32"/>
      <w:szCs w:val="32"/>
    </w:rPr>
  </w:style>
  <w:style w:type="paragraph" w:customStyle="1" w:styleId="860">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861">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2">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1"/>
    <w:basedOn w:val="1"/>
    <w:qFormat/>
    <w:uiPriority w:val="0"/>
    <w:pPr>
      <w:widowControl/>
      <w:spacing w:after="160" w:line="240" w:lineRule="exact"/>
      <w:jc w:val="left"/>
    </w:pPr>
    <w:rPr>
      <w:rFonts w:eastAsia="仿宋_GB2312"/>
      <w:sz w:val="28"/>
    </w:rPr>
  </w:style>
  <w:style w:type="paragraph" w:customStyle="1" w:styleId="864">
    <w:name w:val="Char21"/>
    <w:basedOn w:val="1"/>
    <w:qFormat/>
    <w:uiPriority w:val="0"/>
    <w:pPr>
      <w:adjustRightInd/>
      <w:ind w:firstLine="200" w:firstLineChars="200"/>
    </w:pPr>
    <w:rPr>
      <w:rFonts w:ascii="仿宋_GB2312" w:eastAsia="仿宋_GB2312"/>
      <w:b/>
      <w:sz w:val="32"/>
      <w:szCs w:val="32"/>
    </w:rPr>
  </w:style>
  <w:style w:type="paragraph" w:customStyle="1" w:styleId="865">
    <w:name w:val="列表段落1"/>
    <w:basedOn w:val="1"/>
    <w:qFormat/>
    <w:uiPriority w:val="34"/>
    <w:pPr>
      <w:adjustRightInd/>
      <w:ind w:right="238" w:firstLine="420"/>
    </w:pPr>
    <w:rPr>
      <w:rFonts w:ascii="Calibri" w:hAnsi="Calibri"/>
      <w:sz w:val="24"/>
    </w:rPr>
  </w:style>
  <w:style w:type="paragraph" w:customStyle="1" w:styleId="866">
    <w:name w:val="Char Char110"/>
    <w:basedOn w:val="1"/>
    <w:qFormat/>
    <w:uiPriority w:val="6"/>
    <w:pPr>
      <w:spacing w:line="360" w:lineRule="auto"/>
    </w:pPr>
    <w:rPr>
      <w:rFonts w:ascii="Tahoma" w:hAnsi="Tahoma"/>
      <w:sz w:val="24"/>
      <w:szCs w:val="20"/>
    </w:rPr>
  </w:style>
  <w:style w:type="paragraph" w:customStyle="1" w:styleId="867">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8">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9">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70">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71">
    <w:name w:val="Char Char Char Char Char Char Char Char Char Char Char Char1 Char2"/>
    <w:basedOn w:val="1"/>
    <w:qFormat/>
    <w:uiPriority w:val="0"/>
    <w:rPr>
      <w:rFonts w:ascii="Tahoma" w:hAnsi="Tahoma" w:cs="仿宋_GB2312"/>
      <w:sz w:val="24"/>
      <w:szCs w:val="20"/>
    </w:rPr>
  </w:style>
  <w:style w:type="paragraph" w:customStyle="1" w:styleId="872">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3">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4">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75">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6">
    <w:name w:val="_Style 12"/>
    <w:basedOn w:val="18"/>
    <w:qFormat/>
    <w:uiPriority w:val="0"/>
    <w:pPr>
      <w:snapToGrid w:val="0"/>
      <w:spacing w:line="360" w:lineRule="auto"/>
    </w:pPr>
  </w:style>
  <w:style w:type="paragraph" w:customStyle="1" w:styleId="877">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8">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9">
    <w:name w:val="_Style 94"/>
    <w:basedOn w:val="1"/>
    <w:next w:val="277"/>
    <w:qFormat/>
    <w:uiPriority w:val="34"/>
    <w:pPr>
      <w:adjustRightInd/>
      <w:spacing w:line="360" w:lineRule="auto"/>
      <w:ind w:firstLine="200" w:firstLineChars="200"/>
    </w:pPr>
    <w:rPr>
      <w:rFonts w:ascii="Calibri" w:hAnsi="Calibri"/>
      <w:sz w:val="28"/>
      <w:szCs w:val="20"/>
    </w:rPr>
  </w:style>
  <w:style w:type="paragraph" w:customStyle="1" w:styleId="88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8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2">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3">
    <w:name w:val="3级标题"/>
    <w:basedOn w:val="674"/>
    <w:qFormat/>
    <w:uiPriority w:val="0"/>
    <w:pPr>
      <w:outlineLvl w:val="2"/>
    </w:pPr>
  </w:style>
  <w:style w:type="paragraph" w:customStyle="1" w:styleId="884">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5">
    <w:name w:val="Char1 Char Char Char3"/>
    <w:basedOn w:val="1"/>
    <w:qFormat/>
    <w:uiPriority w:val="0"/>
    <w:pPr>
      <w:adjustRightInd/>
      <w:ind w:firstLine="200" w:firstLineChars="200"/>
    </w:pPr>
    <w:rPr>
      <w:rFonts w:ascii="Tahoma" w:hAnsi="Tahoma"/>
      <w:sz w:val="24"/>
      <w:szCs w:val="20"/>
    </w:rPr>
  </w:style>
  <w:style w:type="paragraph" w:customStyle="1" w:styleId="886">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7">
    <w:name w:val="MM Empty"/>
    <w:basedOn w:val="1"/>
    <w:qFormat/>
    <w:uiPriority w:val="0"/>
    <w:pPr>
      <w:adjustRightInd/>
    </w:pPr>
  </w:style>
  <w:style w:type="paragraph" w:customStyle="1" w:styleId="888">
    <w:name w:val="Char24"/>
    <w:basedOn w:val="1"/>
    <w:qFormat/>
    <w:uiPriority w:val="0"/>
    <w:rPr>
      <w:rFonts w:ascii="仿宋_GB2312" w:eastAsia="仿宋_GB2312"/>
      <w:b/>
      <w:sz w:val="32"/>
      <w:szCs w:val="32"/>
    </w:rPr>
  </w:style>
  <w:style w:type="paragraph" w:customStyle="1" w:styleId="889">
    <w:name w:val="正文箭头"/>
    <w:basedOn w:val="539"/>
    <w:qFormat/>
    <w:uiPriority w:val="0"/>
  </w:style>
  <w:style w:type="paragraph" w:customStyle="1" w:styleId="890">
    <w:name w:val="U_编号2"/>
    <w:basedOn w:val="1"/>
    <w:qFormat/>
    <w:uiPriority w:val="0"/>
    <w:pPr>
      <w:tabs>
        <w:tab w:val="left" w:pos="785"/>
      </w:tabs>
      <w:adjustRightInd/>
      <w:spacing w:beforeLines="10" w:afterLines="10" w:line="300" w:lineRule="auto"/>
    </w:pPr>
    <w:rPr>
      <w:sz w:val="24"/>
    </w:rPr>
  </w:style>
  <w:style w:type="paragraph" w:customStyle="1" w:styleId="891">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2">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3">
    <w:name w:val="标书标题3"/>
    <w:basedOn w:val="4"/>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4">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5">
    <w:name w:val="_Style 1"/>
    <w:basedOn w:val="1"/>
    <w:qFormat/>
    <w:uiPriority w:val="34"/>
    <w:pPr>
      <w:adjustRightInd/>
      <w:ind w:firstLine="420" w:firstLineChars="200"/>
    </w:pPr>
    <w:rPr>
      <w:rFonts w:eastAsia="仿宋_GB2312"/>
      <w:sz w:val="28"/>
    </w:rPr>
  </w:style>
  <w:style w:type="paragraph" w:customStyle="1" w:styleId="896">
    <w:name w:val="表格 内容"/>
    <w:basedOn w:val="731"/>
    <w:qFormat/>
    <w:uiPriority w:val="0"/>
    <w:rPr>
      <w:b w:val="0"/>
      <w:sz w:val="20"/>
    </w:rPr>
  </w:style>
  <w:style w:type="paragraph" w:customStyle="1" w:styleId="897">
    <w:name w:val="正文首行缩进1"/>
    <w:basedOn w:val="2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8">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9">
    <w:name w:val="数字标题5"/>
    <w:basedOn w:val="7"/>
    <w:next w:val="1"/>
    <w:qFormat/>
    <w:uiPriority w:val="0"/>
    <w:pPr>
      <w:tabs>
        <w:tab w:val="left" w:pos="1080"/>
      </w:tabs>
      <w:ind w:left="1080" w:hanging="1080"/>
    </w:pPr>
  </w:style>
  <w:style w:type="paragraph" w:customStyle="1" w:styleId="900">
    <w:name w:val="数字标题1"/>
    <w:basedOn w:val="3"/>
    <w:next w:val="1"/>
    <w:qFormat/>
    <w:uiPriority w:val="0"/>
    <w:pPr>
      <w:tabs>
        <w:tab w:val="left" w:pos="480"/>
      </w:tabs>
      <w:ind w:left="480" w:hanging="480"/>
    </w:pPr>
  </w:style>
  <w:style w:type="paragraph" w:customStyle="1" w:styleId="901">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2">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3">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4">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5">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6">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7">
    <w:name w:val="0"/>
    <w:basedOn w:val="1"/>
    <w:qFormat/>
    <w:uiPriority w:val="0"/>
    <w:pPr>
      <w:widowControl/>
    </w:pPr>
    <w:rPr>
      <w:kern w:val="0"/>
      <w:sz w:val="24"/>
      <w:szCs w:val="20"/>
    </w:rPr>
  </w:style>
  <w:style w:type="paragraph" w:customStyle="1" w:styleId="908">
    <w:name w:val="Char Char113"/>
    <w:basedOn w:val="1"/>
    <w:qFormat/>
    <w:uiPriority w:val="0"/>
    <w:pPr>
      <w:widowControl/>
      <w:spacing w:after="160" w:line="240" w:lineRule="exact"/>
      <w:jc w:val="left"/>
    </w:pPr>
    <w:rPr>
      <w:rFonts w:eastAsia="仿宋_GB2312"/>
      <w:sz w:val="28"/>
    </w:rPr>
  </w:style>
  <w:style w:type="paragraph" w:customStyle="1" w:styleId="909">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10">
    <w:name w:val="_Style 8"/>
    <w:basedOn w:val="1"/>
    <w:qFormat/>
    <w:uiPriority w:val="34"/>
    <w:pPr>
      <w:adjustRightInd/>
      <w:ind w:firstLine="420" w:firstLineChars="200"/>
    </w:pPr>
    <w:rPr>
      <w:rFonts w:eastAsia="仿宋_GB2312"/>
      <w:sz w:val="28"/>
    </w:rPr>
  </w:style>
  <w:style w:type="paragraph" w:customStyle="1" w:styleId="911">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2">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13">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4">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6">
    <w:name w:val="Char Char112"/>
    <w:basedOn w:val="1"/>
    <w:qFormat/>
    <w:uiPriority w:val="6"/>
    <w:pPr>
      <w:widowControl/>
      <w:spacing w:after="160" w:line="240" w:lineRule="exact"/>
      <w:jc w:val="left"/>
    </w:pPr>
    <w:rPr>
      <w:rFonts w:eastAsia="仿宋_GB2312"/>
      <w:sz w:val="28"/>
    </w:rPr>
  </w:style>
  <w:style w:type="paragraph" w:customStyle="1" w:styleId="917">
    <w:name w:val="正文 图"/>
    <w:basedOn w:val="443"/>
    <w:qFormat/>
    <w:uiPriority w:val="0"/>
    <w:pPr>
      <w:adjustRightInd/>
      <w:spacing w:before="0"/>
      <w:ind w:firstLine="0"/>
      <w:jc w:val="center"/>
    </w:pPr>
    <w:rPr>
      <w:rFonts w:ascii="微软雅黑" w:hAnsi="微软雅黑"/>
    </w:rPr>
  </w:style>
  <w:style w:type="paragraph" w:customStyle="1" w:styleId="918">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9">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20">
    <w:name w:val="Thf"/>
    <w:basedOn w:val="563"/>
    <w:qFormat/>
    <w:uiPriority w:val="0"/>
    <w:pPr>
      <w:ind w:left="0"/>
    </w:pPr>
  </w:style>
  <w:style w:type="paragraph" w:customStyle="1" w:styleId="921">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2">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3">
    <w:name w:val="注释"/>
    <w:basedOn w:val="1"/>
    <w:qFormat/>
    <w:uiPriority w:val="0"/>
    <w:pPr>
      <w:adjustRightInd/>
      <w:spacing w:line="360" w:lineRule="auto"/>
      <w:ind w:firstLine="480"/>
    </w:pPr>
    <w:rPr>
      <w:sz w:val="24"/>
    </w:rPr>
  </w:style>
  <w:style w:type="table" w:customStyle="1" w:styleId="924">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8">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9">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30">
    <w:name w:val="列出段落111"/>
    <w:basedOn w:val="1"/>
    <w:qFormat/>
    <w:uiPriority w:val="34"/>
    <w:pPr>
      <w:ind w:firstLine="420" w:firstLineChars="200"/>
    </w:pPr>
  </w:style>
  <w:style w:type="character" w:customStyle="1" w:styleId="931">
    <w:name w:val="交叉引用"/>
    <w:qFormat/>
    <w:uiPriority w:val="1"/>
    <w:rPr>
      <w:rFonts w:ascii="Arial" w:hAnsi="Arial" w:eastAsia="黑体"/>
      <w:snapToGrid w:val="0"/>
      <w:color w:val="0000FF"/>
      <w:kern w:val="0"/>
      <w:sz w:val="20"/>
      <w:szCs w:val="21"/>
      <w:u w:val="single"/>
      <w:lang w:val="en-US" w:eastAsia="zh-CN"/>
    </w:rPr>
  </w:style>
  <w:style w:type="character" w:customStyle="1" w:styleId="932">
    <w:name w:val="正文缩进 字符1"/>
    <w:qFormat/>
    <w:uiPriority w:val="0"/>
    <w:rPr>
      <w:rFonts w:ascii="宋体" w:eastAsia="宋体"/>
      <w:snapToGrid w:val="0"/>
      <w:color w:val="000000"/>
      <w:kern w:val="28"/>
      <w:sz w:val="28"/>
      <w:lang w:val="en-US" w:eastAsia="zh-CN" w:bidi="ar-SA"/>
    </w:rPr>
  </w:style>
  <w:style w:type="character" w:customStyle="1" w:styleId="933">
    <w:name w:val="页脚 字符1"/>
    <w:qFormat/>
    <w:locked/>
    <w:uiPriority w:val="99"/>
    <w:rPr>
      <w:kern w:val="2"/>
      <w:sz w:val="18"/>
      <w:szCs w:val="18"/>
    </w:rPr>
  </w:style>
  <w:style w:type="character" w:customStyle="1" w:styleId="934">
    <w:name w:val="页眉 字符1"/>
    <w:qFormat/>
    <w:uiPriority w:val="99"/>
    <w:rPr>
      <w:kern w:val="2"/>
      <w:sz w:val="18"/>
      <w:szCs w:val="18"/>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77"/>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69"/>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character" w:customStyle="1" w:styleId="965">
    <w:name w:val="Unresolved Mention"/>
    <w:basedOn w:val="69"/>
    <w:semiHidden/>
    <w:unhideWhenUsed/>
    <w:uiPriority w:val="99"/>
    <w:rPr>
      <w:color w:val="605E5C"/>
      <w:shd w:val="clear" w:color="auto" w:fill="E1DFDD"/>
    </w:rPr>
  </w:style>
  <w:style w:type="character" w:customStyle="1" w:styleId="966">
    <w:name w:val="纯文本 字符1"/>
    <w:qFormat/>
    <w:locked/>
    <w:uiPriority w:val="0"/>
    <w:rPr>
      <w:rFonts w:eastAsia="宋体"/>
      <w:kern w:val="2"/>
      <w:sz w:val="24"/>
      <w:lang w:val="en-US" w:eastAsia="zh-CN" w:bidi="ar-SA"/>
    </w:rPr>
  </w:style>
  <w:style w:type="paragraph" w:customStyle="1" w:styleId="967">
    <w:name w:val="2级"/>
    <w:basedOn w:val="1"/>
    <w:next w:val="1"/>
    <w:qFormat/>
    <w:uiPriority w:val="0"/>
    <w:pPr>
      <w:numPr>
        <w:ilvl w:val="1"/>
        <w:numId w:val="1"/>
      </w:numPr>
      <w:adjustRightInd/>
      <w:spacing w:beforeLines="50" w:afterLines="50" w:line="360" w:lineRule="auto"/>
      <w:ind w:firstLine="200" w:firstLineChars="200"/>
      <w:outlineLvl w:val="1"/>
    </w:pPr>
    <w:rPr>
      <w:b/>
      <w:sz w:val="28"/>
    </w:rPr>
  </w:style>
  <w:style w:type="paragraph" w:customStyle="1" w:styleId="968">
    <w:name w:val="纯文本_0"/>
    <w:basedOn w:val="1"/>
    <w:unhideWhenUsed/>
    <w:qFormat/>
    <w:uiPriority w:val="0"/>
    <w:pPr>
      <w:adjustRightInd/>
      <w:spacing w:line="360" w:lineRule="auto"/>
      <w:ind w:firstLine="200" w:firstLineChars="200"/>
    </w:pPr>
    <w:rPr>
      <w:rFonts w:ascii="宋体" w:hAnsi="Courier New"/>
      <w:kern w:val="0"/>
      <w:sz w:val="20"/>
      <w:szCs w:val="20"/>
    </w:rPr>
  </w:style>
  <w:style w:type="paragraph" w:customStyle="1" w:styleId="969">
    <w:name w:val="Body Text First Indent 21"/>
    <w:basedOn w:val="970"/>
    <w:qFormat/>
    <w:uiPriority w:val="0"/>
    <w:pPr>
      <w:ind w:firstLine="420"/>
    </w:pPr>
    <w:rPr>
      <w:rFonts w:cs="宋体"/>
    </w:rPr>
  </w:style>
  <w:style w:type="paragraph" w:customStyle="1" w:styleId="970">
    <w:name w:val="Body Text Indent1"/>
    <w:basedOn w:val="1"/>
    <w:next w:val="1"/>
    <w:qFormat/>
    <w:uiPriority w:val="0"/>
    <w:pPr>
      <w:adjustRightInd/>
      <w:spacing w:after="120" w:line="360" w:lineRule="auto"/>
      <w:ind w:left="420" w:leftChars="200" w:firstLine="200" w:firstLineChars="200"/>
    </w:pPr>
    <w:rPr>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xml"/><Relationship Id="rId26" Type="http://schemas.openxmlformats.org/officeDocument/2006/relationships/numbering" Target="numbering.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9636-B328-4450-820F-D2922A64437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64</Pages>
  <Words>28952</Words>
  <Characters>30525</Characters>
  <Lines>264</Lines>
  <Paragraphs>74</Paragraphs>
  <TotalTime>99</TotalTime>
  <ScaleCrop>false</ScaleCrop>
  <LinksUpToDate>false</LinksUpToDate>
  <CharactersWithSpaces>35697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2022-08-24T08:02:00Z</dcterms:created>
  <dc:creator>玥</dc:creator>
  <cp:lastModifiedBy>PC</cp:lastModifiedBy>
  <cp:lastPrinted>2022-08-25T02:34:00Z</cp:lastPrinted>
  <dcterms:modified xsi:type="dcterms:W3CDTF">2022-08-25T08:50:40Z</dcterms:modified>
  <dc:title>杭州市市民卡扩大发卡工程</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67AABB8ED013447CA68E8B85E149BF45</vt:lpwstr>
  </property>
</Properties>
</file>