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52"/>
          <w:szCs w:val="52"/>
        </w:rPr>
      </w:pPr>
    </w:p>
    <w:p>
      <w:pPr>
        <w:adjustRightInd/>
        <w:spacing w:line="360" w:lineRule="auto"/>
        <w:jc w:val="center"/>
        <w:rPr>
          <w:rFonts w:ascii="黑体" w:hAnsi="黑体" w:eastAsia="黑体"/>
          <w:b/>
          <w:bCs/>
          <w:sz w:val="52"/>
          <w:szCs w:val="52"/>
        </w:rPr>
      </w:pPr>
      <w:r>
        <w:rPr>
          <w:rFonts w:hint="eastAsia" w:ascii="黑体" w:hAnsi="黑体" w:eastAsia="黑体"/>
          <w:b/>
          <w:bCs/>
          <w:sz w:val="52"/>
          <w:szCs w:val="52"/>
        </w:rPr>
        <w:t>诸暨市财政投资预决算审核中心政府投资项目和村级工程项目的协审服务项目</w:t>
      </w:r>
      <w:r>
        <w:rPr>
          <w:rFonts w:hint="eastAsia" w:ascii="黑体" w:hAnsi="黑体" w:eastAsia="黑体"/>
          <w:b/>
          <w:bCs/>
          <w:sz w:val="52"/>
          <w:szCs w:val="52"/>
          <w:lang w:val="en-US" w:eastAsia="zh-CN"/>
        </w:rPr>
        <w:t>(框架协议采购)</w:t>
      </w:r>
      <w:r>
        <w:rPr>
          <w:rFonts w:hint="eastAsia" w:ascii="黑体" w:hAnsi="黑体" w:eastAsia="黑体"/>
          <w:b/>
          <w:bCs/>
          <w:sz w:val="52"/>
          <w:szCs w:val="52"/>
        </w:rPr>
        <w:t>征集文件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诸政采2022-06-07</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诸暨市财政投资预决算审核中心</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二二年六月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bookmarkStart w:id="412" w:name="_GoBack"/>
      <w:bookmarkEnd w:id="412"/>
      <w:r>
        <w:rPr>
          <w:rFonts w:hint="eastAsia" w:ascii="仿宋" w:hAnsi="仿宋" w:eastAsia="仿宋" w:cs="仿宋_GB2312"/>
          <w:sz w:val="32"/>
          <w:szCs w:val="32"/>
          <w:lang w:eastAsia="zh-CN"/>
        </w:rPr>
        <w:t>征集</w:t>
      </w:r>
      <w:r>
        <w:rPr>
          <w:rFonts w:hint="eastAsia" w:ascii="仿宋" w:hAnsi="仿宋" w:eastAsia="仿宋" w:cs="仿宋_GB2312"/>
          <w:sz w:val="32"/>
          <w:szCs w:val="32"/>
        </w:rPr>
        <w:t>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bookmarkStart w:id="1" w:name="_Hlt91233176"/>
      <w:bookmarkEnd w:id="1"/>
      <w:bookmarkStart w:id="2" w:name="_Toc91899869"/>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36"/>
        </w:rPr>
        <w:t xml:space="preserve">第一部分 </w:t>
      </w:r>
      <w:r>
        <w:rPr>
          <w:rFonts w:hint="eastAsia" w:ascii="仿宋_GB2312" w:hAnsi="仿宋" w:eastAsia="仿宋_GB2312" w:cs="仿宋_GB2312"/>
          <w:b/>
          <w:sz w:val="36"/>
          <w:szCs w:val="20"/>
        </w:rPr>
        <w:t>征集公告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诸暨市财政投资预决算审核中心政府投资项目和村级工程项目的协审服务项目</w:t>
      </w:r>
      <w:r>
        <w:rPr>
          <w:rFonts w:hint="eastAsia" w:ascii="仿宋_GB2312" w:hAnsi="仿宋" w:eastAsia="仿宋_GB2312"/>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ascii="仿宋_GB2312" w:hAnsi="仿宋" w:eastAsia="仿宋_GB2312" w:cs="Times New Roman"/>
          <w:snapToGrid/>
          <w:color w:val="auto"/>
          <w:kern w:val="2"/>
          <w:sz w:val="24"/>
          <w:szCs w:val="24"/>
        </w:rPr>
        <w:t>获取（下载）</w:t>
      </w:r>
      <w:r>
        <w:rPr>
          <w:rStyle w:val="79"/>
          <w:rFonts w:hint="eastAsia" w:ascii="仿宋_GB2312" w:hAnsi="仿宋" w:eastAsia="仿宋_GB2312" w:cs="Times New Roman"/>
          <w:snapToGrid/>
          <w:color w:val="auto"/>
          <w:kern w:val="2"/>
          <w:sz w:val="24"/>
          <w:szCs w:val="24"/>
        </w:rPr>
        <w:t>征集</w:t>
      </w:r>
      <w:r>
        <w:rPr>
          <w:rStyle w:val="79"/>
          <w:rFonts w:ascii="仿宋_GB2312" w:hAnsi="仿宋" w:eastAsia="仿宋_GB2312" w:cs="Times New Roman"/>
          <w:snapToGrid/>
          <w:color w:val="auto"/>
          <w:kern w:val="2"/>
          <w:sz w:val="24"/>
          <w:szCs w:val="24"/>
        </w:rPr>
        <w:t>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7月21日9点00 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递交（上传）响应文件。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诸政采2022-06-07</w:t>
      </w:r>
    </w:p>
    <w:p>
      <w:pPr>
        <w:spacing w:line="360" w:lineRule="auto"/>
        <w:ind w:firstLine="480"/>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sz w:val="24"/>
        </w:rPr>
        <w:t>诸暨市财政投资预决算审核中心政府投资项目和村级工程项目的协审服务项目</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sz w:val="24"/>
        </w:rPr>
        <w:t>50000000.00元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最高限价（百分比）：</w:t>
      </w:r>
      <w:r>
        <w:rPr>
          <w:rFonts w:hint="eastAsia" w:ascii="仿宋_GB2312" w:hAnsi="仿宋" w:eastAsia="仿宋_GB2312"/>
          <w:sz w:val="24"/>
        </w:rPr>
        <w:t>按照折扣率报价，最高限价为70%，计费标准详见采购需求</w:t>
      </w:r>
    </w:p>
    <w:p>
      <w:pPr>
        <w:pStyle w:val="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snapToGrid/>
          <w:color w:val="auto"/>
          <w:kern w:val="2"/>
          <w:sz w:val="24"/>
          <w:szCs w:val="24"/>
        </w:rPr>
        <w:t>合同金额200万元以上的政府投资项目和村级工程项目结算审核服务、送审金额400万元以上的政府投资项目和村级工程预算审核服务（不包括单笔采购金额达到政府采购限额标准的项目）</w:t>
      </w:r>
      <w:r>
        <w:rPr>
          <w:rFonts w:ascii="仿宋_GB2312" w:hAnsi="仿宋" w:eastAsia="仿宋_GB2312"/>
          <w:snapToGrid/>
          <w:color w:val="auto"/>
          <w:kern w:val="2"/>
          <w:sz w:val="24"/>
          <w:szCs w:val="24"/>
        </w:rPr>
        <w:t>。</w:t>
      </w:r>
      <w:r>
        <w:rPr>
          <w:rFonts w:hint="eastAsia" w:ascii="仿宋_GB2312" w:hAnsi="仿宋" w:eastAsia="仿宋_GB2312"/>
          <w:snapToGrid/>
          <w:color w:val="auto"/>
          <w:kern w:val="2"/>
          <w:sz w:val="24"/>
          <w:szCs w:val="24"/>
        </w:rPr>
        <w:t>以下详见征集文件第三部分采购需求。</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合同履约期限：</w:t>
      </w:r>
      <w:r>
        <w:rPr>
          <w:rFonts w:hint="eastAsia" w:ascii="仿宋_GB2312" w:hAnsi="仿宋" w:eastAsia="仿宋_GB2312"/>
          <w:sz w:val="24"/>
        </w:rPr>
        <w:t>合同签订之日起二年。</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715918498"/>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69627890"/>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715918497"/>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0" w:firstLineChars="200"/>
        <w:rPr>
          <w:rFonts w:ascii="仿宋_GB2312" w:hAnsi="仿宋" w:eastAsia="仿宋_GB2312"/>
          <w:bCs/>
          <w:sz w:val="24"/>
        </w:rPr>
      </w:pPr>
      <w:sdt>
        <w:sdtPr>
          <w:rPr>
            <w:rFonts w:hint="eastAsia" w:ascii="仿宋_GB2312" w:hAnsi="仿宋" w:eastAsia="仿宋_GB2312"/>
            <w:bCs/>
            <w:sz w:val="24"/>
          </w:rPr>
          <w:id w:val="256952181"/>
        </w:sdtPr>
        <w:sdtEndPr>
          <w:rPr>
            <w:rFonts w:hint="eastAsia" w:ascii="仿宋_GB2312" w:hAnsi="仿宋" w:eastAsia="仿宋_GB2312"/>
            <w:bCs/>
            <w:sz w:val="24"/>
          </w:rPr>
        </w:sdtEndPr>
        <w:sdtContent>
          <w:sdt>
            <w:sdtPr>
              <w:rPr>
                <w:rFonts w:hint="eastAsia" w:ascii="仿宋_GB2312" w:hAnsi="仿宋" w:eastAsia="仿宋_GB2312"/>
                <w:bCs/>
                <w:sz w:val="24"/>
              </w:rPr>
              <w:id w:val="256952182"/>
            </w:sdtPr>
            <w:sdtEndPr>
              <w:rPr>
                <w:rFonts w:hint="eastAsia" w:ascii="仿宋_GB2312" w:hAnsi="仿宋" w:eastAsia="仿宋_GB2312"/>
                <w:bCs/>
                <w:sz w:val="24"/>
              </w:rPr>
            </w:sdtEndPr>
            <w:sdtContent>
              <w:r>
                <w:rPr>
                  <w:rFonts w:hint="eastAsia" w:ascii="仿宋_GB2312" w:hAnsi="仿宋" w:eastAsia="仿宋_GB2312"/>
                  <w:bCs/>
                  <w:sz w:val="24"/>
                </w:rPr>
                <w:t>☐</w:t>
              </w:r>
            </w:sdtContent>
          </w:sdt>
        </w:sdtContent>
      </w:sdt>
      <w:r>
        <w:rPr>
          <w:rFonts w:hint="eastAsia" w:ascii="仿宋_GB2312" w:hAnsi="仿宋" w:eastAsia="仿宋_GB2312"/>
          <w:bCs/>
          <w:sz w:val="24"/>
        </w:rPr>
        <w:t>无；</w:t>
      </w:r>
    </w:p>
    <w:p>
      <w:pPr>
        <w:spacing w:line="360" w:lineRule="auto"/>
        <w:ind w:firstLine="480"/>
        <w:rPr>
          <w:rFonts w:ascii="仿宋_GB2312" w:hAnsi="仿宋" w:eastAsia="仿宋_GB2312"/>
          <w:bCs/>
          <w:sz w:val="24"/>
        </w:rPr>
      </w:pPr>
      <w:sdt>
        <w:sdtPr>
          <w:rPr>
            <w:rFonts w:hint="eastAsia" w:ascii="仿宋_GB2312" w:hAnsi="仿宋" w:eastAsia="仿宋_GB2312"/>
            <w:bCs/>
            <w:sz w:val="24"/>
          </w:rPr>
          <w:id w:val="256952185"/>
        </w:sdtPr>
        <w:sdtEndPr>
          <w:rPr>
            <w:rFonts w:hint="eastAsia" w:ascii="仿宋_GB2312" w:hAnsi="仿宋" w:eastAsia="仿宋_GB2312"/>
            <w:bCs/>
            <w:sz w:val="24"/>
          </w:rPr>
        </w:sdtEndPr>
        <w:sdtContent>
          <w:r>
            <w:rPr>
              <w:rFonts w:hint="eastAsia" w:ascii="仿宋_GB2312" w:hAnsi="仿宋" w:eastAsia="仿宋_GB2312"/>
              <w:bCs/>
              <w:sz w:val="24"/>
            </w:rPr>
            <w:sym w:font="Wingdings" w:char="F0FE"/>
          </w:r>
        </w:sdtContent>
      </w:sdt>
      <w:r>
        <w:rPr>
          <w:rFonts w:hint="eastAsia" w:ascii="仿宋_GB2312" w:hAnsi="仿宋" w:eastAsia="仿宋_GB2312"/>
          <w:bCs/>
          <w:sz w:val="24"/>
        </w:rPr>
        <w:t>专门面向中小企业。</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4.本项目的特定资格要求：无</w:t>
      </w:r>
      <w:r>
        <w:rPr>
          <w:rFonts w:ascii="仿宋_GB2312" w:hAnsi="仿宋" w:eastAsia="仿宋_GB2312"/>
          <w:bCs/>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 xml:space="preserve">    三、获取征集文件</w:t>
      </w:r>
      <w:r>
        <w:rPr>
          <w:rFonts w:ascii="仿宋_GB2312" w:hAnsi="仿宋" w:eastAsia="仿宋_GB2312"/>
          <w:b/>
          <w:sz w:val="24"/>
        </w:rPr>
        <w:t xml:space="preserve"> </w:t>
      </w:r>
    </w:p>
    <w:p>
      <w:pPr>
        <w:pStyle w:val="33"/>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 xml:space="preserve"> 7</w:t>
      </w:r>
      <w:r>
        <w:rPr>
          <w:rFonts w:ascii="仿宋_GB2312" w:hAnsi="仿宋" w:eastAsia="仿宋_GB2312"/>
          <w:sz w:val="24"/>
          <w:u w:val="single"/>
        </w:rPr>
        <w:t>月</w:t>
      </w:r>
      <w:r>
        <w:rPr>
          <w:rFonts w:hint="eastAsia" w:ascii="仿宋_GB2312" w:hAnsi="仿宋" w:eastAsia="仿宋_GB2312"/>
          <w:sz w:val="24"/>
          <w:u w:val="single"/>
        </w:rPr>
        <w:t>7</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。征集文件发布截止时间之后有潜在供应商提出要求获取征集文件的，允许获取。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本项目征集文件采用网上下载方式发布，不提供征集文件纸质版。符合投标人资格条件的供应商请在上述网站采购公告栏目中获取征集文件。本项目无须报名，直接在政府采购云平台上参与电子投标。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3"/>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w:t>
      </w:r>
      <w:r>
        <w:rPr>
          <w:rFonts w:hint="eastAsia" w:ascii="仿宋_GB2312" w:hAnsi="仿宋" w:eastAsia="仿宋_GB2312"/>
          <w:sz w:val="24"/>
          <w:u w:val="single"/>
        </w:rPr>
        <w:t>2022 年7月21日9时00</w:t>
      </w:r>
      <w:r>
        <w:rPr>
          <w:rFonts w:hint="eastAsia" w:ascii="仿宋_GB2312" w:hAnsi="仿宋" w:eastAsia="仿宋_GB2312"/>
          <w:sz w:val="24"/>
        </w:rPr>
        <w:t>分（北京时间）前按照电子投标要求将电子加密标书上传到政府采购云平台，逾期或未上传成功的将导致无法投标或投标无效。</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w:t>
      </w:r>
      <w:r>
        <w:rPr>
          <w:rFonts w:hint="eastAsia" w:ascii="仿宋_GB2312" w:hAnsi="仿宋" w:eastAsia="仿宋_GB2312"/>
          <w:sz w:val="24"/>
        </w:rPr>
        <w:t>征集</w:t>
      </w:r>
      <w:r>
        <w:rPr>
          <w:rFonts w:ascii="仿宋_GB2312" w:hAnsi="仿宋" w:eastAsia="仿宋_GB2312"/>
          <w:sz w:val="24"/>
        </w:rPr>
        <w:t>文件使自己的权益受到损害的，可以自获取</w:t>
      </w:r>
      <w:r>
        <w:rPr>
          <w:rFonts w:hint="eastAsia" w:ascii="仿宋_GB2312" w:hAnsi="仿宋" w:eastAsia="仿宋_GB2312"/>
          <w:sz w:val="24"/>
        </w:rPr>
        <w:t>征集</w:t>
      </w:r>
      <w:r>
        <w:rPr>
          <w:rFonts w:ascii="仿宋_GB2312" w:hAnsi="仿宋" w:eastAsia="仿宋_GB2312"/>
          <w:sz w:val="24"/>
        </w:rPr>
        <w:t>文件之日或者</w:t>
      </w:r>
      <w:r>
        <w:rPr>
          <w:rFonts w:hint="eastAsia" w:ascii="仿宋_GB2312" w:hAnsi="仿宋" w:eastAsia="仿宋_GB2312"/>
          <w:sz w:val="24"/>
        </w:rPr>
        <w:t>征集</w:t>
      </w:r>
      <w:r>
        <w:rPr>
          <w:rFonts w:ascii="仿宋_GB2312" w:hAnsi="仿宋" w:eastAsia="仿宋_GB2312"/>
          <w:sz w:val="24"/>
        </w:rPr>
        <w:t>文件公告期限届满之日（公告期限届满后获取</w:t>
      </w:r>
      <w:r>
        <w:rPr>
          <w:rFonts w:hint="eastAsia" w:ascii="仿宋_GB2312" w:hAnsi="仿宋" w:eastAsia="仿宋_GB2312"/>
          <w:sz w:val="24"/>
        </w:rPr>
        <w:t>征集</w:t>
      </w:r>
      <w:r>
        <w:rPr>
          <w:rFonts w:ascii="仿宋_GB2312" w:hAnsi="仿宋" w:eastAsia="仿宋_GB2312"/>
          <w:sz w:val="24"/>
        </w:rPr>
        <w:t>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.其他事项：（1）需要落实的政府采购政策：包括节约资源、保护环境、支持创新、促进中小企业发展等，详见征集文件的第二部分投标人须知-总则。（2）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；③征集</w:t>
      </w:r>
      <w:r>
        <w:rPr>
          <w:rFonts w:ascii="仿宋_GB2312" w:hAnsi="仿宋" w:eastAsia="仿宋_GB2312" w:cs="仿宋_GB2312"/>
          <w:sz w:val="24"/>
        </w:rPr>
        <w:t>文件的获取：使用账号登录或者使用CA登录</w:t>
      </w:r>
      <w:r>
        <w:rPr>
          <w:rFonts w:hint="eastAsia" w:ascii="仿宋_GB2312" w:hAnsi="仿宋" w:eastAsia="仿宋_GB2312" w:cs="仿宋_GB2312"/>
          <w:sz w:val="24"/>
        </w:rPr>
        <w:t>政府采购云平台；进入“项目采购”应用，在获取采购文件菜单中选择项目，获取征集文件；④</w:t>
      </w:r>
      <w:r>
        <w:rPr>
          <w:rFonts w:ascii="仿宋_GB2312" w:hAnsi="仿宋" w:eastAsia="仿宋_GB2312"/>
          <w:sz w:val="24"/>
        </w:rPr>
        <w:t>对未按上述方式获取</w:t>
      </w:r>
      <w:r>
        <w:rPr>
          <w:rFonts w:hint="eastAsia" w:ascii="仿宋_GB2312" w:hAnsi="仿宋" w:eastAsia="仿宋_GB2312"/>
          <w:sz w:val="24"/>
        </w:rPr>
        <w:t>征集</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w:t>
      </w:r>
      <w:r>
        <w:rPr>
          <w:rFonts w:hint="eastAsia" w:ascii="仿宋_GB2312" w:hAnsi="仿宋" w:eastAsia="仿宋_GB2312"/>
          <w:sz w:val="24"/>
        </w:rPr>
        <w:t>征集</w:t>
      </w:r>
      <w:r>
        <w:rPr>
          <w:rFonts w:ascii="仿宋_GB2312" w:hAnsi="仿宋" w:eastAsia="仿宋_GB2312"/>
          <w:sz w:val="24"/>
        </w:rPr>
        <w:t>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w:t>
      </w:r>
      <w:r>
        <w:rPr>
          <w:rFonts w:hint="eastAsia" w:ascii="仿宋_GB2312" w:hAnsi="仿宋" w:eastAsia="仿宋_GB2312" w:cs="仿宋_GB2312"/>
          <w:b/>
          <w:bCs/>
          <w:sz w:val="24"/>
        </w:rPr>
        <w:t>征集</w:t>
      </w:r>
      <w:r>
        <w:rPr>
          <w:rFonts w:ascii="仿宋_GB2312" w:hAnsi="仿宋" w:eastAsia="仿宋_GB2312" w:cs="仿宋_GB2312"/>
          <w:b/>
          <w:bCs/>
          <w:sz w:val="24"/>
        </w:rPr>
        <w:t>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⑧投标文件的解密：投标人按照平台提示和征集文件的规定在3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诸暨市财政投资预决算审核中心</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诸暨市暨阳街道浣纱北路32号</w:t>
      </w:r>
    </w:p>
    <w:p>
      <w:pPr>
        <w:spacing w:line="360" w:lineRule="auto"/>
        <w:ind w:firstLine="480"/>
        <w:rPr>
          <w:rFonts w:ascii="仿宋_GB2312" w:hAnsi="仿宋" w:eastAsia="仿宋_GB2312"/>
          <w:sz w:val="24"/>
        </w:rPr>
      </w:pPr>
      <w:r>
        <w:rPr>
          <w:rFonts w:hint="eastAsia" w:ascii="仿宋_GB2312" w:hAnsi="仿宋" w:eastAsia="仿宋_GB2312"/>
          <w:sz w:val="24"/>
        </w:rPr>
        <w:t xml:space="preserve">项目联系人（询问）：阮桃丽  </w:t>
      </w:r>
      <w:r>
        <w:rPr>
          <w:rFonts w:ascii="仿宋_GB2312" w:hAnsi="仿宋" w:eastAsia="仿宋_GB2312"/>
          <w:sz w:val="24"/>
        </w:rPr>
        <w:t>项目联系方式（询问）：</w:t>
      </w:r>
      <w:r>
        <w:rPr>
          <w:rFonts w:hint="eastAsia" w:ascii="仿宋_GB2312" w:hAnsi="仿宋" w:eastAsia="仿宋_GB2312"/>
          <w:sz w:val="24"/>
        </w:rPr>
        <w:t xml:space="preserve"> 0575-87593985</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 xml:space="preserve">楼海军            </w:t>
      </w:r>
      <w:r>
        <w:rPr>
          <w:rFonts w:ascii="仿宋_GB2312" w:hAnsi="仿宋" w:eastAsia="仿宋_GB2312"/>
          <w:sz w:val="24"/>
        </w:rPr>
        <w:t>质疑联系方式：</w:t>
      </w:r>
      <w:r>
        <w:rPr>
          <w:rFonts w:hint="eastAsia" w:ascii="仿宋_GB2312" w:hAnsi="仿宋" w:eastAsia="仿宋_GB2312"/>
          <w:sz w:val="24"/>
        </w:rPr>
        <w:t>0575-80727350</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_GB2312" w:hAnsi="仿宋" w:eastAsia="仿宋_GB2312"/>
          <w:sz w:val="24"/>
        </w:rPr>
        <w:t>诸暨市暨东路58号北602</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王小林</w:t>
      </w:r>
      <w:r>
        <w:rPr>
          <w:rFonts w:ascii="仿宋_GB2312" w:hAnsi="仿宋" w:eastAsia="仿宋_GB2312"/>
          <w:sz w:val="24"/>
        </w:rPr>
        <w:t xml:space="preserve">   项目联系方式（询问）：</w:t>
      </w:r>
      <w:r>
        <w:rPr>
          <w:rFonts w:hint="eastAsia" w:ascii="仿宋_GB2312" w:hAnsi="仿宋" w:eastAsia="仿宋_GB2312"/>
          <w:sz w:val="24"/>
        </w:rPr>
        <w:t xml:space="preserve">0575-87253016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金泽成</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0575-87253015 </w:t>
      </w:r>
      <w:r>
        <w:rPr>
          <w:rFonts w:ascii="仿宋_GB2312" w:hAnsi="仿宋" w:eastAsia="仿宋_GB2312"/>
          <w:sz w:val="24"/>
        </w:rPr>
        <w:t>传真：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吕康玮 </w:t>
      </w:r>
      <w:r>
        <w:rPr>
          <w:rFonts w:ascii="仿宋_GB2312" w:hAnsi="仿宋" w:eastAsia="仿宋_GB2312"/>
          <w:sz w:val="24"/>
        </w:rPr>
        <w:t xml:space="preserve">  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 xml:space="preserve"> 电子邮箱：</w:t>
      </w:r>
      <w:r>
        <w:rPr>
          <w:rFonts w:ascii="仿宋_GB2312" w:hAnsi="仿宋" w:eastAsia="仿宋_GB2312"/>
          <w:sz w:val="24"/>
        </w:rPr>
        <w:t>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征集方式</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kern w:val="0"/>
                <w:sz w:val="24"/>
                <w:lang w:val="zh-CN"/>
              </w:rPr>
              <w:t>封闭式框架协议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。投标文件中价格全部采用人民币报价（特殊要求除外）。</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征集文件未列明，而投标人认为必需的费用也需列入报价。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61"/>
              <w:numPr>
                <w:ilvl w:val="0"/>
                <w:numId w:val="3"/>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61"/>
              <w:numPr>
                <w:ilvl w:val="0"/>
                <w:numId w:val="3"/>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投标报价超过征集文件中规定的预算金额或者最高限价的</w:t>
            </w:r>
            <w:r>
              <w:rPr>
                <w:rFonts w:ascii="仿宋_GB2312" w:hAnsi="仿宋" w:eastAsia="仿宋_GB2312"/>
                <w:bCs/>
                <w:kern w:val="0"/>
                <w:lang w:val="zh-CN"/>
              </w:rPr>
              <w:t>;</w:t>
            </w:r>
          </w:p>
          <w:p>
            <w:pPr>
              <w:pStyle w:val="261"/>
              <w:numPr>
                <w:ilvl w:val="0"/>
                <w:numId w:val="3"/>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61"/>
              <w:numPr>
                <w:ilvl w:val="0"/>
                <w:numId w:val="3"/>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p>
            <w:pPr>
              <w:rPr>
                <w:rFonts w:ascii="仿宋_GB2312" w:hAnsi="仿宋" w:eastAsia="仿宋_GB2312" w:cs="仿宋_GB2312"/>
                <w:bCs/>
                <w:kern w:val="0"/>
                <w:lang w:val="zh-CN"/>
              </w:rPr>
            </w:pPr>
            <w:r>
              <w:rPr>
                <w:rFonts w:hint="eastAsia" w:ascii="仿宋_GB2312" w:hAnsi="仿宋" w:eastAsia="仿宋_GB2312"/>
                <w:sz w:val="24"/>
              </w:rPr>
              <w:t>协议单位接受委托，根据每个项目分别计算服务费。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color w:val="000000" w:themeColor="text1"/>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000000" w:themeColor="text1"/>
                <w:sz w:val="24"/>
              </w:rPr>
            </w:pPr>
            <w:r>
              <w:rPr>
                <w:rFonts w:hint="eastAsia" w:ascii="仿宋_GB2312" w:hAnsi="仿宋" w:eastAsia="仿宋_GB2312" w:cs="仿宋_GB2312"/>
                <w:b/>
                <w:color w:val="000000" w:themeColor="text1"/>
                <w:sz w:val="24"/>
              </w:rPr>
              <w:t>入围方式</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FF0000"/>
                <w:kern w:val="0"/>
                <w:sz w:val="24"/>
              </w:rPr>
            </w:pPr>
            <w:r>
              <w:rPr>
                <w:rFonts w:hint="eastAsia" w:ascii="仿宋_GB2312" w:hAnsi="仿宋" w:eastAsia="仿宋_GB2312" w:cs="Arial"/>
                <w:color w:val="FF0000"/>
                <w:kern w:val="0"/>
                <w:sz w:val="24"/>
              </w:rPr>
              <w:t>1、根据中华人民共和国财政部令第 110 号《政府采购框架协议采购方式管理办法》，确定第一阶段入围供应商的评审方法为</w:t>
            </w:r>
            <w:r>
              <w:rPr>
                <w:rFonts w:hint="eastAsia" w:ascii="仿宋_GB2312" w:hAnsi="仿宋" w:eastAsia="仿宋_GB2312" w:cs="Arial"/>
                <w:b/>
                <w:bCs/>
                <w:color w:val="FF0000"/>
                <w:kern w:val="0"/>
                <w:sz w:val="24"/>
                <w:u w:val="single"/>
              </w:rPr>
              <w:t>价格优先法</w:t>
            </w:r>
            <w:r>
              <w:rPr>
                <w:rFonts w:hint="eastAsia" w:ascii="仿宋_GB2312" w:hAnsi="仿宋" w:eastAsia="仿宋_GB2312" w:cs="Arial"/>
                <w:color w:val="FF0000"/>
                <w:kern w:val="0"/>
                <w:sz w:val="24"/>
              </w:rPr>
              <w:t>，确定第二阶段成交供应商的方式为</w:t>
            </w:r>
            <w:r>
              <w:rPr>
                <w:rFonts w:hint="eastAsia" w:ascii="仿宋_GB2312" w:hAnsi="仿宋" w:eastAsia="仿宋_GB2312" w:cs="Arial"/>
                <w:b/>
                <w:bCs/>
                <w:color w:val="FF0000"/>
                <w:kern w:val="0"/>
                <w:sz w:val="24"/>
                <w:u w:val="single"/>
              </w:rPr>
              <w:t>直接选定</w:t>
            </w:r>
            <w:r>
              <w:rPr>
                <w:rFonts w:hint="eastAsia" w:ascii="仿宋_GB2312" w:hAnsi="仿宋" w:eastAsia="仿宋_GB2312" w:cs="Arial"/>
                <w:color w:val="FF0000"/>
                <w:kern w:val="0"/>
                <w:sz w:val="24"/>
              </w:rPr>
              <w:t xml:space="preserve">。 </w:t>
            </w:r>
          </w:p>
          <w:p>
            <w:pPr>
              <w:spacing w:line="360" w:lineRule="auto"/>
              <w:rPr>
                <w:rFonts w:ascii="仿宋_GB2312" w:hAnsi="仿宋" w:eastAsia="仿宋_GB2312" w:cs="Arial"/>
                <w:color w:val="FF0000"/>
                <w:kern w:val="0"/>
                <w:sz w:val="24"/>
              </w:rPr>
            </w:pPr>
            <w:r>
              <w:rPr>
                <w:rFonts w:hint="eastAsia" w:ascii="仿宋_GB2312" w:hAnsi="仿宋" w:eastAsia="仿宋_GB2312" w:cs="Arial"/>
                <w:color w:val="FF0000"/>
                <w:kern w:val="0"/>
                <w:sz w:val="24"/>
              </w:rPr>
              <w:t xml:space="preserve">价格优先法是指对满足采购需求且响应报价不超过最高限制单价的货物、服务，按照响应报价从低到高排序，根据征集文件规定的淘汰率或者入围供应商数量上限，确定入围供应商的评审方法。  </w:t>
            </w:r>
          </w:p>
          <w:p>
            <w:pPr>
              <w:spacing w:line="360" w:lineRule="auto"/>
              <w:rPr>
                <w:rFonts w:ascii="仿宋_GB2312" w:hAnsi="仿宋" w:eastAsia="仿宋_GB2312" w:cs="Arial"/>
                <w:color w:val="FF0000"/>
                <w:kern w:val="0"/>
                <w:sz w:val="24"/>
              </w:rPr>
            </w:pPr>
            <w:r>
              <w:rPr>
                <w:rFonts w:hint="eastAsia" w:ascii="仿宋_GB2312" w:hAnsi="仿宋" w:eastAsia="仿宋_GB2312" w:cs="Arial"/>
                <w:color w:val="FF0000"/>
                <w:kern w:val="0"/>
                <w:sz w:val="24"/>
              </w:rPr>
              <w:t xml:space="preserve">直接选定是指确定第二阶段成交供应商应当由采购人或者服务对象依据入围产品价格、质量以及服务便利性、用户评价等因素，从第一阶段入围供应商中直接选定。 </w:t>
            </w:r>
          </w:p>
          <w:p>
            <w:pPr>
              <w:spacing w:line="360" w:lineRule="auto"/>
              <w:rPr>
                <w:rFonts w:ascii="仿宋_GB2312" w:hAnsi="仿宋" w:eastAsia="仿宋_GB2312" w:cs="Arial"/>
                <w:color w:val="FF0000"/>
                <w:kern w:val="0"/>
                <w:sz w:val="24"/>
              </w:rPr>
            </w:pPr>
            <w:r>
              <w:rPr>
                <w:rFonts w:hint="eastAsia" w:ascii="仿宋_GB2312" w:hAnsi="仿宋" w:eastAsia="仿宋_GB2312" w:cs="Arial"/>
                <w:color w:val="FF0000"/>
                <w:kern w:val="0"/>
                <w:sz w:val="24"/>
              </w:rPr>
              <w:t>2、评标委员会按评审后报价由低到高顺序排列。响应报价相同的，按《政府采购货物和服务招标投标管理办法》（财政部令第 87 号）第六十八条 由评标委员会随机抽取的方式确定。</w:t>
            </w:r>
          </w:p>
          <w:p>
            <w:pPr>
              <w:spacing w:line="360" w:lineRule="auto"/>
              <w:rPr>
                <w:rFonts w:ascii="仿宋_GB2312" w:hAnsi="仿宋" w:eastAsia="仿宋_GB2312" w:cs="Arial"/>
                <w:color w:val="000000" w:themeColor="text1"/>
                <w:kern w:val="0"/>
                <w:sz w:val="24"/>
              </w:rPr>
            </w:pPr>
            <w:r>
              <w:rPr>
                <w:rFonts w:hint="eastAsia" w:ascii="仿宋_GB2312" w:hAnsi="仿宋" w:eastAsia="仿宋_GB2312" w:cs="Arial"/>
                <w:color w:val="FF0000"/>
                <w:kern w:val="0"/>
                <w:sz w:val="24"/>
              </w:rPr>
              <w:t>3、本项目给定了入围供应商的比例，评标委员会按照征集文件中规定满足采购需求且响应报价不超过最高限制单价，以报价由低到高的顺序依次确定入围服务供应商。</w:t>
            </w:r>
            <w:r>
              <w:rPr>
                <w:rFonts w:hint="eastAsia" w:ascii="仿宋_GB2312" w:hAnsi="仿宋" w:eastAsia="仿宋_GB2312" w:cs="Arial"/>
                <w:color w:val="000000" w:themeColor="text1"/>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9627892"/>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69627893"/>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61"/>
              <w:numPr>
                <w:ilvl w:val="0"/>
                <w:numId w:val="4"/>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61"/>
              <w:numPr>
                <w:ilvl w:val="0"/>
                <w:numId w:val="4"/>
              </w:numPr>
              <w:snapToGrid w:val="0"/>
              <w:ind w:firstLineChars="0"/>
              <w:rPr>
                <w:rFonts w:ascii="仿宋_GB2312" w:hAnsi="仿宋" w:eastAsia="仿宋_GB2312" w:cs="仿宋_GB2312"/>
              </w:rPr>
            </w:pPr>
            <w:r>
              <w:rPr>
                <w:rFonts w:ascii="仿宋_GB2312" w:hAnsi="仿宋" w:eastAsia="仿宋_GB2312" w:cs="仿宋_GB2312"/>
              </w:rPr>
              <w:t>落实政府采购政策需满足的资格要求</w:t>
            </w:r>
            <w:r>
              <w:rPr>
                <w:rFonts w:hint="eastAsia" w:ascii="仿宋_GB2312" w:hAnsi="仿宋" w:eastAsia="仿宋_GB2312" w:cs="仿宋_GB2312"/>
              </w:rPr>
              <w:t>（如需）</w:t>
            </w:r>
            <w:r>
              <w:rPr>
                <w:rFonts w:ascii="仿宋_GB2312" w:hAnsi="仿宋" w:eastAsia="仿宋_GB2312" w:cs="仿宋_GB2312"/>
              </w:rPr>
              <w:t>；</w:t>
            </w:r>
          </w:p>
          <w:p>
            <w:pPr>
              <w:pStyle w:val="261"/>
              <w:numPr>
                <w:ilvl w:val="0"/>
                <w:numId w:val="4"/>
              </w:numPr>
              <w:snapToGrid w:val="0"/>
              <w:ind w:firstLineChars="0"/>
              <w:rPr>
                <w:rFonts w:ascii="仿宋_GB2312" w:hAnsi="仿宋" w:eastAsia="仿宋_GB2312" w:cs="仿宋_GB2312"/>
              </w:rPr>
            </w:pPr>
            <w:r>
              <w:rPr>
                <w:rFonts w:ascii="仿宋_GB2312" w:hAnsi="仿宋" w:eastAsia="仿宋_GB2312" w:cs="仿宋_GB2312"/>
              </w:rPr>
              <w:t>本项目的特定资格要求</w:t>
            </w:r>
            <w:r>
              <w:rPr>
                <w:rFonts w:hint="eastAsia" w:ascii="仿宋_GB2312" w:hAnsi="仿宋" w:eastAsia="仿宋_GB2312" w:cs="仿宋_GB2312"/>
              </w:rPr>
              <w:t>（如需）</w:t>
            </w:r>
            <w:r>
              <w:rPr>
                <w:rFonts w:ascii="仿宋_GB2312" w:hAnsi="仿宋" w:eastAsia="仿宋_GB2312" w:cs="仿宋_GB2312"/>
              </w:rPr>
              <w:t>。</w:t>
            </w:r>
          </w:p>
          <w:p>
            <w:pPr>
              <w:snapToGrid w:val="0"/>
              <w:rPr>
                <w:rFonts w:ascii="Arial" w:hAnsi="Arial" w:eastAsia="黑体" w:cs="Arial"/>
                <w:b/>
                <w:snapToGrid w:val="0"/>
                <w:kern w:val="0"/>
                <w:szCs w:val="21"/>
              </w:rPr>
            </w:pPr>
            <w:r>
              <w:rPr>
                <w:rFonts w:hint="eastAsia" w:ascii="仿宋_GB2312" w:hAnsi="仿宋" w:eastAsia="仿宋_GB2312" w:cs="仿宋_GB2312"/>
                <w:b/>
                <w:sz w:val="24"/>
              </w:rPr>
              <w:t>投标人未提供有效的资格证明文件的，视为投标人不具备征集文件中规定的资格要求，其投标无效。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61"/>
              <w:numPr>
                <w:ilvl w:val="0"/>
                <w:numId w:val="5"/>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61"/>
              <w:numPr>
                <w:ilvl w:val="0"/>
                <w:numId w:val="5"/>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61"/>
              <w:numPr>
                <w:ilvl w:val="0"/>
                <w:numId w:val="5"/>
              </w:numPr>
              <w:snapToGrid w:val="0"/>
              <w:ind w:firstLineChars="0"/>
              <w:rPr>
                <w:rFonts w:ascii="仿宋_GB2312" w:hAnsi="仿宋" w:eastAsia="仿宋_GB2312" w:cs="仿宋_GB2312"/>
                <w:lang w:val="zh-CN"/>
              </w:rPr>
            </w:pPr>
            <w:r>
              <w:rPr>
                <w:rFonts w:ascii="仿宋_GB2312" w:hAnsi="仿宋" w:eastAsia="仿宋_GB2312" w:cs="仿宋_GB2312"/>
              </w:rPr>
              <w:t>联合协议</w:t>
            </w:r>
            <w:r>
              <w:rPr>
                <w:rFonts w:hint="eastAsia" w:ascii="仿宋_GB2312" w:hAnsi="仿宋" w:eastAsia="仿宋_GB2312" w:cs="仿宋_GB2312"/>
              </w:rPr>
              <w:t>（如需）</w:t>
            </w:r>
            <w:r>
              <w:rPr>
                <w:rFonts w:ascii="仿宋_GB2312" w:hAnsi="仿宋" w:eastAsia="仿宋_GB2312" w:cs="仿宋_GB2312"/>
              </w:rPr>
              <w:t>；</w:t>
            </w:r>
          </w:p>
          <w:p>
            <w:pPr>
              <w:pStyle w:val="261"/>
              <w:numPr>
                <w:ilvl w:val="0"/>
                <w:numId w:val="5"/>
              </w:numPr>
              <w:snapToGrid w:val="0"/>
              <w:ind w:firstLineChars="0"/>
              <w:rPr>
                <w:rFonts w:ascii="仿宋_GB2312" w:hAnsi="仿宋" w:eastAsia="仿宋_GB2312" w:cs="仿宋_GB2312"/>
                <w:lang w:val="zh-CN"/>
              </w:rPr>
            </w:pPr>
            <w:r>
              <w:rPr>
                <w:rFonts w:ascii="仿宋_GB2312" w:hAnsi="仿宋" w:eastAsia="仿宋_GB2312" w:cs="仿宋_GB2312"/>
              </w:rPr>
              <w:t>分包意向协议</w:t>
            </w:r>
            <w:r>
              <w:rPr>
                <w:rFonts w:hint="eastAsia" w:ascii="仿宋_GB2312" w:hAnsi="仿宋" w:eastAsia="仿宋_GB2312" w:cs="仿宋_GB2312"/>
              </w:rPr>
              <w:t>（如需）</w:t>
            </w:r>
            <w:r>
              <w:rPr>
                <w:rFonts w:ascii="仿宋_GB2312" w:hAnsi="仿宋" w:eastAsia="仿宋_GB2312" w:cs="仿宋_GB2312"/>
              </w:rPr>
              <w:t>；</w:t>
            </w:r>
          </w:p>
          <w:p>
            <w:pPr>
              <w:pStyle w:val="261"/>
              <w:numPr>
                <w:ilvl w:val="0"/>
                <w:numId w:val="5"/>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61"/>
              <w:numPr>
                <w:ilvl w:val="0"/>
                <w:numId w:val="5"/>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pPr>
              <w:pStyle w:val="261"/>
              <w:numPr>
                <w:ilvl w:val="0"/>
                <w:numId w:val="5"/>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61"/>
              <w:numPr>
                <w:ilvl w:val="0"/>
                <w:numId w:val="5"/>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61"/>
              <w:numPr>
                <w:ilvl w:val="0"/>
                <w:numId w:val="9"/>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pStyle w:val="261"/>
              <w:numPr>
                <w:ilvl w:val="0"/>
                <w:numId w:val="9"/>
              </w:numPr>
              <w:snapToGrid w:val="0"/>
              <w:ind w:firstLineChars="0"/>
              <w:rPr>
                <w:rFonts w:ascii="仿宋_GB2312" w:hAnsi="仿宋" w:eastAsia="仿宋_GB2312" w:cs="仿宋_GB2312"/>
              </w:rPr>
            </w:pPr>
            <w:r>
              <w:rPr>
                <w:rFonts w:ascii="仿宋_GB2312" w:hAnsi="仿宋" w:eastAsia="仿宋_GB2312" w:cs="仿宋_GB2312"/>
              </w:rPr>
              <w:t>中小企业声明函</w:t>
            </w:r>
            <w:r>
              <w:rPr>
                <w:rFonts w:hint="eastAsia" w:ascii="仿宋_GB2312" w:hAnsi="仿宋" w:eastAsia="仿宋_GB2312" w:cs="仿宋_GB2312"/>
              </w:rPr>
              <w:t>（如需）</w:t>
            </w:r>
            <w:r>
              <w:rPr>
                <w:rFonts w:ascii="仿宋_GB2312" w:hAnsi="仿宋" w:eastAsia="仿宋_GB2312" w:cs="仿宋_GB2312"/>
              </w:rPr>
              <w:t>。</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9627894"/>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16962789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9627896"/>
              </w:sdtPr>
              <w:sdtEndPr>
                <w:rPr>
                  <w:rFonts w:hint="eastAsia" w:ascii="仿宋_GB2312" w:hAnsi="仿宋" w:eastAsia="仿宋_GB2312" w:cs="Times New Roman"/>
                  <w:kern w:val="0"/>
                  <w:sz w:val="24"/>
                </w:rPr>
              </w:sdtEndPr>
              <w:sdtContent>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 xml:space="preserve"> 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63309951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633099516"/>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 xml:space="preserve"> 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w:t>
            </w:r>
            <w:r>
              <w:rPr>
                <w:rFonts w:ascii="仿宋_GB2312" w:hAnsi="仿宋" w:eastAsia="仿宋_GB2312"/>
                <w:kern w:val="0"/>
                <w:sz w:val="24"/>
              </w:rPr>
              <w:t>方案讲解演示</w:t>
            </w:r>
            <w:r>
              <w:rPr>
                <w:rFonts w:hint="eastAsia" w:ascii="仿宋_GB2312" w:hAnsi="仿宋" w:eastAsia="仿宋_GB2312"/>
                <w:kern w:val="0"/>
                <w:sz w:val="24"/>
              </w:rPr>
              <w:t>采用U盘或光盘演示。投标人须通过现场或邮寄方式递交此项目演示视频存储介质，请各投标人在邮寄过程中自行保护好隐私，并确保在投标截止时间前寄到或送到收件人处。</w:t>
            </w:r>
            <w:r>
              <w:rPr>
                <w:rFonts w:ascii="仿宋_GB2312" w:hAnsi="仿宋" w:eastAsia="仿宋_GB2312"/>
                <w:kern w:val="0"/>
                <w:sz w:val="24"/>
              </w:rPr>
              <w:t>每个投标人</w:t>
            </w:r>
            <w:r>
              <w:rPr>
                <w:rFonts w:hint="eastAsia" w:ascii="仿宋_GB2312" w:hAnsi="仿宋" w:eastAsia="仿宋_GB2312"/>
                <w:kern w:val="0"/>
                <w:sz w:val="24"/>
              </w:rPr>
              <w:t>演示</w:t>
            </w:r>
            <w:r>
              <w:rPr>
                <w:rFonts w:ascii="仿宋_GB2312" w:hAnsi="仿宋" w:eastAsia="仿宋_GB2312"/>
                <w:kern w:val="0"/>
                <w:sz w:val="24"/>
              </w:rPr>
              <w:t>时间不超过20分钟。</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签订合同时，入围供应商无须向采购人缴纳履约保证金。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如果征集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633099518"/>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ascii="仿宋_GB2312" w:hAnsi="仿宋" w:eastAsia="仿宋_GB2312"/>
                <w:sz w:val="24"/>
              </w:rPr>
              <w:t xml:space="preserve"> </w:t>
            </w:r>
          </w:p>
          <w:p>
            <w:pPr>
              <w:spacing w:line="360" w:lineRule="auto"/>
              <w:rPr>
                <w:rFonts w:ascii="仿宋_GB2312" w:hAnsi="仿宋" w:eastAsia="仿宋_GB2312"/>
                <w:sz w:val="24"/>
              </w:rPr>
            </w:pPr>
            <w:sdt>
              <w:sdtPr>
                <w:rPr>
                  <w:rFonts w:hint="eastAsia" w:ascii="仿宋_GB2312" w:hAnsi="仿宋" w:eastAsia="仿宋_GB2312" w:cs="Arial"/>
                  <w:kern w:val="0"/>
                  <w:sz w:val="24"/>
                </w:rPr>
                <w:id w:val="63309951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 xml:space="preserve"> B</w:t>
            </w:r>
            <w:r>
              <w:rPr>
                <w:rFonts w:hint="eastAsia" w:ascii="仿宋_GB2312" w:hAnsi="仿宋" w:eastAsia="仿宋_GB2312"/>
                <w:sz w:val="24"/>
              </w:rPr>
              <w:t>服务类。</w:t>
            </w:r>
            <w:sdt>
              <w:sdtPr>
                <w:rPr>
                  <w:rFonts w:hint="eastAsia" w:ascii="仿宋_GB2312" w:hAnsi="仿宋" w:eastAsia="仿宋_GB2312" w:cs="Arial"/>
                  <w:kern w:val="0"/>
                  <w:sz w:val="24"/>
                </w:rPr>
                <w:id w:val="633099517"/>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一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其他未列明行业</w:t>
            </w:r>
            <w:r>
              <w:rPr>
                <w:rFonts w:hint="eastAsia" w:ascii="仿宋_GB2312" w:hAnsi="仿宋" w:eastAsia="仿宋_GB2312" w:cs="Arial"/>
                <w:kern w:val="0"/>
                <w:sz w:val="24"/>
              </w:rPr>
              <w:t>。</w:t>
            </w:r>
          </w:p>
          <w:p>
            <w:pPr>
              <w:pStyle w:val="2"/>
              <w:rPr>
                <w:b w:val="0"/>
                <w:bCs w:val="0"/>
                <w:lang w:val="en-US"/>
              </w:rPr>
            </w:pPr>
            <w:r>
              <w:rPr>
                <w:rFonts w:hint="eastAsia"/>
                <w:b w:val="0"/>
                <w:bCs w:val="0"/>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7"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供应商入围后可在政府采购云平台申请政采贷：操作路径：登录政府采购云平台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9"/>
                <w:rFonts w:ascii="仿宋_GB2312" w:hAnsi="仿宋" w:eastAsia="仿宋_GB2312" w:cs="仿宋_GB2312"/>
                <w:b/>
                <w:kern w:val="2"/>
                <w:sz w:val="24"/>
                <w:szCs w:val="24"/>
              </w:rPr>
              <w:t>zjztb001@aliyun.com</w:t>
            </w:r>
            <w:r>
              <w:rPr>
                <w:rStyle w:val="79"/>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3"/>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7</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
    <w:p/>
    <w:p>
      <w:pPr>
        <w:pStyle w:val="2"/>
        <w:rPr>
          <w:lang w:val="en-US"/>
        </w:rPr>
      </w:pPr>
    </w:p>
    <w:p/>
    <w:p>
      <w:pPr>
        <w:pStyle w:val="2"/>
        <w:rPr>
          <w:lang w:val="en-US"/>
        </w:rPr>
      </w:pPr>
    </w:p>
    <w:p/>
    <w:p/>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本征集文件适用于该项目的招标、投标、开标、资格审查及信用信息查询、评标、定标、合同、验收等行为（法律、法规另有规定的，从其规定）。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69627897"/>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仿宋_GB2312" w:hAnsi="仿宋" w:eastAsia="仿宋_GB2312"/>
          <w:sz w:val="24"/>
        </w:rPr>
        <w:t>征集</w:t>
      </w:r>
      <w:r>
        <w:rPr>
          <w:rFonts w:ascii="仿宋_GB2312" w:hAnsi="仿宋" w:eastAsia="仿宋_GB2312"/>
          <w:sz w:val="24"/>
        </w:rPr>
        <w:t>文件要求提供相关产品认证证书。</w:t>
      </w:r>
      <w:r>
        <w:rPr>
          <w:rFonts w:hint="eastAsia" w:ascii="仿宋_GB2312" w:hAnsi="仿宋" w:eastAsia="仿宋_GB2312"/>
          <w:b/>
          <w:sz w:val="24"/>
        </w:rPr>
        <w:t>★采购人拟采购的产品属于政府强制采购的节能产品品目清单范围的，投标人未按征集文件要求提供国家确定的认证机构出具的、处于有效期之内的节能产品认证证书的，投标无效。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修缮、装修类项目采购建材的，采购人应将绿色建筑和绿色建材性能、指标等作为实质性条件纳入征集文件和合同。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征集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w:t>
      </w:r>
      <w:r>
        <w:rPr>
          <w:rFonts w:hint="eastAsia" w:ascii="仿宋_GB2312" w:hAnsi="仿宋" w:eastAsia="仿宋_GB2312"/>
          <w:sz w:val="24"/>
        </w:rPr>
        <w:t>征集</w:t>
      </w:r>
      <w:r>
        <w:rPr>
          <w:rFonts w:ascii="仿宋_GB2312" w:hAnsi="仿宋" w:eastAsia="仿宋_GB2312"/>
          <w:sz w:val="24"/>
        </w:rPr>
        <w:t>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w:t>
      </w:r>
      <w:r>
        <w:rPr>
          <w:rFonts w:hint="eastAsia" w:ascii="仿宋_GB2312" w:hAnsi="仿宋" w:eastAsia="仿宋_GB2312"/>
          <w:sz w:val="24"/>
        </w:rPr>
        <w:t>征集</w:t>
      </w:r>
      <w:r>
        <w:rPr>
          <w:rFonts w:ascii="仿宋_GB2312" w:hAnsi="仿宋" w:eastAsia="仿宋_GB2312"/>
          <w:sz w:val="24"/>
        </w:rPr>
        <w:t>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w:t>
      </w:r>
      <w:r>
        <w:rPr>
          <w:rFonts w:hint="eastAsia" w:ascii="仿宋_GB2312" w:hAnsi="仿宋" w:eastAsia="仿宋_GB2312"/>
          <w:snapToGrid/>
          <w:color w:val="auto"/>
          <w:kern w:val="2"/>
          <w:sz w:val="24"/>
        </w:rPr>
        <w:t>征集</w:t>
      </w:r>
      <w:r>
        <w:rPr>
          <w:rFonts w:ascii="仿宋_GB2312" w:hAnsi="仿宋" w:eastAsia="仿宋_GB2312"/>
          <w:snapToGrid/>
          <w:color w:val="auto"/>
          <w:kern w:val="2"/>
          <w:sz w:val="24"/>
        </w:rPr>
        <w:t>文件提出质疑的，质疑期限为供应商获得</w:t>
      </w:r>
      <w:r>
        <w:rPr>
          <w:rFonts w:hint="eastAsia" w:ascii="仿宋_GB2312" w:hAnsi="仿宋" w:eastAsia="仿宋_GB2312"/>
          <w:snapToGrid/>
          <w:color w:val="auto"/>
          <w:kern w:val="2"/>
          <w:sz w:val="24"/>
        </w:rPr>
        <w:t>征集</w:t>
      </w:r>
      <w:r>
        <w:rPr>
          <w:rFonts w:ascii="仿宋_GB2312" w:hAnsi="仿宋" w:eastAsia="仿宋_GB2312"/>
          <w:snapToGrid/>
          <w:color w:val="auto"/>
          <w:kern w:val="2"/>
          <w:sz w:val="24"/>
        </w:rPr>
        <w:t>文件之日或者</w:t>
      </w:r>
      <w:r>
        <w:rPr>
          <w:rFonts w:hint="eastAsia" w:ascii="仿宋_GB2312" w:hAnsi="仿宋" w:eastAsia="仿宋_GB2312"/>
          <w:snapToGrid/>
          <w:color w:val="auto"/>
          <w:kern w:val="2"/>
          <w:sz w:val="24"/>
        </w:rPr>
        <w:t>征集</w:t>
      </w:r>
      <w:r>
        <w:rPr>
          <w:rFonts w:ascii="仿宋_GB2312" w:hAnsi="仿宋" w:eastAsia="仿宋_GB2312"/>
          <w:snapToGrid/>
          <w:color w:val="auto"/>
          <w:kern w:val="2"/>
          <w:sz w:val="24"/>
        </w:rPr>
        <w:t>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3"/>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w:t>
      </w:r>
      <w:r>
        <w:rPr>
          <w:rFonts w:hint="eastAsia" w:ascii="仿宋_GB2312" w:hAnsi="仿宋" w:eastAsia="仿宋_GB2312" w:cs="仿宋_GB2312"/>
          <w:b/>
          <w:sz w:val="32"/>
          <w:szCs w:val="20"/>
        </w:rPr>
        <w:t>征集</w:t>
      </w:r>
      <w:r>
        <w:rPr>
          <w:rFonts w:ascii="仿宋_GB2312" w:hAnsi="仿宋" w:eastAsia="仿宋_GB2312" w:cs="仿宋_GB2312"/>
          <w:b/>
          <w:sz w:val="32"/>
          <w:szCs w:val="20"/>
        </w:rPr>
        <w:t>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w:t>
      </w:r>
      <w:r>
        <w:rPr>
          <w:rFonts w:hint="eastAsia" w:ascii="仿宋_GB2312" w:hAnsi="仿宋" w:eastAsia="仿宋_GB2312" w:cs="仿宋_GB2312"/>
          <w:b/>
          <w:sz w:val="24"/>
          <w:szCs w:val="24"/>
        </w:rPr>
        <w:t>征集</w:t>
      </w:r>
      <w:r>
        <w:rPr>
          <w:rFonts w:ascii="仿宋_GB2312" w:hAnsi="仿宋" w:eastAsia="仿宋_GB2312" w:cs="仿宋_GB2312"/>
          <w:b/>
          <w:sz w:val="24"/>
          <w:szCs w:val="24"/>
        </w:rPr>
        <w:t>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征集文件包括下列文件及附件：</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w:t>
      </w:r>
      <w:r>
        <w:rPr>
          <w:rFonts w:hint="eastAsia" w:ascii="仿宋_GB2312" w:hAnsi="仿宋" w:eastAsia="仿宋_GB2312" w:cs="仿宋_GB2312"/>
          <w:sz w:val="24"/>
          <w:szCs w:val="24"/>
        </w:rPr>
        <w:t>征集</w:t>
      </w:r>
      <w:r>
        <w:rPr>
          <w:rFonts w:ascii="仿宋_GB2312" w:hAnsi="仿宋" w:eastAsia="仿宋_GB2312" w:cs="仿宋_GB2312"/>
          <w:sz w:val="24"/>
          <w:szCs w:val="24"/>
        </w:rPr>
        <w:t>公告；</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澄清、补充、修改的内容为征集文件的组成部分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征集文件的澄清、补充、修改</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6.1已获取</w:t>
      </w:r>
      <w:r>
        <w:rPr>
          <w:rFonts w:hint="eastAsia" w:ascii="仿宋_GB2312" w:hAnsi="仿宋" w:eastAsia="仿宋_GB2312" w:cs="仿宋_GB2312"/>
        </w:rPr>
        <w:t>征集</w:t>
      </w:r>
      <w:r>
        <w:rPr>
          <w:rFonts w:ascii="仿宋_GB2312" w:hAnsi="仿宋" w:eastAsia="仿宋_GB2312" w:cs="仿宋_GB2312"/>
        </w:rPr>
        <w:t>文件的潜在投标人，若有问题需要澄清，应于投标截止时间前，以书面形式向采购代理机构提出。</w:t>
      </w:r>
    </w:p>
    <w:p>
      <w:pPr>
        <w:pStyle w:val="133"/>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采购代理机构对征集文件进行澄清、补充、修改的，将以网上发布补充（更正）公告的形式通知所有潜在投标人，同时视情况延长投标截止时间和开标时间。该澄清、补充、修改的内容为征集文件的组成部分。</w:t>
      </w:r>
    </w:p>
    <w:p>
      <w:pPr>
        <w:pStyle w:val="133"/>
        <w:snapToGrid w:val="0"/>
        <w:spacing w:before="0"/>
        <w:ind w:firstLine="480"/>
        <w:rPr>
          <w:rFonts w:ascii="仿宋_GB2312" w:hAnsi="仿宋" w:eastAsia="仿宋_GB2312"/>
        </w:rPr>
      </w:pPr>
      <w:r>
        <w:rPr>
          <w:rFonts w:hint="eastAsia" w:ascii="仿宋_GB2312" w:hAnsi="仿宋" w:eastAsia="仿宋_GB2312"/>
        </w:rPr>
        <w:t>6.3当征集文件与澄清、补充、修改就同一内容表述不一致的以最后发出的文件或公告为准。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征集文件的获取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详见征集公告中获取征集文件的时间期限、地点、方式及征集文件售价。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响应文件的语言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响应文件的组成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响应文件含有采购人不能接受的附加条件的，投标无效；投标人提供虚假材料投标的，投标无效。</w:t>
      </w:r>
    </w:p>
    <w:p>
      <w:pPr>
        <w:pStyle w:val="133"/>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w:t>
      </w:r>
      <w:r>
        <w:rPr>
          <w:rFonts w:hint="eastAsia" w:ascii="仿宋_GB2312" w:hAnsi="仿宋" w:eastAsia="仿宋_GB2312" w:cs="仿宋_GB2312"/>
          <w:b/>
          <w:szCs w:val="24"/>
        </w:rPr>
        <w:t>响应文件的编制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w:t>
      </w:r>
      <w:r>
        <w:rPr>
          <w:rFonts w:hint="eastAsia" w:ascii="仿宋_GB2312" w:hAnsi="仿宋" w:eastAsia="仿宋_GB2312" w:cs="仿宋_GB2312"/>
          <w:kern w:val="0"/>
          <w:sz w:val="24"/>
          <w:lang w:val="zh-CN"/>
        </w:rPr>
        <w:t>响应</w:t>
      </w:r>
      <w:r>
        <w:rPr>
          <w:rFonts w:ascii="仿宋_GB2312" w:hAnsi="仿宋" w:eastAsia="仿宋_GB2312" w:cs="仿宋_GB2312"/>
          <w:kern w:val="0"/>
          <w:sz w:val="24"/>
          <w:lang w:val="zh-CN"/>
        </w:rPr>
        <w:t>文件分为资格文件、商务技术文件、报价文件三部分。各投标人在编制</w:t>
      </w:r>
      <w:r>
        <w:rPr>
          <w:rFonts w:hint="eastAsia" w:ascii="仿宋_GB2312" w:hAnsi="仿宋" w:eastAsia="仿宋_GB2312" w:cs="仿宋_GB2312"/>
          <w:kern w:val="0"/>
          <w:sz w:val="24"/>
          <w:lang w:val="zh-CN"/>
        </w:rPr>
        <w:t>响应</w:t>
      </w:r>
      <w:r>
        <w:rPr>
          <w:rFonts w:ascii="仿宋_GB2312" w:hAnsi="仿宋" w:eastAsia="仿宋_GB2312" w:cs="仿宋_GB2312"/>
          <w:kern w:val="0"/>
          <w:sz w:val="24"/>
          <w:lang w:val="zh-CN"/>
        </w:rPr>
        <w:t>文件时请按照</w:t>
      </w:r>
      <w:r>
        <w:rPr>
          <w:rFonts w:hint="eastAsia" w:ascii="仿宋_GB2312" w:hAnsi="仿宋" w:eastAsia="仿宋_GB2312" w:cs="仿宋_GB2312"/>
          <w:kern w:val="0"/>
          <w:sz w:val="24"/>
          <w:lang w:val="zh-CN"/>
        </w:rPr>
        <w:t>征集</w:t>
      </w:r>
      <w:r>
        <w:rPr>
          <w:rFonts w:ascii="仿宋_GB2312" w:hAnsi="仿宋" w:eastAsia="仿宋_GB2312" w:cs="仿宋_GB2312"/>
          <w:kern w:val="0"/>
          <w:sz w:val="24"/>
          <w:lang w:val="zh-CN"/>
        </w:rPr>
        <w:t>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采云电子交易客户端”，并按照征集文件和电子交易平台的要求编制并加密响应文件。投标人未按规定加密的响应文件，电子交易平台将拒收并提示。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w:t>
      </w:r>
      <w:r>
        <w:rPr>
          <w:rFonts w:hint="eastAsia" w:ascii="仿宋_GB2312" w:hAnsi="仿宋" w:eastAsia="仿宋_GB2312"/>
          <w:b/>
          <w:sz w:val="24"/>
        </w:rPr>
        <w:t>响应</w:t>
      </w:r>
      <w:r>
        <w:rPr>
          <w:rFonts w:ascii="仿宋_GB2312" w:hAnsi="仿宋" w:eastAsia="仿宋_GB2312"/>
          <w:b/>
          <w:sz w:val="24"/>
        </w:rPr>
        <w:t>文件的签署、盖章</w:t>
      </w:r>
    </w:p>
    <w:p>
      <w:pPr>
        <w:pStyle w:val="133"/>
        <w:snapToGrid w:val="0"/>
        <w:spacing w:before="0"/>
        <w:ind w:firstLine="480"/>
        <w:rPr>
          <w:rFonts w:ascii="仿宋_GB2312" w:hAnsi="仿宋" w:eastAsia="仿宋_GB2312" w:cs="仿宋_GB2312"/>
          <w:b/>
        </w:rPr>
      </w:pPr>
      <w:r>
        <w:rPr>
          <w:rFonts w:ascii="仿宋_GB2312" w:hAnsi="仿宋" w:eastAsia="仿宋_GB2312" w:cs="仿宋_GB2312"/>
          <w:szCs w:val="24"/>
        </w:rPr>
        <w:t>13.1</w:t>
      </w:r>
      <w:r>
        <w:rPr>
          <w:rFonts w:hint="eastAsia" w:ascii="仿宋_GB2312" w:hAnsi="仿宋" w:eastAsia="仿宋_GB2312" w:cs="仿宋_GB2312"/>
          <w:szCs w:val="24"/>
        </w:rPr>
        <w:t>响应</w:t>
      </w:r>
      <w:r>
        <w:rPr>
          <w:rFonts w:ascii="仿宋_GB2312" w:hAnsi="仿宋" w:eastAsia="仿宋_GB2312" w:cs="仿宋_GB2312"/>
          <w:szCs w:val="24"/>
        </w:rPr>
        <w:t>文件按照</w:t>
      </w:r>
      <w:r>
        <w:rPr>
          <w:rFonts w:hint="eastAsia" w:ascii="仿宋_GB2312" w:hAnsi="仿宋" w:eastAsia="仿宋_GB2312" w:cs="仿宋_GB2312"/>
          <w:szCs w:val="24"/>
        </w:rPr>
        <w:t>征集</w:t>
      </w:r>
      <w:r>
        <w:rPr>
          <w:rFonts w:ascii="仿宋_GB2312" w:hAnsi="仿宋" w:eastAsia="仿宋_GB2312" w:cs="仿宋_GB2312"/>
          <w:szCs w:val="24"/>
        </w:rPr>
        <w:t>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投标人的响应文件未按照征集文件要求签署、盖章的，其投标无效</w:t>
      </w:r>
      <w:r>
        <w:rPr>
          <w:rFonts w:hint="eastAsia" w:ascii="仿宋_GB2312" w:hAnsi="仿宋" w:eastAsia="仿宋_GB2312" w:cs="仿宋_GB2312"/>
          <w:szCs w:val="24"/>
        </w:rPr>
        <w:t>。</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_GB2312" w:hAnsi="仿宋" w:eastAsia="仿宋_GB2312" w:cs="仿宋_GB2312"/>
          <w:szCs w:val="24"/>
        </w:rPr>
      </w:pPr>
      <w:r>
        <w:rPr>
          <w:rFonts w:ascii="仿宋_GB2312" w:hAnsi="仿宋" w:eastAsia="仿宋_GB2312" w:cs="仿宋_GB2312"/>
        </w:rPr>
        <w:t>13.3</w:t>
      </w:r>
      <w:r>
        <w:rPr>
          <w:rFonts w:hint="eastAsia" w:ascii="仿宋_GB2312" w:hAnsi="仿宋" w:eastAsia="仿宋_GB2312" w:cs="仿宋_GB2312"/>
        </w:rPr>
        <w:t>征集</w:t>
      </w:r>
      <w:r>
        <w:rPr>
          <w:rFonts w:ascii="仿宋_GB2312" w:hAnsi="仿宋" w:eastAsia="仿宋_GB2312" w:cs="仿宋_GB2312"/>
        </w:rPr>
        <w:t>文件对</w:t>
      </w:r>
      <w:r>
        <w:rPr>
          <w:rFonts w:hint="eastAsia" w:ascii="仿宋_GB2312" w:hAnsi="仿宋" w:eastAsia="仿宋_GB2312" w:cs="仿宋_GB2312"/>
        </w:rPr>
        <w:t>响应</w:t>
      </w:r>
      <w:r>
        <w:rPr>
          <w:rFonts w:ascii="仿宋_GB2312" w:hAnsi="仿宋" w:eastAsia="仿宋_GB2312" w:cs="仿宋_GB2312"/>
        </w:rPr>
        <w:t>文件签署、盖章的要求适用于电子签名。</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响应文件的提交、补充、修改、撤回</w:t>
      </w:r>
    </w:p>
    <w:p>
      <w:pPr>
        <w:pStyle w:val="133"/>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w:t>
      </w:r>
      <w:r>
        <w:rPr>
          <w:rFonts w:hint="eastAsia" w:ascii="仿宋_GB2312" w:hAnsi="仿宋" w:eastAsia="仿宋_GB2312" w:cs="仿宋_GB2312"/>
          <w:szCs w:val="24"/>
        </w:rPr>
        <w:t>响应</w:t>
      </w:r>
      <w:r>
        <w:rPr>
          <w:rFonts w:ascii="仿宋_GB2312" w:hAnsi="仿宋" w:eastAsia="仿宋_GB2312" w:cs="仿宋_GB2312"/>
          <w:szCs w:val="24"/>
        </w:rPr>
        <w:t>文件，将妥善保存并即时向供应商发出确认回执通知。在投标截止时间前，除供应商补充、修改或者撤回</w:t>
      </w:r>
      <w:r>
        <w:rPr>
          <w:rFonts w:hint="eastAsia" w:ascii="仿宋_GB2312" w:hAnsi="仿宋" w:eastAsia="仿宋_GB2312" w:cs="仿宋_GB2312"/>
          <w:szCs w:val="24"/>
        </w:rPr>
        <w:t>响应</w:t>
      </w:r>
      <w:r>
        <w:rPr>
          <w:rFonts w:ascii="仿宋_GB2312" w:hAnsi="仿宋" w:eastAsia="仿宋_GB2312" w:cs="仿宋_GB2312"/>
          <w:szCs w:val="24"/>
        </w:rPr>
        <w:t>文件外，任何单位和个人不得解密或提取</w:t>
      </w:r>
      <w:r>
        <w:rPr>
          <w:rFonts w:hint="eastAsia" w:ascii="仿宋_GB2312" w:hAnsi="仿宋" w:eastAsia="仿宋_GB2312" w:cs="仿宋_GB2312"/>
          <w:szCs w:val="24"/>
        </w:rPr>
        <w:t>响应</w:t>
      </w:r>
      <w:r>
        <w:rPr>
          <w:rFonts w:ascii="仿宋_GB2312" w:hAnsi="仿宋" w:eastAsia="仿宋_GB2312" w:cs="仿宋_GB2312"/>
          <w:szCs w:val="24"/>
        </w:rPr>
        <w:t>文件。</w:t>
      </w:r>
    </w:p>
    <w:p>
      <w:pPr>
        <w:pStyle w:val="133"/>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w:t>
      </w:r>
      <w:r>
        <w:rPr>
          <w:rFonts w:hint="eastAsia" w:ascii="仿宋_GB2312" w:hAnsi="仿宋" w:eastAsia="仿宋_GB2312" w:cs="仿宋_GB2312"/>
          <w:szCs w:val="24"/>
        </w:rPr>
        <w:t>响应</w:t>
      </w:r>
      <w:r>
        <w:rPr>
          <w:rFonts w:ascii="仿宋_GB2312" w:hAnsi="仿宋" w:eastAsia="仿宋_GB2312" w:cs="仿宋_GB2312"/>
          <w:szCs w:val="24"/>
        </w:rPr>
        <w:t>文件提交的截止时间。在上述情况下，采购代理机构与投标人以前在投标截止期方面的全部权利、责任和义务，将适用于延长至新的投标截止期。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w:t>
      </w:r>
      <w:r>
        <w:rPr>
          <w:rFonts w:hint="eastAsia" w:ascii="仿宋_GB2312" w:hAnsi="仿宋" w:eastAsia="仿宋_GB2312" w:cs="仿宋_GB2312"/>
          <w:b/>
          <w:sz w:val="24"/>
          <w:szCs w:val="24"/>
        </w:rPr>
        <w:t>响应</w:t>
      </w:r>
      <w:r>
        <w:rPr>
          <w:rFonts w:ascii="仿宋_GB2312" w:hAnsi="仿宋" w:eastAsia="仿宋_GB2312" w:cs="仿宋_GB2312"/>
          <w:b/>
          <w:sz w:val="24"/>
          <w:szCs w:val="24"/>
        </w:rPr>
        <w:t>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w:t>
      </w:r>
      <w:r>
        <w:rPr>
          <w:rFonts w:hint="eastAsia" w:ascii="仿宋_GB2312" w:hAnsi="仿宋" w:eastAsia="仿宋_GB2312" w:cs="仿宋_GB2312"/>
          <w:sz w:val="24"/>
          <w:szCs w:val="24"/>
        </w:rPr>
        <w:t>响应</w:t>
      </w:r>
      <w:r>
        <w:rPr>
          <w:rFonts w:ascii="仿宋_GB2312" w:hAnsi="仿宋" w:eastAsia="仿宋_GB2312" w:cs="仿宋_GB2312"/>
          <w:sz w:val="24"/>
          <w:szCs w:val="24"/>
        </w:rPr>
        <w:t>文件后，还可以在</w:t>
      </w:r>
      <w:r>
        <w:rPr>
          <w:rFonts w:hint="eastAsia" w:ascii="仿宋_GB2312" w:hAnsi="仿宋" w:eastAsia="仿宋_GB2312" w:cs="仿宋_GB2312"/>
          <w:sz w:val="24"/>
          <w:szCs w:val="24"/>
        </w:rPr>
        <w:t>响应</w:t>
      </w:r>
      <w:r>
        <w:rPr>
          <w:rFonts w:ascii="仿宋_GB2312" w:hAnsi="仿宋" w:eastAsia="仿宋_GB2312" w:cs="仿宋_GB2312"/>
          <w:sz w:val="24"/>
          <w:szCs w:val="24"/>
        </w:rPr>
        <w:t>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w:t>
      </w:r>
      <w:r>
        <w:rPr>
          <w:rFonts w:hint="eastAsia" w:ascii="仿宋_GB2312" w:hAnsi="仿宋" w:eastAsia="仿宋_GB2312" w:cs="仿宋_GB2312"/>
          <w:sz w:val="24"/>
          <w:szCs w:val="24"/>
        </w:rPr>
        <w:t>响应</w:t>
      </w:r>
      <w:r>
        <w:rPr>
          <w:rFonts w:ascii="仿宋_GB2312" w:hAnsi="仿宋" w:eastAsia="仿宋_GB2312" w:cs="仿宋_GB2312"/>
          <w:sz w:val="24"/>
          <w:szCs w:val="24"/>
        </w:rPr>
        <w:t>文件1份，</w:t>
      </w:r>
      <w:r>
        <w:rPr>
          <w:rFonts w:hint="eastAsia" w:ascii="仿宋_GB2312" w:hAnsi="仿宋" w:eastAsia="仿宋_GB2312" w:cs="仿宋_GB2312"/>
          <w:b/>
          <w:sz w:val="24"/>
          <w:szCs w:val="24"/>
        </w:rPr>
        <w:t>但采购人、采购代理机构不强制或变相强制投标人提交备份响应文件。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w:t>
      </w:r>
      <w:r>
        <w:rPr>
          <w:rFonts w:hint="eastAsia" w:ascii="仿宋_GB2312" w:hAnsi="仿宋" w:eastAsia="仿宋_GB2312" w:cs="仿宋_GB2312"/>
          <w:sz w:val="24"/>
          <w:szCs w:val="24"/>
        </w:rPr>
        <w:t>响应</w:t>
      </w:r>
      <w:r>
        <w:rPr>
          <w:rFonts w:ascii="仿宋_GB2312" w:hAnsi="仿宋" w:eastAsia="仿宋_GB2312" w:cs="仿宋_GB2312"/>
          <w:sz w:val="24"/>
          <w:szCs w:val="24"/>
        </w:rPr>
        <w:t>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w:t>
      </w:r>
      <w:r>
        <w:rPr>
          <w:rFonts w:hint="eastAsia" w:ascii="仿宋_GB2312" w:hAnsi="仿宋" w:eastAsia="仿宋_GB2312" w:cs="仿宋_GB2312"/>
          <w:sz w:val="24"/>
          <w:szCs w:val="24"/>
        </w:rPr>
        <w:t>响应</w:t>
      </w:r>
      <w:r>
        <w:rPr>
          <w:rFonts w:ascii="仿宋_GB2312" w:hAnsi="仿宋" w:eastAsia="仿宋_GB2312" w:cs="仿宋_GB2312"/>
          <w:sz w:val="24"/>
          <w:szCs w:val="24"/>
        </w:rPr>
        <w:t>文件。</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w:t>
      </w:r>
      <w:r>
        <w:rPr>
          <w:rFonts w:hint="eastAsia" w:ascii="仿宋_GB2312" w:hAnsi="仿宋" w:eastAsia="仿宋_GB2312" w:cs="仿宋_GB2312"/>
          <w:b/>
          <w:sz w:val="24"/>
          <w:szCs w:val="24"/>
        </w:rPr>
        <w:t>响应</w:t>
      </w:r>
      <w:r>
        <w:rPr>
          <w:rFonts w:ascii="仿宋_GB2312" w:hAnsi="仿宋" w:eastAsia="仿宋_GB2312" w:cs="仿宋_GB2312"/>
          <w:b/>
          <w:sz w:val="24"/>
          <w:szCs w:val="24"/>
        </w:rPr>
        <w:t>文件，没有在电子交易平台传输递交</w:t>
      </w:r>
      <w:r>
        <w:rPr>
          <w:rFonts w:hint="eastAsia" w:ascii="仿宋_GB2312" w:hAnsi="仿宋" w:eastAsia="仿宋_GB2312" w:cs="仿宋_GB2312"/>
          <w:b/>
          <w:sz w:val="24"/>
          <w:szCs w:val="24"/>
        </w:rPr>
        <w:t>响应</w:t>
      </w:r>
      <w:r>
        <w:rPr>
          <w:rFonts w:ascii="仿宋_GB2312" w:hAnsi="仿宋" w:eastAsia="仿宋_GB2312" w:cs="仿宋_GB2312"/>
          <w:b/>
          <w:sz w:val="24"/>
          <w:szCs w:val="24"/>
        </w:rPr>
        <w:t>文件的，投标无效。</w:t>
      </w:r>
    </w:p>
    <w:p>
      <w:pPr>
        <w:pStyle w:val="33"/>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响应文件如有补充、修改，备份响应文件应同步调整并再次提交，采购代理机构以最新备份响应文件为准。</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16.</w:t>
      </w:r>
      <w:r>
        <w:rPr>
          <w:rFonts w:hint="eastAsia" w:ascii="仿宋_GB2312" w:hAnsi="仿宋" w:eastAsia="仿宋_GB2312" w:cs="仿宋_GB2312"/>
          <w:b/>
          <w:szCs w:val="24"/>
        </w:rPr>
        <w:t>响应</w:t>
      </w:r>
      <w:r>
        <w:rPr>
          <w:rFonts w:ascii="仿宋_GB2312" w:hAnsi="仿宋" w:eastAsia="仿宋_GB2312" w:cs="仿宋_GB2312"/>
          <w:b/>
          <w:szCs w:val="24"/>
        </w:rPr>
        <w:t>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有响应文件第四部分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w:t>
      </w:r>
      <w:r>
        <w:rPr>
          <w:rFonts w:hint="eastAsia" w:ascii="仿宋_GB2312" w:hAnsi="仿宋" w:eastAsia="仿宋_GB2312" w:cs="仿宋_GB2312"/>
          <w:sz w:val="24"/>
          <w:szCs w:val="20"/>
        </w:rPr>
        <w:t>响应</w:t>
      </w:r>
      <w:r>
        <w:rPr>
          <w:rFonts w:ascii="仿宋_GB2312" w:hAnsi="仿宋" w:eastAsia="仿宋_GB2312" w:cs="仿宋_GB2312"/>
          <w:sz w:val="24"/>
          <w:szCs w:val="20"/>
        </w:rPr>
        <w:t>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投标人的响应文件中承</w:t>
      </w:r>
      <w:r>
        <w:rPr>
          <w:rFonts w:hint="eastAsia" w:ascii="仿宋_GB2312" w:hAnsi="仿宋" w:eastAsia="仿宋_GB2312" w:cs="仿宋_GB2312"/>
          <w:b/>
          <w:sz w:val="24"/>
          <w:szCs w:val="21"/>
        </w:rPr>
        <w:t>诺的投标有效期少于征集文件中载明的投标有效期的，投标无效。</w:t>
      </w:r>
    </w:p>
    <w:p>
      <w:pPr>
        <w:pStyle w:val="133"/>
        <w:spacing w:before="0"/>
        <w:ind w:firstLine="480"/>
        <w:rPr>
          <w:rFonts w:ascii="仿宋_GB2312" w:hAnsi="仿宋" w:eastAsia="仿宋_GB2312" w:cs="仿宋_GB2312"/>
        </w:rPr>
      </w:pPr>
      <w:r>
        <w:rPr>
          <w:rFonts w:ascii="仿宋_GB2312" w:hAnsi="仿宋" w:eastAsia="仿宋_GB2312" w:cs="仿宋_GB2312"/>
        </w:rPr>
        <w:t>17.2</w:t>
      </w:r>
      <w:r>
        <w:rPr>
          <w:rFonts w:hint="eastAsia" w:ascii="仿宋_GB2312" w:hAnsi="仿宋" w:eastAsia="仿宋_GB2312" w:cs="仿宋_GB2312"/>
          <w:szCs w:val="24"/>
        </w:rPr>
        <w:t>响应</w:t>
      </w:r>
      <w:r>
        <w:rPr>
          <w:rFonts w:ascii="仿宋_GB2312" w:hAnsi="仿宋" w:eastAsia="仿宋_GB2312" w:cs="仿宋_GB2312"/>
        </w:rPr>
        <w:t>文件合格投递后，自投标截止日期起，在投标有效期内有效。</w:t>
      </w:r>
    </w:p>
    <w:p>
      <w:pPr>
        <w:pStyle w:val="133"/>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w:t>
      </w:r>
      <w:r>
        <w:rPr>
          <w:rFonts w:hint="eastAsia" w:ascii="仿宋_GB2312" w:hAnsi="仿宋" w:eastAsia="仿宋_GB2312" w:cs="仿宋_GB2312"/>
        </w:rPr>
        <w:t>响应</w:t>
      </w:r>
      <w:r>
        <w:rPr>
          <w:rFonts w:ascii="仿宋_GB2312" w:hAnsi="仿宋" w:eastAsia="仿宋_GB2312" w:cs="仿宋_GB2312"/>
        </w:rPr>
        <w:t>文件，投标人拒绝延长的，其投标无效。</w:t>
      </w:r>
    </w:p>
    <w:p>
      <w:pPr>
        <w:pStyle w:val="133"/>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60"/>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6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w:t>
      </w:r>
      <w:r>
        <w:rPr>
          <w:rFonts w:hint="eastAsia" w:ascii="仿宋_GB2312" w:hAnsi="仿宋" w:eastAsia="仿宋_GB2312" w:cs="仿宋_GB2312"/>
          <w:sz w:val="24"/>
        </w:rPr>
        <w:t>征集</w:t>
      </w:r>
      <w:r>
        <w:rPr>
          <w:rFonts w:ascii="仿宋_GB2312" w:hAnsi="仿宋" w:eastAsia="仿宋_GB2312" w:cs="仿宋_GB2312"/>
          <w:sz w:val="24"/>
        </w:rPr>
        <w:t>文件规定的时间通过电子交易平台组织开标，所有投标人均应当准时在线参加。</w:t>
      </w:r>
      <w:r>
        <w:rPr>
          <w:rFonts w:ascii="仿宋_GB2312" w:hAnsi="仿宋" w:eastAsia="仿宋_GB2312" w:cs="仿宋_GB2312"/>
          <w:color w:val="FF0000"/>
          <w:sz w:val="24"/>
        </w:rPr>
        <w:t>投标人不足</w:t>
      </w:r>
      <w:r>
        <w:rPr>
          <w:rFonts w:hint="eastAsia" w:ascii="仿宋_GB2312" w:hAnsi="仿宋" w:eastAsia="仿宋_GB2312" w:cs="仿宋_GB2312"/>
          <w:color w:val="FF0000"/>
          <w:sz w:val="24"/>
        </w:rPr>
        <w:t>2</w:t>
      </w:r>
      <w:r>
        <w:rPr>
          <w:rFonts w:ascii="仿宋_GB2312" w:hAnsi="仿宋" w:eastAsia="仿宋_GB2312" w:cs="仿宋_GB2312"/>
          <w:color w:val="FF0000"/>
          <w:sz w:val="24"/>
        </w:rPr>
        <w:t>家的，</w:t>
      </w:r>
      <w:r>
        <w:rPr>
          <w:rFonts w:ascii="仿宋_GB2312" w:hAnsi="仿宋" w:eastAsia="仿宋_GB2312" w:cs="仿宋_GB2312"/>
          <w:sz w:val="24"/>
        </w:rPr>
        <w:t>不得开标。</w:t>
      </w:r>
    </w:p>
    <w:p>
      <w:pPr>
        <w:pStyle w:val="56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w:t>
      </w:r>
      <w:r>
        <w:rPr>
          <w:rFonts w:hint="eastAsia" w:ascii="仿宋_GB2312" w:hAnsi="仿宋" w:eastAsia="仿宋_GB2312" w:cs="仿宋_GB2312"/>
          <w:sz w:val="24"/>
          <w:szCs w:val="24"/>
        </w:rPr>
        <w:t>响应</w:t>
      </w:r>
      <w:r>
        <w:rPr>
          <w:rFonts w:ascii="仿宋_GB2312" w:hAnsi="仿宋" w:eastAsia="仿宋_GB2312" w:cs="仿宋_GB2312"/>
          <w:sz w:val="24"/>
        </w:rPr>
        <w:t>文件。采购代理机构依托电子交易平台发起开始解密指令，投标人按照平台提示</w:t>
      </w:r>
      <w:r>
        <w:rPr>
          <w:rFonts w:hint="eastAsia" w:ascii="仿宋_GB2312" w:hAnsi="仿宋" w:eastAsia="仿宋_GB2312" w:cs="仿宋_GB2312"/>
          <w:sz w:val="24"/>
        </w:rPr>
        <w:t>在征集</w:t>
      </w:r>
      <w:r>
        <w:rPr>
          <w:rFonts w:ascii="仿宋_GB2312" w:hAnsi="仿宋" w:eastAsia="仿宋_GB2312" w:cs="仿宋_GB2312"/>
          <w:sz w:val="24"/>
        </w:rPr>
        <w:t>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6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响应文件未按时解密，投标人提供了备份响应文件的，经投标人同意后以备份响应文件作为依据，否则视为响应文件撤回。响应文件已按时解密的，备份响应文件自动失效。</w:t>
      </w:r>
    </w:p>
    <w:p>
      <w:pPr>
        <w:pStyle w:val="560"/>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采购人或采购代理机构依据法律法规和征集文件的规定，对投标人的基本资格条件、特定资格条件进行审查。</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w:t>
      </w:r>
      <w:r>
        <w:rPr>
          <w:rFonts w:hint="eastAsia" w:ascii="仿宋_GB2312" w:hAnsi="仿宋" w:eastAsia="仿宋_GB2312" w:cs="Arial"/>
          <w:kern w:val="0"/>
          <w:szCs w:val="24"/>
        </w:rPr>
        <w:t>征集</w:t>
      </w:r>
      <w:r>
        <w:rPr>
          <w:rFonts w:ascii="仿宋_GB2312" w:hAnsi="仿宋" w:eastAsia="仿宋_GB2312" w:cs="Arial"/>
          <w:kern w:val="0"/>
          <w:szCs w:val="24"/>
        </w:rPr>
        <w:t>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有效资格证明材料的，视为投标人不具备征集文件中规定的资格要求，其投标无效。</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w:t>
      </w:r>
      <w:r>
        <w:rPr>
          <w:rFonts w:hint="eastAsia" w:ascii="仿宋_GB2312" w:hAnsi="仿宋" w:eastAsia="仿宋_GB2312" w:cs="仿宋_GB2312"/>
        </w:rPr>
        <w:t>2</w:t>
      </w:r>
      <w:r>
        <w:rPr>
          <w:rFonts w:ascii="仿宋_GB2312" w:hAnsi="仿宋" w:eastAsia="仿宋_GB2312" w:cs="仿宋_GB2312"/>
        </w:rPr>
        <w:t>家的，不再评标。</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评标委员会将根据征集文件和有关规定，履行评标工作职责，并按照评标方法及标准，对实质上响应征集文件的投标人，进行评审。</w:t>
      </w:r>
      <w:r>
        <w:rPr>
          <w:rFonts w:hint="eastAsia" w:ascii="仿宋_GB2312" w:hAnsi="仿宋" w:eastAsia="仿宋_GB2312" w:cs="仿宋_GB2312"/>
          <w:b/>
          <w:sz w:val="24"/>
        </w:rPr>
        <w:t>详见征集文件第四部分评标办法。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确定入围供应商</w:t>
      </w:r>
    </w:p>
    <w:p>
      <w:pPr>
        <w:pStyle w:val="133"/>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w:t>
      </w:r>
      <w:r>
        <w:rPr>
          <w:rFonts w:hint="eastAsia" w:ascii="仿宋_GB2312" w:hAnsi="仿宋" w:eastAsia="仿宋_GB2312" w:cs="仿宋_GB2312"/>
          <w:szCs w:val="24"/>
        </w:rPr>
        <w:t>入围</w:t>
      </w:r>
      <w:r>
        <w:rPr>
          <w:rFonts w:ascii="仿宋_GB2312" w:hAnsi="仿宋" w:eastAsia="仿宋_GB2312" w:cs="仿宋_GB2312"/>
          <w:szCs w:val="24"/>
        </w:rPr>
        <w:t>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33"/>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入围通知与入围结果公告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w:t>
      </w:r>
      <w:r>
        <w:rPr>
          <w:rFonts w:hint="eastAsia" w:ascii="仿宋_GB2312" w:hAnsi="仿宋" w:eastAsia="仿宋_GB2312" w:cs="仿宋_GB2312"/>
        </w:rPr>
        <w:t>入</w:t>
      </w:r>
      <w:r>
        <w:rPr>
          <w:rFonts w:hint="eastAsia" w:ascii="仿宋_GB2312" w:hAnsi="仿宋" w:eastAsia="仿宋_GB2312" w:cs="仿宋_GB2312"/>
          <w:sz w:val="24"/>
        </w:rPr>
        <w:t>围</w:t>
      </w:r>
      <w:r>
        <w:rPr>
          <w:rFonts w:ascii="仿宋_GB2312" w:hAnsi="仿宋" w:eastAsia="仿宋_GB2312" w:cs="仿宋_GB2312"/>
          <w:sz w:val="24"/>
        </w:rPr>
        <w:t>供应商确定之日起2个工作日内，采购代理机构通过电子交易平台向</w:t>
      </w:r>
      <w:r>
        <w:rPr>
          <w:rFonts w:hint="eastAsia" w:ascii="仿宋_GB2312" w:hAnsi="仿宋" w:eastAsia="仿宋_GB2312" w:cs="仿宋_GB2312"/>
        </w:rPr>
        <w:t>入</w:t>
      </w:r>
      <w:r>
        <w:rPr>
          <w:rFonts w:hint="eastAsia" w:ascii="仿宋_GB2312" w:hAnsi="仿宋" w:eastAsia="仿宋_GB2312" w:cs="仿宋_GB2312"/>
          <w:sz w:val="24"/>
        </w:rPr>
        <w:t>围</w:t>
      </w:r>
      <w:r>
        <w:rPr>
          <w:rFonts w:ascii="仿宋_GB2312" w:hAnsi="仿宋" w:eastAsia="仿宋_GB2312" w:cs="仿宋_GB2312"/>
          <w:sz w:val="24"/>
        </w:rPr>
        <w:t>供应商发出</w:t>
      </w:r>
      <w:r>
        <w:rPr>
          <w:rFonts w:hint="eastAsia" w:ascii="仿宋_GB2312" w:hAnsi="仿宋" w:eastAsia="仿宋_GB2312" w:cs="仿宋_GB2312"/>
          <w:sz w:val="24"/>
        </w:rPr>
        <w:t>入围</w:t>
      </w:r>
      <w:r>
        <w:rPr>
          <w:rFonts w:ascii="仿宋_GB2312" w:hAnsi="仿宋" w:eastAsia="仿宋_GB2312" w:cs="仿宋_GB2312"/>
          <w:sz w:val="24"/>
        </w:rPr>
        <w:t>通知书，</w:t>
      </w:r>
      <w:r>
        <w:rPr>
          <w:rFonts w:hint="eastAsia" w:ascii="仿宋_GB2312" w:hAnsi="仿宋" w:eastAsia="仿宋_GB2312" w:cs="仿宋_GB2312"/>
          <w:sz w:val="24"/>
        </w:rPr>
        <w:t>同时编制发布入围结果公告。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w:t>
      </w:r>
      <w:r>
        <w:rPr>
          <w:rFonts w:hint="eastAsia" w:ascii="仿宋_GB2312" w:hAnsi="仿宋" w:eastAsia="仿宋_GB2312" w:cs="Arial"/>
          <w:kern w:val="0"/>
          <w:sz w:val="24"/>
        </w:rPr>
        <w:t>征集</w:t>
      </w:r>
      <w:r>
        <w:rPr>
          <w:rFonts w:ascii="仿宋_GB2312" w:hAnsi="仿宋" w:eastAsia="仿宋_GB2312" w:cs="Arial"/>
          <w:kern w:val="0"/>
          <w:sz w:val="24"/>
        </w:rPr>
        <w:t>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3"/>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33"/>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征集文件、响应文件等内容签订并公告。</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4714665"/>
      <w:bookmarkEnd w:id="14"/>
      <w:bookmarkStart w:id="15" w:name="_Hlt68057669"/>
      <w:bookmarkEnd w:id="15"/>
      <w:bookmarkStart w:id="16" w:name="_Hlt68072998"/>
      <w:bookmarkEnd w:id="16"/>
      <w:bookmarkStart w:id="17" w:name="_Hlt74707468"/>
      <w:bookmarkEnd w:id="17"/>
      <w:bookmarkStart w:id="18" w:name="_Hlt75236101"/>
      <w:bookmarkEnd w:id="18"/>
      <w:bookmarkStart w:id="19" w:name="_Hlt75236011"/>
      <w:bookmarkEnd w:id="19"/>
      <w:bookmarkStart w:id="20" w:name="_Hlt74730295"/>
      <w:bookmarkEnd w:id="20"/>
      <w:bookmarkStart w:id="21" w:name="_Hlt75236290"/>
      <w:bookmarkEnd w:id="21"/>
      <w:bookmarkStart w:id="22" w:name="_Hlt68072990"/>
      <w:bookmarkEnd w:id="22"/>
      <w:bookmarkStart w:id="23" w:name="_Hlt68403820"/>
      <w:bookmarkEnd w:id="23"/>
      <w:bookmarkStart w:id="24" w:name="_Hlt68073093"/>
      <w:bookmarkEnd w:id="24"/>
      <w:bookmarkStart w:id="25" w:name="_Hlt74729768"/>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2"/>
        <w:snapToGrid w:val="0"/>
        <w:spacing w:after="120"/>
        <w:ind w:left="315" w:leftChars="150" w:firstLine="120" w:firstLineChars="50"/>
        <w:rPr>
          <w:rFonts w:hAnsi="仿宋_GB2312" w:cs="仿宋_GB2312"/>
          <w:sz w:val="24"/>
          <w:szCs w:val="24"/>
        </w:rPr>
      </w:pPr>
      <w:r>
        <w:rPr>
          <w:rFonts w:hAnsi="仿宋_GB2312" w:cs="仿宋_GB2312"/>
          <w:sz w:val="24"/>
          <w:szCs w:val="24"/>
        </w:rPr>
        <w:t>1</w:t>
      </w:r>
      <w:r>
        <w:rPr>
          <w:rFonts w:hint="eastAsia" w:hAnsi="仿宋_GB2312" w:cs="仿宋_GB2312"/>
          <w:sz w:val="24"/>
          <w:szCs w:val="24"/>
        </w:rPr>
        <w:t>．征集内容及范围</w:t>
      </w:r>
    </w:p>
    <w:p>
      <w:pPr>
        <w:pStyle w:val="133"/>
        <w:tabs>
          <w:tab w:val="left" w:pos="360"/>
        </w:tabs>
        <w:snapToGrid w:val="0"/>
        <w:ind w:firstLine="480"/>
        <w:rPr>
          <w:rFonts w:ascii="仿宋_GB2312" w:hAnsi="仿宋_GB2312" w:eastAsia="仿宋_GB2312" w:cs="仿宋_GB2312"/>
          <w:bCs/>
        </w:rPr>
      </w:pPr>
      <w:r>
        <w:rPr>
          <w:rFonts w:ascii="仿宋_GB2312" w:hAnsi="仿宋_GB2312" w:eastAsia="仿宋_GB2312" w:cs="仿宋_GB2312"/>
          <w:bCs/>
        </w:rPr>
        <w:t>1.1</w:t>
      </w:r>
      <w:r>
        <w:rPr>
          <w:rFonts w:hint="eastAsia" w:ascii="仿宋_GB2312" w:hAnsi="仿宋_GB2312" w:eastAsia="仿宋_GB2312" w:cs="仿宋_GB2312"/>
          <w:bCs/>
        </w:rPr>
        <w:t>、征集内容：诸暨市财政投资预决算审核中心政府投资项目和村级工程协审服务采购项目采购。</w:t>
      </w:r>
    </w:p>
    <w:p>
      <w:pPr>
        <w:pStyle w:val="133"/>
        <w:tabs>
          <w:tab w:val="left" w:pos="360"/>
        </w:tabs>
        <w:snapToGrid w:val="0"/>
        <w:ind w:firstLine="480"/>
        <w:rPr>
          <w:rFonts w:ascii="仿宋_GB2312" w:hAnsi="仿宋_GB2312" w:eastAsia="仿宋_GB2312" w:cs="仿宋_GB2312"/>
          <w:bCs/>
        </w:rPr>
      </w:pPr>
      <w:r>
        <w:rPr>
          <w:rFonts w:ascii="仿宋_GB2312" w:hAnsi="仿宋_GB2312" w:eastAsia="仿宋_GB2312" w:cs="仿宋_GB2312"/>
          <w:bCs/>
        </w:rPr>
        <w:t>1.2</w:t>
      </w:r>
      <w:r>
        <w:rPr>
          <w:rFonts w:hint="eastAsia" w:ascii="仿宋_GB2312" w:hAnsi="仿宋_GB2312" w:eastAsia="仿宋_GB2312" w:cs="仿宋_GB2312"/>
          <w:bCs/>
        </w:rPr>
        <w:t>、审核业务范围：合同金额200万元以上的政府投资项目和村级工程项目结算审核服务、送审金额400万元以上的政府投资项目和村级工程预算审核服务</w:t>
      </w:r>
      <w:r>
        <w:rPr>
          <w:rFonts w:hint="eastAsia" w:ascii="仿宋_GB2312" w:hAnsi="仿宋" w:eastAsia="仿宋_GB2312"/>
          <w:szCs w:val="24"/>
        </w:rPr>
        <w:t>（不包括</w:t>
      </w:r>
      <w:r>
        <w:rPr>
          <w:rFonts w:hint="eastAsia" w:ascii="仿宋_GB2312" w:hAnsi="仿宋" w:eastAsia="仿宋_GB2312"/>
          <w:snapToGrid w:val="0"/>
          <w:szCs w:val="24"/>
        </w:rPr>
        <w:t>单笔采购金额达到政府采购限额标准的项目</w:t>
      </w:r>
      <w:r>
        <w:rPr>
          <w:rFonts w:hint="eastAsia" w:ascii="仿宋_GB2312" w:hAnsi="仿宋" w:eastAsia="仿宋_GB2312"/>
          <w:szCs w:val="24"/>
        </w:rPr>
        <w:t>）</w:t>
      </w:r>
      <w:r>
        <w:rPr>
          <w:rFonts w:hint="eastAsia" w:ascii="仿宋_GB2312" w:hAnsi="仿宋_GB2312" w:eastAsia="仿宋_GB2312" w:cs="仿宋_GB2312"/>
          <w:bCs/>
        </w:rPr>
        <w:t>。</w:t>
      </w:r>
    </w:p>
    <w:p>
      <w:pPr>
        <w:pStyle w:val="133"/>
        <w:tabs>
          <w:tab w:val="left" w:pos="360"/>
        </w:tabs>
        <w:snapToGrid w:val="0"/>
        <w:ind w:firstLine="480"/>
        <w:rPr>
          <w:rFonts w:ascii="仿宋_GB2312" w:hAnsi="仿宋_GB2312" w:eastAsia="仿宋_GB2312" w:cs="仿宋_GB2312"/>
          <w:bCs/>
        </w:rPr>
      </w:pPr>
      <w:r>
        <w:rPr>
          <w:rFonts w:hint="eastAsia" w:ascii="仿宋_GB2312" w:hAnsi="仿宋_GB2312" w:eastAsia="仿宋_GB2312" w:cs="仿宋_GB2312"/>
          <w:bCs/>
        </w:rPr>
        <w:t>★1.3、人员需求：投标人拟派负责人须具备注册一级造价工程师执业资格；</w:t>
      </w:r>
      <w:r>
        <w:rPr>
          <w:rFonts w:ascii="仿宋_GB2312" w:hAnsi="仿宋_GB2312" w:eastAsia="仿宋_GB2312" w:cs="仿宋_GB2312"/>
          <w:bCs/>
        </w:rPr>
        <w:t>拟派协审人员</w:t>
      </w:r>
      <w:r>
        <w:rPr>
          <w:rFonts w:hint="eastAsia" w:ascii="仿宋_GB2312" w:hAnsi="仿宋_GB2312" w:eastAsia="仿宋_GB2312" w:cs="仿宋_GB2312"/>
          <w:bCs/>
        </w:rPr>
        <w:t>（除</w:t>
      </w:r>
      <w:r>
        <w:rPr>
          <w:rFonts w:ascii="仿宋_GB2312" w:hAnsi="仿宋_GB2312" w:eastAsia="仿宋_GB2312" w:cs="仿宋_GB2312"/>
          <w:bCs/>
        </w:rPr>
        <w:t>拟派负责人外</w:t>
      </w:r>
      <w:r>
        <w:rPr>
          <w:rFonts w:hint="eastAsia" w:ascii="仿宋_GB2312" w:hAnsi="仿宋_GB2312" w:eastAsia="仿宋_GB2312" w:cs="仿宋_GB2312"/>
          <w:bCs/>
        </w:rPr>
        <w:t>）</w:t>
      </w:r>
      <w:r>
        <w:rPr>
          <w:rFonts w:ascii="仿宋_GB2312" w:hAnsi="仿宋_GB2312" w:eastAsia="仿宋_GB2312" w:cs="仿宋_GB2312"/>
          <w:bCs/>
        </w:rPr>
        <w:t>须具有造价师资格总人数不少于3人</w:t>
      </w:r>
      <w:r>
        <w:rPr>
          <w:rFonts w:hint="eastAsia" w:ascii="仿宋_GB2312" w:hAnsi="仿宋_GB2312" w:eastAsia="仿宋_GB2312" w:cs="仿宋_GB2312"/>
          <w:bCs/>
        </w:rPr>
        <w:t>；拟派协审人员专业（除拟派负责人</w:t>
      </w:r>
      <w:r>
        <w:rPr>
          <w:rFonts w:ascii="仿宋_GB2312" w:hAnsi="仿宋_GB2312" w:eastAsia="仿宋_GB2312" w:cs="仿宋_GB2312"/>
          <w:bCs/>
        </w:rPr>
        <w:t>外</w:t>
      </w:r>
      <w:r>
        <w:rPr>
          <w:rFonts w:hint="eastAsia" w:ascii="仿宋_GB2312" w:hAnsi="仿宋_GB2312" w:eastAsia="仿宋_GB2312" w:cs="仿宋_GB2312"/>
          <w:bCs/>
        </w:rPr>
        <w:t>）须具有任意两个造价执业资格专业（土建、安装、交通运输、通信、水利等）。（需提供人员相关注册证书以及在投标人企业最近连续缴纳三个月以上缴纳社保证明材料。）</w:t>
      </w:r>
    </w:p>
    <w:p>
      <w:pPr>
        <w:pStyle w:val="133"/>
        <w:tabs>
          <w:tab w:val="left" w:pos="360"/>
        </w:tabs>
        <w:snapToGrid w:val="0"/>
        <w:ind w:firstLine="480"/>
        <w:rPr>
          <w:rFonts w:ascii="仿宋_GB2312" w:hAnsi="仿宋_GB2312" w:eastAsia="仿宋_GB2312" w:cs="仿宋_GB2312"/>
          <w:bCs/>
        </w:rPr>
      </w:pPr>
      <w:r>
        <w:rPr>
          <w:rFonts w:hint="eastAsia" w:ascii="仿宋_GB2312" w:hAnsi="仿宋_GB2312" w:eastAsia="仿宋_GB2312" w:cs="仿宋_GB2312"/>
          <w:bCs/>
        </w:rPr>
        <w:t>注：1、如为退休人员，需提供在投标单位注册的造价工程师证书复印件以及近三个月的银行薪资清单复印件，须体现该人员为投标单位正式在编人员，不提供或提供不齐的不得分。</w:t>
      </w:r>
    </w:p>
    <w:p>
      <w:pPr>
        <w:pStyle w:val="133"/>
        <w:tabs>
          <w:tab w:val="left" w:pos="360"/>
        </w:tabs>
        <w:snapToGrid w:val="0"/>
        <w:ind w:firstLine="480"/>
        <w:rPr>
          <w:rFonts w:ascii="仿宋_GB2312" w:hAnsi="仿宋_GB2312" w:eastAsia="仿宋_GB2312" w:cs="仿宋_GB2312"/>
          <w:bCs/>
        </w:rPr>
      </w:pPr>
      <w:r>
        <w:rPr>
          <w:rFonts w:hint="eastAsia" w:ascii="仿宋_GB2312" w:hAnsi="仿宋_GB2312" w:eastAsia="仿宋_GB2312" w:cs="仿宋_GB2312"/>
          <w:bCs/>
        </w:rPr>
        <w:t>2、一级造价工程师（土建、安装、水利）提供注册证书。一级造价工程师（交通运输）提供资格证书。</w:t>
      </w:r>
    </w:p>
    <w:p>
      <w:pPr>
        <w:pStyle w:val="133"/>
        <w:tabs>
          <w:tab w:val="left" w:pos="360"/>
        </w:tabs>
        <w:snapToGrid w:val="0"/>
        <w:ind w:firstLine="480"/>
        <w:rPr>
          <w:rFonts w:ascii="仿宋_GB2312" w:hAnsi="仿宋_GB2312" w:eastAsia="仿宋_GB2312" w:cs="仿宋_GB2312"/>
          <w:bCs/>
        </w:rPr>
      </w:pPr>
      <w:r>
        <w:rPr>
          <w:rFonts w:hint="eastAsia" w:ascii="仿宋_GB2312" w:hAnsi="仿宋_GB2312" w:eastAsia="仿宋_GB2312" w:cs="仿宋_GB2312"/>
          <w:bCs/>
        </w:rPr>
        <w:t>3、二级造价工程师（土建、安装）提供注册证书。二级造价工程师水利专业提供职业资格考试成绩合格证明，交通运输专业提供职业资格考试成绩合格证明及在全国公路造价人员注册管理系统上的资格证书编号和职业证章号。原造价员证书不得分。</w:t>
      </w:r>
    </w:p>
    <w:p>
      <w:pPr>
        <w:pStyle w:val="133"/>
        <w:tabs>
          <w:tab w:val="left" w:pos="360"/>
        </w:tabs>
        <w:snapToGrid w:val="0"/>
        <w:ind w:firstLine="480"/>
        <w:rPr>
          <w:rFonts w:ascii="仿宋_GB2312" w:hAnsi="仿宋_GB2312" w:eastAsia="仿宋_GB2312" w:cs="仿宋_GB2312"/>
          <w:bCs/>
        </w:rPr>
      </w:pPr>
      <w:r>
        <w:rPr>
          <w:rFonts w:hint="eastAsia" w:ascii="仿宋_GB2312" w:hAnsi="仿宋_GB2312" w:eastAsia="仿宋_GB2312" w:cs="仿宋_GB2312"/>
          <w:bCs/>
        </w:rPr>
        <w:t>4、原注册造价师中公路和水运造价工程师等级为甲级的视为一级造价工程师（交通运输）专业。</w:t>
      </w:r>
    </w:p>
    <w:p>
      <w:pPr>
        <w:pStyle w:val="133"/>
        <w:tabs>
          <w:tab w:val="left" w:pos="360"/>
        </w:tabs>
        <w:snapToGrid w:val="0"/>
        <w:ind w:firstLine="480"/>
        <w:rPr>
          <w:rFonts w:ascii="仿宋_GB2312" w:hAnsi="仿宋_GB2312" w:eastAsia="仿宋_GB2312" w:cs="仿宋_GB2312"/>
          <w:bCs/>
        </w:rPr>
      </w:pPr>
      <w:r>
        <w:rPr>
          <w:rFonts w:hint="eastAsia" w:ascii="仿宋_GB2312" w:hAnsi="仿宋_GB2312" w:eastAsia="仿宋_GB2312" w:cs="仿宋_GB2312"/>
          <w:bCs/>
        </w:rPr>
        <w:t>5、通信专业提供通信工程费用编审人员注册证书复印件视为二级造价师。</w:t>
      </w:r>
    </w:p>
    <w:p>
      <w:pPr>
        <w:pStyle w:val="133"/>
        <w:tabs>
          <w:tab w:val="left" w:pos="360"/>
        </w:tabs>
        <w:snapToGrid w:val="0"/>
        <w:ind w:firstLine="480"/>
        <w:rPr>
          <w:rFonts w:ascii="仿宋_GB2312" w:hAnsi="仿宋_GB2312" w:eastAsia="仿宋_GB2312" w:cs="仿宋_GB2312"/>
          <w:bCs/>
        </w:rPr>
      </w:pPr>
      <w:r>
        <w:rPr>
          <w:rFonts w:hint="eastAsia" w:ascii="仿宋_GB2312" w:hAnsi="仿宋_GB2312" w:eastAsia="仿宋_GB2312" w:cs="仿宋_GB2312"/>
          <w:bCs/>
        </w:rPr>
        <w:t>6、如资格证书中不能体现投标人信息，需提供相关证明材料并加盖单位公章。</w:t>
      </w:r>
    </w:p>
    <w:p>
      <w:pPr>
        <w:pStyle w:val="133"/>
        <w:tabs>
          <w:tab w:val="left" w:pos="360"/>
        </w:tabs>
        <w:snapToGrid w:val="0"/>
        <w:ind w:firstLine="480"/>
        <w:rPr>
          <w:rFonts w:ascii="Arial" w:hAnsi="仿宋_GB2312" w:eastAsia="黑体" w:cs="仿宋_GB2312"/>
          <w:b/>
          <w:bCs/>
        </w:rPr>
      </w:pPr>
      <w:r>
        <w:rPr>
          <w:rFonts w:hint="eastAsia" w:ascii="仿宋_GB2312" w:hAnsi="仿宋_GB2312" w:eastAsia="仿宋_GB2312" w:cs="仿宋_GB2312"/>
          <w:szCs w:val="28"/>
        </w:rPr>
        <w:t>★</w:t>
      </w:r>
      <w:r>
        <w:rPr>
          <w:rFonts w:hint="eastAsia" w:ascii="Arial" w:hAnsi="仿宋_GB2312" w:eastAsia="黑体" w:cs="仿宋_GB2312"/>
          <w:b/>
          <w:bCs/>
        </w:rPr>
        <w:t>2、审核工作要求</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2.1根据拟派造价专业人员情况承诺入围后各项目实际参与审核的项目负责人及技术骨干与拟派造价专业人员资格条件相符，所有拟派人员须严格执行动态考核（详见诸暨市财政投资预决算审核中心协审工作考核管理细则（试行））。</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2.2各标项的审核综合误差率小于±3%(含) （综合误差率是指审核错误的累计金额（正差与负差不抵消），与经复核(审)修正后审定金额的比率）。</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2.3各标项完成项目限时按《诸暨市财政局协审工作考核管理细则（试行）》执行。</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2.4对执行业务过程中知悉的商业秘密必须严加保密，协审单位或协审人不得将其所知悉的商业秘密对外泄露。</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2.5 一小时内能提供快速的服务响应。</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2.6在中标之后，须配合审核中心需要抽调人员审核业务。</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2.7中标单位不得将业务转包或分包给其他单位或个人；在合同履行期间，中标单位对其派出的人员和设备的安全负全部责任，采购单位不承担任何责任。</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3.8各标项审核完成后30个工作日内，完成资料归档并填写档案交接单。</w:t>
      </w:r>
    </w:p>
    <w:p>
      <w:pPr>
        <w:pStyle w:val="2"/>
        <w:snapToGrid w:val="0"/>
        <w:spacing w:after="120"/>
        <w:ind w:left="315" w:leftChars="150" w:firstLine="120" w:firstLineChars="50"/>
        <w:rPr>
          <w:rFonts w:hAnsi="仿宋_GB2312" w:cs="仿宋_GB2312"/>
          <w:sz w:val="24"/>
          <w:szCs w:val="24"/>
        </w:rPr>
      </w:pPr>
      <w:bookmarkStart w:id="27" w:name="_Toc291450146"/>
      <w:bookmarkStart w:id="28" w:name="_Toc436228440"/>
      <w:bookmarkStart w:id="29" w:name="_Toc155322446"/>
      <w:r>
        <w:rPr>
          <w:rFonts w:hint="eastAsia" w:hAnsi="仿宋_GB2312" w:cs="仿宋_GB2312"/>
          <w:sz w:val="24"/>
          <w:szCs w:val="24"/>
          <w:lang w:val="en-US"/>
        </w:rPr>
        <w:t>3</w:t>
      </w:r>
      <w:r>
        <w:rPr>
          <w:rFonts w:hint="eastAsia" w:hAnsi="仿宋_GB2312" w:cs="仿宋_GB2312"/>
          <w:sz w:val="24"/>
          <w:szCs w:val="24"/>
        </w:rPr>
        <w:t>．服务期限</w:t>
      </w:r>
      <w:bookmarkEnd w:id="27"/>
      <w:bookmarkEnd w:id="28"/>
      <w:bookmarkEnd w:id="29"/>
      <w:bookmarkStart w:id="30" w:name="_Toc436228443"/>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合同签订之日起二年。</w:t>
      </w:r>
    </w:p>
    <w:bookmarkEnd w:id="30"/>
    <w:p>
      <w:pPr>
        <w:pStyle w:val="2"/>
        <w:snapToGrid w:val="0"/>
        <w:spacing w:after="120"/>
        <w:ind w:left="315" w:leftChars="150" w:firstLine="120" w:firstLineChars="50"/>
        <w:rPr>
          <w:rFonts w:hAnsi="仿宋_GB2312" w:cs="仿宋_GB2312"/>
          <w:sz w:val="24"/>
          <w:szCs w:val="24"/>
        </w:rPr>
      </w:pPr>
      <w:bookmarkStart w:id="31" w:name="_Toc436228444"/>
      <w:bookmarkStart w:id="32" w:name="_Toc291450149"/>
      <w:bookmarkStart w:id="33" w:name="_Toc155322448"/>
      <w:r>
        <w:rPr>
          <w:rFonts w:hint="eastAsia" w:hAnsi="仿宋_GB2312" w:cs="仿宋_GB2312"/>
          <w:sz w:val="24"/>
          <w:szCs w:val="24"/>
          <w:lang w:val="en-US"/>
        </w:rPr>
        <w:t>4</w:t>
      </w:r>
      <w:r>
        <w:rPr>
          <w:rFonts w:hint="eastAsia" w:hAnsi="仿宋_GB2312" w:cs="仿宋_GB2312"/>
          <w:sz w:val="24"/>
          <w:szCs w:val="24"/>
        </w:rPr>
        <w:t>．审核费用</w:t>
      </w:r>
      <w:bookmarkEnd w:id="31"/>
      <w:bookmarkEnd w:id="32"/>
      <w:bookmarkEnd w:id="33"/>
    </w:p>
    <w:p>
      <w:pPr>
        <w:spacing w:line="360" w:lineRule="auto"/>
        <w:ind w:firstLine="410" w:firstLineChars="171"/>
        <w:rPr>
          <w:rFonts w:ascii="仿宋_GB2312" w:hAnsi="仿宋_GB2312" w:eastAsia="仿宋_GB2312" w:cs="仿宋_GB2312"/>
          <w:sz w:val="24"/>
        </w:rPr>
      </w:pPr>
      <w:bookmarkStart w:id="34" w:name="_Toc436228445"/>
      <w:bookmarkStart w:id="35" w:name="_Toc155322449"/>
      <w:bookmarkStart w:id="36" w:name="_Toc291450150"/>
      <w:r>
        <w:rPr>
          <w:rFonts w:hint="eastAsia" w:ascii="仿宋_GB2312" w:hAnsi="仿宋_GB2312" w:eastAsia="仿宋_GB2312" w:cs="仿宋_GB2312"/>
          <w:sz w:val="24"/>
        </w:rPr>
        <w:t>4.1、</w:t>
      </w:r>
      <w:r>
        <w:rPr>
          <w:rFonts w:hint="eastAsia" w:ascii="仿宋_GB2312" w:hAnsi="仿宋_GB2312" w:eastAsia="仿宋_GB2312" w:cs="仿宋_GB2312"/>
          <w:sz w:val="24"/>
          <w:lang w:val="zh-CN"/>
        </w:rPr>
        <w:t>合同额200万元以上的政府投资项目和村级工程项目结算审核服务。参照《</w:t>
      </w:r>
      <w:r>
        <w:rPr>
          <w:rFonts w:hint="eastAsia" w:ascii="仿宋_GB2312" w:hAnsi="仿宋_GB2312" w:eastAsia="仿宋_GB2312" w:cs="仿宋_GB2312"/>
          <w:sz w:val="24"/>
        </w:rPr>
        <w:t>浙江省建设工程造价咨询服务基准收费标准</w:t>
      </w:r>
      <w:r>
        <w:rPr>
          <w:rFonts w:ascii="仿宋_GB2312" w:hAnsi="仿宋_GB2312" w:eastAsia="仿宋_GB2312" w:cs="仿宋_GB2312"/>
          <w:sz w:val="24"/>
        </w:rPr>
        <w:t>[</w:t>
      </w:r>
      <w:r>
        <w:rPr>
          <w:rFonts w:hint="eastAsia" w:ascii="仿宋_GB2312" w:hAnsi="仿宋_GB2312" w:eastAsia="仿宋_GB2312" w:cs="仿宋_GB2312"/>
          <w:sz w:val="24"/>
        </w:rPr>
        <w:t>浙价服</w:t>
      </w:r>
      <w:r>
        <w:rPr>
          <w:rFonts w:ascii="仿宋_GB2312" w:hAnsi="仿宋_GB2312" w:eastAsia="仿宋_GB2312" w:cs="仿宋_GB2312"/>
          <w:sz w:val="24"/>
        </w:rPr>
        <w:t>(2009)84</w:t>
      </w:r>
      <w:r>
        <w:rPr>
          <w:rFonts w:hint="eastAsia" w:ascii="仿宋_GB2312" w:hAnsi="仿宋_GB2312" w:eastAsia="仿宋_GB2312" w:cs="仿宋_GB2312"/>
          <w:sz w:val="24"/>
        </w:rPr>
        <w:t>号</w:t>
      </w:r>
      <w:r>
        <w:rPr>
          <w:rFonts w:ascii="仿宋_GB2312" w:hAnsi="仿宋_GB2312" w:eastAsia="仿宋_GB2312" w:cs="仿宋_GB2312"/>
          <w:sz w:val="24"/>
        </w:rPr>
        <w:t>]</w:t>
      </w:r>
      <w:r>
        <w:rPr>
          <w:rFonts w:hint="eastAsia" w:ascii="仿宋_GB2312" w:hAnsi="仿宋_GB2312" w:eastAsia="仿宋_GB2312" w:cs="仿宋_GB2312"/>
          <w:sz w:val="24"/>
        </w:rPr>
        <w:t>文件规定的收费标准</w:t>
      </w:r>
      <w:r>
        <w:rPr>
          <w:rFonts w:hint="eastAsia" w:ascii="仿宋_GB2312" w:hAnsi="仿宋_GB2312" w:eastAsia="仿宋_GB2312" w:cs="仿宋_GB2312"/>
          <w:sz w:val="24"/>
          <w:lang w:val="zh-CN"/>
        </w:rPr>
        <w:t>》及</w:t>
      </w:r>
      <w:r>
        <w:rPr>
          <w:rFonts w:hint="eastAsia" w:ascii="仿宋_GB2312" w:hAnsi="仿宋_GB2312" w:eastAsia="仿宋_GB2312" w:cs="仿宋_GB2312"/>
          <w:sz w:val="24"/>
        </w:rPr>
        <w:t>投标人的投标折扣率计算审核费用。</w:t>
      </w:r>
    </w:p>
    <w:p>
      <w:pPr>
        <w:spacing w:line="360" w:lineRule="auto"/>
        <w:ind w:firstLine="412" w:firstLineChars="171"/>
        <w:rPr>
          <w:rFonts w:ascii="仿宋_GB2312" w:hAnsi="仿宋_GB2312" w:eastAsia="仿宋_GB2312" w:cs="仿宋_GB2312"/>
          <w:b/>
          <w:sz w:val="24"/>
        </w:rPr>
      </w:pPr>
      <w:r>
        <w:rPr>
          <w:rFonts w:hint="eastAsia" w:ascii="仿宋_GB2312" w:hAnsi="仿宋_GB2312" w:eastAsia="仿宋_GB2312" w:cs="仿宋_GB2312"/>
          <w:b/>
          <w:sz w:val="24"/>
        </w:rPr>
        <w:t>最高限价：投标报价以折扣率形式报价，且最高限价（最高折扣率）为7</w:t>
      </w:r>
      <w:r>
        <w:rPr>
          <w:rFonts w:ascii="仿宋_GB2312" w:hAnsi="仿宋_GB2312" w:eastAsia="仿宋_GB2312" w:cs="仿宋_GB2312"/>
          <w:b/>
          <w:sz w:val="24"/>
        </w:rPr>
        <w:t>0%</w:t>
      </w:r>
      <w:r>
        <w:rPr>
          <w:rFonts w:hint="eastAsia" w:ascii="仿宋_GB2312" w:hAnsi="仿宋_GB2312" w:eastAsia="仿宋_GB2312" w:cs="仿宋_GB2312"/>
          <w:b/>
          <w:sz w:val="24"/>
        </w:rPr>
        <w:t>，投标人的投标报价折扣率超过7</w:t>
      </w:r>
      <w:r>
        <w:rPr>
          <w:rFonts w:ascii="仿宋_GB2312" w:hAnsi="仿宋_GB2312" w:eastAsia="仿宋_GB2312" w:cs="仿宋_GB2312"/>
          <w:b/>
          <w:sz w:val="24"/>
        </w:rPr>
        <w:t>0%</w:t>
      </w:r>
      <w:r>
        <w:rPr>
          <w:rFonts w:hint="eastAsia" w:ascii="仿宋_GB2312" w:hAnsi="仿宋_GB2312" w:eastAsia="仿宋_GB2312" w:cs="仿宋_GB2312"/>
          <w:b/>
          <w:sz w:val="24"/>
        </w:rPr>
        <w:t>，则投标无效。</w:t>
      </w:r>
    </w:p>
    <w:p>
      <w:pPr>
        <w:spacing w:line="360" w:lineRule="auto"/>
        <w:ind w:firstLine="410" w:firstLineChars="171"/>
        <w:rPr>
          <w:rFonts w:ascii="仿宋_GB2312" w:hAnsi="仿宋_GB2312" w:eastAsia="仿宋_GB2312" w:cs="仿宋_GB2312"/>
          <w:sz w:val="24"/>
        </w:rPr>
      </w:pPr>
      <w:r>
        <w:rPr>
          <w:rFonts w:hint="eastAsia" w:ascii="仿宋_GB2312" w:hAnsi="仿宋_GB2312" w:eastAsia="仿宋_GB2312" w:cs="仿宋_GB2312"/>
          <w:sz w:val="24"/>
        </w:rPr>
        <w:t>1、单个结算审核项目的审核费用=（基本费+追加费）×投标报价折扣率。</w:t>
      </w:r>
    </w:p>
    <w:p>
      <w:pPr>
        <w:spacing w:line="360" w:lineRule="auto"/>
        <w:ind w:firstLine="410" w:firstLineChars="171"/>
        <w:rPr>
          <w:rFonts w:ascii="仿宋_GB2312" w:hAnsi="仿宋_GB2312" w:eastAsia="仿宋_GB2312" w:cs="仿宋_GB2312"/>
          <w:sz w:val="24"/>
        </w:rPr>
      </w:pPr>
      <w:r>
        <w:rPr>
          <w:rFonts w:hint="eastAsia" w:ascii="仿宋_GB2312" w:hAnsi="仿宋_GB2312" w:eastAsia="仿宋_GB2312" w:cs="仿宋_GB2312"/>
          <w:sz w:val="24"/>
        </w:rPr>
        <w:t>2、单个结算审核项目的基本费见下表：</w:t>
      </w:r>
    </w:p>
    <w:tbl>
      <w:tblPr>
        <w:tblStyle w:val="65"/>
        <w:tblpPr w:leftFromText="180" w:rightFromText="180" w:vertAnchor="text" w:horzAnchor="page" w:tblpX="1821" w:tblpY="488"/>
        <w:tblOverlap w:val="never"/>
        <w:tblW w:w="8363" w:type="dxa"/>
        <w:tblInd w:w="0" w:type="dxa"/>
        <w:tblLayout w:type="fixed"/>
        <w:tblCellMar>
          <w:top w:w="0" w:type="dxa"/>
          <w:left w:w="108" w:type="dxa"/>
          <w:bottom w:w="0" w:type="dxa"/>
          <w:right w:w="108" w:type="dxa"/>
        </w:tblCellMar>
      </w:tblPr>
      <w:tblGrid>
        <w:gridCol w:w="1255"/>
        <w:gridCol w:w="1125"/>
        <w:gridCol w:w="940"/>
        <w:gridCol w:w="791"/>
        <w:gridCol w:w="850"/>
        <w:gridCol w:w="851"/>
        <w:gridCol w:w="850"/>
        <w:gridCol w:w="851"/>
        <w:gridCol w:w="850"/>
      </w:tblGrid>
      <w:tr>
        <w:tblPrEx>
          <w:tblCellMar>
            <w:top w:w="0" w:type="dxa"/>
            <w:left w:w="108" w:type="dxa"/>
            <w:bottom w:w="0" w:type="dxa"/>
            <w:right w:w="108" w:type="dxa"/>
          </w:tblCellMar>
        </w:tblPrEx>
        <w:trPr>
          <w:trHeight w:val="515" w:hRule="atLeast"/>
        </w:trPr>
        <w:tc>
          <w:tcPr>
            <w:tcW w:w="1255" w:type="dxa"/>
            <w:vMerge w:val="restart"/>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咨询项目</w:t>
            </w:r>
          </w:p>
        </w:tc>
        <w:tc>
          <w:tcPr>
            <w:tcW w:w="1125" w:type="dxa"/>
            <w:vMerge w:val="restart"/>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收费基数</w:t>
            </w:r>
          </w:p>
        </w:tc>
        <w:tc>
          <w:tcPr>
            <w:tcW w:w="5983" w:type="dxa"/>
            <w:gridSpan w:val="7"/>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分档累进计费标准（标准</w:t>
            </w:r>
            <w:r>
              <w:rPr>
                <w:rFonts w:hint="eastAsia" w:ascii="仿宋_GB2312" w:hAnsi="仿宋_GB2312" w:eastAsia="仿宋_GB2312" w:cs="仿宋_GB2312"/>
                <w:sz w:val="24"/>
              </w:rPr>
              <w:t>费率 ‰）</w:t>
            </w:r>
          </w:p>
        </w:tc>
      </w:tr>
      <w:tr>
        <w:tblPrEx>
          <w:tblCellMar>
            <w:top w:w="0" w:type="dxa"/>
            <w:left w:w="108" w:type="dxa"/>
            <w:bottom w:w="0" w:type="dxa"/>
            <w:right w:w="108" w:type="dxa"/>
          </w:tblCellMar>
        </w:tblPrEx>
        <w:tc>
          <w:tcPr>
            <w:tcW w:w="1255" w:type="dxa"/>
            <w:vMerge w:val="continue"/>
            <w:tcBorders>
              <w:top w:val="inset" w:color="auto" w:sz="6" w:space="0"/>
              <w:left w:val="inset" w:color="auto" w:sz="6" w:space="0"/>
              <w:bottom w:val="inset" w:color="auto" w:sz="6" w:space="0"/>
              <w:right w:val="inset" w:color="auto" w:sz="6" w:space="0"/>
            </w:tcBorders>
            <w:vAlign w:val="center"/>
          </w:tcPr>
          <w:p>
            <w:pPr>
              <w:spacing w:line="240" w:lineRule="exact"/>
              <w:rPr>
                <w:rFonts w:ascii="仿宋_GB2312" w:hAnsi="仿宋_GB2312" w:eastAsia="仿宋_GB2312" w:cs="仿宋_GB2312"/>
                <w:sz w:val="24"/>
              </w:rPr>
            </w:pPr>
          </w:p>
        </w:tc>
        <w:tc>
          <w:tcPr>
            <w:tcW w:w="1125" w:type="dxa"/>
            <w:vMerge w:val="continue"/>
            <w:tcBorders>
              <w:top w:val="inset" w:color="auto" w:sz="6" w:space="0"/>
              <w:left w:val="inset" w:color="auto" w:sz="6" w:space="0"/>
              <w:bottom w:val="inset" w:color="auto" w:sz="6" w:space="0"/>
              <w:right w:val="inset" w:color="auto" w:sz="6" w:space="0"/>
            </w:tcBorders>
            <w:vAlign w:val="center"/>
          </w:tcPr>
          <w:p>
            <w:pPr>
              <w:spacing w:line="240" w:lineRule="exact"/>
              <w:rPr>
                <w:rFonts w:ascii="仿宋_GB2312" w:hAnsi="仿宋_GB2312" w:eastAsia="仿宋_GB2312" w:cs="仿宋_GB2312"/>
                <w:sz w:val="24"/>
              </w:rPr>
            </w:pPr>
          </w:p>
        </w:tc>
        <w:tc>
          <w:tcPr>
            <w:tcW w:w="940"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100万元以内</w:t>
            </w:r>
          </w:p>
        </w:tc>
        <w:tc>
          <w:tcPr>
            <w:tcW w:w="791"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10</w:t>
            </w:r>
            <w:r>
              <w:rPr>
                <w:rFonts w:hint="eastAsia" w:ascii="仿宋_GB2312" w:hAnsi="仿宋_GB2312" w:eastAsia="仿宋_GB2312" w:cs="仿宋_GB2312"/>
                <w:sz w:val="24"/>
              </w:rPr>
              <w:t>0-</w:t>
            </w:r>
            <w:r>
              <w:rPr>
                <w:rFonts w:ascii="仿宋_GB2312" w:hAnsi="仿宋_GB2312" w:eastAsia="仿宋_GB2312" w:cs="仿宋_GB2312"/>
                <w:sz w:val="24"/>
              </w:rPr>
              <w:br w:type="textWrapping"/>
            </w:r>
            <w:r>
              <w:rPr>
                <w:rFonts w:ascii="仿宋_GB2312" w:hAnsi="仿宋_GB2312" w:eastAsia="仿宋_GB2312" w:cs="仿宋_GB2312"/>
                <w:sz w:val="24"/>
              </w:rPr>
              <w:t>500</w:t>
            </w:r>
            <w:r>
              <w:rPr>
                <w:rFonts w:hint="eastAsia" w:ascii="仿宋_GB2312" w:hAnsi="仿宋_GB2312" w:eastAsia="仿宋_GB2312" w:cs="仿宋_GB2312"/>
                <w:sz w:val="24"/>
              </w:rPr>
              <w:br w:type="textWrapping"/>
            </w:r>
            <w:r>
              <w:rPr>
                <w:rFonts w:ascii="仿宋_GB2312" w:hAnsi="仿宋_GB2312" w:eastAsia="仿宋_GB2312" w:cs="仿宋_GB2312"/>
                <w:sz w:val="24"/>
              </w:rPr>
              <w:t>万元</w:t>
            </w:r>
          </w:p>
        </w:tc>
        <w:tc>
          <w:tcPr>
            <w:tcW w:w="850"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50</w:t>
            </w:r>
            <w:r>
              <w:rPr>
                <w:rFonts w:hint="eastAsia" w:ascii="仿宋_GB2312" w:hAnsi="仿宋_GB2312" w:eastAsia="仿宋_GB2312" w:cs="仿宋_GB2312"/>
                <w:sz w:val="24"/>
              </w:rPr>
              <w:t>0-</w:t>
            </w:r>
            <w:r>
              <w:rPr>
                <w:rFonts w:ascii="仿宋_GB2312" w:hAnsi="仿宋_GB2312" w:eastAsia="仿宋_GB2312" w:cs="仿宋_GB2312"/>
                <w:sz w:val="24"/>
              </w:rPr>
              <w:br w:type="textWrapping"/>
            </w:r>
            <w:r>
              <w:rPr>
                <w:rFonts w:ascii="仿宋_GB2312" w:hAnsi="仿宋_GB2312" w:eastAsia="仿宋_GB2312" w:cs="仿宋_GB2312"/>
                <w:sz w:val="24"/>
              </w:rPr>
              <w:t>1000</w:t>
            </w:r>
            <w:r>
              <w:rPr>
                <w:rFonts w:hint="eastAsia" w:ascii="仿宋_GB2312" w:hAnsi="仿宋_GB2312" w:eastAsia="仿宋_GB2312" w:cs="仿宋_GB2312"/>
                <w:sz w:val="24"/>
              </w:rPr>
              <w:br w:type="textWrapping"/>
            </w:r>
            <w:r>
              <w:rPr>
                <w:rFonts w:ascii="仿宋_GB2312" w:hAnsi="仿宋_GB2312" w:eastAsia="仿宋_GB2312" w:cs="仿宋_GB2312"/>
                <w:sz w:val="24"/>
              </w:rPr>
              <w:t>万元</w:t>
            </w:r>
          </w:p>
        </w:tc>
        <w:tc>
          <w:tcPr>
            <w:tcW w:w="851"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100</w:t>
            </w:r>
            <w:r>
              <w:rPr>
                <w:rFonts w:hint="eastAsia" w:ascii="仿宋_GB2312" w:hAnsi="仿宋_GB2312" w:eastAsia="仿宋_GB2312" w:cs="仿宋_GB2312"/>
                <w:sz w:val="24"/>
              </w:rPr>
              <w:t>0-</w:t>
            </w:r>
            <w:r>
              <w:rPr>
                <w:rFonts w:ascii="仿宋_GB2312" w:hAnsi="仿宋_GB2312" w:eastAsia="仿宋_GB2312" w:cs="仿宋_GB2312"/>
                <w:sz w:val="24"/>
              </w:rPr>
              <w:t>2000万元</w:t>
            </w:r>
          </w:p>
        </w:tc>
        <w:tc>
          <w:tcPr>
            <w:tcW w:w="850"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200</w:t>
            </w:r>
            <w:r>
              <w:rPr>
                <w:rFonts w:hint="eastAsia" w:ascii="仿宋_GB2312" w:hAnsi="仿宋_GB2312" w:eastAsia="仿宋_GB2312" w:cs="仿宋_GB2312"/>
                <w:sz w:val="24"/>
              </w:rPr>
              <w:t>0-</w:t>
            </w:r>
            <w:r>
              <w:rPr>
                <w:rFonts w:ascii="仿宋_GB2312" w:hAnsi="仿宋_GB2312" w:eastAsia="仿宋_GB2312" w:cs="仿宋_GB2312"/>
                <w:sz w:val="24"/>
              </w:rPr>
              <w:t>5000万元</w:t>
            </w:r>
          </w:p>
        </w:tc>
        <w:tc>
          <w:tcPr>
            <w:tcW w:w="851"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500</w:t>
            </w:r>
            <w:r>
              <w:rPr>
                <w:rFonts w:hint="eastAsia" w:ascii="仿宋_GB2312" w:hAnsi="仿宋_GB2312" w:eastAsia="仿宋_GB2312" w:cs="仿宋_GB2312"/>
                <w:sz w:val="24"/>
              </w:rPr>
              <w:t>0</w:t>
            </w:r>
            <w:r>
              <w:rPr>
                <w:rFonts w:ascii="仿宋_GB2312" w:hAnsi="仿宋_GB2312" w:eastAsia="仿宋_GB2312" w:cs="仿宋_GB2312"/>
                <w:sz w:val="24"/>
              </w:rPr>
              <w:t>-10000万元</w:t>
            </w:r>
          </w:p>
        </w:tc>
        <w:tc>
          <w:tcPr>
            <w:tcW w:w="850"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1000</w:t>
            </w:r>
            <w:r>
              <w:rPr>
                <w:rFonts w:hint="eastAsia" w:ascii="仿宋_GB2312" w:hAnsi="仿宋_GB2312" w:eastAsia="仿宋_GB2312" w:cs="仿宋_GB2312"/>
                <w:sz w:val="24"/>
              </w:rPr>
              <w:t>0</w:t>
            </w:r>
            <w:r>
              <w:rPr>
                <w:rFonts w:ascii="仿宋_GB2312" w:hAnsi="仿宋_GB2312" w:eastAsia="仿宋_GB2312" w:cs="仿宋_GB2312"/>
                <w:sz w:val="24"/>
              </w:rPr>
              <w:t>万元以上</w:t>
            </w:r>
          </w:p>
        </w:tc>
      </w:tr>
      <w:tr>
        <w:tblPrEx>
          <w:tblCellMar>
            <w:top w:w="0" w:type="dxa"/>
            <w:left w:w="108" w:type="dxa"/>
            <w:bottom w:w="0" w:type="dxa"/>
            <w:right w:w="108" w:type="dxa"/>
          </w:tblCellMar>
        </w:tblPrEx>
        <w:tc>
          <w:tcPr>
            <w:tcW w:w="1255" w:type="dxa"/>
            <w:tcBorders>
              <w:top w:val="inset" w:color="auto" w:sz="6" w:space="0"/>
              <w:left w:val="inset" w:color="auto" w:sz="6" w:space="0"/>
              <w:bottom w:val="inset" w:color="auto" w:sz="6" w:space="0"/>
              <w:right w:val="inset" w:color="auto" w:sz="6" w:space="0"/>
            </w:tcBorders>
            <w:vAlign w:val="center"/>
          </w:tcPr>
          <w:p>
            <w:pPr>
              <w:spacing w:line="440" w:lineRule="exact"/>
              <w:jc w:val="center"/>
              <w:rPr>
                <w:rFonts w:ascii="仿宋_GB2312" w:hAnsi="仿宋_GB2312" w:eastAsia="仿宋_GB2312" w:cs="仿宋_GB2312"/>
                <w:sz w:val="24"/>
              </w:rPr>
            </w:pPr>
            <w:r>
              <w:rPr>
                <w:rFonts w:ascii="仿宋_GB2312" w:hAnsi="仿宋_GB2312" w:eastAsia="仿宋_GB2312" w:cs="仿宋_GB2312"/>
                <w:sz w:val="24"/>
              </w:rPr>
              <w:t>工程结算审核</w:t>
            </w:r>
          </w:p>
        </w:tc>
        <w:tc>
          <w:tcPr>
            <w:tcW w:w="1125" w:type="dxa"/>
            <w:tcBorders>
              <w:top w:val="inset" w:color="auto" w:sz="6" w:space="0"/>
              <w:left w:val="inset" w:color="auto" w:sz="6" w:space="0"/>
              <w:bottom w:val="inset" w:color="auto" w:sz="6" w:space="0"/>
              <w:right w:val="inset" w:color="auto" w:sz="6" w:space="0"/>
            </w:tcBorders>
            <w:vAlign w:val="center"/>
          </w:tcPr>
          <w:p>
            <w:pPr>
              <w:spacing w:line="440" w:lineRule="exact"/>
              <w:jc w:val="center"/>
              <w:rPr>
                <w:rFonts w:ascii="仿宋_GB2312" w:hAnsi="仿宋_GB2312" w:eastAsia="仿宋_GB2312" w:cs="仿宋_GB2312"/>
                <w:sz w:val="24"/>
              </w:rPr>
            </w:pPr>
            <w:r>
              <w:rPr>
                <w:rFonts w:ascii="仿宋_GB2312" w:hAnsi="仿宋_GB2312" w:eastAsia="仿宋_GB2312" w:cs="仿宋_GB2312"/>
                <w:sz w:val="24"/>
              </w:rPr>
              <w:t>建安工程造价</w:t>
            </w:r>
          </w:p>
        </w:tc>
        <w:tc>
          <w:tcPr>
            <w:tcW w:w="940" w:type="dxa"/>
            <w:tcBorders>
              <w:top w:val="inset" w:color="auto" w:sz="6" w:space="0"/>
              <w:left w:val="inset" w:color="auto" w:sz="6" w:space="0"/>
              <w:bottom w:val="inset" w:color="auto" w:sz="6" w:space="0"/>
              <w:right w:val="inset" w:color="auto" w:sz="6"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2.8</w:t>
            </w:r>
          </w:p>
        </w:tc>
        <w:tc>
          <w:tcPr>
            <w:tcW w:w="791" w:type="dxa"/>
            <w:tcBorders>
              <w:top w:val="inset" w:color="auto" w:sz="6" w:space="0"/>
              <w:left w:val="inset" w:color="auto" w:sz="6" w:space="0"/>
              <w:bottom w:val="inset" w:color="auto" w:sz="6" w:space="0"/>
              <w:right w:val="inset" w:color="auto" w:sz="6"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2.5</w:t>
            </w:r>
          </w:p>
        </w:tc>
        <w:tc>
          <w:tcPr>
            <w:tcW w:w="850" w:type="dxa"/>
            <w:tcBorders>
              <w:top w:val="inset" w:color="auto" w:sz="6" w:space="0"/>
              <w:left w:val="inset" w:color="auto" w:sz="6" w:space="0"/>
              <w:bottom w:val="inset" w:color="auto" w:sz="6" w:space="0"/>
              <w:right w:val="inset" w:color="auto" w:sz="6"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2.2</w:t>
            </w:r>
          </w:p>
        </w:tc>
        <w:tc>
          <w:tcPr>
            <w:tcW w:w="851" w:type="dxa"/>
            <w:tcBorders>
              <w:top w:val="inset" w:color="auto" w:sz="6" w:space="0"/>
              <w:left w:val="inset" w:color="auto" w:sz="6" w:space="0"/>
              <w:bottom w:val="inset" w:color="auto" w:sz="6" w:space="0"/>
              <w:right w:val="inset" w:color="auto" w:sz="6"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1.9</w:t>
            </w:r>
          </w:p>
        </w:tc>
        <w:tc>
          <w:tcPr>
            <w:tcW w:w="850" w:type="dxa"/>
            <w:tcBorders>
              <w:top w:val="inset" w:color="auto" w:sz="6" w:space="0"/>
              <w:left w:val="inset" w:color="auto" w:sz="6" w:space="0"/>
              <w:bottom w:val="inset" w:color="auto" w:sz="6" w:space="0"/>
              <w:right w:val="inset" w:color="auto" w:sz="6"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851" w:type="dxa"/>
            <w:tcBorders>
              <w:top w:val="inset" w:color="auto" w:sz="6" w:space="0"/>
              <w:left w:val="inset" w:color="auto" w:sz="6" w:space="0"/>
              <w:bottom w:val="inset" w:color="auto" w:sz="6" w:space="0"/>
              <w:right w:val="inset" w:color="auto" w:sz="6"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850" w:type="dxa"/>
            <w:tcBorders>
              <w:top w:val="inset" w:color="auto" w:sz="6" w:space="0"/>
              <w:left w:val="inset" w:color="auto" w:sz="6" w:space="0"/>
              <w:bottom w:val="inset" w:color="auto" w:sz="6" w:space="0"/>
              <w:right w:val="inset" w:color="auto" w:sz="6" w:space="0"/>
            </w:tcBorders>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r>
    </w:tbl>
    <w:p>
      <w:pPr>
        <w:spacing w:line="360" w:lineRule="auto"/>
        <w:ind w:firstLine="410" w:firstLineChars="171"/>
        <w:rPr>
          <w:rFonts w:ascii="仿宋_GB2312" w:hAnsi="仿宋_GB2312" w:eastAsia="仿宋_GB2312" w:cs="仿宋_GB2312"/>
          <w:sz w:val="24"/>
        </w:rPr>
      </w:pPr>
      <w:r>
        <w:rPr>
          <w:rFonts w:hint="eastAsia" w:ascii="仿宋_GB2312" w:hAnsi="仿宋_GB2312" w:eastAsia="仿宋_GB2312" w:cs="仿宋_GB2312"/>
          <w:sz w:val="24"/>
        </w:rPr>
        <w:t>3、单个结算审核的追加费用按超过5%以外的核减额、核增额的5%计算，该费用按投标人的投标报价折扣率同比下浮。</w:t>
      </w:r>
    </w:p>
    <w:p>
      <w:pPr>
        <w:spacing w:line="320" w:lineRule="exact"/>
        <w:ind w:firstLine="405"/>
        <w:rPr>
          <w:rFonts w:ascii="仿宋_GB2312" w:hAnsi="仿宋_GB2312" w:eastAsia="仿宋_GB2312" w:cs="仿宋_GB2312"/>
          <w:sz w:val="24"/>
        </w:rPr>
      </w:pPr>
      <w:r>
        <w:rPr>
          <w:rFonts w:hint="eastAsia" w:ascii="仿宋_GB2312" w:hAnsi="仿宋_GB2312" w:eastAsia="仿宋_GB2312" w:cs="仿宋_GB2312"/>
          <w:sz w:val="24"/>
        </w:rPr>
        <w:t>注：1、基准收费标准中说明第2条单独委托的装饰、安装、园林绿化及仿古建筑工程的基本费率可在上述基本收费标准的基础上上浮20%；第5条审核工作内容按已综合考虑钢筋和预埋件计算，不另收费。</w:t>
      </w:r>
    </w:p>
    <w:p>
      <w:pPr>
        <w:spacing w:line="320" w:lineRule="exact"/>
        <w:ind w:firstLine="405"/>
        <w:rPr>
          <w:rFonts w:ascii="仿宋_GB2312" w:hAnsi="仿宋_GB2312" w:eastAsia="仿宋_GB2312" w:cs="仿宋_GB2312"/>
          <w:sz w:val="24"/>
        </w:rPr>
      </w:pPr>
      <w:r>
        <w:rPr>
          <w:rFonts w:hint="eastAsia" w:ascii="仿宋_GB2312" w:hAnsi="仿宋_GB2312" w:eastAsia="仿宋_GB2312" w:cs="仿宋_GB2312"/>
          <w:sz w:val="24"/>
        </w:rPr>
        <w:t>2、基本费收费基数根据结算送审金额确定。</w:t>
      </w:r>
    </w:p>
    <w:p>
      <w:pPr>
        <w:spacing w:line="320" w:lineRule="exact"/>
        <w:ind w:firstLine="405"/>
        <w:rPr>
          <w:rFonts w:ascii="仿宋_GB2312" w:hAnsi="仿宋_GB2312" w:eastAsia="仿宋_GB2312" w:cs="仿宋_GB2312"/>
          <w:sz w:val="24"/>
        </w:rPr>
      </w:pPr>
      <w:r>
        <w:rPr>
          <w:rFonts w:hint="eastAsia" w:ascii="仿宋_GB2312" w:hAnsi="仿宋_GB2312" w:eastAsia="仿宋_GB2312" w:cs="仿宋_GB2312"/>
          <w:sz w:val="24"/>
        </w:rPr>
        <w:t>3、例一：投标折扣率为45.00％，送审金额500万元，核减金额50万元的装饰工程。按收费标准计算审核服务费用为（（100万元*2.8‰+400万元*2.5‰）*1.2+（50万元-25万元）*5%）*45.00%=12537元。</w:t>
      </w:r>
    </w:p>
    <w:p>
      <w:pPr>
        <w:spacing w:line="360" w:lineRule="auto"/>
        <w:ind w:firstLine="410" w:firstLineChars="171"/>
        <w:rPr>
          <w:rFonts w:ascii="仿宋_GB2312" w:hAnsi="仿宋_GB2312" w:eastAsia="仿宋_GB2312" w:cs="仿宋_GB2312"/>
          <w:sz w:val="24"/>
        </w:rPr>
      </w:pPr>
      <w:r>
        <w:rPr>
          <w:rFonts w:hint="eastAsia" w:ascii="仿宋_GB2312" w:hAnsi="新宋体" w:eastAsia="仿宋_GB2312" w:cs="Arial"/>
          <w:sz w:val="24"/>
        </w:rPr>
        <w:t>4.2、送审额400万元以上的政府投资项目和村级工程预算审核服务。</w:t>
      </w:r>
      <w:r>
        <w:rPr>
          <w:rFonts w:hint="eastAsia" w:ascii="仿宋_GB2312" w:hAnsi="仿宋_GB2312" w:eastAsia="仿宋_GB2312" w:cs="仿宋_GB2312"/>
          <w:sz w:val="24"/>
          <w:lang w:val="zh-CN"/>
        </w:rPr>
        <w:t>参照《</w:t>
      </w:r>
      <w:r>
        <w:rPr>
          <w:rFonts w:hint="eastAsia" w:ascii="仿宋_GB2312" w:hAnsi="仿宋_GB2312" w:eastAsia="仿宋_GB2312" w:cs="仿宋_GB2312"/>
          <w:sz w:val="24"/>
        </w:rPr>
        <w:t>浙江省建设工程造价咨询服务基准收费标准</w:t>
      </w:r>
      <w:r>
        <w:rPr>
          <w:rFonts w:ascii="仿宋_GB2312" w:hAnsi="仿宋_GB2312" w:eastAsia="仿宋_GB2312" w:cs="仿宋_GB2312"/>
          <w:sz w:val="24"/>
        </w:rPr>
        <w:t>[</w:t>
      </w:r>
      <w:r>
        <w:rPr>
          <w:rFonts w:hint="eastAsia" w:ascii="仿宋_GB2312" w:hAnsi="仿宋_GB2312" w:eastAsia="仿宋_GB2312" w:cs="仿宋_GB2312"/>
          <w:sz w:val="24"/>
        </w:rPr>
        <w:t>浙价服</w:t>
      </w:r>
      <w:r>
        <w:rPr>
          <w:rFonts w:ascii="仿宋_GB2312" w:hAnsi="仿宋_GB2312" w:eastAsia="仿宋_GB2312" w:cs="仿宋_GB2312"/>
          <w:sz w:val="24"/>
        </w:rPr>
        <w:t>(2009)84</w:t>
      </w:r>
      <w:r>
        <w:rPr>
          <w:rFonts w:hint="eastAsia" w:ascii="仿宋_GB2312" w:hAnsi="仿宋_GB2312" w:eastAsia="仿宋_GB2312" w:cs="仿宋_GB2312"/>
          <w:sz w:val="24"/>
        </w:rPr>
        <w:t>号</w:t>
      </w:r>
      <w:r>
        <w:rPr>
          <w:rFonts w:ascii="仿宋_GB2312" w:hAnsi="仿宋_GB2312" w:eastAsia="仿宋_GB2312" w:cs="仿宋_GB2312"/>
          <w:sz w:val="24"/>
        </w:rPr>
        <w:t>]</w:t>
      </w:r>
      <w:r>
        <w:rPr>
          <w:rFonts w:hint="eastAsia" w:ascii="仿宋_GB2312" w:hAnsi="仿宋_GB2312" w:eastAsia="仿宋_GB2312" w:cs="仿宋_GB2312"/>
          <w:sz w:val="24"/>
        </w:rPr>
        <w:t>文件规定的收费标准</w:t>
      </w:r>
      <w:r>
        <w:rPr>
          <w:rFonts w:hint="eastAsia" w:ascii="仿宋_GB2312" w:hAnsi="仿宋_GB2312" w:eastAsia="仿宋_GB2312" w:cs="仿宋_GB2312"/>
          <w:sz w:val="24"/>
          <w:lang w:val="zh-CN"/>
        </w:rPr>
        <w:t>》及</w:t>
      </w:r>
      <w:r>
        <w:rPr>
          <w:rFonts w:hint="eastAsia" w:ascii="仿宋_GB2312" w:hAnsi="仿宋_GB2312" w:eastAsia="仿宋_GB2312" w:cs="仿宋_GB2312"/>
          <w:sz w:val="24"/>
        </w:rPr>
        <w:t>投标人的投标折扣率计算审核费用。</w:t>
      </w:r>
    </w:p>
    <w:p>
      <w:pPr>
        <w:spacing w:line="360" w:lineRule="auto"/>
        <w:ind w:firstLine="410" w:firstLineChars="171"/>
        <w:rPr>
          <w:rFonts w:ascii="仿宋_GB2312" w:hAnsi="仿宋_GB2312" w:eastAsia="仿宋_GB2312" w:cs="仿宋_GB2312"/>
          <w:sz w:val="24"/>
        </w:rPr>
      </w:pPr>
      <w:r>
        <w:rPr>
          <w:rFonts w:hint="eastAsia" w:ascii="仿宋_GB2312" w:hAnsi="仿宋_GB2312" w:eastAsia="仿宋_GB2312" w:cs="仿宋_GB2312"/>
          <w:sz w:val="24"/>
        </w:rPr>
        <w:t>最高限价：投标报价以折扣率形式报价，且最高限价（最高折扣率）为7</w:t>
      </w:r>
      <w:r>
        <w:rPr>
          <w:rFonts w:ascii="仿宋_GB2312" w:hAnsi="仿宋_GB2312" w:eastAsia="仿宋_GB2312" w:cs="仿宋_GB2312"/>
          <w:sz w:val="24"/>
        </w:rPr>
        <w:t>0%</w:t>
      </w:r>
      <w:r>
        <w:rPr>
          <w:rFonts w:hint="eastAsia" w:ascii="仿宋_GB2312" w:hAnsi="仿宋_GB2312" w:eastAsia="仿宋_GB2312" w:cs="仿宋_GB2312"/>
          <w:sz w:val="24"/>
        </w:rPr>
        <w:t>，投标人的投标报价折扣率超过7</w:t>
      </w:r>
      <w:r>
        <w:rPr>
          <w:rFonts w:ascii="仿宋_GB2312" w:hAnsi="仿宋_GB2312" w:eastAsia="仿宋_GB2312" w:cs="仿宋_GB2312"/>
          <w:sz w:val="24"/>
        </w:rPr>
        <w:t>0%</w:t>
      </w:r>
      <w:r>
        <w:rPr>
          <w:rFonts w:hint="eastAsia" w:ascii="仿宋_GB2312" w:hAnsi="仿宋_GB2312" w:eastAsia="仿宋_GB2312" w:cs="仿宋_GB2312"/>
          <w:sz w:val="24"/>
        </w:rPr>
        <w:t>，则投标无效。</w:t>
      </w:r>
    </w:p>
    <w:p>
      <w:pPr>
        <w:spacing w:line="360" w:lineRule="auto"/>
        <w:ind w:firstLine="410" w:firstLineChars="171"/>
        <w:rPr>
          <w:rFonts w:ascii="仿宋_GB2312" w:hAnsi="仿宋_GB2312" w:eastAsia="仿宋_GB2312" w:cs="仿宋_GB2312"/>
          <w:sz w:val="24"/>
        </w:rPr>
      </w:pPr>
      <w:r>
        <w:rPr>
          <w:rFonts w:hint="eastAsia" w:ascii="仿宋_GB2312" w:hAnsi="仿宋_GB2312" w:eastAsia="仿宋_GB2312" w:cs="仿宋_GB2312"/>
          <w:sz w:val="24"/>
        </w:rPr>
        <w:t>1、单个标底审核项目的审核费用=基本费×</w:t>
      </w:r>
      <w:r>
        <w:rPr>
          <w:rFonts w:hint="eastAsia" w:ascii="宋体" w:hAnsi="宋体"/>
        </w:rPr>
        <w:t>40%</w:t>
      </w:r>
      <w:r>
        <w:rPr>
          <w:rFonts w:hint="eastAsia" w:ascii="仿宋_GB2312" w:hAnsi="仿宋_GB2312" w:eastAsia="仿宋_GB2312" w:cs="仿宋_GB2312"/>
          <w:sz w:val="24"/>
        </w:rPr>
        <w:t>×投标报价折扣率。</w:t>
      </w:r>
    </w:p>
    <w:p>
      <w:pPr>
        <w:spacing w:line="360" w:lineRule="auto"/>
        <w:ind w:firstLine="410" w:firstLineChars="171"/>
        <w:rPr>
          <w:rFonts w:ascii="仿宋_GB2312" w:hAnsi="仿宋_GB2312" w:eastAsia="仿宋_GB2312" w:cs="仿宋_GB2312"/>
          <w:sz w:val="24"/>
        </w:rPr>
      </w:pPr>
      <w:r>
        <w:rPr>
          <w:rFonts w:hint="eastAsia" w:ascii="仿宋_GB2312" w:hAnsi="仿宋_GB2312" w:eastAsia="仿宋_GB2312" w:cs="仿宋_GB2312"/>
          <w:sz w:val="24"/>
        </w:rPr>
        <w:t>2、单个标底审核项目的基本费见下表：</w:t>
      </w:r>
    </w:p>
    <w:tbl>
      <w:tblPr>
        <w:tblStyle w:val="65"/>
        <w:tblW w:w="8345" w:type="dxa"/>
        <w:jc w:val="center"/>
        <w:tblLayout w:type="fixed"/>
        <w:tblCellMar>
          <w:top w:w="0" w:type="dxa"/>
          <w:left w:w="108" w:type="dxa"/>
          <w:bottom w:w="0" w:type="dxa"/>
          <w:right w:w="108" w:type="dxa"/>
        </w:tblCellMar>
      </w:tblPr>
      <w:tblGrid>
        <w:gridCol w:w="1399"/>
        <w:gridCol w:w="963"/>
        <w:gridCol w:w="940"/>
        <w:gridCol w:w="840"/>
        <w:gridCol w:w="801"/>
        <w:gridCol w:w="851"/>
        <w:gridCol w:w="850"/>
        <w:gridCol w:w="851"/>
        <w:gridCol w:w="850"/>
      </w:tblGrid>
      <w:tr>
        <w:tblPrEx>
          <w:tblCellMar>
            <w:top w:w="0" w:type="dxa"/>
            <w:left w:w="108" w:type="dxa"/>
            <w:bottom w:w="0" w:type="dxa"/>
            <w:right w:w="108" w:type="dxa"/>
          </w:tblCellMar>
        </w:tblPrEx>
        <w:trPr>
          <w:trHeight w:val="515" w:hRule="atLeast"/>
          <w:jc w:val="center"/>
        </w:trPr>
        <w:tc>
          <w:tcPr>
            <w:tcW w:w="1399" w:type="dxa"/>
            <w:vMerge w:val="restart"/>
            <w:tcBorders>
              <w:top w:val="inset" w:color="auto" w:sz="6" w:space="0"/>
              <w:left w:val="inset" w:color="auto" w:sz="6" w:space="0"/>
              <w:bottom w:val="inset" w:color="auto" w:sz="6" w:space="0"/>
              <w:right w:val="inset" w:color="auto" w:sz="6" w:space="0"/>
            </w:tcBorders>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w:t>咨询项目</w:t>
            </w:r>
          </w:p>
        </w:tc>
        <w:tc>
          <w:tcPr>
            <w:tcW w:w="963" w:type="dxa"/>
            <w:vMerge w:val="restart"/>
            <w:tcBorders>
              <w:top w:val="inset" w:color="auto" w:sz="6" w:space="0"/>
              <w:left w:val="inset" w:color="auto" w:sz="6" w:space="0"/>
              <w:bottom w:val="inset" w:color="auto" w:sz="6" w:space="0"/>
              <w:right w:val="inset" w:color="auto" w:sz="6" w:space="0"/>
            </w:tcBorders>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w:t>收费基数</w:t>
            </w:r>
          </w:p>
        </w:tc>
        <w:tc>
          <w:tcPr>
            <w:tcW w:w="5983" w:type="dxa"/>
            <w:gridSpan w:val="7"/>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分档累进计费标准（标准</w:t>
            </w:r>
            <w:r>
              <w:rPr>
                <w:rFonts w:hint="eastAsia" w:ascii="仿宋_GB2312" w:hAnsi="仿宋_GB2312" w:eastAsia="仿宋_GB2312" w:cs="仿宋_GB2312"/>
                <w:sz w:val="24"/>
              </w:rPr>
              <w:t>费率 ‰）</w:t>
            </w:r>
          </w:p>
        </w:tc>
      </w:tr>
      <w:tr>
        <w:tblPrEx>
          <w:tblCellMar>
            <w:top w:w="0" w:type="dxa"/>
            <w:left w:w="108" w:type="dxa"/>
            <w:bottom w:w="0" w:type="dxa"/>
            <w:right w:w="108" w:type="dxa"/>
          </w:tblCellMar>
        </w:tblPrEx>
        <w:trPr>
          <w:jc w:val="center"/>
        </w:trPr>
        <w:tc>
          <w:tcPr>
            <w:tcW w:w="1399" w:type="dxa"/>
            <w:vMerge w:val="continue"/>
            <w:tcBorders>
              <w:top w:val="inset" w:color="auto" w:sz="6" w:space="0"/>
              <w:left w:val="inset" w:color="auto" w:sz="6" w:space="0"/>
              <w:bottom w:val="inset" w:color="auto" w:sz="6" w:space="0"/>
              <w:right w:val="inset" w:color="auto" w:sz="6" w:space="0"/>
            </w:tcBorders>
            <w:vAlign w:val="center"/>
          </w:tcPr>
          <w:p>
            <w:pPr>
              <w:spacing w:line="360" w:lineRule="auto"/>
              <w:ind w:firstLine="410" w:firstLineChars="171"/>
              <w:rPr>
                <w:rFonts w:ascii="仿宋_GB2312" w:hAnsi="仿宋_GB2312" w:eastAsia="仿宋_GB2312" w:cs="仿宋_GB2312"/>
                <w:sz w:val="24"/>
              </w:rPr>
            </w:pPr>
          </w:p>
        </w:tc>
        <w:tc>
          <w:tcPr>
            <w:tcW w:w="963" w:type="dxa"/>
            <w:vMerge w:val="continue"/>
            <w:tcBorders>
              <w:top w:val="inset" w:color="auto" w:sz="6" w:space="0"/>
              <w:left w:val="inset" w:color="auto" w:sz="6" w:space="0"/>
              <w:bottom w:val="inset" w:color="auto" w:sz="6" w:space="0"/>
              <w:right w:val="inset" w:color="auto" w:sz="6" w:space="0"/>
            </w:tcBorders>
            <w:vAlign w:val="center"/>
          </w:tcPr>
          <w:p>
            <w:pPr>
              <w:spacing w:line="360" w:lineRule="auto"/>
              <w:ind w:firstLine="410" w:firstLineChars="171"/>
              <w:rPr>
                <w:rFonts w:ascii="仿宋_GB2312" w:hAnsi="仿宋_GB2312" w:eastAsia="仿宋_GB2312" w:cs="仿宋_GB2312"/>
                <w:sz w:val="24"/>
              </w:rPr>
            </w:pPr>
          </w:p>
        </w:tc>
        <w:tc>
          <w:tcPr>
            <w:tcW w:w="940"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100万元以内</w:t>
            </w:r>
          </w:p>
        </w:tc>
        <w:tc>
          <w:tcPr>
            <w:tcW w:w="840"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10</w:t>
            </w:r>
            <w:r>
              <w:rPr>
                <w:rFonts w:hint="eastAsia" w:ascii="仿宋_GB2312" w:hAnsi="仿宋_GB2312" w:eastAsia="仿宋_GB2312" w:cs="仿宋_GB2312"/>
                <w:sz w:val="24"/>
              </w:rPr>
              <w:t>0-</w:t>
            </w:r>
            <w:r>
              <w:rPr>
                <w:rFonts w:ascii="仿宋_GB2312" w:hAnsi="仿宋_GB2312" w:eastAsia="仿宋_GB2312" w:cs="仿宋_GB2312"/>
                <w:sz w:val="24"/>
              </w:rPr>
              <w:br w:type="textWrapping"/>
            </w:r>
            <w:r>
              <w:rPr>
                <w:rFonts w:ascii="仿宋_GB2312" w:hAnsi="仿宋_GB2312" w:eastAsia="仿宋_GB2312" w:cs="仿宋_GB2312"/>
                <w:sz w:val="24"/>
              </w:rPr>
              <w:t>500</w:t>
            </w:r>
            <w:r>
              <w:rPr>
                <w:rFonts w:hint="eastAsia" w:ascii="仿宋_GB2312" w:hAnsi="仿宋_GB2312" w:eastAsia="仿宋_GB2312" w:cs="仿宋_GB2312"/>
                <w:sz w:val="24"/>
              </w:rPr>
              <w:br w:type="textWrapping"/>
            </w:r>
            <w:r>
              <w:rPr>
                <w:rFonts w:ascii="仿宋_GB2312" w:hAnsi="仿宋_GB2312" w:eastAsia="仿宋_GB2312" w:cs="仿宋_GB2312"/>
                <w:sz w:val="24"/>
              </w:rPr>
              <w:t>万元</w:t>
            </w:r>
          </w:p>
        </w:tc>
        <w:tc>
          <w:tcPr>
            <w:tcW w:w="801"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50</w:t>
            </w:r>
            <w:r>
              <w:rPr>
                <w:rFonts w:hint="eastAsia" w:ascii="仿宋_GB2312" w:hAnsi="仿宋_GB2312" w:eastAsia="仿宋_GB2312" w:cs="仿宋_GB2312"/>
                <w:sz w:val="24"/>
              </w:rPr>
              <w:t>0-</w:t>
            </w:r>
            <w:r>
              <w:rPr>
                <w:rFonts w:ascii="仿宋_GB2312" w:hAnsi="仿宋_GB2312" w:eastAsia="仿宋_GB2312" w:cs="仿宋_GB2312"/>
                <w:sz w:val="24"/>
              </w:rPr>
              <w:br w:type="textWrapping"/>
            </w:r>
            <w:r>
              <w:rPr>
                <w:rFonts w:ascii="仿宋_GB2312" w:hAnsi="仿宋_GB2312" w:eastAsia="仿宋_GB2312" w:cs="仿宋_GB2312"/>
                <w:sz w:val="24"/>
              </w:rPr>
              <w:t>1000</w:t>
            </w:r>
            <w:r>
              <w:rPr>
                <w:rFonts w:hint="eastAsia" w:ascii="仿宋_GB2312" w:hAnsi="仿宋_GB2312" w:eastAsia="仿宋_GB2312" w:cs="仿宋_GB2312"/>
                <w:sz w:val="24"/>
              </w:rPr>
              <w:br w:type="textWrapping"/>
            </w:r>
            <w:r>
              <w:rPr>
                <w:rFonts w:ascii="仿宋_GB2312" w:hAnsi="仿宋_GB2312" w:eastAsia="仿宋_GB2312" w:cs="仿宋_GB2312"/>
                <w:sz w:val="24"/>
              </w:rPr>
              <w:t>万元</w:t>
            </w:r>
          </w:p>
        </w:tc>
        <w:tc>
          <w:tcPr>
            <w:tcW w:w="851"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100</w:t>
            </w:r>
            <w:r>
              <w:rPr>
                <w:rFonts w:hint="eastAsia" w:ascii="仿宋_GB2312" w:hAnsi="仿宋_GB2312" w:eastAsia="仿宋_GB2312" w:cs="仿宋_GB2312"/>
                <w:sz w:val="24"/>
              </w:rPr>
              <w:t>0-</w:t>
            </w:r>
            <w:r>
              <w:rPr>
                <w:rFonts w:ascii="仿宋_GB2312" w:hAnsi="仿宋_GB2312" w:eastAsia="仿宋_GB2312" w:cs="仿宋_GB2312"/>
                <w:sz w:val="24"/>
              </w:rPr>
              <w:t>2000万元</w:t>
            </w:r>
          </w:p>
        </w:tc>
        <w:tc>
          <w:tcPr>
            <w:tcW w:w="850"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200</w:t>
            </w:r>
            <w:r>
              <w:rPr>
                <w:rFonts w:hint="eastAsia" w:ascii="仿宋_GB2312" w:hAnsi="仿宋_GB2312" w:eastAsia="仿宋_GB2312" w:cs="仿宋_GB2312"/>
                <w:sz w:val="24"/>
              </w:rPr>
              <w:t>0-</w:t>
            </w:r>
            <w:r>
              <w:rPr>
                <w:rFonts w:ascii="仿宋_GB2312" w:hAnsi="仿宋_GB2312" w:eastAsia="仿宋_GB2312" w:cs="仿宋_GB2312"/>
                <w:sz w:val="24"/>
              </w:rPr>
              <w:t>5000万元</w:t>
            </w:r>
          </w:p>
        </w:tc>
        <w:tc>
          <w:tcPr>
            <w:tcW w:w="851"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500</w:t>
            </w:r>
            <w:r>
              <w:rPr>
                <w:rFonts w:hint="eastAsia" w:ascii="仿宋_GB2312" w:hAnsi="仿宋_GB2312" w:eastAsia="仿宋_GB2312" w:cs="仿宋_GB2312"/>
                <w:sz w:val="24"/>
              </w:rPr>
              <w:t>0</w:t>
            </w:r>
            <w:r>
              <w:rPr>
                <w:rFonts w:ascii="仿宋_GB2312" w:hAnsi="仿宋_GB2312" w:eastAsia="仿宋_GB2312" w:cs="仿宋_GB2312"/>
                <w:sz w:val="24"/>
              </w:rPr>
              <w:t>-10000万元</w:t>
            </w:r>
          </w:p>
        </w:tc>
        <w:tc>
          <w:tcPr>
            <w:tcW w:w="850" w:type="dxa"/>
            <w:tcBorders>
              <w:top w:val="inset" w:color="auto" w:sz="6" w:space="0"/>
              <w:left w:val="inset" w:color="auto" w:sz="6" w:space="0"/>
              <w:bottom w:val="inset" w:color="auto" w:sz="6" w:space="0"/>
              <w:right w:val="inset" w:color="auto" w:sz="6" w:space="0"/>
            </w:tcBorders>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10000万元以上</w:t>
            </w:r>
          </w:p>
        </w:tc>
      </w:tr>
      <w:tr>
        <w:tblPrEx>
          <w:tblCellMar>
            <w:top w:w="0" w:type="dxa"/>
            <w:left w:w="108" w:type="dxa"/>
            <w:bottom w:w="0" w:type="dxa"/>
            <w:right w:w="108" w:type="dxa"/>
          </w:tblCellMar>
        </w:tblPrEx>
        <w:trPr>
          <w:jc w:val="center"/>
        </w:trPr>
        <w:tc>
          <w:tcPr>
            <w:tcW w:w="1399" w:type="dxa"/>
            <w:tcBorders>
              <w:top w:val="inset" w:color="auto" w:sz="6" w:space="0"/>
              <w:left w:val="inset" w:color="auto" w:sz="6" w:space="0"/>
              <w:bottom w:val="inset" w:color="auto" w:sz="6" w:space="0"/>
              <w:right w:val="inset" w:color="auto" w:sz="6"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工程量清单及预算、招标控制价的编制或审核</w:t>
            </w:r>
          </w:p>
        </w:tc>
        <w:tc>
          <w:tcPr>
            <w:tcW w:w="963" w:type="dxa"/>
            <w:tcBorders>
              <w:top w:val="inset" w:color="auto" w:sz="6" w:space="0"/>
              <w:left w:val="inset" w:color="auto" w:sz="6" w:space="0"/>
              <w:bottom w:val="inset" w:color="auto" w:sz="6" w:space="0"/>
              <w:right w:val="inset" w:color="auto" w:sz="6" w:space="0"/>
            </w:tcBorders>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w:t>建安工程造价</w:t>
            </w:r>
          </w:p>
        </w:tc>
        <w:tc>
          <w:tcPr>
            <w:tcW w:w="940"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840"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3.3</w:t>
            </w:r>
          </w:p>
        </w:tc>
        <w:tc>
          <w:tcPr>
            <w:tcW w:w="801"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851"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2.7</w:t>
            </w:r>
          </w:p>
        </w:tc>
        <w:tc>
          <w:tcPr>
            <w:tcW w:w="850"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2.4</w:t>
            </w:r>
          </w:p>
        </w:tc>
        <w:tc>
          <w:tcPr>
            <w:tcW w:w="851"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2.1</w:t>
            </w:r>
          </w:p>
        </w:tc>
        <w:tc>
          <w:tcPr>
            <w:tcW w:w="850"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1.8</w:t>
            </w:r>
          </w:p>
        </w:tc>
      </w:tr>
    </w:tbl>
    <w:p>
      <w:pPr>
        <w:spacing w:line="320" w:lineRule="exact"/>
        <w:ind w:firstLine="405"/>
        <w:rPr>
          <w:rFonts w:ascii="仿宋_GB2312" w:hAnsi="仿宋_GB2312" w:eastAsia="仿宋_GB2312" w:cs="仿宋_GB2312"/>
          <w:sz w:val="24"/>
        </w:rPr>
      </w:pPr>
      <w:r>
        <w:rPr>
          <w:rFonts w:hint="eastAsia" w:ascii="仿宋_GB2312" w:hAnsi="仿宋_GB2312" w:eastAsia="仿宋_GB2312" w:cs="仿宋_GB2312"/>
          <w:sz w:val="24"/>
        </w:rPr>
        <w:t>注：1、基准收费标准按附件2第三大点工程量清单编制或清单审核，第6条一般性重点审核按照40%收费执行，不另计追加费。</w:t>
      </w:r>
    </w:p>
    <w:p>
      <w:pPr>
        <w:spacing w:line="320" w:lineRule="exact"/>
        <w:ind w:firstLine="405"/>
        <w:rPr>
          <w:rFonts w:ascii="仿宋_GB2312" w:hAnsi="仿宋_GB2312" w:eastAsia="仿宋_GB2312" w:cs="仿宋_GB2312"/>
          <w:sz w:val="24"/>
        </w:rPr>
      </w:pPr>
      <w:r>
        <w:rPr>
          <w:rFonts w:hint="eastAsia" w:ascii="仿宋_GB2312" w:hAnsi="仿宋_GB2312" w:eastAsia="仿宋_GB2312" w:cs="仿宋_GB2312"/>
          <w:sz w:val="24"/>
        </w:rPr>
        <w:t>2、基准收费标准中说明第2条单独委托的装饰、安装、园林绿化及仿古建筑工程的基本费率按专业系数不上浮执行；第5条审核工作内容按已综合考虑钢筋和预埋件计算，不另收费。</w:t>
      </w:r>
    </w:p>
    <w:p>
      <w:pPr>
        <w:spacing w:line="320" w:lineRule="exact"/>
        <w:ind w:firstLine="405"/>
        <w:rPr>
          <w:rFonts w:ascii="仿宋_GB2312" w:hAnsi="仿宋_GB2312" w:eastAsia="仿宋_GB2312" w:cs="仿宋_GB2312"/>
          <w:sz w:val="24"/>
        </w:rPr>
      </w:pPr>
      <w:r>
        <w:rPr>
          <w:rFonts w:hint="eastAsia" w:ascii="仿宋_GB2312" w:hAnsi="仿宋_GB2312" w:eastAsia="仿宋_GB2312" w:cs="仿宋_GB2312"/>
          <w:sz w:val="24"/>
        </w:rPr>
        <w:t>3、收费基数根据预算送审金额确定。</w:t>
      </w:r>
    </w:p>
    <w:p>
      <w:pPr>
        <w:spacing w:line="320" w:lineRule="exact"/>
        <w:ind w:firstLine="405"/>
        <w:rPr>
          <w:rFonts w:ascii="仿宋_GB2312" w:hAnsi="仿宋_GB2312" w:eastAsia="仿宋_GB2312" w:cs="仿宋_GB2312"/>
          <w:sz w:val="24"/>
        </w:rPr>
      </w:pPr>
      <w:r>
        <w:rPr>
          <w:rFonts w:hint="eastAsia" w:ascii="仿宋_GB2312" w:hAnsi="仿宋_GB2312" w:eastAsia="仿宋_GB2312" w:cs="仿宋_GB2312"/>
          <w:sz w:val="24"/>
        </w:rPr>
        <w:t>4、例一：投标折扣率为45.00％，送审金额500万元的工程。按收费标准计算审核服务费用为（100万元*3.6‰+400万元*3.3‰）*40％*45.00%=3024元。</w:t>
      </w:r>
    </w:p>
    <w:p>
      <w:pPr>
        <w:spacing w:line="320" w:lineRule="exact"/>
        <w:ind w:firstLine="405"/>
        <w:rPr>
          <w:rFonts w:ascii="宋体" w:hAnsi="宋体"/>
        </w:rPr>
      </w:pPr>
    </w:p>
    <w:p>
      <w:pPr>
        <w:spacing w:line="360" w:lineRule="auto"/>
        <w:ind w:firstLine="412" w:firstLineChars="171"/>
        <w:rPr>
          <w:rFonts w:ascii="仿宋_GB2312" w:hAnsi="仿宋_GB2312" w:eastAsia="仿宋_GB2312" w:cs="仿宋_GB2312"/>
          <w:sz w:val="24"/>
        </w:rPr>
      </w:pPr>
      <w:r>
        <w:rPr>
          <w:rFonts w:hint="eastAsia" w:ascii="仿宋_GB2312" w:hAnsi="仿宋_GB2312" w:eastAsia="仿宋_GB2312" w:cs="仿宋_GB2312"/>
          <w:b/>
          <w:sz w:val="24"/>
        </w:rPr>
        <w:t>4.3、</w:t>
      </w:r>
      <w:r>
        <w:rPr>
          <w:rFonts w:hint="eastAsia" w:ascii="仿宋_GB2312" w:hAnsi="新宋体" w:eastAsia="仿宋_GB2312" w:cs="Arial"/>
          <w:sz w:val="24"/>
        </w:rPr>
        <w:t>送审额</w:t>
      </w:r>
      <w:r>
        <w:rPr>
          <w:rFonts w:ascii="仿宋_GB2312" w:hAnsi="新宋体" w:eastAsia="仿宋_GB2312" w:cs="Arial"/>
          <w:sz w:val="24"/>
        </w:rPr>
        <w:t>200</w:t>
      </w:r>
      <w:r>
        <w:rPr>
          <w:rFonts w:hint="eastAsia" w:ascii="仿宋_GB2312" w:hAnsi="新宋体" w:eastAsia="仿宋_GB2312" w:cs="Arial"/>
          <w:sz w:val="24"/>
        </w:rPr>
        <w:t>万元以上的政府投资项目和村级工程项目结算复审审核服务。</w:t>
      </w:r>
      <w:r>
        <w:rPr>
          <w:rFonts w:hint="eastAsia" w:ascii="仿宋_GB2312" w:hAnsi="仿宋_GB2312" w:eastAsia="仿宋_GB2312" w:cs="仿宋_GB2312"/>
          <w:sz w:val="24"/>
        </w:rPr>
        <w:t>参</w:t>
      </w:r>
      <w:r>
        <w:rPr>
          <w:rFonts w:hint="eastAsia" w:ascii="仿宋_GB2312" w:hAnsi="仿宋_GB2312" w:eastAsia="仿宋_GB2312" w:cs="仿宋_GB2312"/>
          <w:sz w:val="24"/>
          <w:lang w:val="zh-CN"/>
        </w:rPr>
        <w:t>照</w:t>
      </w:r>
      <w:r>
        <w:rPr>
          <w:rFonts w:hint="eastAsia" w:ascii="仿宋_GB2312" w:hAnsi="仿宋_GB2312" w:eastAsia="仿宋_GB2312" w:cs="仿宋_GB2312"/>
          <w:sz w:val="24"/>
        </w:rPr>
        <w:t>浙江省审计厅文件 浙审投［2014］47号文件</w:t>
      </w:r>
      <w:r>
        <w:rPr>
          <w:rFonts w:hint="eastAsia" w:ascii="仿宋_GB2312" w:hAnsi="仿宋_GB2312" w:eastAsia="仿宋_GB2312" w:cs="仿宋_GB2312"/>
          <w:sz w:val="24"/>
          <w:lang w:val="zh-CN"/>
        </w:rPr>
        <w:t>及</w:t>
      </w:r>
      <w:r>
        <w:rPr>
          <w:rFonts w:hint="eastAsia" w:ascii="仿宋_GB2312" w:hAnsi="仿宋_GB2312" w:eastAsia="仿宋_GB2312" w:cs="仿宋_GB2312"/>
          <w:sz w:val="24"/>
        </w:rPr>
        <w:t>投标人的投标折扣率计算审核费用。</w:t>
      </w:r>
    </w:p>
    <w:p>
      <w:pPr>
        <w:spacing w:line="360" w:lineRule="auto"/>
        <w:ind w:firstLine="410" w:firstLineChars="171"/>
        <w:rPr>
          <w:rFonts w:ascii="仿宋_GB2312" w:hAnsi="仿宋_GB2312" w:eastAsia="仿宋_GB2312" w:cs="仿宋_GB2312"/>
          <w:sz w:val="24"/>
        </w:rPr>
      </w:pPr>
      <w:r>
        <w:rPr>
          <w:rFonts w:hint="eastAsia" w:ascii="仿宋_GB2312" w:hAnsi="仿宋_GB2312" w:eastAsia="仿宋_GB2312" w:cs="仿宋_GB2312"/>
          <w:sz w:val="24"/>
        </w:rPr>
        <w:t>1、单个结算复审项目的审核费用=基本费×</w:t>
      </w:r>
      <w:r>
        <w:rPr>
          <w:rFonts w:hint="eastAsia" w:ascii="宋体" w:hAnsi="宋体"/>
        </w:rPr>
        <w:t>50%</w:t>
      </w:r>
      <w:r>
        <w:rPr>
          <w:rFonts w:hint="eastAsia" w:ascii="仿宋_GB2312" w:hAnsi="仿宋_GB2312" w:eastAsia="仿宋_GB2312" w:cs="仿宋_GB2312"/>
          <w:sz w:val="24"/>
        </w:rPr>
        <w:t>×投标报价折扣率+追加费。</w:t>
      </w:r>
    </w:p>
    <w:p>
      <w:pPr>
        <w:spacing w:line="360" w:lineRule="auto"/>
        <w:ind w:firstLine="410" w:firstLineChars="171"/>
        <w:rPr>
          <w:rFonts w:ascii="仿宋_GB2312" w:hAnsi="仿宋_GB2312" w:eastAsia="仿宋_GB2312" w:cs="仿宋_GB2312"/>
          <w:sz w:val="24"/>
        </w:rPr>
      </w:pPr>
      <w:r>
        <w:rPr>
          <w:rFonts w:hint="eastAsia" w:ascii="仿宋_GB2312" w:hAnsi="仿宋_GB2312" w:eastAsia="仿宋_GB2312" w:cs="仿宋_GB2312"/>
          <w:sz w:val="24"/>
        </w:rPr>
        <w:t>2、单个结算复审项目的基本费见下表：</w:t>
      </w:r>
    </w:p>
    <w:tbl>
      <w:tblPr>
        <w:tblStyle w:val="6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初审造价</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（万元）</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土建、安装、园林</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（元）</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交通、水利</w:t>
            </w:r>
            <w:r>
              <w:rPr>
                <w:rFonts w:ascii="仿宋_GB2312" w:hAnsi="仿宋_GB2312" w:eastAsia="仿宋_GB2312" w:cs="仿宋_GB2312"/>
                <w:sz w:val="24"/>
              </w:rPr>
              <w:br w:type="textWrapping"/>
            </w:r>
            <w:r>
              <w:rPr>
                <w:rFonts w:hint="eastAsia" w:ascii="仿宋_GB2312" w:hAnsi="仿宋_GB2312" w:eastAsia="仿宋_GB2312" w:cs="仿宋_GB2312"/>
                <w:sz w:val="24"/>
              </w:rPr>
              <w:t>（元）</w:t>
            </w:r>
          </w:p>
        </w:tc>
        <w:tc>
          <w:tcPr>
            <w:tcW w:w="241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市政、通讯</w:t>
            </w:r>
            <w:r>
              <w:rPr>
                <w:rFonts w:ascii="仿宋_GB2312" w:hAnsi="仿宋_GB2312" w:eastAsia="仿宋_GB2312" w:cs="仿宋_GB2312"/>
                <w:sz w:val="24"/>
              </w:rPr>
              <w:br w:type="textWrapping"/>
            </w:r>
            <w:r>
              <w:rPr>
                <w:rFonts w:hint="eastAsia" w:ascii="仿宋_GB2312" w:hAnsi="仿宋_GB2312" w:eastAsia="仿宋_GB2312" w:cs="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&lt;500</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2000</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2000</w:t>
            </w:r>
          </w:p>
        </w:tc>
        <w:tc>
          <w:tcPr>
            <w:tcW w:w="241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500—1000</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4000</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3000</w:t>
            </w:r>
          </w:p>
        </w:tc>
        <w:tc>
          <w:tcPr>
            <w:tcW w:w="241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1000—5000</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12000</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10000</w:t>
            </w:r>
          </w:p>
        </w:tc>
        <w:tc>
          <w:tcPr>
            <w:tcW w:w="241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5000—10000</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30000</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25000</w:t>
            </w:r>
          </w:p>
        </w:tc>
        <w:tc>
          <w:tcPr>
            <w:tcW w:w="241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&gt;</w:t>
            </w:r>
            <w:r>
              <w:rPr>
                <w:rFonts w:hint="eastAsia" w:ascii="仿宋_GB2312" w:hAnsi="仿宋_GB2312" w:eastAsia="仿宋_GB2312" w:cs="仿宋_GB2312"/>
                <w:sz w:val="24"/>
              </w:rPr>
              <w:t>10000</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40000</w:t>
            </w:r>
          </w:p>
        </w:tc>
        <w:tc>
          <w:tcPr>
            <w:tcW w:w="22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35000</w:t>
            </w:r>
          </w:p>
        </w:tc>
        <w:tc>
          <w:tcPr>
            <w:tcW w:w="241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30000</w:t>
            </w:r>
          </w:p>
        </w:tc>
      </w:tr>
    </w:tbl>
    <w:p>
      <w:pPr>
        <w:spacing w:line="360" w:lineRule="auto"/>
        <w:ind w:firstLine="410" w:firstLineChars="171"/>
        <w:rPr>
          <w:rFonts w:ascii="仿宋_GB2312" w:hAnsi="仿宋_GB2312" w:eastAsia="仿宋_GB2312" w:cs="仿宋_GB2312"/>
          <w:sz w:val="24"/>
        </w:rPr>
      </w:pPr>
      <w:r>
        <w:rPr>
          <w:rFonts w:hint="eastAsia" w:ascii="仿宋_GB2312" w:hAnsi="仿宋_GB2312" w:eastAsia="仿宋_GB2312" w:cs="仿宋_GB2312"/>
          <w:sz w:val="24"/>
        </w:rPr>
        <w:t>3、单个结算复审的追加费用参照《浙江省建设工程造价咨询质量导则（试行）》，综合误差率未超过2%，不计取复审核减费；</w:t>
      </w:r>
      <w:r>
        <w:rPr>
          <w:rFonts w:hint="eastAsia" w:ascii="仿宋_GB2312" w:hAnsi="仿宋_GB2312" w:eastAsia="仿宋_GB2312" w:cs="仿宋_GB2312"/>
          <w:bCs/>
          <w:sz w:val="24"/>
        </w:rPr>
        <w:t>超过2%或存在差错</w:t>
      </w:r>
      <w:r>
        <w:rPr>
          <w:rFonts w:hint="eastAsia" w:ascii="仿宋_GB2312" w:hAnsi="仿宋_GB2312" w:eastAsia="仿宋_GB2312" w:cs="仿宋_GB2312"/>
          <w:sz w:val="24"/>
        </w:rPr>
        <w:t>的部分，按照超过或差错金额*7%，计取复审核减费（上限为该标段按规定支付给初审单位的基本费×</w:t>
      </w:r>
      <w:r>
        <w:rPr>
          <w:rFonts w:hint="eastAsia" w:ascii="仿宋_GB2312" w:hAnsi="仿宋_GB2312" w:eastAsia="仿宋_GB2312" w:cs="仿宋_GB2312"/>
          <w:sz w:val="24"/>
          <w:lang w:val="zh-CN"/>
        </w:rPr>
        <w:t>结算审核</w:t>
      </w:r>
      <w:r>
        <w:rPr>
          <w:rFonts w:hint="eastAsia" w:ascii="仿宋_GB2312" w:hAnsi="仿宋_GB2312" w:eastAsia="仿宋_GB2312" w:cs="仿宋_GB2312"/>
          <w:sz w:val="24"/>
        </w:rPr>
        <w:t>最高折扣率70%）。该费用不下浮。</w:t>
      </w:r>
    </w:p>
    <w:p>
      <w:pPr>
        <w:spacing w:line="360" w:lineRule="auto"/>
        <w:ind w:firstLine="410" w:firstLineChars="171"/>
        <w:rPr>
          <w:rFonts w:ascii="仿宋_GB2312" w:hAnsi="仿宋_GB2312" w:eastAsia="仿宋_GB2312" w:cs="仿宋_GB2312"/>
          <w:sz w:val="24"/>
        </w:rPr>
      </w:pPr>
      <w:r>
        <w:rPr>
          <w:rFonts w:hint="eastAsia" w:ascii="仿宋_GB2312" w:hAnsi="仿宋_GB2312" w:eastAsia="仿宋_GB2312" w:cs="仿宋_GB2312"/>
          <w:sz w:val="24"/>
        </w:rPr>
        <w:t>注：1、基本费表内示列明的类别，按照工程造价组成的复杂程序参照执行。其中园林、通讯参照类别由审核中心综合考虑对应加入。</w:t>
      </w:r>
    </w:p>
    <w:p>
      <w:pPr>
        <w:spacing w:line="320" w:lineRule="exact"/>
        <w:ind w:firstLine="405"/>
        <w:rPr>
          <w:rFonts w:ascii="仿宋_GB2312" w:hAnsi="仿宋_GB2312" w:eastAsia="仿宋_GB2312" w:cs="仿宋_GB2312"/>
          <w:sz w:val="24"/>
        </w:rPr>
      </w:pPr>
      <w:r>
        <w:rPr>
          <w:rFonts w:hint="eastAsia" w:ascii="仿宋_GB2312" w:hAnsi="仿宋_GB2312" w:eastAsia="仿宋_GB2312" w:cs="仿宋_GB2312"/>
          <w:sz w:val="24"/>
        </w:rPr>
        <w:t>2、收费基数根据结算审核初审造价送审金额确定。</w:t>
      </w:r>
    </w:p>
    <w:p>
      <w:pPr>
        <w:spacing w:line="360" w:lineRule="auto"/>
        <w:ind w:firstLine="410" w:firstLineChars="171"/>
        <w:rPr>
          <w:rFonts w:ascii="仿宋_GB2312" w:hAnsi="仿宋_GB2312" w:eastAsia="仿宋_GB2312" w:cs="仿宋_GB2312"/>
          <w:sz w:val="24"/>
        </w:rPr>
      </w:pPr>
      <w:r>
        <w:rPr>
          <w:rFonts w:hint="eastAsia" w:ascii="仿宋_GB2312" w:hAnsi="仿宋_GB2312" w:eastAsia="仿宋_GB2312" w:cs="仿宋_GB2312"/>
          <w:sz w:val="24"/>
        </w:rPr>
        <w:t>3、与初审单位有争议，属于有争议的差错金额，由审核中心认定，争议金额不计复核费用。</w:t>
      </w:r>
    </w:p>
    <w:p>
      <w:pPr>
        <w:spacing w:line="320" w:lineRule="exact"/>
        <w:ind w:firstLine="405"/>
        <w:rPr>
          <w:rFonts w:ascii="仿宋_GB2312" w:hAnsi="仿宋_GB2312" w:eastAsia="仿宋_GB2312" w:cs="仿宋_GB2312"/>
          <w:sz w:val="24"/>
        </w:rPr>
      </w:pPr>
      <w:r>
        <w:rPr>
          <w:rFonts w:hint="eastAsia" w:ascii="仿宋_GB2312" w:hAnsi="仿宋_GB2312" w:eastAsia="仿宋_GB2312" w:cs="仿宋_GB2312"/>
          <w:sz w:val="24"/>
        </w:rPr>
        <w:t>4、例一：投标折扣率为45.00％，结算审核初审送审金额500万元，复审核减金额20万元的土建工程。按收费标准计算审核服务费用为4000元*50%*45.00%+（20万元-500万元*2%）*7%=7900元。（追加费未超过支付给初审单位的基本费×</w:t>
      </w:r>
      <w:r>
        <w:rPr>
          <w:rFonts w:hint="eastAsia" w:ascii="仿宋_GB2312" w:hAnsi="仿宋_GB2312" w:eastAsia="仿宋_GB2312" w:cs="仿宋_GB2312"/>
          <w:sz w:val="24"/>
          <w:lang w:val="zh-CN"/>
        </w:rPr>
        <w:t>结算审核</w:t>
      </w:r>
      <w:r>
        <w:rPr>
          <w:rFonts w:hint="eastAsia" w:ascii="仿宋_GB2312" w:hAnsi="仿宋_GB2312" w:eastAsia="仿宋_GB2312" w:cs="仿宋_GB2312"/>
          <w:sz w:val="24"/>
        </w:rPr>
        <w:t>最高折扣率70%（100万元*2.8‰+400万元*2.5‰）*70%=8960元，按标准计算计取。）</w:t>
      </w:r>
    </w:p>
    <w:bookmarkEnd w:id="34"/>
    <w:bookmarkEnd w:id="35"/>
    <w:bookmarkEnd w:id="36"/>
    <w:p>
      <w:pPr>
        <w:pStyle w:val="2"/>
        <w:snapToGrid w:val="0"/>
        <w:spacing w:after="120"/>
        <w:rPr>
          <w:rFonts w:ascii="宋体" w:hAnsi="宋体" w:eastAsia="宋体"/>
          <w:b w:val="0"/>
          <w:bCs w:val="0"/>
          <w:color w:val="000000"/>
          <w:kern w:val="0"/>
          <w:sz w:val="21"/>
          <w:szCs w:val="21"/>
        </w:rPr>
      </w:pPr>
    </w:p>
    <w:p>
      <w:pPr>
        <w:pStyle w:val="2"/>
        <w:snapToGrid w:val="0"/>
        <w:spacing w:after="120"/>
        <w:ind w:left="315" w:leftChars="150" w:firstLine="120" w:firstLineChars="50"/>
        <w:rPr>
          <w:rFonts w:hAnsi="仿宋_GB2312" w:cs="仿宋_GB2312"/>
          <w:sz w:val="24"/>
          <w:szCs w:val="24"/>
        </w:rPr>
      </w:pPr>
      <w:r>
        <w:rPr>
          <w:rFonts w:hint="eastAsia" w:hAnsi="仿宋_GB2312" w:cs="仿宋_GB2312"/>
          <w:sz w:val="24"/>
          <w:szCs w:val="24"/>
          <w:lang w:val="en-US"/>
        </w:rPr>
        <w:t>5</w:t>
      </w:r>
      <w:r>
        <w:rPr>
          <w:rFonts w:hint="eastAsia" w:hAnsi="仿宋_GB2312" w:cs="仿宋_GB2312"/>
          <w:sz w:val="24"/>
          <w:szCs w:val="24"/>
        </w:rPr>
        <w:t>．考核办法</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.1</w:t>
      </w:r>
      <w:r>
        <w:rPr>
          <w:rFonts w:hint="eastAsia" w:ascii="仿宋_GB2312" w:hAnsi="仿宋_GB2312" w:eastAsia="仿宋_GB2312" w:cs="仿宋_GB2312"/>
          <w:sz w:val="24"/>
        </w:rPr>
        <w:t>、采购单位将根据《诸暨市财政投资预决算审核中心政府投资项目和村级工程委托审核业务考核管理细则》（试行）对入围单位进行考核，</w:t>
      </w:r>
      <w:r>
        <w:rPr>
          <w:rFonts w:hint="eastAsia" w:ascii="宋体" w:hAnsi="宋体"/>
          <w:b/>
          <w:bCs/>
          <w:sz w:val="24"/>
        </w:rPr>
        <w:t>所有协审人员须严格执行动态考核，</w:t>
      </w:r>
      <w:r>
        <w:rPr>
          <w:rFonts w:hint="eastAsia" w:ascii="仿宋_GB2312" w:hAnsi="仿宋_GB2312" w:eastAsia="仿宋_GB2312" w:cs="仿宋_GB2312"/>
          <w:sz w:val="24"/>
        </w:rPr>
        <w:t>具体考核办法见诸暨市财政投资预决算审核中心后续文件。</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.2</w:t>
      </w:r>
      <w:r>
        <w:rPr>
          <w:rFonts w:hint="eastAsia" w:ascii="仿宋_GB2312" w:hAnsi="仿宋_GB2312" w:eastAsia="仿宋_GB2312" w:cs="仿宋_GB2312"/>
          <w:sz w:val="24"/>
        </w:rPr>
        <w:t>、</w:t>
      </w:r>
      <w:r>
        <w:rPr>
          <w:rFonts w:hint="eastAsia" w:ascii="仿宋_GB2312" w:hAnsi="仿宋_GB2312" w:eastAsia="仿宋_GB2312" w:cs="仿宋_GB2312"/>
          <w:b/>
          <w:sz w:val="24"/>
        </w:rPr>
        <w:t>各入围单位应该严格执行三级复核制度，中介机构因失职造成政府投资项目重大经济损失或造成重大不良影响的，应当承担相应责任，并取消其在本市参与政府投资项目和村级工程委托审核业务的资格。</w:t>
      </w:r>
    </w:p>
    <w:p>
      <w:pPr>
        <w:pStyle w:val="3"/>
        <w:keepNext w:val="0"/>
        <w:keepLines w:val="0"/>
        <w:spacing w:before="120" w:after="120" w:line="240" w:lineRule="atLeast"/>
        <w:rPr>
          <w:rFonts w:ascii="Arial" w:hAnsi="仿宋_GB2312" w:eastAsia="黑体" w:cs="仿宋_GB2312"/>
          <w:bCs w:val="0"/>
          <w:kern w:val="2"/>
          <w:sz w:val="24"/>
          <w:szCs w:val="24"/>
        </w:rPr>
      </w:pPr>
      <w:r>
        <w:rPr>
          <w:rFonts w:hint="eastAsia" w:ascii="Arial" w:hAnsi="仿宋_GB2312" w:eastAsia="黑体" w:cs="仿宋_GB2312"/>
          <w:bCs w:val="0"/>
          <w:kern w:val="2"/>
          <w:sz w:val="24"/>
          <w:szCs w:val="24"/>
        </w:rPr>
        <w:t xml:space="preserve">    6. 付款结算方式：</w:t>
      </w:r>
    </w:p>
    <w:p>
      <w:pPr>
        <w:pStyle w:val="3"/>
        <w:keepNext w:val="0"/>
        <w:keepLines w:val="0"/>
        <w:spacing w:before="120" w:after="120" w:line="240" w:lineRule="atLeast"/>
        <w:ind w:left="0" w:firstLine="480" w:firstLineChars="200"/>
      </w:pPr>
      <w:r>
        <w:rPr>
          <w:rFonts w:hint="eastAsia" w:ascii="仿宋_GB2312" w:hAnsi="仿宋_GB2312" w:eastAsia="仿宋_GB2312" w:cs="仿宋_GB2312"/>
          <w:b w:val="0"/>
          <w:bCs w:val="0"/>
          <w:sz w:val="24"/>
          <w:szCs w:val="22"/>
        </w:rPr>
        <w:t>一年两次支付按项目结算的审核费用，每年年中、年末支付。采购人应向入围单位按照项目支付20%的预付款。</w:t>
      </w:r>
    </w:p>
    <w:p>
      <w:pPr>
        <w:pStyle w:val="3"/>
        <w:keepNext w:val="0"/>
        <w:keepLines w:val="0"/>
        <w:spacing w:before="120" w:after="120" w:line="240" w:lineRule="atLeast"/>
        <w:jc w:val="center"/>
        <w:rPr>
          <w:rFonts w:ascii="仿宋_GB2312" w:hAnsi="仿宋_GB2312" w:eastAsia="仿宋_GB2312" w:cs="仿宋_GB2312"/>
          <w:sz w:val="36"/>
          <w:szCs w:val="32"/>
        </w:rPr>
      </w:pPr>
    </w:p>
    <w:p>
      <w:pPr>
        <w:pStyle w:val="3"/>
        <w:keepNext w:val="0"/>
        <w:keepLines w:val="0"/>
        <w:spacing w:before="120" w:after="120" w:line="240" w:lineRule="atLeast"/>
        <w:jc w:val="center"/>
        <w:rPr>
          <w:rFonts w:ascii="仿宋_GB2312" w:hAnsi="仿宋_GB2312" w:eastAsia="仿宋_GB2312" w:cs="仿宋_GB2312"/>
          <w:sz w:val="36"/>
          <w:szCs w:val="32"/>
        </w:rPr>
      </w:pPr>
    </w:p>
    <w:p>
      <w:pPr>
        <w:pStyle w:val="3"/>
        <w:keepNext w:val="0"/>
        <w:keepLines w:val="0"/>
        <w:spacing w:before="120" w:after="120" w:line="240" w:lineRule="atLeast"/>
        <w:jc w:val="cente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rPr>
          <w:rFonts w:ascii="仿宋_GB2312" w:hAnsi="仿宋_GB2312" w:eastAsia="仿宋_GB2312" w:cs="仿宋_GB2312"/>
          <w:sz w:val="36"/>
          <w:szCs w:val="32"/>
        </w:rPr>
      </w:pPr>
    </w:p>
    <w:p>
      <w:pPr>
        <w:pStyle w:val="3"/>
        <w:keepNext w:val="0"/>
        <w:keepLines w:val="0"/>
        <w:spacing w:before="120" w:after="120" w:line="240" w:lineRule="atLeast"/>
        <w:jc w:val="center"/>
        <w:rPr>
          <w:rFonts w:ascii="仿宋_GB2312" w:hAnsi="仿宋_GB2312" w:eastAsia="仿宋_GB2312" w:cs="仿宋_GB2312"/>
          <w:sz w:val="36"/>
          <w:szCs w:val="32"/>
        </w:rPr>
      </w:pPr>
    </w:p>
    <w:p>
      <w:pPr>
        <w:pStyle w:val="3"/>
        <w:keepNext w:val="0"/>
        <w:keepLines w:val="0"/>
        <w:spacing w:before="120" w:after="120" w:line="240" w:lineRule="atLeast"/>
        <w:jc w:val="center"/>
        <w:rPr>
          <w:rFonts w:ascii="仿宋_GB2312" w:hAnsi="仿宋_GB2312" w:eastAsia="仿宋_GB2312" w:cs="仿宋_GB2312"/>
          <w:sz w:val="36"/>
          <w:szCs w:val="32"/>
        </w:rPr>
      </w:pPr>
    </w:p>
    <w:p>
      <w:pPr>
        <w:pStyle w:val="3"/>
        <w:keepNext w:val="0"/>
        <w:keepLines w:val="0"/>
        <w:spacing w:before="120" w:after="120" w:line="240" w:lineRule="atLeast"/>
        <w:jc w:val="center"/>
        <w:rPr>
          <w:rFonts w:ascii="仿宋_GB2312" w:hAnsi="仿宋_GB2312" w:eastAsia="仿宋_GB2312" w:cs="仿宋_GB2312"/>
          <w:sz w:val="36"/>
          <w:szCs w:val="32"/>
        </w:rPr>
      </w:pPr>
    </w:p>
    <w:p/>
    <w:p>
      <w:pPr>
        <w:pStyle w:val="2"/>
        <w:rPr>
          <w:lang w:val="en-US"/>
        </w:rPr>
      </w:pPr>
    </w:p>
    <w:p>
      <w:pPr>
        <w:pStyle w:val="3"/>
        <w:keepNext w:val="0"/>
        <w:keepLines w:val="0"/>
        <w:spacing w:before="120" w:after="120" w:line="240" w:lineRule="atLeast"/>
        <w:jc w:val="center"/>
        <w:rPr>
          <w:rFonts w:ascii="仿宋_GB2312" w:hAnsi="仿宋_GB2312" w:eastAsia="仿宋_GB2312" w:cs="仿宋_GB2312"/>
          <w:sz w:val="36"/>
          <w:szCs w:val="32"/>
        </w:rPr>
      </w:pPr>
      <w:r>
        <w:rPr>
          <w:rFonts w:hint="eastAsia" w:ascii="仿宋_GB2312" w:hAnsi="仿宋_GB2312" w:eastAsia="仿宋_GB2312" w:cs="仿宋_GB2312"/>
          <w:sz w:val="36"/>
          <w:szCs w:val="32"/>
        </w:rPr>
        <w:t>诸暨市财政投资预决算审核中心协审工作考核管理</w:t>
      </w:r>
    </w:p>
    <w:p>
      <w:pPr>
        <w:pStyle w:val="3"/>
        <w:keepNext w:val="0"/>
        <w:keepLines w:val="0"/>
        <w:spacing w:before="120" w:after="120" w:line="240" w:lineRule="atLeast"/>
        <w:jc w:val="center"/>
        <w:rPr>
          <w:rFonts w:ascii="仿宋_GB2312" w:hAnsi="仿宋_GB2312" w:eastAsia="仿宋_GB2312" w:cs="仿宋_GB2312"/>
          <w:sz w:val="36"/>
          <w:szCs w:val="28"/>
        </w:rPr>
      </w:pPr>
      <w:r>
        <w:rPr>
          <w:rFonts w:hint="eastAsia" w:ascii="仿宋_GB2312" w:hAnsi="仿宋_GB2312" w:eastAsia="仿宋_GB2312" w:cs="仿宋_GB2312"/>
          <w:sz w:val="36"/>
          <w:szCs w:val="32"/>
        </w:rPr>
        <w:t>细则（试行）</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为进一步规范协审单位、协审人员审核行为，确保协审工作质量和廉洁高效，明确审核责任，防范审核风险，根据《浙江省政府投资预算管理办法》和《浙江省政府投资项目管理办法》（省政府令363号）、《浙江省建设工程造价管理办法》等文件精神，结合诸暨实际，制定本细则。</w:t>
      </w:r>
    </w:p>
    <w:p>
      <w:pPr>
        <w:spacing w:line="52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一、考核对象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考核对象为协审单位及其派出的协审人员。协审单位是指通过公开征集后确定，协助诸暨市财政投资预决算审核中心实施投资项目审核的社会中介机构；协审人员是指协审单位派出的协助诸暨市财政投资预决算审核中心实施投资项目审核的人员。</w:t>
      </w:r>
    </w:p>
    <w:p>
      <w:pPr>
        <w:spacing w:line="52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二、考核办法</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协审工作考核由诸暨市财政投资预决算审核中心（以下简称审核中心）负责。</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（一）考核方式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考核方式由日常考核、动态考核、年度考核组成。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日常考核包括审核中心组成考核小组采取抽审、复核、日常检查、档案抽查等方式进行，根据《协审单位业务考核表》（附表一）内容逐条计分，得出考核结果，作为考核协审单位和协审人员参与投资项目审核工作的重要依据。</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动态考核包括机构设置、办公场所、人员到位等考核内容。入围单位应在诸暨市范围内设有固定的办公场所及硬件设施，并在收到入围通知书30天内将办公地点及协审人员信息报诸暨市财政投资预决算审核中心备案。备案协审人员数量、专业数量、执业资格等级须满足审核中心征集文件基本协审人员数量（负责人1人、协审人员3人）、基本造价专业数量（2个）配备要求，并与投标文件承诺一致。审核中心将根据协审单位投标承诺，对协审人员的认定以每月到岗到位不少于15天为标准，鼓励协审单位采用钉钉打卡等信息化手段实施人员考勤。同时，审核中心将对协审单位及协审人员进行不定期走访检查。</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审核中心将于合同签订后次月开始实施动态考核。协审单位在动态考核过程中，任意连续12个月中有2个月考勤未达标的，审核中心暂停对其分配项目。协审单位因考勤原因暂停项目分配后，任意连续6个月考勤达标，重新参与分配项目。</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若协审单位在诸暨的地点、人员等发生变动，应当自变动后10天内报告审核中心。对于协审人员的变动，变动后的人员数量应不少于投标时的人员数量，专业数量应不少于投标时的专业数量，职业资格等级应不低于投标时的职业资格等级，上述任一条不符合投标时承诺即认为不达标，暂停分配审核项目。协审单位因人员变动不符合投标承诺原因暂停项目分配后，任意连续3个月考勤达标，重新参与分配项目。</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在考核过程中协审单位未按要求申报资料、不配合考核检查工作、或采取弄虚作假虚拟打卡等不正当手段的，取消其协审资格。</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3、年度考核根据协审单位业务考核表、协审单位履职情况、审核中心检查情况等进行综合评分。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（二）审核要求</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1、协审单位及审核人员应恪守客观公正、实事求是的审核原则，不得利用工作之便谋取不正当利益。</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2、协审单位或审核人员与被审核单位或者被审核项目相关事项有利害关系的，应当主动回避。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3、协审单位应当制定质量控制措施，建立和健全审核质量管理制度，保证项目的审核质量。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4、审核中心有权根据实际情况和管理需要，按公开公平公正原则分配审核项目，不得因项目送审金额大小、项目类型等原因拒绝接收项目。</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协审单位应根据审核业务的专业特点制定项目审核计划和方案，自接受审核业务之日起3个工作日内向审核中心报送项目审核工作方案（统一表式见附表二）。协审单位必须组成专门的项目组负责审核中心委托的项目审核，并指定技术负责人，负责人必须参与被委托项目的复核、滞留项目的协调处理、争议问题的解决等。协审单位选派的项目组成员须具有相应专业的职业资格，实际审核人员必须与报送的审核人员一致，一旦确定不得变更（除不可抗力或经审核中心同意外），且均应为入围单位在编在岗正式员工，如有虚假选派将取消协审资格。审核中心将根据考核结果，要求入围单位更换不符合要求的项目组成员。</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6、审核资料实行“一次性交接”，并填写资料交接单。协审单位或协审人员不得擅自接收后补资料，确需列入审核范围的，需向审核中心提交后补申请。</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7、审核工作实施阶段，审核人员应准确掌握项目情况，根据相关图纸及联系单进行现场踏勘，填写统一的现场踏勘表，建设单位、施工单位等相关单位应在踏勘表上签字确认。</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8、审核人员在审核过程中发现重大问题的，应及时向审核中心报告，并提出书面的合理化建议。协审单位被委托的项目遇到疑难问题需要召开协调会时，技术负责人必须参加。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9、协审单位应当在委托合同约定的时间内完成审核工作，按审核中心要求的格式和内容提供阶段性审价成果，并在征求审核中心意见后出具审核报告。</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10、协审单位应建立健全审核业务档案制度，项目审核档案资料应根据审核中心档案管理要求，在出具审核报告之日起30天内整理立卷，装订成册，移交至审核中心，同时在审核管理系统上上传完整的电子资料。</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11、协审单位应遵守国家有关保密规定，不得泄露相关单位秘密，不得将审核中取得的资料用于审核工作以外的事项。 </w:t>
      </w:r>
    </w:p>
    <w:p>
      <w:pPr>
        <w:spacing w:line="52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三、考核内容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协审单位、协审人员参与政府投资工程和村级工程建设项目预算、结算、复审审核过程中的审核行为、质量、时效、职业道德、廉政等。</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（一）审核业务考核内容：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由审核中心依据考核细则对协审单位进行业务考核，业务考核以审核质量和进度为主。根据考核情况定期或不定期实行通报，包括违反相关规定、违约、质量问题、项目考核、暂停或取消其审核业务承接资格等。</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2、业务考核实行得分制，详见《审核业务考核表》（附表一）。考核等级按积分值分为优秀（90分以上）、合格（60-90分）、不合格（60分以下）三个级别。</w:t>
      </w:r>
    </w:p>
    <w:p>
      <w:pPr>
        <w:pStyle w:val="787"/>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①单个项目综合考评得分</w:t>
      </w:r>
      <w:r>
        <w:rPr>
          <w:rFonts w:hint="eastAsia" w:ascii="宋体" w:hAnsi="宋体" w:cs="宋体"/>
          <w:color w:val="000000"/>
          <w:sz w:val="32"/>
          <w:szCs w:val="32"/>
        </w:rPr>
        <w:t>≧</w:t>
      </w:r>
      <w:r>
        <w:rPr>
          <w:rFonts w:hint="eastAsia" w:ascii="仿宋_GB2312" w:hAnsi="仿宋_GB2312" w:eastAsia="仿宋_GB2312"/>
          <w:color w:val="000000"/>
          <w:sz w:val="32"/>
          <w:szCs w:val="32"/>
        </w:rPr>
        <w:t>90分，不扣款；</w:t>
      </w:r>
    </w:p>
    <w:p>
      <w:pPr>
        <w:pStyle w:val="787"/>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②80分≤单个项目综合考评＜90分，扣款金额按扣分数值x0.2(系数)x100元计算；</w:t>
      </w:r>
    </w:p>
    <w:p>
      <w:pPr>
        <w:pStyle w:val="787"/>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③70分≤单个项目综合考评＜80分，扣款金额按扣分数值x0.3(系数)x100元计算；</w:t>
      </w:r>
    </w:p>
    <w:p>
      <w:pPr>
        <w:pStyle w:val="787"/>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④60分≤单个项目综合考评＜70分，扣款金额按扣分数值x0.4(系数)x100元计算；</w:t>
      </w:r>
    </w:p>
    <w:p>
      <w:pPr>
        <w:pStyle w:val="787"/>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⑤50分≤单个项目综合考评＜60分，扣除基本费一半费用，并暂停1个月分配审核业务的资格；</w:t>
      </w:r>
    </w:p>
    <w:p>
      <w:pPr>
        <w:pStyle w:val="787"/>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⑥40分≤单个项目综合考评＜50分，基本费扣完，并暂停2个月分配审核业务的资格；</w:t>
      </w:r>
    </w:p>
    <w:p>
      <w:pPr>
        <w:pStyle w:val="787"/>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⑦30分≤单个项目综合考评＜40分，基本费扣完，并暂停3个月分配审核业务的资格；</w:t>
      </w:r>
    </w:p>
    <w:p>
      <w:pPr>
        <w:pStyle w:val="787"/>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⑧20分≤单个项目综合考评＜30分，基本费扣完，并暂停4个月分配审核业务的资格；</w:t>
      </w:r>
    </w:p>
    <w:p>
      <w:pPr>
        <w:pStyle w:val="787"/>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⑨10分≤单个项目综合考评＜20分，基本费扣完，并暂停5个月分配审核业务的资格；</w:t>
      </w:r>
    </w:p>
    <w:p>
      <w:pPr>
        <w:pStyle w:val="787"/>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⑩0分≤单个项目综合考评＜10分，基本费扣完，并暂停6个月分配审核业务的资格。</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3、协审单位及其人员未遵守诚信原则或存在不廉洁行为的，除按规定处理外，该项目考核结果为0分。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4、审核中心负责对考核结果进行汇总、排名，考核结果存档备案。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 协审单位出现以下情形之一时，暂停三个月承接审核项目：</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1、不履行投标文件配合服务承诺或履行不到位的；</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2、实际审核人员执业资格不符合规定或实际审核人员与选派人员不一致的；</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3、月度考核排名累计2次倒数第一的；</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4、提交的存档资料不完整或不规范，限期整改不到位的。</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(三)协审单位出现以下情形之一时，暂停六个月承接审核项目：</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1、未经允许擅自接受后补资料；</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2、审核质量、时限受到投诉或质疑，经查情况属实的；</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3、月度考核排名累计3次倒数第一的；</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4、审核报告及结论存在明显错误或重大偏差的。</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 协审单位违反相关规定或违约的，出现以下情形之一时暂停一年承接审核项目：</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1、在审核过程中发现审核误差率大于5%或误差金额大于50万元的（争议问题除外）；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2、发现重大问题未按要求及时与审核中心沟通、书面汇报的，受到投诉或质疑，造成不良影响的；</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3、月度考核排名累计4次倒数第一的；</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4、未经同意擅自将审核材料用于审核报告以外无关事项的。</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xml:space="preserve">    (五)</w:t>
      </w:r>
      <w:bookmarkStart w:id="37" w:name="OLE_LINK1"/>
      <w:r>
        <w:rPr>
          <w:rFonts w:hint="eastAsia" w:ascii="仿宋_GB2312" w:hAnsi="仿宋_GB2312" w:eastAsia="仿宋_GB2312"/>
          <w:sz w:val="32"/>
          <w:szCs w:val="32"/>
        </w:rPr>
        <w:t>协审单位出现以下情形之一的给予清退并通报：</w:t>
      </w:r>
    </w:p>
    <w:p>
      <w:pPr>
        <w:spacing w:line="52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1、审核人员在项目审核过程中有违法、违纪行为的；</w:t>
      </w:r>
    </w:p>
    <w:p>
      <w:pPr>
        <w:spacing w:line="52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2、协审单位将业务转包或分包给其他单位或个人的；</w:t>
      </w:r>
    </w:p>
    <w:bookmarkEnd w:id="37"/>
    <w:p>
      <w:pPr>
        <w:spacing w:line="52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3、协审单位被暂停协审资格达3次及以上的；</w:t>
      </w:r>
    </w:p>
    <w:p>
      <w:pPr>
        <w:spacing w:line="52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4、出具的审核成果文件严重违背强制性标准，或有虚假记载、误导性陈述等情况的；</w:t>
      </w:r>
    </w:p>
    <w:p>
      <w:pPr>
        <w:spacing w:line="52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5、项目审核结果有重大质量问题，出现严重错误，导致严重后果的；</w:t>
      </w:r>
    </w:p>
    <w:p>
      <w:pPr>
        <w:spacing w:line="52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6、协审单位或人员未遵守国家有关保密规定，泄露相关单位秘密，并造成不良后果的。</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(六)暂停承接项目或被清退出的协审单位，仍应协助完成审核项目的后续工作，审核中心对该类项目继续考核，否则将扣减或不予支付该项目的审核费用，情节严重的取消其协审资格。</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 协审单位接受委托承办审核业务，有以下情况之一，取消其该合同期内审核业务承接资格及下轮的入围资格，并依法提请有关部门追究协审单位和相关人员的法律责任：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被审核单位或者被审核项目相关事项，与入围单位或其派出审核人员有利害关系的，利害关系人未主动向诸暨市财政投资预决算审核中心申请回避的。入围单位如存在回避事项的，应在接受工程资料前主动申请回避。“回避事项”是指中介机构已为受托审核项目的勘察单位、设计单位、编制单位、代建单位、全过程造价咨询单位或其关联方的，以及属于法律法规和行业相关规定的其他应回避情况。项目严禁自编自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协审单位或审核人员在审核中违反诚信原则、提供内容不实的审核结果或违反回避制度的，取消其该合同期内审核业务承接资格及以后的入围资格，并依法提请有关部门追究协审单位和相关人员的法律责任。审核人员在审核中有索贿、受贿、不正当接受馈赠等不廉洁行为的，依法追究协审单位和审核人员的相关责任，构成犯罪的，依法移送司法机关处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(八)对于可能发生的其它情形，由诸暨市财政投资预决算审核中心视情况处理。</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xml:space="preserve">    (九)协审单位应按约定时间（见下表）完成项目审核，如因特殊情况不能在规定时间完成审核，应及时向审核中心书面报告，并说明原因。</w:t>
      </w:r>
    </w:p>
    <w:p>
      <w:pPr>
        <w:snapToGrid w:val="0"/>
        <w:spacing w:line="520" w:lineRule="exact"/>
        <w:ind w:right="-109" w:rightChars="-52" w:firstLine="539"/>
        <w:rPr>
          <w:rFonts w:ascii="仿宋_GB2312" w:hAnsi="仿宋_GB2312" w:eastAsia="仿宋_GB2312"/>
          <w:sz w:val="32"/>
          <w:szCs w:val="32"/>
        </w:rPr>
      </w:pPr>
      <w:r>
        <w:rPr>
          <w:rFonts w:hint="eastAsia" w:ascii="仿宋_GB2312" w:hAnsi="仿宋_GB2312" w:eastAsia="仿宋_GB2312"/>
          <w:sz w:val="32"/>
          <w:szCs w:val="32"/>
        </w:rPr>
        <w:t>（1）结算审核限时审结要求：</w:t>
      </w:r>
    </w:p>
    <w:tbl>
      <w:tblPr>
        <w:tblStyle w:val="6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98"/>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4678" w:type="dxa"/>
            <w:gridSpan w:val="2"/>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工程竣工结算收送审金额</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提出审核意见时间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80" w:type="dxa"/>
            <w:vAlign w:val="center"/>
          </w:tcPr>
          <w:p>
            <w:pPr>
              <w:rPr>
                <w:rFonts w:ascii="仿宋_GB2312" w:hAnsi="仿宋_GB2312" w:eastAsia="仿宋_GB2312"/>
                <w:sz w:val="24"/>
                <w:szCs w:val="32"/>
              </w:rPr>
            </w:pPr>
            <w:r>
              <w:rPr>
                <w:rFonts w:ascii="仿宋_GB2312" w:hAnsi="仿宋_GB2312" w:eastAsia="仿宋_GB2312"/>
                <w:sz w:val="24"/>
                <w:szCs w:val="32"/>
              </w:rPr>
              <w:t>1</w:t>
            </w:r>
          </w:p>
        </w:tc>
        <w:tc>
          <w:tcPr>
            <w:tcW w:w="3598" w:type="dxa"/>
            <w:vAlign w:val="center"/>
          </w:tcPr>
          <w:p>
            <w:pPr>
              <w:rPr>
                <w:rFonts w:ascii="仿宋_GB2312" w:hAnsi="仿宋_GB2312" w:eastAsia="仿宋_GB2312"/>
                <w:sz w:val="24"/>
                <w:szCs w:val="32"/>
              </w:rPr>
            </w:pPr>
            <w:r>
              <w:rPr>
                <w:rFonts w:hint="eastAsia" w:ascii="仿宋_GB2312" w:hAnsi="仿宋_GB2312" w:eastAsia="仿宋_GB2312"/>
                <w:sz w:val="24"/>
                <w:szCs w:val="32"/>
              </w:rPr>
              <w:t>送审价</w:t>
            </w:r>
            <w:r>
              <w:rPr>
                <w:rFonts w:ascii="仿宋_GB2312" w:hAnsi="仿宋_GB2312" w:eastAsia="仿宋_GB2312"/>
                <w:sz w:val="24"/>
                <w:szCs w:val="32"/>
              </w:rPr>
              <w:t>1000</w:t>
            </w:r>
            <w:r>
              <w:rPr>
                <w:rFonts w:hint="eastAsia" w:ascii="仿宋_GB2312" w:hAnsi="仿宋_GB2312" w:eastAsia="仿宋_GB2312"/>
                <w:sz w:val="24"/>
                <w:szCs w:val="32"/>
              </w:rPr>
              <w:t>万元（含）以下</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从接到竣工结算资料之日起</w:t>
            </w:r>
            <w:r>
              <w:rPr>
                <w:rFonts w:ascii="仿宋_GB2312" w:hAnsi="仿宋_GB2312" w:eastAsia="仿宋_GB2312"/>
                <w:sz w:val="24"/>
                <w:szCs w:val="32"/>
              </w:rPr>
              <w:t>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0" w:type="dxa"/>
            <w:vAlign w:val="center"/>
          </w:tcPr>
          <w:p>
            <w:pPr>
              <w:rPr>
                <w:rFonts w:ascii="仿宋_GB2312" w:hAnsi="仿宋_GB2312" w:eastAsia="仿宋_GB2312"/>
                <w:sz w:val="24"/>
                <w:szCs w:val="32"/>
              </w:rPr>
            </w:pPr>
            <w:r>
              <w:rPr>
                <w:rFonts w:ascii="仿宋_GB2312" w:hAnsi="仿宋_GB2312" w:eastAsia="仿宋_GB2312"/>
                <w:sz w:val="24"/>
                <w:szCs w:val="32"/>
              </w:rPr>
              <w:t>2</w:t>
            </w:r>
          </w:p>
        </w:tc>
        <w:tc>
          <w:tcPr>
            <w:tcW w:w="3598" w:type="dxa"/>
            <w:vAlign w:val="center"/>
          </w:tcPr>
          <w:p>
            <w:pPr>
              <w:rPr>
                <w:rFonts w:ascii="仿宋_GB2312" w:hAnsi="仿宋_GB2312" w:eastAsia="仿宋_GB2312"/>
                <w:sz w:val="24"/>
                <w:szCs w:val="32"/>
              </w:rPr>
            </w:pPr>
            <w:r>
              <w:rPr>
                <w:rFonts w:hint="eastAsia" w:ascii="仿宋_GB2312" w:hAnsi="仿宋_GB2312" w:eastAsia="仿宋_GB2312"/>
                <w:sz w:val="24"/>
                <w:szCs w:val="32"/>
              </w:rPr>
              <w:t>送审价</w:t>
            </w:r>
            <w:r>
              <w:rPr>
                <w:rFonts w:ascii="仿宋_GB2312" w:hAnsi="仿宋_GB2312" w:eastAsia="仿宋_GB2312"/>
                <w:sz w:val="24"/>
                <w:szCs w:val="32"/>
              </w:rPr>
              <w:t>1000</w:t>
            </w:r>
            <w:r>
              <w:rPr>
                <w:rFonts w:hint="eastAsia" w:ascii="仿宋_GB2312" w:hAnsi="仿宋_GB2312" w:eastAsia="仿宋_GB2312"/>
                <w:sz w:val="24"/>
                <w:szCs w:val="32"/>
              </w:rPr>
              <w:t>万元至</w:t>
            </w:r>
            <w:r>
              <w:rPr>
                <w:rFonts w:ascii="仿宋_GB2312" w:hAnsi="仿宋_GB2312" w:eastAsia="仿宋_GB2312"/>
                <w:sz w:val="24"/>
                <w:szCs w:val="32"/>
              </w:rPr>
              <w:t>5000</w:t>
            </w:r>
            <w:r>
              <w:rPr>
                <w:rFonts w:hint="eastAsia" w:ascii="仿宋_GB2312" w:hAnsi="仿宋_GB2312" w:eastAsia="仿宋_GB2312"/>
                <w:sz w:val="24"/>
                <w:szCs w:val="32"/>
              </w:rPr>
              <w:t>万元（含）</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从接到竣工结算资料之日起45</w:t>
            </w:r>
            <w:r>
              <w:rPr>
                <w:rFonts w:ascii="仿宋_GB2312" w:hAnsi="仿宋_GB2312" w:eastAsia="仿宋_GB2312"/>
                <w:sz w:val="24"/>
                <w:szCs w:val="32"/>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rPr>
                <w:rFonts w:ascii="仿宋_GB2312" w:hAnsi="仿宋_GB2312" w:eastAsia="仿宋_GB2312"/>
                <w:sz w:val="24"/>
                <w:szCs w:val="32"/>
              </w:rPr>
            </w:pPr>
            <w:r>
              <w:rPr>
                <w:rFonts w:ascii="仿宋_GB2312" w:hAnsi="仿宋_GB2312" w:eastAsia="仿宋_GB2312"/>
                <w:sz w:val="24"/>
                <w:szCs w:val="32"/>
              </w:rPr>
              <w:t>3</w:t>
            </w:r>
          </w:p>
        </w:tc>
        <w:tc>
          <w:tcPr>
            <w:tcW w:w="3598" w:type="dxa"/>
            <w:vAlign w:val="center"/>
          </w:tcPr>
          <w:p>
            <w:pPr>
              <w:rPr>
                <w:rFonts w:ascii="仿宋_GB2312" w:hAnsi="仿宋_GB2312" w:eastAsia="仿宋_GB2312"/>
                <w:sz w:val="24"/>
                <w:szCs w:val="32"/>
              </w:rPr>
            </w:pPr>
            <w:r>
              <w:rPr>
                <w:rFonts w:hint="eastAsia" w:ascii="仿宋_GB2312" w:hAnsi="仿宋_GB2312" w:eastAsia="仿宋_GB2312"/>
                <w:sz w:val="24"/>
                <w:szCs w:val="32"/>
              </w:rPr>
              <w:t>送审价</w:t>
            </w:r>
            <w:r>
              <w:rPr>
                <w:rFonts w:ascii="仿宋_GB2312" w:hAnsi="仿宋_GB2312" w:eastAsia="仿宋_GB2312"/>
                <w:sz w:val="24"/>
                <w:szCs w:val="32"/>
              </w:rPr>
              <w:t>5000</w:t>
            </w:r>
            <w:r>
              <w:rPr>
                <w:rFonts w:hint="eastAsia" w:ascii="仿宋_GB2312" w:hAnsi="仿宋_GB2312" w:eastAsia="仿宋_GB2312"/>
                <w:sz w:val="24"/>
                <w:szCs w:val="32"/>
              </w:rPr>
              <w:t>万元至</w:t>
            </w:r>
            <w:r>
              <w:rPr>
                <w:rFonts w:ascii="仿宋_GB2312" w:hAnsi="仿宋_GB2312" w:eastAsia="仿宋_GB2312"/>
                <w:sz w:val="24"/>
                <w:szCs w:val="32"/>
              </w:rPr>
              <w:t>1</w:t>
            </w:r>
            <w:r>
              <w:rPr>
                <w:rFonts w:hint="eastAsia" w:ascii="仿宋_GB2312" w:hAnsi="仿宋_GB2312" w:eastAsia="仿宋_GB2312"/>
                <w:sz w:val="24"/>
                <w:szCs w:val="32"/>
              </w:rPr>
              <w:t>亿元(含)</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从接到竣工结算资料之日起60</w:t>
            </w:r>
            <w:r>
              <w:rPr>
                <w:rFonts w:ascii="仿宋_GB2312" w:hAnsi="仿宋_GB2312" w:eastAsia="仿宋_GB2312"/>
                <w:sz w:val="24"/>
                <w:szCs w:val="32"/>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0" w:type="dxa"/>
            <w:vAlign w:val="center"/>
          </w:tcPr>
          <w:p>
            <w:pPr>
              <w:rPr>
                <w:rFonts w:ascii="仿宋_GB2312" w:hAnsi="仿宋_GB2312" w:eastAsia="仿宋_GB2312"/>
                <w:sz w:val="24"/>
                <w:szCs w:val="32"/>
              </w:rPr>
            </w:pPr>
            <w:r>
              <w:rPr>
                <w:rFonts w:ascii="仿宋_GB2312" w:hAnsi="仿宋_GB2312" w:eastAsia="仿宋_GB2312"/>
                <w:sz w:val="24"/>
                <w:szCs w:val="32"/>
              </w:rPr>
              <w:t>4</w:t>
            </w:r>
          </w:p>
        </w:tc>
        <w:tc>
          <w:tcPr>
            <w:tcW w:w="3598" w:type="dxa"/>
            <w:vAlign w:val="center"/>
          </w:tcPr>
          <w:p>
            <w:pPr>
              <w:rPr>
                <w:rFonts w:ascii="仿宋_GB2312" w:hAnsi="仿宋_GB2312" w:eastAsia="仿宋_GB2312"/>
                <w:sz w:val="24"/>
                <w:szCs w:val="32"/>
              </w:rPr>
            </w:pPr>
            <w:r>
              <w:rPr>
                <w:rFonts w:hint="eastAsia" w:ascii="仿宋_GB2312" w:hAnsi="仿宋_GB2312" w:eastAsia="仿宋_GB2312"/>
                <w:sz w:val="24"/>
                <w:szCs w:val="32"/>
              </w:rPr>
              <w:t>送审价1亿元以上</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从接到竣工结算资料之日起90</w:t>
            </w:r>
            <w:r>
              <w:rPr>
                <w:rFonts w:ascii="仿宋_GB2312" w:hAnsi="仿宋_GB2312" w:eastAsia="仿宋_GB2312"/>
                <w:sz w:val="24"/>
                <w:szCs w:val="32"/>
              </w:rPr>
              <w:t>个工作日</w:t>
            </w:r>
          </w:p>
        </w:tc>
      </w:tr>
    </w:tbl>
    <w:p>
      <w:pPr>
        <w:snapToGrid w:val="0"/>
        <w:spacing w:line="520" w:lineRule="exact"/>
        <w:ind w:right="-109" w:rightChars="-52" w:firstLine="539"/>
        <w:rPr>
          <w:rFonts w:ascii="仿宋_GB2312" w:hAnsi="仿宋_GB2312" w:eastAsia="仿宋_GB2312"/>
          <w:sz w:val="32"/>
          <w:szCs w:val="32"/>
        </w:rPr>
      </w:pPr>
      <w:r>
        <w:rPr>
          <w:rFonts w:hint="eastAsia" w:ascii="仿宋_GB2312" w:hAnsi="仿宋_GB2312" w:eastAsia="仿宋_GB2312"/>
          <w:sz w:val="32"/>
          <w:szCs w:val="32"/>
        </w:rPr>
        <w:t>（2）预算审核限时审结要求：</w:t>
      </w:r>
    </w:p>
    <w:tbl>
      <w:tblPr>
        <w:tblStyle w:val="6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98"/>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678" w:type="dxa"/>
            <w:gridSpan w:val="2"/>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工程招标预算收送审金额</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提出审核意见时间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80" w:type="dxa"/>
            <w:vAlign w:val="center"/>
          </w:tcPr>
          <w:p>
            <w:pPr>
              <w:rPr>
                <w:rFonts w:ascii="仿宋_GB2312" w:hAnsi="仿宋_GB2312" w:eastAsia="仿宋_GB2312"/>
                <w:sz w:val="24"/>
                <w:szCs w:val="32"/>
              </w:rPr>
            </w:pPr>
            <w:r>
              <w:rPr>
                <w:rFonts w:ascii="仿宋_GB2312" w:hAnsi="仿宋_GB2312" w:eastAsia="仿宋_GB2312"/>
                <w:sz w:val="24"/>
                <w:szCs w:val="32"/>
              </w:rPr>
              <w:t>1</w:t>
            </w:r>
          </w:p>
        </w:tc>
        <w:tc>
          <w:tcPr>
            <w:tcW w:w="3598" w:type="dxa"/>
            <w:vAlign w:val="center"/>
          </w:tcPr>
          <w:p>
            <w:pPr>
              <w:rPr>
                <w:rFonts w:ascii="仿宋_GB2312" w:hAnsi="仿宋_GB2312" w:eastAsia="仿宋_GB2312"/>
                <w:sz w:val="24"/>
                <w:szCs w:val="32"/>
              </w:rPr>
            </w:pPr>
            <w:r>
              <w:rPr>
                <w:rFonts w:hint="eastAsia" w:ascii="仿宋_GB2312" w:hAnsi="仿宋_GB2312" w:eastAsia="仿宋_GB2312"/>
                <w:sz w:val="24"/>
                <w:szCs w:val="32"/>
              </w:rPr>
              <w:t>送审价</w:t>
            </w:r>
            <w:r>
              <w:rPr>
                <w:rFonts w:ascii="仿宋_GB2312" w:hAnsi="仿宋_GB2312" w:eastAsia="仿宋_GB2312"/>
                <w:sz w:val="24"/>
                <w:szCs w:val="32"/>
              </w:rPr>
              <w:t>1000</w:t>
            </w:r>
            <w:r>
              <w:rPr>
                <w:rFonts w:hint="eastAsia" w:ascii="仿宋_GB2312" w:hAnsi="仿宋_GB2312" w:eastAsia="仿宋_GB2312"/>
                <w:sz w:val="24"/>
                <w:szCs w:val="32"/>
              </w:rPr>
              <w:t>万元（含）以下</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从接到招标预算资料之日起5</w:t>
            </w:r>
            <w:r>
              <w:rPr>
                <w:rFonts w:ascii="仿宋_GB2312" w:hAnsi="仿宋_GB2312" w:eastAsia="仿宋_GB2312"/>
                <w:sz w:val="24"/>
                <w:szCs w:val="32"/>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0" w:type="dxa"/>
            <w:vAlign w:val="center"/>
          </w:tcPr>
          <w:p>
            <w:pPr>
              <w:rPr>
                <w:rFonts w:ascii="仿宋_GB2312" w:hAnsi="仿宋_GB2312" w:eastAsia="仿宋_GB2312"/>
                <w:sz w:val="24"/>
                <w:szCs w:val="32"/>
              </w:rPr>
            </w:pPr>
            <w:r>
              <w:rPr>
                <w:rFonts w:ascii="仿宋_GB2312" w:hAnsi="仿宋_GB2312" w:eastAsia="仿宋_GB2312"/>
                <w:sz w:val="24"/>
                <w:szCs w:val="32"/>
              </w:rPr>
              <w:t>2</w:t>
            </w:r>
          </w:p>
        </w:tc>
        <w:tc>
          <w:tcPr>
            <w:tcW w:w="3598" w:type="dxa"/>
            <w:vAlign w:val="center"/>
          </w:tcPr>
          <w:p>
            <w:pPr>
              <w:rPr>
                <w:rFonts w:ascii="仿宋_GB2312" w:hAnsi="仿宋_GB2312" w:eastAsia="仿宋_GB2312"/>
                <w:sz w:val="24"/>
                <w:szCs w:val="32"/>
              </w:rPr>
            </w:pPr>
            <w:r>
              <w:rPr>
                <w:rFonts w:hint="eastAsia" w:ascii="仿宋_GB2312" w:hAnsi="仿宋_GB2312" w:eastAsia="仿宋_GB2312"/>
                <w:sz w:val="24"/>
                <w:szCs w:val="32"/>
              </w:rPr>
              <w:t>送审价</w:t>
            </w:r>
            <w:r>
              <w:rPr>
                <w:rFonts w:ascii="仿宋_GB2312" w:hAnsi="仿宋_GB2312" w:eastAsia="仿宋_GB2312"/>
                <w:sz w:val="24"/>
                <w:szCs w:val="32"/>
              </w:rPr>
              <w:t>1000</w:t>
            </w:r>
            <w:r>
              <w:rPr>
                <w:rFonts w:hint="eastAsia" w:ascii="仿宋_GB2312" w:hAnsi="仿宋_GB2312" w:eastAsia="仿宋_GB2312"/>
                <w:sz w:val="24"/>
                <w:szCs w:val="32"/>
              </w:rPr>
              <w:t>万元至</w:t>
            </w:r>
            <w:r>
              <w:rPr>
                <w:rFonts w:ascii="仿宋_GB2312" w:hAnsi="仿宋_GB2312" w:eastAsia="仿宋_GB2312"/>
                <w:sz w:val="24"/>
                <w:szCs w:val="32"/>
              </w:rPr>
              <w:t>5000</w:t>
            </w:r>
            <w:r>
              <w:rPr>
                <w:rFonts w:hint="eastAsia" w:ascii="仿宋_GB2312" w:hAnsi="仿宋_GB2312" w:eastAsia="仿宋_GB2312"/>
                <w:sz w:val="24"/>
                <w:szCs w:val="32"/>
              </w:rPr>
              <w:t>万元（含）</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从接到招标预算资料之日起10</w:t>
            </w:r>
            <w:r>
              <w:rPr>
                <w:rFonts w:ascii="仿宋_GB2312" w:hAnsi="仿宋_GB2312" w:eastAsia="仿宋_GB2312"/>
                <w:sz w:val="24"/>
                <w:szCs w:val="32"/>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rPr>
                <w:rFonts w:ascii="仿宋_GB2312" w:hAnsi="仿宋_GB2312" w:eastAsia="仿宋_GB2312"/>
                <w:sz w:val="24"/>
                <w:szCs w:val="32"/>
              </w:rPr>
            </w:pPr>
            <w:r>
              <w:rPr>
                <w:rFonts w:ascii="仿宋_GB2312" w:hAnsi="仿宋_GB2312" w:eastAsia="仿宋_GB2312"/>
                <w:sz w:val="24"/>
                <w:szCs w:val="32"/>
              </w:rPr>
              <w:t>3</w:t>
            </w:r>
          </w:p>
        </w:tc>
        <w:tc>
          <w:tcPr>
            <w:tcW w:w="3598" w:type="dxa"/>
            <w:vAlign w:val="center"/>
          </w:tcPr>
          <w:p>
            <w:pPr>
              <w:rPr>
                <w:rFonts w:ascii="仿宋_GB2312" w:hAnsi="仿宋_GB2312" w:eastAsia="仿宋_GB2312"/>
                <w:sz w:val="24"/>
                <w:szCs w:val="32"/>
              </w:rPr>
            </w:pPr>
            <w:r>
              <w:rPr>
                <w:rFonts w:hint="eastAsia" w:ascii="仿宋_GB2312" w:hAnsi="仿宋_GB2312" w:eastAsia="仿宋_GB2312"/>
                <w:sz w:val="24"/>
                <w:szCs w:val="32"/>
              </w:rPr>
              <w:t>送审价</w:t>
            </w:r>
            <w:r>
              <w:rPr>
                <w:rFonts w:ascii="仿宋_GB2312" w:hAnsi="仿宋_GB2312" w:eastAsia="仿宋_GB2312"/>
                <w:sz w:val="24"/>
                <w:szCs w:val="32"/>
              </w:rPr>
              <w:t>5000</w:t>
            </w:r>
            <w:r>
              <w:rPr>
                <w:rFonts w:hint="eastAsia" w:ascii="仿宋_GB2312" w:hAnsi="仿宋_GB2312" w:eastAsia="仿宋_GB2312"/>
                <w:sz w:val="24"/>
                <w:szCs w:val="32"/>
              </w:rPr>
              <w:t>万元以上</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从接到招标预算资料之日起15</w:t>
            </w:r>
            <w:r>
              <w:rPr>
                <w:rFonts w:ascii="仿宋_GB2312" w:hAnsi="仿宋_GB2312" w:eastAsia="仿宋_GB2312"/>
                <w:sz w:val="24"/>
                <w:szCs w:val="32"/>
              </w:rPr>
              <w:t>个工作日</w:t>
            </w:r>
          </w:p>
        </w:tc>
      </w:tr>
    </w:tbl>
    <w:p>
      <w:pPr>
        <w:snapToGrid w:val="0"/>
        <w:spacing w:line="520" w:lineRule="exact"/>
        <w:ind w:right="-109" w:rightChars="-52" w:firstLine="539"/>
        <w:rPr>
          <w:rFonts w:ascii="仿宋_GB2312" w:hAnsi="仿宋_GB2312" w:eastAsia="仿宋_GB2312"/>
          <w:sz w:val="32"/>
          <w:szCs w:val="32"/>
        </w:rPr>
      </w:pPr>
      <w:r>
        <w:rPr>
          <w:rFonts w:hint="eastAsia" w:ascii="仿宋_GB2312" w:hAnsi="仿宋_GB2312" w:eastAsia="仿宋_GB2312"/>
          <w:sz w:val="32"/>
          <w:szCs w:val="32"/>
        </w:rPr>
        <w:t>（3）结算复审限时审结要求：</w:t>
      </w:r>
    </w:p>
    <w:tbl>
      <w:tblPr>
        <w:tblStyle w:val="6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98"/>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678" w:type="dxa"/>
            <w:gridSpan w:val="2"/>
            <w:vAlign w:val="center"/>
          </w:tcPr>
          <w:p>
            <w:pPr>
              <w:jc w:val="center"/>
              <w:rPr>
                <w:rFonts w:ascii="仿宋_GB2312" w:hAnsi="仿宋_GB2312" w:eastAsia="仿宋_GB2312"/>
                <w:sz w:val="24"/>
                <w:szCs w:val="32"/>
              </w:rPr>
            </w:pPr>
            <w:r>
              <w:rPr>
                <w:rFonts w:hint="eastAsia" w:ascii="仿宋_GB2312" w:hAnsi="仿宋_GB2312" w:eastAsia="仿宋_GB2312"/>
                <w:sz w:val="24"/>
                <w:szCs w:val="32"/>
              </w:rPr>
              <w:t>工程竣工结算收送审金额</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提出审核意见时间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80" w:type="dxa"/>
            <w:vAlign w:val="center"/>
          </w:tcPr>
          <w:p>
            <w:pPr>
              <w:rPr>
                <w:rFonts w:ascii="仿宋_GB2312" w:hAnsi="仿宋_GB2312" w:eastAsia="仿宋_GB2312"/>
                <w:sz w:val="24"/>
                <w:szCs w:val="32"/>
              </w:rPr>
            </w:pPr>
            <w:r>
              <w:rPr>
                <w:rFonts w:ascii="仿宋_GB2312" w:hAnsi="仿宋_GB2312" w:eastAsia="仿宋_GB2312"/>
                <w:sz w:val="24"/>
                <w:szCs w:val="32"/>
              </w:rPr>
              <w:t>1</w:t>
            </w:r>
          </w:p>
        </w:tc>
        <w:tc>
          <w:tcPr>
            <w:tcW w:w="3598" w:type="dxa"/>
            <w:vAlign w:val="center"/>
          </w:tcPr>
          <w:p>
            <w:pPr>
              <w:rPr>
                <w:rFonts w:ascii="仿宋_GB2312" w:hAnsi="仿宋_GB2312" w:eastAsia="仿宋_GB2312"/>
                <w:sz w:val="24"/>
                <w:szCs w:val="32"/>
              </w:rPr>
            </w:pPr>
            <w:r>
              <w:rPr>
                <w:rFonts w:hint="eastAsia" w:ascii="仿宋_GB2312" w:hAnsi="仿宋_GB2312" w:eastAsia="仿宋_GB2312"/>
                <w:sz w:val="24"/>
                <w:szCs w:val="32"/>
              </w:rPr>
              <w:t>送审价</w:t>
            </w:r>
            <w:r>
              <w:rPr>
                <w:rFonts w:ascii="仿宋_GB2312" w:hAnsi="仿宋_GB2312" w:eastAsia="仿宋_GB2312"/>
                <w:sz w:val="24"/>
                <w:szCs w:val="32"/>
              </w:rPr>
              <w:t>1000</w:t>
            </w:r>
            <w:r>
              <w:rPr>
                <w:rFonts w:hint="eastAsia" w:ascii="仿宋_GB2312" w:hAnsi="仿宋_GB2312" w:eastAsia="仿宋_GB2312"/>
                <w:sz w:val="24"/>
                <w:szCs w:val="32"/>
              </w:rPr>
              <w:t>万元（含）以下</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从接到竣工结算资料之日起5</w:t>
            </w:r>
            <w:r>
              <w:rPr>
                <w:rFonts w:ascii="仿宋_GB2312" w:hAnsi="仿宋_GB2312" w:eastAsia="仿宋_GB2312"/>
                <w:sz w:val="24"/>
                <w:szCs w:val="32"/>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0" w:type="dxa"/>
            <w:vAlign w:val="center"/>
          </w:tcPr>
          <w:p>
            <w:pPr>
              <w:rPr>
                <w:rFonts w:ascii="仿宋_GB2312" w:hAnsi="仿宋_GB2312" w:eastAsia="仿宋_GB2312"/>
                <w:sz w:val="24"/>
                <w:szCs w:val="32"/>
              </w:rPr>
            </w:pPr>
            <w:r>
              <w:rPr>
                <w:rFonts w:ascii="仿宋_GB2312" w:hAnsi="仿宋_GB2312" w:eastAsia="仿宋_GB2312"/>
                <w:sz w:val="24"/>
                <w:szCs w:val="32"/>
              </w:rPr>
              <w:t>2</w:t>
            </w:r>
          </w:p>
        </w:tc>
        <w:tc>
          <w:tcPr>
            <w:tcW w:w="3598" w:type="dxa"/>
            <w:vAlign w:val="center"/>
          </w:tcPr>
          <w:p>
            <w:pPr>
              <w:rPr>
                <w:rFonts w:ascii="仿宋_GB2312" w:hAnsi="仿宋_GB2312" w:eastAsia="仿宋_GB2312"/>
                <w:sz w:val="24"/>
                <w:szCs w:val="32"/>
              </w:rPr>
            </w:pPr>
            <w:r>
              <w:rPr>
                <w:rFonts w:hint="eastAsia" w:ascii="仿宋_GB2312" w:hAnsi="仿宋_GB2312" w:eastAsia="仿宋_GB2312"/>
                <w:sz w:val="24"/>
                <w:szCs w:val="32"/>
              </w:rPr>
              <w:t>送审价</w:t>
            </w:r>
            <w:r>
              <w:rPr>
                <w:rFonts w:ascii="仿宋_GB2312" w:hAnsi="仿宋_GB2312" w:eastAsia="仿宋_GB2312"/>
                <w:sz w:val="24"/>
                <w:szCs w:val="32"/>
              </w:rPr>
              <w:t>1000</w:t>
            </w:r>
            <w:r>
              <w:rPr>
                <w:rFonts w:hint="eastAsia" w:ascii="仿宋_GB2312" w:hAnsi="仿宋_GB2312" w:eastAsia="仿宋_GB2312"/>
                <w:sz w:val="24"/>
                <w:szCs w:val="32"/>
              </w:rPr>
              <w:t>万元至</w:t>
            </w:r>
            <w:r>
              <w:rPr>
                <w:rFonts w:ascii="仿宋_GB2312" w:hAnsi="仿宋_GB2312" w:eastAsia="仿宋_GB2312"/>
                <w:sz w:val="24"/>
                <w:szCs w:val="32"/>
              </w:rPr>
              <w:t>5000</w:t>
            </w:r>
            <w:r>
              <w:rPr>
                <w:rFonts w:hint="eastAsia" w:ascii="仿宋_GB2312" w:hAnsi="仿宋_GB2312" w:eastAsia="仿宋_GB2312"/>
                <w:sz w:val="24"/>
                <w:szCs w:val="32"/>
              </w:rPr>
              <w:t>万元（含）</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从接到竣工结算资料之日起10</w:t>
            </w:r>
            <w:r>
              <w:rPr>
                <w:rFonts w:ascii="仿宋_GB2312" w:hAnsi="仿宋_GB2312" w:eastAsia="仿宋_GB2312"/>
                <w:sz w:val="24"/>
                <w:szCs w:val="32"/>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rPr>
                <w:rFonts w:ascii="仿宋_GB2312" w:hAnsi="仿宋_GB2312" w:eastAsia="仿宋_GB2312"/>
                <w:sz w:val="24"/>
                <w:szCs w:val="32"/>
              </w:rPr>
            </w:pPr>
            <w:r>
              <w:rPr>
                <w:rFonts w:ascii="仿宋_GB2312" w:hAnsi="仿宋_GB2312" w:eastAsia="仿宋_GB2312"/>
                <w:sz w:val="24"/>
                <w:szCs w:val="32"/>
              </w:rPr>
              <w:t>3</w:t>
            </w:r>
          </w:p>
        </w:tc>
        <w:tc>
          <w:tcPr>
            <w:tcW w:w="3598" w:type="dxa"/>
            <w:vAlign w:val="center"/>
          </w:tcPr>
          <w:p>
            <w:pPr>
              <w:rPr>
                <w:rFonts w:ascii="仿宋_GB2312" w:hAnsi="仿宋_GB2312" w:eastAsia="仿宋_GB2312"/>
                <w:sz w:val="24"/>
                <w:szCs w:val="32"/>
              </w:rPr>
            </w:pPr>
            <w:r>
              <w:rPr>
                <w:rFonts w:hint="eastAsia" w:ascii="仿宋_GB2312" w:hAnsi="仿宋_GB2312" w:eastAsia="仿宋_GB2312"/>
                <w:sz w:val="24"/>
                <w:szCs w:val="32"/>
              </w:rPr>
              <w:t>送审价</w:t>
            </w:r>
            <w:r>
              <w:rPr>
                <w:rFonts w:ascii="仿宋_GB2312" w:hAnsi="仿宋_GB2312" w:eastAsia="仿宋_GB2312"/>
                <w:sz w:val="24"/>
                <w:szCs w:val="32"/>
              </w:rPr>
              <w:t>5000</w:t>
            </w:r>
            <w:r>
              <w:rPr>
                <w:rFonts w:hint="eastAsia" w:ascii="仿宋_GB2312" w:hAnsi="仿宋_GB2312" w:eastAsia="仿宋_GB2312"/>
                <w:sz w:val="24"/>
                <w:szCs w:val="32"/>
              </w:rPr>
              <w:t>万元以上</w:t>
            </w:r>
          </w:p>
        </w:tc>
        <w:tc>
          <w:tcPr>
            <w:tcW w:w="4322" w:type="dxa"/>
            <w:vAlign w:val="center"/>
          </w:tcPr>
          <w:p>
            <w:pPr>
              <w:rPr>
                <w:rFonts w:ascii="仿宋_GB2312" w:hAnsi="仿宋_GB2312" w:eastAsia="仿宋_GB2312"/>
                <w:sz w:val="24"/>
                <w:szCs w:val="32"/>
              </w:rPr>
            </w:pPr>
            <w:r>
              <w:rPr>
                <w:rFonts w:hint="eastAsia" w:ascii="仿宋_GB2312" w:hAnsi="仿宋_GB2312" w:eastAsia="仿宋_GB2312"/>
                <w:sz w:val="24"/>
                <w:szCs w:val="32"/>
              </w:rPr>
              <w:t>从接到竣工结算资料之日起15</w:t>
            </w:r>
            <w:r>
              <w:rPr>
                <w:rFonts w:ascii="仿宋_GB2312" w:hAnsi="仿宋_GB2312" w:eastAsia="仿宋_GB2312"/>
                <w:sz w:val="24"/>
                <w:szCs w:val="32"/>
              </w:rPr>
              <w:t>个工作日</w:t>
            </w:r>
          </w:p>
        </w:tc>
      </w:tr>
    </w:tbl>
    <w:p>
      <w:pPr>
        <w:spacing w:line="520" w:lineRule="exact"/>
        <w:rPr>
          <w:rFonts w:ascii="仿宋_GB2312" w:hAnsi="仿宋_GB2312" w:eastAsia="仿宋_GB2312"/>
          <w:sz w:val="32"/>
          <w:szCs w:val="32"/>
        </w:rPr>
      </w:pPr>
      <w:r>
        <w:rPr>
          <w:rFonts w:hint="eastAsia" w:ascii="仿宋_GB2312" w:hAnsi="仿宋_GB2312" w:eastAsia="仿宋_GB2312"/>
          <w:sz w:val="32"/>
          <w:szCs w:val="32"/>
        </w:rPr>
        <w:t xml:space="preserve">    (十)考核结果应用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考核分为日常考核、动态考核、年度考核。审核中心根据量化后的考核内容按协审单位业务考核表、协审单位履职情况进行考核计分，综合评分后，作为评价协审单位年度考核的依据，对各协审单位进行年度动态排名。</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2、考核结果记入协审单位考核档案。根据考核结果，对协审单位在月度和年度排名前六名的，在项目奖励时予以优先考虑。对年度考核倒数第一、第二、第三名的协审单位，暂停其六个月承接审核业务。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四、本细则由诸暨市财政投资预决算审核中心负责解释。</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五、本细则自发布之日起施行。</w:t>
      </w:r>
    </w:p>
    <w:p>
      <w:pPr>
        <w:rPr>
          <w:rFonts w:ascii="黑体" w:hAnsi="宋体" w:eastAsia="黑体"/>
          <w:sz w:val="44"/>
          <w:szCs w:val="44"/>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r>
        <w:rPr>
          <w:rFonts w:hint="eastAsia" w:ascii="黑体" w:hAnsi="黑体" w:eastAsia="黑体" w:cs="黑体"/>
          <w:sz w:val="32"/>
          <w:szCs w:val="32"/>
        </w:rPr>
        <w:t>附表一</w:t>
      </w:r>
    </w:p>
    <w:tbl>
      <w:tblPr>
        <w:tblStyle w:val="65"/>
        <w:tblpPr w:leftFromText="180" w:rightFromText="180" w:vertAnchor="text" w:horzAnchor="margin" w:tblpXSpec="center" w:tblpY="157"/>
        <w:tblOverlap w:val="never"/>
        <w:tblW w:w="10430" w:type="dxa"/>
        <w:jc w:val="center"/>
        <w:tblLayout w:type="fixed"/>
        <w:tblCellMar>
          <w:top w:w="0" w:type="dxa"/>
          <w:left w:w="108" w:type="dxa"/>
          <w:bottom w:w="0" w:type="dxa"/>
          <w:right w:w="108" w:type="dxa"/>
        </w:tblCellMar>
      </w:tblPr>
      <w:tblGrid>
        <w:gridCol w:w="1200"/>
        <w:gridCol w:w="830"/>
        <w:gridCol w:w="611"/>
        <w:gridCol w:w="264"/>
        <w:gridCol w:w="1113"/>
        <w:gridCol w:w="446"/>
        <w:gridCol w:w="666"/>
        <w:gridCol w:w="359"/>
        <w:gridCol w:w="387"/>
        <w:gridCol w:w="447"/>
        <w:gridCol w:w="1266"/>
        <w:gridCol w:w="734"/>
        <w:gridCol w:w="258"/>
        <w:gridCol w:w="776"/>
        <w:gridCol w:w="1073"/>
      </w:tblGrid>
      <w:tr>
        <w:tblPrEx>
          <w:tblCellMar>
            <w:top w:w="0" w:type="dxa"/>
            <w:left w:w="108" w:type="dxa"/>
            <w:bottom w:w="0" w:type="dxa"/>
            <w:right w:w="108" w:type="dxa"/>
          </w:tblCellMar>
        </w:tblPrEx>
        <w:trPr>
          <w:trHeight w:val="468" w:hRule="atLeast"/>
          <w:jc w:val="center"/>
        </w:trPr>
        <w:tc>
          <w:tcPr>
            <w:tcW w:w="10430" w:type="dxa"/>
            <w:gridSpan w:val="15"/>
            <w:tcBorders>
              <w:top w:val="nil"/>
              <w:left w:val="nil"/>
              <w:bottom w:val="nil"/>
              <w:right w:val="nil"/>
            </w:tcBorders>
            <w:vAlign w:val="center"/>
          </w:tcPr>
          <w:p>
            <w:pPr>
              <w:widowControl/>
              <w:jc w:val="center"/>
              <w:rPr>
                <w:rFonts w:ascii="仿宋_GB2312" w:hAnsi="宋体" w:eastAsia="仿宋_GB2312" w:cs="宋体"/>
                <w:bCs/>
                <w:sz w:val="36"/>
                <w:szCs w:val="36"/>
              </w:rPr>
            </w:pPr>
            <w:r>
              <w:rPr>
                <w:rFonts w:hint="eastAsia" w:ascii="宋体" w:hAnsi="宋体" w:cs="宋体"/>
                <w:bCs/>
                <w:sz w:val="36"/>
                <w:szCs w:val="36"/>
              </w:rPr>
              <w:t>协审单位业务考核表（结算审核）</w:t>
            </w:r>
          </w:p>
        </w:tc>
      </w:tr>
      <w:tr>
        <w:tblPrEx>
          <w:tblCellMar>
            <w:top w:w="0" w:type="dxa"/>
            <w:left w:w="108" w:type="dxa"/>
            <w:bottom w:w="0" w:type="dxa"/>
            <w:right w:w="108" w:type="dxa"/>
          </w:tblCellMar>
        </w:tblPrEx>
        <w:trPr>
          <w:trHeight w:val="315" w:hRule="atLeast"/>
          <w:jc w:val="center"/>
        </w:trPr>
        <w:tc>
          <w:tcPr>
            <w:tcW w:w="10430" w:type="dxa"/>
            <w:gridSpan w:val="15"/>
            <w:tcBorders>
              <w:top w:val="nil"/>
              <w:left w:val="nil"/>
              <w:bottom w:val="single" w:color="auto" w:sz="4" w:space="0"/>
              <w:right w:val="nil"/>
            </w:tcBorders>
            <w:vAlign w:val="center"/>
          </w:tcPr>
          <w:p>
            <w:pPr>
              <w:widowControl/>
              <w:jc w:val="left"/>
              <w:rPr>
                <w:rFonts w:ascii="仿宋_GB2312" w:hAnsi="宋体" w:eastAsia="仿宋_GB2312" w:cs="宋体"/>
              </w:rPr>
            </w:pPr>
            <w:r>
              <w:rPr>
                <w:rFonts w:hint="eastAsia" w:ascii="仿宋_GB2312" w:hAnsi="宋体" w:eastAsia="仿宋_GB2312" w:cs="宋体"/>
              </w:rPr>
              <w:t>项目名称：</w:t>
            </w:r>
          </w:p>
        </w:tc>
      </w:tr>
      <w:tr>
        <w:tblPrEx>
          <w:tblCellMar>
            <w:top w:w="0" w:type="dxa"/>
            <w:left w:w="108" w:type="dxa"/>
            <w:bottom w:w="0" w:type="dxa"/>
            <w:right w:w="108" w:type="dxa"/>
          </w:tblCellMar>
        </w:tblPrEx>
        <w:trPr>
          <w:trHeight w:val="893" w:hRule="atLeast"/>
          <w:jc w:val="center"/>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项目编号</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8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建设单位</w:t>
            </w:r>
          </w:p>
        </w:tc>
        <w:tc>
          <w:tcPr>
            <w:tcW w:w="141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270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协审单位</w:t>
            </w:r>
          </w:p>
        </w:tc>
        <w:tc>
          <w:tcPr>
            <w:tcW w:w="184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委托日期</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8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要求完成日期</w:t>
            </w:r>
          </w:p>
        </w:tc>
        <w:tc>
          <w:tcPr>
            <w:tcW w:w="141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270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实际完成日期</w:t>
            </w:r>
          </w:p>
        </w:tc>
        <w:tc>
          <w:tcPr>
            <w:tcW w:w="184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送审造价</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p>
        </w:tc>
        <w:tc>
          <w:tcPr>
            <w:tcW w:w="18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审定造价</w:t>
            </w:r>
          </w:p>
        </w:tc>
        <w:tc>
          <w:tcPr>
            <w:tcW w:w="141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270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核增（减）造价（±）</w:t>
            </w:r>
          </w:p>
        </w:tc>
        <w:tc>
          <w:tcPr>
            <w:tcW w:w="1849"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rPr>
            </w:pPr>
            <w:r>
              <w:rPr>
                <w:rFonts w:hint="eastAsia" w:ascii="仿宋_GB2312" w:hAnsi="宋体" w:eastAsia="仿宋_GB2312" w:cs="宋体"/>
              </w:rPr>
              <w:t xml:space="preserve">  </w:t>
            </w:r>
          </w:p>
        </w:tc>
      </w:tr>
      <w:tr>
        <w:tblPrEx>
          <w:tblCellMar>
            <w:top w:w="0" w:type="dxa"/>
            <w:left w:w="108" w:type="dxa"/>
            <w:bottom w:w="0" w:type="dxa"/>
            <w:right w:w="108" w:type="dxa"/>
          </w:tblCellMar>
        </w:tblPrEx>
        <w:trPr>
          <w:trHeight w:val="428" w:hRule="atLeast"/>
          <w:jc w:val="center"/>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复核后批复造价</w:t>
            </w:r>
          </w:p>
        </w:tc>
        <w:tc>
          <w:tcPr>
            <w:tcW w:w="14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hint="eastAsia" w:ascii="仿宋_GB2312" w:eastAsia="仿宋_GB2312"/>
              </w:rPr>
              <w:t>　</w:t>
            </w:r>
          </w:p>
        </w:tc>
        <w:tc>
          <w:tcPr>
            <w:tcW w:w="18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复核增（减）造价</w:t>
            </w:r>
          </w:p>
        </w:tc>
        <w:tc>
          <w:tcPr>
            <w:tcW w:w="141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hint="eastAsia" w:ascii="仿宋_GB2312" w:eastAsia="仿宋_GB2312"/>
              </w:rPr>
              <w:t>　</w:t>
            </w:r>
          </w:p>
        </w:tc>
        <w:tc>
          <w:tcPr>
            <w:tcW w:w="270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复核误差率</w:t>
            </w:r>
          </w:p>
        </w:tc>
        <w:tc>
          <w:tcPr>
            <w:tcW w:w="184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360" w:hRule="atLeast"/>
          <w:jc w:val="center"/>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项目审核组人员及分工</w:t>
            </w:r>
          </w:p>
        </w:tc>
        <w:tc>
          <w:tcPr>
            <w:tcW w:w="9230" w:type="dxa"/>
            <w:gridSpan w:val="1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备注</w:t>
            </w:r>
          </w:p>
        </w:tc>
        <w:tc>
          <w:tcPr>
            <w:tcW w:w="9230" w:type="dxa"/>
            <w:gridSpan w:val="1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428" w:hRule="atLeast"/>
          <w:jc w:val="center"/>
        </w:trPr>
        <w:tc>
          <w:tcPr>
            <w:tcW w:w="10430" w:type="dxa"/>
            <w:gridSpan w:val="15"/>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ascii="仿宋_GB2312" w:eastAsia="仿宋_GB2312"/>
                <w:b/>
                <w:bCs/>
              </w:rPr>
            </w:pPr>
            <w:r>
              <w:rPr>
                <w:rFonts w:hint="eastAsia" w:ascii="仿宋_GB2312" w:hAnsi="宋体" w:eastAsia="仿宋_GB2312"/>
                <w:b/>
                <w:bCs/>
              </w:rPr>
              <w:t>考核情况</w:t>
            </w:r>
          </w:p>
        </w:tc>
      </w:tr>
      <w:tr>
        <w:tblPrEx>
          <w:tblCellMar>
            <w:top w:w="0" w:type="dxa"/>
            <w:left w:w="108" w:type="dxa"/>
            <w:bottom w:w="0" w:type="dxa"/>
            <w:right w:w="108" w:type="dxa"/>
          </w:tblCellMar>
        </w:tblPrEx>
        <w:trPr>
          <w:trHeight w:val="428" w:hRule="atLeast"/>
          <w:jc w:val="center"/>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rPr>
            </w:pPr>
            <w:r>
              <w:rPr>
                <w:rFonts w:hint="eastAsia" w:ascii="仿宋_GB2312" w:hAnsi="宋体" w:eastAsia="仿宋_GB2312" w:cs="宋体"/>
                <w:b/>
                <w:bCs/>
              </w:rPr>
              <w:t>考核项目</w:t>
            </w:r>
          </w:p>
        </w:tc>
        <w:tc>
          <w:tcPr>
            <w:tcW w:w="6389"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rPr>
            </w:pPr>
            <w:r>
              <w:rPr>
                <w:rFonts w:hint="eastAsia" w:ascii="仿宋_GB2312" w:hAnsi="宋体" w:eastAsia="仿宋_GB2312" w:cs="宋体"/>
                <w:b/>
                <w:bCs/>
              </w:rPr>
              <w:t>考核内容</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rPr>
            </w:pPr>
            <w:r>
              <w:rPr>
                <w:rFonts w:hint="eastAsia" w:ascii="仿宋_GB2312" w:hAnsi="宋体" w:eastAsia="仿宋_GB2312" w:cs="宋体"/>
                <w:b/>
                <w:bCs/>
              </w:rPr>
              <w:t>自评分</w:t>
            </w:r>
          </w:p>
        </w:tc>
        <w:tc>
          <w:tcPr>
            <w:tcW w:w="1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rPr>
            </w:pPr>
            <w:r>
              <w:rPr>
                <w:rFonts w:hint="eastAsia" w:ascii="仿宋_GB2312" w:hAnsi="宋体" w:eastAsia="仿宋_GB2312" w:cs="宋体"/>
                <w:b/>
                <w:bCs/>
              </w:rPr>
              <w:t>组评分</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rPr>
            </w:pPr>
            <w:r>
              <w:rPr>
                <w:rFonts w:hint="eastAsia" w:ascii="仿宋_GB2312" w:hAnsi="宋体" w:eastAsia="仿宋_GB2312" w:cs="宋体"/>
                <w:b/>
                <w:bCs/>
              </w:rPr>
              <w:t>复核评分</w:t>
            </w:r>
          </w:p>
        </w:tc>
      </w:tr>
      <w:tr>
        <w:tblPrEx>
          <w:tblCellMar>
            <w:top w:w="0" w:type="dxa"/>
            <w:left w:w="108" w:type="dxa"/>
            <w:bottom w:w="0" w:type="dxa"/>
            <w:right w:w="108" w:type="dxa"/>
          </w:tblCellMar>
        </w:tblPrEx>
        <w:trPr>
          <w:trHeight w:val="539" w:hRule="atLeast"/>
          <w:jc w:val="center"/>
        </w:trPr>
        <w:tc>
          <w:tcPr>
            <w:tcW w:w="120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基础工作</w:t>
            </w:r>
          </w:p>
          <w:p>
            <w:pPr>
              <w:widowControl/>
              <w:spacing w:line="240" w:lineRule="exact"/>
              <w:jc w:val="center"/>
              <w:rPr>
                <w:rFonts w:ascii="仿宋_GB2312" w:hAnsi="宋体" w:eastAsia="仿宋_GB2312" w:cs="宋体"/>
              </w:rPr>
            </w:pPr>
            <w:r>
              <w:rPr>
                <w:rFonts w:hint="eastAsia" w:ascii="仿宋_GB2312" w:hAnsi="宋体" w:eastAsia="仿宋_GB2312" w:cs="宋体"/>
              </w:rPr>
              <w:t>（</w:t>
            </w:r>
            <w:r>
              <w:rPr>
                <w:rFonts w:ascii="仿宋_GB2312" w:hAnsi="宋体" w:eastAsia="仿宋_GB2312" w:cs="宋体"/>
              </w:rPr>
              <w:t>0-15</w:t>
            </w:r>
            <w:r>
              <w:rPr>
                <w:rFonts w:hint="eastAsia" w:ascii="仿宋_GB2312" w:hAnsi="宋体" w:eastAsia="仿宋_GB2312" w:cs="宋体"/>
              </w:rPr>
              <w:t>）</w:t>
            </w: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审核人员配合及时（0.5分）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539" w:hRule="atLeast"/>
          <w:jc w:val="center"/>
        </w:trPr>
        <w:tc>
          <w:tcPr>
            <w:tcW w:w="120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审核人员中途变更（0.5分）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539" w:hRule="atLeast"/>
          <w:jc w:val="center"/>
        </w:trPr>
        <w:tc>
          <w:tcPr>
            <w:tcW w:w="120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审核人员具备相应执业资格，专业对口（</w:t>
            </w:r>
            <w:r>
              <w:rPr>
                <w:rFonts w:ascii="仿宋_GB2312" w:hAnsi="宋体" w:eastAsia="仿宋_GB2312" w:cs="宋体"/>
              </w:rPr>
              <w:t>2</w:t>
            </w:r>
            <w:r>
              <w:rPr>
                <w:rFonts w:hint="eastAsia" w:ascii="仿宋_GB2312" w:hAnsi="宋体" w:eastAsia="仿宋_GB2312" w:cs="宋体"/>
              </w:rPr>
              <w:t>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539" w:hRule="atLeast"/>
          <w:jc w:val="center"/>
        </w:trPr>
        <w:tc>
          <w:tcPr>
            <w:tcW w:w="120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审核成果（章）是否与选派人员一致（1分）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539" w:hRule="atLeast"/>
          <w:jc w:val="center"/>
        </w:trPr>
        <w:tc>
          <w:tcPr>
            <w:tcW w:w="120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工程审核方案送达的及时性、规范性、完整性、可行性（1分）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rPr>
            </w:pPr>
            <w:r>
              <w:rPr>
                <w:rFonts w:hint="eastAsia" w:ascii="仿宋_GB2312" w:hAnsi="宋体" w:eastAsia="仿宋_GB2312" w:cs="宋体"/>
              </w:rPr>
              <w:t xml:space="preserve">　 </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539" w:hRule="atLeast"/>
          <w:jc w:val="center"/>
        </w:trPr>
        <w:tc>
          <w:tcPr>
            <w:tcW w:w="120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审核日志的及时性、规范性、完整性（1分）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539" w:hRule="atLeast"/>
          <w:jc w:val="center"/>
        </w:trPr>
        <w:tc>
          <w:tcPr>
            <w:tcW w:w="120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项目负责人按时参加会议、做好会议传达落实、做好项目复核工作、及时向组汇报问题及提供相关数据、督促填写审核日志（2分）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539" w:hRule="atLeast"/>
          <w:jc w:val="center"/>
        </w:trPr>
        <w:tc>
          <w:tcPr>
            <w:tcW w:w="120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6389"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工作底稿清晰，数字准确，依据充分，表述清楚完整（2分）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539" w:hRule="atLeast"/>
          <w:jc w:val="center"/>
        </w:trPr>
        <w:tc>
          <w:tcPr>
            <w:tcW w:w="120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6389"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按要求进行两次签证（1分）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90" w:hRule="atLeast"/>
          <w:jc w:val="center"/>
        </w:trPr>
        <w:tc>
          <w:tcPr>
            <w:tcW w:w="120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提供现场踏勘记录，需规范、完整（建设单位、施工单位、协审单位、监理、跟踪审计等签字并盖章，其中前三项必须有）（2分）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rPr>
            </w:pPr>
            <w:r>
              <w:rPr>
                <w:rFonts w:hint="eastAsia" w:ascii="仿宋_GB2312" w:hAnsi="宋体" w:eastAsia="仿宋_GB2312" w:cs="宋体"/>
              </w:rPr>
              <w:t xml:space="preserve">    </w:t>
            </w:r>
          </w:p>
        </w:tc>
      </w:tr>
      <w:tr>
        <w:tblPrEx>
          <w:tblCellMar>
            <w:top w:w="0" w:type="dxa"/>
            <w:left w:w="108" w:type="dxa"/>
            <w:bottom w:w="0" w:type="dxa"/>
            <w:right w:w="108" w:type="dxa"/>
          </w:tblCellMar>
        </w:tblPrEx>
        <w:trPr>
          <w:trHeight w:val="539" w:hRule="atLeast"/>
          <w:jc w:val="center"/>
        </w:trPr>
        <w:tc>
          <w:tcPr>
            <w:tcW w:w="1200"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三级复核表规范性、完整性（</w:t>
            </w:r>
            <w:r>
              <w:rPr>
                <w:rFonts w:ascii="仿宋_GB2312" w:hAnsi="宋体" w:eastAsia="仿宋_GB2312" w:cs="宋体"/>
              </w:rPr>
              <w:t>1</w:t>
            </w:r>
            <w:r>
              <w:rPr>
                <w:rFonts w:hint="eastAsia" w:ascii="仿宋_GB2312" w:hAnsi="宋体" w:eastAsia="仿宋_GB2312" w:cs="宋体"/>
              </w:rPr>
              <w:t>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tcBorders>
              <w:top w:val="nil"/>
              <w:left w:val="nil"/>
              <w:bottom w:val="single" w:color="auto" w:sz="4" w:space="0"/>
              <w:right w:val="single" w:color="auto" w:sz="4" w:space="0"/>
            </w:tcBorders>
            <w:vAlign w:val="center"/>
          </w:tcPr>
          <w:p>
            <w:pPr>
              <w:widowControl/>
              <w:spacing w:line="240" w:lineRule="exact"/>
              <w:ind w:firstLine="210" w:firstLineChars="100"/>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539" w:hRule="atLeast"/>
          <w:jc w:val="center"/>
        </w:trPr>
        <w:tc>
          <w:tcPr>
            <w:tcW w:w="1200"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资料归档的规范性、及时性、完整性（</w:t>
            </w:r>
            <w:r>
              <w:rPr>
                <w:rFonts w:ascii="仿宋_GB2312" w:hAnsi="宋体" w:eastAsia="仿宋_GB2312" w:cs="宋体"/>
              </w:rPr>
              <w:t>1</w:t>
            </w:r>
            <w:r>
              <w:rPr>
                <w:rFonts w:hint="eastAsia" w:ascii="仿宋_GB2312" w:hAnsi="宋体" w:eastAsia="仿宋_GB2312" w:cs="宋体"/>
              </w:rPr>
              <w:t>分）</w:t>
            </w:r>
          </w:p>
        </w:tc>
        <w:tc>
          <w:tcPr>
            <w:tcW w:w="7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　</w:t>
            </w:r>
          </w:p>
        </w:tc>
        <w:tc>
          <w:tcPr>
            <w:tcW w:w="1073" w:type="dxa"/>
            <w:tcBorders>
              <w:top w:val="nil"/>
              <w:left w:val="nil"/>
              <w:bottom w:val="single" w:color="auto" w:sz="4" w:space="0"/>
              <w:right w:val="single" w:color="auto" w:sz="4" w:space="0"/>
            </w:tcBorders>
            <w:vAlign w:val="center"/>
          </w:tcPr>
          <w:p>
            <w:pPr>
              <w:widowControl/>
              <w:spacing w:line="240" w:lineRule="exact"/>
              <w:ind w:firstLine="420" w:firstLineChars="200"/>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428" w:hRule="atLeast"/>
          <w:jc w:val="center"/>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审核报告</w:t>
            </w:r>
          </w:p>
          <w:p>
            <w:pPr>
              <w:widowControl/>
              <w:spacing w:line="240" w:lineRule="exact"/>
              <w:jc w:val="center"/>
              <w:rPr>
                <w:rFonts w:ascii="仿宋_GB2312" w:hAnsi="宋体" w:eastAsia="仿宋_GB2312" w:cs="宋体"/>
              </w:rPr>
            </w:pPr>
            <w:r>
              <w:rPr>
                <w:rFonts w:hint="eastAsia" w:ascii="仿宋_GB2312" w:hAnsi="宋体" w:eastAsia="仿宋_GB2312" w:cs="宋体"/>
              </w:rPr>
              <w:t>（</w:t>
            </w:r>
            <w:r>
              <w:rPr>
                <w:rFonts w:ascii="仿宋_GB2312" w:hAnsi="宋体" w:eastAsia="仿宋_GB2312" w:cs="宋体"/>
              </w:rPr>
              <w:t>0-15</w:t>
            </w:r>
            <w:r>
              <w:rPr>
                <w:rFonts w:hint="eastAsia" w:ascii="仿宋_GB2312" w:hAnsi="宋体" w:eastAsia="仿宋_GB2312" w:cs="宋体"/>
              </w:rPr>
              <w:t>分）</w:t>
            </w: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严格按照财政要求撰写报告，审核结果评价全面透彻，查找问题能力强，问题定性准确，建议到位</w:t>
            </w:r>
          </w:p>
        </w:tc>
        <w:tc>
          <w:tcPr>
            <w:tcW w:w="22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能够按照财政要求撰写报告，审核结果评价基本全面，基本问题能够发现，并能提出一定合理建议</w:t>
            </w:r>
          </w:p>
        </w:tc>
        <w:tc>
          <w:tcPr>
            <w:tcW w:w="24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没有按照财政要求撰写报告，审核结果评价没有深度</w:t>
            </w:r>
          </w:p>
        </w:tc>
        <w:tc>
          <w:tcPr>
            <w:tcW w:w="734"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827"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ascii="仿宋_GB2312" w:hAnsi="宋体" w:eastAsia="仿宋_GB2312" w:cs="宋体"/>
              </w:rPr>
              <w:t>10</w:t>
            </w:r>
            <w:r>
              <w:rPr>
                <w:rFonts w:hint="eastAsia" w:ascii="仿宋_GB2312" w:hAnsi="宋体" w:eastAsia="仿宋_GB2312" w:cs="宋体"/>
              </w:rPr>
              <w:t>～</w:t>
            </w:r>
            <w:r>
              <w:rPr>
                <w:rFonts w:ascii="仿宋_GB2312" w:hAnsi="宋体" w:eastAsia="仿宋_GB2312" w:cs="宋体"/>
              </w:rPr>
              <w:t>15</w:t>
            </w:r>
          </w:p>
        </w:tc>
        <w:tc>
          <w:tcPr>
            <w:tcW w:w="22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ascii="仿宋_GB2312" w:hAnsi="宋体" w:eastAsia="仿宋_GB2312" w:cs="宋体"/>
              </w:rPr>
              <w:t>5</w:t>
            </w:r>
            <w:r>
              <w:rPr>
                <w:rFonts w:hint="eastAsia" w:ascii="仿宋_GB2312" w:hAnsi="宋体" w:eastAsia="仿宋_GB2312" w:cs="宋体"/>
              </w:rPr>
              <w:t>～</w:t>
            </w:r>
            <w:r>
              <w:rPr>
                <w:rFonts w:ascii="仿宋_GB2312" w:hAnsi="宋体" w:eastAsia="仿宋_GB2312" w:cs="宋体"/>
              </w:rPr>
              <w:t>10</w:t>
            </w:r>
          </w:p>
        </w:tc>
        <w:tc>
          <w:tcPr>
            <w:tcW w:w="24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ascii="仿宋_GB2312" w:hAnsi="宋体" w:eastAsia="仿宋_GB2312" w:cs="宋体"/>
              </w:rPr>
              <w:t>0</w:t>
            </w:r>
            <w:r>
              <w:rPr>
                <w:rFonts w:hint="eastAsia" w:ascii="仿宋_GB2312" w:hAnsi="宋体" w:eastAsia="仿宋_GB2312" w:cs="宋体"/>
              </w:rPr>
              <w:t>～</w:t>
            </w:r>
            <w:r>
              <w:rPr>
                <w:rFonts w:ascii="仿宋_GB2312" w:hAnsi="宋体" w:eastAsia="仿宋_GB2312" w:cs="宋体"/>
              </w:rPr>
              <w:t>5</w:t>
            </w:r>
          </w:p>
        </w:tc>
        <w:tc>
          <w:tcPr>
            <w:tcW w:w="734"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034"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073"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r>
      <w:tr>
        <w:tblPrEx>
          <w:tblCellMar>
            <w:top w:w="0" w:type="dxa"/>
            <w:left w:w="108" w:type="dxa"/>
            <w:bottom w:w="0" w:type="dxa"/>
            <w:right w:w="108" w:type="dxa"/>
          </w:tblCellMar>
        </w:tblPrEx>
        <w:trPr>
          <w:trHeight w:val="908" w:hRule="atLeast"/>
          <w:jc w:val="center"/>
        </w:trPr>
        <w:tc>
          <w:tcPr>
            <w:tcW w:w="120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审核质量（0-40分）</w:t>
            </w:r>
          </w:p>
          <w:p>
            <w:pPr>
              <w:widowControl/>
              <w:spacing w:line="240" w:lineRule="exact"/>
              <w:jc w:val="center"/>
              <w:rPr>
                <w:rFonts w:ascii="仿宋_GB2312" w:hAnsi="宋体" w:eastAsia="仿宋_GB2312" w:cs="宋体"/>
              </w:rPr>
            </w:pPr>
            <w:r>
              <w:rPr>
                <w:rFonts w:hint="eastAsia" w:ascii="仿宋_GB2312" w:hAnsi="宋体" w:eastAsia="仿宋_GB2312" w:cs="宋体"/>
              </w:rPr>
              <w:t>扣分大于40分时，质量内控10分扣完</w:t>
            </w:r>
          </w:p>
          <w:p>
            <w:pPr>
              <w:widowControl/>
              <w:spacing w:line="240" w:lineRule="exact"/>
              <w:jc w:val="center"/>
              <w:rPr>
                <w:rFonts w:ascii="仿宋_GB2312" w:hAnsi="宋体" w:eastAsia="仿宋_GB2312" w:cs="宋体"/>
              </w:rPr>
            </w:pPr>
            <w:r>
              <w:rPr>
                <w:rFonts w:hint="eastAsia" w:ascii="仿宋_GB2312" w:hAnsi="宋体" w:eastAsia="仿宋_GB2312" w:cs="宋体"/>
              </w:rPr>
              <w:t>（送审价小于1000万元）</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误差绝对值金额</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小于等于5万元</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大于5万元小于等于10万元</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大于10万元小于等于30万元</w:t>
            </w:r>
          </w:p>
        </w:tc>
        <w:tc>
          <w:tcPr>
            <w:tcW w:w="119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大于30万元小于等于50万元</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大于50万元</w:t>
            </w: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751" w:hRule="atLeast"/>
          <w:jc w:val="center"/>
        </w:trPr>
        <w:tc>
          <w:tcPr>
            <w:tcW w:w="120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扣分</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-4</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-8</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-24</w:t>
            </w:r>
          </w:p>
        </w:tc>
        <w:tc>
          <w:tcPr>
            <w:tcW w:w="119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-40</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-40</w:t>
            </w: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20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审核质量（0-40分）</w:t>
            </w:r>
          </w:p>
          <w:p>
            <w:pPr>
              <w:widowControl/>
              <w:spacing w:line="240" w:lineRule="exact"/>
              <w:jc w:val="center"/>
              <w:rPr>
                <w:rFonts w:ascii="仿宋_GB2312" w:hAnsi="宋体" w:eastAsia="仿宋_GB2312" w:cs="宋体"/>
              </w:rPr>
            </w:pPr>
            <w:r>
              <w:rPr>
                <w:rFonts w:hint="eastAsia" w:ascii="仿宋_GB2312" w:hAnsi="宋体" w:eastAsia="仿宋_GB2312" w:cs="宋体"/>
              </w:rPr>
              <w:t>扣分大于40分时，质量内控10分扣完</w:t>
            </w:r>
          </w:p>
          <w:p>
            <w:pPr>
              <w:widowControl/>
              <w:spacing w:line="240" w:lineRule="exact"/>
              <w:jc w:val="center"/>
              <w:rPr>
                <w:rFonts w:ascii="仿宋_GB2312" w:hAnsi="宋体" w:eastAsia="仿宋_GB2312" w:cs="宋体"/>
              </w:rPr>
            </w:pPr>
            <w:r>
              <w:rPr>
                <w:rFonts w:hint="eastAsia" w:ascii="仿宋_GB2312" w:hAnsi="宋体" w:eastAsia="仿宋_GB2312" w:cs="宋体"/>
              </w:rPr>
              <w:t>（送审价大于1000万元）</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误差绝对值金额</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小于等于10万元</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大于10万元小于等于30万元</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大于30万元小于等于50万元</w:t>
            </w:r>
          </w:p>
        </w:tc>
        <w:tc>
          <w:tcPr>
            <w:tcW w:w="119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大于50万元小于等于100万元</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大于100万元</w:t>
            </w:r>
          </w:p>
        </w:tc>
        <w:tc>
          <w:tcPr>
            <w:tcW w:w="7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扣分</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-4</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-12</w:t>
            </w:r>
          </w:p>
        </w:tc>
        <w:tc>
          <w:tcPr>
            <w:tcW w:w="11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-20</w:t>
            </w:r>
          </w:p>
        </w:tc>
        <w:tc>
          <w:tcPr>
            <w:tcW w:w="119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-40</w:t>
            </w:r>
          </w:p>
        </w:tc>
        <w:tc>
          <w:tcPr>
            <w:tcW w:w="12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-40</w:t>
            </w:r>
          </w:p>
        </w:tc>
        <w:tc>
          <w:tcPr>
            <w:tcW w:w="73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034" w:type="dxa"/>
            <w:gridSpan w:val="2"/>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073"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质量内控（</w:t>
            </w:r>
            <w:r>
              <w:rPr>
                <w:rFonts w:ascii="仿宋_GB2312" w:hAnsi="宋体" w:eastAsia="仿宋_GB2312" w:cs="宋体"/>
              </w:rPr>
              <w:t>0-10</w:t>
            </w:r>
            <w:r>
              <w:rPr>
                <w:rFonts w:hint="eastAsia" w:ascii="仿宋_GB2312" w:hAnsi="宋体" w:eastAsia="仿宋_GB2312" w:cs="宋体"/>
              </w:rPr>
              <w:t>分）</w:t>
            </w: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严格履行投标文件承诺，质量内控程序执行到位，效果显著</w:t>
            </w:r>
          </w:p>
        </w:tc>
        <w:tc>
          <w:tcPr>
            <w:tcW w:w="222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基本履行投标文件承诺，质量内控程序执行基本到位，效果一般</w:t>
            </w:r>
          </w:p>
        </w:tc>
        <w:tc>
          <w:tcPr>
            <w:tcW w:w="24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质量内控程序执行流于形式，效果差</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7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ascii="仿宋_GB2312" w:hAnsi="宋体" w:eastAsia="仿宋_GB2312" w:cs="宋体"/>
              </w:rPr>
              <w:t>8</w:t>
            </w:r>
            <w:r>
              <w:rPr>
                <w:rFonts w:hint="eastAsia" w:ascii="仿宋_GB2312" w:hAnsi="宋体" w:eastAsia="仿宋_GB2312" w:cs="宋体"/>
              </w:rPr>
              <w:t>～</w:t>
            </w:r>
            <w:r>
              <w:rPr>
                <w:rFonts w:ascii="仿宋_GB2312" w:hAnsi="宋体" w:eastAsia="仿宋_GB2312" w:cs="宋体"/>
              </w:rPr>
              <w:t>10</w:t>
            </w:r>
          </w:p>
        </w:tc>
        <w:tc>
          <w:tcPr>
            <w:tcW w:w="2225"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ascii="仿宋_GB2312" w:hAnsi="宋体" w:eastAsia="仿宋_GB2312" w:cs="宋体"/>
              </w:rPr>
              <w:t>5</w:t>
            </w:r>
            <w:r>
              <w:rPr>
                <w:rFonts w:hint="eastAsia" w:ascii="仿宋_GB2312" w:hAnsi="宋体" w:eastAsia="仿宋_GB2312" w:cs="宋体"/>
              </w:rPr>
              <w:t>～</w:t>
            </w:r>
            <w:r>
              <w:rPr>
                <w:rFonts w:ascii="仿宋_GB2312" w:hAnsi="宋体" w:eastAsia="仿宋_GB2312" w:cs="宋体"/>
              </w:rPr>
              <w:t>7</w:t>
            </w:r>
          </w:p>
        </w:tc>
        <w:tc>
          <w:tcPr>
            <w:tcW w:w="2459"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ascii="仿宋_GB2312" w:hAnsi="宋体" w:eastAsia="仿宋_GB2312" w:cs="宋体"/>
              </w:rPr>
              <w:t>0</w:t>
            </w:r>
            <w:r>
              <w:rPr>
                <w:rFonts w:hint="eastAsia" w:ascii="仿宋_GB2312" w:hAnsi="宋体" w:eastAsia="仿宋_GB2312" w:cs="宋体"/>
              </w:rPr>
              <w:t>～</w:t>
            </w:r>
            <w:r>
              <w:rPr>
                <w:rFonts w:ascii="仿宋_GB2312" w:hAnsi="宋体" w:eastAsia="仿宋_GB2312" w:cs="宋体"/>
              </w:rPr>
              <w:t>4</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0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07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审核时限（</w:t>
            </w:r>
            <w:r>
              <w:rPr>
                <w:rFonts w:ascii="仿宋_GB2312" w:hAnsi="宋体" w:eastAsia="仿宋_GB2312" w:cs="宋体"/>
              </w:rPr>
              <w:t>0-20</w:t>
            </w:r>
            <w:r>
              <w:rPr>
                <w:rFonts w:hint="eastAsia" w:ascii="仿宋_GB2312" w:hAnsi="宋体" w:eastAsia="仿宋_GB2312" w:cs="宋体"/>
              </w:rPr>
              <w:t>分）</w:t>
            </w:r>
          </w:p>
        </w:tc>
        <w:tc>
          <w:tcPr>
            <w:tcW w:w="170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协审单位原因结算审核延误（天）</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w:t>
            </w:r>
            <w:r>
              <w:rPr>
                <w:rFonts w:ascii="仿宋_GB2312" w:eastAsia="仿宋_GB2312"/>
              </w:rPr>
              <w:t>15</w:t>
            </w:r>
          </w:p>
        </w:tc>
        <w:tc>
          <w:tcPr>
            <w:tcW w:w="14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ascii="仿宋_GB2312" w:eastAsia="仿宋_GB2312"/>
              </w:rPr>
              <w:t>15</w:t>
            </w:r>
            <w:r>
              <w:rPr>
                <w:rFonts w:hint="eastAsia" w:ascii="仿宋_GB2312" w:hAnsi="宋体" w:eastAsia="仿宋_GB2312"/>
              </w:rPr>
              <w:t>～</w:t>
            </w:r>
            <w:r>
              <w:rPr>
                <w:rFonts w:hint="eastAsia" w:ascii="仿宋_GB2312" w:eastAsia="仿宋_GB2312"/>
              </w:rPr>
              <w:t>30</w:t>
            </w:r>
          </w:p>
        </w:tc>
        <w:tc>
          <w:tcPr>
            <w:tcW w:w="210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ascii="仿宋_GB2312" w:eastAsia="仿宋_GB2312"/>
              </w:rPr>
              <w:t>&gt;30</w:t>
            </w:r>
          </w:p>
        </w:tc>
        <w:tc>
          <w:tcPr>
            <w:tcW w:w="73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　</w:t>
            </w:r>
          </w:p>
        </w:tc>
        <w:tc>
          <w:tcPr>
            <w:tcW w:w="1073"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70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积分</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ascii="仿宋_GB2312" w:eastAsia="仿宋_GB2312"/>
              </w:rPr>
              <w:t>-5</w:t>
            </w:r>
          </w:p>
        </w:tc>
        <w:tc>
          <w:tcPr>
            <w:tcW w:w="14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ascii="仿宋_GB2312" w:eastAsia="仿宋_GB2312"/>
              </w:rPr>
              <w:t>-10</w:t>
            </w:r>
          </w:p>
        </w:tc>
        <w:tc>
          <w:tcPr>
            <w:tcW w:w="210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ascii="仿宋_GB2312" w:eastAsia="仿宋_GB2312"/>
              </w:rPr>
              <w:t>-20</w:t>
            </w:r>
          </w:p>
        </w:tc>
        <w:tc>
          <w:tcPr>
            <w:tcW w:w="7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0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0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rPr>
            </w:pPr>
            <w:r>
              <w:rPr>
                <w:rFonts w:hint="eastAsia" w:ascii="仿宋_GB2312" w:hAnsi="宋体" w:eastAsia="仿宋_GB2312" w:cs="宋体"/>
                <w:b/>
                <w:bCs/>
              </w:rPr>
              <w:t>项目考评得分</w:t>
            </w: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三级评分</w:t>
            </w:r>
          </w:p>
        </w:tc>
        <w:tc>
          <w:tcPr>
            <w:tcW w:w="7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rPr>
            </w:pPr>
          </w:p>
        </w:tc>
        <w:tc>
          <w:tcPr>
            <w:tcW w:w="1034"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宋体"/>
                <w:b/>
                <w:bCs/>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p>
            <w:pPr>
              <w:widowControl/>
              <w:spacing w:line="240" w:lineRule="exact"/>
              <w:jc w:val="center"/>
              <w:rPr>
                <w:rFonts w:ascii="仿宋_GB2312" w:hAnsi="宋体" w:eastAsia="仿宋_GB2312" w:cs="宋体"/>
              </w:rPr>
            </w:pPr>
          </w:p>
          <w:p>
            <w:pPr>
              <w:widowControl/>
              <w:spacing w:line="240" w:lineRule="exact"/>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复核时限（</w:t>
            </w:r>
            <w:r>
              <w:rPr>
                <w:rFonts w:ascii="仿宋_GB2312" w:hAnsi="宋体" w:eastAsia="仿宋_GB2312" w:cs="宋体"/>
              </w:rPr>
              <w:t>0-20</w:t>
            </w:r>
            <w:r>
              <w:rPr>
                <w:rFonts w:hint="eastAsia" w:ascii="仿宋_GB2312" w:hAnsi="宋体" w:eastAsia="仿宋_GB2312" w:cs="宋体"/>
              </w:rPr>
              <w:t>分）</w:t>
            </w:r>
          </w:p>
        </w:tc>
        <w:tc>
          <w:tcPr>
            <w:tcW w:w="170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协审单位复核调整延误（天）</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7</w:t>
            </w:r>
            <w:r>
              <w:rPr>
                <w:rFonts w:hint="eastAsia" w:ascii="仿宋_GB2312" w:hAnsi="宋体" w:eastAsia="仿宋_GB2312"/>
              </w:rPr>
              <w:t>～15</w:t>
            </w:r>
          </w:p>
        </w:tc>
        <w:tc>
          <w:tcPr>
            <w:tcW w:w="14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ascii="仿宋_GB2312" w:eastAsia="仿宋_GB2312"/>
              </w:rPr>
              <w:t>15</w:t>
            </w:r>
            <w:r>
              <w:rPr>
                <w:rFonts w:hint="eastAsia" w:ascii="仿宋_GB2312" w:hAnsi="宋体" w:eastAsia="仿宋_GB2312"/>
              </w:rPr>
              <w:t>～</w:t>
            </w:r>
            <w:r>
              <w:rPr>
                <w:rFonts w:hint="eastAsia" w:ascii="仿宋_GB2312" w:eastAsia="仿宋_GB2312"/>
              </w:rPr>
              <w:t>30</w:t>
            </w:r>
          </w:p>
        </w:tc>
        <w:tc>
          <w:tcPr>
            <w:tcW w:w="210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ascii="仿宋_GB2312" w:eastAsia="仿宋_GB2312"/>
              </w:rPr>
              <w:t>&gt;30</w:t>
            </w:r>
          </w:p>
        </w:tc>
        <w:tc>
          <w:tcPr>
            <w:tcW w:w="73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p>
        </w:tc>
        <w:tc>
          <w:tcPr>
            <w:tcW w:w="1034"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　</w:t>
            </w:r>
          </w:p>
        </w:tc>
        <w:tc>
          <w:tcPr>
            <w:tcW w:w="1073"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70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积分</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ascii="仿宋_GB2312" w:eastAsia="仿宋_GB2312"/>
              </w:rPr>
              <w:t>-5</w:t>
            </w:r>
          </w:p>
        </w:tc>
        <w:tc>
          <w:tcPr>
            <w:tcW w:w="14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ascii="仿宋_GB2312" w:eastAsia="仿宋_GB2312"/>
              </w:rPr>
              <w:t>-10</w:t>
            </w:r>
          </w:p>
        </w:tc>
        <w:tc>
          <w:tcPr>
            <w:tcW w:w="210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ascii="仿宋_GB2312" w:eastAsia="仿宋_GB2312"/>
              </w:rPr>
              <w:t>-20</w:t>
            </w:r>
          </w:p>
        </w:tc>
        <w:tc>
          <w:tcPr>
            <w:tcW w:w="7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0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c>
          <w:tcPr>
            <w:tcW w:w="10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rPr>
            </w:pP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rPr>
            </w:pPr>
            <w:r>
              <w:rPr>
                <w:rFonts w:hint="eastAsia" w:ascii="仿宋_GB2312" w:hAnsi="宋体" w:eastAsia="仿宋_GB2312" w:cs="宋体"/>
                <w:b/>
                <w:bCs/>
              </w:rPr>
              <w:t>项目综合考评得分</w:t>
            </w:r>
          </w:p>
        </w:tc>
        <w:tc>
          <w:tcPr>
            <w:tcW w:w="6389"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宋体" w:eastAsia="仿宋_GB2312" w:cs="宋体"/>
              </w:rPr>
            </w:pPr>
            <w:r>
              <w:rPr>
                <w:rFonts w:hint="eastAsia" w:ascii="仿宋_GB2312" w:hAnsi="宋体" w:eastAsia="仿宋_GB2312" w:cs="宋体"/>
              </w:rPr>
              <w:t>　</w:t>
            </w:r>
            <w:r>
              <w:rPr>
                <w:rFonts w:hint="eastAsia" w:ascii="仿宋_GB2312" w:hAnsi="宋体" w:eastAsia="仿宋_GB2312" w:cs="宋体"/>
                <w:b/>
                <w:bCs/>
              </w:rPr>
              <w:t>最终评定等级</w:t>
            </w:r>
          </w:p>
        </w:tc>
        <w:tc>
          <w:tcPr>
            <w:tcW w:w="2841"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rPr>
            </w:pPr>
          </w:p>
          <w:p>
            <w:pPr>
              <w:widowControl/>
              <w:spacing w:line="240" w:lineRule="exact"/>
              <w:jc w:val="center"/>
              <w:rPr>
                <w:rFonts w:ascii="仿宋_GB2312" w:hAnsi="宋体" w:eastAsia="仿宋_GB2312" w:cs="宋体"/>
              </w:rPr>
            </w:pPr>
          </w:p>
          <w:p>
            <w:pPr>
              <w:widowControl/>
              <w:spacing w:line="240" w:lineRule="exact"/>
              <w:rPr>
                <w:rFonts w:ascii="仿宋_GB2312" w:hAnsi="宋体" w:eastAsia="仿宋_GB2312" w:cs="宋体"/>
              </w:rPr>
            </w:pPr>
          </w:p>
        </w:tc>
      </w:tr>
      <w:tr>
        <w:tblPrEx>
          <w:tblCellMar>
            <w:top w:w="0" w:type="dxa"/>
            <w:left w:w="108" w:type="dxa"/>
            <w:bottom w:w="0" w:type="dxa"/>
            <w:right w:w="108" w:type="dxa"/>
          </w:tblCellMar>
        </w:tblPrEx>
        <w:trPr>
          <w:trHeight w:val="428" w:hRule="atLeast"/>
          <w:jc w:val="center"/>
        </w:trPr>
        <w:tc>
          <w:tcPr>
            <w:tcW w:w="10430" w:type="dxa"/>
            <w:gridSpan w:val="15"/>
            <w:tcBorders>
              <w:top w:val="nil"/>
              <w:left w:val="nil"/>
              <w:bottom w:val="nil"/>
              <w:right w:val="nil"/>
            </w:tcBorders>
            <w:vAlign w:val="bottom"/>
          </w:tcPr>
          <w:p>
            <w:pPr>
              <w:widowControl/>
              <w:spacing w:line="240" w:lineRule="exact"/>
              <w:jc w:val="left"/>
              <w:rPr>
                <w:rFonts w:ascii="仿宋_GB2312" w:hAnsi="宋体" w:eastAsia="仿宋_GB2312" w:cs="宋体"/>
                <w:b/>
                <w:bCs/>
              </w:rPr>
            </w:pPr>
            <w:r>
              <w:rPr>
                <w:rFonts w:hint="eastAsia" w:ascii="仿宋_GB2312" w:hAnsi="宋体" w:eastAsia="仿宋_GB2312" w:cs="宋体"/>
                <w:b/>
                <w:bCs/>
              </w:rPr>
              <w:t>备注：</w:t>
            </w:r>
            <w:r>
              <w:rPr>
                <w:rFonts w:ascii="仿宋_GB2312" w:hAnsi="宋体" w:eastAsia="仿宋_GB2312" w:cs="宋体"/>
                <w:b/>
                <w:bCs/>
              </w:rPr>
              <w:t>1</w:t>
            </w:r>
            <w:r>
              <w:rPr>
                <w:rFonts w:hint="eastAsia" w:ascii="仿宋_GB2312" w:hAnsi="宋体" w:eastAsia="仿宋_GB2312" w:cs="宋体"/>
                <w:b/>
                <w:bCs/>
              </w:rPr>
              <w:t>、评定等级考核分数</w:t>
            </w:r>
            <w:r>
              <w:rPr>
                <w:rFonts w:hint="eastAsia" w:ascii="仿宋_GB2312" w:hAnsi="宋体" w:cs="宋体"/>
                <w:b/>
                <w:bCs/>
              </w:rPr>
              <w:t>≧</w:t>
            </w:r>
            <w:r>
              <w:rPr>
                <w:rFonts w:ascii="仿宋_GB2312" w:hAnsi="宋体" w:eastAsia="仿宋_GB2312" w:cs="宋体"/>
                <w:b/>
                <w:bCs/>
              </w:rPr>
              <w:t>90</w:t>
            </w:r>
            <w:r>
              <w:rPr>
                <w:rFonts w:hint="eastAsia" w:ascii="仿宋_GB2312" w:hAnsi="宋体" w:eastAsia="仿宋_GB2312" w:cs="宋体"/>
                <w:b/>
                <w:bCs/>
              </w:rPr>
              <w:t>分为优秀，</w:t>
            </w:r>
            <w:r>
              <w:rPr>
                <w:rFonts w:ascii="仿宋_GB2312" w:hAnsi="宋体" w:eastAsia="仿宋_GB2312" w:cs="宋体"/>
                <w:b/>
                <w:bCs/>
              </w:rPr>
              <w:t>&lt;60</w:t>
            </w:r>
            <w:r>
              <w:rPr>
                <w:rFonts w:hint="eastAsia" w:ascii="仿宋_GB2312" w:hAnsi="宋体" w:eastAsia="仿宋_GB2312" w:cs="宋体"/>
                <w:b/>
                <w:bCs/>
              </w:rPr>
              <w:t>为不合格，其余为合格。</w:t>
            </w:r>
          </w:p>
          <w:p>
            <w:pPr>
              <w:widowControl/>
              <w:spacing w:line="240" w:lineRule="exact"/>
              <w:jc w:val="left"/>
              <w:rPr>
                <w:rFonts w:ascii="仿宋_GB2312" w:hAnsi="宋体" w:eastAsia="仿宋_GB2312" w:cs="宋体"/>
                <w:b/>
                <w:bCs/>
              </w:rPr>
            </w:pPr>
            <w:r>
              <w:rPr>
                <w:rFonts w:hint="eastAsia" w:ascii="仿宋_GB2312" w:hAnsi="宋体" w:eastAsia="仿宋_GB2312" w:cs="宋体"/>
                <w:b/>
                <w:bCs/>
              </w:rPr>
              <w:t xml:space="preserve">      2、单个项目中审核质量考核扣分10-30分之间的予以警告，协审人员（指协审单位的审核人、复核人员、项目负责人）各亮黄牌1枚；单个项目中审核质量考核扣分30-40分之间分的予以严重警告，协审人员（指协审单位的审核人、复核人员、项目负责人）各亮黄牌2枚；每位协审人员累计得3枚黄牌的，直接取消协审人员资格；上述情况，在相关网站或联络群加以通报；</w:t>
            </w:r>
          </w:p>
          <w:p>
            <w:pPr>
              <w:widowControl/>
              <w:spacing w:line="240" w:lineRule="exact"/>
              <w:jc w:val="left"/>
              <w:rPr>
                <w:rFonts w:ascii="仿宋_GB2312" w:hAnsi="宋体" w:eastAsia="仿宋_GB2312" w:cs="宋体"/>
                <w:b/>
                <w:bCs/>
              </w:rPr>
            </w:pPr>
            <w:r>
              <w:rPr>
                <w:rFonts w:hint="eastAsia" w:ascii="仿宋_GB2312" w:hAnsi="宋体" w:eastAsia="仿宋_GB2312" w:cs="宋体"/>
                <w:b/>
                <w:bCs/>
              </w:rPr>
              <w:t xml:space="preserve">      3、根据考核结果，对协审单位在月度和年度排名前六名的，在项目奖励时予以优先考虑。</w:t>
            </w:r>
          </w:p>
        </w:tc>
      </w:tr>
    </w:tbl>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tbl>
      <w:tblPr>
        <w:tblStyle w:val="65"/>
        <w:tblpPr w:leftFromText="180" w:rightFromText="180" w:vertAnchor="text" w:horzAnchor="margin" w:tblpXSpec="center" w:tblpY="157"/>
        <w:tblOverlap w:val="never"/>
        <w:tblW w:w="10314" w:type="dxa"/>
        <w:tblInd w:w="0" w:type="dxa"/>
        <w:tblLayout w:type="fixed"/>
        <w:tblCellMar>
          <w:top w:w="0" w:type="dxa"/>
          <w:left w:w="108" w:type="dxa"/>
          <w:bottom w:w="0" w:type="dxa"/>
          <w:right w:w="108" w:type="dxa"/>
        </w:tblCellMar>
      </w:tblPr>
      <w:tblGrid>
        <w:gridCol w:w="1372"/>
        <w:gridCol w:w="921"/>
        <w:gridCol w:w="460"/>
        <w:gridCol w:w="461"/>
        <w:gridCol w:w="13"/>
        <w:gridCol w:w="910"/>
        <w:gridCol w:w="791"/>
        <w:gridCol w:w="131"/>
        <w:gridCol w:w="461"/>
        <w:gridCol w:w="461"/>
        <w:gridCol w:w="790"/>
        <w:gridCol w:w="133"/>
        <w:gridCol w:w="1139"/>
        <w:gridCol w:w="429"/>
        <w:gridCol w:w="706"/>
        <w:gridCol w:w="1136"/>
      </w:tblGrid>
      <w:tr>
        <w:tblPrEx>
          <w:tblCellMar>
            <w:top w:w="0" w:type="dxa"/>
            <w:left w:w="108" w:type="dxa"/>
            <w:bottom w:w="0" w:type="dxa"/>
            <w:right w:w="108" w:type="dxa"/>
          </w:tblCellMar>
        </w:tblPrEx>
        <w:trPr>
          <w:trHeight w:val="468" w:hRule="atLeast"/>
        </w:trPr>
        <w:tc>
          <w:tcPr>
            <w:tcW w:w="10314" w:type="dxa"/>
            <w:gridSpan w:val="16"/>
            <w:tcBorders>
              <w:top w:val="nil"/>
              <w:left w:val="nil"/>
              <w:bottom w:val="nil"/>
              <w:right w:val="nil"/>
            </w:tcBorders>
            <w:vAlign w:val="center"/>
          </w:tcPr>
          <w:p>
            <w:pPr>
              <w:widowControl/>
              <w:jc w:val="center"/>
              <w:rPr>
                <w:rFonts w:ascii="仿宋_GB2312" w:hAnsi="宋体" w:eastAsia="仿宋_GB2312" w:cs="宋体"/>
                <w:bCs/>
                <w:sz w:val="36"/>
                <w:szCs w:val="36"/>
              </w:rPr>
            </w:pPr>
            <w:r>
              <w:rPr>
                <w:rFonts w:hint="eastAsia" w:ascii="宋体" w:hAnsi="宋体" w:cs="宋体"/>
                <w:bCs/>
                <w:sz w:val="36"/>
                <w:szCs w:val="36"/>
              </w:rPr>
              <w:t>协审单位业务考核表（预算审核）</w:t>
            </w:r>
          </w:p>
        </w:tc>
      </w:tr>
      <w:tr>
        <w:tblPrEx>
          <w:tblCellMar>
            <w:top w:w="0" w:type="dxa"/>
            <w:left w:w="108" w:type="dxa"/>
            <w:bottom w:w="0" w:type="dxa"/>
            <w:right w:w="108" w:type="dxa"/>
          </w:tblCellMar>
        </w:tblPrEx>
        <w:trPr>
          <w:trHeight w:val="315" w:hRule="atLeast"/>
        </w:trPr>
        <w:tc>
          <w:tcPr>
            <w:tcW w:w="10314" w:type="dxa"/>
            <w:gridSpan w:val="16"/>
            <w:tcBorders>
              <w:top w:val="nil"/>
              <w:left w:val="nil"/>
              <w:bottom w:val="single" w:color="auto" w:sz="4" w:space="0"/>
              <w:right w:val="nil"/>
            </w:tcBorders>
            <w:vAlign w:val="center"/>
          </w:tcPr>
          <w:p>
            <w:pPr>
              <w:widowControl/>
              <w:jc w:val="left"/>
              <w:rPr>
                <w:rFonts w:ascii="仿宋_GB2312" w:hAnsi="仿宋" w:eastAsia="仿宋_GB2312" w:cs="宋体"/>
              </w:rPr>
            </w:pPr>
            <w:r>
              <w:rPr>
                <w:rFonts w:hint="eastAsia" w:ascii="仿宋_GB2312" w:hAnsi="仿宋" w:eastAsia="仿宋_GB2312" w:cs="宋体"/>
              </w:rPr>
              <w:t>项目名称：</w:t>
            </w:r>
          </w:p>
        </w:tc>
      </w:tr>
      <w:tr>
        <w:tblPrEx>
          <w:tblCellMar>
            <w:top w:w="0" w:type="dxa"/>
            <w:left w:w="108" w:type="dxa"/>
            <w:bottom w:w="0" w:type="dxa"/>
            <w:right w:w="108" w:type="dxa"/>
          </w:tblCellMar>
        </w:tblPrEx>
        <w:trPr>
          <w:trHeight w:val="539" w:hRule="atLeast"/>
        </w:trPr>
        <w:tc>
          <w:tcPr>
            <w:tcW w:w="137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项目编号</w:t>
            </w:r>
          </w:p>
        </w:tc>
        <w:tc>
          <w:tcPr>
            <w:tcW w:w="185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建设单位</w:t>
            </w:r>
          </w:p>
        </w:tc>
        <w:tc>
          <w:tcPr>
            <w:tcW w:w="18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7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协审单位</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39" w:hRule="atLeast"/>
        </w:trPr>
        <w:tc>
          <w:tcPr>
            <w:tcW w:w="137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委托日期</w:t>
            </w:r>
          </w:p>
        </w:tc>
        <w:tc>
          <w:tcPr>
            <w:tcW w:w="185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要求完成日期</w:t>
            </w:r>
          </w:p>
        </w:tc>
        <w:tc>
          <w:tcPr>
            <w:tcW w:w="18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7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实际完成日期</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39" w:hRule="atLeast"/>
        </w:trPr>
        <w:tc>
          <w:tcPr>
            <w:tcW w:w="137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送审造价</w:t>
            </w:r>
          </w:p>
        </w:tc>
        <w:tc>
          <w:tcPr>
            <w:tcW w:w="185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审定造价</w:t>
            </w:r>
          </w:p>
        </w:tc>
        <w:tc>
          <w:tcPr>
            <w:tcW w:w="18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rPr>
            </w:pPr>
          </w:p>
        </w:tc>
        <w:tc>
          <w:tcPr>
            <w:tcW w:w="17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核增（减）造价（±）</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39" w:hRule="atLeast"/>
        </w:trPr>
        <w:tc>
          <w:tcPr>
            <w:tcW w:w="137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复核后批复造价</w:t>
            </w:r>
          </w:p>
        </w:tc>
        <w:tc>
          <w:tcPr>
            <w:tcW w:w="185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rPr>
            </w:pPr>
          </w:p>
        </w:tc>
        <w:tc>
          <w:tcPr>
            <w:tcW w:w="1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复核增（减）</w:t>
            </w:r>
          </w:p>
          <w:p>
            <w:pPr>
              <w:widowControl/>
              <w:spacing w:line="240" w:lineRule="exact"/>
              <w:jc w:val="center"/>
              <w:rPr>
                <w:rFonts w:ascii="仿宋_GB2312" w:hAnsi="仿宋" w:eastAsia="仿宋_GB2312" w:cs="宋体"/>
              </w:rPr>
            </w:pPr>
            <w:r>
              <w:rPr>
                <w:rFonts w:hint="eastAsia" w:ascii="仿宋_GB2312" w:hAnsi="仿宋" w:eastAsia="仿宋_GB2312" w:cs="宋体"/>
              </w:rPr>
              <w:t>造价（±）</w:t>
            </w:r>
          </w:p>
        </w:tc>
        <w:tc>
          <w:tcPr>
            <w:tcW w:w="18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rPr>
            </w:pPr>
          </w:p>
        </w:tc>
        <w:tc>
          <w:tcPr>
            <w:tcW w:w="17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复核误差率</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39" w:hRule="atLeast"/>
        </w:trPr>
        <w:tc>
          <w:tcPr>
            <w:tcW w:w="137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项目审核组人员及分工</w:t>
            </w:r>
          </w:p>
        </w:tc>
        <w:tc>
          <w:tcPr>
            <w:tcW w:w="8942" w:type="dxa"/>
            <w:gridSpan w:val="1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39" w:hRule="atLeast"/>
        </w:trPr>
        <w:tc>
          <w:tcPr>
            <w:tcW w:w="137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备注</w:t>
            </w:r>
          </w:p>
        </w:tc>
        <w:tc>
          <w:tcPr>
            <w:tcW w:w="8942" w:type="dxa"/>
            <w:gridSpan w:val="1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425" w:hRule="atLeast"/>
        </w:trPr>
        <w:tc>
          <w:tcPr>
            <w:tcW w:w="10314" w:type="dxa"/>
            <w:gridSpan w:val="1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b/>
                <w:bCs/>
              </w:rPr>
            </w:pPr>
            <w:r>
              <w:rPr>
                <w:rFonts w:hint="eastAsia" w:ascii="仿宋_GB2312" w:hAnsi="仿宋" w:eastAsia="仿宋_GB2312" w:cs="宋体"/>
                <w:b/>
                <w:bCs/>
              </w:rPr>
              <w:t>考核情况</w:t>
            </w:r>
          </w:p>
        </w:tc>
      </w:tr>
      <w:tr>
        <w:tblPrEx>
          <w:tblCellMar>
            <w:top w:w="0" w:type="dxa"/>
            <w:left w:w="108" w:type="dxa"/>
            <w:bottom w:w="0" w:type="dxa"/>
            <w:right w:w="108" w:type="dxa"/>
          </w:tblCellMar>
        </w:tblPrEx>
        <w:trPr>
          <w:trHeight w:val="428" w:hRule="atLeast"/>
        </w:trPr>
        <w:tc>
          <w:tcPr>
            <w:tcW w:w="137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b/>
                <w:bCs/>
              </w:rPr>
            </w:pPr>
            <w:r>
              <w:rPr>
                <w:rFonts w:hint="eastAsia" w:ascii="仿宋_GB2312" w:hAnsi="仿宋" w:eastAsia="仿宋_GB2312" w:cs="宋体"/>
                <w:b/>
                <w:bCs/>
              </w:rPr>
              <w:t>考核项目</w:t>
            </w:r>
          </w:p>
        </w:tc>
        <w:tc>
          <w:tcPr>
            <w:tcW w:w="553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b/>
                <w:bCs/>
              </w:rPr>
            </w:pPr>
            <w:r>
              <w:rPr>
                <w:rFonts w:hint="eastAsia" w:ascii="仿宋_GB2312" w:hAnsi="仿宋" w:eastAsia="仿宋_GB2312" w:cs="宋体"/>
                <w:b/>
                <w:bCs/>
              </w:rPr>
              <w:t>考核内容</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b/>
                <w:bCs/>
              </w:rPr>
            </w:pPr>
            <w:r>
              <w:rPr>
                <w:rFonts w:hint="eastAsia" w:ascii="仿宋_GB2312" w:hAnsi="仿宋" w:eastAsia="仿宋_GB2312" w:cs="宋体"/>
                <w:b/>
                <w:bCs/>
              </w:rPr>
              <w:t>自评分</w:t>
            </w: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b/>
                <w:bCs/>
              </w:rPr>
            </w:pPr>
            <w:r>
              <w:rPr>
                <w:rFonts w:hint="eastAsia" w:ascii="仿宋_GB2312" w:hAnsi="仿宋" w:eastAsia="仿宋_GB2312" w:cs="宋体"/>
                <w:b/>
                <w:bCs/>
              </w:rPr>
              <w:t>组评分</w:t>
            </w: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b/>
                <w:bCs/>
              </w:rPr>
            </w:pPr>
            <w:r>
              <w:rPr>
                <w:rFonts w:hint="eastAsia" w:ascii="仿宋_GB2312" w:hAnsi="仿宋" w:eastAsia="仿宋_GB2312" w:cs="宋体"/>
                <w:b/>
                <w:bCs/>
              </w:rPr>
              <w:t>复核评分</w:t>
            </w:r>
          </w:p>
        </w:tc>
      </w:tr>
      <w:tr>
        <w:tblPrEx>
          <w:tblCellMar>
            <w:top w:w="0" w:type="dxa"/>
            <w:left w:w="108" w:type="dxa"/>
            <w:bottom w:w="0" w:type="dxa"/>
            <w:right w:w="108" w:type="dxa"/>
          </w:tblCellMar>
        </w:tblPrEx>
        <w:trPr>
          <w:trHeight w:val="539" w:hRule="atLeast"/>
        </w:trPr>
        <w:tc>
          <w:tcPr>
            <w:tcW w:w="1372"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基础工作</w:t>
            </w:r>
            <w:r>
              <w:rPr>
                <w:rFonts w:hint="eastAsia" w:ascii="仿宋_GB2312" w:hAnsi="仿宋" w:eastAsia="仿宋_GB2312" w:cs="宋体"/>
              </w:rPr>
              <w:br w:type="textWrapping"/>
            </w:r>
            <w:r>
              <w:rPr>
                <w:rFonts w:hint="eastAsia" w:ascii="仿宋_GB2312" w:hAnsi="仿宋" w:eastAsia="仿宋_GB2312" w:cs="宋体"/>
              </w:rPr>
              <w:t>（0-25分）</w:t>
            </w:r>
          </w:p>
        </w:tc>
        <w:tc>
          <w:tcPr>
            <w:tcW w:w="5532" w:type="dxa"/>
            <w:gridSpan w:val="11"/>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项目信息、工作底稿、审核成果等资料上传审核管理系统的规范性、完整性、及时性（2分）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审核人员配合及时（2分）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审核人员具备相应执业资格，专业对口（1分）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审核结论是否超出项目批准概算或项目资金安排（1分）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工程量审核准确性（2分）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有无漏项（2分）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　</w:t>
            </w: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工程取费是否正确（1分）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　</w:t>
            </w: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材料和设备价格暂定、取定是否合理（2分）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项目特征描述准确性、完整性（3分）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定额套用及换算有否错误（3分）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　</w:t>
            </w: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信息价输入是否准确（2分）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质量内控是否执行到位（2分）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10" w:hRule="exact"/>
        </w:trPr>
        <w:tc>
          <w:tcPr>
            <w:tcW w:w="1372" w:type="dxa"/>
            <w:vMerge w:val="continue"/>
            <w:tcBorders>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5532" w:type="dxa"/>
            <w:gridSpan w:val="11"/>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资料归档的规范性、及时性、完整性（2分）</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1550" w:hRule="atLeast"/>
        </w:trPr>
        <w:tc>
          <w:tcPr>
            <w:tcW w:w="13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审核意见</w:t>
            </w:r>
            <w:r>
              <w:rPr>
                <w:rFonts w:hint="eastAsia" w:ascii="仿宋_GB2312" w:hAnsi="仿宋" w:eastAsia="仿宋_GB2312" w:cs="宋体"/>
              </w:rPr>
              <w:br w:type="textWrapping"/>
            </w:r>
            <w:r>
              <w:rPr>
                <w:rFonts w:hint="eastAsia" w:ascii="仿宋_GB2312" w:hAnsi="仿宋" w:eastAsia="仿宋_GB2312" w:cs="宋体"/>
              </w:rPr>
              <w:t>（0-15分）</w:t>
            </w:r>
          </w:p>
        </w:tc>
        <w:tc>
          <w:tcPr>
            <w:tcW w:w="184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严格按照财政要求撰写意见，审核结果评价全面透彻，查找问题能力强，问题定性准确，建议到位</w:t>
            </w:r>
          </w:p>
        </w:tc>
        <w:tc>
          <w:tcPr>
            <w:tcW w:w="184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能够按照财政要求撰写意见，审核结果评价基本全面，基本问题能够发现，并能提出一定合理建议</w:t>
            </w:r>
          </w:p>
        </w:tc>
        <w:tc>
          <w:tcPr>
            <w:tcW w:w="184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没有按照财政要求撰写意见，审核结果评价没有深度</w:t>
            </w:r>
          </w:p>
        </w:tc>
        <w:tc>
          <w:tcPr>
            <w:tcW w:w="11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vMerge w:val="restart"/>
            <w:tcBorders>
              <w:top w:val="nil"/>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　</w:t>
            </w:r>
          </w:p>
        </w:tc>
      </w:tr>
      <w:tr>
        <w:tblPrEx>
          <w:tblCellMar>
            <w:top w:w="0" w:type="dxa"/>
            <w:left w:w="108" w:type="dxa"/>
            <w:bottom w:w="0" w:type="dxa"/>
            <w:right w:w="108" w:type="dxa"/>
          </w:tblCellMar>
        </w:tblPrEx>
        <w:trPr>
          <w:trHeight w:val="497" w:hRule="atLeast"/>
        </w:trPr>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84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10～15分</w:t>
            </w:r>
          </w:p>
        </w:tc>
        <w:tc>
          <w:tcPr>
            <w:tcW w:w="184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5～10分</w:t>
            </w:r>
          </w:p>
        </w:tc>
        <w:tc>
          <w:tcPr>
            <w:tcW w:w="184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0～5分</w:t>
            </w:r>
          </w:p>
        </w:tc>
        <w:tc>
          <w:tcPr>
            <w:tcW w:w="113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宋体"/>
              </w:rPr>
            </w:pPr>
          </w:p>
        </w:tc>
      </w:tr>
      <w:tr>
        <w:tblPrEx>
          <w:tblCellMar>
            <w:top w:w="0" w:type="dxa"/>
            <w:left w:w="108" w:type="dxa"/>
            <w:bottom w:w="0" w:type="dxa"/>
            <w:right w:w="108" w:type="dxa"/>
          </w:tblCellMar>
        </w:tblPrEx>
        <w:trPr>
          <w:trHeight w:val="1123" w:hRule="atLeast"/>
        </w:trPr>
        <w:tc>
          <w:tcPr>
            <w:tcW w:w="13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审核质量（0-40分）</w:t>
            </w:r>
          </w:p>
          <w:p>
            <w:pPr>
              <w:widowControl/>
              <w:spacing w:line="240" w:lineRule="exact"/>
              <w:jc w:val="center"/>
              <w:rPr>
                <w:rFonts w:ascii="仿宋_GB2312" w:hAnsi="仿宋" w:eastAsia="仿宋_GB2312" w:cs="宋体"/>
              </w:rPr>
            </w:pPr>
            <w:r>
              <w:rPr>
                <w:rFonts w:hint="eastAsia" w:ascii="仿宋_GB2312" w:hAnsi="仿宋" w:eastAsia="仿宋_GB2312" w:cs="宋体"/>
              </w:rPr>
              <w:t>（送审价小于1000万元）</w:t>
            </w:r>
          </w:p>
        </w:tc>
        <w:tc>
          <w:tcPr>
            <w:tcW w:w="9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szCs w:val="32"/>
              </w:rPr>
              <w:t>误差绝对值金额</w:t>
            </w:r>
          </w:p>
        </w:tc>
        <w:tc>
          <w:tcPr>
            <w:tcW w:w="9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小于等于5万元</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rPr>
            </w:pPr>
            <w:r>
              <w:rPr>
                <w:rFonts w:hint="eastAsia" w:ascii="仿宋_GB2312" w:hAnsi="仿宋" w:eastAsia="仿宋_GB2312" w:cs="宋体"/>
                <w:szCs w:val="32"/>
              </w:rPr>
              <w:t>大于5万元小于等于10万元</w:t>
            </w:r>
          </w:p>
        </w:tc>
        <w:tc>
          <w:tcPr>
            <w:tcW w:w="9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szCs w:val="32"/>
              </w:rPr>
              <w:t>大于10万元小于等于30万元</w:t>
            </w:r>
          </w:p>
        </w:tc>
        <w:tc>
          <w:tcPr>
            <w:tcW w:w="9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szCs w:val="32"/>
              </w:rPr>
              <w:t>大于30万元小于等于50万元</w:t>
            </w:r>
          </w:p>
        </w:tc>
        <w:tc>
          <w:tcPr>
            <w:tcW w:w="92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rPr>
            </w:pPr>
            <w:r>
              <w:rPr>
                <w:rFonts w:hint="eastAsia" w:ascii="仿宋_GB2312" w:hAnsi="仿宋" w:eastAsia="仿宋_GB2312" w:cs="宋体"/>
                <w:szCs w:val="32"/>
              </w:rPr>
              <w:t>大于50万元</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　</w:t>
            </w:r>
          </w:p>
        </w:tc>
      </w:tr>
      <w:tr>
        <w:tblPrEx>
          <w:tblCellMar>
            <w:top w:w="0" w:type="dxa"/>
            <w:left w:w="108" w:type="dxa"/>
            <w:bottom w:w="0" w:type="dxa"/>
            <w:right w:w="108" w:type="dxa"/>
          </w:tblCellMar>
        </w:tblPrEx>
        <w:trPr>
          <w:trHeight w:val="559" w:hRule="atLeast"/>
        </w:trPr>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9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rPr>
              <w:t>扣分</w:t>
            </w:r>
          </w:p>
        </w:tc>
        <w:tc>
          <w:tcPr>
            <w:tcW w:w="9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rPr>
              <w:t>-4分</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szCs w:val="32"/>
              </w:rPr>
              <w:t>-8分</w:t>
            </w:r>
          </w:p>
        </w:tc>
        <w:tc>
          <w:tcPr>
            <w:tcW w:w="9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szCs w:val="32"/>
              </w:rPr>
              <w:t>-24分</w:t>
            </w:r>
          </w:p>
        </w:tc>
        <w:tc>
          <w:tcPr>
            <w:tcW w:w="9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szCs w:val="32"/>
              </w:rPr>
              <w:t>-30分</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szCs w:val="32"/>
              </w:rPr>
              <w:t>-40分</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1260" w:hRule="atLeast"/>
        </w:trPr>
        <w:tc>
          <w:tcPr>
            <w:tcW w:w="13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审核质量（0-40分）</w:t>
            </w:r>
          </w:p>
          <w:p>
            <w:pPr>
              <w:spacing w:line="240" w:lineRule="exact"/>
              <w:jc w:val="center"/>
              <w:rPr>
                <w:rFonts w:ascii="仿宋_GB2312" w:hAnsi="仿宋" w:eastAsia="仿宋_GB2312" w:cs="宋体"/>
              </w:rPr>
            </w:pPr>
            <w:r>
              <w:rPr>
                <w:rFonts w:hint="eastAsia" w:ascii="仿宋_GB2312" w:hAnsi="仿宋" w:eastAsia="仿宋_GB2312" w:cs="宋体"/>
              </w:rPr>
              <w:t>（送审价大于1000万元）</w:t>
            </w:r>
          </w:p>
        </w:tc>
        <w:tc>
          <w:tcPr>
            <w:tcW w:w="9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szCs w:val="32"/>
              </w:rPr>
              <w:t>误差绝对值金额</w:t>
            </w:r>
          </w:p>
        </w:tc>
        <w:tc>
          <w:tcPr>
            <w:tcW w:w="9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小于等于10万元</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rPr>
            </w:pPr>
            <w:r>
              <w:rPr>
                <w:rFonts w:hint="eastAsia" w:ascii="仿宋_GB2312" w:hAnsi="仿宋" w:eastAsia="仿宋_GB2312" w:cs="宋体"/>
                <w:szCs w:val="32"/>
              </w:rPr>
              <w:t>大于10万元小于等于30万元</w:t>
            </w:r>
          </w:p>
        </w:tc>
        <w:tc>
          <w:tcPr>
            <w:tcW w:w="9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szCs w:val="32"/>
              </w:rPr>
              <w:t>大于30万元小于等于50万元</w:t>
            </w:r>
          </w:p>
        </w:tc>
        <w:tc>
          <w:tcPr>
            <w:tcW w:w="9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szCs w:val="32"/>
              </w:rPr>
              <w:t>大于50万元小于等于100万元</w:t>
            </w:r>
          </w:p>
        </w:tc>
        <w:tc>
          <w:tcPr>
            <w:tcW w:w="92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rPr>
            </w:pPr>
            <w:r>
              <w:rPr>
                <w:rFonts w:hint="eastAsia" w:ascii="仿宋_GB2312" w:hAnsi="仿宋" w:eastAsia="仿宋_GB2312" w:cs="宋体"/>
                <w:szCs w:val="32"/>
              </w:rPr>
              <w:t>大于100万元</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570" w:hRule="atLeast"/>
        </w:trPr>
        <w:tc>
          <w:tcPr>
            <w:tcW w:w="137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cs="宋体"/>
              </w:rPr>
            </w:pPr>
          </w:p>
        </w:tc>
        <w:tc>
          <w:tcPr>
            <w:tcW w:w="92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rPr>
              <w:t>扣分</w:t>
            </w:r>
          </w:p>
        </w:tc>
        <w:tc>
          <w:tcPr>
            <w:tcW w:w="9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rPr>
              <w:t>-4分</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szCs w:val="32"/>
              </w:rPr>
              <w:t>-12分</w:t>
            </w:r>
          </w:p>
        </w:tc>
        <w:tc>
          <w:tcPr>
            <w:tcW w:w="9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szCs w:val="32"/>
              </w:rPr>
              <w:t>-20分</w:t>
            </w:r>
          </w:p>
        </w:tc>
        <w:tc>
          <w:tcPr>
            <w:tcW w:w="9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szCs w:val="32"/>
              </w:rPr>
              <w:t>-30分</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szCs w:val="32"/>
              </w:rPr>
            </w:pPr>
            <w:r>
              <w:rPr>
                <w:rFonts w:hint="eastAsia" w:ascii="仿宋_GB2312" w:hAnsi="仿宋" w:eastAsia="仿宋_GB2312" w:cs="宋体"/>
                <w:szCs w:val="32"/>
              </w:rPr>
              <w:t>-40分</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834" w:hRule="atLeast"/>
        </w:trPr>
        <w:tc>
          <w:tcPr>
            <w:tcW w:w="13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审核时限（0-20分）</w:t>
            </w: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招标控制价审核延误（天）</w:t>
            </w:r>
          </w:p>
        </w:tc>
        <w:tc>
          <w:tcPr>
            <w:tcW w:w="138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rPr>
            </w:pPr>
            <w:r>
              <w:rPr>
                <w:rFonts w:hint="eastAsia" w:ascii="仿宋_GB2312" w:hAnsi="仿宋" w:eastAsia="仿宋_GB2312" w:cs="宋体"/>
              </w:rPr>
              <w:t>≤</w:t>
            </w:r>
            <w:r>
              <w:rPr>
                <w:rFonts w:hint="eastAsia" w:ascii="仿宋_GB2312" w:hAnsi="仿宋" w:eastAsia="仿宋_GB2312"/>
              </w:rPr>
              <w:t>5</w:t>
            </w:r>
          </w:p>
        </w:tc>
        <w:tc>
          <w:tcPr>
            <w:tcW w:w="13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rPr>
            </w:pPr>
            <w:r>
              <w:rPr>
                <w:rFonts w:hint="eastAsia" w:ascii="仿宋_GB2312" w:hAnsi="仿宋" w:eastAsia="仿宋_GB2312"/>
              </w:rPr>
              <w:t>5～15</w:t>
            </w:r>
          </w:p>
        </w:tc>
        <w:tc>
          <w:tcPr>
            <w:tcW w:w="1384"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rPr>
            </w:pPr>
            <w:r>
              <w:rPr>
                <w:rFonts w:hint="eastAsia" w:ascii="仿宋_GB2312" w:hAnsi="仿宋" w:eastAsia="仿宋_GB2312"/>
              </w:rPr>
              <w:t>&gt;15</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　</w:t>
            </w:r>
          </w:p>
        </w:tc>
      </w:tr>
      <w:tr>
        <w:tblPrEx>
          <w:tblCellMar>
            <w:top w:w="0" w:type="dxa"/>
            <w:left w:w="108" w:type="dxa"/>
            <w:bottom w:w="0" w:type="dxa"/>
            <w:right w:w="108" w:type="dxa"/>
          </w:tblCellMar>
        </w:tblPrEx>
        <w:trPr>
          <w:trHeight w:val="552" w:hRule="atLeast"/>
        </w:trPr>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3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扣分</w:t>
            </w:r>
          </w:p>
        </w:tc>
        <w:tc>
          <w:tcPr>
            <w:tcW w:w="138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rPr>
              <w:t>-5分</w:t>
            </w:r>
          </w:p>
        </w:tc>
        <w:tc>
          <w:tcPr>
            <w:tcW w:w="13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-10分</w:t>
            </w:r>
          </w:p>
        </w:tc>
        <w:tc>
          <w:tcPr>
            <w:tcW w:w="138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-20分</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p>
        </w:tc>
      </w:tr>
      <w:tr>
        <w:tblPrEx>
          <w:tblCellMar>
            <w:top w:w="0" w:type="dxa"/>
            <w:left w:w="108" w:type="dxa"/>
            <w:bottom w:w="0" w:type="dxa"/>
            <w:right w:w="108" w:type="dxa"/>
          </w:tblCellMar>
        </w:tblPrEx>
        <w:trPr>
          <w:trHeight w:val="698" w:hRule="atLeast"/>
        </w:trPr>
        <w:tc>
          <w:tcPr>
            <w:tcW w:w="13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b/>
                <w:bCs/>
              </w:rPr>
            </w:pPr>
            <w:r>
              <w:rPr>
                <w:rFonts w:hint="eastAsia" w:ascii="仿宋_GB2312" w:hAnsi="仿宋" w:eastAsia="仿宋_GB2312" w:cs="宋体"/>
                <w:b/>
                <w:bCs/>
              </w:rPr>
              <w:t>项目综合</w:t>
            </w:r>
          </w:p>
          <w:p>
            <w:pPr>
              <w:widowControl/>
              <w:spacing w:line="240" w:lineRule="exact"/>
              <w:jc w:val="center"/>
              <w:rPr>
                <w:rFonts w:ascii="仿宋_GB2312" w:hAnsi="仿宋" w:eastAsia="仿宋_GB2312" w:cs="宋体"/>
                <w:b/>
                <w:bCs/>
              </w:rPr>
            </w:pPr>
            <w:r>
              <w:rPr>
                <w:rFonts w:hint="eastAsia" w:ascii="仿宋_GB2312" w:hAnsi="仿宋" w:eastAsia="仿宋_GB2312" w:cs="宋体"/>
                <w:b/>
                <w:bCs/>
              </w:rPr>
              <w:t>考评得分</w:t>
            </w:r>
          </w:p>
        </w:tc>
        <w:tc>
          <w:tcPr>
            <w:tcW w:w="553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b/>
              </w:rPr>
            </w:pPr>
            <w:r>
              <w:rPr>
                <w:rFonts w:hint="eastAsia" w:ascii="仿宋_GB2312" w:hAnsi="仿宋" w:eastAsia="仿宋_GB2312" w:cs="宋体"/>
                <w:b/>
              </w:rPr>
              <w:t>评定等级</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b/>
                <w:bCs/>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b/>
                <w:bCs/>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 w:eastAsia="仿宋_GB2312" w:cs="宋体"/>
              </w:rPr>
            </w:pPr>
            <w:r>
              <w:rPr>
                <w:rFonts w:hint="eastAsia" w:ascii="仿宋_GB2312" w:hAnsi="仿宋" w:eastAsia="仿宋_GB2312" w:cs="宋体"/>
              </w:rPr>
              <w:t>　</w:t>
            </w:r>
          </w:p>
        </w:tc>
      </w:tr>
      <w:tr>
        <w:tblPrEx>
          <w:tblCellMar>
            <w:top w:w="0" w:type="dxa"/>
            <w:left w:w="108" w:type="dxa"/>
            <w:bottom w:w="0" w:type="dxa"/>
            <w:right w:w="108" w:type="dxa"/>
          </w:tblCellMar>
        </w:tblPrEx>
        <w:trPr>
          <w:trHeight w:val="758" w:hRule="atLeast"/>
        </w:trPr>
        <w:tc>
          <w:tcPr>
            <w:tcW w:w="10314" w:type="dxa"/>
            <w:gridSpan w:val="16"/>
            <w:tcBorders>
              <w:top w:val="nil"/>
              <w:left w:val="nil"/>
              <w:bottom w:val="nil"/>
              <w:right w:val="nil"/>
            </w:tcBorders>
            <w:vAlign w:val="center"/>
          </w:tcPr>
          <w:p>
            <w:pPr>
              <w:widowControl/>
              <w:spacing w:line="240" w:lineRule="exact"/>
              <w:jc w:val="left"/>
              <w:rPr>
                <w:rFonts w:ascii="仿宋_GB2312" w:hAnsi="仿宋" w:eastAsia="仿宋_GB2312" w:cs="宋体"/>
                <w:b/>
                <w:bCs/>
              </w:rPr>
            </w:pPr>
            <w:r>
              <w:rPr>
                <w:rFonts w:hint="eastAsia" w:ascii="仿宋_GB2312" w:hAnsi="仿宋" w:eastAsia="仿宋_GB2312" w:cs="宋体"/>
                <w:b/>
                <w:bCs/>
              </w:rPr>
              <w:t>备注: 1、评定等级考核分数</w:t>
            </w:r>
            <w:r>
              <w:rPr>
                <w:rFonts w:hint="eastAsia" w:ascii="宋体" w:hAnsi="宋体" w:cs="宋体"/>
                <w:b/>
                <w:bCs/>
              </w:rPr>
              <w:t>≧</w:t>
            </w:r>
            <w:r>
              <w:rPr>
                <w:rFonts w:hint="eastAsia" w:ascii="仿宋_GB2312" w:hAnsi="仿宋" w:eastAsia="仿宋_GB2312" w:cs="宋体"/>
                <w:b/>
                <w:bCs/>
              </w:rPr>
              <w:t>90分为优秀，&lt;60为不合格，其余为合格。</w:t>
            </w:r>
          </w:p>
          <w:p>
            <w:pPr>
              <w:widowControl/>
              <w:spacing w:line="240" w:lineRule="exact"/>
              <w:jc w:val="left"/>
              <w:rPr>
                <w:rFonts w:ascii="仿宋_GB2312" w:hAnsi="仿宋" w:eastAsia="仿宋_GB2312" w:cs="宋体"/>
                <w:b/>
                <w:bCs/>
              </w:rPr>
            </w:pPr>
            <w:r>
              <w:rPr>
                <w:rFonts w:hint="eastAsia" w:ascii="仿宋_GB2312" w:hAnsi="仿宋" w:eastAsia="仿宋_GB2312" w:cs="宋体"/>
                <w:b/>
                <w:bCs/>
              </w:rPr>
              <w:t xml:space="preserve">      2、单个项目中审核质量扣20-30分之间的予以警告，</w:t>
            </w:r>
            <w:r>
              <w:rPr>
                <w:rFonts w:hint="eastAsia" w:ascii="仿宋_GB2312" w:hAnsi="宋体" w:eastAsia="仿宋_GB2312" w:cs="宋体"/>
                <w:b/>
                <w:bCs/>
              </w:rPr>
              <w:t>协审单位暂停1个月承接业务资格；扣30分以上予以严重警告，协审单位暂停3个月承接业务资格；严重警告累计2次的，直接取消协审单位资格；其余按招标控制价协审工作考核管理办法执行。</w:t>
            </w:r>
            <w:r>
              <w:rPr>
                <w:rFonts w:hint="eastAsia" w:ascii="仿宋_GB2312" w:hAnsi="仿宋" w:eastAsia="仿宋_GB2312" w:cs="宋体"/>
                <w:b/>
                <w:bCs/>
              </w:rPr>
              <w:t>上述情况，在相关网站或联络群加以通报。</w:t>
            </w:r>
          </w:p>
          <w:p>
            <w:pPr>
              <w:widowControl/>
              <w:spacing w:line="240" w:lineRule="exact"/>
              <w:ind w:firstLine="632" w:firstLineChars="300"/>
              <w:jc w:val="left"/>
              <w:rPr>
                <w:rFonts w:ascii="仿宋_GB2312" w:hAnsi="仿宋" w:eastAsia="仿宋_GB2312" w:cs="宋体"/>
                <w:b/>
                <w:bCs/>
              </w:rPr>
            </w:pPr>
            <w:r>
              <w:rPr>
                <w:rFonts w:hint="eastAsia" w:ascii="仿宋_GB2312" w:hAnsi="仿宋" w:eastAsia="仿宋_GB2312" w:cs="宋体"/>
                <w:b/>
                <w:bCs/>
              </w:rPr>
              <w:t>3、</w:t>
            </w:r>
            <w:r>
              <w:rPr>
                <w:rFonts w:hint="eastAsia" w:ascii="仿宋_GB2312" w:hAnsi="宋体" w:eastAsia="仿宋_GB2312" w:cs="宋体"/>
                <w:b/>
                <w:bCs/>
              </w:rPr>
              <w:t>根据考核结果，对协审单位在年度排名前六名的，在项目奖励时予以优先考虑。</w:t>
            </w:r>
          </w:p>
          <w:p>
            <w:pPr>
              <w:widowControl/>
              <w:spacing w:line="240" w:lineRule="exact"/>
              <w:ind w:firstLine="632" w:firstLineChars="300"/>
              <w:jc w:val="left"/>
              <w:rPr>
                <w:rFonts w:ascii="仿宋_GB2312" w:hAnsi="仿宋" w:eastAsia="仿宋_GB2312" w:cs="宋体"/>
                <w:b/>
                <w:bCs/>
              </w:rPr>
            </w:pPr>
            <w:r>
              <w:rPr>
                <w:rFonts w:hint="eastAsia" w:ascii="仿宋_GB2312" w:hAnsi="仿宋" w:eastAsia="仿宋_GB2312" w:cs="宋体"/>
                <w:b/>
                <w:bCs/>
              </w:rPr>
              <w:t>4、审核过程中发生业主要求甩项、增项、审核中心认定的其它事项不计入误差率，并在备注栏注明。</w:t>
            </w:r>
          </w:p>
          <w:p>
            <w:pPr>
              <w:widowControl/>
              <w:spacing w:line="240" w:lineRule="exact"/>
              <w:ind w:firstLine="632" w:firstLineChars="300"/>
              <w:jc w:val="left"/>
              <w:rPr>
                <w:rFonts w:ascii="仿宋_GB2312" w:hAnsi="仿宋" w:eastAsia="仿宋_GB2312" w:cs="宋体"/>
                <w:b/>
                <w:bCs/>
              </w:rPr>
            </w:pPr>
            <w:r>
              <w:rPr>
                <w:rFonts w:hint="eastAsia" w:ascii="仿宋_GB2312" w:hAnsi="仿宋" w:eastAsia="仿宋_GB2312" w:cs="宋体"/>
                <w:b/>
                <w:bCs/>
              </w:rPr>
              <w:t>5、诸暨市重大项目推进工作领导小组要求按时间节点完成的项目，时限按函告单调整。</w:t>
            </w:r>
          </w:p>
          <w:p>
            <w:pPr>
              <w:widowControl/>
              <w:spacing w:line="240" w:lineRule="exact"/>
              <w:jc w:val="left"/>
              <w:rPr>
                <w:rFonts w:ascii="仿宋_GB2312" w:hAnsi="仿宋" w:eastAsia="仿宋_GB2312" w:cs="宋体"/>
              </w:rPr>
            </w:pPr>
          </w:p>
          <w:p>
            <w:pPr>
              <w:widowControl/>
              <w:spacing w:line="240" w:lineRule="exact"/>
              <w:jc w:val="left"/>
              <w:rPr>
                <w:rFonts w:ascii="仿宋_GB2312" w:hAnsi="仿宋" w:eastAsia="仿宋_GB2312" w:cs="宋体"/>
              </w:rPr>
            </w:pPr>
            <w:r>
              <w:rPr>
                <w:rFonts w:hint="eastAsia" w:ascii="仿宋_GB2312" w:hAnsi="仿宋" w:eastAsia="仿宋_GB2312" w:cs="宋体"/>
              </w:rPr>
              <w:t xml:space="preserve">                       </w:t>
            </w:r>
          </w:p>
        </w:tc>
      </w:tr>
    </w:tbl>
    <w:p>
      <w:pPr>
        <w:jc w:val="left"/>
        <w:rPr>
          <w:rFonts w:ascii="仿宋_GB2312" w:hAnsi="仿宋" w:eastAsia="仿宋_GB231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tbl>
      <w:tblPr>
        <w:tblStyle w:val="65"/>
        <w:tblpPr w:leftFromText="180" w:rightFromText="180" w:vertAnchor="text" w:horzAnchor="margin" w:tblpXSpec="center" w:tblpY="157"/>
        <w:tblOverlap w:val="never"/>
        <w:tblW w:w="10314" w:type="dxa"/>
        <w:tblInd w:w="0" w:type="dxa"/>
        <w:tblLayout w:type="fixed"/>
        <w:tblCellMar>
          <w:top w:w="0" w:type="dxa"/>
          <w:left w:w="108" w:type="dxa"/>
          <w:bottom w:w="0" w:type="dxa"/>
          <w:right w:w="108" w:type="dxa"/>
        </w:tblCellMar>
      </w:tblPr>
      <w:tblGrid>
        <w:gridCol w:w="1200"/>
        <w:gridCol w:w="830"/>
        <w:gridCol w:w="320"/>
        <w:gridCol w:w="555"/>
        <w:gridCol w:w="1111"/>
        <w:gridCol w:w="448"/>
        <w:gridCol w:w="664"/>
        <w:gridCol w:w="361"/>
        <w:gridCol w:w="387"/>
        <w:gridCol w:w="445"/>
        <w:gridCol w:w="1017"/>
        <w:gridCol w:w="992"/>
        <w:gridCol w:w="504"/>
        <w:gridCol w:w="488"/>
        <w:gridCol w:w="992"/>
      </w:tblGrid>
      <w:tr>
        <w:tblPrEx>
          <w:tblCellMar>
            <w:top w:w="0" w:type="dxa"/>
            <w:left w:w="108" w:type="dxa"/>
            <w:bottom w:w="0" w:type="dxa"/>
            <w:right w:w="108" w:type="dxa"/>
          </w:tblCellMar>
        </w:tblPrEx>
        <w:trPr>
          <w:trHeight w:val="468" w:hRule="atLeast"/>
        </w:trPr>
        <w:tc>
          <w:tcPr>
            <w:tcW w:w="10314" w:type="dxa"/>
            <w:gridSpan w:val="15"/>
            <w:tcBorders>
              <w:top w:val="nil"/>
              <w:left w:val="nil"/>
              <w:bottom w:val="nil"/>
              <w:right w:val="nil"/>
            </w:tcBorders>
            <w:vAlign w:val="center"/>
          </w:tcPr>
          <w:p>
            <w:pPr>
              <w:widowControl/>
              <w:jc w:val="center"/>
              <w:rPr>
                <w:rFonts w:ascii="仿宋_GB2312" w:eastAsia="仿宋_GB2312" w:cs="宋体"/>
                <w:bCs/>
                <w:sz w:val="36"/>
                <w:szCs w:val="36"/>
              </w:rPr>
            </w:pPr>
            <w:r>
              <w:rPr>
                <w:rFonts w:hint="eastAsia" w:ascii="宋体" w:hAnsi="宋体" w:cs="宋体"/>
                <w:bCs/>
                <w:sz w:val="36"/>
                <w:szCs w:val="36"/>
              </w:rPr>
              <w:t>协审单位业务考核表（结算复核）</w:t>
            </w:r>
          </w:p>
        </w:tc>
      </w:tr>
      <w:tr>
        <w:tblPrEx>
          <w:tblCellMar>
            <w:top w:w="0" w:type="dxa"/>
            <w:left w:w="108" w:type="dxa"/>
            <w:bottom w:w="0" w:type="dxa"/>
            <w:right w:w="108" w:type="dxa"/>
          </w:tblCellMar>
        </w:tblPrEx>
        <w:trPr>
          <w:trHeight w:val="315" w:hRule="atLeast"/>
        </w:trPr>
        <w:tc>
          <w:tcPr>
            <w:tcW w:w="10314" w:type="dxa"/>
            <w:gridSpan w:val="15"/>
            <w:tcBorders>
              <w:top w:val="nil"/>
              <w:left w:val="nil"/>
              <w:bottom w:val="single" w:color="auto" w:sz="4" w:space="0"/>
              <w:right w:val="nil"/>
            </w:tcBorders>
            <w:vAlign w:val="center"/>
          </w:tcPr>
          <w:p>
            <w:pPr>
              <w:widowControl/>
              <w:jc w:val="left"/>
              <w:rPr>
                <w:rFonts w:ascii="仿宋_GB2312" w:eastAsia="仿宋_GB2312" w:cs="宋体"/>
                <w:color w:val="FF0000"/>
              </w:rPr>
            </w:pPr>
            <w:r>
              <w:rPr>
                <w:rFonts w:hint="eastAsia" w:ascii="仿宋_GB2312" w:eastAsia="仿宋_GB2312" w:cs="宋体"/>
              </w:rPr>
              <w:t>项目名称</w:t>
            </w:r>
          </w:p>
        </w:tc>
      </w:tr>
      <w:tr>
        <w:tblPrEx>
          <w:tblCellMar>
            <w:top w:w="0" w:type="dxa"/>
            <w:left w:w="108" w:type="dxa"/>
            <w:bottom w:w="0" w:type="dxa"/>
            <w:right w:w="108" w:type="dxa"/>
          </w:tblCellMar>
        </w:tblPrEx>
        <w:trPr>
          <w:trHeight w:val="428" w:hRule="atLeast"/>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rPr>
              <w:t>项目编号</w:t>
            </w:r>
          </w:p>
        </w:tc>
        <w:tc>
          <w:tcPr>
            <w:tcW w:w="1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　</w:t>
            </w:r>
          </w:p>
        </w:tc>
        <w:tc>
          <w:tcPr>
            <w:tcW w:w="211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建设单位</w:t>
            </w:r>
          </w:p>
        </w:tc>
        <w:tc>
          <w:tcPr>
            <w:tcW w:w="141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295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复审单位</w:t>
            </w:r>
          </w:p>
        </w:tc>
        <w:tc>
          <w:tcPr>
            <w:tcW w:w="148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　</w:t>
            </w:r>
          </w:p>
        </w:tc>
      </w:tr>
      <w:tr>
        <w:tblPrEx>
          <w:tblCellMar>
            <w:top w:w="0" w:type="dxa"/>
            <w:left w:w="108" w:type="dxa"/>
            <w:bottom w:w="0" w:type="dxa"/>
            <w:right w:w="108" w:type="dxa"/>
          </w:tblCellMar>
        </w:tblPrEx>
        <w:trPr>
          <w:trHeight w:val="428" w:hRule="atLeast"/>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委托日期</w:t>
            </w:r>
          </w:p>
        </w:tc>
        <w:tc>
          <w:tcPr>
            <w:tcW w:w="1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211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要求完成日期</w:t>
            </w:r>
          </w:p>
        </w:tc>
        <w:tc>
          <w:tcPr>
            <w:tcW w:w="141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295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实际完成日期</w:t>
            </w:r>
          </w:p>
        </w:tc>
        <w:tc>
          <w:tcPr>
            <w:tcW w:w="148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r>
      <w:tr>
        <w:tblPrEx>
          <w:tblCellMar>
            <w:top w:w="0" w:type="dxa"/>
            <w:left w:w="108" w:type="dxa"/>
            <w:bottom w:w="0" w:type="dxa"/>
            <w:right w:w="108" w:type="dxa"/>
          </w:tblCellMar>
        </w:tblPrEx>
        <w:trPr>
          <w:trHeight w:val="428" w:hRule="atLeast"/>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协审单位</w:t>
            </w:r>
          </w:p>
        </w:tc>
        <w:tc>
          <w:tcPr>
            <w:tcW w:w="1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211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审核组</w:t>
            </w:r>
          </w:p>
        </w:tc>
        <w:tc>
          <w:tcPr>
            <w:tcW w:w="141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295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审核组成员</w:t>
            </w:r>
          </w:p>
        </w:tc>
        <w:tc>
          <w:tcPr>
            <w:tcW w:w="148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428" w:hRule="atLeast"/>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送审造价</w:t>
            </w:r>
          </w:p>
        </w:tc>
        <w:tc>
          <w:tcPr>
            <w:tcW w:w="1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211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审定造价</w:t>
            </w:r>
          </w:p>
        </w:tc>
        <w:tc>
          <w:tcPr>
            <w:tcW w:w="141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hint="eastAsia" w:ascii="仿宋_GB2312" w:eastAsia="仿宋_GB2312"/>
              </w:rPr>
              <w:t>　</w:t>
            </w:r>
          </w:p>
        </w:tc>
        <w:tc>
          <w:tcPr>
            <w:tcW w:w="295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核增（减）造价（±）</w:t>
            </w:r>
          </w:p>
        </w:tc>
        <w:tc>
          <w:tcPr>
            <w:tcW w:w="148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428" w:hRule="atLeast"/>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复核后批复造价</w:t>
            </w:r>
          </w:p>
        </w:tc>
        <w:tc>
          <w:tcPr>
            <w:tcW w:w="11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hint="eastAsia" w:ascii="仿宋_GB2312" w:eastAsia="仿宋_GB2312"/>
              </w:rPr>
              <w:t>　</w:t>
            </w:r>
          </w:p>
        </w:tc>
        <w:tc>
          <w:tcPr>
            <w:tcW w:w="211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复核增（减）造价</w:t>
            </w:r>
          </w:p>
        </w:tc>
        <w:tc>
          <w:tcPr>
            <w:tcW w:w="141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hint="eastAsia" w:ascii="仿宋_GB2312" w:eastAsia="仿宋_GB2312"/>
              </w:rPr>
              <w:t>　</w:t>
            </w:r>
          </w:p>
        </w:tc>
        <w:tc>
          <w:tcPr>
            <w:tcW w:w="295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复核误差率</w:t>
            </w:r>
          </w:p>
        </w:tc>
        <w:tc>
          <w:tcPr>
            <w:tcW w:w="148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428" w:hRule="atLeast"/>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备注</w:t>
            </w:r>
          </w:p>
        </w:tc>
        <w:tc>
          <w:tcPr>
            <w:tcW w:w="9114" w:type="dxa"/>
            <w:gridSpan w:val="1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428" w:hRule="atLeast"/>
        </w:trPr>
        <w:tc>
          <w:tcPr>
            <w:tcW w:w="10314" w:type="dxa"/>
            <w:gridSpan w:val="15"/>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ascii="仿宋_GB2312" w:eastAsia="仿宋_GB2312"/>
                <w:b/>
                <w:bCs/>
              </w:rPr>
            </w:pPr>
            <w:r>
              <w:rPr>
                <w:rFonts w:hint="eastAsia" w:ascii="仿宋_GB2312" w:eastAsia="仿宋_GB2312"/>
                <w:b/>
                <w:bCs/>
              </w:rPr>
              <w:t>考核情况</w:t>
            </w:r>
          </w:p>
        </w:tc>
      </w:tr>
      <w:tr>
        <w:tblPrEx>
          <w:tblCellMar>
            <w:top w:w="0" w:type="dxa"/>
            <w:left w:w="108" w:type="dxa"/>
            <w:bottom w:w="0" w:type="dxa"/>
            <w:right w:w="108" w:type="dxa"/>
          </w:tblCellMar>
        </w:tblPrEx>
        <w:trPr>
          <w:trHeight w:val="428" w:hRule="atLeast"/>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b/>
                <w:bCs/>
              </w:rPr>
            </w:pPr>
            <w:r>
              <w:rPr>
                <w:rFonts w:hint="eastAsia" w:ascii="仿宋_GB2312" w:eastAsia="仿宋_GB2312" w:cs="宋体"/>
                <w:b/>
                <w:bCs/>
              </w:rPr>
              <w:t>考核项目</w:t>
            </w:r>
          </w:p>
        </w:tc>
        <w:tc>
          <w:tcPr>
            <w:tcW w:w="613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b/>
                <w:bCs/>
              </w:rPr>
            </w:pPr>
            <w:r>
              <w:rPr>
                <w:rFonts w:hint="eastAsia" w:ascii="仿宋_GB2312" w:eastAsia="仿宋_GB2312" w:cs="宋体"/>
                <w:b/>
                <w:bCs/>
              </w:rPr>
              <w:t>考核内容</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b/>
                <w:bCs/>
              </w:rPr>
            </w:pPr>
            <w:r>
              <w:rPr>
                <w:rFonts w:hint="eastAsia" w:ascii="仿宋_GB2312" w:eastAsia="仿宋_GB2312" w:cs="宋体"/>
                <w:b/>
                <w:bCs/>
              </w:rPr>
              <w:t>自评分</w:t>
            </w: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b/>
                <w:bCs/>
              </w:rPr>
            </w:pPr>
            <w:r>
              <w:rPr>
                <w:rFonts w:hint="eastAsia" w:ascii="仿宋_GB2312" w:eastAsia="仿宋_GB2312" w:cs="宋体"/>
                <w:b/>
                <w:bCs/>
              </w:rPr>
              <w:t>组评分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b/>
                <w:bCs/>
              </w:rPr>
            </w:pPr>
            <w:r>
              <w:rPr>
                <w:rFonts w:hint="eastAsia" w:ascii="仿宋_GB2312" w:eastAsia="仿宋_GB2312" w:cs="宋体"/>
                <w:b/>
                <w:bCs/>
              </w:rPr>
              <w:t>复核  评分</w:t>
            </w:r>
          </w:p>
        </w:tc>
      </w:tr>
      <w:tr>
        <w:tblPrEx>
          <w:tblCellMar>
            <w:top w:w="0" w:type="dxa"/>
            <w:left w:w="108" w:type="dxa"/>
            <w:bottom w:w="0" w:type="dxa"/>
            <w:right w:w="108" w:type="dxa"/>
          </w:tblCellMar>
        </w:tblPrEx>
        <w:trPr>
          <w:trHeight w:val="539" w:hRule="atLeast"/>
        </w:trPr>
        <w:tc>
          <w:tcPr>
            <w:tcW w:w="1200" w:type="dxa"/>
            <w:vMerge w:val="restart"/>
            <w:tcBorders>
              <w:top w:val="nil"/>
              <w:left w:val="single" w:color="auto" w:sz="4" w:space="0"/>
              <w:bottom w:val="nil"/>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基础工作</w:t>
            </w:r>
            <w:r>
              <w:rPr>
                <w:rFonts w:hint="eastAsia" w:ascii="仿宋_GB2312" w:eastAsia="仿宋_GB2312" w:cs="宋体"/>
              </w:rPr>
              <w:br w:type="textWrapping"/>
            </w:r>
            <w:r>
              <w:rPr>
                <w:rFonts w:hint="eastAsia" w:ascii="仿宋_GB2312" w:eastAsia="仿宋_GB2312" w:cs="宋体"/>
              </w:rPr>
              <w:t>（0-15）</w:t>
            </w:r>
          </w:p>
        </w:tc>
        <w:tc>
          <w:tcPr>
            <w:tcW w:w="6138"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审核人员配合及时（0.5分）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r>
      <w:tr>
        <w:tblPrEx>
          <w:tblCellMar>
            <w:top w:w="0" w:type="dxa"/>
            <w:left w:w="108" w:type="dxa"/>
            <w:bottom w:w="0" w:type="dxa"/>
            <w:right w:w="108" w:type="dxa"/>
          </w:tblCellMar>
        </w:tblPrEx>
        <w:trPr>
          <w:trHeight w:val="539" w:hRule="atLeast"/>
        </w:trPr>
        <w:tc>
          <w:tcPr>
            <w:tcW w:w="1200" w:type="dxa"/>
            <w:vMerge w:val="continue"/>
            <w:tcBorders>
              <w:top w:val="nil"/>
              <w:left w:val="single" w:color="auto" w:sz="4" w:space="0"/>
              <w:bottom w:val="nil"/>
              <w:right w:val="single" w:color="auto" w:sz="4" w:space="0"/>
            </w:tcBorders>
            <w:vAlign w:val="center"/>
          </w:tcPr>
          <w:p/>
        </w:tc>
        <w:tc>
          <w:tcPr>
            <w:tcW w:w="6138"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审核人员中途变更（0.5分）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r>
      <w:tr>
        <w:tblPrEx>
          <w:tblCellMar>
            <w:top w:w="0" w:type="dxa"/>
            <w:left w:w="108" w:type="dxa"/>
            <w:bottom w:w="0" w:type="dxa"/>
            <w:right w:w="108" w:type="dxa"/>
          </w:tblCellMar>
        </w:tblPrEx>
        <w:trPr>
          <w:trHeight w:val="539" w:hRule="atLeast"/>
        </w:trPr>
        <w:tc>
          <w:tcPr>
            <w:tcW w:w="1200" w:type="dxa"/>
            <w:vMerge w:val="continue"/>
            <w:tcBorders>
              <w:top w:val="nil"/>
              <w:left w:val="single" w:color="auto" w:sz="4" w:space="0"/>
              <w:bottom w:val="nil"/>
              <w:right w:val="single" w:color="auto" w:sz="4" w:space="0"/>
            </w:tcBorders>
            <w:vAlign w:val="center"/>
          </w:tcPr>
          <w:p/>
        </w:tc>
        <w:tc>
          <w:tcPr>
            <w:tcW w:w="6138"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审核人员具备相应执业资格，专业对口（2分）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539" w:hRule="atLeast"/>
        </w:trPr>
        <w:tc>
          <w:tcPr>
            <w:tcW w:w="1200" w:type="dxa"/>
            <w:vMerge w:val="continue"/>
            <w:tcBorders>
              <w:top w:val="nil"/>
              <w:left w:val="single" w:color="auto" w:sz="4" w:space="0"/>
              <w:bottom w:val="nil"/>
              <w:right w:val="single" w:color="auto" w:sz="4" w:space="0"/>
            </w:tcBorders>
            <w:vAlign w:val="center"/>
          </w:tcPr>
          <w:p/>
        </w:tc>
        <w:tc>
          <w:tcPr>
            <w:tcW w:w="6138"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审核成果（章）是否与选派人员一致（1分）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539" w:hRule="atLeast"/>
        </w:trPr>
        <w:tc>
          <w:tcPr>
            <w:tcW w:w="1200" w:type="dxa"/>
            <w:vMerge w:val="continue"/>
            <w:tcBorders>
              <w:top w:val="nil"/>
              <w:left w:val="single" w:color="auto" w:sz="4" w:space="0"/>
              <w:bottom w:val="nil"/>
              <w:right w:val="single" w:color="auto" w:sz="4" w:space="0"/>
            </w:tcBorders>
            <w:vAlign w:val="center"/>
          </w:tcPr>
          <w:p/>
        </w:tc>
        <w:tc>
          <w:tcPr>
            <w:tcW w:w="6138"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资料领取的及时性、规范性（1分）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539" w:hRule="atLeast"/>
        </w:trPr>
        <w:tc>
          <w:tcPr>
            <w:tcW w:w="1200" w:type="dxa"/>
            <w:vMerge w:val="continue"/>
            <w:tcBorders>
              <w:top w:val="nil"/>
              <w:left w:val="single" w:color="auto" w:sz="4" w:space="0"/>
              <w:bottom w:val="nil"/>
              <w:right w:val="single" w:color="auto" w:sz="4" w:space="0"/>
            </w:tcBorders>
            <w:vAlign w:val="center"/>
          </w:tcPr>
          <w:p/>
        </w:tc>
        <w:tc>
          <w:tcPr>
            <w:tcW w:w="6138"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系统操作的及时性、规范性（1分）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539" w:hRule="atLeast"/>
        </w:trPr>
        <w:tc>
          <w:tcPr>
            <w:tcW w:w="1200" w:type="dxa"/>
            <w:vMerge w:val="continue"/>
            <w:tcBorders>
              <w:top w:val="nil"/>
              <w:left w:val="single" w:color="auto" w:sz="4" w:space="0"/>
              <w:bottom w:val="nil"/>
              <w:right w:val="single" w:color="auto" w:sz="4" w:space="0"/>
            </w:tcBorders>
            <w:vAlign w:val="center"/>
          </w:tcPr>
          <w:p/>
        </w:tc>
        <w:tc>
          <w:tcPr>
            <w:tcW w:w="6138"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项目负责人按时参加会议、做好会议传达落实、做好项目复核工作、及时向组汇报问题及提供相关数据、督促填写审核日志（2分）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r>
      <w:tr>
        <w:tblPrEx>
          <w:tblCellMar>
            <w:top w:w="0" w:type="dxa"/>
            <w:left w:w="108" w:type="dxa"/>
            <w:bottom w:w="0" w:type="dxa"/>
            <w:right w:w="108" w:type="dxa"/>
          </w:tblCellMar>
        </w:tblPrEx>
        <w:trPr>
          <w:trHeight w:val="539" w:hRule="atLeast"/>
        </w:trPr>
        <w:tc>
          <w:tcPr>
            <w:tcW w:w="1200" w:type="dxa"/>
            <w:vMerge w:val="continue"/>
            <w:tcBorders>
              <w:top w:val="nil"/>
              <w:left w:val="single" w:color="auto" w:sz="4" w:space="0"/>
              <w:bottom w:val="nil"/>
              <w:right w:val="single" w:color="auto" w:sz="4" w:space="0"/>
            </w:tcBorders>
            <w:vAlign w:val="center"/>
          </w:tcPr>
          <w:p/>
        </w:tc>
        <w:tc>
          <w:tcPr>
            <w:tcW w:w="613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工作底稿清晰，数字准确，依据充分，表述清楚完整（2分）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539" w:hRule="atLeast"/>
        </w:trPr>
        <w:tc>
          <w:tcPr>
            <w:tcW w:w="1200" w:type="dxa"/>
            <w:vMerge w:val="continue"/>
            <w:tcBorders>
              <w:top w:val="nil"/>
              <w:left w:val="single" w:color="auto" w:sz="4" w:space="0"/>
              <w:bottom w:val="nil"/>
              <w:right w:val="single" w:color="auto" w:sz="4" w:space="0"/>
            </w:tcBorders>
            <w:vAlign w:val="center"/>
          </w:tcPr>
          <w:p/>
        </w:tc>
        <w:tc>
          <w:tcPr>
            <w:tcW w:w="613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现场踏勘记录表、二次签证、下浮费率、材料调差、结算书、税金等的复核（3分）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r>
      <w:tr>
        <w:tblPrEx>
          <w:tblCellMar>
            <w:top w:w="0" w:type="dxa"/>
            <w:left w:w="108" w:type="dxa"/>
            <w:bottom w:w="0" w:type="dxa"/>
            <w:right w:w="108" w:type="dxa"/>
          </w:tblCellMar>
        </w:tblPrEx>
        <w:trPr>
          <w:trHeight w:val="539" w:hRule="atLeast"/>
        </w:trPr>
        <w:tc>
          <w:tcPr>
            <w:tcW w:w="1200" w:type="dxa"/>
            <w:vMerge w:val="continue"/>
            <w:tcBorders>
              <w:top w:val="nil"/>
              <w:left w:val="single" w:color="auto" w:sz="4" w:space="0"/>
              <w:bottom w:val="nil"/>
              <w:right w:val="single" w:color="auto" w:sz="4" w:space="0"/>
            </w:tcBorders>
            <w:vAlign w:val="center"/>
          </w:tcPr>
          <w:p/>
        </w:tc>
        <w:tc>
          <w:tcPr>
            <w:tcW w:w="6138"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复审复核表规范性、完整性（1分）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539" w:hRule="atLeast"/>
        </w:trPr>
        <w:tc>
          <w:tcPr>
            <w:tcW w:w="1200" w:type="dxa"/>
            <w:vMerge w:val="continue"/>
            <w:tcBorders>
              <w:top w:val="nil"/>
              <w:left w:val="single" w:color="auto" w:sz="4" w:space="0"/>
              <w:bottom w:val="single" w:color="auto" w:sz="4" w:space="0"/>
              <w:right w:val="single" w:color="auto" w:sz="4" w:space="0"/>
            </w:tcBorders>
            <w:vAlign w:val="center"/>
          </w:tcPr>
          <w:p/>
        </w:tc>
        <w:tc>
          <w:tcPr>
            <w:tcW w:w="6138"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资料归档的规范性、及时性、完整性（1分）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428" w:hRule="atLeast"/>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审核报告</w:t>
            </w:r>
            <w:r>
              <w:rPr>
                <w:rFonts w:hint="eastAsia" w:ascii="仿宋_GB2312" w:eastAsia="仿宋_GB2312" w:cs="宋体"/>
              </w:rPr>
              <w:br w:type="textWrapping"/>
            </w:r>
            <w:r>
              <w:rPr>
                <w:rFonts w:hint="eastAsia" w:ascii="仿宋_GB2312" w:eastAsia="仿宋_GB2312" w:cs="宋体"/>
              </w:rPr>
              <w:t>（0-15分）</w:t>
            </w: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严格按照财政要求撰写报告，审核结果评价全面透彻，查找问题能力强，问题定性准确，建议到位</w:t>
            </w:r>
          </w:p>
        </w:tc>
        <w:tc>
          <w:tcPr>
            <w:tcW w:w="222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能够按照财政要求撰写报告，审核结果评价基本全面，基本问题能够发现，并能提出一定合理建议</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没有按照财政要求撰写报告，审核结果评价没有深度</w:t>
            </w:r>
          </w:p>
        </w:tc>
        <w:tc>
          <w:tcPr>
            <w:tcW w:w="992" w:type="dxa"/>
            <w:vMerge w:val="restart"/>
            <w:tcBorders>
              <w:top w:val="nil"/>
              <w:left w:val="single" w:color="auto" w:sz="4" w:space="0"/>
              <w:bottom w:val="nil"/>
              <w:right w:val="single" w:color="auto" w:sz="4" w:space="0"/>
            </w:tcBorders>
            <w:vAlign w:val="center"/>
          </w:tcPr>
          <w:p>
            <w:pPr>
              <w:widowControl/>
              <w:spacing w:line="240" w:lineRule="exact"/>
              <w:jc w:val="center"/>
              <w:rPr>
                <w:rFonts w:ascii="仿宋_GB2312" w:eastAsia="仿宋_GB2312" w:cs="宋体"/>
              </w:rPr>
            </w:pPr>
          </w:p>
        </w:tc>
        <w:tc>
          <w:tcPr>
            <w:tcW w:w="992" w:type="dxa"/>
            <w:gridSpan w:val="2"/>
            <w:vMerge w:val="restart"/>
            <w:tcBorders>
              <w:top w:val="nil"/>
              <w:left w:val="single" w:color="auto" w:sz="4" w:space="0"/>
              <w:bottom w:val="nil"/>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992" w:type="dxa"/>
            <w:vMerge w:val="restart"/>
            <w:tcBorders>
              <w:top w:val="nil"/>
              <w:left w:val="single" w:color="auto" w:sz="4" w:space="0"/>
              <w:bottom w:val="nil"/>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908"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10～15</w:t>
            </w:r>
          </w:p>
        </w:tc>
        <w:tc>
          <w:tcPr>
            <w:tcW w:w="222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5～10</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0～5</w:t>
            </w:r>
          </w:p>
        </w:tc>
        <w:tc>
          <w:tcPr>
            <w:tcW w:w="992" w:type="dxa"/>
            <w:vMerge w:val="continue"/>
            <w:tcBorders>
              <w:top w:val="nil"/>
              <w:left w:val="single" w:color="auto" w:sz="4" w:space="0"/>
              <w:bottom w:val="single" w:color="auto" w:sz="4" w:space="0"/>
              <w:right w:val="single" w:color="auto" w:sz="4" w:space="0"/>
            </w:tcBorders>
            <w:vAlign w:val="center"/>
          </w:tcPr>
          <w:p/>
        </w:tc>
        <w:tc>
          <w:tcPr>
            <w:tcW w:w="992" w:type="dxa"/>
            <w:gridSpan w:val="2"/>
            <w:vMerge w:val="continue"/>
            <w:tcBorders>
              <w:top w:val="nil"/>
              <w:left w:val="single" w:color="auto" w:sz="4" w:space="0"/>
              <w:bottom w:val="single" w:color="auto" w:sz="4" w:space="0"/>
              <w:right w:val="single" w:color="auto" w:sz="4" w:space="0"/>
            </w:tcBorders>
            <w:vAlign w:val="center"/>
          </w:tcPr>
          <w:p/>
        </w:tc>
        <w:tc>
          <w:tcPr>
            <w:tcW w:w="992" w:type="dxa"/>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908" w:hRule="atLeast"/>
        </w:trPr>
        <w:tc>
          <w:tcPr>
            <w:tcW w:w="1200"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b/>
                <w:bCs/>
              </w:rPr>
              <w:t>审核质量</w:t>
            </w:r>
            <w:r>
              <w:rPr>
                <w:rFonts w:hint="eastAsia" w:ascii="仿宋_GB2312" w:eastAsia="仿宋_GB2312" w:cs="宋体"/>
              </w:rPr>
              <w:t>（0-40分）</w:t>
            </w:r>
          </w:p>
          <w:p>
            <w:pPr>
              <w:widowControl/>
              <w:spacing w:line="240" w:lineRule="exact"/>
              <w:jc w:val="center"/>
              <w:rPr>
                <w:rFonts w:ascii="仿宋_GB2312" w:eastAsia="仿宋_GB2312" w:cs="宋体"/>
              </w:rPr>
            </w:pPr>
            <w:r>
              <w:rPr>
                <w:rFonts w:hint="eastAsia" w:ascii="仿宋_GB2312" w:eastAsia="仿宋_GB2312" w:cs="宋体"/>
              </w:rPr>
              <w:t>两者扣分不一致时，从严扣分</w:t>
            </w:r>
          </w:p>
          <w:p>
            <w:pPr>
              <w:widowControl/>
              <w:spacing w:line="240" w:lineRule="exact"/>
              <w:jc w:val="center"/>
              <w:rPr>
                <w:rFonts w:ascii="仿宋_GB2312" w:eastAsia="仿宋_GB2312" w:cs="宋体"/>
              </w:rPr>
            </w:pPr>
            <w:r>
              <w:rPr>
                <w:rFonts w:hint="eastAsia" w:ascii="仿宋_GB2312" w:eastAsia="仿宋_GB2312" w:cs="宋体"/>
              </w:rPr>
              <w:t>（</w:t>
            </w:r>
            <w:r>
              <w:rPr>
                <w:rFonts w:hint="eastAsia" w:ascii="仿宋_GB2312" w:eastAsia="仿宋_GB2312"/>
                <w:szCs w:val="32"/>
              </w:rPr>
              <w:t>除争议问题外</w:t>
            </w:r>
            <w:r>
              <w:rPr>
                <w:rFonts w:hint="eastAsia" w:ascii="仿宋_GB2312" w:eastAsia="仿宋_GB2312" w:cs="宋体"/>
              </w:rPr>
              <w:t>）</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szCs w:val="32"/>
              </w:rPr>
              <w:t>误差绝对值金额</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小于</w:t>
            </w:r>
            <w:r>
              <w:rPr>
                <w:rFonts w:hint="eastAsia" w:ascii="仿宋_GB2312" w:eastAsia="仿宋_GB2312" w:cs="宋体"/>
                <w:color w:val="FF0000"/>
                <w:szCs w:val="32"/>
              </w:rPr>
              <w:t>等于</w:t>
            </w:r>
            <w:r>
              <w:rPr>
                <w:rFonts w:hint="eastAsia" w:ascii="仿宋_GB2312" w:eastAsia="仿宋_GB2312" w:cs="宋体"/>
                <w:color w:val="FF0000"/>
              </w:rPr>
              <w:t>3万元</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szCs w:val="32"/>
              </w:rPr>
              <w:t>大于3万元小于5等于万元</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szCs w:val="32"/>
              </w:rPr>
              <w:t>大于5万元小于等于10万元</w:t>
            </w:r>
          </w:p>
        </w:tc>
        <w:tc>
          <w:tcPr>
            <w:tcW w:w="119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FF0000"/>
              </w:rPr>
            </w:pPr>
            <w:r>
              <w:rPr>
                <w:rFonts w:hint="eastAsia" w:ascii="仿宋_GB2312" w:eastAsia="仿宋_GB2312" w:cs="宋体"/>
                <w:color w:val="FF0000"/>
                <w:szCs w:val="32"/>
              </w:rPr>
              <w:t>大于10万元小于等于50万元</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FF0000"/>
              </w:rPr>
            </w:pPr>
            <w:r>
              <w:rPr>
                <w:rFonts w:hint="eastAsia" w:ascii="仿宋_GB2312" w:eastAsia="仿宋_GB2312" w:cs="宋体"/>
                <w:color w:val="FF0000"/>
                <w:szCs w:val="32"/>
              </w:rPr>
              <w:t>大于50万元</w:t>
            </w:r>
          </w:p>
        </w:tc>
        <w:tc>
          <w:tcPr>
            <w:tcW w:w="992"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仿宋_GB2312" w:eastAsia="仿宋_GB2312" w:cs="宋体"/>
              </w:rPr>
            </w:pPr>
          </w:p>
        </w:tc>
        <w:tc>
          <w:tcPr>
            <w:tcW w:w="992" w:type="dxa"/>
            <w:gridSpan w:val="2"/>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992"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858" w:hRule="atLeast"/>
        </w:trPr>
        <w:tc>
          <w:tcPr>
            <w:tcW w:w="1200" w:type="dxa"/>
            <w:vMerge w:val="continue"/>
            <w:tcBorders>
              <w:top w:val="nil"/>
              <w:left w:val="single" w:color="auto" w:sz="4" w:space="0"/>
              <w:bottom w:val="nil"/>
              <w:right w:val="single" w:color="auto" w:sz="4" w:space="0"/>
            </w:tcBorders>
            <w:vAlign w:val="center"/>
          </w:tcP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扣分</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0-3</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3-5</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5-10</w:t>
            </w:r>
          </w:p>
        </w:tc>
        <w:tc>
          <w:tcPr>
            <w:tcW w:w="119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FF0000"/>
              </w:rPr>
            </w:pPr>
            <w:r>
              <w:rPr>
                <w:rFonts w:hint="eastAsia" w:ascii="仿宋_GB2312" w:eastAsia="仿宋_GB2312"/>
                <w:color w:val="FF0000"/>
              </w:rPr>
              <w:t>30</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FF0000"/>
              </w:rPr>
            </w:pPr>
            <w:r>
              <w:rPr>
                <w:rFonts w:hint="eastAsia" w:ascii="仿宋_GB2312" w:eastAsia="仿宋_GB2312"/>
                <w:color w:val="FF0000"/>
              </w:rPr>
              <w:t>40</w:t>
            </w:r>
          </w:p>
        </w:tc>
        <w:tc>
          <w:tcPr>
            <w:tcW w:w="992" w:type="dxa"/>
            <w:vMerge w:val="continue"/>
            <w:tcBorders>
              <w:top w:val="nil"/>
              <w:left w:val="single" w:color="auto" w:sz="4" w:space="0"/>
              <w:bottom w:val="nil"/>
              <w:right w:val="single" w:color="auto" w:sz="4" w:space="0"/>
            </w:tcBorders>
            <w:vAlign w:val="center"/>
          </w:tcPr>
          <w:p/>
        </w:tc>
        <w:tc>
          <w:tcPr>
            <w:tcW w:w="992" w:type="dxa"/>
            <w:gridSpan w:val="2"/>
            <w:vMerge w:val="continue"/>
            <w:tcBorders>
              <w:top w:val="nil"/>
              <w:left w:val="single" w:color="auto" w:sz="4" w:space="0"/>
              <w:bottom w:val="nil"/>
              <w:right w:val="single" w:color="auto" w:sz="4" w:space="0"/>
            </w:tcBorders>
            <w:vAlign w:val="center"/>
          </w:tcPr>
          <w:p/>
        </w:tc>
        <w:tc>
          <w:tcPr>
            <w:tcW w:w="992" w:type="dxa"/>
            <w:vMerge w:val="continue"/>
            <w:tcBorders>
              <w:top w:val="nil"/>
              <w:left w:val="single" w:color="auto" w:sz="4" w:space="0"/>
              <w:bottom w:val="nil"/>
              <w:right w:val="single" w:color="auto" w:sz="4" w:space="0"/>
            </w:tcBorders>
            <w:vAlign w:val="center"/>
          </w:tcPr>
          <w:p/>
        </w:tc>
      </w:tr>
      <w:tr>
        <w:tblPrEx>
          <w:tblCellMar>
            <w:top w:w="0" w:type="dxa"/>
            <w:left w:w="108" w:type="dxa"/>
            <w:bottom w:w="0" w:type="dxa"/>
            <w:right w:w="108" w:type="dxa"/>
          </w:tblCellMar>
        </w:tblPrEx>
        <w:trPr>
          <w:trHeight w:val="428" w:hRule="atLeast"/>
        </w:trPr>
        <w:tc>
          <w:tcPr>
            <w:tcW w:w="1200" w:type="dxa"/>
            <w:vMerge w:val="continue"/>
            <w:tcBorders>
              <w:top w:val="nil"/>
              <w:left w:val="single" w:color="auto" w:sz="4" w:space="0"/>
              <w:bottom w:val="nil"/>
              <w:right w:val="single" w:color="auto" w:sz="4" w:space="0"/>
            </w:tcBorders>
            <w:vAlign w:val="center"/>
          </w:tcP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误差率</w:t>
            </w:r>
            <w:r>
              <w:rPr>
                <w:rFonts w:hint="eastAsia" w:ascii="仿宋_GB2312" w:eastAsia="仿宋_GB2312"/>
                <w:color w:val="FF0000"/>
              </w:rPr>
              <w:t>(%)</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3%&lt;X≤5%</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5%&lt;X≤10%</w:t>
            </w:r>
          </w:p>
        </w:tc>
        <w:tc>
          <w:tcPr>
            <w:tcW w:w="119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FF0000"/>
              </w:rPr>
            </w:pPr>
            <w:r>
              <w:rPr>
                <w:rFonts w:hint="eastAsia" w:ascii="仿宋_GB2312" w:eastAsia="仿宋_GB2312" w:cs="宋体"/>
                <w:color w:val="FF0000"/>
              </w:rPr>
              <w:t>10%&lt;X≤15%</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olor w:val="FF0000"/>
              </w:rPr>
              <w:t>&gt;</w:t>
            </w:r>
            <w:r>
              <w:rPr>
                <w:rFonts w:hint="eastAsia" w:ascii="仿宋_GB2312" w:eastAsia="仿宋_GB2312" w:cs="宋体"/>
                <w:color w:val="FF0000"/>
              </w:rPr>
              <w:t>15%</w:t>
            </w:r>
          </w:p>
        </w:tc>
        <w:tc>
          <w:tcPr>
            <w:tcW w:w="992" w:type="dxa"/>
            <w:vMerge w:val="continue"/>
            <w:tcBorders>
              <w:top w:val="nil"/>
              <w:left w:val="single" w:color="auto" w:sz="4" w:space="0"/>
              <w:bottom w:val="nil"/>
              <w:right w:val="single" w:color="auto" w:sz="4" w:space="0"/>
            </w:tcBorders>
            <w:vAlign w:val="center"/>
          </w:tcPr>
          <w:p/>
        </w:tc>
        <w:tc>
          <w:tcPr>
            <w:tcW w:w="992" w:type="dxa"/>
            <w:gridSpan w:val="2"/>
            <w:vMerge w:val="continue"/>
            <w:tcBorders>
              <w:top w:val="nil"/>
              <w:left w:val="single" w:color="auto" w:sz="4" w:space="0"/>
              <w:bottom w:val="nil"/>
              <w:right w:val="single" w:color="auto" w:sz="4" w:space="0"/>
            </w:tcBorders>
            <w:vAlign w:val="center"/>
          </w:tcPr>
          <w:p/>
        </w:tc>
        <w:tc>
          <w:tcPr>
            <w:tcW w:w="992" w:type="dxa"/>
            <w:vMerge w:val="continue"/>
            <w:tcBorders>
              <w:top w:val="nil"/>
              <w:left w:val="single" w:color="auto" w:sz="4" w:space="0"/>
              <w:bottom w:val="nil"/>
              <w:right w:val="single" w:color="auto" w:sz="4" w:space="0"/>
            </w:tcBorders>
            <w:vAlign w:val="center"/>
          </w:tcPr>
          <w:p/>
        </w:tc>
      </w:tr>
      <w:tr>
        <w:tblPrEx>
          <w:tblCellMar>
            <w:top w:w="0" w:type="dxa"/>
            <w:left w:w="108" w:type="dxa"/>
            <w:bottom w:w="0" w:type="dxa"/>
            <w:right w:w="108" w:type="dxa"/>
          </w:tblCellMar>
        </w:tblPrEx>
        <w:trPr>
          <w:trHeight w:val="428" w:hRule="atLeast"/>
        </w:trPr>
        <w:tc>
          <w:tcPr>
            <w:tcW w:w="1200" w:type="dxa"/>
            <w:vMerge w:val="continue"/>
            <w:tcBorders>
              <w:top w:val="nil"/>
              <w:left w:val="single" w:color="auto" w:sz="4" w:space="0"/>
              <w:bottom w:val="nil"/>
              <w:right w:val="single" w:color="auto" w:sz="4" w:space="0"/>
            </w:tcBorders>
            <w:vAlign w:val="center"/>
          </w:tcPr>
          <w:p/>
        </w:tc>
        <w:tc>
          <w:tcPr>
            <w:tcW w:w="17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扣分</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5</w:t>
            </w:r>
          </w:p>
        </w:tc>
        <w:tc>
          <w:tcPr>
            <w:tcW w:w="11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10</w:t>
            </w:r>
          </w:p>
        </w:tc>
        <w:tc>
          <w:tcPr>
            <w:tcW w:w="1193"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315" w:firstLineChars="150"/>
              <w:rPr>
                <w:rFonts w:ascii="仿宋_GB2312" w:eastAsia="仿宋_GB2312" w:cs="宋体"/>
                <w:color w:val="FF0000"/>
              </w:rPr>
            </w:pPr>
            <w:r>
              <w:rPr>
                <w:rFonts w:hint="eastAsia" w:ascii="仿宋_GB2312" w:eastAsia="仿宋_GB2312" w:cs="宋体"/>
                <w:color w:val="FF0000"/>
              </w:rPr>
              <w:t>30</w:t>
            </w:r>
          </w:p>
        </w:tc>
        <w:tc>
          <w:tcPr>
            <w:tcW w:w="10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color w:val="FF0000"/>
              </w:rPr>
            </w:pPr>
            <w:r>
              <w:rPr>
                <w:rFonts w:hint="eastAsia" w:ascii="仿宋_GB2312" w:eastAsia="仿宋_GB2312" w:cs="宋体"/>
                <w:color w:val="FF0000"/>
              </w:rPr>
              <w:t>40</w:t>
            </w:r>
          </w:p>
        </w:tc>
        <w:tc>
          <w:tcPr>
            <w:tcW w:w="992" w:type="dxa"/>
            <w:vMerge w:val="continue"/>
            <w:tcBorders>
              <w:top w:val="nil"/>
              <w:left w:val="single" w:color="auto" w:sz="4" w:space="0"/>
              <w:bottom w:val="nil"/>
              <w:right w:val="single" w:color="auto" w:sz="4" w:space="0"/>
            </w:tcBorders>
            <w:vAlign w:val="center"/>
          </w:tcPr>
          <w:p/>
        </w:tc>
        <w:tc>
          <w:tcPr>
            <w:tcW w:w="992" w:type="dxa"/>
            <w:gridSpan w:val="2"/>
            <w:vMerge w:val="continue"/>
            <w:tcBorders>
              <w:top w:val="nil"/>
              <w:left w:val="single" w:color="auto" w:sz="4" w:space="0"/>
              <w:bottom w:val="nil"/>
              <w:right w:val="single" w:color="auto" w:sz="4" w:space="0"/>
            </w:tcBorders>
            <w:vAlign w:val="center"/>
          </w:tcPr>
          <w:p/>
        </w:tc>
        <w:tc>
          <w:tcPr>
            <w:tcW w:w="992" w:type="dxa"/>
            <w:vMerge w:val="continue"/>
            <w:tcBorders>
              <w:top w:val="nil"/>
              <w:left w:val="single" w:color="auto" w:sz="4" w:space="0"/>
              <w:bottom w:val="nil"/>
              <w:right w:val="single" w:color="auto" w:sz="4" w:space="0"/>
            </w:tcBorders>
            <w:vAlign w:val="center"/>
          </w:tcPr>
          <w:p/>
        </w:tc>
      </w:tr>
      <w:tr>
        <w:tblPrEx>
          <w:tblCellMar>
            <w:top w:w="0" w:type="dxa"/>
            <w:left w:w="108" w:type="dxa"/>
            <w:bottom w:w="0" w:type="dxa"/>
            <w:right w:w="108" w:type="dxa"/>
          </w:tblCellMar>
        </w:tblPrEx>
        <w:trPr>
          <w:trHeight w:val="428" w:hRule="atLeast"/>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质量内控（0-10分）</w:t>
            </w: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严格履行投标文件承诺，质量内控程序执行到位，效果显著</w:t>
            </w:r>
          </w:p>
        </w:tc>
        <w:tc>
          <w:tcPr>
            <w:tcW w:w="222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基本履行投标文件承诺，质量内控程序执行基本到位，效果一般</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质量内控程序执行流于形式，效果差</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428" w:hRule="atLeast"/>
        </w:trPr>
        <w:tc>
          <w:tcPr>
            <w:tcW w:w="1200" w:type="dxa"/>
            <w:vMerge w:val="continue"/>
            <w:tcBorders>
              <w:top w:val="single" w:color="auto" w:sz="4" w:space="0"/>
              <w:left w:val="single" w:color="auto" w:sz="4" w:space="0"/>
              <w:bottom w:val="single" w:color="000000" w:sz="4" w:space="0"/>
              <w:right w:val="single" w:color="auto" w:sz="4" w:space="0"/>
            </w:tcBorders>
            <w:vAlign w:val="center"/>
          </w:tcPr>
          <w:p/>
        </w:tc>
        <w:tc>
          <w:tcPr>
            <w:tcW w:w="170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8～10</w:t>
            </w:r>
          </w:p>
        </w:tc>
        <w:tc>
          <w:tcPr>
            <w:tcW w:w="2223"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5～7</w:t>
            </w:r>
          </w:p>
        </w:tc>
        <w:tc>
          <w:tcPr>
            <w:tcW w:w="2210"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0～4</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428" w:hRule="atLeast"/>
        </w:trPr>
        <w:tc>
          <w:tcPr>
            <w:tcW w:w="12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审核时限（0-20分）</w:t>
            </w:r>
          </w:p>
        </w:tc>
        <w:tc>
          <w:tcPr>
            <w:tcW w:w="170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复审单位原因结算审核延误（天）</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≤3</w:t>
            </w:r>
          </w:p>
        </w:tc>
        <w:tc>
          <w:tcPr>
            <w:tcW w:w="147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hint="eastAsia" w:ascii="仿宋_GB2312" w:eastAsia="仿宋_GB2312"/>
              </w:rPr>
              <w:t>3～5</w:t>
            </w:r>
          </w:p>
        </w:tc>
        <w:tc>
          <w:tcPr>
            <w:tcW w:w="184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hint="eastAsia" w:ascii="仿宋_GB2312" w:eastAsia="仿宋_GB2312"/>
              </w:rPr>
              <w:t>&gt;5</w:t>
            </w:r>
          </w:p>
        </w:tc>
        <w:tc>
          <w:tcPr>
            <w:tcW w:w="9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p>
        </w:tc>
        <w:tc>
          <w:tcPr>
            <w:tcW w:w="99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c>
          <w:tcPr>
            <w:tcW w:w="992"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428" w:hRule="atLeast"/>
        </w:trPr>
        <w:tc>
          <w:tcPr>
            <w:tcW w:w="1200" w:type="dxa"/>
            <w:vMerge w:val="continue"/>
            <w:tcBorders>
              <w:top w:val="nil"/>
              <w:left w:val="single" w:color="auto" w:sz="4" w:space="0"/>
              <w:bottom w:val="single" w:color="auto" w:sz="4" w:space="0"/>
              <w:right w:val="single" w:color="auto" w:sz="4" w:space="0"/>
            </w:tcBorders>
            <w:vAlign w:val="center"/>
          </w:tcPr>
          <w:p/>
        </w:tc>
        <w:tc>
          <w:tcPr>
            <w:tcW w:w="170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扣分</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hint="eastAsia" w:ascii="仿宋_GB2312" w:eastAsia="仿宋_GB2312"/>
              </w:rPr>
              <w:t>5</w:t>
            </w:r>
          </w:p>
        </w:tc>
        <w:tc>
          <w:tcPr>
            <w:tcW w:w="147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hint="eastAsia" w:ascii="仿宋_GB2312" w:eastAsia="仿宋_GB2312"/>
              </w:rPr>
              <w:t>10</w:t>
            </w:r>
          </w:p>
        </w:tc>
        <w:tc>
          <w:tcPr>
            <w:tcW w:w="184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rPr>
            </w:pPr>
            <w:r>
              <w:rPr>
                <w:rFonts w:hint="eastAsia" w:ascii="仿宋_GB2312" w:eastAsia="仿宋_GB2312"/>
              </w:rPr>
              <w:t>20</w:t>
            </w:r>
          </w:p>
        </w:tc>
        <w:tc>
          <w:tcPr>
            <w:tcW w:w="992" w:type="dxa"/>
            <w:vMerge w:val="continue"/>
            <w:tcBorders>
              <w:top w:val="nil"/>
              <w:left w:val="single" w:color="auto" w:sz="4" w:space="0"/>
              <w:bottom w:val="single" w:color="auto" w:sz="4" w:space="0"/>
              <w:right w:val="single" w:color="auto" w:sz="4" w:space="0"/>
            </w:tcBorders>
            <w:vAlign w:val="center"/>
          </w:tcPr>
          <w:p/>
        </w:tc>
        <w:tc>
          <w:tcPr>
            <w:tcW w:w="992" w:type="dxa"/>
            <w:gridSpan w:val="2"/>
            <w:vMerge w:val="continue"/>
            <w:tcBorders>
              <w:top w:val="nil"/>
              <w:left w:val="single" w:color="auto" w:sz="4" w:space="0"/>
              <w:bottom w:val="single" w:color="auto" w:sz="4" w:space="0"/>
              <w:right w:val="single" w:color="auto" w:sz="4" w:space="0"/>
            </w:tcBorders>
            <w:vAlign w:val="center"/>
          </w:tcPr>
          <w:p/>
        </w:tc>
        <w:tc>
          <w:tcPr>
            <w:tcW w:w="992" w:type="dxa"/>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428" w:hRule="atLeast"/>
        </w:trPr>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s="宋体"/>
                <w:b/>
                <w:bCs/>
              </w:rPr>
            </w:pPr>
            <w:r>
              <w:rPr>
                <w:rFonts w:hint="eastAsia" w:ascii="仿宋_GB2312" w:eastAsia="仿宋_GB2312" w:cs="宋体"/>
                <w:b/>
                <w:bCs/>
              </w:rPr>
              <w:t>项目综合考评得分</w:t>
            </w:r>
          </w:p>
        </w:tc>
        <w:tc>
          <w:tcPr>
            <w:tcW w:w="6138" w:type="dxa"/>
            <w:gridSpan w:val="10"/>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r>
              <w:rPr>
                <w:rFonts w:hint="eastAsia" w:ascii="仿宋_GB2312" w:eastAsia="仿宋_GB2312" w:cs="宋体"/>
                <w:b/>
                <w:bCs/>
              </w:rPr>
              <w:t>评定等级</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s="宋体"/>
                <w:b/>
                <w:bCs/>
              </w:rPr>
            </w:pPr>
          </w:p>
        </w:tc>
        <w:tc>
          <w:tcPr>
            <w:tcW w:w="992"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eastAsia="仿宋_GB2312" w:cs="宋体"/>
                <w:b/>
                <w:bCs/>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仿宋_GB2312" w:eastAsia="仿宋_GB2312" w:cs="宋体"/>
              </w:rPr>
            </w:pPr>
            <w:r>
              <w:rPr>
                <w:rFonts w:hint="eastAsia" w:ascii="仿宋_GB2312" w:eastAsia="仿宋_GB2312" w:cs="宋体"/>
              </w:rPr>
              <w:t>　</w:t>
            </w:r>
          </w:p>
        </w:tc>
      </w:tr>
      <w:tr>
        <w:tblPrEx>
          <w:tblCellMar>
            <w:top w:w="0" w:type="dxa"/>
            <w:left w:w="108" w:type="dxa"/>
            <w:bottom w:w="0" w:type="dxa"/>
            <w:right w:w="108" w:type="dxa"/>
          </w:tblCellMar>
        </w:tblPrEx>
        <w:trPr>
          <w:trHeight w:val="428" w:hRule="atLeast"/>
        </w:trPr>
        <w:tc>
          <w:tcPr>
            <w:tcW w:w="10314" w:type="dxa"/>
            <w:gridSpan w:val="15"/>
            <w:tcBorders>
              <w:top w:val="nil"/>
              <w:left w:val="nil"/>
              <w:bottom w:val="nil"/>
              <w:right w:val="nil"/>
            </w:tcBorders>
            <w:vAlign w:val="bottom"/>
          </w:tcPr>
          <w:p>
            <w:pPr>
              <w:widowControl/>
              <w:spacing w:line="240" w:lineRule="exact"/>
              <w:jc w:val="left"/>
              <w:rPr>
                <w:rFonts w:ascii="仿宋_GB2312" w:eastAsia="仿宋_GB2312" w:cs="宋体"/>
                <w:b/>
                <w:bCs/>
              </w:rPr>
            </w:pPr>
            <w:r>
              <w:rPr>
                <w:rFonts w:hint="eastAsia" w:ascii="仿宋_GB2312" w:eastAsia="仿宋_GB2312" w:cs="宋体"/>
                <w:b/>
                <w:bCs/>
              </w:rPr>
              <w:t>备注：1、评定等级考核分数</w:t>
            </w:r>
            <w:r>
              <w:rPr>
                <w:rFonts w:hint="eastAsia" w:ascii="仿宋_GB2312" w:hAnsi="仿宋_GB2312" w:cs="宋体"/>
                <w:b/>
                <w:bCs/>
              </w:rPr>
              <w:t>≧</w:t>
            </w:r>
            <w:r>
              <w:rPr>
                <w:rFonts w:hint="eastAsia" w:ascii="仿宋_GB2312" w:eastAsia="仿宋_GB2312" w:cs="宋体"/>
                <w:b/>
                <w:bCs/>
              </w:rPr>
              <w:t>90分为优秀，&lt;60为不合格，其余为合格。</w:t>
            </w:r>
          </w:p>
          <w:p>
            <w:pPr>
              <w:widowControl/>
              <w:spacing w:line="240" w:lineRule="exact"/>
              <w:jc w:val="left"/>
              <w:rPr>
                <w:rFonts w:ascii="仿宋_GB2312" w:eastAsia="仿宋_GB2312" w:cs="宋体"/>
                <w:b/>
                <w:bCs/>
              </w:rPr>
            </w:pPr>
            <w:r>
              <w:rPr>
                <w:rFonts w:hint="eastAsia" w:ascii="仿宋_GB2312" w:eastAsia="仿宋_GB2312" w:cs="宋体"/>
                <w:b/>
                <w:bCs/>
              </w:rPr>
              <w:t xml:space="preserve">      2、单个项目中审核质量考核扣分10-30分之间的予以警告，复审人员(复审审核人员、复审项目负责人）亮黄牌1枚；单个项目中审核质量考核扣分30-40分之间分的予以严重警告，复审人员（复审审核人员、复审项目负责人）亮黄牌2枚；每位复审人员累计得3枚黄牌的，直接取消复审人员资格；上述情况，在相关网站或联络群加以通报；</w:t>
            </w:r>
          </w:p>
          <w:p>
            <w:pPr>
              <w:widowControl/>
              <w:spacing w:line="240" w:lineRule="exact"/>
              <w:jc w:val="left"/>
              <w:rPr>
                <w:rFonts w:ascii="仿宋_GB2312" w:eastAsia="仿宋_GB2312" w:cs="宋体"/>
                <w:b/>
                <w:bCs/>
              </w:rPr>
            </w:pPr>
            <w:r>
              <w:rPr>
                <w:rFonts w:hint="eastAsia" w:ascii="仿宋_GB2312" w:eastAsia="仿宋_GB2312" w:cs="宋体"/>
                <w:b/>
                <w:bCs/>
              </w:rPr>
              <w:t xml:space="preserve">      3、</w:t>
            </w:r>
            <w:r>
              <w:rPr>
                <w:rFonts w:hint="eastAsia" w:ascii="仿宋_GB2312" w:hAnsi="宋体" w:eastAsia="仿宋_GB2312" w:cs="宋体"/>
                <w:b/>
                <w:bCs/>
              </w:rPr>
              <w:t>根据考核结果，对协审单位在年度排名前六名的，在项目奖励时予以优先考虑</w:t>
            </w:r>
            <w:r>
              <w:rPr>
                <w:rFonts w:hint="eastAsia" w:ascii="仿宋_GB2312" w:eastAsia="仿宋_GB2312" w:cs="宋体"/>
                <w:b/>
                <w:bCs/>
              </w:rPr>
              <w:t>。</w:t>
            </w:r>
          </w:p>
          <w:p>
            <w:pPr>
              <w:widowControl/>
              <w:spacing w:line="240" w:lineRule="exact"/>
              <w:jc w:val="left"/>
              <w:rPr>
                <w:rFonts w:ascii="仿宋_GB2312" w:eastAsia="仿宋_GB2312" w:cs="宋体"/>
                <w:b/>
                <w:bCs/>
              </w:rPr>
            </w:pPr>
          </w:p>
        </w:tc>
      </w:tr>
    </w:tbl>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r>
        <w:rPr>
          <w:rFonts w:hint="eastAsia" w:ascii="黑体" w:hAnsi="黑体" w:eastAsia="黑体" w:cs="黑体"/>
          <w:sz w:val="32"/>
          <w:szCs w:val="32"/>
        </w:rPr>
        <w:t>附表二</w:t>
      </w:r>
    </w:p>
    <w:p>
      <w:pPr>
        <w:snapToGrid w:val="0"/>
        <w:jc w:val="center"/>
        <w:rPr>
          <w:rFonts w:ascii="宋体" w:hAnsi="宋体" w:cs="宋体"/>
          <w:b/>
          <w:sz w:val="44"/>
          <w:szCs w:val="44"/>
        </w:rPr>
      </w:pPr>
    </w:p>
    <w:p>
      <w:pPr>
        <w:snapToGrid w:val="0"/>
        <w:jc w:val="center"/>
        <w:rPr>
          <w:rFonts w:ascii="宋体" w:hAnsi="宋体" w:cs="宋体"/>
          <w:b/>
          <w:sz w:val="44"/>
          <w:szCs w:val="44"/>
        </w:rPr>
      </w:pPr>
      <w:r>
        <w:rPr>
          <w:rFonts w:hint="eastAsia" w:ascii="宋体" w:hAnsi="宋体" w:cs="宋体"/>
          <w:b/>
          <w:sz w:val="44"/>
          <w:szCs w:val="44"/>
        </w:rPr>
        <w:t>中介机构审核工作方案</w:t>
      </w:r>
    </w:p>
    <w:p>
      <w:pPr>
        <w:spacing w:line="340" w:lineRule="exact"/>
        <w:rPr>
          <w:rFonts w:ascii="仿宋" w:hAnsi="仿宋" w:eastAsia="仿宋" w:cs="仿宋"/>
          <w:b/>
          <w:sz w:val="24"/>
        </w:rPr>
      </w:pPr>
    </w:p>
    <w:tbl>
      <w:tblPr>
        <w:tblStyle w:val="65"/>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01"/>
        <w:gridCol w:w="1470"/>
        <w:gridCol w:w="1347"/>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受托中介机构</w:t>
            </w:r>
          </w:p>
        </w:tc>
        <w:tc>
          <w:tcPr>
            <w:tcW w:w="6873" w:type="dxa"/>
            <w:gridSpan w:val="4"/>
          </w:tcPr>
          <w:p>
            <w:pPr>
              <w:jc w:val="righ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受托事项</w:t>
            </w:r>
          </w:p>
        </w:tc>
        <w:tc>
          <w:tcPr>
            <w:tcW w:w="6873" w:type="dxa"/>
            <w:gridSpan w:val="4"/>
          </w:tcPr>
          <w:p>
            <w:pPr>
              <w:jc w:val="righ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接收时间</w:t>
            </w:r>
          </w:p>
        </w:tc>
        <w:tc>
          <w:tcPr>
            <w:tcW w:w="6873" w:type="dxa"/>
            <w:gridSpan w:val="4"/>
          </w:tcPr>
          <w:p>
            <w:pPr>
              <w:jc w:val="righ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审核人员及</w:t>
            </w:r>
          </w:p>
          <w:p>
            <w:pPr>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2101" w:type="dxa"/>
            <w:vAlign w:val="center"/>
          </w:tcPr>
          <w:p>
            <w:pPr>
              <w:jc w:val="center"/>
              <w:rPr>
                <w:rFonts w:ascii="仿宋_GB2312" w:hAnsi="仿宋_GB2312" w:eastAsia="仿宋_GB2312" w:cs="仿宋_GB2312"/>
                <w:sz w:val="24"/>
              </w:rPr>
            </w:pPr>
          </w:p>
        </w:tc>
        <w:tc>
          <w:tcPr>
            <w:tcW w:w="147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3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9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Merge w:val="continue"/>
            <w:vAlign w:val="center"/>
          </w:tcPr>
          <w:p>
            <w:pPr>
              <w:jc w:val="center"/>
              <w:rPr>
                <w:rFonts w:ascii="仿宋_GB2312" w:hAnsi="仿宋_GB2312" w:eastAsia="仿宋_GB2312" w:cs="仿宋_GB2312"/>
                <w:sz w:val="24"/>
              </w:rPr>
            </w:pPr>
          </w:p>
        </w:tc>
        <w:tc>
          <w:tcPr>
            <w:tcW w:w="210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固定负责人</w:t>
            </w:r>
          </w:p>
        </w:tc>
        <w:tc>
          <w:tcPr>
            <w:tcW w:w="1470" w:type="dxa"/>
            <w:vAlign w:val="center"/>
          </w:tcPr>
          <w:p>
            <w:pPr>
              <w:jc w:val="center"/>
              <w:rPr>
                <w:rFonts w:ascii="仿宋_GB2312" w:hAnsi="仿宋_GB2312" w:eastAsia="仿宋_GB2312" w:cs="仿宋_GB2312"/>
                <w:sz w:val="24"/>
              </w:rPr>
            </w:pPr>
          </w:p>
        </w:tc>
        <w:tc>
          <w:tcPr>
            <w:tcW w:w="1347" w:type="dxa"/>
            <w:vAlign w:val="center"/>
          </w:tcPr>
          <w:p>
            <w:pPr>
              <w:jc w:val="center"/>
              <w:rPr>
                <w:rFonts w:ascii="仿宋_GB2312" w:hAnsi="仿宋_GB2312" w:eastAsia="仿宋_GB2312" w:cs="仿宋_GB2312"/>
                <w:sz w:val="24"/>
              </w:rPr>
            </w:pPr>
          </w:p>
        </w:tc>
        <w:tc>
          <w:tcPr>
            <w:tcW w:w="195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Merge w:val="continue"/>
            <w:vAlign w:val="center"/>
          </w:tcPr>
          <w:p>
            <w:pPr>
              <w:jc w:val="center"/>
              <w:rPr>
                <w:rFonts w:ascii="仿宋_GB2312" w:hAnsi="仿宋_GB2312" w:eastAsia="仿宋_GB2312" w:cs="仿宋_GB2312"/>
                <w:sz w:val="24"/>
              </w:rPr>
            </w:pPr>
          </w:p>
        </w:tc>
        <w:tc>
          <w:tcPr>
            <w:tcW w:w="210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审核人员（主审）</w:t>
            </w:r>
          </w:p>
        </w:tc>
        <w:tc>
          <w:tcPr>
            <w:tcW w:w="1470" w:type="dxa"/>
            <w:vAlign w:val="center"/>
          </w:tcPr>
          <w:p>
            <w:pPr>
              <w:jc w:val="center"/>
              <w:rPr>
                <w:rFonts w:ascii="仿宋_GB2312" w:hAnsi="仿宋_GB2312" w:eastAsia="仿宋_GB2312" w:cs="仿宋_GB2312"/>
                <w:sz w:val="24"/>
              </w:rPr>
            </w:pPr>
          </w:p>
        </w:tc>
        <w:tc>
          <w:tcPr>
            <w:tcW w:w="1347" w:type="dxa"/>
            <w:vAlign w:val="center"/>
          </w:tcPr>
          <w:p>
            <w:pPr>
              <w:jc w:val="center"/>
              <w:rPr>
                <w:rFonts w:ascii="仿宋_GB2312" w:hAnsi="仿宋_GB2312" w:eastAsia="仿宋_GB2312" w:cs="仿宋_GB2312"/>
                <w:sz w:val="24"/>
              </w:rPr>
            </w:pPr>
          </w:p>
        </w:tc>
        <w:tc>
          <w:tcPr>
            <w:tcW w:w="195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Merge w:val="continue"/>
            <w:vAlign w:val="center"/>
          </w:tcPr>
          <w:p>
            <w:pPr>
              <w:jc w:val="center"/>
              <w:rPr>
                <w:rFonts w:ascii="仿宋_GB2312" w:hAnsi="仿宋_GB2312" w:eastAsia="仿宋_GB2312" w:cs="仿宋_GB2312"/>
                <w:sz w:val="24"/>
              </w:rPr>
            </w:pPr>
          </w:p>
        </w:tc>
        <w:tc>
          <w:tcPr>
            <w:tcW w:w="210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审核人员</w:t>
            </w:r>
          </w:p>
        </w:tc>
        <w:tc>
          <w:tcPr>
            <w:tcW w:w="1470" w:type="dxa"/>
            <w:vAlign w:val="center"/>
          </w:tcPr>
          <w:p>
            <w:pPr>
              <w:jc w:val="center"/>
              <w:rPr>
                <w:rFonts w:ascii="仿宋_GB2312" w:hAnsi="仿宋_GB2312" w:eastAsia="仿宋_GB2312" w:cs="仿宋_GB2312"/>
                <w:sz w:val="24"/>
              </w:rPr>
            </w:pPr>
          </w:p>
        </w:tc>
        <w:tc>
          <w:tcPr>
            <w:tcW w:w="1347" w:type="dxa"/>
            <w:vAlign w:val="center"/>
          </w:tcPr>
          <w:p>
            <w:pPr>
              <w:jc w:val="center"/>
              <w:rPr>
                <w:rFonts w:ascii="仿宋_GB2312" w:hAnsi="仿宋_GB2312" w:eastAsia="仿宋_GB2312" w:cs="仿宋_GB2312"/>
                <w:sz w:val="24"/>
              </w:rPr>
            </w:pPr>
          </w:p>
        </w:tc>
        <w:tc>
          <w:tcPr>
            <w:tcW w:w="195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Merge w:val="continue"/>
            <w:vAlign w:val="center"/>
          </w:tcPr>
          <w:p>
            <w:pPr>
              <w:jc w:val="center"/>
              <w:rPr>
                <w:rFonts w:ascii="仿宋_GB2312" w:hAnsi="仿宋_GB2312" w:eastAsia="仿宋_GB2312" w:cs="仿宋_GB2312"/>
                <w:sz w:val="24"/>
              </w:rPr>
            </w:pPr>
          </w:p>
        </w:tc>
        <w:tc>
          <w:tcPr>
            <w:tcW w:w="210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470" w:type="dxa"/>
            <w:vAlign w:val="center"/>
          </w:tcPr>
          <w:p>
            <w:pPr>
              <w:jc w:val="center"/>
              <w:rPr>
                <w:rFonts w:ascii="仿宋_GB2312" w:hAnsi="仿宋_GB2312" w:eastAsia="仿宋_GB2312" w:cs="仿宋_GB2312"/>
                <w:sz w:val="24"/>
              </w:rPr>
            </w:pPr>
          </w:p>
        </w:tc>
        <w:tc>
          <w:tcPr>
            <w:tcW w:w="1347" w:type="dxa"/>
            <w:vAlign w:val="center"/>
          </w:tcPr>
          <w:p>
            <w:pPr>
              <w:jc w:val="center"/>
              <w:rPr>
                <w:rFonts w:ascii="仿宋_GB2312" w:hAnsi="仿宋_GB2312" w:eastAsia="仿宋_GB2312" w:cs="仿宋_GB2312"/>
                <w:sz w:val="24"/>
              </w:rPr>
            </w:pPr>
          </w:p>
        </w:tc>
        <w:tc>
          <w:tcPr>
            <w:tcW w:w="195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审核人员造价执业资格章盖章并签字</w:t>
            </w:r>
          </w:p>
        </w:tc>
        <w:tc>
          <w:tcPr>
            <w:tcW w:w="6873" w:type="dxa"/>
            <w:gridSpan w:val="4"/>
          </w:tcPr>
          <w:p>
            <w:pPr>
              <w:ind w:right="480"/>
              <w:rPr>
                <w:rFonts w:ascii="仿宋_GB2312" w:hAnsi="仿宋_GB2312" w:eastAsia="仿宋_GB2312" w:cs="仿宋_GB2312"/>
                <w:sz w:val="24"/>
              </w:rPr>
            </w:pPr>
          </w:p>
          <w:p>
            <w:pPr>
              <w:ind w:right="480"/>
              <w:rPr>
                <w:rFonts w:ascii="仿宋_GB2312" w:hAnsi="仿宋_GB2312" w:eastAsia="仿宋_GB2312" w:cs="仿宋_GB2312"/>
                <w:sz w:val="24"/>
              </w:rPr>
            </w:pPr>
          </w:p>
          <w:p>
            <w:pPr>
              <w:ind w:right="480"/>
              <w:rPr>
                <w:rFonts w:ascii="仿宋_GB2312" w:hAnsi="仿宋_GB2312" w:eastAsia="仿宋_GB2312" w:cs="仿宋_GB2312"/>
                <w:sz w:val="24"/>
              </w:rPr>
            </w:pPr>
          </w:p>
          <w:p>
            <w:pPr>
              <w:ind w:right="480"/>
              <w:rPr>
                <w:rFonts w:ascii="仿宋_GB2312" w:hAnsi="仿宋_GB2312" w:eastAsia="仿宋_GB2312" w:cs="仿宋_GB2312"/>
                <w:sz w:val="24"/>
              </w:rPr>
            </w:pPr>
          </w:p>
          <w:p>
            <w:pPr>
              <w:ind w:right="480"/>
              <w:rPr>
                <w:rFonts w:ascii="仿宋_GB2312" w:hAnsi="仿宋_GB2312" w:eastAsia="仿宋_GB2312" w:cs="仿宋_GB2312"/>
                <w:sz w:val="24"/>
              </w:rPr>
            </w:pPr>
          </w:p>
          <w:p>
            <w:pPr>
              <w:ind w:right="480"/>
              <w:rPr>
                <w:rFonts w:ascii="仿宋_GB2312" w:hAnsi="仿宋_GB2312" w:eastAsia="仿宋_GB2312" w:cs="仿宋_GB2312"/>
                <w:sz w:val="24"/>
              </w:rPr>
            </w:pPr>
          </w:p>
          <w:p>
            <w:pPr>
              <w:ind w:right="48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审核计划</w:t>
            </w:r>
          </w:p>
          <w:p>
            <w:pPr>
              <w:jc w:val="center"/>
              <w:rPr>
                <w:rFonts w:ascii="仿宋_GB2312" w:hAnsi="仿宋_GB2312" w:eastAsia="仿宋_GB2312" w:cs="仿宋_GB2312"/>
                <w:sz w:val="24"/>
              </w:rPr>
            </w:pPr>
            <w:r>
              <w:rPr>
                <w:rFonts w:hint="eastAsia" w:ascii="仿宋_GB2312" w:hAnsi="仿宋_GB2312" w:eastAsia="仿宋_GB2312" w:cs="仿宋_GB2312"/>
                <w:sz w:val="24"/>
              </w:rPr>
              <w:t>和方案</w:t>
            </w:r>
          </w:p>
        </w:tc>
        <w:tc>
          <w:tcPr>
            <w:tcW w:w="6873" w:type="dxa"/>
            <w:gridSpan w:val="4"/>
            <w:vAlign w:val="center"/>
          </w:tcPr>
          <w:p>
            <w:pPr>
              <w:ind w:right="480"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 xml:space="preserve">        </w:t>
            </w:r>
          </w:p>
          <w:p>
            <w:pPr>
              <w:ind w:right="480" w:firstLine="480" w:firstLineChars="200"/>
              <w:jc w:val="right"/>
              <w:rPr>
                <w:rFonts w:ascii="仿宋_GB2312" w:hAnsi="仿宋_GB2312" w:eastAsia="仿宋_GB2312" w:cs="仿宋_GB2312"/>
                <w:sz w:val="24"/>
              </w:rPr>
            </w:pPr>
          </w:p>
          <w:p>
            <w:pPr>
              <w:ind w:right="480" w:firstLine="480" w:firstLineChars="200"/>
              <w:jc w:val="right"/>
              <w:rPr>
                <w:rFonts w:ascii="仿宋_GB2312" w:hAnsi="仿宋_GB2312" w:eastAsia="仿宋_GB2312" w:cs="仿宋_GB2312"/>
                <w:sz w:val="24"/>
              </w:rPr>
            </w:pPr>
          </w:p>
          <w:p>
            <w:pPr>
              <w:ind w:right="480" w:firstLine="480" w:firstLineChars="200"/>
              <w:jc w:val="right"/>
              <w:rPr>
                <w:rFonts w:ascii="仿宋_GB2312" w:hAnsi="仿宋_GB2312" w:eastAsia="仿宋_GB2312" w:cs="仿宋_GB2312"/>
                <w:sz w:val="24"/>
              </w:rPr>
            </w:pPr>
          </w:p>
          <w:p>
            <w:pPr>
              <w:ind w:right="480" w:firstLine="480" w:firstLineChars="200"/>
              <w:jc w:val="right"/>
              <w:rPr>
                <w:rFonts w:ascii="仿宋_GB2312" w:hAnsi="仿宋_GB2312" w:eastAsia="仿宋_GB2312" w:cs="仿宋_GB2312"/>
                <w:sz w:val="24"/>
              </w:rPr>
            </w:pPr>
          </w:p>
          <w:p>
            <w:pPr>
              <w:ind w:right="480" w:firstLine="480" w:firstLineChars="200"/>
              <w:jc w:val="right"/>
              <w:rPr>
                <w:rFonts w:ascii="仿宋_GB2312" w:hAnsi="仿宋_GB2312" w:eastAsia="仿宋_GB2312" w:cs="仿宋_GB2312"/>
                <w:sz w:val="24"/>
              </w:rPr>
            </w:pPr>
          </w:p>
          <w:p>
            <w:pPr>
              <w:ind w:right="480" w:firstLine="480" w:firstLineChars="200"/>
              <w:jc w:val="right"/>
              <w:rPr>
                <w:rFonts w:ascii="仿宋_GB2312" w:hAnsi="仿宋_GB2312" w:eastAsia="仿宋_GB2312" w:cs="仿宋_GB2312"/>
                <w:sz w:val="24"/>
              </w:rPr>
            </w:pPr>
          </w:p>
          <w:p>
            <w:pPr>
              <w:ind w:right="480" w:firstLine="480" w:firstLineChars="200"/>
              <w:jc w:val="right"/>
              <w:rPr>
                <w:rFonts w:ascii="仿宋_GB2312" w:hAnsi="仿宋_GB2312" w:eastAsia="仿宋_GB2312" w:cs="仿宋_GB2312"/>
                <w:sz w:val="24"/>
              </w:rPr>
            </w:pPr>
          </w:p>
          <w:p>
            <w:pPr>
              <w:ind w:right="480" w:firstLine="480" w:firstLineChars="200"/>
              <w:jc w:val="right"/>
              <w:rPr>
                <w:rFonts w:ascii="仿宋_GB2312" w:hAnsi="仿宋_GB2312" w:eastAsia="仿宋_GB2312" w:cs="仿宋_GB2312"/>
                <w:sz w:val="24"/>
              </w:rPr>
            </w:pPr>
          </w:p>
          <w:p>
            <w:pPr>
              <w:ind w:right="480" w:firstLine="480" w:firstLineChars="200"/>
              <w:jc w:val="right"/>
              <w:rPr>
                <w:rFonts w:ascii="仿宋_GB2312" w:hAnsi="仿宋_GB2312" w:eastAsia="仿宋_GB2312" w:cs="仿宋_GB2312"/>
                <w:sz w:val="24"/>
              </w:rPr>
            </w:pPr>
          </w:p>
          <w:p>
            <w:pPr>
              <w:ind w:right="480" w:firstLine="480" w:firstLineChars="200"/>
              <w:jc w:val="right"/>
              <w:rPr>
                <w:rFonts w:ascii="仿宋_GB2312" w:hAnsi="仿宋_GB2312" w:eastAsia="仿宋_GB2312" w:cs="仿宋_GB2312"/>
                <w:sz w:val="24"/>
              </w:rPr>
            </w:pPr>
          </w:p>
          <w:p>
            <w:pPr>
              <w:ind w:right="480"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单位盖章：              年  月  日</w:t>
            </w:r>
          </w:p>
          <w:p>
            <w:pPr>
              <w:ind w:right="480" w:firstLine="480" w:firstLineChars="200"/>
              <w:jc w:val="right"/>
              <w:rPr>
                <w:rFonts w:ascii="仿宋_GB2312" w:hAnsi="仿宋_GB2312" w:eastAsia="仿宋_GB2312" w:cs="仿宋_GB2312"/>
                <w:sz w:val="24"/>
              </w:rPr>
            </w:pPr>
          </w:p>
        </w:tc>
      </w:tr>
    </w:tbl>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8" w:name="_Toc184313242"/>
      <w:bookmarkEnd w:id="38"/>
      <w:bookmarkStart w:id="39" w:name="_Toc184310324"/>
      <w:bookmarkEnd w:id="39"/>
      <w:bookmarkStart w:id="40" w:name="_Toc184314436"/>
      <w:bookmarkEnd w:id="40"/>
      <w:bookmarkStart w:id="41" w:name="_Toc184312118"/>
      <w:bookmarkEnd w:id="41"/>
      <w:bookmarkStart w:id="42" w:name="_Toc184312119"/>
      <w:bookmarkEnd w:id="42"/>
      <w:bookmarkStart w:id="43" w:name="_Toc184313289"/>
      <w:bookmarkEnd w:id="43"/>
      <w:bookmarkStart w:id="44" w:name="_Toc184308051"/>
      <w:bookmarkEnd w:id="44"/>
      <w:bookmarkStart w:id="45" w:name="_Toc184308107"/>
      <w:bookmarkEnd w:id="45"/>
      <w:bookmarkStart w:id="46" w:name="_Toc184312131"/>
      <w:bookmarkEnd w:id="46"/>
      <w:bookmarkStart w:id="47" w:name="_Toc184310307"/>
      <w:bookmarkEnd w:id="47"/>
      <w:bookmarkStart w:id="48" w:name="_Toc184308072"/>
      <w:bookmarkEnd w:id="48"/>
      <w:bookmarkStart w:id="49" w:name="_Toc184310286"/>
      <w:bookmarkEnd w:id="49"/>
      <w:bookmarkStart w:id="50" w:name="_Toc184312108"/>
      <w:bookmarkEnd w:id="50"/>
      <w:bookmarkStart w:id="51" w:name="_Toc184312071"/>
      <w:bookmarkEnd w:id="51"/>
      <w:bookmarkStart w:id="52" w:name="_Toc184314441"/>
      <w:bookmarkEnd w:id="52"/>
      <w:bookmarkStart w:id="53" w:name="_Toc184314451"/>
      <w:bookmarkEnd w:id="53"/>
      <w:bookmarkStart w:id="54" w:name="_Toc184312124"/>
      <w:bookmarkEnd w:id="54"/>
      <w:bookmarkStart w:id="55" w:name="_Toc184313302"/>
      <w:bookmarkEnd w:id="55"/>
      <w:bookmarkStart w:id="56" w:name="_Toc184313252"/>
      <w:bookmarkEnd w:id="56"/>
      <w:bookmarkStart w:id="57" w:name="_Toc184312080"/>
      <w:bookmarkEnd w:id="57"/>
      <w:bookmarkStart w:id="58" w:name="_Toc184314465"/>
      <w:bookmarkEnd w:id="58"/>
      <w:bookmarkStart w:id="59" w:name="_Toc184308108"/>
      <w:bookmarkEnd w:id="59"/>
      <w:bookmarkStart w:id="60" w:name="_Toc184313291"/>
      <w:bookmarkEnd w:id="60"/>
      <w:bookmarkStart w:id="61" w:name="_Toc184308100"/>
      <w:bookmarkEnd w:id="61"/>
      <w:bookmarkStart w:id="62" w:name="_Toc184313264"/>
      <w:bookmarkEnd w:id="62"/>
      <w:bookmarkStart w:id="63" w:name="_Toc184314445"/>
      <w:bookmarkEnd w:id="63"/>
      <w:bookmarkStart w:id="64" w:name="_Toc184313238"/>
      <w:bookmarkEnd w:id="64"/>
      <w:bookmarkStart w:id="65" w:name="_Toc184308070"/>
      <w:bookmarkEnd w:id="65"/>
      <w:bookmarkStart w:id="66" w:name="_Toc184310283"/>
      <w:bookmarkEnd w:id="66"/>
      <w:bookmarkStart w:id="67" w:name="_Toc184313270"/>
      <w:bookmarkEnd w:id="67"/>
      <w:bookmarkStart w:id="68" w:name="_Toc184308084"/>
      <w:bookmarkEnd w:id="68"/>
      <w:bookmarkStart w:id="69" w:name="_Toc184310306"/>
      <w:bookmarkEnd w:id="69"/>
      <w:bookmarkStart w:id="70" w:name="_Toc184310311"/>
      <w:bookmarkEnd w:id="70"/>
      <w:bookmarkStart w:id="71" w:name="_Toc184313308"/>
      <w:bookmarkEnd w:id="71"/>
      <w:bookmarkStart w:id="72" w:name="_Toc184308102"/>
      <w:bookmarkEnd w:id="72"/>
      <w:bookmarkStart w:id="73" w:name="_Toc184312136"/>
      <w:bookmarkEnd w:id="73"/>
      <w:bookmarkStart w:id="74" w:name="_Toc184314456"/>
      <w:bookmarkEnd w:id="74"/>
      <w:bookmarkStart w:id="75" w:name="_Toc184312113"/>
      <w:bookmarkEnd w:id="75"/>
      <w:bookmarkStart w:id="76" w:name="_Toc184314419"/>
      <w:bookmarkEnd w:id="76"/>
      <w:bookmarkStart w:id="77" w:name="_Toc184312126"/>
      <w:bookmarkEnd w:id="77"/>
      <w:bookmarkStart w:id="78" w:name="_Toc184313293"/>
      <w:bookmarkEnd w:id="78"/>
      <w:bookmarkStart w:id="79" w:name="_Toc184310309"/>
      <w:bookmarkEnd w:id="79"/>
      <w:bookmarkStart w:id="80" w:name="_Toc184313310"/>
      <w:bookmarkEnd w:id="80"/>
      <w:bookmarkStart w:id="81" w:name="_Toc184310328"/>
      <w:bookmarkEnd w:id="81"/>
      <w:bookmarkStart w:id="82" w:name="_Toc184314421"/>
      <w:bookmarkEnd w:id="82"/>
      <w:bookmarkStart w:id="83" w:name="_Toc184313259"/>
      <w:bookmarkEnd w:id="83"/>
      <w:bookmarkStart w:id="84" w:name="_Toc184310315"/>
      <w:bookmarkEnd w:id="84"/>
      <w:bookmarkStart w:id="85" w:name="_Toc184313254"/>
      <w:bookmarkEnd w:id="85"/>
      <w:bookmarkStart w:id="86" w:name="_Toc184312084"/>
      <w:bookmarkEnd w:id="86"/>
      <w:bookmarkStart w:id="87" w:name="_Toc184312106"/>
      <w:bookmarkEnd w:id="87"/>
      <w:bookmarkStart w:id="88" w:name="_Toc184314447"/>
      <w:bookmarkEnd w:id="88"/>
      <w:bookmarkStart w:id="89" w:name="_Toc184308074"/>
      <w:bookmarkEnd w:id="89"/>
      <w:bookmarkStart w:id="90" w:name="_Toc184312098"/>
      <w:bookmarkEnd w:id="90"/>
      <w:bookmarkStart w:id="91" w:name="_Toc184312104"/>
      <w:bookmarkEnd w:id="91"/>
      <w:bookmarkStart w:id="92" w:name="_Toc184314482"/>
      <w:bookmarkEnd w:id="92"/>
      <w:bookmarkStart w:id="93" w:name="_Toc184310319"/>
      <w:bookmarkEnd w:id="93"/>
      <w:bookmarkStart w:id="94" w:name="_Toc184314410"/>
      <w:bookmarkEnd w:id="94"/>
      <w:bookmarkStart w:id="95" w:name="_Toc184314460"/>
      <w:bookmarkEnd w:id="95"/>
      <w:bookmarkStart w:id="96" w:name="_Toc184312138"/>
      <w:bookmarkEnd w:id="96"/>
      <w:bookmarkStart w:id="97" w:name="_Toc184313274"/>
      <w:bookmarkEnd w:id="97"/>
      <w:bookmarkStart w:id="98" w:name="_Toc184310285"/>
      <w:bookmarkEnd w:id="98"/>
      <w:bookmarkStart w:id="99" w:name="_Toc184312099"/>
      <w:bookmarkEnd w:id="99"/>
      <w:bookmarkStart w:id="100" w:name="_Toc184313279"/>
      <w:bookmarkEnd w:id="100"/>
      <w:bookmarkStart w:id="101" w:name="_Toc184310323"/>
      <w:bookmarkEnd w:id="101"/>
      <w:bookmarkStart w:id="102" w:name="_Toc184308086"/>
      <w:bookmarkEnd w:id="102"/>
      <w:bookmarkStart w:id="103" w:name="_Toc184314453"/>
      <w:bookmarkEnd w:id="103"/>
      <w:bookmarkStart w:id="104" w:name="_Toc184313295"/>
      <w:bookmarkEnd w:id="104"/>
      <w:bookmarkStart w:id="105" w:name="_Toc184308048"/>
      <w:bookmarkEnd w:id="105"/>
      <w:bookmarkStart w:id="106" w:name="_Toc184312139"/>
      <w:bookmarkEnd w:id="106"/>
      <w:bookmarkStart w:id="107" w:name="_Toc184313272"/>
      <w:bookmarkEnd w:id="107"/>
      <w:bookmarkStart w:id="108" w:name="_Toc184308079"/>
      <w:bookmarkEnd w:id="108"/>
      <w:bookmarkStart w:id="109" w:name="_Toc184310284"/>
      <w:bookmarkEnd w:id="109"/>
      <w:bookmarkStart w:id="110" w:name="_Toc184314440"/>
      <w:bookmarkEnd w:id="110"/>
      <w:bookmarkStart w:id="111" w:name="_Toc184312079"/>
      <w:bookmarkEnd w:id="111"/>
      <w:bookmarkStart w:id="112" w:name="_Toc184312102"/>
      <w:bookmarkEnd w:id="112"/>
      <w:bookmarkStart w:id="113" w:name="_Toc184310343"/>
      <w:bookmarkEnd w:id="113"/>
      <w:bookmarkStart w:id="114" w:name="_Toc184314444"/>
      <w:bookmarkEnd w:id="114"/>
      <w:bookmarkStart w:id="115" w:name="_Toc184312096"/>
      <w:bookmarkEnd w:id="115"/>
      <w:bookmarkStart w:id="116" w:name="_Toc184308071"/>
      <w:bookmarkEnd w:id="116"/>
      <w:bookmarkStart w:id="117" w:name="_Toc184314420"/>
      <w:bookmarkEnd w:id="117"/>
      <w:bookmarkStart w:id="118" w:name="_Toc184310303"/>
      <w:bookmarkEnd w:id="118"/>
      <w:bookmarkStart w:id="119" w:name="_Toc184314449"/>
      <w:bookmarkEnd w:id="119"/>
      <w:bookmarkStart w:id="120" w:name="_Toc184313262"/>
      <w:bookmarkEnd w:id="120"/>
      <w:bookmarkStart w:id="121" w:name="_Toc184312067"/>
      <w:bookmarkEnd w:id="121"/>
      <w:bookmarkStart w:id="122" w:name="_Toc184312085"/>
      <w:bookmarkEnd w:id="122"/>
      <w:bookmarkStart w:id="123" w:name="_Toc184314428"/>
      <w:bookmarkEnd w:id="123"/>
      <w:bookmarkStart w:id="124" w:name="_Toc184310289"/>
      <w:bookmarkEnd w:id="124"/>
      <w:bookmarkStart w:id="125" w:name="_Toc184310297"/>
      <w:bookmarkEnd w:id="125"/>
      <w:bookmarkStart w:id="126" w:name="_Toc184313277"/>
      <w:bookmarkEnd w:id="126"/>
      <w:bookmarkStart w:id="127" w:name="_Toc184314478"/>
      <w:bookmarkEnd w:id="127"/>
      <w:bookmarkStart w:id="128" w:name="_Toc184312072"/>
      <w:bookmarkEnd w:id="128"/>
      <w:bookmarkStart w:id="129" w:name="_Toc184310339"/>
      <w:bookmarkEnd w:id="129"/>
      <w:bookmarkStart w:id="130" w:name="_Toc184314411"/>
      <w:bookmarkEnd w:id="130"/>
      <w:bookmarkStart w:id="131" w:name="_Toc184312073"/>
      <w:bookmarkEnd w:id="131"/>
      <w:bookmarkStart w:id="132" w:name="_Toc184313246"/>
      <w:bookmarkEnd w:id="132"/>
      <w:bookmarkStart w:id="133" w:name="_Toc184314418"/>
      <w:bookmarkEnd w:id="133"/>
      <w:bookmarkStart w:id="134" w:name="_Toc184310290"/>
      <w:bookmarkEnd w:id="134"/>
      <w:bookmarkStart w:id="135" w:name="_Toc184314474"/>
      <w:bookmarkEnd w:id="135"/>
      <w:bookmarkStart w:id="136" w:name="_Toc184308038"/>
      <w:bookmarkEnd w:id="136"/>
      <w:bookmarkStart w:id="137" w:name="_Toc184313260"/>
      <w:bookmarkEnd w:id="137"/>
      <w:bookmarkStart w:id="138" w:name="_Toc184308105"/>
      <w:bookmarkEnd w:id="138"/>
      <w:bookmarkStart w:id="139" w:name="_Toc184308043"/>
      <w:bookmarkEnd w:id="139"/>
      <w:bookmarkStart w:id="140" w:name="_Toc184308104"/>
      <w:bookmarkEnd w:id="140"/>
      <w:bookmarkStart w:id="141" w:name="_Toc184310274"/>
      <w:bookmarkEnd w:id="141"/>
      <w:bookmarkStart w:id="142" w:name="_Toc184310335"/>
      <w:bookmarkEnd w:id="142"/>
      <w:bookmarkStart w:id="143" w:name="_Toc184314417"/>
      <w:bookmarkEnd w:id="143"/>
      <w:bookmarkStart w:id="144" w:name="_Toc184312081"/>
      <w:bookmarkEnd w:id="144"/>
      <w:bookmarkStart w:id="145" w:name="_Toc184314442"/>
      <w:bookmarkEnd w:id="145"/>
      <w:bookmarkStart w:id="146" w:name="_Toc184310337"/>
      <w:bookmarkEnd w:id="146"/>
      <w:bookmarkStart w:id="147" w:name="_Toc184312078"/>
      <w:bookmarkEnd w:id="147"/>
      <w:bookmarkStart w:id="148" w:name="_Toc184313249"/>
      <w:bookmarkEnd w:id="148"/>
      <w:bookmarkStart w:id="149" w:name="_Toc184308083"/>
      <w:bookmarkEnd w:id="149"/>
      <w:bookmarkStart w:id="150" w:name="_Toc184313239"/>
      <w:bookmarkEnd w:id="150"/>
      <w:bookmarkStart w:id="151" w:name="_Toc184313247"/>
      <w:bookmarkEnd w:id="151"/>
      <w:bookmarkStart w:id="152" w:name="_Toc184312083"/>
      <w:bookmarkEnd w:id="152"/>
      <w:bookmarkStart w:id="153" w:name="_Toc184308065"/>
      <w:bookmarkEnd w:id="153"/>
      <w:bookmarkStart w:id="154" w:name="_Toc184314475"/>
      <w:bookmarkEnd w:id="154"/>
      <w:bookmarkStart w:id="155" w:name="_Toc184308040"/>
      <w:bookmarkEnd w:id="155"/>
      <w:bookmarkStart w:id="156" w:name="_Toc184312088"/>
      <w:bookmarkEnd w:id="156"/>
      <w:bookmarkStart w:id="157" w:name="_Toc184314473"/>
      <w:bookmarkEnd w:id="157"/>
      <w:bookmarkStart w:id="158" w:name="_Toc184310291"/>
      <w:bookmarkEnd w:id="158"/>
      <w:bookmarkStart w:id="159" w:name="_Toc184308057"/>
      <w:bookmarkEnd w:id="159"/>
      <w:bookmarkStart w:id="160" w:name="_Toc184310341"/>
      <w:bookmarkEnd w:id="160"/>
      <w:bookmarkStart w:id="161" w:name="_Toc184312095"/>
      <w:bookmarkEnd w:id="161"/>
      <w:bookmarkStart w:id="162" w:name="_Toc184310277"/>
      <w:bookmarkEnd w:id="162"/>
      <w:bookmarkStart w:id="163" w:name="_Toc184308060"/>
      <w:bookmarkEnd w:id="163"/>
      <w:bookmarkStart w:id="164" w:name="_Toc184308062"/>
      <w:bookmarkEnd w:id="164"/>
      <w:bookmarkStart w:id="165" w:name="_Toc184313276"/>
      <w:bookmarkEnd w:id="165"/>
      <w:bookmarkStart w:id="166" w:name="_Toc184314477"/>
      <w:bookmarkEnd w:id="166"/>
      <w:bookmarkStart w:id="167" w:name="_Toc184310332"/>
      <w:bookmarkEnd w:id="167"/>
      <w:bookmarkStart w:id="168" w:name="_Toc184310287"/>
      <w:bookmarkEnd w:id="168"/>
      <w:bookmarkStart w:id="169" w:name="_Toc184310295"/>
      <w:bookmarkEnd w:id="169"/>
      <w:bookmarkStart w:id="170" w:name="_Toc184314471"/>
      <w:bookmarkEnd w:id="170"/>
      <w:bookmarkStart w:id="171" w:name="_Toc184308080"/>
      <w:bookmarkEnd w:id="171"/>
      <w:bookmarkStart w:id="172" w:name="_Toc184308096"/>
      <w:bookmarkEnd w:id="172"/>
      <w:bookmarkStart w:id="173" w:name="_Toc184308050"/>
      <w:bookmarkEnd w:id="173"/>
      <w:bookmarkStart w:id="174" w:name="_Toc184313309"/>
      <w:bookmarkEnd w:id="174"/>
      <w:bookmarkStart w:id="175" w:name="_Toc184308045"/>
      <w:bookmarkEnd w:id="175"/>
      <w:bookmarkStart w:id="176" w:name="_Toc184313284"/>
      <w:bookmarkEnd w:id="176"/>
      <w:bookmarkStart w:id="177" w:name="_Toc184312110"/>
      <w:bookmarkEnd w:id="177"/>
      <w:bookmarkStart w:id="178" w:name="_Toc184314432"/>
      <w:bookmarkEnd w:id="178"/>
      <w:bookmarkStart w:id="179" w:name="_Toc184308064"/>
      <w:bookmarkEnd w:id="179"/>
      <w:bookmarkStart w:id="180" w:name="_Toc184312068"/>
      <w:bookmarkEnd w:id="180"/>
      <w:bookmarkStart w:id="181" w:name="_Toc184310273"/>
      <w:bookmarkEnd w:id="181"/>
      <w:bookmarkStart w:id="182" w:name="_Toc184314434"/>
      <w:bookmarkEnd w:id="182"/>
      <w:bookmarkStart w:id="183" w:name="_Toc184308058"/>
      <w:bookmarkEnd w:id="183"/>
      <w:bookmarkStart w:id="184" w:name="_Toc184308055"/>
      <w:bookmarkEnd w:id="184"/>
      <w:bookmarkStart w:id="185" w:name="_Toc184312097"/>
      <w:bookmarkEnd w:id="185"/>
      <w:bookmarkStart w:id="186" w:name="_Toc184313266"/>
      <w:bookmarkEnd w:id="186"/>
      <w:bookmarkStart w:id="187" w:name="_Toc184312087"/>
      <w:bookmarkEnd w:id="187"/>
      <w:bookmarkStart w:id="188" w:name="_Toc184308066"/>
      <w:bookmarkEnd w:id="188"/>
      <w:bookmarkStart w:id="189" w:name="_Toc184313256"/>
      <w:bookmarkEnd w:id="189"/>
      <w:bookmarkStart w:id="190" w:name="_Toc184310314"/>
      <w:bookmarkEnd w:id="190"/>
      <w:bookmarkStart w:id="191" w:name="_Toc184314438"/>
      <w:bookmarkEnd w:id="191"/>
      <w:bookmarkStart w:id="192" w:name="_Toc184314431"/>
      <w:bookmarkEnd w:id="192"/>
      <w:bookmarkStart w:id="193" w:name="_Toc184308067"/>
      <w:bookmarkEnd w:id="193"/>
      <w:bookmarkStart w:id="194" w:name="_Toc184308061"/>
      <w:bookmarkEnd w:id="194"/>
      <w:bookmarkStart w:id="195" w:name="_Toc184312070"/>
      <w:bookmarkEnd w:id="195"/>
      <w:bookmarkStart w:id="196" w:name="_Toc184312135"/>
      <w:bookmarkEnd w:id="196"/>
      <w:bookmarkStart w:id="197" w:name="_Toc184314455"/>
      <w:bookmarkEnd w:id="197"/>
      <w:bookmarkStart w:id="198" w:name="_Toc184312117"/>
      <w:bookmarkEnd w:id="198"/>
      <w:bookmarkStart w:id="199" w:name="_Toc184312094"/>
      <w:bookmarkEnd w:id="199"/>
      <w:bookmarkStart w:id="200" w:name="_Toc184313303"/>
      <w:bookmarkEnd w:id="200"/>
      <w:bookmarkStart w:id="201" w:name="_Toc184312115"/>
      <w:bookmarkEnd w:id="201"/>
      <w:bookmarkStart w:id="202" w:name="_Toc184310317"/>
      <w:bookmarkEnd w:id="202"/>
      <w:bookmarkStart w:id="203" w:name="_Toc184310336"/>
      <w:bookmarkEnd w:id="203"/>
      <w:bookmarkStart w:id="204" w:name="_Toc184310281"/>
      <w:bookmarkEnd w:id="204"/>
      <w:bookmarkStart w:id="205" w:name="_Toc184308053"/>
      <w:bookmarkEnd w:id="205"/>
      <w:bookmarkStart w:id="206" w:name="_Toc184314430"/>
      <w:bookmarkEnd w:id="206"/>
      <w:bookmarkStart w:id="207" w:name="_Toc184310322"/>
      <w:bookmarkEnd w:id="207"/>
      <w:bookmarkStart w:id="208" w:name="_Toc184313251"/>
      <w:bookmarkEnd w:id="208"/>
      <w:bookmarkStart w:id="209" w:name="_Toc184310292"/>
      <w:bookmarkEnd w:id="209"/>
      <w:bookmarkStart w:id="210" w:name="_Toc184314454"/>
      <w:bookmarkEnd w:id="210"/>
      <w:bookmarkStart w:id="211" w:name="_Toc184313307"/>
      <w:bookmarkEnd w:id="211"/>
      <w:bookmarkStart w:id="212" w:name="_Toc184314458"/>
      <w:bookmarkEnd w:id="212"/>
      <w:bookmarkStart w:id="213" w:name="_Toc184308101"/>
      <w:bookmarkEnd w:id="213"/>
      <w:bookmarkStart w:id="214" w:name="_Toc184310298"/>
      <w:bookmarkEnd w:id="214"/>
      <w:bookmarkStart w:id="215" w:name="_Toc184308081"/>
      <w:bookmarkEnd w:id="215"/>
      <w:bookmarkStart w:id="216" w:name="_Toc184310288"/>
      <w:bookmarkEnd w:id="216"/>
      <w:bookmarkStart w:id="217" w:name="_Toc184313292"/>
      <w:bookmarkEnd w:id="217"/>
      <w:bookmarkStart w:id="218" w:name="_Toc184308056"/>
      <w:bookmarkEnd w:id="218"/>
      <w:bookmarkStart w:id="219" w:name="_Toc184312086"/>
      <w:bookmarkEnd w:id="219"/>
      <w:bookmarkStart w:id="220" w:name="_Toc184313287"/>
      <w:bookmarkEnd w:id="220"/>
      <w:bookmarkStart w:id="221" w:name="_Toc184313275"/>
      <w:bookmarkEnd w:id="221"/>
      <w:bookmarkStart w:id="222" w:name="_Toc184310275"/>
      <w:bookmarkEnd w:id="222"/>
      <w:bookmarkStart w:id="223" w:name="_Toc184308054"/>
      <w:bookmarkEnd w:id="223"/>
      <w:bookmarkStart w:id="224" w:name="_Toc184314459"/>
      <w:bookmarkEnd w:id="224"/>
      <w:bookmarkStart w:id="225" w:name="_Toc184313263"/>
      <w:bookmarkEnd w:id="225"/>
      <w:bookmarkStart w:id="226" w:name="_Toc184312112"/>
      <w:bookmarkEnd w:id="226"/>
      <w:bookmarkStart w:id="227" w:name="_Toc184312116"/>
      <w:bookmarkEnd w:id="227"/>
      <w:bookmarkStart w:id="228" w:name="_Toc184308049"/>
      <w:bookmarkEnd w:id="228"/>
      <w:bookmarkStart w:id="229" w:name="_Toc184314413"/>
      <w:bookmarkEnd w:id="229"/>
      <w:bookmarkStart w:id="230" w:name="_Toc184313253"/>
      <w:bookmarkEnd w:id="230"/>
      <w:bookmarkStart w:id="231" w:name="_Toc184312069"/>
      <w:bookmarkEnd w:id="231"/>
      <w:bookmarkStart w:id="232" w:name="_Toc184314429"/>
      <w:bookmarkEnd w:id="232"/>
      <w:bookmarkStart w:id="233" w:name="_Toc184313280"/>
      <w:bookmarkEnd w:id="233"/>
      <w:bookmarkStart w:id="234" w:name="_Toc184310296"/>
      <w:bookmarkEnd w:id="234"/>
      <w:bookmarkStart w:id="235" w:name="_Toc184313306"/>
      <w:bookmarkEnd w:id="235"/>
      <w:bookmarkStart w:id="236" w:name="_Toc184308039"/>
      <w:bookmarkEnd w:id="236"/>
      <w:bookmarkStart w:id="237" w:name="_Toc184310299"/>
      <w:bookmarkEnd w:id="237"/>
      <w:bookmarkStart w:id="238" w:name="_Toc184314450"/>
      <w:bookmarkEnd w:id="238"/>
      <w:bookmarkStart w:id="239" w:name="_Toc184310282"/>
      <w:bookmarkEnd w:id="239"/>
      <w:bookmarkStart w:id="240" w:name="_Toc184310301"/>
      <w:bookmarkEnd w:id="240"/>
      <w:bookmarkStart w:id="241" w:name="_Toc184314443"/>
      <w:bookmarkEnd w:id="241"/>
      <w:bookmarkStart w:id="242" w:name="_Toc184313273"/>
      <w:bookmarkEnd w:id="242"/>
      <w:bookmarkStart w:id="243" w:name="_Toc184314446"/>
      <w:bookmarkEnd w:id="243"/>
      <w:bookmarkStart w:id="244" w:name="_Toc184310342"/>
      <w:bookmarkEnd w:id="244"/>
      <w:bookmarkStart w:id="245" w:name="_Toc184310279"/>
      <w:bookmarkEnd w:id="245"/>
      <w:bookmarkStart w:id="246" w:name="_Toc184313244"/>
      <w:bookmarkEnd w:id="246"/>
      <w:bookmarkStart w:id="247" w:name="_Toc184314416"/>
      <w:bookmarkEnd w:id="247"/>
      <w:bookmarkStart w:id="248" w:name="_Toc184310312"/>
      <w:bookmarkEnd w:id="248"/>
      <w:bookmarkStart w:id="249" w:name="_Toc184310316"/>
      <w:bookmarkEnd w:id="249"/>
      <w:bookmarkStart w:id="250" w:name="_Toc184308044"/>
      <w:bookmarkEnd w:id="250"/>
      <w:bookmarkStart w:id="251" w:name="_Toc184312076"/>
      <w:bookmarkEnd w:id="251"/>
      <w:bookmarkStart w:id="252" w:name="_Toc184310272"/>
      <w:bookmarkEnd w:id="252"/>
      <w:bookmarkStart w:id="253" w:name="_Toc184314415"/>
      <w:bookmarkEnd w:id="253"/>
      <w:bookmarkStart w:id="254" w:name="_Toc184308041"/>
      <w:bookmarkEnd w:id="254"/>
      <w:bookmarkStart w:id="255" w:name="_Toc184312111"/>
      <w:bookmarkEnd w:id="255"/>
      <w:bookmarkStart w:id="256" w:name="_Toc184314414"/>
      <w:bookmarkEnd w:id="256"/>
      <w:bookmarkStart w:id="257" w:name="_Toc184310280"/>
      <w:bookmarkEnd w:id="257"/>
      <w:bookmarkStart w:id="258" w:name="_Toc184314472"/>
      <w:bookmarkEnd w:id="258"/>
      <w:bookmarkStart w:id="259" w:name="_Toc184312077"/>
      <w:bookmarkEnd w:id="259"/>
      <w:bookmarkStart w:id="260" w:name="_Toc184310318"/>
      <w:bookmarkEnd w:id="260"/>
      <w:bookmarkStart w:id="261" w:name="_Toc184312074"/>
      <w:bookmarkEnd w:id="261"/>
      <w:bookmarkStart w:id="262" w:name="_Toc184312075"/>
      <w:bookmarkEnd w:id="262"/>
      <w:bookmarkStart w:id="263" w:name="_Toc184313245"/>
      <w:bookmarkEnd w:id="263"/>
      <w:bookmarkStart w:id="264" w:name="_Toc184313282"/>
      <w:bookmarkEnd w:id="264"/>
      <w:bookmarkStart w:id="265" w:name="_Toc184310276"/>
      <w:bookmarkEnd w:id="265"/>
      <w:bookmarkStart w:id="266" w:name="_Toc184314448"/>
      <w:bookmarkEnd w:id="266"/>
      <w:bookmarkStart w:id="267" w:name="_Toc184310278"/>
      <w:bookmarkEnd w:id="267"/>
      <w:bookmarkStart w:id="268" w:name="_Toc184310344"/>
      <w:bookmarkEnd w:id="268"/>
      <w:bookmarkStart w:id="269" w:name="_Toc184314433"/>
      <w:bookmarkEnd w:id="269"/>
      <w:bookmarkStart w:id="270" w:name="_Toc184312092"/>
      <w:bookmarkEnd w:id="270"/>
      <w:bookmarkStart w:id="271" w:name="_Toc184308075"/>
      <w:bookmarkEnd w:id="271"/>
      <w:bookmarkStart w:id="272" w:name="_Toc184312082"/>
      <w:bookmarkEnd w:id="272"/>
      <w:bookmarkStart w:id="273" w:name="_Toc184308042"/>
      <w:bookmarkEnd w:id="273"/>
      <w:bookmarkStart w:id="274" w:name="_Toc184308059"/>
      <w:bookmarkEnd w:id="274"/>
      <w:bookmarkStart w:id="275" w:name="_Toc184314425"/>
      <w:bookmarkEnd w:id="275"/>
      <w:bookmarkStart w:id="276" w:name="_Toc184313261"/>
      <w:bookmarkEnd w:id="276"/>
      <w:bookmarkStart w:id="277" w:name="_Toc184308106"/>
      <w:bookmarkEnd w:id="277"/>
      <w:bookmarkStart w:id="278" w:name="_Toc184312089"/>
      <w:bookmarkEnd w:id="278"/>
      <w:bookmarkStart w:id="279" w:name="_Toc184313265"/>
      <w:bookmarkEnd w:id="279"/>
      <w:bookmarkStart w:id="280" w:name="_Toc184312125"/>
      <w:bookmarkEnd w:id="280"/>
      <w:bookmarkStart w:id="281" w:name="_Toc184310320"/>
      <w:bookmarkEnd w:id="281"/>
      <w:bookmarkStart w:id="282" w:name="_Toc184313243"/>
      <w:bookmarkEnd w:id="282"/>
      <w:bookmarkStart w:id="283" w:name="_Toc184313278"/>
      <w:bookmarkEnd w:id="283"/>
      <w:bookmarkStart w:id="284" w:name="_Toc184314435"/>
      <w:bookmarkEnd w:id="284"/>
      <w:bookmarkStart w:id="285" w:name="_Toc184310294"/>
      <w:bookmarkEnd w:id="285"/>
      <w:bookmarkStart w:id="286" w:name="_Toc184314437"/>
      <w:bookmarkEnd w:id="286"/>
      <w:bookmarkStart w:id="287" w:name="_Toc184308073"/>
      <w:bookmarkEnd w:id="287"/>
      <w:bookmarkStart w:id="288" w:name="_Toc184314424"/>
      <w:bookmarkEnd w:id="288"/>
      <w:bookmarkStart w:id="289" w:name="_Toc184310304"/>
      <w:bookmarkEnd w:id="289"/>
      <w:bookmarkStart w:id="290" w:name="_Toc184310321"/>
      <w:bookmarkEnd w:id="290"/>
      <w:bookmarkStart w:id="291" w:name="_Toc184314427"/>
      <w:bookmarkEnd w:id="291"/>
      <w:bookmarkStart w:id="292" w:name="_Toc184313290"/>
      <w:bookmarkEnd w:id="292"/>
      <w:bookmarkStart w:id="293" w:name="_Toc184312090"/>
      <w:bookmarkEnd w:id="293"/>
      <w:bookmarkStart w:id="294" w:name="_Toc184313296"/>
      <w:bookmarkEnd w:id="294"/>
      <w:bookmarkStart w:id="295" w:name="_Toc184313300"/>
      <w:bookmarkEnd w:id="295"/>
      <w:bookmarkStart w:id="296" w:name="_Toc184308036"/>
      <w:bookmarkEnd w:id="296"/>
      <w:bookmarkStart w:id="297" w:name="_Toc184314412"/>
      <w:bookmarkEnd w:id="297"/>
      <w:bookmarkStart w:id="298" w:name="_Toc184308098"/>
      <w:bookmarkEnd w:id="298"/>
      <w:bookmarkStart w:id="299" w:name="_Toc184313305"/>
      <w:bookmarkEnd w:id="299"/>
      <w:bookmarkStart w:id="300" w:name="_Toc184312129"/>
      <w:bookmarkEnd w:id="300"/>
      <w:bookmarkStart w:id="301" w:name="_Toc184308097"/>
      <w:bookmarkEnd w:id="301"/>
      <w:bookmarkStart w:id="302" w:name="_Toc184312134"/>
      <w:bookmarkEnd w:id="302"/>
      <w:bookmarkStart w:id="303" w:name="_Toc184308103"/>
      <w:bookmarkEnd w:id="303"/>
      <w:bookmarkStart w:id="304" w:name="_Toc184313304"/>
      <w:bookmarkEnd w:id="304"/>
      <w:bookmarkStart w:id="305" w:name="_Toc184314468"/>
      <w:bookmarkEnd w:id="305"/>
      <w:bookmarkStart w:id="306" w:name="_Toc184314469"/>
      <w:bookmarkEnd w:id="306"/>
      <w:bookmarkStart w:id="307" w:name="_Toc184308068"/>
      <w:bookmarkEnd w:id="307"/>
      <w:bookmarkStart w:id="308" w:name="_Toc184312091"/>
      <w:bookmarkEnd w:id="308"/>
      <w:bookmarkStart w:id="309" w:name="_Toc184308046"/>
      <w:bookmarkEnd w:id="309"/>
      <w:bookmarkStart w:id="310" w:name="_Toc184312130"/>
      <w:bookmarkEnd w:id="310"/>
      <w:bookmarkStart w:id="311" w:name="_Toc184312132"/>
      <w:bookmarkEnd w:id="311"/>
      <w:bookmarkStart w:id="312" w:name="_Toc184313299"/>
      <w:bookmarkEnd w:id="312"/>
      <w:bookmarkStart w:id="313" w:name="_Toc184314470"/>
      <w:bookmarkEnd w:id="313"/>
      <w:bookmarkStart w:id="314" w:name="_Toc184313285"/>
      <w:bookmarkEnd w:id="314"/>
      <w:bookmarkStart w:id="315" w:name="_Toc184310340"/>
      <w:bookmarkEnd w:id="315"/>
      <w:bookmarkStart w:id="316" w:name="_Toc184308076"/>
      <w:bookmarkEnd w:id="316"/>
      <w:bookmarkStart w:id="317" w:name="_Toc184312109"/>
      <w:bookmarkEnd w:id="317"/>
      <w:bookmarkStart w:id="318" w:name="_Toc184310330"/>
      <w:bookmarkEnd w:id="318"/>
      <w:bookmarkStart w:id="319" w:name="_Toc184314481"/>
      <w:bookmarkEnd w:id="319"/>
      <w:bookmarkStart w:id="320" w:name="_Toc184312128"/>
      <w:bookmarkEnd w:id="320"/>
      <w:bookmarkStart w:id="321" w:name="_Toc184312122"/>
      <w:bookmarkEnd w:id="321"/>
      <w:bookmarkStart w:id="322" w:name="_Toc184310329"/>
      <w:bookmarkEnd w:id="322"/>
      <w:bookmarkStart w:id="323" w:name="_Toc184308037"/>
      <w:bookmarkEnd w:id="323"/>
      <w:bookmarkStart w:id="324" w:name="_Toc184310334"/>
      <w:bookmarkEnd w:id="324"/>
      <w:bookmarkStart w:id="325" w:name="_Toc184314452"/>
      <w:bookmarkEnd w:id="325"/>
      <w:bookmarkStart w:id="326" w:name="_Toc184308092"/>
      <w:bookmarkEnd w:id="326"/>
      <w:bookmarkStart w:id="327" w:name="_Toc184308099"/>
      <w:bookmarkEnd w:id="327"/>
      <w:bookmarkStart w:id="328" w:name="_Toc184313297"/>
      <w:bookmarkEnd w:id="328"/>
      <w:bookmarkStart w:id="329" w:name="_Toc184313286"/>
      <w:bookmarkEnd w:id="329"/>
      <w:bookmarkStart w:id="330" w:name="_Toc184310338"/>
      <w:bookmarkEnd w:id="330"/>
      <w:bookmarkStart w:id="331" w:name="_Toc184312133"/>
      <w:bookmarkEnd w:id="331"/>
      <w:bookmarkStart w:id="332" w:name="_Toc184308095"/>
      <w:bookmarkEnd w:id="332"/>
      <w:bookmarkStart w:id="333" w:name="_Toc184308089"/>
      <w:bookmarkEnd w:id="333"/>
      <w:bookmarkStart w:id="334" w:name="_Toc184313288"/>
      <w:bookmarkEnd w:id="334"/>
      <w:bookmarkStart w:id="335" w:name="_Toc184308090"/>
      <w:bookmarkEnd w:id="335"/>
      <w:bookmarkStart w:id="336" w:name="_Toc184312120"/>
      <w:bookmarkEnd w:id="336"/>
      <w:bookmarkStart w:id="337" w:name="_Toc184310326"/>
      <w:bookmarkEnd w:id="337"/>
      <w:bookmarkStart w:id="338" w:name="_Toc184313294"/>
      <w:bookmarkEnd w:id="338"/>
      <w:bookmarkStart w:id="339" w:name="_Toc184314457"/>
      <w:bookmarkEnd w:id="339"/>
      <w:bookmarkStart w:id="340" w:name="_Toc184310331"/>
      <w:bookmarkEnd w:id="340"/>
      <w:bookmarkStart w:id="341" w:name="_Toc184308091"/>
      <w:bookmarkEnd w:id="341"/>
      <w:bookmarkStart w:id="342" w:name="_Toc184314463"/>
      <w:bookmarkEnd w:id="342"/>
      <w:bookmarkStart w:id="343" w:name="_Toc184308094"/>
      <w:bookmarkEnd w:id="343"/>
      <w:bookmarkStart w:id="344" w:name="_Toc184312127"/>
      <w:bookmarkEnd w:id="344"/>
      <w:bookmarkStart w:id="345" w:name="_Toc184310333"/>
      <w:bookmarkEnd w:id="345"/>
      <w:bookmarkStart w:id="346" w:name="_Toc184314467"/>
      <w:bookmarkEnd w:id="346"/>
      <w:bookmarkStart w:id="347" w:name="_Toc184312121"/>
      <w:bookmarkEnd w:id="347"/>
      <w:bookmarkStart w:id="348" w:name="_Toc184312107"/>
      <w:bookmarkEnd w:id="348"/>
      <w:bookmarkStart w:id="349" w:name="_Toc184312123"/>
      <w:bookmarkEnd w:id="349"/>
      <w:bookmarkStart w:id="350" w:name="_Toc184314466"/>
      <w:bookmarkEnd w:id="350"/>
      <w:bookmarkStart w:id="351" w:name="_Toc184314476"/>
      <w:bookmarkEnd w:id="351"/>
      <w:bookmarkStart w:id="352" w:name="_Toc184313298"/>
      <w:bookmarkEnd w:id="352"/>
      <w:bookmarkStart w:id="353" w:name="_Toc184308088"/>
      <w:bookmarkEnd w:id="353"/>
      <w:bookmarkStart w:id="354" w:name="_Toc184310325"/>
      <w:bookmarkEnd w:id="354"/>
      <w:bookmarkStart w:id="355" w:name="_Toc184312114"/>
      <w:bookmarkEnd w:id="355"/>
      <w:bookmarkStart w:id="356" w:name="_Toc184313248"/>
      <w:bookmarkEnd w:id="356"/>
      <w:bookmarkStart w:id="357" w:name="_Toc184312137"/>
      <w:bookmarkEnd w:id="357"/>
      <w:bookmarkStart w:id="358" w:name="_Toc184313241"/>
      <w:bookmarkEnd w:id="358"/>
      <w:bookmarkStart w:id="359" w:name="_Toc184308085"/>
      <w:bookmarkEnd w:id="359"/>
      <w:bookmarkStart w:id="360" w:name="_Toc184308093"/>
      <w:bookmarkEnd w:id="360"/>
      <w:bookmarkStart w:id="361" w:name="_Toc184308087"/>
      <w:bookmarkEnd w:id="361"/>
      <w:bookmarkStart w:id="362" w:name="_Toc184313250"/>
      <w:bookmarkEnd w:id="362"/>
      <w:bookmarkStart w:id="363" w:name="_Toc184308077"/>
      <w:bookmarkEnd w:id="363"/>
      <w:bookmarkStart w:id="364" w:name="_Toc184312105"/>
      <w:bookmarkEnd w:id="364"/>
      <w:bookmarkStart w:id="365" w:name="_Toc184314422"/>
      <w:bookmarkEnd w:id="365"/>
      <w:bookmarkStart w:id="366" w:name="_Toc184310313"/>
      <w:bookmarkEnd w:id="366"/>
      <w:bookmarkStart w:id="367" w:name="_Toc184314464"/>
      <w:bookmarkEnd w:id="367"/>
      <w:bookmarkStart w:id="368" w:name="_Toc184310327"/>
      <w:bookmarkEnd w:id="368"/>
      <w:bookmarkStart w:id="369" w:name="_Toc184314423"/>
      <w:bookmarkEnd w:id="369"/>
      <w:bookmarkStart w:id="370" w:name="_Toc184314480"/>
      <w:bookmarkEnd w:id="370"/>
      <w:bookmarkStart w:id="371" w:name="_Toc184314461"/>
      <w:bookmarkEnd w:id="371"/>
      <w:bookmarkStart w:id="372" w:name="_Toc184314479"/>
      <w:bookmarkEnd w:id="372"/>
      <w:bookmarkStart w:id="373" w:name="_Toc184313301"/>
      <w:bookmarkEnd w:id="373"/>
      <w:bookmarkStart w:id="374" w:name="_Toc184312093"/>
      <w:bookmarkEnd w:id="374"/>
      <w:bookmarkStart w:id="375" w:name="_Toc184314462"/>
      <w:bookmarkEnd w:id="375"/>
      <w:bookmarkStart w:id="376" w:name="_Toc184308063"/>
      <w:bookmarkEnd w:id="376"/>
      <w:bookmarkStart w:id="377" w:name="_Toc184312101"/>
      <w:bookmarkEnd w:id="377"/>
      <w:bookmarkStart w:id="378" w:name="_Toc184313258"/>
      <w:bookmarkEnd w:id="378"/>
      <w:bookmarkStart w:id="379" w:name="_Toc184313255"/>
      <w:bookmarkEnd w:id="379"/>
      <w:bookmarkStart w:id="380" w:name="_Toc184313240"/>
      <w:bookmarkEnd w:id="380"/>
      <w:bookmarkStart w:id="381" w:name="_Toc184314439"/>
      <w:bookmarkEnd w:id="381"/>
      <w:bookmarkStart w:id="382" w:name="_Toc184313268"/>
      <w:bookmarkEnd w:id="382"/>
      <w:bookmarkStart w:id="383" w:name="_Toc184310305"/>
      <w:bookmarkEnd w:id="383"/>
      <w:bookmarkStart w:id="384" w:name="_Toc184313283"/>
      <w:bookmarkEnd w:id="384"/>
      <w:bookmarkStart w:id="385" w:name="_Toc184308069"/>
      <w:bookmarkEnd w:id="385"/>
      <w:bookmarkStart w:id="386" w:name="_Toc184310300"/>
      <w:bookmarkEnd w:id="386"/>
      <w:bookmarkStart w:id="387" w:name="_Toc184308082"/>
      <w:bookmarkEnd w:id="387"/>
      <w:bookmarkStart w:id="388" w:name="_Toc184308078"/>
      <w:bookmarkEnd w:id="388"/>
      <w:bookmarkStart w:id="389" w:name="_Toc184313281"/>
      <w:bookmarkEnd w:id="389"/>
      <w:bookmarkStart w:id="390" w:name="_Toc184310308"/>
      <w:bookmarkEnd w:id="390"/>
      <w:bookmarkStart w:id="391" w:name="_Toc184313269"/>
      <w:bookmarkEnd w:id="391"/>
      <w:bookmarkStart w:id="392" w:name="_Toc184313271"/>
      <w:bookmarkEnd w:id="392"/>
      <w:bookmarkStart w:id="393" w:name="_Toc184310310"/>
      <w:bookmarkEnd w:id="393"/>
      <w:bookmarkStart w:id="394" w:name="_Toc184310293"/>
      <w:bookmarkEnd w:id="394"/>
      <w:bookmarkStart w:id="395" w:name="_Toc184314426"/>
      <w:bookmarkEnd w:id="395"/>
      <w:bookmarkStart w:id="396" w:name="_Toc184313257"/>
      <w:bookmarkEnd w:id="396"/>
      <w:bookmarkStart w:id="397" w:name="_Toc184313267"/>
      <w:bookmarkEnd w:id="397"/>
      <w:bookmarkStart w:id="398" w:name="_Toc184308047"/>
      <w:bookmarkEnd w:id="398"/>
      <w:bookmarkStart w:id="399" w:name="_Toc184310302"/>
      <w:bookmarkEnd w:id="399"/>
      <w:bookmarkStart w:id="400" w:name="_Toc184312100"/>
      <w:bookmarkEnd w:id="400"/>
      <w:bookmarkStart w:id="401" w:name="_Toc184308052"/>
      <w:bookmarkEnd w:id="401"/>
      <w:bookmarkStart w:id="402" w:name="_Toc184312103"/>
      <w:bookmarkEnd w:id="402"/>
      <w:r>
        <w:rPr>
          <w:rFonts w:hint="eastAsia" w:ascii="仿宋" w:hAnsi="仿宋" w:eastAsia="仿宋" w:cs="仿宋_GB2312"/>
          <w:b/>
          <w:sz w:val="36"/>
          <w:szCs w:val="36"/>
        </w:rPr>
        <w:t>评标办法</w:t>
      </w:r>
    </w:p>
    <w:p>
      <w:pPr>
        <w:snapToGrid w:val="0"/>
        <w:spacing w:line="360" w:lineRule="auto"/>
        <w:rPr>
          <w:rFonts w:ascii="仿宋_GB2312" w:hAnsi="仿宋" w:eastAsia="仿宋_GB2312" w:cs="仿宋_GB2312"/>
          <w:b/>
          <w:sz w:val="32"/>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spacing w:line="360" w:lineRule="auto"/>
        <w:ind w:firstLine="420" w:firstLineChars="200"/>
        <w:rPr>
          <w:rFonts w:ascii="仿宋_GB2312" w:hAnsi="仿宋" w:eastAsia="仿宋_GB2312" w:cs="Arial"/>
          <w:kern w:val="0"/>
          <w:sz w:val="24"/>
        </w:rPr>
      </w:pPr>
      <w:r>
        <w:rPr>
          <w:rFonts w:hint="eastAsia" w:ascii="微软雅黑" w:hAnsi="微软雅黑" w:eastAsia="微软雅黑"/>
          <w:color w:val="333333"/>
          <w:shd w:val="clear" w:color="auto" w:fill="FFFFFF"/>
        </w:rPr>
        <w:t xml:space="preserve"> </w:t>
      </w:r>
      <w:r>
        <w:rPr>
          <w:rFonts w:hint="eastAsia" w:ascii="仿宋_GB2312" w:hAnsi="仿宋" w:eastAsia="仿宋_GB2312" w:cs="Arial"/>
          <w:kern w:val="0"/>
          <w:sz w:val="24"/>
        </w:rPr>
        <w:t>本项目入围第一阶段采用价格优先法。价格优先法是指对满足采购需求且响应报价不超过最高限制单价的货物、服务，按照响应报价从低到高排序，根据征集文件规定的淘汰率或者入围供应商数量上限，确定入围供应商的评审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对满足采购需求且响应报价不超过最高限制单价的货物、服务，按照响应报价从低到高排序，根据征集文件规定的淘汰率，确定入围供应商。</w:t>
      </w:r>
    </w:p>
    <w:p>
      <w:pPr>
        <w:spacing w:line="360" w:lineRule="auto"/>
        <w:ind w:firstLine="482" w:firstLineChars="200"/>
        <w:rPr>
          <w:rFonts w:ascii="仿宋_GB2312" w:hAnsi="仿宋" w:eastAsia="仿宋_GB2312" w:cs="Arial"/>
          <w:b/>
          <w:kern w:val="0"/>
          <w:sz w:val="24"/>
        </w:rPr>
      </w:pPr>
      <w:r>
        <w:rPr>
          <w:rFonts w:hint="eastAsia" w:ascii="仿宋_GB2312" w:hAnsi="仿宋" w:eastAsia="仿宋_GB2312" w:cs="Arial"/>
          <w:b/>
          <w:kern w:val="0"/>
          <w:sz w:val="24"/>
        </w:rPr>
        <w:t>评标委员会根据排序从后往前按比例淘汰单位（淘汰比例为进入排序单位数量的20%，且至少淘汰一家供应商，</w:t>
      </w:r>
      <w:r>
        <w:rPr>
          <w:rFonts w:ascii="仿宋_GB2312" w:hAnsi="仿宋" w:eastAsia="仿宋_GB2312" w:cs="Arial"/>
          <w:b/>
          <w:kern w:val="0"/>
          <w:sz w:val="24"/>
        </w:rPr>
        <w:t>淘汰数出现小数时，</w:t>
      </w:r>
      <w:r>
        <w:rPr>
          <w:rFonts w:hint="eastAsia" w:ascii="仿宋_GB2312" w:hAnsi="仿宋" w:eastAsia="仿宋_GB2312" w:cs="Arial"/>
          <w:b/>
          <w:kern w:val="0"/>
          <w:sz w:val="24"/>
        </w:rPr>
        <w:t>向上取整数）。</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w:t>
      </w:r>
      <w:r>
        <w:rPr>
          <w:rFonts w:hint="eastAsia" w:ascii="仿宋_GB2312" w:hAnsi="仿宋" w:eastAsia="仿宋_GB2312" w:cs="Arial"/>
          <w:kern w:val="0"/>
          <w:sz w:val="24"/>
        </w:rPr>
        <w:t>响应</w:t>
      </w:r>
      <w:r>
        <w:rPr>
          <w:rFonts w:ascii="仿宋_GB2312" w:hAnsi="仿宋" w:eastAsia="仿宋_GB2312" w:cs="Arial"/>
          <w:kern w:val="0"/>
          <w:sz w:val="24"/>
        </w:rPr>
        <w:t>文件进行符合性审查，以确定其是否满足</w:t>
      </w:r>
      <w:r>
        <w:rPr>
          <w:rFonts w:hint="eastAsia" w:ascii="仿宋_GB2312" w:hAnsi="仿宋" w:eastAsia="仿宋_GB2312" w:cs="Arial"/>
          <w:kern w:val="0"/>
          <w:sz w:val="24"/>
        </w:rPr>
        <w:t>征集</w:t>
      </w:r>
      <w:r>
        <w:rPr>
          <w:rFonts w:ascii="仿宋_GB2312" w:hAnsi="仿宋" w:eastAsia="仿宋_GB2312" w:cs="Arial"/>
          <w:kern w:val="0"/>
          <w:sz w:val="24"/>
        </w:rPr>
        <w:t>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w:t>
      </w:r>
      <w:r>
        <w:rPr>
          <w:rFonts w:hint="eastAsia" w:ascii="仿宋_GB2312" w:hAnsi="仿宋" w:eastAsia="仿宋_GB2312" w:cs="Arial"/>
          <w:kern w:val="0"/>
          <w:sz w:val="24"/>
        </w:rPr>
        <w:t>征集</w:t>
      </w:r>
      <w:r>
        <w:rPr>
          <w:rFonts w:ascii="仿宋_GB2312" w:hAnsi="仿宋" w:eastAsia="仿宋_GB2312" w:cs="Arial"/>
          <w:kern w:val="0"/>
          <w:sz w:val="24"/>
        </w:rPr>
        <w:t>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2</w:t>
      </w:r>
      <w:r>
        <w:rPr>
          <w:rFonts w:ascii="仿宋_GB2312" w:hAnsi="仿宋" w:eastAsia="仿宋_GB2312" w:cs="Arial"/>
          <w:b/>
          <w:kern w:val="0"/>
          <w:sz w:val="24"/>
        </w:rPr>
        <w:t>报价评审。</w:t>
      </w:r>
    </w:p>
    <w:p>
      <w:pPr>
        <w:pStyle w:val="133"/>
        <w:spacing w:before="0"/>
        <w:ind w:firstLine="508" w:firstLineChars="212"/>
        <w:rPr>
          <w:rFonts w:ascii="仿宋_GB2312" w:hAnsi="仿宋" w:eastAsia="仿宋_GB2312" w:cs="Arial"/>
          <w:kern w:val="0"/>
          <w:szCs w:val="24"/>
        </w:rPr>
      </w:pPr>
      <w:r>
        <w:rPr>
          <w:rFonts w:ascii="仿宋_GB2312" w:hAnsi="仿宋" w:eastAsia="仿宋_GB2312" w:cs="Arial"/>
          <w:kern w:val="0"/>
        </w:rPr>
        <w:t>3.</w:t>
      </w:r>
      <w:r>
        <w:rPr>
          <w:rFonts w:hint="eastAsia" w:ascii="仿宋_GB2312" w:hAnsi="仿宋" w:eastAsia="仿宋_GB2312" w:cs="Arial"/>
          <w:kern w:val="0"/>
        </w:rPr>
        <w:t>2</w:t>
      </w:r>
      <w:r>
        <w:rPr>
          <w:rFonts w:ascii="仿宋_GB2312" w:hAnsi="仿宋" w:eastAsia="仿宋_GB2312" w:cs="Arial"/>
          <w:kern w:val="0"/>
          <w:szCs w:val="24"/>
        </w:rPr>
        <w:t>.1</w:t>
      </w:r>
      <w:r>
        <w:rPr>
          <w:rFonts w:hint="eastAsia" w:ascii="仿宋_GB2312" w:hAnsi="仿宋" w:eastAsia="仿宋_GB2312" w:cs="Arial"/>
          <w:kern w:val="0"/>
          <w:szCs w:val="24"/>
        </w:rPr>
        <w:t>响应</w:t>
      </w:r>
      <w:r>
        <w:rPr>
          <w:rFonts w:ascii="仿宋_GB2312" w:hAnsi="仿宋" w:eastAsia="仿宋_GB2312" w:cs="Arial"/>
          <w:kern w:val="0"/>
          <w:szCs w:val="24"/>
        </w:rPr>
        <w:t>文件报价出现前后不一致的，按照下列规定修正：</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.1.1</w:t>
      </w:r>
      <w:r>
        <w:rPr>
          <w:rFonts w:hint="eastAsia" w:ascii="仿宋_GB2312" w:hAnsi="仿宋" w:eastAsia="仿宋_GB2312" w:cs="Arial"/>
          <w:kern w:val="0"/>
          <w:szCs w:val="24"/>
        </w:rPr>
        <w:t>响应</w:t>
      </w:r>
      <w:r>
        <w:rPr>
          <w:rFonts w:ascii="仿宋_GB2312" w:hAnsi="仿宋" w:eastAsia="仿宋_GB2312" w:cs="Arial"/>
          <w:kern w:val="0"/>
          <w:szCs w:val="24"/>
        </w:rPr>
        <w:t>文件中开标一览表(报价表)内容与</w:t>
      </w:r>
      <w:r>
        <w:rPr>
          <w:rFonts w:hint="eastAsia" w:ascii="仿宋_GB2312" w:hAnsi="仿宋" w:eastAsia="仿宋_GB2312" w:cs="Arial"/>
          <w:kern w:val="0"/>
          <w:szCs w:val="24"/>
        </w:rPr>
        <w:t>响应</w:t>
      </w:r>
      <w:r>
        <w:rPr>
          <w:rFonts w:ascii="仿宋_GB2312" w:hAnsi="仿宋" w:eastAsia="仿宋_GB2312" w:cs="Arial"/>
          <w:kern w:val="0"/>
          <w:szCs w:val="24"/>
        </w:rPr>
        <w:t>文件中相应内容不一致的，以开标一览表(报价表)为准;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.1.2大写金额和小写金额不一致的，以大写金额为准;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.1.3单价金额小数点或者百分比有明显错位的，以开标一览表的总价为准，并修改单价;</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.1.4总价金额与按单价汇总金额不一致的，以单价金额计算结果为准。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.2</w:t>
      </w:r>
      <w:r>
        <w:rPr>
          <w:rFonts w:hint="eastAsia" w:ascii="仿宋_GB2312" w:hAnsi="仿宋" w:eastAsia="仿宋_GB2312" w:cs="Arial"/>
          <w:kern w:val="0"/>
          <w:sz w:val="24"/>
        </w:rPr>
        <w:t>响应文件出现不是唯一的、有选择性投标报价的，投标无效。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.3</w:t>
      </w:r>
      <w:r>
        <w:rPr>
          <w:rFonts w:hint="eastAsia" w:ascii="仿宋_GB2312" w:hAnsi="仿宋" w:eastAsia="仿宋_GB2312" w:cs="Arial"/>
          <w:kern w:val="0"/>
          <w:sz w:val="24"/>
        </w:rPr>
        <w:t>投标报价超过征集文件中规定的预算金额或者最高限价的，投标无效。</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w:t>
      </w:r>
      <w:r>
        <w:rPr>
          <w:rFonts w:hint="eastAsia" w:ascii="仿宋_GB2312" w:hAnsi="仿宋" w:eastAsia="仿宋_GB2312" w:cs="Arial"/>
          <w:color w:val="FF0000"/>
          <w:kern w:val="0"/>
          <w:szCs w:val="24"/>
        </w:rPr>
        <w:t>给予1</w:t>
      </w:r>
      <w:r>
        <w:rPr>
          <w:rFonts w:ascii="仿宋_GB2312" w:hAnsi="仿宋" w:eastAsia="仿宋_GB2312" w:cs="Arial"/>
          <w:color w:val="FF0000"/>
          <w:kern w:val="0"/>
          <w:szCs w:val="24"/>
        </w:rPr>
        <w:t>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30%以上的，对联合体或者大中型企业的报价给予3%的扣除，用扣除后的价格参加评审。组成联合体或者接受分包的小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b/>
          <w:color w:val="000000" w:themeColor="text1"/>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hint="eastAsia" w:ascii="仿宋_GB2312" w:hAnsi="仿宋" w:eastAsia="仿宋_GB2312" w:cs="Arial"/>
          <w:b/>
          <w:color w:val="000000" w:themeColor="text1"/>
          <w:kern w:val="0"/>
          <w:sz w:val="24"/>
        </w:rPr>
        <w:t>评标委员会按评审后报价由低到高顺序排列。响应报价相同的，按《政府采购货物和服务招标投标管理办法》（财政部令第 87 号）第六十八条 由评标委员会随机抽取的方式确定。</w:t>
      </w:r>
    </w:p>
    <w:p>
      <w:pPr>
        <w:spacing w:line="360" w:lineRule="auto"/>
        <w:ind w:firstLine="482" w:firstLineChars="200"/>
        <w:rPr>
          <w:rFonts w:ascii="仿宋_GB2312" w:hAnsi="仿宋" w:eastAsia="仿宋_GB2312" w:cs="Arial"/>
          <w:kern w:val="0"/>
          <w:sz w:val="24"/>
        </w:rPr>
      </w:pPr>
      <w:r>
        <w:rPr>
          <w:rFonts w:hint="eastAsia" w:ascii="仿宋_GB2312" w:hAnsi="仿宋" w:eastAsia="仿宋_GB2312" w:cs="Arial"/>
          <w:b/>
          <w:color w:val="000000" w:themeColor="text1"/>
          <w:kern w:val="0"/>
          <w:sz w:val="24"/>
        </w:rPr>
        <w:t>评标委员会根据排序从后往前按比例淘汰单位（淘汰比例为进入排序单位数量的20%，且至少淘汰一家供应商，淘汰数出现小数时，向上取整数）。</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3"/>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响应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响应文件的范围或者改变响应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w:t>
      </w:r>
      <w:r>
        <w:rPr>
          <w:rFonts w:hint="eastAsia" w:ascii="仿宋_GB2312" w:hAnsi="仿宋" w:eastAsia="仿宋_GB2312" w:cs="Arial"/>
          <w:kern w:val="0"/>
          <w:sz w:val="24"/>
        </w:rPr>
        <w:t>征集</w:t>
      </w:r>
      <w:r>
        <w:rPr>
          <w:rFonts w:ascii="仿宋_GB2312" w:hAnsi="仿宋" w:eastAsia="仿宋_GB2312" w:cs="Arial"/>
          <w:kern w:val="0"/>
          <w:sz w:val="24"/>
        </w:rPr>
        <w:t>文件中规定的资格要求的（投标人未提供有效的资格文件的，视为投标人不具备</w:t>
      </w:r>
      <w:r>
        <w:rPr>
          <w:rFonts w:hint="eastAsia" w:ascii="仿宋_GB2312" w:hAnsi="仿宋" w:eastAsia="仿宋_GB2312" w:cs="Arial"/>
          <w:kern w:val="0"/>
          <w:sz w:val="24"/>
        </w:rPr>
        <w:t>征集</w:t>
      </w:r>
      <w:r>
        <w:rPr>
          <w:rFonts w:ascii="仿宋_GB2312" w:hAnsi="仿宋" w:eastAsia="仿宋_GB2312" w:cs="Arial"/>
          <w:kern w:val="0"/>
          <w:sz w:val="24"/>
        </w:rPr>
        <w:t>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w:t>
      </w:r>
      <w:r>
        <w:rPr>
          <w:rFonts w:hint="eastAsia" w:ascii="仿宋_GB2312" w:hAnsi="仿宋" w:eastAsia="仿宋_GB2312" w:cs="Arial"/>
          <w:kern w:val="0"/>
          <w:sz w:val="24"/>
        </w:rPr>
        <w:t>响应</w:t>
      </w:r>
      <w:r>
        <w:rPr>
          <w:rFonts w:ascii="仿宋_GB2312" w:hAnsi="仿宋" w:eastAsia="仿宋_GB2312" w:cs="Arial"/>
          <w:kern w:val="0"/>
          <w:sz w:val="24"/>
        </w:rPr>
        <w:t>文件未按照</w:t>
      </w:r>
      <w:r>
        <w:rPr>
          <w:rFonts w:hint="eastAsia" w:ascii="仿宋_GB2312" w:hAnsi="仿宋" w:eastAsia="仿宋_GB2312" w:cs="Arial"/>
          <w:kern w:val="0"/>
          <w:sz w:val="24"/>
        </w:rPr>
        <w:t>征集</w:t>
      </w:r>
      <w:r>
        <w:rPr>
          <w:rFonts w:ascii="仿宋_GB2312" w:hAnsi="仿宋" w:eastAsia="仿宋_GB2312" w:cs="Arial"/>
          <w:kern w:val="0"/>
          <w:sz w:val="24"/>
        </w:rPr>
        <w:t>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w:t>
      </w:r>
      <w:r>
        <w:rPr>
          <w:rFonts w:hint="eastAsia" w:ascii="仿宋_GB2312" w:hAnsi="仿宋" w:eastAsia="仿宋_GB2312" w:cs="Arial"/>
          <w:kern w:val="0"/>
          <w:sz w:val="24"/>
        </w:rPr>
        <w:t>征集</w:t>
      </w:r>
      <w:r>
        <w:rPr>
          <w:rFonts w:ascii="仿宋_GB2312" w:hAnsi="仿宋" w:eastAsia="仿宋_GB2312" w:cs="Arial"/>
          <w:kern w:val="0"/>
          <w:sz w:val="24"/>
        </w:rPr>
        <w:t>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w:t>
      </w:r>
      <w:r>
        <w:rPr>
          <w:rFonts w:hint="eastAsia" w:ascii="仿宋_GB2312" w:hAnsi="仿宋" w:eastAsia="仿宋_GB2312" w:cs="Arial"/>
          <w:kern w:val="0"/>
          <w:sz w:val="24"/>
        </w:rPr>
        <w:t>响应</w:t>
      </w:r>
      <w:r>
        <w:rPr>
          <w:rFonts w:ascii="仿宋_GB2312" w:hAnsi="仿宋" w:eastAsia="仿宋_GB2312" w:cs="Arial"/>
          <w:kern w:val="0"/>
          <w:sz w:val="24"/>
        </w:rPr>
        <w:t>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w:t>
      </w:r>
      <w:r>
        <w:rPr>
          <w:rFonts w:hint="eastAsia" w:ascii="仿宋_GB2312" w:hAnsi="仿宋" w:eastAsia="仿宋_GB2312" w:cs="Arial"/>
          <w:kern w:val="0"/>
          <w:sz w:val="24"/>
        </w:rPr>
        <w:t>响应</w:t>
      </w:r>
      <w:r>
        <w:rPr>
          <w:rFonts w:ascii="仿宋_GB2312" w:hAnsi="仿宋" w:eastAsia="仿宋_GB2312" w:cs="Arial"/>
          <w:kern w:val="0"/>
          <w:sz w:val="24"/>
        </w:rPr>
        <w:t>文件中承诺的投标有效期少于</w:t>
      </w:r>
      <w:r>
        <w:rPr>
          <w:rFonts w:hint="eastAsia" w:ascii="仿宋_GB2312" w:hAnsi="仿宋" w:eastAsia="仿宋_GB2312" w:cs="Arial"/>
          <w:kern w:val="0"/>
          <w:sz w:val="24"/>
        </w:rPr>
        <w:t>征集</w:t>
      </w:r>
      <w:r>
        <w:rPr>
          <w:rFonts w:ascii="仿宋_GB2312" w:hAnsi="仿宋" w:eastAsia="仿宋_GB2312" w:cs="Arial"/>
          <w:kern w:val="0"/>
          <w:sz w:val="24"/>
        </w:rPr>
        <w:t>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w:t>
      </w:r>
      <w:r>
        <w:rPr>
          <w:rFonts w:hint="eastAsia" w:ascii="仿宋_GB2312" w:hAnsi="仿宋" w:eastAsia="仿宋_GB2312" w:cs="Arial"/>
          <w:kern w:val="0"/>
          <w:sz w:val="24"/>
        </w:rPr>
        <w:t>响应</w:t>
      </w:r>
      <w:r>
        <w:rPr>
          <w:rFonts w:ascii="仿宋_GB2312" w:hAnsi="仿宋" w:eastAsia="仿宋_GB2312" w:cs="Arial"/>
          <w:kern w:val="0"/>
          <w:sz w:val="24"/>
        </w:rPr>
        <w:t>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w:t>
      </w:r>
      <w:r>
        <w:rPr>
          <w:rFonts w:hint="eastAsia" w:ascii="仿宋_GB2312" w:hAnsi="仿宋" w:eastAsia="仿宋_GB2312" w:cs="Arial"/>
          <w:kern w:val="0"/>
          <w:sz w:val="24"/>
        </w:rPr>
        <w:t>征集</w:t>
      </w:r>
      <w:r>
        <w:rPr>
          <w:rFonts w:ascii="仿宋_GB2312" w:hAnsi="仿宋" w:eastAsia="仿宋_GB2312" w:cs="Arial"/>
          <w:kern w:val="0"/>
          <w:sz w:val="24"/>
        </w:rPr>
        <w:t>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w:t>
      </w:r>
      <w:r>
        <w:rPr>
          <w:rFonts w:hint="eastAsia" w:ascii="仿宋_GB2312" w:hAnsi="仿宋" w:eastAsia="仿宋_GB2312" w:cs="Arial"/>
          <w:kern w:val="0"/>
          <w:sz w:val="24"/>
        </w:rPr>
        <w:t>响应</w:t>
      </w:r>
      <w:r>
        <w:rPr>
          <w:rFonts w:ascii="仿宋_GB2312" w:hAnsi="仿宋" w:eastAsia="仿宋_GB2312" w:cs="Arial"/>
          <w:kern w:val="0"/>
          <w:sz w:val="24"/>
        </w:rPr>
        <w:t>文件，没有在电子交易平台传输递交</w:t>
      </w:r>
      <w:r>
        <w:rPr>
          <w:rFonts w:hint="eastAsia" w:ascii="仿宋_GB2312" w:hAnsi="仿宋" w:eastAsia="仿宋_GB2312" w:cs="Arial"/>
          <w:kern w:val="0"/>
          <w:sz w:val="24"/>
        </w:rPr>
        <w:t>响应</w:t>
      </w:r>
      <w:r>
        <w:rPr>
          <w:rFonts w:ascii="仿宋_GB2312" w:hAnsi="仿宋" w:eastAsia="仿宋_GB2312" w:cs="Arial"/>
          <w:kern w:val="0"/>
          <w:sz w:val="24"/>
        </w:rPr>
        <w:t>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响应文件不满足征集文件的其它实质性要求的；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w:t>
      </w:r>
      <w:r>
        <w:rPr>
          <w:rFonts w:hint="eastAsia" w:ascii="仿宋_GB2312" w:hAnsi="仿宋" w:eastAsia="仿宋_GB2312" w:cs="仿宋_GB2312"/>
        </w:rPr>
        <w:t>征集</w:t>
      </w:r>
      <w:r>
        <w:rPr>
          <w:rFonts w:ascii="仿宋_GB2312" w:hAnsi="仿宋" w:eastAsia="仿宋_GB2312" w:cs="仿宋_GB2312"/>
        </w:rPr>
        <w:t>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5"/>
        <w:snapToGrid w:val="0"/>
        <w:spacing w:line="360" w:lineRule="auto"/>
        <w:ind w:firstLine="482"/>
        <w:rPr>
          <w:rFonts w:ascii="仿宋_GB2312" w:hAnsi="仿宋" w:eastAsia="仿宋_GB2312" w:cs="仿宋_GB2312"/>
        </w:rPr>
      </w:pPr>
      <w:r>
        <w:rPr>
          <w:rFonts w:ascii="仿宋_GB2312" w:hAnsi="仿宋" w:eastAsia="仿宋_GB2312" w:cs="仿宋_GB2312"/>
          <w:b/>
        </w:rPr>
        <w:t>4.4.修改</w:t>
      </w:r>
      <w:r>
        <w:rPr>
          <w:rFonts w:hint="eastAsia" w:ascii="仿宋_GB2312" w:hAnsi="仿宋" w:eastAsia="仿宋_GB2312" w:cs="仿宋_GB2312"/>
          <w:b/>
        </w:rPr>
        <w:t>征集</w:t>
      </w:r>
      <w:r>
        <w:rPr>
          <w:rFonts w:ascii="仿宋_GB2312" w:hAnsi="仿宋" w:eastAsia="仿宋_GB2312" w:cs="仿宋_GB2312"/>
          <w:b/>
        </w:rPr>
        <w:t>文件，重新组织</w:t>
      </w:r>
      <w:r>
        <w:rPr>
          <w:rFonts w:hint="eastAsia" w:ascii="仿宋_GB2312" w:hAnsi="仿宋" w:eastAsia="仿宋_GB2312" w:cs="仿宋_GB2312"/>
          <w:b/>
        </w:rPr>
        <w:t>征集</w:t>
      </w:r>
      <w:r>
        <w:rPr>
          <w:rFonts w:ascii="仿宋_GB2312" w:hAnsi="仿宋" w:eastAsia="仿宋_GB2312" w:cs="仿宋_GB2312"/>
          <w:b/>
        </w:rPr>
        <w:t>活动。</w:t>
      </w:r>
      <w:r>
        <w:rPr>
          <w:rFonts w:hint="eastAsia" w:ascii="仿宋_GB2312" w:hAnsi="仿宋" w:eastAsia="仿宋_GB2312" w:cs="仿宋_GB2312"/>
        </w:rPr>
        <w:t>评标委员会发现征集文件存在歧义、重大缺陷导致评标工作无法进行，或者征集文件内容违反国家有关强制性规定的，将停止评标工作，并与采购人、采购代理机构沟通并作书面记录。采购人、采购代理机构确认后，将修改征集文件，重新组织采购活动。</w:t>
      </w:r>
    </w:p>
    <w:p>
      <w:pPr>
        <w:pStyle w:val="25"/>
        <w:snapToGrid w:val="0"/>
        <w:spacing w:line="360" w:lineRule="auto"/>
        <w:ind w:firstLine="482"/>
        <w:rPr>
          <w:rFonts w:ascii="仿宋_GB2312" w:hAnsi="Helvetica" w:eastAsia="仿宋_GB2312" w:cs="Helvetica"/>
          <w:b/>
          <w:kern w:val="0"/>
        </w:rPr>
      </w:pPr>
      <w:r>
        <w:rPr>
          <w:rFonts w:ascii="仿宋_GB2312" w:hAnsi="Helvetica" w:eastAsia="仿宋_GB2312" w:cs="Helvetica"/>
          <w:b/>
          <w:kern w:val="0"/>
        </w:rPr>
        <w:t>4.5</w:t>
      </w:r>
      <w:r>
        <w:rPr>
          <w:rFonts w:hint="eastAsia" w:ascii="仿宋_GB2312" w:hAnsi="Helvetica" w:eastAsia="仿宋_GB2312" w:cs="Helvetica"/>
          <w:b/>
          <w:kern w:val="0"/>
        </w:rPr>
        <w:t>.重新开展征集。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w:t>
      </w:r>
      <w:r>
        <w:rPr>
          <w:rFonts w:hint="eastAsia" w:ascii="仿宋_GB2312" w:hAnsi="仿宋" w:eastAsia="仿宋_GB2312" w:cs="仿宋_GB2312"/>
        </w:rPr>
        <w:t>供应商放弃入围资格或者被取消入围资格的，取消后的入围名额不再递补。</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w:t>
      </w:r>
      <w:r>
        <w:rPr>
          <w:rFonts w:hint="eastAsia" w:ascii="仿宋_GB2312" w:hAnsi="仿宋" w:eastAsia="仿宋_GB2312" w:cs="仿宋_GB2312"/>
        </w:rPr>
        <w:t>2</w:t>
      </w:r>
      <w:r>
        <w:rPr>
          <w:rFonts w:ascii="仿宋_GB2312" w:hAnsi="仿宋" w:eastAsia="仿宋_GB2312" w:cs="仿宋_GB2312"/>
        </w:rPr>
        <w:t>除剩余入围供应商不足入围供应商总数70%且影响框架协议执行的情形外，框架协议有效期内，征集人不得补充征集供应商。</w:t>
      </w:r>
      <w:r>
        <w:rPr>
          <w:rFonts w:hint="eastAsia" w:ascii="仿宋_GB2312" w:hAnsi="仿宋" w:eastAsia="仿宋_GB2312" w:cs="仿宋_GB2312"/>
        </w:rPr>
        <w:t> </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w:t>
      </w:r>
      <w:r>
        <w:rPr>
          <w:rFonts w:hint="eastAsia" w:ascii="仿宋_GB2312" w:hAnsi="仿宋" w:eastAsia="仿宋_GB2312" w:cs="仿宋_GB2312"/>
        </w:rPr>
        <w:t>3</w:t>
      </w:r>
      <w:r>
        <w:rPr>
          <w:rFonts w:ascii="仿宋_GB2312" w:hAnsi="仿宋" w:eastAsia="仿宋_GB2312" w:cs="仿宋_GB2312"/>
        </w:rPr>
        <w:t>征集人补充征集供应商的，补充征集的条件、程序、评审方法和淘汰比例与初次征集相同。补充征集遵守原框架协议的有效期。补充征集期间，原框架协议继续履行。</w:t>
      </w:r>
    </w:p>
    <w:p>
      <w:pPr>
        <w:pStyle w:val="25"/>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403" w:name="第五部分"/>
      <w:bookmarkStart w:id="404"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
      <w:pPr>
        <w:pStyle w:val="2"/>
        <w:rPr>
          <w:lang w:val="en-US"/>
        </w:rPr>
      </w:pPr>
    </w:p>
    <w:p/>
    <w:p>
      <w:pPr>
        <w:rPr>
          <w:rFonts w:ascii="仿宋_GB2312" w:hAnsi="仿宋" w:eastAsia="仿宋_GB2312"/>
          <w:b/>
          <w:bCs/>
          <w:sz w:val="32"/>
          <w:szCs w:val="32"/>
        </w:rPr>
      </w:pPr>
    </w:p>
    <w:p>
      <w:pPr>
        <w:pStyle w:val="2"/>
        <w:rPr>
          <w:lang w:val="en-US"/>
        </w:rPr>
      </w:pPr>
    </w:p>
    <w:p/>
    <w:p>
      <w:pPr>
        <w:spacing w:line="360" w:lineRule="auto"/>
        <w:ind w:left="720" w:leftChars="343" w:firstLine="1626" w:firstLineChars="45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napToGrid w:val="0"/>
        <w:spacing w:line="50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甲方（委托单位）：诸暨市财政投资预决算审核中心</w:t>
      </w:r>
    </w:p>
    <w:p>
      <w:pPr>
        <w:tabs>
          <w:tab w:val="left" w:pos="3735"/>
        </w:tabs>
        <w:snapToGrid w:val="0"/>
        <w:spacing w:line="50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入围单位（协审单位）：</w:t>
      </w:r>
      <w:r>
        <w:rPr>
          <w:rFonts w:ascii="仿宋_GB2312" w:hAnsi="仿宋_GB2312" w:eastAsia="仿宋_GB2312" w:cs="仿宋_GB2312"/>
          <w:sz w:val="24"/>
          <w:szCs w:val="28"/>
        </w:rPr>
        <w:t xml:space="preserve"> </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根据《中华人民共和国合同法》、《中华人民共和国政府采购法》等有关规定，以及诸暨市公共资源交易中心（编号：诸政采20    —    —    号）征集文件相关要求，经法定程序采购，双方同意签订以下合同条款，以便双方共同遵守、履行合同。</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为保证审核质量，防范审核风险，明确审核责任，规范承办诸暨市政府投资项目结算、预算、复审审核执业行为，本着“自愿互利，委托服务”的原则，结合工程审核的相关要求制定以下条款，明确双方权利和义务。</w:t>
      </w:r>
    </w:p>
    <w:p>
      <w:pPr>
        <w:snapToGrid w:val="0"/>
        <w:spacing w:line="520" w:lineRule="exact"/>
        <w:ind w:right="-109" w:rightChars="-52"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第一条</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资质条件和承诺事项</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一、入围单位接受委托承办政府投资建设项目审核业务，应当同时具备以下条件：</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一）在诸暨建立固定的办公场所，且应组成专门的项目组负责我审核中心项目审核，并指定诸暨市财政投资预决算审核中心项目技术负责人和系统负责人各一名（可以是同一人）。拟派负责人要求具备注册一级造价师执业资格，能全权代表入围单位组织管理项目组事务并负责与诸暨市财政投资预决算审核中心各项事务的洽商；拟派技术负责人必须参与甲方委托项目的复核、滞留项目的协调处理、争议问题的解决等。项目组成员一旦确定不得变更（除不可抗力或经采购单位同意外），且均应为入围单位在编在岗正式员工，实际审核的人员必须与入围名单资格条件相符，如有虚假选派将取消协审资格。诸暨市财政投资预决算审核中心将根据考核结果，要求入围单位更换不符合要求的项目组成员。</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二）诸暨市财政投资预决算审核中心将对每个项目的现场踏勘、对账情况、项目进度情况进行跟踪抽查，一旦发现实际审核人与投标名单人员资格条件不符合，将作为违约行为，在项目考评中扣分并暂停业务。诸暨市财政投资预决算审核中心有权根据考核结果，要求入围单位更换考核后不符合要求的技术人员，未按要求更换的视为违约。入围后所有诸暨市财政投资预决算审核中心委托的审核业务均由系统负责人联系；审核过程中，入围单位被委托的项目遇到疑难问题需要召开协调会时，技术负责人必须参加。</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（三）项目审价应按采购单位要求的格式和内容提供完整的审核报告和阶段性审价成果，重大争议问题及时与采购单位沟通。</w:t>
      </w:r>
    </w:p>
    <w:p>
      <w:pPr>
        <w:pStyle w:val="133"/>
        <w:tabs>
          <w:tab w:val="left" w:pos="360"/>
        </w:tabs>
        <w:snapToGrid w:val="0"/>
        <w:ind w:firstLine="480"/>
        <w:rPr>
          <w:rFonts w:ascii="仿宋_GB2312" w:hAnsi="仿宋_GB2312" w:eastAsia="仿宋_GB2312" w:cs="仿宋_GB2312"/>
          <w:szCs w:val="28"/>
        </w:rPr>
      </w:pPr>
      <w:r>
        <w:rPr>
          <w:rFonts w:hint="eastAsia" w:ascii="仿宋_GB2312" w:hAnsi="仿宋_GB2312" w:eastAsia="仿宋_GB2312" w:cs="仿宋_GB2312"/>
          <w:szCs w:val="28"/>
        </w:rPr>
        <w:t>（四）构建了内部严格有效的项目质量三级复核控制体系，并在审核过程中严格按照所提交的质量控制措施规定执行，近三年没有违反职业道德和违法行为。</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二、入围单位接受委托承办政府投资建设项目审核业务，必须作出以下承诺：</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（一）被审核单位或者被审核项目相关事项，与入围单位或其派出审核人员有利害关系的，利害关系人必须主动向诸暨市财政投资预决算审核中心申请回避。</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（二）入围单位不得参与曾由本单位编制的预算、控制价或标底、跟踪审核、建设单位内审等工程项目的竣工结算审核工作。</w:t>
      </w:r>
    </w:p>
    <w:p>
      <w:pPr>
        <w:snapToGrid w:val="0"/>
        <w:spacing w:line="520" w:lineRule="exact"/>
        <w:ind w:right="-109" w:rightChars="-52"/>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    （三）入围单位如果曾参与需送诸暨市财政投资预决算审核中心政府投资项目和村级工程的预算、控制价或标底编制、跟踪审核、建设单位内审或财务预决算审核等工作，需要将参与项目提前上报诸暨市财政投资预决算审核中心备案，并在审核实施中主动申请回避。</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（四）不得将受托审核项目转包或分包给其他单位或个人。</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（五）入围单位积极配合诸暨市财政投资预决算审核中心的考核检查工作。</w:t>
      </w:r>
    </w:p>
    <w:p>
      <w:pPr>
        <w:snapToGrid w:val="0"/>
        <w:spacing w:line="520" w:lineRule="exact"/>
        <w:ind w:right="-109" w:rightChars="-52"/>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    （六）入围单位必须派遣专家协助诸暨市财政投资预决算审核中心审核、结算复核等工作。</w:t>
      </w:r>
    </w:p>
    <w:p>
      <w:pPr>
        <w:snapToGrid w:val="0"/>
        <w:spacing w:line="520" w:lineRule="exact"/>
        <w:ind w:right="-109" w:rightChars="-52"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（七）三级复核表上需协审工程师、项目负责人，单位负责人签章，项目负责人需为一级注册造价工程师。审核报告必须附上有单位盖章的扉页。</w:t>
      </w:r>
    </w:p>
    <w:p>
      <w:pPr>
        <w:snapToGrid w:val="0"/>
        <w:spacing w:line="520" w:lineRule="exact"/>
        <w:ind w:right="-109" w:rightChars="-52"/>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    （八）入围单位应自觉接受诸暨市财政投资预决算审核中心对审核项目的分配制度，平等对待所有被分配到的审核项目。如无合理原因，不得因项目送审金额大小、项目类型等原因拒绝诸暨市财政投资预决算审核中心对项目的分配。</w:t>
      </w:r>
    </w:p>
    <w:p>
      <w:pPr>
        <w:snapToGrid w:val="0"/>
        <w:spacing w:line="520" w:lineRule="exact"/>
        <w:ind w:right="-109" w:rightChars="-52"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第二条</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工作流程和限时审结要求</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一、入围单位承办政府投资建设项目结算审核业务，必须执行以下工作流程：</w:t>
      </w:r>
    </w:p>
    <w:p>
      <w:pPr>
        <w:snapToGrid w:val="0"/>
        <w:spacing w:line="520" w:lineRule="exact"/>
        <w:ind w:right="-109" w:rightChars="-52"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（一）审查资料及合同签订：入围单位负责人在接到项目委托意向通知短信后，应于</w:t>
      </w:r>
      <w:r>
        <w:rPr>
          <w:rFonts w:ascii="仿宋_GB2312" w:hAnsi="仿宋_GB2312" w:eastAsia="仿宋_GB2312" w:cs="仿宋_GB2312"/>
          <w:sz w:val="24"/>
          <w:szCs w:val="28"/>
        </w:rPr>
        <w:t>3</w:t>
      </w:r>
      <w:r>
        <w:rPr>
          <w:rFonts w:hint="eastAsia" w:ascii="仿宋_GB2312" w:hAnsi="仿宋_GB2312" w:eastAsia="仿宋_GB2312" w:cs="仿宋_GB2312"/>
          <w:sz w:val="24"/>
          <w:szCs w:val="28"/>
        </w:rPr>
        <w:t>个工作日内指派具体负责人员到诸暨市财政投资预决算审核中心办公室对项目送审资料进行认真审查。经审查具备审核条件并愿意接受委托进行审核的，办理资料交接手续。</w:t>
      </w:r>
    </w:p>
    <w:p>
      <w:pPr>
        <w:snapToGrid w:val="0"/>
        <w:spacing w:line="520" w:lineRule="exact"/>
        <w:ind w:right="-109" w:rightChars="-52"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二）审核方案提交：入围单位在接到项目委托意向通知短信后，负责人应于3个工作日内在诸暨市财政投资预决算审核中心项目审核管理系统（以下简称“系统”）上将项目分配给具体参与审核人员，并提交审核方案。入围单位系统上的协审工程师应与具体实施项目的工程师一致。</w:t>
      </w:r>
    </w:p>
    <w:p>
      <w:pPr>
        <w:snapToGrid w:val="0"/>
        <w:spacing w:line="520" w:lineRule="exact"/>
        <w:ind w:right="-109" w:rightChars="-52"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三）资料增补：工程项目的所有送审资料，只能从诸暨市财政投资预决算审核中心获取，不得直接从建设单位或者施工单位获取。在项目审核过程中，若确需建设单位增补其它资料，应通过系统向建设单位发出正式《补充资料通知》。</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四）审核实施：入围单位在充分熟悉项目审核资料后，进入审核实施程序。在审核实施过程中，必须进行勘查现场（应做好现场勘查记录或留下图象资料，并经建施双方签字确认）、对账（应做好核对纪要的签字记录）、汇总（将初审结果工作底稿、套价文件、审核报告及其电子资料通过系统上传诸暨市财政投资预决算审核中心）等必须的工作程序。</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（五）三级复核：入围单位必须建立健全内部质量控制制度，必须有三级复核程序。在入围单位完成初审后，项目提交至审核中心跟踪人，跟踪人完成审核后进行复审，复审完成后方能出具正式报告。</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六）审核完成：对于三级复核审定的结果，要送建设方、施工方签字确认。对于建设单位或施工单位不配合审核的情况，应向诸暨市财政投资预决算审核中心书面报告并在系统上留言说明情况，由诸暨市财政投资预决算审核中心按规定程序办理。</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（七）出具报告及退还审核资料：建施双方同意征求意见稿后，在征求审核中心意见后出具报告并归档整理存入档案室。</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（八）入围单位承办政府投资建设项目预算审核业务及结算复审业务，按以上工作流程参考执行。</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二、入围单位应当按规定的期限完成所承办项目的审核工作。</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（一）结算审核限时审结要求：</w:t>
      </w:r>
    </w:p>
    <w:tbl>
      <w:tblPr>
        <w:tblStyle w:val="6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98"/>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678"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工程竣工结算收送审金额</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提出审核意见时间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80" w:type="dxa"/>
            <w:vAlign w:val="center"/>
          </w:tcPr>
          <w:p>
            <w:pPr>
              <w:rPr>
                <w:rFonts w:ascii="仿宋_GB2312" w:hAnsi="仿宋_GB2312" w:eastAsia="仿宋_GB2312" w:cs="仿宋_GB2312"/>
                <w:sz w:val="24"/>
              </w:rPr>
            </w:pPr>
            <w:r>
              <w:rPr>
                <w:rFonts w:ascii="仿宋_GB2312" w:hAnsi="仿宋_GB2312" w:eastAsia="仿宋_GB2312" w:cs="仿宋_GB2312"/>
                <w:sz w:val="24"/>
              </w:rPr>
              <w:t>1</w:t>
            </w:r>
          </w:p>
        </w:tc>
        <w:tc>
          <w:tcPr>
            <w:tcW w:w="359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送审价</w:t>
            </w:r>
            <w:r>
              <w:rPr>
                <w:rFonts w:ascii="仿宋_GB2312" w:hAnsi="仿宋_GB2312" w:eastAsia="仿宋_GB2312" w:cs="仿宋_GB2312"/>
                <w:sz w:val="24"/>
              </w:rPr>
              <w:t>1000</w:t>
            </w:r>
            <w:r>
              <w:rPr>
                <w:rFonts w:hint="eastAsia" w:ascii="仿宋_GB2312" w:hAnsi="仿宋_GB2312" w:eastAsia="仿宋_GB2312" w:cs="仿宋_GB2312"/>
                <w:sz w:val="24"/>
              </w:rPr>
              <w:t>万元（含）以下</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从接到竣工结算资料之日起</w:t>
            </w:r>
            <w:r>
              <w:rPr>
                <w:rFonts w:ascii="仿宋_GB2312" w:hAnsi="仿宋_GB2312" w:eastAsia="仿宋_GB2312" w:cs="仿宋_GB2312"/>
                <w:sz w:val="24"/>
              </w:rPr>
              <w:t>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0" w:type="dxa"/>
            <w:vAlign w:val="center"/>
          </w:tcPr>
          <w:p>
            <w:pPr>
              <w:rPr>
                <w:rFonts w:ascii="仿宋_GB2312" w:hAnsi="仿宋_GB2312" w:eastAsia="仿宋_GB2312" w:cs="仿宋_GB2312"/>
                <w:sz w:val="24"/>
              </w:rPr>
            </w:pPr>
            <w:r>
              <w:rPr>
                <w:rFonts w:ascii="仿宋_GB2312" w:hAnsi="仿宋_GB2312" w:eastAsia="仿宋_GB2312" w:cs="仿宋_GB2312"/>
                <w:sz w:val="24"/>
              </w:rPr>
              <w:t>2</w:t>
            </w:r>
          </w:p>
        </w:tc>
        <w:tc>
          <w:tcPr>
            <w:tcW w:w="359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送审价</w:t>
            </w:r>
            <w:r>
              <w:rPr>
                <w:rFonts w:ascii="仿宋_GB2312" w:hAnsi="仿宋_GB2312" w:eastAsia="仿宋_GB2312" w:cs="仿宋_GB2312"/>
                <w:sz w:val="24"/>
              </w:rPr>
              <w:t>1000</w:t>
            </w:r>
            <w:r>
              <w:rPr>
                <w:rFonts w:hint="eastAsia" w:ascii="仿宋_GB2312" w:hAnsi="仿宋_GB2312" w:eastAsia="仿宋_GB2312" w:cs="仿宋_GB2312"/>
                <w:sz w:val="24"/>
              </w:rPr>
              <w:t>万元至</w:t>
            </w:r>
            <w:r>
              <w:rPr>
                <w:rFonts w:ascii="仿宋_GB2312" w:hAnsi="仿宋_GB2312" w:eastAsia="仿宋_GB2312" w:cs="仿宋_GB2312"/>
                <w:sz w:val="24"/>
              </w:rPr>
              <w:t>5000</w:t>
            </w:r>
            <w:r>
              <w:rPr>
                <w:rFonts w:hint="eastAsia" w:ascii="仿宋_GB2312" w:hAnsi="仿宋_GB2312" w:eastAsia="仿宋_GB2312" w:cs="仿宋_GB2312"/>
                <w:sz w:val="24"/>
              </w:rPr>
              <w:t>万元（含）</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从接到竣工结算资料之日起45</w:t>
            </w:r>
            <w:r>
              <w:rPr>
                <w:rFonts w:ascii="仿宋_GB2312" w:hAnsi="仿宋_GB2312" w:eastAsia="仿宋_GB2312" w:cs="仿宋_GB2312"/>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rPr>
                <w:rFonts w:ascii="仿宋_GB2312" w:hAnsi="仿宋_GB2312" w:eastAsia="仿宋_GB2312" w:cs="仿宋_GB2312"/>
                <w:sz w:val="24"/>
              </w:rPr>
            </w:pPr>
            <w:r>
              <w:rPr>
                <w:rFonts w:ascii="仿宋_GB2312" w:hAnsi="仿宋_GB2312" w:eastAsia="仿宋_GB2312" w:cs="仿宋_GB2312"/>
                <w:sz w:val="24"/>
              </w:rPr>
              <w:t>3</w:t>
            </w:r>
          </w:p>
        </w:tc>
        <w:tc>
          <w:tcPr>
            <w:tcW w:w="359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送审价</w:t>
            </w:r>
            <w:r>
              <w:rPr>
                <w:rFonts w:ascii="仿宋_GB2312" w:hAnsi="仿宋_GB2312" w:eastAsia="仿宋_GB2312" w:cs="仿宋_GB2312"/>
                <w:sz w:val="24"/>
              </w:rPr>
              <w:t>5000</w:t>
            </w:r>
            <w:r>
              <w:rPr>
                <w:rFonts w:hint="eastAsia" w:ascii="仿宋_GB2312" w:hAnsi="仿宋_GB2312" w:eastAsia="仿宋_GB2312" w:cs="仿宋_GB2312"/>
                <w:sz w:val="24"/>
              </w:rPr>
              <w:t>万元至</w:t>
            </w:r>
            <w:r>
              <w:rPr>
                <w:rFonts w:ascii="仿宋_GB2312" w:hAnsi="仿宋_GB2312" w:eastAsia="仿宋_GB2312" w:cs="仿宋_GB2312"/>
                <w:sz w:val="24"/>
              </w:rPr>
              <w:t>1</w:t>
            </w:r>
            <w:r>
              <w:rPr>
                <w:rFonts w:hint="eastAsia" w:ascii="仿宋_GB2312" w:hAnsi="仿宋_GB2312" w:eastAsia="仿宋_GB2312" w:cs="仿宋_GB2312"/>
                <w:sz w:val="24"/>
              </w:rPr>
              <w:t>亿元(含)</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从接到竣工结算资料之日起60</w:t>
            </w:r>
            <w:r>
              <w:rPr>
                <w:rFonts w:ascii="仿宋_GB2312" w:hAnsi="仿宋_GB2312" w:eastAsia="仿宋_GB2312" w:cs="仿宋_GB2312"/>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80" w:type="dxa"/>
            <w:vAlign w:val="center"/>
          </w:tcPr>
          <w:p>
            <w:pPr>
              <w:rPr>
                <w:rFonts w:ascii="仿宋_GB2312" w:hAnsi="仿宋_GB2312" w:eastAsia="仿宋_GB2312" w:cs="仿宋_GB2312"/>
                <w:sz w:val="24"/>
              </w:rPr>
            </w:pPr>
            <w:r>
              <w:rPr>
                <w:rFonts w:ascii="仿宋_GB2312" w:hAnsi="仿宋_GB2312" w:eastAsia="仿宋_GB2312" w:cs="仿宋_GB2312"/>
                <w:sz w:val="24"/>
              </w:rPr>
              <w:t>4</w:t>
            </w:r>
          </w:p>
        </w:tc>
        <w:tc>
          <w:tcPr>
            <w:tcW w:w="359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送审价1亿元以上</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从接到竣工结算资料之日起90</w:t>
            </w:r>
            <w:r>
              <w:rPr>
                <w:rFonts w:ascii="仿宋_GB2312" w:hAnsi="仿宋_GB2312" w:eastAsia="仿宋_GB2312" w:cs="仿宋_GB2312"/>
                <w:sz w:val="24"/>
              </w:rPr>
              <w:t>个工作日</w:t>
            </w:r>
          </w:p>
        </w:tc>
      </w:tr>
    </w:tbl>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（二）预算审核限时审结要求：</w:t>
      </w:r>
    </w:p>
    <w:tbl>
      <w:tblPr>
        <w:tblStyle w:val="6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98"/>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678"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工程竣工结算收送审金额</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提出审核意见时间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80" w:type="dxa"/>
            <w:vAlign w:val="center"/>
          </w:tcPr>
          <w:p>
            <w:pPr>
              <w:rPr>
                <w:rFonts w:ascii="仿宋_GB2312" w:hAnsi="仿宋_GB2312" w:eastAsia="仿宋_GB2312" w:cs="仿宋_GB2312"/>
                <w:sz w:val="24"/>
              </w:rPr>
            </w:pPr>
            <w:r>
              <w:rPr>
                <w:rFonts w:ascii="仿宋_GB2312" w:hAnsi="仿宋_GB2312" w:eastAsia="仿宋_GB2312" w:cs="仿宋_GB2312"/>
                <w:sz w:val="24"/>
              </w:rPr>
              <w:t>1</w:t>
            </w:r>
          </w:p>
        </w:tc>
        <w:tc>
          <w:tcPr>
            <w:tcW w:w="359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送审价</w:t>
            </w:r>
            <w:r>
              <w:rPr>
                <w:rFonts w:ascii="仿宋_GB2312" w:hAnsi="仿宋_GB2312" w:eastAsia="仿宋_GB2312" w:cs="仿宋_GB2312"/>
                <w:sz w:val="24"/>
              </w:rPr>
              <w:t>1000</w:t>
            </w:r>
            <w:r>
              <w:rPr>
                <w:rFonts w:hint="eastAsia" w:ascii="仿宋_GB2312" w:hAnsi="仿宋_GB2312" w:eastAsia="仿宋_GB2312" w:cs="仿宋_GB2312"/>
                <w:sz w:val="24"/>
              </w:rPr>
              <w:t>万元（含）以下</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从接到竣工结算资料之日起5</w:t>
            </w:r>
            <w:r>
              <w:rPr>
                <w:rFonts w:ascii="仿宋_GB2312" w:hAnsi="仿宋_GB2312" w:eastAsia="仿宋_GB2312" w:cs="仿宋_GB2312"/>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0" w:type="dxa"/>
            <w:vAlign w:val="center"/>
          </w:tcPr>
          <w:p>
            <w:pPr>
              <w:rPr>
                <w:rFonts w:ascii="仿宋_GB2312" w:hAnsi="仿宋_GB2312" w:eastAsia="仿宋_GB2312" w:cs="仿宋_GB2312"/>
                <w:sz w:val="24"/>
              </w:rPr>
            </w:pPr>
            <w:r>
              <w:rPr>
                <w:rFonts w:ascii="仿宋_GB2312" w:hAnsi="仿宋_GB2312" w:eastAsia="仿宋_GB2312" w:cs="仿宋_GB2312"/>
                <w:sz w:val="24"/>
              </w:rPr>
              <w:t>2</w:t>
            </w:r>
          </w:p>
        </w:tc>
        <w:tc>
          <w:tcPr>
            <w:tcW w:w="359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送审价</w:t>
            </w:r>
            <w:r>
              <w:rPr>
                <w:rFonts w:ascii="仿宋_GB2312" w:hAnsi="仿宋_GB2312" w:eastAsia="仿宋_GB2312" w:cs="仿宋_GB2312"/>
                <w:sz w:val="24"/>
              </w:rPr>
              <w:t>1000</w:t>
            </w:r>
            <w:r>
              <w:rPr>
                <w:rFonts w:hint="eastAsia" w:ascii="仿宋_GB2312" w:hAnsi="仿宋_GB2312" w:eastAsia="仿宋_GB2312" w:cs="仿宋_GB2312"/>
                <w:sz w:val="24"/>
              </w:rPr>
              <w:t>万元至</w:t>
            </w:r>
            <w:r>
              <w:rPr>
                <w:rFonts w:ascii="仿宋_GB2312" w:hAnsi="仿宋_GB2312" w:eastAsia="仿宋_GB2312" w:cs="仿宋_GB2312"/>
                <w:sz w:val="24"/>
              </w:rPr>
              <w:t>5000</w:t>
            </w:r>
            <w:r>
              <w:rPr>
                <w:rFonts w:hint="eastAsia" w:ascii="仿宋_GB2312" w:hAnsi="仿宋_GB2312" w:eastAsia="仿宋_GB2312" w:cs="仿宋_GB2312"/>
                <w:sz w:val="24"/>
              </w:rPr>
              <w:t>万元（含）</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从接到竣工结算资料之日起10</w:t>
            </w:r>
            <w:r>
              <w:rPr>
                <w:rFonts w:ascii="仿宋_GB2312" w:hAnsi="仿宋_GB2312" w:eastAsia="仿宋_GB2312" w:cs="仿宋_GB2312"/>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rPr>
                <w:rFonts w:ascii="仿宋_GB2312" w:hAnsi="仿宋_GB2312" w:eastAsia="仿宋_GB2312" w:cs="仿宋_GB2312"/>
                <w:sz w:val="24"/>
              </w:rPr>
            </w:pPr>
            <w:r>
              <w:rPr>
                <w:rFonts w:ascii="仿宋_GB2312" w:hAnsi="仿宋_GB2312" w:eastAsia="仿宋_GB2312" w:cs="仿宋_GB2312"/>
                <w:sz w:val="24"/>
              </w:rPr>
              <w:t>3</w:t>
            </w:r>
          </w:p>
        </w:tc>
        <w:tc>
          <w:tcPr>
            <w:tcW w:w="359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送审价</w:t>
            </w:r>
            <w:r>
              <w:rPr>
                <w:rFonts w:ascii="仿宋_GB2312" w:hAnsi="仿宋_GB2312" w:eastAsia="仿宋_GB2312" w:cs="仿宋_GB2312"/>
                <w:sz w:val="24"/>
              </w:rPr>
              <w:t>5000</w:t>
            </w:r>
            <w:r>
              <w:rPr>
                <w:rFonts w:hint="eastAsia" w:ascii="仿宋_GB2312" w:hAnsi="仿宋_GB2312" w:eastAsia="仿宋_GB2312" w:cs="仿宋_GB2312"/>
                <w:sz w:val="24"/>
              </w:rPr>
              <w:t>万元以上</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从接到竣工结算资料之日起15</w:t>
            </w:r>
            <w:r>
              <w:rPr>
                <w:rFonts w:ascii="仿宋_GB2312" w:hAnsi="仿宋_GB2312" w:eastAsia="仿宋_GB2312" w:cs="仿宋_GB2312"/>
                <w:sz w:val="24"/>
              </w:rPr>
              <w:t>个工作日</w:t>
            </w:r>
          </w:p>
        </w:tc>
      </w:tr>
    </w:tbl>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（三）结算复审限时审结要求：</w:t>
      </w:r>
    </w:p>
    <w:tbl>
      <w:tblPr>
        <w:tblStyle w:val="6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98"/>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678"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工程竣工结算收送审金额</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提出审核意见时间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80" w:type="dxa"/>
            <w:vAlign w:val="center"/>
          </w:tcPr>
          <w:p>
            <w:pPr>
              <w:rPr>
                <w:rFonts w:ascii="仿宋_GB2312" w:hAnsi="仿宋_GB2312" w:eastAsia="仿宋_GB2312" w:cs="仿宋_GB2312"/>
                <w:sz w:val="24"/>
              </w:rPr>
            </w:pPr>
            <w:r>
              <w:rPr>
                <w:rFonts w:ascii="仿宋_GB2312" w:hAnsi="仿宋_GB2312" w:eastAsia="仿宋_GB2312" w:cs="仿宋_GB2312"/>
                <w:sz w:val="24"/>
              </w:rPr>
              <w:t>1</w:t>
            </w:r>
          </w:p>
        </w:tc>
        <w:tc>
          <w:tcPr>
            <w:tcW w:w="359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送审价</w:t>
            </w:r>
            <w:r>
              <w:rPr>
                <w:rFonts w:ascii="仿宋_GB2312" w:hAnsi="仿宋_GB2312" w:eastAsia="仿宋_GB2312" w:cs="仿宋_GB2312"/>
                <w:sz w:val="24"/>
              </w:rPr>
              <w:t>1000</w:t>
            </w:r>
            <w:r>
              <w:rPr>
                <w:rFonts w:hint="eastAsia" w:ascii="仿宋_GB2312" w:hAnsi="仿宋_GB2312" w:eastAsia="仿宋_GB2312" w:cs="仿宋_GB2312"/>
                <w:sz w:val="24"/>
              </w:rPr>
              <w:t>万元（含）以下</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从接到竣工结算资料之日起5</w:t>
            </w:r>
            <w:r>
              <w:rPr>
                <w:rFonts w:ascii="仿宋_GB2312" w:hAnsi="仿宋_GB2312" w:eastAsia="仿宋_GB2312" w:cs="仿宋_GB2312"/>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0" w:type="dxa"/>
            <w:vAlign w:val="center"/>
          </w:tcPr>
          <w:p>
            <w:pPr>
              <w:rPr>
                <w:rFonts w:ascii="仿宋_GB2312" w:hAnsi="仿宋_GB2312" w:eastAsia="仿宋_GB2312" w:cs="仿宋_GB2312"/>
                <w:sz w:val="24"/>
              </w:rPr>
            </w:pPr>
            <w:r>
              <w:rPr>
                <w:rFonts w:ascii="仿宋_GB2312" w:hAnsi="仿宋_GB2312" w:eastAsia="仿宋_GB2312" w:cs="仿宋_GB2312"/>
                <w:sz w:val="24"/>
              </w:rPr>
              <w:t>2</w:t>
            </w:r>
          </w:p>
        </w:tc>
        <w:tc>
          <w:tcPr>
            <w:tcW w:w="359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送审价</w:t>
            </w:r>
            <w:r>
              <w:rPr>
                <w:rFonts w:ascii="仿宋_GB2312" w:hAnsi="仿宋_GB2312" w:eastAsia="仿宋_GB2312" w:cs="仿宋_GB2312"/>
                <w:sz w:val="24"/>
              </w:rPr>
              <w:t>1000</w:t>
            </w:r>
            <w:r>
              <w:rPr>
                <w:rFonts w:hint="eastAsia" w:ascii="仿宋_GB2312" w:hAnsi="仿宋_GB2312" w:eastAsia="仿宋_GB2312" w:cs="仿宋_GB2312"/>
                <w:sz w:val="24"/>
              </w:rPr>
              <w:t>万元至</w:t>
            </w:r>
            <w:r>
              <w:rPr>
                <w:rFonts w:ascii="仿宋_GB2312" w:hAnsi="仿宋_GB2312" w:eastAsia="仿宋_GB2312" w:cs="仿宋_GB2312"/>
                <w:sz w:val="24"/>
              </w:rPr>
              <w:t>5000</w:t>
            </w:r>
            <w:r>
              <w:rPr>
                <w:rFonts w:hint="eastAsia" w:ascii="仿宋_GB2312" w:hAnsi="仿宋_GB2312" w:eastAsia="仿宋_GB2312" w:cs="仿宋_GB2312"/>
                <w:sz w:val="24"/>
              </w:rPr>
              <w:t>万元（含）</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从接到竣工结算资料之日起10</w:t>
            </w:r>
            <w:r>
              <w:rPr>
                <w:rFonts w:ascii="仿宋_GB2312" w:hAnsi="仿宋_GB2312" w:eastAsia="仿宋_GB2312" w:cs="仿宋_GB2312"/>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rPr>
                <w:rFonts w:ascii="仿宋_GB2312" w:hAnsi="仿宋_GB2312" w:eastAsia="仿宋_GB2312" w:cs="仿宋_GB2312"/>
                <w:sz w:val="24"/>
              </w:rPr>
            </w:pPr>
            <w:r>
              <w:rPr>
                <w:rFonts w:ascii="仿宋_GB2312" w:hAnsi="仿宋_GB2312" w:eastAsia="仿宋_GB2312" w:cs="仿宋_GB2312"/>
                <w:sz w:val="24"/>
              </w:rPr>
              <w:t>3</w:t>
            </w:r>
          </w:p>
        </w:tc>
        <w:tc>
          <w:tcPr>
            <w:tcW w:w="359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送审价</w:t>
            </w:r>
            <w:r>
              <w:rPr>
                <w:rFonts w:ascii="仿宋_GB2312" w:hAnsi="仿宋_GB2312" w:eastAsia="仿宋_GB2312" w:cs="仿宋_GB2312"/>
                <w:sz w:val="24"/>
              </w:rPr>
              <w:t>5000</w:t>
            </w:r>
            <w:r>
              <w:rPr>
                <w:rFonts w:hint="eastAsia" w:ascii="仿宋_GB2312" w:hAnsi="仿宋_GB2312" w:eastAsia="仿宋_GB2312" w:cs="仿宋_GB2312"/>
                <w:sz w:val="24"/>
              </w:rPr>
              <w:t>万元以上</w:t>
            </w:r>
          </w:p>
        </w:tc>
        <w:tc>
          <w:tcPr>
            <w:tcW w:w="432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从接到竣工结算资料之日起15</w:t>
            </w:r>
            <w:r>
              <w:rPr>
                <w:rFonts w:ascii="仿宋_GB2312" w:hAnsi="仿宋_GB2312" w:eastAsia="仿宋_GB2312" w:cs="仿宋_GB2312"/>
                <w:sz w:val="24"/>
              </w:rPr>
              <w:t>个工作日</w:t>
            </w:r>
          </w:p>
        </w:tc>
      </w:tr>
    </w:tbl>
    <w:p>
      <w:pPr>
        <w:snapToGrid w:val="0"/>
        <w:spacing w:line="520" w:lineRule="exact"/>
        <w:ind w:right="-109" w:rightChars="-52"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除特殊情况外，超出时限时协审单位必须以书面形式向诸暨市财政局投资预决算审核中心分管领导汇报并说明原因。</w:t>
      </w:r>
    </w:p>
    <w:p>
      <w:pPr>
        <w:snapToGrid w:val="0"/>
        <w:spacing w:line="520" w:lineRule="exact"/>
        <w:ind w:right="-109" w:rightChars="-52"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第三条</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双方义务和责任</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一、入围单位的义务和责任：</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（一）不得擅自增补资料原则。审核所依据的资料必须是经诸暨市财政投资预决算审核中心接收的工程相关资料，审核过程中，应通过诸暨市财政投资预决算审核中心增补其它工程资料。</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二）严守工作规程原则。在审核过程中必须按照《会计师事务所从事基本建设工程预算、结算、决算审核暂行办法》或《工程造价咨询业务操作指导规程》的规定，实施包括现场勘查、对账在内的必要的工作程序。</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三）廉洁自律原则。在审核过程中必须遵守职业道德，严格执行《八不准审核工作纪律》，不得接受有可能影响公正执业的吃请和收受红包等不廉洁行为。不得私自与施工单位联系；未经诸暨市财政投资预决算审核中心同意，不得在诸暨市财政投资预决算审核中心以外的地方与施工单位对账。</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四）客观、独立、公允原则。在进行政府投资项目审核的过程中，入围单位必须坚持客观、独立、公允的原则，不受任何组织或个人干扰，对出具的《工程竣工结算审核报告》的客观性、公允性、准确性，独立承担经济责任和法律责任。</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五）接受核查、监督原则。对入围单位作出的审核结论，诸暨市财政投资预决算审核中心有权进行核查，入围单位应当接受并积极配合诸暨市财政投资预决算审核中心的监督检查。入围单位对项目审核过程中所取得的审核工作底稿、审核证据记录等所有能够证明《工程竣工结算审核报告》审核结果的相关资料，必须妥善归档保存、保证随时可查。项目结束后按考核办法接受诸暨市财政投资预决算审核中心的考核（依据《诸暨市财政局协审工作考核暂行办法》）。在审核过程中出现重大质量问题或者年度考评不合格的单位将被取消协审资格。</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六）保密原则。入围单位对审核过程中所取得的相关审核资料以及从系统数据库中获取的所有数据具有保密义务，严禁向第三方泄露审核资料和系统数据库中的内容。如入围单位对上述资料或数据泄密，诸暨市财政投资预决算审核中心有权终止并解除协审合同，并依法追究其经济责任和法律责任。</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（七）</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入围单位应当切实加强内部管理，将《工程造价咨询单位执业行为准则》、《造价工程师职业道德行为准则》（中价协</w:t>
      </w:r>
      <w:r>
        <w:rPr>
          <w:rFonts w:ascii="仿宋_GB2312" w:hAnsi="仿宋_GB2312" w:eastAsia="仿宋_GB2312" w:cs="仿宋_GB2312"/>
          <w:sz w:val="24"/>
          <w:szCs w:val="28"/>
        </w:rPr>
        <w:t>[2002]</w:t>
      </w:r>
      <w:r>
        <w:rPr>
          <w:rFonts w:hint="eastAsia" w:ascii="仿宋_GB2312" w:hAnsi="仿宋_GB2312" w:eastAsia="仿宋_GB2312" w:cs="仿宋_GB2312"/>
          <w:sz w:val="24"/>
          <w:szCs w:val="28"/>
        </w:rPr>
        <w:t>第</w:t>
      </w:r>
      <w:r>
        <w:rPr>
          <w:rFonts w:ascii="仿宋_GB2312" w:hAnsi="仿宋_GB2312" w:eastAsia="仿宋_GB2312" w:cs="仿宋_GB2312"/>
          <w:sz w:val="24"/>
          <w:szCs w:val="28"/>
        </w:rPr>
        <w:t>015</w:t>
      </w:r>
      <w:r>
        <w:rPr>
          <w:rFonts w:hint="eastAsia" w:ascii="仿宋_GB2312" w:hAnsi="仿宋_GB2312" w:eastAsia="仿宋_GB2312" w:cs="仿宋_GB2312"/>
          <w:sz w:val="24"/>
          <w:szCs w:val="28"/>
        </w:rPr>
        <w:t>号）作为承办政府投资建设项目审核业务过程中的行为准则。</w:t>
      </w:r>
    </w:p>
    <w:p>
      <w:pPr>
        <w:tabs>
          <w:tab w:val="left" w:pos="312"/>
        </w:tabs>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二、甲方的义务和责任：</w:t>
      </w:r>
    </w:p>
    <w:p>
      <w:pPr>
        <w:tabs>
          <w:tab w:val="left" w:pos="312"/>
        </w:tabs>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（一）负责向被审核单位下达审核通知书。</w:t>
      </w:r>
    </w:p>
    <w:p>
      <w:pPr>
        <w:tabs>
          <w:tab w:val="left" w:pos="312"/>
        </w:tabs>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（二）负责协调与被审核单位的关系。</w:t>
      </w:r>
    </w:p>
    <w:p>
      <w:pPr>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（三）负责重大审核事项的研究处理。</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（四）负责审核和签发审核报告等结果文书。</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（五）对协审单位按考核管理细则进行考核。</w:t>
      </w:r>
    </w:p>
    <w:p>
      <w:pPr>
        <w:snapToGrid w:val="0"/>
        <w:spacing w:line="520" w:lineRule="exact"/>
        <w:ind w:left="538" w:leftChars="256" w:right="-109" w:rightChars="-52"/>
        <w:rPr>
          <w:rFonts w:ascii="仿宋_GB2312" w:hAnsi="仿宋_GB2312" w:eastAsia="仿宋_GB2312" w:cs="仿宋_GB2312"/>
          <w:sz w:val="24"/>
          <w:szCs w:val="28"/>
        </w:rPr>
      </w:pPr>
      <w:r>
        <w:rPr>
          <w:rFonts w:hint="eastAsia" w:ascii="仿宋_GB2312" w:hAnsi="仿宋_GB2312" w:eastAsia="仿宋_GB2312" w:cs="仿宋_GB2312"/>
          <w:sz w:val="24"/>
          <w:szCs w:val="28"/>
        </w:rPr>
        <w:t>第四条</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计费标准和违约责任</w:t>
      </w:r>
    </w:p>
    <w:p>
      <w:pPr>
        <w:snapToGrid w:val="0"/>
        <w:spacing w:line="520" w:lineRule="exact"/>
        <w:ind w:right="-109" w:rightChars="-52" w:firstLine="539"/>
        <w:rPr>
          <w:rFonts w:ascii="仿宋_GB2312" w:hAnsi="仿宋_GB2312" w:eastAsia="仿宋_GB2312" w:cs="仿宋_GB2312"/>
          <w:color w:val="FF0000"/>
          <w:sz w:val="24"/>
          <w:szCs w:val="28"/>
        </w:rPr>
      </w:pPr>
      <w:r>
        <w:rPr>
          <w:rFonts w:hint="eastAsia" w:ascii="仿宋_GB2312" w:hAnsi="仿宋_GB2312" w:eastAsia="仿宋_GB2312" w:cs="仿宋_GB2312"/>
          <w:sz w:val="24"/>
          <w:szCs w:val="28"/>
        </w:rPr>
        <w:t>一、入围单位承办按照响应文件</w:t>
      </w:r>
      <w:r>
        <w:rPr>
          <w:rFonts w:hint="eastAsia" w:ascii="仿宋_GB2312" w:hAnsi="仿宋_GB2312" w:eastAsia="仿宋_GB2312" w:cs="仿宋_GB2312"/>
          <w:sz w:val="24"/>
        </w:rPr>
        <w:t>入围下浮</w:t>
      </w:r>
      <w:r>
        <w:rPr>
          <w:rFonts w:hint="eastAsia" w:ascii="仿宋_GB2312" w:hAnsi="仿宋_GB2312" w:eastAsia="仿宋_GB2312" w:cs="仿宋_GB2312"/>
          <w:sz w:val="24"/>
          <w:szCs w:val="28"/>
        </w:rPr>
        <w:t>率。</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审核费按半年度支付。已完成归案的项目每年</w:t>
      </w:r>
      <w:r>
        <w:rPr>
          <w:rFonts w:ascii="仿宋_GB2312" w:hAnsi="仿宋_GB2312" w:eastAsia="仿宋_GB2312" w:cs="仿宋_GB2312"/>
          <w:sz w:val="24"/>
          <w:szCs w:val="28"/>
        </w:rPr>
        <w:t>6</w:t>
      </w:r>
      <w:r>
        <w:rPr>
          <w:rFonts w:hint="eastAsia" w:ascii="仿宋_GB2312" w:hAnsi="仿宋_GB2312" w:eastAsia="仿宋_GB2312" w:cs="仿宋_GB2312"/>
          <w:sz w:val="24"/>
          <w:szCs w:val="28"/>
        </w:rPr>
        <w:t>月末支付一次，每年</w:t>
      </w:r>
      <w:r>
        <w:rPr>
          <w:rFonts w:ascii="仿宋_GB2312" w:hAnsi="仿宋_GB2312" w:eastAsia="仿宋_GB2312" w:cs="仿宋_GB2312"/>
          <w:sz w:val="24"/>
          <w:szCs w:val="28"/>
        </w:rPr>
        <w:t>12</w:t>
      </w:r>
      <w:r>
        <w:rPr>
          <w:rFonts w:hint="eastAsia" w:ascii="仿宋_GB2312" w:hAnsi="仿宋_GB2312" w:eastAsia="仿宋_GB2312" w:cs="仿宋_GB2312"/>
          <w:sz w:val="24"/>
          <w:szCs w:val="28"/>
        </w:rPr>
        <w:t>月份末支付一次。</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二、入围单位在承办政府投资建设项目审核的过程中，有下列情形之一的，诸暨市财政投资预决算审核中心有权解除合同并扣减相关审核费用。</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（一）违反审核廉政纪律规定的；</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（二）对审核过程中发现的重大违纪违规问题，应当报告而未报告的、应当披露而未披露的；</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（三）擅自将受托审核项目转包或分包给其他单位或个人的；</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（四）审核项目出现严重质量问题的；</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（五）入围单位所提交的《质量控制情况表》、《诸暨市财政局协审人员名单》等材料严重失实的；</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（六）由于入围单位原因，项目没有在规定时间内完成任务的；</w:t>
      </w:r>
    </w:p>
    <w:p>
      <w:pPr>
        <w:snapToGrid w:val="0"/>
        <w:spacing w:line="52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三、入围单位在承办政府投资建设项目审核过程中，因弄虚作假、徇私舞弊、玩忽职守或滥用职权造成审核结果严重失实以及发生其它重大过失情况的，除取消其在本市从事政府投资建设项目审核资格外，还将依法追究其经济责任和法律责任。</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第五条</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附则</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一、具体项目委托时签订《诸暨市财政投资预决算审核中心政府投资项目和村级工程审核任务委托协议书》并按协议书的有关条款和《诸暨市财政投资预决算审核中心协审工作考核管理细则（试行）》执行。</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二、本合同从甲乙双方签订之日起二年止。</w:t>
      </w:r>
    </w:p>
    <w:p>
      <w:pPr>
        <w:snapToGrid w:val="0"/>
        <w:spacing w:line="520" w:lineRule="exact"/>
        <w:ind w:right="-109" w:rightChars="-52"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三、在履行合同的过程中，如发生纠纷，双方应协商解决，协商不成的可向甲方所在地人民法院提起诉讼。</w:t>
      </w:r>
    </w:p>
    <w:p>
      <w:pPr>
        <w:snapToGrid w:val="0"/>
        <w:spacing w:line="520" w:lineRule="exact"/>
        <w:ind w:right="-109" w:rightChars="-52"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第六条</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《诸暨市财政投资预决算审核中心协审工作考核管理细则（试行）》详见附件</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甲</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方：（盖章）</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乙</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方：（盖章）</w:t>
      </w:r>
      <w:r>
        <w:rPr>
          <w:rFonts w:ascii="仿宋_GB2312" w:hAnsi="仿宋_GB2312" w:eastAsia="仿宋_GB2312" w:cs="仿宋_GB2312"/>
          <w:sz w:val="24"/>
          <w:szCs w:val="28"/>
        </w:rPr>
        <w:t xml:space="preserve">                </w:t>
      </w:r>
    </w:p>
    <w:p>
      <w:pPr>
        <w:snapToGrid w:val="0"/>
        <w:spacing w:line="520" w:lineRule="exact"/>
        <w:ind w:right="-109" w:rightChars="-52" w:firstLine="539"/>
        <w:rPr>
          <w:rFonts w:ascii="仿宋_GB2312" w:hAnsi="仿宋_GB2312" w:eastAsia="仿宋_GB2312" w:cs="仿宋_GB2312"/>
          <w:sz w:val="24"/>
          <w:szCs w:val="28"/>
        </w:rPr>
      </w:pP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代表人：（签章）</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代表人：（签章）</w:t>
      </w:r>
      <w:r>
        <w:rPr>
          <w:rFonts w:ascii="仿宋_GB2312" w:hAnsi="仿宋_GB2312" w:eastAsia="仿宋_GB2312" w:cs="仿宋_GB2312"/>
          <w:sz w:val="24"/>
          <w:szCs w:val="28"/>
        </w:rPr>
        <w:t xml:space="preserve">                </w:t>
      </w:r>
    </w:p>
    <w:p>
      <w:pPr>
        <w:snapToGrid w:val="0"/>
        <w:spacing w:line="520" w:lineRule="exact"/>
        <w:ind w:right="-109" w:rightChars="-52" w:firstLine="539"/>
        <w:rPr>
          <w:rFonts w:ascii="仿宋_GB2312" w:hAnsi="仿宋_GB2312" w:eastAsia="仿宋_GB2312" w:cs="仿宋_GB2312"/>
          <w:sz w:val="24"/>
          <w:szCs w:val="28"/>
        </w:rPr>
      </w:pPr>
      <w:r>
        <w:rPr>
          <w:rFonts w:hint="eastAsia" w:ascii="仿宋_GB2312" w:hAnsi="仿宋_GB2312" w:eastAsia="仿宋_GB2312" w:cs="仿宋_GB2312"/>
          <w:sz w:val="24"/>
          <w:szCs w:val="28"/>
        </w:rPr>
        <w:t>地</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址：</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地</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址：</w:t>
      </w:r>
    </w:p>
    <w:p>
      <w:pPr>
        <w:snapToGrid w:val="0"/>
        <w:spacing w:line="520" w:lineRule="exact"/>
        <w:ind w:right="-109" w:rightChars="-52" w:firstLine="1440" w:firstLineChars="600"/>
        <w:rPr>
          <w:rFonts w:ascii="仿宋_GB2312" w:hAnsi="仿宋_GB2312" w:eastAsia="仿宋_GB2312" w:cs="仿宋_GB2312"/>
          <w:sz w:val="24"/>
          <w:szCs w:val="28"/>
        </w:rPr>
      </w:pPr>
      <w:r>
        <w:rPr>
          <w:rFonts w:ascii="仿宋_GB2312" w:hAnsi="仿宋_GB2312" w:eastAsia="仿宋_GB2312" w:cs="仿宋_GB2312"/>
          <w:sz w:val="24"/>
          <w:szCs w:val="28"/>
        </w:rPr>
        <w:t xml:space="preserve">                   </w:t>
      </w:r>
    </w:p>
    <w:p>
      <w:pPr>
        <w:snapToGrid w:val="0"/>
        <w:spacing w:line="520" w:lineRule="exact"/>
        <w:ind w:right="-109" w:rightChars="-52" w:firstLine="539"/>
        <w:rPr>
          <w:rFonts w:ascii="仿宋_GB2312" w:hAnsi="仿宋_GB2312" w:eastAsia="仿宋_GB2312" w:cs="仿宋_GB2312"/>
          <w:sz w:val="24"/>
          <w:szCs w:val="28"/>
        </w:rPr>
      </w:pP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电</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话：</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电</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话：</w:t>
      </w:r>
      <w:r>
        <w:rPr>
          <w:rFonts w:ascii="仿宋_GB2312" w:hAnsi="仿宋_GB2312" w:eastAsia="仿宋_GB2312" w:cs="仿宋_GB2312"/>
          <w:sz w:val="24"/>
          <w:szCs w:val="28"/>
        </w:rPr>
        <w:t xml:space="preserve">                   </w:t>
      </w:r>
    </w:p>
    <w:p>
      <w:pPr>
        <w:spacing w:line="360" w:lineRule="auto"/>
        <w:ind w:left="-420" w:leftChars="-200" w:right="-420" w:rightChars="-200" w:firstLine="480" w:firstLineChars="200"/>
        <w:jc w:val="center"/>
        <w:outlineLvl w:val="0"/>
        <w:rPr>
          <w:rFonts w:ascii="仿宋" w:hAnsi="仿宋" w:eastAsia="仿宋"/>
          <w:sz w:val="24"/>
        </w:rPr>
      </w:pPr>
      <w:r>
        <w:rPr>
          <w:rFonts w:hint="eastAsia" w:ascii="仿宋_GB2312" w:hAnsi="仿宋_GB2312" w:eastAsia="仿宋_GB2312" w:cs="仿宋_GB2312"/>
          <w:sz w:val="24"/>
          <w:szCs w:val="28"/>
        </w:rPr>
        <w:t>日</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期：</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年</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月</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日</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日</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期：年</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月</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日</w:t>
      </w: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3"/>
      <w:r>
        <w:rPr>
          <w:rFonts w:ascii="仿宋" w:hAnsi="仿宋" w:eastAsia="仿宋" w:cs="仿宋_GB2312"/>
          <w:b/>
          <w:sz w:val="36"/>
          <w:szCs w:val="20"/>
        </w:rPr>
        <w:t xml:space="preserve"> </w:t>
      </w:r>
      <w:bookmarkEnd w:id="40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授权代表根据征集文件规定及投标内容而对采购人、采购代理机构所作的任何合法承诺，包括书面澄清及相应等均对联合投标各方产生约束力。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】征集的有关活动，并对此项目进行响应。为此：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w:t>
      </w:r>
      <w:r>
        <w:rPr>
          <w:rFonts w:hint="eastAsia" w:ascii="仿宋_GB2312" w:hAnsi="仿宋" w:eastAsia="仿宋_GB2312" w:cs="仿宋_GB2312"/>
          <w:sz w:val="24"/>
        </w:rPr>
        <w:t>响应</w:t>
      </w:r>
      <w:r>
        <w:rPr>
          <w:rFonts w:ascii="仿宋_GB2312" w:hAnsi="仿宋" w:eastAsia="仿宋_GB2312" w:cs="仿宋_GB2312"/>
          <w:sz w:val="24"/>
        </w:rPr>
        <w:t>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w:t>
      </w:r>
      <w:r>
        <w:rPr>
          <w:rFonts w:hint="eastAsia" w:ascii="仿宋_GB2312" w:hAnsi="仿宋" w:eastAsia="仿宋_GB2312" w:cs="仿宋_GB2312"/>
          <w:sz w:val="24"/>
        </w:rPr>
        <w:t>响应</w:t>
      </w:r>
      <w:r>
        <w:rPr>
          <w:rFonts w:ascii="仿宋_GB2312" w:hAnsi="仿宋" w:eastAsia="仿宋_GB2312" w:cs="仿宋_GB2312"/>
          <w:sz w:val="24"/>
        </w:rPr>
        <w:t>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w:t>
      </w:r>
      <w:r>
        <w:rPr>
          <w:rFonts w:hint="eastAsia" w:ascii="仿宋_GB2312" w:hAnsi="仿宋" w:eastAsia="仿宋_GB2312" w:cs="仿宋_GB2312"/>
          <w:sz w:val="24"/>
        </w:rPr>
        <w:t>征集</w:t>
      </w:r>
      <w:r>
        <w:rPr>
          <w:rFonts w:ascii="仿宋_GB2312" w:hAnsi="仿宋" w:eastAsia="仿宋_GB2312" w:cs="仿宋_GB2312"/>
          <w:sz w:val="24"/>
        </w:rPr>
        <w:t>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w:t>
      </w:r>
      <w:r>
        <w:rPr>
          <w:rFonts w:hint="eastAsia" w:ascii="仿宋_GB2312" w:hAnsi="仿宋" w:eastAsia="仿宋_GB2312" w:cs="仿宋_GB2312"/>
          <w:sz w:val="24"/>
        </w:rPr>
        <w:t>入围</w:t>
      </w:r>
      <w:r>
        <w:rPr>
          <w:rFonts w:ascii="仿宋_GB2312" w:hAnsi="仿宋" w:eastAsia="仿宋_GB2312" w:cs="仿宋_GB2312"/>
          <w:sz w:val="24"/>
        </w:rPr>
        <w:t>，我方承诺：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4.1在收到</w:t>
      </w:r>
      <w:r>
        <w:rPr>
          <w:rFonts w:hint="eastAsia" w:ascii="仿宋_GB2312" w:hAnsi="仿宋" w:eastAsia="仿宋_GB2312" w:cs="仿宋_GB2312"/>
          <w:sz w:val="24"/>
        </w:rPr>
        <w:t>入围</w:t>
      </w:r>
      <w:r>
        <w:rPr>
          <w:rFonts w:ascii="仿宋_GB2312" w:hAnsi="仿宋" w:eastAsia="仿宋_GB2312" w:cs="仿宋_GB2312"/>
          <w:sz w:val="24"/>
        </w:rPr>
        <w:t>通知书后，在</w:t>
      </w:r>
      <w:r>
        <w:rPr>
          <w:rFonts w:hint="eastAsia" w:ascii="仿宋_GB2312" w:hAnsi="仿宋" w:eastAsia="仿宋_GB2312" w:cs="仿宋_GB2312"/>
          <w:sz w:val="24"/>
        </w:rPr>
        <w:t>入围</w:t>
      </w:r>
      <w:r>
        <w:rPr>
          <w:rFonts w:ascii="仿宋_GB2312" w:hAnsi="仿宋" w:eastAsia="仿宋_GB2312" w:cs="仿宋_GB2312"/>
          <w:sz w:val="24"/>
        </w:rPr>
        <w:t xml:space="preserve">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4.3按照</w:t>
      </w:r>
      <w:r>
        <w:rPr>
          <w:rFonts w:hint="eastAsia" w:ascii="仿宋_GB2312" w:hAnsi="仿宋" w:eastAsia="仿宋_GB2312" w:cs="仿宋_GB2312"/>
          <w:sz w:val="24"/>
        </w:rPr>
        <w:t>征集</w:t>
      </w:r>
      <w:r>
        <w:rPr>
          <w:rFonts w:ascii="仿宋_GB2312" w:hAnsi="仿宋" w:eastAsia="仿宋_GB2312" w:cs="仿宋_GB2312"/>
          <w:sz w:val="24"/>
        </w:rPr>
        <w:t xml:space="preserve">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pStyle w:val="2"/>
      </w:pPr>
      <w:r>
        <w:rPr>
          <w:rFonts w:hint="eastAsia"/>
        </w:rPr>
        <w:t xml:space="preserve">                                     </w:t>
      </w:r>
      <w:r>
        <w:rPr>
          <w:rFonts w:hint="eastAsia" w:cs="仿宋_GB2312"/>
          <w:b w:val="0"/>
          <w:bCs w:val="0"/>
          <w:kern w:val="0"/>
          <w:sz w:val="24"/>
          <w:szCs w:val="24"/>
        </w:rPr>
        <w:t>被授权委托人签字：</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法定代表人、单位负责人/自然人本人</w:t>
      </w:r>
      <w:r>
        <w:rPr>
          <w:rFonts w:hint="eastAsia" w:ascii="仿宋_GB2312" w:hAnsi="仿宋" w:eastAsia="仿宋_GB2312" w:cs="仿宋_GB2312"/>
          <w:b/>
          <w:sz w:val="30"/>
          <w:szCs w:val="30"/>
        </w:rPr>
        <w:t>的身份证明（适用于法定代表人、单位负责人/者自然人本人代表投标人参加投标）或被授权委托人身份证明</w:t>
      </w:r>
    </w:p>
    <w:p>
      <w:pPr>
        <w:pStyle w:val="15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1"/>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5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授权代表根据征集文件规定及投标内容而对采购人、采购代理机构所作的任何合法承诺，包括书面澄清及相应等均对联合投标各方产生约束力。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响应文件按照征集文件要求签署、盖章。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需要使用电子签名或者签字盖章的响应文件的组成部分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采购人拟采购的产品属于政府强制采购的节能产品品目清单范围的，投标人按征集文件要求提供国家确定的认证机构出具的、处于有效期之内的节能产品认证证书。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响应文件中承诺的投标有效期不少于征集文件中载明的投标有效期。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响应文件满足征集文件的其它实质性要求。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响应文件其它实质性要求相应的材料（“★” 系指实质性要求条款，征集文件无其它实质性要求的，无需提供）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（按征集文件第四部分评标办法前附表中“响应文件中评标标准相应的商务技术资料目录”提供资料）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征集文件章节及具体内容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响应文件章节（页码）及具体内容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征集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投标人保证：除商务技术偏离表列出的偏离外，投标人响应征集文件的全部要求。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6"/>
        <w:keepNext w:val="0"/>
        <w:pageBreakBefore w:val="0"/>
        <w:numPr>
          <w:ilvl w:val="0"/>
          <w:numId w:val="1"/>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6"/>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37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737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项目名称</w:t>
            </w:r>
          </w:p>
        </w:tc>
        <w:tc>
          <w:tcPr>
            <w:tcW w:w="666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服务期限（年）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7371"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诸暨市财政投资预决算审核中心政府投资项目和村级工程项目的协审服务</w:t>
            </w:r>
          </w:p>
        </w:tc>
        <w:tc>
          <w:tcPr>
            <w:tcW w:w="6662"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05" w:type="dxa"/>
            <w:gridSpan w:val="2"/>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666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05" w:type="dxa"/>
            <w:gridSpan w:val="2"/>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6662" w:type="dxa"/>
            <w:vAlign w:val="center"/>
          </w:tcPr>
          <w:p>
            <w:pPr>
              <w:spacing w:line="360" w:lineRule="auto"/>
              <w:jc w:val="center"/>
              <w:rPr>
                <w:rFonts w:ascii="仿宋_GB2312" w:hAnsi="仿宋" w:eastAsia="仿宋_GB2312" w:cs="仿宋_GB2312"/>
                <w:sz w:val="24"/>
              </w:rPr>
            </w:pPr>
          </w:p>
        </w:tc>
      </w:tr>
    </w:tbl>
    <w:p>
      <w:pPr>
        <w:snapToGrid w:val="0"/>
        <w:spacing w:line="360" w:lineRule="auto"/>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2" w:firstLineChars="200"/>
        <w:rPr>
          <w:rFonts w:ascii="仿宋_GB2312" w:hAnsi="仿宋" w:eastAsia="仿宋_GB2312" w:cs="仿宋_GB2312"/>
          <w:kern w:val="0"/>
          <w:sz w:val="24"/>
          <w:lang w:val="zh-CN"/>
        </w:rPr>
      </w:pPr>
      <w:r>
        <w:rPr>
          <w:rFonts w:ascii="仿宋_GB2312" w:hAnsi="仿宋_GB2312" w:eastAsia="仿宋_GB2312" w:cs="仿宋_GB2312"/>
          <w:b/>
          <w:sz w:val="24"/>
        </w:rPr>
        <w:t>1、</w:t>
      </w:r>
      <w:r>
        <w:rPr>
          <w:rFonts w:hint="eastAsia" w:ascii="仿宋_GB2312" w:hAnsi="仿宋_GB2312" w:eastAsia="仿宋_GB2312" w:cs="仿宋_GB2312"/>
          <w:b/>
          <w:sz w:val="24"/>
        </w:rPr>
        <w:t>本项目采用折扣率报价。投标报价以折扣率形式报价，且最高限价（最高折扣率）为7</w:t>
      </w:r>
      <w:r>
        <w:rPr>
          <w:rFonts w:ascii="仿宋_GB2312" w:hAnsi="仿宋_GB2312" w:eastAsia="仿宋_GB2312" w:cs="仿宋_GB2312"/>
          <w:b/>
          <w:sz w:val="24"/>
        </w:rPr>
        <w:t>0%</w:t>
      </w:r>
      <w:r>
        <w:rPr>
          <w:rFonts w:hint="eastAsia" w:ascii="仿宋_GB2312" w:hAnsi="仿宋_GB2312" w:eastAsia="仿宋_GB2312" w:cs="仿宋_GB2312"/>
          <w:b/>
          <w:sz w:val="24"/>
        </w:rPr>
        <w:t>，投标人的投标报价折扣率超过7</w:t>
      </w:r>
      <w:r>
        <w:rPr>
          <w:rFonts w:ascii="仿宋_GB2312" w:hAnsi="仿宋_GB2312" w:eastAsia="仿宋_GB2312" w:cs="仿宋_GB2312"/>
          <w:b/>
          <w:sz w:val="24"/>
        </w:rPr>
        <w:t>0%</w:t>
      </w:r>
      <w:r>
        <w:rPr>
          <w:rFonts w:hint="eastAsia" w:ascii="仿宋_GB2312" w:hAnsi="仿宋_GB2312" w:eastAsia="仿宋_GB2312" w:cs="仿宋_GB2312"/>
          <w:b/>
          <w:sz w:val="24"/>
        </w:rPr>
        <w:t>，则投标无效。</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响应文件含有采购人不能接受的附加条件的，投标无效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w:t>
      </w:r>
      <w:r>
        <w:rPr>
          <w:rFonts w:hint="eastAsia" w:ascii="仿宋_GB2312" w:hAnsi="仿宋" w:eastAsia="仿宋_GB2312" w:cs="仿宋_GB2312"/>
          <w:kern w:val="0"/>
          <w:sz w:val="24"/>
          <w:lang w:val="zh-CN"/>
        </w:rPr>
        <w:t>符合征集文件中列明的可享受中小企业扶持政策的投标人，请填写中小企业声明函。注：投标人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6"/>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5" w:name="_Toc465665161"/>
      <w:r>
        <w:rPr>
          <w:rFonts w:hint="eastAsia" w:ascii="仿宋_GB2312" w:hAnsi="仿宋" w:eastAsia="仿宋_GB2312"/>
        </w:rPr>
        <w:t>附件</w:t>
      </w:r>
      <w:bookmarkEnd w:id="405"/>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6" w:name="OLE_LINK13"/>
      <w:bookmarkStart w:id="407" w:name="OLE_LINK14"/>
      <w:r>
        <w:rPr>
          <w:rFonts w:hint="eastAsia" w:ascii="仿宋_GB2312" w:hAnsi="仿宋" w:eastAsia="仿宋_GB2312"/>
          <w:b/>
          <w:spacing w:val="6"/>
          <w:sz w:val="32"/>
          <w:szCs w:val="32"/>
        </w:rPr>
        <w:t>残疾人福利性单位声明函</w:t>
      </w:r>
    </w:p>
    <w:bookmarkEnd w:id="406"/>
    <w:bookmarkEnd w:id="407"/>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Arial Black">
    <w:panose1 w:val="020B0A04020102020204"/>
    <w:charset w:val="00"/>
    <w:family w:val="swiss"/>
    <w:pitch w:val="default"/>
    <w:sig w:usb0="00000287" w:usb1="00000000" w:usb2="00000000" w:usb3="00000000" w:csb0="2000009F" w:csb1="DFD70000"/>
  </w:font>
  <w:font w:name="Plotter">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5"/>
      </w:rPr>
    </w:pPr>
    <w:r>
      <w:fldChar w:fldCharType="begin"/>
    </w:r>
    <w:r>
      <w:rPr>
        <w:rStyle w:val="75"/>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08" w:name="_Toc91899912"/>
    <w:bookmarkStart w:id="409" w:name="_Toc164085800"/>
    <w:bookmarkStart w:id="410" w:name="_Toc131845147"/>
    <w:bookmarkStart w:id="411" w:name="_Toc3611018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5"/>
      </w:rPr>
    </w:pPr>
    <w:r>
      <w:fldChar w:fldCharType="begin"/>
    </w:r>
    <w:r>
      <w:rPr>
        <w:rStyle w:val="75"/>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诸暨</w:t>
    </w:r>
    <w:r>
      <w:t>市政府采购</w:t>
    </w:r>
    <w:r>
      <w:rPr>
        <w:rFonts w:hint="eastAsia"/>
      </w:rPr>
      <w:t>征集</w:t>
    </w:r>
    <w:r>
      <w:t>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rFonts w:hint="eastAsia"/>
      </w:rPr>
      <w:t>诸暨</w:t>
    </w:r>
    <w:r>
      <w:rPr>
        <w:lang w:val="zh-CN"/>
      </w:rPr>
      <w:t>市政府采购</w:t>
    </w:r>
    <w:r>
      <w:rPr>
        <w:rFonts w:hint="eastAsia"/>
        <w:lang w:val="zh-CN"/>
      </w:rPr>
      <w:t>征集</w:t>
    </w:r>
    <w:r>
      <w:rPr>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w:t>
    </w:r>
    <w:r>
      <w:rPr>
        <w:rFonts w:hint="eastAsia"/>
      </w:rPr>
      <w:t>征集</w:t>
    </w:r>
    <w:r>
      <w:t>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AB5D2"/>
    <w:multiLevelType w:val="singleLevel"/>
    <w:tmpl w:val="94BAB5D2"/>
    <w:lvl w:ilvl="0" w:tentative="0">
      <w:start w:val="1"/>
      <w:numFmt w:val="decimal"/>
      <w:pStyle w:val="1309"/>
      <w:suff w:val="nothing"/>
      <w:lvlText w:val="%1、"/>
      <w:lvlJc w:val="left"/>
    </w:lvl>
  </w:abstractNum>
  <w:abstractNum w:abstractNumId="1">
    <w:nsid w:val="06675DE8"/>
    <w:multiLevelType w:val="multilevel"/>
    <w:tmpl w:val="06675DE8"/>
    <w:lvl w:ilvl="0" w:tentative="0">
      <w:start w:val="20"/>
      <w:numFmt w:val="decimal"/>
      <w:pStyle w:val="129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E487D"/>
    <w:multiLevelType w:val="multilevel"/>
    <w:tmpl w:val="0F5E487D"/>
    <w:lvl w:ilvl="0" w:tentative="0">
      <w:start w:val="1"/>
      <w:numFmt w:val="decimalEnclosedCircle"/>
      <w:pStyle w:val="1231"/>
      <w:lvlText w:val="%1"/>
      <w:lvlJc w:val="left"/>
      <w:pPr>
        <w:ind w:left="360" w:hanging="360"/>
      </w:pPr>
      <w:rPr>
        <w:rFonts w:hint="default"/>
      </w:rPr>
    </w:lvl>
    <w:lvl w:ilvl="1" w:tentative="0">
      <w:start w:val="1"/>
      <w:numFmt w:val="lowerLetter"/>
      <w:pStyle w:val="1145"/>
      <w:lvlText w:val="%2)"/>
      <w:lvlJc w:val="left"/>
      <w:pPr>
        <w:ind w:left="840" w:hanging="420"/>
      </w:pPr>
    </w:lvl>
    <w:lvl w:ilvl="2" w:tentative="0">
      <w:start w:val="1"/>
      <w:numFmt w:val="lowerRoman"/>
      <w:pStyle w:val="1230"/>
      <w:lvlText w:val="%3."/>
      <w:lvlJc w:val="right"/>
      <w:pPr>
        <w:ind w:left="1260" w:hanging="420"/>
      </w:pPr>
    </w:lvl>
    <w:lvl w:ilvl="3" w:tentative="0">
      <w:start w:val="1"/>
      <w:numFmt w:val="decimal"/>
      <w:lvlText w:val="%4."/>
      <w:lvlJc w:val="left"/>
      <w:pPr>
        <w:ind w:left="1680" w:hanging="420"/>
      </w:pPr>
    </w:lvl>
    <w:lvl w:ilvl="4" w:tentative="0">
      <w:start w:val="1"/>
      <w:numFmt w:val="lowerLetter"/>
      <w:pStyle w:val="1325"/>
      <w:lvlText w:val="%5)"/>
      <w:lvlJc w:val="left"/>
      <w:pPr>
        <w:ind w:left="2100" w:hanging="420"/>
      </w:pPr>
    </w:lvl>
    <w:lvl w:ilvl="5" w:tentative="0">
      <w:start w:val="1"/>
      <w:numFmt w:val="lowerRoman"/>
      <w:lvlText w:val="%6."/>
      <w:lvlJc w:val="right"/>
      <w:pPr>
        <w:ind w:left="2520" w:hanging="420"/>
      </w:pPr>
    </w:lvl>
    <w:lvl w:ilvl="6" w:tentative="0">
      <w:start w:val="1"/>
      <w:numFmt w:val="decimal"/>
      <w:pStyle w:val="1188"/>
      <w:lvlText w:val="%7."/>
      <w:lvlJc w:val="left"/>
      <w:pPr>
        <w:ind w:left="2940" w:hanging="420"/>
      </w:pPr>
    </w:lvl>
    <w:lvl w:ilvl="7" w:tentative="0">
      <w:start w:val="1"/>
      <w:numFmt w:val="lowerLetter"/>
      <w:pStyle w:val="1229"/>
      <w:lvlText w:val="%8)"/>
      <w:lvlJc w:val="left"/>
      <w:pPr>
        <w:ind w:left="3360" w:hanging="420"/>
      </w:pPr>
    </w:lvl>
    <w:lvl w:ilvl="8" w:tentative="0">
      <w:start w:val="1"/>
      <w:numFmt w:val="lowerRoman"/>
      <w:lvlText w:val="%9."/>
      <w:lvlJc w:val="right"/>
      <w:pPr>
        <w:ind w:left="3780" w:hanging="420"/>
      </w:pPr>
    </w:lvl>
  </w:abstractNum>
  <w:abstractNum w:abstractNumId="3">
    <w:nsid w:val="10A368D7"/>
    <w:multiLevelType w:val="multilevel"/>
    <w:tmpl w:val="10A368D7"/>
    <w:lvl w:ilvl="0" w:tentative="0">
      <w:start w:val="9"/>
      <w:numFmt w:val="decimal"/>
      <w:pStyle w:val="105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C57C88"/>
    <w:multiLevelType w:val="singleLevel"/>
    <w:tmpl w:val="4AC57C88"/>
    <w:lvl w:ilvl="0" w:tentative="0">
      <w:start w:val="1"/>
      <w:numFmt w:val="decimal"/>
      <w:pStyle w:val="1304"/>
      <w:suff w:val="nothing"/>
      <w:lvlText w:val="%1、"/>
      <w:lvlJc w:val="left"/>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1093"/>
      <w:lvlText w:val="%1"/>
      <w:lvlJc w:val="left"/>
      <w:pPr>
        <w:ind w:left="840" w:hanging="360"/>
      </w:pPr>
      <w:rPr>
        <w:rFonts w:hint="default"/>
      </w:rPr>
    </w:lvl>
    <w:lvl w:ilvl="1" w:tentative="0">
      <w:start w:val="1"/>
      <w:numFmt w:val="lowerLetter"/>
      <w:pStyle w:val="1092"/>
      <w:lvlText w:val="%2)"/>
      <w:lvlJc w:val="left"/>
      <w:pPr>
        <w:ind w:left="1320" w:hanging="420"/>
      </w:pPr>
    </w:lvl>
    <w:lvl w:ilvl="2" w:tentative="0">
      <w:start w:val="1"/>
      <w:numFmt w:val="lowerRoman"/>
      <w:pStyle w:val="1091"/>
      <w:lvlText w:val="%3."/>
      <w:lvlJc w:val="right"/>
      <w:pPr>
        <w:ind w:left="1740" w:hanging="420"/>
      </w:pPr>
    </w:lvl>
    <w:lvl w:ilvl="3" w:tentative="0">
      <w:start w:val="1"/>
      <w:numFmt w:val="decimal"/>
      <w:pStyle w:val="1287"/>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CC06C3F"/>
    <w:multiLevelType w:val="multilevel"/>
    <w:tmpl w:val="5CC06C3F"/>
    <w:lvl w:ilvl="0" w:tentative="0">
      <w:start w:val="1"/>
      <w:numFmt w:val="decimalEnclosedCircle"/>
      <w:pStyle w:val="1143"/>
      <w:lvlText w:val="%1"/>
      <w:lvlJc w:val="left"/>
      <w:pPr>
        <w:ind w:left="360" w:hanging="360"/>
      </w:pPr>
      <w:rPr>
        <w:rFonts w:hint="default"/>
      </w:rPr>
    </w:lvl>
    <w:lvl w:ilvl="1" w:tentative="0">
      <w:start w:val="1"/>
      <w:numFmt w:val="lowerLetter"/>
      <w:pStyle w:val="131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7"/>
  </w:num>
  <w:num w:numId="4">
    <w:abstractNumId w:val="8"/>
  </w:num>
  <w:num w:numId="5">
    <w:abstractNumId w:val="2"/>
  </w:num>
  <w:num w:numId="6">
    <w:abstractNumId w:val="1"/>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DcxMjZlNDI3NjE1MzZmZTEyYjQ5YmQwZTcyZGQ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C51"/>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88A"/>
    <w:rsid w:val="0005417A"/>
    <w:rsid w:val="00054D00"/>
    <w:rsid w:val="00054D39"/>
    <w:rsid w:val="00054E7F"/>
    <w:rsid w:val="0005501B"/>
    <w:rsid w:val="000550F5"/>
    <w:rsid w:val="00055337"/>
    <w:rsid w:val="000554C7"/>
    <w:rsid w:val="00056145"/>
    <w:rsid w:val="00056402"/>
    <w:rsid w:val="00056791"/>
    <w:rsid w:val="00056868"/>
    <w:rsid w:val="00056876"/>
    <w:rsid w:val="000568DF"/>
    <w:rsid w:val="00057364"/>
    <w:rsid w:val="000578A3"/>
    <w:rsid w:val="00057D4C"/>
    <w:rsid w:val="00060C48"/>
    <w:rsid w:val="00061A3C"/>
    <w:rsid w:val="00061C48"/>
    <w:rsid w:val="00063412"/>
    <w:rsid w:val="00064278"/>
    <w:rsid w:val="000646CA"/>
    <w:rsid w:val="00066322"/>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2FD4"/>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6A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952"/>
    <w:rsid w:val="00093A30"/>
    <w:rsid w:val="00094342"/>
    <w:rsid w:val="000945BA"/>
    <w:rsid w:val="000946A3"/>
    <w:rsid w:val="00095954"/>
    <w:rsid w:val="000960BA"/>
    <w:rsid w:val="0009662A"/>
    <w:rsid w:val="0009690D"/>
    <w:rsid w:val="00096DFF"/>
    <w:rsid w:val="00097DEB"/>
    <w:rsid w:val="000A0729"/>
    <w:rsid w:val="000A0E69"/>
    <w:rsid w:val="000A1010"/>
    <w:rsid w:val="000A1A52"/>
    <w:rsid w:val="000A1F98"/>
    <w:rsid w:val="000A2EB2"/>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6E"/>
    <w:rsid w:val="000C3970"/>
    <w:rsid w:val="000C3B1A"/>
    <w:rsid w:val="000C4727"/>
    <w:rsid w:val="000C47AE"/>
    <w:rsid w:val="000C51A7"/>
    <w:rsid w:val="000C51AD"/>
    <w:rsid w:val="000C5343"/>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3ED"/>
    <w:rsid w:val="000E7632"/>
    <w:rsid w:val="000E7737"/>
    <w:rsid w:val="000E7739"/>
    <w:rsid w:val="000E77EE"/>
    <w:rsid w:val="000E7C83"/>
    <w:rsid w:val="000F1604"/>
    <w:rsid w:val="000F1A3C"/>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63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B4A"/>
    <w:rsid w:val="00112EB5"/>
    <w:rsid w:val="0011383E"/>
    <w:rsid w:val="001138E6"/>
    <w:rsid w:val="00113EE3"/>
    <w:rsid w:val="00114847"/>
    <w:rsid w:val="0011492C"/>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4E0"/>
    <w:rsid w:val="0012693E"/>
    <w:rsid w:val="00126A3A"/>
    <w:rsid w:val="00127060"/>
    <w:rsid w:val="00127B83"/>
    <w:rsid w:val="00131C2D"/>
    <w:rsid w:val="0013202C"/>
    <w:rsid w:val="00132704"/>
    <w:rsid w:val="00132CBF"/>
    <w:rsid w:val="00132F13"/>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6E7"/>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1F8"/>
    <w:rsid w:val="00163C40"/>
    <w:rsid w:val="0016488B"/>
    <w:rsid w:val="00165758"/>
    <w:rsid w:val="00165A65"/>
    <w:rsid w:val="00166317"/>
    <w:rsid w:val="00167478"/>
    <w:rsid w:val="00167594"/>
    <w:rsid w:val="001702BE"/>
    <w:rsid w:val="001704B3"/>
    <w:rsid w:val="0017059C"/>
    <w:rsid w:val="0017105C"/>
    <w:rsid w:val="00171551"/>
    <w:rsid w:val="00171622"/>
    <w:rsid w:val="00171785"/>
    <w:rsid w:val="00171AB5"/>
    <w:rsid w:val="0017204F"/>
    <w:rsid w:val="001721CF"/>
    <w:rsid w:val="00172845"/>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954"/>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B48"/>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059"/>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7D9"/>
    <w:rsid w:val="001C6047"/>
    <w:rsid w:val="001C61C1"/>
    <w:rsid w:val="001C6698"/>
    <w:rsid w:val="001C682E"/>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6C51"/>
    <w:rsid w:val="001E12F9"/>
    <w:rsid w:val="001E17E3"/>
    <w:rsid w:val="001E2052"/>
    <w:rsid w:val="001E22F8"/>
    <w:rsid w:val="001E2492"/>
    <w:rsid w:val="001E257C"/>
    <w:rsid w:val="001E286C"/>
    <w:rsid w:val="001E2F34"/>
    <w:rsid w:val="001E35EE"/>
    <w:rsid w:val="001E3DAD"/>
    <w:rsid w:val="001E4B2C"/>
    <w:rsid w:val="001E507F"/>
    <w:rsid w:val="001E56C2"/>
    <w:rsid w:val="001E59FB"/>
    <w:rsid w:val="001E6CA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3F6"/>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91B"/>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0CC"/>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47C65"/>
    <w:rsid w:val="00250870"/>
    <w:rsid w:val="0025134C"/>
    <w:rsid w:val="0025151C"/>
    <w:rsid w:val="0025184F"/>
    <w:rsid w:val="00251967"/>
    <w:rsid w:val="002527CC"/>
    <w:rsid w:val="00252F48"/>
    <w:rsid w:val="002530C0"/>
    <w:rsid w:val="00253179"/>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816"/>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62F"/>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32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B7C"/>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5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B9B"/>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9F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16"/>
    <w:rsid w:val="002F647C"/>
    <w:rsid w:val="002F6C6B"/>
    <w:rsid w:val="002F6CB0"/>
    <w:rsid w:val="002F6EFF"/>
    <w:rsid w:val="002F7A0B"/>
    <w:rsid w:val="002F7DF0"/>
    <w:rsid w:val="002F7FAF"/>
    <w:rsid w:val="00300573"/>
    <w:rsid w:val="003025FE"/>
    <w:rsid w:val="00302A27"/>
    <w:rsid w:val="00302B62"/>
    <w:rsid w:val="003037D0"/>
    <w:rsid w:val="00303AB6"/>
    <w:rsid w:val="00304640"/>
    <w:rsid w:val="00304AC1"/>
    <w:rsid w:val="00305090"/>
    <w:rsid w:val="00305454"/>
    <w:rsid w:val="00305B9F"/>
    <w:rsid w:val="00305E21"/>
    <w:rsid w:val="003066C6"/>
    <w:rsid w:val="003066FA"/>
    <w:rsid w:val="00306AD6"/>
    <w:rsid w:val="003074CF"/>
    <w:rsid w:val="003077F4"/>
    <w:rsid w:val="00307DC7"/>
    <w:rsid w:val="00307FF2"/>
    <w:rsid w:val="00310B36"/>
    <w:rsid w:val="00310EDB"/>
    <w:rsid w:val="00311C51"/>
    <w:rsid w:val="00311D56"/>
    <w:rsid w:val="00312016"/>
    <w:rsid w:val="00312340"/>
    <w:rsid w:val="00312DFC"/>
    <w:rsid w:val="0031318C"/>
    <w:rsid w:val="00313C9D"/>
    <w:rsid w:val="0031430C"/>
    <w:rsid w:val="00314919"/>
    <w:rsid w:val="00314B47"/>
    <w:rsid w:val="00314C5A"/>
    <w:rsid w:val="0031531A"/>
    <w:rsid w:val="00315394"/>
    <w:rsid w:val="00315D77"/>
    <w:rsid w:val="00315D8E"/>
    <w:rsid w:val="00316002"/>
    <w:rsid w:val="00316CDE"/>
    <w:rsid w:val="00316FD6"/>
    <w:rsid w:val="0031752D"/>
    <w:rsid w:val="00317709"/>
    <w:rsid w:val="003177D1"/>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263"/>
    <w:rsid w:val="00347356"/>
    <w:rsid w:val="0035005C"/>
    <w:rsid w:val="00350896"/>
    <w:rsid w:val="00350C31"/>
    <w:rsid w:val="00350C9F"/>
    <w:rsid w:val="00351391"/>
    <w:rsid w:val="003519CD"/>
    <w:rsid w:val="00351A3A"/>
    <w:rsid w:val="0035455F"/>
    <w:rsid w:val="00355B3A"/>
    <w:rsid w:val="00355D75"/>
    <w:rsid w:val="00355D8F"/>
    <w:rsid w:val="00356A73"/>
    <w:rsid w:val="00356FF0"/>
    <w:rsid w:val="003577EF"/>
    <w:rsid w:val="00357A60"/>
    <w:rsid w:val="00360304"/>
    <w:rsid w:val="00360A78"/>
    <w:rsid w:val="00361750"/>
    <w:rsid w:val="00363894"/>
    <w:rsid w:val="00363B2A"/>
    <w:rsid w:val="00363BF1"/>
    <w:rsid w:val="00365805"/>
    <w:rsid w:val="00365EC7"/>
    <w:rsid w:val="003665C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451"/>
    <w:rsid w:val="00381604"/>
    <w:rsid w:val="00381C68"/>
    <w:rsid w:val="00381E58"/>
    <w:rsid w:val="00381F25"/>
    <w:rsid w:val="00381F60"/>
    <w:rsid w:val="00383204"/>
    <w:rsid w:val="00383AB0"/>
    <w:rsid w:val="00383E27"/>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53E"/>
    <w:rsid w:val="003A1C44"/>
    <w:rsid w:val="003A20D5"/>
    <w:rsid w:val="003A24CC"/>
    <w:rsid w:val="003A2512"/>
    <w:rsid w:val="003A2A53"/>
    <w:rsid w:val="003A2BC4"/>
    <w:rsid w:val="003A2EE8"/>
    <w:rsid w:val="003A373C"/>
    <w:rsid w:val="003A5378"/>
    <w:rsid w:val="003A553C"/>
    <w:rsid w:val="003A56DF"/>
    <w:rsid w:val="003A571E"/>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573E"/>
    <w:rsid w:val="003B636A"/>
    <w:rsid w:val="003B69CE"/>
    <w:rsid w:val="003B711B"/>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5E33"/>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883"/>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46E"/>
    <w:rsid w:val="003E0947"/>
    <w:rsid w:val="003E0E96"/>
    <w:rsid w:val="003E20F7"/>
    <w:rsid w:val="003E336A"/>
    <w:rsid w:val="003E3E2F"/>
    <w:rsid w:val="003E4048"/>
    <w:rsid w:val="003E4536"/>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70F"/>
    <w:rsid w:val="003F4B48"/>
    <w:rsid w:val="003F4DDC"/>
    <w:rsid w:val="003F56B8"/>
    <w:rsid w:val="003F5F1A"/>
    <w:rsid w:val="003F6327"/>
    <w:rsid w:val="003F7278"/>
    <w:rsid w:val="003F7425"/>
    <w:rsid w:val="003F765B"/>
    <w:rsid w:val="003F7CB8"/>
    <w:rsid w:val="00400CB4"/>
    <w:rsid w:val="00400FEE"/>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9E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95F"/>
    <w:rsid w:val="00437A2F"/>
    <w:rsid w:val="00440262"/>
    <w:rsid w:val="004406BF"/>
    <w:rsid w:val="00440814"/>
    <w:rsid w:val="0044105D"/>
    <w:rsid w:val="00441424"/>
    <w:rsid w:val="00441810"/>
    <w:rsid w:val="00442731"/>
    <w:rsid w:val="00442C12"/>
    <w:rsid w:val="004434DF"/>
    <w:rsid w:val="0044354B"/>
    <w:rsid w:val="0044493E"/>
    <w:rsid w:val="00444A1F"/>
    <w:rsid w:val="00444FC6"/>
    <w:rsid w:val="00445874"/>
    <w:rsid w:val="00445A54"/>
    <w:rsid w:val="00445C38"/>
    <w:rsid w:val="0044686B"/>
    <w:rsid w:val="004475F7"/>
    <w:rsid w:val="0045057B"/>
    <w:rsid w:val="0045069B"/>
    <w:rsid w:val="00450B22"/>
    <w:rsid w:val="00451709"/>
    <w:rsid w:val="004518FA"/>
    <w:rsid w:val="00451A02"/>
    <w:rsid w:val="0045277C"/>
    <w:rsid w:val="00453507"/>
    <w:rsid w:val="00453592"/>
    <w:rsid w:val="004539EC"/>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A72"/>
    <w:rsid w:val="00474DEF"/>
    <w:rsid w:val="00475729"/>
    <w:rsid w:val="004758E7"/>
    <w:rsid w:val="00475BAB"/>
    <w:rsid w:val="004764C6"/>
    <w:rsid w:val="00476AC1"/>
    <w:rsid w:val="00476F97"/>
    <w:rsid w:val="00477247"/>
    <w:rsid w:val="004776BB"/>
    <w:rsid w:val="004776FB"/>
    <w:rsid w:val="0048055E"/>
    <w:rsid w:val="00480C2B"/>
    <w:rsid w:val="00480DC5"/>
    <w:rsid w:val="00480F59"/>
    <w:rsid w:val="00480FD9"/>
    <w:rsid w:val="0048131D"/>
    <w:rsid w:val="0048148D"/>
    <w:rsid w:val="00481D0B"/>
    <w:rsid w:val="004824A9"/>
    <w:rsid w:val="004827A7"/>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5BF"/>
    <w:rsid w:val="0049570D"/>
    <w:rsid w:val="00495C25"/>
    <w:rsid w:val="00495C48"/>
    <w:rsid w:val="00495DC6"/>
    <w:rsid w:val="00496CCE"/>
    <w:rsid w:val="004978C1"/>
    <w:rsid w:val="00497AAD"/>
    <w:rsid w:val="00497BD7"/>
    <w:rsid w:val="00497D1A"/>
    <w:rsid w:val="004A00C9"/>
    <w:rsid w:val="004A03D0"/>
    <w:rsid w:val="004A04B1"/>
    <w:rsid w:val="004A0B73"/>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73"/>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0E7"/>
    <w:rsid w:val="004E2393"/>
    <w:rsid w:val="004E29EE"/>
    <w:rsid w:val="004E3117"/>
    <w:rsid w:val="004E3A2A"/>
    <w:rsid w:val="004E3AB1"/>
    <w:rsid w:val="004E4003"/>
    <w:rsid w:val="004E4626"/>
    <w:rsid w:val="004E4984"/>
    <w:rsid w:val="004E49A9"/>
    <w:rsid w:val="004E5101"/>
    <w:rsid w:val="004E5380"/>
    <w:rsid w:val="004E6746"/>
    <w:rsid w:val="004E6A70"/>
    <w:rsid w:val="004E6CAC"/>
    <w:rsid w:val="004E6F69"/>
    <w:rsid w:val="004E75C1"/>
    <w:rsid w:val="004E777F"/>
    <w:rsid w:val="004F07F2"/>
    <w:rsid w:val="004F07F9"/>
    <w:rsid w:val="004F0A50"/>
    <w:rsid w:val="004F0D1F"/>
    <w:rsid w:val="004F0E82"/>
    <w:rsid w:val="004F0F8B"/>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1C"/>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6E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A35"/>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A4C"/>
    <w:rsid w:val="00565DAC"/>
    <w:rsid w:val="00565F0D"/>
    <w:rsid w:val="005662DC"/>
    <w:rsid w:val="00566329"/>
    <w:rsid w:val="0056677E"/>
    <w:rsid w:val="005668B9"/>
    <w:rsid w:val="00566E39"/>
    <w:rsid w:val="0056704E"/>
    <w:rsid w:val="00567623"/>
    <w:rsid w:val="005701C2"/>
    <w:rsid w:val="00570763"/>
    <w:rsid w:val="005709E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89B"/>
    <w:rsid w:val="005827A7"/>
    <w:rsid w:val="00583D43"/>
    <w:rsid w:val="005846C3"/>
    <w:rsid w:val="00584B2A"/>
    <w:rsid w:val="00584F04"/>
    <w:rsid w:val="0058544C"/>
    <w:rsid w:val="00585623"/>
    <w:rsid w:val="005857F7"/>
    <w:rsid w:val="005865E9"/>
    <w:rsid w:val="005868FD"/>
    <w:rsid w:val="005870A0"/>
    <w:rsid w:val="00587D7B"/>
    <w:rsid w:val="005904DB"/>
    <w:rsid w:val="005905ED"/>
    <w:rsid w:val="00590D11"/>
    <w:rsid w:val="0059133F"/>
    <w:rsid w:val="00591BA6"/>
    <w:rsid w:val="00592825"/>
    <w:rsid w:val="00592CC3"/>
    <w:rsid w:val="005940FC"/>
    <w:rsid w:val="00594437"/>
    <w:rsid w:val="00594B70"/>
    <w:rsid w:val="00596CFA"/>
    <w:rsid w:val="00596E5B"/>
    <w:rsid w:val="00596EC6"/>
    <w:rsid w:val="005975CE"/>
    <w:rsid w:val="005A0088"/>
    <w:rsid w:val="005A04F6"/>
    <w:rsid w:val="005A14F0"/>
    <w:rsid w:val="005A1861"/>
    <w:rsid w:val="005A1A31"/>
    <w:rsid w:val="005A284F"/>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C5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231"/>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9D"/>
    <w:rsid w:val="00603373"/>
    <w:rsid w:val="006036D0"/>
    <w:rsid w:val="00603B1C"/>
    <w:rsid w:val="006042CD"/>
    <w:rsid w:val="00605217"/>
    <w:rsid w:val="006054A5"/>
    <w:rsid w:val="006059E4"/>
    <w:rsid w:val="006059FC"/>
    <w:rsid w:val="00605D60"/>
    <w:rsid w:val="00605E03"/>
    <w:rsid w:val="006062A0"/>
    <w:rsid w:val="00607015"/>
    <w:rsid w:val="0061098D"/>
    <w:rsid w:val="00610AF3"/>
    <w:rsid w:val="00610B78"/>
    <w:rsid w:val="0061154E"/>
    <w:rsid w:val="00611B59"/>
    <w:rsid w:val="00611FBA"/>
    <w:rsid w:val="00612083"/>
    <w:rsid w:val="00612098"/>
    <w:rsid w:val="0061272A"/>
    <w:rsid w:val="0061291B"/>
    <w:rsid w:val="00612F6E"/>
    <w:rsid w:val="006130D0"/>
    <w:rsid w:val="0061355D"/>
    <w:rsid w:val="006139F7"/>
    <w:rsid w:val="00613AA2"/>
    <w:rsid w:val="00614906"/>
    <w:rsid w:val="0061517E"/>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27C73"/>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6B6"/>
    <w:rsid w:val="00635B73"/>
    <w:rsid w:val="00635BB7"/>
    <w:rsid w:val="0063629F"/>
    <w:rsid w:val="00636CC7"/>
    <w:rsid w:val="00637F27"/>
    <w:rsid w:val="006405EC"/>
    <w:rsid w:val="00640A4D"/>
    <w:rsid w:val="006418F2"/>
    <w:rsid w:val="00641A84"/>
    <w:rsid w:val="00641B05"/>
    <w:rsid w:val="00641DA1"/>
    <w:rsid w:val="00641E5B"/>
    <w:rsid w:val="00642C69"/>
    <w:rsid w:val="0064330A"/>
    <w:rsid w:val="00643B30"/>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B5B"/>
    <w:rsid w:val="00660D3E"/>
    <w:rsid w:val="00661691"/>
    <w:rsid w:val="00662D3D"/>
    <w:rsid w:val="00662F1F"/>
    <w:rsid w:val="00663D15"/>
    <w:rsid w:val="006644BC"/>
    <w:rsid w:val="00665030"/>
    <w:rsid w:val="00665670"/>
    <w:rsid w:val="006657CE"/>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711"/>
    <w:rsid w:val="00691890"/>
    <w:rsid w:val="00691AAD"/>
    <w:rsid w:val="00692416"/>
    <w:rsid w:val="00692AFF"/>
    <w:rsid w:val="00692D2D"/>
    <w:rsid w:val="006931FA"/>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84C"/>
    <w:rsid w:val="006B29DC"/>
    <w:rsid w:val="006B2F60"/>
    <w:rsid w:val="006B33DB"/>
    <w:rsid w:val="006B3669"/>
    <w:rsid w:val="006B36E5"/>
    <w:rsid w:val="006B3D00"/>
    <w:rsid w:val="006B4AC5"/>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336"/>
    <w:rsid w:val="006C6A51"/>
    <w:rsid w:val="006C6DA7"/>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50C"/>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4980"/>
    <w:rsid w:val="006F5813"/>
    <w:rsid w:val="006F59A8"/>
    <w:rsid w:val="006F5A1D"/>
    <w:rsid w:val="006F71A6"/>
    <w:rsid w:val="006F7700"/>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14F"/>
    <w:rsid w:val="007119DC"/>
    <w:rsid w:val="00711CC7"/>
    <w:rsid w:val="0071230A"/>
    <w:rsid w:val="0071294A"/>
    <w:rsid w:val="00712BDD"/>
    <w:rsid w:val="00712E1E"/>
    <w:rsid w:val="00712F37"/>
    <w:rsid w:val="00713A6B"/>
    <w:rsid w:val="00713CB5"/>
    <w:rsid w:val="0071417C"/>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390"/>
    <w:rsid w:val="00731EDE"/>
    <w:rsid w:val="0073245C"/>
    <w:rsid w:val="00732493"/>
    <w:rsid w:val="00732FE9"/>
    <w:rsid w:val="0073325C"/>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4B"/>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E17"/>
    <w:rsid w:val="007675DD"/>
    <w:rsid w:val="007702BF"/>
    <w:rsid w:val="007705F0"/>
    <w:rsid w:val="0077146D"/>
    <w:rsid w:val="00771CAC"/>
    <w:rsid w:val="00772036"/>
    <w:rsid w:val="00773098"/>
    <w:rsid w:val="007739A3"/>
    <w:rsid w:val="00773BD9"/>
    <w:rsid w:val="00773CB0"/>
    <w:rsid w:val="00773D71"/>
    <w:rsid w:val="007746AF"/>
    <w:rsid w:val="00774C0B"/>
    <w:rsid w:val="00775526"/>
    <w:rsid w:val="00775651"/>
    <w:rsid w:val="00775F3F"/>
    <w:rsid w:val="0077710B"/>
    <w:rsid w:val="0077765A"/>
    <w:rsid w:val="00780032"/>
    <w:rsid w:val="00780636"/>
    <w:rsid w:val="00780E86"/>
    <w:rsid w:val="0078108C"/>
    <w:rsid w:val="007815E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FC0"/>
    <w:rsid w:val="007952DE"/>
    <w:rsid w:val="00795479"/>
    <w:rsid w:val="00796292"/>
    <w:rsid w:val="007965D9"/>
    <w:rsid w:val="00796BA2"/>
    <w:rsid w:val="007972D5"/>
    <w:rsid w:val="0079778D"/>
    <w:rsid w:val="00797D73"/>
    <w:rsid w:val="00797DE1"/>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48F"/>
    <w:rsid w:val="007B28C3"/>
    <w:rsid w:val="007B3A8E"/>
    <w:rsid w:val="007B3C9B"/>
    <w:rsid w:val="007B4271"/>
    <w:rsid w:val="007B497D"/>
    <w:rsid w:val="007B4EE9"/>
    <w:rsid w:val="007B5234"/>
    <w:rsid w:val="007B54C7"/>
    <w:rsid w:val="007B5637"/>
    <w:rsid w:val="007B5C4A"/>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721"/>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99A"/>
    <w:rsid w:val="007E23A1"/>
    <w:rsid w:val="007E259F"/>
    <w:rsid w:val="007E2836"/>
    <w:rsid w:val="007E29A3"/>
    <w:rsid w:val="007E347E"/>
    <w:rsid w:val="007E41A4"/>
    <w:rsid w:val="007E43E3"/>
    <w:rsid w:val="007E54B8"/>
    <w:rsid w:val="007E5D12"/>
    <w:rsid w:val="007E6420"/>
    <w:rsid w:val="007E677F"/>
    <w:rsid w:val="007E6B25"/>
    <w:rsid w:val="007E6E06"/>
    <w:rsid w:val="007E6F4A"/>
    <w:rsid w:val="007E7896"/>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054"/>
    <w:rsid w:val="00802932"/>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3F8"/>
    <w:rsid w:val="00823819"/>
    <w:rsid w:val="00823C4B"/>
    <w:rsid w:val="0082427D"/>
    <w:rsid w:val="00825441"/>
    <w:rsid w:val="00826855"/>
    <w:rsid w:val="00826F25"/>
    <w:rsid w:val="00827412"/>
    <w:rsid w:val="00830052"/>
    <w:rsid w:val="008300D0"/>
    <w:rsid w:val="008308D8"/>
    <w:rsid w:val="0083201D"/>
    <w:rsid w:val="008320D2"/>
    <w:rsid w:val="008321CE"/>
    <w:rsid w:val="0083257C"/>
    <w:rsid w:val="0083261B"/>
    <w:rsid w:val="00832B44"/>
    <w:rsid w:val="00832EC9"/>
    <w:rsid w:val="00833307"/>
    <w:rsid w:val="00833583"/>
    <w:rsid w:val="00833B5B"/>
    <w:rsid w:val="00833E9A"/>
    <w:rsid w:val="00834C13"/>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C28"/>
    <w:rsid w:val="00852FA5"/>
    <w:rsid w:val="00853F7D"/>
    <w:rsid w:val="0085517F"/>
    <w:rsid w:val="008553F8"/>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19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047"/>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5E83"/>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EA3"/>
    <w:rsid w:val="008C5371"/>
    <w:rsid w:val="008C623D"/>
    <w:rsid w:val="008C65F4"/>
    <w:rsid w:val="008C6683"/>
    <w:rsid w:val="008C6E0C"/>
    <w:rsid w:val="008C6FE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3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FBE"/>
    <w:rsid w:val="008F1764"/>
    <w:rsid w:val="008F1E3D"/>
    <w:rsid w:val="008F1F24"/>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4F1A"/>
    <w:rsid w:val="00915351"/>
    <w:rsid w:val="00915679"/>
    <w:rsid w:val="009159C2"/>
    <w:rsid w:val="0091627F"/>
    <w:rsid w:val="00916E45"/>
    <w:rsid w:val="0092077A"/>
    <w:rsid w:val="00920DC0"/>
    <w:rsid w:val="009219F3"/>
    <w:rsid w:val="00921BE5"/>
    <w:rsid w:val="00922130"/>
    <w:rsid w:val="009221CB"/>
    <w:rsid w:val="00922320"/>
    <w:rsid w:val="00923643"/>
    <w:rsid w:val="00923E1A"/>
    <w:rsid w:val="009245CC"/>
    <w:rsid w:val="0092490A"/>
    <w:rsid w:val="00925A3E"/>
    <w:rsid w:val="009261DB"/>
    <w:rsid w:val="00926939"/>
    <w:rsid w:val="00926F4C"/>
    <w:rsid w:val="00927330"/>
    <w:rsid w:val="00927710"/>
    <w:rsid w:val="00927A3C"/>
    <w:rsid w:val="009307CA"/>
    <w:rsid w:val="009312F9"/>
    <w:rsid w:val="00931445"/>
    <w:rsid w:val="00931AB8"/>
    <w:rsid w:val="00931B9F"/>
    <w:rsid w:val="00931C19"/>
    <w:rsid w:val="00931C63"/>
    <w:rsid w:val="00931D10"/>
    <w:rsid w:val="0093218A"/>
    <w:rsid w:val="00933238"/>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4B1"/>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1FB"/>
    <w:rsid w:val="0096373F"/>
    <w:rsid w:val="00964007"/>
    <w:rsid w:val="00964283"/>
    <w:rsid w:val="009642A4"/>
    <w:rsid w:val="009643F4"/>
    <w:rsid w:val="009645A6"/>
    <w:rsid w:val="00964F5A"/>
    <w:rsid w:val="0096527F"/>
    <w:rsid w:val="009653ED"/>
    <w:rsid w:val="00966A21"/>
    <w:rsid w:val="00966AD2"/>
    <w:rsid w:val="00971331"/>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FB8"/>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97D"/>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4E3C"/>
    <w:rsid w:val="009A59B3"/>
    <w:rsid w:val="009A5FAE"/>
    <w:rsid w:val="009A6B3A"/>
    <w:rsid w:val="009A70A3"/>
    <w:rsid w:val="009A7B8A"/>
    <w:rsid w:val="009A7E7C"/>
    <w:rsid w:val="009B05D2"/>
    <w:rsid w:val="009B08F6"/>
    <w:rsid w:val="009B152B"/>
    <w:rsid w:val="009B1FD0"/>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9F0"/>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832"/>
    <w:rsid w:val="009E514A"/>
    <w:rsid w:val="009E5177"/>
    <w:rsid w:val="009E5701"/>
    <w:rsid w:val="009E5711"/>
    <w:rsid w:val="009E758E"/>
    <w:rsid w:val="009E7BFB"/>
    <w:rsid w:val="009E7D6B"/>
    <w:rsid w:val="009E7E81"/>
    <w:rsid w:val="009F020A"/>
    <w:rsid w:val="009F05AD"/>
    <w:rsid w:val="009F0659"/>
    <w:rsid w:val="009F1109"/>
    <w:rsid w:val="009F122D"/>
    <w:rsid w:val="009F143E"/>
    <w:rsid w:val="009F1DE8"/>
    <w:rsid w:val="009F2186"/>
    <w:rsid w:val="009F227C"/>
    <w:rsid w:val="009F28DC"/>
    <w:rsid w:val="009F2EDB"/>
    <w:rsid w:val="009F33DC"/>
    <w:rsid w:val="009F4550"/>
    <w:rsid w:val="009F56C0"/>
    <w:rsid w:val="009F5C76"/>
    <w:rsid w:val="009F72A3"/>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476E"/>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AF4"/>
    <w:rsid w:val="00A15CB1"/>
    <w:rsid w:val="00A15DCC"/>
    <w:rsid w:val="00A15E7D"/>
    <w:rsid w:val="00A15E84"/>
    <w:rsid w:val="00A16021"/>
    <w:rsid w:val="00A16644"/>
    <w:rsid w:val="00A16961"/>
    <w:rsid w:val="00A176DD"/>
    <w:rsid w:val="00A21838"/>
    <w:rsid w:val="00A22C3E"/>
    <w:rsid w:val="00A22C4D"/>
    <w:rsid w:val="00A2334E"/>
    <w:rsid w:val="00A23442"/>
    <w:rsid w:val="00A249D2"/>
    <w:rsid w:val="00A254AB"/>
    <w:rsid w:val="00A259F2"/>
    <w:rsid w:val="00A26541"/>
    <w:rsid w:val="00A266CC"/>
    <w:rsid w:val="00A26DB4"/>
    <w:rsid w:val="00A27425"/>
    <w:rsid w:val="00A3023E"/>
    <w:rsid w:val="00A305C5"/>
    <w:rsid w:val="00A30705"/>
    <w:rsid w:val="00A30919"/>
    <w:rsid w:val="00A31F05"/>
    <w:rsid w:val="00A31FD2"/>
    <w:rsid w:val="00A33EBB"/>
    <w:rsid w:val="00A3404D"/>
    <w:rsid w:val="00A341AB"/>
    <w:rsid w:val="00A34290"/>
    <w:rsid w:val="00A355F9"/>
    <w:rsid w:val="00A357D3"/>
    <w:rsid w:val="00A35AA9"/>
    <w:rsid w:val="00A35F3C"/>
    <w:rsid w:val="00A366DF"/>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620"/>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2780"/>
    <w:rsid w:val="00A63335"/>
    <w:rsid w:val="00A634EB"/>
    <w:rsid w:val="00A63685"/>
    <w:rsid w:val="00A636E9"/>
    <w:rsid w:val="00A63EA5"/>
    <w:rsid w:val="00A64545"/>
    <w:rsid w:val="00A645AC"/>
    <w:rsid w:val="00A64B3C"/>
    <w:rsid w:val="00A64C79"/>
    <w:rsid w:val="00A65EFB"/>
    <w:rsid w:val="00A66E28"/>
    <w:rsid w:val="00A67239"/>
    <w:rsid w:val="00A67429"/>
    <w:rsid w:val="00A677E7"/>
    <w:rsid w:val="00A678F1"/>
    <w:rsid w:val="00A67CE9"/>
    <w:rsid w:val="00A7050A"/>
    <w:rsid w:val="00A70590"/>
    <w:rsid w:val="00A7062E"/>
    <w:rsid w:val="00A70834"/>
    <w:rsid w:val="00A71542"/>
    <w:rsid w:val="00A7171F"/>
    <w:rsid w:val="00A71FA0"/>
    <w:rsid w:val="00A71FBD"/>
    <w:rsid w:val="00A72727"/>
    <w:rsid w:val="00A727D8"/>
    <w:rsid w:val="00A728F8"/>
    <w:rsid w:val="00A72C1A"/>
    <w:rsid w:val="00A732FB"/>
    <w:rsid w:val="00A7463E"/>
    <w:rsid w:val="00A758E2"/>
    <w:rsid w:val="00A765B1"/>
    <w:rsid w:val="00A76D1D"/>
    <w:rsid w:val="00A772F2"/>
    <w:rsid w:val="00A77828"/>
    <w:rsid w:val="00A77BAA"/>
    <w:rsid w:val="00A800F9"/>
    <w:rsid w:val="00A803A6"/>
    <w:rsid w:val="00A804C5"/>
    <w:rsid w:val="00A8073D"/>
    <w:rsid w:val="00A80D02"/>
    <w:rsid w:val="00A815FB"/>
    <w:rsid w:val="00A81AEB"/>
    <w:rsid w:val="00A81D80"/>
    <w:rsid w:val="00A82D32"/>
    <w:rsid w:val="00A82EAE"/>
    <w:rsid w:val="00A82FC7"/>
    <w:rsid w:val="00A847F9"/>
    <w:rsid w:val="00A84F27"/>
    <w:rsid w:val="00A8519C"/>
    <w:rsid w:val="00A855EE"/>
    <w:rsid w:val="00A8597A"/>
    <w:rsid w:val="00A85B87"/>
    <w:rsid w:val="00A85F83"/>
    <w:rsid w:val="00A86019"/>
    <w:rsid w:val="00A860DA"/>
    <w:rsid w:val="00A86EED"/>
    <w:rsid w:val="00A8733A"/>
    <w:rsid w:val="00A90628"/>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8BE"/>
    <w:rsid w:val="00A96686"/>
    <w:rsid w:val="00A9686A"/>
    <w:rsid w:val="00A96B4A"/>
    <w:rsid w:val="00A97BDA"/>
    <w:rsid w:val="00AA043A"/>
    <w:rsid w:val="00AA0779"/>
    <w:rsid w:val="00AA08F3"/>
    <w:rsid w:val="00AA091F"/>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BD9"/>
    <w:rsid w:val="00AB4E41"/>
    <w:rsid w:val="00AB5EB1"/>
    <w:rsid w:val="00AB6003"/>
    <w:rsid w:val="00AB759A"/>
    <w:rsid w:val="00AB7A60"/>
    <w:rsid w:val="00AB7B06"/>
    <w:rsid w:val="00AB7EAA"/>
    <w:rsid w:val="00AC01DF"/>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394"/>
    <w:rsid w:val="00AD2AB1"/>
    <w:rsid w:val="00AD3132"/>
    <w:rsid w:val="00AD3DA6"/>
    <w:rsid w:val="00AD3F3C"/>
    <w:rsid w:val="00AD447E"/>
    <w:rsid w:val="00AD4B2F"/>
    <w:rsid w:val="00AD5F0A"/>
    <w:rsid w:val="00AD66A7"/>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F39"/>
    <w:rsid w:val="00AE6575"/>
    <w:rsid w:val="00AE71EE"/>
    <w:rsid w:val="00AF03CF"/>
    <w:rsid w:val="00AF0A0A"/>
    <w:rsid w:val="00AF14FC"/>
    <w:rsid w:val="00AF180F"/>
    <w:rsid w:val="00AF1ED2"/>
    <w:rsid w:val="00AF1F4E"/>
    <w:rsid w:val="00AF2302"/>
    <w:rsid w:val="00AF2370"/>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233"/>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1F1"/>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0C9D"/>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7CA"/>
    <w:rsid w:val="00B35B6D"/>
    <w:rsid w:val="00B35D53"/>
    <w:rsid w:val="00B367C4"/>
    <w:rsid w:val="00B36D3E"/>
    <w:rsid w:val="00B37B8E"/>
    <w:rsid w:val="00B37D03"/>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D3E"/>
    <w:rsid w:val="00B70200"/>
    <w:rsid w:val="00B702D7"/>
    <w:rsid w:val="00B70389"/>
    <w:rsid w:val="00B70E01"/>
    <w:rsid w:val="00B71B39"/>
    <w:rsid w:val="00B72CF0"/>
    <w:rsid w:val="00B72E21"/>
    <w:rsid w:val="00B7380E"/>
    <w:rsid w:val="00B740F6"/>
    <w:rsid w:val="00B74615"/>
    <w:rsid w:val="00B74789"/>
    <w:rsid w:val="00B755B6"/>
    <w:rsid w:val="00B75977"/>
    <w:rsid w:val="00B75A48"/>
    <w:rsid w:val="00B75CC0"/>
    <w:rsid w:val="00B76021"/>
    <w:rsid w:val="00B76FCD"/>
    <w:rsid w:val="00B7764D"/>
    <w:rsid w:val="00B77A25"/>
    <w:rsid w:val="00B804F8"/>
    <w:rsid w:val="00B8068B"/>
    <w:rsid w:val="00B8095A"/>
    <w:rsid w:val="00B81274"/>
    <w:rsid w:val="00B815D3"/>
    <w:rsid w:val="00B81742"/>
    <w:rsid w:val="00B817B5"/>
    <w:rsid w:val="00B81D2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3AB"/>
    <w:rsid w:val="00B954D0"/>
    <w:rsid w:val="00B96DD9"/>
    <w:rsid w:val="00B96EA6"/>
    <w:rsid w:val="00B97271"/>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4D5B"/>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70B"/>
    <w:rsid w:val="00BD450A"/>
    <w:rsid w:val="00BD4717"/>
    <w:rsid w:val="00BD48EA"/>
    <w:rsid w:val="00BD4BA8"/>
    <w:rsid w:val="00BD5624"/>
    <w:rsid w:val="00BD62E6"/>
    <w:rsid w:val="00BD6B0E"/>
    <w:rsid w:val="00BD734D"/>
    <w:rsid w:val="00BD7941"/>
    <w:rsid w:val="00BE0591"/>
    <w:rsid w:val="00BE097B"/>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DFE"/>
    <w:rsid w:val="00BE7F4D"/>
    <w:rsid w:val="00BF03C0"/>
    <w:rsid w:val="00BF0EBF"/>
    <w:rsid w:val="00BF1534"/>
    <w:rsid w:val="00BF2021"/>
    <w:rsid w:val="00BF21D4"/>
    <w:rsid w:val="00BF2DDC"/>
    <w:rsid w:val="00BF2F09"/>
    <w:rsid w:val="00BF32DE"/>
    <w:rsid w:val="00BF4A15"/>
    <w:rsid w:val="00BF4E0E"/>
    <w:rsid w:val="00BF4E27"/>
    <w:rsid w:val="00BF4F7C"/>
    <w:rsid w:val="00BF537B"/>
    <w:rsid w:val="00BF5901"/>
    <w:rsid w:val="00BF626A"/>
    <w:rsid w:val="00BF66DE"/>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363"/>
    <w:rsid w:val="00C22C62"/>
    <w:rsid w:val="00C22F6C"/>
    <w:rsid w:val="00C23615"/>
    <w:rsid w:val="00C2397E"/>
    <w:rsid w:val="00C23A83"/>
    <w:rsid w:val="00C24381"/>
    <w:rsid w:val="00C24801"/>
    <w:rsid w:val="00C24C2E"/>
    <w:rsid w:val="00C24C7A"/>
    <w:rsid w:val="00C24FFB"/>
    <w:rsid w:val="00C25948"/>
    <w:rsid w:val="00C25CFF"/>
    <w:rsid w:val="00C25EA6"/>
    <w:rsid w:val="00C26164"/>
    <w:rsid w:val="00C261C1"/>
    <w:rsid w:val="00C26574"/>
    <w:rsid w:val="00C26A97"/>
    <w:rsid w:val="00C26DBF"/>
    <w:rsid w:val="00C27199"/>
    <w:rsid w:val="00C27204"/>
    <w:rsid w:val="00C3005D"/>
    <w:rsid w:val="00C304E9"/>
    <w:rsid w:val="00C308CD"/>
    <w:rsid w:val="00C30B0B"/>
    <w:rsid w:val="00C31192"/>
    <w:rsid w:val="00C31320"/>
    <w:rsid w:val="00C316B4"/>
    <w:rsid w:val="00C332D4"/>
    <w:rsid w:val="00C33A66"/>
    <w:rsid w:val="00C33E51"/>
    <w:rsid w:val="00C34C45"/>
    <w:rsid w:val="00C34C47"/>
    <w:rsid w:val="00C34FCE"/>
    <w:rsid w:val="00C35411"/>
    <w:rsid w:val="00C35950"/>
    <w:rsid w:val="00C35EED"/>
    <w:rsid w:val="00C36B2C"/>
    <w:rsid w:val="00C3701A"/>
    <w:rsid w:val="00C379EF"/>
    <w:rsid w:val="00C405C8"/>
    <w:rsid w:val="00C40C2F"/>
    <w:rsid w:val="00C415AC"/>
    <w:rsid w:val="00C4297A"/>
    <w:rsid w:val="00C42D73"/>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24C"/>
    <w:rsid w:val="00C5531B"/>
    <w:rsid w:val="00C55375"/>
    <w:rsid w:val="00C5570F"/>
    <w:rsid w:val="00C55C61"/>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A90"/>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AF0"/>
    <w:rsid w:val="00C94CB9"/>
    <w:rsid w:val="00C95853"/>
    <w:rsid w:val="00C95C2F"/>
    <w:rsid w:val="00C95F87"/>
    <w:rsid w:val="00C96035"/>
    <w:rsid w:val="00C968EF"/>
    <w:rsid w:val="00C972CE"/>
    <w:rsid w:val="00CA0492"/>
    <w:rsid w:val="00CA05B0"/>
    <w:rsid w:val="00CA0632"/>
    <w:rsid w:val="00CA06B3"/>
    <w:rsid w:val="00CA0A04"/>
    <w:rsid w:val="00CA17C7"/>
    <w:rsid w:val="00CA1EC9"/>
    <w:rsid w:val="00CA2528"/>
    <w:rsid w:val="00CA366F"/>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509"/>
    <w:rsid w:val="00CB5A26"/>
    <w:rsid w:val="00CB645B"/>
    <w:rsid w:val="00CB6858"/>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E7D"/>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9A3"/>
    <w:rsid w:val="00CE3A51"/>
    <w:rsid w:val="00CE41F9"/>
    <w:rsid w:val="00CE54BD"/>
    <w:rsid w:val="00CE59F6"/>
    <w:rsid w:val="00CE66CD"/>
    <w:rsid w:val="00CE6BA9"/>
    <w:rsid w:val="00CE71C3"/>
    <w:rsid w:val="00CE727A"/>
    <w:rsid w:val="00CF029C"/>
    <w:rsid w:val="00CF0AF0"/>
    <w:rsid w:val="00CF1104"/>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345"/>
    <w:rsid w:val="00D1343A"/>
    <w:rsid w:val="00D13D50"/>
    <w:rsid w:val="00D14101"/>
    <w:rsid w:val="00D144D8"/>
    <w:rsid w:val="00D14919"/>
    <w:rsid w:val="00D14E25"/>
    <w:rsid w:val="00D15470"/>
    <w:rsid w:val="00D15AE3"/>
    <w:rsid w:val="00D160C4"/>
    <w:rsid w:val="00D1643D"/>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47F"/>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339"/>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9D"/>
    <w:rsid w:val="00D729A7"/>
    <w:rsid w:val="00D72A5B"/>
    <w:rsid w:val="00D735AF"/>
    <w:rsid w:val="00D73991"/>
    <w:rsid w:val="00D73CD4"/>
    <w:rsid w:val="00D73F06"/>
    <w:rsid w:val="00D740B2"/>
    <w:rsid w:val="00D74247"/>
    <w:rsid w:val="00D743F1"/>
    <w:rsid w:val="00D744CF"/>
    <w:rsid w:val="00D7456E"/>
    <w:rsid w:val="00D753A9"/>
    <w:rsid w:val="00D755F7"/>
    <w:rsid w:val="00D75DDB"/>
    <w:rsid w:val="00D75E4B"/>
    <w:rsid w:val="00D76D8A"/>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723"/>
    <w:rsid w:val="00D96876"/>
    <w:rsid w:val="00D96940"/>
    <w:rsid w:val="00D96B12"/>
    <w:rsid w:val="00D96F59"/>
    <w:rsid w:val="00DA0175"/>
    <w:rsid w:val="00DA099C"/>
    <w:rsid w:val="00DA0F18"/>
    <w:rsid w:val="00DA1B1B"/>
    <w:rsid w:val="00DA2125"/>
    <w:rsid w:val="00DA21EC"/>
    <w:rsid w:val="00DA24DE"/>
    <w:rsid w:val="00DA270C"/>
    <w:rsid w:val="00DA281F"/>
    <w:rsid w:val="00DA2912"/>
    <w:rsid w:val="00DA3C5B"/>
    <w:rsid w:val="00DA3D23"/>
    <w:rsid w:val="00DA4A61"/>
    <w:rsid w:val="00DA5976"/>
    <w:rsid w:val="00DA5AFE"/>
    <w:rsid w:val="00DA5D46"/>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837"/>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A1"/>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358"/>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78F"/>
    <w:rsid w:val="00E20CE7"/>
    <w:rsid w:val="00E217B1"/>
    <w:rsid w:val="00E222FA"/>
    <w:rsid w:val="00E22506"/>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576"/>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186"/>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84A"/>
    <w:rsid w:val="00E45A2C"/>
    <w:rsid w:val="00E46A6B"/>
    <w:rsid w:val="00E46A9C"/>
    <w:rsid w:val="00E47DB1"/>
    <w:rsid w:val="00E50BDD"/>
    <w:rsid w:val="00E510CF"/>
    <w:rsid w:val="00E513D7"/>
    <w:rsid w:val="00E519FE"/>
    <w:rsid w:val="00E5206C"/>
    <w:rsid w:val="00E52AAB"/>
    <w:rsid w:val="00E5448E"/>
    <w:rsid w:val="00E54E0D"/>
    <w:rsid w:val="00E5510E"/>
    <w:rsid w:val="00E55247"/>
    <w:rsid w:val="00E55714"/>
    <w:rsid w:val="00E558E5"/>
    <w:rsid w:val="00E55B3C"/>
    <w:rsid w:val="00E56795"/>
    <w:rsid w:val="00E57932"/>
    <w:rsid w:val="00E606C4"/>
    <w:rsid w:val="00E60811"/>
    <w:rsid w:val="00E60AB8"/>
    <w:rsid w:val="00E6103E"/>
    <w:rsid w:val="00E6185F"/>
    <w:rsid w:val="00E61D32"/>
    <w:rsid w:val="00E630D3"/>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9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F7"/>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4D1"/>
    <w:rsid w:val="00E9751D"/>
    <w:rsid w:val="00E97DC6"/>
    <w:rsid w:val="00E97F7A"/>
    <w:rsid w:val="00EA0010"/>
    <w:rsid w:val="00EA0143"/>
    <w:rsid w:val="00EA089B"/>
    <w:rsid w:val="00EA1ACC"/>
    <w:rsid w:val="00EA2E21"/>
    <w:rsid w:val="00EA2EAA"/>
    <w:rsid w:val="00EA380C"/>
    <w:rsid w:val="00EA4BD9"/>
    <w:rsid w:val="00EA613D"/>
    <w:rsid w:val="00EA61FC"/>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4BE"/>
    <w:rsid w:val="00EB54AB"/>
    <w:rsid w:val="00EB6257"/>
    <w:rsid w:val="00EB67DC"/>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D"/>
    <w:rsid w:val="00ED71BA"/>
    <w:rsid w:val="00ED728F"/>
    <w:rsid w:val="00ED73A1"/>
    <w:rsid w:val="00ED7B68"/>
    <w:rsid w:val="00ED7CA2"/>
    <w:rsid w:val="00EE04F9"/>
    <w:rsid w:val="00EE05E0"/>
    <w:rsid w:val="00EE13DA"/>
    <w:rsid w:val="00EE1595"/>
    <w:rsid w:val="00EE1E71"/>
    <w:rsid w:val="00EE2087"/>
    <w:rsid w:val="00EE20C2"/>
    <w:rsid w:val="00EE2536"/>
    <w:rsid w:val="00EE2A9D"/>
    <w:rsid w:val="00EE32D5"/>
    <w:rsid w:val="00EE3384"/>
    <w:rsid w:val="00EE3877"/>
    <w:rsid w:val="00EE499F"/>
    <w:rsid w:val="00EE56E2"/>
    <w:rsid w:val="00EE5FCD"/>
    <w:rsid w:val="00EE63BF"/>
    <w:rsid w:val="00EE6D45"/>
    <w:rsid w:val="00EE6E89"/>
    <w:rsid w:val="00EF01EC"/>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724"/>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90"/>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98"/>
    <w:rsid w:val="00F32C4A"/>
    <w:rsid w:val="00F33262"/>
    <w:rsid w:val="00F343EE"/>
    <w:rsid w:val="00F353F4"/>
    <w:rsid w:val="00F35494"/>
    <w:rsid w:val="00F35607"/>
    <w:rsid w:val="00F359AB"/>
    <w:rsid w:val="00F35DBA"/>
    <w:rsid w:val="00F3619D"/>
    <w:rsid w:val="00F36DDE"/>
    <w:rsid w:val="00F3722A"/>
    <w:rsid w:val="00F37366"/>
    <w:rsid w:val="00F373D7"/>
    <w:rsid w:val="00F37837"/>
    <w:rsid w:val="00F37858"/>
    <w:rsid w:val="00F37C99"/>
    <w:rsid w:val="00F37FCC"/>
    <w:rsid w:val="00F4107D"/>
    <w:rsid w:val="00F419B8"/>
    <w:rsid w:val="00F41C0F"/>
    <w:rsid w:val="00F42856"/>
    <w:rsid w:val="00F42ED7"/>
    <w:rsid w:val="00F43777"/>
    <w:rsid w:val="00F437CA"/>
    <w:rsid w:val="00F4482B"/>
    <w:rsid w:val="00F44F02"/>
    <w:rsid w:val="00F45039"/>
    <w:rsid w:val="00F4526B"/>
    <w:rsid w:val="00F45298"/>
    <w:rsid w:val="00F4529B"/>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57578"/>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DB0"/>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453"/>
    <w:rsid w:val="00F97A34"/>
    <w:rsid w:val="00F97E4A"/>
    <w:rsid w:val="00F97EA1"/>
    <w:rsid w:val="00FA003A"/>
    <w:rsid w:val="00FA05C8"/>
    <w:rsid w:val="00FA0678"/>
    <w:rsid w:val="00FA0DB6"/>
    <w:rsid w:val="00FA16A9"/>
    <w:rsid w:val="00FA2271"/>
    <w:rsid w:val="00FA23F7"/>
    <w:rsid w:val="00FA27EB"/>
    <w:rsid w:val="00FA35B6"/>
    <w:rsid w:val="00FA3EBC"/>
    <w:rsid w:val="00FA423C"/>
    <w:rsid w:val="00FA44D0"/>
    <w:rsid w:val="00FA4590"/>
    <w:rsid w:val="00FA55A2"/>
    <w:rsid w:val="00FA62CA"/>
    <w:rsid w:val="00FA672F"/>
    <w:rsid w:val="00FA775E"/>
    <w:rsid w:val="00FA7792"/>
    <w:rsid w:val="00FA7AA8"/>
    <w:rsid w:val="00FA7F1D"/>
    <w:rsid w:val="00FA7FDC"/>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4661"/>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856"/>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B0C"/>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27E20"/>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EB5018"/>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963CB2"/>
    <w:rsid w:val="39B417A9"/>
    <w:rsid w:val="39FC5695"/>
    <w:rsid w:val="3A006D8E"/>
    <w:rsid w:val="3A3651E5"/>
    <w:rsid w:val="3A744481"/>
    <w:rsid w:val="3A78335A"/>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78771F"/>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A5BB5926"/>
    <w:rsid w:val="BB7FA927"/>
    <w:rsid w:val="F5FFD31F"/>
    <w:rsid w:val="F7D7A4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1109"/>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toa heading"/>
    <w:basedOn w:val="1"/>
    <w:next w:val="1"/>
    <w:unhideWhenUsed/>
    <w:qFormat/>
    <w:uiPriority w:val="99"/>
    <w:pPr>
      <w:adjustRightInd/>
    </w:pPr>
    <w:rPr>
      <w:rFonts w:ascii="Arial" w:hAnsi="Arial"/>
      <w:sz w:val="24"/>
    </w:rPr>
  </w:style>
  <w:style w:type="paragraph" w:styleId="20">
    <w:name w:val="annotation text"/>
    <w:basedOn w:val="1"/>
    <w:link w:val="347"/>
    <w:qFormat/>
    <w:uiPriority w:val="0"/>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6"/>
    <w:qFormat/>
    <w:uiPriority w:val="0"/>
    <w:pPr>
      <w:tabs>
        <w:tab w:val="center" w:pos="4153"/>
        <w:tab w:val="right" w:pos="8306"/>
      </w:tabs>
      <w:snapToGrid w:val="0"/>
      <w:jc w:val="left"/>
    </w:pPr>
    <w:rPr>
      <w:sz w:val="18"/>
      <w:szCs w:val="18"/>
    </w:rPr>
  </w:style>
  <w:style w:type="paragraph" w:styleId="41">
    <w:name w:val="header"/>
    <w:basedOn w:val="1"/>
    <w:link w:val="395"/>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index 7"/>
    <w:basedOn w:val="1"/>
    <w:next w:val="1"/>
    <w:qFormat/>
    <w:uiPriority w:val="0"/>
    <w:pPr>
      <w:adjustRightInd/>
      <w:ind w:left="1200" w:leftChars="1200"/>
    </w:pPr>
  </w:style>
  <w:style w:type="paragraph" w:styleId="55">
    <w:name w:val="table of figures"/>
    <w:basedOn w:val="1"/>
    <w:next w:val="1"/>
    <w:qFormat/>
    <w:uiPriority w:val="0"/>
    <w:pPr>
      <w:widowControl/>
      <w:adjustRightInd/>
      <w:ind w:left="200" w:leftChars="200" w:hanging="200" w:hangingChars="200"/>
      <w:jc w:val="left"/>
    </w:pPr>
    <w:rPr>
      <w:rFonts w:ascii="宋体" w:hAnsi="宋体" w:cs="宋体"/>
      <w:kern w:val="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link w:val="1084"/>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qFormat/>
    <w:uiPriority w:val="0"/>
    <w:rPr>
      <w:b/>
      <w:bCs/>
    </w:rPr>
  </w:style>
  <w:style w:type="paragraph" w:styleId="63">
    <w:name w:val="Body Text First Indent"/>
    <w:basedOn w:val="24"/>
    <w:link w:val="324"/>
    <w:qFormat/>
    <w:uiPriority w:val="0"/>
    <w:pPr>
      <w:ind w:firstLine="420"/>
    </w:pPr>
    <w:rPr>
      <w:rFonts w:hAnsi="Calibri" w:cs="Times New Roman"/>
      <w:snapToGrid/>
      <w:szCs w:val="20"/>
    </w:rPr>
  </w:style>
  <w:style w:type="paragraph" w:styleId="64">
    <w:name w:val="Body Text First Indent 2"/>
    <w:basedOn w:val="25"/>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0"/>
    <w:rPr>
      <w:rFonts w:ascii="Arial" w:hAnsi="Arial" w:eastAsia="黑体" w:cs="Arial"/>
      <w:snapToGrid w:val="0"/>
      <w:color w:val="000000"/>
      <w:kern w:val="0"/>
      <w:sz w:val="18"/>
      <w:szCs w:val="18"/>
      <w:u w:val="none"/>
    </w:rPr>
  </w:style>
  <w:style w:type="character" w:styleId="77">
    <w:name w:val="Emphasis"/>
    <w:qFormat/>
    <w:uiPriority w:val="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0"/>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0"/>
    <w:rPr>
      <w:sz w:val="21"/>
      <w:szCs w:val="21"/>
    </w:rPr>
  </w:style>
  <w:style w:type="character" w:styleId="82">
    <w:name w:val="footnote reference"/>
    <w:qFormat/>
    <w:uiPriority w:val="0"/>
    <w:rPr>
      <w:vertAlign w:val="superscript"/>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link w:val="90"/>
    <w:qFormat/>
    <w:uiPriority w:val="0"/>
    <w:rPr>
      <w:rFonts w:eastAsia="宋体"/>
      <w:kern w:val="2"/>
      <w:sz w:val="21"/>
      <w:lang w:val="en-US" w:eastAsia="zh-CN"/>
    </w:rPr>
  </w:style>
  <w:style w:type="paragraph" w:customStyle="1" w:styleId="90">
    <w:name w:val="正文缩进2"/>
    <w:basedOn w:val="1"/>
    <w:link w:val="89"/>
    <w:qFormat/>
    <w:uiPriority w:val="0"/>
    <w:pPr>
      <w:autoSpaceDE w:val="0"/>
      <w:autoSpaceDN w:val="0"/>
      <w:adjustRightInd/>
      <w:ind w:firstLine="420"/>
    </w:pPr>
    <w:rPr>
      <w:szCs w:val="20"/>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0"/>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0"/>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0"/>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0"/>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0"/>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0"/>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link w:val="214"/>
    <w:qFormat/>
    <w:uiPriority w:val="0"/>
    <w:rPr>
      <w:rFonts w:ascii="宋体" w:hAnsi="宋体"/>
      <w:kern w:val="2"/>
      <w:sz w:val="24"/>
      <w:szCs w:val="24"/>
    </w:rPr>
  </w:style>
  <w:style w:type="paragraph" w:customStyle="1" w:styleId="214">
    <w:name w:val="正文文本缩进2"/>
    <w:basedOn w:val="1"/>
    <w:link w:val="213"/>
    <w:uiPriority w:val="0"/>
    <w:pPr>
      <w:adjustRightInd/>
      <w:spacing w:after="120"/>
      <w:ind w:left="420" w:leftChars="200"/>
    </w:pPr>
    <w:rPr>
      <w:rFonts w:ascii="宋体" w:hAnsi="宋体"/>
      <w:sz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1"/>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0"/>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0"/>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0"/>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0"/>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0"/>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0"/>
    <w:rPr>
      <w:rFonts w:eastAsia="仿宋_GB2312"/>
      <w:sz w:val="24"/>
    </w:rPr>
  </w:style>
  <w:style w:type="character" w:customStyle="1" w:styleId="351">
    <w:name w:val="标题 4 字符"/>
    <w:qFormat/>
    <w:uiPriority w:val="0"/>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0"/>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0"/>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qFormat/>
    <w:uiPriority w:val="0"/>
    <w:rPr>
      <w:rFonts w:ascii="Times New Roman" w:hAnsi="Times New Roman" w:eastAsia="宋体" w:cs="Times New Roman"/>
      <w:szCs w:val="24"/>
    </w:rPr>
  </w:style>
  <w:style w:type="character" w:customStyle="1" w:styleId="380">
    <w:name w:val="页眉 字符"/>
    <w:qFormat/>
    <w:uiPriority w:val="0"/>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0"/>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0"/>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0"/>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0"/>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link w:val="1112"/>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link w:val="1099"/>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link w:val="1050"/>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link w:val="106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link w:val="1107"/>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0"/>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link w:val="980"/>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6"/>
    <w:qFormat/>
    <w:uiPriority w:val="0"/>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Unresolved Mention"/>
    <w:basedOn w:val="72"/>
    <w:semiHidden/>
    <w:unhideWhenUsed/>
    <w:uiPriority w:val="99"/>
    <w:rPr>
      <w:color w:val="605E5C"/>
      <w:shd w:val="clear" w:color="auto" w:fill="E1DFDD"/>
    </w:rPr>
  </w:style>
  <w:style w:type="paragraph" w:customStyle="1" w:styleId="968">
    <w:name w:val="文本正文宋体缩进"/>
    <w:basedOn w:val="1"/>
    <w:next w:val="1"/>
    <w:qFormat/>
    <w:uiPriority w:val="0"/>
    <w:pPr>
      <w:adjustRightInd/>
      <w:spacing w:line="360" w:lineRule="auto"/>
      <w:ind w:firstLine="480" w:firstLineChars="200"/>
    </w:pPr>
    <w:rPr>
      <w:sz w:val="24"/>
      <w:szCs w:val="21"/>
    </w:rPr>
  </w:style>
  <w:style w:type="character" w:customStyle="1" w:styleId="969">
    <w:name w:val="NormalCharacter"/>
    <w:qFormat/>
    <w:uiPriority w:val="0"/>
  </w:style>
  <w:style w:type="paragraph" w:customStyle="1" w:styleId="970">
    <w:name w:val="UserStyle_20"/>
    <w:basedOn w:val="1"/>
    <w:next w:val="1"/>
    <w:qFormat/>
    <w:uiPriority w:val="0"/>
    <w:pPr>
      <w:widowControl/>
      <w:adjustRightInd/>
      <w:spacing w:line="360" w:lineRule="auto"/>
      <w:ind w:firstLine="480" w:firstLineChars="200"/>
      <w:textAlignment w:val="baseline"/>
    </w:pPr>
    <w:rPr>
      <w:sz w:val="24"/>
      <w:szCs w:val="21"/>
    </w:rPr>
  </w:style>
  <w:style w:type="character" w:customStyle="1" w:styleId="971">
    <w:name w:val="Date Char"/>
    <w:uiPriority w:val="0"/>
    <w:rPr>
      <w:rFonts w:eastAsia="宋体"/>
      <w:color w:val="000000"/>
      <w:sz w:val="21"/>
      <w:lang w:val="en-US" w:eastAsia="zh-CN"/>
    </w:rPr>
  </w:style>
  <w:style w:type="character" w:customStyle="1" w:styleId="972">
    <w:name w:val="图片文字 Char"/>
    <w:link w:val="973"/>
    <w:uiPriority w:val="0"/>
    <w:rPr>
      <w:rFonts w:ascii="黑体" w:hAnsi="黑体" w:eastAsia="黑体"/>
      <w:kern w:val="2"/>
    </w:rPr>
  </w:style>
  <w:style w:type="paragraph" w:customStyle="1" w:styleId="973">
    <w:name w:val="图片文字"/>
    <w:basedOn w:val="1"/>
    <w:link w:val="972"/>
    <w:uiPriority w:val="0"/>
    <w:pPr>
      <w:adjustRightInd/>
      <w:spacing w:line="360" w:lineRule="auto"/>
      <w:ind w:firstLine="420"/>
      <w:jc w:val="center"/>
    </w:pPr>
    <w:rPr>
      <w:rFonts w:ascii="黑体" w:hAnsi="黑体" w:eastAsia="黑体"/>
      <w:sz w:val="20"/>
      <w:szCs w:val="20"/>
    </w:rPr>
  </w:style>
  <w:style w:type="character" w:customStyle="1" w:styleId="974">
    <w:name w:val="书籍标题1"/>
    <w:uiPriority w:val="0"/>
    <w:rPr>
      <w:rFonts w:ascii="仿宋" w:hAnsi="仿宋" w:eastAsia="仿宋" w:cs="Times New Roman"/>
      <w:b/>
      <w:smallCaps/>
      <w:spacing w:val="5"/>
      <w:sz w:val="20"/>
    </w:rPr>
  </w:style>
  <w:style w:type="character" w:customStyle="1" w:styleId="975">
    <w:name w:val="文字 Char Char"/>
    <w:link w:val="976"/>
    <w:uiPriority w:val="0"/>
    <w:rPr>
      <w:rFonts w:ascii="宋体" w:hAnsi="宋体"/>
      <w:kern w:val="2"/>
      <w:sz w:val="28"/>
    </w:rPr>
  </w:style>
  <w:style w:type="paragraph" w:customStyle="1" w:styleId="976">
    <w:name w:val="文字"/>
    <w:basedOn w:val="1"/>
    <w:link w:val="975"/>
    <w:uiPriority w:val="0"/>
    <w:pPr>
      <w:tabs>
        <w:tab w:val="left" w:pos="8520"/>
      </w:tabs>
      <w:adjustRightInd/>
      <w:spacing w:line="312" w:lineRule="auto"/>
      <w:ind w:right="-210" w:firstLine="556"/>
    </w:pPr>
    <w:rPr>
      <w:rFonts w:ascii="宋体" w:hAnsi="宋体"/>
      <w:sz w:val="28"/>
      <w:szCs w:val="20"/>
    </w:rPr>
  </w:style>
  <w:style w:type="character" w:customStyle="1" w:styleId="977">
    <w:name w:val="Char Char93"/>
    <w:uiPriority w:val="0"/>
    <w:rPr>
      <w:rFonts w:eastAsia="宋体"/>
      <w:b/>
      <w:bCs/>
      <w:color w:val="000000"/>
      <w:sz w:val="32"/>
      <w:szCs w:val="32"/>
      <w:lang w:val="en-US" w:eastAsia="zh-CN" w:bidi="ar-SA"/>
    </w:rPr>
  </w:style>
  <w:style w:type="character" w:customStyle="1" w:styleId="978">
    <w:name w:val="font501"/>
    <w:uiPriority w:val="0"/>
    <w:rPr>
      <w:rFonts w:hint="default" w:ascii="Times New Roman" w:hAnsi="Times New Roman" w:cs="Times New Roman"/>
      <w:color w:val="000000"/>
      <w:sz w:val="16"/>
      <w:szCs w:val="16"/>
      <w:u w:val="none"/>
    </w:rPr>
  </w:style>
  <w:style w:type="character" w:customStyle="1" w:styleId="979">
    <w:name w:val="无间隔 字符"/>
    <w:uiPriority w:val="0"/>
    <w:rPr>
      <w:rFonts w:eastAsia="黑体"/>
      <w:b/>
      <w:kern w:val="2"/>
      <w:sz w:val="24"/>
      <w:szCs w:val="21"/>
      <w:lang w:val="en-US" w:eastAsia="zh-CN" w:bidi="ar-SA"/>
    </w:rPr>
  </w:style>
  <w:style w:type="character" w:customStyle="1" w:styleId="980">
    <w:name w:val="样式 首行缩进:  0 字符 Char"/>
    <w:link w:val="877"/>
    <w:uiPriority w:val="0"/>
    <w:rPr>
      <w:rFonts w:ascii="Arial" w:hAnsi="Arial" w:cs="宋体"/>
      <w:kern w:val="2"/>
      <w:sz w:val="24"/>
    </w:rPr>
  </w:style>
  <w:style w:type="character" w:customStyle="1" w:styleId="981">
    <w:name w:val="日期 Char_1"/>
    <w:link w:val="982"/>
    <w:uiPriority w:val="0"/>
    <w:rPr>
      <w:b/>
      <w:sz w:val="28"/>
    </w:rPr>
  </w:style>
  <w:style w:type="paragraph" w:customStyle="1" w:styleId="982">
    <w:name w:val="日期_1"/>
    <w:basedOn w:val="983"/>
    <w:next w:val="983"/>
    <w:link w:val="981"/>
    <w:uiPriority w:val="0"/>
    <w:rPr>
      <w:b/>
      <w:kern w:val="0"/>
      <w:sz w:val="28"/>
    </w:rPr>
  </w:style>
  <w:style w:type="paragraph" w:customStyle="1" w:styleId="983">
    <w:name w:val="正文_5"/>
    <w:uiPriority w:val="0"/>
    <w:pPr>
      <w:widowControl w:val="0"/>
      <w:jc w:val="both"/>
    </w:pPr>
    <w:rPr>
      <w:rFonts w:ascii="Times New Roman" w:hAnsi="Times New Roman" w:eastAsia="宋体" w:cs="Times New Roman"/>
      <w:kern w:val="2"/>
      <w:sz w:val="21"/>
      <w:lang w:val="en-US" w:eastAsia="zh-CN" w:bidi="ar-SA"/>
    </w:rPr>
  </w:style>
  <w:style w:type="character" w:customStyle="1" w:styleId="984">
    <w:name w:val="标题 1 Char1"/>
    <w:uiPriority w:val="0"/>
    <w:rPr>
      <w:rFonts w:eastAsia="宋体"/>
      <w:b/>
      <w:color w:val="000000"/>
      <w:kern w:val="44"/>
      <w:sz w:val="44"/>
      <w:szCs w:val="21"/>
      <w:lang w:val="en-US" w:eastAsia="zh-CN" w:bidi="ar-SA"/>
    </w:rPr>
  </w:style>
  <w:style w:type="character" w:customStyle="1" w:styleId="985">
    <w:name w:val="Char Char131"/>
    <w:uiPriority w:val="0"/>
    <w:rPr>
      <w:rFonts w:eastAsia="宋体"/>
      <w:b/>
      <w:bCs/>
      <w:kern w:val="44"/>
      <w:sz w:val="44"/>
      <w:szCs w:val="44"/>
      <w:lang w:val="en-US" w:eastAsia="zh-CN" w:bidi="ar-SA"/>
    </w:rPr>
  </w:style>
  <w:style w:type="character" w:customStyle="1" w:styleId="986">
    <w:name w:val="Signature Char"/>
    <w:uiPriority w:val="0"/>
    <w:rPr>
      <w:rFonts w:ascii="Arial" w:hAnsi="Arial" w:eastAsia="宋体"/>
      <w:spacing w:val="-5"/>
      <w:sz w:val="24"/>
      <w:lang w:val="en-US" w:eastAsia="zh-CN" w:bidi="ar-SA"/>
    </w:rPr>
  </w:style>
  <w:style w:type="character" w:customStyle="1" w:styleId="987">
    <w:name w:val="普通(网站) Char"/>
    <w:link w:val="988"/>
    <w:uiPriority w:val="0"/>
    <w:rPr>
      <w:rFonts w:ascii="宋体" w:hAnsi="宋体"/>
      <w:color w:val="000000"/>
      <w:sz w:val="24"/>
      <w:szCs w:val="24"/>
    </w:rPr>
  </w:style>
  <w:style w:type="paragraph" w:customStyle="1" w:styleId="988">
    <w:name w:val="普通(网站)1"/>
    <w:basedOn w:val="1"/>
    <w:link w:val="987"/>
    <w:uiPriority w:val="0"/>
    <w:pPr>
      <w:widowControl/>
      <w:autoSpaceDE w:val="0"/>
      <w:autoSpaceDN w:val="0"/>
      <w:adjustRightInd/>
      <w:spacing w:before="100" w:beforeAutospacing="1" w:after="100" w:afterAutospacing="1"/>
      <w:jc w:val="left"/>
    </w:pPr>
    <w:rPr>
      <w:rFonts w:ascii="宋体" w:hAnsi="宋体"/>
      <w:color w:val="000000"/>
      <w:kern w:val="0"/>
      <w:sz w:val="24"/>
    </w:rPr>
  </w:style>
  <w:style w:type="character" w:customStyle="1" w:styleId="989">
    <w:name w:val="Plain Text Char"/>
    <w:uiPriority w:val="0"/>
    <w:rPr>
      <w:rFonts w:ascii="宋体" w:hAnsi="Courier New" w:eastAsia="宋体"/>
      <w:color w:val="000080"/>
      <w:szCs w:val="21"/>
      <w:lang w:val="en-US" w:eastAsia="zh-CN" w:bidi="ar-SA"/>
    </w:rPr>
  </w:style>
  <w:style w:type="character" w:customStyle="1" w:styleId="990">
    <w:name w:val="标题 8 字符"/>
    <w:uiPriority w:val="0"/>
    <w:rPr>
      <w:rFonts w:ascii="等线" w:hAnsi="等线" w:eastAsia="宋体"/>
      <w:color w:val="000000"/>
      <w:kern w:val="24"/>
      <w:sz w:val="24"/>
      <w:szCs w:val="24"/>
      <w:lang w:val="en-US" w:eastAsia="zh-CN" w:bidi="ar-SA"/>
    </w:rPr>
  </w:style>
  <w:style w:type="character" w:customStyle="1" w:styleId="991">
    <w:name w:val="书籍标题2"/>
    <w:uiPriority w:val="0"/>
    <w:rPr>
      <w:rFonts w:ascii="仿宋" w:hAnsi="仿宋" w:eastAsia="仿宋" w:cs="Times New Roman"/>
      <w:b/>
      <w:smallCaps/>
      <w:spacing w:val="5"/>
      <w:sz w:val="20"/>
    </w:rPr>
  </w:style>
  <w:style w:type="character" w:customStyle="1" w:styleId="992">
    <w:name w:val="01 正文样式 Char"/>
    <w:link w:val="993"/>
    <w:uiPriority w:val="0"/>
    <w:rPr>
      <w:kern w:val="2"/>
      <w:sz w:val="24"/>
    </w:rPr>
  </w:style>
  <w:style w:type="paragraph" w:customStyle="1" w:styleId="993">
    <w:name w:val="01 正文样式"/>
    <w:basedOn w:val="1"/>
    <w:link w:val="992"/>
    <w:uiPriority w:val="0"/>
    <w:pPr>
      <w:adjustRightInd/>
      <w:spacing w:line="560" w:lineRule="exact"/>
      <w:ind w:firstLine="480" w:firstLineChars="200"/>
    </w:pPr>
    <w:rPr>
      <w:sz w:val="24"/>
      <w:szCs w:val="20"/>
    </w:rPr>
  </w:style>
  <w:style w:type="character" w:customStyle="1" w:styleId="994">
    <w:name w:val="Char Char271"/>
    <w:uiPriority w:val="0"/>
    <w:rPr>
      <w:rFonts w:eastAsia="宋体"/>
      <w:b/>
      <w:color w:val="000000"/>
      <w:kern w:val="44"/>
      <w:sz w:val="44"/>
      <w:szCs w:val="21"/>
      <w:lang w:val="en-US" w:eastAsia="zh-CN" w:bidi="ar-SA"/>
    </w:rPr>
  </w:style>
  <w:style w:type="character" w:customStyle="1" w:styleId="995">
    <w:name w:val="Char Char291"/>
    <w:uiPriority w:val="0"/>
    <w:rPr>
      <w:rFonts w:eastAsia="宋体"/>
      <w:b/>
      <w:bCs/>
      <w:color w:val="000000"/>
      <w:sz w:val="32"/>
      <w:szCs w:val="32"/>
      <w:lang w:val="en-US" w:eastAsia="zh-CN" w:bidi="ar-SA"/>
    </w:rPr>
  </w:style>
  <w:style w:type="character" w:customStyle="1" w:styleId="996">
    <w:name w:val="level-2 Char"/>
    <w:link w:val="997"/>
    <w:uiPriority w:val="0"/>
    <w:rPr>
      <w:rFonts w:ascii="黑体" w:hAnsi="黑体" w:eastAsia="黑体"/>
      <w:kern w:val="2"/>
      <w:sz w:val="28"/>
      <w:szCs w:val="28"/>
    </w:rPr>
  </w:style>
  <w:style w:type="paragraph" w:customStyle="1" w:styleId="997">
    <w:name w:val="level-2"/>
    <w:basedOn w:val="1"/>
    <w:next w:val="1"/>
    <w:link w:val="996"/>
    <w:uiPriority w:val="0"/>
    <w:pPr>
      <w:numPr>
        <w:ilvl w:val="1"/>
        <w:numId w:val="1"/>
      </w:numPr>
      <w:adjustRightInd/>
      <w:ind w:left="661" w:hanging="661" w:hangingChars="236"/>
      <w:outlineLvl w:val="1"/>
    </w:pPr>
    <w:rPr>
      <w:rFonts w:ascii="黑体" w:hAnsi="黑体" w:eastAsia="黑体"/>
      <w:sz w:val="28"/>
      <w:szCs w:val="28"/>
    </w:rPr>
  </w:style>
  <w:style w:type="character" w:customStyle="1" w:styleId="998">
    <w:name w:val="font101"/>
    <w:uiPriority w:val="0"/>
    <w:rPr>
      <w:rFonts w:hint="eastAsia" w:ascii="宋体" w:hAnsi="宋体" w:eastAsia="宋体" w:cs="宋体"/>
      <w:color w:val="000000"/>
      <w:sz w:val="18"/>
      <w:szCs w:val="18"/>
      <w:u w:val="none"/>
    </w:rPr>
  </w:style>
  <w:style w:type="character" w:customStyle="1" w:styleId="999">
    <w:name w:val="Heading 2 Char"/>
    <w:uiPriority w:val="0"/>
    <w:rPr>
      <w:rFonts w:ascii="Arial" w:hAnsi="Arial" w:eastAsia="黑体"/>
      <w:b/>
      <w:sz w:val="32"/>
      <w:lang w:val="zh-CN" w:eastAsia="zh-CN"/>
    </w:rPr>
  </w:style>
  <w:style w:type="character" w:customStyle="1" w:styleId="1000">
    <w:name w:val="Char Char103"/>
    <w:uiPriority w:val="0"/>
    <w:rPr>
      <w:rFonts w:eastAsia="宋体"/>
      <w:b/>
      <w:color w:val="000000"/>
      <w:kern w:val="44"/>
      <w:sz w:val="44"/>
      <w:szCs w:val="21"/>
      <w:lang w:val="en-US" w:eastAsia="zh-CN" w:bidi="ar-SA"/>
    </w:rPr>
  </w:style>
  <w:style w:type="character" w:customStyle="1" w:styleId="1001">
    <w:name w:val="font141"/>
    <w:uiPriority w:val="0"/>
    <w:rPr>
      <w:rFonts w:hint="eastAsia" w:ascii="宋体" w:hAnsi="宋体" w:eastAsia="宋体" w:cs="宋体"/>
      <w:b/>
      <w:color w:val="000000"/>
      <w:sz w:val="20"/>
      <w:szCs w:val="20"/>
      <w:u w:val="none"/>
    </w:rPr>
  </w:style>
  <w:style w:type="character" w:customStyle="1" w:styleId="1002">
    <w:name w:val="HTML Preformatted Char"/>
    <w:uiPriority w:val="0"/>
    <w:rPr>
      <w:rFonts w:ascii="Arial Unicode MS" w:hAnsi="Arial Unicode MS" w:eastAsia="Times New Roman"/>
    </w:rPr>
  </w:style>
  <w:style w:type="character" w:customStyle="1" w:styleId="1003">
    <w:name w:val="Char Char53"/>
    <w:uiPriority w:val="0"/>
    <w:rPr>
      <w:rFonts w:eastAsia="宋体"/>
      <w:color w:val="000000"/>
      <w:sz w:val="18"/>
      <w:szCs w:val="18"/>
      <w:lang w:val="en-US" w:eastAsia="zh-CN" w:bidi="ar-SA"/>
    </w:rPr>
  </w:style>
  <w:style w:type="character" w:customStyle="1" w:styleId="1004">
    <w:name w:val="Char Char313"/>
    <w:uiPriority w:val="0"/>
    <w:rPr>
      <w:rFonts w:eastAsia="宋体"/>
      <w:b/>
      <w:color w:val="000000"/>
      <w:kern w:val="44"/>
      <w:sz w:val="44"/>
      <w:szCs w:val="21"/>
      <w:lang w:val="en-US" w:eastAsia="zh-CN" w:bidi="ar-SA"/>
    </w:rPr>
  </w:style>
  <w:style w:type="character" w:customStyle="1" w:styleId="1005">
    <w:name w:val="01正文样式 Char"/>
    <w:link w:val="1006"/>
    <w:uiPriority w:val="0"/>
    <w:rPr>
      <w:rFonts w:ascii="Tahoma" w:hAnsi="Tahoma" w:eastAsia="仿宋_GB2312"/>
      <w:sz w:val="28"/>
    </w:rPr>
  </w:style>
  <w:style w:type="paragraph" w:customStyle="1" w:styleId="1006">
    <w:name w:val="01正文样式"/>
    <w:basedOn w:val="1"/>
    <w:link w:val="1005"/>
    <w:uiPriority w:val="0"/>
    <w:pPr>
      <w:adjustRightInd/>
      <w:ind w:firstLine="480"/>
    </w:pPr>
    <w:rPr>
      <w:rFonts w:ascii="Tahoma" w:hAnsi="Tahoma" w:eastAsia="仿宋_GB2312"/>
      <w:kern w:val="0"/>
      <w:sz w:val="28"/>
      <w:szCs w:val="20"/>
    </w:rPr>
  </w:style>
  <w:style w:type="character" w:customStyle="1" w:styleId="1007">
    <w:name w:val="明显强调1"/>
    <w:uiPriority w:val="0"/>
    <w:rPr>
      <w:rFonts w:eastAsia="仿宋"/>
      <w:iCs/>
      <w:color w:val="000000"/>
      <w:sz w:val="32"/>
    </w:rPr>
  </w:style>
  <w:style w:type="character" w:customStyle="1" w:styleId="1008">
    <w:name w:val="QB正文 Char"/>
    <w:link w:val="1009"/>
    <w:uiPriority w:val="0"/>
    <w:rPr>
      <w:rFonts w:ascii="宋体"/>
      <w:sz w:val="21"/>
    </w:rPr>
  </w:style>
  <w:style w:type="paragraph" w:customStyle="1" w:styleId="1009">
    <w:name w:val="QB正文"/>
    <w:link w:val="1008"/>
    <w:qFormat/>
    <w:uiPriority w:val="0"/>
    <w:pPr>
      <w:adjustRightInd w:val="0"/>
      <w:ind w:firstLine="420" w:firstLineChars="200"/>
    </w:pPr>
    <w:rPr>
      <w:rFonts w:ascii="宋体" w:hAnsi="Times New Roman" w:eastAsia="宋体" w:cs="Times New Roman"/>
      <w:sz w:val="21"/>
      <w:lang w:val="en-US" w:eastAsia="zh-CN" w:bidi="ar-SA"/>
    </w:rPr>
  </w:style>
  <w:style w:type="character" w:customStyle="1" w:styleId="1010">
    <w:name w:val="GW-正文 Char"/>
    <w:link w:val="1011"/>
    <w:uiPriority w:val="0"/>
    <w:rPr>
      <w:rFonts w:ascii="Arial Narrow" w:hAnsi="Arial Narrow"/>
      <w:sz w:val="24"/>
      <w:szCs w:val="24"/>
    </w:rPr>
  </w:style>
  <w:style w:type="paragraph" w:customStyle="1" w:styleId="1011">
    <w:name w:val="GW-正文"/>
    <w:basedOn w:val="1"/>
    <w:link w:val="1010"/>
    <w:uiPriority w:val="0"/>
    <w:pPr>
      <w:adjustRightInd/>
      <w:spacing w:line="360" w:lineRule="auto"/>
      <w:ind w:firstLine="200" w:firstLineChars="200"/>
    </w:pPr>
    <w:rPr>
      <w:rFonts w:ascii="Arial Narrow" w:hAnsi="Arial Narrow"/>
      <w:kern w:val="0"/>
      <w:sz w:val="24"/>
    </w:rPr>
  </w:style>
  <w:style w:type="character" w:customStyle="1" w:styleId="1012">
    <w:name w:val="style21"/>
    <w:uiPriority w:val="0"/>
    <w:rPr>
      <w:color w:val="FFFFFF"/>
    </w:rPr>
  </w:style>
  <w:style w:type="character" w:customStyle="1" w:styleId="1013">
    <w:name w:val="页码1"/>
    <w:basedOn w:val="72"/>
    <w:uiPriority w:val="0"/>
  </w:style>
  <w:style w:type="character" w:customStyle="1" w:styleId="1014">
    <w:name w:val="Char Char38"/>
    <w:uiPriority w:val="0"/>
    <w:rPr>
      <w:rFonts w:ascii="Arial Unicode MS" w:hAnsi="Arial Unicode MS" w:eastAsia="Arial Unicode MS"/>
      <w:lang w:bidi="ar-SA"/>
    </w:rPr>
  </w:style>
  <w:style w:type="character" w:customStyle="1" w:styleId="1015">
    <w:name w:val="font171"/>
    <w:uiPriority w:val="0"/>
    <w:rPr>
      <w:rFonts w:hint="eastAsia" w:ascii="宋体" w:hAnsi="宋体" w:eastAsia="宋体" w:cs="宋体"/>
      <w:color w:val="000000"/>
      <w:sz w:val="18"/>
      <w:szCs w:val="18"/>
      <w:u w:val="none"/>
    </w:rPr>
  </w:style>
  <w:style w:type="character" w:customStyle="1" w:styleId="1016">
    <w:name w:val="Char Char114"/>
    <w:uiPriority w:val="0"/>
    <w:rPr>
      <w:rFonts w:ascii="Arial" w:hAnsi="Arial" w:eastAsia="黑体"/>
      <w:b/>
      <w:kern w:val="2"/>
      <w:sz w:val="32"/>
      <w:szCs w:val="32"/>
      <w:lang w:val="en-US" w:eastAsia="zh-CN" w:bidi="ar-SA"/>
    </w:rPr>
  </w:style>
  <w:style w:type="character" w:customStyle="1" w:styleId="1017">
    <w:name w:val="Char Char42"/>
    <w:uiPriority w:val="0"/>
    <w:rPr>
      <w:rFonts w:eastAsia="宋体"/>
      <w:color w:val="000000"/>
      <w:sz w:val="21"/>
      <w:szCs w:val="21"/>
      <w:lang w:val="en-US" w:eastAsia="zh-CN" w:bidi="ar-SA"/>
    </w:rPr>
  </w:style>
  <w:style w:type="character" w:customStyle="1" w:styleId="1018">
    <w:name w:val="表格文本 Char"/>
    <w:link w:val="1019"/>
    <w:uiPriority w:val="0"/>
    <w:rPr>
      <w:rFonts w:ascii="仿宋" w:hAnsi="仿宋" w:eastAsia="仿宋"/>
      <w:sz w:val="28"/>
      <w:szCs w:val="28"/>
    </w:rPr>
  </w:style>
  <w:style w:type="paragraph" w:customStyle="1" w:styleId="1019">
    <w:name w:val="表格文本"/>
    <w:basedOn w:val="1"/>
    <w:link w:val="1018"/>
    <w:uiPriority w:val="0"/>
    <w:pPr>
      <w:tabs>
        <w:tab w:val="decimal" w:pos="0"/>
      </w:tabs>
      <w:adjustRightInd/>
      <w:spacing w:line="360" w:lineRule="auto"/>
    </w:pPr>
    <w:rPr>
      <w:rFonts w:ascii="仿宋" w:hAnsi="仿宋" w:eastAsia="仿宋"/>
      <w:kern w:val="0"/>
      <w:sz w:val="28"/>
      <w:szCs w:val="28"/>
    </w:rPr>
  </w:style>
  <w:style w:type="character" w:customStyle="1" w:styleId="1020">
    <w:name w:val="正文文本缩进 Char_0"/>
    <w:link w:val="1021"/>
    <w:uiPriority w:val="0"/>
  </w:style>
  <w:style w:type="paragraph" w:customStyle="1" w:styleId="1021">
    <w:name w:val="正文文本缩进_0"/>
    <w:basedOn w:val="983"/>
    <w:link w:val="1020"/>
    <w:uiPriority w:val="0"/>
    <w:pPr>
      <w:spacing w:after="120"/>
      <w:ind w:left="420" w:leftChars="200"/>
    </w:pPr>
    <w:rPr>
      <w:kern w:val="0"/>
      <w:sz w:val="20"/>
    </w:rPr>
  </w:style>
  <w:style w:type="character" w:customStyle="1" w:styleId="1022">
    <w:name w:val="jtz2 Char"/>
    <w:uiPriority w:val="0"/>
    <w:rPr>
      <w:rFonts w:ascii="Arial" w:hAnsi="Arial" w:eastAsia="宋体"/>
      <w:b/>
      <w:bCs/>
      <w:kern w:val="2"/>
      <w:sz w:val="30"/>
      <w:szCs w:val="32"/>
      <w:lang w:val="en-US" w:eastAsia="zh-CN" w:bidi="ar-SA"/>
    </w:rPr>
  </w:style>
  <w:style w:type="character" w:customStyle="1" w:styleId="1023">
    <w:name w:val="A1 Char"/>
    <w:link w:val="1024"/>
    <w:uiPriority w:val="0"/>
    <w:rPr>
      <w:rFonts w:ascii="等线 Light" w:hAnsi="等线 Light" w:eastAsia="等线 Light"/>
      <w:b/>
      <w:bCs/>
      <w:kern w:val="44"/>
      <w:sz w:val="30"/>
      <w:szCs w:val="28"/>
    </w:rPr>
  </w:style>
  <w:style w:type="paragraph" w:customStyle="1" w:styleId="1024">
    <w:name w:val="A1"/>
    <w:basedOn w:val="1"/>
    <w:link w:val="1023"/>
    <w:uiPriority w:val="0"/>
    <w:pPr>
      <w:keepNext/>
      <w:keepLines/>
      <w:adjustRightInd/>
      <w:spacing w:before="340" w:after="330" w:line="576" w:lineRule="auto"/>
      <w:ind w:right="100" w:rightChars="100"/>
      <w:outlineLvl w:val="0"/>
    </w:pPr>
    <w:rPr>
      <w:rFonts w:ascii="等线 Light" w:hAnsi="等线 Light" w:eastAsia="等线 Light"/>
      <w:b/>
      <w:bCs/>
      <w:kern w:val="44"/>
      <w:sz w:val="30"/>
      <w:szCs w:val="28"/>
    </w:rPr>
  </w:style>
  <w:style w:type="character" w:customStyle="1" w:styleId="1025">
    <w:name w:val="Char Char241"/>
    <w:uiPriority w:val="0"/>
    <w:rPr>
      <w:rFonts w:eastAsia="宋体"/>
      <w:b/>
      <w:color w:val="000000"/>
      <w:sz w:val="32"/>
      <w:szCs w:val="21"/>
      <w:lang w:val="en-US" w:eastAsia="zh-CN" w:bidi="ar-SA"/>
    </w:rPr>
  </w:style>
  <w:style w:type="character" w:customStyle="1" w:styleId="1026">
    <w:name w:val="Body Text Indent Char"/>
    <w:uiPriority w:val="0"/>
    <w:rPr>
      <w:rFonts w:ascii="Times New Roman" w:hAnsi="Times New Roman" w:eastAsia="宋体"/>
    </w:rPr>
  </w:style>
  <w:style w:type="character" w:customStyle="1" w:styleId="1027">
    <w:name w:val="Char Char39"/>
    <w:uiPriority w:val="0"/>
    <w:rPr>
      <w:rFonts w:ascii="宋体" w:hAnsi="Courier New" w:eastAsia="宋体"/>
      <w:sz w:val="24"/>
      <w:szCs w:val="24"/>
      <w:lang w:bidi="ar-SA"/>
    </w:rPr>
  </w:style>
  <w:style w:type="character" w:customStyle="1" w:styleId="1028">
    <w:name w:val="列出段落 字符1"/>
    <w:uiPriority w:val="0"/>
    <w:rPr>
      <w:rFonts w:ascii="等线" w:hAnsi="等线" w:eastAsia="仿宋" w:cs="Times New Roman"/>
      <w:kern w:val="2"/>
      <w:sz w:val="24"/>
      <w:szCs w:val="22"/>
    </w:rPr>
  </w:style>
  <w:style w:type="character" w:customStyle="1" w:styleId="1029">
    <w:name w:val="Char Char115"/>
    <w:uiPriority w:val="0"/>
    <w:rPr>
      <w:rFonts w:ascii="Arial" w:hAnsi="Arial"/>
      <w:spacing w:val="-5"/>
      <w:sz w:val="24"/>
      <w:lang w:bidi="ar-SA"/>
    </w:rPr>
  </w:style>
  <w:style w:type="character" w:customStyle="1" w:styleId="1030">
    <w:name w:val="样式 正文首行缩进 2 + 左侧:  2 字符 首行缩进:  2 字符1 Char Char"/>
    <w:link w:val="1031"/>
    <w:uiPriority w:val="0"/>
    <w:rPr>
      <w:rFonts w:ascii="宋体" w:hAnsi="宋体" w:eastAsia="Times New Roman" w:cs="宋体"/>
      <w:color w:val="000000"/>
      <w:kern w:val="2"/>
      <w:sz w:val="21"/>
      <w:szCs w:val="21"/>
    </w:rPr>
  </w:style>
  <w:style w:type="paragraph" w:customStyle="1" w:styleId="1031">
    <w:name w:val="样式 正文首行缩进 2 + 左侧:  2 字符 首行缩进:  2 字符1"/>
    <w:next w:val="1"/>
    <w:link w:val="1030"/>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032">
    <w:name w:val="标准文本 Char"/>
    <w:uiPriority w:val="0"/>
    <w:rPr>
      <w:sz w:val="24"/>
      <w:lang w:bidi="ar-SA"/>
    </w:rPr>
  </w:style>
  <w:style w:type="character" w:customStyle="1" w:styleId="1033">
    <w:name w:val="正文文字2 Char Char"/>
    <w:uiPriority w:val="0"/>
    <w:rPr>
      <w:rFonts w:ascii="Arial" w:eastAsia="黑体"/>
      <w:sz w:val="21"/>
      <w:lang w:val="en-US" w:eastAsia="zh-CN" w:bidi="ar-SA"/>
    </w:rPr>
  </w:style>
  <w:style w:type="character" w:customStyle="1" w:styleId="1034">
    <w:name w:val="明显强调2"/>
    <w:qFormat/>
    <w:uiPriority w:val="0"/>
    <w:rPr>
      <w:rFonts w:eastAsia="仿宋"/>
      <w:iCs/>
      <w:color w:val="000000"/>
      <w:sz w:val="32"/>
    </w:rPr>
  </w:style>
  <w:style w:type="character" w:customStyle="1" w:styleId="1035">
    <w:name w:val="图片格式 Char"/>
    <w:link w:val="1036"/>
    <w:uiPriority w:val="0"/>
    <w:rPr>
      <w:rFonts w:ascii="仿宋" w:hAnsi="仿宋" w:eastAsia="仿宋"/>
      <w:b/>
      <w:kern w:val="2"/>
      <w:sz w:val="28"/>
      <w:szCs w:val="21"/>
      <w:lang w:val="zh-CN"/>
    </w:rPr>
  </w:style>
  <w:style w:type="paragraph" w:customStyle="1" w:styleId="1036">
    <w:name w:val="图片格式"/>
    <w:basedOn w:val="1"/>
    <w:link w:val="1035"/>
    <w:uiPriority w:val="0"/>
    <w:pPr>
      <w:adjustRightInd/>
      <w:spacing w:line="360" w:lineRule="auto"/>
      <w:jc w:val="center"/>
    </w:pPr>
    <w:rPr>
      <w:rFonts w:ascii="仿宋" w:hAnsi="仿宋" w:eastAsia="仿宋"/>
      <w:b/>
      <w:sz w:val="28"/>
      <w:szCs w:val="21"/>
      <w:lang w:val="zh-CN"/>
    </w:rPr>
  </w:style>
  <w:style w:type="character" w:customStyle="1" w:styleId="1037">
    <w:name w:val="标题 3 Char"/>
    <w:uiPriority w:val="0"/>
    <w:rPr>
      <w:rFonts w:eastAsia="宋体"/>
      <w:b/>
      <w:bCs/>
      <w:color w:val="000000"/>
      <w:sz w:val="32"/>
      <w:szCs w:val="32"/>
      <w:lang w:val="en-US" w:eastAsia="zh-CN" w:bidi="ar-SA"/>
    </w:rPr>
  </w:style>
  <w:style w:type="character" w:customStyle="1" w:styleId="1038">
    <w:name w:val="Heading 1 Char1"/>
    <w:uiPriority w:val="0"/>
    <w:rPr>
      <w:rFonts w:eastAsia="宋体"/>
      <w:b/>
      <w:color w:val="000000"/>
      <w:kern w:val="44"/>
      <w:sz w:val="21"/>
      <w:lang w:val="en-US" w:eastAsia="zh-CN"/>
    </w:rPr>
  </w:style>
  <w:style w:type="character" w:customStyle="1" w:styleId="1039">
    <w:name w:val="A2 Char"/>
    <w:link w:val="1040"/>
    <w:uiPriority w:val="0"/>
    <w:rPr>
      <w:rFonts w:ascii="等线 Light" w:hAnsi="等线 Light" w:eastAsia="等线 Light"/>
      <w:b/>
      <w:color w:val="000000"/>
      <w:kern w:val="2"/>
      <w:sz w:val="28"/>
      <w:szCs w:val="24"/>
    </w:rPr>
  </w:style>
  <w:style w:type="paragraph" w:customStyle="1" w:styleId="1040">
    <w:name w:val="A2"/>
    <w:basedOn w:val="2"/>
    <w:link w:val="1039"/>
    <w:uiPriority w:val="0"/>
    <w:pPr>
      <w:widowControl/>
      <w:tabs>
        <w:tab w:val="left" w:pos="-720"/>
        <w:tab w:val="left" w:pos="0"/>
        <w:tab w:val="left" w:pos="738"/>
        <w:tab w:val="clear" w:pos="432"/>
      </w:tabs>
      <w:suppressAutoHyphens/>
      <w:overflowPunct w:val="0"/>
      <w:autoSpaceDE w:val="0"/>
      <w:autoSpaceDN w:val="0"/>
      <w:adjustRightInd w:val="0"/>
      <w:spacing w:before="180" w:after="140"/>
      <w:ind w:left="100" w:leftChars="100" w:right="100" w:rightChars="100" w:firstLine="200" w:firstLineChars="200"/>
      <w:textAlignment w:val="baseline"/>
    </w:pPr>
    <w:rPr>
      <w:rFonts w:ascii="等线 Light" w:hAnsi="等线 Light" w:eastAsia="等线 Light"/>
      <w:bCs w:val="0"/>
      <w:color w:val="000000"/>
      <w:sz w:val="28"/>
      <w:szCs w:val="24"/>
      <w:lang w:val="en-US"/>
    </w:rPr>
  </w:style>
  <w:style w:type="character" w:customStyle="1" w:styleId="1041">
    <w:name w:val="正文文本 Char Char"/>
    <w:uiPriority w:val="0"/>
    <w:rPr>
      <w:rFonts w:ascii="Calibri" w:hAnsi="Calibri" w:eastAsia="宋体"/>
      <w:kern w:val="2"/>
      <w:sz w:val="21"/>
      <w:szCs w:val="22"/>
      <w:lang w:val="en-US" w:eastAsia="zh-CN" w:bidi="ar-SA"/>
    </w:rPr>
  </w:style>
  <w:style w:type="character" w:customStyle="1" w:styleId="1042">
    <w:name w:val="Heading 9 Char"/>
    <w:uiPriority w:val="0"/>
    <w:rPr>
      <w:rFonts w:ascii="Cambria" w:hAnsi="Cambria" w:eastAsia="等线"/>
      <w:sz w:val="21"/>
      <w:szCs w:val="21"/>
      <w:lang w:val="en-US" w:eastAsia="zh-CN" w:bidi="ar-SA"/>
    </w:rPr>
  </w:style>
  <w:style w:type="character" w:customStyle="1" w:styleId="1043">
    <w:name w:val="Footer Char1"/>
    <w:uiPriority w:val="0"/>
    <w:rPr>
      <w:rFonts w:eastAsia="宋体"/>
      <w:color w:val="000000"/>
      <w:sz w:val="18"/>
      <w:lang w:val="en-US" w:eastAsia="zh-CN"/>
    </w:rPr>
  </w:style>
  <w:style w:type="character" w:customStyle="1" w:styleId="1044">
    <w:name w:val="Body Text Indent Char1"/>
    <w:uiPriority w:val="0"/>
    <w:rPr>
      <w:rFonts w:eastAsia="宋体"/>
      <w:color w:val="000000"/>
      <w:sz w:val="21"/>
      <w:lang w:val="en-US" w:eastAsia="zh-CN"/>
    </w:rPr>
  </w:style>
  <w:style w:type="character" w:customStyle="1" w:styleId="1045">
    <w:name w:val="标题 5 Char1"/>
    <w:uiPriority w:val="0"/>
    <w:rPr>
      <w:rFonts w:ascii="Calibri" w:hAnsi="Calibri" w:eastAsia="仿宋"/>
      <w:b/>
      <w:kern w:val="2"/>
      <w:sz w:val="28"/>
      <w:szCs w:val="24"/>
    </w:rPr>
  </w:style>
  <w:style w:type="character" w:customStyle="1" w:styleId="1046">
    <w:name w:val="表头文本 Char Char"/>
    <w:link w:val="1047"/>
    <w:uiPriority w:val="0"/>
    <w:rPr>
      <w:rFonts w:ascii="Arial" w:hAnsi="Arial" w:eastAsia="Times New Roman"/>
      <w:b/>
      <w:szCs w:val="21"/>
    </w:rPr>
  </w:style>
  <w:style w:type="paragraph" w:customStyle="1" w:styleId="1047">
    <w:name w:val="表头文本"/>
    <w:link w:val="1046"/>
    <w:uiPriority w:val="0"/>
    <w:pPr>
      <w:jc w:val="center"/>
    </w:pPr>
    <w:rPr>
      <w:rFonts w:ascii="Arial" w:hAnsi="Arial" w:eastAsia="Times New Roman" w:cs="Times New Roman"/>
      <w:b/>
      <w:szCs w:val="21"/>
      <w:lang w:val="en-US" w:eastAsia="zh-CN" w:bidi="ar-SA"/>
    </w:rPr>
  </w:style>
  <w:style w:type="character" w:customStyle="1" w:styleId="1048">
    <w:name w:val="纯文本 字符1"/>
    <w:uiPriority w:val="0"/>
    <w:rPr>
      <w:kern w:val="2"/>
      <w:sz w:val="24"/>
    </w:rPr>
  </w:style>
  <w:style w:type="character" w:customStyle="1" w:styleId="1049">
    <w:name w:val="Char Char151"/>
    <w:uiPriority w:val="0"/>
    <w:rPr>
      <w:rFonts w:eastAsia="宋体"/>
      <w:kern w:val="2"/>
      <w:sz w:val="21"/>
      <w:lang w:val="en-US" w:eastAsia="zh-CN" w:bidi="ar-SA"/>
    </w:rPr>
  </w:style>
  <w:style w:type="character" w:customStyle="1" w:styleId="1050">
    <w:name w:val="表格 Char"/>
    <w:link w:val="631"/>
    <w:uiPriority w:val="0"/>
    <w:rPr>
      <w:rFonts w:ascii="宋体" w:hAnsi="宋体"/>
    </w:rPr>
  </w:style>
  <w:style w:type="character" w:customStyle="1" w:styleId="1051">
    <w:name w:val="Char Char73"/>
    <w:uiPriority w:val="0"/>
    <w:rPr>
      <w:rFonts w:eastAsia="宋体"/>
      <w:kern w:val="2"/>
      <w:sz w:val="21"/>
      <w:szCs w:val="24"/>
      <w:lang w:val="en-US" w:eastAsia="zh-CN" w:bidi="ar-SA"/>
    </w:rPr>
  </w:style>
  <w:style w:type="character" w:customStyle="1" w:styleId="1052">
    <w:name w:val="Char Char251"/>
    <w:uiPriority w:val="0"/>
    <w:rPr>
      <w:rFonts w:ascii="Arial" w:hAnsi="Arial" w:eastAsia="黑体"/>
      <w:b/>
      <w:bCs/>
      <w:kern w:val="2"/>
      <w:sz w:val="32"/>
      <w:szCs w:val="32"/>
      <w:lang w:val="en-US" w:eastAsia="zh-CN" w:bidi="ar-SA"/>
    </w:rPr>
  </w:style>
  <w:style w:type="character" w:customStyle="1" w:styleId="1053">
    <w:name w:val="文章样式1 Char Char"/>
    <w:link w:val="1054"/>
    <w:uiPriority w:val="0"/>
    <w:rPr>
      <w:rFonts w:ascii="宋体" w:hAnsi="宋体" w:eastAsia="Times New Roman" w:cs="宋体"/>
      <w:b/>
      <w:kern w:val="2"/>
      <w:sz w:val="21"/>
    </w:rPr>
  </w:style>
  <w:style w:type="paragraph" w:customStyle="1" w:styleId="1054">
    <w:name w:val="文章样式1"/>
    <w:link w:val="1053"/>
    <w:uiPriority w:val="0"/>
    <w:pPr>
      <w:numPr>
        <w:ilvl w:val="0"/>
        <w:numId w:val="2"/>
      </w:numPr>
      <w:tabs>
        <w:tab w:val="left" w:pos="0"/>
      </w:tabs>
      <w:spacing w:line="360" w:lineRule="auto"/>
    </w:pPr>
    <w:rPr>
      <w:rFonts w:ascii="宋体" w:hAnsi="宋体" w:eastAsia="Times New Roman" w:cs="宋体"/>
      <w:b/>
      <w:kern w:val="2"/>
      <w:sz w:val="21"/>
      <w:lang w:val="en-US" w:eastAsia="zh-CN" w:bidi="ar-SA"/>
    </w:rPr>
  </w:style>
  <w:style w:type="character" w:customStyle="1" w:styleId="1055">
    <w:name w:val="正文-首行空格 字符"/>
    <w:link w:val="1056"/>
    <w:uiPriority w:val="0"/>
    <w:rPr>
      <w:rFonts w:eastAsia="仿宋"/>
      <w:kern w:val="2"/>
      <w:sz w:val="24"/>
      <w:szCs w:val="22"/>
    </w:rPr>
  </w:style>
  <w:style w:type="paragraph" w:customStyle="1" w:styleId="1056">
    <w:name w:val="正文-首行空格"/>
    <w:basedOn w:val="1"/>
    <w:link w:val="1055"/>
    <w:uiPriority w:val="0"/>
    <w:pPr>
      <w:adjustRightInd/>
      <w:spacing w:line="360" w:lineRule="auto"/>
      <w:ind w:firstLine="200" w:firstLineChars="200"/>
      <w:jc w:val="left"/>
    </w:pPr>
    <w:rPr>
      <w:rFonts w:eastAsia="仿宋"/>
      <w:sz w:val="24"/>
      <w:szCs w:val="22"/>
    </w:rPr>
  </w:style>
  <w:style w:type="character" w:customStyle="1" w:styleId="1057">
    <w:name w:val="图片 字符"/>
    <w:link w:val="1058"/>
    <w:uiPriority w:val="0"/>
    <w:rPr>
      <w:rFonts w:ascii="仿宋" w:hAnsi="Calibri" w:eastAsia="仿宋"/>
      <w:b/>
      <w:kern w:val="2"/>
      <w:sz w:val="24"/>
      <w:szCs w:val="21"/>
    </w:rPr>
  </w:style>
  <w:style w:type="paragraph" w:customStyle="1" w:styleId="1058">
    <w:name w:val="图片"/>
    <w:basedOn w:val="1"/>
    <w:link w:val="1057"/>
    <w:uiPriority w:val="0"/>
    <w:pPr>
      <w:adjustRightInd/>
      <w:spacing w:line="360" w:lineRule="auto"/>
      <w:jc w:val="center"/>
    </w:pPr>
    <w:rPr>
      <w:rFonts w:ascii="仿宋" w:hAnsi="Calibri" w:eastAsia="仿宋"/>
      <w:b/>
      <w:sz w:val="24"/>
      <w:szCs w:val="21"/>
    </w:rPr>
  </w:style>
  <w:style w:type="character" w:customStyle="1" w:styleId="1059">
    <w:name w:val="code Char"/>
    <w:link w:val="1060"/>
    <w:uiPriority w:val="0"/>
    <w:rPr>
      <w:rFonts w:ascii="Courier New" w:hAnsi="Courier New" w:cs="Courier New"/>
      <w:sz w:val="21"/>
      <w:szCs w:val="18"/>
      <w:shd w:val="clear" w:color="auto" w:fill="F2F2F2"/>
    </w:rPr>
  </w:style>
  <w:style w:type="paragraph" w:customStyle="1" w:styleId="1060">
    <w:name w:val="code"/>
    <w:basedOn w:val="1"/>
    <w:link w:val="1059"/>
    <w:uiPriority w:val="0"/>
    <w:pPr>
      <w:pBdr>
        <w:top w:val="single" w:color="auto" w:sz="4" w:space="1"/>
        <w:left w:val="single" w:color="auto" w:sz="4" w:space="4"/>
        <w:bottom w:val="single" w:color="auto" w:sz="4" w:space="1"/>
        <w:right w:val="single" w:color="auto" w:sz="4" w:space="4"/>
      </w:pBdr>
      <w:shd w:val="clear" w:color="auto" w:fill="F2F2F2"/>
      <w:autoSpaceDE w:val="0"/>
      <w:autoSpaceDN w:val="0"/>
      <w:spacing w:line="0" w:lineRule="atLeast"/>
      <w:jc w:val="left"/>
    </w:pPr>
    <w:rPr>
      <w:rFonts w:ascii="Courier New" w:hAnsi="Courier New" w:cs="Courier New"/>
      <w:kern w:val="0"/>
      <w:szCs w:val="18"/>
    </w:rPr>
  </w:style>
  <w:style w:type="character" w:customStyle="1" w:styleId="1061">
    <w:name w:val="样式1 Char"/>
    <w:link w:val="727"/>
    <w:uiPriority w:val="0"/>
    <w:rPr>
      <w:rFonts w:ascii="宋体" w:hAnsi="宋体"/>
      <w:sz w:val="24"/>
    </w:rPr>
  </w:style>
  <w:style w:type="character" w:customStyle="1" w:styleId="1062">
    <w:name w:val="Char Char261"/>
    <w:uiPriority w:val="0"/>
    <w:rPr>
      <w:b/>
      <w:color w:val="000000"/>
      <w:kern w:val="44"/>
      <w:sz w:val="44"/>
      <w:szCs w:val="21"/>
      <w:lang w:val="en-US" w:eastAsia="zh-CN" w:bidi="ar-SA"/>
    </w:rPr>
  </w:style>
  <w:style w:type="character" w:customStyle="1" w:styleId="1063">
    <w:name w:val="0531新修订 字符"/>
    <w:link w:val="1064"/>
    <w:uiPriority w:val="0"/>
    <w:rPr>
      <w:rFonts w:ascii="宋体" w:hAnsi="宋体"/>
      <w:color w:val="0070C0"/>
      <w:kern w:val="2"/>
      <w:sz w:val="24"/>
      <w:szCs w:val="24"/>
    </w:rPr>
  </w:style>
  <w:style w:type="paragraph" w:customStyle="1" w:styleId="1064">
    <w:name w:val="0531新修订"/>
    <w:basedOn w:val="1"/>
    <w:link w:val="1063"/>
    <w:uiPriority w:val="0"/>
    <w:pPr>
      <w:adjustRightInd/>
      <w:spacing w:beforeLines="30" w:afterLines="30" w:line="360" w:lineRule="auto"/>
      <w:ind w:firstLine="480" w:firstLineChars="200"/>
      <w:jc w:val="left"/>
    </w:pPr>
    <w:rPr>
      <w:rFonts w:ascii="宋体" w:hAnsi="宋体"/>
      <w:color w:val="0070C0"/>
      <w:sz w:val="24"/>
    </w:rPr>
  </w:style>
  <w:style w:type="character" w:customStyle="1" w:styleId="1065">
    <w:name w:val="Normal (Web) Char"/>
    <w:uiPriority w:val="0"/>
    <w:rPr>
      <w:rFonts w:ascii="宋体" w:hAnsi="宋体" w:eastAsia="宋体"/>
      <w:color w:val="000000"/>
      <w:sz w:val="24"/>
    </w:rPr>
  </w:style>
  <w:style w:type="character" w:customStyle="1" w:styleId="1066">
    <w:name w:val="Heading 4 Char"/>
    <w:uiPriority w:val="0"/>
    <w:rPr>
      <w:rFonts w:ascii="Arial" w:hAnsi="Arial" w:eastAsia="宋体"/>
      <w:b/>
      <w:bCs/>
      <w:kern w:val="2"/>
      <w:sz w:val="28"/>
      <w:szCs w:val="28"/>
      <w:lang w:val="en-US" w:eastAsia="zh-CN" w:bidi="ar-SA"/>
    </w:rPr>
  </w:style>
  <w:style w:type="character" w:customStyle="1" w:styleId="1067">
    <w:name w:val="正文首缩两字 Char Char"/>
    <w:link w:val="1068"/>
    <w:uiPriority w:val="0"/>
    <w:rPr>
      <w:rFonts w:ascii="Verdana" w:hAnsi="Verdana"/>
      <w:kern w:val="2"/>
      <w:sz w:val="24"/>
      <w:szCs w:val="24"/>
    </w:rPr>
  </w:style>
  <w:style w:type="paragraph" w:customStyle="1" w:styleId="1068">
    <w:name w:val="正文首缩两字"/>
    <w:basedOn w:val="1"/>
    <w:link w:val="1067"/>
    <w:uiPriority w:val="0"/>
    <w:pPr>
      <w:adjustRightInd/>
      <w:spacing w:line="360" w:lineRule="auto"/>
      <w:ind w:firstLine="200" w:firstLineChars="200"/>
    </w:pPr>
    <w:rPr>
      <w:rFonts w:ascii="Verdana" w:hAnsi="Verdana"/>
      <w:sz w:val="24"/>
    </w:rPr>
  </w:style>
  <w:style w:type="character" w:customStyle="1" w:styleId="1069">
    <w:name w:val="Char Char62"/>
    <w:uiPriority w:val="0"/>
    <w:rPr>
      <w:rFonts w:eastAsia="宋体"/>
      <w:color w:val="000000"/>
      <w:sz w:val="21"/>
      <w:szCs w:val="21"/>
      <w:lang w:val="en-US" w:eastAsia="zh-CN" w:bidi="ar-SA"/>
    </w:rPr>
  </w:style>
  <w:style w:type="character" w:customStyle="1" w:styleId="1070">
    <w:name w:val="Char Char214"/>
    <w:uiPriority w:val="0"/>
    <w:rPr>
      <w:kern w:val="2"/>
      <w:sz w:val="24"/>
      <w:szCs w:val="24"/>
    </w:rPr>
  </w:style>
  <w:style w:type="character" w:customStyle="1" w:styleId="1071">
    <w:name w:val="列出段落 Char Char"/>
    <w:link w:val="1072"/>
    <w:uiPriority w:val="0"/>
    <w:rPr>
      <w:rFonts w:ascii="Calibri" w:hAnsi="Calibri"/>
      <w:szCs w:val="22"/>
    </w:rPr>
  </w:style>
  <w:style w:type="paragraph" w:customStyle="1" w:styleId="1072">
    <w:name w:val="列出段落6"/>
    <w:basedOn w:val="1"/>
    <w:link w:val="1071"/>
    <w:uiPriority w:val="0"/>
    <w:pPr>
      <w:adjustRightInd/>
      <w:ind w:firstLine="420" w:firstLineChars="200"/>
    </w:pPr>
    <w:rPr>
      <w:rFonts w:ascii="Calibri" w:hAnsi="Calibri"/>
      <w:kern w:val="0"/>
      <w:sz w:val="20"/>
      <w:szCs w:val="22"/>
    </w:rPr>
  </w:style>
  <w:style w:type="character" w:customStyle="1" w:styleId="1073">
    <w:name w:val="表格正文 Char"/>
    <w:link w:val="1074"/>
    <w:uiPriority w:val="0"/>
    <w:rPr>
      <w:rFonts w:ascii="宋体" w:hAnsi="宋体"/>
      <w:sz w:val="24"/>
      <w:szCs w:val="21"/>
    </w:rPr>
  </w:style>
  <w:style w:type="paragraph" w:customStyle="1" w:styleId="1074">
    <w:name w:val="表格正文"/>
    <w:basedOn w:val="1"/>
    <w:link w:val="1073"/>
    <w:uiPriority w:val="0"/>
    <w:pPr>
      <w:adjustRightInd/>
      <w:spacing w:line="240" w:lineRule="atLeast"/>
      <w:jc w:val="left"/>
    </w:pPr>
    <w:rPr>
      <w:rFonts w:ascii="宋体" w:hAnsi="宋体"/>
      <w:kern w:val="0"/>
      <w:sz w:val="24"/>
      <w:szCs w:val="21"/>
    </w:rPr>
  </w:style>
  <w:style w:type="character" w:customStyle="1" w:styleId="1075">
    <w:name w:val="列出段落 字符"/>
    <w:uiPriority w:val="0"/>
    <w:rPr>
      <w:szCs w:val="21"/>
    </w:rPr>
  </w:style>
  <w:style w:type="character" w:customStyle="1" w:styleId="1076">
    <w:name w:val="kw"/>
    <w:uiPriority w:val="0"/>
  </w:style>
  <w:style w:type="character" w:customStyle="1" w:styleId="1077">
    <w:name w:val="font481"/>
    <w:uiPriority w:val="0"/>
    <w:rPr>
      <w:rFonts w:hint="eastAsia" w:ascii="宋体" w:hAnsi="宋体" w:eastAsia="宋体"/>
      <w:color w:val="000000"/>
      <w:sz w:val="16"/>
      <w:szCs w:val="16"/>
      <w:u w:val="none"/>
    </w:rPr>
  </w:style>
  <w:style w:type="character" w:customStyle="1" w:styleId="1078">
    <w:name w:val="font151"/>
    <w:uiPriority w:val="0"/>
    <w:rPr>
      <w:rFonts w:ascii="Arial" w:hAnsi="Arial" w:cs="Arial"/>
      <w:color w:val="000000"/>
      <w:sz w:val="20"/>
      <w:szCs w:val="20"/>
      <w:u w:val="none"/>
    </w:rPr>
  </w:style>
  <w:style w:type="character" w:customStyle="1" w:styleId="1079">
    <w:name w:val="!我的正文 Ctr+Q Char"/>
    <w:link w:val="1080"/>
    <w:uiPriority w:val="0"/>
    <w:rPr>
      <w:rFonts w:ascii="Arial" w:hAnsi="Arial"/>
      <w:color w:val="000000"/>
      <w:sz w:val="24"/>
      <w:szCs w:val="21"/>
    </w:rPr>
  </w:style>
  <w:style w:type="paragraph" w:customStyle="1" w:styleId="1080">
    <w:name w:val="!我的正文 Ctr+Q"/>
    <w:basedOn w:val="1"/>
    <w:link w:val="1079"/>
    <w:uiPriority w:val="0"/>
    <w:pPr>
      <w:autoSpaceDE w:val="0"/>
      <w:autoSpaceDN w:val="0"/>
      <w:snapToGrid w:val="0"/>
      <w:spacing w:line="360" w:lineRule="auto"/>
      <w:ind w:firstLine="480" w:firstLineChars="200"/>
    </w:pPr>
    <w:rPr>
      <w:rFonts w:ascii="Arial" w:hAnsi="Arial"/>
      <w:color w:val="000000"/>
      <w:kern w:val="0"/>
      <w:sz w:val="24"/>
      <w:szCs w:val="21"/>
    </w:rPr>
  </w:style>
  <w:style w:type="character" w:customStyle="1" w:styleId="1081">
    <w:name w:val="Char Char210"/>
    <w:uiPriority w:val="0"/>
    <w:rPr>
      <w:rFonts w:ascii="宋体" w:hAnsi="宋体" w:eastAsia="宋体"/>
      <w:color w:val="000000"/>
      <w:sz w:val="24"/>
      <w:szCs w:val="24"/>
      <w:lang w:bidi="ar-SA"/>
    </w:rPr>
  </w:style>
  <w:style w:type="character" w:customStyle="1" w:styleId="1082">
    <w:name w:val="jtz2 Char1"/>
    <w:uiPriority w:val="0"/>
    <w:rPr>
      <w:rFonts w:ascii="Cambria" w:hAnsi="Cambria" w:eastAsia="宋体"/>
      <w:b/>
      <w:bCs/>
      <w:kern w:val="2"/>
      <w:sz w:val="30"/>
      <w:szCs w:val="32"/>
      <w:lang w:val="en-US" w:eastAsia="zh-CN" w:bidi="ar-SA"/>
    </w:rPr>
  </w:style>
  <w:style w:type="character" w:customStyle="1" w:styleId="1083">
    <w:name w:val="style31"/>
    <w:uiPriority w:val="0"/>
    <w:rPr>
      <w:b/>
      <w:bCs/>
      <w:color w:val="0033CC"/>
    </w:rPr>
  </w:style>
  <w:style w:type="character" w:customStyle="1" w:styleId="1084">
    <w:name w:val="普通(网站) Char1"/>
    <w:link w:val="60"/>
    <w:uiPriority w:val="0"/>
    <w:rPr>
      <w:rFonts w:ascii="宋体" w:hAnsi="宋体"/>
      <w:sz w:val="24"/>
      <w:szCs w:val="24"/>
    </w:rPr>
  </w:style>
  <w:style w:type="character" w:customStyle="1" w:styleId="1085">
    <w:name w:val="tree-title"/>
    <w:uiPriority w:val="0"/>
  </w:style>
  <w:style w:type="character" w:customStyle="1" w:styleId="1086">
    <w:name w:val="Char Char181"/>
    <w:uiPriority w:val="0"/>
    <w:rPr>
      <w:rFonts w:eastAsia="宋体"/>
      <w:kern w:val="2"/>
      <w:sz w:val="21"/>
      <w:szCs w:val="24"/>
      <w:lang w:val="en-US" w:eastAsia="zh-CN" w:bidi="ar-SA"/>
    </w:rPr>
  </w:style>
  <w:style w:type="character" w:customStyle="1" w:styleId="1087">
    <w:name w:val="Header Char1"/>
    <w:uiPriority w:val="0"/>
    <w:rPr>
      <w:rFonts w:eastAsia="宋体"/>
      <w:color w:val="000000"/>
      <w:sz w:val="18"/>
      <w:lang w:val="en-US" w:eastAsia="zh-CN"/>
    </w:rPr>
  </w:style>
  <w:style w:type="character" w:customStyle="1" w:styleId="1088">
    <w:name w:val="正文（缩进） Char"/>
    <w:link w:val="1089"/>
    <w:uiPriority w:val="0"/>
    <w:rPr>
      <w:kern w:val="2"/>
      <w:sz w:val="24"/>
      <w:szCs w:val="24"/>
    </w:rPr>
  </w:style>
  <w:style w:type="paragraph" w:customStyle="1" w:styleId="1089">
    <w:name w:val="正文（缩进）"/>
    <w:basedOn w:val="1"/>
    <w:link w:val="1088"/>
    <w:uiPriority w:val="0"/>
    <w:pPr>
      <w:adjustRightInd/>
      <w:spacing w:beforeLines="50" w:afterLines="50" w:line="360" w:lineRule="auto"/>
      <w:ind w:firstLine="480" w:firstLineChars="200"/>
    </w:pPr>
    <w:rPr>
      <w:sz w:val="24"/>
    </w:rPr>
  </w:style>
  <w:style w:type="character" w:customStyle="1" w:styleId="1090">
    <w:name w:val="文章标题3级 Char Char"/>
    <w:link w:val="1091"/>
    <w:uiPriority w:val="0"/>
    <w:rPr>
      <w:b/>
      <w:bCs/>
      <w:caps/>
      <w:color w:val="000000"/>
      <w:kern w:val="2"/>
      <w:sz w:val="24"/>
      <w:szCs w:val="18"/>
    </w:rPr>
  </w:style>
  <w:style w:type="paragraph" w:customStyle="1" w:styleId="1091">
    <w:name w:val="文章标题3级"/>
    <w:basedOn w:val="1092"/>
    <w:next w:val="1"/>
    <w:link w:val="1090"/>
    <w:uiPriority w:val="0"/>
    <w:pPr>
      <w:numPr>
        <w:ilvl w:val="2"/>
      </w:numPr>
      <w:tabs>
        <w:tab w:val="left" w:pos="360"/>
        <w:tab w:val="left" w:pos="780"/>
        <w:tab w:val="left" w:pos="1320"/>
        <w:tab w:val="left" w:pos="1560"/>
      </w:tabs>
      <w:ind w:firstLine="0" w:firstLineChars="0"/>
      <w:outlineLvl w:val="2"/>
    </w:pPr>
    <w:rPr>
      <w:color w:val="000000"/>
      <w:sz w:val="24"/>
      <w:szCs w:val="18"/>
    </w:rPr>
  </w:style>
  <w:style w:type="paragraph" w:customStyle="1" w:styleId="1092">
    <w:name w:val="文章标题2级"/>
    <w:basedOn w:val="1093"/>
    <w:next w:val="1"/>
    <w:uiPriority w:val="0"/>
    <w:pPr>
      <w:pageBreakBefore w:val="0"/>
      <w:numPr>
        <w:ilvl w:val="1"/>
      </w:numPr>
      <w:tabs>
        <w:tab w:val="left" w:pos="360"/>
        <w:tab w:val="left" w:pos="780"/>
        <w:tab w:val="left" w:pos="1320"/>
      </w:tabs>
      <w:ind w:left="200" w:hanging="200" w:hangingChars="200"/>
      <w:jc w:val="left"/>
      <w:outlineLvl w:val="1"/>
    </w:pPr>
    <w:rPr>
      <w:sz w:val="30"/>
    </w:rPr>
  </w:style>
  <w:style w:type="paragraph" w:customStyle="1" w:styleId="1093">
    <w:name w:val="文章标题1级"/>
    <w:next w:val="1"/>
    <w:uiPriority w:val="0"/>
    <w:pPr>
      <w:pageBreakBefore/>
      <w:numPr>
        <w:ilvl w:val="0"/>
        <w:numId w:val="3"/>
      </w:numPr>
      <w:tabs>
        <w:tab w:val="left" w:pos="360"/>
      </w:tabs>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1094">
    <w:name w:val="Char Char191"/>
    <w:uiPriority w:val="0"/>
    <w:rPr>
      <w:kern w:val="2"/>
      <w:sz w:val="21"/>
      <w:lang w:bidi="ar-SA"/>
    </w:rPr>
  </w:style>
  <w:style w:type="character" w:customStyle="1" w:styleId="1095">
    <w:name w:val="政务 3 字符"/>
    <w:link w:val="1096"/>
    <w:uiPriority w:val="0"/>
    <w:rPr>
      <w:rFonts w:eastAsia="仿宋"/>
      <w:b/>
      <w:kern w:val="2"/>
      <w:sz w:val="30"/>
      <w:szCs w:val="22"/>
    </w:rPr>
  </w:style>
  <w:style w:type="paragraph" w:customStyle="1" w:styleId="1096">
    <w:name w:val="政务 3"/>
    <w:basedOn w:val="1"/>
    <w:link w:val="1095"/>
    <w:uiPriority w:val="0"/>
    <w:pPr>
      <w:adjustRightInd/>
      <w:spacing w:line="360" w:lineRule="auto"/>
      <w:jc w:val="left"/>
      <w:outlineLvl w:val="2"/>
    </w:pPr>
    <w:rPr>
      <w:rFonts w:eastAsia="仿宋"/>
      <w:b/>
      <w:sz w:val="30"/>
      <w:szCs w:val="22"/>
    </w:rPr>
  </w:style>
  <w:style w:type="character" w:customStyle="1" w:styleId="1097">
    <w:name w:val="Char Char201"/>
    <w:uiPriority w:val="0"/>
    <w:rPr>
      <w:kern w:val="2"/>
      <w:sz w:val="21"/>
      <w:szCs w:val="21"/>
    </w:rPr>
  </w:style>
  <w:style w:type="character" w:customStyle="1" w:styleId="1098">
    <w:name w:val="Heading 3 Char1"/>
    <w:uiPriority w:val="0"/>
    <w:rPr>
      <w:rFonts w:eastAsia="宋体"/>
      <w:b/>
      <w:color w:val="000000"/>
      <w:sz w:val="32"/>
      <w:lang w:val="en-US" w:eastAsia="zh-CN"/>
    </w:rPr>
  </w:style>
  <w:style w:type="character" w:customStyle="1" w:styleId="1099">
    <w:name w:val="_正文段落 Char"/>
    <w:link w:val="577"/>
    <w:uiPriority w:val="0"/>
    <w:rPr>
      <w:rFonts w:ascii="仿宋_GB2312" w:hAnsi="仿宋" w:eastAsia="仿宋_GB2312"/>
      <w:sz w:val="28"/>
      <w:szCs w:val="28"/>
    </w:rPr>
  </w:style>
  <w:style w:type="character" w:customStyle="1" w:styleId="1100">
    <w:name w:val="Char Char141"/>
    <w:uiPriority w:val="0"/>
    <w:rPr>
      <w:rFonts w:eastAsia="宋体"/>
      <w:kern w:val="2"/>
      <w:sz w:val="24"/>
      <w:lang w:val="en-US" w:eastAsia="zh-CN" w:bidi="ar-SA"/>
    </w:rPr>
  </w:style>
  <w:style w:type="character" w:customStyle="1" w:styleId="1101">
    <w:name w:val="font112"/>
    <w:uiPriority w:val="0"/>
    <w:rPr>
      <w:rFonts w:hint="default" w:ascii="Times New Roman" w:hAnsi="Times New Roman" w:cs="Times New Roman"/>
      <w:color w:val="000000"/>
      <w:sz w:val="20"/>
      <w:szCs w:val="20"/>
      <w:u w:val="none"/>
    </w:rPr>
  </w:style>
  <w:style w:type="character" w:customStyle="1" w:styleId="1102">
    <w:name w:val="font491"/>
    <w:uiPriority w:val="0"/>
    <w:rPr>
      <w:rFonts w:hint="eastAsia" w:ascii="等线" w:hAnsi="等线" w:eastAsia="等线"/>
      <w:color w:val="000000"/>
      <w:sz w:val="16"/>
      <w:szCs w:val="16"/>
      <w:u w:val="none"/>
    </w:rPr>
  </w:style>
  <w:style w:type="character" w:customStyle="1" w:styleId="1103">
    <w:name w:val="Heading 8 Char"/>
    <w:uiPriority w:val="0"/>
    <w:rPr>
      <w:rFonts w:ascii="Cambria" w:hAnsi="Cambria" w:eastAsia="等线"/>
      <w:szCs w:val="24"/>
      <w:lang w:val="en-US" w:eastAsia="zh-CN" w:bidi="ar-SA"/>
    </w:rPr>
  </w:style>
  <w:style w:type="character" w:customStyle="1" w:styleId="1104">
    <w:name w:val="小点说明 Char Char"/>
    <w:link w:val="1105"/>
    <w:uiPriority w:val="0"/>
    <w:rPr>
      <w:kern w:val="2"/>
      <w:sz w:val="21"/>
      <w:szCs w:val="24"/>
    </w:rPr>
  </w:style>
  <w:style w:type="paragraph" w:customStyle="1" w:styleId="1105">
    <w:name w:val="小点说明"/>
    <w:basedOn w:val="1"/>
    <w:link w:val="1104"/>
    <w:uiPriority w:val="0"/>
    <w:pPr>
      <w:snapToGrid w:val="0"/>
      <w:spacing w:line="360" w:lineRule="auto"/>
    </w:pPr>
  </w:style>
  <w:style w:type="character" w:customStyle="1" w:styleId="1106">
    <w:name w:val="Heading 6 Char"/>
    <w:uiPriority w:val="0"/>
    <w:rPr>
      <w:rFonts w:ascii="Calibri Light" w:hAnsi="Calibri Light" w:eastAsia="宋体"/>
      <w:b/>
      <w:bCs/>
      <w:kern w:val="2"/>
      <w:sz w:val="24"/>
      <w:szCs w:val="24"/>
      <w:lang w:val="en-US" w:eastAsia="zh-CN" w:bidi="ar-SA"/>
    </w:rPr>
  </w:style>
  <w:style w:type="character" w:customStyle="1" w:styleId="1107">
    <w:name w:val="小标题 Char Char"/>
    <w:link w:val="730"/>
    <w:uiPriority w:val="0"/>
    <w:rPr>
      <w:rFonts w:eastAsia="黑体"/>
      <w:sz w:val="21"/>
    </w:rPr>
  </w:style>
  <w:style w:type="character" w:customStyle="1" w:styleId="1108">
    <w:name w:val="Heading 5 Char"/>
    <w:uiPriority w:val="0"/>
    <w:rPr>
      <w:rFonts w:ascii="Arial" w:hAnsi="Arial" w:eastAsia="宋体"/>
      <w:b/>
      <w:bCs/>
      <w:kern w:val="2"/>
      <w:sz w:val="28"/>
      <w:szCs w:val="28"/>
      <w:lang w:val="en-US" w:eastAsia="zh-CN" w:bidi="ar-SA"/>
    </w:rPr>
  </w:style>
  <w:style w:type="character" w:customStyle="1" w:styleId="1109">
    <w:name w:val="标题 2 Char1"/>
    <w:link w:val="2"/>
    <w:uiPriority w:val="0"/>
    <w:rPr>
      <w:rFonts w:ascii="仿宋_GB2312" w:hAnsi="仿宋" w:eastAsia="仿宋_GB2312"/>
      <w:b/>
      <w:bCs/>
      <w:kern w:val="2"/>
      <w:sz w:val="32"/>
      <w:szCs w:val="32"/>
      <w:lang w:val="zh-CN"/>
    </w:rPr>
  </w:style>
  <w:style w:type="character" w:customStyle="1" w:styleId="1110">
    <w:name w:val="Heading 2 Char1"/>
    <w:uiPriority w:val="0"/>
    <w:rPr>
      <w:rFonts w:ascii="Arial" w:hAnsi="Arial" w:eastAsia="黑体"/>
      <w:b/>
      <w:kern w:val="2"/>
      <w:sz w:val="32"/>
      <w:lang w:val="en-US" w:eastAsia="zh-CN"/>
    </w:rPr>
  </w:style>
  <w:style w:type="character" w:customStyle="1" w:styleId="1111">
    <w:name w:val="jtz2 Char2"/>
    <w:uiPriority w:val="0"/>
    <w:rPr>
      <w:rFonts w:ascii="Arial" w:hAnsi="Arial" w:eastAsia="黑体"/>
      <w:b/>
      <w:bCs/>
      <w:kern w:val="2"/>
      <w:sz w:val="32"/>
      <w:szCs w:val="32"/>
      <w:lang w:val="en-US" w:eastAsia="zh-CN" w:bidi="ar-SA"/>
    </w:rPr>
  </w:style>
  <w:style w:type="character" w:customStyle="1" w:styleId="1112">
    <w:name w:val="1正文 Char"/>
    <w:link w:val="530"/>
    <w:uiPriority w:val="0"/>
    <w:rPr>
      <w:rFonts w:ascii="仿宋_GB2312" w:hAnsi="Arial" w:eastAsia="仿宋"/>
      <w:kern w:val="2"/>
      <w:sz w:val="28"/>
      <w:szCs w:val="28"/>
    </w:rPr>
  </w:style>
  <w:style w:type="character" w:customStyle="1" w:styleId="1113">
    <w:name w:val="Heading 3 Char"/>
    <w:uiPriority w:val="0"/>
    <w:rPr>
      <w:rFonts w:ascii="Arial" w:hAnsi="Arial" w:eastAsia="宋体"/>
      <w:b/>
      <w:bCs/>
      <w:kern w:val="2"/>
      <w:sz w:val="30"/>
      <w:szCs w:val="32"/>
      <w:lang w:val="en-US" w:eastAsia="zh-CN" w:bidi="ar-SA"/>
    </w:rPr>
  </w:style>
  <w:style w:type="character" w:customStyle="1" w:styleId="1114">
    <w:name w:val="font131"/>
    <w:uiPriority w:val="0"/>
    <w:rPr>
      <w:rFonts w:hint="default" w:ascii="Times New Roman" w:hAnsi="Times New Roman" w:cs="Times New Roman"/>
      <w:b/>
      <w:color w:val="000000"/>
      <w:sz w:val="20"/>
      <w:szCs w:val="20"/>
      <w:u w:val="none"/>
    </w:rPr>
  </w:style>
  <w:style w:type="character" w:customStyle="1" w:styleId="1115">
    <w:name w:val="Char Char162"/>
    <w:uiPriority w:val="0"/>
    <w:rPr>
      <w:rFonts w:eastAsia="宋体"/>
      <w:lang w:val="en-US" w:eastAsia="zh-CN" w:bidi="ar-SA"/>
    </w:rPr>
  </w:style>
  <w:style w:type="character" w:customStyle="1" w:styleId="1116">
    <w:name w:val="List Paragraph Char"/>
    <w:uiPriority w:val="0"/>
    <w:rPr>
      <w:rFonts w:ascii="Calibri" w:hAnsi="Calibri" w:eastAsia="宋体"/>
      <w:kern w:val="2"/>
      <w:sz w:val="22"/>
      <w:lang w:val="en-US" w:eastAsia="zh-CN"/>
    </w:rPr>
  </w:style>
  <w:style w:type="character" w:customStyle="1" w:styleId="1117">
    <w:name w:val="Font Style17"/>
    <w:uiPriority w:val="0"/>
    <w:rPr>
      <w:rFonts w:ascii="黑体" w:eastAsia="黑体" w:cs="黑体"/>
      <w:sz w:val="28"/>
      <w:szCs w:val="28"/>
    </w:rPr>
  </w:style>
  <w:style w:type="character" w:customStyle="1" w:styleId="1118">
    <w:name w:val="Char Char231"/>
    <w:uiPriority w:val="0"/>
    <w:rPr>
      <w:rFonts w:eastAsia="仿宋"/>
      <w:b/>
      <w:kern w:val="2"/>
      <w:sz w:val="28"/>
      <w:szCs w:val="24"/>
    </w:rPr>
  </w:style>
  <w:style w:type="character" w:customStyle="1" w:styleId="1119">
    <w:name w:val="政务 2 字符"/>
    <w:link w:val="1120"/>
    <w:uiPriority w:val="0"/>
    <w:rPr>
      <w:rFonts w:eastAsia="仿宋"/>
      <w:b/>
      <w:kern w:val="2"/>
      <w:sz w:val="32"/>
      <w:szCs w:val="22"/>
    </w:rPr>
  </w:style>
  <w:style w:type="paragraph" w:customStyle="1" w:styleId="1120">
    <w:name w:val="政务 2"/>
    <w:basedOn w:val="1121"/>
    <w:link w:val="1119"/>
    <w:uiPriority w:val="0"/>
    <w:pPr>
      <w:jc w:val="left"/>
      <w:outlineLvl w:val="1"/>
    </w:pPr>
    <w:rPr>
      <w:sz w:val="32"/>
    </w:rPr>
  </w:style>
  <w:style w:type="paragraph" w:customStyle="1" w:styleId="1121">
    <w:name w:val="政务 1"/>
    <w:basedOn w:val="1122"/>
    <w:uiPriority w:val="0"/>
    <w:pPr>
      <w:jc w:val="center"/>
      <w:outlineLvl w:val="0"/>
    </w:pPr>
    <w:rPr>
      <w:sz w:val="36"/>
    </w:rPr>
  </w:style>
  <w:style w:type="paragraph" w:customStyle="1" w:styleId="1122">
    <w:name w:val="政务 4"/>
    <w:basedOn w:val="1096"/>
    <w:uiPriority w:val="0"/>
    <w:pPr>
      <w:outlineLvl w:val="3"/>
    </w:pPr>
    <w:rPr>
      <w:sz w:val="28"/>
    </w:rPr>
  </w:style>
  <w:style w:type="character" w:customStyle="1" w:styleId="1123">
    <w:name w:val="Syl-10正文 Char"/>
    <w:link w:val="1124"/>
    <w:uiPriority w:val="0"/>
    <w:rPr>
      <w:rFonts w:eastAsia="仿宋_GB2312"/>
      <w:kern w:val="2"/>
      <w:sz w:val="28"/>
      <w:szCs w:val="24"/>
    </w:rPr>
  </w:style>
  <w:style w:type="paragraph" w:customStyle="1" w:styleId="1124">
    <w:name w:val="Syl-10正文"/>
    <w:basedOn w:val="1"/>
    <w:link w:val="1123"/>
    <w:uiPriority w:val="0"/>
    <w:pPr>
      <w:widowControl/>
      <w:adjustRightInd/>
      <w:spacing w:line="560" w:lineRule="exact"/>
      <w:ind w:firstLine="200" w:firstLineChars="200"/>
      <w:jc w:val="left"/>
    </w:pPr>
    <w:rPr>
      <w:rFonts w:eastAsia="仿宋_GB2312"/>
      <w:sz w:val="28"/>
    </w:rPr>
  </w:style>
  <w:style w:type="character" w:customStyle="1" w:styleId="1125">
    <w:name w:val="Char Char221"/>
    <w:uiPriority w:val="0"/>
    <w:rPr>
      <w:rFonts w:eastAsia="仿宋"/>
      <w:b/>
      <w:kern w:val="2"/>
      <w:sz w:val="28"/>
      <w:szCs w:val="24"/>
    </w:rPr>
  </w:style>
  <w:style w:type="character" w:customStyle="1" w:styleId="1126">
    <w:name w:val="Char Char171"/>
    <w:uiPriority w:val="0"/>
    <w:rPr>
      <w:rFonts w:ascii="Calibri" w:hAnsi="Calibri" w:eastAsia="宋体" w:cs="Times New Roman"/>
    </w:rPr>
  </w:style>
  <w:style w:type="character" w:customStyle="1" w:styleId="1127">
    <w:name w:val="value"/>
    <w:uiPriority w:val="0"/>
  </w:style>
  <w:style w:type="character" w:customStyle="1" w:styleId="1128">
    <w:name w:val="强调1"/>
    <w:uiPriority w:val="0"/>
    <w:rPr>
      <w:rFonts w:ascii="Arial Black" w:hAnsi="Arial Black" w:eastAsia="黑体"/>
      <w:b/>
      <w:spacing w:val="0"/>
      <w:sz w:val="21"/>
    </w:rPr>
  </w:style>
  <w:style w:type="character" w:customStyle="1" w:styleId="1129">
    <w:name w:val="Body Text Indent 3 Char"/>
    <w:uiPriority w:val="0"/>
    <w:rPr>
      <w:rFonts w:eastAsia="宋体"/>
      <w:kern w:val="2"/>
      <w:sz w:val="24"/>
      <w:lang w:val="en-US" w:eastAsia="zh-CN"/>
    </w:rPr>
  </w:style>
  <w:style w:type="character" w:customStyle="1" w:styleId="1130">
    <w:name w:val="font161"/>
    <w:uiPriority w:val="0"/>
    <w:rPr>
      <w:rFonts w:hint="eastAsia" w:ascii="宋体" w:hAnsi="宋体" w:eastAsia="宋体" w:cs="宋体"/>
      <w:b/>
      <w:color w:val="000000"/>
      <w:sz w:val="18"/>
      <w:szCs w:val="18"/>
      <w:u w:val="none"/>
    </w:rPr>
  </w:style>
  <w:style w:type="character" w:customStyle="1" w:styleId="1131">
    <w:name w:val="批注引用1"/>
    <w:uiPriority w:val="0"/>
    <w:rPr>
      <w:sz w:val="21"/>
      <w:szCs w:val="21"/>
    </w:rPr>
  </w:style>
  <w:style w:type="character" w:customStyle="1" w:styleId="1132">
    <w:name w:val="Char Char83"/>
    <w:uiPriority w:val="0"/>
    <w:rPr>
      <w:rFonts w:eastAsia="宋体"/>
      <w:color w:val="000000"/>
      <w:sz w:val="18"/>
      <w:szCs w:val="18"/>
      <w:lang w:val="en-US" w:eastAsia="zh-CN" w:bidi="ar-SA"/>
    </w:rPr>
  </w:style>
  <w:style w:type="character" w:customStyle="1" w:styleId="1133">
    <w:name w:val="￥正文 Char"/>
    <w:link w:val="1134"/>
    <w:uiPriority w:val="0"/>
    <w:rPr>
      <w:rFonts w:ascii="Calibri" w:hAnsi="Calibri"/>
    </w:rPr>
  </w:style>
  <w:style w:type="paragraph" w:customStyle="1" w:styleId="1134">
    <w:name w:val="￥正文"/>
    <w:basedOn w:val="1"/>
    <w:link w:val="1133"/>
    <w:uiPriority w:val="0"/>
    <w:pPr>
      <w:adjustRightInd/>
      <w:spacing w:line="360" w:lineRule="auto"/>
      <w:ind w:firstLine="200" w:firstLineChars="200"/>
      <w:jc w:val="left"/>
    </w:pPr>
    <w:rPr>
      <w:rFonts w:ascii="Calibri" w:hAnsi="Calibri"/>
      <w:kern w:val="0"/>
      <w:sz w:val="20"/>
      <w:szCs w:val="20"/>
    </w:rPr>
  </w:style>
  <w:style w:type="character" w:customStyle="1" w:styleId="1135">
    <w:name w:val="日期 Char2"/>
    <w:uiPriority w:val="0"/>
    <w:rPr>
      <w:rFonts w:eastAsia="宋体"/>
      <w:color w:val="000000"/>
      <w:sz w:val="21"/>
      <w:szCs w:val="21"/>
      <w:lang w:val="en-US" w:eastAsia="zh-CN" w:bidi="ar-SA"/>
    </w:rPr>
  </w:style>
  <w:style w:type="character" w:customStyle="1" w:styleId="1136">
    <w:name w:val="font121"/>
    <w:uiPriority w:val="0"/>
    <w:rPr>
      <w:rFonts w:hint="default" w:ascii="Arial" w:hAnsi="Arial" w:cs="Arial"/>
      <w:color w:val="000000"/>
      <w:sz w:val="20"/>
      <w:szCs w:val="20"/>
      <w:u w:val="none"/>
    </w:rPr>
  </w:style>
  <w:style w:type="character" w:customStyle="1" w:styleId="1137">
    <w:name w:val="正文 1.5 倍行距 Char"/>
    <w:link w:val="1138"/>
    <w:uiPriority w:val="0"/>
    <w:rPr>
      <w:sz w:val="24"/>
    </w:rPr>
  </w:style>
  <w:style w:type="paragraph" w:customStyle="1" w:styleId="1138">
    <w:name w:val="正文 1.5 倍行距"/>
    <w:basedOn w:val="1"/>
    <w:link w:val="1137"/>
    <w:uiPriority w:val="0"/>
    <w:pPr>
      <w:autoSpaceDE w:val="0"/>
      <w:autoSpaceDN w:val="0"/>
      <w:spacing w:line="360" w:lineRule="auto"/>
      <w:ind w:firstLine="480" w:firstLineChars="200"/>
      <w:textAlignment w:val="baseline"/>
    </w:pPr>
    <w:rPr>
      <w:kern w:val="0"/>
      <w:sz w:val="24"/>
      <w:szCs w:val="20"/>
    </w:rPr>
  </w:style>
  <w:style w:type="character" w:customStyle="1" w:styleId="1139">
    <w:name w:val="正文文字2 Char"/>
    <w:link w:val="1140"/>
    <w:uiPriority w:val="0"/>
    <w:rPr>
      <w:rFonts w:ascii="Arial" w:eastAsia="黑体"/>
      <w:sz w:val="21"/>
    </w:rPr>
  </w:style>
  <w:style w:type="paragraph" w:customStyle="1" w:styleId="1140">
    <w:name w:val="正文文字2"/>
    <w:basedOn w:val="24"/>
    <w:link w:val="1139"/>
    <w:uiPriority w:val="0"/>
    <w:pPr>
      <w:autoSpaceDE/>
      <w:autoSpaceDN/>
      <w:spacing w:after="60" w:line="360" w:lineRule="atLeast"/>
      <w:ind w:left="72" w:right="72"/>
      <w:jc w:val="center"/>
      <w:textAlignment w:val="baseline"/>
    </w:pPr>
    <w:rPr>
      <w:rFonts w:ascii="Arial" w:hAnsi="Times New Roman" w:eastAsia="黑体" w:cs="Times New Roman"/>
      <w:snapToGrid/>
      <w:kern w:val="0"/>
      <w:sz w:val="21"/>
      <w:szCs w:val="20"/>
      <w:lang w:val="en-US"/>
    </w:rPr>
  </w:style>
  <w:style w:type="character" w:customStyle="1" w:styleId="1141">
    <w:name w:val="Char Char301"/>
    <w:uiPriority w:val="0"/>
    <w:rPr>
      <w:rFonts w:ascii="Arial" w:hAnsi="Arial" w:eastAsia="黑体"/>
      <w:b/>
      <w:bCs/>
      <w:kern w:val="2"/>
      <w:sz w:val="32"/>
      <w:szCs w:val="32"/>
      <w:lang w:val="en-US" w:eastAsia="zh-CN" w:bidi="ar-SA"/>
    </w:rPr>
  </w:style>
  <w:style w:type="paragraph" w:customStyle="1" w:styleId="1142">
    <w:name w:val="et52"/>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43">
    <w:name w:val="标题 6（有编号）（绿盟科技）"/>
    <w:basedOn w:val="1"/>
    <w:next w:val="1"/>
    <w:uiPriority w:val="0"/>
    <w:pPr>
      <w:keepNext/>
      <w:keepLines/>
      <w:numPr>
        <w:ilvl w:val="0"/>
        <w:numId w:val="4"/>
      </w:numPr>
      <w:tabs>
        <w:tab w:val="left" w:pos="885"/>
      </w:tabs>
      <w:adjustRightInd/>
      <w:spacing w:before="240" w:after="64" w:line="317" w:lineRule="auto"/>
      <w:ind w:left="2098" w:hanging="1247"/>
      <w:jc w:val="left"/>
      <w:outlineLvl w:val="5"/>
    </w:pPr>
    <w:rPr>
      <w:rFonts w:ascii="Arial" w:hAnsi="Arial" w:eastAsia="黑体"/>
      <w:b/>
      <w:kern w:val="0"/>
    </w:rPr>
  </w:style>
  <w:style w:type="paragraph" w:customStyle="1" w:styleId="1144">
    <w:name w:val="p19"/>
    <w:basedOn w:val="1"/>
    <w:uiPriority w:val="0"/>
    <w:pPr>
      <w:widowControl/>
      <w:adjustRightInd/>
      <w:spacing w:before="156" w:after="156" w:line="360" w:lineRule="auto"/>
      <w:ind w:firstLine="420"/>
    </w:pPr>
    <w:rPr>
      <w:kern w:val="0"/>
      <w:sz w:val="24"/>
    </w:rPr>
  </w:style>
  <w:style w:type="paragraph" w:customStyle="1" w:styleId="1145">
    <w:name w:val="标题 2（绿盟科技）"/>
    <w:basedOn w:val="2"/>
    <w:next w:val="1"/>
    <w:uiPriority w:val="0"/>
    <w:pPr>
      <w:numPr>
        <w:ilvl w:val="1"/>
        <w:numId w:val="5"/>
      </w:numPr>
      <w:tabs>
        <w:tab w:val="left" w:pos="1320"/>
        <w:tab w:val="clear" w:pos="432"/>
      </w:tabs>
      <w:spacing w:before="260" w:after="260" w:line="413" w:lineRule="auto"/>
    </w:pPr>
    <w:rPr>
      <w:rFonts w:ascii="Arial" w:hAnsi="Arial" w:eastAsia="黑体"/>
      <w:bCs w:val="0"/>
      <w:color w:val="000000"/>
      <w:lang w:val="en-US"/>
    </w:rPr>
  </w:style>
  <w:style w:type="paragraph" w:customStyle="1" w:styleId="1146">
    <w:name w:val="xl103"/>
    <w:basedOn w:val="1"/>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147">
    <w:name w:val="et79"/>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48">
    <w:name w:val="正文首行缩进 21"/>
    <w:basedOn w:val="214"/>
    <w:uiPriority w:val="0"/>
    <w:pPr>
      <w:autoSpaceDE w:val="0"/>
      <w:autoSpaceDN w:val="0"/>
      <w:spacing w:line="360" w:lineRule="auto"/>
      <w:ind w:firstLine="420" w:firstLineChars="200"/>
    </w:pPr>
    <w:rPr>
      <w:rFonts w:ascii="Calibri" w:hAnsi="Calibri"/>
      <w:szCs w:val="22"/>
    </w:rPr>
  </w:style>
  <w:style w:type="paragraph" w:customStyle="1" w:styleId="1149">
    <w:name w:val="目录 61"/>
    <w:basedOn w:val="1"/>
    <w:next w:val="1"/>
    <w:uiPriority w:val="0"/>
    <w:pPr>
      <w:adjustRightInd/>
      <w:ind w:left="2100" w:leftChars="1000"/>
    </w:pPr>
    <w:rPr>
      <w:rFonts w:ascii="Calibri" w:hAnsi="Calibri"/>
      <w:szCs w:val="22"/>
    </w:rPr>
  </w:style>
  <w:style w:type="paragraph" w:customStyle="1" w:styleId="1150">
    <w:name w:val="段落正文 Char"/>
    <w:basedOn w:val="1"/>
    <w:uiPriority w:val="0"/>
    <w:pPr>
      <w:adjustRightInd/>
      <w:spacing w:line="360" w:lineRule="auto"/>
      <w:ind w:firstLine="461" w:firstLineChars="192"/>
    </w:pPr>
    <w:rPr>
      <w:rFonts w:ascii="宋体" w:hAnsi="宋体"/>
      <w:sz w:val="24"/>
    </w:rPr>
  </w:style>
  <w:style w:type="paragraph" w:customStyle="1" w:styleId="1151">
    <w:name w:val="Char Char Char Char Char Char Char Char Char Char Char Char Char Char Char Char Char Char Char Char Char Char Char Char Char Char Char Char"/>
    <w:basedOn w:val="1"/>
    <w:uiPriority w:val="0"/>
    <w:pPr>
      <w:tabs>
        <w:tab w:val="left" w:pos="360"/>
      </w:tabs>
      <w:adjustRightInd/>
    </w:pPr>
    <w:rPr>
      <w:sz w:val="24"/>
    </w:rPr>
  </w:style>
  <w:style w:type="paragraph" w:customStyle="1" w:styleId="1152">
    <w:name w:val="表格标题"/>
    <w:basedOn w:val="1"/>
    <w:uiPriority w:val="0"/>
    <w:pPr>
      <w:tabs>
        <w:tab w:val="left" w:pos="454"/>
      </w:tabs>
      <w:snapToGrid w:val="0"/>
      <w:ind w:left="980" w:hanging="420"/>
      <w:jc w:val="center"/>
    </w:pPr>
    <w:rPr>
      <w:rFonts w:ascii="宋体" w:hAnsi="宋体" w:cs="宋体"/>
      <w:szCs w:val="21"/>
    </w:rPr>
  </w:style>
  <w:style w:type="paragraph" w:customStyle="1" w:styleId="1153">
    <w:name w:val="xl96"/>
    <w:basedOn w:val="1"/>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rFonts w:ascii="微软雅黑" w:hAnsi="微软雅黑" w:eastAsia="微软雅黑" w:cs="宋体"/>
      <w:b/>
      <w:bCs/>
      <w:kern w:val="0"/>
      <w:sz w:val="20"/>
      <w:szCs w:val="20"/>
    </w:rPr>
  </w:style>
  <w:style w:type="paragraph" w:customStyle="1" w:styleId="1154">
    <w:name w:val="回信地址"/>
    <w:basedOn w:val="1"/>
    <w:uiPriority w:val="0"/>
    <w:pPr>
      <w:keepLines/>
      <w:widowControl/>
      <w:tabs>
        <w:tab w:val="left" w:pos="-18551"/>
      </w:tabs>
      <w:spacing w:line="160" w:lineRule="atLeast"/>
      <w:jc w:val="left"/>
      <w:textAlignment w:val="baseline"/>
    </w:pPr>
    <w:rPr>
      <w:rFonts w:ascii="Arial" w:hAnsi="Arial"/>
      <w:kern w:val="0"/>
      <w:sz w:val="18"/>
      <w:szCs w:val="20"/>
    </w:rPr>
  </w:style>
  <w:style w:type="paragraph" w:customStyle="1" w:styleId="1155">
    <w:name w:val="et9"/>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56">
    <w:name w:val="et28"/>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57">
    <w:name w:val="et81"/>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58">
    <w:name w:val="et51"/>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59">
    <w:name w:val="Body Text(ch)"/>
    <w:basedOn w:val="1"/>
    <w:next w:val="24"/>
    <w:uiPriority w:val="0"/>
    <w:pPr>
      <w:adjustRightInd/>
      <w:spacing w:line="360" w:lineRule="auto"/>
    </w:pPr>
    <w:rPr>
      <w:rFonts w:ascii="宋体" w:hAnsi="宋体"/>
      <w:sz w:val="24"/>
    </w:rPr>
  </w:style>
  <w:style w:type="paragraph" w:customStyle="1" w:styleId="1160">
    <w:name w:val="et25"/>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61">
    <w:name w:val="et39"/>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62">
    <w:name w:val="四号正文"/>
    <w:basedOn w:val="1"/>
    <w:uiPriority w:val="0"/>
    <w:pPr>
      <w:spacing w:line="360" w:lineRule="auto"/>
      <w:ind w:firstLine="560" w:firstLineChars="200"/>
      <w:textAlignment w:val="baseline"/>
    </w:pPr>
    <w:rPr>
      <w:rFonts w:eastAsia="Times New Roman"/>
      <w:sz w:val="28"/>
      <w:szCs w:val="28"/>
    </w:rPr>
  </w:style>
  <w:style w:type="paragraph" w:customStyle="1" w:styleId="1163">
    <w:name w:val="et74"/>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64">
    <w:name w:val="文档结构图1"/>
    <w:basedOn w:val="1"/>
    <w:uiPriority w:val="0"/>
    <w:pPr>
      <w:shd w:val="clear" w:color="auto" w:fill="000080"/>
      <w:autoSpaceDE w:val="0"/>
      <w:autoSpaceDN w:val="0"/>
      <w:adjustRightInd/>
    </w:pPr>
  </w:style>
  <w:style w:type="paragraph" w:customStyle="1" w:styleId="1165">
    <w:name w:val="±"/>
    <w:uiPriority w:val="0"/>
    <w:pPr>
      <w:widowControl w:val="0"/>
      <w:jc w:val="both"/>
    </w:pPr>
    <w:rPr>
      <w:rFonts w:ascii="Times New Roman" w:hAnsi="Times New Roman" w:eastAsia="宋体" w:cs="Times New Roman"/>
      <w:kern w:val="2"/>
      <w:sz w:val="21"/>
      <w:lang w:val="en-US" w:eastAsia="zh-CN" w:bidi="ar-SA"/>
    </w:rPr>
  </w:style>
  <w:style w:type="paragraph" w:customStyle="1" w:styleId="1166">
    <w:name w:val="et59"/>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67">
    <w:name w:val="et42"/>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68">
    <w:name w:val="目录 51"/>
    <w:basedOn w:val="1"/>
    <w:next w:val="1"/>
    <w:uiPriority w:val="0"/>
    <w:pPr>
      <w:adjustRightInd/>
      <w:ind w:left="1680" w:leftChars="800"/>
    </w:pPr>
    <w:rPr>
      <w:rFonts w:ascii="Calibri" w:hAnsi="Calibri"/>
      <w:szCs w:val="22"/>
    </w:rPr>
  </w:style>
  <w:style w:type="paragraph" w:customStyle="1" w:styleId="1169">
    <w:name w:val="批注主题1"/>
    <w:basedOn w:val="20"/>
    <w:next w:val="20"/>
    <w:uiPriority w:val="0"/>
    <w:pPr>
      <w:autoSpaceDE w:val="0"/>
      <w:autoSpaceDN w:val="0"/>
      <w:adjustRightInd/>
    </w:pPr>
    <w:rPr>
      <w:b/>
      <w:bCs/>
      <w:color w:val="000000"/>
    </w:rPr>
  </w:style>
  <w:style w:type="paragraph" w:customStyle="1" w:styleId="1170">
    <w:name w:val="et20"/>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71">
    <w:name w:val="p21"/>
    <w:basedOn w:val="1"/>
    <w:uiPriority w:val="0"/>
    <w:pPr>
      <w:widowControl/>
      <w:adjustRightInd/>
      <w:jc w:val="left"/>
    </w:pPr>
    <w:rPr>
      <w:kern w:val="0"/>
      <w:szCs w:val="21"/>
    </w:rPr>
  </w:style>
  <w:style w:type="paragraph" w:customStyle="1" w:styleId="1172">
    <w:name w:val="et80"/>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73">
    <w:name w:val="et73"/>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74">
    <w:name w:val="表格正文-标题"/>
    <w:next w:val="1074"/>
    <w:uiPriority w:val="0"/>
    <w:pPr>
      <w:spacing w:line="360" w:lineRule="auto"/>
      <w:jc w:val="center"/>
    </w:pPr>
    <w:rPr>
      <w:rFonts w:ascii="Calibri" w:hAnsi="Calibri" w:eastAsia="宋体" w:cs="Times New Roman"/>
      <w:b/>
      <w:kern w:val="2"/>
      <w:sz w:val="21"/>
      <w:szCs w:val="22"/>
      <w:lang w:val="en-US" w:eastAsia="zh-CN" w:bidi="ar-SA"/>
    </w:rPr>
  </w:style>
  <w:style w:type="paragraph" w:customStyle="1" w:styleId="1175">
    <w:name w:val="level-1"/>
    <w:basedOn w:val="1"/>
    <w:next w:val="1"/>
    <w:uiPriority w:val="0"/>
    <w:pPr>
      <w:adjustRightInd/>
      <w:spacing w:after="100" w:afterAutospacing="1"/>
      <w:ind w:hanging="177" w:hangingChars="177"/>
      <w:outlineLvl w:val="0"/>
    </w:pPr>
    <w:rPr>
      <w:rFonts w:eastAsia="等线"/>
      <w:b/>
      <w:sz w:val="32"/>
      <w:szCs w:val="32"/>
    </w:rPr>
  </w:style>
  <w:style w:type="paragraph" w:customStyle="1" w:styleId="1176">
    <w:name w:val="xl6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177">
    <w:name w:val="列表格式"/>
    <w:basedOn w:val="13"/>
    <w:uiPriority w:val="0"/>
    <w:pPr>
      <w:widowControl w:val="0"/>
      <w:tabs>
        <w:tab w:val="clear" w:pos="1697"/>
      </w:tabs>
      <w:spacing w:after="156" w:line="360" w:lineRule="auto"/>
      <w:ind w:left="0" w:firstLine="0"/>
    </w:pPr>
    <w:rPr>
      <w:kern w:val="2"/>
      <w:szCs w:val="24"/>
    </w:rPr>
  </w:style>
  <w:style w:type="paragraph" w:customStyle="1" w:styleId="1178">
    <w:name w:val="et29"/>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79">
    <w:name w:val="Char Char Char Char Char Char Char Char Char Char Char Char Char Char Char Char Char Char Char"/>
    <w:basedOn w:val="1"/>
    <w:uiPriority w:val="0"/>
    <w:pPr>
      <w:adjustRightInd/>
    </w:pPr>
  </w:style>
  <w:style w:type="paragraph" w:customStyle="1" w:styleId="1180">
    <w:name w:val="题注5"/>
    <w:basedOn w:val="1"/>
    <w:next w:val="16"/>
    <w:uiPriority w:val="0"/>
    <w:pPr>
      <w:adjustRightInd/>
      <w:jc w:val="center"/>
    </w:pPr>
    <w:rPr>
      <w:b/>
      <w:color w:val="000000"/>
      <w:sz w:val="24"/>
      <w:szCs w:val="21"/>
    </w:rPr>
  </w:style>
  <w:style w:type="paragraph" w:customStyle="1" w:styleId="1181">
    <w:name w:val="p20"/>
    <w:basedOn w:val="1"/>
    <w:uiPriority w:val="0"/>
    <w:pPr>
      <w:widowControl/>
      <w:adjustRightInd/>
      <w:ind w:left="425" w:firstLine="420"/>
    </w:pPr>
    <w:rPr>
      <w:rFonts w:ascii="Calibri" w:hAnsi="Calibri" w:cs="宋体"/>
      <w:kern w:val="0"/>
      <w:szCs w:val="21"/>
    </w:rPr>
  </w:style>
  <w:style w:type="paragraph" w:customStyle="1" w:styleId="1182">
    <w:name w:val="标题1"/>
    <w:basedOn w:val="1"/>
    <w:uiPriority w:val="0"/>
    <w:pPr>
      <w:tabs>
        <w:tab w:val="left" w:pos="1442"/>
      </w:tabs>
      <w:adjustRightInd/>
      <w:spacing w:line="360" w:lineRule="auto"/>
      <w:jc w:val="center"/>
    </w:pPr>
    <w:rPr>
      <w:rFonts w:ascii="黑体" w:hAnsi="宋体" w:eastAsia="黑体"/>
      <w:b/>
      <w:sz w:val="32"/>
    </w:rPr>
  </w:style>
  <w:style w:type="paragraph" w:customStyle="1" w:styleId="1183">
    <w:name w:val="et18"/>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84">
    <w:name w:val="正文首行缩进2字符"/>
    <w:basedOn w:val="1"/>
    <w:uiPriority w:val="0"/>
    <w:pPr>
      <w:adjustRightInd/>
      <w:spacing w:line="360" w:lineRule="auto"/>
      <w:ind w:firstLine="482"/>
    </w:pPr>
    <w:rPr>
      <w:sz w:val="24"/>
      <w:szCs w:val="21"/>
    </w:rPr>
  </w:style>
  <w:style w:type="paragraph" w:customStyle="1" w:styleId="1185">
    <w:name w:val="正文缩进2格"/>
    <w:basedOn w:val="1"/>
    <w:uiPriority w:val="0"/>
    <w:pPr>
      <w:autoSpaceDE w:val="0"/>
      <w:autoSpaceDN w:val="0"/>
      <w:spacing w:line="600" w:lineRule="exact"/>
      <w:ind w:firstLine="639" w:firstLineChars="206"/>
    </w:pPr>
    <w:rPr>
      <w:rFonts w:ascii="仿宋_GB2312" w:hAnsi="宋体" w:eastAsia="仿宋_GB2312"/>
      <w:color w:val="000000"/>
      <w:sz w:val="31"/>
      <w:szCs w:val="28"/>
    </w:rPr>
  </w:style>
  <w:style w:type="paragraph" w:customStyle="1" w:styleId="1186">
    <w:name w:val="et69"/>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87">
    <w:name w:val="et41"/>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88">
    <w:name w:val="插图标注（绿盟科技）"/>
    <w:next w:val="1"/>
    <w:uiPriority w:val="0"/>
    <w:pPr>
      <w:numPr>
        <w:ilvl w:val="6"/>
        <w:numId w:val="5"/>
      </w:numPr>
      <w:tabs>
        <w:tab w:val="left" w:pos="3420"/>
      </w:tabs>
      <w:spacing w:after="156"/>
      <w:ind w:left="0"/>
      <w:jc w:val="center"/>
    </w:pPr>
    <w:rPr>
      <w:rFonts w:ascii="Arial" w:hAnsi="Arial" w:eastAsia="宋体" w:cs="Arial"/>
      <w:sz w:val="21"/>
      <w:szCs w:val="21"/>
      <w:lang w:val="en-US" w:eastAsia="zh-CN" w:bidi="ar-SA"/>
    </w:rPr>
  </w:style>
  <w:style w:type="paragraph" w:customStyle="1" w:styleId="1189">
    <w:name w:val="et45"/>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90">
    <w:name w:val="p22"/>
    <w:basedOn w:val="1"/>
    <w:uiPriority w:val="0"/>
    <w:pPr>
      <w:widowControl/>
      <w:adjustRightInd/>
      <w:jc w:val="left"/>
    </w:pPr>
    <w:rPr>
      <w:kern w:val="0"/>
      <w:sz w:val="18"/>
      <w:szCs w:val="18"/>
    </w:rPr>
  </w:style>
  <w:style w:type="paragraph" w:customStyle="1" w:styleId="1191">
    <w:name w:val="样式 正文缩进首行缩进两字 + 小四 首行缩进:  2 字符"/>
    <w:basedOn w:val="5"/>
    <w:uiPriority w:val="0"/>
    <w:pPr>
      <w:widowControl w:val="0"/>
      <w:adjustRightInd/>
      <w:snapToGrid/>
      <w:spacing w:line="360" w:lineRule="auto"/>
      <w:ind w:firstLine="200" w:firstLineChars="200"/>
    </w:pPr>
    <w:rPr>
      <w:rFonts w:ascii="Times New Roman" w:cs="宋体"/>
      <w:snapToGrid/>
      <w:kern w:val="2"/>
      <w:sz w:val="24"/>
      <w:szCs w:val="21"/>
    </w:rPr>
  </w:style>
  <w:style w:type="paragraph" w:customStyle="1" w:styleId="1192">
    <w:name w:val="et27"/>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93">
    <w:name w:val="我的正文"/>
    <w:basedOn w:val="1"/>
    <w:uiPriority w:val="0"/>
    <w:pPr>
      <w:adjustRightInd/>
      <w:spacing w:line="360" w:lineRule="auto"/>
      <w:ind w:firstLine="454"/>
    </w:pPr>
    <w:rPr>
      <w:sz w:val="24"/>
      <w:szCs w:val="20"/>
    </w:rPr>
  </w:style>
  <w:style w:type="paragraph" w:customStyle="1" w:styleId="1194">
    <w:name w:val="et22"/>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195">
    <w:name w:val="题注居中"/>
    <w:basedOn w:val="16"/>
    <w:next w:val="1"/>
    <w:uiPriority w:val="0"/>
    <w:pPr>
      <w:adjustRightInd/>
      <w:spacing w:after="120" w:line="240" w:lineRule="exact"/>
      <w:jc w:val="center"/>
    </w:pPr>
    <w:rPr>
      <w:rFonts w:ascii="宋体" w:hAnsi="宋体" w:cs="宋体"/>
      <w:sz w:val="21"/>
    </w:rPr>
  </w:style>
  <w:style w:type="paragraph" w:customStyle="1" w:styleId="1196">
    <w:name w:val="标题8"/>
    <w:basedOn w:val="1197"/>
    <w:next w:val="1"/>
    <w:uiPriority w:val="0"/>
    <w:pPr>
      <w:outlineLvl w:val="4"/>
    </w:pPr>
    <w:rPr>
      <w:sz w:val="28"/>
    </w:rPr>
  </w:style>
  <w:style w:type="paragraph" w:customStyle="1" w:styleId="1197">
    <w:name w:val="标题7"/>
    <w:basedOn w:val="1198"/>
    <w:uiPriority w:val="0"/>
    <w:pPr>
      <w:outlineLvl w:val="3"/>
    </w:pPr>
    <w:rPr>
      <w:sz w:val="30"/>
    </w:rPr>
  </w:style>
  <w:style w:type="paragraph" w:customStyle="1" w:styleId="1198">
    <w:name w:val="标题6"/>
    <w:basedOn w:val="1199"/>
    <w:next w:val="1"/>
    <w:uiPriority w:val="0"/>
    <w:pPr>
      <w:outlineLvl w:val="2"/>
    </w:pPr>
    <w:rPr>
      <w:sz w:val="32"/>
    </w:rPr>
  </w:style>
  <w:style w:type="paragraph" w:customStyle="1" w:styleId="1199">
    <w:name w:val="标题5"/>
    <w:basedOn w:val="5"/>
    <w:next w:val="1"/>
    <w:uiPriority w:val="0"/>
    <w:pPr>
      <w:widowControl w:val="0"/>
      <w:adjustRightInd/>
      <w:snapToGrid/>
      <w:spacing w:beforeLines="50" w:afterLines="50" w:line="360" w:lineRule="auto"/>
      <w:ind w:firstLine="0"/>
      <w:outlineLvl w:val="1"/>
    </w:pPr>
    <w:rPr>
      <w:rFonts w:ascii="Arial Narrow" w:hAnsi="Arial Narrow" w:eastAsia="微软雅黑"/>
      <w:b/>
      <w:snapToGrid/>
      <w:kern w:val="2"/>
      <w:sz w:val="36"/>
      <w:szCs w:val="22"/>
    </w:rPr>
  </w:style>
  <w:style w:type="paragraph" w:customStyle="1" w:styleId="1200">
    <w:name w:val="目录 41"/>
    <w:basedOn w:val="1"/>
    <w:next w:val="1"/>
    <w:uiPriority w:val="0"/>
    <w:pPr>
      <w:adjustRightInd/>
      <w:ind w:left="1260" w:leftChars="600"/>
    </w:pPr>
    <w:rPr>
      <w:rFonts w:ascii="Calibri" w:hAnsi="Calibri"/>
      <w:szCs w:val="22"/>
    </w:rPr>
  </w:style>
  <w:style w:type="paragraph" w:customStyle="1" w:styleId="1201">
    <w:name w:val="HTML 预设格式1"/>
    <w:basedOn w:val="1"/>
    <w:uiPriority w:val="0"/>
    <w:pPr>
      <w:autoSpaceDE w:val="0"/>
      <w:autoSpaceDN w:val="0"/>
      <w:adjustRightInd/>
    </w:pPr>
    <w:rPr>
      <w:rFonts w:ascii="Arial Unicode MS" w:hAnsi="Arial Unicode MS" w:eastAsia="Arial Unicode MS"/>
      <w:color w:val="000000"/>
      <w:kern w:val="0"/>
      <w:szCs w:val="21"/>
    </w:rPr>
  </w:style>
  <w:style w:type="paragraph" w:customStyle="1" w:styleId="1202">
    <w:name w:val="xl106"/>
    <w:basedOn w:val="1"/>
    <w:uiPriority w:val="0"/>
    <w:pPr>
      <w:widowControl/>
      <w:pBdr>
        <w:top w:val="single" w:color="auto" w:sz="4" w:space="0"/>
      </w:pBdr>
      <w:adjustRightInd/>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203">
    <w:name w:val="et21"/>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04">
    <w:name w:val="et10"/>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05">
    <w:name w:val="xl99"/>
    <w:basedOn w:val="1"/>
    <w:uiPriority w:val="0"/>
    <w:pPr>
      <w:widowControl/>
      <w:pBdr>
        <w:top w:val="single" w:color="auto" w:sz="4" w:space="0"/>
        <w:left w:val="single" w:color="auto" w:sz="4" w:space="0"/>
        <w:right w:val="single" w:color="auto" w:sz="4" w:space="0"/>
      </w:pBdr>
      <w:adjustRightInd/>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206">
    <w:name w:val="xl102"/>
    <w:basedOn w:val="1"/>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07">
    <w:name w:val="纯文本_0"/>
    <w:basedOn w:val="1208"/>
    <w:uiPriority w:val="0"/>
    <w:rPr>
      <w:rFonts w:ascii="宋体" w:hAnsi="Courier New"/>
      <w:szCs w:val="21"/>
    </w:rPr>
  </w:style>
  <w:style w:type="paragraph" w:customStyle="1" w:styleId="1208">
    <w:name w:val="正文_6"/>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样式 标题 + 段前: 5 行 段后: 2 行"/>
    <w:basedOn w:val="41"/>
    <w:next w:val="1"/>
    <w:uiPriority w:val="0"/>
    <w:pPr>
      <w:widowControl/>
      <w:pBdr>
        <w:bottom w:val="none" w:color="auto" w:sz="0" w:space="0"/>
      </w:pBdr>
      <w:tabs>
        <w:tab w:val="clear" w:pos="4153"/>
        <w:tab w:val="clear" w:pos="8306"/>
      </w:tabs>
      <w:adjustRightInd/>
      <w:snapToGrid/>
      <w:spacing w:beforeLines="500" w:afterLines="300" w:line="480" w:lineRule="auto"/>
      <w:jc w:val="right"/>
      <w:outlineLvl w:val="0"/>
    </w:pPr>
    <w:rPr>
      <w:rFonts w:ascii="Arial" w:hAnsi="Arial" w:eastAsia="黑体"/>
      <w:b/>
      <w:bCs/>
      <w:sz w:val="52"/>
      <w:szCs w:val="20"/>
    </w:rPr>
  </w:style>
  <w:style w:type="paragraph" w:customStyle="1" w:styleId="1210">
    <w:name w:val="et44"/>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11">
    <w:name w:val="正文文本缩进 21"/>
    <w:basedOn w:val="1"/>
    <w:uiPriority w:val="0"/>
    <w:pPr>
      <w:autoSpaceDE w:val="0"/>
      <w:autoSpaceDN w:val="0"/>
      <w:adjustRightInd/>
      <w:spacing w:after="120" w:line="480" w:lineRule="auto"/>
      <w:ind w:left="420" w:leftChars="200" w:firstLine="200" w:firstLineChars="200"/>
    </w:pPr>
    <w:rPr>
      <w:rFonts w:ascii="仿宋_GB2312" w:eastAsia="仿宋_GB2312"/>
      <w:sz w:val="28"/>
      <w:szCs w:val="28"/>
    </w:rPr>
  </w:style>
  <w:style w:type="paragraph" w:customStyle="1" w:styleId="1212">
    <w:name w:val="Char32"/>
    <w:basedOn w:val="1"/>
    <w:uiPriority w:val="0"/>
    <w:pPr>
      <w:adjustRightInd/>
    </w:pPr>
    <w:rPr>
      <w:rFonts w:ascii="Tahoma" w:hAnsi="Tahoma"/>
      <w:sz w:val="24"/>
      <w:szCs w:val="20"/>
    </w:rPr>
  </w:style>
  <w:style w:type="paragraph" w:customStyle="1" w:styleId="1213">
    <w:name w:val="et62"/>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14">
    <w:name w:val="目录 81"/>
    <w:basedOn w:val="1"/>
    <w:next w:val="1"/>
    <w:uiPriority w:val="0"/>
    <w:pPr>
      <w:adjustRightInd/>
      <w:ind w:left="2940" w:leftChars="1400"/>
    </w:pPr>
    <w:rPr>
      <w:rFonts w:ascii="Calibri" w:hAnsi="Calibri"/>
      <w:szCs w:val="22"/>
    </w:rPr>
  </w:style>
  <w:style w:type="paragraph" w:customStyle="1" w:styleId="1215">
    <w:name w:val="et17"/>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16">
    <w:name w:val="zhengwen"/>
    <w:basedOn w:val="1"/>
    <w:uiPriority w:val="0"/>
    <w:pPr>
      <w:adjustRightInd/>
    </w:pPr>
    <w:rPr>
      <w:rFonts w:ascii="宋体" w:hAnsi="宋体"/>
      <w:bCs/>
      <w:caps/>
      <w:sz w:val="24"/>
    </w:rPr>
  </w:style>
  <w:style w:type="paragraph" w:customStyle="1" w:styleId="1217">
    <w:name w:val="xl105"/>
    <w:basedOn w:val="1"/>
    <w:uiPriority w:val="0"/>
    <w:pPr>
      <w:widowControl/>
      <w:pBdr>
        <w:left w:val="single" w:color="auto" w:sz="4" w:space="0"/>
        <w:bottom w:val="single" w:color="auto" w:sz="4" w:space="0"/>
      </w:pBdr>
      <w:adjustRightInd/>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218">
    <w:name w:val="正文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p17"/>
    <w:basedOn w:val="1"/>
    <w:uiPriority w:val="0"/>
    <w:pPr>
      <w:widowControl/>
      <w:adjustRightInd/>
      <w:ind w:left="2520"/>
    </w:pPr>
    <w:rPr>
      <w:kern w:val="0"/>
      <w:szCs w:val="21"/>
    </w:rPr>
  </w:style>
  <w:style w:type="paragraph" w:customStyle="1" w:styleId="1220">
    <w:name w:val="÷"/>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et75"/>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22">
    <w:name w:val="xl95"/>
    <w:basedOn w:val="1"/>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223">
    <w:name w:val="et35"/>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24">
    <w:name w:val="_Style 16"/>
    <w:uiPriority w:val="0"/>
    <w:rPr>
      <w:rFonts w:ascii="Calibri" w:hAnsi="Calibri" w:eastAsia="宋体" w:cs="Times New Roman"/>
      <w:kern w:val="2"/>
      <w:sz w:val="21"/>
      <w:szCs w:val="22"/>
      <w:lang w:val="en-US" w:eastAsia="zh-CN" w:bidi="ar-SA"/>
    </w:rPr>
  </w:style>
  <w:style w:type="paragraph" w:customStyle="1" w:styleId="1225">
    <w:name w:val="修订4"/>
    <w:uiPriority w:val="0"/>
    <w:rPr>
      <w:rFonts w:ascii="Times New Roman" w:hAnsi="Times New Roman" w:eastAsia="宋体" w:cs="Times New Roman"/>
      <w:color w:val="000000"/>
      <w:sz w:val="21"/>
      <w:szCs w:val="21"/>
      <w:lang w:val="en-US" w:eastAsia="zh-CN" w:bidi="ar-SA"/>
    </w:rPr>
  </w:style>
  <w:style w:type="paragraph" w:customStyle="1" w:styleId="1226">
    <w:name w:val="1"/>
    <w:basedOn w:val="1"/>
    <w:uiPriority w:val="0"/>
    <w:pPr>
      <w:widowControl/>
      <w:adjustRightInd/>
      <w:spacing w:after="160" w:line="240" w:lineRule="exact"/>
      <w:jc w:val="left"/>
    </w:pPr>
  </w:style>
  <w:style w:type="paragraph" w:customStyle="1" w:styleId="1227">
    <w:name w:val="xl100"/>
    <w:basedOn w:val="1"/>
    <w:uiPriority w:val="0"/>
    <w:pPr>
      <w:widowControl/>
      <w:pBdr>
        <w:left w:val="single" w:color="auto" w:sz="4" w:space="0"/>
        <w:right w:val="single" w:color="auto" w:sz="4" w:space="0"/>
      </w:pBdr>
      <w:adjustRightInd/>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228">
    <w:name w:val="et40"/>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29">
    <w:name w:val="表格标注（绿盟科技）"/>
    <w:basedOn w:val="1188"/>
    <w:next w:val="1"/>
    <w:uiPriority w:val="0"/>
    <w:pPr>
      <w:numPr>
        <w:ilvl w:val="7"/>
      </w:numPr>
      <w:tabs>
        <w:tab w:val="left" w:pos="3840"/>
        <w:tab w:val="clear" w:pos="3420"/>
      </w:tabs>
    </w:pPr>
  </w:style>
  <w:style w:type="paragraph" w:customStyle="1" w:styleId="1230">
    <w:name w:val="标题 3（绿盟科技）"/>
    <w:basedOn w:val="4"/>
    <w:next w:val="1"/>
    <w:uiPriority w:val="0"/>
    <w:pPr>
      <w:numPr>
        <w:ilvl w:val="2"/>
        <w:numId w:val="5"/>
      </w:numPr>
      <w:tabs>
        <w:tab w:val="left" w:pos="960"/>
        <w:tab w:val="clear" w:pos="900"/>
      </w:tabs>
      <w:adjustRightInd/>
      <w:spacing w:line="413" w:lineRule="auto"/>
      <w:jc w:val="left"/>
    </w:pPr>
    <w:rPr>
      <w:rFonts w:ascii="Arial" w:hAnsi="Arial" w:eastAsia="黑体"/>
      <w:bCs w:val="0"/>
      <w:kern w:val="0"/>
      <w:sz w:val="30"/>
      <w:szCs w:val="30"/>
    </w:rPr>
  </w:style>
  <w:style w:type="paragraph" w:customStyle="1" w:styleId="1231">
    <w:name w:val="标题 1（绿盟科技）"/>
    <w:basedOn w:val="3"/>
    <w:next w:val="1"/>
    <w:uiPriority w:val="0"/>
    <w:pPr>
      <w:numPr>
        <w:ilvl w:val="0"/>
        <w:numId w:val="5"/>
      </w:numPr>
      <w:pBdr>
        <w:bottom w:val="single" w:color="auto" w:sz="48" w:space="1"/>
      </w:pBdr>
      <w:tabs>
        <w:tab w:val="left" w:pos="840"/>
        <w:tab w:val="clear" w:pos="432"/>
      </w:tabs>
      <w:adjustRightInd/>
      <w:spacing w:before="600" w:line="576" w:lineRule="auto"/>
      <w:jc w:val="left"/>
    </w:pPr>
    <w:rPr>
      <w:rFonts w:ascii="Arial" w:hAnsi="Arial" w:eastAsia="黑体"/>
    </w:rPr>
  </w:style>
  <w:style w:type="paragraph" w:customStyle="1" w:styleId="1232">
    <w:name w:val="索引 71"/>
    <w:basedOn w:val="1"/>
    <w:next w:val="1"/>
    <w:uiPriority w:val="0"/>
    <w:pPr>
      <w:adjustRightInd/>
      <w:ind w:left="1200" w:leftChars="1200"/>
    </w:pPr>
  </w:style>
  <w:style w:type="paragraph" w:customStyle="1" w:styleId="1233">
    <w:name w:val="纯文本3"/>
    <w:basedOn w:val="1"/>
    <w:uiPriority w:val="0"/>
    <w:pPr>
      <w:adjustRightInd/>
    </w:pPr>
    <w:rPr>
      <w:rFonts w:ascii="宋体" w:hAnsi="Courier New"/>
      <w:kern w:val="0"/>
      <w:szCs w:val="21"/>
    </w:rPr>
  </w:style>
  <w:style w:type="paragraph" w:customStyle="1" w:styleId="1234">
    <w:name w:val="xl107"/>
    <w:basedOn w:val="1"/>
    <w:uiPriority w:val="0"/>
    <w:pPr>
      <w:widowControl/>
      <w:pBdr>
        <w:bottom w:val="single" w:color="auto" w:sz="4" w:space="0"/>
      </w:pBdr>
      <w:adjustRightInd/>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235">
    <w:name w:val="封面正文"/>
    <w:uiPriority w:val="0"/>
    <w:pPr>
      <w:jc w:val="both"/>
    </w:pPr>
    <w:rPr>
      <w:rFonts w:ascii="Times New Roman" w:hAnsi="Times New Roman" w:eastAsia="宋体" w:cs="Times New Roman"/>
      <w:lang w:val="en-US" w:eastAsia="zh-CN" w:bidi="ar-SA"/>
    </w:rPr>
  </w:style>
  <w:style w:type="paragraph" w:customStyle="1" w:styleId="1236">
    <w:name w:val="et48"/>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37">
    <w:name w:val="Char Char Char Char Char Char Char Char Char Char Char Char Char Char Char Char Char Char Char1"/>
    <w:basedOn w:val="1"/>
    <w:uiPriority w:val="0"/>
    <w:pPr>
      <w:autoSpaceDE w:val="0"/>
      <w:autoSpaceDN w:val="0"/>
      <w:adjustRightInd/>
    </w:pPr>
  </w:style>
  <w:style w:type="paragraph" w:customStyle="1" w:styleId="1238">
    <w:name w:val="et54"/>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39">
    <w:name w:val="et60"/>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40">
    <w:name w:val="日期1"/>
    <w:basedOn w:val="1"/>
    <w:next w:val="1"/>
    <w:uiPriority w:val="0"/>
    <w:pPr>
      <w:autoSpaceDE w:val="0"/>
      <w:autoSpaceDN w:val="0"/>
      <w:ind w:left="100" w:leftChars="2500"/>
    </w:pPr>
    <w:rPr>
      <w:color w:val="000000"/>
      <w:kern w:val="0"/>
      <w:szCs w:val="21"/>
    </w:rPr>
  </w:style>
  <w:style w:type="paragraph" w:customStyle="1" w:styleId="1241">
    <w:name w:val="陈泽滨"/>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2">
    <w:name w:val="on"/>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1243">
    <w:name w:val="et63"/>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44">
    <w:name w:val="正文文本缩进 31"/>
    <w:basedOn w:val="1"/>
    <w:uiPriority w:val="0"/>
    <w:pPr>
      <w:autoSpaceDE w:val="0"/>
      <w:autoSpaceDN w:val="0"/>
      <w:adjustRightInd/>
      <w:ind w:firstLine="435"/>
    </w:pPr>
    <w:rPr>
      <w:color w:val="000000"/>
    </w:rPr>
  </w:style>
  <w:style w:type="paragraph" w:customStyle="1" w:styleId="1245">
    <w:name w:val="et13"/>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46">
    <w:name w:val="目录 71"/>
    <w:basedOn w:val="1"/>
    <w:next w:val="1"/>
    <w:uiPriority w:val="0"/>
    <w:pPr>
      <w:adjustRightInd/>
      <w:ind w:left="2520" w:leftChars="1200"/>
    </w:pPr>
    <w:rPr>
      <w:rFonts w:ascii="Calibri" w:hAnsi="Calibri"/>
      <w:szCs w:val="22"/>
    </w:rPr>
  </w:style>
  <w:style w:type="paragraph" w:customStyle="1" w:styleId="1247">
    <w:name w:val="et43"/>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48">
    <w:name w:val="table text"/>
    <w:basedOn w:val="1"/>
    <w:uiPriority w:val="0"/>
    <w:pPr>
      <w:widowControl/>
      <w:adjustRightInd/>
    </w:pPr>
    <w:rPr>
      <w:rFonts w:ascii="Arial" w:hAnsi="Arial"/>
      <w:bCs/>
      <w:kern w:val="0"/>
      <w:sz w:val="20"/>
      <w:szCs w:val="20"/>
    </w:rPr>
  </w:style>
  <w:style w:type="paragraph" w:customStyle="1" w:styleId="1249">
    <w:name w:val="×"/>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et46"/>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51">
    <w:name w:val="et36"/>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52">
    <w:name w:val="样式 小四 行距: 1.5 倍行距 首行缩进:  2 字符"/>
    <w:basedOn w:val="1"/>
    <w:uiPriority w:val="0"/>
    <w:pPr>
      <w:adjustRightInd/>
      <w:spacing w:line="360" w:lineRule="auto"/>
      <w:ind w:firstLine="480" w:firstLineChars="200"/>
    </w:pPr>
    <w:rPr>
      <w:rFonts w:cs="宋体"/>
      <w:sz w:val="24"/>
      <w:szCs w:val="20"/>
    </w:rPr>
  </w:style>
  <w:style w:type="paragraph" w:customStyle="1" w:styleId="1253">
    <w:name w:val="xl63"/>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1254">
    <w:name w:val="正式正文样式"/>
    <w:basedOn w:val="1"/>
    <w:uiPriority w:val="0"/>
    <w:pPr>
      <w:widowControl/>
      <w:adjustRightInd/>
      <w:spacing w:line="360" w:lineRule="auto"/>
      <w:ind w:firstLine="480" w:firstLineChars="200"/>
      <w:jc w:val="left"/>
    </w:pPr>
    <w:rPr>
      <w:rFonts w:ascii="宋体" w:hAnsi="宋体"/>
      <w:sz w:val="24"/>
    </w:rPr>
  </w:style>
  <w:style w:type="paragraph" w:customStyle="1" w:styleId="1255">
    <w:name w:val="目录 11"/>
    <w:basedOn w:val="1"/>
    <w:next w:val="1"/>
    <w:uiPriority w:val="0"/>
    <w:pPr>
      <w:adjustRightInd/>
    </w:pPr>
    <w:rPr>
      <w:rFonts w:ascii="Calibri" w:hAnsi="Calibri"/>
      <w:szCs w:val="22"/>
    </w:rPr>
  </w:style>
  <w:style w:type="paragraph" w:customStyle="1" w:styleId="1256">
    <w:name w:val="et55"/>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57">
    <w:name w:val="et78"/>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58">
    <w:name w:val="et6"/>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59">
    <w:name w:val="et64"/>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60">
    <w:name w:val="et33"/>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61">
    <w:name w:val="p15"/>
    <w:basedOn w:val="1"/>
    <w:uiPriority w:val="0"/>
    <w:pPr>
      <w:widowControl/>
      <w:adjustRightInd/>
      <w:snapToGrid w:val="0"/>
    </w:pPr>
    <w:rPr>
      <w:color w:val="000000"/>
      <w:kern w:val="0"/>
      <w:szCs w:val="21"/>
    </w:rPr>
  </w:style>
  <w:style w:type="paragraph" w:customStyle="1" w:styleId="1262">
    <w:name w:val="et50"/>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63">
    <w:name w:val="et56"/>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64">
    <w:name w:val="et11"/>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65">
    <w:name w:val="et70"/>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66">
    <w:name w:val="目录 91"/>
    <w:basedOn w:val="1"/>
    <w:next w:val="1"/>
    <w:uiPriority w:val="0"/>
    <w:pPr>
      <w:adjustRightInd/>
      <w:ind w:left="3360" w:leftChars="1600"/>
    </w:pPr>
    <w:rPr>
      <w:rFonts w:ascii="Calibri" w:hAnsi="Calibri"/>
      <w:szCs w:val="22"/>
    </w:rPr>
  </w:style>
  <w:style w:type="paragraph" w:customStyle="1" w:styleId="1267">
    <w:name w:val="sj正文"/>
    <w:basedOn w:val="1"/>
    <w:next w:val="1"/>
    <w:uiPriority w:val="0"/>
    <w:pPr>
      <w:adjustRightInd/>
      <w:spacing w:line="360" w:lineRule="auto"/>
      <w:ind w:firstLine="482"/>
    </w:pPr>
    <w:rPr>
      <w:rFonts w:ascii="宋体" w:hAnsi="宋体" w:eastAsia="仿宋"/>
      <w:sz w:val="24"/>
    </w:rPr>
  </w:style>
  <w:style w:type="paragraph" w:customStyle="1" w:styleId="1268">
    <w:name w:val="et8"/>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69">
    <w:name w:val="xl97"/>
    <w:basedOn w:val="1"/>
    <w:uiPriority w:val="0"/>
    <w:pPr>
      <w:widowControl/>
      <w:pBdr>
        <w:top w:val="single" w:color="auto" w:sz="4" w:space="0"/>
        <w:bottom w:val="single" w:color="auto" w:sz="4" w:space="0"/>
      </w:pBdr>
      <w:adjustRightInd/>
      <w:spacing w:before="100" w:beforeAutospacing="1" w:after="100" w:afterAutospacing="1"/>
      <w:jc w:val="center"/>
      <w:textAlignment w:val="center"/>
    </w:pPr>
    <w:rPr>
      <w:rFonts w:ascii="微软雅黑" w:hAnsi="微软雅黑" w:eastAsia="微软雅黑" w:cs="宋体"/>
      <w:b/>
      <w:bCs/>
      <w:kern w:val="0"/>
      <w:sz w:val="20"/>
      <w:szCs w:val="20"/>
    </w:rPr>
  </w:style>
  <w:style w:type="paragraph" w:customStyle="1" w:styleId="1270">
    <w:name w:val="Char7"/>
    <w:basedOn w:val="1"/>
    <w:uiPriority w:val="0"/>
    <w:pPr>
      <w:widowControl/>
      <w:adjustRightInd/>
      <w:spacing w:after="160" w:line="240" w:lineRule="exact"/>
      <w:jc w:val="left"/>
    </w:pPr>
    <w:rPr>
      <w:rFonts w:ascii="Verdana" w:hAnsi="Verdana"/>
      <w:kern w:val="0"/>
      <w:szCs w:val="20"/>
      <w:lang w:eastAsia="en-US"/>
    </w:rPr>
  </w:style>
  <w:style w:type="paragraph" w:customStyle="1" w:styleId="1271">
    <w:name w:val="et26"/>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72">
    <w:name w:val="et49"/>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73">
    <w:name w:val="et16"/>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74">
    <w:name w:val="et67"/>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75">
    <w:name w:val="et66"/>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76">
    <w:name w:val="et30"/>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77">
    <w:name w:val="Char Char Char Char Char Char Char1 Char"/>
    <w:basedOn w:val="1"/>
    <w:uiPriority w:val="0"/>
    <w:pPr>
      <w:adjustRightInd/>
    </w:pPr>
    <w:rPr>
      <w:rFonts w:ascii="Tahoma" w:hAnsi="Tahoma"/>
      <w:sz w:val="24"/>
      <w:szCs w:val="20"/>
    </w:rPr>
  </w:style>
  <w:style w:type="paragraph" w:customStyle="1" w:styleId="1278">
    <w:name w:val="p18"/>
    <w:basedOn w:val="1"/>
    <w:uiPriority w:val="0"/>
    <w:pPr>
      <w:widowControl/>
      <w:adjustRightInd/>
      <w:snapToGrid w:val="0"/>
      <w:jc w:val="left"/>
    </w:pPr>
    <w:rPr>
      <w:color w:val="000000"/>
      <w:kern w:val="0"/>
      <w:sz w:val="24"/>
    </w:rPr>
  </w:style>
  <w:style w:type="paragraph" w:customStyle="1" w:styleId="1279">
    <w:name w:val="et76"/>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80">
    <w:name w:val="标题9"/>
    <w:basedOn w:val="1196"/>
    <w:next w:val="1"/>
    <w:uiPriority w:val="0"/>
    <w:pPr>
      <w:outlineLvl w:val="5"/>
    </w:pPr>
    <w:rPr>
      <w:sz w:val="24"/>
    </w:rPr>
  </w:style>
  <w:style w:type="paragraph" w:customStyle="1" w:styleId="1281">
    <w:name w:val="et65"/>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82">
    <w:name w:val="et61"/>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83">
    <w:name w:val="索引 51"/>
    <w:basedOn w:val="1"/>
    <w:next w:val="1"/>
    <w:uiPriority w:val="0"/>
    <w:pPr>
      <w:autoSpaceDE w:val="0"/>
      <w:autoSpaceDN w:val="0"/>
      <w:ind w:left="800" w:leftChars="800"/>
    </w:pPr>
    <w:rPr>
      <w:color w:val="000000"/>
      <w:kern w:val="0"/>
      <w:szCs w:val="21"/>
    </w:rPr>
  </w:style>
  <w:style w:type="paragraph" w:customStyle="1" w:styleId="1284">
    <w:name w:val="Char Char Char2"/>
    <w:basedOn w:val="1"/>
    <w:uiPriority w:val="0"/>
    <w:pPr>
      <w:adjustRightInd/>
    </w:pPr>
  </w:style>
  <w:style w:type="paragraph" w:customStyle="1" w:styleId="1285">
    <w:name w:val="称呼1"/>
    <w:basedOn w:val="1"/>
    <w:next w:val="1"/>
    <w:uiPriority w:val="0"/>
    <w:pPr>
      <w:widowControl/>
      <w:jc w:val="left"/>
      <w:textAlignment w:val="baseline"/>
    </w:pPr>
    <w:rPr>
      <w:rFonts w:ascii="Arial" w:hAnsi="Arial"/>
      <w:spacing w:val="-5"/>
      <w:kern w:val="0"/>
      <w:sz w:val="24"/>
      <w:szCs w:val="20"/>
    </w:rPr>
  </w:style>
  <w:style w:type="paragraph" w:customStyle="1" w:styleId="1286">
    <w:name w:val="TOC 标题2"/>
    <w:basedOn w:val="3"/>
    <w:next w:val="1"/>
    <w:qFormat/>
    <w:uiPriority w:val="0"/>
    <w:pPr>
      <w:widowControl/>
      <w:tabs>
        <w:tab w:val="clear" w:pos="432"/>
      </w:tabs>
      <w:adjustRightInd/>
      <w:spacing w:before="0" w:after="0" w:line="257" w:lineRule="auto"/>
      <w:ind w:left="2127" w:firstLine="0"/>
      <w:jc w:val="left"/>
      <w:outlineLvl w:val="9"/>
    </w:pPr>
    <w:rPr>
      <w:rFonts w:ascii="Calibri Light" w:hAnsi="Calibri Light"/>
      <w:bCs w:val="0"/>
      <w:color w:val="2E74B5"/>
      <w:kern w:val="0"/>
      <w:sz w:val="32"/>
      <w:szCs w:val="32"/>
    </w:rPr>
  </w:style>
  <w:style w:type="paragraph" w:customStyle="1" w:styleId="1287">
    <w:name w:val="文章标题4级"/>
    <w:basedOn w:val="1091"/>
    <w:next w:val="1"/>
    <w:uiPriority w:val="0"/>
    <w:pPr>
      <w:numPr>
        <w:ilvl w:val="3"/>
      </w:numPr>
      <w:tabs>
        <w:tab w:val="left" w:pos="1034"/>
        <w:tab w:val="left" w:pos="2760"/>
        <w:tab w:val="clear" w:pos="1560"/>
      </w:tabs>
      <w:outlineLvl w:val="3"/>
    </w:pPr>
    <w:rPr>
      <w:color w:val="auto"/>
    </w:rPr>
  </w:style>
  <w:style w:type="paragraph" w:customStyle="1" w:styleId="1288">
    <w:name w:val="目录 21"/>
    <w:basedOn w:val="1"/>
    <w:next w:val="1"/>
    <w:uiPriority w:val="0"/>
    <w:pPr>
      <w:adjustRightInd/>
      <w:ind w:left="420" w:leftChars="200"/>
    </w:pPr>
    <w:rPr>
      <w:rFonts w:ascii="Calibri" w:hAnsi="Calibri"/>
      <w:szCs w:val="22"/>
    </w:rPr>
  </w:style>
  <w:style w:type="paragraph" w:customStyle="1" w:styleId="1289">
    <w:name w:val="式 talent正文缩进 + 首行缩进:  2 字符 段前: 0.5 行 段后: 0.5 行"/>
    <w:basedOn w:val="1"/>
    <w:uiPriority w:val="0"/>
    <w:pPr>
      <w:adjustRightInd/>
      <w:spacing w:beforeLines="50" w:afterLines="50" w:line="360" w:lineRule="auto"/>
      <w:ind w:left="993" w:hanging="1418"/>
    </w:pPr>
    <w:rPr>
      <w:rFonts w:ascii="仿宋_GB2312" w:hAnsi="宋体" w:eastAsia="仿宋_GB2312"/>
      <w:sz w:val="24"/>
      <w:szCs w:val="20"/>
    </w:rPr>
  </w:style>
  <w:style w:type="paragraph" w:customStyle="1" w:styleId="1290">
    <w:name w:val="et38"/>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91">
    <w:name w:val="目录 31"/>
    <w:basedOn w:val="1"/>
    <w:next w:val="1"/>
    <w:uiPriority w:val="0"/>
    <w:pPr>
      <w:adjustRightInd/>
      <w:ind w:left="840" w:leftChars="400"/>
    </w:pPr>
    <w:rPr>
      <w:rFonts w:ascii="Calibri" w:hAnsi="Calibri"/>
      <w:szCs w:val="22"/>
    </w:rPr>
  </w:style>
  <w:style w:type="paragraph" w:customStyle="1" w:styleId="1292">
    <w:name w:val="图"/>
    <w:basedOn w:val="1"/>
    <w:uiPriority w:val="0"/>
    <w:pPr>
      <w:keepNext/>
      <w:spacing w:before="60" w:after="60" w:line="300" w:lineRule="auto"/>
      <w:jc w:val="center"/>
      <w:textAlignment w:val="center"/>
    </w:pPr>
    <w:rPr>
      <w:snapToGrid w:val="0"/>
      <w:spacing w:val="20"/>
      <w:kern w:val="0"/>
      <w:sz w:val="24"/>
      <w:szCs w:val="20"/>
    </w:rPr>
  </w:style>
  <w:style w:type="paragraph" w:customStyle="1" w:styleId="1293">
    <w:name w:val="政务 5"/>
    <w:basedOn w:val="1121"/>
    <w:uiPriority w:val="0"/>
    <w:pPr>
      <w:tabs>
        <w:tab w:val="left" w:pos="1200"/>
      </w:tabs>
      <w:ind w:left="2520" w:leftChars="400" w:hanging="420" w:hangingChars="200"/>
      <w:jc w:val="both"/>
      <w:outlineLvl w:val="4"/>
    </w:pPr>
    <w:rPr>
      <w:sz w:val="28"/>
    </w:rPr>
  </w:style>
  <w:style w:type="paragraph" w:customStyle="1" w:styleId="1294">
    <w:name w:val="次小点说明"/>
    <w:basedOn w:val="1"/>
    <w:uiPriority w:val="0"/>
    <w:pPr>
      <w:numPr>
        <w:ilvl w:val="0"/>
        <w:numId w:val="6"/>
      </w:numPr>
      <w:tabs>
        <w:tab w:val="left" w:pos="1680"/>
      </w:tabs>
      <w:snapToGrid w:val="0"/>
      <w:spacing w:line="360" w:lineRule="auto"/>
    </w:pPr>
  </w:style>
  <w:style w:type="paragraph" w:customStyle="1" w:styleId="1295">
    <w:name w:val="Char1 Char Char Char Char Char Char"/>
    <w:basedOn w:val="1"/>
    <w:uiPriority w:val="0"/>
    <w:pPr>
      <w:adjustRightInd/>
    </w:pPr>
    <w:rPr>
      <w:szCs w:val="20"/>
    </w:rPr>
  </w:style>
  <w:style w:type="paragraph" w:customStyle="1" w:styleId="1296">
    <w:name w:val="et32"/>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97">
    <w:name w:val="et15"/>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98">
    <w:name w:val="et37"/>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299">
    <w:name w:val="p23"/>
    <w:basedOn w:val="1"/>
    <w:uiPriority w:val="0"/>
    <w:pPr>
      <w:widowControl/>
      <w:pBdr>
        <w:bottom w:val="single" w:color="000000" w:sz="6" w:space="1"/>
      </w:pBdr>
      <w:adjustRightInd/>
      <w:jc w:val="center"/>
    </w:pPr>
    <w:rPr>
      <w:kern w:val="0"/>
      <w:sz w:val="18"/>
      <w:szCs w:val="18"/>
    </w:rPr>
  </w:style>
  <w:style w:type="paragraph" w:customStyle="1" w:styleId="1300">
    <w:name w:val="et58"/>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301">
    <w:name w:val="政务_(1)"/>
    <w:basedOn w:val="1121"/>
    <w:uiPriority w:val="0"/>
    <w:pPr>
      <w:tabs>
        <w:tab w:val="left" w:pos="1200"/>
      </w:tabs>
      <w:ind w:left="420" w:leftChars="400" w:hanging="420" w:hangingChars="200"/>
      <w:jc w:val="left"/>
      <w:outlineLvl w:val="5"/>
    </w:pPr>
    <w:rPr>
      <w:sz w:val="28"/>
    </w:rPr>
  </w:style>
  <w:style w:type="paragraph" w:customStyle="1" w:styleId="1302">
    <w:name w:val="et57"/>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303">
    <w:name w:val="xl10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304">
    <w:name w:val="level-3"/>
    <w:next w:val="1"/>
    <w:uiPriority w:val="0"/>
    <w:pPr>
      <w:numPr>
        <w:ilvl w:val="0"/>
        <w:numId w:val="7"/>
      </w:numPr>
      <w:spacing w:beforeLines="50" w:afterLines="50"/>
      <w:ind w:left="1740" w:hanging="420"/>
      <w:outlineLvl w:val="2"/>
    </w:pPr>
    <w:rPr>
      <w:rFonts w:ascii="黑体" w:hAnsi="黑体" w:eastAsia="黑体" w:cs="Times New Roman"/>
      <w:kern w:val="2"/>
      <w:sz w:val="24"/>
      <w:szCs w:val="24"/>
      <w:lang w:val="en-US" w:eastAsia="zh-CN" w:bidi="ar-SA"/>
    </w:rPr>
  </w:style>
  <w:style w:type="paragraph" w:customStyle="1" w:styleId="1305">
    <w:name w:val="Char Char Char Char3"/>
    <w:basedOn w:val="1"/>
    <w:uiPriority w:val="0"/>
    <w:pPr>
      <w:adjustRightInd/>
    </w:pPr>
    <w:rPr>
      <w:szCs w:val="20"/>
    </w:rPr>
  </w:style>
  <w:style w:type="paragraph" w:customStyle="1" w:styleId="1306">
    <w:name w:val="p16"/>
    <w:basedOn w:val="1"/>
    <w:uiPriority w:val="0"/>
    <w:pPr>
      <w:widowControl/>
      <w:adjustRightInd/>
    </w:pPr>
    <w:rPr>
      <w:kern w:val="0"/>
      <w:sz w:val="24"/>
    </w:rPr>
  </w:style>
  <w:style w:type="paragraph" w:customStyle="1" w:styleId="1307">
    <w:name w:val="et23"/>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308">
    <w:name w:val="et19"/>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309">
    <w:name w:val="Char Char Char Char Char Char Char Char Char Char Char Char Char"/>
    <w:basedOn w:val="1"/>
    <w:uiPriority w:val="0"/>
    <w:pPr>
      <w:widowControl/>
      <w:numPr>
        <w:ilvl w:val="0"/>
        <w:numId w:val="8"/>
      </w:numPr>
      <w:tabs>
        <w:tab w:val="left" w:pos="1200"/>
      </w:tabs>
      <w:adjustRightInd/>
      <w:spacing w:after="160" w:line="240" w:lineRule="exact"/>
      <w:jc w:val="left"/>
    </w:pPr>
    <w:rPr>
      <w:rFonts w:ascii="Verdana" w:hAnsi="Verdana"/>
      <w:kern w:val="0"/>
      <w:sz w:val="20"/>
      <w:szCs w:val="20"/>
      <w:lang w:eastAsia="en-US"/>
    </w:rPr>
  </w:style>
  <w:style w:type="paragraph" w:customStyle="1" w:styleId="1310">
    <w:name w:val="et7"/>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311">
    <w:name w:val="xl101"/>
    <w:basedOn w:val="1"/>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312">
    <w:name w:val="正文_0"/>
    <w:uiPriority w:val="0"/>
    <w:pPr>
      <w:widowControl w:val="0"/>
      <w:jc w:val="both"/>
    </w:pPr>
    <w:rPr>
      <w:rFonts w:ascii="Plotter" w:hAnsi="Plotter" w:eastAsia="宋体" w:cs="Plotter"/>
      <w:kern w:val="2"/>
      <w:sz w:val="21"/>
      <w:szCs w:val="22"/>
      <w:lang w:val="en-US" w:eastAsia="zh-CN" w:bidi="ar-SA"/>
    </w:rPr>
  </w:style>
  <w:style w:type="paragraph" w:customStyle="1" w:styleId="1313">
    <w:name w:val="xl98"/>
    <w:basedOn w:val="1"/>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微软雅黑" w:hAnsi="微软雅黑" w:eastAsia="微软雅黑" w:cs="宋体"/>
      <w:b/>
      <w:bCs/>
      <w:kern w:val="0"/>
      <w:sz w:val="20"/>
      <w:szCs w:val="20"/>
    </w:rPr>
  </w:style>
  <w:style w:type="paragraph" w:customStyle="1" w:styleId="1314">
    <w:name w:val="签名1"/>
    <w:basedOn w:val="1"/>
    <w:next w:val="1"/>
    <w:uiPriority w:val="0"/>
    <w:pPr>
      <w:keepNext/>
      <w:widowControl/>
      <w:numPr>
        <w:ilvl w:val="1"/>
        <w:numId w:val="4"/>
      </w:numPr>
      <w:tabs>
        <w:tab w:val="left" w:pos="360"/>
      </w:tabs>
      <w:autoSpaceDE w:val="0"/>
      <w:autoSpaceDN w:val="0"/>
      <w:spacing w:line="220" w:lineRule="atLeast"/>
      <w:jc w:val="right"/>
      <w:textAlignment w:val="baseline"/>
    </w:pPr>
    <w:rPr>
      <w:rFonts w:ascii="Arial" w:hAnsi="Arial"/>
      <w:color w:val="000000"/>
      <w:spacing w:val="-5"/>
      <w:kern w:val="0"/>
      <w:sz w:val="24"/>
      <w:szCs w:val="21"/>
    </w:rPr>
  </w:style>
  <w:style w:type="paragraph" w:customStyle="1" w:styleId="1315">
    <w:name w:val="列表编号 31"/>
    <w:basedOn w:val="1"/>
    <w:uiPriority w:val="0"/>
    <w:pPr>
      <w:tabs>
        <w:tab w:val="left" w:pos="1200"/>
      </w:tabs>
      <w:autoSpaceDE w:val="0"/>
      <w:autoSpaceDN w:val="0"/>
    </w:pPr>
    <w:rPr>
      <w:color w:val="000000"/>
      <w:kern w:val="0"/>
      <w:szCs w:val="21"/>
    </w:rPr>
  </w:style>
  <w:style w:type="paragraph" w:customStyle="1" w:styleId="1316">
    <w:name w:val="页眉样式"/>
    <w:basedOn w:val="41"/>
    <w:uiPriority w:val="0"/>
    <w:pPr>
      <w:pBdr>
        <w:bottom w:val="thinThickSmallGap" w:color="auto" w:sz="24" w:space="1"/>
      </w:pBdr>
      <w:adjustRightInd/>
      <w:spacing w:before="120" w:after="120" w:line="360" w:lineRule="auto"/>
      <w:jc w:val="distribute"/>
    </w:pPr>
  </w:style>
  <w:style w:type="paragraph" w:customStyle="1" w:styleId="1317">
    <w:name w:val="自动更正"/>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8">
    <w:name w:val="et72"/>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319">
    <w:name w:val="正文文本缩进1"/>
    <w:basedOn w:val="1"/>
    <w:uiPriority w:val="0"/>
    <w:pPr>
      <w:adjustRightInd/>
      <w:ind w:left="709" w:leftChars="322" w:hanging="1"/>
    </w:pPr>
    <w:rPr>
      <w:rFonts w:ascii="Arial" w:hAnsi="Arial" w:cs="Arial"/>
    </w:rPr>
  </w:style>
  <w:style w:type="paragraph" w:customStyle="1" w:styleId="1320">
    <w:name w:val="et53"/>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321">
    <w:name w:val="et47"/>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322">
    <w:name w:val="Char Char Char Char Char Char2"/>
    <w:basedOn w:val="1"/>
    <w:uiPriority w:val="0"/>
    <w:pPr>
      <w:widowControl/>
      <w:adjustRightInd/>
      <w:spacing w:after="160" w:line="240" w:lineRule="exact"/>
      <w:jc w:val="left"/>
    </w:pPr>
  </w:style>
  <w:style w:type="paragraph" w:customStyle="1" w:styleId="1323">
    <w:name w:val="列项"/>
    <w:basedOn w:val="1"/>
    <w:next w:val="1"/>
    <w:uiPriority w:val="0"/>
    <w:pPr>
      <w:adjustRightInd/>
      <w:spacing w:line="360" w:lineRule="auto"/>
      <w:ind w:left="840" w:hanging="360"/>
    </w:pPr>
    <w:rPr>
      <w:rFonts w:ascii="宋体" w:hAnsi="宋体"/>
      <w:sz w:val="24"/>
      <w:szCs w:val="22"/>
    </w:rPr>
  </w:style>
  <w:style w:type="paragraph" w:customStyle="1" w:styleId="1324">
    <w:name w:val="et68"/>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 w:type="paragraph" w:customStyle="1" w:styleId="1325">
    <w:name w:val="标题 5（有编号）（绿盟科技）"/>
    <w:basedOn w:val="1"/>
    <w:next w:val="1"/>
    <w:uiPriority w:val="0"/>
    <w:pPr>
      <w:keepNext/>
      <w:keepLines/>
      <w:numPr>
        <w:ilvl w:val="4"/>
        <w:numId w:val="5"/>
      </w:numPr>
      <w:tabs>
        <w:tab w:val="left" w:pos="2580"/>
      </w:tabs>
      <w:adjustRightInd/>
      <w:spacing w:before="280" w:after="156" w:line="377" w:lineRule="auto"/>
      <w:jc w:val="left"/>
      <w:outlineLvl w:val="4"/>
    </w:pPr>
    <w:rPr>
      <w:rFonts w:ascii="Arial" w:hAnsi="Arial" w:eastAsia="黑体"/>
      <w:b/>
      <w:kern w:val="0"/>
      <w:sz w:val="24"/>
      <w:szCs w:val="28"/>
    </w:rPr>
  </w:style>
  <w:style w:type="paragraph" w:customStyle="1" w:styleId="1326">
    <w:name w:val="Char13"/>
    <w:basedOn w:val="1"/>
    <w:uiPriority w:val="0"/>
    <w:pPr>
      <w:adjustRightInd/>
    </w:pPr>
    <w:rPr>
      <w:rFonts w:ascii="仿宋_GB2312" w:eastAsia="仿宋_GB2312"/>
      <w:b/>
      <w:sz w:val="32"/>
      <w:szCs w:val="32"/>
    </w:rPr>
  </w:style>
  <w:style w:type="paragraph" w:customStyle="1" w:styleId="1327">
    <w:name w:val="et14"/>
    <w:basedOn w:val="1"/>
    <w:uiPriority w:val="0"/>
    <w:pPr>
      <w:widowControl/>
      <w:adjustRightInd/>
      <w:spacing w:before="100" w:beforeAutospacing="1" w:after="100" w:afterAutospacing="1"/>
      <w:jc w:val="left"/>
      <w:textAlignment w:val="center"/>
    </w:pPr>
    <w:rPr>
      <w:rFonts w:ascii="宋体" w:hAnsi="宋体" w:cs="宋体"/>
      <w:color w:val="00000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38085</Words>
  <Characters>40257</Characters>
  <Lines>339</Lines>
  <Paragraphs>95</Paragraphs>
  <TotalTime>4731</TotalTime>
  <ScaleCrop>false</ScaleCrop>
  <LinksUpToDate>false</LinksUpToDate>
  <CharactersWithSpaces>45378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2022-03-11T16:42:00Z</dcterms:created>
  <dc:creator>玥</dc:creator>
  <cp:lastModifiedBy>PC</cp:lastModifiedBy>
  <cp:lastPrinted>2022-06-20T08:25:00Z</cp:lastPrinted>
  <dcterms:modified xsi:type="dcterms:W3CDTF">2022-06-30T07:56:15Z</dcterms:modified>
  <dc:title>杭州市市民卡扩大发卡工程</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7296A910AEC645DDB68F9EA86FF417E3</vt:lpwstr>
  </property>
  <property fmtid="{D5CDD505-2E9C-101B-9397-08002B2CF9AE}" pid="5" name="woTemplateTypoMode" linkTarget="0">
    <vt:lpwstr>web</vt:lpwstr>
  </property>
  <property fmtid="{D5CDD505-2E9C-101B-9397-08002B2CF9AE}" pid="6" name="woTemplate" linkTarget="0">
    <vt:i4>1</vt:i4>
  </property>
</Properties>
</file>