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52"/>
          <w:szCs w:val="52"/>
        </w:rPr>
      </w:pPr>
    </w:p>
    <w:p>
      <w:pPr>
        <w:adjustRightInd/>
        <w:spacing w:line="360" w:lineRule="auto"/>
        <w:jc w:val="center"/>
        <w:rPr>
          <w:rFonts w:ascii="仿宋_GB2312" w:hAnsi="仿宋" w:eastAsia="仿宋_GB2312" w:cs="仿宋_GB2312"/>
          <w:b/>
          <w:sz w:val="52"/>
          <w:szCs w:val="52"/>
        </w:rPr>
      </w:pPr>
      <w:r>
        <w:rPr>
          <w:rFonts w:hint="eastAsia" w:ascii="黑体" w:hAnsi="黑体" w:eastAsia="黑体"/>
          <w:b/>
          <w:bCs/>
          <w:sz w:val="52"/>
          <w:szCs w:val="52"/>
        </w:rPr>
        <w:t>诸暨市职教中心旧报告厅改造项目</w:t>
      </w:r>
    </w:p>
    <w:p>
      <w:pPr>
        <w:adjustRightInd/>
        <w:spacing w:line="360" w:lineRule="auto"/>
        <w:jc w:val="center"/>
        <w:rPr>
          <w:rFonts w:ascii="黑体" w:hAnsi="黑体" w:eastAsia="黑体"/>
          <w:b/>
          <w:bCs/>
          <w:sz w:val="52"/>
          <w:szCs w:val="52"/>
        </w:rPr>
      </w:pPr>
      <w:r>
        <w:rPr>
          <w:rFonts w:hint="eastAsia" w:ascii="黑体" w:hAnsi="黑体" w:eastAsia="黑体"/>
          <w:b/>
          <w:bCs/>
          <w:sz w:val="52"/>
          <w:szCs w:val="52"/>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诸政采2022-05-04</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浙江省诸暨市职业教育中心</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二二年五月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36"/>
        </w:rPr>
        <w:t xml:space="preserve">第一部分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诸暨市职教中心旧报告厅改造项目</w:t>
      </w:r>
      <w:r>
        <w:rPr>
          <w:rFonts w:hint="eastAsia" w:ascii="仿宋_GB2312" w:hAnsi="仿宋" w:eastAsia="仿宋_GB2312"/>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6月9日9点00 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诸政采2022-05-04</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sz w:val="24"/>
        </w:rPr>
        <w:t>诸暨市职教中心旧报告厅改造项目</w:t>
      </w:r>
      <w:r>
        <w:rPr>
          <w:rFonts w:ascii="仿宋_GB2312" w:hAnsi="仿宋" w:eastAsia="仿宋_GB2312"/>
          <w:sz w:val="24"/>
        </w:rPr>
        <w:t xml:space="preserve">  </w:t>
      </w:r>
      <w:r>
        <w:rPr>
          <w:rFonts w:ascii="仿宋_GB2312" w:hAnsi="仿宋" w:eastAsia="仿宋_GB2312"/>
          <w:b/>
          <w:sz w:val="24"/>
        </w:rPr>
        <w:t>预算金额（元）：</w:t>
      </w:r>
      <w:r>
        <w:rPr>
          <w:rFonts w:hint="eastAsia" w:ascii="仿宋_GB2312" w:hAnsi="仿宋" w:eastAsia="仿宋_GB2312"/>
          <w:sz w:val="24"/>
        </w:rPr>
        <w:t>360000.00元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sz w:val="24"/>
        </w:rPr>
        <w:t>360000.00元</w:t>
      </w:r>
    </w:p>
    <w:p>
      <w:pPr>
        <w:pStyle w:val="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sz w:val="24"/>
          <w:szCs w:val="24"/>
        </w:rPr>
        <w:t xml:space="preserve">诸暨市职教中心旧报告厅改造  </w:t>
      </w:r>
      <w:r>
        <w:rPr>
          <w:rFonts w:hint="eastAsia" w:ascii="仿宋_GB2312" w:hAnsi="仿宋" w:eastAsia="仿宋_GB2312"/>
          <w:bCs/>
          <w:snapToGrid/>
          <w:color w:val="auto"/>
          <w:kern w:val="2"/>
          <w:sz w:val="24"/>
          <w:szCs w:val="24"/>
        </w:rPr>
        <w:t>主要内容：</w:t>
      </w:r>
      <w:r>
        <w:rPr>
          <w:rFonts w:hint="eastAsia" w:ascii="仿宋_GB2312" w:hAnsi="仿宋" w:eastAsia="仿宋_GB2312"/>
          <w:sz w:val="24"/>
          <w:szCs w:val="24"/>
        </w:rPr>
        <w:t>旧报告厅改造</w:t>
      </w:r>
      <w:r>
        <w:rPr>
          <w:rFonts w:ascii="仿宋_GB2312" w:hAnsi="仿宋" w:eastAsia="仿宋_GB2312"/>
          <w:bCs/>
          <w:snapToGrid/>
          <w:color w:val="auto"/>
          <w:kern w:val="2"/>
          <w:sz w:val="24"/>
          <w:szCs w:val="24"/>
        </w:rPr>
        <w:t>。</w:t>
      </w:r>
      <w:r>
        <w:rPr>
          <w:rFonts w:hint="eastAsia" w:ascii="仿宋_GB2312" w:hAnsi="仿宋" w:eastAsia="仿宋_GB2312"/>
          <w:bCs/>
          <w:snapToGrid/>
          <w:color w:val="auto"/>
          <w:kern w:val="2"/>
          <w:sz w:val="24"/>
          <w:szCs w:val="24"/>
        </w:rPr>
        <w:t>详见招标文件第三部分采购需求。</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snapToGrid w:val="0"/>
          <w:color w:val="000000"/>
          <w:kern w:val="28"/>
          <w:sz w:val="24"/>
        </w:rPr>
        <w:t>在合同签订后 30 天内供货并安装调试完成。</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715918498"/>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715918497"/>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ind w:firstLine="480" w:firstLineChars="200"/>
        <w:rPr>
          <w:rFonts w:ascii="仿宋_GB2312" w:hAnsi="仿宋" w:eastAsia="仿宋_GB2312"/>
          <w:bCs/>
          <w:sz w:val="24"/>
        </w:rPr>
      </w:pPr>
      <w:sdt>
        <w:sdtPr>
          <w:rPr>
            <w:rFonts w:hint="eastAsia" w:ascii="仿宋_GB2312" w:hAnsi="仿宋" w:eastAsia="仿宋_GB2312"/>
            <w:bCs/>
            <w:sz w:val="24"/>
          </w:rPr>
          <w:id w:val="715918503"/>
        </w:sdtPr>
        <w:sdtEndPr>
          <w:rPr>
            <w:rFonts w:hint="eastAsia" w:ascii="仿宋_GB2312" w:hAnsi="仿宋" w:eastAsia="仿宋_GB2312"/>
            <w:bCs/>
            <w:sz w:val="24"/>
          </w:rPr>
        </w:sdtEndPr>
        <w:sdtContent>
          <w:r>
            <w:rPr>
              <w:rFonts w:hint="eastAsia" w:ascii="仿宋_GB2312" w:hAnsi="仿宋" w:eastAsia="仿宋_GB2312"/>
              <w:bCs/>
              <w:sz w:val="24"/>
            </w:rPr>
            <w:sym w:font="Wingdings" w:char="F0FE"/>
          </w:r>
        </w:sdtContent>
      </w:sdt>
      <w:r>
        <w:rPr>
          <w:rFonts w:hint="eastAsia" w:ascii="仿宋_GB2312" w:hAnsi="仿宋" w:eastAsia="仿宋_GB2312"/>
          <w:bCs/>
          <w:sz w:val="24"/>
        </w:rPr>
        <w:t>无；</w:t>
      </w:r>
    </w:p>
    <w:p>
      <w:pPr>
        <w:spacing w:line="360" w:lineRule="auto"/>
        <w:ind w:firstLine="480"/>
        <w:rPr>
          <w:rFonts w:ascii="仿宋_GB2312" w:hAnsi="仿宋" w:eastAsia="仿宋_GB2312"/>
          <w:bCs/>
          <w:sz w:val="24"/>
        </w:rPr>
      </w:pPr>
      <w:sdt>
        <w:sdtPr>
          <w:rPr>
            <w:rFonts w:hint="eastAsia" w:ascii="仿宋_GB2312" w:hAnsi="仿宋" w:eastAsia="仿宋_GB2312"/>
            <w:bCs/>
            <w:sz w:val="24"/>
          </w:rPr>
          <w:id w:val="-1024704304"/>
        </w:sdtPr>
        <w:sdtEndPr>
          <w:rPr>
            <w:rFonts w:hint="eastAsia" w:ascii="仿宋_GB2312" w:hAnsi="仿宋" w:eastAsia="仿宋_GB2312"/>
            <w:bCs/>
            <w:sz w:val="24"/>
          </w:rPr>
        </w:sdtEndPr>
        <w:sdtContent>
          <w:sdt>
            <w:sdtPr>
              <w:rPr>
                <w:rFonts w:hint="eastAsia" w:ascii="仿宋_GB2312" w:hAnsi="仿宋" w:eastAsia="仿宋_GB2312"/>
                <w:bCs/>
                <w:sz w:val="24"/>
              </w:rPr>
              <w:id w:val="715918502"/>
            </w:sdtPr>
            <w:sdtEndPr>
              <w:rPr>
                <w:rFonts w:hint="eastAsia" w:ascii="仿宋_GB2312" w:hAnsi="仿宋" w:eastAsia="仿宋_GB2312"/>
                <w:bCs/>
                <w:sz w:val="24"/>
              </w:rPr>
            </w:sdtEndPr>
            <w:sdtContent>
              <w:r>
                <w:rPr>
                  <w:rFonts w:hint="eastAsia" w:ascii="仿宋_GB2312" w:hAnsi="仿宋" w:eastAsia="仿宋_GB2312"/>
                  <w:bCs/>
                  <w:sz w:val="24"/>
                </w:rPr>
                <w:t>☐</w:t>
              </w:r>
            </w:sdtContent>
          </w:sdt>
        </w:sdtContent>
      </w:sdt>
      <w:r>
        <w:rPr>
          <w:rFonts w:hint="eastAsia" w:ascii="仿宋_GB2312" w:hAnsi="仿宋" w:eastAsia="仿宋_GB2312"/>
          <w:bCs/>
          <w:sz w:val="24"/>
        </w:rPr>
        <w:t>专门面向中小企业。</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4.本项目的特定资格要求：无。</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3"/>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5</w:t>
      </w:r>
      <w:r>
        <w:rPr>
          <w:rFonts w:ascii="仿宋_GB2312" w:hAnsi="仿宋" w:eastAsia="仿宋_GB2312"/>
          <w:sz w:val="24"/>
          <w:u w:val="single"/>
        </w:rPr>
        <w:t>月</w:t>
      </w:r>
      <w:r>
        <w:rPr>
          <w:rFonts w:hint="eastAsia" w:ascii="仿宋_GB2312" w:hAnsi="仿宋" w:eastAsia="仿宋_GB2312"/>
          <w:sz w:val="24"/>
          <w:u w:val="single"/>
        </w:rPr>
        <w:t>26</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3"/>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投标人应于2022 年6月9日</w:t>
      </w:r>
      <w:r>
        <w:rPr>
          <w:rFonts w:hint="eastAsia" w:ascii="仿宋_GB2312" w:hAnsi="仿宋" w:eastAsia="仿宋_GB2312"/>
          <w:sz w:val="24"/>
          <w:lang w:val="en-US" w:eastAsia="zh-CN"/>
        </w:rPr>
        <w:t>9</w:t>
      </w:r>
      <w:r>
        <w:rPr>
          <w:rFonts w:hint="eastAsia" w:ascii="仿宋_GB2312" w:hAnsi="仿宋" w:eastAsia="仿宋_GB2312"/>
          <w:sz w:val="24"/>
        </w:rPr>
        <w:t>时00分（北京时间）前按照电子投标要求将电子加密标书上传到政府采购云平台，逾期或未上传成功的将导致无法投标或投标无效。</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因诸暨市公共资源交易中心在政采云平台未开通在线演示功能，所以投标供应商须通过邮寄方式（EMS或顺丰）或直接送达递交此项目演示视频存储介质，请各投标供应商在邮寄过程中自行保护好隐私，为确保在投标截止时间前寄到，请投标供应商须与联系人电话确认演示视频存储介质是否收到。</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联系人：胡伟钢  联系电话：0575-89006375、87252025</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地址：诸暨市暨东路58号422室</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浙江省诸暨市职业教育中心</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诸暨市暨阳街道北二环路81号</w:t>
      </w:r>
    </w:p>
    <w:p>
      <w:pPr>
        <w:spacing w:line="360" w:lineRule="auto"/>
        <w:ind w:firstLine="480"/>
        <w:rPr>
          <w:rFonts w:ascii="仿宋_GB2312" w:hAnsi="仿宋" w:eastAsia="仿宋"/>
          <w:sz w:val="24"/>
        </w:rPr>
      </w:pPr>
      <w:r>
        <w:rPr>
          <w:rFonts w:hint="eastAsia" w:ascii="仿宋_GB2312" w:hAnsi="仿宋" w:eastAsia="仿宋_GB2312"/>
          <w:sz w:val="24"/>
        </w:rPr>
        <w:t>项目联系人（询问）：金老师</w:t>
      </w:r>
      <w:r>
        <w:rPr>
          <w:rFonts w:hint="eastAsia" w:ascii="仿宋_GB2312" w:hAnsi="仿宋" w:eastAsia="仿宋"/>
          <w:sz w:val="24"/>
        </w:rPr>
        <w:t xml:space="preserve">  </w:t>
      </w:r>
      <w:r>
        <w:rPr>
          <w:rFonts w:ascii="仿宋_GB2312" w:hAnsi="仿宋" w:eastAsia="仿宋_GB2312"/>
          <w:sz w:val="24"/>
        </w:rPr>
        <w:t>项目联系方式（询问）：</w:t>
      </w:r>
      <w:r>
        <w:rPr>
          <w:rFonts w:hint="eastAsia" w:ascii="仿宋_GB2312" w:hAnsi="仿宋" w:eastAsia="仿宋_GB2312"/>
          <w:sz w:val="24"/>
        </w:rPr>
        <w:t xml:space="preserve"> 0575-87399739</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sz w:val="24"/>
        </w:rPr>
        <w:t xml:space="preserve">张铁宝  </w:t>
      </w:r>
      <w:r>
        <w:rPr>
          <w:rFonts w:hint="eastAsia" w:ascii="仿宋" w:hAnsi="仿宋" w:eastAsia="仿宋"/>
          <w:sz w:val="24"/>
        </w:rPr>
        <w:t xml:space="preserve">          </w:t>
      </w:r>
      <w:r>
        <w:rPr>
          <w:rFonts w:ascii="仿宋_GB2312" w:hAnsi="仿宋" w:eastAsia="仿宋_GB2312"/>
          <w:sz w:val="24"/>
        </w:rPr>
        <w:t>质疑联系方式：</w:t>
      </w:r>
      <w:r>
        <w:rPr>
          <w:rFonts w:hint="eastAsia" w:ascii="仿宋_GB2312" w:hAnsi="仿宋" w:eastAsia="仿宋_GB2312"/>
          <w:sz w:val="24"/>
        </w:rPr>
        <w:t>0575-87399736</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_GB2312" w:hAnsi="仿宋" w:eastAsia="仿宋_GB2312"/>
          <w:sz w:val="24"/>
        </w:rPr>
        <w:t>诸暨市暨东路58号北602</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王小林</w:t>
      </w:r>
      <w:r>
        <w:rPr>
          <w:rFonts w:ascii="仿宋_GB2312" w:hAnsi="仿宋" w:eastAsia="仿宋_GB2312"/>
          <w:sz w:val="24"/>
        </w:rPr>
        <w:t xml:space="preserve">   项目联系方式（询问）：</w:t>
      </w:r>
      <w:r>
        <w:rPr>
          <w:rFonts w:hint="eastAsia" w:ascii="仿宋_GB2312" w:hAnsi="仿宋" w:eastAsia="仿宋_GB2312"/>
          <w:sz w:val="24"/>
        </w:rPr>
        <w:t xml:space="preserve">0575-87253016   </w:t>
      </w: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金泽成</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0575-87253015 </w:t>
      </w:r>
      <w:r>
        <w:rPr>
          <w:rFonts w:ascii="仿宋_GB2312" w:hAnsi="仿宋" w:eastAsia="仿宋_GB2312"/>
          <w:sz w:val="24"/>
        </w:rPr>
        <w:t>传真：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吕康玮 </w:t>
      </w:r>
      <w:r>
        <w:rPr>
          <w:rFonts w:ascii="仿宋_GB2312" w:hAnsi="仿宋" w:eastAsia="仿宋_GB2312"/>
          <w:sz w:val="24"/>
        </w:rPr>
        <w:t xml:space="preserve">  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 xml:space="preserve"> 电子邮箱：</w:t>
      </w:r>
      <w:r>
        <w:rPr>
          <w:rFonts w:ascii="仿宋_GB2312" w:hAnsi="仿宋" w:eastAsia="仿宋_GB2312"/>
          <w:sz w:val="24"/>
        </w:rPr>
        <w:t>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56"/>
              <w:numPr>
                <w:ilvl w:val="0"/>
                <w:numId w:val="1"/>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56"/>
              <w:numPr>
                <w:ilvl w:val="0"/>
                <w:numId w:val="1"/>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56"/>
              <w:numPr>
                <w:ilvl w:val="0"/>
                <w:numId w:val="1"/>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56"/>
              <w:numPr>
                <w:ilvl w:val="0"/>
                <w:numId w:val="1"/>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56"/>
              <w:numPr>
                <w:ilvl w:val="0"/>
                <w:numId w:val="2"/>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p>
          <w:p>
            <w:pPr>
              <w:pStyle w:val="256"/>
              <w:numPr>
                <w:ilvl w:val="0"/>
                <w:numId w:val="2"/>
              </w:numPr>
              <w:snapToGrid w:val="0"/>
              <w:ind w:firstLineChars="0"/>
              <w:rPr>
                <w:rFonts w:ascii="仿宋_GB2312" w:hAnsi="仿宋" w:eastAsia="仿宋_GB2312" w:cs="仿宋_GB2312"/>
              </w:rPr>
            </w:pPr>
            <w:r>
              <w:rPr>
                <w:rFonts w:ascii="仿宋_GB2312" w:hAnsi="仿宋" w:eastAsia="仿宋_GB2312" w:cs="仿宋_GB2312"/>
              </w:rPr>
              <w:t>落实政府采购政策需满足的资格要求</w:t>
            </w:r>
            <w:r>
              <w:rPr>
                <w:rFonts w:hint="eastAsia" w:ascii="仿宋_GB2312" w:hAnsi="仿宋" w:eastAsia="仿宋_GB2312" w:cs="仿宋_GB2312"/>
              </w:rPr>
              <w:t>（如需）</w:t>
            </w:r>
            <w:r>
              <w:rPr>
                <w:rFonts w:ascii="仿宋_GB2312" w:hAnsi="仿宋" w:eastAsia="仿宋_GB2312" w:cs="仿宋_GB2312"/>
              </w:rPr>
              <w:t>；</w:t>
            </w:r>
          </w:p>
          <w:p>
            <w:pPr>
              <w:spacing w:line="360" w:lineRule="auto"/>
              <w:rPr>
                <w:rFonts w:ascii="仿宋_GB2312" w:hAnsi="仿宋" w:eastAsia="仿宋_GB2312"/>
                <w:sz w:val="24"/>
              </w:rPr>
            </w:pPr>
            <w:r>
              <w:rPr>
                <w:rFonts w:hint="eastAsia" w:ascii="仿宋_GB2312" w:hAnsi="仿宋" w:eastAsia="仿宋_GB2312" w:cs="仿宋_GB2312"/>
                <w:sz w:val="24"/>
              </w:rPr>
              <w:t>③</w:t>
            </w:r>
            <w:r>
              <w:rPr>
                <w:rFonts w:ascii="仿宋_GB2312" w:hAnsi="仿宋" w:eastAsia="仿宋_GB2312" w:cs="仿宋_GB2312"/>
                <w:sz w:val="24"/>
              </w:rPr>
              <w:t>本项目的特定资格要求</w:t>
            </w:r>
            <w:r>
              <w:rPr>
                <w:rFonts w:hint="eastAsia" w:ascii="仿宋_GB2312" w:hAnsi="仿宋" w:eastAsia="仿宋_GB2312" w:cs="仿宋_GB2312"/>
                <w:sz w:val="24"/>
              </w:rPr>
              <w:t>（如需）</w:t>
            </w:r>
            <w:r>
              <w:rPr>
                <w:rFonts w:ascii="仿宋_GB2312" w:hAnsi="仿宋" w:eastAsia="仿宋_GB2312"/>
                <w:sz w:val="24"/>
              </w:rPr>
              <w:t>。</w:t>
            </w:r>
          </w:p>
          <w:p>
            <w:pPr>
              <w:spacing w:line="360" w:lineRule="auto"/>
              <w:rPr>
                <w:rFonts w:ascii="Arial" w:hAnsi="Arial" w:eastAsia="黑体" w:cs="Arial"/>
                <w:b/>
                <w:snapToGrid w:val="0"/>
                <w:kern w:val="0"/>
                <w:szCs w:val="21"/>
              </w:rPr>
            </w:pPr>
            <w:r>
              <w:rPr>
                <w:rFonts w:hint="eastAsia" w:ascii="仿宋_GB2312" w:hAnsi="仿宋" w:eastAsia="仿宋_GB2312"/>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56"/>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56"/>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56"/>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联合协议</w:t>
            </w:r>
            <w:r>
              <w:rPr>
                <w:rFonts w:hint="eastAsia" w:ascii="仿宋_GB2312" w:hAnsi="仿宋" w:eastAsia="仿宋_GB2312" w:cs="仿宋_GB2312"/>
              </w:rPr>
              <w:t>（如需）</w:t>
            </w:r>
            <w:r>
              <w:rPr>
                <w:rFonts w:ascii="仿宋_GB2312" w:hAnsi="仿宋" w:eastAsia="仿宋_GB2312" w:cs="仿宋_GB2312"/>
              </w:rPr>
              <w:t>；</w:t>
            </w:r>
          </w:p>
          <w:p>
            <w:pPr>
              <w:pStyle w:val="256"/>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分包意向协议</w:t>
            </w:r>
            <w:r>
              <w:rPr>
                <w:rFonts w:hint="eastAsia" w:ascii="仿宋_GB2312" w:hAnsi="仿宋" w:eastAsia="仿宋_GB2312" w:cs="仿宋_GB2312"/>
              </w:rPr>
              <w:t>（如需）</w:t>
            </w:r>
            <w:r>
              <w:rPr>
                <w:rFonts w:ascii="仿宋_GB2312" w:hAnsi="仿宋" w:eastAsia="仿宋_GB2312" w:cs="仿宋_GB2312"/>
              </w:rPr>
              <w:t>；</w:t>
            </w:r>
          </w:p>
          <w:p>
            <w:pPr>
              <w:pStyle w:val="256"/>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56"/>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pPr>
              <w:pStyle w:val="256"/>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56"/>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56"/>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pStyle w:val="256"/>
              <w:numPr>
                <w:ilvl w:val="0"/>
                <w:numId w:val="4"/>
              </w:numPr>
              <w:snapToGrid w:val="0"/>
              <w:ind w:firstLineChars="0"/>
              <w:rPr>
                <w:rFonts w:ascii="仿宋_GB2312" w:hAnsi="仿宋" w:eastAsia="仿宋_GB2312" w:cs="仿宋_GB2312"/>
              </w:rPr>
            </w:pPr>
            <w:r>
              <w:rPr>
                <w:rFonts w:ascii="仿宋_GB2312" w:hAnsi="仿宋" w:eastAsia="仿宋_GB2312" w:cs="仿宋_GB2312"/>
              </w:rPr>
              <w:t>中小企业声明函</w:t>
            </w:r>
            <w:r>
              <w:rPr>
                <w:rFonts w:hint="eastAsia" w:ascii="仿宋_GB2312" w:hAnsi="仿宋" w:eastAsia="仿宋_GB2312" w:cs="仿宋_GB2312"/>
              </w:rPr>
              <w:t>（如需）</w:t>
            </w:r>
            <w:r>
              <w:rPr>
                <w:rFonts w:ascii="仿宋_GB2312" w:hAnsi="仿宋" w:eastAsia="仿宋_GB2312" w:cs="仿宋_GB2312"/>
              </w:rPr>
              <w:t>。</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Times New Roman"/>
                  <w:kern w:val="0"/>
                  <w:sz w:val="24"/>
                </w:rPr>
              </w:sdtEndPr>
              <w:sdtContent>
                <w:r>
                  <w:rPr>
                    <w:rFonts w:hint="eastAsia" w:ascii="仿宋_GB2312" w:hAnsi="仿宋" w:eastAsia="仿宋_GB2312" w:cs="Arial"/>
                    <w:kern w:val="0"/>
                    <w:sz w:val="24"/>
                  </w:rPr>
                  <w:t xml:space="preserve"> </w:t>
                </w:r>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 xml:space="preserve"> 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88991638"/>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888991637"/>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kern w:val="0"/>
                <w:sz w:val="24"/>
              </w:rPr>
              <w:t xml:space="preserve"> 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w:t>
            </w:r>
            <w:r>
              <w:rPr>
                <w:rFonts w:ascii="仿宋_GB2312" w:hAnsi="仿宋" w:eastAsia="仿宋_GB2312"/>
                <w:kern w:val="0"/>
                <w:sz w:val="24"/>
              </w:rPr>
              <w:t>方案讲解演示</w:t>
            </w:r>
            <w:r>
              <w:rPr>
                <w:rFonts w:hint="eastAsia" w:ascii="仿宋_GB2312" w:hAnsi="仿宋" w:eastAsia="仿宋_GB2312"/>
                <w:kern w:val="0"/>
                <w:sz w:val="24"/>
              </w:rPr>
              <w:t>采用U盘或光盘演示。投标人须通过现场或邮寄方式递交此项目演示视频存储介质，请各投标人在邮寄过程中自行保护好隐私，并确保在投标截止时间前寄到收件人处。</w:t>
            </w:r>
            <w:r>
              <w:rPr>
                <w:rFonts w:ascii="仿宋_GB2312" w:hAnsi="仿宋" w:eastAsia="仿宋_GB2312"/>
                <w:kern w:val="0"/>
                <w:sz w:val="24"/>
              </w:rPr>
              <w:t>每个投标人</w:t>
            </w:r>
            <w:r>
              <w:rPr>
                <w:rFonts w:hint="eastAsia" w:ascii="仿宋_GB2312" w:hAnsi="仿宋" w:eastAsia="仿宋_GB2312"/>
                <w:kern w:val="0"/>
                <w:sz w:val="24"/>
              </w:rPr>
              <w:t>演示</w:t>
            </w:r>
            <w:r>
              <w:rPr>
                <w:rFonts w:ascii="仿宋_GB2312" w:hAnsi="仿宋" w:eastAsia="仿宋_GB2312"/>
                <w:kern w:val="0"/>
                <w:sz w:val="24"/>
              </w:rPr>
              <w:t>时间不超过20分钟。</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签订合同时，中标供应商无须向采购人缴纳履约保证金。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LED显示屏。</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服务类：</w:t>
            </w:r>
            <w:r>
              <w:rPr>
                <w:rFonts w:hint="eastAsia" w:ascii="仿宋_GB2312" w:hAnsi="仿宋" w:eastAsia="仿宋_GB2312"/>
                <w:sz w:val="24"/>
                <w:u w:val="single"/>
              </w:rPr>
              <w:t xml:space="preserve">    </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一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p>
            <w:pPr>
              <w:pStyle w:val="2"/>
              <w:rPr>
                <w:b w:val="0"/>
                <w:bCs w:val="0"/>
                <w:lang w:val="en-US"/>
              </w:rPr>
            </w:pPr>
            <w:r>
              <w:rPr>
                <w:rFonts w:hint="eastAsia"/>
                <w:b w:val="0"/>
                <w:bCs w:val="0"/>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7"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7"/>
                <w:rFonts w:ascii="仿宋_GB2312" w:hAnsi="仿宋" w:eastAsia="仿宋_GB2312" w:cs="仿宋_GB2312"/>
                <w:b/>
                <w:kern w:val="2"/>
                <w:sz w:val="24"/>
                <w:szCs w:val="24"/>
              </w:rPr>
              <w:t>zjztb001@aliyun.com</w:t>
            </w:r>
            <w:r>
              <w:rPr>
                <w:rStyle w:val="77"/>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3"/>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
    <w:p/>
    <w:p/>
    <w:p>
      <w:pPr>
        <w:pStyle w:val="2"/>
        <w:rPr>
          <w:lang w:val="en-US"/>
        </w:rPr>
      </w:pPr>
    </w:p>
    <w:p/>
    <w:p>
      <w:pPr>
        <w:pStyle w:val="2"/>
        <w:rPr>
          <w:lang w:val="en-US"/>
        </w:rPr>
      </w:pPr>
    </w:p>
    <w:p/>
    <w:p/>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3"/>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2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29"/>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2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3"/>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5"/>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2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9"/>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29"/>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5236011"/>
      <w:bookmarkEnd w:id="14"/>
      <w:bookmarkStart w:id="15" w:name="_Hlt75236290"/>
      <w:bookmarkEnd w:id="15"/>
      <w:bookmarkStart w:id="16" w:name="_Hlt68072990"/>
      <w:bookmarkEnd w:id="16"/>
      <w:bookmarkStart w:id="17" w:name="_Hlt74729768"/>
      <w:bookmarkEnd w:id="17"/>
      <w:bookmarkStart w:id="18" w:name="_Hlt74730295"/>
      <w:bookmarkEnd w:id="18"/>
      <w:bookmarkStart w:id="19" w:name="_Hlt74707468"/>
      <w:bookmarkEnd w:id="19"/>
      <w:bookmarkStart w:id="20" w:name="_Hlt75236101"/>
      <w:bookmarkEnd w:id="20"/>
      <w:bookmarkStart w:id="21" w:name="_Hlt68057669"/>
      <w:bookmarkEnd w:id="21"/>
      <w:bookmarkStart w:id="22" w:name="_Hlt68072998"/>
      <w:bookmarkEnd w:id="22"/>
      <w:bookmarkStart w:id="23" w:name="_Hlt74714665"/>
      <w:bookmarkEnd w:id="23"/>
      <w:bookmarkStart w:id="24" w:name="_Hlt68403820"/>
      <w:bookmarkEnd w:id="24"/>
      <w:bookmarkStart w:id="25" w:name="_Hlt68073093"/>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24"/>
        <w:ind w:firstLine="482" w:firstLineChars="200"/>
        <w:rPr>
          <w:b/>
          <w:bCs/>
        </w:rPr>
      </w:pPr>
      <w:r>
        <w:rPr>
          <w:rFonts w:hint="eastAsia"/>
          <w:b/>
          <w:bCs/>
        </w:rPr>
        <w:t>一、采购清单</w:t>
      </w:r>
    </w:p>
    <w:tbl>
      <w:tblPr>
        <w:tblStyle w:val="63"/>
        <w:tblW w:w="8363" w:type="dxa"/>
        <w:tblInd w:w="250" w:type="dxa"/>
        <w:tblLayout w:type="fixed"/>
        <w:tblCellMar>
          <w:top w:w="0" w:type="dxa"/>
          <w:left w:w="108" w:type="dxa"/>
          <w:bottom w:w="0" w:type="dxa"/>
          <w:right w:w="108" w:type="dxa"/>
        </w:tblCellMar>
      </w:tblPr>
      <w:tblGrid>
        <w:gridCol w:w="806"/>
        <w:gridCol w:w="2313"/>
        <w:gridCol w:w="2409"/>
        <w:gridCol w:w="993"/>
        <w:gridCol w:w="708"/>
        <w:gridCol w:w="1134"/>
      </w:tblGrid>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编号</w:t>
            </w:r>
          </w:p>
        </w:tc>
        <w:tc>
          <w:tcPr>
            <w:tcW w:w="2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rPr>
              <w:t>改造内容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单位</w:t>
            </w: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31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rPr>
              <w:t>LED显示屏部分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LED显示屏</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21.4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m</w:t>
            </w:r>
            <w:r>
              <w:rPr>
                <w:rStyle w:val="144"/>
                <w:rFonts w:hint="default"/>
              </w:rPr>
              <w:t>2</w:t>
            </w:r>
          </w:p>
        </w:tc>
        <w:tc>
          <w:tcPr>
            <w:tcW w:w="1134" w:type="dxa"/>
            <w:vMerge w:val="restart"/>
            <w:tcBorders>
              <w:top w:val="single" w:color="000000" w:sz="4" w:space="0"/>
              <w:left w:val="single" w:color="000000" w:sz="4" w:space="0"/>
              <w:right w:val="single" w:color="000000" w:sz="4" w:space="0"/>
            </w:tcBorders>
          </w:tcPr>
          <w:p>
            <w:pPr>
              <w:widowControl/>
              <w:textAlignment w:val="center"/>
              <w:rPr>
                <w:rFonts w:ascii="宋体" w:hAnsi="宋体" w:cs="宋体"/>
                <w:color w:val="FF0000"/>
                <w:kern w:val="0"/>
                <w:szCs w:val="21"/>
              </w:rPr>
            </w:pPr>
            <w:r>
              <w:rPr>
                <w:rFonts w:hint="eastAsia" w:ascii="宋体" w:hAnsi="宋体" w:cs="宋体"/>
                <w:color w:val="000000"/>
                <w:kern w:val="0"/>
                <w:sz w:val="22"/>
                <w:szCs w:val="22"/>
              </w:rPr>
              <w:t>1至9项总最高限价23.7万元</w:t>
            </w: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电源</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108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台</w:t>
            </w:r>
          </w:p>
        </w:tc>
        <w:tc>
          <w:tcPr>
            <w:tcW w:w="1134" w:type="dxa"/>
            <w:vMerge w:val="continue"/>
            <w:tcBorders>
              <w:left w:val="single" w:color="000000" w:sz="4" w:space="0"/>
              <w:right w:val="single" w:color="000000" w:sz="4" w:space="0"/>
            </w:tcBorders>
          </w:tcPr>
          <w:p>
            <w:pPr>
              <w:widowControl/>
              <w:jc w:val="center"/>
              <w:textAlignment w:val="center"/>
              <w:rPr>
                <w:rFonts w:ascii="宋体" w:hAnsi="宋体" w:cs="宋体"/>
                <w:color w:val="000000"/>
                <w:kern w:val="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控制系统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1134" w:type="dxa"/>
            <w:vMerge w:val="continue"/>
            <w:tcBorders>
              <w:left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视频处理器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1134" w:type="dxa"/>
            <w:vMerge w:val="continue"/>
            <w:tcBorders>
              <w:left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88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sz w:val="24"/>
              </w:rPr>
              <w:t>配电系统</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1134" w:type="dxa"/>
            <w:vMerge w:val="continue"/>
            <w:tcBorders>
              <w:left w:val="single" w:color="000000" w:sz="4" w:space="0"/>
              <w:right w:val="single" w:color="000000" w:sz="4" w:space="0"/>
            </w:tcBorders>
          </w:tcPr>
          <w:p>
            <w:pPr>
              <w:widowControl/>
              <w:jc w:val="center"/>
              <w:textAlignment w:val="center"/>
              <w:rPr>
                <w:rFonts w:ascii="宋体" w:hAnsi="宋体" w:cs="宋体"/>
                <w:color w:val="000000"/>
                <w:kern w:val="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多媒体控制终端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1134" w:type="dxa"/>
            <w:vMerge w:val="continue"/>
            <w:tcBorders>
              <w:left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结构及包边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22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m</w:t>
            </w:r>
            <w:r>
              <w:rPr>
                <w:rStyle w:val="144"/>
                <w:rFonts w:hint="default"/>
              </w:rPr>
              <w:t>2</w:t>
            </w:r>
          </w:p>
        </w:tc>
        <w:tc>
          <w:tcPr>
            <w:tcW w:w="1134" w:type="dxa"/>
            <w:vMerge w:val="continue"/>
            <w:tcBorders>
              <w:left w:val="single" w:color="000000" w:sz="4" w:space="0"/>
              <w:right w:val="single" w:color="000000" w:sz="4" w:space="0"/>
            </w:tcBorders>
          </w:tcPr>
          <w:p>
            <w:pPr>
              <w:widowControl/>
              <w:jc w:val="center"/>
              <w:textAlignment w:val="center"/>
              <w:rPr>
                <w:rFonts w:ascii="宋体" w:hAnsi="宋体" w:cs="宋体"/>
                <w:color w:val="000000"/>
                <w:kern w:val="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电源时序器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套</w:t>
            </w:r>
          </w:p>
        </w:tc>
        <w:tc>
          <w:tcPr>
            <w:tcW w:w="1134" w:type="dxa"/>
            <w:vMerge w:val="continue"/>
            <w:tcBorders>
              <w:left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231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安装调试费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21.4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m</w:t>
            </w:r>
            <w:r>
              <w:rPr>
                <w:rStyle w:val="144"/>
                <w:rFonts w:hint="default"/>
              </w:rPr>
              <w:t>2</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231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rPr>
              <w:t>灯光部分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光灯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套</w:t>
            </w:r>
          </w:p>
        </w:tc>
        <w:tc>
          <w:tcPr>
            <w:tcW w:w="1134" w:type="dxa"/>
            <w:vMerge w:val="restar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cs="宋体"/>
                <w:color w:val="FF0000"/>
                <w:szCs w:val="21"/>
              </w:rPr>
            </w:pPr>
            <w:r>
              <w:rPr>
                <w:rFonts w:hint="eastAsia" w:ascii="宋体" w:hAnsi="宋体" w:cs="宋体"/>
                <w:color w:val="000000"/>
                <w:kern w:val="0"/>
                <w:sz w:val="22"/>
                <w:szCs w:val="22"/>
              </w:rPr>
              <w:t>10-32项总最高限价12.3万元</w:t>
            </w: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231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灯控台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套</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02"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31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综合布线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综合布线</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231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机柜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套</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231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rPr>
              <w:t>音箱部分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主音箱</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只</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功放</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台</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调音台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台</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音频处理器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台</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会议话筒</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套</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31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音箱线材、转接线等</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批</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新宋体" w:hAnsi="新宋体" w:eastAsia="新宋体" w:cs="新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31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原有音箱系统拆除维护及换址安装调试</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音箱拆除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新宋体" w:hAnsi="新宋体" w:eastAsia="新宋体" w:cs="新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音箱维护维修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新宋体" w:hAnsi="新宋体" w:eastAsia="新宋体" w:cs="新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31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音箱安装调试</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新宋体" w:hAnsi="新宋体" w:eastAsia="新宋体" w:cs="新宋体"/>
                <w:color w:val="000000"/>
                <w:szCs w:val="21"/>
              </w:rPr>
            </w:pPr>
          </w:p>
        </w:tc>
      </w:tr>
      <w:tr>
        <w:tblPrEx>
          <w:tblCellMar>
            <w:top w:w="0" w:type="dxa"/>
            <w:left w:w="108" w:type="dxa"/>
            <w:bottom w:w="0" w:type="dxa"/>
            <w:right w:w="108" w:type="dxa"/>
          </w:tblCellMar>
        </w:tblPrEx>
        <w:trPr>
          <w:trHeight w:val="435"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31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舞台部分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舞台更换</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28.8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m</w:t>
            </w:r>
            <w:r>
              <w:rPr>
                <w:rStyle w:val="144"/>
                <w:rFonts w:hint="default"/>
              </w:rPr>
              <w:t>2</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舞台侧面油漆处理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新宋体" w:hAnsi="新宋体" w:eastAsia="新宋体" w:cs="新宋体"/>
                <w:color w:val="000000"/>
                <w:kern w:val="0"/>
                <w:szCs w:val="21"/>
              </w:rPr>
              <w:t>项</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rPr>
            </w:pPr>
          </w:p>
        </w:tc>
      </w:tr>
      <w:tr>
        <w:tblPrEx>
          <w:tblCellMar>
            <w:top w:w="0" w:type="dxa"/>
            <w:left w:w="108" w:type="dxa"/>
            <w:bottom w:w="0" w:type="dxa"/>
            <w:right w:w="108" w:type="dxa"/>
          </w:tblCellMar>
        </w:tblPrEx>
        <w:trPr>
          <w:trHeight w:val="41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31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地插</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套</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31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两侧墙面装饰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两侧墙面装饰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25.82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m</w:t>
            </w:r>
            <w:r>
              <w:rPr>
                <w:rStyle w:val="144"/>
                <w:rFonts w:hint="default"/>
              </w:rPr>
              <w:t>2</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两侧墙面装饰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18.24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m</w:t>
            </w:r>
            <w:r>
              <w:rPr>
                <w:rStyle w:val="144"/>
                <w:rFonts w:hint="default"/>
              </w:rPr>
              <w:t>2</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两侧墙面装饰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9.6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m</w:t>
            </w:r>
            <w:r>
              <w:rPr>
                <w:rStyle w:val="144"/>
                <w:rFonts w:hint="default"/>
              </w:rPr>
              <w:t>2</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两侧墙面装饰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7.2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m</w:t>
            </w:r>
            <w:r>
              <w:rPr>
                <w:rStyle w:val="144"/>
                <w:rFonts w:hint="default"/>
              </w:rPr>
              <w:t>2</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313"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更换隐型门门套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套</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31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p>
        </w:tc>
        <w:tc>
          <w:tcPr>
            <w:tcW w:w="2409"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隐形门弹簧器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新宋体" w:hAnsi="新宋体" w:eastAsia="新宋体" w:cs="新宋体"/>
                <w:color w:val="000000"/>
                <w:kern w:val="0"/>
                <w:szCs w:val="21"/>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套</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40" w:hRule="atLeast"/>
        </w:trPr>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4722" w:type="dxa"/>
            <w:gridSpan w:val="2"/>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拆除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新宋体" w:hAnsi="新宋体" w:eastAsia="新宋体" w:cs="新宋体"/>
                <w:color w:val="000000"/>
                <w:kern w:val="0"/>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Cs w:val="21"/>
              </w:rPr>
            </w:pPr>
            <w:r>
              <w:rPr>
                <w:rFonts w:hint="eastAsia" w:ascii="宋体" w:hAnsi="宋体" w:cs="宋体"/>
                <w:color w:val="000000"/>
                <w:kern w:val="0"/>
                <w:szCs w:val="21"/>
              </w:rPr>
              <w:t>项</w:t>
            </w:r>
          </w:p>
        </w:tc>
        <w:tc>
          <w:tcPr>
            <w:tcW w:w="1134"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p>
        </w:tc>
      </w:tr>
    </w:tbl>
    <w:p/>
    <w:p>
      <w:pPr>
        <w:rPr>
          <w:b/>
          <w:bCs/>
        </w:rPr>
      </w:pPr>
      <w:r>
        <w:rPr>
          <w:rFonts w:hint="eastAsia"/>
          <w:b/>
          <w:bCs/>
        </w:rPr>
        <w:t>二、技术参数</w:t>
      </w:r>
    </w:p>
    <w:tbl>
      <w:tblPr>
        <w:tblStyle w:val="63"/>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96"/>
        <w:gridCol w:w="6126"/>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2" w:type="dxa"/>
            <w:vAlign w:val="center"/>
          </w:tcPr>
          <w:p>
            <w:pPr>
              <w:jc w:val="center"/>
              <w:rPr>
                <w:rFonts w:ascii="宋体" w:hAnsi="宋体"/>
                <w:sz w:val="24"/>
              </w:rPr>
            </w:pPr>
            <w:r>
              <w:rPr>
                <w:rFonts w:hint="eastAsia" w:ascii="宋体" w:hAnsi="宋体"/>
                <w:sz w:val="24"/>
              </w:rPr>
              <w:t>序号</w:t>
            </w:r>
          </w:p>
        </w:tc>
        <w:tc>
          <w:tcPr>
            <w:tcW w:w="1196" w:type="dxa"/>
            <w:vAlign w:val="center"/>
          </w:tcPr>
          <w:p>
            <w:pPr>
              <w:jc w:val="center"/>
              <w:rPr>
                <w:rFonts w:ascii="宋体" w:hAnsi="宋体"/>
                <w:sz w:val="24"/>
              </w:rPr>
            </w:pPr>
            <w:r>
              <w:rPr>
                <w:rFonts w:hint="eastAsia" w:ascii="宋体" w:hAnsi="宋体"/>
                <w:sz w:val="24"/>
              </w:rPr>
              <w:t>项目</w:t>
            </w:r>
          </w:p>
        </w:tc>
        <w:tc>
          <w:tcPr>
            <w:tcW w:w="6126" w:type="dxa"/>
            <w:vAlign w:val="center"/>
          </w:tcPr>
          <w:p>
            <w:pPr>
              <w:jc w:val="center"/>
              <w:rPr>
                <w:rFonts w:ascii="宋体" w:hAnsi="宋体"/>
                <w:sz w:val="24"/>
              </w:rPr>
            </w:pPr>
            <w:r>
              <w:rPr>
                <w:rFonts w:hint="eastAsia" w:ascii="宋体" w:hAnsi="宋体"/>
                <w:sz w:val="24"/>
              </w:rPr>
              <w:t>技术规格要求</w:t>
            </w:r>
          </w:p>
        </w:tc>
        <w:tc>
          <w:tcPr>
            <w:tcW w:w="992" w:type="dxa"/>
            <w:vAlign w:val="center"/>
          </w:tcPr>
          <w:p>
            <w:pPr>
              <w:jc w:val="center"/>
              <w:rPr>
                <w:rFonts w:ascii="宋体" w:hAnsi="宋体"/>
                <w:sz w:val="24"/>
              </w:rPr>
            </w:pPr>
            <w:r>
              <w:rPr>
                <w:rFonts w:hint="eastAsia" w:ascii="宋体" w:hAnsi="宋体"/>
                <w:sz w:val="24"/>
              </w:rPr>
              <w:t>数量</w:t>
            </w:r>
          </w:p>
        </w:tc>
        <w:tc>
          <w:tcPr>
            <w:tcW w:w="850" w:type="dxa"/>
            <w:vAlign w:val="center"/>
          </w:tcPr>
          <w:p>
            <w:pPr>
              <w:jc w:val="center"/>
              <w:rPr>
                <w:rFonts w:ascii="宋体" w:hAnsi="宋体"/>
                <w:sz w:val="24"/>
              </w:rPr>
            </w:pPr>
            <w:r>
              <w:rPr>
                <w:rFonts w:hint="eastAsia" w:ascii="宋体" w:hAnsi="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Align w:val="center"/>
          </w:tcPr>
          <w:p>
            <w:pPr>
              <w:jc w:val="center"/>
              <w:rPr>
                <w:rFonts w:ascii="宋体" w:hAnsi="宋体"/>
                <w:sz w:val="24"/>
              </w:rPr>
            </w:pPr>
            <w:r>
              <w:rPr>
                <w:rFonts w:hint="eastAsia" w:ascii="宋体" w:hAnsi="宋体"/>
                <w:sz w:val="24"/>
              </w:rPr>
              <w:t>1</w:t>
            </w:r>
          </w:p>
        </w:tc>
        <w:tc>
          <w:tcPr>
            <w:tcW w:w="1196" w:type="dxa"/>
            <w:vAlign w:val="center"/>
          </w:tcPr>
          <w:p>
            <w:pPr>
              <w:jc w:val="center"/>
              <w:rPr>
                <w:rFonts w:ascii="宋体" w:hAnsi="宋体"/>
                <w:sz w:val="24"/>
              </w:rPr>
            </w:pPr>
            <w:r>
              <w:rPr>
                <w:rFonts w:hint="eastAsia" w:ascii="宋体" w:hAnsi="宋体"/>
                <w:sz w:val="24"/>
              </w:rPr>
              <w:t>LED显示屏</w:t>
            </w:r>
          </w:p>
        </w:tc>
        <w:tc>
          <w:tcPr>
            <w:tcW w:w="6126" w:type="dxa"/>
            <w:vAlign w:val="center"/>
          </w:tcPr>
          <w:p>
            <w:pPr>
              <w:widowControl/>
              <w:textAlignment w:val="center"/>
            </w:pPr>
            <w:r>
              <w:rPr>
                <w:rFonts w:hint="eastAsia"/>
              </w:rPr>
              <w:t>显示屏净尺寸：6.08m*3.52m</w:t>
            </w:r>
          </w:p>
          <w:p>
            <w:pPr>
              <w:jc w:val="left"/>
            </w:pPr>
            <w:r>
              <w:t>1、像素间距：纵向：</w:t>
            </w:r>
            <w:r>
              <w:rPr>
                <w:rFonts w:hint="eastAsia"/>
              </w:rPr>
              <w:t>≤2.5</w:t>
            </w:r>
            <w:r>
              <w:t>mm，横向：</w:t>
            </w:r>
            <w:r>
              <w:rPr>
                <w:rFonts w:hint="eastAsia"/>
              </w:rPr>
              <w:t>≤2.5</w:t>
            </w:r>
            <w:r>
              <w:t>mm；</w:t>
            </w:r>
          </w:p>
          <w:p>
            <w:pPr>
              <w:spacing w:line="300" w:lineRule="exact"/>
              <w:jc w:val="left"/>
            </w:pPr>
            <w:r>
              <w:t>2、像素组成：1R1G1B（SMD表贴三合一）；</w:t>
            </w:r>
          </w:p>
          <w:p>
            <w:pPr>
              <w:widowControl/>
              <w:textAlignment w:val="center"/>
            </w:pPr>
            <w:r>
              <w:rPr>
                <w:rFonts w:hint="eastAsia" w:ascii="宋体" w:hAnsi="宋体" w:cs="宋体"/>
                <w:kern w:val="0"/>
                <w:sz w:val="22"/>
                <w:szCs w:val="22"/>
              </w:rPr>
              <w:t>▲</w:t>
            </w:r>
            <w:r>
              <w:rPr>
                <w:rFonts w:hint="eastAsia"/>
              </w:rPr>
              <w:t>3、模组底壳材质全铝底壳</w:t>
            </w:r>
            <w:r>
              <w:t>。</w:t>
            </w:r>
            <w:r>
              <w:rPr>
                <w:rFonts w:hint="eastAsia"/>
              </w:rPr>
              <w:t>（</w:t>
            </w:r>
            <w:r>
              <w:t>投标</w:t>
            </w:r>
            <w:r>
              <w:rPr>
                <w:rFonts w:hint="eastAsia"/>
              </w:rPr>
              <w:t>文件中提供</w:t>
            </w:r>
            <w:r>
              <w:rPr>
                <w:rFonts w:hint="eastAsia" w:cs="宋体" w:asciiTheme="minorEastAsia" w:hAnsiTheme="minorEastAsia"/>
                <w:kern w:val="0"/>
                <w:szCs w:val="21"/>
              </w:rPr>
              <w:t>第三方检测机构</w:t>
            </w:r>
            <w:r>
              <w:rPr>
                <w:rFonts w:hint="eastAsia"/>
              </w:rPr>
              <w:t>检测报告复印件。）</w:t>
            </w:r>
          </w:p>
          <w:p>
            <w:pPr>
              <w:widowControl/>
              <w:textAlignment w:val="center"/>
            </w:pPr>
            <w:r>
              <w:rPr>
                <w:rFonts w:hint="eastAsia"/>
              </w:rPr>
              <w:t>4、</w:t>
            </w:r>
            <w:r>
              <w:t>显示屏亮度：校正后</w:t>
            </w:r>
            <w:r>
              <w:rPr>
                <w:rFonts w:hint="eastAsia"/>
              </w:rPr>
              <w:t>≥5</w:t>
            </w:r>
            <w:r>
              <w:t>00nits</w:t>
            </w:r>
          </w:p>
          <w:p>
            <w:pPr>
              <w:widowControl/>
              <w:textAlignment w:val="center"/>
            </w:pPr>
            <w:r>
              <w:rPr>
                <w:rFonts w:hint="eastAsia"/>
              </w:rPr>
              <w:t>5、</w:t>
            </w:r>
            <w:r>
              <w:t>亮度均匀性：像素之间亮度均匀性±0.00</w:t>
            </w:r>
            <w:r>
              <w:rPr>
                <w:rFonts w:hint="eastAsia"/>
              </w:rPr>
              <w:t>2</w:t>
            </w:r>
            <w:r>
              <w:t>Cx,Cy之内，模块间亮度均匀性：</w:t>
            </w:r>
            <w:r>
              <w:rPr>
                <w:rFonts w:hint="eastAsia"/>
              </w:rPr>
              <w:t>≥</w:t>
            </w:r>
            <w:r>
              <w:t>9</w:t>
            </w:r>
            <w:r>
              <w:rPr>
                <w:rFonts w:hint="eastAsia"/>
              </w:rPr>
              <w:t>8.5%</w:t>
            </w:r>
            <w:r>
              <w:t xml:space="preserve"> </w:t>
            </w:r>
          </w:p>
          <w:p>
            <w:pPr>
              <w:widowControl/>
              <w:textAlignment w:val="center"/>
            </w:pPr>
            <w:r>
              <w:t>屏幕水平视角：</w:t>
            </w:r>
            <w:r>
              <w:rPr>
                <w:rFonts w:hint="eastAsia"/>
              </w:rPr>
              <w:t>≥</w:t>
            </w:r>
            <w:r>
              <w:t>160°；屏幕垂直视角：</w:t>
            </w:r>
            <w:r>
              <w:rPr>
                <w:rFonts w:hint="eastAsia"/>
              </w:rPr>
              <w:t>≥</w:t>
            </w:r>
            <w:r>
              <w:t>140°</w:t>
            </w:r>
          </w:p>
          <w:p>
            <w:pPr>
              <w:widowControl/>
              <w:textAlignment w:val="center"/>
            </w:pPr>
            <w:r>
              <w:t>平整度：任意相邻模组间</w:t>
            </w:r>
            <w:r>
              <w:rPr>
                <w:rFonts w:hint="eastAsia"/>
              </w:rPr>
              <w:t>≤</w:t>
            </w:r>
            <w:r>
              <w:t>0.</w:t>
            </w:r>
            <w:r>
              <w:rPr>
                <w:rFonts w:hint="eastAsia"/>
              </w:rPr>
              <w:t>1</w:t>
            </w:r>
            <w:r>
              <w:t>mm</w:t>
            </w:r>
          </w:p>
          <w:p>
            <w:pPr>
              <w:widowControl/>
              <w:textAlignment w:val="center"/>
            </w:pPr>
            <w:r>
              <w:rPr>
                <w:rFonts w:hint="eastAsia"/>
              </w:rPr>
              <w:t>▲8、模组支持前拆前维护和后拆后维护功能。（</w:t>
            </w:r>
            <w:r>
              <w:t>投标</w:t>
            </w:r>
            <w:r>
              <w:rPr>
                <w:rFonts w:hint="eastAsia"/>
              </w:rPr>
              <w:t>文件中提供第三方检测机构检测报告复印件。）</w:t>
            </w:r>
          </w:p>
          <w:p>
            <w:pPr>
              <w:widowControl/>
              <w:textAlignment w:val="center"/>
            </w:pPr>
            <w:r>
              <w:t>色温：3000K</w:t>
            </w:r>
            <w:r>
              <w:rPr>
                <w:rFonts w:hint="eastAsia"/>
              </w:rPr>
              <w:t>～</w:t>
            </w:r>
            <w:r>
              <w:t>1</w:t>
            </w:r>
            <w:r>
              <w:rPr>
                <w:rFonts w:hint="eastAsia"/>
              </w:rPr>
              <w:t>5</w:t>
            </w:r>
            <w:r>
              <w:t>000K可调。</w:t>
            </w:r>
          </w:p>
          <w:p>
            <w:pPr>
              <w:widowControl/>
              <w:spacing w:line="300" w:lineRule="exact"/>
              <w:jc w:val="left"/>
              <w:textAlignment w:val="center"/>
            </w:pPr>
            <w:r>
              <w:rPr>
                <w:rFonts w:hint="eastAsia"/>
              </w:rPr>
              <w:t>10.低亮高灰：</w:t>
            </w:r>
            <w:r>
              <w:t>100%亮</w:t>
            </w:r>
            <w:r>
              <w:rPr>
                <w:rFonts w:cs="宋体" w:asciiTheme="minorEastAsia" w:hAnsiTheme="minorEastAsia"/>
                <w:kern w:val="0"/>
                <w:szCs w:val="21"/>
              </w:rPr>
              <w:t>度时，</w:t>
            </w:r>
            <w:r>
              <w:rPr>
                <w:rFonts w:hint="eastAsia" w:cs="宋体" w:asciiTheme="minorEastAsia" w:hAnsiTheme="minorEastAsia"/>
                <w:kern w:val="0"/>
                <w:szCs w:val="21"/>
              </w:rPr>
              <w:t>≦</w:t>
            </w:r>
            <w:r>
              <w:rPr>
                <w:rFonts w:cs="宋体" w:asciiTheme="minorEastAsia" w:hAnsiTheme="minorEastAsia"/>
                <w:kern w:val="0"/>
                <w:szCs w:val="21"/>
              </w:rPr>
              <w:t>16bits灰度</w:t>
            </w:r>
            <w:r>
              <w:t>；20%亮度时，12bits 灰度</w:t>
            </w:r>
          </w:p>
          <w:p>
            <w:pPr>
              <w:widowControl/>
              <w:spacing w:line="300" w:lineRule="exact"/>
              <w:jc w:val="left"/>
              <w:textAlignment w:val="center"/>
            </w:pPr>
            <w:r>
              <w:rPr>
                <w:rFonts w:hint="eastAsia"/>
              </w:rPr>
              <w:t>11、</w:t>
            </w:r>
            <w:r>
              <w:t>支持单点校正功能</w:t>
            </w:r>
          </w:p>
          <w:p>
            <w:pPr>
              <w:widowControl/>
              <w:spacing w:line="300" w:lineRule="exact"/>
              <w:jc w:val="left"/>
              <w:textAlignment w:val="center"/>
            </w:pPr>
            <w:r>
              <w:rPr>
                <w:rFonts w:hint="eastAsia"/>
              </w:rPr>
              <w:t>12、</w:t>
            </w:r>
            <w:r>
              <w:t>对比度</w:t>
            </w:r>
            <w:r>
              <w:rPr>
                <w:rFonts w:hint="eastAsia"/>
              </w:rPr>
              <w:t>：≥5</w:t>
            </w:r>
            <w:r>
              <w:t>000:1</w:t>
            </w:r>
          </w:p>
          <w:p>
            <w:pPr>
              <w:widowControl/>
              <w:spacing w:line="300" w:lineRule="exact"/>
              <w:jc w:val="left"/>
              <w:textAlignment w:val="center"/>
            </w:pPr>
            <w:r>
              <w:t>▲</w:t>
            </w:r>
            <w:r>
              <w:rPr>
                <w:rFonts w:hint="eastAsia"/>
              </w:rPr>
              <w:t>13</w:t>
            </w:r>
            <w:r>
              <w:t>、</w:t>
            </w:r>
            <w:r>
              <w:rPr>
                <w:rFonts w:hint="eastAsia"/>
              </w:rPr>
              <w:t>模组机械强度≥5MP（</w:t>
            </w:r>
            <w:r>
              <w:t>投标</w:t>
            </w:r>
            <w:r>
              <w:rPr>
                <w:rFonts w:hint="eastAsia"/>
              </w:rPr>
              <w:t>文件中提供</w:t>
            </w:r>
            <w:r>
              <w:rPr>
                <w:rFonts w:hint="eastAsia" w:cs="宋体" w:asciiTheme="minorEastAsia" w:hAnsiTheme="minorEastAsia"/>
                <w:kern w:val="0"/>
                <w:szCs w:val="21"/>
              </w:rPr>
              <w:t>第三方检测机构检测报告复印件。</w:t>
            </w:r>
            <w:r>
              <w:rPr>
                <w:rFonts w:hint="eastAsia"/>
              </w:rPr>
              <w:t>）</w:t>
            </w:r>
          </w:p>
          <w:p>
            <w:r>
              <w:t>▲</w:t>
            </w:r>
            <w:r>
              <w:rPr>
                <w:rFonts w:hint="eastAsia"/>
              </w:rPr>
              <w:t>14</w:t>
            </w:r>
            <w:r>
              <w:t>、峰值功耗：</w:t>
            </w:r>
            <w:r>
              <w:rPr>
                <w:rFonts w:hint="eastAsia"/>
              </w:rPr>
              <w:t>≤415</w:t>
            </w:r>
            <w:r>
              <w:t>W/m²，平均功耗:</w:t>
            </w:r>
            <w:r>
              <w:rPr>
                <w:rFonts w:hint="eastAsia"/>
              </w:rPr>
              <w:t xml:space="preserve"> ≤</w:t>
            </w:r>
            <w:r>
              <w:t>1</w:t>
            </w:r>
            <w:r>
              <w:rPr>
                <w:rFonts w:hint="eastAsia"/>
              </w:rPr>
              <w:t>40</w:t>
            </w:r>
            <w:r>
              <w:t>W/m²</w:t>
            </w:r>
            <w:r>
              <w:rPr>
                <w:rFonts w:hint="eastAsia"/>
              </w:rPr>
              <w:t>（</w:t>
            </w:r>
            <w:r>
              <w:t>投标</w:t>
            </w:r>
            <w:r>
              <w:rPr>
                <w:rFonts w:hint="eastAsia"/>
              </w:rPr>
              <w:t>文件中提供</w:t>
            </w:r>
            <w:r>
              <w:rPr>
                <w:rFonts w:hint="eastAsia" w:cs="宋体" w:asciiTheme="minorEastAsia" w:hAnsiTheme="minorEastAsia"/>
                <w:kern w:val="0"/>
                <w:szCs w:val="21"/>
              </w:rPr>
              <w:t>第三方检测机构检测报告复印件。</w:t>
            </w:r>
            <w:r>
              <w:rPr>
                <w:rFonts w:hint="eastAsia"/>
              </w:rPr>
              <w:t>）</w:t>
            </w:r>
          </w:p>
          <w:p>
            <w:pPr>
              <w:widowControl/>
              <w:spacing w:line="300" w:lineRule="exact"/>
              <w:jc w:val="left"/>
              <w:textAlignment w:val="center"/>
            </w:pPr>
            <w:r>
              <w:rPr>
                <w:rFonts w:hint="eastAsia"/>
              </w:rPr>
              <w:t>15</w:t>
            </w:r>
            <w:r>
              <w:t>、</w:t>
            </w:r>
            <w:r>
              <w:rPr>
                <w:rFonts w:hint="eastAsia"/>
              </w:rPr>
              <w:t>具备双电网供电，冗杂备份功能。当其中一路交流电网跳闸后，，另外一路电网继续供电，实现不间断供电。支持热备份。一份电源失效后，另一块电源继续工作。</w:t>
            </w:r>
          </w:p>
          <w:p>
            <w:pPr>
              <w:widowControl/>
              <w:spacing w:line="300" w:lineRule="exact"/>
              <w:jc w:val="left"/>
              <w:textAlignment w:val="center"/>
            </w:pPr>
            <w:r>
              <w:rPr>
                <w:rFonts w:hint="eastAsia"/>
              </w:rPr>
              <w:t>16、显示屏具备故障自诊断及排查功能。</w:t>
            </w:r>
          </w:p>
          <w:p>
            <w:pPr>
              <w:widowControl/>
              <w:spacing w:line="300" w:lineRule="exact"/>
              <w:jc w:val="left"/>
              <w:textAlignment w:val="center"/>
            </w:pPr>
            <w:r>
              <w:rPr>
                <w:rFonts w:hint="eastAsia" w:ascii="宋体" w:hAnsi="宋体" w:cs="宋体"/>
                <w:kern w:val="0"/>
                <w:sz w:val="22"/>
                <w:szCs w:val="22"/>
              </w:rPr>
              <w:t>▲</w:t>
            </w:r>
            <w:r>
              <w:rPr>
                <w:rFonts w:hint="eastAsia"/>
              </w:rPr>
              <w:t>17、刷新率：≥3840Hz（</w:t>
            </w:r>
            <w:r>
              <w:t>投标</w:t>
            </w:r>
            <w:r>
              <w:rPr>
                <w:rFonts w:hint="eastAsia"/>
              </w:rPr>
              <w:t>文件中提供</w:t>
            </w:r>
            <w:r>
              <w:rPr>
                <w:rFonts w:hint="eastAsia" w:cs="宋体" w:asciiTheme="minorEastAsia" w:hAnsiTheme="minorEastAsia"/>
                <w:kern w:val="0"/>
                <w:szCs w:val="21"/>
              </w:rPr>
              <w:t>第三方检测机构检测报告复印件。</w:t>
            </w:r>
            <w:r>
              <w:rPr>
                <w:rFonts w:hint="eastAsia"/>
              </w:rPr>
              <w:t>）</w:t>
            </w:r>
          </w:p>
          <w:p>
            <w:pPr>
              <w:widowControl/>
              <w:spacing w:line="300" w:lineRule="exact"/>
              <w:jc w:val="left"/>
              <w:textAlignment w:val="center"/>
            </w:pPr>
            <w:r>
              <w:rPr>
                <w:rFonts w:hint="eastAsia"/>
              </w:rPr>
              <w:t>18</w:t>
            </w:r>
            <w:r>
              <w:t>、</w:t>
            </w:r>
            <w:r>
              <w:rPr>
                <w:rFonts w:hint="eastAsia"/>
              </w:rPr>
              <w:t>模组彩色信号处理位数≥16bit</w:t>
            </w:r>
          </w:p>
          <w:p>
            <w:pPr>
              <w:widowControl/>
              <w:spacing w:line="300" w:lineRule="exact"/>
              <w:jc w:val="left"/>
              <w:textAlignment w:val="center"/>
            </w:pPr>
            <w:r>
              <w:rPr>
                <w:rFonts w:hint="eastAsia"/>
              </w:rPr>
              <w:t>19</w:t>
            </w:r>
            <w:r>
              <w:t>、</w:t>
            </w:r>
            <w:r>
              <w:rPr>
                <w:rFonts w:hint="eastAsia"/>
              </w:rPr>
              <w:t>LED显示屏可实现监控显示屏工作状态，具有故障自动告警功能，发生故障立即发送消息至指定邮箱。LED显示屏具备多点测温系统，具备电源温度控制系统。</w:t>
            </w:r>
          </w:p>
          <w:p>
            <w:pPr>
              <w:pStyle w:val="256"/>
              <w:widowControl/>
              <w:numPr>
                <w:ilvl w:val="0"/>
                <w:numId w:val="5"/>
              </w:numPr>
              <w:adjustRightInd/>
              <w:spacing w:line="300" w:lineRule="exact"/>
              <w:ind w:firstLineChars="0"/>
              <w:jc w:val="left"/>
              <w:textAlignment w:val="center"/>
              <w:rPr>
                <w:rFonts w:eastAsia="宋体" w:cs="Times New Roman"/>
                <w:sz w:val="21"/>
              </w:rPr>
            </w:pPr>
            <w:r>
              <w:rPr>
                <w:rFonts w:hint="eastAsia" w:eastAsia="宋体" w:cs="Times New Roman"/>
                <w:sz w:val="21"/>
              </w:rPr>
              <w:t>显示屏稳定工作时间支持一周无间断工作。</w:t>
            </w:r>
          </w:p>
          <w:p>
            <w:pPr>
              <w:widowControl/>
              <w:spacing w:line="300" w:lineRule="exact"/>
              <w:jc w:val="left"/>
              <w:textAlignment w:val="center"/>
            </w:pPr>
            <w:r>
              <w:rPr>
                <w:rFonts w:hint="eastAsia"/>
              </w:rPr>
              <w:t>21、显示屏通过冷热冲击试验。高温60℃，低温-40℃，高温和低温各保持30min，中间转换时间不大于五分钟，循环10次，常温回复2小时，样品结构和性能都保持正常工作。</w:t>
            </w:r>
          </w:p>
          <w:p>
            <w:pPr>
              <w:pStyle w:val="513"/>
              <w:ind w:firstLine="0" w:firstLineChars="0"/>
              <w:rPr>
                <w:rFonts w:ascii="Times New Roman" w:hAnsi="Times New Roman"/>
                <w:spacing w:val="0"/>
                <w:kern w:val="2"/>
                <w:sz w:val="21"/>
                <w:szCs w:val="24"/>
              </w:rPr>
            </w:pPr>
            <w:r>
              <w:rPr>
                <w:rFonts w:hint="eastAsia" w:ascii="Times New Roman" w:hAnsi="Times New Roman"/>
                <w:spacing w:val="0"/>
                <w:kern w:val="2"/>
                <w:sz w:val="21"/>
                <w:szCs w:val="24"/>
              </w:rPr>
              <w:t>22、在≧1500VAC电压下持续60秒未击穿</w:t>
            </w:r>
          </w:p>
          <w:p>
            <w:pPr>
              <w:pStyle w:val="513"/>
              <w:ind w:firstLine="0" w:firstLineChars="0"/>
              <w:rPr>
                <w:rFonts w:ascii="Times New Roman" w:hAnsi="Times New Roman"/>
                <w:spacing w:val="0"/>
                <w:kern w:val="2"/>
                <w:sz w:val="21"/>
                <w:szCs w:val="24"/>
              </w:rPr>
            </w:pPr>
            <w:r>
              <w:rPr>
                <w:rFonts w:hint="eastAsia" w:ascii="Times New Roman" w:hAnsi="Times New Roman"/>
                <w:spacing w:val="0"/>
                <w:kern w:val="2"/>
                <w:sz w:val="21"/>
                <w:szCs w:val="24"/>
              </w:rPr>
              <w:t>23、模组在使用过程中泄露电流每平方电流＜1.0mA</w:t>
            </w:r>
          </w:p>
          <w:p>
            <w:pPr>
              <w:pStyle w:val="513"/>
              <w:ind w:firstLine="0" w:firstLineChars="0"/>
              <w:rPr>
                <w:rFonts w:ascii="Times New Roman" w:hAnsi="Times New Roman"/>
                <w:spacing w:val="0"/>
                <w:kern w:val="2"/>
                <w:sz w:val="21"/>
                <w:szCs w:val="24"/>
              </w:rPr>
            </w:pPr>
            <w:r>
              <w:rPr>
                <w:rFonts w:hint="eastAsia" w:ascii="Times New Roman" w:hAnsi="Times New Roman"/>
                <w:spacing w:val="0"/>
                <w:kern w:val="2"/>
                <w:sz w:val="21"/>
                <w:szCs w:val="24"/>
              </w:rPr>
              <w:t>24、显示屏工作噪音声压，处理半径1M内，前方＜6.5dB（A），后方＜8dB（A）。</w:t>
            </w:r>
          </w:p>
          <w:p>
            <w:pPr>
              <w:pStyle w:val="513"/>
              <w:ind w:firstLine="0" w:firstLineChars="0"/>
              <w:rPr>
                <w:rFonts w:ascii="Times New Roman" w:hAnsi="Times New Roman"/>
                <w:spacing w:val="0"/>
                <w:kern w:val="2"/>
                <w:sz w:val="21"/>
                <w:szCs w:val="24"/>
              </w:rPr>
            </w:pPr>
            <w:r>
              <w:rPr>
                <w:rFonts w:hint="eastAsia" w:ascii="Times New Roman" w:hAnsi="Times New Roman"/>
                <w:spacing w:val="0"/>
                <w:kern w:val="2"/>
                <w:sz w:val="21"/>
                <w:szCs w:val="24"/>
              </w:rPr>
              <w:t>25、显示屏通过光生物安全实验，皮肤表面热危害以及辐射检测实验。</w:t>
            </w:r>
          </w:p>
          <w:p>
            <w:r>
              <w:rPr>
                <w:rFonts w:hint="eastAsia"/>
              </w:rPr>
              <w:t>▲26、智能节电：带有智能（黑屏）节电功能，开启智能节电比没有开启节能40%以上。（</w:t>
            </w:r>
            <w:r>
              <w:t>投标</w:t>
            </w:r>
            <w:r>
              <w:rPr>
                <w:rFonts w:hint="eastAsia"/>
              </w:rPr>
              <w:t>文件中提供</w:t>
            </w:r>
            <w:r>
              <w:rPr>
                <w:rFonts w:hint="eastAsia" w:cs="宋体" w:asciiTheme="minorEastAsia" w:hAnsiTheme="minorEastAsia"/>
                <w:kern w:val="0"/>
                <w:szCs w:val="21"/>
              </w:rPr>
              <w:t>第三方检测机构检测报告复印件并加盖原厂公章</w:t>
            </w:r>
            <w:r>
              <w:rPr>
                <w:rFonts w:hint="eastAsia"/>
              </w:rPr>
              <w:t>）</w:t>
            </w:r>
          </w:p>
          <w:p>
            <w:r>
              <w:rPr>
                <w:rFonts w:hint="eastAsia"/>
              </w:rPr>
              <w:t>▲27、具有LED显示屏的设计、开发、生产和服务的质量管理体系认证证书（</w:t>
            </w:r>
            <w:r>
              <w:t>投标</w:t>
            </w:r>
            <w:r>
              <w:rPr>
                <w:rFonts w:hint="eastAsia"/>
              </w:rPr>
              <w:t>文件中提供复印件）</w:t>
            </w:r>
          </w:p>
          <w:p>
            <w:r>
              <w:rPr>
                <w:rFonts w:hint="eastAsia"/>
              </w:rPr>
              <w:t>▲28、为了保护人眼视力，为确保用户不受LED显示屏蓝光危害。（</w:t>
            </w:r>
            <w:r>
              <w:t>投标</w:t>
            </w:r>
            <w:r>
              <w:rPr>
                <w:rFonts w:hint="eastAsia"/>
              </w:rPr>
              <w:t>文件中提供厂家认证证明）</w:t>
            </w:r>
          </w:p>
        </w:tc>
        <w:tc>
          <w:tcPr>
            <w:tcW w:w="992" w:type="dxa"/>
            <w:vAlign w:val="center"/>
          </w:tcPr>
          <w:p>
            <w:pPr>
              <w:jc w:val="center"/>
              <w:rPr>
                <w:rFonts w:ascii="宋体" w:hAnsi="宋体"/>
                <w:sz w:val="24"/>
              </w:rPr>
            </w:pPr>
            <w:r>
              <w:rPr>
                <w:rFonts w:hint="eastAsia" w:ascii="宋体" w:hAnsi="宋体"/>
                <w:sz w:val="24"/>
              </w:rPr>
              <w:t>21.4</w:t>
            </w:r>
          </w:p>
        </w:tc>
        <w:tc>
          <w:tcPr>
            <w:tcW w:w="850" w:type="dxa"/>
            <w:vAlign w:val="center"/>
          </w:tcPr>
          <w:p>
            <w:pPr>
              <w:jc w:val="center"/>
              <w:rPr>
                <w:rFonts w:ascii="宋体" w:hAnsi="宋体"/>
                <w:sz w:val="24"/>
              </w:rPr>
            </w:pPr>
            <w:r>
              <w:rPr>
                <w:rFonts w:hint="eastAsia" w:ascii="宋体" w:hAnsi="宋体"/>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12" w:type="dxa"/>
            <w:vAlign w:val="center"/>
          </w:tcPr>
          <w:p>
            <w:pPr>
              <w:jc w:val="center"/>
              <w:rPr>
                <w:rFonts w:ascii="宋体" w:hAnsi="宋体"/>
                <w:sz w:val="24"/>
              </w:rPr>
            </w:pPr>
            <w:r>
              <w:rPr>
                <w:rFonts w:hint="eastAsia" w:ascii="宋体" w:hAnsi="宋体"/>
                <w:sz w:val="24"/>
              </w:rPr>
              <w:t>2</w:t>
            </w:r>
          </w:p>
        </w:tc>
        <w:tc>
          <w:tcPr>
            <w:tcW w:w="1196" w:type="dxa"/>
            <w:vAlign w:val="center"/>
          </w:tcPr>
          <w:p>
            <w:pPr>
              <w:jc w:val="center"/>
              <w:rPr>
                <w:rFonts w:ascii="宋体" w:hAnsi="宋体"/>
                <w:sz w:val="24"/>
              </w:rPr>
            </w:pPr>
            <w:r>
              <w:rPr>
                <w:rFonts w:hint="eastAsia" w:ascii="宋体" w:hAnsi="宋体"/>
                <w:sz w:val="24"/>
              </w:rPr>
              <w:t>电源</w:t>
            </w:r>
          </w:p>
        </w:tc>
        <w:tc>
          <w:tcPr>
            <w:tcW w:w="6126" w:type="dxa"/>
            <w:vAlign w:val="center"/>
          </w:tcPr>
          <w:p>
            <w:pPr>
              <w:jc w:val="left"/>
            </w:pPr>
            <w:r>
              <w:rPr>
                <w:rFonts w:hint="eastAsia"/>
              </w:rPr>
              <w:t xml:space="preserve">1、额定输入电压：200-240VAC  </w:t>
            </w:r>
          </w:p>
          <w:p>
            <w:pPr>
              <w:jc w:val="left"/>
            </w:pPr>
            <w:r>
              <w:rPr>
                <w:rFonts w:hint="eastAsia"/>
              </w:rPr>
              <w:t xml:space="preserve">2、纹波噪音≤200mV </w:t>
            </w:r>
          </w:p>
          <w:p>
            <w:pPr>
              <w:jc w:val="left"/>
            </w:pPr>
            <w:r>
              <w:rPr>
                <w:rFonts w:hint="eastAsia"/>
              </w:rPr>
              <w:t xml:space="preserve">3、对地泄漏电流输入230VAC/50HZ，电源≤1mA </w:t>
            </w:r>
          </w:p>
          <w:p>
            <w:pPr>
              <w:rPr>
                <w:rFonts w:ascii="宋体" w:hAnsi="宋体"/>
                <w:sz w:val="24"/>
              </w:rPr>
            </w:pPr>
            <w:r>
              <w:rPr>
                <w:rFonts w:hint="eastAsia"/>
              </w:rPr>
              <w:t>▲4、为保证系统兼容及稳定性，要求使用与LED屏同一品牌产品。（</w:t>
            </w:r>
            <w:r>
              <w:t>投标</w:t>
            </w:r>
            <w:r>
              <w:rPr>
                <w:rFonts w:hint="eastAsia"/>
              </w:rPr>
              <w:t>文件中提供证明）</w:t>
            </w:r>
          </w:p>
        </w:tc>
        <w:tc>
          <w:tcPr>
            <w:tcW w:w="992" w:type="dxa"/>
            <w:vAlign w:val="center"/>
          </w:tcPr>
          <w:p>
            <w:pPr>
              <w:jc w:val="center"/>
              <w:rPr>
                <w:rFonts w:ascii="宋体" w:hAnsi="宋体"/>
                <w:sz w:val="24"/>
              </w:rPr>
            </w:pPr>
            <w:r>
              <w:rPr>
                <w:rFonts w:hint="eastAsia" w:ascii="宋体" w:hAnsi="宋体"/>
                <w:sz w:val="24"/>
              </w:rPr>
              <w:t>108</w:t>
            </w:r>
          </w:p>
        </w:tc>
        <w:tc>
          <w:tcPr>
            <w:tcW w:w="850" w:type="dxa"/>
            <w:vAlign w:val="center"/>
          </w:tcPr>
          <w:p>
            <w:pPr>
              <w:jc w:val="center"/>
              <w:rPr>
                <w:rFonts w:ascii="宋体" w:hAnsi="宋体"/>
                <w:sz w:val="24"/>
              </w:rPr>
            </w:pPr>
            <w:r>
              <w:rPr>
                <w:rFonts w:hint="eastAsia" w:ascii="宋体" w:hAnsi="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2" w:type="dxa"/>
            <w:vAlign w:val="center"/>
          </w:tcPr>
          <w:p>
            <w:pPr>
              <w:jc w:val="center"/>
              <w:rPr>
                <w:rFonts w:ascii="宋体" w:hAnsi="宋体"/>
                <w:sz w:val="24"/>
              </w:rPr>
            </w:pPr>
            <w:r>
              <w:rPr>
                <w:rFonts w:hint="eastAsia" w:ascii="宋体" w:hAnsi="宋体"/>
                <w:sz w:val="24"/>
              </w:rPr>
              <w:t>3</w:t>
            </w:r>
          </w:p>
        </w:tc>
        <w:tc>
          <w:tcPr>
            <w:tcW w:w="1196" w:type="dxa"/>
            <w:vAlign w:val="center"/>
          </w:tcPr>
          <w:p>
            <w:pPr>
              <w:jc w:val="center"/>
              <w:rPr>
                <w:rFonts w:ascii="宋体" w:hAnsi="宋体"/>
                <w:sz w:val="24"/>
              </w:rPr>
            </w:pPr>
            <w:r>
              <w:rPr>
                <w:rFonts w:hint="eastAsia" w:ascii="宋体" w:hAnsi="宋体"/>
                <w:sz w:val="24"/>
              </w:rPr>
              <w:t>控制系统</w:t>
            </w:r>
          </w:p>
        </w:tc>
        <w:tc>
          <w:tcPr>
            <w:tcW w:w="6126" w:type="dxa"/>
            <w:vAlign w:val="center"/>
          </w:tcPr>
          <w:p>
            <w:pPr>
              <w:widowControl/>
              <w:numPr>
                <w:ilvl w:val="0"/>
                <w:numId w:val="6"/>
              </w:numPr>
              <w:adjustRightInd/>
              <w:spacing w:line="375" w:lineRule="atLeast"/>
              <w:jc w:val="left"/>
            </w:pPr>
            <w:r>
              <w:rPr>
                <w:rFonts w:hint="eastAsia"/>
              </w:rPr>
              <w:t>集成 16 个标准HUB75 接口，免接HUB；</w:t>
            </w:r>
          </w:p>
          <w:p>
            <w:pPr>
              <w:widowControl/>
              <w:numPr>
                <w:ilvl w:val="0"/>
                <w:numId w:val="6"/>
              </w:numPr>
              <w:adjustRightInd/>
              <w:spacing w:line="375" w:lineRule="atLeast"/>
              <w:jc w:val="left"/>
            </w:pPr>
            <w:r>
              <w:rPr>
                <w:rFonts w:hint="eastAsia"/>
              </w:rPr>
              <w:t>支持 32 扫；</w:t>
            </w:r>
          </w:p>
          <w:p>
            <w:pPr>
              <w:widowControl/>
              <w:numPr>
                <w:ilvl w:val="0"/>
                <w:numId w:val="6"/>
              </w:numPr>
              <w:adjustRightInd/>
              <w:spacing w:line="375" w:lineRule="atLeast"/>
              <w:jc w:val="left"/>
            </w:pPr>
            <w:r>
              <w:rPr>
                <w:rFonts w:hint="eastAsia"/>
              </w:rPr>
              <w:t>单卡输出 RGB 数据32组；</w:t>
            </w:r>
          </w:p>
          <w:p>
            <w:pPr>
              <w:widowControl/>
              <w:numPr>
                <w:ilvl w:val="0"/>
                <w:numId w:val="6"/>
              </w:numPr>
              <w:adjustRightInd/>
              <w:spacing w:line="375" w:lineRule="atLeast"/>
              <w:jc w:val="left"/>
            </w:pPr>
            <w:r>
              <w:rPr>
                <w:rFonts w:hint="eastAsia"/>
              </w:rPr>
              <w:t>单卡带载像素为 512×256·；</w:t>
            </w:r>
          </w:p>
          <w:p>
            <w:pPr>
              <w:widowControl/>
              <w:numPr>
                <w:ilvl w:val="0"/>
                <w:numId w:val="6"/>
              </w:numPr>
              <w:adjustRightInd/>
              <w:spacing w:line="375" w:lineRule="atLeast"/>
              <w:jc w:val="left"/>
            </w:pPr>
            <w:r>
              <w:rPr>
                <w:rFonts w:hint="eastAsia"/>
              </w:rPr>
              <w:t>支持配置文件回读；</w:t>
            </w:r>
          </w:p>
          <w:p>
            <w:pPr>
              <w:widowControl/>
              <w:numPr>
                <w:ilvl w:val="0"/>
                <w:numId w:val="6"/>
              </w:numPr>
              <w:adjustRightInd/>
              <w:spacing w:line="375" w:lineRule="atLeast"/>
              <w:jc w:val="left"/>
            </w:pPr>
            <w:r>
              <w:rPr>
                <w:rFonts w:hint="eastAsia"/>
              </w:rPr>
              <w:t>成熟的热备份和任意换卡；</w:t>
            </w:r>
          </w:p>
          <w:p>
            <w:pPr>
              <w:widowControl/>
              <w:numPr>
                <w:ilvl w:val="0"/>
                <w:numId w:val="6"/>
              </w:numPr>
              <w:adjustRightInd/>
              <w:spacing w:line="375" w:lineRule="atLeast"/>
              <w:jc w:val="left"/>
            </w:pPr>
            <w:r>
              <w:rPr>
                <w:rFonts w:hint="eastAsia"/>
              </w:rPr>
              <w:t>支持温度监控、支持网线通讯状态检测、支持发送卡状态检测、</w:t>
            </w:r>
          </w:p>
          <w:p>
            <w:pPr>
              <w:widowControl/>
              <w:adjustRightInd/>
              <w:spacing w:line="375" w:lineRule="atLeast"/>
              <w:jc w:val="left"/>
            </w:pPr>
            <w:r>
              <w:rPr>
                <w:rFonts w:hint="eastAsia"/>
              </w:rPr>
              <w:t>支持DVI信号检测、支持供电电压检测、支持高灰度高刷新；</w:t>
            </w:r>
          </w:p>
        </w:tc>
        <w:tc>
          <w:tcPr>
            <w:tcW w:w="992" w:type="dxa"/>
            <w:vAlign w:val="center"/>
          </w:tcPr>
          <w:p>
            <w:pPr>
              <w:jc w:val="center"/>
              <w:rPr>
                <w:rFonts w:ascii="宋体" w:hAnsi="宋体"/>
                <w:sz w:val="24"/>
              </w:rPr>
            </w:pPr>
            <w:r>
              <w:rPr>
                <w:rFonts w:ascii="宋体" w:hAnsi="宋体"/>
                <w:sz w:val="24"/>
              </w:rPr>
              <w:t>1</w:t>
            </w:r>
          </w:p>
        </w:tc>
        <w:tc>
          <w:tcPr>
            <w:tcW w:w="850" w:type="dxa"/>
            <w:vAlign w:val="center"/>
          </w:tcPr>
          <w:p>
            <w:pPr>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4</w:t>
            </w:r>
          </w:p>
        </w:tc>
        <w:tc>
          <w:tcPr>
            <w:tcW w:w="1196" w:type="dxa"/>
            <w:vAlign w:val="center"/>
          </w:tcPr>
          <w:p>
            <w:pPr>
              <w:jc w:val="center"/>
              <w:rPr>
                <w:rFonts w:ascii="宋体" w:hAnsi="宋体"/>
                <w:sz w:val="24"/>
                <w:highlight w:val="yellow"/>
              </w:rPr>
            </w:pPr>
            <w:r>
              <w:rPr>
                <w:rFonts w:hint="eastAsia" w:ascii="宋体" w:hAnsi="宋体"/>
                <w:sz w:val="24"/>
              </w:rPr>
              <w:t>视频处理器</w:t>
            </w:r>
          </w:p>
        </w:tc>
        <w:tc>
          <w:tcPr>
            <w:tcW w:w="6126" w:type="dxa"/>
            <w:vAlign w:val="center"/>
          </w:tcPr>
          <w:p>
            <w:pPr>
              <w:widowControl/>
              <w:numPr>
                <w:ilvl w:val="0"/>
                <w:numId w:val="7"/>
              </w:numPr>
              <w:adjustRightInd/>
              <w:spacing w:line="375" w:lineRule="atLeast"/>
              <w:jc w:val="left"/>
            </w:pPr>
            <w:r>
              <w:rPr>
                <w:rFonts w:hint="eastAsia"/>
              </w:rPr>
              <w:t>支持常见的视频接口，包括2 路 HDMI1.3，1 路 DVI。</w:t>
            </w:r>
          </w:p>
          <w:p>
            <w:pPr>
              <w:widowControl/>
              <w:numPr>
                <w:ilvl w:val="0"/>
                <w:numId w:val="7"/>
              </w:numPr>
              <w:adjustRightInd/>
              <w:spacing w:line="375" w:lineRule="atLeast"/>
              <w:jc w:val="left"/>
            </w:pPr>
            <w:r>
              <w:rPr>
                <w:rFonts w:hint="eastAsia"/>
              </w:rPr>
              <w:t xml:space="preserve">支持3.5mm音频输入和3.5mm音频输出。 </w:t>
            </w:r>
          </w:p>
          <w:p>
            <w:pPr>
              <w:widowControl/>
              <w:numPr>
                <w:ilvl w:val="0"/>
                <w:numId w:val="7"/>
              </w:numPr>
              <w:adjustRightInd/>
              <w:spacing w:line="375" w:lineRule="atLeast"/>
              <w:jc w:val="left"/>
            </w:pPr>
            <w:r>
              <w:rPr>
                <w:rFonts w:hint="eastAsia"/>
              </w:rPr>
              <w:t xml:space="preserve">支持 3 个窗口和 1 路 OSD。  </w:t>
            </w:r>
          </w:p>
          <w:p>
            <w:pPr>
              <w:widowControl/>
              <w:numPr>
                <w:ilvl w:val="0"/>
                <w:numId w:val="7"/>
              </w:numPr>
              <w:adjustRightInd/>
              <w:spacing w:line="375" w:lineRule="atLeast"/>
              <w:jc w:val="left"/>
            </w:pPr>
            <w:r>
              <w:rPr>
                <w:rFonts w:hint="eastAsia"/>
              </w:rPr>
              <w:t xml:space="preserve">支持快捷配屏和高级配屏功能。  </w:t>
            </w:r>
          </w:p>
          <w:p>
            <w:pPr>
              <w:widowControl/>
              <w:numPr>
                <w:ilvl w:val="0"/>
                <w:numId w:val="7"/>
              </w:numPr>
              <w:adjustRightInd/>
              <w:spacing w:line="375" w:lineRule="atLeast"/>
              <w:jc w:val="left"/>
            </w:pPr>
            <w:r>
              <w:rPr>
                <w:rFonts w:hint="eastAsia"/>
              </w:rPr>
              <w:t xml:space="preserve">支持 HDMI、DVI 输入分辨率自定义调节。  </w:t>
            </w:r>
          </w:p>
          <w:p>
            <w:pPr>
              <w:widowControl/>
              <w:numPr>
                <w:ilvl w:val="0"/>
                <w:numId w:val="7"/>
              </w:numPr>
              <w:adjustRightInd/>
              <w:spacing w:line="375" w:lineRule="atLeast"/>
              <w:jc w:val="left"/>
            </w:pPr>
            <w:r>
              <w:rPr>
                <w:rFonts w:hint="eastAsia"/>
              </w:rPr>
              <w:t xml:space="preserve">支持设备间备份设置。  </w:t>
            </w:r>
          </w:p>
          <w:p>
            <w:pPr>
              <w:widowControl/>
              <w:numPr>
                <w:ilvl w:val="0"/>
                <w:numId w:val="7"/>
              </w:numPr>
              <w:adjustRightInd/>
              <w:spacing w:line="375" w:lineRule="atLeast"/>
              <w:jc w:val="left"/>
            </w:pPr>
            <w:r>
              <w:rPr>
                <w:rFonts w:hint="eastAsia"/>
              </w:rPr>
              <w:t xml:space="preserve">视频输出最大带载高达 390 万像素。   </w:t>
            </w:r>
          </w:p>
          <w:p>
            <w:pPr>
              <w:widowControl/>
              <w:numPr>
                <w:ilvl w:val="0"/>
                <w:numId w:val="7"/>
              </w:numPr>
              <w:adjustRightInd/>
              <w:spacing w:line="375" w:lineRule="atLeast"/>
              <w:jc w:val="left"/>
            </w:pPr>
            <w:r>
              <w:rPr>
                <w:rFonts w:hint="eastAsia"/>
              </w:rPr>
              <w:t xml:space="preserve">支持一键将优先级最低的窗口全屏自动缩放，增强产品实用性能。 </w:t>
            </w:r>
          </w:p>
          <w:p>
            <w:pPr>
              <w:widowControl/>
              <w:numPr>
                <w:ilvl w:val="0"/>
                <w:numId w:val="7"/>
              </w:numPr>
              <w:adjustRightInd/>
              <w:spacing w:line="375" w:lineRule="atLeast"/>
              <w:jc w:val="left"/>
            </w:pPr>
            <w:r>
              <w:rPr>
                <w:rFonts w:hint="eastAsia"/>
              </w:rPr>
              <w:t xml:space="preserve">支持创建 ≧10 个用户场景作为模板保存，方便使用。  </w:t>
            </w:r>
          </w:p>
          <w:p>
            <w:pPr>
              <w:widowControl/>
              <w:numPr>
                <w:ilvl w:val="0"/>
                <w:numId w:val="7"/>
              </w:numPr>
              <w:adjustRightInd/>
              <w:spacing w:line="375" w:lineRule="atLeast"/>
              <w:jc w:val="left"/>
            </w:pPr>
            <w:r>
              <w:rPr>
                <w:rFonts w:hint="eastAsia"/>
              </w:rPr>
              <w:t>产品本身集成视频处理器与发送卡于一体。</w:t>
            </w:r>
          </w:p>
          <w:p>
            <w:pPr>
              <w:widowControl/>
              <w:numPr>
                <w:ilvl w:val="0"/>
                <w:numId w:val="7"/>
              </w:numPr>
              <w:adjustRightInd/>
              <w:spacing w:line="375" w:lineRule="atLeast"/>
              <w:jc w:val="left"/>
            </w:pPr>
            <w:r>
              <w:rPr>
                <w:rFonts w:hint="eastAsia"/>
              </w:rPr>
              <w:t>支持逐点亮色度校正技术，校正过程快速高效，支持直接现场校正</w:t>
            </w:r>
          </w:p>
        </w:tc>
        <w:tc>
          <w:tcPr>
            <w:tcW w:w="992" w:type="dxa"/>
            <w:vAlign w:val="center"/>
          </w:tcPr>
          <w:p>
            <w:pPr>
              <w:jc w:val="center"/>
              <w:rPr>
                <w:rFonts w:ascii="宋体" w:hAnsi="宋体"/>
                <w:sz w:val="24"/>
              </w:rPr>
            </w:pPr>
            <w:r>
              <w:rPr>
                <w:rFonts w:ascii="宋体" w:hAnsi="宋体"/>
                <w:sz w:val="24"/>
              </w:rPr>
              <w:t>1</w:t>
            </w:r>
          </w:p>
        </w:tc>
        <w:tc>
          <w:tcPr>
            <w:tcW w:w="850" w:type="dxa"/>
            <w:vAlign w:val="center"/>
          </w:tcPr>
          <w:p>
            <w:pPr>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vAlign w:val="center"/>
          </w:tcPr>
          <w:p>
            <w:pPr>
              <w:jc w:val="center"/>
              <w:rPr>
                <w:rFonts w:ascii="宋体" w:hAnsi="宋体"/>
                <w:sz w:val="24"/>
              </w:rPr>
            </w:pPr>
            <w:r>
              <w:rPr>
                <w:rFonts w:hint="eastAsia" w:ascii="宋体" w:hAnsi="宋体"/>
                <w:sz w:val="24"/>
              </w:rPr>
              <w:t>5</w:t>
            </w:r>
          </w:p>
        </w:tc>
        <w:tc>
          <w:tcPr>
            <w:tcW w:w="1196" w:type="dxa"/>
            <w:vAlign w:val="center"/>
          </w:tcPr>
          <w:p>
            <w:pPr>
              <w:jc w:val="center"/>
              <w:rPr>
                <w:rFonts w:ascii="宋体" w:hAnsi="宋体"/>
                <w:sz w:val="24"/>
              </w:rPr>
            </w:pPr>
            <w:r>
              <w:rPr>
                <w:rFonts w:hint="eastAsia" w:ascii="宋体" w:hAnsi="宋体"/>
                <w:sz w:val="24"/>
              </w:rPr>
              <w:t>配电系统</w:t>
            </w:r>
          </w:p>
        </w:tc>
        <w:tc>
          <w:tcPr>
            <w:tcW w:w="6126" w:type="dxa"/>
            <w:vAlign w:val="center"/>
          </w:tcPr>
          <w:p>
            <w:pPr>
              <w:widowControl/>
              <w:numPr>
                <w:ilvl w:val="0"/>
                <w:numId w:val="8"/>
              </w:numPr>
              <w:adjustRightInd/>
              <w:spacing w:line="375" w:lineRule="atLeast"/>
              <w:jc w:val="left"/>
            </w:pPr>
            <w:r>
              <w:rPr>
                <w:rFonts w:hint="eastAsia"/>
              </w:rPr>
              <w:t>功率</w:t>
            </w:r>
            <w:r>
              <w:rPr>
                <w:rFonts w:hint="eastAsia" w:cs="宋体" w:asciiTheme="minorEastAsia" w:hAnsiTheme="minorEastAsia"/>
                <w:kern w:val="0"/>
                <w:szCs w:val="21"/>
              </w:rPr>
              <w:t>为≧30</w:t>
            </w:r>
            <w:r>
              <w:rPr>
                <w:rFonts w:hint="eastAsia"/>
              </w:rPr>
              <w:t>KW。</w:t>
            </w:r>
          </w:p>
        </w:tc>
        <w:tc>
          <w:tcPr>
            <w:tcW w:w="992" w:type="dxa"/>
            <w:vAlign w:val="center"/>
          </w:tcPr>
          <w:p>
            <w:pPr>
              <w:jc w:val="center"/>
              <w:rPr>
                <w:rFonts w:ascii="宋体" w:hAnsi="宋体"/>
                <w:sz w:val="24"/>
              </w:rPr>
            </w:pPr>
            <w:r>
              <w:rPr>
                <w:rFonts w:hint="eastAsia" w:ascii="宋体" w:hAnsi="宋体"/>
                <w:sz w:val="24"/>
              </w:rPr>
              <w:t>1</w:t>
            </w:r>
          </w:p>
        </w:tc>
        <w:tc>
          <w:tcPr>
            <w:tcW w:w="850" w:type="dxa"/>
            <w:vAlign w:val="center"/>
          </w:tcPr>
          <w:p>
            <w:pPr>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12" w:type="dxa"/>
            <w:vAlign w:val="center"/>
          </w:tcPr>
          <w:p>
            <w:pPr>
              <w:jc w:val="center"/>
              <w:rPr>
                <w:rFonts w:ascii="宋体" w:hAnsi="宋体"/>
                <w:sz w:val="24"/>
              </w:rPr>
            </w:pPr>
            <w:r>
              <w:rPr>
                <w:rFonts w:hint="eastAsia" w:ascii="宋体" w:hAnsi="宋体"/>
                <w:sz w:val="24"/>
              </w:rPr>
              <w:t>6</w:t>
            </w:r>
          </w:p>
        </w:tc>
        <w:tc>
          <w:tcPr>
            <w:tcW w:w="1196" w:type="dxa"/>
            <w:vAlign w:val="center"/>
          </w:tcPr>
          <w:p>
            <w:pPr>
              <w:jc w:val="center"/>
              <w:rPr>
                <w:rFonts w:ascii="宋体" w:hAnsi="宋体"/>
                <w:sz w:val="24"/>
              </w:rPr>
            </w:pPr>
            <w:r>
              <w:rPr>
                <w:rFonts w:hint="eastAsia" w:ascii="宋体" w:hAnsi="宋体"/>
                <w:sz w:val="24"/>
              </w:rPr>
              <w:t>多媒体控制终端</w:t>
            </w:r>
          </w:p>
        </w:tc>
        <w:tc>
          <w:tcPr>
            <w:tcW w:w="6126" w:type="dxa"/>
            <w:vAlign w:val="center"/>
          </w:tcPr>
          <w:p>
            <w:pPr>
              <w:rPr>
                <w:rFonts w:ascii="宋体" w:hAnsi="宋体" w:cs="宋体"/>
                <w:sz w:val="22"/>
                <w:szCs w:val="22"/>
              </w:rPr>
            </w:pPr>
            <w:r>
              <w:rPr>
                <w:rFonts w:hint="eastAsia" w:ascii="宋体" w:hAnsi="宋体" w:cs="宋体"/>
                <w:sz w:val="22"/>
                <w:szCs w:val="22"/>
              </w:rPr>
              <w:t>▲1、集成一体化设备，优质型材融合钢化玻璃外观有效防腐、抗震、防磁及防冲击性；采用铝板结合箱体双侧自散热装置，适应优于-20℃及50℃工作环境。（</w:t>
            </w:r>
            <w:r>
              <w:t>投标</w:t>
            </w:r>
            <w:r>
              <w:rPr>
                <w:rFonts w:hint="eastAsia"/>
              </w:rPr>
              <w:t>文件中</w:t>
            </w:r>
            <w:r>
              <w:rPr>
                <w:rFonts w:hint="eastAsia" w:ascii="宋体" w:hAnsi="宋体" w:cs="宋体"/>
                <w:sz w:val="22"/>
                <w:szCs w:val="22"/>
              </w:rPr>
              <w:t>提供</w:t>
            </w:r>
            <w:r>
              <w:rPr>
                <w:rFonts w:hint="eastAsia" w:cs="宋体" w:asciiTheme="minorEastAsia" w:hAnsiTheme="minorEastAsia"/>
                <w:kern w:val="0"/>
                <w:szCs w:val="21"/>
              </w:rPr>
              <w:t>第三方检测机构</w:t>
            </w:r>
            <w:r>
              <w:rPr>
                <w:rFonts w:hint="eastAsia"/>
              </w:rPr>
              <w:t>出具的</w:t>
            </w:r>
            <w:r>
              <w:rPr>
                <w:rFonts w:hint="eastAsia" w:ascii="宋体" w:hAnsi="宋体" w:cs="宋体"/>
                <w:sz w:val="22"/>
                <w:szCs w:val="22"/>
              </w:rPr>
              <w:t>设备高低温检测报告</w:t>
            </w:r>
            <w:r>
              <w:rPr>
                <w:rFonts w:hint="eastAsia" w:ascii="宋体" w:hAnsi="宋体" w:cs="宋体"/>
              </w:rPr>
              <w:t>复印件</w:t>
            </w:r>
            <w:r>
              <w:rPr>
                <w:rFonts w:hint="eastAsia" w:ascii="宋体" w:hAnsi="宋体" w:cs="宋体"/>
                <w:sz w:val="22"/>
                <w:szCs w:val="22"/>
              </w:rPr>
              <w:t>）</w:t>
            </w:r>
          </w:p>
          <w:p>
            <w:pPr>
              <w:rPr>
                <w:rFonts w:ascii="宋体" w:hAnsi="宋体" w:cs="宋体"/>
                <w:sz w:val="22"/>
                <w:szCs w:val="22"/>
              </w:rPr>
            </w:pPr>
            <w:r>
              <w:rPr>
                <w:rFonts w:hint="eastAsia" w:ascii="宋体" w:hAnsi="宋体" w:cs="宋体"/>
                <w:sz w:val="22"/>
                <w:szCs w:val="22"/>
              </w:rPr>
              <w:t>2、设备配置唯一专属二维码，内置嵌入式中控主机, 采用双核四线程I5处理器，256G固态硬盘、8G内存及64位Windows操作系统，4个USB口及3路网络端口， 1路HDMI和1路VGA+Audio同步输出、支持1920×1080高清输出及扩展模式支持3840×1080长条形画面。</w:t>
            </w:r>
          </w:p>
          <w:p>
            <w:pPr>
              <w:rPr>
                <w:rFonts w:ascii="宋体" w:hAnsi="宋体" w:cs="宋体"/>
                <w:sz w:val="22"/>
                <w:szCs w:val="22"/>
              </w:rPr>
            </w:pPr>
            <w:r>
              <w:rPr>
                <w:rFonts w:hint="eastAsia" w:ascii="宋体" w:hAnsi="宋体" w:cs="宋体"/>
                <w:sz w:val="22"/>
                <w:szCs w:val="22"/>
              </w:rPr>
              <w:t>3、设备支持软件二次开发，通过客户端软件物联功能可以控制灯光开关、窗帘开关操作。可通过客户端软件可以控制后端处理器的场景及信号切换，支持用户对信号场景按钮进行自定义名称编辑。</w:t>
            </w:r>
          </w:p>
          <w:p>
            <w:pPr>
              <w:rPr>
                <w:rFonts w:ascii="宋体" w:hAnsi="宋体" w:cs="宋体"/>
                <w:sz w:val="22"/>
                <w:szCs w:val="22"/>
              </w:rPr>
            </w:pPr>
            <w:r>
              <w:rPr>
                <w:rFonts w:hint="eastAsia" w:ascii="宋体" w:hAnsi="宋体" w:cs="宋体"/>
                <w:sz w:val="22"/>
                <w:szCs w:val="22"/>
              </w:rPr>
              <w:t>▲4、设备内置操作软件，可根据需求对播放内容进行日志回访；本地操作设置需认证安全管理密码，在操作界面可看到当前节目播放排序，播放文件自动归类；加载播放解码设置，可对多种格式的（mp4/mov/wmv/avi/rmvb/flv等）进行自动解码导播。（</w:t>
            </w:r>
            <w:r>
              <w:t>投标</w:t>
            </w:r>
            <w:r>
              <w:rPr>
                <w:rFonts w:hint="eastAsia"/>
              </w:rPr>
              <w:t>文件中</w:t>
            </w:r>
            <w:r>
              <w:rPr>
                <w:rFonts w:hint="eastAsia" w:ascii="宋体" w:hAnsi="宋体" w:cs="宋体"/>
                <w:sz w:val="22"/>
                <w:szCs w:val="22"/>
              </w:rPr>
              <w:t>提供视频自动导播软件计算机软件著作权登记证书复印件。）</w:t>
            </w:r>
          </w:p>
          <w:p>
            <w:r>
              <w:rPr>
                <w:rFonts w:hint="eastAsia" w:ascii="宋体" w:hAnsi="宋体" w:cs="宋体"/>
                <w:sz w:val="22"/>
                <w:szCs w:val="22"/>
              </w:rPr>
              <w:t>▲5、内置软件预置4路监控信号通道,可接入4路指定网络摄像头信号，在任意时段可调取摄像头实现直播功能；也可在指定时间段插播摄像头直播功能实现定时直播功能。</w:t>
            </w:r>
            <w:r>
              <w:rPr>
                <w:rFonts w:hint="eastAsia"/>
              </w:rPr>
              <w:t>（</w:t>
            </w:r>
            <w:r>
              <w:t>投标</w:t>
            </w:r>
            <w:r>
              <w:rPr>
                <w:rFonts w:hint="eastAsia"/>
              </w:rPr>
              <w:t>文件中提供</w:t>
            </w:r>
            <w:r>
              <w:rPr>
                <w:rFonts w:hint="eastAsia" w:cs="宋体" w:asciiTheme="minorEastAsia" w:hAnsiTheme="minorEastAsia"/>
                <w:kern w:val="0"/>
                <w:szCs w:val="21"/>
              </w:rPr>
              <w:t>第三方检测机构检测报告复印件。</w:t>
            </w:r>
            <w:r>
              <w:rPr>
                <w:rFonts w:hint="eastAsia"/>
              </w:rPr>
              <w:t>）</w:t>
            </w:r>
          </w:p>
          <w:p>
            <w:pPr>
              <w:rPr>
                <w:rFonts w:ascii="宋体" w:hAnsi="宋体"/>
                <w:sz w:val="24"/>
              </w:rPr>
            </w:pPr>
            <w:r>
              <w:rPr>
                <w:rFonts w:hint="eastAsia" w:ascii="宋体" w:hAnsi="宋体" w:cs="宋体"/>
                <w:sz w:val="22"/>
                <w:szCs w:val="22"/>
              </w:rPr>
              <w:t>★6、工作电压210V-230V, 50-60Hz，≧1路220V/400W稳压延时电源反向输出，电源输入处装置过压自熔断保险丝及防浪涌冲击装置，采用按键式开关模式，支持7×24小时稳定工作。保障设备稳定性。（投标文件中提供第三方检测机构出具的</w:t>
            </w:r>
            <w:r>
              <w:rPr>
                <w:rFonts w:hint="eastAsia"/>
              </w:rPr>
              <w:t>构</w:t>
            </w:r>
            <w:r>
              <w:rPr>
                <w:rFonts w:hint="eastAsia" w:ascii="宋体" w:hAnsi="宋体" w:cs="宋体"/>
                <w:sz w:val="22"/>
                <w:szCs w:val="22"/>
              </w:rPr>
              <w:t>浪涌冲击抗扰度合格、按键次数30000次合格及15000小时连续运行无故障率检测报告复印件。）</w:t>
            </w:r>
          </w:p>
        </w:tc>
        <w:tc>
          <w:tcPr>
            <w:tcW w:w="992" w:type="dxa"/>
            <w:vAlign w:val="center"/>
          </w:tcPr>
          <w:p>
            <w:pPr>
              <w:jc w:val="center"/>
              <w:rPr>
                <w:rFonts w:ascii="宋体" w:hAnsi="宋体"/>
                <w:sz w:val="24"/>
              </w:rPr>
            </w:pPr>
            <w:r>
              <w:rPr>
                <w:rFonts w:hint="eastAsia" w:ascii="宋体" w:hAnsi="宋体"/>
                <w:sz w:val="24"/>
              </w:rPr>
              <w:t>1</w:t>
            </w:r>
          </w:p>
        </w:tc>
        <w:tc>
          <w:tcPr>
            <w:tcW w:w="850" w:type="dxa"/>
            <w:vAlign w:val="center"/>
          </w:tcPr>
          <w:p>
            <w:pPr>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7</w:t>
            </w:r>
          </w:p>
        </w:tc>
        <w:tc>
          <w:tcPr>
            <w:tcW w:w="1196" w:type="dxa"/>
            <w:vAlign w:val="center"/>
          </w:tcPr>
          <w:p>
            <w:pPr>
              <w:jc w:val="center"/>
              <w:rPr>
                <w:rFonts w:ascii="宋体" w:hAnsi="宋体"/>
                <w:sz w:val="24"/>
              </w:rPr>
            </w:pPr>
            <w:r>
              <w:rPr>
                <w:rFonts w:hint="eastAsia" w:ascii="宋体" w:hAnsi="宋体"/>
                <w:sz w:val="24"/>
              </w:rPr>
              <w:t>结构及包边</w:t>
            </w:r>
          </w:p>
        </w:tc>
        <w:tc>
          <w:tcPr>
            <w:tcW w:w="6126" w:type="dxa"/>
            <w:vAlign w:val="center"/>
          </w:tcPr>
          <w:p>
            <w:pPr>
              <w:widowControl/>
              <w:spacing w:line="375" w:lineRule="atLeast"/>
              <w:jc w:val="left"/>
              <w:rPr>
                <w:rFonts w:ascii="宋体" w:hAnsi="宋体"/>
                <w:sz w:val="24"/>
              </w:rPr>
            </w:pPr>
            <w:r>
              <w:rPr>
                <w:rFonts w:hint="eastAsia" w:ascii="宋体" w:hAnsi="宋体" w:cs="宋体"/>
                <w:color w:val="000000"/>
                <w:kern w:val="0"/>
                <w:szCs w:val="21"/>
              </w:rPr>
              <w:t>国标，含包边尺寸：6.16m*3.6m，</w:t>
            </w:r>
            <w:r>
              <w:rPr>
                <w:rFonts w:hint="eastAsia" w:ascii="宋体" w:hAnsi="宋体" w:cs="宋体"/>
                <w:sz w:val="22"/>
                <w:szCs w:val="22"/>
              </w:rPr>
              <w:t>钢架结构必须采用纯铝材质或镀锌方管，以模块化螺丝拼接而成，在施工现场严禁动火（如电焊、切割）等。包边采用黑拉丝不锈钢板材。</w:t>
            </w:r>
          </w:p>
        </w:tc>
        <w:tc>
          <w:tcPr>
            <w:tcW w:w="992" w:type="dxa"/>
            <w:vAlign w:val="center"/>
          </w:tcPr>
          <w:p>
            <w:pPr>
              <w:jc w:val="center"/>
              <w:rPr>
                <w:rFonts w:ascii="宋体" w:hAnsi="宋体"/>
                <w:sz w:val="24"/>
              </w:rPr>
            </w:pPr>
            <w:r>
              <w:rPr>
                <w:rFonts w:hint="eastAsia" w:ascii="宋体" w:hAnsi="宋体"/>
                <w:sz w:val="24"/>
              </w:rPr>
              <w:t>22</w:t>
            </w:r>
          </w:p>
        </w:tc>
        <w:tc>
          <w:tcPr>
            <w:tcW w:w="850" w:type="dxa"/>
            <w:vAlign w:val="center"/>
          </w:tcPr>
          <w:p>
            <w:pPr>
              <w:jc w:val="center"/>
              <w:rPr>
                <w:rFonts w:ascii="宋体" w:hAnsi="宋体"/>
                <w:sz w:val="24"/>
              </w:rPr>
            </w:pPr>
            <w:r>
              <w:rPr>
                <w:rFonts w:hint="eastAsia" w:ascii="宋体" w:hAnsi="宋体"/>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2" w:type="dxa"/>
            <w:vAlign w:val="center"/>
          </w:tcPr>
          <w:p>
            <w:pPr>
              <w:jc w:val="center"/>
              <w:rPr>
                <w:rFonts w:ascii="宋体" w:hAnsi="宋体"/>
                <w:sz w:val="24"/>
              </w:rPr>
            </w:pPr>
            <w:r>
              <w:rPr>
                <w:rFonts w:hint="eastAsia" w:ascii="宋体" w:hAnsi="宋体"/>
                <w:sz w:val="24"/>
              </w:rPr>
              <w:t>8</w:t>
            </w:r>
          </w:p>
        </w:tc>
        <w:tc>
          <w:tcPr>
            <w:tcW w:w="1196" w:type="dxa"/>
            <w:vAlign w:val="center"/>
          </w:tcPr>
          <w:p>
            <w:pPr>
              <w:jc w:val="center"/>
            </w:pPr>
            <w:r>
              <w:rPr>
                <w:rFonts w:hint="eastAsia"/>
              </w:rPr>
              <w:t>电源时序器</w:t>
            </w:r>
          </w:p>
        </w:tc>
        <w:tc>
          <w:tcPr>
            <w:tcW w:w="6126" w:type="dxa"/>
            <w:vAlign w:val="center"/>
          </w:tcPr>
          <w:p>
            <w:pPr>
              <w:widowControl/>
              <w:numPr>
                <w:ilvl w:val="0"/>
                <w:numId w:val="9"/>
              </w:numPr>
              <w:adjustRightInd/>
              <w:spacing w:line="375" w:lineRule="atLeast"/>
              <w:jc w:val="left"/>
            </w:pPr>
            <w:r>
              <w:rPr>
                <w:rFonts w:hint="eastAsia"/>
              </w:rPr>
              <w:t>大电流三芯电源输入缆线，电源输入连接方便，带负载总电流可达50A；</w:t>
            </w:r>
          </w:p>
          <w:p>
            <w:pPr>
              <w:widowControl/>
              <w:numPr>
                <w:ilvl w:val="0"/>
                <w:numId w:val="9"/>
              </w:numPr>
              <w:adjustRightInd/>
              <w:spacing w:line="375" w:lineRule="atLeast"/>
              <w:jc w:val="left"/>
            </w:pPr>
            <w:r>
              <w:rPr>
                <w:rFonts w:hint="eastAsia"/>
              </w:rPr>
              <w:t>配置1只安全空气开关及1个时序开启/关闭按键开关，保障设备安全的同时，又便于操控；</w:t>
            </w:r>
          </w:p>
          <w:p>
            <w:pPr>
              <w:widowControl/>
              <w:numPr>
                <w:ilvl w:val="0"/>
                <w:numId w:val="9"/>
              </w:numPr>
              <w:adjustRightInd/>
              <w:spacing w:line="375" w:lineRule="atLeast"/>
              <w:jc w:val="left"/>
            </w:pPr>
            <w:r>
              <w:rPr>
                <w:rFonts w:hint="eastAsia"/>
              </w:rPr>
              <w:t>面板开关设计符合设备安全要求，顺序开启时序通道，逆序关闭时序通道；</w:t>
            </w:r>
          </w:p>
          <w:p>
            <w:pPr>
              <w:widowControl/>
              <w:numPr>
                <w:ilvl w:val="0"/>
                <w:numId w:val="9"/>
              </w:numPr>
              <w:adjustRightInd/>
              <w:spacing w:line="375" w:lineRule="atLeast"/>
              <w:jc w:val="left"/>
            </w:pPr>
            <w:r>
              <w:rPr>
                <w:rFonts w:hint="eastAsia"/>
              </w:rPr>
              <w:t>带8个LED指示灯显示，实时查看每个通道的工作状态；</w:t>
            </w:r>
          </w:p>
          <w:p>
            <w:r>
              <w:rPr>
                <w:rFonts w:hint="eastAsia"/>
              </w:rPr>
              <w:t>▲带2寸高清液晶显示屏，实时显示电压、电流、时间、操作菜单等信息（</w:t>
            </w:r>
            <w:r>
              <w:t>投标</w:t>
            </w:r>
            <w:r>
              <w:rPr>
                <w:rFonts w:hint="eastAsia"/>
              </w:rPr>
              <w:t>文件中提供第三方检测机构检测报告复印件。）；</w:t>
            </w:r>
          </w:p>
          <w:p>
            <w:pPr>
              <w:widowControl/>
              <w:numPr>
                <w:ilvl w:val="0"/>
                <w:numId w:val="9"/>
              </w:numPr>
              <w:adjustRightInd/>
              <w:spacing w:line="375" w:lineRule="atLeast"/>
              <w:jc w:val="left"/>
            </w:pPr>
            <w:r>
              <w:rPr>
                <w:rFonts w:hint="eastAsia"/>
              </w:rPr>
              <w:t>支持自定义定时开关控制编辑，支持修改时间，可设置定时程序，实现无人值守，并且可编辑任意通道的开启或关闭；</w:t>
            </w:r>
          </w:p>
          <w:p>
            <w:pPr>
              <w:widowControl/>
              <w:numPr>
                <w:ilvl w:val="0"/>
                <w:numId w:val="9"/>
              </w:numPr>
              <w:adjustRightInd/>
              <w:spacing w:line="375" w:lineRule="atLeast"/>
              <w:jc w:val="left"/>
            </w:pPr>
            <w:r>
              <w:rPr>
                <w:rFonts w:hint="eastAsia"/>
              </w:rPr>
              <w:t>内含CPU控制芯片，可自定义顺序开机和逆序关机，并且可根据使用场所不同，自定议设置开关机间隔时间（0-9秒）；</w:t>
            </w:r>
          </w:p>
          <w:p>
            <w:pPr>
              <w:widowControl/>
              <w:numPr>
                <w:ilvl w:val="0"/>
                <w:numId w:val="9"/>
              </w:numPr>
              <w:adjustRightInd/>
              <w:spacing w:line="375" w:lineRule="atLeast"/>
              <w:jc w:val="left"/>
            </w:pPr>
            <w:r>
              <w:rPr>
                <w:rFonts w:hint="eastAsia"/>
              </w:rPr>
              <w:t>采用一键飞梭旋钮操作，配合四个功能键，易于操控；</w:t>
            </w:r>
          </w:p>
          <w:p>
            <w:pPr>
              <w:widowControl/>
              <w:numPr>
                <w:ilvl w:val="0"/>
                <w:numId w:val="9"/>
              </w:numPr>
              <w:adjustRightInd/>
              <w:spacing w:line="375" w:lineRule="atLeast"/>
              <w:jc w:val="left"/>
            </w:pPr>
            <w:r>
              <w:rPr>
                <w:rFonts w:hint="eastAsia"/>
              </w:rPr>
              <w:t>两种工作模式，中控模式和编程模式，根据使用场所不同自由切换；</w:t>
            </w:r>
          </w:p>
          <w:p>
            <w:r>
              <w:rPr>
                <w:rFonts w:hint="eastAsia"/>
              </w:rPr>
              <w:t>9、接口：前面板≧1个万能插座、后面板≧8个万能插座、1个网口、1个485口、1个短路输入输出口、2个USB口；</w:t>
            </w:r>
            <w:r>
              <w:t xml:space="preserve"> </w:t>
            </w:r>
          </w:p>
          <w:p>
            <w:pPr>
              <w:widowControl/>
              <w:adjustRightInd/>
              <w:spacing w:line="375" w:lineRule="atLeast"/>
              <w:jc w:val="left"/>
            </w:pPr>
            <w:r>
              <w:rPr>
                <w:rFonts w:hint="eastAsia"/>
              </w:rPr>
              <w:t>10、带232和485智能化控制接口，具有标准串口控制功能，可连接中控系统；</w:t>
            </w:r>
          </w:p>
          <w:p>
            <w:pPr>
              <w:widowControl/>
              <w:adjustRightInd/>
              <w:spacing w:line="375" w:lineRule="atLeast"/>
              <w:jc w:val="left"/>
            </w:pPr>
            <w:r>
              <w:rPr>
                <w:rFonts w:hint="eastAsia"/>
              </w:rPr>
              <w:t>11、带短路信号输入输出接口，可接入短路信号进行开关机控制，同时可级联至下一台设备；</w:t>
            </w:r>
          </w:p>
          <w:p>
            <w:pPr>
              <w:widowControl/>
              <w:adjustRightInd/>
              <w:spacing w:line="375" w:lineRule="atLeast"/>
              <w:jc w:val="left"/>
            </w:pPr>
            <w:r>
              <w:rPr>
                <w:rFonts w:hint="eastAsia"/>
              </w:rPr>
              <w:t>12、支持一键恢复出厂参数设置，便于管理；</w:t>
            </w:r>
          </w:p>
          <w:p>
            <w:pPr>
              <w:widowControl/>
              <w:adjustRightInd/>
              <w:spacing w:line="375" w:lineRule="atLeast"/>
              <w:jc w:val="left"/>
            </w:pPr>
            <w:r>
              <w:rPr>
                <w:rFonts w:hint="eastAsia"/>
              </w:rPr>
              <w:t>13、最大总电流：50A、每通道、最大电流：16A、通道数：9路；</w:t>
            </w:r>
            <w:r>
              <w:t xml:space="preserve"> </w:t>
            </w:r>
          </w:p>
          <w:p>
            <w:pPr>
              <w:widowControl/>
              <w:adjustRightInd/>
              <w:spacing w:line="375" w:lineRule="atLeast"/>
              <w:jc w:val="left"/>
            </w:pPr>
            <w:r>
              <w:rPr>
                <w:rFonts w:hint="eastAsia"/>
              </w:rPr>
              <w:t>14、▲所投设备生产厂家的控制软件必须拥有自主的知识产权，提供国家版权局颁发的“电源时序器电子密码软件”、“电源时序控制器软件”的计算机软件著作权登记证书复印件，证书编号在国家知识产权局官网可查询。</w:t>
            </w:r>
          </w:p>
        </w:tc>
        <w:tc>
          <w:tcPr>
            <w:tcW w:w="992" w:type="dxa"/>
            <w:vAlign w:val="center"/>
          </w:tcPr>
          <w:p>
            <w:pPr>
              <w:jc w:val="center"/>
              <w:rPr>
                <w:rFonts w:ascii="宋体" w:hAnsi="宋体"/>
                <w:sz w:val="24"/>
              </w:rPr>
            </w:pPr>
            <w:r>
              <w:rPr>
                <w:rFonts w:hint="eastAsia" w:ascii="宋体" w:hAnsi="宋体"/>
                <w:sz w:val="24"/>
              </w:rPr>
              <w:t>1</w:t>
            </w:r>
          </w:p>
        </w:tc>
        <w:tc>
          <w:tcPr>
            <w:tcW w:w="850" w:type="dxa"/>
            <w:vAlign w:val="center"/>
          </w:tcPr>
          <w:p>
            <w:pPr>
              <w:jc w:val="center"/>
              <w:rPr>
                <w:rFonts w:ascii="宋体" w:hAnsi="宋体"/>
                <w:sz w:val="24"/>
              </w:rPr>
            </w:pPr>
            <w:r>
              <w:rPr>
                <w:rFonts w:hint="eastAsia" w:ascii="宋体" w:hAnsi="宋体"/>
                <w:sz w:val="24"/>
              </w:rPr>
              <w:t xml:space="preserve">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9</w:t>
            </w:r>
          </w:p>
        </w:tc>
        <w:tc>
          <w:tcPr>
            <w:tcW w:w="1196" w:type="dxa"/>
            <w:vAlign w:val="center"/>
          </w:tcPr>
          <w:p>
            <w:pPr>
              <w:jc w:val="center"/>
            </w:pPr>
            <w:r>
              <w:t>L</w:t>
            </w:r>
            <w:r>
              <w:rPr>
                <w:rFonts w:hint="eastAsia"/>
              </w:rPr>
              <w:t>ed屏安装调试</w:t>
            </w:r>
          </w:p>
        </w:tc>
        <w:tc>
          <w:tcPr>
            <w:tcW w:w="6126" w:type="dxa"/>
            <w:vAlign w:val="center"/>
          </w:tcPr>
          <w:p>
            <w:pPr>
              <w:widowControl/>
              <w:spacing w:line="375" w:lineRule="atLeast"/>
              <w:jc w:val="left"/>
            </w:pPr>
            <w:r>
              <w:rPr>
                <w:rFonts w:hint="eastAsia"/>
              </w:rPr>
              <w:t>安装调试要求：</w:t>
            </w:r>
          </w:p>
          <w:p>
            <w:pPr>
              <w:widowControl/>
              <w:numPr>
                <w:ilvl w:val="0"/>
                <w:numId w:val="10"/>
              </w:numPr>
              <w:adjustRightInd/>
              <w:spacing w:line="375" w:lineRule="atLeast"/>
              <w:jc w:val="left"/>
            </w:pPr>
            <w:r>
              <w:rPr>
                <w:rFonts w:hint="eastAsia"/>
              </w:rPr>
              <w:t>项目施工前必须对其它原有的设施设备经行必要保护。</w:t>
            </w:r>
          </w:p>
          <w:p>
            <w:pPr>
              <w:pStyle w:val="513"/>
              <w:adjustRightInd w:val="0"/>
              <w:spacing w:line="420" w:lineRule="atLeast"/>
              <w:ind w:firstLine="0" w:firstLineChars="0"/>
              <w:jc w:val="left"/>
              <w:textAlignment w:val="baseline"/>
              <w:rPr>
                <w:rFonts w:ascii="Times New Roman" w:hAnsi="Times New Roman"/>
                <w:spacing w:val="0"/>
                <w:kern w:val="2"/>
                <w:sz w:val="21"/>
                <w:szCs w:val="24"/>
              </w:rPr>
            </w:pPr>
            <w:r>
              <w:rPr>
                <w:rFonts w:hint="eastAsia" w:ascii="Times New Roman" w:hAnsi="Times New Roman"/>
                <w:spacing w:val="0"/>
                <w:kern w:val="2"/>
                <w:sz w:val="21"/>
                <w:szCs w:val="24"/>
              </w:rPr>
              <w:t>2、由于该报告厅使用频率比较高，显示屏进场安装调试时间必须控制在一周以内。</w:t>
            </w:r>
          </w:p>
        </w:tc>
        <w:tc>
          <w:tcPr>
            <w:tcW w:w="992" w:type="dxa"/>
            <w:vAlign w:val="center"/>
          </w:tcPr>
          <w:p>
            <w:pPr>
              <w:widowControl/>
              <w:jc w:val="center"/>
              <w:textAlignment w:val="center"/>
              <w:rPr>
                <w:rFonts w:ascii="宋体" w:hAnsi="宋体"/>
                <w:sz w:val="24"/>
              </w:rPr>
            </w:pPr>
            <w:r>
              <w:rPr>
                <w:rFonts w:hint="eastAsia" w:ascii="新宋体" w:hAnsi="新宋体" w:eastAsia="新宋体" w:cs="新宋体"/>
                <w:color w:val="000000"/>
                <w:kern w:val="0"/>
                <w:szCs w:val="21"/>
              </w:rPr>
              <w:t>21.4</w:t>
            </w:r>
          </w:p>
        </w:tc>
        <w:tc>
          <w:tcPr>
            <w:tcW w:w="850" w:type="dxa"/>
            <w:vAlign w:val="center"/>
          </w:tcPr>
          <w:p>
            <w:pPr>
              <w:widowControl/>
              <w:jc w:val="center"/>
              <w:textAlignment w:val="center"/>
              <w:rPr>
                <w:rFonts w:ascii="宋体" w:hAnsi="宋体"/>
                <w:sz w:val="24"/>
              </w:rPr>
            </w:pPr>
            <w:r>
              <w:rPr>
                <w:rFonts w:hint="eastAsia" w:ascii="宋体" w:hAnsi="宋体" w:cs="宋体"/>
                <w:color w:val="000000"/>
                <w:kern w:val="0"/>
                <w:szCs w:val="21"/>
              </w:rPr>
              <w:t>m</w:t>
            </w:r>
            <w:r>
              <w:rPr>
                <w:rStyle w:val="144"/>
                <w:rFonts w:hint="defaul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10</w:t>
            </w:r>
          </w:p>
        </w:tc>
        <w:tc>
          <w:tcPr>
            <w:tcW w:w="1196" w:type="dxa"/>
            <w:vAlign w:val="center"/>
          </w:tcPr>
          <w:p>
            <w:pPr>
              <w:jc w:val="center"/>
              <w:rPr>
                <w:rFonts w:ascii="宋体" w:hAnsi="宋体" w:cs="宋体"/>
                <w:sz w:val="24"/>
              </w:rPr>
            </w:pPr>
            <w:r>
              <w:rPr>
                <w:rFonts w:hint="eastAsia" w:ascii="宋体" w:hAnsi="宋体" w:cs="宋体"/>
                <w:sz w:val="24"/>
              </w:rPr>
              <w:t>光灯</w:t>
            </w:r>
          </w:p>
        </w:tc>
        <w:tc>
          <w:tcPr>
            <w:tcW w:w="6126" w:type="dxa"/>
            <w:vAlign w:val="center"/>
          </w:tcPr>
          <w:p>
            <w:pPr>
              <w:widowControl/>
              <w:adjustRightInd/>
              <w:spacing w:line="375" w:lineRule="atLeast"/>
              <w:jc w:val="left"/>
            </w:pPr>
            <w:r>
              <w:rPr>
                <w:rFonts w:hint="eastAsia"/>
              </w:rPr>
              <w:t>1、LED≧256颗平板柔光灯 、</w:t>
            </w:r>
          </w:p>
          <w:p>
            <w:pPr>
              <w:widowControl/>
              <w:adjustRightInd/>
              <w:spacing w:line="375" w:lineRule="atLeast"/>
              <w:jc w:val="left"/>
            </w:pPr>
            <w:r>
              <w:rPr>
                <w:rFonts w:hint="eastAsia"/>
              </w:rPr>
              <w:t>电压：AC110/230V 50-60Hz、</w:t>
            </w:r>
          </w:p>
          <w:p>
            <w:pPr>
              <w:widowControl/>
              <w:adjustRightInd/>
              <w:spacing w:line="375" w:lineRule="atLeast"/>
              <w:jc w:val="left"/>
            </w:pPr>
            <w:r>
              <w:rPr>
                <w:rFonts w:hint="eastAsia"/>
              </w:rPr>
              <w:t>功率：≦150W、</w:t>
            </w:r>
          </w:p>
          <w:p>
            <w:pPr>
              <w:widowControl/>
              <w:adjustRightInd/>
              <w:spacing w:line="375" w:lineRule="atLeast"/>
              <w:jc w:val="left"/>
            </w:pPr>
            <w:r>
              <w:rPr>
                <w:rFonts w:hint="eastAsia"/>
              </w:rPr>
              <w:t>光源：≧256颗0.5W5050LED灯珠、</w:t>
            </w:r>
          </w:p>
          <w:p>
            <w:pPr>
              <w:widowControl/>
              <w:adjustRightInd/>
              <w:spacing w:line="375" w:lineRule="atLeast"/>
              <w:jc w:val="left"/>
            </w:pPr>
            <w:r>
              <w:rPr>
                <w:rFonts w:hint="eastAsia"/>
              </w:rPr>
              <w:t>色温：≧5600k、</w:t>
            </w:r>
          </w:p>
          <w:p>
            <w:pPr>
              <w:widowControl/>
              <w:adjustRightInd/>
              <w:spacing w:line="375" w:lineRule="atLeast"/>
              <w:jc w:val="left"/>
            </w:pPr>
            <w:r>
              <w:rPr>
                <w:rFonts w:hint="eastAsia"/>
              </w:rPr>
              <w:t>高流明：≧24000LM、</w:t>
            </w:r>
          </w:p>
          <w:p>
            <w:pPr>
              <w:widowControl/>
              <w:adjustRightInd/>
              <w:spacing w:line="375" w:lineRule="atLeast"/>
              <w:jc w:val="left"/>
            </w:pPr>
            <w:r>
              <w:rPr>
                <w:rFonts w:hint="eastAsia"/>
              </w:rPr>
              <w:t>通道：≧3通道；</w:t>
            </w:r>
          </w:p>
          <w:p>
            <w:pPr>
              <w:widowControl/>
              <w:adjustRightInd/>
              <w:spacing w:line="375" w:lineRule="atLeast"/>
              <w:jc w:val="left"/>
            </w:pPr>
            <w:r>
              <w:rPr>
                <w:rFonts w:hint="eastAsia"/>
              </w:rPr>
              <w:t>2、控制模式：DM×512，手动调光，频闪、主从模式；</w:t>
            </w:r>
          </w:p>
          <w:p>
            <w:pPr>
              <w:widowControl/>
              <w:adjustRightInd/>
              <w:spacing w:line="375" w:lineRule="atLeast"/>
              <w:jc w:val="left"/>
            </w:pPr>
            <w:r>
              <w:rPr>
                <w:rFonts w:hint="eastAsia"/>
              </w:rPr>
              <w:t>3、调光：0-100%线性调光平滑无闪烁；</w:t>
            </w:r>
          </w:p>
          <w:p>
            <w:pPr>
              <w:widowControl/>
              <w:adjustRightInd/>
              <w:spacing w:line="375" w:lineRule="atLeast"/>
              <w:jc w:val="left"/>
            </w:pPr>
            <w:r>
              <w:rPr>
                <w:rFonts w:hint="eastAsia"/>
              </w:rPr>
              <w:t>4、▲所投设备厂家或投标供应商具有“专业舞台灯光音响工程设计与施工壹级”证书，提供证书复制件，证书编号网上可查询。</w:t>
            </w:r>
          </w:p>
        </w:tc>
        <w:tc>
          <w:tcPr>
            <w:tcW w:w="992" w:type="dxa"/>
            <w:vAlign w:val="center"/>
          </w:tcPr>
          <w:p>
            <w:pPr>
              <w:jc w:val="center"/>
              <w:rPr>
                <w:rFonts w:ascii="宋体" w:hAnsi="宋体"/>
                <w:sz w:val="24"/>
              </w:rPr>
            </w:pPr>
            <w:r>
              <w:rPr>
                <w:rFonts w:hint="eastAsia" w:ascii="宋体" w:hAnsi="宋体"/>
                <w:sz w:val="24"/>
              </w:rPr>
              <w:t>8</w:t>
            </w:r>
          </w:p>
        </w:tc>
        <w:tc>
          <w:tcPr>
            <w:tcW w:w="850" w:type="dxa"/>
            <w:vAlign w:val="center"/>
          </w:tcPr>
          <w:p>
            <w:pPr>
              <w:jc w:val="center"/>
              <w:rPr>
                <w:rFonts w:ascii="宋体" w:hAnsi="宋体"/>
                <w:sz w:val="24"/>
              </w:rPr>
            </w:pPr>
            <w:r>
              <w:rPr>
                <w:rFonts w:hint="eastAsia" w:ascii="宋体" w:hAnsi="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12" w:type="dxa"/>
            <w:vAlign w:val="center"/>
          </w:tcPr>
          <w:p>
            <w:pPr>
              <w:jc w:val="center"/>
              <w:rPr>
                <w:rFonts w:ascii="宋体" w:hAnsi="宋体"/>
                <w:sz w:val="24"/>
              </w:rPr>
            </w:pPr>
            <w:r>
              <w:rPr>
                <w:rFonts w:hint="eastAsia" w:ascii="宋体" w:hAnsi="宋体"/>
                <w:sz w:val="24"/>
              </w:rPr>
              <w:t>11</w:t>
            </w:r>
          </w:p>
        </w:tc>
        <w:tc>
          <w:tcPr>
            <w:tcW w:w="1196" w:type="dxa"/>
            <w:vAlign w:val="center"/>
          </w:tcPr>
          <w:p>
            <w:pPr>
              <w:jc w:val="center"/>
              <w:rPr>
                <w:rFonts w:ascii="宋体" w:hAnsi="宋体" w:cs="宋体"/>
                <w:sz w:val="24"/>
              </w:rPr>
            </w:pPr>
            <w:r>
              <w:rPr>
                <w:rFonts w:hint="eastAsia" w:ascii="宋体" w:hAnsi="宋体" w:cs="宋体"/>
                <w:sz w:val="24"/>
              </w:rPr>
              <w:t>灯控台</w:t>
            </w:r>
          </w:p>
        </w:tc>
        <w:tc>
          <w:tcPr>
            <w:tcW w:w="6126" w:type="dxa"/>
            <w:vAlign w:val="center"/>
          </w:tcPr>
          <w:p>
            <w:pPr>
              <w:widowControl/>
              <w:adjustRightInd/>
              <w:spacing w:line="375" w:lineRule="atLeast"/>
              <w:jc w:val="left"/>
            </w:pPr>
            <w:r>
              <w:rPr>
                <w:rFonts w:hint="eastAsia"/>
              </w:rPr>
              <w:t>1、标准DM×512信号MIDI IN/OUT，内置MIC 声控输入.≧8路/192个DM×通道输出，可控≧12支电脑灯（每路≧16个通道）。</w:t>
            </w:r>
          </w:p>
          <w:p>
            <w:pPr>
              <w:widowControl/>
              <w:adjustRightInd/>
              <w:spacing w:line="375" w:lineRule="atLeast"/>
              <w:jc w:val="left"/>
            </w:pPr>
            <w:r>
              <w:rPr>
                <w:rFonts w:hint="eastAsia"/>
              </w:rPr>
              <w:t>2、≧30个软件程序库包含≧240组预设场景，每组场景包含≧8组声景.≧6个可编程预设程序，任意调用场景以及场景切换。</w:t>
            </w:r>
          </w:p>
          <w:p>
            <w:pPr>
              <w:widowControl/>
              <w:adjustRightInd/>
              <w:spacing w:line="375" w:lineRule="atLeast"/>
              <w:jc w:val="left"/>
            </w:pPr>
            <w:r>
              <w:rPr>
                <w:rFonts w:hint="eastAsia"/>
              </w:rPr>
              <w:t>3、编程迅捷，带记忆本，液晶显示，操作方便。</w:t>
            </w:r>
          </w:p>
          <w:p>
            <w:pPr>
              <w:widowControl/>
              <w:adjustRightInd/>
              <w:spacing w:line="375" w:lineRule="atLeast"/>
              <w:jc w:val="left"/>
            </w:pPr>
            <w:r>
              <w:rPr>
                <w:rFonts w:hint="eastAsia"/>
              </w:rPr>
              <w:t>4、≧4位数码管显示。</w:t>
            </w:r>
          </w:p>
          <w:p>
            <w:pPr>
              <w:widowControl/>
              <w:adjustRightInd/>
              <w:spacing w:line="375" w:lineRule="atLeast"/>
              <w:jc w:val="left"/>
            </w:pPr>
            <w:r>
              <w:rPr>
                <w:rFonts w:hint="eastAsia"/>
              </w:rPr>
              <w:t>5、BLACKOUT功能可用手动或MIDI作遥控控制。</w:t>
            </w:r>
          </w:p>
          <w:p>
            <w:pPr>
              <w:widowControl/>
              <w:adjustRightInd/>
              <w:spacing w:line="375" w:lineRule="atLeast"/>
              <w:jc w:val="left"/>
            </w:pPr>
            <w:r>
              <w:rPr>
                <w:rFonts w:hint="eastAsia"/>
              </w:rPr>
              <w:t>6、CHASES编程和CHASES运行功能，可用手动或用MIDI遥控。</w:t>
            </w:r>
          </w:p>
          <w:p>
            <w:pPr>
              <w:widowControl/>
              <w:adjustRightInd/>
              <w:spacing w:line="375" w:lineRule="atLeast"/>
              <w:jc w:val="left"/>
            </w:pPr>
            <w:r>
              <w:rPr>
                <w:rFonts w:hint="eastAsia"/>
              </w:rPr>
              <w:t>7、控制。输出延时功能，用FADETIME电位器调节延时时间。</w:t>
            </w:r>
          </w:p>
          <w:p>
            <w:pPr>
              <w:widowControl/>
              <w:adjustRightInd/>
              <w:spacing w:line="375" w:lineRule="atLeast"/>
              <w:jc w:val="left"/>
            </w:pPr>
            <w:r>
              <w:rPr>
                <w:rFonts w:hint="eastAsia"/>
              </w:rPr>
              <w:t>8、DM×输出极性选择。</w:t>
            </w:r>
          </w:p>
        </w:tc>
        <w:tc>
          <w:tcPr>
            <w:tcW w:w="992" w:type="dxa"/>
            <w:vAlign w:val="center"/>
          </w:tcPr>
          <w:p>
            <w:pPr>
              <w:jc w:val="center"/>
              <w:rPr>
                <w:rFonts w:ascii="宋体" w:hAnsi="宋体"/>
                <w:sz w:val="24"/>
              </w:rPr>
            </w:pPr>
            <w:r>
              <w:rPr>
                <w:rFonts w:hint="eastAsia" w:ascii="宋体" w:hAnsi="宋体"/>
                <w:sz w:val="24"/>
              </w:rPr>
              <w:t>1</w:t>
            </w:r>
          </w:p>
        </w:tc>
        <w:tc>
          <w:tcPr>
            <w:tcW w:w="850" w:type="dxa"/>
            <w:vAlign w:val="center"/>
          </w:tcPr>
          <w:p>
            <w:pPr>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12</w:t>
            </w:r>
          </w:p>
        </w:tc>
        <w:tc>
          <w:tcPr>
            <w:tcW w:w="1196" w:type="dxa"/>
            <w:vAlign w:val="center"/>
          </w:tcPr>
          <w:p>
            <w:pPr>
              <w:jc w:val="center"/>
              <w:rPr>
                <w:rFonts w:ascii="宋体" w:hAnsi="宋体" w:cs="宋体"/>
                <w:sz w:val="24"/>
              </w:rPr>
            </w:pPr>
            <w:r>
              <w:rPr>
                <w:rFonts w:hint="eastAsia" w:ascii="宋体" w:hAnsi="宋体" w:cs="宋体"/>
                <w:sz w:val="24"/>
              </w:rPr>
              <w:t>综合布线</w:t>
            </w:r>
          </w:p>
        </w:tc>
        <w:tc>
          <w:tcPr>
            <w:tcW w:w="6126" w:type="dxa"/>
            <w:vAlign w:val="center"/>
          </w:tcPr>
          <w:p>
            <w:pPr>
              <w:widowControl/>
              <w:spacing w:line="375" w:lineRule="atLeast"/>
              <w:jc w:val="left"/>
            </w:pPr>
            <w:r>
              <w:rPr>
                <w:rFonts w:hint="eastAsia"/>
              </w:rPr>
              <w:t>综合布线包括铺设所有的主电源线、分电源线、网络</w:t>
            </w:r>
            <w:r>
              <w:rPr>
                <w:rFonts w:hint="eastAsia" w:ascii="宋体" w:hAnsi="宋体" w:cs="宋体"/>
                <w:color w:val="000000"/>
                <w:kern w:val="0"/>
                <w:szCs w:val="21"/>
              </w:rPr>
              <w:t>信号</w:t>
            </w:r>
            <w:r>
              <w:rPr>
                <w:rFonts w:hint="eastAsia"/>
              </w:rPr>
              <w:t>线、音频线、视频线</w:t>
            </w:r>
            <w:r>
              <w:rPr>
                <w:rFonts w:hint="eastAsia" w:ascii="宋体" w:hAnsi="宋体" w:cs="宋体"/>
                <w:color w:val="000000"/>
                <w:kern w:val="0"/>
                <w:szCs w:val="21"/>
              </w:rPr>
              <w:t>、30HDMI线</w:t>
            </w:r>
            <w:r>
              <w:rPr>
                <w:rFonts w:hint="eastAsia"/>
              </w:rPr>
              <w:t>等，具体数量视工程所需。</w:t>
            </w:r>
          </w:p>
        </w:tc>
        <w:tc>
          <w:tcPr>
            <w:tcW w:w="992" w:type="dxa"/>
            <w:vAlign w:val="center"/>
          </w:tcPr>
          <w:p>
            <w:pPr>
              <w:jc w:val="center"/>
              <w:rPr>
                <w:rFonts w:ascii="宋体" w:hAnsi="宋体"/>
                <w:sz w:val="24"/>
              </w:rPr>
            </w:pPr>
            <w:r>
              <w:rPr>
                <w:rFonts w:hint="eastAsia" w:ascii="宋体" w:hAnsi="宋体"/>
                <w:sz w:val="24"/>
              </w:rPr>
              <w:t>1</w:t>
            </w:r>
          </w:p>
        </w:tc>
        <w:tc>
          <w:tcPr>
            <w:tcW w:w="850" w:type="dxa"/>
            <w:vAlign w:val="center"/>
          </w:tcPr>
          <w:p>
            <w:pPr>
              <w:jc w:val="center"/>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2" w:type="dxa"/>
            <w:vAlign w:val="center"/>
          </w:tcPr>
          <w:p>
            <w:pPr>
              <w:jc w:val="center"/>
              <w:rPr>
                <w:rFonts w:ascii="宋体" w:hAnsi="宋体"/>
                <w:sz w:val="24"/>
              </w:rPr>
            </w:pPr>
            <w:r>
              <w:rPr>
                <w:rFonts w:hint="eastAsia" w:ascii="宋体" w:hAnsi="宋体"/>
                <w:sz w:val="24"/>
              </w:rPr>
              <w:t>13</w:t>
            </w:r>
          </w:p>
        </w:tc>
        <w:tc>
          <w:tcPr>
            <w:tcW w:w="1196" w:type="dxa"/>
            <w:vAlign w:val="center"/>
          </w:tcPr>
          <w:p>
            <w:pPr>
              <w:jc w:val="center"/>
              <w:rPr>
                <w:rFonts w:ascii="宋体" w:hAnsi="宋体" w:cs="宋体"/>
                <w:sz w:val="24"/>
              </w:rPr>
            </w:pPr>
            <w:r>
              <w:rPr>
                <w:rFonts w:hint="eastAsia" w:ascii="宋体" w:hAnsi="宋体" w:cs="宋体"/>
                <w:sz w:val="24"/>
              </w:rPr>
              <w:t>机柜</w:t>
            </w:r>
          </w:p>
        </w:tc>
        <w:tc>
          <w:tcPr>
            <w:tcW w:w="6126" w:type="dxa"/>
            <w:vAlign w:val="center"/>
          </w:tcPr>
          <w:p>
            <w:pPr>
              <w:widowControl/>
              <w:spacing w:line="375" w:lineRule="atLeast"/>
              <w:jc w:val="left"/>
              <w:rPr>
                <w:rFonts w:ascii="宋体" w:hAnsi="宋体"/>
                <w:sz w:val="24"/>
              </w:rPr>
            </w:pPr>
            <w:r>
              <w:rPr>
                <w:rFonts w:hint="eastAsia"/>
              </w:rPr>
              <w:t>600mm*600mm*1500mm</w:t>
            </w:r>
          </w:p>
        </w:tc>
        <w:tc>
          <w:tcPr>
            <w:tcW w:w="992" w:type="dxa"/>
            <w:vAlign w:val="center"/>
          </w:tcPr>
          <w:p>
            <w:pPr>
              <w:jc w:val="center"/>
              <w:rPr>
                <w:rFonts w:ascii="宋体" w:hAnsi="宋体"/>
                <w:sz w:val="24"/>
              </w:rPr>
            </w:pPr>
            <w:r>
              <w:rPr>
                <w:rFonts w:hint="eastAsia" w:ascii="宋体" w:hAnsi="宋体"/>
                <w:sz w:val="24"/>
              </w:rPr>
              <w:t>1</w:t>
            </w:r>
          </w:p>
        </w:tc>
        <w:tc>
          <w:tcPr>
            <w:tcW w:w="850" w:type="dxa"/>
            <w:vAlign w:val="center"/>
          </w:tcPr>
          <w:p>
            <w:pPr>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14</w:t>
            </w:r>
          </w:p>
        </w:tc>
        <w:tc>
          <w:tcPr>
            <w:tcW w:w="1196" w:type="dxa"/>
            <w:vAlign w:val="center"/>
          </w:tcPr>
          <w:p>
            <w:pPr>
              <w:jc w:val="center"/>
              <w:rPr>
                <w:rFonts w:ascii="宋体" w:hAnsi="宋体" w:cs="宋体"/>
                <w:sz w:val="24"/>
              </w:rPr>
            </w:pPr>
            <w:r>
              <w:rPr>
                <w:rFonts w:hint="eastAsia" w:ascii="宋体" w:hAnsi="宋体" w:cs="宋体"/>
                <w:sz w:val="24"/>
              </w:rPr>
              <w:t>主音箱</w:t>
            </w:r>
          </w:p>
        </w:tc>
        <w:tc>
          <w:tcPr>
            <w:tcW w:w="6126" w:type="dxa"/>
            <w:vAlign w:val="center"/>
          </w:tcPr>
          <w:p>
            <w:pPr>
              <w:widowControl/>
              <w:numPr>
                <w:ilvl w:val="0"/>
                <w:numId w:val="11"/>
              </w:numPr>
              <w:adjustRightInd/>
              <w:spacing w:line="375" w:lineRule="atLeast"/>
              <w:jc w:val="left"/>
            </w:pPr>
            <w:r>
              <w:rPr>
                <w:rFonts w:hint="eastAsia"/>
              </w:rPr>
              <w:t>单元组成：低音：12寸低音单元铝盆架170磁、</w:t>
            </w:r>
          </w:p>
          <w:p>
            <w:pPr>
              <w:widowControl/>
              <w:adjustRightInd/>
              <w:spacing w:line="375" w:lineRule="atLeast"/>
              <w:ind w:left="360"/>
              <w:jc w:val="left"/>
            </w:pPr>
            <w:r>
              <w:rPr>
                <w:rFonts w:hint="eastAsia"/>
              </w:rPr>
              <w:t>单元组成：高音：1.5寸44芯高音单元150磁、</w:t>
            </w:r>
          </w:p>
          <w:p>
            <w:pPr>
              <w:widowControl/>
              <w:adjustRightInd/>
              <w:spacing w:line="375" w:lineRule="atLeast"/>
              <w:ind w:left="360"/>
              <w:jc w:val="left"/>
            </w:pPr>
            <w:r>
              <w:rPr>
                <w:rFonts w:hint="eastAsia"/>
              </w:rPr>
              <w:t>频率响应（-1dB）：48Hz-18KHz、</w:t>
            </w:r>
          </w:p>
          <w:p>
            <w:pPr>
              <w:widowControl/>
              <w:adjustRightInd/>
              <w:spacing w:line="375" w:lineRule="atLeast"/>
              <w:ind w:left="360"/>
              <w:jc w:val="left"/>
            </w:pPr>
            <w:r>
              <w:rPr>
                <w:rFonts w:hint="eastAsia"/>
              </w:rPr>
              <w:t>频率响应（-3dB）：42Hz-20KHz、</w:t>
            </w:r>
          </w:p>
          <w:p>
            <w:pPr>
              <w:widowControl/>
              <w:adjustRightInd/>
              <w:spacing w:line="375" w:lineRule="atLeast"/>
              <w:ind w:left="360"/>
              <w:jc w:val="left"/>
            </w:pPr>
            <w:r>
              <w:rPr>
                <w:rFonts w:hint="eastAsia"/>
              </w:rPr>
              <w:t>连续声压级：≧122dB、</w:t>
            </w:r>
          </w:p>
          <w:p>
            <w:pPr>
              <w:widowControl/>
              <w:adjustRightInd/>
              <w:spacing w:line="375" w:lineRule="atLeast"/>
              <w:ind w:left="360"/>
              <w:jc w:val="left"/>
            </w:pPr>
            <w:r>
              <w:rPr>
                <w:rFonts w:hint="eastAsia"/>
              </w:rPr>
              <w:t>峰值声压级：≦132dB、</w:t>
            </w:r>
          </w:p>
          <w:p>
            <w:pPr>
              <w:widowControl/>
              <w:adjustRightInd/>
              <w:spacing w:line="375" w:lineRule="atLeast"/>
              <w:ind w:left="360"/>
              <w:jc w:val="left"/>
            </w:pPr>
            <w:r>
              <w:rPr>
                <w:rFonts w:hint="eastAsia"/>
              </w:rPr>
              <w:t>标准阻抗：≦8、</w:t>
            </w:r>
          </w:p>
          <w:p>
            <w:pPr>
              <w:widowControl/>
              <w:adjustRightInd/>
              <w:spacing w:line="375" w:lineRule="atLeast"/>
              <w:ind w:left="360"/>
              <w:jc w:val="left"/>
            </w:pPr>
            <w:r>
              <w:rPr>
                <w:rFonts w:hint="eastAsia"/>
              </w:rPr>
              <w:t>输入功率：≧350W（额定≦700W峰值）、</w:t>
            </w:r>
          </w:p>
          <w:p>
            <w:pPr>
              <w:widowControl/>
              <w:adjustRightInd/>
              <w:spacing w:line="375" w:lineRule="atLeast"/>
              <w:ind w:left="360"/>
              <w:jc w:val="left"/>
              <w:rPr>
                <w:color w:val="FF0000"/>
              </w:rPr>
            </w:pPr>
            <w:r>
              <w:rPr>
                <w:rFonts w:hint="eastAsia"/>
              </w:rPr>
              <w:t>分频点：≦2KHz</w:t>
            </w:r>
          </w:p>
          <w:p>
            <w:pPr>
              <w:widowControl/>
              <w:numPr>
                <w:ilvl w:val="0"/>
                <w:numId w:val="11"/>
              </w:numPr>
              <w:adjustRightInd/>
              <w:spacing w:line="375" w:lineRule="atLeast"/>
              <w:jc w:val="left"/>
            </w:pPr>
            <w:r>
              <w:rPr>
                <w:rFonts w:hint="eastAsia"/>
              </w:rPr>
              <w:t>安装方式：吊装螺丝孔位，底部支撑孔。</w:t>
            </w:r>
          </w:p>
          <w:p>
            <w:pPr>
              <w:widowControl/>
              <w:numPr>
                <w:ilvl w:val="0"/>
                <w:numId w:val="11"/>
              </w:numPr>
              <w:adjustRightInd/>
              <w:spacing w:line="375" w:lineRule="atLeast"/>
              <w:jc w:val="left"/>
            </w:pPr>
            <w:r>
              <w:rPr>
                <w:rFonts w:hint="eastAsia"/>
              </w:rPr>
              <w:t>表面处理：黑色颗粒状树脂喷涂</w:t>
            </w:r>
          </w:p>
          <w:p>
            <w:pPr>
              <w:widowControl/>
              <w:numPr>
                <w:ilvl w:val="0"/>
                <w:numId w:val="11"/>
              </w:numPr>
              <w:adjustRightInd/>
              <w:spacing w:line="375" w:lineRule="atLeast"/>
              <w:jc w:val="left"/>
            </w:pPr>
            <w:r>
              <w:rPr>
                <w:rFonts w:hint="eastAsia"/>
              </w:rPr>
              <w:t>面网：模压钢制圆型面网</w:t>
            </w:r>
          </w:p>
          <w:p>
            <w:pPr>
              <w:widowControl/>
              <w:numPr>
                <w:ilvl w:val="0"/>
                <w:numId w:val="11"/>
              </w:numPr>
              <w:adjustRightInd/>
              <w:spacing w:line="375" w:lineRule="atLeast"/>
              <w:jc w:val="left"/>
            </w:pPr>
            <w:r>
              <w:rPr>
                <w:rFonts w:hint="eastAsia"/>
              </w:rPr>
              <w:t>输入连接器：≧2个NL4插座</w:t>
            </w:r>
          </w:p>
          <w:p>
            <w:pPr>
              <w:widowControl/>
              <w:numPr>
                <w:ilvl w:val="0"/>
                <w:numId w:val="11"/>
              </w:numPr>
              <w:adjustRightInd/>
              <w:spacing w:line="375" w:lineRule="atLeast"/>
              <w:jc w:val="left"/>
            </w:pPr>
            <w:r>
              <w:rPr>
                <w:rFonts w:hint="eastAsia"/>
              </w:rPr>
              <w:t>连接：1+、2+/正极。1-、2-/负极</w:t>
            </w:r>
          </w:p>
          <w:p>
            <w:pPr>
              <w:widowControl/>
              <w:numPr>
                <w:ilvl w:val="0"/>
                <w:numId w:val="11"/>
              </w:numPr>
              <w:adjustRightInd/>
              <w:spacing w:line="375" w:lineRule="atLeast"/>
              <w:jc w:val="left"/>
            </w:pPr>
            <w:r>
              <w:rPr>
                <w:rFonts w:hint="eastAsia"/>
              </w:rPr>
              <w:t>▲所投音箱设备可靠性检测合格（</w:t>
            </w:r>
            <w:r>
              <w:t>投标</w:t>
            </w:r>
            <w:r>
              <w:rPr>
                <w:rFonts w:hint="eastAsia"/>
              </w:rPr>
              <w:t>文件中提供</w:t>
            </w:r>
            <w:r>
              <w:rPr>
                <w:rFonts w:hint="eastAsia" w:cs="宋体" w:asciiTheme="minorEastAsia" w:hAnsiTheme="minorEastAsia"/>
                <w:kern w:val="0"/>
                <w:szCs w:val="21"/>
              </w:rPr>
              <w:t>第三方检测机构检测报告复印件</w:t>
            </w:r>
            <w:r>
              <w:rPr>
                <w:rFonts w:hint="eastAsia"/>
              </w:rPr>
              <w:t>）</w:t>
            </w:r>
            <w:r>
              <w:rPr>
                <w:rFonts w:hint="eastAsia" w:cs="宋体" w:asciiTheme="minorEastAsia" w:hAnsiTheme="minorEastAsia"/>
                <w:kern w:val="0"/>
                <w:szCs w:val="21"/>
              </w:rPr>
              <w:t>。</w:t>
            </w:r>
          </w:p>
        </w:tc>
        <w:tc>
          <w:tcPr>
            <w:tcW w:w="992" w:type="dxa"/>
            <w:vAlign w:val="center"/>
          </w:tcPr>
          <w:p>
            <w:pPr>
              <w:jc w:val="center"/>
              <w:rPr>
                <w:rFonts w:ascii="宋体" w:hAnsi="宋体"/>
                <w:sz w:val="24"/>
              </w:rPr>
            </w:pPr>
            <w:r>
              <w:rPr>
                <w:rFonts w:hint="eastAsia" w:ascii="宋体" w:hAnsi="宋体"/>
                <w:sz w:val="24"/>
              </w:rPr>
              <w:t>4</w:t>
            </w:r>
          </w:p>
        </w:tc>
        <w:tc>
          <w:tcPr>
            <w:tcW w:w="850" w:type="dxa"/>
            <w:vAlign w:val="center"/>
          </w:tcPr>
          <w:p>
            <w:pPr>
              <w:jc w:val="center"/>
              <w:rPr>
                <w:rFonts w:ascii="宋体" w:hAnsi="宋体"/>
                <w:sz w:val="24"/>
              </w:rPr>
            </w:pPr>
            <w:r>
              <w:rPr>
                <w:rFonts w:hint="eastAsia" w:ascii="宋体" w:hAnsi="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15</w:t>
            </w:r>
          </w:p>
        </w:tc>
        <w:tc>
          <w:tcPr>
            <w:tcW w:w="1196" w:type="dxa"/>
            <w:vAlign w:val="center"/>
          </w:tcPr>
          <w:p>
            <w:pPr>
              <w:jc w:val="center"/>
              <w:rPr>
                <w:rFonts w:ascii="宋体" w:hAnsi="宋体" w:cs="宋体"/>
                <w:sz w:val="24"/>
              </w:rPr>
            </w:pPr>
            <w:r>
              <w:rPr>
                <w:rFonts w:hint="eastAsia" w:ascii="宋体" w:hAnsi="宋体" w:cs="宋体"/>
                <w:sz w:val="24"/>
              </w:rPr>
              <w:t>功放</w:t>
            </w:r>
          </w:p>
        </w:tc>
        <w:tc>
          <w:tcPr>
            <w:tcW w:w="6126" w:type="dxa"/>
            <w:vAlign w:val="center"/>
          </w:tcPr>
          <w:p>
            <w:pPr>
              <w:widowControl/>
              <w:spacing w:line="375" w:lineRule="atLeast"/>
              <w:jc w:val="left"/>
            </w:pPr>
            <w:r>
              <w:rPr>
                <w:rFonts w:hint="eastAsia"/>
              </w:rPr>
              <w:t xml:space="preserve">1、四通道专业功放    </w:t>
            </w:r>
          </w:p>
          <w:p>
            <w:pPr>
              <w:widowControl/>
              <w:spacing w:line="375" w:lineRule="atLeast"/>
              <w:jc w:val="left"/>
            </w:pPr>
            <w:r>
              <w:rPr>
                <w:rFonts w:hint="eastAsia"/>
              </w:rPr>
              <w:t>输出功率@立体声≧8Ω（1KHz，THD&lt;1%时）：4×600W</w:t>
            </w:r>
          </w:p>
          <w:p>
            <w:pPr>
              <w:widowControl/>
              <w:spacing w:line="375" w:lineRule="atLeast"/>
              <w:jc w:val="left"/>
            </w:pPr>
            <w:r>
              <w:rPr>
                <w:rFonts w:hint="eastAsia"/>
              </w:rPr>
              <w:t>输出功率@立体声≧4Ω（1KHz，THD&lt;1%时）：4×840W</w:t>
            </w:r>
          </w:p>
          <w:p>
            <w:pPr>
              <w:widowControl/>
              <w:spacing w:line="375" w:lineRule="atLeast"/>
              <w:jc w:val="left"/>
            </w:pPr>
            <w:r>
              <w:rPr>
                <w:rFonts w:hint="eastAsia"/>
              </w:rPr>
              <w:t>输出功率@桥接≧8Ω（1KHz，THD&lt;1%时）：2×1440W</w:t>
            </w:r>
          </w:p>
          <w:p>
            <w:pPr>
              <w:widowControl/>
              <w:spacing w:line="375" w:lineRule="atLeast"/>
              <w:jc w:val="left"/>
            </w:pPr>
            <w:r>
              <w:rPr>
                <w:rFonts w:hint="eastAsia"/>
              </w:rPr>
              <w:t>输出功率@桥接≧4Ω（1KHz，THD&lt;1%时）：2×2000W</w:t>
            </w:r>
          </w:p>
          <w:p>
            <w:pPr>
              <w:widowControl/>
              <w:adjustRightInd/>
              <w:spacing w:line="375" w:lineRule="atLeast"/>
              <w:jc w:val="left"/>
            </w:pPr>
            <w:r>
              <w:rPr>
                <w:rFonts w:hint="eastAsia"/>
              </w:rPr>
              <w:t>2、安全保护系统：直流保护、短路保护、灵敏度过热管理系统、过热保护、输入过载保护、输出过载保护、软启动保护、限幅保护（可达到≧10V）；</w:t>
            </w:r>
          </w:p>
          <w:p>
            <w:pPr>
              <w:widowControl/>
              <w:adjustRightInd/>
              <w:spacing w:line="375" w:lineRule="atLeast"/>
              <w:jc w:val="left"/>
            </w:pPr>
            <w:r>
              <w:rPr>
                <w:rFonts w:hint="eastAsia"/>
              </w:rPr>
              <w:t>3、频率响应（1W8ohms）：20Hz-20KHz（±0.5dB）、</w:t>
            </w:r>
          </w:p>
          <w:p>
            <w:pPr>
              <w:widowControl/>
              <w:adjustRightInd/>
              <w:spacing w:line="375" w:lineRule="atLeast"/>
              <w:jc w:val="left"/>
            </w:pPr>
            <w:r>
              <w:rPr>
                <w:rFonts w:hint="eastAsia"/>
              </w:rPr>
              <w:t>灵敏度（8ohms 1KHz）：0.775v/26dB、</w:t>
            </w:r>
          </w:p>
          <w:p>
            <w:pPr>
              <w:widowControl/>
              <w:adjustRightInd/>
              <w:spacing w:line="375" w:lineRule="atLeast"/>
              <w:jc w:val="left"/>
            </w:pPr>
            <w:r>
              <w:rPr>
                <w:rFonts w:hint="eastAsia"/>
              </w:rPr>
              <w:t>总谐波失真：﹤0.003%@8 Ω1KHZ、</w:t>
            </w:r>
          </w:p>
          <w:p>
            <w:pPr>
              <w:widowControl/>
              <w:adjustRightInd/>
              <w:spacing w:line="375" w:lineRule="atLeast"/>
              <w:jc w:val="left"/>
            </w:pPr>
            <w:r>
              <w:rPr>
                <w:rFonts w:hint="eastAsia"/>
              </w:rPr>
              <w:t>相位响应：≤±3°、</w:t>
            </w:r>
          </w:p>
          <w:p>
            <w:pPr>
              <w:widowControl/>
              <w:adjustRightInd/>
              <w:spacing w:line="375" w:lineRule="atLeast"/>
              <w:jc w:val="left"/>
            </w:pPr>
            <w:r>
              <w:rPr>
                <w:rFonts w:hint="eastAsia"/>
              </w:rPr>
              <w:t>转换速率：≥60V/µs、</w:t>
            </w:r>
          </w:p>
          <w:p>
            <w:pPr>
              <w:widowControl/>
              <w:adjustRightInd/>
              <w:spacing w:line="375" w:lineRule="atLeast"/>
              <w:jc w:val="left"/>
            </w:pPr>
            <w:r>
              <w:rPr>
                <w:rFonts w:hint="eastAsia"/>
              </w:rPr>
              <w:t>串音衰减：≥60dB、</w:t>
            </w:r>
          </w:p>
          <w:p>
            <w:pPr>
              <w:widowControl/>
              <w:adjustRightInd/>
              <w:spacing w:line="375" w:lineRule="atLeast"/>
              <w:jc w:val="left"/>
            </w:pPr>
            <w:r>
              <w:rPr>
                <w:rFonts w:hint="eastAsia"/>
              </w:rPr>
              <w:t>输入阻抗：平衡输入：≦20KΩ、</w:t>
            </w:r>
          </w:p>
          <w:p>
            <w:pPr>
              <w:widowControl/>
              <w:adjustRightInd/>
              <w:spacing w:line="375" w:lineRule="atLeast"/>
              <w:jc w:val="left"/>
            </w:pPr>
            <w:r>
              <w:rPr>
                <w:rFonts w:hint="eastAsia"/>
              </w:rPr>
              <w:t>非平衡输入：≦10KΩ、</w:t>
            </w:r>
          </w:p>
          <w:p>
            <w:pPr>
              <w:widowControl/>
              <w:adjustRightInd/>
              <w:spacing w:line="375" w:lineRule="atLeast"/>
              <w:jc w:val="left"/>
            </w:pPr>
            <w:r>
              <w:rPr>
                <w:rFonts w:hint="eastAsia"/>
              </w:rPr>
              <w:t>信噪比（ A计权，额定功率8ohms）：≥105dB、</w:t>
            </w:r>
          </w:p>
          <w:p>
            <w:pPr>
              <w:widowControl/>
              <w:adjustRightInd/>
              <w:spacing w:line="375" w:lineRule="atLeast"/>
              <w:jc w:val="left"/>
            </w:pPr>
            <w:r>
              <w:rPr>
                <w:rFonts w:hint="eastAsia"/>
              </w:rPr>
              <w:t>输出电路类型：CLASS-D类、</w:t>
            </w:r>
          </w:p>
          <w:p>
            <w:pPr>
              <w:widowControl/>
              <w:adjustRightInd/>
              <w:spacing w:line="375" w:lineRule="atLeast"/>
              <w:jc w:val="left"/>
            </w:pPr>
            <w:r>
              <w:rPr>
                <w:rFonts w:hint="eastAsia"/>
              </w:rPr>
              <w:t>后面板接口：输入：XLR×4，</w:t>
            </w:r>
          </w:p>
          <w:p>
            <w:pPr>
              <w:widowControl/>
              <w:adjustRightInd/>
              <w:spacing w:line="375" w:lineRule="atLeast"/>
              <w:jc w:val="left"/>
            </w:pPr>
            <w:r>
              <w:rPr>
                <w:rFonts w:hint="eastAsia"/>
              </w:rPr>
              <w:t>输出：4孔SPEAKON连接座×4；</w:t>
            </w:r>
          </w:p>
          <w:p>
            <w:pPr>
              <w:widowControl/>
              <w:adjustRightInd/>
              <w:spacing w:line="375" w:lineRule="atLeast"/>
              <w:jc w:val="left"/>
            </w:pPr>
            <w:r>
              <w:rPr>
                <w:rFonts w:hint="eastAsia"/>
              </w:rPr>
              <w:t>4、冷却系统：全智能系统随温度变化自动调节；</w:t>
            </w:r>
          </w:p>
          <w:p>
            <w:pPr>
              <w:widowControl/>
              <w:adjustRightInd/>
              <w:spacing w:line="375" w:lineRule="atLeast"/>
              <w:jc w:val="left"/>
            </w:pPr>
            <w:r>
              <w:rPr>
                <w:rFonts w:hint="eastAsia"/>
              </w:rPr>
              <w:t>5、▲投标文件中提供“功放模块控制软件”、“音频保障系统软件”的计算机软件著作权登记证书扫描件，证书编号在中国版权保护中心可查询。</w:t>
            </w:r>
          </w:p>
        </w:tc>
        <w:tc>
          <w:tcPr>
            <w:tcW w:w="992" w:type="dxa"/>
            <w:vAlign w:val="center"/>
          </w:tcPr>
          <w:p>
            <w:pPr>
              <w:jc w:val="center"/>
              <w:rPr>
                <w:rFonts w:ascii="宋体" w:hAnsi="宋体"/>
                <w:sz w:val="24"/>
              </w:rPr>
            </w:pPr>
            <w:r>
              <w:rPr>
                <w:rFonts w:hint="eastAsia" w:ascii="宋体" w:hAnsi="宋体"/>
                <w:sz w:val="24"/>
              </w:rPr>
              <w:t>1</w:t>
            </w:r>
          </w:p>
        </w:tc>
        <w:tc>
          <w:tcPr>
            <w:tcW w:w="850" w:type="dxa"/>
            <w:vAlign w:val="center"/>
          </w:tcPr>
          <w:p>
            <w:pPr>
              <w:jc w:val="center"/>
              <w:rPr>
                <w:rFonts w:ascii="宋体" w:hAnsi="宋体"/>
                <w:sz w:val="24"/>
              </w:rPr>
            </w:pPr>
            <w:r>
              <w:rPr>
                <w:rFonts w:hint="eastAsia" w:ascii="宋体" w:hAnsi="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16</w:t>
            </w:r>
          </w:p>
        </w:tc>
        <w:tc>
          <w:tcPr>
            <w:tcW w:w="1196" w:type="dxa"/>
            <w:vAlign w:val="center"/>
          </w:tcPr>
          <w:p>
            <w:pPr>
              <w:jc w:val="center"/>
              <w:rPr>
                <w:rFonts w:ascii="宋体" w:hAnsi="宋体" w:cs="宋体"/>
                <w:sz w:val="24"/>
              </w:rPr>
            </w:pPr>
            <w:r>
              <w:rPr>
                <w:rFonts w:hint="eastAsia" w:ascii="宋体" w:hAnsi="宋体" w:cs="宋体"/>
                <w:sz w:val="24"/>
              </w:rPr>
              <w:t>调音台</w:t>
            </w:r>
          </w:p>
        </w:tc>
        <w:tc>
          <w:tcPr>
            <w:tcW w:w="6126" w:type="dxa"/>
            <w:vAlign w:val="center"/>
          </w:tcPr>
          <w:p>
            <w:pPr>
              <w:widowControl/>
              <w:numPr>
                <w:ilvl w:val="0"/>
                <w:numId w:val="12"/>
              </w:numPr>
              <w:adjustRightInd/>
              <w:spacing w:line="375" w:lineRule="atLeast"/>
              <w:jc w:val="left"/>
            </w:pPr>
            <w:r>
              <w:rPr>
                <w:rFonts w:hint="eastAsia"/>
              </w:rPr>
              <w:t>一个48V幻象电源总开关，一键控制所有通送幻象电源打开关闭；</w:t>
            </w:r>
          </w:p>
          <w:p>
            <w:pPr>
              <w:widowControl/>
              <w:numPr>
                <w:ilvl w:val="0"/>
                <w:numId w:val="12"/>
              </w:numPr>
              <w:adjustRightInd/>
              <w:spacing w:line="375" w:lineRule="atLeast"/>
              <w:jc w:val="left"/>
            </w:pPr>
            <w:r>
              <w:rPr>
                <w:rFonts w:hint="eastAsia"/>
              </w:rPr>
              <w:t>每通道具有编组1、2的控制开关；</w:t>
            </w:r>
          </w:p>
          <w:p>
            <w:pPr>
              <w:widowControl/>
              <w:numPr>
                <w:ilvl w:val="0"/>
                <w:numId w:val="12"/>
              </w:numPr>
              <w:adjustRightInd/>
              <w:spacing w:line="375" w:lineRule="atLeast"/>
              <w:jc w:val="left"/>
            </w:pPr>
            <w:r>
              <w:rPr>
                <w:rFonts w:hint="eastAsia"/>
              </w:rPr>
              <w:t>每通道都有独立的静音按钮来控制每路的输入信号开关；</w:t>
            </w:r>
          </w:p>
          <w:p>
            <w:pPr>
              <w:widowControl/>
              <w:numPr>
                <w:ilvl w:val="0"/>
                <w:numId w:val="12"/>
              </w:numPr>
              <w:adjustRightInd/>
              <w:spacing w:line="375" w:lineRule="atLeast"/>
              <w:jc w:val="left"/>
            </w:pPr>
            <w:r>
              <w:rPr>
                <w:rFonts w:hint="eastAsia"/>
              </w:rPr>
              <w:t>每一路通道有独立的PFL（推子前监听）按钮开关，可以监听通道推子前声道信号，而不影响主输出信号；</w:t>
            </w:r>
          </w:p>
          <w:p>
            <w:pPr>
              <w:widowControl/>
              <w:numPr>
                <w:ilvl w:val="0"/>
                <w:numId w:val="12"/>
              </w:numPr>
              <w:adjustRightInd/>
              <w:spacing w:line="375" w:lineRule="atLeast"/>
              <w:jc w:val="left"/>
            </w:pPr>
            <w:r>
              <w:rPr>
                <w:rFonts w:hint="eastAsia" w:ascii="宋体" w:hAnsi="宋体" w:cs="宋体"/>
                <w:sz w:val="22"/>
                <w:szCs w:val="22"/>
              </w:rPr>
              <w:t>▲</w:t>
            </w:r>
            <w:r>
              <w:rPr>
                <w:rFonts w:hint="eastAsia"/>
              </w:rPr>
              <w:t>内置16种参数可调的24BIT的DSP效果处理器和7段均衡器（</w:t>
            </w:r>
            <w:r>
              <w:t>投标</w:t>
            </w:r>
            <w:r>
              <w:rPr>
                <w:rFonts w:hint="eastAsia"/>
              </w:rPr>
              <w:t>文件中提供</w:t>
            </w:r>
            <w:r>
              <w:rPr>
                <w:rFonts w:hint="eastAsia" w:cs="宋体" w:asciiTheme="minorEastAsia" w:hAnsiTheme="minorEastAsia"/>
                <w:kern w:val="0"/>
                <w:szCs w:val="21"/>
              </w:rPr>
              <w:t>第三方检测机构检测报告复印件。</w:t>
            </w:r>
            <w:r>
              <w:rPr>
                <w:rFonts w:hint="eastAsia"/>
              </w:rPr>
              <w:t>）；</w:t>
            </w:r>
          </w:p>
          <w:p>
            <w:pPr>
              <w:widowControl/>
              <w:numPr>
                <w:ilvl w:val="0"/>
                <w:numId w:val="12"/>
              </w:numPr>
              <w:adjustRightInd/>
              <w:spacing w:line="375" w:lineRule="atLeast"/>
              <w:jc w:val="left"/>
            </w:pPr>
            <w:r>
              <w:rPr>
                <w:rFonts w:hint="eastAsia"/>
              </w:rPr>
              <w:t>具录音功能，可录制任意时段主输出音频信号至SD卡/U盘，具有双轨录放机或CD的输入输出连接莲花接口；</w:t>
            </w:r>
          </w:p>
          <w:p>
            <w:pPr>
              <w:widowControl/>
              <w:numPr>
                <w:ilvl w:val="0"/>
                <w:numId w:val="12"/>
              </w:numPr>
              <w:adjustRightInd/>
              <w:spacing w:line="375" w:lineRule="atLeast"/>
              <w:jc w:val="left"/>
            </w:pPr>
            <w:r>
              <w:rPr>
                <w:rFonts w:hint="eastAsia" w:ascii="宋体" w:hAnsi="宋体" w:cs="宋体"/>
                <w:sz w:val="22"/>
                <w:szCs w:val="22"/>
              </w:rPr>
              <w:t>▲</w:t>
            </w:r>
            <w:r>
              <w:rPr>
                <w:rFonts w:hint="eastAsia"/>
              </w:rPr>
              <w:t>具有SD/USB接口的MP3功能，具有2路主输出，2路编组输出，1路监听输出，2辅助发送/返回（</w:t>
            </w:r>
            <w:r>
              <w:t>投标</w:t>
            </w:r>
            <w:r>
              <w:rPr>
                <w:rFonts w:hint="eastAsia"/>
              </w:rPr>
              <w:t>文件中提供</w:t>
            </w:r>
            <w:r>
              <w:rPr>
                <w:rFonts w:hint="eastAsia" w:cs="宋体" w:asciiTheme="minorEastAsia" w:hAnsiTheme="minorEastAsia"/>
                <w:kern w:val="0"/>
                <w:szCs w:val="21"/>
              </w:rPr>
              <w:t>第三方检测机构检测报告复印件。</w:t>
            </w:r>
            <w:r>
              <w:rPr>
                <w:rFonts w:hint="eastAsia"/>
              </w:rPr>
              <w:t>）；</w:t>
            </w:r>
          </w:p>
          <w:p>
            <w:pPr>
              <w:widowControl/>
              <w:numPr>
                <w:ilvl w:val="0"/>
                <w:numId w:val="12"/>
              </w:numPr>
              <w:adjustRightInd/>
              <w:spacing w:line="375" w:lineRule="atLeast"/>
              <w:jc w:val="left"/>
            </w:pPr>
            <w:r>
              <w:rPr>
                <w:rFonts w:hint="eastAsia"/>
              </w:rPr>
              <w:t>60毫米对数型推子电位器和密封控制旋转电位器，精密地调节通道的匹配电平；</w:t>
            </w:r>
          </w:p>
          <w:p>
            <w:pPr>
              <w:widowControl/>
              <w:numPr>
                <w:ilvl w:val="0"/>
                <w:numId w:val="12"/>
              </w:numPr>
              <w:adjustRightInd/>
              <w:spacing w:line="375" w:lineRule="atLeast"/>
              <w:jc w:val="left"/>
            </w:pPr>
            <w:r>
              <w:rPr>
                <w:rFonts w:hint="eastAsia"/>
              </w:rPr>
              <w:t>麦克风输入：6路；</w:t>
            </w:r>
          </w:p>
          <w:p>
            <w:pPr>
              <w:widowControl/>
              <w:numPr>
                <w:ilvl w:val="0"/>
                <w:numId w:val="12"/>
              </w:numPr>
              <w:adjustRightInd/>
              <w:spacing w:line="375" w:lineRule="atLeast"/>
              <w:jc w:val="left"/>
              <w:rPr>
                <w:b/>
                <w:bCs/>
              </w:rPr>
            </w:pPr>
            <w:r>
              <w:rPr>
                <w:rFonts w:hint="eastAsia"/>
              </w:rPr>
              <w:t>立体声输入：2组；</w:t>
            </w:r>
          </w:p>
          <w:p>
            <w:pPr>
              <w:widowControl/>
              <w:numPr>
                <w:ilvl w:val="0"/>
                <w:numId w:val="12"/>
              </w:numPr>
              <w:adjustRightInd/>
              <w:spacing w:line="375" w:lineRule="atLeast"/>
              <w:jc w:val="left"/>
            </w:pPr>
            <w:r>
              <w:rPr>
                <w:rFonts w:hint="eastAsia"/>
              </w:rPr>
              <w:t>▲音台内置16种参数可调的24BIT的DSP效果处理器和7段均衡器，具有SD/USB接口的MP3功能，具有2路主输出，2路编组输出，1路监听输出，2辅助发送/返回（</w:t>
            </w:r>
            <w:r>
              <w:t>投标</w:t>
            </w:r>
            <w:r>
              <w:rPr>
                <w:rFonts w:hint="eastAsia"/>
              </w:rPr>
              <w:t>文件中提供</w:t>
            </w:r>
            <w:r>
              <w:rPr>
                <w:rFonts w:hint="eastAsia" w:cs="宋体" w:asciiTheme="minorEastAsia" w:hAnsiTheme="minorEastAsia"/>
                <w:kern w:val="0"/>
                <w:szCs w:val="21"/>
              </w:rPr>
              <w:t>第三方检测机构检测报告复印件。</w:t>
            </w:r>
            <w:r>
              <w:rPr>
                <w:rFonts w:hint="eastAsia"/>
              </w:rPr>
              <w:t>）</w:t>
            </w:r>
            <w:r>
              <w:rPr>
                <w:rFonts w:hint="eastAsia"/>
                <w:b/>
                <w:bCs/>
              </w:rPr>
              <w:t>；</w:t>
            </w:r>
          </w:p>
          <w:p>
            <w:pPr>
              <w:widowControl/>
              <w:numPr>
                <w:ilvl w:val="0"/>
                <w:numId w:val="12"/>
              </w:numPr>
              <w:adjustRightInd/>
              <w:spacing w:line="375" w:lineRule="atLeast"/>
              <w:jc w:val="left"/>
            </w:pPr>
            <w:r>
              <w:rPr>
                <w:rFonts w:hint="eastAsia"/>
              </w:rPr>
              <w:t>▲30MHz~300MHz骚扰功率检测合格（</w:t>
            </w:r>
            <w:r>
              <w:t>投标</w:t>
            </w:r>
            <w:r>
              <w:rPr>
                <w:rFonts w:hint="eastAsia"/>
              </w:rPr>
              <w:t>文件中提供</w:t>
            </w:r>
            <w:r>
              <w:rPr>
                <w:rFonts w:hint="eastAsia" w:cs="宋体" w:asciiTheme="minorEastAsia" w:hAnsiTheme="minorEastAsia"/>
                <w:kern w:val="0"/>
                <w:szCs w:val="21"/>
              </w:rPr>
              <w:t>的第三方检测机构检测报告复印件。</w:t>
            </w:r>
            <w:r>
              <w:rPr>
                <w:rFonts w:hint="eastAsia"/>
              </w:rPr>
              <w:t>）</w:t>
            </w:r>
          </w:p>
          <w:p>
            <w:pPr>
              <w:widowControl/>
              <w:numPr>
                <w:ilvl w:val="0"/>
                <w:numId w:val="12"/>
              </w:numPr>
              <w:adjustRightInd/>
              <w:spacing w:line="375" w:lineRule="atLeast"/>
              <w:jc w:val="left"/>
            </w:pPr>
            <w:r>
              <w:rPr>
                <w:rFonts w:hint="eastAsia"/>
              </w:rPr>
              <w:t>▲投标文件中提供国家版权局颁发的“调音台音效处理软件”的计算机软件著作权登记证书扫描件，证书编号在国家知识产权局官网可查询；</w:t>
            </w:r>
          </w:p>
        </w:tc>
        <w:tc>
          <w:tcPr>
            <w:tcW w:w="992" w:type="dxa"/>
            <w:vAlign w:val="center"/>
          </w:tcPr>
          <w:p>
            <w:pPr>
              <w:jc w:val="center"/>
              <w:rPr>
                <w:rFonts w:ascii="宋体" w:hAnsi="宋体"/>
                <w:sz w:val="24"/>
              </w:rPr>
            </w:pPr>
            <w:r>
              <w:rPr>
                <w:rFonts w:hint="eastAsia" w:ascii="宋体" w:hAnsi="宋体"/>
                <w:sz w:val="24"/>
              </w:rPr>
              <w:t>1</w:t>
            </w:r>
          </w:p>
        </w:tc>
        <w:tc>
          <w:tcPr>
            <w:tcW w:w="850" w:type="dxa"/>
            <w:vAlign w:val="center"/>
          </w:tcPr>
          <w:p>
            <w:pPr>
              <w:jc w:val="center"/>
              <w:rPr>
                <w:rFonts w:ascii="宋体" w:hAnsi="宋体"/>
                <w:sz w:val="24"/>
              </w:rPr>
            </w:pPr>
            <w:r>
              <w:rPr>
                <w:rFonts w:hint="eastAsia" w:ascii="宋体" w:hAnsi="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17</w:t>
            </w:r>
          </w:p>
        </w:tc>
        <w:tc>
          <w:tcPr>
            <w:tcW w:w="1196" w:type="dxa"/>
            <w:vAlign w:val="center"/>
          </w:tcPr>
          <w:p>
            <w:pPr>
              <w:jc w:val="center"/>
              <w:rPr>
                <w:rFonts w:ascii="宋体" w:hAnsi="宋体" w:cs="宋体"/>
                <w:sz w:val="24"/>
              </w:rPr>
            </w:pPr>
            <w:r>
              <w:rPr>
                <w:rFonts w:hint="eastAsia" w:ascii="宋体" w:hAnsi="宋体" w:cs="宋体"/>
                <w:sz w:val="24"/>
              </w:rPr>
              <w:t>音频处理器</w:t>
            </w:r>
          </w:p>
        </w:tc>
        <w:tc>
          <w:tcPr>
            <w:tcW w:w="6126" w:type="dxa"/>
            <w:vAlign w:val="center"/>
          </w:tcPr>
          <w:p>
            <w:pPr>
              <w:widowControl/>
              <w:spacing w:line="375" w:lineRule="atLeast"/>
              <w:jc w:val="left"/>
            </w:pPr>
            <w:r>
              <w:rPr>
                <w:rFonts w:hint="eastAsia"/>
              </w:rPr>
              <w:t>1、96KHz采样频率，32-bit DPS处理器，24-bitA/D及D/A转换</w:t>
            </w:r>
          </w:p>
          <w:p>
            <w:pPr>
              <w:widowControl/>
              <w:spacing w:line="375" w:lineRule="atLeast"/>
              <w:jc w:val="left"/>
            </w:pPr>
            <w:r>
              <w:rPr>
                <w:rFonts w:hint="eastAsia"/>
              </w:rPr>
              <w:t>2、2输入4输出，可灵活组合多种分频模式，高、低通分频点均可达20Hz-20KHz；</w:t>
            </w:r>
          </w:p>
          <w:p>
            <w:pPr>
              <w:widowControl/>
              <w:numPr>
                <w:ilvl w:val="0"/>
                <w:numId w:val="13"/>
              </w:numPr>
              <w:adjustRightInd/>
              <w:spacing w:line="375" w:lineRule="atLeast"/>
              <w:jc w:val="left"/>
            </w:pPr>
            <w:r>
              <w:rPr>
                <w:rFonts w:hint="eastAsia"/>
              </w:rPr>
              <w:t>每个输入和输出均有6段独立的参量均衡，调节增益范围可达±20dB，同时输出通道的均衡还可选择Lo-shelf和Hi-shelf两种斜坡方式；</w:t>
            </w:r>
          </w:p>
          <w:p>
            <w:pPr>
              <w:widowControl/>
              <w:numPr>
                <w:ilvl w:val="0"/>
                <w:numId w:val="13"/>
              </w:numPr>
              <w:adjustRightInd/>
              <w:spacing w:line="375" w:lineRule="atLeast"/>
              <w:jc w:val="left"/>
            </w:pPr>
            <w:r>
              <w:rPr>
                <w:rFonts w:hint="eastAsia"/>
              </w:rPr>
              <w:t>每个输入和输出均有延时和相位控制及哑音设置，延时最长可达1000ms，延时单位可选择毫秒（ms）、米（m）、英尺（ft）三种；</w:t>
            </w:r>
          </w:p>
          <w:p>
            <w:pPr>
              <w:widowControl/>
              <w:numPr>
                <w:ilvl w:val="0"/>
                <w:numId w:val="13"/>
              </w:numPr>
              <w:adjustRightInd/>
              <w:spacing w:line="375" w:lineRule="atLeast"/>
              <w:jc w:val="left"/>
            </w:pPr>
            <w:r>
              <w:rPr>
                <w:rFonts w:hint="eastAsia"/>
              </w:rPr>
              <w:t>每个输入通道可调噪声门，并且每个输入通道有两段全参数可调的动态均衡（DEQ），自动增益控制；</w:t>
            </w:r>
          </w:p>
          <w:p>
            <w:pPr>
              <w:widowControl/>
              <w:numPr>
                <w:ilvl w:val="0"/>
                <w:numId w:val="13"/>
              </w:numPr>
              <w:adjustRightInd/>
              <w:spacing w:line="375" w:lineRule="atLeast"/>
              <w:jc w:val="left"/>
            </w:pPr>
            <w:r>
              <w:rPr>
                <w:rFonts w:hint="eastAsia"/>
              </w:rPr>
              <w:t>输出通道还可控制增益、压限及选择输入通道信号，并能将某通道的所有参数复制到另外一个通道并能进行联动控制；</w:t>
            </w:r>
          </w:p>
          <w:p>
            <w:pPr>
              <w:widowControl/>
              <w:numPr>
                <w:ilvl w:val="0"/>
                <w:numId w:val="13"/>
              </w:numPr>
              <w:adjustRightInd/>
              <w:spacing w:line="375" w:lineRule="atLeast"/>
              <w:jc w:val="left"/>
            </w:pPr>
            <w:r>
              <w:rPr>
                <w:rFonts w:hint="eastAsia"/>
              </w:rPr>
              <w:t>直接用面板的功能键和拔轮进行功能设置或是连接电脑通过PC控制软件来控制，均十分方便、直观和简洁；</w:t>
            </w:r>
          </w:p>
          <w:p>
            <w:pPr>
              <w:widowControl/>
              <w:numPr>
                <w:ilvl w:val="0"/>
                <w:numId w:val="13"/>
              </w:numPr>
              <w:adjustRightInd/>
              <w:spacing w:line="375" w:lineRule="atLeast"/>
              <w:jc w:val="left"/>
            </w:pPr>
            <w:r>
              <w:rPr>
                <w:rFonts w:hint="eastAsia"/>
              </w:rPr>
              <w:t>▲可通过面板的SYSTEM键来设定密码锁定面板控制功能（</w:t>
            </w:r>
            <w:r>
              <w:t>投标</w:t>
            </w:r>
            <w:r>
              <w:rPr>
                <w:rFonts w:hint="eastAsia"/>
              </w:rPr>
              <w:t>文件中提供</w:t>
            </w:r>
            <w:r>
              <w:rPr>
                <w:rFonts w:hint="eastAsia" w:cs="宋体" w:asciiTheme="minorEastAsia" w:hAnsiTheme="minorEastAsia"/>
                <w:kern w:val="0"/>
                <w:szCs w:val="21"/>
              </w:rPr>
              <w:t>具第三方检测机构检测报告复印件并加盖原厂公章。</w:t>
            </w:r>
            <w:r>
              <w:rPr>
                <w:rFonts w:hint="eastAsia"/>
              </w:rPr>
              <w:t>）；</w:t>
            </w:r>
          </w:p>
          <w:p>
            <w:pPr>
              <w:widowControl/>
              <w:numPr>
                <w:ilvl w:val="0"/>
                <w:numId w:val="13"/>
              </w:numPr>
              <w:adjustRightInd/>
              <w:spacing w:line="375" w:lineRule="atLeast"/>
              <w:jc w:val="left"/>
            </w:pPr>
            <w:r>
              <w:rPr>
                <w:rFonts w:hint="eastAsia"/>
              </w:rPr>
              <w:t>▲可通过USB、WIFI、RS485，有线网络连接电脑实现远程控制；（</w:t>
            </w:r>
            <w:r>
              <w:t>投标</w:t>
            </w:r>
            <w:r>
              <w:rPr>
                <w:rFonts w:hint="eastAsia"/>
              </w:rPr>
              <w:t>文件中提供</w:t>
            </w:r>
            <w:r>
              <w:rPr>
                <w:rFonts w:hint="eastAsia" w:cs="宋体" w:asciiTheme="minorEastAsia" w:hAnsiTheme="minorEastAsia"/>
                <w:kern w:val="0"/>
                <w:szCs w:val="21"/>
              </w:rPr>
              <w:t>第三方检测机构检测报告复印件并加盖原厂公章。</w:t>
            </w:r>
            <w:r>
              <w:rPr>
                <w:rFonts w:hint="eastAsia"/>
              </w:rPr>
              <w:t>）</w:t>
            </w:r>
          </w:p>
          <w:p>
            <w:pPr>
              <w:widowControl/>
              <w:numPr>
                <w:ilvl w:val="0"/>
                <w:numId w:val="13"/>
              </w:numPr>
              <w:adjustRightInd/>
              <w:spacing w:line="375" w:lineRule="atLeast"/>
              <w:jc w:val="left"/>
            </w:pPr>
            <w:r>
              <w:rPr>
                <w:rFonts w:hint="eastAsia"/>
              </w:rPr>
              <w:t>可以通过RS-485接口连接中控主机来实现主要参数的修改和程序的调用；</w:t>
            </w:r>
          </w:p>
          <w:p>
            <w:pPr>
              <w:widowControl/>
              <w:numPr>
                <w:ilvl w:val="0"/>
                <w:numId w:val="13"/>
              </w:numPr>
              <w:adjustRightInd/>
              <w:spacing w:line="375" w:lineRule="atLeast"/>
              <w:jc w:val="left"/>
            </w:pPr>
            <w:r>
              <w:rPr>
                <w:rFonts w:hint="eastAsia"/>
              </w:rPr>
              <w:t>可通过面板的SYSTEM按键来设定密码锁定面板控制功能，以防止参数被修改；</w:t>
            </w:r>
          </w:p>
          <w:p>
            <w:pPr>
              <w:widowControl/>
              <w:numPr>
                <w:ilvl w:val="0"/>
                <w:numId w:val="13"/>
              </w:numPr>
              <w:adjustRightInd/>
              <w:spacing w:line="375" w:lineRule="atLeast"/>
              <w:jc w:val="left"/>
              <w:rPr>
                <w:rFonts w:ascii="宋体" w:hAnsi="宋体" w:cs="宋体"/>
              </w:rPr>
            </w:pPr>
            <w:r>
              <w:rPr>
                <w:rFonts w:hint="eastAsia"/>
              </w:rPr>
              <w:t>单机可存储30种用户程序；</w:t>
            </w:r>
          </w:p>
          <w:p>
            <w:pPr>
              <w:widowControl/>
              <w:numPr>
                <w:ilvl w:val="0"/>
                <w:numId w:val="13"/>
              </w:numPr>
              <w:adjustRightInd/>
              <w:spacing w:line="375" w:lineRule="atLeast"/>
              <w:jc w:val="left"/>
              <w:rPr>
                <w:rFonts w:ascii="宋体" w:hAnsi="宋体" w:cs="宋体"/>
              </w:rPr>
            </w:pPr>
            <w:r>
              <w:rPr>
                <w:rFonts w:hint="eastAsia"/>
              </w:rPr>
              <w:t>设备软件内置中控代码生成器、可实现一键中英文切换；</w:t>
            </w:r>
          </w:p>
          <w:p>
            <w:pPr>
              <w:widowControl/>
              <w:numPr>
                <w:ilvl w:val="0"/>
                <w:numId w:val="13"/>
              </w:numPr>
              <w:adjustRightInd/>
              <w:spacing w:line="375" w:lineRule="atLeast"/>
              <w:jc w:val="left"/>
            </w:pPr>
            <w:r>
              <w:rPr>
                <w:rFonts w:hint="eastAsia"/>
              </w:rPr>
              <w:t>▲</w:t>
            </w:r>
            <w:r>
              <w:rPr>
                <w:rFonts w:hint="eastAsia" w:ascii="宋体" w:hAnsi="宋体" w:cs="宋体"/>
                <w:szCs w:val="21"/>
              </w:rPr>
              <w:t>投标文件中提供国家版权局颁发的“音频处理器软件”、“数字媒体矩阵管理软件”、“数字媒体中心系统”的计算机软件著作权登记证书扫描件，证书编号在国家知识产权局官网可查询；</w:t>
            </w:r>
          </w:p>
        </w:tc>
        <w:tc>
          <w:tcPr>
            <w:tcW w:w="992" w:type="dxa"/>
            <w:vAlign w:val="center"/>
          </w:tcPr>
          <w:p>
            <w:pPr>
              <w:jc w:val="center"/>
              <w:rPr>
                <w:rFonts w:ascii="宋体" w:hAnsi="宋体"/>
                <w:sz w:val="24"/>
              </w:rPr>
            </w:pPr>
            <w:r>
              <w:rPr>
                <w:rFonts w:hint="eastAsia" w:ascii="宋体" w:hAnsi="宋体"/>
                <w:sz w:val="24"/>
              </w:rPr>
              <w:t>1</w:t>
            </w:r>
          </w:p>
        </w:tc>
        <w:tc>
          <w:tcPr>
            <w:tcW w:w="850" w:type="dxa"/>
            <w:vAlign w:val="center"/>
          </w:tcPr>
          <w:p>
            <w:pPr>
              <w:jc w:val="center"/>
              <w:rPr>
                <w:rFonts w:ascii="宋体" w:hAnsi="宋体"/>
                <w:sz w:val="24"/>
              </w:rPr>
            </w:pPr>
            <w:r>
              <w:rPr>
                <w:rFonts w:hint="eastAsia" w:ascii="宋体" w:hAnsi="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18</w:t>
            </w:r>
          </w:p>
        </w:tc>
        <w:tc>
          <w:tcPr>
            <w:tcW w:w="1196" w:type="dxa"/>
            <w:vAlign w:val="center"/>
          </w:tcPr>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pStyle w:val="513"/>
              <w:ind w:firstLine="460"/>
              <w:rPr>
                <w:rFonts w:ascii="宋体" w:hAnsi="宋体" w:cs="宋体"/>
              </w:rPr>
            </w:pPr>
          </w:p>
          <w:p>
            <w:pPr>
              <w:pStyle w:val="24"/>
            </w:pPr>
          </w:p>
          <w:p>
            <w:pPr>
              <w:jc w:val="center"/>
              <w:rPr>
                <w:rFonts w:ascii="宋体" w:hAnsi="宋体" w:cs="宋体"/>
              </w:rPr>
            </w:pPr>
          </w:p>
          <w:p>
            <w:pPr>
              <w:jc w:val="center"/>
              <w:rPr>
                <w:rFonts w:ascii="宋体" w:hAnsi="宋体" w:cs="宋体"/>
                <w:sz w:val="24"/>
              </w:rPr>
            </w:pPr>
            <w:r>
              <w:rPr>
                <w:rFonts w:hint="eastAsia" w:ascii="宋体" w:hAnsi="宋体" w:cs="宋体"/>
                <w:szCs w:val="21"/>
              </w:rPr>
              <w:t>四路U段无线会议桌面长杆话筒</w:t>
            </w:r>
          </w:p>
        </w:tc>
        <w:tc>
          <w:tcPr>
            <w:tcW w:w="6126" w:type="dxa"/>
            <w:vAlign w:val="center"/>
          </w:tcPr>
          <w:p>
            <w:pPr>
              <w:widowControl/>
              <w:numPr>
                <w:ilvl w:val="0"/>
                <w:numId w:val="14"/>
              </w:numPr>
              <w:adjustRightInd/>
              <w:spacing w:line="375" w:lineRule="atLeast"/>
              <w:jc w:val="left"/>
            </w:pPr>
            <w:r>
              <w:rPr>
                <w:rFonts w:hint="eastAsia"/>
              </w:rPr>
              <w:t>具备320个可选频点，方便多套使用，轻松避开各类干扰。</w:t>
            </w:r>
          </w:p>
          <w:p>
            <w:pPr>
              <w:widowControl/>
              <w:numPr>
                <w:ilvl w:val="0"/>
                <w:numId w:val="14"/>
              </w:numPr>
              <w:adjustRightInd/>
              <w:spacing w:line="375" w:lineRule="atLeast"/>
              <w:jc w:val="left"/>
            </w:pPr>
            <w:r>
              <w:rPr>
                <w:rFonts w:hint="eastAsia"/>
              </w:rPr>
              <w:t>采用稳定的PLL数位锁相环合成技术和智能数字线路，整机性能稳定性显著提高。</w:t>
            </w:r>
          </w:p>
          <w:p>
            <w:pPr>
              <w:widowControl/>
              <w:numPr>
                <w:ilvl w:val="0"/>
                <w:numId w:val="14"/>
              </w:numPr>
              <w:adjustRightInd/>
              <w:spacing w:line="375" w:lineRule="atLeast"/>
              <w:jc w:val="left"/>
            </w:pPr>
            <w:r>
              <w:rPr>
                <w:rFonts w:hint="eastAsia"/>
              </w:rPr>
              <w:t>红外线对频、发射器可以互换、操作简单、功能先进。</w:t>
            </w:r>
          </w:p>
          <w:p>
            <w:pPr>
              <w:widowControl/>
              <w:numPr>
                <w:ilvl w:val="0"/>
                <w:numId w:val="14"/>
              </w:numPr>
              <w:adjustRightInd/>
              <w:spacing w:line="375" w:lineRule="atLeast"/>
              <w:jc w:val="left"/>
            </w:pPr>
            <w:r>
              <w:rPr>
                <w:rFonts w:hint="eastAsia"/>
              </w:rPr>
              <w:t>先进的自动对频技术，系统具备自动搜索选择频率及ACT（自动频道追锁）功能。</w:t>
            </w:r>
          </w:p>
          <w:p>
            <w:pPr>
              <w:widowControl/>
              <w:numPr>
                <w:ilvl w:val="0"/>
                <w:numId w:val="14"/>
              </w:numPr>
              <w:adjustRightInd/>
              <w:spacing w:line="375" w:lineRule="atLeast"/>
              <w:jc w:val="left"/>
            </w:pPr>
            <w:r>
              <w:rPr>
                <w:rFonts w:hint="eastAsia"/>
              </w:rPr>
              <w:t>高保真单指向性电容咪芯，声音还原好。拾音距离可达到30-50CM。</w:t>
            </w:r>
          </w:p>
          <w:p>
            <w:pPr>
              <w:widowControl/>
              <w:numPr>
                <w:ilvl w:val="0"/>
                <w:numId w:val="14"/>
              </w:numPr>
              <w:adjustRightInd/>
              <w:spacing w:line="375" w:lineRule="atLeast"/>
              <w:jc w:val="left"/>
            </w:pPr>
            <w:r>
              <w:rPr>
                <w:rFonts w:hint="eastAsia"/>
              </w:rPr>
              <w:t>主机采用4个独立LCD屏，单元LCD白光显示屏，可动态显示系统信号、音量、通道、频点数值。</w:t>
            </w:r>
          </w:p>
          <w:p>
            <w:pPr>
              <w:widowControl/>
              <w:numPr>
                <w:ilvl w:val="0"/>
                <w:numId w:val="14"/>
              </w:numPr>
              <w:adjustRightInd/>
              <w:spacing w:line="375" w:lineRule="atLeast"/>
              <w:jc w:val="left"/>
            </w:pPr>
            <w:r>
              <w:rPr>
                <w:rFonts w:hint="eastAsia"/>
              </w:rPr>
              <w:t>接收机：背面设置橡胶接收天线，增强接收的信号，外观大方得体。</w:t>
            </w:r>
          </w:p>
          <w:p>
            <w:pPr>
              <w:widowControl/>
              <w:numPr>
                <w:ilvl w:val="0"/>
                <w:numId w:val="14"/>
              </w:numPr>
              <w:adjustRightInd/>
              <w:spacing w:line="375" w:lineRule="atLeast"/>
              <w:jc w:val="left"/>
            </w:pPr>
            <w:r>
              <w:rPr>
                <w:rFonts w:hint="eastAsia"/>
              </w:rPr>
              <w:t>采用专业级音频压缩扩展技术，噪音小，尾音小，动态范围更大。</w:t>
            </w:r>
          </w:p>
          <w:p>
            <w:pPr>
              <w:widowControl/>
              <w:numPr>
                <w:ilvl w:val="0"/>
                <w:numId w:val="14"/>
              </w:numPr>
              <w:adjustRightInd/>
              <w:spacing w:line="375" w:lineRule="atLeast"/>
              <w:jc w:val="left"/>
            </w:pPr>
            <w:r>
              <w:rPr>
                <w:rFonts w:hint="eastAsia"/>
              </w:rPr>
              <w:t>同一会场可五套主机同时使用，领夹话筒、手持话筒、会议话筒混合搭配使用，通用性强。</w:t>
            </w:r>
          </w:p>
          <w:p>
            <w:pPr>
              <w:widowControl/>
              <w:numPr>
                <w:ilvl w:val="0"/>
                <w:numId w:val="14"/>
              </w:numPr>
              <w:adjustRightInd/>
              <w:spacing w:line="375" w:lineRule="atLeast"/>
              <w:jc w:val="left"/>
            </w:pPr>
            <w:r>
              <w:rPr>
                <w:rFonts w:hint="eastAsia"/>
              </w:rPr>
              <w:t>灵活的鹅颈式咪杆设计，可360°全方位调节，咪杆灯环指示发言状态。</w:t>
            </w:r>
          </w:p>
          <w:p>
            <w:pPr>
              <w:widowControl/>
              <w:numPr>
                <w:ilvl w:val="0"/>
                <w:numId w:val="14"/>
              </w:numPr>
              <w:adjustRightInd/>
              <w:spacing w:line="375" w:lineRule="atLeast"/>
              <w:jc w:val="left"/>
            </w:pPr>
            <w:r>
              <w:rPr>
                <w:rFonts w:hint="eastAsia"/>
              </w:rPr>
              <w:t>具备独立卡侬输出及一路6.35mm混合输出，方便会议全程音频独立录音保存，适应不同的设备连接需求。</w:t>
            </w:r>
          </w:p>
          <w:p>
            <w:pPr>
              <w:widowControl/>
              <w:numPr>
                <w:ilvl w:val="0"/>
                <w:numId w:val="14"/>
              </w:numPr>
              <w:adjustRightInd/>
              <w:spacing w:line="375" w:lineRule="atLeast"/>
              <w:jc w:val="left"/>
            </w:pPr>
            <w:r>
              <w:rPr>
                <w:rFonts w:hint="eastAsia"/>
              </w:rPr>
              <w:t>超强的抗干扰能力，能有效抑制由外部带来的噪音干扰及同频干扰。</w:t>
            </w:r>
          </w:p>
          <w:p>
            <w:pPr>
              <w:widowControl/>
              <w:numPr>
                <w:ilvl w:val="0"/>
                <w:numId w:val="14"/>
              </w:numPr>
              <w:adjustRightInd/>
              <w:spacing w:line="375" w:lineRule="atLeast"/>
              <w:jc w:val="left"/>
            </w:pPr>
            <w:r>
              <w:rPr>
                <w:rFonts w:hint="eastAsia"/>
              </w:rPr>
              <w:t>采用三级防静电、防雷保护技术，可抗8000V静电</w:t>
            </w:r>
          </w:p>
          <w:p>
            <w:pPr>
              <w:widowControl/>
              <w:numPr>
                <w:ilvl w:val="0"/>
                <w:numId w:val="14"/>
              </w:numPr>
              <w:adjustRightInd/>
              <w:spacing w:line="375" w:lineRule="atLeast"/>
              <w:jc w:val="left"/>
            </w:pPr>
            <w:r>
              <w:rPr>
                <w:rFonts w:hint="eastAsia"/>
              </w:rPr>
              <w:t>使用距离：空旷环境：80-100米，复杂环境：50-80米。</w:t>
            </w:r>
          </w:p>
          <w:p>
            <w:pPr>
              <w:widowControl/>
              <w:numPr>
                <w:ilvl w:val="0"/>
                <w:numId w:val="14"/>
              </w:numPr>
              <w:adjustRightInd/>
              <w:spacing w:line="375" w:lineRule="atLeast"/>
              <w:jc w:val="left"/>
              <w:rPr>
                <w:color w:val="FF0000"/>
              </w:rPr>
            </w:pPr>
            <w:r>
              <w:rPr>
                <w:rFonts w:hint="eastAsia"/>
              </w:rPr>
              <w:t>载波频率范围：500MHz-830MHz（取决于适用的国家规范）、频带宽度：50MHz、调制方式：FM调频、最大频偏：±45KHz、频率响应：80Hz—15KHz</w:t>
            </w:r>
          </w:p>
        </w:tc>
        <w:tc>
          <w:tcPr>
            <w:tcW w:w="992" w:type="dxa"/>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1</w:t>
            </w:r>
          </w:p>
        </w:tc>
        <w:tc>
          <w:tcPr>
            <w:tcW w:w="850" w:type="dxa"/>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19</w:t>
            </w:r>
          </w:p>
        </w:tc>
        <w:tc>
          <w:tcPr>
            <w:tcW w:w="1196" w:type="dxa"/>
            <w:vAlign w:val="center"/>
          </w:tcPr>
          <w:p>
            <w:pPr>
              <w:jc w:val="center"/>
              <w:rPr>
                <w:rFonts w:ascii="宋体" w:hAnsi="宋体" w:cs="宋体"/>
                <w:sz w:val="24"/>
              </w:rPr>
            </w:pPr>
            <w:r>
              <w:rPr>
                <w:rFonts w:hint="eastAsia" w:ascii="宋体" w:hAnsi="宋体" w:cs="宋体"/>
                <w:sz w:val="24"/>
              </w:rPr>
              <w:t>原有音箱系统拆除维护及换址安装调试</w:t>
            </w:r>
          </w:p>
        </w:tc>
        <w:tc>
          <w:tcPr>
            <w:tcW w:w="6126" w:type="dxa"/>
            <w:vAlign w:val="center"/>
          </w:tcPr>
          <w:p>
            <w:pPr>
              <w:widowControl/>
              <w:spacing w:line="375" w:lineRule="atLeast"/>
              <w:jc w:val="left"/>
              <w:rPr>
                <w:rFonts w:ascii="宋体" w:hAnsi="宋体"/>
                <w:sz w:val="24"/>
              </w:rPr>
            </w:pPr>
            <w:r>
              <w:rPr>
                <w:rFonts w:hint="eastAsia"/>
              </w:rPr>
              <w:t>多功能厅内原有一套老旧的音频系统，拆下后经行维护维修，维护正常后安装至其它教室，并保证该音频系统的正常使用（包括事先铺设音箱线、音频线、电源线等现场所需所有线材）。</w:t>
            </w:r>
          </w:p>
        </w:tc>
        <w:tc>
          <w:tcPr>
            <w:tcW w:w="992" w:type="dxa"/>
            <w:vAlign w:val="center"/>
          </w:tcPr>
          <w:p>
            <w:pPr>
              <w:jc w:val="center"/>
              <w:rPr>
                <w:rFonts w:ascii="宋体" w:hAnsi="宋体"/>
                <w:sz w:val="24"/>
              </w:rPr>
            </w:pPr>
            <w:r>
              <w:rPr>
                <w:rFonts w:hint="eastAsia" w:ascii="宋体" w:hAnsi="宋体"/>
                <w:sz w:val="24"/>
              </w:rPr>
              <w:t>1</w:t>
            </w:r>
          </w:p>
        </w:tc>
        <w:tc>
          <w:tcPr>
            <w:tcW w:w="850" w:type="dxa"/>
            <w:vAlign w:val="center"/>
          </w:tcPr>
          <w:p>
            <w:pPr>
              <w:jc w:val="center"/>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20</w:t>
            </w:r>
          </w:p>
        </w:tc>
        <w:tc>
          <w:tcPr>
            <w:tcW w:w="1196" w:type="dxa"/>
            <w:vAlign w:val="center"/>
          </w:tcPr>
          <w:p>
            <w:pPr>
              <w:jc w:val="center"/>
              <w:rPr>
                <w:rFonts w:ascii="宋体" w:hAnsi="宋体" w:cs="宋体"/>
                <w:sz w:val="24"/>
              </w:rPr>
            </w:pPr>
            <w:r>
              <w:rPr>
                <w:rFonts w:hint="eastAsia" w:ascii="宋体" w:hAnsi="宋体" w:cs="宋体"/>
                <w:sz w:val="24"/>
              </w:rPr>
              <w:t>舞台改造</w:t>
            </w:r>
          </w:p>
        </w:tc>
        <w:tc>
          <w:tcPr>
            <w:tcW w:w="6126" w:type="dxa"/>
            <w:vAlign w:val="center"/>
          </w:tcPr>
          <w:p>
            <w:pPr>
              <w:widowControl/>
              <w:spacing w:line="375" w:lineRule="atLeast"/>
              <w:jc w:val="left"/>
            </w:pPr>
            <w:r>
              <w:rPr>
                <w:rFonts w:hint="eastAsia"/>
              </w:rPr>
              <w:t>1、原有舞台已经相当陈旧，现需要将10.5m*2.74m原有舞台台面板全部更新，更换后整体舞台效果为全新感觉。</w:t>
            </w:r>
          </w:p>
          <w:p>
            <w:pPr>
              <w:widowControl/>
              <w:spacing w:line="375" w:lineRule="atLeast"/>
              <w:jc w:val="left"/>
            </w:pPr>
            <w:r>
              <w:rPr>
                <w:rFonts w:hint="eastAsia"/>
              </w:rPr>
              <w:t>2、舞台面板更换前需要提前铺设音频线、信号线、电源线等，按业主要求位置铺设多接口地插，包含电源接口、网络接口、视频接口、音频接口等。</w:t>
            </w:r>
          </w:p>
          <w:p>
            <w:pPr>
              <w:widowControl/>
              <w:spacing w:line="375" w:lineRule="atLeast"/>
              <w:jc w:val="left"/>
              <w:rPr>
                <w:snapToGrid w:val="0"/>
              </w:rPr>
            </w:pPr>
            <w:r>
              <w:rPr>
                <w:rFonts w:hint="eastAsia"/>
              </w:rPr>
              <w:t>3、舞台侧面油漆定制处理。</w:t>
            </w:r>
          </w:p>
        </w:tc>
        <w:tc>
          <w:tcPr>
            <w:tcW w:w="992" w:type="dxa"/>
            <w:vAlign w:val="center"/>
          </w:tcPr>
          <w:p>
            <w:pPr>
              <w:jc w:val="center"/>
              <w:rPr>
                <w:rFonts w:ascii="宋体" w:hAnsi="宋体"/>
                <w:sz w:val="24"/>
              </w:rPr>
            </w:pPr>
            <w:r>
              <w:rPr>
                <w:rFonts w:hint="eastAsia" w:ascii="宋体" w:hAnsi="宋体"/>
                <w:sz w:val="24"/>
              </w:rPr>
              <w:t>28.8</w:t>
            </w:r>
          </w:p>
        </w:tc>
        <w:tc>
          <w:tcPr>
            <w:tcW w:w="850" w:type="dxa"/>
            <w:vAlign w:val="center"/>
          </w:tcPr>
          <w:p>
            <w:pPr>
              <w:jc w:val="center"/>
              <w:rPr>
                <w:rFonts w:ascii="宋体" w:hAnsi="宋体"/>
                <w:sz w:val="24"/>
              </w:rPr>
            </w:pPr>
            <w:r>
              <w:rPr>
                <w:rFonts w:hint="eastAsia" w:ascii="宋体" w:hAnsi="宋体"/>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21</w:t>
            </w:r>
          </w:p>
        </w:tc>
        <w:tc>
          <w:tcPr>
            <w:tcW w:w="1196" w:type="dxa"/>
            <w:vAlign w:val="center"/>
          </w:tcPr>
          <w:p>
            <w:pPr>
              <w:jc w:val="center"/>
              <w:rPr>
                <w:rFonts w:ascii="宋体" w:hAnsi="宋体" w:cs="宋体"/>
                <w:sz w:val="24"/>
              </w:rPr>
            </w:pPr>
            <w:r>
              <w:rPr>
                <w:rFonts w:ascii="宋体" w:hAnsi="宋体" w:cs="宋体"/>
                <w:sz w:val="24"/>
              </w:rPr>
              <w:t>两侧墙面装饰</w:t>
            </w:r>
            <w:r>
              <w:rPr>
                <w:rFonts w:hint="eastAsia" w:ascii="宋体" w:hAnsi="宋体" w:cs="宋体"/>
                <w:sz w:val="24"/>
              </w:rPr>
              <w:t>板改造</w:t>
            </w:r>
          </w:p>
        </w:tc>
        <w:tc>
          <w:tcPr>
            <w:tcW w:w="6126" w:type="dxa"/>
            <w:vAlign w:val="center"/>
          </w:tcPr>
          <w:p>
            <w:pPr>
              <w:widowControl/>
              <w:numPr>
                <w:ilvl w:val="0"/>
                <w:numId w:val="15"/>
              </w:numPr>
              <w:adjustRightInd/>
              <w:spacing w:line="375" w:lineRule="atLeast"/>
              <w:jc w:val="left"/>
            </w:pPr>
            <w:r>
              <w:rPr>
                <w:rFonts w:hint="eastAsia"/>
              </w:rPr>
              <w:t>舞台两侧的原有装饰相当陈旧，将原有装饰全部更换成现代感的木色面，木色面材料需要实木材料。</w:t>
            </w:r>
          </w:p>
          <w:p>
            <w:pPr>
              <w:widowControl/>
              <w:numPr>
                <w:ilvl w:val="0"/>
                <w:numId w:val="15"/>
              </w:numPr>
              <w:adjustRightInd/>
              <w:spacing w:line="375" w:lineRule="atLeast"/>
              <w:jc w:val="left"/>
            </w:pPr>
            <w:r>
              <w:rPr>
                <w:rFonts w:hint="eastAsia"/>
              </w:rPr>
              <w:t>原有的两扇木门全部更改为隐型门结构。</w:t>
            </w:r>
          </w:p>
          <w:p>
            <w:pPr>
              <w:widowControl/>
              <w:numPr>
                <w:ilvl w:val="0"/>
                <w:numId w:val="15"/>
              </w:numPr>
              <w:adjustRightInd/>
              <w:spacing w:line="375" w:lineRule="atLeast"/>
              <w:jc w:val="left"/>
            </w:pPr>
            <w:r>
              <w:rPr>
                <w:rFonts w:hint="eastAsia"/>
              </w:rPr>
              <w:t>整体改造必须提前提供平面效果图、所用木色面材料及颜色需要提前与业主方确认。</w:t>
            </w:r>
          </w:p>
        </w:tc>
        <w:tc>
          <w:tcPr>
            <w:tcW w:w="992" w:type="dxa"/>
            <w:vAlign w:val="center"/>
          </w:tcPr>
          <w:p>
            <w:pPr>
              <w:jc w:val="center"/>
              <w:rPr>
                <w:rFonts w:ascii="宋体" w:hAnsi="宋体"/>
                <w:sz w:val="24"/>
              </w:rPr>
            </w:pPr>
            <w:r>
              <w:rPr>
                <w:rFonts w:hint="eastAsia" w:ascii="宋体" w:hAnsi="宋体"/>
                <w:sz w:val="24"/>
              </w:rPr>
              <w:t>60.86</w:t>
            </w:r>
          </w:p>
        </w:tc>
        <w:tc>
          <w:tcPr>
            <w:tcW w:w="850" w:type="dxa"/>
            <w:vAlign w:val="center"/>
          </w:tcPr>
          <w:p>
            <w:pPr>
              <w:jc w:val="center"/>
              <w:rPr>
                <w:rFonts w:ascii="宋体" w:hAnsi="宋体"/>
                <w:sz w:val="24"/>
              </w:rPr>
            </w:pPr>
            <w:r>
              <w:rPr>
                <w:rFonts w:hint="eastAsia" w:ascii="宋体" w:hAnsi="宋体"/>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12" w:type="dxa"/>
            <w:vAlign w:val="center"/>
          </w:tcPr>
          <w:p>
            <w:pPr>
              <w:jc w:val="center"/>
              <w:rPr>
                <w:rFonts w:ascii="宋体" w:hAnsi="宋体"/>
                <w:sz w:val="24"/>
              </w:rPr>
            </w:pPr>
            <w:r>
              <w:rPr>
                <w:rFonts w:hint="eastAsia" w:ascii="宋体" w:hAnsi="宋体"/>
                <w:sz w:val="24"/>
              </w:rPr>
              <w:t>22</w:t>
            </w:r>
          </w:p>
        </w:tc>
        <w:tc>
          <w:tcPr>
            <w:tcW w:w="1196" w:type="dxa"/>
            <w:vAlign w:val="center"/>
          </w:tcPr>
          <w:p>
            <w:pPr>
              <w:jc w:val="center"/>
              <w:rPr>
                <w:rFonts w:ascii="宋体" w:hAnsi="宋体" w:cs="宋体"/>
                <w:sz w:val="24"/>
              </w:rPr>
            </w:pPr>
            <w:r>
              <w:rPr>
                <w:rFonts w:ascii="宋体" w:hAnsi="宋体" w:cs="宋体"/>
                <w:sz w:val="24"/>
              </w:rPr>
              <w:t>旧装饰拆除及垃圾处理</w:t>
            </w:r>
          </w:p>
        </w:tc>
        <w:tc>
          <w:tcPr>
            <w:tcW w:w="6126" w:type="dxa"/>
            <w:vAlign w:val="center"/>
          </w:tcPr>
          <w:p>
            <w:pPr>
              <w:widowControl/>
              <w:spacing w:line="375" w:lineRule="atLeast"/>
              <w:jc w:val="left"/>
              <w:rPr>
                <w:rFonts w:ascii="宋体" w:hAnsi="宋体"/>
                <w:sz w:val="24"/>
              </w:rPr>
            </w:pPr>
            <w:r>
              <w:rPr>
                <w:rFonts w:hint="eastAsia"/>
              </w:rPr>
              <w:t>施工拆除原有装饰，将拆除下来的建筑垃圾由施工方安排车辆拉出校外合理处理。</w:t>
            </w:r>
          </w:p>
        </w:tc>
        <w:tc>
          <w:tcPr>
            <w:tcW w:w="992" w:type="dxa"/>
            <w:vAlign w:val="center"/>
          </w:tcPr>
          <w:p>
            <w:pPr>
              <w:jc w:val="center"/>
              <w:rPr>
                <w:rFonts w:ascii="宋体" w:hAnsi="宋体"/>
                <w:sz w:val="24"/>
              </w:rPr>
            </w:pPr>
            <w:r>
              <w:rPr>
                <w:rFonts w:hint="eastAsia" w:ascii="宋体" w:hAnsi="宋体"/>
                <w:sz w:val="24"/>
              </w:rPr>
              <w:t>1</w:t>
            </w:r>
          </w:p>
        </w:tc>
        <w:tc>
          <w:tcPr>
            <w:tcW w:w="850" w:type="dxa"/>
            <w:vAlign w:val="center"/>
          </w:tcPr>
          <w:p>
            <w:pPr>
              <w:jc w:val="center"/>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76" w:type="dxa"/>
            <w:gridSpan w:val="5"/>
            <w:vAlign w:val="center"/>
          </w:tcPr>
          <w:p>
            <w:pPr>
              <w:widowControl/>
              <w:spacing w:line="375" w:lineRule="atLeast"/>
              <w:jc w:val="left"/>
            </w:pPr>
            <w:r>
              <w:rPr>
                <w:rFonts w:hint="eastAsia"/>
              </w:rPr>
              <w:t>★备注：</w:t>
            </w:r>
          </w:p>
          <w:p>
            <w:pPr>
              <w:widowControl/>
              <w:adjustRightInd/>
              <w:spacing w:line="375" w:lineRule="atLeast"/>
              <w:jc w:val="left"/>
            </w:pPr>
            <w:r>
              <w:rPr>
                <w:rFonts w:hint="eastAsia"/>
              </w:rPr>
              <w:t>1、为保证所有主要设备售后可靠性，投标时提供LED显示屏；多媒体控制终端；音箱生产厂家不少于叁年的厂家质保函。</w:t>
            </w:r>
          </w:p>
          <w:p>
            <w:pPr>
              <w:widowControl/>
              <w:adjustRightInd/>
              <w:spacing w:line="375" w:lineRule="atLeast"/>
              <w:jc w:val="left"/>
            </w:pPr>
            <w:r>
              <w:rPr>
                <w:rFonts w:hint="eastAsia"/>
              </w:rPr>
              <w:t>2、投标单位需承诺招标文件中如有遗漏了必须配件或服务，投标人有义务保证招标方系统的完整性，投标人须承诺免费提供。</w:t>
            </w:r>
          </w:p>
        </w:tc>
      </w:tr>
    </w:tbl>
    <w:p>
      <w:pPr>
        <w:pStyle w:val="24"/>
        <w:rPr>
          <w:b/>
          <w:bCs/>
        </w:rPr>
      </w:pPr>
      <w:r>
        <w:rPr>
          <w:rFonts w:hint="eastAsia"/>
          <w:b/>
          <w:bCs/>
        </w:rPr>
        <w:t>（三）完成的效果图</w:t>
      </w:r>
    </w:p>
    <w:p>
      <w:pPr>
        <w:pStyle w:val="24"/>
        <w:jc w:val="center"/>
      </w:pPr>
      <w:r>
        <w:rPr>
          <w:lang w:val="en-US"/>
        </w:rPr>
        <w:drawing>
          <wp:inline distT="0" distB="0" distL="0" distR="0">
            <wp:extent cx="3552825" cy="2586355"/>
            <wp:effectExtent l="0" t="0" r="0" b="4445"/>
            <wp:docPr id="1" name="图片 1" descr="E:\招投标20180301\2022年\2月\多功能厅改造（立勇20220228）\效果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招投标20180301\2022年\2月\多功能厅改造（立勇20220228）\效果图.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60137" cy="2592243"/>
                    </a:xfrm>
                    <a:prstGeom prst="rect">
                      <a:avLst/>
                    </a:prstGeom>
                    <a:noFill/>
                    <a:ln>
                      <a:noFill/>
                    </a:ln>
                  </pic:spPr>
                </pic:pic>
              </a:graphicData>
            </a:graphic>
          </wp:inline>
        </w:drawing>
      </w:r>
    </w:p>
    <w:p>
      <w:pPr>
        <w:pStyle w:val="963"/>
        <w:snapToGrid w:val="0"/>
        <w:spacing w:line="360" w:lineRule="atLeast"/>
        <w:ind w:firstLine="482"/>
        <w:rPr>
          <w:b/>
          <w:color w:val="000000" w:themeColor="text1"/>
          <w:szCs w:val="24"/>
        </w:rPr>
      </w:pPr>
      <w:r>
        <w:rPr>
          <w:rFonts w:hint="eastAsia"/>
          <w:b/>
          <w:color w:val="000000" w:themeColor="text1"/>
          <w:szCs w:val="24"/>
        </w:rPr>
        <w:t>三、其他要求</w:t>
      </w:r>
    </w:p>
    <w:p>
      <w:pPr>
        <w:pStyle w:val="963"/>
        <w:snapToGrid w:val="0"/>
        <w:spacing w:line="360" w:lineRule="atLeast"/>
        <w:ind w:firstLine="482"/>
        <w:rPr>
          <w:b/>
          <w:color w:val="000000" w:themeColor="text1"/>
          <w:szCs w:val="24"/>
        </w:rPr>
      </w:pPr>
      <w:r>
        <w:rPr>
          <w:rFonts w:hint="eastAsia"/>
          <w:b/>
          <w:color w:val="000000" w:themeColor="text1"/>
          <w:szCs w:val="24"/>
        </w:rPr>
        <w:t>1.交货时间与地址</w:t>
      </w:r>
    </w:p>
    <w:p>
      <w:pPr>
        <w:pStyle w:val="963"/>
        <w:snapToGrid w:val="0"/>
        <w:spacing w:line="360" w:lineRule="atLeast"/>
        <w:rPr>
          <w:color w:val="000000" w:themeColor="text1"/>
          <w:szCs w:val="24"/>
        </w:rPr>
      </w:pPr>
      <w:r>
        <w:rPr>
          <w:rFonts w:hint="eastAsia"/>
          <w:color w:val="000000" w:themeColor="text1"/>
          <w:szCs w:val="24"/>
        </w:rPr>
        <w:t>1.1交货时间：本采购项目在合同签订后 30 天内供货并安装调试完成。系统试运行20个工作日后，组织验收。</w:t>
      </w:r>
    </w:p>
    <w:p>
      <w:pPr>
        <w:pStyle w:val="963"/>
        <w:snapToGrid w:val="0"/>
        <w:spacing w:line="360" w:lineRule="atLeast"/>
        <w:rPr>
          <w:color w:val="000000" w:themeColor="text1"/>
          <w:szCs w:val="24"/>
        </w:rPr>
      </w:pPr>
      <w:r>
        <w:rPr>
          <w:rFonts w:hint="eastAsia"/>
          <w:color w:val="000000" w:themeColor="text1"/>
          <w:szCs w:val="24"/>
        </w:rPr>
        <w:t>1.2交货地址：诸暨市职教中心内，具体位置由学校指定。</w:t>
      </w:r>
    </w:p>
    <w:p>
      <w:pPr>
        <w:pStyle w:val="963"/>
        <w:snapToGrid w:val="0"/>
        <w:spacing w:line="360" w:lineRule="atLeast"/>
        <w:ind w:firstLine="482"/>
        <w:rPr>
          <w:b/>
          <w:color w:val="000000" w:themeColor="text1"/>
          <w:szCs w:val="24"/>
        </w:rPr>
      </w:pPr>
      <w:r>
        <w:rPr>
          <w:rFonts w:hint="eastAsia"/>
          <w:b/>
          <w:color w:val="000000" w:themeColor="text1"/>
          <w:szCs w:val="24"/>
        </w:rPr>
        <w:t>2.验收要求</w:t>
      </w:r>
    </w:p>
    <w:p>
      <w:pPr>
        <w:snapToGrid w:val="0"/>
        <w:spacing w:line="300" w:lineRule="auto"/>
        <w:ind w:firstLine="480" w:firstLineChars="200"/>
        <w:jc w:val="left"/>
        <w:rPr>
          <w:rFonts w:ascii="宋体"/>
          <w:sz w:val="24"/>
        </w:rPr>
      </w:pPr>
      <w:r>
        <w:rPr>
          <w:rFonts w:hint="eastAsia" w:ascii="宋体"/>
          <w:sz w:val="24"/>
        </w:rPr>
        <w:t>2.1产品保护</w:t>
      </w:r>
    </w:p>
    <w:p>
      <w:pPr>
        <w:snapToGrid w:val="0"/>
        <w:spacing w:line="300" w:lineRule="auto"/>
        <w:ind w:firstLine="480" w:firstLineChars="200"/>
        <w:jc w:val="left"/>
        <w:rPr>
          <w:rFonts w:ascii="宋体"/>
          <w:sz w:val="24"/>
        </w:rPr>
      </w:pPr>
      <w:r>
        <w:rPr>
          <w:rFonts w:hint="eastAsia" w:ascii="宋体"/>
          <w:sz w:val="24"/>
        </w:rPr>
        <w:t>工程完成后，中标人须负责全部设备的保护和清洁工作，直至设备验收合格，正常运行，并书面移交招标人为止。在改造过程中，如由于中标人原因导致建筑结构或其它设备被损坏，中标人将要负责修理或赔偿损失。</w:t>
      </w:r>
    </w:p>
    <w:p>
      <w:pPr>
        <w:snapToGrid w:val="0"/>
        <w:spacing w:line="300" w:lineRule="auto"/>
        <w:ind w:firstLine="480" w:firstLineChars="200"/>
        <w:jc w:val="left"/>
        <w:rPr>
          <w:rFonts w:ascii="宋体"/>
          <w:sz w:val="24"/>
        </w:rPr>
      </w:pPr>
      <w:r>
        <w:rPr>
          <w:rFonts w:hint="eastAsia" w:ascii="宋体"/>
          <w:sz w:val="24"/>
        </w:rPr>
        <w:t>2.2验收合格条件</w:t>
      </w:r>
    </w:p>
    <w:p>
      <w:pPr>
        <w:pStyle w:val="963"/>
        <w:snapToGrid w:val="0"/>
        <w:spacing w:line="360" w:lineRule="atLeast"/>
        <w:rPr>
          <w:color w:val="000000" w:themeColor="text1"/>
          <w:szCs w:val="24"/>
        </w:rPr>
      </w:pPr>
      <w:r>
        <w:rPr>
          <w:rFonts w:hint="eastAsia"/>
          <w:color w:val="000000" w:themeColor="text1"/>
          <w:szCs w:val="24"/>
        </w:rPr>
        <w:t>按照国家相关质量标准、技术规范要求、合同规定的验收标准及招、投标文件的要求，招标方组织相关部门、人员进行验收。验收前所有设备的随箱保修卡、说明书和有关技术资料等其他一切附带物品，都已提交并得到接受。如资料不符合要求需要整改的，中标人必须无条件接受。</w:t>
      </w:r>
    </w:p>
    <w:p>
      <w:pPr>
        <w:pStyle w:val="963"/>
        <w:snapToGrid w:val="0"/>
        <w:spacing w:line="360" w:lineRule="atLeast"/>
        <w:ind w:firstLine="482"/>
        <w:rPr>
          <w:b/>
          <w:color w:val="000000" w:themeColor="text1"/>
          <w:szCs w:val="24"/>
        </w:rPr>
      </w:pPr>
      <w:r>
        <w:rPr>
          <w:rFonts w:hint="eastAsia"/>
          <w:b/>
          <w:color w:val="000000" w:themeColor="text1"/>
          <w:szCs w:val="24"/>
        </w:rPr>
        <w:t>3.服务保障</w:t>
      </w:r>
    </w:p>
    <w:p>
      <w:pPr>
        <w:pStyle w:val="963"/>
        <w:snapToGrid w:val="0"/>
        <w:spacing w:line="360" w:lineRule="atLeast"/>
        <w:rPr>
          <w:color w:val="000000" w:themeColor="text1"/>
          <w:szCs w:val="24"/>
        </w:rPr>
      </w:pPr>
      <w:r>
        <w:rPr>
          <w:rFonts w:hint="eastAsia"/>
          <w:color w:val="000000" w:themeColor="text1"/>
          <w:szCs w:val="24"/>
        </w:rPr>
        <w:t>3.1售后服务</w:t>
      </w:r>
    </w:p>
    <w:p>
      <w:pPr>
        <w:pStyle w:val="963"/>
        <w:snapToGrid w:val="0"/>
        <w:spacing w:line="360" w:lineRule="atLeast"/>
        <w:rPr>
          <w:color w:val="000000" w:themeColor="text1"/>
          <w:szCs w:val="24"/>
        </w:rPr>
      </w:pPr>
      <w:r>
        <w:rPr>
          <w:rFonts w:hint="eastAsia"/>
          <w:color w:val="000000" w:themeColor="text1"/>
          <w:szCs w:val="24"/>
        </w:rPr>
        <w:t>3.1.1中标人应确保其技术建议以及所提供的产品的完整性、实用性，保证全部系统及时投入正常运行。否则若出现因投标人提供的设备不满足要求、不合理，或者其所提供的技术支持和服务不全面，而导致系统无法实现或不能完全实现的状况，中标人负全部责任。</w:t>
      </w:r>
    </w:p>
    <w:p>
      <w:pPr>
        <w:pStyle w:val="963"/>
        <w:snapToGrid w:val="0"/>
        <w:spacing w:line="360" w:lineRule="atLeast"/>
        <w:rPr>
          <w:color w:val="000000" w:themeColor="text1"/>
          <w:szCs w:val="24"/>
        </w:rPr>
      </w:pPr>
      <w:r>
        <w:rPr>
          <w:rFonts w:hint="eastAsia"/>
          <w:color w:val="000000" w:themeColor="text1"/>
          <w:szCs w:val="24"/>
        </w:rPr>
        <w:t>3.1.2如果产品在服务期内发生设备故障，中标人应及时予以响应（免费上门服务），否则招标方将自行采取必要的措施，由此产生风险和费用由中标人承担。</w:t>
      </w:r>
    </w:p>
    <w:p>
      <w:pPr>
        <w:pStyle w:val="963"/>
        <w:snapToGrid w:val="0"/>
        <w:spacing w:line="360" w:lineRule="atLeast"/>
      </w:pPr>
      <w:r>
        <w:rPr>
          <w:rFonts w:hint="eastAsia"/>
          <w:color w:val="000000" w:themeColor="text1"/>
          <w:szCs w:val="24"/>
        </w:rPr>
        <w:t>3.1.3</w:t>
      </w:r>
      <w:r>
        <w:rPr>
          <w:rFonts w:hint="eastAsia"/>
        </w:rPr>
        <w:t>售后服务响应速度：在接到电话后1小时内响应，3小时内到达现场解决问题，最迟在2个工作日内修复，如不能修复应采取备用设备给用户使用，以保证用户的正常工作。</w:t>
      </w:r>
    </w:p>
    <w:p>
      <w:pPr>
        <w:pStyle w:val="963"/>
        <w:snapToGrid w:val="0"/>
        <w:spacing w:line="360" w:lineRule="atLeast"/>
        <w:rPr>
          <w:color w:val="000000" w:themeColor="text1"/>
          <w:szCs w:val="24"/>
        </w:rPr>
      </w:pPr>
      <w:r>
        <w:rPr>
          <w:rFonts w:hint="eastAsia"/>
          <w:color w:val="000000" w:themeColor="text1"/>
          <w:szCs w:val="24"/>
        </w:rPr>
        <w:t xml:space="preserve">3.2 人员培训 </w:t>
      </w:r>
    </w:p>
    <w:p>
      <w:pPr>
        <w:pStyle w:val="963"/>
        <w:snapToGrid w:val="0"/>
        <w:spacing w:line="360" w:lineRule="atLeast"/>
        <w:rPr>
          <w:color w:val="000000" w:themeColor="text1"/>
          <w:szCs w:val="24"/>
        </w:rPr>
      </w:pPr>
      <w:r>
        <w:rPr>
          <w:rFonts w:hint="eastAsia"/>
          <w:color w:val="000000" w:themeColor="text1"/>
          <w:szCs w:val="24"/>
        </w:rPr>
        <w:t>中标人须对招标方的技术人员进行现场培训。中标人须在投标文件中提供详细的培训计划，包括培训内容、培训时间、培训费用等。技术培训费用应包含在投标总价中。</w:t>
      </w:r>
    </w:p>
    <w:p>
      <w:pPr>
        <w:pStyle w:val="963"/>
        <w:snapToGrid w:val="0"/>
        <w:spacing w:line="360" w:lineRule="atLeast"/>
        <w:ind w:firstLine="482"/>
        <w:rPr>
          <w:b/>
          <w:color w:val="000000" w:themeColor="text1"/>
          <w:szCs w:val="24"/>
        </w:rPr>
      </w:pPr>
      <w:r>
        <w:rPr>
          <w:rFonts w:hint="eastAsia"/>
          <w:b/>
          <w:color w:val="000000" w:themeColor="text1"/>
          <w:szCs w:val="24"/>
        </w:rPr>
        <w:t>4.质保期</w:t>
      </w:r>
    </w:p>
    <w:p>
      <w:pPr>
        <w:pStyle w:val="963"/>
        <w:snapToGrid w:val="0"/>
        <w:spacing w:line="360" w:lineRule="atLeast"/>
        <w:rPr>
          <w:color w:val="000000" w:themeColor="text1"/>
          <w:szCs w:val="24"/>
        </w:rPr>
      </w:pPr>
      <w:r>
        <w:rPr>
          <w:rFonts w:hint="eastAsia"/>
          <w:color w:val="000000" w:themeColor="text1"/>
          <w:szCs w:val="24"/>
        </w:rPr>
        <w:t>中标人须提供经调试、试运行、验收合格后之日起，合同中规定的所有仪器设备不少于3年的免费质保期，</w:t>
      </w:r>
      <w:r>
        <w:rPr>
          <w:rFonts w:hint="eastAsia"/>
        </w:rPr>
        <w:t>并提供原厂三年免费质保函。</w:t>
      </w:r>
      <w:r>
        <w:rPr>
          <w:rFonts w:hint="eastAsia"/>
          <w:color w:val="000000" w:themeColor="text1"/>
          <w:szCs w:val="24"/>
        </w:rPr>
        <w:t>在质保期内，中标人须免费维修和正常保养，无偿提供一切仪器设备的调试或更换已损坏的零部件。</w:t>
      </w:r>
    </w:p>
    <w:p>
      <w:pPr>
        <w:pStyle w:val="963"/>
        <w:snapToGrid w:val="0"/>
        <w:spacing w:line="360" w:lineRule="atLeast"/>
        <w:ind w:firstLine="479" w:firstLineChars="199"/>
        <w:rPr>
          <w:b/>
          <w:color w:val="000000" w:themeColor="text1"/>
          <w:szCs w:val="24"/>
        </w:rPr>
      </w:pPr>
      <w:r>
        <w:rPr>
          <w:rFonts w:hint="eastAsia"/>
          <w:b/>
          <w:color w:val="000000" w:themeColor="text1"/>
          <w:szCs w:val="24"/>
        </w:rPr>
        <w:t>5.</w:t>
      </w:r>
      <w:r>
        <w:rPr>
          <w:rFonts w:hint="eastAsia" w:ascii="宋体"/>
          <w:b/>
          <w:bCs/>
        </w:rPr>
        <w:t xml:space="preserve"> </w:t>
      </w:r>
      <w:r>
        <w:rPr>
          <w:rFonts w:hint="eastAsia"/>
          <w:b/>
          <w:color w:val="000000" w:themeColor="text1"/>
          <w:szCs w:val="24"/>
        </w:rPr>
        <w:t>付款方式</w:t>
      </w:r>
    </w:p>
    <w:p>
      <w:pPr>
        <w:pStyle w:val="965"/>
        <w:snapToGrid w:val="0"/>
        <w:spacing w:line="360" w:lineRule="atLeast"/>
        <w:rPr>
          <w:color w:val="000000" w:themeColor="text1"/>
        </w:rPr>
      </w:pPr>
      <w:r>
        <w:rPr>
          <w:color w:val="000000" w:themeColor="text1"/>
        </w:rPr>
        <w:t>项目整体验收合格后</w:t>
      </w:r>
      <w:r>
        <w:rPr>
          <w:rFonts w:hint="eastAsia"/>
          <w:color w:val="000000" w:themeColor="text1"/>
        </w:rPr>
        <w:t>采购方</w:t>
      </w:r>
      <w:r>
        <w:rPr>
          <w:color w:val="000000" w:themeColor="text1"/>
        </w:rPr>
        <w:t>1个月内给付合同总价的</w:t>
      </w:r>
      <w:r>
        <w:rPr>
          <w:rFonts w:hint="eastAsia"/>
          <w:color w:val="000000" w:themeColor="text1"/>
        </w:rPr>
        <w:t>95</w:t>
      </w:r>
      <w:r>
        <w:rPr>
          <w:color w:val="000000" w:themeColor="text1"/>
        </w:rPr>
        <w:t>%</w:t>
      </w:r>
      <w:r>
        <w:rPr>
          <w:rFonts w:hint="eastAsia"/>
          <w:color w:val="000000" w:themeColor="text1"/>
        </w:rPr>
        <w:t>，验收合格使用满1年</w:t>
      </w:r>
      <w:r>
        <w:rPr>
          <w:color w:val="000000" w:themeColor="text1"/>
        </w:rPr>
        <w:t>无任何质量问题</w:t>
      </w:r>
      <w:r>
        <w:rPr>
          <w:rFonts w:hint="eastAsia"/>
          <w:color w:val="000000" w:themeColor="text1"/>
        </w:rPr>
        <w:t>即付清余款</w:t>
      </w:r>
      <w:r>
        <w:rPr>
          <w:color w:val="000000" w:themeColor="text1"/>
        </w:rPr>
        <w:t>。</w:t>
      </w:r>
    </w:p>
    <w:p>
      <w:pPr>
        <w:pStyle w:val="963"/>
        <w:snapToGrid w:val="0"/>
        <w:spacing w:line="360" w:lineRule="atLeast"/>
        <w:ind w:firstLine="482"/>
        <w:rPr>
          <w:b/>
          <w:color w:val="000000" w:themeColor="text1"/>
          <w:szCs w:val="24"/>
        </w:rPr>
      </w:pPr>
      <w:r>
        <w:rPr>
          <w:rFonts w:hint="eastAsia"/>
          <w:b/>
          <w:color w:val="000000" w:themeColor="text1"/>
          <w:szCs w:val="24"/>
        </w:rPr>
        <w:t>6.最高限价</w:t>
      </w:r>
    </w:p>
    <w:p>
      <w:pPr>
        <w:spacing w:line="360" w:lineRule="auto"/>
        <w:ind w:firstLine="422" w:firstLineChars="200"/>
        <w:rPr>
          <w:rFonts w:ascii="仿宋_GB2312" w:hAnsi="仿宋" w:eastAsia="仿宋_GB2312" w:cs="仿宋_GB2312"/>
          <w:b/>
          <w:sz w:val="36"/>
          <w:szCs w:val="36"/>
        </w:rPr>
      </w:pPr>
      <w:r>
        <w:rPr>
          <w:rFonts w:hint="eastAsia"/>
          <w:b/>
          <w:color w:val="000000" w:themeColor="text1"/>
        </w:rPr>
        <w:t>本次采购最高限价为人民币叁拾陆万元（¥360,000.00）整，其中设备清单中1至9项总最高限价¥237000元整、10至32项总最高限价¥123000元整。任何超过最高限价的报价将被认定为无效报价（包含设备、软件、货物运输、安装、调试、培训、售后服务、软件升级、人员工资、税费等本项目实施的一切费用）。</w:t>
      </w: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pStyle w:val="2"/>
        <w:rPr>
          <w:lang w:val="en-US"/>
        </w:rPr>
      </w:pPr>
    </w:p>
    <w:p/>
    <w:p>
      <w:pPr>
        <w:pStyle w:val="2"/>
        <w:rPr>
          <w:lang w:val="en-US"/>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286"/>
      <w:bookmarkEnd w:id="27"/>
      <w:bookmarkStart w:id="28" w:name="_Toc184312108"/>
      <w:bookmarkEnd w:id="28"/>
      <w:bookmarkStart w:id="29" w:name="_Toc184312071"/>
      <w:bookmarkEnd w:id="29"/>
      <w:bookmarkStart w:id="30" w:name="_Toc184314441"/>
      <w:bookmarkEnd w:id="30"/>
      <w:bookmarkStart w:id="31" w:name="_Toc184314451"/>
      <w:bookmarkEnd w:id="31"/>
      <w:bookmarkStart w:id="32" w:name="_Toc184312124"/>
      <w:bookmarkEnd w:id="32"/>
      <w:bookmarkStart w:id="33" w:name="_Toc184313302"/>
      <w:bookmarkEnd w:id="33"/>
      <w:bookmarkStart w:id="34" w:name="_Toc184313252"/>
      <w:bookmarkEnd w:id="34"/>
      <w:bookmarkStart w:id="35" w:name="_Toc184312080"/>
      <w:bookmarkEnd w:id="35"/>
      <w:bookmarkStart w:id="36" w:name="_Toc184314465"/>
      <w:bookmarkEnd w:id="36"/>
      <w:bookmarkStart w:id="37" w:name="_Toc184313242"/>
      <w:bookmarkEnd w:id="37"/>
      <w:bookmarkStart w:id="38" w:name="_Toc184310324"/>
      <w:bookmarkEnd w:id="38"/>
      <w:bookmarkStart w:id="39" w:name="_Toc184314436"/>
      <w:bookmarkEnd w:id="39"/>
      <w:bookmarkStart w:id="40" w:name="_Toc184312118"/>
      <w:bookmarkEnd w:id="40"/>
      <w:bookmarkStart w:id="41" w:name="_Toc184312119"/>
      <w:bookmarkEnd w:id="41"/>
      <w:bookmarkStart w:id="42" w:name="_Toc184313289"/>
      <w:bookmarkEnd w:id="42"/>
      <w:bookmarkStart w:id="43" w:name="_Toc184308102"/>
      <w:bookmarkEnd w:id="43"/>
      <w:bookmarkStart w:id="44" w:name="_Toc184312136"/>
      <w:bookmarkEnd w:id="44"/>
      <w:bookmarkStart w:id="45" w:name="_Toc184314456"/>
      <w:bookmarkEnd w:id="45"/>
      <w:bookmarkStart w:id="46" w:name="_Toc184312113"/>
      <w:bookmarkEnd w:id="46"/>
      <w:bookmarkStart w:id="47" w:name="_Toc184314419"/>
      <w:bookmarkEnd w:id="47"/>
      <w:bookmarkStart w:id="48" w:name="_Toc184312126"/>
      <w:bookmarkEnd w:id="48"/>
      <w:bookmarkStart w:id="49" w:name="_Toc184313293"/>
      <w:bookmarkEnd w:id="49"/>
      <w:bookmarkStart w:id="50" w:name="_Toc184310309"/>
      <w:bookmarkEnd w:id="50"/>
      <w:bookmarkStart w:id="51" w:name="_Toc184313310"/>
      <w:bookmarkEnd w:id="51"/>
      <w:bookmarkStart w:id="52" w:name="_Toc184310328"/>
      <w:bookmarkEnd w:id="52"/>
      <w:bookmarkStart w:id="53" w:name="_Toc184314421"/>
      <w:bookmarkEnd w:id="53"/>
      <w:bookmarkStart w:id="54" w:name="_Toc184310307"/>
      <w:bookmarkEnd w:id="54"/>
      <w:bookmarkStart w:id="55" w:name="_Toc184308072"/>
      <w:bookmarkEnd w:id="55"/>
      <w:bookmarkStart w:id="56" w:name="_Toc184308051"/>
      <w:bookmarkEnd w:id="56"/>
      <w:bookmarkStart w:id="57" w:name="_Toc184308107"/>
      <w:bookmarkEnd w:id="57"/>
      <w:bookmarkStart w:id="58" w:name="_Toc184312131"/>
      <w:bookmarkEnd w:id="58"/>
      <w:bookmarkStart w:id="59" w:name="_Toc184312104"/>
      <w:bookmarkEnd w:id="59"/>
      <w:bookmarkStart w:id="60" w:name="_Toc184314482"/>
      <w:bookmarkEnd w:id="60"/>
      <w:bookmarkStart w:id="61" w:name="_Toc184310319"/>
      <w:bookmarkEnd w:id="61"/>
      <w:bookmarkStart w:id="62" w:name="_Toc184314410"/>
      <w:bookmarkEnd w:id="62"/>
      <w:bookmarkStart w:id="63" w:name="_Toc184314460"/>
      <w:bookmarkEnd w:id="63"/>
      <w:bookmarkStart w:id="64" w:name="_Toc184312138"/>
      <w:bookmarkEnd w:id="64"/>
      <w:bookmarkStart w:id="65" w:name="_Toc184313274"/>
      <w:bookmarkEnd w:id="65"/>
      <w:bookmarkStart w:id="66" w:name="_Toc184310285"/>
      <w:bookmarkEnd w:id="66"/>
      <w:bookmarkStart w:id="67" w:name="_Toc184312099"/>
      <w:bookmarkEnd w:id="67"/>
      <w:bookmarkStart w:id="68" w:name="_Toc184313279"/>
      <w:bookmarkEnd w:id="68"/>
      <w:bookmarkStart w:id="69" w:name="_Toc184310323"/>
      <w:bookmarkEnd w:id="69"/>
      <w:bookmarkStart w:id="70" w:name="_Toc184308086"/>
      <w:bookmarkEnd w:id="70"/>
      <w:bookmarkStart w:id="71" w:name="_Toc184314453"/>
      <w:bookmarkEnd w:id="71"/>
      <w:bookmarkStart w:id="72" w:name="_Toc184313295"/>
      <w:bookmarkEnd w:id="72"/>
      <w:bookmarkStart w:id="73" w:name="_Toc184308048"/>
      <w:bookmarkEnd w:id="73"/>
      <w:bookmarkStart w:id="74" w:name="_Toc184312139"/>
      <w:bookmarkEnd w:id="74"/>
      <w:bookmarkStart w:id="75" w:name="_Toc184313272"/>
      <w:bookmarkEnd w:id="75"/>
      <w:bookmarkStart w:id="76" w:name="_Toc184308079"/>
      <w:bookmarkEnd w:id="76"/>
      <w:bookmarkStart w:id="77" w:name="_Toc184310284"/>
      <w:bookmarkEnd w:id="77"/>
      <w:bookmarkStart w:id="78" w:name="_Toc184314440"/>
      <w:bookmarkEnd w:id="78"/>
      <w:bookmarkStart w:id="79" w:name="_Toc184312079"/>
      <w:bookmarkEnd w:id="79"/>
      <w:bookmarkStart w:id="80" w:name="_Toc184312102"/>
      <w:bookmarkEnd w:id="80"/>
      <w:bookmarkStart w:id="81" w:name="_Toc184310343"/>
      <w:bookmarkEnd w:id="81"/>
      <w:bookmarkStart w:id="82" w:name="_Toc184314444"/>
      <w:bookmarkEnd w:id="82"/>
      <w:bookmarkStart w:id="83" w:name="_Toc184312096"/>
      <w:bookmarkEnd w:id="83"/>
      <w:bookmarkStart w:id="84" w:name="_Toc184308071"/>
      <w:bookmarkEnd w:id="84"/>
      <w:bookmarkStart w:id="85" w:name="_Toc184314420"/>
      <w:bookmarkEnd w:id="85"/>
      <w:bookmarkStart w:id="86" w:name="_Toc184310303"/>
      <w:bookmarkEnd w:id="86"/>
      <w:bookmarkStart w:id="87" w:name="_Toc184308108"/>
      <w:bookmarkEnd w:id="87"/>
      <w:bookmarkStart w:id="88" w:name="_Toc184313291"/>
      <w:bookmarkEnd w:id="88"/>
      <w:bookmarkStart w:id="89" w:name="_Toc184308100"/>
      <w:bookmarkEnd w:id="89"/>
      <w:bookmarkStart w:id="90" w:name="_Toc184313264"/>
      <w:bookmarkEnd w:id="90"/>
      <w:bookmarkStart w:id="91" w:name="_Toc184314445"/>
      <w:bookmarkEnd w:id="91"/>
      <w:bookmarkStart w:id="92" w:name="_Toc184313238"/>
      <w:bookmarkEnd w:id="92"/>
      <w:bookmarkStart w:id="93" w:name="_Toc184308070"/>
      <w:bookmarkEnd w:id="93"/>
      <w:bookmarkStart w:id="94" w:name="_Toc184310283"/>
      <w:bookmarkEnd w:id="94"/>
      <w:bookmarkStart w:id="95" w:name="_Toc184313270"/>
      <w:bookmarkEnd w:id="95"/>
      <w:bookmarkStart w:id="96" w:name="_Toc184308084"/>
      <w:bookmarkEnd w:id="96"/>
      <w:bookmarkStart w:id="97" w:name="_Toc184310306"/>
      <w:bookmarkEnd w:id="97"/>
      <w:bookmarkStart w:id="98" w:name="_Toc184310311"/>
      <w:bookmarkEnd w:id="98"/>
      <w:bookmarkStart w:id="99" w:name="_Toc184313308"/>
      <w:bookmarkEnd w:id="99"/>
      <w:bookmarkStart w:id="100" w:name="_Toc184312081"/>
      <w:bookmarkEnd w:id="100"/>
      <w:bookmarkStart w:id="101" w:name="_Toc184314442"/>
      <w:bookmarkEnd w:id="101"/>
      <w:bookmarkStart w:id="102" w:name="_Toc184310337"/>
      <w:bookmarkEnd w:id="102"/>
      <w:bookmarkStart w:id="103" w:name="_Toc184312078"/>
      <w:bookmarkEnd w:id="103"/>
      <w:bookmarkStart w:id="104" w:name="_Toc184313249"/>
      <w:bookmarkEnd w:id="104"/>
      <w:bookmarkStart w:id="105" w:name="_Toc184308083"/>
      <w:bookmarkEnd w:id="105"/>
      <w:bookmarkStart w:id="106" w:name="_Toc184313239"/>
      <w:bookmarkEnd w:id="106"/>
      <w:bookmarkStart w:id="107" w:name="_Toc184313247"/>
      <w:bookmarkEnd w:id="107"/>
      <w:bookmarkStart w:id="108" w:name="_Toc184312083"/>
      <w:bookmarkEnd w:id="108"/>
      <w:bookmarkStart w:id="109" w:name="_Toc184308065"/>
      <w:bookmarkEnd w:id="109"/>
      <w:bookmarkStart w:id="110" w:name="_Toc184314475"/>
      <w:bookmarkEnd w:id="110"/>
      <w:bookmarkStart w:id="111" w:name="_Toc184308040"/>
      <w:bookmarkEnd w:id="111"/>
      <w:bookmarkStart w:id="112" w:name="_Toc184312088"/>
      <w:bookmarkEnd w:id="112"/>
      <w:bookmarkStart w:id="113" w:name="_Toc184314473"/>
      <w:bookmarkEnd w:id="113"/>
      <w:bookmarkStart w:id="114" w:name="_Toc184310291"/>
      <w:bookmarkEnd w:id="114"/>
      <w:bookmarkStart w:id="115" w:name="_Toc184308057"/>
      <w:bookmarkEnd w:id="115"/>
      <w:bookmarkStart w:id="116" w:name="_Toc184310341"/>
      <w:bookmarkEnd w:id="116"/>
      <w:bookmarkStart w:id="117" w:name="_Toc184312095"/>
      <w:bookmarkEnd w:id="117"/>
      <w:bookmarkStart w:id="118" w:name="_Toc184313259"/>
      <w:bookmarkEnd w:id="118"/>
      <w:bookmarkStart w:id="119" w:name="_Toc184310315"/>
      <w:bookmarkEnd w:id="119"/>
      <w:bookmarkStart w:id="120" w:name="_Toc184313254"/>
      <w:bookmarkEnd w:id="120"/>
      <w:bookmarkStart w:id="121" w:name="_Toc184312084"/>
      <w:bookmarkEnd w:id="121"/>
      <w:bookmarkStart w:id="122" w:name="_Toc184312106"/>
      <w:bookmarkEnd w:id="122"/>
      <w:bookmarkStart w:id="123" w:name="_Toc184314447"/>
      <w:bookmarkEnd w:id="123"/>
      <w:bookmarkStart w:id="124" w:name="_Toc184308074"/>
      <w:bookmarkEnd w:id="124"/>
      <w:bookmarkStart w:id="125" w:name="_Toc184312098"/>
      <w:bookmarkEnd w:id="125"/>
      <w:bookmarkStart w:id="126" w:name="_Toc184314432"/>
      <w:bookmarkEnd w:id="126"/>
      <w:bookmarkStart w:id="127" w:name="_Toc184308064"/>
      <w:bookmarkEnd w:id="127"/>
      <w:bookmarkStart w:id="128" w:name="_Toc184312068"/>
      <w:bookmarkEnd w:id="128"/>
      <w:bookmarkStart w:id="129" w:name="_Toc184310273"/>
      <w:bookmarkEnd w:id="129"/>
      <w:bookmarkStart w:id="130" w:name="_Toc184314434"/>
      <w:bookmarkEnd w:id="130"/>
      <w:bookmarkStart w:id="131" w:name="_Toc184308058"/>
      <w:bookmarkEnd w:id="131"/>
      <w:bookmarkStart w:id="132" w:name="_Toc184308055"/>
      <w:bookmarkEnd w:id="132"/>
      <w:bookmarkStart w:id="133" w:name="_Toc184312097"/>
      <w:bookmarkEnd w:id="133"/>
      <w:bookmarkStart w:id="134" w:name="_Toc184313266"/>
      <w:bookmarkEnd w:id="134"/>
      <w:bookmarkStart w:id="135" w:name="_Toc184312087"/>
      <w:bookmarkEnd w:id="135"/>
      <w:bookmarkStart w:id="136" w:name="_Toc184308066"/>
      <w:bookmarkEnd w:id="136"/>
      <w:bookmarkStart w:id="137" w:name="_Toc184313256"/>
      <w:bookmarkEnd w:id="137"/>
      <w:bookmarkStart w:id="138" w:name="_Toc184310314"/>
      <w:bookmarkEnd w:id="138"/>
      <w:bookmarkStart w:id="139" w:name="_Toc184314438"/>
      <w:bookmarkEnd w:id="139"/>
      <w:bookmarkStart w:id="140" w:name="_Toc184314431"/>
      <w:bookmarkEnd w:id="140"/>
      <w:bookmarkStart w:id="141" w:name="_Toc184308067"/>
      <w:bookmarkEnd w:id="141"/>
      <w:bookmarkStart w:id="142" w:name="_Toc184308061"/>
      <w:bookmarkEnd w:id="142"/>
      <w:bookmarkStart w:id="143" w:name="_Toc184312070"/>
      <w:bookmarkEnd w:id="143"/>
      <w:bookmarkStart w:id="144" w:name="_Toc184312135"/>
      <w:bookmarkEnd w:id="144"/>
      <w:bookmarkStart w:id="145" w:name="_Toc184314455"/>
      <w:bookmarkEnd w:id="145"/>
      <w:bookmarkStart w:id="146" w:name="_Toc184312117"/>
      <w:bookmarkEnd w:id="146"/>
      <w:bookmarkStart w:id="147" w:name="_Toc184312094"/>
      <w:bookmarkEnd w:id="147"/>
      <w:bookmarkStart w:id="148" w:name="_Toc184313303"/>
      <w:bookmarkEnd w:id="148"/>
      <w:bookmarkStart w:id="149" w:name="_Toc184312115"/>
      <w:bookmarkEnd w:id="149"/>
      <w:bookmarkStart w:id="150" w:name="_Toc184310317"/>
      <w:bookmarkEnd w:id="150"/>
      <w:bookmarkStart w:id="151" w:name="_Toc184310336"/>
      <w:bookmarkEnd w:id="151"/>
      <w:bookmarkStart w:id="152" w:name="_Toc184310281"/>
      <w:bookmarkEnd w:id="152"/>
      <w:bookmarkStart w:id="153" w:name="_Toc184308053"/>
      <w:bookmarkEnd w:id="153"/>
      <w:bookmarkStart w:id="154" w:name="_Toc184314430"/>
      <w:bookmarkEnd w:id="154"/>
      <w:bookmarkStart w:id="155" w:name="_Toc184310322"/>
      <w:bookmarkEnd w:id="155"/>
      <w:bookmarkStart w:id="156" w:name="_Toc184313251"/>
      <w:bookmarkEnd w:id="156"/>
      <w:bookmarkStart w:id="157" w:name="_Toc184310292"/>
      <w:bookmarkEnd w:id="157"/>
      <w:bookmarkStart w:id="158" w:name="_Toc184314454"/>
      <w:bookmarkEnd w:id="158"/>
      <w:bookmarkStart w:id="159" w:name="_Toc184313307"/>
      <w:bookmarkEnd w:id="159"/>
      <w:bookmarkStart w:id="160" w:name="_Toc184314458"/>
      <w:bookmarkEnd w:id="160"/>
      <w:bookmarkStart w:id="161" w:name="_Toc184308101"/>
      <w:bookmarkEnd w:id="161"/>
      <w:bookmarkStart w:id="162" w:name="_Toc184310298"/>
      <w:bookmarkEnd w:id="162"/>
      <w:bookmarkStart w:id="163" w:name="_Toc184308081"/>
      <w:bookmarkEnd w:id="163"/>
      <w:bookmarkStart w:id="164" w:name="_Toc184310288"/>
      <w:bookmarkEnd w:id="164"/>
      <w:bookmarkStart w:id="165" w:name="_Toc184313292"/>
      <w:bookmarkEnd w:id="165"/>
      <w:bookmarkStart w:id="166" w:name="_Toc184308056"/>
      <w:bookmarkEnd w:id="166"/>
      <w:bookmarkStart w:id="167" w:name="_Toc184312086"/>
      <w:bookmarkEnd w:id="167"/>
      <w:bookmarkStart w:id="168" w:name="_Toc184313287"/>
      <w:bookmarkEnd w:id="168"/>
      <w:bookmarkStart w:id="169" w:name="_Toc184313275"/>
      <w:bookmarkEnd w:id="169"/>
      <w:bookmarkStart w:id="170" w:name="_Toc184310275"/>
      <w:bookmarkEnd w:id="170"/>
      <w:bookmarkStart w:id="171" w:name="_Toc184308054"/>
      <w:bookmarkEnd w:id="171"/>
      <w:bookmarkStart w:id="172" w:name="_Toc184314459"/>
      <w:bookmarkEnd w:id="172"/>
      <w:bookmarkStart w:id="173" w:name="_Toc184313263"/>
      <w:bookmarkEnd w:id="173"/>
      <w:bookmarkStart w:id="174" w:name="_Toc184312112"/>
      <w:bookmarkEnd w:id="174"/>
      <w:bookmarkStart w:id="175" w:name="_Toc184312116"/>
      <w:bookmarkEnd w:id="175"/>
      <w:bookmarkStart w:id="176" w:name="_Toc184308049"/>
      <w:bookmarkEnd w:id="176"/>
      <w:bookmarkStart w:id="177" w:name="_Toc184314413"/>
      <w:bookmarkEnd w:id="177"/>
      <w:bookmarkStart w:id="178" w:name="_Toc184313253"/>
      <w:bookmarkEnd w:id="178"/>
      <w:bookmarkStart w:id="179" w:name="_Toc184312069"/>
      <w:bookmarkEnd w:id="179"/>
      <w:bookmarkStart w:id="180" w:name="_Toc184314429"/>
      <w:bookmarkEnd w:id="180"/>
      <w:bookmarkStart w:id="181" w:name="_Toc184313280"/>
      <w:bookmarkEnd w:id="181"/>
      <w:bookmarkStart w:id="182" w:name="_Toc184310296"/>
      <w:bookmarkEnd w:id="182"/>
      <w:bookmarkStart w:id="183" w:name="_Toc184313306"/>
      <w:bookmarkEnd w:id="183"/>
      <w:bookmarkStart w:id="184" w:name="_Toc184308039"/>
      <w:bookmarkEnd w:id="184"/>
      <w:bookmarkStart w:id="185" w:name="_Toc184310299"/>
      <w:bookmarkEnd w:id="185"/>
      <w:bookmarkStart w:id="186" w:name="_Toc184314450"/>
      <w:bookmarkEnd w:id="186"/>
      <w:bookmarkStart w:id="187" w:name="_Toc184314449"/>
      <w:bookmarkEnd w:id="187"/>
      <w:bookmarkStart w:id="188" w:name="_Toc184313262"/>
      <w:bookmarkEnd w:id="188"/>
      <w:bookmarkStart w:id="189" w:name="_Toc184312067"/>
      <w:bookmarkEnd w:id="189"/>
      <w:bookmarkStart w:id="190" w:name="_Toc184312085"/>
      <w:bookmarkEnd w:id="190"/>
      <w:bookmarkStart w:id="191" w:name="_Toc184314428"/>
      <w:bookmarkEnd w:id="191"/>
      <w:bookmarkStart w:id="192" w:name="_Toc184310289"/>
      <w:bookmarkEnd w:id="192"/>
      <w:bookmarkStart w:id="193" w:name="_Toc184310297"/>
      <w:bookmarkEnd w:id="193"/>
      <w:bookmarkStart w:id="194" w:name="_Toc184313277"/>
      <w:bookmarkEnd w:id="194"/>
      <w:bookmarkStart w:id="195" w:name="_Toc184314478"/>
      <w:bookmarkEnd w:id="195"/>
      <w:bookmarkStart w:id="196" w:name="_Toc184312072"/>
      <w:bookmarkEnd w:id="196"/>
      <w:bookmarkStart w:id="197" w:name="_Toc184310339"/>
      <w:bookmarkEnd w:id="197"/>
      <w:bookmarkStart w:id="198" w:name="_Toc184314411"/>
      <w:bookmarkEnd w:id="198"/>
      <w:bookmarkStart w:id="199" w:name="_Toc184312073"/>
      <w:bookmarkEnd w:id="199"/>
      <w:bookmarkStart w:id="200" w:name="_Toc184313246"/>
      <w:bookmarkEnd w:id="200"/>
      <w:bookmarkStart w:id="201" w:name="_Toc184314418"/>
      <w:bookmarkEnd w:id="201"/>
      <w:bookmarkStart w:id="202" w:name="_Toc184310290"/>
      <w:bookmarkEnd w:id="202"/>
      <w:bookmarkStart w:id="203" w:name="_Toc184314474"/>
      <w:bookmarkEnd w:id="203"/>
      <w:bookmarkStart w:id="204" w:name="_Toc184308038"/>
      <w:bookmarkEnd w:id="204"/>
      <w:bookmarkStart w:id="205" w:name="_Toc184313260"/>
      <w:bookmarkEnd w:id="205"/>
      <w:bookmarkStart w:id="206" w:name="_Toc184308105"/>
      <w:bookmarkEnd w:id="206"/>
      <w:bookmarkStart w:id="207" w:name="_Toc184308043"/>
      <w:bookmarkEnd w:id="207"/>
      <w:bookmarkStart w:id="208" w:name="_Toc184308104"/>
      <w:bookmarkEnd w:id="208"/>
      <w:bookmarkStart w:id="209" w:name="_Toc184310274"/>
      <w:bookmarkEnd w:id="209"/>
      <w:bookmarkStart w:id="210" w:name="_Toc184310335"/>
      <w:bookmarkEnd w:id="210"/>
      <w:bookmarkStart w:id="211" w:name="_Toc184314417"/>
      <w:bookmarkEnd w:id="211"/>
      <w:bookmarkStart w:id="212" w:name="_Toc184310342"/>
      <w:bookmarkEnd w:id="212"/>
      <w:bookmarkStart w:id="213" w:name="_Toc184310279"/>
      <w:bookmarkEnd w:id="213"/>
      <w:bookmarkStart w:id="214" w:name="_Toc184313244"/>
      <w:bookmarkEnd w:id="214"/>
      <w:bookmarkStart w:id="215" w:name="_Toc184314416"/>
      <w:bookmarkEnd w:id="215"/>
      <w:bookmarkStart w:id="216" w:name="_Toc184310312"/>
      <w:bookmarkEnd w:id="216"/>
      <w:bookmarkStart w:id="217" w:name="_Toc184310316"/>
      <w:bookmarkEnd w:id="217"/>
      <w:bookmarkStart w:id="218" w:name="_Toc184308044"/>
      <w:bookmarkEnd w:id="218"/>
      <w:bookmarkStart w:id="219" w:name="_Toc184312076"/>
      <w:bookmarkEnd w:id="219"/>
      <w:bookmarkStart w:id="220" w:name="_Toc184310272"/>
      <w:bookmarkEnd w:id="220"/>
      <w:bookmarkStart w:id="221" w:name="_Toc184314415"/>
      <w:bookmarkEnd w:id="221"/>
      <w:bookmarkStart w:id="222" w:name="_Toc184308041"/>
      <w:bookmarkEnd w:id="222"/>
      <w:bookmarkStart w:id="223" w:name="_Toc184312111"/>
      <w:bookmarkEnd w:id="223"/>
      <w:bookmarkStart w:id="224" w:name="_Toc184314414"/>
      <w:bookmarkEnd w:id="224"/>
      <w:bookmarkStart w:id="225" w:name="_Toc184310280"/>
      <w:bookmarkEnd w:id="225"/>
      <w:bookmarkStart w:id="226" w:name="_Toc184314472"/>
      <w:bookmarkEnd w:id="226"/>
      <w:bookmarkStart w:id="227" w:name="_Toc184312077"/>
      <w:bookmarkEnd w:id="227"/>
      <w:bookmarkStart w:id="228" w:name="_Toc184310318"/>
      <w:bookmarkEnd w:id="228"/>
      <w:bookmarkStart w:id="229" w:name="_Toc184312074"/>
      <w:bookmarkEnd w:id="229"/>
      <w:bookmarkStart w:id="230" w:name="_Toc184312075"/>
      <w:bookmarkEnd w:id="230"/>
      <w:bookmarkStart w:id="231" w:name="_Toc184313245"/>
      <w:bookmarkEnd w:id="231"/>
      <w:bookmarkStart w:id="232" w:name="_Toc184313282"/>
      <w:bookmarkEnd w:id="232"/>
      <w:bookmarkStart w:id="233" w:name="_Toc184310276"/>
      <w:bookmarkEnd w:id="233"/>
      <w:bookmarkStart w:id="234" w:name="_Toc184314448"/>
      <w:bookmarkEnd w:id="234"/>
      <w:bookmarkStart w:id="235" w:name="_Toc184310278"/>
      <w:bookmarkEnd w:id="235"/>
      <w:bookmarkStart w:id="236" w:name="_Toc184310344"/>
      <w:bookmarkEnd w:id="236"/>
      <w:bookmarkStart w:id="237" w:name="_Toc184314433"/>
      <w:bookmarkEnd w:id="237"/>
      <w:bookmarkStart w:id="238" w:name="_Toc184312092"/>
      <w:bookmarkEnd w:id="238"/>
      <w:bookmarkStart w:id="239" w:name="_Toc184308075"/>
      <w:bookmarkEnd w:id="239"/>
      <w:bookmarkStart w:id="240" w:name="_Toc184312082"/>
      <w:bookmarkEnd w:id="240"/>
      <w:bookmarkStart w:id="241" w:name="_Toc184308042"/>
      <w:bookmarkEnd w:id="241"/>
      <w:bookmarkStart w:id="242" w:name="_Toc184308059"/>
      <w:bookmarkEnd w:id="242"/>
      <w:bookmarkStart w:id="243" w:name="_Toc184314425"/>
      <w:bookmarkEnd w:id="243"/>
      <w:bookmarkStart w:id="244" w:name="_Toc184313261"/>
      <w:bookmarkEnd w:id="244"/>
      <w:bookmarkStart w:id="245" w:name="_Toc184308106"/>
      <w:bookmarkEnd w:id="245"/>
      <w:bookmarkStart w:id="246" w:name="_Toc184310277"/>
      <w:bookmarkEnd w:id="246"/>
      <w:bookmarkStart w:id="247" w:name="_Toc184308060"/>
      <w:bookmarkEnd w:id="247"/>
      <w:bookmarkStart w:id="248" w:name="_Toc184308062"/>
      <w:bookmarkEnd w:id="248"/>
      <w:bookmarkStart w:id="249" w:name="_Toc184313276"/>
      <w:bookmarkEnd w:id="249"/>
      <w:bookmarkStart w:id="250" w:name="_Toc184314477"/>
      <w:bookmarkEnd w:id="250"/>
      <w:bookmarkStart w:id="251" w:name="_Toc184310332"/>
      <w:bookmarkEnd w:id="251"/>
      <w:bookmarkStart w:id="252" w:name="_Toc184310287"/>
      <w:bookmarkEnd w:id="252"/>
      <w:bookmarkStart w:id="253" w:name="_Toc184310295"/>
      <w:bookmarkEnd w:id="253"/>
      <w:bookmarkStart w:id="254" w:name="_Toc184314471"/>
      <w:bookmarkEnd w:id="254"/>
      <w:bookmarkStart w:id="255" w:name="_Toc184308080"/>
      <w:bookmarkEnd w:id="255"/>
      <w:bookmarkStart w:id="256" w:name="_Toc184308096"/>
      <w:bookmarkEnd w:id="256"/>
      <w:bookmarkStart w:id="257" w:name="_Toc184308050"/>
      <w:bookmarkEnd w:id="257"/>
      <w:bookmarkStart w:id="258" w:name="_Toc184313309"/>
      <w:bookmarkEnd w:id="258"/>
      <w:bookmarkStart w:id="259" w:name="_Toc184308045"/>
      <w:bookmarkEnd w:id="259"/>
      <w:bookmarkStart w:id="260" w:name="_Toc184313284"/>
      <w:bookmarkEnd w:id="260"/>
      <w:bookmarkStart w:id="261" w:name="_Toc184312110"/>
      <w:bookmarkEnd w:id="261"/>
      <w:bookmarkStart w:id="262" w:name="_Toc184312089"/>
      <w:bookmarkEnd w:id="262"/>
      <w:bookmarkStart w:id="263" w:name="_Toc184313265"/>
      <w:bookmarkEnd w:id="263"/>
      <w:bookmarkStart w:id="264" w:name="_Toc184312125"/>
      <w:bookmarkEnd w:id="264"/>
      <w:bookmarkStart w:id="265" w:name="_Toc184310320"/>
      <w:bookmarkEnd w:id="265"/>
      <w:bookmarkStart w:id="266" w:name="_Toc184313243"/>
      <w:bookmarkEnd w:id="266"/>
      <w:bookmarkStart w:id="267" w:name="_Toc184313278"/>
      <w:bookmarkEnd w:id="267"/>
      <w:bookmarkStart w:id="268" w:name="_Toc184314435"/>
      <w:bookmarkEnd w:id="268"/>
      <w:bookmarkStart w:id="269" w:name="_Toc184310294"/>
      <w:bookmarkEnd w:id="269"/>
      <w:bookmarkStart w:id="270" w:name="_Toc184314437"/>
      <w:bookmarkEnd w:id="270"/>
      <w:bookmarkStart w:id="271" w:name="_Toc184308073"/>
      <w:bookmarkEnd w:id="271"/>
      <w:bookmarkStart w:id="272" w:name="_Toc184314424"/>
      <w:bookmarkEnd w:id="272"/>
      <w:bookmarkStart w:id="273" w:name="_Toc184310304"/>
      <w:bookmarkEnd w:id="273"/>
      <w:bookmarkStart w:id="274" w:name="_Toc184310321"/>
      <w:bookmarkEnd w:id="274"/>
      <w:bookmarkStart w:id="275" w:name="_Toc184314427"/>
      <w:bookmarkEnd w:id="275"/>
      <w:bookmarkStart w:id="276" w:name="_Toc184313290"/>
      <w:bookmarkEnd w:id="276"/>
      <w:bookmarkStart w:id="277" w:name="_Toc184312090"/>
      <w:bookmarkEnd w:id="277"/>
      <w:bookmarkStart w:id="278" w:name="_Toc184313296"/>
      <w:bookmarkEnd w:id="278"/>
      <w:bookmarkStart w:id="279" w:name="_Toc184313300"/>
      <w:bookmarkEnd w:id="279"/>
      <w:bookmarkStart w:id="280" w:name="_Toc184308036"/>
      <w:bookmarkEnd w:id="280"/>
      <w:bookmarkStart w:id="281" w:name="_Toc184314412"/>
      <w:bookmarkEnd w:id="281"/>
      <w:bookmarkStart w:id="282" w:name="_Toc184308098"/>
      <w:bookmarkEnd w:id="282"/>
      <w:bookmarkStart w:id="283" w:name="_Toc184313305"/>
      <w:bookmarkEnd w:id="283"/>
      <w:bookmarkStart w:id="284" w:name="_Toc184312129"/>
      <w:bookmarkEnd w:id="284"/>
      <w:bookmarkStart w:id="285" w:name="_Toc184308097"/>
      <w:bookmarkEnd w:id="285"/>
      <w:bookmarkStart w:id="286" w:name="_Toc184312134"/>
      <w:bookmarkEnd w:id="286"/>
      <w:bookmarkStart w:id="287" w:name="_Toc184308103"/>
      <w:bookmarkEnd w:id="287"/>
      <w:bookmarkStart w:id="288" w:name="_Toc184313304"/>
      <w:bookmarkEnd w:id="288"/>
      <w:bookmarkStart w:id="289" w:name="_Toc184314468"/>
      <w:bookmarkEnd w:id="289"/>
      <w:bookmarkStart w:id="290" w:name="_Toc184314469"/>
      <w:bookmarkEnd w:id="290"/>
      <w:bookmarkStart w:id="291" w:name="_Toc184308068"/>
      <w:bookmarkEnd w:id="291"/>
      <w:bookmarkStart w:id="292" w:name="_Toc184312091"/>
      <w:bookmarkEnd w:id="292"/>
      <w:bookmarkStart w:id="293" w:name="_Toc184308046"/>
      <w:bookmarkEnd w:id="293"/>
      <w:bookmarkStart w:id="294" w:name="_Toc184312130"/>
      <w:bookmarkEnd w:id="294"/>
      <w:bookmarkStart w:id="295" w:name="_Toc184312132"/>
      <w:bookmarkEnd w:id="295"/>
      <w:bookmarkStart w:id="296" w:name="_Toc184313299"/>
      <w:bookmarkEnd w:id="296"/>
      <w:bookmarkStart w:id="297" w:name="_Toc184314470"/>
      <w:bookmarkEnd w:id="297"/>
      <w:bookmarkStart w:id="298" w:name="_Toc184313285"/>
      <w:bookmarkEnd w:id="298"/>
      <w:bookmarkStart w:id="299" w:name="_Toc184310340"/>
      <w:bookmarkEnd w:id="299"/>
      <w:bookmarkStart w:id="300" w:name="_Toc184308076"/>
      <w:bookmarkEnd w:id="300"/>
      <w:bookmarkStart w:id="301" w:name="_Toc184312109"/>
      <w:bookmarkEnd w:id="301"/>
      <w:bookmarkStart w:id="302" w:name="_Toc184310330"/>
      <w:bookmarkEnd w:id="302"/>
      <w:bookmarkStart w:id="303" w:name="_Toc184314481"/>
      <w:bookmarkEnd w:id="303"/>
      <w:bookmarkStart w:id="304" w:name="_Toc184312128"/>
      <w:bookmarkEnd w:id="304"/>
      <w:bookmarkStart w:id="305" w:name="_Toc184312122"/>
      <w:bookmarkEnd w:id="305"/>
      <w:bookmarkStart w:id="306" w:name="_Toc184310329"/>
      <w:bookmarkEnd w:id="306"/>
      <w:bookmarkStart w:id="307" w:name="_Toc184308037"/>
      <w:bookmarkEnd w:id="307"/>
      <w:bookmarkStart w:id="308" w:name="_Toc184310334"/>
      <w:bookmarkEnd w:id="308"/>
      <w:bookmarkStart w:id="309" w:name="_Toc184314452"/>
      <w:bookmarkEnd w:id="309"/>
      <w:bookmarkStart w:id="310" w:name="_Toc184308092"/>
      <w:bookmarkEnd w:id="310"/>
      <w:bookmarkStart w:id="311" w:name="_Toc184308099"/>
      <w:bookmarkEnd w:id="311"/>
      <w:bookmarkStart w:id="312" w:name="_Toc184313297"/>
      <w:bookmarkEnd w:id="312"/>
      <w:bookmarkStart w:id="313" w:name="_Toc184313286"/>
      <w:bookmarkEnd w:id="313"/>
      <w:bookmarkStart w:id="314" w:name="_Toc184310338"/>
      <w:bookmarkEnd w:id="314"/>
      <w:bookmarkStart w:id="315" w:name="_Toc184312133"/>
      <w:bookmarkEnd w:id="315"/>
      <w:bookmarkStart w:id="316" w:name="_Toc184308095"/>
      <w:bookmarkEnd w:id="316"/>
      <w:bookmarkStart w:id="317" w:name="_Toc184308089"/>
      <w:bookmarkEnd w:id="317"/>
      <w:bookmarkStart w:id="318" w:name="_Toc184313288"/>
      <w:bookmarkEnd w:id="318"/>
      <w:bookmarkStart w:id="319" w:name="_Toc184308090"/>
      <w:bookmarkEnd w:id="319"/>
      <w:bookmarkStart w:id="320" w:name="_Toc184312120"/>
      <w:bookmarkEnd w:id="320"/>
      <w:bookmarkStart w:id="321" w:name="_Toc184310326"/>
      <w:bookmarkEnd w:id="321"/>
      <w:bookmarkStart w:id="322" w:name="_Toc184313294"/>
      <w:bookmarkEnd w:id="322"/>
      <w:bookmarkStart w:id="323" w:name="_Toc184314457"/>
      <w:bookmarkEnd w:id="323"/>
      <w:bookmarkStart w:id="324" w:name="_Toc184310331"/>
      <w:bookmarkEnd w:id="324"/>
      <w:bookmarkStart w:id="325" w:name="_Toc184308091"/>
      <w:bookmarkEnd w:id="325"/>
      <w:bookmarkStart w:id="326" w:name="_Toc184314463"/>
      <w:bookmarkEnd w:id="326"/>
      <w:bookmarkStart w:id="327" w:name="_Toc184308094"/>
      <w:bookmarkEnd w:id="327"/>
      <w:bookmarkStart w:id="328" w:name="_Toc184312127"/>
      <w:bookmarkEnd w:id="328"/>
      <w:bookmarkStart w:id="329" w:name="_Toc184310333"/>
      <w:bookmarkEnd w:id="329"/>
      <w:bookmarkStart w:id="330" w:name="_Toc184314467"/>
      <w:bookmarkEnd w:id="330"/>
      <w:bookmarkStart w:id="331" w:name="_Toc184312121"/>
      <w:bookmarkEnd w:id="331"/>
      <w:bookmarkStart w:id="332" w:name="_Toc184312107"/>
      <w:bookmarkEnd w:id="332"/>
      <w:bookmarkStart w:id="333" w:name="_Toc184312123"/>
      <w:bookmarkEnd w:id="333"/>
      <w:bookmarkStart w:id="334" w:name="_Toc184314466"/>
      <w:bookmarkEnd w:id="334"/>
      <w:bookmarkStart w:id="335" w:name="_Toc184314476"/>
      <w:bookmarkEnd w:id="335"/>
      <w:bookmarkStart w:id="336" w:name="_Toc184313298"/>
      <w:bookmarkEnd w:id="336"/>
      <w:bookmarkStart w:id="337" w:name="_Toc184308088"/>
      <w:bookmarkEnd w:id="337"/>
      <w:bookmarkStart w:id="338" w:name="_Toc184310325"/>
      <w:bookmarkEnd w:id="338"/>
      <w:bookmarkStart w:id="339" w:name="_Toc184312114"/>
      <w:bookmarkEnd w:id="339"/>
      <w:bookmarkStart w:id="340" w:name="_Toc184313248"/>
      <w:bookmarkEnd w:id="340"/>
      <w:bookmarkStart w:id="341" w:name="_Toc184312137"/>
      <w:bookmarkEnd w:id="341"/>
      <w:bookmarkStart w:id="342" w:name="_Toc184313241"/>
      <w:bookmarkEnd w:id="342"/>
      <w:bookmarkStart w:id="343" w:name="_Toc184308085"/>
      <w:bookmarkEnd w:id="343"/>
      <w:bookmarkStart w:id="344" w:name="_Toc184308093"/>
      <w:bookmarkEnd w:id="344"/>
      <w:bookmarkStart w:id="345" w:name="_Toc184308087"/>
      <w:bookmarkEnd w:id="345"/>
      <w:bookmarkStart w:id="346" w:name="_Toc184313250"/>
      <w:bookmarkEnd w:id="346"/>
      <w:bookmarkStart w:id="347" w:name="_Toc184308077"/>
      <w:bookmarkEnd w:id="347"/>
      <w:bookmarkStart w:id="348" w:name="_Toc184312105"/>
      <w:bookmarkEnd w:id="348"/>
      <w:bookmarkStart w:id="349" w:name="_Toc184314422"/>
      <w:bookmarkEnd w:id="349"/>
      <w:bookmarkStart w:id="350" w:name="_Toc184310313"/>
      <w:bookmarkEnd w:id="350"/>
      <w:bookmarkStart w:id="351" w:name="_Toc184314464"/>
      <w:bookmarkEnd w:id="351"/>
      <w:bookmarkStart w:id="352" w:name="_Toc184310327"/>
      <w:bookmarkEnd w:id="352"/>
      <w:bookmarkStart w:id="353" w:name="_Toc184314423"/>
      <w:bookmarkEnd w:id="353"/>
      <w:bookmarkStart w:id="354" w:name="_Toc184314480"/>
      <w:bookmarkEnd w:id="354"/>
      <w:bookmarkStart w:id="355" w:name="_Toc184314461"/>
      <w:bookmarkEnd w:id="355"/>
      <w:bookmarkStart w:id="356" w:name="_Toc184314479"/>
      <w:bookmarkEnd w:id="356"/>
      <w:bookmarkStart w:id="357" w:name="_Toc184313301"/>
      <w:bookmarkEnd w:id="357"/>
      <w:bookmarkStart w:id="358" w:name="_Toc184312093"/>
      <w:bookmarkEnd w:id="358"/>
      <w:bookmarkStart w:id="359" w:name="_Toc184314462"/>
      <w:bookmarkEnd w:id="359"/>
      <w:bookmarkStart w:id="360" w:name="_Toc184308063"/>
      <w:bookmarkEnd w:id="360"/>
      <w:bookmarkStart w:id="361" w:name="_Toc184312101"/>
      <w:bookmarkEnd w:id="361"/>
      <w:bookmarkStart w:id="362" w:name="_Toc184313258"/>
      <w:bookmarkEnd w:id="362"/>
      <w:bookmarkStart w:id="363" w:name="_Toc184313255"/>
      <w:bookmarkEnd w:id="363"/>
      <w:bookmarkStart w:id="364" w:name="_Toc184313240"/>
      <w:bookmarkEnd w:id="364"/>
      <w:bookmarkStart w:id="365" w:name="_Toc184314439"/>
      <w:bookmarkEnd w:id="365"/>
      <w:bookmarkStart w:id="366" w:name="_Toc184313268"/>
      <w:bookmarkEnd w:id="366"/>
      <w:bookmarkStart w:id="367" w:name="_Toc184310305"/>
      <w:bookmarkEnd w:id="367"/>
      <w:bookmarkStart w:id="368" w:name="_Toc184313283"/>
      <w:bookmarkEnd w:id="368"/>
      <w:bookmarkStart w:id="369" w:name="_Toc184308069"/>
      <w:bookmarkEnd w:id="369"/>
      <w:bookmarkStart w:id="370" w:name="_Toc184310300"/>
      <w:bookmarkEnd w:id="370"/>
      <w:bookmarkStart w:id="371" w:name="_Toc184308082"/>
      <w:bookmarkEnd w:id="371"/>
      <w:bookmarkStart w:id="372" w:name="_Toc184308078"/>
      <w:bookmarkEnd w:id="372"/>
      <w:bookmarkStart w:id="373" w:name="_Toc184313281"/>
      <w:bookmarkEnd w:id="373"/>
      <w:bookmarkStart w:id="374" w:name="_Toc184310308"/>
      <w:bookmarkEnd w:id="374"/>
      <w:bookmarkStart w:id="375" w:name="_Toc184313269"/>
      <w:bookmarkEnd w:id="375"/>
      <w:bookmarkStart w:id="376" w:name="_Toc184313271"/>
      <w:bookmarkEnd w:id="376"/>
      <w:bookmarkStart w:id="377" w:name="_Toc184310310"/>
      <w:bookmarkEnd w:id="377"/>
      <w:bookmarkStart w:id="378" w:name="_Toc184310293"/>
      <w:bookmarkEnd w:id="378"/>
      <w:bookmarkStart w:id="379" w:name="_Toc184314426"/>
      <w:bookmarkEnd w:id="379"/>
      <w:bookmarkStart w:id="380" w:name="_Toc184313257"/>
      <w:bookmarkEnd w:id="380"/>
      <w:bookmarkStart w:id="381" w:name="_Toc184313267"/>
      <w:bookmarkEnd w:id="381"/>
      <w:bookmarkStart w:id="382" w:name="_Toc184308047"/>
      <w:bookmarkEnd w:id="382"/>
      <w:bookmarkStart w:id="383" w:name="_Toc184310302"/>
      <w:bookmarkEnd w:id="383"/>
      <w:bookmarkStart w:id="384" w:name="_Toc184312100"/>
      <w:bookmarkEnd w:id="384"/>
      <w:bookmarkStart w:id="385" w:name="_Toc184308052"/>
      <w:bookmarkEnd w:id="385"/>
      <w:bookmarkStart w:id="386" w:name="_Toc184312103"/>
      <w:bookmarkEnd w:id="386"/>
      <w:bookmarkStart w:id="387" w:name="_Toc184310282"/>
      <w:bookmarkEnd w:id="387"/>
      <w:bookmarkStart w:id="388" w:name="_Toc184310301"/>
      <w:bookmarkEnd w:id="388"/>
      <w:bookmarkStart w:id="389" w:name="_Toc184314443"/>
      <w:bookmarkEnd w:id="389"/>
      <w:bookmarkStart w:id="390" w:name="_Toc184313273"/>
      <w:bookmarkEnd w:id="390"/>
      <w:bookmarkStart w:id="391" w:name="_Toc184314446"/>
      <w:bookmarkEnd w:id="391"/>
      <w:r>
        <w:rPr>
          <w:rFonts w:hint="eastAsia" w:ascii="仿宋" w:hAnsi="仿宋" w:eastAsia="仿宋" w:cs="仿宋_GB2312"/>
          <w:b/>
          <w:sz w:val="36"/>
          <w:szCs w:val="36"/>
        </w:rPr>
        <w:t>评标办法</w:t>
      </w:r>
    </w:p>
    <w:p>
      <w:pPr>
        <w:snapToGrid w:val="0"/>
        <w:spacing w:line="360" w:lineRule="auto"/>
        <w:rPr>
          <w:rFonts w:ascii="仿宋_GB2312" w:hAnsi="仿宋" w:eastAsia="仿宋_GB2312" w:cs="仿宋_GB2312"/>
          <w:b/>
          <w:sz w:val="32"/>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（1）满分为100分。总得分=技术得分+商务得分；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（2）技术得分=技术评分，技术评分=各评委的有效评分的算术平均数。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（3）商务得分=（评标基准价/投标报价）*价格权值*100，评标基准价=有效投标人的最低投标报价，价格权值=30%；</w:t>
      </w:r>
    </w:p>
    <w:p>
      <w:pPr>
        <w:pStyle w:val="19"/>
        <w:ind w:firstLine="480" w:firstLineChars="200"/>
        <w:rPr>
          <w:rFonts w:ascii="仿宋_GB2312" w:hAnsi="仿宋" w:eastAsia="仿宋_GB2312" w:cs="Arial"/>
          <w:kern w:val="0"/>
        </w:rPr>
      </w:pPr>
      <w:r>
        <w:rPr>
          <w:rFonts w:hint="eastAsia" w:ascii="仿宋_GB2312" w:hAnsi="仿宋" w:eastAsia="仿宋_GB2312" w:cs="Arial"/>
          <w:kern w:val="0"/>
        </w:rPr>
        <w:t>（4）技术分评分细则（70分）</w:t>
      </w:r>
    </w:p>
    <w:tbl>
      <w:tblPr>
        <w:tblStyle w:val="63"/>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074"/>
        <w:gridCol w:w="707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kern w:val="0"/>
                <w:sz w:val="24"/>
              </w:rPr>
            </w:pPr>
            <w:r>
              <w:rPr>
                <w:rFonts w:hint="eastAsia" w:ascii="仿宋_GB2312" w:hAnsi="仿宋" w:eastAsia="仿宋_GB2312" w:cs="Arial"/>
                <w:kern w:val="0"/>
                <w:sz w:val="24"/>
              </w:rPr>
              <w:t>序号</w:t>
            </w:r>
          </w:p>
        </w:tc>
        <w:tc>
          <w:tcPr>
            <w:tcW w:w="1074"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Arial"/>
                <w:kern w:val="0"/>
                <w:sz w:val="24"/>
              </w:rPr>
            </w:pPr>
            <w:r>
              <w:rPr>
                <w:rFonts w:hint="eastAsia" w:ascii="仿宋_GB2312" w:hAnsi="仿宋" w:eastAsia="仿宋_GB2312" w:cs="Arial"/>
                <w:kern w:val="0"/>
                <w:sz w:val="24"/>
              </w:rPr>
              <w:t>评审项目</w:t>
            </w:r>
          </w:p>
        </w:tc>
        <w:tc>
          <w:tcPr>
            <w:tcW w:w="7075"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cs="Arial"/>
                <w:kern w:val="0"/>
                <w:sz w:val="24"/>
              </w:rPr>
            </w:pPr>
            <w:r>
              <w:rPr>
                <w:rFonts w:hint="eastAsia" w:ascii="仿宋_GB2312" w:hAnsi="仿宋" w:eastAsia="仿宋_GB2312" w:cs="Arial"/>
                <w:kern w:val="0"/>
                <w:sz w:val="24"/>
              </w:rPr>
              <w:t>评审标准</w:t>
            </w:r>
          </w:p>
        </w:tc>
        <w:tc>
          <w:tcPr>
            <w:tcW w:w="737"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cs="Arial"/>
                <w:kern w:val="0"/>
                <w:sz w:val="24"/>
              </w:rPr>
            </w:pPr>
            <w:r>
              <w:rPr>
                <w:rFonts w:hint="eastAsia" w:ascii="仿宋_GB2312" w:hAnsi="仿宋" w:eastAsia="仿宋_GB2312" w:cs="Arial"/>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kern w:val="0"/>
                <w:sz w:val="24"/>
              </w:rPr>
            </w:pPr>
            <w:r>
              <w:rPr>
                <w:rFonts w:hint="eastAsia" w:ascii="仿宋_GB2312" w:hAnsi="仿宋" w:eastAsia="仿宋_GB2312" w:cs="Arial"/>
                <w:kern w:val="0"/>
                <w:sz w:val="24"/>
              </w:rPr>
              <w:t>1</w:t>
            </w:r>
          </w:p>
        </w:tc>
        <w:tc>
          <w:tcPr>
            <w:tcW w:w="1074" w:type="dxa"/>
            <w:tcBorders>
              <w:top w:val="single" w:color="auto" w:sz="4" w:space="0"/>
              <w:left w:val="nil"/>
              <w:bottom w:val="single" w:color="auto" w:sz="4" w:space="0"/>
              <w:right w:val="single" w:color="auto" w:sz="4" w:space="0"/>
            </w:tcBorders>
            <w:vAlign w:val="center"/>
          </w:tcPr>
          <w:p>
            <w:pPr>
              <w:pStyle w:val="33"/>
              <w:rPr>
                <w:rFonts w:ascii="仿宋_GB2312" w:hAnsi="仿宋" w:eastAsia="仿宋_GB2312"/>
                <w:snapToGrid/>
                <w:kern w:val="0"/>
                <w:sz w:val="24"/>
                <w:szCs w:val="24"/>
              </w:rPr>
            </w:pPr>
            <w:r>
              <w:rPr>
                <w:rFonts w:hint="eastAsia" w:ascii="仿宋_GB2312" w:hAnsi="仿宋" w:eastAsia="仿宋_GB2312"/>
                <w:snapToGrid/>
                <w:kern w:val="0"/>
                <w:sz w:val="24"/>
                <w:szCs w:val="24"/>
              </w:rPr>
              <w:t>显示屏厂家资信</w:t>
            </w:r>
          </w:p>
        </w:tc>
        <w:tc>
          <w:tcPr>
            <w:tcW w:w="7075" w:type="dxa"/>
            <w:tcBorders>
              <w:top w:val="single" w:color="auto" w:sz="4" w:space="0"/>
              <w:left w:val="nil"/>
              <w:bottom w:val="single" w:color="auto" w:sz="4" w:space="0"/>
              <w:right w:val="single" w:color="auto" w:sz="4" w:space="0"/>
            </w:tcBorders>
            <w:vAlign w:val="center"/>
          </w:tcPr>
          <w:p>
            <w:pPr>
              <w:pStyle w:val="33"/>
              <w:adjustRightInd/>
              <w:ind w:firstLine="480" w:firstLineChars="200"/>
              <w:rPr>
                <w:rFonts w:ascii="仿宋_GB2312" w:hAnsi="仿宋" w:eastAsia="仿宋_GB2312"/>
                <w:snapToGrid/>
                <w:kern w:val="0"/>
                <w:sz w:val="24"/>
                <w:szCs w:val="24"/>
              </w:rPr>
            </w:pPr>
            <w:r>
              <w:rPr>
                <w:rFonts w:hint="eastAsia" w:ascii="仿宋_GB2312" w:hAnsi="仿宋" w:eastAsia="仿宋_GB2312"/>
                <w:snapToGrid/>
                <w:kern w:val="0"/>
                <w:sz w:val="24"/>
                <w:szCs w:val="24"/>
              </w:rPr>
              <w:t>1、提供有害物质过程管理认证证书（得3分）</w:t>
            </w:r>
          </w:p>
          <w:p>
            <w:pPr>
              <w:pStyle w:val="33"/>
              <w:ind w:firstLine="480" w:firstLineChars="200"/>
              <w:rPr>
                <w:rFonts w:ascii="仿宋_GB2312" w:hAnsi="仿宋" w:eastAsia="仿宋_GB2312"/>
                <w:snapToGrid/>
                <w:kern w:val="0"/>
                <w:sz w:val="24"/>
                <w:szCs w:val="24"/>
              </w:rPr>
            </w:pPr>
            <w:r>
              <w:rPr>
                <w:rFonts w:hint="eastAsia" w:ascii="仿宋_GB2312" w:hAnsi="仿宋" w:eastAsia="仿宋_GB2312"/>
                <w:snapToGrid/>
                <w:kern w:val="0"/>
                <w:sz w:val="24"/>
                <w:szCs w:val="24"/>
              </w:rPr>
              <w:t>2、提供大数据可视化综合应用平台检测报告（得3分）</w:t>
            </w:r>
          </w:p>
          <w:p>
            <w:pPr>
              <w:pStyle w:val="33"/>
              <w:ind w:firstLine="480" w:firstLineChars="200"/>
              <w:rPr>
                <w:rFonts w:ascii="仿宋_GB2312" w:hAnsi="仿宋" w:eastAsia="仿宋_GB2312"/>
                <w:snapToGrid/>
                <w:kern w:val="0"/>
                <w:sz w:val="24"/>
                <w:szCs w:val="24"/>
              </w:rPr>
            </w:pPr>
            <w:r>
              <w:rPr>
                <w:rFonts w:hint="eastAsia" w:ascii="仿宋_GB2312" w:hAnsi="仿宋" w:eastAsia="仿宋_GB2312"/>
                <w:snapToGrid/>
                <w:kern w:val="0"/>
                <w:sz w:val="24"/>
                <w:szCs w:val="24"/>
              </w:rPr>
              <w:t>3、原厂商获得过有由中国质量检验协会核定“全国质量检验稳定合格产品”（得3分）</w:t>
            </w:r>
          </w:p>
          <w:p>
            <w:pPr>
              <w:pStyle w:val="33"/>
              <w:ind w:firstLine="480" w:firstLineChars="200"/>
              <w:rPr>
                <w:rFonts w:ascii="仿宋_GB2312" w:hAnsi="仿宋" w:eastAsia="仿宋_GB2312"/>
                <w:snapToGrid/>
                <w:kern w:val="0"/>
                <w:sz w:val="24"/>
                <w:szCs w:val="24"/>
              </w:rPr>
            </w:pPr>
            <w:r>
              <w:rPr>
                <w:rFonts w:hint="eastAsia" w:ascii="仿宋_GB2312" w:hAnsi="仿宋" w:eastAsia="仿宋_GB2312"/>
                <w:snapToGrid/>
                <w:kern w:val="0"/>
                <w:sz w:val="24"/>
                <w:szCs w:val="24"/>
              </w:rPr>
              <w:t>以上投标时必须提供原厂盖章证书扫描件。</w:t>
            </w:r>
          </w:p>
        </w:tc>
        <w:tc>
          <w:tcPr>
            <w:tcW w:w="737"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cs="Arial"/>
                <w:kern w:val="0"/>
                <w:sz w:val="24"/>
              </w:rPr>
            </w:pPr>
            <w:r>
              <w:rPr>
                <w:rFonts w:hint="eastAsia" w:ascii="仿宋_GB2312" w:hAnsi="仿宋" w:eastAsia="仿宋_GB2312" w:cs="Arial"/>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kern w:val="0"/>
                <w:sz w:val="24"/>
              </w:rPr>
            </w:pPr>
            <w:r>
              <w:rPr>
                <w:rFonts w:hint="eastAsia" w:ascii="仿宋_GB2312" w:hAnsi="仿宋" w:eastAsia="仿宋_GB2312" w:cs="Arial"/>
                <w:kern w:val="0"/>
                <w:sz w:val="24"/>
              </w:rPr>
              <w:t>2</w:t>
            </w:r>
          </w:p>
        </w:tc>
        <w:tc>
          <w:tcPr>
            <w:tcW w:w="1074" w:type="dxa"/>
            <w:tcBorders>
              <w:top w:val="single" w:color="auto" w:sz="4" w:space="0"/>
              <w:left w:val="nil"/>
              <w:bottom w:val="single" w:color="auto" w:sz="4" w:space="0"/>
              <w:right w:val="single" w:color="auto" w:sz="4" w:space="0"/>
            </w:tcBorders>
            <w:vAlign w:val="center"/>
          </w:tcPr>
          <w:p>
            <w:pPr>
              <w:pStyle w:val="33"/>
              <w:rPr>
                <w:rFonts w:ascii="仿宋_GB2312" w:hAnsi="仿宋" w:eastAsia="仿宋_GB2312"/>
                <w:snapToGrid/>
                <w:kern w:val="0"/>
                <w:sz w:val="24"/>
                <w:szCs w:val="24"/>
              </w:rPr>
            </w:pPr>
            <w:r>
              <w:rPr>
                <w:rFonts w:hint="eastAsia" w:ascii="仿宋_GB2312" w:hAnsi="仿宋" w:eastAsia="仿宋_GB2312"/>
                <w:snapToGrid/>
                <w:kern w:val="0"/>
                <w:sz w:val="24"/>
                <w:szCs w:val="24"/>
              </w:rPr>
              <w:t>产品性能、技术指标</w:t>
            </w:r>
          </w:p>
        </w:tc>
        <w:tc>
          <w:tcPr>
            <w:tcW w:w="7075" w:type="dxa"/>
            <w:tcBorders>
              <w:top w:val="single" w:color="auto" w:sz="4" w:space="0"/>
              <w:left w:val="nil"/>
              <w:bottom w:val="single" w:color="auto" w:sz="4" w:space="0"/>
              <w:right w:val="single" w:color="auto" w:sz="4" w:space="0"/>
            </w:tcBorders>
            <w:vAlign w:val="center"/>
          </w:tcPr>
          <w:p>
            <w:pPr>
              <w:pStyle w:val="33"/>
              <w:ind w:firstLine="440"/>
              <w:rPr>
                <w:rFonts w:ascii="仿宋_GB2312" w:hAnsi="仿宋" w:eastAsia="仿宋_GB2312"/>
                <w:snapToGrid/>
                <w:kern w:val="0"/>
                <w:sz w:val="24"/>
                <w:szCs w:val="24"/>
              </w:rPr>
            </w:pPr>
            <w:r>
              <w:rPr>
                <w:rFonts w:hint="eastAsia" w:ascii="仿宋_GB2312" w:hAnsi="仿宋" w:eastAsia="仿宋_GB2312"/>
                <w:snapToGrid/>
                <w:kern w:val="0"/>
                <w:sz w:val="24"/>
                <w:szCs w:val="24"/>
              </w:rPr>
              <w:t>由评委根据投标人对设备的产品参数、技术要求、人员安排等进行评比打分，带“★”为必须满足的实质性内容，不满足则作无效标处理。全部满足采购文件要求得39分，打“▲”项为重要技术指标参数，每负偏离一项扣3分；其他项不满足，扣1分，扣完为止（演示部分的技术条款除外，具体偏离情况在技术偏离表中列明）。</w:t>
            </w:r>
          </w:p>
        </w:tc>
        <w:tc>
          <w:tcPr>
            <w:tcW w:w="737"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cs="Arial"/>
                <w:kern w:val="0"/>
                <w:sz w:val="24"/>
              </w:rPr>
            </w:pPr>
            <w:r>
              <w:rPr>
                <w:rFonts w:hint="eastAsia" w:ascii="仿宋_GB2312" w:hAnsi="仿宋" w:eastAsia="仿宋_GB2312" w:cs="Arial"/>
                <w:kern w:val="0"/>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pStyle w:val="33"/>
              <w:jc w:val="center"/>
              <w:rPr>
                <w:rFonts w:ascii="仿宋_GB2312" w:hAnsi="仿宋" w:eastAsia="仿宋_GB2312"/>
                <w:snapToGrid/>
                <w:kern w:val="0"/>
                <w:sz w:val="24"/>
                <w:szCs w:val="24"/>
              </w:rPr>
            </w:pPr>
            <w:r>
              <w:rPr>
                <w:rFonts w:hint="eastAsia" w:ascii="仿宋_GB2312" w:hAnsi="仿宋" w:eastAsia="仿宋_GB2312"/>
                <w:snapToGrid/>
                <w:kern w:val="0"/>
                <w:sz w:val="24"/>
                <w:szCs w:val="24"/>
              </w:rPr>
              <w:t>3</w:t>
            </w:r>
          </w:p>
        </w:tc>
        <w:tc>
          <w:tcPr>
            <w:tcW w:w="1074" w:type="dxa"/>
            <w:tcBorders>
              <w:top w:val="single" w:color="auto" w:sz="4" w:space="0"/>
              <w:left w:val="nil"/>
              <w:bottom w:val="single" w:color="auto" w:sz="4" w:space="0"/>
              <w:right w:val="single" w:color="auto" w:sz="4" w:space="0"/>
            </w:tcBorders>
            <w:vAlign w:val="center"/>
          </w:tcPr>
          <w:p>
            <w:pPr>
              <w:pStyle w:val="20"/>
              <w:rPr>
                <w:rFonts w:ascii="仿宋_GB2312" w:hAnsi="仿宋" w:eastAsia="仿宋_GB2312" w:cs="Arial"/>
                <w:kern w:val="0"/>
                <w:sz w:val="24"/>
              </w:rPr>
            </w:pPr>
            <w:r>
              <w:rPr>
                <w:rFonts w:hint="eastAsia" w:ascii="仿宋_GB2312" w:hAnsi="仿宋" w:eastAsia="仿宋_GB2312" w:cs="Arial"/>
                <w:kern w:val="0"/>
                <w:sz w:val="24"/>
              </w:rPr>
              <w:t>项目实施方案</w:t>
            </w:r>
          </w:p>
        </w:tc>
        <w:tc>
          <w:tcPr>
            <w:tcW w:w="7075" w:type="dxa"/>
            <w:tcBorders>
              <w:top w:val="single" w:color="auto" w:sz="4" w:space="0"/>
              <w:left w:val="nil"/>
              <w:bottom w:val="single" w:color="auto" w:sz="4" w:space="0"/>
              <w:right w:val="single" w:color="auto" w:sz="4" w:space="0"/>
            </w:tcBorders>
            <w:vAlign w:val="center"/>
          </w:tcPr>
          <w:p>
            <w:pPr>
              <w:pStyle w:val="33"/>
              <w:ind w:firstLine="440"/>
              <w:rPr>
                <w:rFonts w:ascii="仿宋_GB2312" w:hAnsi="仿宋" w:eastAsia="仿宋_GB2312"/>
                <w:snapToGrid/>
                <w:kern w:val="0"/>
                <w:sz w:val="24"/>
                <w:szCs w:val="24"/>
              </w:rPr>
            </w:pPr>
            <w:r>
              <w:rPr>
                <w:rFonts w:hint="eastAsia" w:ascii="仿宋_GB2312" w:hAnsi="仿宋" w:eastAsia="仿宋_GB2312"/>
                <w:snapToGrid/>
                <w:kern w:val="0"/>
                <w:sz w:val="24"/>
                <w:szCs w:val="24"/>
              </w:rPr>
              <w:t xml:space="preserve">根据甲方需求及投标产品特点，对应出具详细可行有利于项目的实施方案（方案详细说明、产品优点、施工计划、工程保障措施、质量保证措施等）进行综合评价： </w:t>
            </w:r>
          </w:p>
          <w:p>
            <w:pPr>
              <w:pStyle w:val="33"/>
              <w:ind w:firstLine="440"/>
              <w:rPr>
                <w:rFonts w:ascii="仿宋_GB2312" w:hAnsi="仿宋" w:eastAsia="仿宋_GB2312"/>
                <w:snapToGrid/>
                <w:color w:val="FF0000"/>
                <w:kern w:val="0"/>
                <w:sz w:val="24"/>
                <w:szCs w:val="24"/>
              </w:rPr>
            </w:pPr>
            <w:r>
              <w:rPr>
                <w:rFonts w:hint="eastAsia" w:ascii="仿宋_GB2312" w:hAnsi="仿宋" w:eastAsia="仿宋_GB2312"/>
                <w:snapToGrid/>
                <w:kern w:val="0"/>
                <w:sz w:val="24"/>
                <w:szCs w:val="24"/>
              </w:rPr>
              <w:t>1、对该项目思路完整清晰、分析深入、方案内容详细，最高得5分；</w:t>
            </w:r>
          </w:p>
          <w:p>
            <w:pPr>
              <w:pStyle w:val="33"/>
              <w:ind w:firstLine="440"/>
              <w:rPr>
                <w:rFonts w:ascii="仿宋_GB2312" w:hAnsi="仿宋" w:eastAsia="仿宋_GB2312"/>
                <w:snapToGrid/>
                <w:kern w:val="0"/>
                <w:sz w:val="24"/>
                <w:szCs w:val="24"/>
              </w:rPr>
            </w:pPr>
            <w:r>
              <w:rPr>
                <w:rFonts w:hint="eastAsia" w:ascii="仿宋_GB2312" w:hAnsi="仿宋" w:eastAsia="仿宋_GB2312"/>
                <w:snapToGrid/>
                <w:kern w:val="0"/>
                <w:sz w:val="24"/>
                <w:szCs w:val="24"/>
              </w:rPr>
              <w:t>2、对该项目思路基本完整、方案内容基本完整，最高得3分；</w:t>
            </w:r>
          </w:p>
          <w:p>
            <w:pPr>
              <w:pStyle w:val="33"/>
              <w:ind w:firstLine="440"/>
              <w:rPr>
                <w:rFonts w:ascii="仿宋_GB2312" w:hAnsi="仿宋" w:eastAsia="仿宋_GB2312"/>
                <w:snapToGrid/>
                <w:kern w:val="0"/>
                <w:sz w:val="24"/>
                <w:szCs w:val="24"/>
              </w:rPr>
            </w:pPr>
            <w:r>
              <w:rPr>
                <w:rFonts w:hint="eastAsia" w:ascii="仿宋_GB2312" w:hAnsi="仿宋" w:eastAsia="仿宋_GB2312"/>
                <w:snapToGrid/>
                <w:kern w:val="0"/>
                <w:sz w:val="24"/>
                <w:szCs w:val="24"/>
              </w:rPr>
              <w:t>3、对该项目思路模糊、方案内容不完整，最高得1分；</w:t>
            </w:r>
          </w:p>
          <w:p>
            <w:pPr>
              <w:pStyle w:val="33"/>
              <w:ind w:firstLine="440"/>
              <w:rPr>
                <w:rFonts w:ascii="仿宋_GB2312" w:hAnsi="仿宋" w:eastAsia="仿宋_GB2312"/>
                <w:snapToGrid/>
                <w:kern w:val="0"/>
                <w:sz w:val="24"/>
                <w:szCs w:val="24"/>
              </w:rPr>
            </w:pPr>
            <w:r>
              <w:rPr>
                <w:rFonts w:hint="eastAsia" w:ascii="仿宋_GB2312" w:hAnsi="仿宋" w:eastAsia="仿宋_GB2312"/>
                <w:snapToGrid/>
                <w:kern w:val="0"/>
                <w:sz w:val="24"/>
                <w:szCs w:val="24"/>
              </w:rPr>
              <w:t>未提供相应内容的不得分。</w:t>
            </w:r>
          </w:p>
        </w:tc>
        <w:tc>
          <w:tcPr>
            <w:tcW w:w="737"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cs="Arial"/>
                <w:kern w:val="0"/>
                <w:sz w:val="24"/>
              </w:rPr>
            </w:pPr>
            <w:r>
              <w:rPr>
                <w:rFonts w:hint="eastAsia" w:ascii="仿宋_GB2312" w:hAnsi="仿宋" w:eastAsia="仿宋_GB2312" w:cs="Arial"/>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kern w:val="0"/>
                <w:sz w:val="24"/>
              </w:rPr>
            </w:pPr>
            <w:r>
              <w:rPr>
                <w:rFonts w:hint="eastAsia" w:ascii="仿宋_GB2312" w:hAnsi="仿宋" w:eastAsia="仿宋_GB2312" w:cs="Arial"/>
                <w:kern w:val="0"/>
                <w:sz w:val="24"/>
              </w:rPr>
              <w:t>4</w:t>
            </w:r>
          </w:p>
        </w:tc>
        <w:tc>
          <w:tcPr>
            <w:tcW w:w="1074"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cs="Arial"/>
                <w:kern w:val="0"/>
                <w:sz w:val="24"/>
              </w:rPr>
            </w:pPr>
            <w:r>
              <w:rPr>
                <w:rFonts w:hint="eastAsia" w:ascii="仿宋_GB2312" w:hAnsi="仿宋" w:eastAsia="仿宋_GB2312" w:cs="Arial"/>
                <w:kern w:val="0"/>
                <w:sz w:val="24"/>
              </w:rPr>
              <w:t>功能演示</w:t>
            </w:r>
          </w:p>
        </w:tc>
        <w:tc>
          <w:tcPr>
            <w:tcW w:w="7075" w:type="dxa"/>
            <w:tcBorders>
              <w:top w:val="single" w:color="auto" w:sz="4" w:space="0"/>
              <w:left w:val="nil"/>
              <w:bottom w:val="single" w:color="auto" w:sz="4" w:space="0"/>
              <w:right w:val="single" w:color="auto" w:sz="4" w:space="0"/>
            </w:tcBorders>
            <w:vAlign w:val="center"/>
          </w:tcPr>
          <w:p>
            <w:pPr>
              <w:spacing w:beforeLines="10" w:afterLines="10" w:line="276"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投标时提供功能演示视频一套，时长不超过20分钟（U盘、光盘存储介质）：</w:t>
            </w:r>
          </w:p>
          <w:p>
            <w:pPr>
              <w:pStyle w:val="33"/>
              <w:ind w:firstLine="480" w:firstLineChars="200"/>
              <w:rPr>
                <w:rFonts w:ascii="仿宋_GB2312" w:hAnsi="仿宋" w:eastAsia="仿宋_GB2312"/>
                <w:snapToGrid/>
                <w:kern w:val="0"/>
                <w:sz w:val="24"/>
                <w:szCs w:val="24"/>
              </w:rPr>
            </w:pPr>
            <w:r>
              <w:rPr>
                <w:rFonts w:hint="eastAsia" w:ascii="仿宋_GB2312" w:hAnsi="仿宋" w:eastAsia="仿宋_GB2312"/>
                <w:snapToGrid/>
                <w:kern w:val="0"/>
                <w:sz w:val="24"/>
                <w:szCs w:val="24"/>
              </w:rPr>
              <w:t>1、可以一键远程接管智能终端主机；进行钉钉会议；央视新闻直播；进行大屏显示桌面软件的安装与卸载，系统维护等操作，方便用户使用与维护。缺一项扣1分，最多得3分。</w:t>
            </w:r>
          </w:p>
          <w:p>
            <w:pPr>
              <w:pStyle w:val="33"/>
              <w:ind w:firstLine="480" w:firstLineChars="200"/>
              <w:rPr>
                <w:rFonts w:ascii="仿宋_GB2312" w:hAnsi="仿宋" w:eastAsia="仿宋_GB2312"/>
                <w:snapToGrid/>
                <w:kern w:val="0"/>
                <w:sz w:val="24"/>
                <w:szCs w:val="24"/>
              </w:rPr>
            </w:pPr>
            <w:r>
              <w:rPr>
                <w:rFonts w:hint="eastAsia" w:ascii="仿宋_GB2312" w:hAnsi="仿宋" w:eastAsia="仿宋_GB2312"/>
                <w:snapToGrid/>
                <w:kern w:val="0"/>
                <w:sz w:val="24"/>
                <w:szCs w:val="24"/>
              </w:rPr>
              <w:t>2、Windows客户端对系统进行远程开关操作；并同步推送开、关机执行信息给管理人员；同局域网PC无须系统配置，直接实现多用户PC端登陆客户端；实现局域网对文件自由拖拽上传，节目文件拖拽播放，节目文件永久删除操作。缺一项扣1分，最多得3分。</w:t>
            </w:r>
          </w:p>
          <w:p>
            <w:pPr>
              <w:pStyle w:val="33"/>
              <w:ind w:firstLine="480" w:firstLineChars="200"/>
              <w:rPr>
                <w:rFonts w:ascii="仿宋_GB2312" w:hAnsi="仿宋" w:eastAsia="仿宋_GB2312"/>
                <w:snapToGrid/>
                <w:kern w:val="0"/>
                <w:sz w:val="24"/>
                <w:szCs w:val="24"/>
              </w:rPr>
            </w:pPr>
            <w:r>
              <w:rPr>
                <w:rFonts w:hint="eastAsia" w:ascii="仿宋_GB2312" w:hAnsi="仿宋" w:eastAsia="仿宋_GB2312"/>
                <w:snapToGrid/>
                <w:kern w:val="0"/>
                <w:sz w:val="24"/>
                <w:szCs w:val="24"/>
              </w:rPr>
              <w:t>3、播放视频时客户端预览窗口实时回显大屏播放画面；可根据情况对视频进行音量的调节，亮度调节；还可对播放进度条进行拖拽快进、快退，从而调节讲解速度；同时可能直接分区发布滚动字幕（如：欢迎词、庆祝词等）。缺一项扣1分，最多得3分。</w:t>
            </w:r>
          </w:p>
          <w:p>
            <w:pPr>
              <w:pStyle w:val="33"/>
              <w:ind w:firstLine="480" w:firstLineChars="200"/>
              <w:rPr>
                <w:rFonts w:ascii="仿宋_GB2312" w:hAnsi="仿宋" w:eastAsia="仿宋_GB2312"/>
                <w:snapToGrid/>
                <w:kern w:val="0"/>
                <w:sz w:val="24"/>
                <w:szCs w:val="24"/>
              </w:rPr>
            </w:pPr>
            <w:r>
              <w:rPr>
                <w:rFonts w:hint="eastAsia" w:ascii="仿宋_GB2312" w:hAnsi="仿宋" w:eastAsia="仿宋_GB2312"/>
                <w:snapToGrid/>
                <w:kern w:val="0"/>
                <w:sz w:val="24"/>
                <w:szCs w:val="24"/>
              </w:rPr>
              <w:t>4、播放PPT时，任意格式PPT (动态、静态)自动满屏输出到显示界面；其他会务人员PC客户端同步播放内容，实时跟踪PPT画面；点击预览画面窗口左右两侧实现对PPT的上下翻页；其他会务人员讲解时，直接通过客户端软件拖拽PPT至播放窗口，实现多个不同规格PPT进行无缝自由切换，不影响会议流畅性；也要对PPT播放内容进行亮度调节。缺一项扣1分，最多得3分。</w:t>
            </w:r>
          </w:p>
        </w:tc>
        <w:tc>
          <w:tcPr>
            <w:tcW w:w="737"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cs="Arial"/>
                <w:kern w:val="0"/>
                <w:sz w:val="24"/>
              </w:rPr>
            </w:pPr>
            <w:r>
              <w:rPr>
                <w:rFonts w:hint="eastAsia" w:ascii="仿宋_GB2312" w:hAnsi="仿宋" w:eastAsia="仿宋_GB2312" w:cs="Arial"/>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kern w:val="0"/>
                <w:sz w:val="24"/>
              </w:rPr>
            </w:pPr>
            <w:bookmarkStart w:id="401" w:name="_GoBack" w:colFirst="2" w:colLast="2"/>
            <w:r>
              <w:rPr>
                <w:rFonts w:hint="eastAsia" w:ascii="仿宋_GB2312" w:hAnsi="仿宋" w:eastAsia="仿宋_GB2312" w:cs="Arial"/>
                <w:kern w:val="0"/>
                <w:sz w:val="24"/>
              </w:rPr>
              <w:t>5</w:t>
            </w:r>
          </w:p>
        </w:tc>
        <w:tc>
          <w:tcPr>
            <w:tcW w:w="1074" w:type="dxa"/>
            <w:tcBorders>
              <w:top w:val="single" w:color="auto" w:sz="4" w:space="0"/>
              <w:left w:val="nil"/>
              <w:bottom w:val="single" w:color="auto" w:sz="4" w:space="0"/>
              <w:right w:val="single" w:color="auto" w:sz="4" w:space="0"/>
            </w:tcBorders>
            <w:vAlign w:val="center"/>
          </w:tcPr>
          <w:p>
            <w:pPr>
              <w:pStyle w:val="955"/>
              <w:spacing w:before="89"/>
              <w:jc w:val="center"/>
              <w:rPr>
                <w:rFonts w:ascii="仿宋_GB2312" w:hAnsi="仿宋" w:eastAsia="仿宋_GB2312" w:cs="Arial"/>
                <w:sz w:val="24"/>
                <w:szCs w:val="24"/>
                <w:lang w:eastAsia="zh-CN"/>
              </w:rPr>
            </w:pPr>
            <w:r>
              <w:rPr>
                <w:rFonts w:hint="eastAsia" w:ascii="仿宋_GB2312" w:hAnsi="仿宋" w:eastAsia="仿宋_GB2312" w:cs="Arial"/>
                <w:sz w:val="24"/>
                <w:szCs w:val="24"/>
                <w:lang w:eastAsia="zh-CN"/>
              </w:rPr>
              <w:t>售后服务及质保</w:t>
            </w:r>
          </w:p>
        </w:tc>
        <w:tc>
          <w:tcPr>
            <w:tcW w:w="7075" w:type="dxa"/>
            <w:tcBorders>
              <w:top w:val="single" w:color="auto" w:sz="4" w:space="0"/>
              <w:left w:val="nil"/>
              <w:bottom w:val="single" w:color="auto" w:sz="4" w:space="0"/>
              <w:right w:val="single" w:color="auto" w:sz="4" w:space="0"/>
            </w:tcBorders>
          </w:tcPr>
          <w:p>
            <w:pPr>
              <w:pStyle w:val="955"/>
              <w:spacing w:before="106"/>
              <w:rPr>
                <w:rFonts w:ascii="仿宋_GB2312" w:hAnsi="仿宋" w:eastAsia="仿宋_GB2312" w:cs="Arial"/>
                <w:sz w:val="24"/>
                <w:szCs w:val="24"/>
                <w:lang w:eastAsia="zh-CN"/>
              </w:rPr>
            </w:pPr>
            <w:r>
              <w:rPr>
                <w:rFonts w:hint="eastAsia" w:ascii="仿宋_GB2312" w:hAnsi="仿宋" w:eastAsia="仿宋_GB2312" w:cs="Arial"/>
                <w:sz w:val="24"/>
                <w:szCs w:val="24"/>
                <w:lang w:eastAsia="zh-CN"/>
              </w:rPr>
              <w:t>1、根据投标单位售后服务的响应速度、赶赴现场时间、售后服务人员配备等进行打分，在满足招标文件要求的得2分；优于招标文件要求的，最高得3分。</w:t>
            </w:r>
            <w:r>
              <w:rPr>
                <w:rFonts w:ascii="仿宋_GB2312" w:hAnsi="仿宋" w:eastAsia="仿宋_GB2312" w:cs="Arial"/>
                <w:sz w:val="24"/>
                <w:szCs w:val="24"/>
                <w:lang w:eastAsia="zh-CN"/>
              </w:rPr>
              <w:t xml:space="preserve"> </w:t>
            </w:r>
          </w:p>
          <w:p>
            <w:pPr>
              <w:pStyle w:val="955"/>
              <w:spacing w:before="106"/>
              <w:rPr>
                <w:rFonts w:ascii="仿宋_GB2312" w:hAnsi="仿宋" w:eastAsia="仿宋_GB2312" w:cs="Arial"/>
                <w:sz w:val="24"/>
                <w:szCs w:val="24"/>
                <w:lang w:eastAsia="zh-CN"/>
              </w:rPr>
            </w:pPr>
            <w:r>
              <w:rPr>
                <w:rFonts w:hint="eastAsia" w:ascii="仿宋_GB2312" w:hAnsi="仿宋" w:eastAsia="仿宋_GB2312" w:cs="Arial"/>
                <w:sz w:val="24"/>
                <w:szCs w:val="24"/>
                <w:lang w:eastAsia="zh-CN"/>
              </w:rPr>
              <w:t>2、质保期在满足招标文件的要求下，承诺每增加六个月的得0.5分，最高得2分。</w:t>
            </w:r>
          </w:p>
        </w:tc>
        <w:tc>
          <w:tcPr>
            <w:tcW w:w="737" w:type="dxa"/>
            <w:tcBorders>
              <w:top w:val="single" w:color="auto" w:sz="4" w:space="0"/>
              <w:left w:val="nil"/>
              <w:bottom w:val="single" w:color="auto" w:sz="4" w:space="0"/>
              <w:right w:val="single" w:color="auto" w:sz="4" w:space="0"/>
            </w:tcBorders>
            <w:vAlign w:val="center"/>
          </w:tcPr>
          <w:p>
            <w:pPr>
              <w:spacing w:line="276" w:lineRule="auto"/>
              <w:jc w:val="center"/>
              <w:rPr>
                <w:rFonts w:ascii="仿宋_GB2312" w:hAnsi="仿宋" w:eastAsia="仿宋_GB2312" w:cs="Arial"/>
                <w:kern w:val="0"/>
                <w:sz w:val="24"/>
              </w:rPr>
            </w:pPr>
            <w:r>
              <w:rPr>
                <w:rFonts w:hint="eastAsia" w:ascii="仿宋_GB2312" w:hAnsi="仿宋" w:eastAsia="仿宋_GB2312" w:cs="Arial"/>
                <w:kern w:val="0"/>
                <w:sz w:val="24"/>
              </w:rPr>
              <w:t>5</w:t>
            </w:r>
          </w:p>
        </w:tc>
      </w:tr>
      <w:bookmarkEnd w:id="401"/>
    </w:tbl>
    <w:p>
      <w:pPr>
        <w:pStyle w:val="2"/>
        <w:ind w:left="0" w:firstLine="0"/>
        <w:rPr>
          <w:lang w:val="en-US"/>
        </w:rPr>
      </w:pPr>
      <w:r>
        <w:rPr>
          <w:rFonts w:hint="eastAsia" w:ascii="仿宋" w:eastAsia="仿宋" w:cs="仿宋_GB2312"/>
          <w:sz w:val="24"/>
        </w:rPr>
        <w:t>备注：投标人编制投标文件（商务技术文件部分）时，建议按此目录（序号和内容）提供评标标准相应的商务技术资料。</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9"/>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kern w:val="0"/>
          <w:szCs w:val="24"/>
        </w:rPr>
        <w:t>10%的扣除，用扣除后的价格参与评审。接受大中型企业与小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30%以上的，对联合体或者大中型企业的报价给予3%的扣除，用扣除后的价格参加评审。组成联合体或者接受分包的小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5"/>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0"/>
        <w:rPr>
          <w:rFonts w:ascii="仿宋" w:hAnsi="仿宋" w:eastAsia="仿宋"/>
          <w:szCs w:val="24"/>
        </w:rPr>
      </w:pPr>
    </w:p>
    <w:p>
      <w:pPr>
        <w:pStyle w:val="700"/>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0"/>
        <w:jc w:val="center"/>
        <w:rPr>
          <w:rFonts w:ascii="仿宋" w:hAnsi="仿宋" w:eastAsia="仿宋"/>
          <w:szCs w:val="24"/>
        </w:rPr>
      </w:pPr>
    </w:p>
    <w:p>
      <w:pPr>
        <w:pStyle w:val="25"/>
      </w:pPr>
    </w:p>
    <w:p>
      <w:pPr>
        <w:pStyle w:val="700"/>
        <w:ind w:firstLine="2843" w:firstLineChars="1180"/>
        <w:rPr>
          <w:rFonts w:ascii="仿宋" w:hAnsi="仿宋" w:eastAsia="仿宋"/>
          <w:b/>
          <w:szCs w:val="24"/>
        </w:rPr>
      </w:pPr>
      <w:r>
        <w:rPr>
          <w:rFonts w:hint="eastAsia" w:ascii="仿宋" w:hAnsi="仿宋" w:eastAsia="仿宋"/>
          <w:b/>
          <w:szCs w:val="24"/>
        </w:rPr>
        <w:t>通用合同书</w:t>
      </w:r>
    </w:p>
    <w:p>
      <w:pPr>
        <w:pStyle w:val="700"/>
        <w:rPr>
          <w:rFonts w:ascii="仿宋" w:hAnsi="仿宋" w:eastAsia="仿宋"/>
          <w:szCs w:val="24"/>
        </w:rPr>
      </w:pPr>
    </w:p>
    <w:p>
      <w:pPr>
        <w:pStyle w:val="700"/>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7"/>
        <w:spacing w:before="120" w:line="22" w:lineRule="atLeast"/>
        <w:rPr>
          <w:rFonts w:ascii="仿宋" w:hAnsi="仿宋" w:eastAsia="仿宋"/>
          <w:szCs w:val="24"/>
        </w:rPr>
      </w:pPr>
    </w:p>
    <w:p>
      <w:pPr>
        <w:pStyle w:val="59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numPr>
          <w:ilvl w:val="0"/>
          <w:numId w:val="16"/>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1"/>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93"/>
        <w:gridCol w:w="2835"/>
        <w:gridCol w:w="1843"/>
        <w:gridCol w:w="1417"/>
        <w:gridCol w:w="184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26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2835"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84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84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340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2693" w:type="dxa"/>
            <w:vAlign w:val="center"/>
          </w:tcPr>
          <w:p>
            <w:pPr>
              <w:snapToGrid w:val="0"/>
              <w:spacing w:line="360" w:lineRule="auto"/>
              <w:jc w:val="center"/>
              <w:rPr>
                <w:rFonts w:ascii="仿宋_GB2312" w:hAnsi="仿宋" w:eastAsia="仿宋_GB2312" w:cs="仿宋_GB2312"/>
                <w:sz w:val="24"/>
              </w:rPr>
            </w:pPr>
          </w:p>
        </w:tc>
        <w:tc>
          <w:tcPr>
            <w:tcW w:w="2835"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pacing w:line="360" w:lineRule="auto"/>
              <w:jc w:val="center"/>
              <w:rPr>
                <w:rFonts w:ascii="仿宋_GB2312" w:hAnsi="仿宋" w:eastAsia="仿宋_GB2312" w:cs="仿宋_GB2312"/>
                <w:sz w:val="24"/>
              </w:rPr>
            </w:pPr>
          </w:p>
        </w:tc>
        <w:tc>
          <w:tcPr>
            <w:tcW w:w="340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2693" w:type="dxa"/>
            <w:vAlign w:val="center"/>
          </w:tcPr>
          <w:p>
            <w:pPr>
              <w:snapToGrid w:val="0"/>
              <w:spacing w:line="360" w:lineRule="auto"/>
              <w:jc w:val="center"/>
              <w:rPr>
                <w:rFonts w:ascii="仿宋_GB2312" w:hAnsi="仿宋" w:eastAsia="仿宋_GB2312" w:cs="仿宋_GB2312"/>
                <w:sz w:val="24"/>
              </w:rPr>
            </w:pPr>
          </w:p>
        </w:tc>
        <w:tc>
          <w:tcPr>
            <w:tcW w:w="2835"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pacing w:line="360" w:lineRule="auto"/>
              <w:jc w:val="center"/>
              <w:rPr>
                <w:rFonts w:ascii="仿宋_GB2312" w:hAnsi="仿宋" w:eastAsia="仿宋_GB2312" w:cs="仿宋_GB2312"/>
                <w:sz w:val="24"/>
              </w:rPr>
            </w:pPr>
          </w:p>
        </w:tc>
        <w:tc>
          <w:tcPr>
            <w:tcW w:w="340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2693" w:type="dxa"/>
            <w:vAlign w:val="center"/>
          </w:tcPr>
          <w:p>
            <w:pPr>
              <w:snapToGrid w:val="0"/>
              <w:spacing w:line="360" w:lineRule="auto"/>
              <w:jc w:val="center"/>
              <w:rPr>
                <w:rFonts w:ascii="仿宋_GB2312" w:hAnsi="仿宋" w:eastAsia="仿宋_GB2312" w:cs="仿宋_GB2312"/>
                <w:sz w:val="24"/>
              </w:rPr>
            </w:pPr>
          </w:p>
        </w:tc>
        <w:tc>
          <w:tcPr>
            <w:tcW w:w="2835"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pacing w:line="360" w:lineRule="auto"/>
              <w:jc w:val="center"/>
              <w:rPr>
                <w:rFonts w:ascii="仿宋_GB2312" w:hAnsi="仿宋" w:eastAsia="仿宋_GB2312" w:cs="仿宋_GB2312"/>
                <w:sz w:val="24"/>
              </w:rPr>
            </w:pPr>
          </w:p>
        </w:tc>
        <w:tc>
          <w:tcPr>
            <w:tcW w:w="340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2693" w:type="dxa"/>
            <w:vAlign w:val="center"/>
          </w:tcPr>
          <w:p>
            <w:pPr>
              <w:snapToGrid w:val="0"/>
              <w:spacing w:line="360" w:lineRule="auto"/>
              <w:jc w:val="center"/>
              <w:rPr>
                <w:rFonts w:ascii="仿宋_GB2312" w:hAnsi="仿宋" w:eastAsia="仿宋_GB2312" w:cs="仿宋_GB2312"/>
                <w:sz w:val="24"/>
              </w:rPr>
            </w:pPr>
          </w:p>
        </w:tc>
        <w:tc>
          <w:tcPr>
            <w:tcW w:w="2835"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pacing w:line="360" w:lineRule="auto"/>
              <w:jc w:val="center"/>
              <w:rPr>
                <w:rFonts w:ascii="仿宋_GB2312" w:hAnsi="仿宋" w:eastAsia="仿宋_GB2312" w:cs="仿宋_GB2312"/>
                <w:sz w:val="24"/>
              </w:rPr>
            </w:pPr>
          </w:p>
        </w:tc>
        <w:tc>
          <w:tcPr>
            <w:tcW w:w="340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2693" w:type="dxa"/>
            <w:vAlign w:val="center"/>
          </w:tcPr>
          <w:p>
            <w:pPr>
              <w:snapToGrid w:val="0"/>
              <w:spacing w:line="360" w:lineRule="auto"/>
              <w:jc w:val="center"/>
              <w:rPr>
                <w:rFonts w:ascii="仿宋_GB2312" w:hAnsi="仿宋" w:eastAsia="仿宋_GB2312" w:cs="仿宋_GB2312"/>
                <w:sz w:val="24"/>
              </w:rPr>
            </w:pPr>
          </w:p>
        </w:tc>
        <w:tc>
          <w:tcPr>
            <w:tcW w:w="2835"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pacing w:line="360" w:lineRule="auto"/>
              <w:jc w:val="center"/>
              <w:rPr>
                <w:rFonts w:ascii="仿宋_GB2312" w:hAnsi="仿宋" w:eastAsia="仿宋_GB2312" w:cs="仿宋_GB2312"/>
                <w:sz w:val="24"/>
              </w:rPr>
            </w:pPr>
          </w:p>
        </w:tc>
        <w:tc>
          <w:tcPr>
            <w:tcW w:w="340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05"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6662" w:type="dxa"/>
            <w:gridSpan w:val="3"/>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05"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6662" w:type="dxa"/>
            <w:gridSpan w:val="3"/>
            <w:vAlign w:val="center"/>
          </w:tcPr>
          <w:p>
            <w:pPr>
              <w:spacing w:line="360" w:lineRule="auto"/>
              <w:jc w:val="center"/>
              <w:rPr>
                <w:rFonts w:ascii="仿宋_GB2312" w:hAnsi="仿宋" w:eastAsia="仿宋_GB2312" w:cs="仿宋_GB2312"/>
                <w:sz w:val="24"/>
              </w:rPr>
            </w:pPr>
          </w:p>
        </w:tc>
      </w:tr>
    </w:tbl>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投标供应商请根据“第三部分 采购需求”中的“采购清单”报价，如有缺项漏项的视为无效投标。</w:t>
      </w: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397" w:name="_Toc91899912"/>
    <w:bookmarkStart w:id="398" w:name="_Toc131845147"/>
    <w:bookmarkStart w:id="399" w:name="_Toc3611018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诸暨</w:t>
    </w:r>
    <w:r>
      <w:t>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28C8A"/>
    <w:multiLevelType w:val="singleLevel"/>
    <w:tmpl w:val="AD728C8A"/>
    <w:lvl w:ilvl="0" w:tentative="0">
      <w:start w:val="1"/>
      <w:numFmt w:val="decimal"/>
      <w:suff w:val="nothing"/>
      <w:lvlText w:val="%1、"/>
      <w:lvlJc w:val="left"/>
    </w:lvl>
  </w:abstractNum>
  <w:abstractNum w:abstractNumId="1">
    <w:nsid w:val="B34DC879"/>
    <w:multiLevelType w:val="singleLevel"/>
    <w:tmpl w:val="B34DC879"/>
    <w:lvl w:ilvl="0" w:tentative="0">
      <w:start w:val="1"/>
      <w:numFmt w:val="decimal"/>
      <w:suff w:val="nothing"/>
      <w:lvlText w:val="%1、"/>
      <w:lvlJc w:val="left"/>
    </w:lvl>
  </w:abstractNum>
  <w:abstractNum w:abstractNumId="2">
    <w:nsid w:val="C632DB19"/>
    <w:multiLevelType w:val="singleLevel"/>
    <w:tmpl w:val="C632DB19"/>
    <w:lvl w:ilvl="0" w:tentative="0">
      <w:start w:val="1"/>
      <w:numFmt w:val="decimal"/>
      <w:suff w:val="nothing"/>
      <w:lvlText w:val="%1、"/>
      <w:lvlJc w:val="left"/>
    </w:lvl>
  </w:abstractNum>
  <w:abstractNum w:abstractNumId="3">
    <w:nsid w:val="E06AE088"/>
    <w:multiLevelType w:val="singleLevel"/>
    <w:tmpl w:val="E06AE088"/>
    <w:lvl w:ilvl="0" w:tentative="0">
      <w:start w:val="1"/>
      <w:numFmt w:val="decimal"/>
      <w:suff w:val="nothing"/>
      <w:lvlText w:val="%1、"/>
      <w:lvlJc w:val="left"/>
    </w:lvl>
  </w:abstractNum>
  <w:abstractNum w:abstractNumId="4">
    <w:nsid w:val="06675DE8"/>
    <w:multiLevelType w:val="multilevel"/>
    <w:tmpl w:val="06675DE8"/>
    <w:lvl w:ilvl="0" w:tentative="0">
      <w:start w:val="20"/>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B3EEA5E"/>
    <w:multiLevelType w:val="singleLevel"/>
    <w:tmpl w:val="1B3EEA5E"/>
    <w:lvl w:ilvl="0" w:tentative="0">
      <w:start w:val="1"/>
      <w:numFmt w:val="decimal"/>
      <w:suff w:val="nothing"/>
      <w:lvlText w:val="%1、"/>
      <w:lvlJc w:val="left"/>
    </w:lvl>
  </w:abstractNum>
  <w:abstractNum w:abstractNumId="7">
    <w:nsid w:val="202EE7A5"/>
    <w:multiLevelType w:val="multilevel"/>
    <w:tmpl w:val="202EE7A5"/>
    <w:lvl w:ilvl="0" w:tentative="0">
      <w:start w:val="1"/>
      <w:numFmt w:val="decimal"/>
      <w:suff w:val="nothing"/>
      <w:lvlText w:val="%1、"/>
      <w:lvlJc w:val="left"/>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BA0FA4"/>
    <w:multiLevelType w:val="multilevel"/>
    <w:tmpl w:val="30BA0FA4"/>
    <w:lvl w:ilvl="0" w:tentative="0">
      <w:start w:val="1"/>
      <w:numFmt w:val="decimal"/>
      <w:suff w:val="nothing"/>
      <w:lvlText w:val="%1、"/>
      <w:lvlJc w:val="left"/>
      <w:pPr>
        <w:ind w:left="0" w:firstLine="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F73FD34"/>
    <w:multiLevelType w:val="singleLevel"/>
    <w:tmpl w:val="3F73FD34"/>
    <w:lvl w:ilvl="0" w:tentative="0">
      <w:start w:val="3"/>
      <w:numFmt w:val="decimal"/>
      <w:suff w:val="nothing"/>
      <w:lvlText w:val="%1、"/>
      <w:lvlJc w:val="left"/>
    </w:lvl>
  </w:abstractNum>
  <w:abstractNum w:abstractNumId="10">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C57C88"/>
    <w:multiLevelType w:val="singleLevel"/>
    <w:tmpl w:val="4AC57C88"/>
    <w:lvl w:ilvl="0" w:tentative="0">
      <w:start w:val="1"/>
      <w:numFmt w:val="decimal"/>
      <w:suff w:val="nothing"/>
      <w:lvlText w:val="%1、"/>
      <w:lvlJc w:val="left"/>
    </w:lvl>
  </w:abstractNum>
  <w:abstractNum w:abstractNumId="12">
    <w:nsid w:val="4E465744"/>
    <w:multiLevelType w:val="singleLevel"/>
    <w:tmpl w:val="4E465744"/>
    <w:lvl w:ilvl="0" w:tentative="0">
      <w:start w:val="1"/>
      <w:numFmt w:val="chineseCounting"/>
      <w:suff w:val="nothing"/>
      <w:lvlText w:val="%1、"/>
      <w:lvlJc w:val="left"/>
      <w:rPr>
        <w:rFonts w:hint="eastAsia"/>
      </w:rPr>
    </w:lvl>
  </w:abstractNum>
  <w:abstractNum w:abstractNumId="13">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2E3712E"/>
    <w:multiLevelType w:val="multilevel"/>
    <w:tmpl w:val="62E371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4"/>
  </w:num>
  <w:num w:numId="3">
    <w:abstractNumId w:val="5"/>
  </w:num>
  <w:num w:numId="4">
    <w:abstractNumId w:val="10"/>
  </w:num>
  <w:num w:numId="5">
    <w:abstractNumId w:val="4"/>
  </w:num>
  <w:num w:numId="6">
    <w:abstractNumId w:val="11"/>
  </w:num>
  <w:num w:numId="7">
    <w:abstractNumId w:val="3"/>
  </w:num>
  <w:num w:numId="8">
    <w:abstractNumId w:val="0"/>
  </w:num>
  <w:num w:numId="9">
    <w:abstractNumId w:val="2"/>
  </w:num>
  <w:num w:numId="10">
    <w:abstractNumId w:val="7"/>
  </w:num>
  <w:num w:numId="11">
    <w:abstractNumId w:val="15"/>
  </w:num>
  <w:num w:numId="12">
    <w:abstractNumId w:val="8"/>
  </w:num>
  <w:num w:numId="13">
    <w:abstractNumId w:val="9"/>
  </w:num>
  <w:num w:numId="14">
    <w:abstractNumId w:val="6"/>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00"/>
    <w:rsid w:val="00054D39"/>
    <w:rsid w:val="00054E7F"/>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412"/>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DEB"/>
    <w:rsid w:val="000A0729"/>
    <w:rsid w:val="000A0E69"/>
    <w:rsid w:val="000A1010"/>
    <w:rsid w:val="000A1A52"/>
    <w:rsid w:val="000A1F98"/>
    <w:rsid w:val="000A2EB2"/>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6E"/>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C83"/>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63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4E0"/>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1F8"/>
    <w:rsid w:val="00163C40"/>
    <w:rsid w:val="0016488B"/>
    <w:rsid w:val="00165758"/>
    <w:rsid w:val="00165A65"/>
    <w:rsid w:val="00166317"/>
    <w:rsid w:val="00167478"/>
    <w:rsid w:val="00167594"/>
    <w:rsid w:val="001702BE"/>
    <w:rsid w:val="001704B3"/>
    <w:rsid w:val="0017059C"/>
    <w:rsid w:val="0017105C"/>
    <w:rsid w:val="00171551"/>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954"/>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7D9"/>
    <w:rsid w:val="001C6047"/>
    <w:rsid w:val="001C61C1"/>
    <w:rsid w:val="001C6698"/>
    <w:rsid w:val="001C682E"/>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6C51"/>
    <w:rsid w:val="001E12F9"/>
    <w:rsid w:val="001E17E3"/>
    <w:rsid w:val="001E2052"/>
    <w:rsid w:val="001E2492"/>
    <w:rsid w:val="001E257C"/>
    <w:rsid w:val="001E286C"/>
    <w:rsid w:val="001E2F34"/>
    <w:rsid w:val="001E35EE"/>
    <w:rsid w:val="001E3DAD"/>
    <w:rsid w:val="001E4B2C"/>
    <w:rsid w:val="001E507F"/>
    <w:rsid w:val="001E56C2"/>
    <w:rsid w:val="001E59FB"/>
    <w:rsid w:val="001E6CA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0CC"/>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34C"/>
    <w:rsid w:val="0025151C"/>
    <w:rsid w:val="0025184F"/>
    <w:rsid w:val="00251967"/>
    <w:rsid w:val="002527CC"/>
    <w:rsid w:val="00252F48"/>
    <w:rsid w:val="002530C0"/>
    <w:rsid w:val="00253179"/>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32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9F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16"/>
    <w:rsid w:val="002F647C"/>
    <w:rsid w:val="002F6C6B"/>
    <w:rsid w:val="002F6CB0"/>
    <w:rsid w:val="002F6EFF"/>
    <w:rsid w:val="002F7A0B"/>
    <w:rsid w:val="002F7DF0"/>
    <w:rsid w:val="002F7FAF"/>
    <w:rsid w:val="00300573"/>
    <w:rsid w:val="003025FE"/>
    <w:rsid w:val="00302A27"/>
    <w:rsid w:val="00302B62"/>
    <w:rsid w:val="003037D0"/>
    <w:rsid w:val="00303AB6"/>
    <w:rsid w:val="00304640"/>
    <w:rsid w:val="00304AC1"/>
    <w:rsid w:val="00305090"/>
    <w:rsid w:val="00305454"/>
    <w:rsid w:val="00305B9F"/>
    <w:rsid w:val="00305E21"/>
    <w:rsid w:val="003066C6"/>
    <w:rsid w:val="003066FA"/>
    <w:rsid w:val="00306AD6"/>
    <w:rsid w:val="003077F4"/>
    <w:rsid w:val="00307DC7"/>
    <w:rsid w:val="00307FF2"/>
    <w:rsid w:val="00310B36"/>
    <w:rsid w:val="00310EDB"/>
    <w:rsid w:val="00311C51"/>
    <w:rsid w:val="00311D56"/>
    <w:rsid w:val="00312016"/>
    <w:rsid w:val="00312340"/>
    <w:rsid w:val="00312DFC"/>
    <w:rsid w:val="0031318C"/>
    <w:rsid w:val="00313C9D"/>
    <w:rsid w:val="0031430C"/>
    <w:rsid w:val="00314919"/>
    <w:rsid w:val="00314B47"/>
    <w:rsid w:val="00314C5A"/>
    <w:rsid w:val="0031531A"/>
    <w:rsid w:val="00315394"/>
    <w:rsid w:val="00315D77"/>
    <w:rsid w:val="00315D8E"/>
    <w:rsid w:val="00316002"/>
    <w:rsid w:val="00316CDE"/>
    <w:rsid w:val="00316FD6"/>
    <w:rsid w:val="0031752D"/>
    <w:rsid w:val="00317709"/>
    <w:rsid w:val="003177D1"/>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5EC7"/>
    <w:rsid w:val="003665C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25"/>
    <w:rsid w:val="00381F60"/>
    <w:rsid w:val="00383204"/>
    <w:rsid w:val="00383AB0"/>
    <w:rsid w:val="00383E27"/>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53E"/>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11B"/>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883"/>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46E"/>
    <w:rsid w:val="003E0947"/>
    <w:rsid w:val="003E0E96"/>
    <w:rsid w:val="003E20F7"/>
    <w:rsid w:val="003E336A"/>
    <w:rsid w:val="003E3E2F"/>
    <w:rsid w:val="003E4048"/>
    <w:rsid w:val="003E4536"/>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810"/>
    <w:rsid w:val="00442731"/>
    <w:rsid w:val="00442C12"/>
    <w:rsid w:val="004434DF"/>
    <w:rsid w:val="0044354B"/>
    <w:rsid w:val="0044493E"/>
    <w:rsid w:val="00444A1F"/>
    <w:rsid w:val="00444FC6"/>
    <w:rsid w:val="00445874"/>
    <w:rsid w:val="00445A5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A72"/>
    <w:rsid w:val="00474DEF"/>
    <w:rsid w:val="00475729"/>
    <w:rsid w:val="004758E7"/>
    <w:rsid w:val="00475BAB"/>
    <w:rsid w:val="004764C6"/>
    <w:rsid w:val="00476AC1"/>
    <w:rsid w:val="00476F97"/>
    <w:rsid w:val="00477247"/>
    <w:rsid w:val="004776BB"/>
    <w:rsid w:val="004776FB"/>
    <w:rsid w:val="0048055E"/>
    <w:rsid w:val="00480C2B"/>
    <w:rsid w:val="00480DC5"/>
    <w:rsid w:val="00480F59"/>
    <w:rsid w:val="00480FD9"/>
    <w:rsid w:val="0048131D"/>
    <w:rsid w:val="0048148D"/>
    <w:rsid w:val="00481D0B"/>
    <w:rsid w:val="004824A9"/>
    <w:rsid w:val="004827A7"/>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5BF"/>
    <w:rsid w:val="0049570D"/>
    <w:rsid w:val="00495C25"/>
    <w:rsid w:val="00495C48"/>
    <w:rsid w:val="00495DC6"/>
    <w:rsid w:val="00496CCE"/>
    <w:rsid w:val="004978C1"/>
    <w:rsid w:val="00497AAD"/>
    <w:rsid w:val="00497BD7"/>
    <w:rsid w:val="00497D1A"/>
    <w:rsid w:val="004A00C9"/>
    <w:rsid w:val="004A03D0"/>
    <w:rsid w:val="004A0B73"/>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73"/>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0E7"/>
    <w:rsid w:val="004E2393"/>
    <w:rsid w:val="004E3117"/>
    <w:rsid w:val="004E3A2A"/>
    <w:rsid w:val="004E3AB1"/>
    <w:rsid w:val="004E4003"/>
    <w:rsid w:val="004E4626"/>
    <w:rsid w:val="004E4984"/>
    <w:rsid w:val="004E49A9"/>
    <w:rsid w:val="004E5101"/>
    <w:rsid w:val="004E5380"/>
    <w:rsid w:val="004E6746"/>
    <w:rsid w:val="004E6A70"/>
    <w:rsid w:val="004E6CAC"/>
    <w:rsid w:val="004E6F69"/>
    <w:rsid w:val="004E75C1"/>
    <w:rsid w:val="004E777F"/>
    <w:rsid w:val="004F07F2"/>
    <w:rsid w:val="004F07F9"/>
    <w:rsid w:val="004F0A50"/>
    <w:rsid w:val="004F0D1F"/>
    <w:rsid w:val="004F0E82"/>
    <w:rsid w:val="004F0F8B"/>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6E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A35"/>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A4C"/>
    <w:rsid w:val="00565DAC"/>
    <w:rsid w:val="00565F0D"/>
    <w:rsid w:val="005662DC"/>
    <w:rsid w:val="00566329"/>
    <w:rsid w:val="0056677E"/>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89B"/>
    <w:rsid w:val="005827A7"/>
    <w:rsid w:val="00583D43"/>
    <w:rsid w:val="005846C3"/>
    <w:rsid w:val="00584B2A"/>
    <w:rsid w:val="00584F04"/>
    <w:rsid w:val="0058544C"/>
    <w:rsid w:val="00585623"/>
    <w:rsid w:val="005857F7"/>
    <w:rsid w:val="005865E9"/>
    <w:rsid w:val="005868FD"/>
    <w:rsid w:val="005870A0"/>
    <w:rsid w:val="00587D7B"/>
    <w:rsid w:val="005904DB"/>
    <w:rsid w:val="005905ED"/>
    <w:rsid w:val="00590D11"/>
    <w:rsid w:val="0059133F"/>
    <w:rsid w:val="00591BA6"/>
    <w:rsid w:val="00592825"/>
    <w:rsid w:val="00592CC3"/>
    <w:rsid w:val="005940FC"/>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C5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4E"/>
    <w:rsid w:val="00611B59"/>
    <w:rsid w:val="00611FBA"/>
    <w:rsid w:val="00612098"/>
    <w:rsid w:val="0061272A"/>
    <w:rsid w:val="0061291B"/>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27C73"/>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B5B"/>
    <w:rsid w:val="00660D3E"/>
    <w:rsid w:val="00661691"/>
    <w:rsid w:val="00662D3D"/>
    <w:rsid w:val="00662F1F"/>
    <w:rsid w:val="00663D15"/>
    <w:rsid w:val="00665030"/>
    <w:rsid w:val="00665670"/>
    <w:rsid w:val="006657CE"/>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700"/>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14F"/>
    <w:rsid w:val="007119DC"/>
    <w:rsid w:val="00711CC7"/>
    <w:rsid w:val="0071230A"/>
    <w:rsid w:val="0071294A"/>
    <w:rsid w:val="00712BDD"/>
    <w:rsid w:val="00712E1E"/>
    <w:rsid w:val="00712F37"/>
    <w:rsid w:val="00713A6B"/>
    <w:rsid w:val="00713CB5"/>
    <w:rsid w:val="0071417C"/>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390"/>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4B"/>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6AF"/>
    <w:rsid w:val="00774C0B"/>
    <w:rsid w:val="00775526"/>
    <w:rsid w:val="00775651"/>
    <w:rsid w:val="00775F3F"/>
    <w:rsid w:val="0077710B"/>
    <w:rsid w:val="0077765A"/>
    <w:rsid w:val="00780032"/>
    <w:rsid w:val="00780636"/>
    <w:rsid w:val="00780E86"/>
    <w:rsid w:val="0078108C"/>
    <w:rsid w:val="007815E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FC0"/>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48F"/>
    <w:rsid w:val="007B28C3"/>
    <w:rsid w:val="007B3A8E"/>
    <w:rsid w:val="007B3C9B"/>
    <w:rsid w:val="007B4271"/>
    <w:rsid w:val="007B497D"/>
    <w:rsid w:val="007B4EE9"/>
    <w:rsid w:val="007B5234"/>
    <w:rsid w:val="007B54C7"/>
    <w:rsid w:val="007B5637"/>
    <w:rsid w:val="007B5C4A"/>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721"/>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99A"/>
    <w:rsid w:val="007E23A1"/>
    <w:rsid w:val="007E259F"/>
    <w:rsid w:val="007E29A3"/>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054"/>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3F8"/>
    <w:rsid w:val="00823819"/>
    <w:rsid w:val="00823C4B"/>
    <w:rsid w:val="0082427D"/>
    <w:rsid w:val="00825441"/>
    <w:rsid w:val="00826855"/>
    <w:rsid w:val="00826F25"/>
    <w:rsid w:val="00827412"/>
    <w:rsid w:val="00830052"/>
    <w:rsid w:val="008300D0"/>
    <w:rsid w:val="008308D8"/>
    <w:rsid w:val="008320D2"/>
    <w:rsid w:val="008321CE"/>
    <w:rsid w:val="0083257C"/>
    <w:rsid w:val="0083261B"/>
    <w:rsid w:val="00832B44"/>
    <w:rsid w:val="00832EC9"/>
    <w:rsid w:val="00833307"/>
    <w:rsid w:val="00833583"/>
    <w:rsid w:val="00833B5B"/>
    <w:rsid w:val="00833E9A"/>
    <w:rsid w:val="00834C13"/>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C28"/>
    <w:rsid w:val="00852FA5"/>
    <w:rsid w:val="00853F7D"/>
    <w:rsid w:val="0085517F"/>
    <w:rsid w:val="008553F8"/>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19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047"/>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5E83"/>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6FE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1F24"/>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BE5"/>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238"/>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4B1"/>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1FB"/>
    <w:rsid w:val="0096373F"/>
    <w:rsid w:val="00964007"/>
    <w:rsid w:val="00964283"/>
    <w:rsid w:val="009642A4"/>
    <w:rsid w:val="009643F4"/>
    <w:rsid w:val="009645A6"/>
    <w:rsid w:val="00964F5A"/>
    <w:rsid w:val="0096527F"/>
    <w:rsid w:val="009653ED"/>
    <w:rsid w:val="00966A21"/>
    <w:rsid w:val="00966AD2"/>
    <w:rsid w:val="00971331"/>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97D"/>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4E3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9F0"/>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72A3"/>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476E"/>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EBB"/>
    <w:rsid w:val="00A3404D"/>
    <w:rsid w:val="00A341AB"/>
    <w:rsid w:val="00A34290"/>
    <w:rsid w:val="00A355F9"/>
    <w:rsid w:val="00A357D3"/>
    <w:rsid w:val="00A35AA9"/>
    <w:rsid w:val="00A35F3C"/>
    <w:rsid w:val="00A366DF"/>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620"/>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6E9"/>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1D80"/>
    <w:rsid w:val="00A82D32"/>
    <w:rsid w:val="00A82EAE"/>
    <w:rsid w:val="00A82FC7"/>
    <w:rsid w:val="00A847F9"/>
    <w:rsid w:val="00A84F27"/>
    <w:rsid w:val="00A8519C"/>
    <w:rsid w:val="00A855EE"/>
    <w:rsid w:val="00A8597A"/>
    <w:rsid w:val="00A85B87"/>
    <w:rsid w:val="00A85F83"/>
    <w:rsid w:val="00A86019"/>
    <w:rsid w:val="00A860DA"/>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8BE"/>
    <w:rsid w:val="00A9686A"/>
    <w:rsid w:val="00A96B4A"/>
    <w:rsid w:val="00A97BDA"/>
    <w:rsid w:val="00AA043A"/>
    <w:rsid w:val="00AA0779"/>
    <w:rsid w:val="00AA08F3"/>
    <w:rsid w:val="00AA091F"/>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370"/>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0C9D"/>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68B"/>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3AB"/>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4D5B"/>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363"/>
    <w:rsid w:val="00C22C62"/>
    <w:rsid w:val="00C22F6C"/>
    <w:rsid w:val="00C23615"/>
    <w:rsid w:val="00C2397E"/>
    <w:rsid w:val="00C23A83"/>
    <w:rsid w:val="00C24381"/>
    <w:rsid w:val="00C24801"/>
    <w:rsid w:val="00C24C2E"/>
    <w:rsid w:val="00C24C7A"/>
    <w:rsid w:val="00C24FFB"/>
    <w:rsid w:val="00C25948"/>
    <w:rsid w:val="00C25CFF"/>
    <w:rsid w:val="00C25EA6"/>
    <w:rsid w:val="00C26164"/>
    <w:rsid w:val="00C261C1"/>
    <w:rsid w:val="00C26574"/>
    <w:rsid w:val="00C26DBF"/>
    <w:rsid w:val="00C27199"/>
    <w:rsid w:val="00C27204"/>
    <w:rsid w:val="00C3005D"/>
    <w:rsid w:val="00C304E9"/>
    <w:rsid w:val="00C308CD"/>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2D73"/>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24C"/>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7C7"/>
    <w:rsid w:val="00CA2528"/>
    <w:rsid w:val="00CA366F"/>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E7D"/>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4BD"/>
    <w:rsid w:val="00CE59F6"/>
    <w:rsid w:val="00CE66CD"/>
    <w:rsid w:val="00CE6BA9"/>
    <w:rsid w:val="00CE71C3"/>
    <w:rsid w:val="00CE727A"/>
    <w:rsid w:val="00CF029C"/>
    <w:rsid w:val="00CF0AF0"/>
    <w:rsid w:val="00CF1104"/>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43D"/>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9D"/>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912"/>
    <w:rsid w:val="00DA3C5B"/>
    <w:rsid w:val="00DA3D23"/>
    <w:rsid w:val="00DA4A61"/>
    <w:rsid w:val="00DA5976"/>
    <w:rsid w:val="00DA5AFE"/>
    <w:rsid w:val="00DA5D46"/>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A1"/>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358"/>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78F"/>
    <w:rsid w:val="00E20CE7"/>
    <w:rsid w:val="00E217B1"/>
    <w:rsid w:val="00E222FA"/>
    <w:rsid w:val="00E22506"/>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576"/>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186"/>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7DC"/>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D"/>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858"/>
    <w:rsid w:val="00F37C99"/>
    <w:rsid w:val="00F37FCC"/>
    <w:rsid w:val="00F4107D"/>
    <w:rsid w:val="00F419B8"/>
    <w:rsid w:val="00F41C0F"/>
    <w:rsid w:val="00F42856"/>
    <w:rsid w:val="00F42ED7"/>
    <w:rsid w:val="00F43777"/>
    <w:rsid w:val="00F4482B"/>
    <w:rsid w:val="00F44F02"/>
    <w:rsid w:val="00F45039"/>
    <w:rsid w:val="00F4526B"/>
    <w:rsid w:val="00F45298"/>
    <w:rsid w:val="00F4529B"/>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57578"/>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453"/>
    <w:rsid w:val="00F97A34"/>
    <w:rsid w:val="00F97E4A"/>
    <w:rsid w:val="00F97EA1"/>
    <w:rsid w:val="00FA003A"/>
    <w:rsid w:val="00FA05C8"/>
    <w:rsid w:val="00FA0678"/>
    <w:rsid w:val="00FA0DB6"/>
    <w:rsid w:val="00FA16A9"/>
    <w:rsid w:val="00FA23F7"/>
    <w:rsid w:val="00FA27EB"/>
    <w:rsid w:val="00FA35B6"/>
    <w:rsid w:val="00FA3EBC"/>
    <w:rsid w:val="00FA423C"/>
    <w:rsid w:val="00FA44D0"/>
    <w:rsid w:val="00FA4590"/>
    <w:rsid w:val="00FA55A2"/>
    <w:rsid w:val="00FA62CA"/>
    <w:rsid w:val="00FA672F"/>
    <w:rsid w:val="00FA775E"/>
    <w:rsid w:val="00FA7792"/>
    <w:rsid w:val="00FA7AA8"/>
    <w:rsid w:val="00FA7F1D"/>
    <w:rsid w:val="00FA7FDC"/>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856"/>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35C8A"/>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005C5"/>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14119"/>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A57955"/>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916BD"/>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toa heading"/>
    <w:basedOn w:val="1"/>
    <w:next w:val="1"/>
    <w:unhideWhenUsed/>
    <w:qFormat/>
    <w:uiPriority w:val="99"/>
    <w:pPr>
      <w:adjustRightInd/>
    </w:pPr>
    <w:rPr>
      <w:rFonts w:ascii="Arial" w:hAnsi="Arial"/>
      <w:sz w:val="24"/>
    </w:rPr>
  </w:style>
  <w:style w:type="paragraph" w:styleId="20">
    <w:name w:val="annotation text"/>
    <w:basedOn w:val="1"/>
    <w:link w:val="342"/>
    <w:qFormat/>
    <w:uiPriority w:val="0"/>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99"/>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Unresolved Mention"/>
    <w:basedOn w:val="70"/>
    <w:semiHidden/>
    <w:unhideWhenUsed/>
    <w:uiPriority w:val="99"/>
    <w:rPr>
      <w:color w:val="605E5C"/>
      <w:shd w:val="clear" w:color="auto" w:fill="E1DFDD"/>
    </w:rPr>
  </w:style>
  <w:style w:type="paragraph" w:customStyle="1" w:styleId="963">
    <w:name w:val="文本正文宋体缩进"/>
    <w:basedOn w:val="1"/>
    <w:next w:val="1"/>
    <w:qFormat/>
    <w:uiPriority w:val="0"/>
    <w:pPr>
      <w:adjustRightInd/>
      <w:spacing w:line="360" w:lineRule="auto"/>
      <w:ind w:firstLine="480" w:firstLineChars="200"/>
    </w:pPr>
    <w:rPr>
      <w:sz w:val="24"/>
      <w:szCs w:val="21"/>
    </w:rPr>
  </w:style>
  <w:style w:type="character" w:customStyle="1" w:styleId="964">
    <w:name w:val="NormalCharacter"/>
    <w:qFormat/>
    <w:uiPriority w:val="0"/>
  </w:style>
  <w:style w:type="paragraph" w:customStyle="1" w:styleId="965">
    <w:name w:val="UserStyle_20"/>
    <w:basedOn w:val="1"/>
    <w:next w:val="1"/>
    <w:qFormat/>
    <w:uiPriority w:val="0"/>
    <w:pPr>
      <w:widowControl/>
      <w:adjustRightInd/>
      <w:spacing w:line="360" w:lineRule="auto"/>
      <w:ind w:firstLine="480" w:firstLineChars="200"/>
      <w:textAlignment w:val="baseline"/>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3A7B-3D11-4580-9769-62FC6CBD787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34966</Words>
  <Characters>37488</Characters>
  <Lines>318</Lines>
  <Paragraphs>89</Paragraphs>
  <TotalTime>627</TotalTime>
  <ScaleCrop>false</ScaleCrop>
  <LinksUpToDate>false</LinksUpToDate>
  <CharactersWithSpaces>42780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PC</cp:lastModifiedBy>
  <cp:lastPrinted>2022-05-19T06:41:00Z</cp:lastPrinted>
  <dcterms:modified xsi:type="dcterms:W3CDTF">2022-05-19T08:00:29Z</dcterms:modified>
  <dc:title>杭州市市民卡扩大发卡工程</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EB768177B8C440749D4756C0712B0FB8</vt:lpwstr>
  </property>
</Properties>
</file>