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8"/>
          <w:szCs w:val="48"/>
          <w:lang w:eastAsia="zh-CN"/>
        </w:rPr>
      </w:pPr>
      <w:r>
        <w:rPr>
          <w:rFonts w:hint="eastAsia" w:ascii="仿宋_GB2312" w:hAnsi="仿宋_GB2312" w:eastAsia="仿宋_GB2312" w:cs="仿宋_GB2312"/>
          <w:b/>
          <w:bCs/>
          <w:sz w:val="48"/>
          <w:szCs w:val="48"/>
          <w:lang w:eastAsia="zh-CN"/>
        </w:rPr>
        <w:t>诸暨技师学院电子商务一体化实训平台采购项目</w:t>
      </w:r>
    </w:p>
    <w:p>
      <w:pPr>
        <w:adjustRightInd/>
        <w:spacing w:line="360" w:lineRule="auto"/>
        <w:jc w:val="center"/>
        <w:rPr>
          <w:rFonts w:hint="eastAsia" w:ascii="仿宋_GB2312" w:hAnsi="仿宋_GB2312" w:eastAsia="仿宋_GB2312" w:cs="仿宋_GB2312"/>
          <w:b/>
          <w:bCs/>
          <w:sz w:val="48"/>
          <w:szCs w:val="48"/>
          <w:lang w:val="en-US" w:eastAsia="zh-CN"/>
        </w:rPr>
      </w:pPr>
    </w:p>
    <w:p>
      <w:pPr>
        <w:adjustRightInd/>
        <w:spacing w:line="360" w:lineRule="auto"/>
        <w:jc w:val="center"/>
        <w:rPr>
          <w:rFonts w:hint="eastAsia" w:ascii="仿宋" w:hAnsi="仿宋" w:eastAsia="仿宋" w:cs="仿宋_GB2312"/>
          <w:b/>
          <w:bCs/>
          <w:sz w:val="30"/>
          <w:szCs w:val="30"/>
        </w:rPr>
      </w:pPr>
      <w:r>
        <w:rPr>
          <w:rFonts w:hint="eastAsia" w:ascii="仿宋" w:hAnsi="仿宋" w:eastAsia="仿宋" w:cs="仿宋_GB2312"/>
          <w:b/>
          <w:bCs/>
          <w:sz w:val="30"/>
          <w:szCs w:val="30"/>
        </w:rPr>
        <w:t>（编号</w:t>
      </w:r>
      <w:r>
        <w:rPr>
          <w:rFonts w:ascii="仿宋" w:hAnsi="仿宋" w:eastAsia="仿宋" w:cs="仿宋_GB2312"/>
          <w:b/>
          <w:bCs/>
          <w:sz w:val="30"/>
          <w:szCs w:val="30"/>
        </w:rPr>
        <w:t>:</w:t>
      </w:r>
      <w:r>
        <w:rPr>
          <w:rFonts w:hint="eastAsia" w:ascii="仿宋" w:hAnsi="仿宋" w:eastAsia="仿宋" w:cs="仿宋_GB2312"/>
          <w:b/>
          <w:bCs/>
          <w:sz w:val="30"/>
          <w:szCs w:val="30"/>
          <w:lang w:eastAsia="zh-CN"/>
        </w:rPr>
        <w:t>诸政采</w:t>
      </w:r>
      <w:r>
        <w:rPr>
          <w:rFonts w:hint="eastAsia" w:ascii="仿宋" w:hAnsi="仿宋" w:eastAsia="仿宋" w:cs="仿宋_GB2312"/>
          <w:b/>
          <w:bCs/>
          <w:sz w:val="30"/>
          <w:szCs w:val="30"/>
        </w:rPr>
        <w:t>202</w:t>
      </w:r>
      <w:r>
        <w:rPr>
          <w:rFonts w:hint="eastAsia" w:ascii="仿宋" w:hAnsi="仿宋" w:eastAsia="仿宋" w:cs="仿宋_GB2312"/>
          <w:b/>
          <w:bCs/>
          <w:sz w:val="30"/>
          <w:szCs w:val="30"/>
          <w:lang w:val="en-US" w:eastAsia="zh-CN"/>
        </w:rPr>
        <w:t>2</w:t>
      </w:r>
      <w:r>
        <w:rPr>
          <w:rFonts w:hint="eastAsia" w:ascii="仿宋" w:hAnsi="仿宋" w:eastAsia="仿宋" w:cs="仿宋_GB2312"/>
          <w:b/>
          <w:bCs/>
          <w:sz w:val="30"/>
          <w:szCs w:val="30"/>
        </w:rPr>
        <w:t>-</w:t>
      </w:r>
      <w:r>
        <w:rPr>
          <w:rFonts w:hint="eastAsia" w:ascii="仿宋" w:hAnsi="仿宋" w:eastAsia="仿宋" w:cs="仿宋_GB2312"/>
          <w:b/>
          <w:bCs/>
          <w:sz w:val="30"/>
          <w:szCs w:val="30"/>
          <w:lang w:val="en-US" w:eastAsia="zh-CN"/>
        </w:rPr>
        <w:t>05</w:t>
      </w:r>
      <w:r>
        <w:rPr>
          <w:rFonts w:hint="eastAsia" w:ascii="仿宋" w:hAnsi="仿宋" w:eastAsia="仿宋" w:cs="仿宋_GB2312"/>
          <w:b/>
          <w:bCs/>
          <w:sz w:val="30"/>
          <w:szCs w:val="30"/>
        </w:rPr>
        <w:t>-</w:t>
      </w:r>
      <w:r>
        <w:rPr>
          <w:rFonts w:hint="eastAsia" w:ascii="仿宋" w:hAnsi="仿宋" w:eastAsia="仿宋" w:cs="仿宋_GB2312"/>
          <w:b/>
          <w:bCs/>
          <w:sz w:val="30"/>
          <w:szCs w:val="30"/>
          <w:lang w:val="en-US" w:eastAsia="zh-CN"/>
        </w:rPr>
        <w:t>07</w:t>
      </w:r>
      <w:r>
        <w:rPr>
          <w:rFonts w:hint="eastAsia" w:ascii="仿宋" w:hAnsi="仿宋" w:eastAsia="仿宋" w:cs="仿宋_GB2312"/>
          <w:b/>
          <w:bCs/>
          <w:sz w:val="30"/>
          <w:szCs w:val="30"/>
        </w:rPr>
        <w:t>）</w:t>
      </w:r>
    </w:p>
    <w:p>
      <w:pPr>
        <w:adjustRightInd/>
        <w:spacing w:line="360" w:lineRule="auto"/>
        <w:jc w:val="center"/>
        <w:rPr>
          <w:rFonts w:ascii="仿宋" w:hAnsi="仿宋" w:eastAsia="仿宋" w:cs="仿宋_GB2312"/>
          <w:b/>
          <w:sz w:val="36"/>
          <w:szCs w:val="36"/>
        </w:rPr>
      </w:pPr>
      <w:r>
        <w:rPr>
          <w:rFonts w:ascii="仿宋" w:hAnsi="仿宋" w:eastAsia="仿宋" w:cs="仿宋_GB2312"/>
          <w:b/>
          <w:sz w:val="36"/>
          <w:szCs w:val="36"/>
        </w:rPr>
        <w:t>（电子招投标）</w:t>
      </w:r>
    </w:p>
    <w:p>
      <w:pPr>
        <w:snapToGrid w:val="0"/>
        <w:spacing w:line="360" w:lineRule="auto"/>
        <w:jc w:val="center"/>
        <w:rPr>
          <w:rFonts w:ascii="仿宋" w:hAnsi="仿宋" w:eastAsia="仿宋" w:cs="仿宋_GB2312"/>
          <w:b/>
          <w:bCs/>
          <w:sz w:val="30"/>
          <w:szCs w:val="30"/>
        </w:rPr>
      </w:pPr>
    </w:p>
    <w:p>
      <w:pPr>
        <w:adjustRightInd/>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招</w:t>
      </w:r>
    </w:p>
    <w:p>
      <w:pPr>
        <w:adjustRightInd/>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标</w:t>
      </w:r>
    </w:p>
    <w:p>
      <w:pPr>
        <w:adjustRightInd/>
        <w:spacing w:line="360" w:lineRule="auto"/>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rPr>
        <w:t>文</w:t>
      </w:r>
    </w:p>
    <w:p>
      <w:pPr>
        <w:adjustRightInd/>
        <w:spacing w:line="360" w:lineRule="auto"/>
        <w:jc w:val="center"/>
        <w:rPr>
          <w:rFonts w:hint="eastAsia" w:ascii="仿宋" w:hAnsi="仿宋" w:eastAsia="仿宋" w:cs="仿宋_GB2312"/>
          <w:b/>
          <w:bCs/>
          <w:sz w:val="72"/>
          <w:szCs w:val="72"/>
        </w:rPr>
      </w:pPr>
      <w:r>
        <w:rPr>
          <w:rFonts w:hint="eastAsia" w:ascii="仿宋_GB2312" w:hAnsi="仿宋_GB2312" w:eastAsia="仿宋_GB2312" w:cs="仿宋_GB2312"/>
          <w:b/>
          <w:bCs/>
          <w:sz w:val="72"/>
          <w:szCs w:val="72"/>
        </w:rPr>
        <w:t>件</w:t>
      </w:r>
    </w:p>
    <w:p>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pPr>
        <w:adjustRightInd/>
        <w:spacing w:line="360" w:lineRule="auto"/>
        <w:rPr>
          <w:rFonts w:ascii="仿宋" w:hAnsi="仿宋" w:eastAsia="仿宋" w:cs="仿宋_GB2312"/>
          <w:sz w:val="28"/>
          <w:szCs w:val="20"/>
        </w:rPr>
      </w:pPr>
    </w:p>
    <w:p>
      <w:pPr>
        <w:spacing w:line="360" w:lineRule="auto"/>
        <w:jc w:val="center"/>
        <w:rPr>
          <w:rFonts w:ascii="仿宋" w:hAnsi="仿宋" w:eastAsia="仿宋" w:cs="仿宋_GB2312"/>
          <w:sz w:val="32"/>
          <w:szCs w:val="32"/>
        </w:rPr>
      </w:pPr>
      <w:r>
        <w:rPr>
          <w:rFonts w:ascii="仿宋" w:hAnsi="仿宋" w:eastAsia="仿宋" w:cs="仿宋_GB2312"/>
          <w:b/>
          <w:sz w:val="44"/>
          <w:szCs w:val="44"/>
        </w:rPr>
        <w:t xml:space="preserve"> </w:t>
      </w:r>
    </w:p>
    <w:p>
      <w:pPr>
        <w:snapToGrid w:val="0"/>
        <w:spacing w:line="360" w:lineRule="auto"/>
        <w:jc w:val="both"/>
        <w:rPr>
          <w:rFonts w:hint="eastAsia" w:ascii="仿宋" w:hAnsi="仿宋" w:eastAsia="仿宋" w:cs="仿宋_GB2312"/>
          <w:b/>
          <w:bCs/>
          <w:sz w:val="32"/>
          <w:szCs w:val="32"/>
          <w:lang w:eastAsia="zh-CN"/>
        </w:rPr>
      </w:pPr>
      <w:r>
        <w:rPr>
          <w:rFonts w:hint="eastAsia" w:ascii="仿宋" w:hAnsi="仿宋" w:eastAsia="仿宋" w:cs="仿宋_GB2312"/>
          <w:b/>
          <w:bCs/>
          <w:sz w:val="32"/>
          <w:szCs w:val="32"/>
        </w:rPr>
        <w:t>（采</w:t>
      </w:r>
      <w:r>
        <w:rPr>
          <w:rFonts w:hint="eastAsia" w:ascii="仿宋" w:hAnsi="仿宋" w:eastAsia="仿宋" w:cs="仿宋_GB2312"/>
          <w:b/>
          <w:bCs/>
          <w:sz w:val="32"/>
          <w:szCs w:val="32"/>
          <w:lang w:val="en-US" w:eastAsia="zh-CN"/>
        </w:rPr>
        <w:t xml:space="preserve">   </w:t>
      </w:r>
      <w:r>
        <w:rPr>
          <w:rFonts w:hint="eastAsia" w:ascii="仿宋" w:hAnsi="仿宋" w:eastAsia="仿宋" w:cs="仿宋_GB2312"/>
          <w:b/>
          <w:bCs/>
          <w:sz w:val="32"/>
          <w:szCs w:val="32"/>
        </w:rPr>
        <w:t>购</w:t>
      </w:r>
      <w:r>
        <w:rPr>
          <w:rFonts w:hint="eastAsia" w:ascii="仿宋" w:hAnsi="仿宋" w:eastAsia="仿宋" w:cs="仿宋_GB2312"/>
          <w:b/>
          <w:bCs/>
          <w:sz w:val="32"/>
          <w:szCs w:val="32"/>
          <w:lang w:val="en-US" w:eastAsia="zh-CN"/>
        </w:rPr>
        <w:t xml:space="preserve">   </w:t>
      </w:r>
      <w:r>
        <w:rPr>
          <w:rFonts w:hint="eastAsia" w:ascii="仿宋" w:hAnsi="仿宋" w:eastAsia="仿宋" w:cs="仿宋_GB2312"/>
          <w:b/>
          <w:bCs/>
          <w:sz w:val="32"/>
          <w:szCs w:val="32"/>
        </w:rPr>
        <w:t>人）</w:t>
      </w:r>
      <w:r>
        <w:rPr>
          <w:rFonts w:hint="eastAsia" w:ascii="仿宋" w:hAnsi="仿宋" w:eastAsia="仿宋" w:cs="仿宋_GB2312"/>
          <w:b/>
          <w:bCs/>
          <w:sz w:val="32"/>
          <w:szCs w:val="32"/>
          <w:lang w:eastAsia="zh-CN"/>
        </w:rPr>
        <w:t>：诸暨技师学院</w:t>
      </w:r>
    </w:p>
    <w:p>
      <w:pPr>
        <w:spacing w:line="360" w:lineRule="auto"/>
        <w:jc w:val="both"/>
        <w:rPr>
          <w:rFonts w:hint="eastAsia" w:ascii="仿宋" w:hAnsi="仿宋" w:eastAsia="仿宋" w:cs="仿宋_GB2312"/>
          <w:b/>
          <w:bCs/>
          <w:sz w:val="32"/>
          <w:szCs w:val="32"/>
          <w:lang w:eastAsia="zh-CN"/>
        </w:rPr>
      </w:pPr>
      <w:r>
        <w:rPr>
          <w:rFonts w:hint="eastAsia" w:ascii="仿宋" w:hAnsi="仿宋" w:eastAsia="仿宋" w:cs="仿宋_GB2312"/>
          <w:b/>
          <w:bCs/>
          <w:sz w:val="32"/>
          <w:szCs w:val="32"/>
        </w:rPr>
        <w:t>（采购代理机构）</w:t>
      </w:r>
      <w:r>
        <w:rPr>
          <w:rFonts w:hint="eastAsia" w:ascii="仿宋" w:hAnsi="仿宋" w:eastAsia="仿宋" w:cs="仿宋_GB2312"/>
          <w:b/>
          <w:bCs/>
          <w:sz w:val="32"/>
          <w:szCs w:val="32"/>
          <w:lang w:eastAsia="zh-CN"/>
        </w:rPr>
        <w:t>：诸暨市公共资源交易中心</w:t>
      </w:r>
    </w:p>
    <w:p>
      <w:pPr>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宋体" w:hAnsi="宋体" w:cs="宋体"/>
          <w:b/>
          <w:bCs/>
          <w:sz w:val="32"/>
          <w:szCs w:val="32"/>
        </w:rPr>
        <w:t>〇</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月</w:t>
      </w:r>
    </w:p>
    <w:p>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pPr>
        <w:spacing w:line="360" w:lineRule="auto"/>
        <w:rPr>
          <w:rFonts w:ascii="仿宋" w:hAnsi="仿宋" w:eastAsia="仿宋" w:cs="仿宋_GB2312"/>
          <w:sz w:val="32"/>
          <w:szCs w:val="32"/>
        </w:rPr>
      </w:pPr>
    </w:p>
    <w:p>
      <w:pPr>
        <w:spacing w:line="360" w:lineRule="auto"/>
        <w:rPr>
          <w:rFonts w:ascii="仿宋" w:hAnsi="仿宋" w:eastAsia="仿宋" w:cs="仿宋_GB2312"/>
          <w:sz w:val="32"/>
          <w:szCs w:val="32"/>
        </w:rPr>
      </w:pP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pPr>
        <w:spacing w:line="360" w:lineRule="auto"/>
        <w:ind w:firstLine="549" w:firstLineChars="229"/>
        <w:rPr>
          <w:rFonts w:ascii="仿宋" w:hAnsi="仿宋" w:eastAsia="仿宋" w:cs="仿宋_GB2312"/>
          <w:sz w:val="24"/>
        </w:rPr>
      </w:pPr>
      <w:bookmarkStart w:id="1" w:name="_Hlt91233176"/>
      <w:bookmarkEnd w:id="1"/>
      <w:bookmarkStart w:id="2" w:name="_Toc91899869"/>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_GB2312" w:hAnsi="仿宋" w:eastAsia="仿宋_GB2312"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u w:val="single"/>
        </w:rPr>
        <w:t>（</w:t>
      </w:r>
      <w:r>
        <w:rPr>
          <w:rFonts w:hint="eastAsia" w:asciiTheme="majorEastAsia" w:hAnsiTheme="majorEastAsia" w:eastAsiaTheme="majorEastAsia" w:cstheme="majorEastAsia"/>
          <w:b/>
          <w:bCs/>
          <w:sz w:val="24"/>
          <w:u w:val="single"/>
          <w:lang w:eastAsia="zh-CN"/>
        </w:rPr>
        <w:t>诸暨技师学院电子商务一体化实训平台采购项目</w:t>
      </w:r>
      <w:r>
        <w:rPr>
          <w:rFonts w:hint="eastAsia" w:asciiTheme="majorEastAsia" w:hAnsiTheme="majorEastAsia" w:eastAsiaTheme="majorEastAsia" w:cstheme="majorEastAsia"/>
          <w:sz w:val="24"/>
          <w:u w:val="single"/>
        </w:rPr>
        <w:t>）</w:t>
      </w:r>
      <w:r>
        <w:rPr>
          <w:rFonts w:hint="eastAsia" w:asciiTheme="majorEastAsia" w:hAnsiTheme="majorEastAsia" w:eastAsiaTheme="majorEastAsia" w:cstheme="majorEastAsia"/>
          <w:sz w:val="24"/>
        </w:rPr>
        <w:t>招标项目的潜在投标人应在浙江政府采购网“政府采购云平台”</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"https://www.zcygov.cn/）获取（下载）招标文件，并于2021年" </w:instrText>
      </w:r>
      <w:r>
        <w:rPr>
          <w:rFonts w:hint="eastAsia" w:asciiTheme="majorEastAsia" w:hAnsiTheme="majorEastAsia" w:eastAsiaTheme="majorEastAsia" w:cstheme="majorEastAsia"/>
        </w:rPr>
        <w:fldChar w:fldCharType="separate"/>
      </w:r>
      <w:r>
        <w:rPr>
          <w:rStyle w:val="77"/>
          <w:rFonts w:hint="eastAsia" w:asciiTheme="majorEastAsia" w:hAnsiTheme="majorEastAsia" w:eastAsiaTheme="majorEastAsia" w:cstheme="majorEastAsia"/>
          <w:snapToGrid/>
          <w:color w:val="auto"/>
          <w:kern w:val="2"/>
          <w:sz w:val="24"/>
          <w:szCs w:val="24"/>
        </w:rPr>
        <w:t>获取（下载）招标文件，并于</w:t>
      </w:r>
      <w:r>
        <w:rPr>
          <w:rFonts w:hint="eastAsia" w:asciiTheme="majorEastAsia" w:hAnsiTheme="majorEastAsia" w:eastAsiaTheme="majorEastAsia" w:cstheme="majorEastAsia"/>
          <w:sz w:val="24"/>
          <w:u w:val="single"/>
        </w:rPr>
        <w:t>202</w:t>
      </w:r>
      <w:r>
        <w:rPr>
          <w:rFonts w:hint="eastAsia" w:asciiTheme="majorEastAsia" w:hAnsiTheme="majorEastAsia" w:eastAsiaTheme="majorEastAsia" w:cstheme="majorEastAsia"/>
          <w:sz w:val="24"/>
          <w:u w:val="single"/>
          <w:lang w:val="en-US" w:eastAsia="zh-CN"/>
        </w:rPr>
        <w:t>2</w:t>
      </w:r>
      <w:r>
        <w:rPr>
          <w:rFonts w:hint="eastAsia" w:asciiTheme="majorEastAsia" w:hAnsiTheme="majorEastAsia" w:eastAsiaTheme="majorEastAsia" w:cstheme="majorEastAsia"/>
          <w:sz w:val="24"/>
          <w:u w:val="single"/>
        </w:rPr>
        <w:t>年</w:t>
      </w:r>
      <w:r>
        <w:rPr>
          <w:rFonts w:hint="eastAsia" w:asciiTheme="majorEastAsia" w:hAnsiTheme="majorEastAsia" w:eastAsiaTheme="majorEastAsia" w:cstheme="majorEastAsia"/>
          <w:sz w:val="24"/>
          <w:u w:val="single"/>
          <w:lang w:val="en-US" w:eastAsia="zh-CN"/>
        </w:rPr>
        <w:t>6</w:t>
      </w:r>
      <w:r>
        <w:rPr>
          <w:rFonts w:hint="eastAsia" w:asciiTheme="majorEastAsia" w:hAnsiTheme="majorEastAsia" w:eastAsiaTheme="majorEastAsia" w:cstheme="majorEastAsia"/>
          <w:sz w:val="24"/>
          <w:u w:val="single"/>
        </w:rPr>
        <w:t xml:space="preserve">月 </w:t>
      </w:r>
      <w:r>
        <w:rPr>
          <w:rFonts w:hint="eastAsia" w:asciiTheme="majorEastAsia" w:hAnsiTheme="majorEastAsia" w:eastAsiaTheme="majorEastAsia" w:cstheme="majorEastAsia"/>
          <w:sz w:val="24"/>
          <w:u w:val="single"/>
          <w:lang w:val="en-US" w:eastAsia="zh-CN"/>
        </w:rPr>
        <w:t>22</w:t>
      </w:r>
      <w:r>
        <w:rPr>
          <w:rFonts w:hint="eastAsia" w:asciiTheme="majorEastAsia" w:hAnsiTheme="majorEastAsia" w:eastAsiaTheme="majorEastAsia" w:cstheme="majorEastAsia"/>
          <w:sz w:val="24"/>
          <w:u w:val="single"/>
        </w:rPr>
        <w:t>日</w:t>
      </w:r>
      <w:r>
        <w:rPr>
          <w:rFonts w:hint="eastAsia" w:asciiTheme="majorEastAsia" w:hAnsiTheme="majorEastAsia" w:eastAsiaTheme="majorEastAsia" w:cstheme="majorEastAsia"/>
          <w:sz w:val="24"/>
          <w:u w:val="single"/>
          <w:lang w:val="en-US" w:eastAsia="zh-CN"/>
        </w:rPr>
        <w:t>9</w:t>
      </w:r>
      <w:r>
        <w:rPr>
          <w:rFonts w:hint="eastAsia" w:asciiTheme="majorEastAsia" w:hAnsiTheme="majorEastAsia" w:eastAsiaTheme="majorEastAsia" w:cstheme="majorEastAsia"/>
          <w:sz w:val="24"/>
          <w:u w:val="single"/>
        </w:rPr>
        <w:t xml:space="preserve"> 点 </w:t>
      </w:r>
      <w:r>
        <w:rPr>
          <w:rFonts w:hint="eastAsia" w:asciiTheme="majorEastAsia" w:hAnsiTheme="majorEastAsia" w:eastAsiaTheme="majorEastAsia" w:cstheme="majorEastAsia"/>
          <w:sz w:val="24"/>
          <w:u w:val="single"/>
          <w:lang w:val="en-US" w:eastAsia="zh-CN"/>
        </w:rPr>
        <w:t>00</w:t>
      </w:r>
      <w:r>
        <w:rPr>
          <w:rFonts w:hint="eastAsia" w:asciiTheme="majorEastAsia" w:hAnsiTheme="majorEastAsia" w:eastAsiaTheme="majorEastAsia" w:cstheme="majorEastAsia"/>
          <w:sz w:val="24"/>
          <w:u w:val="single"/>
        </w:rPr>
        <w:t>分</w:t>
      </w:r>
      <w:r>
        <w:rPr>
          <w:rFonts w:hint="eastAsia" w:asciiTheme="majorEastAsia" w:hAnsiTheme="majorEastAsia" w:eastAsiaTheme="majorEastAsia" w:cstheme="majorEastAsia"/>
          <w:bCs/>
          <w:sz w:val="24"/>
          <w:u w:val="single"/>
        </w:rPr>
        <w:t>00秒</w:t>
      </w:r>
      <w:r>
        <w:rPr>
          <w:rFonts w:hint="eastAsia" w:asciiTheme="majorEastAsia" w:hAnsiTheme="majorEastAsia" w:eastAsiaTheme="majorEastAsia" w:cstheme="majorEastAsia"/>
          <w:bCs/>
          <w:sz w:val="24"/>
          <w:u w:val="single"/>
        </w:rPr>
        <w:fldChar w:fldCharType="end"/>
      </w:r>
      <w:r>
        <w:rPr>
          <w:rFonts w:hint="eastAsia" w:asciiTheme="majorEastAsia" w:hAnsiTheme="majorEastAsia" w:eastAsiaTheme="majorEastAsia" w:cstheme="majorEastAsia"/>
          <w:bCs/>
          <w:sz w:val="24"/>
        </w:rPr>
        <w:t>（北京时间）前</w:t>
      </w:r>
      <w:r>
        <w:rPr>
          <w:rFonts w:hint="eastAsia" w:asciiTheme="majorEastAsia" w:hAnsiTheme="majorEastAsia" w:eastAsiaTheme="majorEastAsia" w:cstheme="majorEastAsia"/>
          <w:sz w:val="24"/>
        </w:rPr>
        <w:t>递交（上传）投标文件。</w:t>
      </w:r>
    </w:p>
    <w:p>
      <w:pPr>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一、项目基本情况                                            </w:t>
      </w:r>
    </w:p>
    <w:p>
      <w:pPr>
        <w:spacing w:line="360" w:lineRule="auto"/>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b/>
          <w:sz w:val="24"/>
        </w:rPr>
        <w:t>项目编号：</w:t>
      </w:r>
      <w:r>
        <w:rPr>
          <w:rFonts w:hint="eastAsia" w:asciiTheme="majorEastAsia" w:hAnsiTheme="majorEastAsia" w:eastAsiaTheme="majorEastAsia" w:cstheme="majorEastAsia"/>
          <w:sz w:val="24"/>
          <w:lang w:eastAsia="zh-CN"/>
        </w:rPr>
        <w:t>诸政采</w:t>
      </w:r>
      <w:r>
        <w:rPr>
          <w:rFonts w:hint="eastAsia" w:asciiTheme="majorEastAsia" w:hAnsiTheme="majorEastAsia" w:eastAsiaTheme="majorEastAsia" w:cstheme="majorEastAsia"/>
          <w:sz w:val="24"/>
          <w:lang w:val="en-US" w:eastAsia="zh-CN"/>
        </w:rPr>
        <w:t>2022-05-07</w:t>
      </w:r>
    </w:p>
    <w:p>
      <w:pPr>
        <w:pStyle w:val="33"/>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项目名称：</w:t>
      </w:r>
      <w:r>
        <w:rPr>
          <w:rFonts w:hint="eastAsia" w:ascii="Calibri" w:hAnsi="Calibri" w:eastAsia="宋体" w:cs="Times New Roman"/>
          <w:sz w:val="24"/>
          <w:szCs w:val="24"/>
          <w:lang w:eastAsia="zh-CN"/>
        </w:rPr>
        <w:t>诸暨技师学院电子商务一体化实训平台采购项目</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b/>
          <w:sz w:val="24"/>
        </w:rPr>
        <w:t xml:space="preserve"> 预算金额（元）：</w:t>
      </w:r>
      <w:r>
        <w:rPr>
          <w:rFonts w:hint="eastAsia" w:ascii="Calibri" w:hAnsi="Calibri" w:eastAsia="宋体" w:cs="Times New Roman"/>
          <w:sz w:val="24"/>
          <w:szCs w:val="24"/>
          <w:lang w:val="en-US" w:eastAsia="zh-CN"/>
        </w:rPr>
        <w:t>168.50</w:t>
      </w:r>
      <w:r>
        <w:rPr>
          <w:rFonts w:hint="eastAsia" w:ascii="Calibri" w:hAnsi="Calibri" w:eastAsia="宋体" w:cs="Times New Roman"/>
          <w:sz w:val="24"/>
          <w:szCs w:val="24"/>
          <w:lang w:eastAsia="zh-CN"/>
        </w:rPr>
        <w:t>万元</w:t>
      </w:r>
    </w:p>
    <w:p>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最高限价（元）：</w:t>
      </w:r>
      <w:r>
        <w:rPr>
          <w:rFonts w:hint="eastAsia" w:ascii="Calibri" w:hAnsi="Calibri" w:eastAsia="宋体" w:cs="Times New Roman"/>
          <w:sz w:val="24"/>
          <w:szCs w:val="24"/>
          <w:lang w:val="en-US" w:eastAsia="zh-CN"/>
        </w:rPr>
        <w:t>168.50</w:t>
      </w:r>
      <w:r>
        <w:rPr>
          <w:rFonts w:hint="eastAsia" w:ascii="Calibri" w:hAnsi="Calibri" w:eastAsia="宋体" w:cs="Times New Roman"/>
          <w:sz w:val="24"/>
          <w:szCs w:val="24"/>
          <w:lang w:eastAsia="zh-CN"/>
        </w:rPr>
        <w:t>万元</w:t>
      </w:r>
      <w:r>
        <w:rPr>
          <w:rFonts w:hint="eastAsia" w:asciiTheme="majorEastAsia" w:hAnsiTheme="majorEastAsia" w:eastAsiaTheme="majorEastAsia" w:cstheme="majorEastAsia"/>
          <w:sz w:val="24"/>
        </w:rPr>
        <w:t xml:space="preserve"> </w:t>
      </w:r>
    </w:p>
    <w:p>
      <w:pPr>
        <w:pStyle w:val="7"/>
        <w:spacing w:line="360" w:lineRule="auto"/>
        <w:ind w:firstLine="480"/>
        <w:rPr>
          <w:rFonts w:hint="eastAsia" w:asciiTheme="majorEastAsia" w:hAnsiTheme="majorEastAsia" w:eastAsiaTheme="majorEastAsia" w:cstheme="majorEastAsia"/>
          <w:bCs/>
          <w:snapToGrid/>
          <w:color w:val="auto"/>
          <w:kern w:val="2"/>
          <w:sz w:val="24"/>
          <w:szCs w:val="24"/>
        </w:rPr>
      </w:pPr>
      <w:r>
        <w:rPr>
          <w:rFonts w:hint="eastAsia" w:asciiTheme="majorEastAsia" w:hAnsiTheme="majorEastAsia" w:eastAsiaTheme="majorEastAsia" w:cstheme="majorEastAsia"/>
          <w:b/>
          <w:color w:val="auto"/>
          <w:sz w:val="24"/>
        </w:rPr>
        <w:t>采购需求：</w:t>
      </w:r>
      <w:r>
        <w:rPr>
          <w:rFonts w:hint="eastAsia" w:ascii="Calibri" w:hAnsi="Calibri" w:eastAsia="宋体" w:cs="Times New Roman"/>
          <w:sz w:val="24"/>
          <w:szCs w:val="24"/>
          <w:lang w:eastAsia="zh-CN"/>
        </w:rPr>
        <w:t>诸暨技师学院电子商务一体化实训平台采购项目</w:t>
      </w:r>
      <w:r>
        <w:rPr>
          <w:rFonts w:hint="eastAsia" w:ascii="Calibri" w:hAnsi="Calibri" w:eastAsia="宋体" w:cs="Times New Roman"/>
          <w:sz w:val="24"/>
          <w:szCs w:val="24"/>
        </w:rPr>
        <w:t>，招标预算总金额</w:t>
      </w:r>
      <w:r>
        <w:rPr>
          <w:rFonts w:hint="eastAsia" w:ascii="Calibri" w:hAnsi="Calibri" w:eastAsia="宋体" w:cs="Times New Roman"/>
          <w:sz w:val="24"/>
          <w:szCs w:val="24"/>
          <w:lang w:val="en-US" w:eastAsia="zh-CN"/>
        </w:rPr>
        <w:t>为168.50万元。</w:t>
      </w:r>
      <w:r>
        <w:rPr>
          <w:rFonts w:hint="eastAsia" w:asciiTheme="majorEastAsia" w:hAnsiTheme="majorEastAsia" w:eastAsiaTheme="majorEastAsia" w:cstheme="majorEastAsia"/>
          <w:bCs/>
          <w:snapToGrid/>
          <w:color w:val="auto"/>
          <w:kern w:val="2"/>
          <w:sz w:val="24"/>
          <w:szCs w:val="24"/>
        </w:rPr>
        <w:t>详见招标文件第三部分采购需求。</w:t>
      </w:r>
    </w:p>
    <w:p>
      <w:pPr>
        <w:spacing w:line="360" w:lineRule="auto"/>
        <w:ind w:firstLine="482" w:firstLineChars="200"/>
        <w:rPr>
          <w:rFonts w:hint="eastAsia" w:asciiTheme="majorEastAsia" w:hAnsiTheme="majorEastAsia" w:eastAsiaTheme="majorEastAsia" w:cstheme="majorEastAsia"/>
          <w:b/>
          <w:sz w:val="24"/>
          <w:lang w:val="en-US" w:eastAsia="zh-CN"/>
        </w:rPr>
      </w:pPr>
      <w:r>
        <w:rPr>
          <w:rFonts w:hint="eastAsia" w:asciiTheme="majorEastAsia" w:hAnsiTheme="majorEastAsia" w:eastAsiaTheme="majorEastAsia" w:cstheme="majorEastAsia"/>
          <w:b/>
          <w:sz w:val="24"/>
        </w:rPr>
        <w:t>合同履约期限：</w:t>
      </w:r>
      <w:r>
        <w:rPr>
          <w:rFonts w:hint="eastAsia" w:asciiTheme="majorEastAsia" w:hAnsiTheme="majorEastAsia" w:eastAsiaTheme="majorEastAsia" w:cstheme="majorEastAsia"/>
          <w:b/>
          <w:sz w:val="24"/>
          <w:lang w:val="en-US" w:eastAsia="zh-CN"/>
        </w:rPr>
        <w:t>/</w:t>
      </w:r>
    </w:p>
    <w:p>
      <w:pPr>
        <w:pStyle w:val="7"/>
        <w:spacing w:line="360" w:lineRule="auto"/>
        <w:ind w:firstLine="48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color w:val="auto"/>
          <w:sz w:val="24"/>
        </w:rPr>
        <w:t>本项目接受联合体投标：</w:t>
      </w:r>
      <w:sdt>
        <w:sdtPr>
          <w:rPr>
            <w:rFonts w:hint="eastAsia" w:asciiTheme="majorEastAsia" w:hAnsiTheme="majorEastAsia" w:eastAsiaTheme="majorEastAsia" w:cstheme="majorEastAsia"/>
            <w:color w:val="auto"/>
            <w:kern w:val="0"/>
            <w:sz w:val="24"/>
          </w:rPr>
          <w:id w:val="-1765526721"/>
        </w:sdtPr>
        <w:sdtEndPr>
          <w:rPr>
            <w:rFonts w:hint="eastAsia" w:asciiTheme="majorEastAsia" w:hAnsiTheme="majorEastAsia" w:eastAsiaTheme="majorEastAsia" w:cstheme="majorEastAsia"/>
            <w:color w:val="auto"/>
            <w:kern w:val="0"/>
            <w:sz w:val="24"/>
          </w:rPr>
        </w:sdtEndPr>
        <w:sdtContent>
          <w:r>
            <w:rPr>
              <w:rFonts w:hint="eastAsia" w:asciiTheme="majorEastAsia" w:hAnsiTheme="majorEastAsia" w:eastAsiaTheme="majorEastAsia" w:cstheme="majorEastAsia"/>
              <w:color w:val="auto"/>
              <w:kern w:val="0"/>
              <w:sz w:val="24"/>
            </w:rPr>
            <w:t>☐</w:t>
          </w:r>
        </w:sdtContent>
      </w:sdt>
      <w:r>
        <w:rPr>
          <w:rFonts w:hint="eastAsia" w:asciiTheme="majorEastAsia" w:hAnsiTheme="majorEastAsia" w:eastAsiaTheme="majorEastAsia" w:cstheme="majorEastAsia"/>
          <w:b/>
          <w:color w:val="auto"/>
          <w:sz w:val="24"/>
        </w:rPr>
        <w:t>是，</w:t>
      </w:r>
      <w:sdt>
        <w:sdtPr>
          <w:rPr>
            <w:rFonts w:hint="eastAsia" w:asciiTheme="majorEastAsia" w:hAnsiTheme="majorEastAsia" w:eastAsiaTheme="majorEastAsia" w:cstheme="majorEastAsia"/>
            <w:color w:val="auto"/>
            <w:kern w:val="0"/>
            <w:sz w:val="24"/>
          </w:rPr>
          <w:id w:val="2035453831"/>
        </w:sdtPr>
        <w:sdtEndPr>
          <w:rPr>
            <w:rFonts w:hint="eastAsia" w:asciiTheme="majorEastAsia" w:hAnsiTheme="majorEastAsia" w:eastAsiaTheme="majorEastAsia" w:cstheme="majorEastAsia"/>
            <w:color w:val="auto"/>
            <w:kern w:val="0"/>
            <w:sz w:val="24"/>
          </w:rPr>
        </w:sdtEndPr>
        <w:sdtContent>
          <w:r>
            <w:rPr>
              <w:rFonts w:hint="eastAsia" w:asciiTheme="majorEastAsia" w:hAnsiTheme="majorEastAsia" w:eastAsiaTheme="majorEastAsia" w:cstheme="majorEastAsia"/>
              <w:color w:val="auto"/>
              <w:kern w:val="0"/>
              <w:sz w:val="24"/>
            </w:rPr>
            <w:sym w:font="Wingdings" w:char="F0FE"/>
          </w:r>
        </w:sdtContent>
      </w:sdt>
      <w:r>
        <w:rPr>
          <w:rFonts w:hint="eastAsia" w:asciiTheme="majorEastAsia" w:hAnsiTheme="majorEastAsia" w:eastAsiaTheme="majorEastAsia" w:cstheme="majorEastAsia"/>
          <w:b/>
          <w:color w:val="auto"/>
          <w:sz w:val="24"/>
        </w:rPr>
        <w:t>否</w:t>
      </w:r>
      <w:r>
        <w:rPr>
          <w:rFonts w:hint="eastAsia" w:asciiTheme="majorEastAsia" w:hAnsiTheme="majorEastAsia" w:eastAsiaTheme="majorEastAsia" w:cstheme="majorEastAsia"/>
          <w:color w:val="auto"/>
          <w:kern w:val="0"/>
          <w:sz w:val="24"/>
        </w:rPr>
        <w:t>。</w:t>
      </w:r>
    </w:p>
    <w:p>
      <w:pPr>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二、申请人的资格要求：</w:t>
      </w:r>
    </w:p>
    <w:p>
      <w:pPr>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1. 满足《中华人民共和国政府采购法》第二十二条规定；</w:t>
      </w:r>
    </w:p>
    <w:p>
      <w:pPr>
        <w:spacing w:line="360" w:lineRule="auto"/>
        <w:ind w:firstLine="480"/>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2.未被“信用中国”（www.creditchina.gov.cn)、中国政府采购网（www.ccgp.gov.cn）列入失信被执行人、重大税收违法案件当事人名单、政府采购严重违法失信行为记录名单。</w:t>
      </w:r>
    </w:p>
    <w:p>
      <w:pPr>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 xml:space="preserve">    3.落实政府采购政策需满足的资格要求：</w:t>
      </w:r>
    </w:p>
    <w:p>
      <w:pPr>
        <w:spacing w:line="360" w:lineRule="auto"/>
        <w:ind w:firstLine="480" w:firstLineChars="200"/>
        <w:rPr>
          <w:rFonts w:hint="eastAsia" w:asciiTheme="majorEastAsia" w:hAnsiTheme="majorEastAsia" w:eastAsiaTheme="majorEastAsia" w:cstheme="majorEastAsia"/>
          <w:bCs/>
          <w:sz w:val="24"/>
        </w:rPr>
      </w:pPr>
      <w:sdt>
        <w:sdtPr>
          <w:rPr>
            <w:rFonts w:hint="eastAsia" w:asciiTheme="majorEastAsia" w:hAnsiTheme="majorEastAsia" w:eastAsiaTheme="majorEastAsia" w:cstheme="majorEastAsia"/>
            <w:bCs/>
            <w:sz w:val="24"/>
          </w:rPr>
          <w:id w:val="1928616923"/>
        </w:sdtPr>
        <w:sdtEndPr>
          <w:rPr>
            <w:rFonts w:hint="eastAsia" w:asciiTheme="majorEastAsia" w:hAnsiTheme="majorEastAsia" w:eastAsiaTheme="majorEastAsia" w:cstheme="majorEastAsia"/>
            <w:bCs/>
            <w:sz w:val="24"/>
          </w:rPr>
        </w:sdtEndPr>
        <w:sdtContent>
          <w:r>
            <w:rPr>
              <w:rFonts w:hint="eastAsia" w:asciiTheme="majorEastAsia" w:hAnsiTheme="majorEastAsia" w:eastAsiaTheme="majorEastAsia" w:cstheme="majorEastAsia"/>
              <w:bCs/>
              <w:sz w:val="24"/>
            </w:rPr>
            <w:t>☐</w:t>
          </w:r>
        </w:sdtContent>
      </w:sdt>
      <w:r>
        <w:rPr>
          <w:rFonts w:hint="eastAsia" w:asciiTheme="majorEastAsia" w:hAnsiTheme="majorEastAsia" w:eastAsiaTheme="majorEastAsia" w:cstheme="majorEastAsia"/>
          <w:bCs/>
          <w:sz w:val="24"/>
        </w:rPr>
        <w:t>无；</w:t>
      </w:r>
    </w:p>
    <w:p>
      <w:pPr>
        <w:spacing w:line="360" w:lineRule="auto"/>
        <w:ind w:firstLine="480"/>
        <w:rPr>
          <w:rFonts w:hint="eastAsia" w:asciiTheme="majorEastAsia" w:hAnsiTheme="majorEastAsia" w:eastAsiaTheme="majorEastAsia" w:cstheme="majorEastAsia"/>
          <w:bCs/>
          <w:sz w:val="24"/>
        </w:rPr>
      </w:pPr>
      <w:sdt>
        <w:sdtPr>
          <w:rPr>
            <w:rFonts w:hint="eastAsia" w:asciiTheme="majorEastAsia" w:hAnsiTheme="majorEastAsia" w:eastAsiaTheme="majorEastAsia" w:cstheme="majorEastAsia"/>
            <w:bCs/>
            <w:sz w:val="24"/>
          </w:rPr>
          <w:id w:val="-1024704304"/>
        </w:sdtPr>
        <w:sdtEndPr>
          <w:rPr>
            <w:rFonts w:hint="eastAsia" w:asciiTheme="majorEastAsia" w:hAnsiTheme="majorEastAsia" w:eastAsiaTheme="majorEastAsia" w:cstheme="majorEastAsia"/>
            <w:bCs/>
            <w:sz w:val="24"/>
          </w:rPr>
        </w:sdtEndPr>
        <w:sdtContent>
          <w:r>
            <w:rPr>
              <w:rFonts w:hint="eastAsia" w:asciiTheme="majorEastAsia" w:hAnsiTheme="majorEastAsia" w:eastAsiaTheme="majorEastAsia" w:cstheme="majorEastAsia"/>
              <w:bCs/>
              <w:sz w:val="24"/>
            </w:rPr>
            <w:sym w:font="Wingdings" w:char="F0FE"/>
          </w:r>
        </w:sdtContent>
      </w:sdt>
      <w:r>
        <w:rPr>
          <w:rFonts w:hint="eastAsia" w:asciiTheme="majorEastAsia" w:hAnsiTheme="majorEastAsia" w:eastAsiaTheme="majorEastAsia" w:cstheme="majorEastAsia"/>
          <w:bCs/>
          <w:sz w:val="24"/>
        </w:rPr>
        <w:t>专门面向中小企业。</w:t>
      </w:r>
    </w:p>
    <w:p>
      <w:pPr>
        <w:spacing w:line="360" w:lineRule="auto"/>
        <w:ind w:firstLine="480"/>
        <w:rPr>
          <w:rFonts w:hint="eastAsia" w:asciiTheme="majorEastAsia" w:hAnsiTheme="majorEastAsia" w:eastAsiaTheme="majorEastAsia" w:cstheme="majorEastAsia"/>
          <w:bCs/>
          <w:sz w:val="24"/>
          <w:lang w:eastAsia="zh-CN"/>
        </w:rPr>
      </w:pPr>
      <w:r>
        <w:rPr>
          <w:rFonts w:hint="eastAsia" w:asciiTheme="majorEastAsia" w:hAnsiTheme="majorEastAsia" w:eastAsiaTheme="majorEastAsia" w:cstheme="majorEastAsia"/>
          <w:bCs/>
          <w:sz w:val="24"/>
        </w:rPr>
        <w:t>4.本项目的特定资格要求：</w:t>
      </w:r>
      <w:r>
        <w:rPr>
          <w:rFonts w:hint="eastAsia" w:asciiTheme="majorEastAsia" w:hAnsiTheme="majorEastAsia" w:eastAsiaTheme="majorEastAsia" w:cstheme="majorEastAsia"/>
          <w:bCs/>
          <w:sz w:val="24"/>
          <w:lang w:eastAsia="zh-CN"/>
        </w:rPr>
        <w:t>无</w:t>
      </w:r>
    </w:p>
    <w:p>
      <w:pPr>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三、获取招标文件 </w:t>
      </w:r>
    </w:p>
    <w:p>
      <w:pPr>
        <w:pStyle w:val="33"/>
        <w:spacing w:line="360" w:lineRule="auto"/>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时间：</w:t>
      </w:r>
      <w:r>
        <w:rPr>
          <w:rFonts w:hint="eastAsia" w:asciiTheme="majorEastAsia" w:hAnsiTheme="majorEastAsia" w:eastAsiaTheme="majorEastAsia" w:cstheme="majorEastAsia"/>
          <w:sz w:val="24"/>
          <w:u w:val="single"/>
        </w:rPr>
        <w:t>202</w:t>
      </w:r>
      <w:r>
        <w:rPr>
          <w:rFonts w:hint="eastAsia" w:asciiTheme="majorEastAsia" w:hAnsiTheme="majorEastAsia" w:eastAsiaTheme="majorEastAsia" w:cstheme="majorEastAsia"/>
          <w:sz w:val="24"/>
          <w:u w:val="single"/>
          <w:lang w:val="en-US" w:eastAsia="zh-CN"/>
        </w:rPr>
        <w:t>2</w:t>
      </w:r>
      <w:r>
        <w:rPr>
          <w:rFonts w:hint="eastAsia" w:asciiTheme="majorEastAsia" w:hAnsiTheme="majorEastAsia" w:eastAsiaTheme="majorEastAsia" w:cstheme="majorEastAsia"/>
          <w:sz w:val="24"/>
          <w:u w:val="single"/>
        </w:rPr>
        <w:t xml:space="preserve"> 年 </w:t>
      </w:r>
      <w:r>
        <w:rPr>
          <w:rFonts w:hint="eastAsia" w:asciiTheme="majorEastAsia" w:hAnsiTheme="majorEastAsia" w:eastAsiaTheme="majorEastAsia" w:cstheme="majorEastAsia"/>
          <w:sz w:val="24"/>
          <w:u w:val="single"/>
          <w:lang w:val="en-US" w:eastAsia="zh-CN"/>
        </w:rPr>
        <w:t>5</w:t>
      </w:r>
      <w:r>
        <w:rPr>
          <w:rFonts w:hint="eastAsia" w:asciiTheme="majorEastAsia" w:hAnsiTheme="majorEastAsia" w:eastAsiaTheme="majorEastAsia" w:cstheme="majorEastAsia"/>
          <w:sz w:val="24"/>
          <w:u w:val="single"/>
        </w:rPr>
        <w:t>月</w:t>
      </w:r>
      <w:r>
        <w:rPr>
          <w:rFonts w:hint="eastAsia" w:asciiTheme="majorEastAsia" w:hAnsiTheme="majorEastAsia" w:eastAsiaTheme="majorEastAsia" w:cstheme="majorEastAsia"/>
          <w:sz w:val="24"/>
          <w:u w:val="single"/>
          <w:lang w:val="en-US" w:eastAsia="zh-CN"/>
        </w:rPr>
        <w:t>31</w:t>
      </w:r>
      <w:r>
        <w:rPr>
          <w:rFonts w:hint="eastAsia" w:asciiTheme="majorEastAsia" w:hAnsiTheme="majorEastAsia" w:eastAsiaTheme="majorEastAsia" w:cstheme="majorEastAsia"/>
          <w:sz w:val="24"/>
          <w:u w:val="single"/>
        </w:rPr>
        <w:t>日</w:t>
      </w:r>
      <w:r>
        <w:rPr>
          <w:rFonts w:hint="eastAsia" w:asciiTheme="majorEastAsia" w:hAnsiTheme="majorEastAsia" w:eastAsiaTheme="majorEastAsia" w:cstheme="majorEastAsia"/>
          <w:sz w:val="24"/>
        </w:rPr>
        <w:t>至</w:t>
      </w:r>
      <w:r>
        <w:rPr>
          <w:rFonts w:hint="eastAsia" w:asciiTheme="majorEastAsia" w:hAnsiTheme="majorEastAsia" w:eastAsiaTheme="majorEastAsia" w:cstheme="majorEastAsia"/>
          <w:sz w:val="24"/>
          <w:u w:val="single"/>
        </w:rPr>
        <w:t>202</w:t>
      </w:r>
      <w:r>
        <w:rPr>
          <w:rFonts w:hint="eastAsia" w:asciiTheme="majorEastAsia" w:hAnsiTheme="majorEastAsia" w:eastAsiaTheme="majorEastAsia" w:cstheme="majorEastAsia"/>
          <w:sz w:val="24"/>
          <w:u w:val="single"/>
          <w:lang w:val="en-US" w:eastAsia="zh-CN"/>
        </w:rPr>
        <w:t>2</w:t>
      </w:r>
      <w:r>
        <w:rPr>
          <w:rFonts w:hint="eastAsia" w:asciiTheme="majorEastAsia" w:hAnsiTheme="majorEastAsia" w:eastAsiaTheme="majorEastAsia" w:cstheme="majorEastAsia"/>
          <w:sz w:val="24"/>
          <w:u w:val="single"/>
        </w:rPr>
        <w:t xml:space="preserve"> 年 </w:t>
      </w:r>
      <w:r>
        <w:rPr>
          <w:rFonts w:hint="eastAsia" w:asciiTheme="majorEastAsia" w:hAnsiTheme="majorEastAsia" w:eastAsiaTheme="majorEastAsia" w:cstheme="majorEastAsia"/>
          <w:sz w:val="24"/>
          <w:u w:val="single"/>
          <w:lang w:val="en-US" w:eastAsia="zh-CN"/>
        </w:rPr>
        <w:t>6</w:t>
      </w:r>
      <w:r>
        <w:rPr>
          <w:rFonts w:hint="eastAsia" w:asciiTheme="majorEastAsia" w:hAnsiTheme="majorEastAsia" w:eastAsiaTheme="majorEastAsia" w:cstheme="majorEastAsia"/>
          <w:sz w:val="24"/>
          <w:u w:val="single"/>
        </w:rPr>
        <w:t xml:space="preserve">月 </w:t>
      </w:r>
      <w:r>
        <w:rPr>
          <w:rFonts w:hint="eastAsia" w:asciiTheme="majorEastAsia" w:hAnsiTheme="majorEastAsia" w:eastAsiaTheme="majorEastAsia" w:cstheme="majorEastAsia"/>
          <w:sz w:val="24"/>
          <w:u w:val="single"/>
          <w:lang w:val="en-US" w:eastAsia="zh-CN"/>
        </w:rPr>
        <w:t>8</w:t>
      </w:r>
      <w:r>
        <w:rPr>
          <w:rFonts w:hint="eastAsia" w:asciiTheme="majorEastAsia" w:hAnsiTheme="majorEastAsia" w:eastAsiaTheme="majorEastAsia" w:cstheme="majorEastAsia"/>
          <w:sz w:val="24"/>
          <w:u w:val="single"/>
        </w:rPr>
        <w:t>日</w:t>
      </w:r>
      <w:r>
        <w:rPr>
          <w:rFonts w:hint="eastAsia" w:asciiTheme="majorEastAsia" w:hAnsiTheme="majorEastAsia" w:eastAsiaTheme="majorEastAsia" w:cstheme="majorEastAsia"/>
          <w:sz w:val="24"/>
        </w:rPr>
        <w:t>，每天上午00:00至12:00 ，下午12:00至23:59（北京时间，线上获取法定节假日均可）。招标文件发布截止时间之后有潜在供应商提出要求获取招标文件的，允许获取。</w:t>
      </w:r>
    </w:p>
    <w:p>
      <w:pPr>
        <w:spacing w:line="360" w:lineRule="auto"/>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地点（网址）：</w:t>
      </w:r>
      <w:r>
        <w:rPr>
          <w:rFonts w:hint="eastAsia" w:asciiTheme="majorEastAsia" w:hAnsiTheme="majorEastAsia" w:eastAsiaTheme="majorEastAsia" w:cstheme="majorEastAsia"/>
          <w:snapToGrid w:val="0"/>
          <w:sz w:val="24"/>
          <w:szCs w:val="21"/>
        </w:rPr>
        <w:t>浙江政府采购网（http://zfcg.czt.zj.gov.cn/）</w:t>
      </w:r>
      <w:r>
        <w:rPr>
          <w:rFonts w:hint="eastAsia" w:asciiTheme="majorEastAsia" w:hAnsiTheme="majorEastAsia" w:eastAsiaTheme="majorEastAsia" w:cstheme="majorEastAsia"/>
          <w:sz w:val="24"/>
        </w:rPr>
        <w:t xml:space="preserve"> </w:t>
      </w:r>
    </w:p>
    <w:p>
      <w:pPr>
        <w:spacing w:line="360" w:lineRule="auto"/>
        <w:ind w:firstLine="482" w:firstLineChars="200"/>
        <w:rPr>
          <w:rFonts w:hint="eastAsia" w:asciiTheme="majorEastAsia" w:hAnsiTheme="majorEastAsia" w:eastAsiaTheme="majorEastAsia" w:cstheme="majorEastAsia"/>
          <w:snapToGrid w:val="0"/>
          <w:sz w:val="24"/>
          <w:szCs w:val="21"/>
        </w:rPr>
      </w:pPr>
      <w:r>
        <w:rPr>
          <w:rFonts w:hint="eastAsia" w:asciiTheme="majorEastAsia" w:hAnsiTheme="majorEastAsia" w:eastAsiaTheme="majorEastAsia" w:cstheme="majorEastAsia"/>
          <w:b/>
          <w:sz w:val="24"/>
        </w:rPr>
        <w:t>方式：</w:t>
      </w:r>
      <w:r>
        <w:rPr>
          <w:rFonts w:hint="eastAsia" w:asciiTheme="majorEastAsia" w:hAnsiTheme="majorEastAsia" w:eastAsiaTheme="majorEastAsia" w:cstheme="majorEastAsia"/>
          <w:snapToGrid w:val="0"/>
          <w:sz w:val="24"/>
          <w:szCs w:val="21"/>
        </w:rPr>
        <w:t>本项目招标文件采用网上下载方式发布，不提供招标文件纸质版。符合投标人资格条件的供应商请在上述网站采购公告栏目中获取招标文件。本项目无须报名，直接在政府采购云平台上参与电子投标。</w:t>
      </w:r>
    </w:p>
    <w:p>
      <w:pPr>
        <w:spacing w:line="360" w:lineRule="auto"/>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售价：</w:t>
      </w:r>
      <w:r>
        <w:rPr>
          <w:rFonts w:hint="eastAsia" w:asciiTheme="majorEastAsia" w:hAnsiTheme="majorEastAsia" w:eastAsiaTheme="majorEastAsia" w:cstheme="majorEastAsia"/>
          <w:snapToGrid w:val="0"/>
          <w:sz w:val="24"/>
          <w:szCs w:val="21"/>
        </w:rPr>
        <w:t>0 元。</w:t>
      </w:r>
      <w:r>
        <w:rPr>
          <w:rFonts w:hint="eastAsia" w:asciiTheme="majorEastAsia" w:hAnsiTheme="majorEastAsia" w:eastAsiaTheme="majorEastAsia" w:cstheme="majorEastAsia"/>
          <w:sz w:val="24"/>
        </w:rPr>
        <w:tab/>
      </w:r>
    </w:p>
    <w:p>
      <w:pPr>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四、提交投标文件截止时间、开标时间和地点</w:t>
      </w:r>
    </w:p>
    <w:p>
      <w:pPr>
        <w:pStyle w:val="33"/>
        <w:spacing w:line="360" w:lineRule="auto"/>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napToGrid/>
          <w:sz w:val="24"/>
          <w:szCs w:val="24"/>
        </w:rPr>
        <w:t>提交投标文件截止时间及开标时间：</w:t>
      </w:r>
      <w:r>
        <w:rPr>
          <w:rFonts w:hint="eastAsia" w:asciiTheme="majorEastAsia" w:hAnsiTheme="majorEastAsia" w:eastAsiaTheme="majorEastAsia" w:cstheme="majorEastAsia"/>
          <w:sz w:val="24"/>
        </w:rPr>
        <w:t>投标人应于2022 年</w:t>
      </w:r>
      <w:r>
        <w:rPr>
          <w:rFonts w:hint="eastAsia" w:asciiTheme="majorEastAsia" w:hAnsiTheme="majorEastAsia" w:eastAsiaTheme="majorEastAsia" w:cstheme="majorEastAsia"/>
          <w:sz w:val="24"/>
          <w:lang w:val="en-US" w:eastAsia="zh-CN"/>
        </w:rPr>
        <w:t>6</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lang w:val="en-US" w:eastAsia="zh-CN"/>
        </w:rPr>
        <w:t>22</w:t>
      </w:r>
      <w:r>
        <w:rPr>
          <w:rFonts w:hint="eastAsia" w:asciiTheme="majorEastAsia" w:hAnsiTheme="majorEastAsia" w:eastAsiaTheme="majorEastAsia" w:cstheme="majorEastAsia"/>
          <w:sz w:val="24"/>
        </w:rPr>
        <w:t xml:space="preserve">日 </w:t>
      </w:r>
      <w:r>
        <w:rPr>
          <w:rFonts w:hint="eastAsia" w:asciiTheme="majorEastAsia" w:hAnsiTheme="majorEastAsia" w:eastAsiaTheme="majorEastAsia" w:cstheme="majorEastAsia"/>
          <w:sz w:val="24"/>
          <w:lang w:val="en-US" w:eastAsia="zh-CN"/>
        </w:rPr>
        <w:t>9</w:t>
      </w:r>
      <w:r>
        <w:rPr>
          <w:rFonts w:hint="eastAsia" w:asciiTheme="majorEastAsia" w:hAnsiTheme="majorEastAsia" w:eastAsiaTheme="majorEastAsia" w:cstheme="majorEastAsia"/>
          <w:sz w:val="24"/>
        </w:rPr>
        <w:t>时</w:t>
      </w:r>
      <w:r>
        <w:rPr>
          <w:rFonts w:hint="eastAsia" w:asciiTheme="majorEastAsia" w:hAnsiTheme="majorEastAsia" w:eastAsiaTheme="majorEastAsia" w:cstheme="majorEastAsia"/>
          <w:sz w:val="24"/>
          <w:lang w:val="en-US" w:eastAsia="zh-CN"/>
        </w:rPr>
        <w:t>00</w:t>
      </w:r>
      <w:r>
        <w:rPr>
          <w:rFonts w:hint="eastAsia" w:asciiTheme="majorEastAsia" w:hAnsiTheme="majorEastAsia" w:eastAsiaTheme="majorEastAsia" w:cstheme="majorEastAsia"/>
          <w:sz w:val="24"/>
        </w:rPr>
        <w:t xml:space="preserve"> 分（北京时间）前按照电子投标要求将电子加密标书上传到政府采购云平台，逾期或未上传成功的将导致无法投标或投标无效。</w:t>
      </w:r>
    </w:p>
    <w:p>
      <w:pPr>
        <w:pStyle w:val="33"/>
        <w:spacing w:line="360" w:lineRule="auto"/>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napToGrid/>
          <w:sz w:val="24"/>
          <w:szCs w:val="24"/>
        </w:rPr>
        <w:t>开标地点：</w:t>
      </w:r>
      <w:r>
        <w:rPr>
          <w:rFonts w:hint="eastAsia" w:asciiTheme="majorEastAsia" w:hAnsiTheme="majorEastAsia" w:eastAsiaTheme="majorEastAsia" w:cstheme="majorEastAsia"/>
          <w:sz w:val="24"/>
        </w:rPr>
        <w:t>政府采购云平台（www.zcygov.cn）。所有投标人均须准时在“政府采购云平台”在线参加。</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 xml:space="preserve">五、公告期限 </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自本公告发布之日起5个工作日。</w:t>
      </w:r>
    </w:p>
    <w:p>
      <w:pPr>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六、其他补充事宜</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认为招标文件使自己的权益受到损害的，可以自获取招标文件之日或者招标文件公告期限届满之日（公告期限届满后获取招标文件的，以公告期限届满之日为准）起七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其他事项：（1）需要落实的政府采购政策：包括节约资源、保护环境、支持创新、促进中小企业发展等，详见招标文件的第二部分投标人须知-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w:t>
      </w:r>
      <w:r>
        <w:rPr>
          <w:rFonts w:hint="eastAsia" w:asciiTheme="majorEastAsia" w:hAnsiTheme="majorEastAsia" w:eastAsiaTheme="majorEastAsia" w:cstheme="majorEastAsia"/>
          <w:b/>
          <w:bCs/>
          <w:sz w:val="24"/>
        </w:rPr>
        <w:t>备份投标文件的制作、递交详见招标文件第二部分第15点—“备份投标文件”；</w:t>
      </w:r>
      <w:r>
        <w:rPr>
          <w:rFonts w:hint="eastAsia" w:asciiTheme="majorEastAsia" w:hAnsiTheme="majorEastAsia" w:eastAsiaTheme="majorEastAsia" w:cstheme="majorEastAsia"/>
          <w:sz w:val="24"/>
        </w:rPr>
        <w:t xml:space="preserve">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pPr>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七、对本次采购提出询问、质疑、投诉，请按以下方式联系</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1.采购人信息</w:t>
      </w:r>
    </w:p>
    <w:p>
      <w:pPr>
        <w:spacing w:line="360" w:lineRule="auto"/>
        <w:rPr>
          <w:rFonts w:hint="eastAsia" w:asciiTheme="majorEastAsia" w:hAnsiTheme="majorEastAsia" w:eastAsiaTheme="majorEastAsia" w:cstheme="majorEastAsia"/>
          <w:sz w:val="24"/>
          <w:lang w:eastAsia="zh-CN"/>
        </w:rPr>
      </w:pPr>
      <w:r>
        <w:rPr>
          <w:rFonts w:hint="eastAsia" w:asciiTheme="majorEastAsia" w:hAnsiTheme="majorEastAsia" w:eastAsiaTheme="majorEastAsia" w:cstheme="majorEastAsia"/>
          <w:sz w:val="24"/>
        </w:rPr>
        <w:t xml:space="preserve">    名    称：</w:t>
      </w:r>
      <w:r>
        <w:rPr>
          <w:rFonts w:hint="eastAsia" w:asciiTheme="majorEastAsia" w:hAnsiTheme="majorEastAsia" w:eastAsiaTheme="majorEastAsia" w:cstheme="majorEastAsia"/>
          <w:sz w:val="24"/>
          <w:lang w:val="en-US" w:eastAsia="zh-CN"/>
        </w:rPr>
        <w:t>诸暨技师学院</w:t>
      </w:r>
    </w:p>
    <w:p>
      <w:pPr>
        <w:spacing w:line="360" w:lineRule="auto"/>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 xml:space="preserve">    地    址：</w:t>
      </w:r>
      <w:r>
        <w:rPr>
          <w:rFonts w:hint="eastAsia" w:asciiTheme="majorEastAsia" w:hAnsiTheme="majorEastAsia" w:eastAsiaTheme="majorEastAsia" w:cstheme="majorEastAsia"/>
          <w:sz w:val="24"/>
          <w:lang w:val="en-US" w:eastAsia="zh-CN"/>
        </w:rPr>
        <w:t>诸暨市育才路1号</w:t>
      </w:r>
    </w:p>
    <w:p>
      <w:pPr>
        <w:spacing w:line="360" w:lineRule="auto"/>
        <w:ind w:firstLine="480"/>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 xml:space="preserve">项目联系人（询问）： </w:t>
      </w:r>
      <w:r>
        <w:rPr>
          <w:rFonts w:hint="eastAsia" w:ascii="宋体" w:hAnsi="宋体"/>
          <w:kern w:val="0"/>
          <w:szCs w:val="24"/>
          <w:lang w:eastAsia="zh-CN"/>
        </w:rPr>
        <w:t>王加林</w:t>
      </w:r>
      <w:r>
        <w:rPr>
          <w:rFonts w:hint="eastAsia" w:asciiTheme="majorEastAsia" w:hAnsiTheme="majorEastAsia" w:eastAsiaTheme="majorEastAsia" w:cstheme="majorEastAsia"/>
          <w:sz w:val="24"/>
        </w:rPr>
        <w:t xml:space="preserve">      项目联系方式（询问）：</w:t>
      </w:r>
      <w:r>
        <w:rPr>
          <w:rFonts w:hint="eastAsia" w:asciiTheme="majorEastAsia" w:hAnsiTheme="majorEastAsia" w:eastAsiaTheme="majorEastAsia" w:cstheme="majorEastAsia"/>
          <w:sz w:val="24"/>
          <w:lang w:val="en-US" w:eastAsia="zh-CN"/>
        </w:rPr>
        <w:t xml:space="preserve">13506852347  </w:t>
      </w:r>
    </w:p>
    <w:p>
      <w:pPr>
        <w:spacing w:line="360" w:lineRule="auto"/>
        <w:ind w:firstLine="480" w:firstLineChars="200"/>
        <w:rPr>
          <w:rFonts w:hint="eastAsia"/>
        </w:rPr>
      </w:pPr>
      <w:r>
        <w:rPr>
          <w:rFonts w:hint="eastAsia" w:asciiTheme="majorEastAsia" w:hAnsiTheme="majorEastAsia" w:eastAsiaTheme="majorEastAsia" w:cstheme="majorEastAsia"/>
          <w:sz w:val="24"/>
        </w:rPr>
        <w:t>质疑联系人：</w:t>
      </w:r>
      <w:r>
        <w:rPr>
          <w:rFonts w:ascii="宋体" w:hAnsi="宋体" w:eastAsia="宋体" w:cs="宋体"/>
          <w:sz w:val="24"/>
          <w:szCs w:val="24"/>
        </w:rPr>
        <w:t>杨舟江</w:t>
      </w:r>
      <w:r>
        <w:rPr>
          <w:rFonts w:hint="eastAsia" w:asciiTheme="majorEastAsia" w:hAnsiTheme="majorEastAsia" w:eastAsiaTheme="majorEastAsia" w:cstheme="majorEastAsia"/>
          <w:sz w:val="24"/>
        </w:rPr>
        <w:t xml:space="preserve">              质疑联系方式： </w:t>
      </w:r>
      <w:r>
        <w:rPr>
          <w:rFonts w:ascii="宋体" w:hAnsi="宋体" w:eastAsia="宋体" w:cs="宋体"/>
          <w:sz w:val="24"/>
          <w:szCs w:val="24"/>
        </w:rPr>
        <w:t>13588561765</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2.采购代理机构信息            </w:t>
      </w:r>
    </w:p>
    <w:p>
      <w:pPr>
        <w:spacing w:line="360" w:lineRule="auto"/>
        <w:ind w:left="479" w:leftChars="228" w:firstLine="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名    称：诸暨市公资源交易中心</w:t>
      </w:r>
    </w:p>
    <w:p>
      <w:pPr>
        <w:spacing w:line="360" w:lineRule="auto"/>
        <w:ind w:left="479" w:leftChars="228" w:firstLine="0" w:firstLineChars="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 xml:space="preserve">地    址： </w:t>
      </w:r>
      <w:r>
        <w:rPr>
          <w:rFonts w:hint="eastAsia" w:asciiTheme="majorEastAsia" w:hAnsiTheme="majorEastAsia" w:eastAsiaTheme="majorEastAsia" w:cstheme="majorEastAsia"/>
          <w:sz w:val="24"/>
          <w:lang w:eastAsia="zh-CN"/>
        </w:rPr>
        <w:t>诸暨市暨东路</w:t>
      </w:r>
      <w:r>
        <w:rPr>
          <w:rFonts w:hint="eastAsia" w:asciiTheme="majorEastAsia" w:hAnsiTheme="majorEastAsia" w:eastAsiaTheme="majorEastAsia" w:cstheme="majorEastAsia"/>
          <w:sz w:val="24"/>
          <w:lang w:val="en-US" w:eastAsia="zh-CN"/>
        </w:rPr>
        <w:t>58号6楼北602办公室</w:t>
      </w:r>
    </w:p>
    <w:p>
      <w:pPr>
        <w:spacing w:line="360" w:lineRule="auto"/>
        <w:ind w:left="480" w:hanging="480" w:hangingChars="200"/>
        <w:rPr>
          <w:rFonts w:hint="eastAsia"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rPr>
        <w:t xml:space="preserve">    项目联系人（询问）：</w:t>
      </w:r>
      <w:r>
        <w:rPr>
          <w:rFonts w:hint="eastAsia" w:asciiTheme="majorEastAsia" w:hAnsiTheme="majorEastAsia" w:eastAsiaTheme="majorEastAsia" w:cstheme="majorEastAsia"/>
          <w:sz w:val="24"/>
          <w:lang w:eastAsia="zh-CN"/>
        </w:rPr>
        <w:t>杨晔</w:t>
      </w:r>
      <w:r>
        <w:rPr>
          <w:rFonts w:hint="eastAsia" w:asciiTheme="majorEastAsia" w:hAnsiTheme="majorEastAsia" w:eastAsiaTheme="majorEastAsia" w:cstheme="majorEastAsia"/>
          <w:sz w:val="24"/>
        </w:rPr>
        <w:t xml:space="preserve">         项目联系方式（询问）</w:t>
      </w:r>
      <w:r>
        <w:rPr>
          <w:rFonts w:hint="eastAsia" w:asciiTheme="majorEastAsia" w:hAnsiTheme="majorEastAsia" w:eastAsiaTheme="majorEastAsia" w:cstheme="majorEastAsia"/>
          <w:sz w:val="24"/>
          <w:lang w:val="en-US" w:eastAsia="zh-CN"/>
        </w:rPr>
        <w:t>0575-89006366</w:t>
      </w:r>
      <w:r>
        <w:rPr>
          <w:rFonts w:hint="eastAsia" w:asciiTheme="majorEastAsia" w:hAnsiTheme="majorEastAsia" w:eastAsiaTheme="majorEastAsia" w:cstheme="majorEastAsia"/>
          <w:sz w:val="24"/>
        </w:rPr>
        <w:t>：   传    真：</w:t>
      </w:r>
      <w:r>
        <w:rPr>
          <w:rFonts w:hint="eastAsia" w:asciiTheme="majorEastAsia" w:hAnsiTheme="majorEastAsia" w:eastAsiaTheme="majorEastAsia" w:cstheme="majorEastAsia"/>
          <w:sz w:val="24"/>
          <w:lang w:val="en-US" w:eastAsia="zh-CN"/>
        </w:rPr>
        <w:t>0575-87221107</w:t>
      </w:r>
    </w:p>
    <w:p>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质疑联系人</w:t>
      </w:r>
      <w:r>
        <w:rPr>
          <w:rFonts w:hint="eastAsia" w:asciiTheme="majorEastAsia" w:hAnsiTheme="majorEastAsia" w:eastAsiaTheme="majorEastAsia" w:cstheme="majorEastAsia"/>
          <w:sz w:val="24"/>
          <w:lang w:eastAsia="zh-CN"/>
        </w:rPr>
        <w:t>：金泽成</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质疑联系方式：</w:t>
      </w:r>
      <w:r>
        <w:rPr>
          <w:rFonts w:hint="eastAsia" w:asciiTheme="majorEastAsia" w:hAnsiTheme="majorEastAsia" w:eastAsiaTheme="majorEastAsia" w:cstheme="majorEastAsia"/>
          <w:sz w:val="24"/>
          <w:lang w:val="en-US" w:eastAsia="zh-CN"/>
        </w:rPr>
        <w:t>0575-</w:t>
      </w: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87253015</w:t>
      </w:r>
      <w:r>
        <w:rPr>
          <w:rFonts w:hint="eastAsia" w:asciiTheme="majorEastAsia" w:hAnsiTheme="majorEastAsia" w:eastAsiaTheme="majorEastAsia" w:cstheme="majorEastAsia"/>
          <w:sz w:val="24"/>
        </w:rPr>
        <w:t xml:space="preserve">  </w:t>
      </w:r>
    </w:p>
    <w:p>
      <w:pPr>
        <w:spacing w:line="360" w:lineRule="auto"/>
        <w:ind w:firstLine="48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传    真：</w:t>
      </w:r>
      <w:r>
        <w:rPr>
          <w:rFonts w:hint="eastAsia" w:asciiTheme="majorEastAsia" w:hAnsiTheme="majorEastAsia" w:eastAsiaTheme="majorEastAsia" w:cstheme="majorEastAsia"/>
          <w:sz w:val="24"/>
          <w:lang w:val="en-US" w:eastAsia="zh-CN"/>
        </w:rPr>
        <w:t>0575-87221107</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3.同级政府采购监督管理部门            </w:t>
      </w:r>
    </w:p>
    <w:p>
      <w:pPr>
        <w:spacing w:line="360" w:lineRule="auto"/>
        <w:ind w:left="479" w:leftChars="228"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名    称： 诸暨市财政局政府采购监管科</w:t>
      </w:r>
    </w:p>
    <w:p>
      <w:pPr>
        <w:spacing w:line="360" w:lineRule="auto"/>
        <w:ind w:left="479" w:leftChars="228"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地    址：诸暨市人民中路356号 </w:t>
      </w:r>
    </w:p>
    <w:p>
      <w:pPr>
        <w:spacing w:line="360" w:lineRule="auto"/>
        <w:ind w:left="480" w:hanging="480" w:hanging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 xml:space="preserve"> 传    真： 0575-87023633</w:t>
      </w:r>
    </w:p>
    <w:p>
      <w:pPr>
        <w:spacing w:line="360" w:lineRule="auto"/>
        <w:ind w:left="479" w:leftChars="228"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w:t>
      </w:r>
      <w:r>
        <w:rPr>
          <w:rFonts w:hint="eastAsia" w:asciiTheme="majorEastAsia" w:hAnsiTheme="majorEastAsia" w:eastAsiaTheme="majorEastAsia" w:cstheme="majorEastAsia"/>
          <w:sz w:val="24"/>
          <w:lang w:eastAsia="zh-CN"/>
        </w:rPr>
        <w:t>系人</w:t>
      </w:r>
      <w:r>
        <w:rPr>
          <w:rFonts w:hint="eastAsia" w:asciiTheme="majorEastAsia" w:hAnsiTheme="majorEastAsia" w:eastAsiaTheme="majorEastAsia" w:cstheme="majorEastAsia"/>
          <w:sz w:val="24"/>
        </w:rPr>
        <w:t>：吕康玮    监督投诉电话： 0575-87111685</w:t>
      </w:r>
    </w:p>
    <w:p>
      <w:pPr>
        <w:spacing w:line="360" w:lineRule="auto"/>
        <w:ind w:left="479" w:leftChars="228" w:firstLine="0" w:firstLineChars="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电子邮箱：962305234@</w:t>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HYPERLINK "http://qq.com/" \t "_blank" </w:instrText>
      </w:r>
      <w:r>
        <w:rPr>
          <w:rFonts w:hint="eastAsia" w:asciiTheme="majorEastAsia" w:hAnsiTheme="majorEastAsia" w:eastAsiaTheme="majorEastAsia" w:cstheme="majorEastAsia"/>
          <w:sz w:val="24"/>
        </w:rPr>
        <w:fldChar w:fldCharType="separate"/>
      </w:r>
      <w:r>
        <w:rPr>
          <w:rFonts w:hint="eastAsia" w:asciiTheme="majorEastAsia" w:hAnsiTheme="majorEastAsia" w:eastAsiaTheme="majorEastAsia" w:cstheme="majorEastAsia"/>
          <w:sz w:val="24"/>
        </w:rPr>
        <w:t>qq.com</w:t>
      </w:r>
      <w:r>
        <w:rPr>
          <w:rFonts w:hint="eastAsia" w:asciiTheme="majorEastAsia" w:hAnsiTheme="majorEastAsia" w:eastAsiaTheme="majorEastAsia" w:cstheme="majorEastAsia"/>
          <w:sz w:val="24"/>
        </w:rPr>
        <w:fldChar w:fldCharType="end"/>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4.若对项目采购电子交易系统操作有疑问，可登录政府采购云平台（https://www.zcygov.cn/），点击右侧咨询小采，获取采小蜜智能服务管家帮助，或拨打服务热线400-881-7190获取热线服务帮助。</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CA问题联系电话（人工）：</w:t>
      </w:r>
      <w:r>
        <w:rPr>
          <w:rFonts w:hint="eastAsia" w:asciiTheme="majorEastAsia" w:hAnsiTheme="majorEastAsia" w:eastAsiaTheme="majorEastAsia" w:cstheme="majorEastAsia"/>
          <w:sz w:val="24"/>
          <w:lang w:val="en-US" w:eastAsia="zh-CN"/>
        </w:rPr>
        <w:t xml:space="preserve">  </w:t>
      </w:r>
      <w:r>
        <w:rPr>
          <w:rFonts w:hint="eastAsia" w:asciiTheme="majorEastAsia" w:hAnsiTheme="majorEastAsia" w:eastAsiaTheme="majorEastAsia" w:cstheme="majorEastAsia"/>
          <w:sz w:val="24"/>
        </w:rPr>
        <w:t>汇信CA 400-888-4636；天谷CA 400-087-8198。</w:t>
      </w:r>
    </w:p>
    <w:p>
      <w:pPr>
        <w:pStyle w:val="2"/>
        <w:rPr>
          <w:rFonts w:hint="default" w:asciiTheme="majorEastAsia" w:hAnsiTheme="majorEastAsia" w:eastAsiaTheme="majorEastAsia" w:cstheme="majorEastAsia"/>
          <w:spacing w:val="0"/>
          <w:kern w:val="2"/>
          <w:sz w:val="24"/>
          <w:szCs w:val="24"/>
          <w:lang w:val="en-US" w:eastAsia="zh-CN" w:bidi="ar-SA"/>
        </w:rPr>
      </w:pPr>
      <w:bookmarkStart w:id="401" w:name="_GoBack"/>
      <w:r>
        <w:rPr>
          <w:rFonts w:hint="eastAsia" w:asciiTheme="majorEastAsia" w:hAnsiTheme="majorEastAsia" w:eastAsiaTheme="majorEastAsia" w:cstheme="majorEastAsia"/>
          <w:sz w:val="24"/>
          <w:lang w:val="en-US" w:eastAsia="zh-CN"/>
        </w:rPr>
        <w:t>5.</w:t>
      </w:r>
      <w:r>
        <w:rPr>
          <w:rFonts w:hint="eastAsia" w:asciiTheme="majorEastAsia" w:hAnsiTheme="majorEastAsia" w:eastAsiaTheme="majorEastAsia" w:cstheme="majorEastAsia"/>
          <w:spacing w:val="0"/>
          <w:kern w:val="2"/>
          <w:sz w:val="24"/>
          <w:szCs w:val="24"/>
          <w:lang w:val="en-US" w:eastAsia="zh-CN" w:bidi="ar-SA"/>
        </w:rPr>
        <w:t>因诸暨市公共资源交易中心尚未开通在线演示功能，所以投标供应商须通过邮寄方式（EMS或顺丰）或直接送达递交此项目演示视频存储介质，请各投标供应商在邮寄过程中自行保护好隐私，封面注明项目名称。为确保在投标截止时间前寄到，请投标供应商须与联系人电话确认演示视频存储介质是否收到。</w:t>
      </w:r>
      <w:r>
        <w:rPr>
          <w:rFonts w:hint="eastAsia" w:asciiTheme="majorEastAsia" w:hAnsiTheme="majorEastAsia" w:eastAsiaTheme="majorEastAsia" w:cstheme="majorEastAsia"/>
          <w:spacing w:val="0"/>
          <w:kern w:val="2"/>
          <w:sz w:val="24"/>
          <w:szCs w:val="24"/>
          <w:lang w:val="en-US" w:eastAsia="zh-CN" w:bidi="ar-SA"/>
        </w:rPr>
        <w:br w:type="textWrapping"/>
      </w:r>
      <w:r>
        <w:rPr>
          <w:rFonts w:hint="eastAsia" w:asciiTheme="majorEastAsia" w:hAnsiTheme="majorEastAsia" w:eastAsiaTheme="majorEastAsia" w:cstheme="majorEastAsia"/>
          <w:spacing w:val="0"/>
          <w:kern w:val="2"/>
          <w:sz w:val="24"/>
          <w:szCs w:val="24"/>
          <w:lang w:val="en-US" w:eastAsia="zh-CN" w:bidi="ar-SA"/>
        </w:rPr>
        <w:t>收件联系人：胡伟钢 联系电话：0575-89006375、87252025</w:t>
      </w:r>
      <w:r>
        <w:rPr>
          <w:rFonts w:hint="eastAsia" w:asciiTheme="majorEastAsia" w:hAnsiTheme="majorEastAsia" w:eastAsiaTheme="majorEastAsia" w:cstheme="majorEastAsia"/>
          <w:spacing w:val="0"/>
          <w:kern w:val="2"/>
          <w:sz w:val="24"/>
          <w:szCs w:val="24"/>
          <w:lang w:val="en-US" w:eastAsia="zh-CN" w:bidi="ar-SA"/>
        </w:rPr>
        <w:br w:type="textWrapping"/>
      </w:r>
      <w:r>
        <w:rPr>
          <w:rFonts w:hint="eastAsia" w:asciiTheme="majorEastAsia" w:hAnsiTheme="majorEastAsia" w:eastAsiaTheme="majorEastAsia" w:cstheme="majorEastAsia"/>
          <w:spacing w:val="0"/>
          <w:kern w:val="2"/>
          <w:sz w:val="24"/>
          <w:szCs w:val="24"/>
          <w:lang w:val="en-US" w:eastAsia="zh-CN" w:bidi="ar-SA"/>
        </w:rPr>
        <w:t>地址：诸暨市暨东路58号422室</w:t>
      </w:r>
    </w:p>
    <w:bookmarkEnd w:id="401"/>
    <w:p>
      <w:pPr>
        <w:adjustRightInd/>
        <w:spacing w:line="360" w:lineRule="auto"/>
        <w:jc w:val="center"/>
        <w:outlineLvl w:val="0"/>
        <w:rPr>
          <w:rFonts w:hint="eastAsia" w:asciiTheme="majorEastAsia" w:hAnsiTheme="majorEastAsia" w:eastAsiaTheme="majorEastAsia" w:cstheme="majorEastAsia"/>
          <w:b/>
          <w:sz w:val="36"/>
          <w:szCs w:val="20"/>
        </w:rPr>
      </w:pPr>
      <w:r>
        <w:rPr>
          <w:rFonts w:hint="eastAsia" w:asciiTheme="majorEastAsia" w:hAnsiTheme="majorEastAsia" w:eastAsiaTheme="majorEastAsia" w:cstheme="majorEastAsia"/>
          <w:b/>
          <w:sz w:val="36"/>
          <w:szCs w:val="20"/>
        </w:rPr>
        <w:br w:type="page"/>
      </w:r>
      <w:r>
        <w:rPr>
          <w:rFonts w:hint="eastAsia" w:asciiTheme="majorEastAsia" w:hAnsiTheme="majorEastAsia" w:eastAsiaTheme="majorEastAsia" w:cstheme="majorEastAsia"/>
          <w:b/>
          <w:sz w:val="36"/>
          <w:szCs w:val="20"/>
        </w:rPr>
        <w:t>第二部分</w:t>
      </w:r>
      <w:bookmarkEnd w:id="8"/>
      <w:r>
        <w:rPr>
          <w:rFonts w:hint="eastAsia" w:asciiTheme="majorEastAsia" w:hAnsiTheme="majorEastAsia" w:eastAsiaTheme="majorEastAsia" w:cstheme="majorEastAsia"/>
          <w:b/>
          <w:sz w:val="36"/>
          <w:szCs w:val="20"/>
        </w:rPr>
        <w:t xml:space="preserve"> 投标人须知</w:t>
      </w:r>
      <w:bookmarkEnd w:id="9"/>
    </w:p>
    <w:p>
      <w:pPr>
        <w:snapToGrid w:val="0"/>
        <w:spacing w:line="360" w:lineRule="auto"/>
        <w:jc w:val="center"/>
        <w:rPr>
          <w:rFonts w:hint="eastAsia"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前附表</w:t>
      </w:r>
    </w:p>
    <w:tbl>
      <w:tblPr>
        <w:tblStyle w:val="63"/>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13"/>
        <w:gridCol w:w="71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1"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事项</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评标办法</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kern w:val="0"/>
                <w:sz w:val="24"/>
                <w:lang w:val="zh-CN"/>
              </w:rPr>
              <w:t>本项目采用</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u w:val="single"/>
                <w:lang w:val="zh-CN" w:eastAsia="zh-CN"/>
              </w:rPr>
              <w:t>综合评分法</w:t>
            </w:r>
            <w:r>
              <w:rPr>
                <w:rFonts w:hint="eastAsia" w:asciiTheme="majorEastAsia" w:hAnsiTheme="majorEastAsia" w:eastAsiaTheme="majorEastAsia" w:cstheme="majorEastAsia"/>
                <w:kern w:val="0"/>
                <w:sz w:val="24"/>
                <w:u w:val="single"/>
                <w:lang w:val="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41"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报价要求</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有关本项目实施所需的所有费用（含税费）均计入报价。</w:t>
            </w:r>
          </w:p>
          <w:p>
            <w:pPr>
              <w:snapToGrid w:val="0"/>
              <w:spacing w:line="360" w:lineRule="auto"/>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sz w:val="24"/>
              </w:rPr>
              <w:t>开标一览表（报价表）是报价的唯一载体</w:t>
            </w:r>
            <w:r>
              <w:rPr>
                <w:rFonts w:hint="eastAsia" w:asciiTheme="majorEastAsia" w:hAnsiTheme="majorEastAsia" w:eastAsiaTheme="majorEastAsia" w:cstheme="majorEastAsia"/>
                <w:kern w:val="0"/>
                <w:sz w:val="24"/>
                <w:lang w:val="zh-CN"/>
              </w:rPr>
              <w:t>。投标文件中价格全部采用人民币报价。</w:t>
            </w:r>
          </w:p>
          <w:p>
            <w:pPr>
              <w:snapToGrid w:val="0"/>
              <w:spacing w:line="360" w:lineRule="auto"/>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招标文件未列明，而投标人认为必需的费用也需列入报价。</w:t>
            </w:r>
            <w:r>
              <w:rPr>
                <w:rFonts w:hint="eastAsia" w:asciiTheme="majorEastAsia" w:hAnsiTheme="majorEastAsia" w:eastAsiaTheme="majorEastAsia" w:cstheme="majorEastAsia"/>
                <w:b/>
                <w:kern w:val="0"/>
                <w:sz w:val="24"/>
                <w:lang w:val="zh-CN"/>
              </w:rPr>
              <w:t>提醒：验收时检测费用由采购人承担，不包含在投标总价中。</w:t>
            </w:r>
          </w:p>
          <w:p>
            <w:pPr>
              <w:snapToGrid w:val="0"/>
              <w:spacing w:line="360" w:lineRule="auto"/>
              <w:jc w:val="left"/>
              <w:rPr>
                <w:rFonts w:hint="eastAsia"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投标报价出现下列情形的，投标无效：</w:t>
            </w:r>
          </w:p>
          <w:p>
            <w:pPr>
              <w:pStyle w:val="256"/>
              <w:numPr>
                <w:ilvl w:val="0"/>
                <w:numId w:val="1"/>
              </w:numPr>
              <w:snapToGrid w:val="0"/>
              <w:ind w:firstLineChars="0"/>
              <w:jc w:val="left"/>
              <w:rPr>
                <w:rFonts w:hint="eastAsia" w:asciiTheme="majorEastAsia" w:hAnsiTheme="majorEastAsia" w:eastAsiaTheme="majorEastAsia" w:cstheme="majorEastAsia"/>
                <w:bCs/>
                <w:kern w:val="0"/>
                <w:lang w:val="zh-CN"/>
              </w:rPr>
            </w:pPr>
            <w:r>
              <w:rPr>
                <w:rFonts w:hint="eastAsia" w:asciiTheme="majorEastAsia" w:hAnsiTheme="majorEastAsia" w:eastAsiaTheme="majorEastAsia" w:cstheme="majorEastAsia"/>
                <w:bCs/>
                <w:kern w:val="0"/>
                <w:lang w:val="zh-CN"/>
              </w:rPr>
              <w:t>投标文件出现不是唯一的、有选择性投标报价的；</w:t>
            </w:r>
          </w:p>
          <w:p>
            <w:pPr>
              <w:pStyle w:val="256"/>
              <w:numPr>
                <w:ilvl w:val="0"/>
                <w:numId w:val="1"/>
              </w:numPr>
              <w:snapToGrid w:val="0"/>
              <w:ind w:firstLineChars="0"/>
              <w:jc w:val="left"/>
              <w:rPr>
                <w:rFonts w:hint="eastAsia" w:asciiTheme="majorEastAsia" w:hAnsiTheme="majorEastAsia" w:eastAsiaTheme="majorEastAsia" w:cstheme="majorEastAsia"/>
                <w:bCs/>
                <w:kern w:val="0"/>
                <w:lang w:val="zh-CN"/>
              </w:rPr>
            </w:pPr>
            <w:r>
              <w:rPr>
                <w:rFonts w:hint="eastAsia" w:asciiTheme="majorEastAsia" w:hAnsiTheme="majorEastAsia" w:eastAsiaTheme="majorEastAsia" w:cstheme="majorEastAsia"/>
                <w:bCs/>
                <w:kern w:val="0"/>
                <w:lang w:val="zh-CN"/>
              </w:rPr>
              <w:t>投标报价超过招标文件中规定的预算金额或者最高限价的;</w:t>
            </w:r>
          </w:p>
          <w:p>
            <w:pPr>
              <w:pStyle w:val="256"/>
              <w:numPr>
                <w:ilvl w:val="0"/>
                <w:numId w:val="1"/>
              </w:numPr>
              <w:ind w:firstLineChars="0"/>
              <w:rPr>
                <w:rFonts w:hint="eastAsia" w:asciiTheme="majorEastAsia" w:hAnsiTheme="majorEastAsia" w:eastAsiaTheme="majorEastAsia" w:cstheme="majorEastAsia"/>
                <w:bCs/>
                <w:kern w:val="0"/>
                <w:lang w:val="zh-CN"/>
              </w:rPr>
            </w:pPr>
            <w:r>
              <w:rPr>
                <w:rFonts w:hint="eastAsia" w:asciiTheme="majorEastAsia" w:hAnsiTheme="majorEastAsia" w:eastAsiaTheme="majorEastAsia" w:cstheme="majorEastAsia"/>
                <w:bCs/>
                <w:kern w:val="0"/>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56"/>
              <w:numPr>
                <w:ilvl w:val="0"/>
                <w:numId w:val="1"/>
              </w:numPr>
              <w:ind w:firstLineChars="0"/>
              <w:rPr>
                <w:rFonts w:hint="eastAsia" w:asciiTheme="majorEastAsia" w:hAnsiTheme="majorEastAsia" w:eastAsiaTheme="majorEastAsia" w:cstheme="majorEastAsia"/>
                <w:bCs/>
                <w:kern w:val="0"/>
                <w:lang w:val="zh-CN"/>
              </w:rPr>
            </w:pPr>
            <w:r>
              <w:rPr>
                <w:rFonts w:hint="eastAsia" w:asciiTheme="majorEastAsia" w:hAnsiTheme="majorEastAsia" w:eastAsiaTheme="majorEastAsia" w:cstheme="majorEastAsia"/>
                <w:bCs/>
                <w:kern w:val="0"/>
              </w:rPr>
              <w:t>投标人对根据修正原则修正后的报价不确认的</w:t>
            </w:r>
            <w:r>
              <w:rPr>
                <w:rFonts w:hint="eastAsia" w:asciiTheme="majorEastAsia" w:hAnsiTheme="majorEastAsia" w:eastAsiaTheme="majorEastAsia" w:cstheme="majorEastAsia"/>
                <w:bC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1"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分包</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1477286927"/>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 xml:space="preserve"> A</w:t>
            </w:r>
            <w:r>
              <w:rPr>
                <w:rFonts w:hint="eastAsia" w:asciiTheme="majorEastAsia" w:hAnsiTheme="majorEastAsia" w:eastAsiaTheme="majorEastAsia" w:cstheme="majorEastAsia"/>
                <w:sz w:val="24"/>
              </w:rPr>
              <w:t>同意将非主体、非关键性的</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分包。</w:t>
            </w:r>
          </w:p>
          <w:p>
            <w:pPr>
              <w:spacing w:line="360" w:lineRule="auto"/>
              <w:rPr>
                <w:rFonts w:hint="eastAsia"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1276331357"/>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r>
              <w:rPr>
                <w:rFonts w:hint="eastAsia" w:asciiTheme="majorEastAsia" w:hAnsiTheme="majorEastAsia" w:eastAsiaTheme="majorEastAsia" w:cstheme="majorEastAsia"/>
                <w:kern w:val="0"/>
                <w:sz w:val="24"/>
              </w:rPr>
              <w:t xml:space="preserve"> B</w:t>
            </w:r>
            <w:r>
              <w:rPr>
                <w:rFonts w:hint="eastAsia" w:asciiTheme="majorEastAsia" w:hAnsiTheme="majorEastAsia" w:eastAsiaTheme="majorEastAsia" w:cstheme="majorEastAsia"/>
                <w:sz w:val="24"/>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52" w:hRule="atLeast"/>
          <w:tblHeader/>
          <w:jc w:val="center"/>
        </w:trPr>
        <w:tc>
          <w:tcPr>
            <w:tcW w:w="645"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投标人应当提供的资格文件</w:t>
            </w:r>
          </w:p>
        </w:tc>
        <w:tc>
          <w:tcPr>
            <w:tcW w:w="7125" w:type="dxa"/>
            <w:tcBorders>
              <w:top w:val="single" w:color="000000" w:sz="8" w:space="0"/>
              <w:left w:val="single" w:color="000000" w:sz="2" w:space="0"/>
              <w:right w:val="single" w:color="000000" w:sz="8" w:space="0"/>
            </w:tcBorders>
            <w:vAlign w:val="center"/>
          </w:tcPr>
          <w:p>
            <w:pPr>
              <w:pStyle w:val="256"/>
              <w:numPr>
                <w:ilvl w:val="0"/>
                <w:numId w:val="2"/>
              </w:numPr>
              <w:snapToGrid w:val="0"/>
              <w:ind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符合参加政府采购活动应当具备的一般条件的承诺函；</w:t>
            </w:r>
          </w:p>
          <w:p>
            <w:pPr>
              <w:pStyle w:val="256"/>
              <w:numPr>
                <w:ilvl w:val="0"/>
                <w:numId w:val="2"/>
              </w:numPr>
              <w:snapToGrid w:val="0"/>
              <w:ind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落实政府采购政策需满足的资格要求（如需）；</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③本项目的特定资格要求（如需）。</w:t>
            </w:r>
          </w:p>
          <w:p>
            <w:pPr>
              <w:spacing w:line="360" w:lineRule="auto"/>
              <w:rPr>
                <w:rFonts w:hint="eastAsia" w:asciiTheme="majorEastAsia" w:hAnsiTheme="majorEastAsia" w:eastAsiaTheme="majorEastAsia" w:cstheme="majorEastAsia"/>
                <w:b/>
                <w:snapToGrid w:val="0"/>
                <w:kern w:val="0"/>
                <w:szCs w:val="21"/>
              </w:rPr>
            </w:pPr>
            <w:r>
              <w:rPr>
                <w:rFonts w:hint="eastAsia" w:asciiTheme="majorEastAsia" w:hAnsiTheme="majorEastAsia" w:eastAsiaTheme="majorEastAsia" w:cstheme="majorEastAsia"/>
                <w:b/>
                <w:kern w:val="0"/>
                <w:sz w:val="24"/>
                <w:lang w:val="zh-CN"/>
              </w:rPr>
              <w:t>投标人未提供有效的资格证明文件的，视为投标人不具备招标文件中规定的资格要求，其投标无效。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06" w:hRule="atLeast"/>
          <w:tblHeader/>
          <w:jc w:val="center"/>
        </w:trPr>
        <w:tc>
          <w:tcPr>
            <w:tcW w:w="645"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投标人应当提供的商务技术文件</w:t>
            </w:r>
          </w:p>
        </w:tc>
        <w:tc>
          <w:tcPr>
            <w:tcW w:w="7125" w:type="dxa"/>
            <w:tcBorders>
              <w:top w:val="single" w:color="000000" w:sz="8" w:space="0"/>
              <w:left w:val="single" w:color="000000" w:sz="2" w:space="0"/>
              <w:right w:val="single" w:color="000000" w:sz="8" w:space="0"/>
            </w:tcBorders>
            <w:vAlign w:val="center"/>
          </w:tcPr>
          <w:p>
            <w:pPr>
              <w:pStyle w:val="256"/>
              <w:numPr>
                <w:ilvl w:val="0"/>
                <w:numId w:val="3"/>
              </w:numPr>
              <w:snapToGrid w:val="0"/>
              <w:ind w:firstLineChars="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投标函；</w:t>
            </w:r>
          </w:p>
          <w:p>
            <w:pPr>
              <w:pStyle w:val="256"/>
              <w:numPr>
                <w:ilvl w:val="0"/>
                <w:numId w:val="3"/>
              </w:numPr>
              <w:snapToGrid w:val="0"/>
              <w:ind w:firstLineChars="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授权委托书或法定代表人（单位负责人、自然人本人）身份证明；</w:t>
            </w:r>
          </w:p>
          <w:p>
            <w:pPr>
              <w:pStyle w:val="256"/>
              <w:numPr>
                <w:ilvl w:val="0"/>
                <w:numId w:val="3"/>
              </w:numPr>
              <w:snapToGrid w:val="0"/>
              <w:ind w:firstLineChars="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联合协议（如需）；</w:t>
            </w:r>
          </w:p>
          <w:p>
            <w:pPr>
              <w:pStyle w:val="256"/>
              <w:numPr>
                <w:ilvl w:val="0"/>
                <w:numId w:val="3"/>
              </w:numPr>
              <w:snapToGrid w:val="0"/>
              <w:ind w:firstLineChars="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分包意向协议（如需）；</w:t>
            </w:r>
          </w:p>
          <w:p>
            <w:pPr>
              <w:pStyle w:val="256"/>
              <w:numPr>
                <w:ilvl w:val="0"/>
                <w:numId w:val="3"/>
              </w:numPr>
              <w:snapToGrid w:val="0"/>
              <w:ind w:firstLineChars="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符合性审查资料；</w:t>
            </w:r>
          </w:p>
          <w:p>
            <w:pPr>
              <w:pStyle w:val="256"/>
              <w:numPr>
                <w:ilvl w:val="0"/>
                <w:numId w:val="3"/>
              </w:numPr>
              <w:snapToGrid w:val="0"/>
              <w:ind w:firstLineChars="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评标标准相应的商务技术资料（如需）；</w:t>
            </w:r>
          </w:p>
          <w:p>
            <w:pPr>
              <w:pStyle w:val="256"/>
              <w:numPr>
                <w:ilvl w:val="0"/>
                <w:numId w:val="3"/>
              </w:numPr>
              <w:snapToGrid w:val="0"/>
              <w:ind w:firstLineChars="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rPr>
              <w:t>商务技术偏离表；</w:t>
            </w:r>
          </w:p>
          <w:p>
            <w:pPr>
              <w:pStyle w:val="256"/>
              <w:numPr>
                <w:ilvl w:val="0"/>
                <w:numId w:val="3"/>
              </w:numPr>
              <w:snapToGrid w:val="0"/>
              <w:ind w:firstLineChars="0"/>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lang w:val="zh-CN"/>
              </w:rPr>
              <w:t>政府采购供应商廉洁自律承诺书。</w:t>
            </w:r>
          </w:p>
          <w:p>
            <w:pPr>
              <w:spacing w:line="360" w:lineRule="auto"/>
              <w:rPr>
                <w:rFonts w:hint="eastAsia" w:asciiTheme="majorEastAsia" w:hAnsiTheme="majorEastAsia" w:eastAsiaTheme="majorEastAsia" w:cstheme="majorEastAsia"/>
                <w:lang w:val="zh-CN"/>
              </w:rPr>
            </w:pPr>
            <w:r>
              <w:rPr>
                <w:rFonts w:hint="eastAsia" w:asciiTheme="majorEastAsia" w:hAnsiTheme="majorEastAsia" w:eastAsiaTheme="majorEastAsia" w:cstheme="majorEastAsia"/>
                <w:b/>
                <w:kern w:val="0"/>
                <w:sz w:val="24"/>
                <w:lang w:val="zh-CN"/>
              </w:rPr>
              <w:t>投标文件项目不齐全或内容虚假的，将视为无效投标。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jc w:val="center"/>
        </w:trPr>
        <w:tc>
          <w:tcPr>
            <w:tcW w:w="645" w:type="dxa"/>
            <w:tcBorders>
              <w:top w:val="single" w:color="auto" w:sz="4" w:space="0"/>
              <w:left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813" w:type="dxa"/>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投标人应当提供的报价文件</w:t>
            </w:r>
          </w:p>
        </w:tc>
        <w:tc>
          <w:tcPr>
            <w:tcW w:w="7125" w:type="dxa"/>
            <w:tcBorders>
              <w:top w:val="single" w:color="000000" w:sz="8" w:space="0"/>
              <w:left w:val="single" w:color="000000" w:sz="2" w:space="0"/>
              <w:right w:val="single" w:color="000000" w:sz="8" w:space="0"/>
            </w:tcBorders>
            <w:vAlign w:val="center"/>
          </w:tcPr>
          <w:p>
            <w:pPr>
              <w:pStyle w:val="256"/>
              <w:numPr>
                <w:ilvl w:val="0"/>
                <w:numId w:val="4"/>
              </w:numPr>
              <w:snapToGrid w:val="0"/>
              <w:ind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开标一览表（报价表）；</w:t>
            </w:r>
          </w:p>
          <w:p>
            <w:pPr>
              <w:pStyle w:val="256"/>
              <w:numPr>
                <w:ilvl w:val="0"/>
                <w:numId w:val="4"/>
              </w:numPr>
              <w:snapToGrid w:val="0"/>
              <w:ind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rPr>
              <w:t>中小企业声明函（如需）。</w:t>
            </w:r>
          </w:p>
          <w:p>
            <w:pPr>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投标文件含有采购人不能接受的附加条件的，</w:t>
            </w:r>
            <w:r>
              <w:rPr>
                <w:rFonts w:hint="eastAsia" w:asciiTheme="majorEastAsia" w:hAnsiTheme="majorEastAsia" w:eastAsiaTheme="majorEastAsia" w:cstheme="majorEastAsia"/>
                <w:b/>
                <w:kern w:val="0"/>
                <w:sz w:val="24"/>
                <w:lang w:val="zh-CN"/>
              </w:rPr>
              <w:t>将视为无效投标。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5"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开标前答疑会或现场考察</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212966419"/>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r>
              <w:rPr>
                <w:rFonts w:hint="eastAsia" w:asciiTheme="majorEastAsia" w:hAnsiTheme="majorEastAsia" w:eastAsiaTheme="majorEastAsia" w:cstheme="majorEastAsia"/>
                <w:kern w:val="0"/>
                <w:sz w:val="24"/>
              </w:rPr>
              <w:t>A</w:t>
            </w:r>
            <w:r>
              <w:rPr>
                <w:rFonts w:hint="eastAsia" w:asciiTheme="majorEastAsia" w:hAnsiTheme="majorEastAsia" w:eastAsiaTheme="majorEastAsia" w:cstheme="majorEastAsia"/>
                <w:sz w:val="24"/>
              </w:rPr>
              <w:t>不组织。</w:t>
            </w:r>
          </w:p>
          <w:p>
            <w:pPr>
              <w:spacing w:line="360" w:lineRule="auto"/>
              <w:rPr>
                <w:rFonts w:hint="eastAsia" w:asciiTheme="majorEastAsia" w:hAnsiTheme="majorEastAsia" w:eastAsiaTheme="majorEastAsia" w:cstheme="majorEastAsia"/>
                <w:sz w:val="24"/>
                <w:szCs w:val="20"/>
              </w:rPr>
            </w:pPr>
            <w:sdt>
              <w:sdtPr>
                <w:rPr>
                  <w:rFonts w:hint="eastAsia" w:asciiTheme="majorEastAsia" w:hAnsiTheme="majorEastAsia" w:eastAsiaTheme="majorEastAsia" w:cstheme="majorEastAsia"/>
                  <w:kern w:val="0"/>
                  <w:sz w:val="24"/>
                </w:rPr>
                <w:id w:val="-999802974"/>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B组织，</w:t>
            </w:r>
            <w:r>
              <w:rPr>
                <w:rFonts w:hint="eastAsia" w:asciiTheme="majorEastAsia" w:hAnsiTheme="majorEastAsia" w:eastAsiaTheme="majorEastAsia" w:cstheme="majorEastAsia"/>
                <w:sz w:val="24"/>
              </w:rPr>
              <w:t>时间：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,地点：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，联系方式：</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0" w:hRule="atLeast"/>
          <w:tblHeader/>
          <w:jc w:val="center"/>
        </w:trPr>
        <w:tc>
          <w:tcPr>
            <w:tcW w:w="64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81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样品提供</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1639946486"/>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 xml:space="preserve"> </w:t>
                </w:r>
                <w:sdt>
                  <w:sdtPr>
                    <w:rPr>
                      <w:rFonts w:hint="eastAsia" w:asciiTheme="majorEastAsia" w:hAnsiTheme="majorEastAsia" w:eastAsiaTheme="majorEastAsia" w:cstheme="majorEastAsia"/>
                      <w:kern w:val="0"/>
                      <w:sz w:val="24"/>
                    </w:rPr>
                    <w:id w:val="805436019"/>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sdtContent>
            </w:sdt>
            <w:r>
              <w:rPr>
                <w:rFonts w:hint="eastAsia" w:asciiTheme="majorEastAsia" w:hAnsiTheme="majorEastAsia" w:eastAsiaTheme="majorEastAsia" w:cstheme="majorEastAsia"/>
                <w:kern w:val="0"/>
                <w:sz w:val="24"/>
              </w:rPr>
              <w:t xml:space="preserve"> A不要求提供</w:t>
            </w:r>
            <w:r>
              <w:rPr>
                <w:rFonts w:hint="eastAsia" w:asciiTheme="majorEastAsia" w:hAnsiTheme="majorEastAsia" w:eastAsiaTheme="majorEastAsia" w:cstheme="majorEastAsia"/>
                <w:sz w:val="24"/>
              </w:rPr>
              <w:t>。</w:t>
            </w:r>
          </w:p>
          <w:p>
            <w:pPr>
              <w:spacing w:line="360" w:lineRule="auto"/>
              <w:rPr>
                <w:rFonts w:hint="eastAsia" w:asciiTheme="majorEastAsia" w:hAnsiTheme="majorEastAsia" w:eastAsiaTheme="majorEastAsia" w:cstheme="majorEastAsia"/>
                <w:kern w:val="0"/>
                <w:sz w:val="24"/>
              </w:rPr>
            </w:pPr>
            <w:sdt>
              <w:sdtPr>
                <w:rPr>
                  <w:rFonts w:hint="eastAsia" w:asciiTheme="majorEastAsia" w:hAnsiTheme="majorEastAsia" w:eastAsiaTheme="majorEastAsia" w:cstheme="majorEastAsia"/>
                  <w:kern w:val="0"/>
                  <w:sz w:val="24"/>
                </w:rPr>
                <w:id w:val="1026831988"/>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B要求提供：</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样品：</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样品制作的标准和要求：</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样品的评审方法以及评审标准</w:t>
            </w:r>
            <w:r>
              <w:rPr>
                <w:rFonts w:hint="eastAsia" w:asciiTheme="majorEastAsia" w:hAnsiTheme="majorEastAsia" w:eastAsiaTheme="majorEastAsia" w:cstheme="majorEastAsia"/>
                <w:snapToGrid w:val="0"/>
                <w:kern w:val="28"/>
                <w:sz w:val="24"/>
              </w:rPr>
              <w:t>：</w:t>
            </w:r>
            <w:r>
              <w:rPr>
                <w:rFonts w:hint="eastAsia" w:asciiTheme="majorEastAsia" w:hAnsiTheme="majorEastAsia" w:eastAsiaTheme="majorEastAsia" w:cstheme="majorEastAsia"/>
                <w:kern w:val="0"/>
                <w:sz w:val="24"/>
              </w:rPr>
              <w:t>详见</w:t>
            </w:r>
            <w:r>
              <w:rPr>
                <w:rFonts w:hint="eastAsia" w:asciiTheme="majorEastAsia" w:hAnsiTheme="majorEastAsia" w:eastAsiaTheme="majorEastAsia" w:cstheme="majorEastAsia"/>
                <w:sz w:val="24"/>
                <w:u w:val="single"/>
              </w:rPr>
              <w:t>评标办法</w:t>
            </w:r>
            <w:r>
              <w:rPr>
                <w:rFonts w:hint="eastAsia" w:asciiTheme="majorEastAsia" w:hAnsiTheme="majorEastAsia" w:eastAsiaTheme="majorEastAsia" w:cstheme="majorEastAsia"/>
                <w:kern w:val="0"/>
                <w:sz w:val="24"/>
              </w:rPr>
              <w:t>；</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是否需要随样品提交检测报告：</w:t>
            </w:r>
            <w:sdt>
              <w:sdtPr>
                <w:rPr>
                  <w:rFonts w:hint="eastAsia" w:asciiTheme="majorEastAsia" w:hAnsiTheme="majorEastAsia" w:eastAsiaTheme="majorEastAsia" w:cstheme="majorEastAsia"/>
                  <w:kern w:val="0"/>
                  <w:sz w:val="24"/>
                </w:rPr>
                <w:id w:val="1303421454"/>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r>
              <w:rPr>
                <w:rFonts w:hint="eastAsia" w:asciiTheme="majorEastAsia" w:hAnsiTheme="majorEastAsia" w:eastAsiaTheme="majorEastAsia" w:cstheme="majorEastAsia"/>
                <w:kern w:val="0"/>
                <w:sz w:val="24"/>
              </w:rPr>
              <w:t>否；</w:t>
            </w:r>
            <w:sdt>
              <w:sdtPr>
                <w:rPr>
                  <w:rFonts w:hint="eastAsia" w:asciiTheme="majorEastAsia" w:hAnsiTheme="majorEastAsia" w:eastAsiaTheme="majorEastAsia" w:cstheme="majorEastAsia"/>
                  <w:kern w:val="0"/>
                  <w:sz w:val="24"/>
                </w:rPr>
                <w:id w:val="1621728433"/>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rPr>
              <w:t>是，检测机构的要求</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；检测内容</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提供样品的时间：</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；地点：</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rPr>
              <w:t>；联系人</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kern w:val="28"/>
                <w:sz w:val="24"/>
              </w:rPr>
              <w:t>联系电话：</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。请投标人在上述时间内提供样品并按规定位置安装完毕。超过截止时间的，采购人或采购代理机构将不予接收，并将清场并封闭样品现场。</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ind w:firstLine="480"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7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
                <w:sz w:val="24"/>
              </w:rPr>
              <w:t>方案讲解演示</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1859348549"/>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 xml:space="preserve">☐ </w:t>
                </w:r>
              </w:sdtContent>
            </w:sdt>
            <w:r>
              <w:rPr>
                <w:rFonts w:hint="eastAsia" w:asciiTheme="majorEastAsia" w:hAnsiTheme="majorEastAsia" w:eastAsiaTheme="majorEastAsia" w:cstheme="majorEastAsia"/>
                <w:kern w:val="0"/>
                <w:sz w:val="24"/>
              </w:rPr>
              <w:t>A</w:t>
            </w:r>
            <w:r>
              <w:rPr>
                <w:rFonts w:hint="eastAsia" w:asciiTheme="majorEastAsia" w:hAnsiTheme="majorEastAsia" w:eastAsiaTheme="majorEastAsia" w:cstheme="majorEastAsia"/>
                <w:sz w:val="24"/>
              </w:rPr>
              <w:t>不组织。</w:t>
            </w:r>
          </w:p>
          <w:p>
            <w:pPr>
              <w:spacing w:line="360" w:lineRule="auto"/>
              <w:rPr>
                <w:rFonts w:hint="eastAsia" w:asciiTheme="majorEastAsia" w:hAnsiTheme="majorEastAsia" w:eastAsiaTheme="majorEastAsia" w:cstheme="majorEastAsia"/>
                <w:kern w:val="0"/>
                <w:sz w:val="24"/>
              </w:rPr>
            </w:pPr>
            <w:sdt>
              <w:sdtPr>
                <w:rPr>
                  <w:rFonts w:hint="eastAsia" w:asciiTheme="majorEastAsia" w:hAnsiTheme="majorEastAsia" w:eastAsiaTheme="majorEastAsia" w:cstheme="majorEastAsia"/>
                  <w:kern w:val="0"/>
                  <w:sz w:val="24"/>
                </w:rPr>
                <w:id w:val="1174071719"/>
              </w:sdtPr>
              <w:sdtEndPr>
                <w:rPr>
                  <w:rFonts w:hint="eastAsia" w:asciiTheme="majorEastAsia" w:hAnsiTheme="majorEastAsia" w:eastAsiaTheme="majorEastAsia" w:cstheme="majorEastAsia"/>
                  <w:kern w:val="0"/>
                  <w:sz w:val="24"/>
                </w:rPr>
              </w:sdtEndPr>
              <w:sdtContent>
                <w:sdt>
                  <w:sdtPr>
                    <w:rPr>
                      <w:rFonts w:hint="eastAsia" w:asciiTheme="majorEastAsia" w:hAnsiTheme="majorEastAsia" w:eastAsiaTheme="majorEastAsia" w:cstheme="majorEastAsia"/>
                      <w:kern w:val="0"/>
                      <w:sz w:val="24"/>
                    </w:rPr>
                    <w:id w:val="805436019"/>
                    <w:showingPlcHdr/>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sdtContent>
            </w:sdt>
            <w:r>
              <w:rPr>
                <w:rFonts w:hint="eastAsia" w:asciiTheme="majorEastAsia" w:hAnsiTheme="majorEastAsia" w:eastAsiaTheme="majorEastAsia" w:cstheme="majorEastAsia"/>
                <w:kern w:val="0"/>
                <w:sz w:val="24"/>
              </w:rPr>
              <w:t>B组织。</w:t>
            </w: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Theme="majorEastAsia" w:hAnsiTheme="majorEastAsia" w:eastAsiaTheme="majorEastAsia" w:cstheme="majorEastAsia"/>
                <w:color w:val="FF0000"/>
                <w:kern w:val="0"/>
                <w:sz w:val="24"/>
                <w:lang w:val="en-US" w:eastAsia="zh-CN"/>
              </w:rPr>
              <w:t>15</w:t>
            </w:r>
            <w:r>
              <w:rPr>
                <w:rFonts w:hint="eastAsia" w:asciiTheme="majorEastAsia" w:hAnsiTheme="majorEastAsia" w:eastAsiaTheme="majorEastAsia" w:cstheme="majorEastAsia"/>
                <w:kern w:val="0"/>
                <w:sz w:val="24"/>
              </w:rPr>
              <w:t>分钟。</w:t>
            </w:r>
          </w:p>
          <w:p>
            <w:pPr>
              <w:snapToGrid w:val="0"/>
              <w:spacing w:line="360" w:lineRule="auto"/>
              <w:rPr>
                <w:rFonts w:hint="eastAsia"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kern w:val="0"/>
                <w:sz w:val="24"/>
              </w:rPr>
              <w:t>注：因投标人自身原因导致无法演示或者演示效果不理想的，责任自负。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color w:val="FF0000"/>
                <w:sz w:val="24"/>
              </w:rPr>
            </w:pPr>
            <w:r>
              <w:rPr>
                <w:rFonts w:hint="eastAsia" w:asciiTheme="majorEastAsia" w:hAnsiTheme="majorEastAsia" w:eastAsiaTheme="majorEastAsia" w:cstheme="majorEastAsia"/>
                <w:sz w:val="24"/>
              </w:rPr>
              <w:t>10</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保证金收取</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本项目不收取投标保证金。</w:t>
            </w:r>
          </w:p>
          <w:p>
            <w:pPr>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rPr>
              <w:t>签订合同时，中标供应商须向采购人缴纳中标价</w:t>
            </w:r>
            <w:r>
              <w:rPr>
                <w:rFonts w:hint="eastAsia" w:asciiTheme="majorEastAsia" w:hAnsiTheme="majorEastAsia" w:eastAsiaTheme="majorEastAsia" w:cstheme="majorEastAsia"/>
                <w:kern w:val="0"/>
                <w:sz w:val="24"/>
                <w:u w:val="single"/>
              </w:rPr>
              <w:t xml:space="preserve"> 2.5%</w:t>
            </w:r>
            <w:r>
              <w:rPr>
                <w:rFonts w:hint="eastAsia" w:asciiTheme="majorEastAsia" w:hAnsiTheme="majorEastAsia" w:eastAsiaTheme="majorEastAsia" w:cstheme="majorEastAsia"/>
                <w:kern w:val="0"/>
                <w:sz w:val="24"/>
              </w:rPr>
              <w:t>的履约保证金。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采购进口产品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12</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项目属性与核心产品</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kern w:val="0"/>
                <w:sz w:val="24"/>
                <w:u w:val="single"/>
                <w:lang w:val="en-US" w:eastAsia="zh-CN"/>
              </w:rPr>
            </w:pPr>
            <w:sdt>
              <w:sdtPr>
                <w:rPr>
                  <w:rFonts w:hint="eastAsia" w:asciiTheme="majorEastAsia" w:hAnsiTheme="majorEastAsia" w:eastAsiaTheme="majorEastAsia" w:cstheme="majorEastAsia"/>
                  <w:kern w:val="0"/>
                  <w:sz w:val="24"/>
                </w:rPr>
                <w:id w:val="118727868"/>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lang w:val="en-US" w:eastAsia="zh-CN"/>
                  </w:rPr>
                  <w:t xml:space="preserve"> </w:t>
                </w:r>
                <w:sdt>
                  <w:sdtPr>
                    <w:rPr>
                      <w:rFonts w:hint="eastAsia" w:asciiTheme="majorEastAsia" w:hAnsiTheme="majorEastAsia" w:eastAsiaTheme="majorEastAsia" w:cstheme="majorEastAsia"/>
                      <w:kern w:val="0"/>
                      <w:sz w:val="24"/>
                    </w:rPr>
                    <w:id w:val="474885559"/>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r>
                  <w:rPr>
                    <w:rFonts w:hint="eastAsia" w:asciiTheme="majorEastAsia" w:hAnsiTheme="majorEastAsia" w:eastAsiaTheme="majorEastAsia" w:cstheme="majorEastAsia"/>
                    <w:kern w:val="0"/>
                    <w:sz w:val="24"/>
                    <w:lang w:val="en-US" w:eastAsia="zh-CN"/>
                  </w:rPr>
                  <w:t xml:space="preserve"> </w:t>
                </w:r>
              </w:sdtContent>
            </w:sdt>
            <w:r>
              <w:rPr>
                <w:rFonts w:hint="eastAsia" w:asciiTheme="majorEastAsia" w:hAnsiTheme="majorEastAsia" w:eastAsiaTheme="majorEastAsia" w:cstheme="majorEastAsia"/>
                <w:kern w:val="0"/>
                <w:sz w:val="24"/>
              </w:rPr>
              <w:t>A</w:t>
            </w:r>
            <w:r>
              <w:rPr>
                <w:rFonts w:hint="eastAsia" w:asciiTheme="majorEastAsia" w:hAnsiTheme="majorEastAsia" w:eastAsiaTheme="majorEastAsia" w:cstheme="majorEastAsia"/>
                <w:sz w:val="24"/>
              </w:rPr>
              <w:t>货物类，单一产品或</w:t>
            </w:r>
            <w:r>
              <w:rPr>
                <w:rFonts w:hint="eastAsia" w:asciiTheme="majorEastAsia" w:hAnsiTheme="majorEastAsia" w:eastAsiaTheme="majorEastAsia" w:cstheme="majorEastAsia"/>
                <w:kern w:val="0"/>
                <w:sz w:val="24"/>
              </w:rPr>
              <w:t>核心产品为：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single"/>
                <w:lang w:val="en-US" w:eastAsia="zh-CN"/>
              </w:rPr>
              <w:t xml:space="preserve"> </w:t>
            </w:r>
          </w:p>
          <w:p>
            <w:pPr>
              <w:spacing w:line="360" w:lineRule="auto"/>
              <w:rPr>
                <w:rFonts w:hint="eastAsia" w:asciiTheme="majorEastAsia" w:hAnsiTheme="majorEastAsia" w:eastAsiaTheme="majorEastAsia" w:cstheme="majorEastAsia"/>
                <w:sz w:val="24"/>
              </w:rPr>
            </w:pPr>
            <w:sdt>
              <w:sdtPr>
                <w:rPr>
                  <w:rFonts w:hint="eastAsia" w:asciiTheme="majorEastAsia" w:hAnsiTheme="majorEastAsia" w:eastAsiaTheme="majorEastAsia" w:cstheme="majorEastAsia"/>
                  <w:kern w:val="0"/>
                  <w:sz w:val="24"/>
                </w:rPr>
                <w:id w:val="805436019"/>
                <w:showingPlcHdr/>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sym w:font="Wingdings" w:char="F0FE"/>
                </w:r>
              </w:sdtContent>
            </w:sdt>
            <w:r>
              <w:rPr>
                <w:rFonts w:hint="eastAsia" w:asciiTheme="majorEastAsia" w:hAnsiTheme="majorEastAsia" w:eastAsiaTheme="majorEastAsia" w:cstheme="majorEastAsia"/>
                <w:kern w:val="0"/>
                <w:sz w:val="24"/>
              </w:rPr>
              <w:t>B</w:t>
            </w:r>
            <w:r>
              <w:rPr>
                <w:rFonts w:hint="eastAsia" w:asciiTheme="majorEastAsia" w:hAnsiTheme="majorEastAsia" w:eastAsiaTheme="majorEastAsia" w:cstheme="majorEastAsia"/>
                <w:sz w:val="24"/>
              </w:rPr>
              <w:t>服务类：</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kern w:val="0"/>
                <w:sz w:val="24"/>
                <w:u w:val="single"/>
                <w:lang w:val="en-US" w:eastAsia="zh-CN"/>
              </w:rPr>
              <w:t>电子商务一体化实训平台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7"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13</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中小企业划分标准所属行业</w:t>
            </w:r>
          </w:p>
        </w:tc>
        <w:tc>
          <w:tcPr>
            <w:tcW w:w="712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Theme="majorEastAsia" w:hAnsiTheme="majorEastAsia" w:eastAsiaTheme="majorEastAsia" w:cstheme="majorEastAsia"/>
                <w:b w:val="0"/>
                <w:bCs w:val="0"/>
                <w:lang w:val="en-US"/>
              </w:rPr>
            </w:pPr>
            <w:r>
              <w:rPr>
                <w:rFonts w:hint="eastAsia" w:asciiTheme="majorEastAsia" w:hAnsiTheme="majorEastAsia" w:eastAsiaTheme="majorEastAsia" w:cstheme="majorEastAsia"/>
                <w:kern w:val="0"/>
                <w:sz w:val="24"/>
              </w:rPr>
              <w:t>标的：</w:t>
            </w:r>
            <w:r>
              <w:rPr>
                <w:rFonts w:hint="eastAsia" w:asciiTheme="majorEastAsia" w:hAnsiTheme="majorEastAsia" w:eastAsiaTheme="majorEastAsia" w:cstheme="majorEastAsia"/>
                <w:kern w:val="0"/>
                <w:sz w:val="24"/>
                <w:u w:val="single"/>
                <w:lang w:val="en-US" w:eastAsia="zh-CN"/>
              </w:rPr>
              <w:t>诸暨技师学院电子商务一体化实训平台采购项目</w:t>
            </w:r>
            <w:r>
              <w:rPr>
                <w:rFonts w:hint="eastAsia" w:asciiTheme="majorEastAsia" w:hAnsiTheme="majorEastAsia" w:eastAsiaTheme="majorEastAsia" w:cstheme="majorEastAsia"/>
                <w:kern w:val="0"/>
                <w:sz w:val="24"/>
              </w:rPr>
              <w:t>，属于</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u w:val="single"/>
                <w:lang w:val="en-US" w:eastAsia="zh-CN"/>
              </w:rPr>
              <w:t>软件和信息技术服务业 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17" w:hRule="atLeast"/>
          <w:tblHeader/>
          <w:jc w:val="center"/>
        </w:trPr>
        <w:tc>
          <w:tcPr>
            <w:tcW w:w="645" w:type="dxa"/>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14</w:t>
            </w:r>
          </w:p>
        </w:tc>
        <w:tc>
          <w:tcPr>
            <w:tcW w:w="1813" w:type="dxa"/>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中小企业信用融资</w:t>
            </w:r>
          </w:p>
        </w:tc>
        <w:tc>
          <w:tcPr>
            <w:tcW w:w="7125" w:type="dxa"/>
            <w:tcBorders>
              <w:top w:val="single" w:color="000000" w:sz="8" w:space="0"/>
              <w:left w:val="single" w:color="000000" w:sz="2" w:space="0"/>
              <w:right w:val="single" w:color="000000" w:sz="8" w:space="0"/>
            </w:tcBorders>
            <w:vAlign w:val="center"/>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napToGrid w:val="0"/>
                <w:kern w:val="28"/>
                <w:sz w:val="24"/>
              </w:rPr>
              <w:t xml:space="preserve">    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15</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 xml:space="preserve">备份投标文件送达地点 </w:t>
            </w:r>
          </w:p>
        </w:tc>
        <w:tc>
          <w:tcPr>
            <w:tcW w:w="712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Theme="majorEastAsia" w:hAnsiTheme="majorEastAsia" w:eastAsiaTheme="majorEastAsia" w:cstheme="majorEastAsia"/>
                <w:b/>
                <w:snapToGrid/>
                <w:sz w:val="24"/>
                <w:szCs w:val="24"/>
              </w:rPr>
            </w:pPr>
            <w:r>
              <w:rPr>
                <w:rFonts w:hint="eastAsia" w:asciiTheme="majorEastAsia" w:hAnsiTheme="majorEastAsia" w:eastAsiaTheme="majorEastAsia" w:cstheme="majorEastAsia"/>
                <w:b/>
                <w:snapToGrid/>
                <w:sz w:val="24"/>
                <w:szCs w:val="24"/>
              </w:rPr>
              <w:t>诸暨市公共资源交易中心邮箱（</w:t>
            </w:r>
            <w:r>
              <w:rPr>
                <w:rFonts w:hint="eastAsia" w:asciiTheme="majorEastAsia" w:hAnsiTheme="majorEastAsia" w:eastAsiaTheme="majorEastAsia" w:cstheme="majorEastAsia"/>
              </w:rPr>
              <w:fldChar w:fldCharType="begin"/>
            </w:r>
            <w:r>
              <w:rPr>
                <w:rFonts w:hint="eastAsia" w:asciiTheme="majorEastAsia" w:hAnsiTheme="majorEastAsia" w:eastAsiaTheme="majorEastAsia" w:cstheme="majorEastAsia"/>
              </w:rPr>
              <w:instrText xml:space="preserve"> HYPERLINK "mailto:zjztb001@aliyun.com" </w:instrText>
            </w:r>
            <w:r>
              <w:rPr>
                <w:rFonts w:hint="eastAsia" w:asciiTheme="majorEastAsia" w:hAnsiTheme="majorEastAsia" w:eastAsiaTheme="majorEastAsia" w:cstheme="majorEastAsia"/>
              </w:rPr>
              <w:fldChar w:fldCharType="separate"/>
            </w:r>
            <w:r>
              <w:rPr>
                <w:rStyle w:val="77"/>
                <w:rFonts w:hint="eastAsia" w:asciiTheme="majorEastAsia" w:hAnsiTheme="majorEastAsia" w:eastAsiaTheme="majorEastAsia" w:cstheme="majorEastAsia"/>
                <w:b/>
                <w:kern w:val="2"/>
                <w:sz w:val="24"/>
                <w:szCs w:val="24"/>
              </w:rPr>
              <w:t>zjztb001@aliyun.com</w:t>
            </w:r>
            <w:r>
              <w:rPr>
                <w:rStyle w:val="77"/>
                <w:rFonts w:hint="eastAsia" w:asciiTheme="majorEastAsia" w:hAnsiTheme="majorEastAsia" w:eastAsiaTheme="majorEastAsia" w:cstheme="majorEastAsia"/>
                <w:b/>
                <w:kern w:val="2"/>
                <w:sz w:val="24"/>
                <w:szCs w:val="24"/>
              </w:rPr>
              <w:fldChar w:fldCharType="end"/>
            </w:r>
            <w:r>
              <w:rPr>
                <w:rFonts w:hint="eastAsia" w:asciiTheme="majorEastAsia" w:hAnsiTheme="majorEastAsia" w:eastAsiaTheme="majorEastAsia" w:cstheme="majorEastAsia"/>
                <w:b/>
                <w:snapToGrid/>
                <w:sz w:val="24"/>
                <w:szCs w:val="24"/>
              </w:rPr>
              <w:t>）。</w:t>
            </w:r>
          </w:p>
          <w:p>
            <w:pPr>
              <w:pStyle w:val="33"/>
              <w:spacing w:line="360" w:lineRule="auto"/>
              <w:rPr>
                <w:rFonts w:hint="eastAsia" w:asciiTheme="majorEastAsia" w:hAnsiTheme="majorEastAsia" w:eastAsiaTheme="majorEastAsia" w:cstheme="majorEastAsia"/>
                <w:kern w:val="28"/>
                <w:sz w:val="24"/>
              </w:rPr>
            </w:pPr>
            <w:r>
              <w:rPr>
                <w:rFonts w:hint="eastAsia" w:asciiTheme="majorEastAsia" w:hAnsiTheme="majorEastAsia" w:eastAsiaTheme="majorEastAsia" w:cstheme="majorEastAsia"/>
                <w:b/>
                <w:snapToGrid/>
                <w:sz w:val="24"/>
                <w:szCs w:val="24"/>
              </w:rPr>
              <w:t>注：本邮箱仅接受备份投标文件，其余文件不予受理。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16</w:t>
            </w:r>
          </w:p>
        </w:tc>
        <w:tc>
          <w:tcPr>
            <w:tcW w:w="181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特别说明</w:t>
            </w:r>
          </w:p>
        </w:tc>
        <w:tc>
          <w:tcPr>
            <w:tcW w:w="712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Theme="majorEastAsia" w:hAnsiTheme="majorEastAsia" w:eastAsiaTheme="majorEastAsia" w:cstheme="majorEastAsia"/>
                <w:snapToGrid w:val="0"/>
                <w:kern w:val="28"/>
                <w:sz w:val="24"/>
              </w:rPr>
            </w:pPr>
            <w:r>
              <w:rPr>
                <w:rFonts w:hint="eastAsia" w:asciiTheme="majorEastAsia" w:hAnsiTheme="majorEastAsia" w:eastAsiaTheme="majorEastAsia" w:cstheme="majorEastAsia"/>
                <w:b/>
                <w:snapToGrid/>
                <w:kern w:val="2"/>
                <w:sz w:val="24"/>
                <w:szCs w:val="24"/>
                <w:lang w:val="en-US" w:eastAsia="zh-CN" w:bidi="ar-SA"/>
              </w:rPr>
              <w:t>因诸暨市公共资源交易中心尚未开通在线演示功能，所以投标供应商须通过邮寄方式（EMS或顺丰）或直接送达递交此项目演示视频存储介质，请各投标供应商在邮寄过程中自行保护好隐私，封面注明项目名称。为确保在投标截止时间前寄到，请投标供应商须与联系人电话确认演示视频存储介质是否收到。</w:t>
            </w:r>
            <w:r>
              <w:rPr>
                <w:rFonts w:hint="eastAsia" w:asciiTheme="majorEastAsia" w:hAnsiTheme="majorEastAsia" w:eastAsiaTheme="majorEastAsia" w:cstheme="majorEastAsia"/>
                <w:b/>
                <w:snapToGrid/>
                <w:kern w:val="2"/>
                <w:sz w:val="24"/>
                <w:szCs w:val="24"/>
                <w:lang w:val="en-US" w:eastAsia="zh-CN" w:bidi="ar-SA"/>
              </w:rPr>
              <w:br w:type="textWrapping"/>
            </w:r>
            <w:r>
              <w:rPr>
                <w:rFonts w:hint="eastAsia" w:asciiTheme="majorEastAsia" w:hAnsiTheme="majorEastAsia" w:eastAsiaTheme="majorEastAsia" w:cstheme="majorEastAsia"/>
                <w:b/>
                <w:snapToGrid/>
                <w:kern w:val="2"/>
                <w:sz w:val="24"/>
                <w:szCs w:val="24"/>
                <w:lang w:val="en-US" w:eastAsia="zh-CN" w:bidi="ar-SA"/>
              </w:rPr>
              <w:t>收件联系人：胡伟钢 联系电话：0575-89006375、87252025</w:t>
            </w:r>
            <w:r>
              <w:rPr>
                <w:rFonts w:hint="eastAsia" w:asciiTheme="majorEastAsia" w:hAnsiTheme="majorEastAsia" w:eastAsiaTheme="majorEastAsia" w:cstheme="majorEastAsia"/>
                <w:b/>
                <w:snapToGrid/>
                <w:kern w:val="2"/>
                <w:sz w:val="24"/>
                <w:szCs w:val="24"/>
                <w:lang w:val="en-US" w:eastAsia="zh-CN" w:bidi="ar-SA"/>
              </w:rPr>
              <w:br w:type="textWrapping"/>
            </w:r>
            <w:r>
              <w:rPr>
                <w:rFonts w:hint="eastAsia" w:asciiTheme="majorEastAsia" w:hAnsiTheme="majorEastAsia" w:eastAsiaTheme="majorEastAsia" w:cstheme="majorEastAsia"/>
                <w:b/>
                <w:snapToGrid/>
                <w:kern w:val="2"/>
                <w:sz w:val="24"/>
                <w:szCs w:val="24"/>
                <w:lang w:val="en-US" w:eastAsia="zh-CN" w:bidi="ar-SA"/>
              </w:rPr>
              <w:t>地址：诸暨市暨东路58号422室</w:t>
            </w:r>
          </w:p>
        </w:tc>
      </w:tr>
    </w:tbl>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pStyle w:val="5"/>
        <w:ind w:left="0" w:leftChars="0" w:firstLine="0" w:firstLineChars="0"/>
        <w:rPr>
          <w:rFonts w:hint="eastAsia" w:asciiTheme="majorEastAsia" w:hAnsiTheme="majorEastAsia" w:eastAsiaTheme="majorEastAsia" w:cstheme="majorEastAsia"/>
          <w:lang w:val="en-US"/>
        </w:rPr>
      </w:pPr>
    </w:p>
    <w:bookmarkEnd w:id="10"/>
    <w:p>
      <w:pPr>
        <w:adjustRightInd/>
        <w:spacing w:line="360" w:lineRule="auto"/>
        <w:jc w:val="center"/>
        <w:outlineLvl w:val="0"/>
        <w:rPr>
          <w:rFonts w:hint="eastAsia" w:asciiTheme="majorEastAsia" w:hAnsiTheme="majorEastAsia" w:eastAsiaTheme="majorEastAsia" w:cstheme="majorEastAsia"/>
          <w:b/>
          <w:sz w:val="32"/>
          <w:szCs w:val="20"/>
        </w:rPr>
      </w:pPr>
      <w:bookmarkStart w:id="11" w:name="第三部分"/>
      <w:bookmarkStart w:id="12" w:name="_Toc164416483"/>
      <w:r>
        <w:rPr>
          <w:rFonts w:hint="eastAsia" w:asciiTheme="majorEastAsia" w:hAnsiTheme="majorEastAsia" w:eastAsiaTheme="majorEastAsia" w:cstheme="majorEastAsia"/>
          <w:b/>
          <w:sz w:val="32"/>
          <w:szCs w:val="20"/>
        </w:rPr>
        <w:t>一、总则</w:t>
      </w:r>
    </w:p>
    <w:p>
      <w:pPr>
        <w:snapToGrid w:val="0"/>
        <w:spacing w:line="360" w:lineRule="auto"/>
        <w:jc w:val="left"/>
        <w:outlineLvl w:val="1"/>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 适用范围</w:t>
      </w:r>
    </w:p>
    <w:p>
      <w:pPr>
        <w:snapToGrid w:val="0"/>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2.定义</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 “采购人”系指招标公告中载明的本项目的采购人。</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 “采购代理机构”系指招标公告中载明的本项目的采购代理机构。</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 “投标人”系指是指响应招标、参加投标竞争的法人、其他组织或者自然人。</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2.5“电子签名”系指数据电文中以电子形式所含、所附用于识别签名人身份并表明签名人认可其中内容的数据；“公章”系指单位法定名称章。</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2.6“电子交易平台”是指本项目政府采购活动所依托的政府采购云平台（https://www.zcygov.cn/）。</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2.7 “★” 系指实质性要求条款，“</w:t>
      </w:r>
      <w:sdt>
        <w:sdtPr>
          <w:rPr>
            <w:rFonts w:hint="eastAsia" w:asciiTheme="majorEastAsia" w:hAnsiTheme="majorEastAsia" w:eastAsiaTheme="majorEastAsia" w:cstheme="majorEastAsia"/>
            <w:sz w:val="24"/>
          </w:rPr>
          <w:id w:val="512970236"/>
        </w:sdtPr>
        <w:sdtEndPr>
          <w:rPr>
            <w:rFonts w:hint="eastAsia" w:asciiTheme="majorEastAsia" w:hAnsiTheme="majorEastAsia" w:eastAsiaTheme="majorEastAsia" w:cstheme="majorEastAsia"/>
            <w:sz w:val="24"/>
          </w:rPr>
        </w:sdtEndPr>
        <w:sdtContent>
          <w:sdt>
            <w:sdtPr>
              <w:rPr>
                <w:rFonts w:hint="eastAsia" w:asciiTheme="majorEastAsia" w:hAnsiTheme="majorEastAsia" w:eastAsiaTheme="majorEastAsia" w:cstheme="majorEastAsia"/>
                <w:kern w:val="0"/>
                <w:sz w:val="24"/>
              </w:rPr>
              <w:id w:val="-1828113808"/>
            </w:sdtPr>
            <w:sdtEndPr>
              <w:rPr>
                <w:rFonts w:hint="eastAsia" w:asciiTheme="majorEastAsia" w:hAnsiTheme="majorEastAsia" w:eastAsiaTheme="majorEastAsia" w:cstheme="majorEastAsia"/>
                <w:kern w:val="0"/>
                <w:sz w:val="24"/>
              </w:rPr>
            </w:sdtEndPr>
            <w:sdtContent>
              <w:r>
                <w:rPr>
                  <w:rFonts w:hint="eastAsia" w:asciiTheme="majorEastAsia" w:hAnsiTheme="majorEastAsia" w:eastAsiaTheme="majorEastAsia" w:cstheme="majorEastAsia"/>
                  <w:kern w:val="0"/>
                  <w:sz w:val="24"/>
                </w:rPr>
                <w:t></w:t>
              </w:r>
            </w:sdtContent>
          </w:sdt>
        </w:sdtContent>
      </w:sdt>
      <w:r>
        <w:rPr>
          <w:rFonts w:hint="eastAsia" w:asciiTheme="majorEastAsia" w:hAnsiTheme="majorEastAsia" w:eastAsiaTheme="majorEastAsia" w:cstheme="majorEastAsia"/>
          <w:sz w:val="24"/>
        </w:rPr>
        <w:t>” 系指适用本项目的要求，“</w:t>
      </w:r>
      <w:sdt>
        <w:sdtPr>
          <w:rPr>
            <w:rFonts w:hint="eastAsia" w:asciiTheme="majorEastAsia" w:hAnsiTheme="majorEastAsia" w:eastAsiaTheme="majorEastAsia" w:cstheme="majorEastAsia"/>
            <w:sz w:val="24"/>
          </w:rPr>
          <w:id w:val="404888855"/>
        </w:sdtPr>
        <w:sdtEndPr>
          <w:rPr>
            <w:rFonts w:hint="eastAsia" w:asciiTheme="majorEastAsia" w:hAnsiTheme="majorEastAsia" w:eastAsiaTheme="majorEastAsia" w:cstheme="majorEastAsia"/>
            <w:sz w:val="24"/>
          </w:rPr>
        </w:sdtEndPr>
        <w:sdtContent>
          <w:r>
            <w:rPr>
              <w:rFonts w:hint="eastAsia" w:asciiTheme="majorEastAsia" w:hAnsiTheme="majorEastAsia" w:eastAsiaTheme="majorEastAsia" w:cstheme="majorEastAsia"/>
              <w:sz w:val="24"/>
            </w:rPr>
            <w:t>☐</w:t>
          </w:r>
        </w:sdtContent>
      </w:sdt>
      <w:r>
        <w:rPr>
          <w:rFonts w:hint="eastAsia" w:asciiTheme="majorEastAsia" w:hAnsiTheme="majorEastAsia" w:eastAsiaTheme="majorEastAsia" w:cstheme="majorEastAsia"/>
          <w:sz w:val="24"/>
        </w:rPr>
        <w:t>” 系指不适用本项目的要求。</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3.</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b/>
          <w:sz w:val="24"/>
        </w:rPr>
        <w:t>采购项目需要落实的政府采购政策</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 支持绿色发展</w:t>
      </w:r>
    </w:p>
    <w:p>
      <w:pPr>
        <w:spacing w:line="360" w:lineRule="auto"/>
        <w:ind w:firstLine="480"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heme="majorEastAsia" w:hAnsiTheme="majorEastAsia" w:eastAsiaTheme="majorEastAsia" w:cstheme="majorEastAsia"/>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3.3支持中小企业发展</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符合中小企业划分标准的个体工商户，在政府采购活动中视同中小企业。</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Cs/>
          <w:sz w:val="24"/>
        </w:rPr>
        <w:t>3.3.2</w:t>
      </w:r>
      <w:r>
        <w:rPr>
          <w:rFonts w:hint="eastAsia" w:asciiTheme="majorEastAsia" w:hAnsiTheme="majorEastAsia" w:eastAsiaTheme="majorEastAsia" w:cstheme="majorEastAsia"/>
          <w:kern w:val="0"/>
          <w:sz w:val="24"/>
        </w:rPr>
        <w:t>在政府采购活动中，投标人提供的货物、工程或者服务符合下列情形的，享受中小企业扶持政策：</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3.3.2.2在工程采购项目中，工程由中小企业承建，即工程施工单位为中小企业；</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3.3.2.3在服务采购项目中，服务由中小企业承接，即提供服务的人员为中小企业依照《中华人民共和国民法典》订立劳动合同的从业人员。</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3.3.7中小企业享受扶持政策获得政府采购合同的，小微企业不得将合同分包给大中型企业，中型企业不得将合同分包给大型企业。 </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3.3.8采购人严格贯彻落实《保障中小企业款项支付条例》，按规定向中小企业支付款项。</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3.3.9中小企业信用融资：供应商中标后可在政府采购云平台申请政采贷：操作路径：登录政府采购云平台-金融服务中心-【融资服务】。</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w:t>
      </w:r>
      <w:r>
        <w:rPr>
          <w:rFonts w:hint="eastAsia" w:asciiTheme="majorEastAsia" w:hAnsiTheme="majorEastAsia" w:eastAsiaTheme="majorEastAsia" w:cstheme="majorEastAsia"/>
          <w:bCs/>
          <w:sz w:val="24"/>
        </w:rPr>
        <w:t>支持创新发展</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3.4.1 采购人优先采购被认定为首台套产品和“制造精品”的自主创新产品。</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4. 询问、质疑、投诉</w:t>
      </w:r>
    </w:p>
    <w:p>
      <w:pPr>
        <w:spacing w:line="360" w:lineRule="auto"/>
        <w:ind w:firstLine="480"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kern w:val="0"/>
          <w:sz w:val="24"/>
          <w:lang w:val="zh-CN"/>
        </w:rPr>
        <w:t>4.1供应商询问</w:t>
      </w:r>
    </w:p>
    <w:p>
      <w:pPr>
        <w:autoSpaceDE w:val="0"/>
        <w:autoSpaceDN w:val="0"/>
        <w:spacing w:line="360" w:lineRule="auto"/>
        <w:ind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4.2供应商质疑</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val="zh-CN"/>
        </w:rPr>
        <w:t>4.2</w:t>
      </w:r>
      <w:r>
        <w:rPr>
          <w:rFonts w:hint="eastAsia" w:asciiTheme="majorEastAsia" w:hAnsiTheme="majorEastAsia" w:eastAsiaTheme="majorEastAsia" w:cstheme="majorEastAsia"/>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val="zh-CN"/>
        </w:rPr>
        <w:t>4.2</w:t>
      </w:r>
      <w:r>
        <w:rPr>
          <w:rFonts w:hint="eastAsia" w:asciiTheme="majorEastAsia" w:hAnsiTheme="majorEastAsia" w:eastAsiaTheme="majorEastAsia" w:cstheme="majorEastAsia"/>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pPr>
        <w:pStyle w:val="7"/>
        <w:spacing w:line="360" w:lineRule="auto"/>
        <w:ind w:firstLine="480" w:firstLineChars="200"/>
        <w:rPr>
          <w:rFonts w:hint="eastAsia" w:asciiTheme="majorEastAsia" w:hAnsiTheme="majorEastAsia" w:eastAsiaTheme="majorEastAsia" w:cstheme="majorEastAsia"/>
          <w:snapToGrid/>
          <w:color w:val="auto"/>
          <w:kern w:val="2"/>
          <w:sz w:val="24"/>
        </w:rPr>
      </w:pPr>
      <w:r>
        <w:rPr>
          <w:rFonts w:hint="eastAsia" w:asciiTheme="majorEastAsia" w:hAnsiTheme="majorEastAsia" w:eastAsiaTheme="majorEastAsia" w:cstheme="majorEastAsia"/>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4.2.2.2对采购过程提出质疑的，质疑期限为各采购程序环节结束之日起计算。对同一采购程序环节的质疑，供应商须一次性提出。</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4.2.2.3对采购结果提出质疑的，质疑期限自采购结果公告期限届满之日起计算。</w:t>
      </w:r>
    </w:p>
    <w:p>
      <w:pPr>
        <w:pStyle w:val="33"/>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4.2.2.4针对采购文件中特定资格条件、采购需求、评分办法提出的质疑，应向采购人提出；对采购文件中其他内容、采购过程、采购结果提出的质疑，应向采购代理机构提出。</w:t>
      </w:r>
    </w:p>
    <w:p>
      <w:pPr>
        <w:pStyle w:val="33"/>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4.2.3</w:t>
      </w:r>
      <w:r>
        <w:rPr>
          <w:rFonts w:hint="eastAsia" w:asciiTheme="majorEastAsia" w:hAnsiTheme="majorEastAsia" w:eastAsiaTheme="majorEastAsia" w:cstheme="majorEastAsia"/>
          <w:sz w:val="24"/>
        </w:rPr>
        <w:t>供应商提出质疑应当提交质疑函和必要的证明材料。质疑函应当包括下列内容：</w:t>
      </w:r>
    </w:p>
    <w:p>
      <w:pPr>
        <w:pStyle w:val="33"/>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4.2.3.1供应商的姓名或者名称、地址、邮编、联系人及联系电话；</w:t>
      </w:r>
    </w:p>
    <w:p>
      <w:pPr>
        <w:pStyle w:val="33"/>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4.2.3.2质疑项目的名称、编号；</w:t>
      </w:r>
    </w:p>
    <w:p>
      <w:pPr>
        <w:pStyle w:val="33"/>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4.2.3.3具体、明确的质疑事项和与质疑事项相关的请求；</w:t>
      </w:r>
    </w:p>
    <w:p>
      <w:pPr>
        <w:pStyle w:val="33"/>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4.2.3.4事实依据；</w:t>
      </w:r>
    </w:p>
    <w:p>
      <w:pPr>
        <w:pStyle w:val="33"/>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4.2.3.5必要的法律依据；</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val="zh-CN"/>
        </w:rPr>
        <w:t>4.2.</w:t>
      </w:r>
      <w:r>
        <w:rPr>
          <w:rFonts w:hint="eastAsia" w:asciiTheme="majorEastAsia" w:hAnsiTheme="majorEastAsia" w:eastAsiaTheme="majorEastAsia" w:cstheme="majorEastAsia"/>
          <w:sz w:val="24"/>
        </w:rPr>
        <w:t>3.6提出质疑的日期。</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4.2.5询问或者质疑事项可能影响采购结果的，采购人应当暂停签订合同，已经签订合同的，应当中止履行合同。</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4.3质疑供应商投诉</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4.3.1质疑供应商对采购人、采购代理机构的答复不满意或者采购人、采购代理机构未在规定的时间内作出答复的，可以在答复期满后十五个工作日内向同级政府采购监督管理部门提出投诉。</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4.3.2供应商投诉的事项不得超出已质疑事项的范围，基于质疑答复内容提出的投诉事项除外。</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4.3.3供应商投诉应当有明确的请求和必要的证明材料。</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4.3.5 以联合体形式参加政府采购活动的，其投诉应当由组成联合体的所有供应商共同提出。投诉书范本及制作说明详见附件3。</w:t>
      </w:r>
    </w:p>
    <w:p>
      <w:pPr>
        <w:pStyle w:val="33"/>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spacing w:line="360" w:lineRule="auto"/>
        <w:jc w:val="center"/>
        <w:outlineLvl w:val="0"/>
        <w:rPr>
          <w:rFonts w:hint="eastAsia" w:asciiTheme="majorEastAsia" w:hAnsiTheme="majorEastAsia" w:eastAsiaTheme="majorEastAsia" w:cstheme="majorEastAsia"/>
          <w:b/>
          <w:sz w:val="32"/>
          <w:szCs w:val="20"/>
        </w:rPr>
      </w:pPr>
      <w:r>
        <w:rPr>
          <w:rFonts w:hint="eastAsia" w:asciiTheme="majorEastAsia" w:hAnsiTheme="majorEastAsia" w:eastAsiaTheme="majorEastAsia" w:cstheme="majorEastAsia"/>
          <w:b/>
          <w:sz w:val="32"/>
          <w:szCs w:val="20"/>
        </w:rPr>
        <w:t xml:space="preserve">      二、招标文件的构成、澄清、补充、修改</w:t>
      </w:r>
    </w:p>
    <w:p>
      <w:pPr>
        <w:pStyle w:val="33"/>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5．招标文件的构成</w:t>
      </w:r>
    </w:p>
    <w:p>
      <w:pPr>
        <w:pStyle w:val="33"/>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 招标文件包括下列文件及附件：</w:t>
      </w:r>
    </w:p>
    <w:p>
      <w:pPr>
        <w:pStyle w:val="33"/>
        <w:tabs>
          <w:tab w:val="left" w:pos="840"/>
        </w:tabs>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5.1.1招标公告；</w:t>
      </w:r>
    </w:p>
    <w:p>
      <w:pPr>
        <w:pStyle w:val="33"/>
        <w:tabs>
          <w:tab w:val="left" w:pos="840"/>
        </w:tabs>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5.1.2投标人须知；</w:t>
      </w:r>
    </w:p>
    <w:p>
      <w:pPr>
        <w:pStyle w:val="33"/>
        <w:tabs>
          <w:tab w:val="left" w:pos="840"/>
        </w:tabs>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5.1.3采购需求；</w:t>
      </w:r>
    </w:p>
    <w:p>
      <w:pPr>
        <w:pStyle w:val="33"/>
        <w:tabs>
          <w:tab w:val="left" w:pos="840"/>
        </w:tabs>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5.1.4评标办法；</w:t>
      </w:r>
    </w:p>
    <w:p>
      <w:pPr>
        <w:pStyle w:val="33"/>
        <w:tabs>
          <w:tab w:val="left" w:pos="840"/>
        </w:tabs>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5.1.5拟签订的合同文本；</w:t>
      </w:r>
    </w:p>
    <w:p>
      <w:pPr>
        <w:pStyle w:val="33"/>
        <w:tabs>
          <w:tab w:val="left" w:pos="840"/>
        </w:tabs>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rPr>
        <w:t>5.1.6</w:t>
      </w:r>
      <w:r>
        <w:rPr>
          <w:rFonts w:hint="eastAsia" w:asciiTheme="majorEastAsia" w:hAnsiTheme="majorEastAsia" w:eastAsiaTheme="majorEastAsia" w:cstheme="majorEastAsia"/>
          <w:sz w:val="24"/>
          <w:szCs w:val="24"/>
        </w:rPr>
        <w:t>应提交的有关格式范例。</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5.2与本项目有关的</w:t>
      </w:r>
      <w:r>
        <w:rPr>
          <w:rFonts w:hint="eastAsia" w:asciiTheme="majorEastAsia" w:hAnsiTheme="majorEastAsia" w:eastAsiaTheme="majorEastAsia" w:cstheme="majorEastAsia"/>
          <w:bCs/>
          <w:sz w:val="24"/>
        </w:rPr>
        <w:t>澄清、补充、修改的内容为招标文件的组成部分</w:t>
      </w:r>
      <w:r>
        <w:rPr>
          <w:rFonts w:hint="eastAsia" w:asciiTheme="majorEastAsia" w:hAnsiTheme="majorEastAsia" w:eastAsiaTheme="majorEastAsia" w:cstheme="majorEastAsia"/>
          <w:sz w:val="24"/>
        </w:rPr>
        <w:t>。</w:t>
      </w:r>
    </w:p>
    <w:p>
      <w:pPr>
        <w:pStyle w:val="33"/>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6. 招标文件的澄清、补充、修改</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6.1已获取招标文件的潜在投标人，若有问题需要澄清，应于投标截止时间前，以书面形式向采购代理机构提出。</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6.2 采购代理机构对招标文件进行澄清、补充、修改的，将以网上发布补充（更正）公告的形式通知所有潜在投标人，同时视情况延长投标截止时间和开标时间。该澄清、补充、修改的内容为招标文件的组成部分。</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6.3当招标文件与澄清、补充、修改就同一内容表述不一致的以最后发出的文件或公告为准。</w:t>
      </w:r>
    </w:p>
    <w:p>
      <w:pPr>
        <w:adjustRightInd/>
        <w:spacing w:line="360" w:lineRule="auto"/>
        <w:jc w:val="center"/>
        <w:outlineLvl w:val="0"/>
        <w:rPr>
          <w:rFonts w:hint="eastAsia" w:asciiTheme="majorEastAsia" w:hAnsiTheme="majorEastAsia" w:eastAsiaTheme="majorEastAsia" w:cstheme="majorEastAsia"/>
          <w:b/>
          <w:sz w:val="30"/>
          <w:szCs w:val="20"/>
        </w:rPr>
      </w:pPr>
      <w:r>
        <w:rPr>
          <w:rFonts w:hint="eastAsia" w:asciiTheme="majorEastAsia" w:hAnsiTheme="majorEastAsia" w:eastAsiaTheme="majorEastAsia" w:cstheme="majorEastAsia"/>
          <w:b/>
          <w:sz w:val="30"/>
          <w:szCs w:val="20"/>
        </w:rPr>
        <w:t>三、投标</w:t>
      </w:r>
    </w:p>
    <w:p>
      <w:pPr>
        <w:pStyle w:val="33"/>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7. 招标文件的获取</w:t>
      </w:r>
    </w:p>
    <w:p>
      <w:pPr>
        <w:spacing w:line="360" w:lineRule="auto"/>
        <w:ind w:firstLine="480" w:firstLineChars="200"/>
        <w:rPr>
          <w:rFonts w:hint="eastAsia" w:asciiTheme="majorEastAsia" w:hAnsiTheme="majorEastAsia" w:eastAsiaTheme="majorEastAsia" w:cstheme="majorEastAsia"/>
          <w:snapToGrid w:val="0"/>
          <w:kern w:val="28"/>
          <w:sz w:val="24"/>
        </w:rPr>
      </w:pPr>
      <w:r>
        <w:rPr>
          <w:rFonts w:hint="eastAsia" w:asciiTheme="majorEastAsia" w:hAnsiTheme="majorEastAsia" w:eastAsiaTheme="majorEastAsia" w:cstheme="majorEastAsia"/>
          <w:snapToGrid w:val="0"/>
          <w:kern w:val="28"/>
          <w:sz w:val="24"/>
        </w:rPr>
        <w:t>详见招标公告中获取招标文件的时间期限、地点、方式及招标文件售价。</w:t>
      </w:r>
    </w:p>
    <w:p>
      <w:pPr>
        <w:pStyle w:val="33"/>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8.开标前答疑会或现场考察</w:t>
      </w:r>
    </w:p>
    <w:p>
      <w:pPr>
        <w:pStyle w:val="33"/>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Theme="majorEastAsia" w:hAnsiTheme="majorEastAsia" w:eastAsiaTheme="majorEastAsia" w:cstheme="majorEastAsia"/>
          <w:b/>
          <w:szCs w:val="24"/>
        </w:rPr>
      </w:pPr>
      <w:r>
        <w:rPr>
          <w:rFonts w:hint="eastAsia" w:asciiTheme="majorEastAsia" w:hAnsiTheme="majorEastAsia" w:eastAsiaTheme="majorEastAsia" w:cstheme="majorEastAsia"/>
          <w:b/>
          <w:kern w:val="28"/>
          <w:sz w:val="24"/>
          <w:szCs w:val="24"/>
        </w:rPr>
        <w:t>9.投标保证金</w:t>
      </w:r>
    </w:p>
    <w:p>
      <w:pPr>
        <w:pStyle w:val="7"/>
        <w:spacing w:line="360" w:lineRule="auto"/>
        <w:ind w:firstLine="470" w:firstLineChars="196"/>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本项目不需缴纳投标保证金。</w:t>
      </w:r>
    </w:p>
    <w:p>
      <w:pPr>
        <w:pStyle w:val="33"/>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10. 投标文件的语言</w:t>
      </w:r>
    </w:p>
    <w:p>
      <w:pPr>
        <w:autoSpaceDE w:val="0"/>
        <w:autoSpaceDN w:val="0"/>
        <w:spacing w:line="360" w:lineRule="auto"/>
        <w:ind w:firstLine="480" w:firstLineChars="20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投标文件及投标人与采购有关的来往通知、函件和文件均应使用中文。</w:t>
      </w:r>
    </w:p>
    <w:p>
      <w:pPr>
        <w:pStyle w:val="33"/>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11. 投标文件的组成</w:t>
      </w:r>
    </w:p>
    <w:p>
      <w:pPr>
        <w:snapToGrid w:val="0"/>
        <w:spacing w:line="360" w:lineRule="auto"/>
        <w:ind w:firstLine="482" w:firstLineChars="200"/>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11.1资格文件：</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11.1.1符合参加政府采购活动应当具备的一般条件的承诺函；</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11.1.2落实政府采购政策需满足的资格要求（如需）；</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11.1.3本项目的特定资格要求（如需）。</w:t>
      </w:r>
    </w:p>
    <w:p>
      <w:pPr>
        <w:snapToGrid w:val="0"/>
        <w:spacing w:line="360" w:lineRule="auto"/>
        <w:ind w:firstLine="482" w:firstLineChars="200"/>
        <w:rPr>
          <w:rFonts w:hint="eastAsia" w:asciiTheme="majorEastAsia" w:hAnsiTheme="majorEastAsia" w:eastAsiaTheme="majorEastAsia" w:cstheme="majorEastAsia"/>
          <w:b/>
          <w:bCs/>
          <w:sz w:val="24"/>
          <w:lang w:val="zh-CN"/>
        </w:rPr>
      </w:pPr>
      <w:r>
        <w:rPr>
          <w:rFonts w:hint="eastAsia" w:asciiTheme="majorEastAsia" w:hAnsiTheme="majorEastAsia" w:eastAsiaTheme="majorEastAsia" w:cstheme="majorEastAsia"/>
          <w:b/>
          <w:bCs/>
          <w:sz w:val="24"/>
          <w:lang w:val="zh-CN"/>
        </w:rPr>
        <w:t>11.</w:t>
      </w:r>
      <w:r>
        <w:rPr>
          <w:rFonts w:hint="eastAsia" w:asciiTheme="majorEastAsia" w:hAnsiTheme="majorEastAsia" w:eastAsiaTheme="majorEastAsia" w:cstheme="majorEastAsia"/>
          <w:b/>
          <w:bCs/>
          <w:sz w:val="24"/>
        </w:rPr>
        <w:t>2</w:t>
      </w:r>
      <w:r>
        <w:rPr>
          <w:rFonts w:hint="eastAsia" w:asciiTheme="majorEastAsia" w:hAnsiTheme="majorEastAsia" w:eastAsiaTheme="majorEastAsia" w:cstheme="majorEastAsia"/>
          <w:b/>
          <w:bCs/>
          <w:sz w:val="24"/>
          <w:lang w:val="zh-CN"/>
        </w:rPr>
        <w:t xml:space="preserve">  </w:t>
      </w:r>
      <w:r>
        <w:rPr>
          <w:rFonts w:hint="eastAsia" w:asciiTheme="majorEastAsia" w:hAnsiTheme="majorEastAsia" w:eastAsiaTheme="majorEastAsia" w:cstheme="majorEastAsia"/>
          <w:b/>
          <w:bCs/>
          <w:sz w:val="24"/>
        </w:rPr>
        <w:t>商务技术</w:t>
      </w:r>
      <w:r>
        <w:rPr>
          <w:rFonts w:hint="eastAsia" w:asciiTheme="majorEastAsia" w:hAnsiTheme="majorEastAsia" w:eastAsiaTheme="majorEastAsia" w:cstheme="majorEastAsia"/>
          <w:b/>
          <w:bCs/>
          <w:sz w:val="24"/>
          <w:lang w:val="zh-CN"/>
        </w:rPr>
        <w:t>文件：</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11.2.1投标函；</w:t>
      </w:r>
      <w:r>
        <w:rPr>
          <w:rFonts w:hint="eastAsia" w:asciiTheme="majorEastAsia" w:hAnsiTheme="majorEastAsia" w:eastAsiaTheme="majorEastAsia" w:cstheme="majorEastAsia"/>
          <w:sz w:val="24"/>
          <w:lang w:val="zh-CN"/>
        </w:rPr>
        <w:t xml:space="preserve"> </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11.2.2授权委托书或法定代表人（单位负责人、自然人本人）身份证明；</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11.2.3联合协议（如需）；</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11.2.4分包意向协议（如需）；</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11.2.5符合性审查资料；</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11.2.6评标标准相应的商务技术资料（如需）；</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11.2.7商务技术偏离表；</w:t>
      </w:r>
    </w:p>
    <w:p>
      <w:pPr>
        <w:snapToGrid w:val="0"/>
        <w:spacing w:line="360" w:lineRule="auto"/>
        <w:ind w:firstLine="480" w:firstLineChars="20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11.</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lang w:val="zh-CN"/>
        </w:rPr>
        <w:t>政府采购供应商廉洁自律承诺书；</w:t>
      </w:r>
    </w:p>
    <w:p>
      <w:pPr>
        <w:snapToGrid w:val="0"/>
        <w:spacing w:line="360" w:lineRule="auto"/>
        <w:ind w:firstLine="482" w:firstLineChars="200"/>
        <w:rPr>
          <w:rFonts w:hint="eastAsia" w:asciiTheme="majorEastAsia" w:hAnsiTheme="majorEastAsia" w:eastAsiaTheme="majorEastAsia" w:cstheme="majorEastAsia"/>
          <w:b/>
          <w:bCs/>
          <w:sz w:val="24"/>
          <w:u w:val="single"/>
          <w:lang w:val="zh-CN"/>
        </w:rPr>
      </w:pPr>
      <w:r>
        <w:rPr>
          <w:rFonts w:hint="eastAsia" w:asciiTheme="majorEastAsia" w:hAnsiTheme="majorEastAsia" w:eastAsiaTheme="majorEastAsia" w:cstheme="majorEastAsia"/>
          <w:b/>
          <w:bCs/>
          <w:kern w:val="0"/>
          <w:sz w:val="24"/>
          <w:lang w:val="zh-CN"/>
        </w:rPr>
        <w:t>11.</w:t>
      </w:r>
      <w:r>
        <w:rPr>
          <w:rFonts w:hint="eastAsia" w:asciiTheme="majorEastAsia" w:hAnsiTheme="majorEastAsia" w:eastAsiaTheme="majorEastAsia" w:cstheme="majorEastAsia"/>
          <w:b/>
          <w:bCs/>
          <w:kern w:val="0"/>
          <w:sz w:val="24"/>
        </w:rPr>
        <w:t>3</w:t>
      </w:r>
      <w:r>
        <w:rPr>
          <w:rFonts w:hint="eastAsia" w:asciiTheme="majorEastAsia" w:hAnsiTheme="majorEastAsia" w:eastAsiaTheme="majorEastAsia" w:cstheme="majorEastAsia"/>
          <w:b/>
          <w:bCs/>
          <w:sz w:val="24"/>
        </w:rPr>
        <w:t xml:space="preserve">报价文件： </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11.3.1开标一览表（报价表）；</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11.3.2中小企业声明函（如需）。</w:t>
      </w:r>
    </w:p>
    <w:p>
      <w:pPr>
        <w:spacing w:line="360" w:lineRule="auto"/>
        <w:ind w:firstLine="482"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11.4投标文件含有采购人不能接受的附加条件的，投标无效；投标人提供虚假材料投标的，投标无效。</w:t>
      </w:r>
    </w:p>
    <w:p>
      <w:pPr>
        <w:pStyle w:val="129"/>
        <w:snapToGrid w:val="0"/>
        <w:spacing w:before="0"/>
        <w:ind w:firstLine="0" w:firstLineChars="0"/>
        <w:outlineLvl w:val="0"/>
        <w:rPr>
          <w:rFonts w:hint="eastAsia"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12</w:t>
      </w:r>
      <w:r>
        <w:rPr>
          <w:rFonts w:hint="eastAsia" w:asciiTheme="majorEastAsia" w:hAnsiTheme="majorEastAsia" w:eastAsiaTheme="majorEastAsia" w:cstheme="majorEastAsia"/>
          <w:b/>
          <w:kern w:val="0"/>
          <w:szCs w:val="24"/>
          <w:lang w:val="zh-CN"/>
        </w:rPr>
        <w:t xml:space="preserve">. </w:t>
      </w:r>
      <w:r>
        <w:rPr>
          <w:rFonts w:hint="eastAsia" w:asciiTheme="majorEastAsia" w:hAnsiTheme="majorEastAsia" w:eastAsiaTheme="majorEastAsia" w:cstheme="majorEastAsia"/>
          <w:b/>
          <w:szCs w:val="24"/>
        </w:rPr>
        <w:t>投标文件的编制</w:t>
      </w:r>
    </w:p>
    <w:p>
      <w:pPr>
        <w:spacing w:line="360" w:lineRule="auto"/>
        <w:ind w:firstLine="480" w:firstLineChars="200"/>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12.3使用“政采云电子交易客户端”需要提前申领CA数字证书，申领流程请自行前往“浙江政府采购网-下载专区-电子交易客户端-CA驱动和申领流程”进行查阅。</w:t>
      </w:r>
    </w:p>
    <w:p>
      <w:pPr>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12.4投标人应充分考虑完成平台注册、申领CA证书等所需时间，如未在“政府采购云平台”系统内完成相关流程，而引起的投标或响应无效的责任自负。</w:t>
      </w:r>
    </w:p>
    <w:p>
      <w:pPr>
        <w:snapToGrid w:val="0"/>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13.投标文件的签署、盖章</w:t>
      </w:r>
    </w:p>
    <w:p>
      <w:pPr>
        <w:pStyle w:val="129"/>
        <w:snapToGrid w:val="0"/>
        <w:spacing w:before="0"/>
        <w:ind w:firstLine="480"/>
        <w:rPr>
          <w:rFonts w:hint="eastAsia" w:asciiTheme="majorEastAsia" w:hAnsiTheme="majorEastAsia" w:eastAsiaTheme="majorEastAsia" w:cstheme="majorEastAsia"/>
          <w:b/>
        </w:rPr>
      </w:pPr>
      <w:r>
        <w:rPr>
          <w:rFonts w:hint="eastAsia" w:asciiTheme="majorEastAsia" w:hAnsiTheme="majorEastAsia" w:eastAsiaTheme="majorEastAsia" w:cstheme="majorEastAsia"/>
          <w:szCs w:val="24"/>
        </w:rPr>
        <w:t>13.1投标文件按照招标文件第六部分格式要</w:t>
      </w:r>
      <w:r>
        <w:rPr>
          <w:rFonts w:hint="eastAsia" w:asciiTheme="majorEastAsia" w:hAnsiTheme="majorEastAsia" w:eastAsiaTheme="majorEastAsia" w:cstheme="majorEastAsia"/>
        </w:rPr>
        <w:t>求进行签署、盖章。</w:t>
      </w:r>
      <w:r>
        <w:rPr>
          <w:rFonts w:hint="eastAsia" w:asciiTheme="majorEastAsia" w:hAnsiTheme="majorEastAsia" w:eastAsiaTheme="majorEastAsia" w:cstheme="majorEastAsia"/>
          <w:b/>
        </w:rPr>
        <w:t>★投标人的投标文件未按照招标文件要求签署、盖章的，其投标无效</w:t>
      </w:r>
      <w:r>
        <w:rPr>
          <w:rFonts w:hint="eastAsia" w:asciiTheme="majorEastAsia" w:hAnsiTheme="majorEastAsia" w:eastAsiaTheme="majorEastAsia" w:cstheme="majorEastAsia"/>
          <w:szCs w:val="24"/>
        </w:rPr>
        <w:t>。</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13.2为确保网上操作合法、有效和安全，投标人应当在投标截止时间前完成在“政府采购云平台”的身份认证，确保在电子投标过程中能够对相关数据电文进行加密和使用电子签名。</w:t>
      </w:r>
    </w:p>
    <w:p>
      <w:pPr>
        <w:pStyle w:val="129"/>
        <w:snapToGrid w:val="0"/>
        <w:spacing w:before="0"/>
        <w:ind w:firstLine="48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rPr>
        <w:t>13.3招标文件对投标文件签署、盖章的要求适用于电子签名。</w:t>
      </w:r>
    </w:p>
    <w:p>
      <w:pPr>
        <w:pStyle w:val="129"/>
        <w:spacing w:before="0"/>
        <w:ind w:firstLine="0" w:firstLineChars="0"/>
        <w:rPr>
          <w:rFonts w:hint="eastAsia"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14. 投标文件的提交、补充、修改、撤回</w:t>
      </w:r>
    </w:p>
    <w:p>
      <w:pPr>
        <w:pStyle w:val="129"/>
        <w:ind w:firstLine="48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9"/>
        <w:spacing w:before="0"/>
        <w:ind w:firstLine="480"/>
        <w:rPr>
          <w:rFonts w:hint="eastAsia" w:asciiTheme="majorEastAsia" w:hAnsiTheme="majorEastAsia" w:eastAsiaTheme="majorEastAsia" w:cstheme="majorEastAsia"/>
          <w:szCs w:val="24"/>
        </w:rPr>
      </w:pPr>
      <w:r>
        <w:rPr>
          <w:rFonts w:hint="eastAsia" w:asciiTheme="majorEastAsia" w:hAnsiTheme="majorEastAsia" w:eastAsiaTheme="majorEastAsia" w:cstheme="majorEastAsia"/>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9"/>
        <w:spacing w:before="0"/>
        <w:ind w:firstLine="480"/>
        <w:rPr>
          <w:rFonts w:hint="eastAsia" w:asciiTheme="majorEastAsia" w:hAnsiTheme="majorEastAsia" w:eastAsiaTheme="majorEastAsia" w:cstheme="majorEastAsia"/>
          <w:color w:val="FF0000"/>
          <w:szCs w:val="24"/>
          <w:u w:val="single"/>
        </w:rPr>
      </w:pPr>
      <w:r>
        <w:rPr>
          <w:rFonts w:hint="eastAsia" w:asciiTheme="majorEastAsia" w:hAnsiTheme="majorEastAsia" w:eastAsiaTheme="majorEastAsia" w:cstheme="majorEastAsia"/>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15.备份投标文件</w:t>
      </w:r>
    </w:p>
    <w:p>
      <w:pPr>
        <w:pStyle w:val="33"/>
        <w:spacing w:line="360" w:lineRule="auto"/>
        <w:ind w:firstLine="360" w:firstLineChars="15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 xml:space="preserve"> 15.1投标人在电子交易平台传输递交投标文件后，还可以在投标截止时间前向</w:t>
      </w:r>
      <w:r>
        <w:rPr>
          <w:rFonts w:hint="eastAsia" w:asciiTheme="majorEastAsia" w:hAnsiTheme="majorEastAsia" w:eastAsiaTheme="majorEastAsia" w:cstheme="majorEastAsia"/>
          <w:bCs/>
          <w:snapToGrid/>
          <w:sz w:val="24"/>
          <w:szCs w:val="24"/>
        </w:rPr>
        <w:t>诸暨</w:t>
      </w:r>
      <w:r>
        <w:rPr>
          <w:rFonts w:hint="eastAsia" w:asciiTheme="majorEastAsia" w:hAnsiTheme="majorEastAsia" w:eastAsiaTheme="majorEastAsia" w:cstheme="majorEastAsia"/>
          <w:bCs/>
          <w:sz w:val="24"/>
          <w:szCs w:val="24"/>
        </w:rPr>
        <w:t>市公共资源交易中心邮箱（</w:t>
      </w:r>
      <w:r>
        <w:rPr>
          <w:rFonts w:hint="eastAsia" w:asciiTheme="majorEastAsia" w:hAnsiTheme="majorEastAsia" w:eastAsiaTheme="majorEastAsia" w:cstheme="majorEastAsia"/>
          <w:sz w:val="24"/>
          <w:szCs w:val="24"/>
        </w:rPr>
        <w:t>zjztb001@aliyun.com）递交备份投标文件1份，</w:t>
      </w:r>
      <w:r>
        <w:rPr>
          <w:rFonts w:hint="eastAsia" w:asciiTheme="majorEastAsia" w:hAnsiTheme="majorEastAsia" w:eastAsiaTheme="majorEastAsia" w:cstheme="majorEastAsia"/>
          <w:b/>
          <w:sz w:val="24"/>
          <w:szCs w:val="24"/>
        </w:rPr>
        <w:t>但采购人、采购代理机构不强制或变相强制投标人提交备份投标文件。</w:t>
      </w:r>
    </w:p>
    <w:p>
      <w:pPr>
        <w:pStyle w:val="33"/>
        <w:spacing w:line="360" w:lineRule="auto"/>
        <w:ind w:firstLine="480" w:firstLineChars="200"/>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rPr>
        <w:t>15.2备份投标文件须在“政采云投标客户端”制作生成。</w:t>
      </w:r>
      <w:r>
        <w:rPr>
          <w:rFonts w:hint="eastAsia" w:asciiTheme="majorEastAsia" w:hAnsiTheme="majorEastAsia" w:eastAsiaTheme="majorEastAsia" w:cstheme="majorEastAsia"/>
          <w:b/>
          <w:sz w:val="24"/>
          <w:szCs w:val="24"/>
        </w:rPr>
        <w:t xml:space="preserve"> </w:t>
      </w:r>
    </w:p>
    <w:p>
      <w:pPr>
        <w:pStyle w:val="33"/>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15.3采购代理机构将拒绝接受逾期送达的备份投标文件。</w:t>
      </w:r>
    </w:p>
    <w:p>
      <w:pPr>
        <w:pStyle w:val="33"/>
        <w:spacing w:line="360" w:lineRule="auto"/>
        <w:ind w:firstLine="479" w:firstLineChars="199"/>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15.4投标人仅提交备份投标文件，没有在电子交易平台传输递交投标文件的，投标无效。</w:t>
      </w:r>
    </w:p>
    <w:p>
      <w:pPr>
        <w:pStyle w:val="33"/>
        <w:spacing w:line="360" w:lineRule="auto"/>
        <w:ind w:firstLine="477" w:firstLineChars="199"/>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15.5投标文件如有补充、修改，备份投标文件应同步调整并再次提交，采购代理机构以最新备份投标文件为准。</w:t>
      </w:r>
    </w:p>
    <w:p>
      <w:pPr>
        <w:pStyle w:val="129"/>
        <w:spacing w:before="0"/>
        <w:ind w:firstLine="0" w:firstLineChars="0"/>
        <w:rPr>
          <w:rFonts w:hint="eastAsia"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16.投标文件的无效处理</w:t>
      </w:r>
    </w:p>
    <w:p>
      <w:pPr>
        <w:pStyle w:val="25"/>
        <w:spacing w:line="360" w:lineRule="auto"/>
        <w:ind w:firstLine="360" w:firstLineChars="15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有招标文件第四部分</w:t>
      </w:r>
      <w:r>
        <w:rPr>
          <w:rFonts w:hint="eastAsia" w:asciiTheme="majorEastAsia" w:hAnsiTheme="majorEastAsia" w:eastAsiaTheme="majorEastAsia" w:cstheme="majorEastAsia"/>
        </w:rPr>
        <w:t>第4.2项规定</w:t>
      </w:r>
      <w:r>
        <w:rPr>
          <w:rFonts w:hint="eastAsia" w:asciiTheme="majorEastAsia" w:hAnsiTheme="majorEastAsia" w:eastAsiaTheme="majorEastAsia" w:cstheme="majorEastAsia"/>
          <w:szCs w:val="21"/>
        </w:rPr>
        <w:t>的情形之一的，投标无效。</w:t>
      </w:r>
    </w:p>
    <w:p>
      <w:pPr>
        <w:pStyle w:val="129"/>
        <w:spacing w:before="0"/>
        <w:ind w:firstLine="0" w:firstLineChars="0"/>
        <w:rPr>
          <w:rFonts w:hint="eastAsia"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17.投标有效期</w:t>
      </w:r>
    </w:p>
    <w:p>
      <w:pPr>
        <w:spacing w:line="360" w:lineRule="auto"/>
        <w:ind w:firstLine="480" w:firstLineChars="200"/>
        <w:rPr>
          <w:rFonts w:hint="eastAsia" w:asciiTheme="majorEastAsia" w:hAnsiTheme="majorEastAsia" w:eastAsiaTheme="majorEastAsia" w:cstheme="majorEastAsia"/>
          <w:b/>
          <w:sz w:val="24"/>
          <w:szCs w:val="21"/>
        </w:rPr>
      </w:pPr>
      <w:r>
        <w:rPr>
          <w:rFonts w:hint="eastAsia" w:asciiTheme="majorEastAsia" w:hAnsiTheme="majorEastAsia" w:eastAsiaTheme="majorEastAsia" w:cstheme="majorEastAsia"/>
          <w:sz w:val="24"/>
          <w:szCs w:val="20"/>
        </w:rPr>
        <w:t>17.1投标有效期为从提交投标文件的截止之日起90天。</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
          <w:sz w:val="24"/>
          <w:szCs w:val="20"/>
        </w:rPr>
        <w:t>投标人的投标文件中承</w:t>
      </w:r>
      <w:r>
        <w:rPr>
          <w:rFonts w:hint="eastAsia" w:asciiTheme="majorEastAsia" w:hAnsiTheme="majorEastAsia" w:eastAsiaTheme="majorEastAsia" w:cstheme="majorEastAsia"/>
          <w:b/>
          <w:sz w:val="24"/>
          <w:szCs w:val="21"/>
        </w:rPr>
        <w:t>诺的投标有效期少于招标文件中载明的投标有效期的，投标无效。</w:t>
      </w:r>
    </w:p>
    <w:p>
      <w:pPr>
        <w:pStyle w:val="129"/>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17.2投标文件合格投递后，自投标截止日期起，在投标有效期内有效。</w:t>
      </w:r>
    </w:p>
    <w:p>
      <w:pPr>
        <w:pStyle w:val="129"/>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29"/>
        <w:spacing w:before="0"/>
        <w:ind w:firstLine="1928" w:firstLineChars="600"/>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四、开标、资格审查与信用信息查询</w:t>
      </w:r>
    </w:p>
    <w:p>
      <w:pPr>
        <w:pStyle w:val="554"/>
        <w:spacing w:before="0" w:line="360" w:lineRule="auto"/>
        <w:ind w:left="0" w:firstLine="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szCs w:val="24"/>
        </w:rPr>
        <w:t>18.开标</w:t>
      </w:r>
      <w:r>
        <w:rPr>
          <w:rFonts w:hint="eastAsia" w:asciiTheme="majorEastAsia" w:hAnsiTheme="majorEastAsia" w:eastAsiaTheme="majorEastAsia" w:cstheme="majorEastAsia"/>
          <w:sz w:val="24"/>
        </w:rPr>
        <w:t xml:space="preserve"> </w:t>
      </w:r>
    </w:p>
    <w:p>
      <w:pPr>
        <w:pStyle w:val="554"/>
        <w:spacing w:before="0" w:line="360" w:lineRule="auto"/>
        <w:ind w:left="0" w:firstLine="480" w:firstLineChars="2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18.1采购代理机构按照招标文件规定的时间通过电子交易平台组织开标，所有投标人均应当准时在线参加。投标人不足3家的，不得开标。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18.2开标时，电子交易平台按开标时间自动提取所有投标文件。采购代理机构依托电子交易平台发起开始解密指令，投标人按照平台提示在招标文件规定时间内完成在线解密。</w:t>
      </w:r>
    </w:p>
    <w:p>
      <w:pPr>
        <w:pStyle w:val="554"/>
        <w:spacing w:before="0" w:line="360" w:lineRule="auto"/>
        <w:ind w:left="0" w:firstLine="240" w:firstLineChars="10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sz w:val="24"/>
        </w:rPr>
        <w:t>　18.3</w:t>
      </w:r>
      <w:r>
        <w:rPr>
          <w:rFonts w:hint="eastAsia" w:asciiTheme="majorEastAsia" w:hAnsiTheme="majorEastAsia" w:eastAsiaTheme="majorEastAsia" w:cstheme="majorEastAsia"/>
          <w:b/>
          <w:sz w:val="24"/>
        </w:rPr>
        <w:t>投标文件未按时解密，投标人提供了备份投标文件的，经投标人同意后以备份投标文件作为依据，否则视为投标文件撤回。投标文件已按时解密的，备份投标文件自动失效。</w:t>
      </w:r>
    </w:p>
    <w:p>
      <w:pPr>
        <w:pStyle w:val="554"/>
        <w:spacing w:before="0" w:line="360" w:lineRule="auto"/>
        <w:ind w:left="0" w:firstLine="0"/>
        <w:contextualSpacing/>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19</w:t>
      </w:r>
      <w:r>
        <w:rPr>
          <w:rFonts w:hint="eastAsia" w:asciiTheme="majorEastAsia" w:hAnsiTheme="majorEastAsia" w:eastAsiaTheme="majorEastAsia" w:cstheme="majorEastAsia"/>
          <w:b/>
          <w:sz w:val="24"/>
          <w:szCs w:val="24"/>
        </w:rPr>
        <w:t>.</w:t>
      </w:r>
      <w:r>
        <w:rPr>
          <w:rFonts w:hint="eastAsia" w:asciiTheme="majorEastAsia" w:hAnsiTheme="majorEastAsia" w:eastAsiaTheme="majorEastAsia" w:cstheme="majorEastAsia"/>
          <w:b/>
          <w:sz w:val="24"/>
        </w:rPr>
        <w:t>资格审查</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19.1开标后，采购人或采购代理机构将依法对投标人的资格进行审查。</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rPr>
        <w:t>19.2</w:t>
      </w:r>
      <w:r>
        <w:rPr>
          <w:rFonts w:hint="eastAsia" w:asciiTheme="majorEastAsia" w:hAnsiTheme="majorEastAsia" w:eastAsiaTheme="majorEastAsia" w:cstheme="majorEastAsia"/>
          <w:sz w:val="24"/>
        </w:rPr>
        <w:t>采购人或采购代理机构依据法律法规和招标文件的规定，对投标人的基本资格条件、特定资格条件进行审查。</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19.3投标人未按照招标文件要求提供与</w:t>
      </w:r>
      <w:r>
        <w:rPr>
          <w:rFonts w:hint="eastAsia" w:asciiTheme="majorEastAsia" w:hAnsiTheme="majorEastAsia" w:eastAsiaTheme="majorEastAsia" w:cstheme="majorEastAsia"/>
        </w:rPr>
        <w:t>基本资格条件、特定资格条件相应的</w:t>
      </w:r>
      <w:r>
        <w:rPr>
          <w:rFonts w:hint="eastAsia" w:asciiTheme="majorEastAsia" w:hAnsiTheme="majorEastAsia" w:eastAsiaTheme="majorEastAsia" w:cstheme="majorEastAsia"/>
          <w:kern w:val="0"/>
          <w:szCs w:val="24"/>
        </w:rPr>
        <w:t>有效资格证明材料的，视为投标人不具备招标文件中规定的资格要求，其投标无效。</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19.4对未通过资格审查的投标人，采购人或采购代理机构告知其未通过的原因。</w:t>
      </w:r>
    </w:p>
    <w:p>
      <w:pPr>
        <w:pStyle w:val="129"/>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Cs w:val="24"/>
        </w:rPr>
        <w:t>19.</w:t>
      </w:r>
      <w:r>
        <w:rPr>
          <w:rFonts w:hint="eastAsia" w:asciiTheme="majorEastAsia" w:hAnsiTheme="majorEastAsia" w:eastAsiaTheme="majorEastAsia" w:cstheme="majorEastAsia"/>
        </w:rPr>
        <w:t>5合格投标人不足3家的，不再评标。</w:t>
      </w:r>
    </w:p>
    <w:p>
      <w:pPr>
        <w:pStyle w:val="129"/>
        <w:spacing w:before="0"/>
        <w:ind w:firstLine="0" w:firstLineChars="0"/>
        <w:rPr>
          <w:rFonts w:hint="eastAsia"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20.信用信息查询</w:t>
      </w:r>
    </w:p>
    <w:p>
      <w:pPr>
        <w:pStyle w:val="129"/>
        <w:spacing w:before="0"/>
        <w:ind w:firstLine="495" w:firstLineChars="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20.1信用信息查询渠道及截止时间：采购代理机构将通过“信用中国”网站(www.creditchina.gov.cn)、中国政府采购网(www.ccgp.gov.cn)渠道查询投标人投标截止时间当天的信用记录。</w:t>
      </w:r>
    </w:p>
    <w:p>
      <w:pPr>
        <w:pStyle w:val="129"/>
        <w:spacing w:before="0"/>
        <w:ind w:firstLine="495" w:firstLineChars="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20.2信用信息查询记录和证据留存的具体方式：现场查询的投标人的信用记录、查询结果经确认后将与采购文件一起存档。</w:t>
      </w:r>
    </w:p>
    <w:p>
      <w:pPr>
        <w:pStyle w:val="129"/>
        <w:spacing w:before="0"/>
        <w:ind w:firstLine="495" w:firstLineChars="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20.3信用信息的使用规则：经查询列入失信被执行人名单、重大税收违法案件当事人名单、政府采购严重违法失信行为记录名单的投标人将被拒绝参与政府采购活动。</w:t>
      </w:r>
    </w:p>
    <w:p>
      <w:pPr>
        <w:pStyle w:val="129"/>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heme="majorEastAsia" w:hAnsiTheme="majorEastAsia" w:eastAsiaTheme="majorEastAsia" w:cstheme="majorEastAsia"/>
        </w:rPr>
        <w:t>。</w:t>
      </w:r>
    </w:p>
    <w:p>
      <w:pPr>
        <w:snapToGrid w:val="0"/>
        <w:spacing w:line="360" w:lineRule="auto"/>
        <w:jc w:val="center"/>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五、评标</w:t>
      </w:r>
    </w:p>
    <w:p>
      <w:pPr>
        <w:spacing w:line="360" w:lineRule="auto"/>
        <w:rPr>
          <w:rFonts w:hint="eastAsia" w:asciiTheme="majorEastAsia" w:hAnsiTheme="majorEastAsia" w:eastAsiaTheme="majorEastAsia" w:cstheme="majorEastAsia"/>
          <w:b/>
          <w:sz w:val="24"/>
        </w:rPr>
      </w:pPr>
      <w:bookmarkStart w:id="13" w:name="_Toc91899903"/>
      <w:r>
        <w:rPr>
          <w:rFonts w:hint="eastAsia" w:asciiTheme="majorEastAsia" w:hAnsiTheme="majorEastAsia" w:eastAsiaTheme="majorEastAsia" w:cstheme="majorEastAsia"/>
          <w:b/>
          <w:sz w:val="24"/>
        </w:rPr>
        <w:t>21.</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sz w:val="24"/>
        </w:rPr>
        <w:t>评标委员会将根据招标文件和有关规定，履行评标工作职责，并按照评标方法及评分标准，全面衡量各投标人对招标文件的响应情况。对实质上响应招标文件的投标人，按照评审因素进行评审。</w:t>
      </w:r>
      <w:r>
        <w:rPr>
          <w:rFonts w:hint="eastAsia" w:asciiTheme="majorEastAsia" w:hAnsiTheme="majorEastAsia" w:eastAsiaTheme="majorEastAsia" w:cstheme="majorEastAsia"/>
          <w:b/>
          <w:sz w:val="24"/>
        </w:rPr>
        <w:t>详见招标文件第四部分评标办法。</w:t>
      </w:r>
    </w:p>
    <w:p>
      <w:pPr>
        <w:snapToGrid w:val="0"/>
        <w:spacing w:line="360" w:lineRule="auto"/>
        <w:jc w:val="center"/>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六、定标</w:t>
      </w:r>
    </w:p>
    <w:p>
      <w:pPr>
        <w:pStyle w:val="25"/>
        <w:spacing w:line="360" w:lineRule="auto"/>
        <w:ind w:left="478" w:hanging="479" w:hangingChars="19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22. 确定中标供应商</w:t>
      </w:r>
    </w:p>
    <w:p>
      <w:pPr>
        <w:pStyle w:val="129"/>
        <w:snapToGrid w:val="0"/>
        <w:spacing w:before="0"/>
        <w:ind w:firstLine="480"/>
        <w:rPr>
          <w:rFonts w:hint="eastAsia" w:asciiTheme="majorEastAsia" w:hAnsiTheme="majorEastAsia" w:eastAsiaTheme="majorEastAsia" w:cstheme="majorEastAsia"/>
          <w:b/>
          <w:szCs w:val="24"/>
        </w:rPr>
      </w:pPr>
      <w:r>
        <w:rPr>
          <w:rFonts w:hint="eastAsia" w:asciiTheme="majorEastAsia" w:hAnsiTheme="majorEastAsia" w:eastAsiaTheme="majorEastAsia" w:cstheme="majorEastAsia"/>
          <w:szCs w:val="24"/>
        </w:rPr>
        <w:t>采购人将自收到评审报告之日起5个工作日内通过电子交易平台在评审报告推荐的中标候选人中确定中标供应商，并将结果确认书面提交给采购代理机构。</w:t>
      </w:r>
    </w:p>
    <w:p>
      <w:pPr>
        <w:pStyle w:val="129"/>
        <w:snapToGrid w:val="0"/>
        <w:spacing w:before="0"/>
        <w:ind w:firstLine="0" w:firstLineChars="0"/>
        <w:rPr>
          <w:rFonts w:hint="eastAsia" w:asciiTheme="majorEastAsia" w:hAnsiTheme="majorEastAsia" w:eastAsiaTheme="majorEastAsia" w:cstheme="majorEastAsia"/>
          <w:b/>
          <w:szCs w:val="24"/>
        </w:rPr>
      </w:pPr>
      <w:r>
        <w:rPr>
          <w:rFonts w:hint="eastAsia" w:asciiTheme="majorEastAsia" w:hAnsiTheme="majorEastAsia" w:eastAsiaTheme="majorEastAsia" w:cstheme="majorEastAsia"/>
          <w:b/>
          <w:szCs w:val="24"/>
        </w:rPr>
        <w:t>23. 中标通知与中标结果公告</w:t>
      </w:r>
    </w:p>
    <w:p>
      <w:pPr>
        <w:widowControl/>
        <w:shd w:val="clear" w:color="auto" w:fill="FFFFFF"/>
        <w:spacing w:line="360" w:lineRule="auto"/>
        <w:ind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23.1自中标人确定之日起2个工作日内，采购代理机构通过电子交易平台向中标人发出中标通知书，同时编制发布采购结果公告。</w:t>
      </w:r>
    </w:p>
    <w:p>
      <w:pPr>
        <w:widowControl/>
        <w:shd w:val="clear" w:color="auto" w:fill="FFFFFF"/>
        <w:spacing w:line="360" w:lineRule="auto"/>
        <w:ind w:firstLine="48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23.2公告期限为1个工作日。</w:t>
      </w:r>
    </w:p>
    <w:p>
      <w:pPr>
        <w:snapToGrid w:val="0"/>
        <w:spacing w:line="360" w:lineRule="auto"/>
        <w:ind w:left="120" w:leftChars="57" w:firstLine="482" w:firstLineChars="150"/>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七、合同授予</w:t>
      </w:r>
    </w:p>
    <w:p>
      <w:pPr>
        <w:pStyle w:val="25"/>
        <w:spacing w:line="360" w:lineRule="auto"/>
        <w:ind w:left="478" w:hanging="479" w:hangingChars="19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 xml:space="preserve">24. </w:t>
      </w:r>
      <w:r>
        <w:rPr>
          <w:rFonts w:hint="eastAsia" w:asciiTheme="majorEastAsia" w:hAnsiTheme="majorEastAsia" w:eastAsiaTheme="majorEastAsia" w:cstheme="majorEastAsia"/>
        </w:rPr>
        <w:t>合同主要条款详见第五部分拟签订的合同文本。</w:t>
      </w:r>
    </w:p>
    <w:p>
      <w:pPr>
        <w:pStyle w:val="25"/>
        <w:spacing w:line="360" w:lineRule="auto"/>
        <w:ind w:left="478" w:hanging="479" w:hangingChars="19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25. 合同的签订</w:t>
      </w:r>
    </w:p>
    <w:p>
      <w:pPr>
        <w:widowControl/>
        <w:shd w:val="clear" w:color="auto" w:fill="FFFFFF"/>
        <w:spacing w:line="360" w:lineRule="auto"/>
        <w:ind w:firstLine="48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25.1</w:t>
      </w:r>
      <w:r>
        <w:rPr>
          <w:rFonts w:hint="eastAsia" w:asciiTheme="majorEastAsia" w:hAnsiTheme="majorEastAsia" w:eastAsiaTheme="majorEastAsia" w:cstheme="majorEastAsia"/>
          <w:kern w:val="0"/>
          <w:sz w:val="24"/>
        </w:rPr>
        <w:t xml:space="preserve"> 采购人与中标人应当在中标通知书发出之日起三十日内，按照招标文件确定的事项签订政府采购合同，并在合同签订之日起2个工作日内依法发布合同公告。</w:t>
      </w:r>
    </w:p>
    <w:p>
      <w:pPr>
        <w:pStyle w:val="129"/>
        <w:snapToGrid w:val="0"/>
        <w:spacing w:before="0"/>
        <w:ind w:firstLine="480"/>
        <w:rPr>
          <w:rFonts w:hint="eastAsia" w:asciiTheme="majorEastAsia" w:hAnsiTheme="majorEastAsia" w:eastAsiaTheme="majorEastAsia" w:cstheme="majorEastAsia"/>
          <w:kern w:val="0"/>
          <w:lang w:val="zh-CN"/>
        </w:rPr>
      </w:pPr>
      <w:r>
        <w:rPr>
          <w:rFonts w:hint="eastAsia" w:asciiTheme="majorEastAsia" w:hAnsiTheme="majorEastAsia" w:eastAsiaTheme="majorEastAsia" w:cstheme="majorEastAsia"/>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9"/>
        <w:snapToGrid w:val="0"/>
        <w:spacing w:before="0"/>
        <w:ind w:firstLine="480"/>
        <w:rPr>
          <w:rFonts w:hint="eastAsia" w:asciiTheme="majorEastAsia" w:hAnsiTheme="majorEastAsia" w:eastAsiaTheme="majorEastAsia" w:cstheme="majorEastAsia"/>
          <w:kern w:val="0"/>
        </w:rPr>
      </w:pPr>
      <w:r>
        <w:rPr>
          <w:rFonts w:hint="eastAsia" w:asciiTheme="majorEastAsia" w:hAnsiTheme="majorEastAsia" w:eastAsiaTheme="majorEastAsia" w:cstheme="majorEastAsia"/>
        </w:rPr>
        <w:t>25.3采购人对合同内容负责。合同金额200万元及以上的必须由法律顾问根据《政府采购法》、《民法典》等对合同条款进行审查，出具法律意见书后方可签订合同。对于合同金额200万元以下的项目，采购单位自行组织审查合同条款。</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25.4如签订合同并生效后，供应商无故拒绝或延期，除按照合同条款处理外，将上报政府采购监管部门予以处理。</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25.5中标供应商拒绝与采购人签订合同的，采购人应当重新开展政府采购活动。</w:t>
      </w:r>
    </w:p>
    <w:p>
      <w:pPr>
        <w:pStyle w:val="129"/>
        <w:snapToGrid w:val="0"/>
        <w:spacing w:before="0" w:after="12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25.6采购合同由采购人与中标供应商根据招标文件、投标文件等内容签订并公告。</w:t>
      </w:r>
    </w:p>
    <w:p>
      <w:pPr>
        <w:pStyle w:val="25"/>
        <w:spacing w:line="360" w:lineRule="auto"/>
        <w:ind w:left="478" w:hanging="479" w:hangingChars="199"/>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26. 履约保证金</w:t>
      </w:r>
    </w:p>
    <w:p>
      <w:pPr>
        <w:tabs>
          <w:tab w:val="left" w:pos="0"/>
        </w:tabs>
        <w:spacing w:line="360" w:lineRule="auto"/>
        <w:ind w:firstLine="482"/>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kern w:val="0"/>
          <w:sz w:val="24"/>
        </w:rPr>
        <w:t>拟签订的合同文本要求中标供应商提交履约保证金的，供应商应当以支票、汇票、本票或者金融机构、担保机构出具的保函等非现金形式提交</w:t>
      </w:r>
      <w:r>
        <w:rPr>
          <w:rFonts w:hint="eastAsia" w:asciiTheme="majorEastAsia" w:hAnsiTheme="majorEastAsia" w:eastAsiaTheme="majorEastAsia" w:cstheme="majorEastAsia"/>
          <w:sz w:val="24"/>
        </w:rPr>
        <w:t>。履约保证金的数额不得超过政府采购合同金额的2.5%。鼓励和支持供应商以银行、保险公司出具的保函形式提供履约保证金。</w:t>
      </w:r>
      <w:r>
        <w:rPr>
          <w:rFonts w:hint="eastAsia" w:asciiTheme="majorEastAsia" w:hAnsiTheme="majorEastAsia" w:eastAsiaTheme="majorEastAsia" w:cstheme="majorEastAsia"/>
          <w:b/>
          <w:sz w:val="24"/>
        </w:rPr>
        <w:t>采购人不得拒收履约保函。</w:t>
      </w:r>
    </w:p>
    <w:p>
      <w:pPr>
        <w:tabs>
          <w:tab w:val="left" w:pos="0"/>
        </w:tabs>
        <w:spacing w:line="360" w:lineRule="auto"/>
        <w:ind w:firstLine="482"/>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kern w:val="0"/>
          <w:sz w:val="24"/>
        </w:rPr>
        <w:t>供应商可登录政府采购云平台-【金融服务】—【我的项目】—【已备案合同】以保函形式提供。政府采购云平台金融专线400-903-9583。</w:t>
      </w:r>
    </w:p>
    <w:p>
      <w:pPr>
        <w:snapToGrid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32"/>
        </w:rPr>
        <w:t>八、电子交易活动的中止</w:t>
      </w:r>
    </w:p>
    <w:p>
      <w:pPr>
        <w:pStyle w:val="129"/>
        <w:snapToGrid w:val="0"/>
        <w:spacing w:before="0"/>
        <w:ind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b/>
          <w:bCs/>
        </w:rPr>
        <w:t xml:space="preserve">27. </w:t>
      </w:r>
      <w:r>
        <w:rPr>
          <w:rFonts w:hint="eastAsia" w:asciiTheme="majorEastAsia" w:hAnsiTheme="majorEastAsia" w:eastAsiaTheme="majorEastAsia" w:cstheme="majorEastAsia"/>
          <w:b/>
          <w:szCs w:val="24"/>
        </w:rPr>
        <w:t>电子交易活动的中止。</w:t>
      </w:r>
      <w:r>
        <w:rPr>
          <w:rFonts w:hint="eastAsia" w:asciiTheme="majorEastAsia" w:hAnsiTheme="majorEastAsia" w:eastAsiaTheme="majorEastAsia" w:cstheme="majorEastAsia"/>
        </w:rPr>
        <w:t>采购过程中出现以下情形，导致电子交易平台无法正常运行，或者无法保证电子交易的公平、公正和安全时，采购代理机构可中止电子交易活动：</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27.1电子交易平台发生故障而无法登录访问的； </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27.2电子交易平台应用或数据库出现错误，不能进行正常操作的；</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27.3电子交易平台发现严重安全漏洞，有潜在泄密危险的；</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 xml:space="preserve">27.4病毒发作导致不能进行正常操作的； </w:t>
      </w:r>
    </w:p>
    <w:p>
      <w:pPr>
        <w:pStyle w:val="129"/>
        <w:snapToGrid w:val="0"/>
        <w:spacing w:before="0"/>
        <w:ind w:firstLine="480"/>
        <w:rPr>
          <w:rFonts w:hint="eastAsia" w:asciiTheme="majorEastAsia" w:hAnsiTheme="majorEastAsia" w:eastAsiaTheme="majorEastAsia" w:cstheme="majorEastAsia"/>
        </w:rPr>
      </w:pPr>
      <w:r>
        <w:rPr>
          <w:rFonts w:hint="eastAsia" w:asciiTheme="majorEastAsia" w:hAnsiTheme="majorEastAsia" w:eastAsiaTheme="majorEastAsia" w:cstheme="majorEastAsia"/>
        </w:rPr>
        <w:t>27.5其他无法保证电子交易的公平、公正和安全的情况。</w:t>
      </w:r>
    </w:p>
    <w:p>
      <w:pPr>
        <w:pStyle w:val="129"/>
        <w:snapToGrid w:val="0"/>
        <w:spacing w:before="0"/>
        <w:ind w:firstLine="0" w:firstLineChars="0"/>
        <w:rPr>
          <w:rFonts w:hint="eastAsia" w:asciiTheme="majorEastAsia" w:hAnsiTheme="majorEastAsia" w:eastAsiaTheme="majorEastAsia" w:cstheme="majorEastAsia"/>
        </w:rPr>
      </w:pPr>
      <w:r>
        <w:rPr>
          <w:rFonts w:hint="eastAsia" w:asciiTheme="majorEastAsia" w:hAnsiTheme="majorEastAsia" w:eastAsiaTheme="majorEastAsia" w:cstheme="majorEastAsia"/>
          <w:b/>
          <w:bCs/>
        </w:rPr>
        <w:t>28.</w:t>
      </w:r>
      <w:r>
        <w:rPr>
          <w:rFonts w:hint="eastAsia" w:asciiTheme="majorEastAsia" w:hAnsiTheme="majorEastAsia" w:eastAsiaTheme="majorEastAsia" w:cstheme="majorEastAsia"/>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pPr>
        <w:snapToGrid w:val="0"/>
        <w:spacing w:line="360" w:lineRule="auto"/>
        <w:ind w:left="120" w:leftChars="57" w:firstLine="482" w:firstLineChars="150"/>
        <w:jc w:val="center"/>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九、验收</w:t>
      </w:r>
    </w:p>
    <w:p>
      <w:pPr>
        <w:pStyle w:val="25"/>
        <w:spacing w:line="360" w:lineRule="auto"/>
        <w:ind w:firstLine="0" w:firstLineChars="0"/>
        <w:rPr>
          <w:rFonts w:hint="eastAsia" w:asciiTheme="majorEastAsia" w:hAnsiTheme="majorEastAsia" w:eastAsiaTheme="majorEastAsia" w:cstheme="majorEastAsia"/>
          <w:b/>
        </w:rPr>
      </w:pPr>
      <w:r>
        <w:rPr>
          <w:rFonts w:hint="eastAsia" w:asciiTheme="majorEastAsia" w:hAnsiTheme="majorEastAsia" w:eastAsiaTheme="majorEastAsia" w:cstheme="majorEastAsia"/>
          <w:b/>
        </w:rPr>
        <w:t>29.验收</w:t>
      </w:r>
    </w:p>
    <w:p>
      <w:pPr>
        <w:tabs>
          <w:tab w:val="left" w:pos="0"/>
        </w:tabs>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Theme="majorEastAsia" w:hAnsiTheme="majorEastAsia" w:eastAsiaTheme="majorEastAsia" w:cstheme="majorEastAsia"/>
          <w:sz w:val="18"/>
          <w:szCs w:val="18"/>
        </w:rPr>
      </w:pPr>
      <w:r>
        <w:rPr>
          <w:rFonts w:hint="eastAsia" w:asciiTheme="majorEastAsia" w:hAnsiTheme="majorEastAsia" w:eastAsiaTheme="majorEastAsia" w:cstheme="majorEastAsi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Theme="majorEastAsia" w:hAnsiTheme="majorEastAsia" w:eastAsiaTheme="majorEastAsia" w:cstheme="majorEastAsia"/>
          <w:kern w:val="0"/>
          <w:sz w:val="24"/>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cols w:space="720" w:num="1"/>
          <w:titlePg/>
          <w:docGrid w:linePitch="312" w:charSpace="0"/>
        </w:sectPr>
      </w:pPr>
      <w:bookmarkStart w:id="14" w:name="_Hlt75236101"/>
      <w:bookmarkEnd w:id="14"/>
      <w:bookmarkStart w:id="15" w:name="_Hlt68072990"/>
      <w:bookmarkEnd w:id="15"/>
      <w:bookmarkStart w:id="16" w:name="_Hlt74729768"/>
      <w:bookmarkEnd w:id="16"/>
      <w:bookmarkStart w:id="17" w:name="_Hlt75236011"/>
      <w:bookmarkEnd w:id="17"/>
      <w:bookmarkStart w:id="18" w:name="_Hlt74714665"/>
      <w:bookmarkEnd w:id="18"/>
      <w:bookmarkStart w:id="19" w:name="_Hlt68403820"/>
      <w:bookmarkEnd w:id="19"/>
      <w:bookmarkStart w:id="20" w:name="_Hlt75236290"/>
      <w:bookmarkEnd w:id="20"/>
      <w:bookmarkStart w:id="21" w:name="_Hlt68073093"/>
      <w:bookmarkEnd w:id="21"/>
      <w:bookmarkStart w:id="22" w:name="_Hlt68072998"/>
      <w:bookmarkEnd w:id="22"/>
      <w:bookmarkStart w:id="23" w:name="_Hlt74707468"/>
      <w:bookmarkEnd w:id="23"/>
      <w:bookmarkStart w:id="24" w:name="_Hlt68057669"/>
      <w:bookmarkEnd w:id="24"/>
      <w:bookmarkStart w:id="25" w:name="_Hlt74730295"/>
      <w:bookmarkEnd w:id="25"/>
    </w:p>
    <w:bookmarkEnd w:id="11"/>
    <w:bookmarkEnd w:id="12"/>
    <w:p>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pPr>
        <w:ind w:firstLine="2711" w:firstLineChars="900"/>
        <w:rPr>
          <w:rFonts w:ascii="黑体" w:hAnsi="黑体" w:eastAsia="黑体"/>
          <w:b/>
          <w:bCs/>
          <w:sz w:val="30"/>
          <w:szCs w:val="30"/>
          <w:u w:val="single"/>
        </w:rPr>
      </w:pPr>
      <w:r>
        <w:rPr>
          <w:rFonts w:hint="eastAsia" w:ascii="黑体" w:hAnsi="黑体" w:eastAsia="黑体"/>
          <w:b/>
          <w:bCs/>
          <w:sz w:val="30"/>
          <w:szCs w:val="30"/>
        </w:rPr>
        <w:t>一、采购内容及需求</w:t>
      </w:r>
    </w:p>
    <w:p>
      <w:pPr>
        <w:spacing w:line="360" w:lineRule="auto"/>
        <w:ind w:firstLine="480" w:firstLineChars="200"/>
        <w:rPr>
          <w:rFonts w:ascii="宋体" w:hAnsi="宋体" w:cs="宋体"/>
          <w:sz w:val="24"/>
        </w:rPr>
      </w:pPr>
      <w:r>
        <w:rPr>
          <w:rFonts w:hint="eastAsia" w:ascii="宋体" w:hAnsi="宋体" w:cs="宋体"/>
          <w:sz w:val="24"/>
        </w:rPr>
        <w:t>基于电子商务浙江省中职品牌专业建设基础及成果，对标浙江省中职高水平专业建设人才培养模式，优化高素质复合型人才的培育新模式，以提高电子商务专业人才创新创业技能为核心，以电子商务业务流程为主线，推动教育链、人才链与产业链、创新链融合发展。紧密结合电子商务行业发展新业态、新工具、新方法，对接电子商务产业链涉及的岗位（群）职业能力要求，建设电子商务一体化实训平台。</w:t>
      </w:r>
    </w:p>
    <w:p>
      <w:pPr>
        <w:keepNext/>
        <w:keepLines/>
        <w:numPr>
          <w:ilvl w:val="0"/>
          <w:numId w:val="5"/>
        </w:numPr>
        <w:spacing w:line="480" w:lineRule="auto"/>
        <w:rPr>
          <w:rFonts w:ascii="宋体" w:hAnsi="宋体" w:cs="宋体"/>
          <w:b/>
          <w:kern w:val="44"/>
          <w:sz w:val="24"/>
        </w:rPr>
      </w:pPr>
      <w:r>
        <w:rPr>
          <w:rFonts w:hint="eastAsia" w:ascii="宋体" w:hAnsi="宋体" w:cs="宋体"/>
          <w:b/>
          <w:kern w:val="44"/>
          <w:sz w:val="24"/>
        </w:rPr>
        <w:t>建设目标</w:t>
      </w:r>
    </w:p>
    <w:p>
      <w:pPr>
        <w:spacing w:line="360" w:lineRule="auto"/>
        <w:ind w:firstLine="480" w:firstLineChars="200"/>
        <w:rPr>
          <w:rFonts w:ascii="宋体" w:hAnsi="宋体" w:cs="宋体"/>
          <w:sz w:val="24"/>
        </w:rPr>
      </w:pPr>
      <w:r>
        <w:rPr>
          <w:rFonts w:hint="eastAsia" w:ascii="宋体" w:hAnsi="宋体" w:cs="宋体"/>
          <w:sz w:val="24"/>
        </w:rPr>
        <w:t>1）能够承担电子商务及其相关专业电子商务、产品展示、新媒体直播、短视频制作、网络营销、数据分析、农产品电商、网店运营、电子商务创业等岗位实践，以实景化形式呈现企业真实业务场景。</w:t>
      </w:r>
    </w:p>
    <w:p>
      <w:pPr>
        <w:spacing w:line="360" w:lineRule="auto"/>
        <w:ind w:firstLine="480" w:firstLineChars="200"/>
        <w:rPr>
          <w:rFonts w:ascii="宋体" w:hAnsi="宋体" w:cs="宋体"/>
          <w:sz w:val="24"/>
        </w:rPr>
      </w:pPr>
      <w:r>
        <w:rPr>
          <w:rFonts w:hint="eastAsia" w:ascii="宋体" w:hAnsi="宋体" w:cs="宋体"/>
          <w:sz w:val="24"/>
        </w:rPr>
        <w:t>2）服务诸暨乡村振兴战略和数字乡村建设，培养诸暨现代农业产业发展需求和企业农村电商人才职业技能，为诸暨乡村振兴和共同富裕提供智力支撑和人才支撑。</w:t>
      </w:r>
    </w:p>
    <w:p>
      <w:pPr>
        <w:spacing w:line="360" w:lineRule="auto"/>
        <w:ind w:firstLine="480" w:firstLineChars="200"/>
        <w:rPr>
          <w:rFonts w:ascii="宋体" w:hAnsi="宋体" w:cs="宋体"/>
          <w:sz w:val="24"/>
        </w:rPr>
      </w:pPr>
      <w:r>
        <w:rPr>
          <w:rFonts w:hint="eastAsia" w:ascii="宋体" w:hAnsi="宋体" w:cs="宋体"/>
          <w:sz w:val="24"/>
        </w:rPr>
        <w:t>3）深化产教融合、校企合作，推动“岗课赛证融通”育人模式，为高水平技术技能人才培养做好基础。</w:t>
      </w:r>
    </w:p>
    <w:p>
      <w:pPr>
        <w:spacing w:line="360" w:lineRule="auto"/>
        <w:ind w:firstLine="480" w:firstLineChars="200"/>
      </w:pPr>
      <w:r>
        <w:rPr>
          <w:rFonts w:hint="eastAsia" w:ascii="宋体" w:hAnsi="宋体" w:cs="宋体"/>
          <w:sz w:val="24"/>
        </w:rPr>
        <w:t>4）能够承担电商认证培训和社会培训。</w:t>
      </w:r>
    </w:p>
    <w:p>
      <w:pPr>
        <w:keepNext/>
        <w:keepLines/>
        <w:numPr>
          <w:ilvl w:val="0"/>
          <w:numId w:val="5"/>
        </w:numPr>
        <w:spacing w:line="480" w:lineRule="auto"/>
        <w:rPr>
          <w:rFonts w:ascii="宋体" w:hAnsi="宋体" w:cs="宋体"/>
          <w:b/>
          <w:kern w:val="44"/>
          <w:sz w:val="24"/>
        </w:rPr>
      </w:pPr>
      <w:r>
        <w:rPr>
          <w:rFonts w:hint="eastAsia" w:ascii="宋体" w:hAnsi="宋体" w:cs="宋体"/>
          <w:b/>
          <w:kern w:val="44"/>
          <w:sz w:val="24"/>
        </w:rPr>
        <w:t>实施范围</w:t>
      </w:r>
    </w:p>
    <w:p>
      <w:pPr>
        <w:spacing w:line="360" w:lineRule="auto"/>
        <w:ind w:firstLine="480" w:firstLineChars="200"/>
        <w:rPr>
          <w:rFonts w:ascii="宋体" w:hAnsi="宋体" w:cs="宋体"/>
          <w:sz w:val="24"/>
        </w:rPr>
      </w:pPr>
      <w:r>
        <w:rPr>
          <w:rFonts w:hint="eastAsia" w:ascii="宋体" w:hAnsi="宋体" w:cs="宋体"/>
          <w:sz w:val="24"/>
        </w:rPr>
        <w:t>诸暨技师学院</w:t>
      </w:r>
    </w:p>
    <w:p>
      <w:pPr>
        <w:keepNext/>
        <w:keepLines/>
        <w:numPr>
          <w:ilvl w:val="0"/>
          <w:numId w:val="5"/>
        </w:numPr>
        <w:spacing w:line="480" w:lineRule="auto"/>
        <w:rPr>
          <w:rFonts w:ascii="宋体" w:hAnsi="宋体" w:cs="宋体"/>
          <w:b/>
          <w:kern w:val="44"/>
          <w:sz w:val="24"/>
        </w:rPr>
      </w:pPr>
      <w:r>
        <w:rPr>
          <w:rFonts w:hint="eastAsia" w:ascii="宋体" w:hAnsi="宋体" w:cs="宋体"/>
          <w:b/>
          <w:kern w:val="44"/>
          <w:sz w:val="24"/>
        </w:rPr>
        <w:t>实施内容和要求</w:t>
      </w:r>
    </w:p>
    <w:tbl>
      <w:tblPr>
        <w:tblStyle w:val="63"/>
        <w:tblW w:w="9155" w:type="dxa"/>
        <w:tblInd w:w="0" w:type="dxa"/>
        <w:tblLayout w:type="fixed"/>
        <w:tblCellMar>
          <w:top w:w="0" w:type="dxa"/>
          <w:left w:w="108" w:type="dxa"/>
          <w:bottom w:w="0" w:type="dxa"/>
          <w:right w:w="108" w:type="dxa"/>
        </w:tblCellMar>
      </w:tblPr>
      <w:tblGrid>
        <w:gridCol w:w="598"/>
        <w:gridCol w:w="949"/>
        <w:gridCol w:w="1110"/>
        <w:gridCol w:w="5110"/>
        <w:gridCol w:w="679"/>
        <w:gridCol w:w="709"/>
      </w:tblGrid>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b/>
                <w:sz w:val="22"/>
              </w:rPr>
            </w:pPr>
            <w:r>
              <w:rPr>
                <w:rFonts w:hint="eastAsia" w:ascii="宋体" w:hAnsi="宋体" w:cs="宋体"/>
                <w:b/>
                <w:sz w:val="22"/>
              </w:rPr>
              <w:t>序号</w:t>
            </w:r>
          </w:p>
        </w:tc>
        <w:tc>
          <w:tcPr>
            <w:tcW w:w="94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b/>
                <w:sz w:val="22"/>
              </w:rPr>
            </w:pPr>
            <w:r>
              <w:rPr>
                <w:rFonts w:hint="eastAsia" w:ascii="宋体" w:hAnsi="宋体" w:cs="宋体"/>
                <w:b/>
                <w:sz w:val="22"/>
              </w:rPr>
              <w:t>分类</w:t>
            </w:r>
          </w:p>
        </w:tc>
        <w:tc>
          <w:tcPr>
            <w:tcW w:w="111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b/>
                <w:sz w:val="22"/>
              </w:rPr>
            </w:pPr>
            <w:r>
              <w:rPr>
                <w:rFonts w:hint="eastAsia" w:ascii="宋体" w:hAnsi="宋体" w:cs="宋体"/>
                <w:b/>
                <w:sz w:val="22"/>
              </w:rPr>
              <w:t>项目名称</w:t>
            </w:r>
          </w:p>
        </w:tc>
        <w:tc>
          <w:tcPr>
            <w:tcW w:w="511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b/>
                <w:sz w:val="22"/>
              </w:rPr>
            </w:pPr>
            <w:r>
              <w:rPr>
                <w:rFonts w:hint="eastAsia" w:ascii="宋体" w:hAnsi="宋体" w:cs="宋体"/>
                <w:b/>
                <w:sz w:val="22"/>
              </w:rPr>
              <w:t>技术参数</w:t>
            </w:r>
          </w:p>
        </w:tc>
        <w:tc>
          <w:tcPr>
            <w:tcW w:w="67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b/>
                <w:sz w:val="22"/>
              </w:rPr>
            </w:pPr>
            <w:r>
              <w:rPr>
                <w:rFonts w:hint="eastAsia" w:ascii="宋体" w:hAnsi="宋体" w:cs="宋体"/>
                <w:b/>
                <w:sz w:val="22"/>
              </w:rPr>
              <w:t>数量</w:t>
            </w:r>
          </w:p>
        </w:tc>
        <w:tc>
          <w:tcPr>
            <w:tcW w:w="709"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宋体" w:hAnsi="宋体" w:cs="宋体"/>
                <w:b/>
                <w:sz w:val="22"/>
              </w:rPr>
            </w:pPr>
            <w:r>
              <w:rPr>
                <w:rFonts w:hint="eastAsia" w:ascii="宋体" w:hAnsi="宋体" w:cs="宋体"/>
                <w:b/>
                <w:sz w:val="22"/>
              </w:rPr>
              <w:t>单位</w:t>
            </w:r>
          </w:p>
        </w:tc>
      </w:tr>
      <w:tr>
        <w:tblPrEx>
          <w:tblCellMar>
            <w:top w:w="0" w:type="dxa"/>
            <w:left w:w="108" w:type="dxa"/>
            <w:bottom w:w="0" w:type="dxa"/>
            <w:right w:w="108" w:type="dxa"/>
          </w:tblCellMar>
        </w:tblPrEx>
        <w:trPr>
          <w:trHeight w:val="600" w:hRule="atLeast"/>
        </w:trPr>
        <w:tc>
          <w:tcPr>
            <w:tcW w:w="5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94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sz w:val="22"/>
              </w:rPr>
            </w:pPr>
            <w:r>
              <w:rPr>
                <w:rFonts w:hint="eastAsia" w:ascii="宋体" w:hAnsi="宋体" w:cs="宋体"/>
                <w:b/>
                <w:sz w:val="22"/>
              </w:rPr>
              <w:t>电子商务一体化实训平台（核心产品）</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 w:val="22"/>
              </w:rPr>
            </w:pPr>
            <w:r>
              <w:rPr>
                <w:rFonts w:hint="eastAsia" w:ascii="宋体" w:hAnsi="宋体" w:cs="宋体"/>
                <w:sz w:val="22"/>
              </w:rPr>
              <w:t>农产品电商运营基础实训系统</w:t>
            </w:r>
          </w:p>
        </w:tc>
        <w:tc>
          <w:tcPr>
            <w:tcW w:w="51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sz w:val="22"/>
              </w:rPr>
            </w:pPr>
            <w:r>
              <w:rPr>
                <w:rFonts w:hint="eastAsia" w:ascii="宋体" w:hAnsi="宋体" w:cs="宋体"/>
                <w:sz w:val="22"/>
              </w:rPr>
              <w:t>一、软件要求</w:t>
            </w:r>
            <w:r>
              <w:rPr>
                <w:rFonts w:ascii="宋体" w:hAnsi="宋体" w:cs="宋体"/>
                <w:sz w:val="22"/>
              </w:rPr>
              <w:br w:type="textWrapping"/>
            </w:r>
            <w:r>
              <w:rPr>
                <w:rFonts w:hint="eastAsia" w:ascii="宋体" w:hAnsi="宋体" w:cs="宋体"/>
                <w:sz w:val="22"/>
              </w:rPr>
              <w:t>本软件是针对各类教育和培训机构的农产品电商运营技能培训设计而开发的培训教育支撑工具。主要针对农产品电商运营基础知识学习和基础技能训练的核心培训教学需求，围绕农产品电商日常运营、农产品客户服务、农产品营销执行等工作领域，提供多类目、多场景下农产品电商运营情境和任务，包含农产品网店开通、营销账号搭建、农产品上架与维护、农产品订单管理、农产品客户服务、农产品电商平台营销执行、农产品社交媒体营销、农产品直播与农产品短视频营销等。学员可通过案例学习、引导训练、自主训练三个流程依次递进的阶梯式学习，全面掌握农产品电商运营中店铺日常运维、客户服务、营销推广实施等环节的流程、方法和技巧，训练和提升农产品电商基础运营工作技能。</w:t>
            </w:r>
          </w:p>
          <w:p>
            <w:pPr>
              <w:widowControl/>
              <w:jc w:val="left"/>
              <w:rPr>
                <w:rFonts w:ascii="宋体" w:hAnsi="宋体" w:cs="宋体"/>
                <w:sz w:val="22"/>
              </w:rPr>
            </w:pPr>
            <w:r>
              <w:rPr>
                <w:rFonts w:ascii="宋体" w:hAnsi="宋体" w:cs="宋体"/>
                <w:sz w:val="22"/>
              </w:rPr>
              <w:t>二、</w:t>
            </w:r>
            <w:r>
              <w:rPr>
                <w:rFonts w:hint="eastAsia" w:ascii="宋体" w:hAnsi="宋体" w:cs="宋体"/>
                <w:sz w:val="22"/>
              </w:rPr>
              <w:t>功能要求</w:t>
            </w:r>
            <w:r>
              <w:rPr>
                <w:rFonts w:ascii="宋体" w:hAnsi="宋体" w:cs="宋体"/>
                <w:sz w:val="22"/>
              </w:rPr>
              <w:br w:type="textWrapping"/>
            </w:r>
            <w:r>
              <w:rPr>
                <w:rFonts w:hint="eastAsia" w:ascii="宋体" w:hAnsi="宋体" w:cs="宋体"/>
                <w:sz w:val="22"/>
              </w:rPr>
              <w:t>1.系统内置网店日常运营模块，需包含平台入驻、商品发布和订单管理三个子模块。</w:t>
            </w:r>
            <w:r>
              <w:rPr>
                <w:rFonts w:ascii="宋体" w:hAnsi="宋体" w:cs="宋体"/>
                <w:sz w:val="22"/>
              </w:rPr>
              <w:br w:type="textWrapping"/>
            </w:r>
            <w:r>
              <w:rPr>
                <w:rFonts w:hint="eastAsia" w:ascii="宋体" w:hAnsi="宋体" w:cs="宋体"/>
                <w:sz w:val="22"/>
              </w:rPr>
              <w:t>（1）平台入驻包含电商平台和社交媒体平台入驻，要求学员了解不同电商平台入驻规则、法律法规、入驻材料要求，能够成功完成店铺开通，并完成网店基础装修；社交媒体平台入驻，了解各平台入驻规则和入驻流程，完成营销账号开通。</w:t>
            </w:r>
            <w:r>
              <w:rPr>
                <w:rFonts w:ascii="宋体" w:hAnsi="宋体" w:cs="宋体"/>
                <w:sz w:val="22"/>
              </w:rPr>
              <w:br w:type="textWrapping"/>
            </w:r>
            <w:r>
              <w:rPr>
                <w:rFonts w:hint="eastAsia" w:ascii="宋体" w:hAnsi="宋体" w:cs="宋体"/>
                <w:sz w:val="22"/>
              </w:rPr>
              <w:t>（2）商品发布环节则需要学员根据给定的农产品素材完成商品类目选择、商品标题撰写，商品定价、商品主图、主图视频制作，详情页设计与上传等；</w:t>
            </w:r>
            <w:r>
              <w:rPr>
                <w:rFonts w:ascii="宋体" w:hAnsi="宋体" w:cs="宋体"/>
                <w:sz w:val="22"/>
              </w:rPr>
              <w:br w:type="textWrapping"/>
            </w:r>
            <w:r>
              <w:rPr>
                <w:rFonts w:hint="eastAsia" w:ascii="宋体" w:hAnsi="宋体" w:cs="宋体"/>
                <w:sz w:val="22"/>
              </w:rPr>
              <w:t>（3）订单管理子模块要求学员设置订单自动核对，并根据农产品电商平台后台订单状态、客户交流信息，正确完成订单处理，订单状态包含等待买家付款、等待发货、已发货、退款中、需要评价、成功的订单、关闭的订单等。</w:t>
            </w:r>
            <w:r>
              <w:rPr>
                <w:rFonts w:ascii="宋体" w:hAnsi="宋体" w:cs="宋体"/>
                <w:sz w:val="22"/>
              </w:rPr>
              <w:br w:type="textWrapping"/>
            </w:r>
            <w:r>
              <w:rPr>
                <w:rFonts w:hint="eastAsia" w:ascii="宋体" w:hAnsi="宋体" w:cs="宋体"/>
                <w:sz w:val="22"/>
              </w:rPr>
              <w:t>2.系统内置农产品客户服务模块，需包含客户咨询处理、客户关系管理、纠纷处理三个子模块。</w:t>
            </w:r>
            <w:r>
              <w:rPr>
                <w:rFonts w:ascii="宋体" w:hAnsi="宋体" w:cs="宋体"/>
                <w:sz w:val="22"/>
              </w:rPr>
              <w:br w:type="textWrapping"/>
            </w:r>
            <w:r>
              <w:rPr>
                <w:rFonts w:hint="eastAsia" w:ascii="宋体" w:hAnsi="宋体" w:cs="宋体"/>
                <w:sz w:val="22"/>
              </w:rPr>
              <w:t>（1）客户咨询处理子模块提供多类目任务场景，给定不同问题的客户诉求，包含售前、售中、售后等问题，学员需完成客服机器人自动回复设置，并根据对话场景、农产品特性完成客服话术模板创建，根据客户咨询，进行回复并发送；</w:t>
            </w:r>
            <w:r>
              <w:rPr>
                <w:rFonts w:ascii="宋体" w:hAnsi="宋体" w:cs="宋体"/>
                <w:sz w:val="22"/>
              </w:rPr>
              <w:br w:type="textWrapping"/>
            </w:r>
            <w:r>
              <w:rPr>
                <w:rFonts w:hint="eastAsia" w:ascii="宋体" w:hAnsi="宋体" w:cs="宋体"/>
                <w:sz w:val="22"/>
              </w:rPr>
              <w:t>（2）客户关系管理则需要学员根据提供的客户营销方案，完成智能短信通知、橱窗海报编辑设置，包含目标人群选择、活动时间等；</w:t>
            </w:r>
            <w:r>
              <w:rPr>
                <w:rFonts w:ascii="宋体" w:hAnsi="宋体" w:cs="宋体"/>
                <w:sz w:val="22"/>
              </w:rPr>
              <w:br w:type="textWrapping"/>
            </w:r>
            <w:r>
              <w:rPr>
                <w:rFonts w:hint="eastAsia" w:ascii="宋体" w:hAnsi="宋体" w:cs="宋体"/>
                <w:sz w:val="22"/>
              </w:rPr>
              <w:t>（3）纠纷处理要求学生根据服务过程纠纷背景、产品质量纠纷背景和物流配送纠纷背景，进行纠纷正确处理，对各纠纷的处理步骤分别进行排序，并且对产生各纠纷的客户编辑回复内容并发送。</w:t>
            </w:r>
            <w:r>
              <w:rPr>
                <w:rFonts w:ascii="宋体" w:hAnsi="宋体" w:cs="宋体"/>
                <w:sz w:val="22"/>
              </w:rPr>
              <w:br w:type="textWrapping"/>
            </w:r>
            <w:r>
              <w:rPr>
                <w:rFonts w:hint="eastAsia" w:ascii="宋体" w:hAnsi="宋体" w:cs="宋体"/>
                <w:sz w:val="22"/>
              </w:rPr>
              <w:t>3.系统内置农产品平台营销实施和数据分析版块，平台营销需包含电商平台营销和店铺营销，电商平台营销包含平台活动、竞价推广等，店铺营销包含店铺促销和店铺活动。数据分析包含各推广营销数据看板和分析问题。</w:t>
            </w:r>
            <w:r>
              <w:rPr>
                <w:rFonts w:ascii="宋体" w:hAnsi="宋体" w:cs="宋体"/>
                <w:sz w:val="22"/>
              </w:rPr>
              <w:br w:type="textWrapping"/>
            </w:r>
            <w:r>
              <w:rPr>
                <w:rFonts w:hint="eastAsia" w:ascii="宋体" w:hAnsi="宋体" w:cs="宋体"/>
                <w:sz w:val="22"/>
              </w:rPr>
              <w:t>（1）平台活动要求学员根据活动背景，选择平台活动进行报名，并完成报名内容设置，包含商品选择、商品价格、活动时间等；</w:t>
            </w:r>
            <w:r>
              <w:rPr>
                <w:rFonts w:ascii="宋体" w:hAnsi="宋体" w:cs="宋体"/>
                <w:sz w:val="22"/>
              </w:rPr>
              <w:br w:type="textWrapping"/>
            </w:r>
            <w:r>
              <w:rPr>
                <w:rFonts w:hint="eastAsia" w:ascii="宋体" w:hAnsi="宋体" w:cs="宋体"/>
                <w:sz w:val="22"/>
              </w:rPr>
              <w:t>（2）竞价推广需要学员根据活动背景及推广计划素材，完成计划创建、单元创建，单元中宝贝选择、创意标题设置、关键词设置等；</w:t>
            </w:r>
            <w:r>
              <w:rPr>
                <w:rFonts w:ascii="宋体" w:hAnsi="宋体" w:cs="宋体"/>
                <w:sz w:val="22"/>
              </w:rPr>
              <w:br w:type="textWrapping"/>
            </w:r>
            <w:r>
              <w:rPr>
                <w:rFonts w:hint="eastAsia" w:ascii="宋体" w:hAnsi="宋体" w:cs="宋体"/>
                <w:sz w:val="22"/>
              </w:rPr>
              <w:t>（3）店铺营销要求学员根据活动背景，选择营销工具，完成对应工具的内容设置，例如优惠券、满减、特价等。</w:t>
            </w:r>
            <w:r>
              <w:rPr>
                <w:rFonts w:ascii="宋体" w:hAnsi="宋体" w:cs="宋体"/>
                <w:sz w:val="22"/>
              </w:rPr>
              <w:br w:type="textWrapping"/>
            </w:r>
            <w:r>
              <w:rPr>
                <w:rFonts w:hint="eastAsia" w:ascii="宋体" w:hAnsi="宋体" w:cs="宋体"/>
                <w:sz w:val="22"/>
              </w:rPr>
              <w:t xml:space="preserve">数据分析需包含：竞价推广数据、流量数据、营销、店铺券和商品券相关工具和效果数据，根据数据分析作答相关问题，撰写分析结论。     </w:t>
            </w:r>
            <w:r>
              <w:rPr>
                <w:rFonts w:ascii="宋体" w:hAnsi="宋体" w:cs="宋体"/>
                <w:sz w:val="22"/>
              </w:rPr>
              <w:br w:type="textWrapping"/>
            </w:r>
            <w:r>
              <w:rPr>
                <w:rFonts w:hint="eastAsia" w:ascii="宋体" w:hAnsi="宋体" w:cs="宋体"/>
                <w:sz w:val="22"/>
              </w:rPr>
              <w:t>4.系统内置农产品社交媒体营销模块，需包含微信营销、微博营销、社群营销和各模块数据看板，该模块以社群营销为主线，通过社群构建、群内容分享、群接龙、群互动、群转化、群裂变多个阶段，提升群曝光、群活跃度，从而提升农产品营销目标，通过微信营销、微博营销及数据分析提升社交媒体营销综合能力。投标现场需提供该功能软件演示。</w:t>
            </w:r>
            <w:r>
              <w:rPr>
                <w:rFonts w:ascii="宋体" w:hAnsi="宋体" w:cs="宋体"/>
                <w:sz w:val="22"/>
              </w:rPr>
              <w:br w:type="textWrapping"/>
            </w:r>
            <w:r>
              <w:rPr>
                <w:rFonts w:hint="eastAsia" w:ascii="宋体" w:hAnsi="宋体" w:cs="宋体"/>
                <w:sz w:val="22"/>
              </w:rPr>
              <w:t>5.系统内置直播营销模块，需包含直播脚本撰写、直播间装修和直播过程实施、直播管理和营销互动、数据分析，投标现场需提供该功能软件演示。</w:t>
            </w:r>
            <w:r>
              <w:rPr>
                <w:rFonts w:ascii="宋体" w:hAnsi="宋体" w:cs="宋体"/>
                <w:sz w:val="22"/>
              </w:rPr>
              <w:br w:type="textWrapping"/>
            </w:r>
            <w:r>
              <w:rPr>
                <w:rFonts w:hint="eastAsia" w:ascii="宋体" w:hAnsi="宋体" w:cs="宋体"/>
                <w:sz w:val="22"/>
              </w:rPr>
              <w:t>（1）直播规划和前期准备，撰写整场直播脚本，编写直播预告文案，制作和发布直播预告；</w:t>
            </w:r>
            <w:r>
              <w:rPr>
                <w:rFonts w:ascii="宋体" w:hAnsi="宋体" w:cs="宋体"/>
                <w:sz w:val="22"/>
              </w:rPr>
              <w:br w:type="textWrapping"/>
            </w:r>
            <w:r>
              <w:rPr>
                <w:rFonts w:hint="eastAsia" w:ascii="宋体" w:hAnsi="宋体" w:cs="宋体"/>
                <w:sz w:val="22"/>
              </w:rPr>
              <w:t>（2）直播间装修、直播过程实施和智能主播助理设置;</w:t>
            </w:r>
            <w:r>
              <w:rPr>
                <w:rFonts w:ascii="宋体" w:hAnsi="宋体" w:cs="宋体"/>
                <w:sz w:val="22"/>
              </w:rPr>
              <w:br w:type="textWrapping"/>
            </w:r>
            <w:r>
              <w:rPr>
                <w:rFonts w:hint="eastAsia" w:ascii="宋体" w:hAnsi="宋体" w:cs="宋体"/>
                <w:sz w:val="22"/>
              </w:rPr>
              <w:t>（3）直播管理和营销活动包含设置公告、直播商品上架、秒杀设置和推送、分享抽奖、优惠券红包、倒计时红包等直播粉丝互动工具；支持粉丝互动评论和禁言。</w:t>
            </w:r>
            <w:r>
              <w:rPr>
                <w:rFonts w:ascii="宋体" w:hAnsi="宋体" w:cs="宋体"/>
                <w:sz w:val="22"/>
              </w:rPr>
              <w:br w:type="textWrapping"/>
            </w:r>
            <w:r>
              <w:rPr>
                <w:rFonts w:hint="eastAsia" w:ascii="宋体" w:hAnsi="宋体" w:cs="宋体"/>
                <w:sz w:val="22"/>
              </w:rPr>
              <w:t>（4）数据分析包含直播数据看板和分析问题，分析看板数据，回答问题和撰写分析结论。</w:t>
            </w:r>
            <w:r>
              <w:rPr>
                <w:rFonts w:ascii="宋体" w:hAnsi="宋体" w:cs="宋体"/>
                <w:sz w:val="22"/>
              </w:rPr>
              <w:br w:type="textWrapping"/>
            </w:r>
            <w:r>
              <w:rPr>
                <w:rFonts w:hint="eastAsia" w:ascii="宋体" w:hAnsi="宋体" w:cs="宋体"/>
                <w:sz w:val="22"/>
              </w:rPr>
              <w:t>6.系统内置短视频营销模块，需包含短视频营销和数据分析模块。短视频营销可开展短视频脚本撰写和优化、短视频发布、短视频管理、评论互动回复；数据分析包含视频数据看板、粉丝数据看板等及相关分析问题。</w:t>
            </w:r>
            <w:r>
              <w:rPr>
                <w:rFonts w:ascii="宋体" w:hAnsi="宋体" w:cs="宋体"/>
                <w:sz w:val="22"/>
              </w:rPr>
              <w:br w:type="textWrapping"/>
            </w:r>
            <w:r>
              <w:rPr>
                <w:rFonts w:hint="eastAsia" w:ascii="宋体" w:hAnsi="宋体" w:cs="宋体"/>
                <w:sz w:val="22"/>
              </w:rPr>
              <w:t>7.平台具有良好的数据分析功能，支持查看多种数据分析结果，查看学生的整体成绩分布图，学生能力标签，满足诊断性评价的要求。</w:t>
            </w:r>
            <w:r>
              <w:rPr>
                <w:rFonts w:ascii="宋体" w:hAnsi="宋体" w:cs="宋体"/>
                <w:sz w:val="22"/>
              </w:rPr>
              <w:br w:type="textWrapping"/>
            </w:r>
            <w:r>
              <w:rPr>
                <w:rFonts w:hint="eastAsia" w:ascii="宋体" w:hAnsi="宋体" w:cs="宋体"/>
                <w:sz w:val="22"/>
              </w:rPr>
              <w:t>8.系统内置的实训任务有明确的引导信息。需包括实训目标、实训要求、评分标准，实训步骤等内容，引导学生完成任务。</w:t>
            </w:r>
            <w:r>
              <w:rPr>
                <w:rFonts w:ascii="宋体" w:hAnsi="宋体" w:cs="宋体"/>
                <w:sz w:val="22"/>
              </w:rPr>
              <w:br w:type="textWrapping"/>
            </w:r>
            <w:r>
              <w:rPr>
                <w:rFonts w:hint="eastAsia" w:ascii="宋体" w:hAnsi="宋体" w:cs="宋体"/>
                <w:sz w:val="22"/>
              </w:rPr>
              <w:t>9.产品采用B/S结构，在硬件能满足的条件下对客户端无限制。</w:t>
            </w:r>
            <w:r>
              <w:rPr>
                <w:rFonts w:ascii="宋体" w:hAnsi="宋体" w:cs="宋体"/>
                <w:sz w:val="22"/>
              </w:rPr>
              <w:br w:type="textWrapping"/>
            </w:r>
            <w:r>
              <w:rPr>
                <w:rFonts w:hint="eastAsia" w:ascii="宋体" w:hAnsi="宋体" w:cs="宋体"/>
                <w:sz w:val="22"/>
              </w:rPr>
              <w:t>10.产品采用组件化进行开发，可按不同教学目的灵活配置实训单元。</w:t>
            </w:r>
            <w:r>
              <w:rPr>
                <w:rFonts w:ascii="宋体" w:hAnsi="宋体" w:cs="宋体"/>
                <w:sz w:val="22"/>
              </w:rPr>
              <w:br w:type="textWrapping"/>
            </w:r>
            <w:r>
              <w:rPr>
                <w:rFonts w:hint="eastAsia" w:ascii="宋体" w:hAnsi="宋体" w:cs="宋体"/>
                <w:sz w:val="22"/>
              </w:rPr>
              <w:t>11.产品采用异步编程提升的应用程序的吞吐量及性</w:t>
            </w:r>
            <w:r>
              <w:rPr>
                <w:rFonts w:hint="eastAsia" w:ascii="宋体" w:hAnsi="宋体" w:cs="宋体"/>
                <w:sz w:val="22"/>
              </w:rPr>
              <w:br w:type="textWrapping"/>
            </w:r>
            <w:r>
              <w:rPr>
                <w:rFonts w:hint="eastAsia" w:ascii="宋体" w:hAnsi="宋体" w:cs="宋体"/>
                <w:sz w:val="22"/>
              </w:rPr>
              <w:t>1</w:t>
            </w:r>
            <w:r>
              <w:rPr>
                <w:rFonts w:hint="eastAsia" w:ascii="宋体" w:hAnsi="宋体" w:cs="宋体"/>
                <w:sz w:val="22"/>
                <w:lang w:val="en-US" w:eastAsia="zh-CN"/>
              </w:rPr>
              <w:t>2</w:t>
            </w:r>
            <w:r>
              <w:rPr>
                <w:rFonts w:hint="eastAsia" w:ascii="宋体" w:hAnsi="宋体" w:cs="宋体"/>
                <w:sz w:val="22"/>
              </w:rPr>
              <w:t>、投标单位有校企合作经验，能提供近五年有关电子商务专业院校校企合作的合作协议扫描件并加盖公章。</w:t>
            </w:r>
            <w:r>
              <w:rPr>
                <w:rFonts w:hint="eastAsia" w:ascii="宋体" w:hAnsi="宋体" w:cs="宋体"/>
                <w:sz w:val="22"/>
              </w:rPr>
              <w:br w:type="textWrapping"/>
            </w:r>
            <w:r>
              <w:rPr>
                <w:rFonts w:hint="eastAsia" w:ascii="宋体" w:hAnsi="宋体" w:cs="宋体"/>
                <w:sz w:val="22"/>
              </w:rPr>
              <w:t>1</w:t>
            </w:r>
            <w:r>
              <w:rPr>
                <w:rFonts w:hint="eastAsia" w:ascii="宋体" w:hAnsi="宋体" w:cs="宋体"/>
                <w:sz w:val="22"/>
                <w:lang w:val="en-US" w:eastAsia="zh-CN"/>
              </w:rPr>
              <w:t>3</w:t>
            </w:r>
            <w:r>
              <w:rPr>
                <w:rFonts w:hint="eastAsia" w:ascii="宋体" w:hAnsi="宋体" w:cs="宋体"/>
                <w:sz w:val="22"/>
              </w:rPr>
              <w:t>、投标单位需提供在线信息化教学平台给使用方日常授课使用。</w:t>
            </w:r>
          </w:p>
          <w:p>
            <w:pPr>
              <w:widowControl/>
              <w:jc w:val="left"/>
              <w:rPr>
                <w:rFonts w:ascii="宋体" w:hAnsi="宋体" w:cs="宋体"/>
                <w:sz w:val="22"/>
              </w:rPr>
            </w:pPr>
            <w:r>
              <w:rPr>
                <w:rFonts w:hint="eastAsia" w:ascii="宋体" w:hAnsi="宋体" w:cs="宋体"/>
                <w:sz w:val="22"/>
              </w:rPr>
              <w:t>平台需包括课程、技能、班级三大功能。</w:t>
            </w:r>
          </w:p>
          <w:p>
            <w:pPr>
              <w:widowControl/>
              <w:jc w:val="left"/>
              <w:rPr>
                <w:rFonts w:ascii="宋体" w:hAnsi="宋体" w:cs="宋体"/>
                <w:sz w:val="22"/>
              </w:rPr>
            </w:pPr>
            <w:r>
              <w:rPr>
                <w:rFonts w:hint="eastAsia" w:ascii="宋体" w:hAnsi="宋体" w:cs="宋体"/>
                <w:sz w:val="22"/>
              </w:rPr>
              <w:t>1）课程需提供电商基础、网络营销、电商运营、移动电商、跨境电商、摄影/设计、产品/开发、能力/职业认证8大课程资源，资源包括课程列表、课程介绍、评论三部分，课程列表囊括每个课程的视频资源，课程介绍详解介绍每个课程的具体内容，评论针对每个课程内容进行 线上评论沟通。</w:t>
            </w:r>
          </w:p>
          <w:p>
            <w:pPr>
              <w:widowControl/>
              <w:jc w:val="left"/>
              <w:rPr>
                <w:rFonts w:ascii="宋体" w:hAnsi="宋体" w:cs="宋体"/>
                <w:sz w:val="22"/>
              </w:rPr>
            </w:pPr>
            <w:r>
              <w:rPr>
                <w:rFonts w:hint="eastAsia" w:ascii="宋体" w:hAnsi="宋体" w:cs="宋体"/>
                <w:sz w:val="22"/>
              </w:rPr>
              <w:t>2）技能模块需提供实训、实战、竞技、证书四部分，需提供电商基础、网络营销、电商运营、移动电商、摄影/设计、产品/开发实训6大核心课程的实训训练任务、实战任务，针对电商专业学校提供线上专项竞赛，学生可获取电子商务类专项证书。</w:t>
            </w:r>
          </w:p>
          <w:p>
            <w:pPr>
              <w:widowControl/>
              <w:jc w:val="left"/>
              <w:rPr>
                <w:rFonts w:ascii="宋体" w:hAnsi="宋体" w:cs="宋体"/>
                <w:sz w:val="22"/>
              </w:rPr>
            </w:pPr>
            <w:r>
              <w:rPr>
                <w:rFonts w:hint="eastAsia" w:ascii="宋体" w:hAnsi="宋体" w:cs="宋体"/>
                <w:sz w:val="22"/>
              </w:rPr>
              <w:t>3）班级模块中需包括课程、作业、测验、资料、公告、考勤、讨论等，辅助教师进行信息化教学。</w:t>
            </w:r>
            <w:r>
              <w:rPr>
                <w:rFonts w:hint="eastAsia" w:ascii="宋体" w:hAnsi="宋体" w:cs="宋体"/>
                <w:sz w:val="22"/>
              </w:rPr>
              <w:br w:type="textWrapping"/>
            </w:r>
            <w:r>
              <w:rPr>
                <w:rFonts w:hint="eastAsia" w:ascii="宋体" w:hAnsi="宋体" w:cs="宋体"/>
                <w:sz w:val="22"/>
              </w:rPr>
              <w:t>二、功能模块：</w:t>
            </w:r>
            <w:r>
              <w:rPr>
                <w:rFonts w:ascii="宋体" w:hAnsi="宋体" w:cs="宋体"/>
                <w:sz w:val="22"/>
              </w:rPr>
              <w:br w:type="textWrapping"/>
            </w:r>
            <w:r>
              <w:rPr>
                <w:rFonts w:hint="eastAsia" w:ascii="宋体" w:hAnsi="宋体" w:cs="宋体"/>
                <w:sz w:val="22"/>
              </w:rPr>
              <w:t>（一）教师端：</w:t>
            </w:r>
            <w:r>
              <w:rPr>
                <w:rFonts w:ascii="宋体" w:hAnsi="宋体" w:cs="宋体"/>
                <w:sz w:val="22"/>
              </w:rPr>
              <w:br w:type="textWrapping"/>
            </w:r>
            <w:r>
              <w:rPr>
                <w:rFonts w:hint="eastAsia" w:ascii="宋体" w:hAnsi="宋体" w:cs="宋体"/>
                <w:sz w:val="22"/>
              </w:rPr>
              <w:t>1.班级管理</w:t>
            </w:r>
            <w:r>
              <w:rPr>
                <w:rFonts w:ascii="宋体" w:hAnsi="宋体" w:cs="宋体"/>
                <w:sz w:val="22"/>
              </w:rPr>
              <w:br w:type="textWrapping"/>
            </w:r>
            <w:r>
              <w:rPr>
                <w:rFonts w:hint="eastAsia" w:ascii="宋体" w:hAnsi="宋体" w:cs="宋体"/>
                <w:sz w:val="22"/>
              </w:rPr>
              <w:t>2.实训管理</w:t>
            </w:r>
            <w:r>
              <w:rPr>
                <w:rFonts w:ascii="宋体" w:hAnsi="宋体" w:cs="宋体"/>
                <w:sz w:val="22"/>
              </w:rPr>
              <w:br w:type="textWrapping"/>
            </w:r>
            <w:r>
              <w:rPr>
                <w:rFonts w:hint="eastAsia" w:ascii="宋体" w:hAnsi="宋体" w:cs="宋体"/>
                <w:sz w:val="22"/>
              </w:rPr>
              <w:t>3.资源管理</w:t>
            </w:r>
            <w:r>
              <w:rPr>
                <w:rFonts w:ascii="宋体" w:hAnsi="宋体" w:cs="宋体"/>
                <w:sz w:val="22"/>
              </w:rPr>
              <w:br w:type="textWrapping"/>
            </w:r>
            <w:r>
              <w:rPr>
                <w:rFonts w:hint="eastAsia" w:ascii="宋体" w:hAnsi="宋体" w:cs="宋体"/>
                <w:sz w:val="22"/>
              </w:rPr>
              <w:t xml:space="preserve">（二）管理员端： </w:t>
            </w:r>
            <w:r>
              <w:rPr>
                <w:rFonts w:ascii="宋体" w:hAnsi="宋体" w:cs="宋体"/>
                <w:sz w:val="22"/>
              </w:rPr>
              <w:br w:type="textWrapping"/>
            </w:r>
            <w:r>
              <w:rPr>
                <w:rFonts w:hint="eastAsia" w:ascii="宋体" w:hAnsi="宋体" w:cs="宋体"/>
                <w:sz w:val="22"/>
              </w:rPr>
              <w:t>1.系统管理</w:t>
            </w:r>
          </w:p>
          <w:p>
            <w:pPr>
              <w:widowControl/>
              <w:jc w:val="left"/>
              <w:rPr>
                <w:rFonts w:ascii="宋体" w:hAnsi="宋体" w:cs="宋体"/>
                <w:sz w:val="22"/>
              </w:rPr>
            </w:pPr>
            <w:r>
              <w:rPr>
                <w:rFonts w:hint="eastAsia" w:ascii="宋体" w:hAnsi="宋体" w:cs="宋体"/>
                <w:sz w:val="22"/>
              </w:rPr>
              <w:t>2.教师管理</w:t>
            </w:r>
          </w:p>
          <w:p>
            <w:pPr>
              <w:widowControl/>
              <w:jc w:val="left"/>
              <w:rPr>
                <w:rFonts w:ascii="宋体" w:hAnsi="宋体" w:cs="宋体"/>
                <w:sz w:val="22"/>
              </w:rPr>
            </w:pPr>
            <w:r>
              <w:rPr>
                <w:rFonts w:hint="eastAsia" w:ascii="宋体" w:hAnsi="宋体" w:cs="宋体"/>
                <w:sz w:val="22"/>
              </w:rPr>
              <w:t>（三）学生端：</w:t>
            </w:r>
            <w:r>
              <w:rPr>
                <w:rFonts w:ascii="宋体" w:hAnsi="宋体" w:cs="宋体"/>
                <w:sz w:val="22"/>
              </w:rPr>
              <w:br w:type="textWrapping"/>
            </w:r>
            <w:r>
              <w:rPr>
                <w:rFonts w:hint="eastAsia" w:ascii="宋体" w:hAnsi="宋体" w:cs="宋体"/>
                <w:sz w:val="22"/>
              </w:rPr>
              <w:t>1.网店日常运营</w:t>
            </w:r>
          </w:p>
          <w:p>
            <w:pPr>
              <w:widowControl/>
              <w:jc w:val="left"/>
              <w:rPr>
                <w:rFonts w:ascii="宋体" w:hAnsi="宋体" w:cs="宋体"/>
                <w:sz w:val="22"/>
              </w:rPr>
            </w:pPr>
            <w:r>
              <w:rPr>
                <w:rFonts w:hint="eastAsia" w:ascii="宋体" w:hAnsi="宋体" w:cs="宋体"/>
                <w:sz w:val="22"/>
              </w:rPr>
              <w:t>2.农产品客户服务</w:t>
            </w:r>
          </w:p>
          <w:p>
            <w:pPr>
              <w:widowControl/>
              <w:jc w:val="left"/>
              <w:rPr>
                <w:rFonts w:ascii="宋体" w:hAnsi="宋体" w:cs="宋体"/>
                <w:sz w:val="22"/>
              </w:rPr>
            </w:pPr>
            <w:r>
              <w:rPr>
                <w:rFonts w:hint="eastAsia" w:ascii="宋体" w:hAnsi="宋体" w:cs="宋体"/>
                <w:sz w:val="22"/>
              </w:rPr>
              <w:t>3.农产品平台营销实施</w:t>
            </w:r>
          </w:p>
          <w:p>
            <w:pPr>
              <w:widowControl/>
              <w:jc w:val="left"/>
              <w:rPr>
                <w:rFonts w:ascii="宋体" w:hAnsi="宋体" w:cs="宋体"/>
                <w:sz w:val="22"/>
              </w:rPr>
            </w:pPr>
            <w:r>
              <w:rPr>
                <w:rFonts w:hint="eastAsia" w:ascii="宋体" w:hAnsi="宋体" w:cs="宋体"/>
                <w:sz w:val="22"/>
              </w:rPr>
              <w:t>4.农产品社交媒体营销</w:t>
            </w:r>
          </w:p>
          <w:p>
            <w:pPr>
              <w:widowControl/>
              <w:jc w:val="left"/>
              <w:rPr>
                <w:rFonts w:ascii="宋体" w:hAnsi="宋体" w:cs="宋体"/>
                <w:sz w:val="22"/>
              </w:rPr>
            </w:pPr>
            <w:r>
              <w:rPr>
                <w:rFonts w:hint="eastAsia" w:ascii="宋体" w:hAnsi="宋体" w:cs="宋体"/>
                <w:sz w:val="22"/>
              </w:rPr>
              <w:t>5.农产品直播营销</w:t>
            </w:r>
          </w:p>
          <w:p>
            <w:pPr>
              <w:widowControl/>
              <w:jc w:val="left"/>
              <w:rPr>
                <w:rFonts w:ascii="宋体" w:hAnsi="宋体" w:cs="宋体"/>
                <w:sz w:val="22"/>
              </w:rPr>
            </w:pPr>
            <w:r>
              <w:rPr>
                <w:rFonts w:hint="eastAsia" w:ascii="宋体" w:hAnsi="宋体" w:cs="宋体"/>
                <w:sz w:val="22"/>
              </w:rPr>
              <w:t>6.农产品短视频营销</w:t>
            </w:r>
          </w:p>
        </w:tc>
        <w:tc>
          <w:tcPr>
            <w:tcW w:w="6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sz w:val="22"/>
              </w:rPr>
            </w:pPr>
            <w:r>
              <w:rPr>
                <w:rFonts w:hint="eastAsia" w:ascii="宋体" w:hAnsi="宋体" w:cs="宋体"/>
                <w:sz w:val="22"/>
              </w:rPr>
              <w:t>套</w:t>
            </w:r>
          </w:p>
        </w:tc>
      </w:tr>
      <w:tr>
        <w:tblPrEx>
          <w:tblCellMar>
            <w:top w:w="0" w:type="dxa"/>
            <w:left w:w="108" w:type="dxa"/>
            <w:bottom w:w="0" w:type="dxa"/>
            <w:right w:w="108" w:type="dxa"/>
          </w:tblCellMar>
        </w:tblPrEx>
        <w:trPr>
          <w:trHeight w:val="600" w:hRule="atLeast"/>
        </w:trPr>
        <w:tc>
          <w:tcPr>
            <w:tcW w:w="598" w:type="dxa"/>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宋体" w:hAnsi="宋体" w:cs="宋体"/>
                <w:sz w:val="22"/>
              </w:rPr>
            </w:pPr>
          </w:p>
        </w:tc>
        <w:tc>
          <w:tcPr>
            <w:tcW w:w="949" w:type="dxa"/>
            <w:vMerge w:val="continue"/>
            <w:tcBorders>
              <w:top w:val="single" w:color="auto" w:sz="4" w:space="0"/>
              <w:left w:val="single" w:color="000000" w:sz="4" w:space="0"/>
              <w:right w:val="single" w:color="000000" w:sz="4" w:space="0"/>
            </w:tcBorders>
            <w:noWrap w:val="0"/>
            <w:vAlign w:val="center"/>
          </w:tcPr>
          <w:p>
            <w:pPr>
              <w:widowControl/>
              <w:jc w:val="center"/>
              <w:rPr>
                <w:rFonts w:ascii="宋体" w:hAnsi="宋体" w:cs="宋体"/>
                <w:b/>
                <w:sz w:val="22"/>
              </w:rPr>
            </w:pPr>
          </w:p>
        </w:tc>
        <w:tc>
          <w:tcPr>
            <w:tcW w:w="1110" w:type="dxa"/>
            <w:tcBorders>
              <w:top w:val="single" w:color="auto"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b/>
                <w:bCs/>
              </w:rPr>
              <w:t>配套服务</w:t>
            </w:r>
          </w:p>
        </w:tc>
        <w:tc>
          <w:tcPr>
            <w:tcW w:w="5110" w:type="dxa"/>
            <w:tcBorders>
              <w:top w:val="single" w:color="auto" w:sz="4" w:space="0"/>
              <w:left w:val="single" w:color="000000" w:sz="4" w:space="0"/>
              <w:bottom w:val="single" w:color="000000" w:sz="4" w:space="0"/>
              <w:right w:val="single" w:color="000000" w:sz="4" w:space="0"/>
            </w:tcBorders>
            <w:noWrap w:val="0"/>
            <w:vAlign w:val="center"/>
          </w:tcPr>
          <w:p>
            <w:pPr>
              <w:widowControl/>
              <w:jc w:val="left"/>
            </w:pPr>
            <w:r>
              <w:rPr>
                <w:rFonts w:hint="eastAsia"/>
              </w:rPr>
              <w:t>▲1、投标单位为使用方电子商务团队教师提供农产品电商、电子商务数据分析、跨境电子商务、新媒体营销线上或线下的师资培训服务，不少于10人次，需提供相关师资培训佐证材料及承诺。</w:t>
            </w:r>
            <w:r>
              <w:rPr>
                <w:rFonts w:hint="eastAsia"/>
              </w:rPr>
              <w:br w:type="textWrapping"/>
            </w:r>
            <w:r>
              <w:rPr>
                <w:rFonts w:hint="eastAsia"/>
              </w:rPr>
              <w:t>▲2、投标单位为使用方提供农产品电商教学资源1套，教学课件PPT不少于20个，视频不少于100个，实训任务不少于30个，模块习题不少于5个，教学设计不少于1套，投标文件中提供相关配套资源截图并加盖公章。</w:t>
            </w:r>
          </w:p>
          <w:p>
            <w:pPr>
              <w:widowControl/>
              <w:jc w:val="left"/>
            </w:pPr>
            <w:r>
              <w:rPr>
                <w:rFonts w:hint="eastAsia"/>
              </w:rPr>
              <w:t>▲3、投标单位协助使用方进行联合授课，围绕《农产品电商运营》不少于24个课时的企业讲师驻校授课，提供佐证材料</w:t>
            </w:r>
            <w:r>
              <w:rPr>
                <w:rFonts w:hint="eastAsia"/>
                <w:color w:val="FF0000"/>
              </w:rPr>
              <w:t>（包括但不限于以往合作协议等）</w:t>
            </w:r>
            <w:r>
              <w:rPr>
                <w:rFonts w:hint="eastAsia"/>
              </w:rPr>
              <w:t>及承诺</w:t>
            </w:r>
            <w:r>
              <w:rPr>
                <w:rFonts w:hint="eastAsia"/>
                <w:color w:val="FF0000"/>
              </w:rPr>
              <w:t>（提供承诺书）</w:t>
            </w:r>
            <w:r>
              <w:rPr>
                <w:rFonts w:hint="eastAsia"/>
              </w:rPr>
              <w:t>。</w:t>
            </w:r>
          </w:p>
          <w:p>
            <w:pPr>
              <w:widowControl/>
              <w:jc w:val="left"/>
            </w:pPr>
            <w:r>
              <w:rPr>
                <w:rFonts w:hint="eastAsia"/>
              </w:rPr>
              <w:t>▲4、投标单位与使用方共建产业学院，促进学校电子商务专业学科建设、人才培养和企业技术进步、人力资源优化，共同为电子商务应用型人才培养与区域经济发展做出贡献，提供佐证材料</w:t>
            </w:r>
            <w:r>
              <w:rPr>
                <w:rFonts w:hint="eastAsia"/>
                <w:color w:val="FF0000"/>
              </w:rPr>
              <w:t>（包括但不限于以往合作协议等）</w:t>
            </w:r>
            <w:r>
              <w:rPr>
                <w:rFonts w:hint="eastAsia"/>
              </w:rPr>
              <w:t>及承诺</w:t>
            </w:r>
            <w:r>
              <w:rPr>
                <w:rFonts w:hint="eastAsia"/>
                <w:color w:val="FF0000"/>
              </w:rPr>
              <w:t>（提供承诺书）</w:t>
            </w:r>
            <w:r>
              <w:rPr>
                <w:rFonts w:hint="eastAsia"/>
              </w:rPr>
              <w:t>。</w:t>
            </w:r>
          </w:p>
          <w:p>
            <w:pPr>
              <w:widowControl/>
              <w:jc w:val="left"/>
            </w:pPr>
            <w:r>
              <w:rPr>
                <w:rFonts w:hint="eastAsia"/>
              </w:rPr>
              <w:t>▲5、投标单位协助使用方进行开发电子商务师资源包及题库，提供佐证材料</w:t>
            </w:r>
            <w:r>
              <w:rPr>
                <w:rFonts w:hint="eastAsia"/>
                <w:color w:val="FF0000"/>
              </w:rPr>
              <w:t>（包括但不限于以往合作协议等）</w:t>
            </w:r>
            <w:r>
              <w:rPr>
                <w:rFonts w:hint="eastAsia"/>
              </w:rPr>
              <w:t>及承诺</w:t>
            </w:r>
            <w:r>
              <w:rPr>
                <w:rFonts w:hint="eastAsia"/>
                <w:color w:val="FF0000"/>
              </w:rPr>
              <w:t>（提供承诺书）</w:t>
            </w:r>
            <w:r>
              <w:rPr>
                <w:rFonts w:hint="eastAsia"/>
              </w:rPr>
              <w:t>。</w:t>
            </w:r>
          </w:p>
          <w:p>
            <w:pPr>
              <w:widowControl/>
              <w:jc w:val="left"/>
              <w:rPr>
                <w:color w:val="FF0000"/>
              </w:rPr>
            </w:pPr>
            <w:r>
              <w:rPr>
                <w:rFonts w:hint="eastAsia"/>
                <w:color w:val="FF0000"/>
              </w:rPr>
              <w:t>▲</w:t>
            </w:r>
            <w:r>
              <w:rPr>
                <w:color w:val="FF0000"/>
              </w:rPr>
              <w:t>6</w:t>
            </w:r>
            <w:r>
              <w:rPr>
                <w:rFonts w:hint="eastAsia"/>
                <w:color w:val="FF0000"/>
              </w:rPr>
              <w:t xml:space="preserve">、投标单位需提供软件著作权证书扫描件； </w:t>
            </w:r>
          </w:p>
          <w:p>
            <w:pPr>
              <w:pStyle w:val="2"/>
              <w:ind w:left="0" w:leftChars="0" w:firstLine="0" w:firstLineChars="0"/>
              <w:rPr>
                <w:rFonts w:hint="eastAsia"/>
              </w:rPr>
            </w:pPr>
            <w:r>
              <w:rPr>
                <w:rFonts w:hint="eastAsia"/>
                <w:color w:val="FF0000"/>
              </w:rPr>
              <w:t>▲</w:t>
            </w:r>
            <w:r>
              <w:rPr>
                <w:color w:val="FF0000"/>
              </w:rPr>
              <w:t>7</w:t>
            </w:r>
            <w:r>
              <w:rPr>
                <w:rFonts w:hint="eastAsia"/>
                <w:color w:val="FF0000"/>
              </w:rPr>
              <w:t>、投标单位对所提供的软件提供技术支持，同时提供免费售后服务专线；</w:t>
            </w:r>
          </w:p>
        </w:tc>
        <w:tc>
          <w:tcPr>
            <w:tcW w:w="679" w:type="dxa"/>
            <w:vMerge w:val="continue"/>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p>
        </w:tc>
        <w:tc>
          <w:tcPr>
            <w:tcW w:w="709" w:type="dxa"/>
            <w:vMerge w:val="continue"/>
            <w:tcBorders>
              <w:top w:val="single" w:color="auto" w:sz="4" w:space="0"/>
              <w:left w:val="single" w:color="000000" w:sz="4" w:space="0"/>
              <w:bottom w:val="single" w:color="000000" w:sz="4" w:space="0"/>
              <w:right w:val="single" w:color="auto" w:sz="4" w:space="0"/>
            </w:tcBorders>
            <w:noWrap w:val="0"/>
            <w:vAlign w:val="center"/>
          </w:tcPr>
          <w:p>
            <w:pPr>
              <w:widowControl/>
              <w:jc w:val="center"/>
              <w:rPr>
                <w:rFonts w:ascii="宋体" w:hAnsi="宋体" w:cs="宋体"/>
                <w:sz w:val="22"/>
              </w:rPr>
            </w:pP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t>演讲台</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1</w:t>
            </w:r>
            <w:r>
              <w:t>.桌板尺寸：</w:t>
            </w:r>
            <w:r>
              <w:rPr>
                <w:rFonts w:hint="eastAsia"/>
              </w:rPr>
              <w:t>≥</w:t>
            </w:r>
            <w:r>
              <w:t>700*520*15mm</w:t>
            </w:r>
          </w:p>
          <w:p>
            <w:pPr>
              <w:widowControl/>
              <w:jc w:val="left"/>
            </w:pPr>
            <w:r>
              <w:rPr>
                <w:rFonts w:hint="eastAsia"/>
              </w:rPr>
              <w:t>2</w:t>
            </w:r>
            <w:r>
              <w:t>.升降高度：720-1050mm</w:t>
            </w:r>
          </w:p>
          <w:p>
            <w:pPr>
              <w:widowControl/>
              <w:jc w:val="left"/>
            </w:pPr>
            <w:r>
              <w:rPr>
                <w:rFonts w:hint="eastAsia"/>
              </w:rPr>
              <w:t>3</w:t>
            </w:r>
            <w:r>
              <w:t>.承重范围：</w:t>
            </w:r>
            <w:r>
              <w:rPr>
                <w:rFonts w:hint="eastAsia"/>
              </w:rPr>
              <w:t>≥</w:t>
            </w:r>
            <w:r>
              <w:t>10KG</w:t>
            </w:r>
          </w:p>
          <w:p>
            <w:pPr>
              <w:widowControl/>
              <w:jc w:val="left"/>
            </w:pPr>
            <w:r>
              <w:rPr>
                <w:rFonts w:hint="eastAsia"/>
              </w:rPr>
              <w:t>4</w:t>
            </w:r>
            <w:r>
              <w:t>.台面材质：</w:t>
            </w:r>
            <w:r>
              <w:rPr>
                <w:rFonts w:hint="eastAsia"/>
              </w:rPr>
              <w:t>≥</w:t>
            </w:r>
            <w:r>
              <w:t>15mm密度板</w:t>
            </w:r>
          </w:p>
          <w:p>
            <w:pPr>
              <w:widowControl/>
              <w:jc w:val="left"/>
            </w:pPr>
            <w:r>
              <w:rPr>
                <w:rFonts w:hint="eastAsia"/>
              </w:rPr>
              <w:t>5</w:t>
            </w:r>
            <w:r>
              <w:t>.桌架材质：铝合金</w:t>
            </w:r>
          </w:p>
          <w:p>
            <w:pPr>
              <w:widowControl/>
              <w:jc w:val="left"/>
            </w:pPr>
            <w:r>
              <w:rPr>
                <w:rFonts w:hint="eastAsia"/>
              </w:rPr>
              <w:t>6</w:t>
            </w:r>
            <w:r>
              <w:t>.驱动方式：气动</w:t>
            </w:r>
          </w:p>
          <w:p>
            <w:pPr>
              <w:widowControl/>
              <w:jc w:val="left"/>
            </w:pPr>
            <w:r>
              <w:rPr>
                <w:rFonts w:hint="eastAsia"/>
              </w:rPr>
              <w:t>7</w:t>
            </w:r>
            <w:r>
              <w:t>.调节方式：手动</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运营主机</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t>一、主机参数</w:t>
            </w:r>
          </w:p>
          <w:p>
            <w:pPr>
              <w:widowControl/>
              <w:jc w:val="left"/>
            </w:pPr>
            <w:r>
              <w:t>1.CPU：英特尔® 酷睿™ i5-10500</w:t>
            </w:r>
            <w:r>
              <w:rPr>
                <w:rFonts w:hint="eastAsia"/>
              </w:rPr>
              <w:t>及以上</w:t>
            </w:r>
            <w:r>
              <w:t xml:space="preserve">, </w:t>
            </w:r>
          </w:p>
          <w:p>
            <w:pPr>
              <w:widowControl/>
              <w:jc w:val="left"/>
            </w:pPr>
            <w:r>
              <w:t>2.内存：</w:t>
            </w:r>
            <w:r>
              <w:rPr>
                <w:rFonts w:hint="eastAsia"/>
              </w:rPr>
              <w:t>≥</w:t>
            </w:r>
            <w:r>
              <w:t>16G , 最大内存容量为64 GB</w:t>
            </w:r>
          </w:p>
          <w:p>
            <w:pPr>
              <w:widowControl/>
              <w:jc w:val="left"/>
            </w:pPr>
            <w:r>
              <w:t>3.硬盘：256GB M.2 SSD</w:t>
            </w:r>
            <w:r>
              <w:rPr>
                <w:rFonts w:hint="eastAsia"/>
              </w:rPr>
              <w:t>及以上</w:t>
            </w:r>
            <w:r>
              <w:t>固态硬盘</w:t>
            </w:r>
          </w:p>
          <w:p>
            <w:pPr>
              <w:widowControl/>
              <w:jc w:val="left"/>
            </w:pPr>
            <w:r>
              <w:t>4.显卡：</w:t>
            </w:r>
            <w:r>
              <w:rPr>
                <w:rFonts w:hint="eastAsia"/>
              </w:rPr>
              <w:t>≥</w:t>
            </w:r>
            <w:r>
              <w:t>2G独显</w:t>
            </w:r>
          </w:p>
          <w:p>
            <w:pPr>
              <w:widowControl/>
              <w:jc w:val="left"/>
            </w:pPr>
            <w:r>
              <w:t>5.网卡：千兆网卡</w:t>
            </w:r>
          </w:p>
          <w:p>
            <w:pPr>
              <w:widowControl/>
              <w:jc w:val="left"/>
            </w:pPr>
            <w:r>
              <w:t>6.I/O 接口：不少于4个USB接口</w:t>
            </w:r>
          </w:p>
          <w:p>
            <w:pPr>
              <w:widowControl/>
              <w:jc w:val="left"/>
            </w:pPr>
            <w:r>
              <w:t>7.扩展槽：≥1 个全高 PCIe x16 插槽 、≥1 个全高 PCIe x1 插槽 、≥1个全高 PCI 插槽、≥1 个用于 WiFi 和蓝牙卡的 M.2 2230 插槽</w:t>
            </w:r>
          </w:p>
          <w:p>
            <w:pPr>
              <w:widowControl/>
              <w:jc w:val="left"/>
            </w:pPr>
            <w:r>
              <w:t>8.机箱：塔式机箱</w:t>
            </w:r>
          </w:p>
          <w:p>
            <w:pPr>
              <w:widowControl/>
              <w:jc w:val="left"/>
            </w:pPr>
            <w:r>
              <w:t>9.电源：电源≥260W，带电源故障指示灯</w:t>
            </w:r>
          </w:p>
          <w:p>
            <w:pPr>
              <w:widowControl/>
              <w:jc w:val="left"/>
            </w:pPr>
            <w:r>
              <w:t>10.键鼠：USB键盘和鼠标</w:t>
            </w:r>
          </w:p>
          <w:p>
            <w:pPr>
              <w:widowControl/>
              <w:jc w:val="left"/>
            </w:pPr>
            <w:r>
              <w:t>11.显示器：≥21.5英寸LED背光显示器,带DP和VGA接口，低蓝光认证显示器,与主机同一品牌，随主机保修。</w:t>
            </w:r>
          </w:p>
          <w:p>
            <w:pPr>
              <w:widowControl/>
              <w:jc w:val="left"/>
            </w:pPr>
            <w:r>
              <w:t>1</w:t>
            </w:r>
            <w:r>
              <w:rPr>
                <w:rFonts w:hint="eastAsia"/>
              </w:rPr>
              <w:t>2</w:t>
            </w:r>
            <w:r>
              <w:t>.服务：整机三年免费保修、三年免费上门服务。</w:t>
            </w:r>
          </w:p>
          <w:p>
            <w:pPr>
              <w:widowControl/>
              <w:jc w:val="left"/>
            </w:pPr>
            <w:r>
              <w:t>二、配套还原管理软件参数：</w:t>
            </w:r>
          </w:p>
          <w:p>
            <w:pPr>
              <w:widowControl/>
              <w:jc w:val="left"/>
            </w:pPr>
            <w:r>
              <w:t>1.安装部署方便，支持自定义一键安装；支持多个操作系统安装。</w:t>
            </w:r>
          </w:p>
          <w:p>
            <w:pPr>
              <w:widowControl/>
              <w:jc w:val="left"/>
            </w:pPr>
            <w:r>
              <w:t>2.可对大于500台终端机同时进行差异数据部署。</w:t>
            </w:r>
          </w:p>
          <w:p>
            <w:pPr>
              <w:widowControl/>
              <w:jc w:val="left"/>
              <w:rPr>
                <w:rFonts w:ascii="宋体" w:hAnsi="宋体" w:cs="宋体"/>
                <w:strike/>
                <w:color w:val="FF0000"/>
                <w:sz w:val="22"/>
              </w:rPr>
            </w:pPr>
            <w:r>
              <w:t>▲3.支持保护分区的某一目录与不保护分区或外插U盘、硬盘进行自动/定时同步；同步文件可以按照后缀名等规则进行过滤；文件重命名、删除也可以进行同步；支持单双向同步；支持指定保护分区数据文件不还原，指定重要文件夹加密锁定/解锁设置；</w:t>
            </w:r>
          </w:p>
          <w:p>
            <w:pPr>
              <w:widowControl/>
              <w:jc w:val="left"/>
              <w:rPr>
                <w:rFonts w:ascii="宋体" w:hAnsi="宋体" w:cs="宋体"/>
                <w:strike/>
                <w:color w:val="FF0000"/>
                <w:sz w:val="22"/>
              </w:rPr>
            </w:pPr>
            <w:r>
              <w:t>▲4.按照教学实际需求，可设定计划任务，在指定的时间点自动切换到指定的还原点，且支持离线任务；针对内网的应用，可无缝对接WSUS实现操作系统补丁包的过滤与更新，保证内网的安全；</w:t>
            </w:r>
          </w:p>
          <w:p>
            <w:pPr>
              <w:widowControl/>
              <w:jc w:val="left"/>
            </w:pPr>
            <w:r>
              <w:t xml:space="preserve">5.主控端网络侦测功能支持检测网卡、网线、交换机网口的故障；在硬盘全盘保护的情况下，可以自动侦测软件安装及文件、文件夹数据变动提醒用户保存当前状态。 </w:t>
            </w:r>
          </w:p>
          <w:p>
            <w:pPr>
              <w:widowControl/>
              <w:jc w:val="left"/>
            </w:pPr>
            <w:r>
              <w:t>▲6.支持机房节能，帮助机房省电：</w:t>
            </w:r>
          </w:p>
          <w:p>
            <w:pPr>
              <w:widowControl/>
              <w:jc w:val="left"/>
            </w:pPr>
            <w:r>
              <w:t>&lt;1&gt;管理端可设定客户端在多久时间没操作后自动关闭显示器、自动进入待机状态、自动关机；</w:t>
            </w:r>
          </w:p>
          <w:p>
            <w:pPr>
              <w:widowControl/>
              <w:jc w:val="left"/>
            </w:pPr>
            <w:r>
              <w:t>&lt;2&gt;管理端可设定允许客户端每天开机的时段、一周中哪几天开机等；</w:t>
            </w:r>
          </w:p>
          <w:p>
            <w:pPr>
              <w:widowControl/>
              <w:jc w:val="left"/>
            </w:pPr>
            <w:r>
              <w:t>&lt;3&gt;根据预先设定费率生成能源使用报告，精确掌握节省的电费；</w:t>
            </w:r>
          </w:p>
          <w:p>
            <w:pPr>
              <w:widowControl/>
              <w:jc w:val="left"/>
            </w:pPr>
            <w:r>
              <w:t>7.支持网络同传与增量同传，支持同传限速以不影响正常的教学活动；支持备份型还原；支持主控端批量化管理功能。</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10</w:t>
            </w:r>
            <w: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音箱</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1.频响：70Hz~20KHz</w:t>
            </w:r>
          </w:p>
          <w:p>
            <w:pPr>
              <w:widowControl/>
              <w:jc w:val="left"/>
              <w:rPr>
                <w:rFonts w:ascii="宋体" w:hAnsi="宋体" w:cs="宋体"/>
                <w:sz w:val="22"/>
              </w:rPr>
            </w:pPr>
            <w:r>
              <w:rPr>
                <w:rFonts w:ascii="宋体" w:hAnsi="宋体" w:cs="宋体"/>
                <w:sz w:val="22"/>
              </w:rPr>
              <w:t>2.额定功率：</w:t>
            </w:r>
            <w:r>
              <w:rPr>
                <w:rFonts w:hint="eastAsia"/>
              </w:rPr>
              <w:t>≥</w:t>
            </w:r>
            <w:r>
              <w:rPr>
                <w:rFonts w:ascii="宋体" w:hAnsi="宋体" w:cs="宋体"/>
                <w:sz w:val="22"/>
              </w:rPr>
              <w:t>120W</w:t>
            </w:r>
          </w:p>
          <w:p>
            <w:pPr>
              <w:widowControl/>
              <w:jc w:val="left"/>
              <w:rPr>
                <w:rFonts w:ascii="宋体" w:hAnsi="宋体" w:cs="宋体"/>
                <w:sz w:val="22"/>
              </w:rPr>
            </w:pPr>
            <w:r>
              <w:rPr>
                <w:rFonts w:ascii="宋体" w:hAnsi="宋体" w:cs="宋体"/>
                <w:sz w:val="22"/>
              </w:rPr>
              <w:t>3.峰值功率：</w:t>
            </w:r>
            <w:r>
              <w:rPr>
                <w:rFonts w:hint="eastAsia"/>
              </w:rPr>
              <w:t>≥</w:t>
            </w:r>
            <w:r>
              <w:rPr>
                <w:rFonts w:ascii="宋体" w:hAnsi="宋体" w:cs="宋体"/>
                <w:sz w:val="22"/>
              </w:rPr>
              <w:t>480W</w:t>
            </w:r>
          </w:p>
          <w:p>
            <w:pPr>
              <w:widowControl/>
              <w:jc w:val="left"/>
              <w:rPr>
                <w:rFonts w:ascii="宋体" w:hAnsi="宋体" w:cs="宋体"/>
                <w:sz w:val="22"/>
              </w:rPr>
            </w:pPr>
            <w:r>
              <w:rPr>
                <w:rFonts w:ascii="宋体" w:hAnsi="宋体" w:cs="宋体"/>
                <w:sz w:val="22"/>
              </w:rPr>
              <w:t>4.灵敏度：</w:t>
            </w:r>
            <w:r>
              <w:rPr>
                <w:rFonts w:hint="eastAsia"/>
              </w:rPr>
              <w:t>≥</w:t>
            </w:r>
            <w:r>
              <w:rPr>
                <w:rFonts w:ascii="宋体" w:hAnsi="宋体" w:cs="宋体"/>
                <w:sz w:val="22"/>
              </w:rPr>
              <w:t>95dB/W/M</w:t>
            </w:r>
          </w:p>
          <w:p>
            <w:pPr>
              <w:widowControl/>
              <w:jc w:val="left"/>
              <w:rPr>
                <w:rFonts w:ascii="宋体" w:hAnsi="宋体" w:cs="宋体"/>
                <w:sz w:val="22"/>
              </w:rPr>
            </w:pPr>
            <w:r>
              <w:rPr>
                <w:rFonts w:ascii="宋体" w:hAnsi="宋体" w:cs="宋体"/>
                <w:sz w:val="22"/>
              </w:rPr>
              <w:t>5.最大声压级（额定/峰值）：117dB/122dB</w:t>
            </w:r>
          </w:p>
          <w:p>
            <w:pPr>
              <w:widowControl/>
              <w:jc w:val="left"/>
              <w:rPr>
                <w:rFonts w:ascii="宋体" w:hAnsi="宋体" w:cs="宋体"/>
                <w:sz w:val="22"/>
              </w:rPr>
            </w:pPr>
            <w:r>
              <w:rPr>
                <w:rFonts w:ascii="宋体" w:hAnsi="宋体" w:cs="宋体"/>
                <w:sz w:val="22"/>
              </w:rPr>
              <w:t>6.覆盖角度：(H)120°(V)60°</w:t>
            </w:r>
          </w:p>
          <w:p>
            <w:pPr>
              <w:widowControl/>
              <w:jc w:val="left"/>
              <w:rPr>
                <w:rFonts w:ascii="宋体" w:hAnsi="宋体" w:cs="宋体"/>
                <w:sz w:val="22"/>
              </w:rPr>
            </w:pPr>
            <w:r>
              <w:rPr>
                <w:rFonts w:ascii="宋体" w:hAnsi="宋体" w:cs="宋体"/>
                <w:sz w:val="22"/>
              </w:rPr>
              <w:t>7.高音：3"锥形高音单元×2</w:t>
            </w:r>
          </w:p>
          <w:p>
            <w:pPr>
              <w:widowControl/>
              <w:jc w:val="left"/>
              <w:rPr>
                <w:rFonts w:ascii="宋体" w:hAnsi="宋体" w:cs="宋体"/>
                <w:sz w:val="22"/>
              </w:rPr>
            </w:pPr>
            <w:r>
              <w:rPr>
                <w:rFonts w:ascii="宋体" w:hAnsi="宋体" w:cs="宋体"/>
                <w:sz w:val="22"/>
              </w:rPr>
              <w:t>8.低音：6.5"低音×1</w:t>
            </w:r>
          </w:p>
          <w:p>
            <w:pPr>
              <w:widowControl/>
              <w:jc w:val="left"/>
            </w:pPr>
            <w:r>
              <w:rPr>
                <w:rFonts w:ascii="宋体" w:hAnsi="宋体" w:cs="宋体"/>
                <w:sz w:val="22"/>
              </w:rPr>
              <w:t>9.尺寸(HxWxD)：</w:t>
            </w:r>
            <w:r>
              <w:rPr>
                <w:rFonts w:hint="eastAsia" w:ascii="宋体" w:hAnsi="宋体" w:cs="宋体"/>
                <w:sz w:val="22"/>
              </w:rPr>
              <w:t>约</w:t>
            </w:r>
            <w:r>
              <w:rPr>
                <w:rFonts w:ascii="宋体" w:hAnsi="宋体" w:cs="宋体"/>
                <w:sz w:val="22"/>
              </w:rPr>
              <w:t>215</w:t>
            </w:r>
            <w:r>
              <w:rPr>
                <w:rFonts w:hint="eastAsia" w:ascii="宋体" w:hAnsi="宋体" w:cs="宋体"/>
                <w:sz w:val="22"/>
              </w:rPr>
              <w:t>*</w:t>
            </w:r>
            <w:r>
              <w:rPr>
                <w:rFonts w:ascii="宋体" w:hAnsi="宋体" w:cs="宋体"/>
                <w:sz w:val="22"/>
              </w:rPr>
              <w:t>310</w:t>
            </w:r>
            <w:r>
              <w:rPr>
                <w:rFonts w:hint="eastAsia" w:ascii="宋体" w:hAnsi="宋体" w:cs="宋体"/>
                <w:sz w:val="22"/>
              </w:rPr>
              <w:t>*</w:t>
            </w:r>
            <w:r>
              <w:rPr>
                <w:rFonts w:ascii="宋体" w:hAnsi="宋体" w:cs="宋体"/>
                <w:sz w:val="22"/>
              </w:rPr>
              <w:t>208mm</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支</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5</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功放</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 xml:space="preserve">1.智能控制强制散热设计，风机噪音小，散热效率高等特点； </w:t>
            </w:r>
          </w:p>
          <w:p>
            <w:pPr>
              <w:widowControl/>
              <w:jc w:val="left"/>
              <w:rPr>
                <w:rFonts w:ascii="宋体" w:hAnsi="宋体" w:cs="宋体"/>
                <w:sz w:val="22"/>
              </w:rPr>
            </w:pPr>
            <w:r>
              <w:rPr>
                <w:rFonts w:ascii="宋体" w:hAnsi="宋体" w:cs="宋体"/>
                <w:sz w:val="22"/>
              </w:rPr>
              <w:t>2.两声道功放有三档输入灵敏度选择，轻松接纳宽幅度范围信号源输入；</w:t>
            </w:r>
          </w:p>
          <w:p>
            <w:pPr>
              <w:widowControl/>
              <w:jc w:val="left"/>
              <w:rPr>
                <w:rFonts w:ascii="宋体" w:hAnsi="宋体" w:cs="宋体"/>
                <w:sz w:val="22"/>
              </w:rPr>
            </w:pPr>
            <w:r>
              <w:rPr>
                <w:rFonts w:ascii="宋体" w:hAnsi="宋体" w:cs="宋体"/>
                <w:sz w:val="22"/>
              </w:rPr>
              <w:t>3.完善可靠的安全保护措施和工作状态指示（短路、过载、直流和过热保护，变压器过热保护），让用户放心使用；</w:t>
            </w:r>
          </w:p>
          <w:p>
            <w:pPr>
              <w:widowControl/>
              <w:jc w:val="left"/>
              <w:rPr>
                <w:rFonts w:ascii="宋体" w:hAnsi="宋体" w:cs="宋体"/>
                <w:sz w:val="22"/>
              </w:rPr>
            </w:pPr>
            <w:r>
              <w:rPr>
                <w:rFonts w:ascii="宋体" w:hAnsi="宋体" w:cs="宋体"/>
                <w:sz w:val="22"/>
              </w:rPr>
              <w:t xml:space="preserve">4.智能削峰限幅器，控制功率模块及扬声器系统在安全范围内工作； </w:t>
            </w:r>
          </w:p>
          <w:p>
            <w:pPr>
              <w:widowControl/>
              <w:jc w:val="left"/>
              <w:rPr>
                <w:rFonts w:ascii="宋体" w:hAnsi="宋体" w:cs="宋体"/>
                <w:sz w:val="22"/>
              </w:rPr>
            </w:pPr>
            <w:r>
              <w:rPr>
                <w:rFonts w:ascii="宋体" w:hAnsi="宋体" w:cs="宋体"/>
                <w:sz w:val="22"/>
              </w:rPr>
              <w:t xml:space="preserve">5.输出功率:立体声/并联8Ω:350W*2.立体声/并联4Ω:530W*2.桥接8Ω :1060W  </w:t>
            </w:r>
          </w:p>
          <w:p>
            <w:pPr>
              <w:widowControl/>
              <w:jc w:val="left"/>
              <w:rPr>
                <w:rFonts w:ascii="宋体" w:hAnsi="宋体" w:cs="宋体"/>
                <w:sz w:val="22"/>
              </w:rPr>
            </w:pPr>
            <w:r>
              <w:rPr>
                <w:rFonts w:ascii="宋体" w:hAnsi="宋体" w:cs="宋体"/>
                <w:sz w:val="22"/>
              </w:rPr>
              <w:t>6.信噪比:≥90dB、频响:20Hz-20KHz(+0dB/-2dB)；</w:t>
            </w:r>
          </w:p>
          <w:p>
            <w:pPr>
              <w:widowControl/>
              <w:jc w:val="left"/>
              <w:rPr>
                <w:rFonts w:ascii="宋体" w:hAnsi="宋体" w:cs="宋体"/>
                <w:sz w:val="22"/>
              </w:rPr>
            </w:pPr>
            <w:r>
              <w:rPr>
                <w:rFonts w:ascii="宋体" w:hAnsi="宋体" w:cs="宋体"/>
                <w:sz w:val="22"/>
              </w:rPr>
              <w:t>7.分离度:≥80dB、失真度:≤0.05%；</w:t>
            </w:r>
          </w:p>
          <w:p>
            <w:pPr>
              <w:widowControl/>
              <w:jc w:val="left"/>
            </w:pPr>
            <w:r>
              <w:rPr>
                <w:rFonts w:ascii="宋体" w:hAnsi="宋体" w:cs="宋体"/>
                <w:sz w:val="22"/>
              </w:rPr>
              <w:t>8.供电:~ 220V(50/60Hz</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6</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处理器</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1.支持4路平衡式话筒/线路输入通道，采用裸线接口端子，平衡接法；支持4路平衡式线路输出，采用裸线接口端子，平衡接法。</w:t>
            </w:r>
            <w:r>
              <w:br w:type="textWrapping"/>
            </w:r>
            <w:r>
              <w:rPr>
                <w:rFonts w:hint="eastAsia" w:ascii="宋体" w:hAnsi="宋体" w:cs="宋体"/>
                <w:sz w:val="22"/>
              </w:rPr>
              <w:t>2.输入通道支持前级放大、信号发生器、扩展器、压缩器、5段参量均衡、AM自动混音功能、AFC自适应反馈消除、AEC回声消除、ANC噪声消除。</w:t>
            </w:r>
            <w:r>
              <w:br w:type="textWrapping"/>
            </w:r>
            <w:r>
              <w:rPr>
                <w:rFonts w:hint="eastAsia" w:ascii="宋体" w:hAnsi="宋体" w:cs="宋体"/>
                <w:sz w:val="22"/>
              </w:rPr>
              <w:t>3.输出通道支持31段参量均衡器、延时器、分频器、高低通滤波器、限幅器。</w:t>
            </w:r>
            <w:r>
              <w:br w:type="textWrapping"/>
            </w:r>
            <w:r>
              <w:rPr>
                <w:rFonts w:hint="eastAsia" w:ascii="宋体" w:hAnsi="宋体" w:cs="宋体"/>
                <w:sz w:val="22"/>
              </w:rPr>
              <w:t>4.支持24bit/48KHz卓越的高品质声音。</w:t>
            </w:r>
            <w:r>
              <w:br w:type="textWrapping"/>
            </w:r>
            <w:r>
              <w:rPr>
                <w:rFonts w:hint="eastAsia" w:ascii="宋体" w:hAnsi="宋体" w:cs="宋体"/>
                <w:sz w:val="22"/>
              </w:rPr>
              <w:t>5.面板具备USB接口，支持多媒体存储，可进行播放或存储录播。</w:t>
            </w:r>
            <w:r>
              <w:br w:type="textWrapping"/>
            </w:r>
            <w:r>
              <w:rPr>
                <w:rFonts w:hint="eastAsia" w:ascii="宋体" w:hAnsi="宋体" w:cs="宋体"/>
                <w:sz w:val="22"/>
              </w:rPr>
              <w:t>6.配置双向RS-232接口，可用于控制外部设备；配置RS-485接口，可实现自动摄像跟踪功能。</w:t>
            </w:r>
            <w:r>
              <w:br w:type="textWrapping"/>
            </w:r>
            <w:r>
              <w:rPr>
                <w:rFonts w:hint="eastAsia" w:ascii="宋体" w:hAnsi="宋体" w:cs="宋体"/>
                <w:sz w:val="22"/>
              </w:rPr>
              <w:t>7.配置8通道可编程GPIO控制接口（可自定义输入输出）。</w:t>
            </w:r>
            <w:r>
              <w:br w:type="textWrapping"/>
            </w:r>
            <w:r>
              <w:rPr>
                <w:rFonts w:hint="eastAsia" w:ascii="宋体" w:hAnsi="宋体" w:cs="宋体"/>
                <w:sz w:val="22"/>
              </w:rPr>
              <w:t>8.支持断电自动保护记忆功能。</w:t>
            </w:r>
            <w:r>
              <w:br w:type="textWrapping"/>
            </w:r>
            <w:r>
              <w:rPr>
                <w:rFonts w:hint="eastAsia" w:ascii="宋体" w:hAnsi="宋体" w:cs="宋体"/>
                <w:sz w:val="22"/>
              </w:rPr>
              <w:t>9.Enternet多用途数据传输及控制端口，可以支持实时管理单台及多台设备。</w:t>
            </w:r>
            <w:r>
              <w:br w:type="textWrapping"/>
            </w:r>
            <w:r>
              <w:rPr>
                <w:rFonts w:hint="eastAsia" w:ascii="宋体" w:hAnsi="宋体" w:cs="宋体"/>
                <w:sz w:val="22"/>
              </w:rPr>
              <w:t>10.支持通过浏览器访问设备，下载自带管理控制软件；软件界面直观、图形化，可工作在XP/Windows7.8.10等系统环境下。</w:t>
            </w:r>
            <w:r>
              <w:br w:type="textWrapping"/>
            </w:r>
            <w:r>
              <w:rPr>
                <w:rFonts w:hint="eastAsia" w:ascii="宋体" w:hAnsi="宋体" w:cs="宋体"/>
                <w:sz w:val="22"/>
              </w:rPr>
              <w:t>11.支持iOS、iPad、Android的手机/平板APP进行操作控制。</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7</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无线话筒</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1.接收机系统采用高性能的语音压扩技术，支持平衡和非平衡两种选择输出端口；V/A显示屏在任何角度观察字体清晰，具有SCAN 自动扫频功能。自动找一个环境最干净的频点处停下来作为接收机的使用频率；接收机采用先进的PLL锁相环/微电脑CPU控制系统，兼容手动选频和红外自动对频锁定频道。</w:t>
            </w:r>
            <w:r>
              <w:br w:type="textWrapping"/>
            </w:r>
            <w:r>
              <w:rPr>
                <w:rFonts w:hint="eastAsia" w:ascii="宋体" w:hAnsi="宋体" w:cs="宋体"/>
                <w:sz w:val="22"/>
              </w:rPr>
              <w:t>2.使用640-830MHZ频段，每台接收机拥有200个可调频率，频道间隔250KHz，信号杂讯比&gt;105dB(1KHz-A)，总谐波失真≤0.5%。</w:t>
            </w:r>
            <w:r>
              <w:br w:type="textWrapping"/>
            </w:r>
            <w:r>
              <w:rPr>
                <w:rFonts w:hint="eastAsia" w:ascii="宋体" w:hAnsi="宋体" w:cs="宋体"/>
                <w:sz w:val="22"/>
              </w:rPr>
              <w:t>3.频率响应范围50Hz-18KHz、有效使用距离空旷≥50米，灵敏度等于或优于-105dBm(12dB S/N AD)。</w:t>
            </w:r>
            <w:r>
              <w:br w:type="textWrapping"/>
            </w:r>
            <w:r>
              <w:rPr>
                <w:rFonts w:hint="eastAsia" w:ascii="宋体" w:hAnsi="宋体" w:cs="宋体"/>
                <w:sz w:val="22"/>
              </w:rPr>
              <w:t>4.系统包括有一台主机+双手持无线话筒，输出功率3mW~30mW，谐波辐射&lt;-55dBc。</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套</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pPr>
            <w:r>
              <w:rPr>
                <w:rFonts w:hint="eastAsia" w:ascii="宋体" w:hAnsi="宋体" w:cs="宋体"/>
                <w:sz w:val="22"/>
              </w:rPr>
              <w:t>8</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温度控制设备</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t>1.类型：多联机，风管机一拖四</w:t>
            </w:r>
          </w:p>
          <w:p>
            <w:pPr>
              <w:widowControl/>
              <w:jc w:val="left"/>
            </w:pPr>
            <w:r>
              <w:t>2.冷暖类型：冷暖</w:t>
            </w:r>
          </w:p>
          <w:p>
            <w:pPr>
              <w:widowControl/>
              <w:jc w:val="left"/>
            </w:pPr>
            <w:r>
              <w:t>3.变频/定频：变频</w:t>
            </w:r>
          </w:p>
          <w:p>
            <w:pPr>
              <w:widowControl/>
              <w:jc w:val="left"/>
            </w:pPr>
            <w:r>
              <w:t>4.匹数：6匹</w:t>
            </w:r>
          </w:p>
          <w:p>
            <w:pPr>
              <w:widowControl/>
              <w:jc w:val="left"/>
            </w:pPr>
            <w:r>
              <w:t>5.操控方式：遥控器控制</w:t>
            </w:r>
          </w:p>
          <w:p>
            <w:pPr>
              <w:widowControl/>
              <w:jc w:val="left"/>
            </w:pPr>
            <w:r>
              <w:t>6.能效等级：一级能效</w:t>
            </w:r>
          </w:p>
          <w:p>
            <w:pPr>
              <w:widowControl/>
              <w:jc w:val="left"/>
            </w:pPr>
            <w:r>
              <w:t>7.外机尺寸</w:t>
            </w:r>
            <w:r>
              <w:rPr>
                <w:rFonts w:hint="eastAsia"/>
              </w:rPr>
              <w:t>约</w:t>
            </w:r>
            <w:r>
              <w:t>：宽1021mm；高1333mm；深417mm</w:t>
            </w:r>
          </w:p>
          <w:p>
            <w:pPr>
              <w:widowControl/>
              <w:jc w:val="left"/>
            </w:pPr>
            <w:r>
              <w:t>8.电压/频率：</w:t>
            </w:r>
            <w:r>
              <w:rPr>
                <w:rFonts w:hint="eastAsia"/>
              </w:rPr>
              <w:t>≥</w:t>
            </w:r>
            <w:r>
              <w:t>220V/50Hz</w:t>
            </w:r>
          </w:p>
          <w:p>
            <w:pPr>
              <w:widowControl/>
              <w:jc w:val="left"/>
            </w:pPr>
            <w:r>
              <w:t>9.制冷剂：</w:t>
            </w:r>
            <w:r>
              <w:rPr>
                <w:rFonts w:hint="eastAsia"/>
              </w:rPr>
              <w:t>≥</w:t>
            </w:r>
            <w:r>
              <w:t>R410a</w:t>
            </w:r>
          </w:p>
          <w:p>
            <w:pPr>
              <w:widowControl/>
              <w:jc w:val="left"/>
            </w:pPr>
            <w:r>
              <w:t>1</w:t>
            </w:r>
            <w:r>
              <w:rPr>
                <w:rFonts w:hint="eastAsia"/>
              </w:rPr>
              <w:t>0</w:t>
            </w:r>
            <w:r>
              <w:t>.制热量：</w:t>
            </w:r>
            <w:r>
              <w:rPr>
                <w:rFonts w:hint="eastAsia"/>
              </w:rPr>
              <w:t>≥</w:t>
            </w:r>
            <w:r>
              <w:t>18500W</w:t>
            </w:r>
          </w:p>
          <w:p>
            <w:pPr>
              <w:widowControl/>
              <w:jc w:val="left"/>
            </w:pPr>
            <w:r>
              <w:t>1</w:t>
            </w:r>
            <w:r>
              <w:rPr>
                <w:rFonts w:hint="eastAsia"/>
              </w:rPr>
              <w:t>1</w:t>
            </w:r>
            <w:r>
              <w:t>.外机噪音：</w:t>
            </w:r>
            <w:r>
              <w:rPr>
                <w:rFonts w:hint="eastAsia"/>
              </w:rPr>
              <w:t>≥</w:t>
            </w:r>
            <w:r>
              <w:t>56dB(A)</w:t>
            </w:r>
          </w:p>
          <w:p>
            <w:pPr>
              <w:widowControl/>
              <w:jc w:val="left"/>
            </w:pPr>
            <w:r>
              <w:t>1</w:t>
            </w:r>
            <w:r>
              <w:rPr>
                <w:rFonts w:hint="eastAsia"/>
              </w:rPr>
              <w:t>2</w:t>
            </w:r>
            <w:r>
              <w:t>.最大制冷功率：</w:t>
            </w:r>
            <w:r>
              <w:rPr>
                <w:rFonts w:hint="eastAsia"/>
              </w:rPr>
              <w:t>≥</w:t>
            </w:r>
            <w:r>
              <w:t>4300W</w:t>
            </w:r>
          </w:p>
          <w:p>
            <w:pPr>
              <w:widowControl/>
              <w:jc w:val="left"/>
            </w:pPr>
            <w:r>
              <w:t>1</w:t>
            </w:r>
            <w:r>
              <w:rPr>
                <w:rFonts w:hint="eastAsia"/>
              </w:rPr>
              <w:t>3</w:t>
            </w:r>
            <w:r>
              <w:t>.制冷量：</w:t>
            </w:r>
            <w:r>
              <w:rPr>
                <w:rFonts w:hint="eastAsia"/>
              </w:rPr>
              <w:t>≥</w:t>
            </w:r>
            <w:r>
              <w:t>16000W</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pPr>
            <w:r>
              <w:rPr>
                <w:rFonts w:hint="eastAsia"/>
              </w:rPr>
              <w:t>9</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网络机柜</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t>1.尺寸约：600*600*988mm</w:t>
            </w:r>
          </w:p>
          <w:p>
            <w:pPr>
              <w:widowControl/>
              <w:jc w:val="left"/>
            </w:pPr>
            <w:r>
              <w:rPr>
                <w:rFonts w:hint="eastAsia"/>
              </w:rPr>
              <w:t>2</w:t>
            </w:r>
            <w:r>
              <w:t>.容量：18U</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pPr>
            <w:r>
              <w:rPr>
                <w:rFonts w:hint="eastAsia"/>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10</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网络交换机1</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1.产品类型：千兆以太网交换机产品</w:t>
            </w:r>
          </w:p>
          <w:p>
            <w:pPr>
              <w:widowControl/>
              <w:jc w:val="left"/>
              <w:rPr>
                <w:rFonts w:ascii="宋体" w:hAnsi="宋体" w:cs="宋体"/>
                <w:sz w:val="22"/>
              </w:rPr>
            </w:pPr>
            <w:r>
              <w:rPr>
                <w:rFonts w:ascii="宋体" w:hAnsi="宋体" w:cs="宋体"/>
                <w:sz w:val="22"/>
              </w:rPr>
              <w:t>2.应用层级：二层</w:t>
            </w:r>
          </w:p>
          <w:p>
            <w:pPr>
              <w:widowControl/>
              <w:jc w:val="left"/>
              <w:rPr>
                <w:rFonts w:ascii="宋体" w:hAnsi="宋体" w:cs="宋体"/>
                <w:sz w:val="22"/>
              </w:rPr>
            </w:pPr>
            <w:r>
              <w:rPr>
                <w:rFonts w:ascii="宋体" w:hAnsi="宋体" w:cs="宋体"/>
                <w:sz w:val="22"/>
              </w:rPr>
              <w:t>3.传输速率：10/100/1000Mbps</w:t>
            </w:r>
          </w:p>
          <w:p>
            <w:pPr>
              <w:widowControl/>
              <w:jc w:val="left"/>
              <w:rPr>
                <w:rFonts w:ascii="宋体" w:hAnsi="宋体" w:cs="宋体"/>
                <w:sz w:val="22"/>
              </w:rPr>
            </w:pPr>
            <w:r>
              <w:rPr>
                <w:rFonts w:ascii="宋体" w:hAnsi="宋体" w:cs="宋体"/>
                <w:sz w:val="22"/>
              </w:rPr>
              <w:t>4.交换方式：存储-转发</w:t>
            </w:r>
          </w:p>
          <w:p>
            <w:pPr>
              <w:widowControl/>
              <w:jc w:val="left"/>
              <w:rPr>
                <w:rFonts w:ascii="宋体" w:hAnsi="宋体" w:cs="宋体"/>
                <w:sz w:val="22"/>
              </w:rPr>
            </w:pPr>
            <w:r>
              <w:rPr>
                <w:rFonts w:ascii="宋体" w:hAnsi="宋体" w:cs="宋体"/>
                <w:sz w:val="22"/>
              </w:rPr>
              <w:t>5.背板带宽：336Gbps/3.36Tbps</w:t>
            </w:r>
          </w:p>
          <w:p>
            <w:pPr>
              <w:widowControl/>
              <w:jc w:val="left"/>
              <w:rPr>
                <w:rFonts w:ascii="宋体" w:hAnsi="宋体" w:cs="宋体"/>
                <w:sz w:val="22"/>
              </w:rPr>
            </w:pPr>
            <w:r>
              <w:rPr>
                <w:rFonts w:ascii="宋体" w:hAnsi="宋体" w:cs="宋体"/>
                <w:sz w:val="22"/>
              </w:rPr>
              <w:t>6.包转发率：87Mpps/144Mpps</w:t>
            </w:r>
          </w:p>
          <w:p>
            <w:pPr>
              <w:widowControl/>
              <w:jc w:val="left"/>
              <w:rPr>
                <w:rFonts w:ascii="宋体" w:hAnsi="宋体" w:cs="宋体"/>
                <w:sz w:val="22"/>
              </w:rPr>
            </w:pPr>
            <w:r>
              <w:rPr>
                <w:rFonts w:ascii="宋体" w:hAnsi="宋体" w:cs="宋体"/>
                <w:sz w:val="22"/>
              </w:rPr>
              <w:t>7.MAC地址表：支持黑洞MAC地址，支持设置端口MAC地址学习最大个数</w:t>
            </w:r>
          </w:p>
          <w:p>
            <w:pPr>
              <w:widowControl/>
              <w:jc w:val="left"/>
              <w:rPr>
                <w:rFonts w:ascii="宋体" w:hAnsi="宋体" w:cs="宋体"/>
                <w:sz w:val="22"/>
              </w:rPr>
            </w:pPr>
            <w:r>
              <w:rPr>
                <w:rFonts w:ascii="宋体" w:hAnsi="宋体" w:cs="宋体"/>
                <w:sz w:val="22"/>
              </w:rPr>
              <w:t>8.端口数量：52个</w:t>
            </w:r>
          </w:p>
          <w:p>
            <w:pPr>
              <w:widowControl/>
              <w:jc w:val="left"/>
              <w:rPr>
                <w:rFonts w:ascii="宋体" w:hAnsi="宋体" w:cs="宋体"/>
                <w:sz w:val="22"/>
              </w:rPr>
            </w:pPr>
            <w:r>
              <w:rPr>
                <w:rFonts w:ascii="宋体" w:hAnsi="宋体" w:cs="宋体"/>
                <w:sz w:val="22"/>
              </w:rPr>
              <w:t>9.端口描述：48个10/100/1000Base-T以太网端口，4个1000Base-X SFP千兆以太网端口</w:t>
            </w:r>
          </w:p>
          <w:p>
            <w:pPr>
              <w:widowControl/>
              <w:jc w:val="left"/>
              <w:rPr>
                <w:rFonts w:ascii="宋体" w:hAnsi="宋体" w:cs="宋体"/>
                <w:sz w:val="22"/>
              </w:rPr>
            </w:pPr>
            <w:r>
              <w:rPr>
                <w:rFonts w:ascii="宋体" w:hAnsi="宋体" w:cs="宋体"/>
                <w:sz w:val="22"/>
              </w:rPr>
              <w:t>10.控制端口：1个Console口</w:t>
            </w:r>
          </w:p>
          <w:p>
            <w:pPr>
              <w:widowControl/>
              <w:jc w:val="left"/>
              <w:rPr>
                <w:rFonts w:ascii="宋体" w:hAnsi="宋体" w:cs="宋体"/>
                <w:sz w:val="22"/>
              </w:rPr>
            </w:pPr>
            <w:r>
              <w:rPr>
                <w:rFonts w:ascii="宋体" w:hAnsi="宋体" w:cs="宋体"/>
                <w:sz w:val="22"/>
              </w:rPr>
              <w:t>11.网络协议：二层环网协议：支持STP/RSTP/MSTP协议，支持STP Root Protection，支持RRPP</w:t>
            </w:r>
          </w:p>
          <w:p>
            <w:pPr>
              <w:widowControl/>
              <w:jc w:val="left"/>
              <w:rPr>
                <w:rFonts w:ascii="宋体" w:hAnsi="宋体" w:cs="宋体"/>
                <w:sz w:val="22"/>
              </w:rPr>
            </w:pPr>
            <w:r>
              <w:rPr>
                <w:rFonts w:ascii="宋体" w:hAnsi="宋体" w:cs="宋体"/>
                <w:sz w:val="22"/>
              </w:rPr>
              <w:t>12.路由协议：支持IPv4/IPv6静态路由，支持RIP/RIPng，OSPFV1/V2/V3</w:t>
            </w:r>
          </w:p>
          <w:p>
            <w:pPr>
              <w:widowControl/>
              <w:jc w:val="left"/>
              <w:rPr>
                <w:rFonts w:ascii="宋体" w:hAnsi="宋体" w:cs="宋体"/>
                <w:sz w:val="22"/>
              </w:rPr>
            </w:pPr>
            <w:r>
              <w:rPr>
                <w:rFonts w:ascii="宋体" w:hAnsi="宋体" w:cs="宋体"/>
                <w:sz w:val="22"/>
              </w:rPr>
              <w:t>13.堆叠功能：可堆叠，IRF2</w:t>
            </w:r>
          </w:p>
          <w:p>
            <w:pPr>
              <w:widowControl/>
              <w:jc w:val="left"/>
              <w:rPr>
                <w:rFonts w:ascii="宋体" w:hAnsi="宋体" w:cs="宋体"/>
                <w:sz w:val="22"/>
              </w:rPr>
            </w:pPr>
            <w:r>
              <w:rPr>
                <w:rFonts w:ascii="宋体" w:hAnsi="宋体" w:cs="宋体"/>
                <w:sz w:val="22"/>
              </w:rPr>
              <w:t>14.VLAN：支持基于端口的VLAN，支持QinQ，支持Voice VLAN，支持协议VLAN，支持MAC VLAN</w:t>
            </w:r>
          </w:p>
          <w:p>
            <w:pPr>
              <w:widowControl/>
              <w:jc w:val="left"/>
              <w:rPr>
                <w:rFonts w:ascii="宋体" w:hAnsi="宋体" w:cs="宋体"/>
                <w:sz w:val="22"/>
              </w:rPr>
            </w:pPr>
            <w:r>
              <w:rPr>
                <w:rFonts w:ascii="宋体" w:hAnsi="宋体" w:cs="宋体"/>
                <w:sz w:val="22"/>
              </w:rPr>
              <w:t>15.电源电压：额定电压范围：100V～240V，50/60Hz</w:t>
            </w:r>
          </w:p>
          <w:p>
            <w:pPr>
              <w:widowControl/>
              <w:jc w:val="left"/>
            </w:pPr>
            <w:r>
              <w:rPr>
                <w:rFonts w:ascii="宋体" w:hAnsi="宋体" w:cs="宋体"/>
                <w:sz w:val="22"/>
              </w:rPr>
              <w:t>16.电源功率：最小：18W、最大：41W</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11</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网络交换机2</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1.产品类型：千兆以太网交换机</w:t>
            </w:r>
          </w:p>
          <w:p>
            <w:pPr>
              <w:widowControl/>
              <w:jc w:val="left"/>
              <w:rPr>
                <w:rFonts w:ascii="宋体" w:hAnsi="宋体" w:cs="宋体"/>
                <w:sz w:val="22"/>
              </w:rPr>
            </w:pPr>
            <w:r>
              <w:rPr>
                <w:rFonts w:ascii="宋体" w:hAnsi="宋体" w:cs="宋体"/>
                <w:sz w:val="22"/>
              </w:rPr>
              <w:t>2.应用层级：二层</w:t>
            </w:r>
          </w:p>
          <w:p>
            <w:pPr>
              <w:widowControl/>
              <w:jc w:val="left"/>
              <w:rPr>
                <w:rFonts w:ascii="宋体" w:hAnsi="宋体" w:cs="宋体"/>
                <w:sz w:val="22"/>
              </w:rPr>
            </w:pPr>
            <w:r>
              <w:rPr>
                <w:rFonts w:ascii="宋体" w:hAnsi="宋体" w:cs="宋体"/>
                <w:sz w:val="22"/>
              </w:rPr>
              <w:t>3.传输速率：10/100/1000Mbps</w:t>
            </w:r>
          </w:p>
          <w:p>
            <w:pPr>
              <w:widowControl/>
              <w:jc w:val="left"/>
              <w:rPr>
                <w:rFonts w:ascii="宋体" w:hAnsi="宋体" w:cs="宋体"/>
                <w:sz w:val="22"/>
              </w:rPr>
            </w:pPr>
            <w:r>
              <w:rPr>
                <w:rFonts w:ascii="宋体" w:hAnsi="宋体" w:cs="宋体"/>
                <w:sz w:val="22"/>
              </w:rPr>
              <w:t>4.交换方式：存储-转发</w:t>
            </w:r>
          </w:p>
          <w:p>
            <w:pPr>
              <w:widowControl/>
              <w:jc w:val="left"/>
              <w:rPr>
                <w:rFonts w:ascii="宋体" w:hAnsi="宋体" w:cs="宋体"/>
                <w:sz w:val="22"/>
              </w:rPr>
            </w:pPr>
            <w:r>
              <w:rPr>
                <w:rFonts w:ascii="宋体" w:hAnsi="宋体" w:cs="宋体"/>
                <w:sz w:val="22"/>
              </w:rPr>
              <w:t>5.背板带宽：336Gbps/3.36Tbps</w:t>
            </w:r>
          </w:p>
          <w:p>
            <w:pPr>
              <w:widowControl/>
              <w:jc w:val="left"/>
              <w:rPr>
                <w:rFonts w:ascii="宋体" w:hAnsi="宋体" w:cs="宋体"/>
                <w:sz w:val="22"/>
              </w:rPr>
            </w:pPr>
            <w:r>
              <w:rPr>
                <w:rFonts w:ascii="宋体" w:hAnsi="宋体" w:cs="宋体"/>
                <w:sz w:val="22"/>
              </w:rPr>
              <w:t>6.包转发率：51Mpps/108Mpps</w:t>
            </w:r>
          </w:p>
          <w:p>
            <w:pPr>
              <w:widowControl/>
              <w:jc w:val="left"/>
              <w:rPr>
                <w:rFonts w:ascii="宋体" w:hAnsi="宋体" w:cs="宋体"/>
                <w:sz w:val="22"/>
              </w:rPr>
            </w:pPr>
            <w:r>
              <w:rPr>
                <w:rFonts w:ascii="宋体" w:hAnsi="宋体" w:cs="宋体"/>
                <w:sz w:val="22"/>
              </w:rPr>
              <w:t>7.MAC地址表：支持黑洞MAC地址，支持设置端口MAC地址学习最大个数</w:t>
            </w:r>
          </w:p>
          <w:p>
            <w:pPr>
              <w:widowControl/>
              <w:jc w:val="left"/>
              <w:rPr>
                <w:rFonts w:ascii="宋体" w:hAnsi="宋体" w:cs="宋体"/>
                <w:sz w:val="22"/>
              </w:rPr>
            </w:pPr>
            <w:r>
              <w:rPr>
                <w:rFonts w:ascii="宋体" w:hAnsi="宋体" w:cs="宋体"/>
                <w:sz w:val="22"/>
              </w:rPr>
              <w:t>8.端口数量：28个</w:t>
            </w:r>
          </w:p>
          <w:p>
            <w:pPr>
              <w:widowControl/>
              <w:jc w:val="left"/>
              <w:rPr>
                <w:rFonts w:ascii="宋体" w:hAnsi="宋体" w:cs="宋体"/>
                <w:sz w:val="22"/>
              </w:rPr>
            </w:pPr>
            <w:r>
              <w:rPr>
                <w:rFonts w:ascii="宋体" w:hAnsi="宋体" w:cs="宋体"/>
                <w:sz w:val="22"/>
              </w:rPr>
              <w:t>9.端口描述：24个10/100/1000Base-T以太网端口，4个1000Base-X SFP千兆以太网端口</w:t>
            </w:r>
          </w:p>
          <w:p>
            <w:pPr>
              <w:widowControl/>
              <w:jc w:val="left"/>
              <w:rPr>
                <w:rFonts w:ascii="宋体" w:hAnsi="宋体" w:cs="宋体"/>
                <w:sz w:val="22"/>
              </w:rPr>
            </w:pPr>
            <w:r>
              <w:rPr>
                <w:rFonts w:ascii="宋体" w:hAnsi="宋体" w:cs="宋体"/>
                <w:sz w:val="22"/>
              </w:rPr>
              <w:t>10.控制端口：1个Console口</w:t>
            </w:r>
          </w:p>
          <w:p>
            <w:pPr>
              <w:widowControl/>
              <w:jc w:val="left"/>
              <w:rPr>
                <w:rFonts w:ascii="宋体" w:hAnsi="宋体" w:cs="宋体"/>
                <w:sz w:val="22"/>
              </w:rPr>
            </w:pPr>
            <w:r>
              <w:rPr>
                <w:rFonts w:ascii="宋体" w:hAnsi="宋体" w:cs="宋体"/>
                <w:sz w:val="22"/>
              </w:rPr>
              <w:t>11.网络协议：二层环网协议：支持STP/RSTP/MSTP协议，支持STP Root Protection，支持RRPP</w:t>
            </w:r>
          </w:p>
          <w:p>
            <w:pPr>
              <w:widowControl/>
              <w:jc w:val="left"/>
              <w:rPr>
                <w:rFonts w:ascii="宋体" w:hAnsi="宋体" w:cs="宋体"/>
                <w:sz w:val="22"/>
              </w:rPr>
            </w:pPr>
            <w:r>
              <w:rPr>
                <w:rFonts w:ascii="宋体" w:hAnsi="宋体" w:cs="宋体"/>
                <w:sz w:val="22"/>
              </w:rPr>
              <w:t>12.路由协议：支持IPv4/IPv6静态路由，支持RIP/RIPng，OSPFV1/V2/V3</w:t>
            </w:r>
          </w:p>
          <w:p>
            <w:pPr>
              <w:widowControl/>
              <w:jc w:val="left"/>
              <w:rPr>
                <w:rFonts w:ascii="宋体" w:hAnsi="宋体" w:cs="宋体"/>
                <w:sz w:val="22"/>
              </w:rPr>
            </w:pPr>
            <w:r>
              <w:rPr>
                <w:rFonts w:ascii="宋体" w:hAnsi="宋体" w:cs="宋体"/>
                <w:sz w:val="22"/>
              </w:rPr>
              <w:t>13.堆叠功能：可堆叠，IRF2</w:t>
            </w:r>
          </w:p>
          <w:p>
            <w:pPr>
              <w:widowControl/>
              <w:jc w:val="left"/>
              <w:rPr>
                <w:rFonts w:ascii="宋体" w:hAnsi="宋体" w:cs="宋体"/>
                <w:sz w:val="22"/>
              </w:rPr>
            </w:pPr>
            <w:r>
              <w:rPr>
                <w:rFonts w:ascii="宋体" w:hAnsi="宋体" w:cs="宋体"/>
                <w:sz w:val="22"/>
              </w:rPr>
              <w:t>14</w:t>
            </w:r>
            <w:r>
              <w:rPr>
                <w:rFonts w:hint="eastAsia" w:ascii="宋体" w:hAnsi="宋体" w:cs="宋体"/>
                <w:sz w:val="22"/>
              </w:rPr>
              <w:t>.</w:t>
            </w:r>
            <w:r>
              <w:rPr>
                <w:rFonts w:ascii="宋体" w:hAnsi="宋体" w:cs="宋体"/>
                <w:sz w:val="22"/>
              </w:rPr>
              <w:t>VLAN：支持基于端口的VLAN，支持QinQ，支持Voice VLAN，支持协议VLAN，支持MAC VLAN</w:t>
            </w:r>
          </w:p>
          <w:p>
            <w:pPr>
              <w:widowControl/>
              <w:jc w:val="left"/>
              <w:rPr>
                <w:rFonts w:ascii="宋体" w:hAnsi="宋体" w:cs="宋体"/>
                <w:sz w:val="22"/>
              </w:rPr>
            </w:pPr>
            <w:r>
              <w:rPr>
                <w:rFonts w:ascii="宋体" w:hAnsi="宋体" w:cs="宋体"/>
                <w:sz w:val="22"/>
              </w:rPr>
              <w:t>15.QOS：QoS/ACL：支持包过滤功能，支持SP/WRR/SP+WRR队列调度，支持双向ACL，支持基于端口的限速，支持基于流的重定向</w:t>
            </w:r>
          </w:p>
          <w:p>
            <w:pPr>
              <w:widowControl/>
              <w:jc w:val="left"/>
              <w:rPr>
                <w:rFonts w:ascii="宋体" w:hAnsi="宋体" w:cs="宋体"/>
                <w:sz w:val="22"/>
              </w:rPr>
            </w:pPr>
            <w:r>
              <w:rPr>
                <w:rFonts w:ascii="宋体" w:hAnsi="宋体" w:cs="宋体"/>
                <w:sz w:val="22"/>
              </w:rPr>
              <w:t>16.电源电压：额定电压范围：100V～240V，50/60Hz</w:t>
            </w:r>
          </w:p>
          <w:p>
            <w:pPr>
              <w:widowControl/>
              <w:jc w:val="left"/>
            </w:pPr>
            <w:r>
              <w:rPr>
                <w:rFonts w:ascii="宋体" w:hAnsi="宋体" w:cs="宋体"/>
                <w:sz w:val="22"/>
              </w:rPr>
              <w:t>17.电源功率：最小：9W、最大：23W</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12</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直播主控</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1.处理器：Intel i5</w:t>
            </w:r>
            <w:r>
              <w:rPr>
                <w:rFonts w:hint="eastAsia" w:ascii="宋体" w:hAnsi="宋体" w:cs="宋体"/>
                <w:sz w:val="22"/>
              </w:rPr>
              <w:t xml:space="preserve"> 十一代</w:t>
            </w:r>
            <w:r>
              <w:rPr>
                <w:rFonts w:ascii="宋体" w:hAnsi="宋体" w:cs="宋体"/>
                <w:sz w:val="22"/>
              </w:rPr>
              <w:t>及以上</w:t>
            </w:r>
            <w:r>
              <w:rPr>
                <w:rFonts w:hint="eastAsia" w:ascii="宋体" w:hAnsi="宋体" w:cs="宋体"/>
                <w:sz w:val="22"/>
              </w:rPr>
              <w:t>处理器</w:t>
            </w:r>
          </w:p>
          <w:p>
            <w:pPr>
              <w:widowControl/>
              <w:jc w:val="left"/>
              <w:rPr>
                <w:rFonts w:ascii="宋体" w:hAnsi="宋体" w:cs="宋体"/>
                <w:sz w:val="22"/>
              </w:rPr>
            </w:pPr>
            <w:r>
              <w:rPr>
                <w:rFonts w:ascii="宋体" w:hAnsi="宋体" w:cs="宋体"/>
                <w:sz w:val="22"/>
              </w:rPr>
              <w:t>2.内存：16GB及以上</w:t>
            </w:r>
          </w:p>
          <w:p>
            <w:pPr>
              <w:widowControl/>
              <w:jc w:val="left"/>
              <w:rPr>
                <w:rFonts w:ascii="宋体" w:hAnsi="宋体" w:cs="宋体"/>
                <w:sz w:val="22"/>
              </w:rPr>
            </w:pPr>
            <w:r>
              <w:rPr>
                <w:rFonts w:ascii="宋体" w:hAnsi="宋体" w:cs="宋体"/>
                <w:sz w:val="22"/>
              </w:rPr>
              <w:t>3.硬盘：512G固态及以上</w:t>
            </w:r>
          </w:p>
          <w:p>
            <w:pPr>
              <w:widowControl/>
              <w:jc w:val="left"/>
              <w:rPr>
                <w:rFonts w:ascii="宋体" w:hAnsi="宋体" w:cs="宋体"/>
                <w:sz w:val="22"/>
              </w:rPr>
            </w:pPr>
            <w:r>
              <w:rPr>
                <w:rFonts w:ascii="宋体" w:hAnsi="宋体" w:cs="宋体"/>
                <w:sz w:val="22"/>
              </w:rPr>
              <w:t>4.屏幕尺寸：14.0英寸-14.9英寸</w:t>
            </w:r>
          </w:p>
          <w:p>
            <w:pPr>
              <w:widowControl/>
              <w:jc w:val="left"/>
              <w:rPr>
                <w:rFonts w:ascii="宋体" w:hAnsi="宋体" w:cs="宋体"/>
                <w:sz w:val="22"/>
              </w:rPr>
            </w:pPr>
            <w:r>
              <w:rPr>
                <w:rFonts w:ascii="宋体" w:hAnsi="宋体" w:cs="宋体"/>
                <w:sz w:val="22"/>
              </w:rPr>
              <w:t>5.屏幕刷新率：约60HZ</w:t>
            </w:r>
          </w:p>
          <w:p>
            <w:pPr>
              <w:widowControl/>
              <w:jc w:val="left"/>
              <w:rPr>
                <w:rFonts w:ascii="宋体" w:hAnsi="宋体" w:cs="宋体"/>
                <w:sz w:val="22"/>
              </w:rPr>
            </w:pPr>
            <w:r>
              <w:rPr>
                <w:rFonts w:ascii="宋体" w:hAnsi="宋体" w:cs="宋体"/>
                <w:sz w:val="22"/>
              </w:rPr>
              <w:t>6.显卡类型：</w:t>
            </w:r>
            <w:r>
              <w:rPr>
                <w:rFonts w:hint="eastAsia" w:ascii="宋体" w:hAnsi="宋体" w:cs="宋体"/>
                <w:sz w:val="22"/>
              </w:rPr>
              <w:t>≥</w:t>
            </w:r>
            <w:r>
              <w:rPr>
                <w:rFonts w:ascii="宋体" w:hAnsi="宋体" w:cs="宋体"/>
                <w:sz w:val="22"/>
              </w:rPr>
              <w:t>2GB</w:t>
            </w:r>
            <w:r>
              <w:rPr>
                <w:rFonts w:hint="eastAsia" w:ascii="宋体" w:hAnsi="宋体" w:cs="宋体"/>
                <w:sz w:val="22"/>
              </w:rPr>
              <w:t>独立</w:t>
            </w:r>
            <w:r>
              <w:rPr>
                <w:rFonts w:ascii="宋体" w:hAnsi="宋体" w:cs="宋体"/>
                <w:sz w:val="22"/>
              </w:rPr>
              <w:t>显卡</w:t>
            </w:r>
          </w:p>
          <w:p>
            <w:pPr>
              <w:widowControl/>
              <w:jc w:val="left"/>
              <w:rPr>
                <w:rFonts w:ascii="宋体" w:hAnsi="宋体" w:cs="宋体"/>
                <w:sz w:val="22"/>
              </w:rPr>
            </w:pPr>
            <w:r>
              <w:rPr>
                <w:rFonts w:ascii="宋体" w:hAnsi="宋体" w:cs="宋体"/>
                <w:sz w:val="22"/>
              </w:rPr>
              <w:t>7.屏幕色域：约45%NTSC</w:t>
            </w:r>
          </w:p>
          <w:p>
            <w:pPr>
              <w:widowControl/>
              <w:jc w:val="left"/>
              <w:rPr>
                <w:rFonts w:ascii="宋体" w:hAnsi="宋体" w:cs="宋体"/>
                <w:sz w:val="22"/>
              </w:rPr>
            </w:pPr>
            <w:r>
              <w:rPr>
                <w:rFonts w:ascii="宋体" w:hAnsi="宋体" w:cs="宋体"/>
                <w:sz w:val="22"/>
              </w:rPr>
              <w:t>8.操作系统：预装Windows10</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13</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sz w:val="22"/>
              </w:rPr>
            </w:pPr>
            <w:r>
              <w:rPr>
                <w:rFonts w:hint="eastAsia" w:ascii="宋体" w:hAnsi="宋体" w:cs="宋体"/>
                <w:color w:val="auto"/>
                <w:sz w:val="22"/>
              </w:rPr>
              <w:t>直播摄像头</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color w:val="auto"/>
                <w:sz w:val="22"/>
              </w:rPr>
            </w:pPr>
            <w:r>
              <w:rPr>
                <w:rFonts w:ascii="宋体" w:hAnsi="宋体" w:cs="宋体"/>
                <w:color w:val="auto"/>
                <w:sz w:val="22"/>
              </w:rPr>
              <w:t>1.摄像头分辨率：</w:t>
            </w:r>
            <w:r>
              <w:rPr>
                <w:rFonts w:hint="eastAsia" w:ascii="宋体" w:hAnsi="宋体" w:cs="宋体"/>
                <w:color w:val="auto"/>
                <w:sz w:val="22"/>
              </w:rPr>
              <w:t>≥</w:t>
            </w:r>
            <w:r>
              <w:rPr>
                <w:rFonts w:ascii="宋体" w:hAnsi="宋体" w:cs="宋体"/>
                <w:color w:val="auto"/>
                <w:sz w:val="22"/>
              </w:rPr>
              <w:t>1920*1080dpi</w:t>
            </w:r>
          </w:p>
          <w:p>
            <w:pPr>
              <w:widowControl/>
              <w:jc w:val="left"/>
              <w:rPr>
                <w:rFonts w:ascii="宋体" w:hAnsi="宋体" w:cs="宋体"/>
                <w:color w:val="auto"/>
                <w:sz w:val="22"/>
              </w:rPr>
            </w:pPr>
            <w:r>
              <w:rPr>
                <w:rFonts w:ascii="宋体" w:hAnsi="宋体" w:cs="宋体"/>
                <w:color w:val="auto"/>
                <w:sz w:val="22"/>
              </w:rPr>
              <w:t>2.最大帧数</w:t>
            </w:r>
            <w:r>
              <w:rPr>
                <w:rFonts w:hint="eastAsia" w:ascii="宋体" w:hAnsi="宋体" w:cs="宋体"/>
                <w:color w:val="auto"/>
                <w:sz w:val="22"/>
              </w:rPr>
              <w:t>约</w:t>
            </w:r>
            <w:r>
              <w:rPr>
                <w:rFonts w:ascii="宋体" w:hAnsi="宋体" w:cs="宋体"/>
                <w:color w:val="auto"/>
                <w:sz w:val="22"/>
              </w:rPr>
              <w:t>：60fps</w:t>
            </w:r>
          </w:p>
          <w:p>
            <w:pPr>
              <w:widowControl/>
              <w:jc w:val="left"/>
              <w:rPr>
                <w:rFonts w:ascii="宋体" w:hAnsi="宋体" w:cs="宋体"/>
                <w:color w:val="auto"/>
                <w:sz w:val="22"/>
              </w:rPr>
            </w:pPr>
            <w:r>
              <w:rPr>
                <w:rFonts w:ascii="宋体" w:hAnsi="宋体" w:cs="宋体"/>
                <w:color w:val="auto"/>
                <w:sz w:val="22"/>
              </w:rPr>
              <w:t>3.接口：USB</w:t>
            </w:r>
          </w:p>
          <w:p>
            <w:pPr>
              <w:widowControl/>
              <w:jc w:val="left"/>
              <w:rPr>
                <w:color w:val="auto"/>
              </w:rPr>
            </w:pPr>
            <w:r>
              <w:rPr>
                <w:rFonts w:ascii="宋体" w:hAnsi="宋体" w:cs="宋体"/>
                <w:color w:val="auto"/>
                <w:sz w:val="22"/>
              </w:rPr>
              <w:t>4.驱动：免驱</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sz w:val="22"/>
              </w:rPr>
            </w:pPr>
            <w:r>
              <w:rPr>
                <w:rFonts w:ascii="宋体" w:hAnsi="宋体" w:cs="宋体"/>
                <w:color w:val="auto"/>
                <w:sz w:val="22"/>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auto"/>
                <w:sz w:val="22"/>
              </w:rPr>
            </w:pPr>
            <w:r>
              <w:rPr>
                <w:rFonts w:hint="eastAsia" w:ascii="宋体" w:hAnsi="宋体" w:cs="宋体"/>
                <w:color w:val="auto"/>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14</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单反指向性话筒</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1.声学原理：Pressure Gradient</w:t>
            </w:r>
          </w:p>
          <w:p>
            <w:pPr>
              <w:widowControl/>
              <w:jc w:val="left"/>
              <w:rPr>
                <w:rFonts w:ascii="宋体" w:hAnsi="宋体" w:cs="宋体"/>
                <w:sz w:val="22"/>
              </w:rPr>
            </w:pPr>
            <w:r>
              <w:rPr>
                <w:rFonts w:ascii="宋体" w:hAnsi="宋体" w:cs="宋体"/>
                <w:sz w:val="22"/>
              </w:rPr>
              <w:t>2.有源电子器件：JFET impedance converter</w:t>
            </w:r>
          </w:p>
          <w:p>
            <w:pPr>
              <w:widowControl/>
              <w:jc w:val="left"/>
              <w:rPr>
                <w:rFonts w:ascii="宋体" w:hAnsi="宋体" w:cs="宋体"/>
                <w:sz w:val="22"/>
              </w:rPr>
            </w:pPr>
            <w:r>
              <w:rPr>
                <w:rFonts w:ascii="宋体" w:hAnsi="宋体" w:cs="宋体"/>
                <w:sz w:val="22"/>
              </w:rPr>
              <w:t>3.极头：0.5″</w:t>
            </w:r>
          </w:p>
          <w:p>
            <w:pPr>
              <w:widowControl/>
              <w:jc w:val="left"/>
              <w:rPr>
                <w:rFonts w:ascii="宋体" w:hAnsi="宋体" w:cs="宋体"/>
                <w:sz w:val="22"/>
              </w:rPr>
            </w:pPr>
            <w:r>
              <w:rPr>
                <w:rFonts w:ascii="宋体" w:hAnsi="宋体" w:cs="宋体"/>
                <w:sz w:val="22"/>
              </w:rPr>
              <w:t>4.地质类型：end</w:t>
            </w:r>
          </w:p>
          <w:p>
            <w:pPr>
              <w:widowControl/>
              <w:jc w:val="left"/>
            </w:pPr>
            <w:r>
              <w:rPr>
                <w:rFonts w:ascii="宋体" w:hAnsi="宋体" w:cs="宋体"/>
                <w:sz w:val="22"/>
              </w:rPr>
              <w:t>5.频率范围：100Hz-20kHz</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15</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绿幕</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1.幕布颜色：绿色</w:t>
            </w:r>
          </w:p>
          <w:p>
            <w:pPr>
              <w:widowControl/>
              <w:jc w:val="left"/>
              <w:rPr>
                <w:rFonts w:ascii="宋体" w:hAnsi="宋体" w:cs="宋体"/>
                <w:sz w:val="22"/>
              </w:rPr>
            </w:pPr>
            <w:r>
              <w:rPr>
                <w:rFonts w:ascii="宋体" w:hAnsi="宋体" w:cs="宋体"/>
                <w:sz w:val="22"/>
              </w:rPr>
              <w:t>2.幕布尺寸：</w:t>
            </w:r>
            <w:r>
              <w:rPr>
                <w:rFonts w:hint="eastAsia" w:ascii="宋体" w:hAnsi="宋体" w:cs="宋体"/>
                <w:sz w:val="22"/>
              </w:rPr>
              <w:t>≥</w:t>
            </w:r>
            <w:r>
              <w:rPr>
                <w:rFonts w:ascii="宋体" w:hAnsi="宋体" w:cs="宋体"/>
                <w:sz w:val="22"/>
              </w:rPr>
              <w:t>2m*2m</w:t>
            </w:r>
          </w:p>
          <w:p>
            <w:pPr>
              <w:widowControl/>
              <w:jc w:val="left"/>
              <w:rPr>
                <w:rFonts w:ascii="宋体" w:hAnsi="宋体" w:cs="宋体"/>
                <w:sz w:val="22"/>
              </w:rPr>
            </w:pPr>
            <w:r>
              <w:rPr>
                <w:rFonts w:ascii="宋体" w:hAnsi="宋体" w:cs="宋体"/>
                <w:sz w:val="22"/>
              </w:rPr>
              <w:t>3.幕布材质：加厚牛津</w:t>
            </w:r>
          </w:p>
          <w:p>
            <w:pPr>
              <w:widowControl/>
              <w:jc w:val="left"/>
              <w:rPr>
                <w:rFonts w:ascii="宋体" w:hAnsi="宋体" w:cs="宋体"/>
                <w:sz w:val="22"/>
              </w:rPr>
            </w:pPr>
            <w:r>
              <w:rPr>
                <w:rFonts w:ascii="宋体" w:hAnsi="宋体" w:cs="宋体"/>
                <w:sz w:val="22"/>
              </w:rPr>
              <w:t>4.盒子材质：合金</w:t>
            </w:r>
          </w:p>
          <w:p>
            <w:pPr>
              <w:widowControl/>
              <w:jc w:val="left"/>
            </w:pPr>
            <w:r>
              <w:rPr>
                <w:rFonts w:ascii="宋体" w:hAnsi="宋体" w:cs="宋体"/>
                <w:sz w:val="22"/>
              </w:rPr>
              <w:t>5.支撑特点：气压缓冲</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套</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16</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电动屏风</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1.安装方式：顶装</w:t>
            </w:r>
          </w:p>
          <w:p>
            <w:pPr>
              <w:widowControl/>
              <w:jc w:val="left"/>
              <w:rPr>
                <w:rFonts w:ascii="宋体" w:hAnsi="宋体" w:cs="宋体"/>
                <w:sz w:val="22"/>
              </w:rPr>
            </w:pPr>
            <w:r>
              <w:rPr>
                <w:rFonts w:ascii="宋体" w:hAnsi="宋体" w:cs="宋体"/>
                <w:sz w:val="22"/>
              </w:rPr>
              <w:t>2.尺寸：定制尺寸</w:t>
            </w:r>
          </w:p>
          <w:p>
            <w:pPr>
              <w:widowControl/>
              <w:jc w:val="left"/>
              <w:rPr>
                <w:rFonts w:ascii="宋体" w:hAnsi="宋体" w:cs="宋体"/>
                <w:sz w:val="22"/>
              </w:rPr>
            </w:pPr>
            <w:r>
              <w:rPr>
                <w:rFonts w:ascii="宋体" w:hAnsi="宋体" w:cs="宋体"/>
                <w:sz w:val="22"/>
              </w:rPr>
              <w:t>3.颜色：定制颜色图案、双面印制</w:t>
            </w:r>
          </w:p>
          <w:p>
            <w:pPr>
              <w:widowControl/>
              <w:jc w:val="left"/>
              <w:rPr>
                <w:rFonts w:ascii="宋体" w:hAnsi="宋体" w:cs="宋体"/>
                <w:sz w:val="22"/>
              </w:rPr>
            </w:pPr>
            <w:r>
              <w:rPr>
                <w:rFonts w:ascii="宋体" w:hAnsi="宋体" w:cs="宋体"/>
                <w:sz w:val="22"/>
              </w:rPr>
              <w:t>4.材质：全遮光经遍布</w:t>
            </w:r>
          </w:p>
          <w:p>
            <w:pPr>
              <w:widowControl/>
              <w:jc w:val="left"/>
            </w:pPr>
            <w:r>
              <w:rPr>
                <w:rFonts w:ascii="宋体" w:hAnsi="宋体" w:cs="宋体"/>
                <w:sz w:val="22"/>
              </w:rPr>
              <w:t>5.驱动方式：电动遥控</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17</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柔光灯</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1.输出功率：60w</w:t>
            </w:r>
          </w:p>
          <w:p>
            <w:pPr>
              <w:widowControl/>
              <w:jc w:val="left"/>
              <w:rPr>
                <w:rFonts w:ascii="宋体" w:hAnsi="宋体" w:cs="宋体"/>
                <w:sz w:val="22"/>
              </w:rPr>
            </w:pPr>
            <w:r>
              <w:rPr>
                <w:rFonts w:ascii="宋体" w:hAnsi="宋体" w:cs="宋体"/>
                <w:sz w:val="22"/>
              </w:rPr>
              <w:t>2.色温：5600+300k</w:t>
            </w:r>
          </w:p>
          <w:p>
            <w:pPr>
              <w:widowControl/>
              <w:jc w:val="left"/>
              <w:rPr>
                <w:rFonts w:ascii="宋体" w:hAnsi="宋体" w:cs="宋体"/>
                <w:sz w:val="22"/>
              </w:rPr>
            </w:pPr>
            <w:r>
              <w:rPr>
                <w:rFonts w:ascii="宋体" w:hAnsi="宋体" w:cs="宋体"/>
                <w:sz w:val="22"/>
              </w:rPr>
              <w:t>3.光照流明：4500lm</w:t>
            </w:r>
          </w:p>
          <w:p>
            <w:pPr>
              <w:widowControl/>
              <w:jc w:val="left"/>
              <w:rPr>
                <w:rFonts w:ascii="宋体" w:hAnsi="宋体" w:cs="宋体"/>
                <w:sz w:val="22"/>
              </w:rPr>
            </w:pPr>
            <w:r>
              <w:rPr>
                <w:rFonts w:ascii="宋体" w:hAnsi="宋体" w:cs="宋体"/>
                <w:sz w:val="22"/>
              </w:rPr>
              <w:t>4.功率控制：10%—全光</w:t>
            </w:r>
          </w:p>
          <w:p>
            <w:pPr>
              <w:widowControl/>
              <w:jc w:val="left"/>
            </w:pPr>
            <w:r>
              <w:rPr>
                <w:rFonts w:ascii="宋体" w:hAnsi="宋体" w:cs="宋体"/>
                <w:sz w:val="22"/>
              </w:rPr>
              <w:t>5.是否含灯架：是</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r>
              <w:rPr>
                <w:rFonts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个</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18</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环形灯</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1.色温：3000-6000k</w:t>
            </w:r>
          </w:p>
          <w:p>
            <w:pPr>
              <w:widowControl/>
              <w:jc w:val="left"/>
              <w:rPr>
                <w:rFonts w:ascii="宋体" w:hAnsi="宋体" w:cs="宋体"/>
                <w:sz w:val="22"/>
              </w:rPr>
            </w:pPr>
            <w:r>
              <w:rPr>
                <w:rFonts w:ascii="宋体" w:hAnsi="宋体" w:cs="宋体"/>
                <w:sz w:val="22"/>
              </w:rPr>
              <w:t>2.调光范围：1%-100%</w:t>
            </w:r>
          </w:p>
          <w:p>
            <w:pPr>
              <w:widowControl/>
              <w:jc w:val="left"/>
              <w:rPr>
                <w:rFonts w:ascii="宋体" w:hAnsi="宋体" w:cs="宋体"/>
                <w:sz w:val="22"/>
              </w:rPr>
            </w:pPr>
            <w:r>
              <w:rPr>
                <w:rFonts w:ascii="宋体" w:hAnsi="宋体" w:cs="宋体"/>
                <w:sz w:val="22"/>
              </w:rPr>
              <w:t>3.灯珠数量：336</w:t>
            </w:r>
          </w:p>
          <w:p>
            <w:pPr>
              <w:widowControl/>
              <w:jc w:val="left"/>
            </w:pPr>
            <w:r>
              <w:rPr>
                <w:rFonts w:ascii="宋体" w:hAnsi="宋体" w:cs="宋体"/>
                <w:sz w:val="22"/>
              </w:rPr>
              <w:t>4.功率：38w</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个</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19</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面板灯</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1.功率：56w</w:t>
            </w:r>
          </w:p>
          <w:p>
            <w:pPr>
              <w:widowControl/>
              <w:jc w:val="left"/>
              <w:rPr>
                <w:rFonts w:ascii="宋体" w:hAnsi="宋体" w:cs="宋体"/>
                <w:sz w:val="22"/>
              </w:rPr>
            </w:pPr>
            <w:r>
              <w:rPr>
                <w:rFonts w:ascii="宋体" w:hAnsi="宋体" w:cs="宋体"/>
                <w:sz w:val="22"/>
              </w:rPr>
              <w:t>2.色温范围：2800-6500k</w:t>
            </w:r>
          </w:p>
          <w:p>
            <w:pPr>
              <w:widowControl/>
              <w:jc w:val="left"/>
              <w:rPr>
                <w:rFonts w:ascii="宋体" w:hAnsi="宋体" w:cs="宋体"/>
                <w:sz w:val="22"/>
              </w:rPr>
            </w:pPr>
            <w:r>
              <w:rPr>
                <w:rFonts w:ascii="宋体" w:hAnsi="宋体" w:cs="宋体"/>
                <w:sz w:val="22"/>
              </w:rPr>
              <w:t>3.调光范围：0-100%</w:t>
            </w:r>
          </w:p>
          <w:p>
            <w:pPr>
              <w:widowControl/>
              <w:jc w:val="left"/>
              <w:rPr>
                <w:rFonts w:ascii="宋体" w:hAnsi="宋体" w:cs="宋体"/>
                <w:sz w:val="22"/>
              </w:rPr>
            </w:pPr>
            <w:r>
              <w:rPr>
                <w:rFonts w:ascii="宋体" w:hAnsi="宋体" w:cs="宋体"/>
                <w:sz w:val="22"/>
              </w:rPr>
              <w:t>4.控制方式：手机APP/2.4G无线</w:t>
            </w:r>
          </w:p>
          <w:p>
            <w:pPr>
              <w:widowControl/>
              <w:jc w:val="left"/>
            </w:pPr>
            <w:r>
              <w:rPr>
                <w:rFonts w:ascii="宋体" w:hAnsi="宋体" w:cs="宋体"/>
                <w:sz w:val="22"/>
              </w:rPr>
              <w:t>5.灯珠数量：176</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9</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个</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20</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柔光箱</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1.产品名称：柔光箱</w:t>
            </w:r>
          </w:p>
          <w:p>
            <w:pPr>
              <w:widowControl/>
              <w:jc w:val="left"/>
              <w:rPr>
                <w:rFonts w:ascii="宋体" w:hAnsi="宋体" w:cs="宋体"/>
                <w:sz w:val="22"/>
              </w:rPr>
            </w:pPr>
            <w:r>
              <w:rPr>
                <w:rFonts w:ascii="宋体" w:hAnsi="宋体" w:cs="宋体"/>
                <w:sz w:val="22"/>
              </w:rPr>
              <w:t>2.卡口：保荣口</w:t>
            </w:r>
          </w:p>
          <w:p>
            <w:pPr>
              <w:widowControl/>
              <w:jc w:val="left"/>
              <w:rPr>
                <w:rFonts w:ascii="宋体" w:hAnsi="宋体" w:cs="宋体"/>
                <w:sz w:val="22"/>
              </w:rPr>
            </w:pPr>
            <w:r>
              <w:rPr>
                <w:rFonts w:ascii="宋体" w:hAnsi="宋体" w:cs="宋体"/>
                <w:sz w:val="22"/>
              </w:rPr>
              <w:t>3.直径约：50cm</w:t>
            </w:r>
          </w:p>
          <w:p>
            <w:pPr>
              <w:widowControl/>
              <w:jc w:val="left"/>
            </w:pPr>
            <w:r>
              <w:rPr>
                <w:rFonts w:ascii="宋体" w:hAnsi="宋体" w:cs="宋体"/>
                <w:sz w:val="22"/>
              </w:rPr>
              <w:t>4.深度约：38cm</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12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个</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21</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外置声卡</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1.声卡提供音频输入和输出模块，以及与任何智能移动设备的模拟和数字连接，用于直播应用程序。</w:t>
            </w:r>
          </w:p>
          <w:p>
            <w:pPr>
              <w:widowControl/>
              <w:jc w:val="left"/>
              <w:rPr>
                <w:rFonts w:ascii="宋体" w:hAnsi="宋体" w:cs="宋体"/>
                <w:sz w:val="22"/>
              </w:rPr>
            </w:pPr>
            <w:r>
              <w:rPr>
                <w:rFonts w:ascii="宋体" w:hAnsi="宋体" w:cs="宋体"/>
                <w:sz w:val="22"/>
              </w:rPr>
              <w:t>2.包括：24位192KHz 1-麦 输入 / 1-乐器输入，2-输出的 USB音频接口，提供专业和高端的ADDA高动态范围</w:t>
            </w:r>
          </w:p>
          <w:p>
            <w:pPr>
              <w:widowControl/>
              <w:jc w:val="left"/>
              <w:rPr>
                <w:rFonts w:ascii="宋体" w:hAnsi="宋体" w:cs="宋体"/>
                <w:sz w:val="22"/>
              </w:rPr>
            </w:pPr>
            <w:r>
              <w:rPr>
                <w:rFonts w:ascii="宋体" w:hAnsi="宋体" w:cs="宋体"/>
                <w:sz w:val="22"/>
              </w:rPr>
              <w:t>3.DAC：动态范围：114dB</w:t>
            </w:r>
          </w:p>
          <w:p>
            <w:pPr>
              <w:widowControl/>
              <w:jc w:val="left"/>
              <w:rPr>
                <w:rFonts w:ascii="宋体" w:hAnsi="宋体" w:cs="宋体"/>
                <w:sz w:val="22"/>
              </w:rPr>
            </w:pPr>
            <w:r>
              <w:rPr>
                <w:rFonts w:ascii="宋体" w:hAnsi="宋体" w:cs="宋体"/>
                <w:sz w:val="22"/>
              </w:rPr>
              <w:t>4.ADC：动态范围：114dB</w:t>
            </w:r>
          </w:p>
          <w:p>
            <w:pPr>
              <w:widowControl/>
              <w:jc w:val="left"/>
              <w:rPr>
                <w:rFonts w:ascii="宋体" w:hAnsi="宋体" w:cs="宋体"/>
                <w:sz w:val="22"/>
              </w:rPr>
            </w:pPr>
            <w:r>
              <w:rPr>
                <w:rFonts w:ascii="宋体" w:hAnsi="宋体" w:cs="宋体"/>
                <w:sz w:val="22"/>
              </w:rPr>
              <w:t>5.支持Mac/PC连接同时与智能设备</w:t>
            </w:r>
          </w:p>
          <w:p>
            <w:pPr>
              <w:widowControl/>
              <w:jc w:val="left"/>
              <w:rPr>
                <w:rFonts w:ascii="宋体" w:hAnsi="宋体" w:cs="宋体"/>
                <w:sz w:val="22"/>
              </w:rPr>
            </w:pPr>
            <w:r>
              <w:rPr>
                <w:rFonts w:ascii="宋体" w:hAnsi="宋体" w:cs="宋体"/>
                <w:sz w:val="22"/>
              </w:rPr>
              <w:t>6.可通过ProDriver4虚拟插件机架进行音频信号处理的实时会话</w:t>
            </w:r>
          </w:p>
          <w:p>
            <w:pPr>
              <w:widowControl/>
              <w:jc w:val="left"/>
            </w:pPr>
            <w:r>
              <w:rPr>
                <w:rFonts w:ascii="宋体" w:hAnsi="宋体" w:cs="宋体"/>
                <w:sz w:val="22"/>
              </w:rPr>
              <w:t>7.2×2模拟I/O全双工记录和回放</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22</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直播摄像头1</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一、摄像头性能参数</w:t>
            </w:r>
          </w:p>
          <w:p>
            <w:pPr>
              <w:widowControl/>
              <w:jc w:val="left"/>
              <w:rPr>
                <w:rFonts w:ascii="宋体" w:hAnsi="宋体" w:cs="宋体"/>
                <w:sz w:val="22"/>
              </w:rPr>
            </w:pPr>
            <w:r>
              <w:rPr>
                <w:rFonts w:ascii="宋体" w:hAnsi="宋体" w:cs="宋体"/>
                <w:sz w:val="22"/>
              </w:rPr>
              <w:t>1、图像传感器：≥1/2.7英寸CMOS</w:t>
            </w:r>
          </w:p>
          <w:p>
            <w:pPr>
              <w:widowControl/>
              <w:jc w:val="left"/>
              <w:rPr>
                <w:rFonts w:ascii="宋体" w:hAnsi="宋体" w:cs="宋体"/>
                <w:sz w:val="22"/>
              </w:rPr>
            </w:pPr>
            <w:r>
              <w:rPr>
                <w:rFonts w:ascii="宋体" w:hAnsi="宋体" w:cs="宋体"/>
                <w:sz w:val="22"/>
              </w:rPr>
              <w:t>2、水平分辨率：≥1920*1080</w:t>
            </w:r>
          </w:p>
          <w:p>
            <w:pPr>
              <w:widowControl/>
              <w:jc w:val="left"/>
              <w:rPr>
                <w:rFonts w:ascii="宋体" w:hAnsi="宋体" w:cs="宋体"/>
                <w:sz w:val="22"/>
              </w:rPr>
            </w:pPr>
            <w:r>
              <w:rPr>
                <w:rFonts w:ascii="宋体" w:hAnsi="宋体" w:cs="宋体"/>
                <w:sz w:val="22"/>
              </w:rPr>
              <w:t>3、像素：≥207万</w:t>
            </w:r>
          </w:p>
          <w:p>
            <w:pPr>
              <w:widowControl/>
              <w:jc w:val="left"/>
              <w:rPr>
                <w:rFonts w:ascii="宋体" w:hAnsi="宋体" w:cs="宋体"/>
                <w:sz w:val="22"/>
              </w:rPr>
            </w:pPr>
            <w:r>
              <w:rPr>
                <w:rFonts w:ascii="宋体" w:hAnsi="宋体" w:cs="宋体"/>
                <w:sz w:val="22"/>
              </w:rPr>
              <w:t>4、视频压缩格式：支持H.264、H.265</w:t>
            </w:r>
          </w:p>
          <w:p>
            <w:pPr>
              <w:widowControl/>
              <w:jc w:val="left"/>
              <w:rPr>
                <w:rFonts w:ascii="宋体" w:hAnsi="宋体" w:cs="宋体"/>
                <w:sz w:val="22"/>
              </w:rPr>
            </w:pPr>
            <w:r>
              <w:rPr>
                <w:rFonts w:ascii="宋体" w:hAnsi="宋体" w:cs="宋体"/>
                <w:sz w:val="22"/>
              </w:rPr>
              <w:t>5、变焦倍数：支持12倍光学变焦</w:t>
            </w:r>
          </w:p>
          <w:p>
            <w:pPr>
              <w:widowControl/>
              <w:jc w:val="left"/>
              <w:rPr>
                <w:rFonts w:ascii="宋体" w:hAnsi="宋体" w:cs="宋体"/>
                <w:sz w:val="22"/>
              </w:rPr>
            </w:pPr>
            <w:r>
              <w:rPr>
                <w:rFonts w:ascii="宋体" w:hAnsi="宋体" w:cs="宋体"/>
                <w:sz w:val="22"/>
              </w:rPr>
              <w:t>6、镜头角度：3.2-50.8度视角</w:t>
            </w:r>
          </w:p>
          <w:p>
            <w:pPr>
              <w:widowControl/>
              <w:jc w:val="left"/>
              <w:rPr>
                <w:rFonts w:ascii="宋体" w:hAnsi="宋体" w:cs="宋体"/>
                <w:sz w:val="22"/>
              </w:rPr>
            </w:pPr>
            <w:r>
              <w:rPr>
                <w:rFonts w:ascii="宋体" w:hAnsi="宋体" w:cs="宋体"/>
                <w:sz w:val="22"/>
              </w:rPr>
              <w:t>7、自动光圈：F1.5-3.0</w:t>
            </w:r>
          </w:p>
          <w:p>
            <w:pPr>
              <w:widowControl/>
              <w:jc w:val="left"/>
              <w:rPr>
                <w:rFonts w:ascii="宋体" w:hAnsi="宋体" w:cs="宋体"/>
                <w:sz w:val="22"/>
              </w:rPr>
            </w:pPr>
            <w:r>
              <w:rPr>
                <w:rFonts w:ascii="宋体" w:hAnsi="宋体" w:cs="宋体"/>
                <w:sz w:val="22"/>
              </w:rPr>
              <w:t>8、Focus：镜头可调</w:t>
            </w:r>
          </w:p>
          <w:p>
            <w:pPr>
              <w:widowControl/>
              <w:jc w:val="left"/>
              <w:rPr>
                <w:rFonts w:ascii="宋体" w:hAnsi="宋体" w:cs="宋体"/>
                <w:sz w:val="22"/>
              </w:rPr>
            </w:pPr>
            <w:r>
              <w:rPr>
                <w:rFonts w:ascii="宋体" w:hAnsi="宋体" w:cs="宋体"/>
                <w:sz w:val="22"/>
              </w:rPr>
              <w:t>9、变焦：支持手动和自动</w:t>
            </w:r>
          </w:p>
          <w:p>
            <w:pPr>
              <w:widowControl/>
              <w:jc w:val="left"/>
              <w:rPr>
                <w:rFonts w:ascii="宋体" w:hAnsi="宋体" w:cs="宋体"/>
                <w:sz w:val="22"/>
              </w:rPr>
            </w:pPr>
            <w:r>
              <w:rPr>
                <w:rFonts w:ascii="宋体" w:hAnsi="宋体" w:cs="宋体"/>
                <w:sz w:val="22"/>
              </w:rPr>
              <w:t>二、其他参数：</w:t>
            </w:r>
          </w:p>
          <w:p>
            <w:pPr>
              <w:widowControl/>
              <w:jc w:val="left"/>
              <w:rPr>
                <w:rFonts w:ascii="宋体" w:hAnsi="宋体" w:cs="宋体"/>
                <w:sz w:val="22"/>
              </w:rPr>
            </w:pPr>
            <w:r>
              <w:rPr>
                <w:rFonts w:ascii="宋体" w:hAnsi="宋体" w:cs="宋体"/>
                <w:sz w:val="22"/>
              </w:rPr>
              <w:t>1、视频输入接口：支持HDMI、3G-SDI、网卡</w:t>
            </w:r>
          </w:p>
          <w:p>
            <w:pPr>
              <w:widowControl/>
              <w:jc w:val="left"/>
              <w:rPr>
                <w:rFonts w:ascii="宋体" w:hAnsi="宋体" w:cs="宋体"/>
                <w:sz w:val="22"/>
              </w:rPr>
            </w:pPr>
            <w:r>
              <w:rPr>
                <w:rFonts w:ascii="宋体" w:hAnsi="宋体" w:cs="宋体"/>
                <w:sz w:val="22"/>
              </w:rPr>
              <w:t>2、视频输出接口：支持HDMI、SDI、1路IP输出</w:t>
            </w:r>
          </w:p>
          <w:p>
            <w:pPr>
              <w:widowControl/>
              <w:jc w:val="left"/>
              <w:rPr>
                <w:rFonts w:ascii="宋体" w:hAnsi="宋体" w:cs="宋体"/>
                <w:sz w:val="22"/>
              </w:rPr>
            </w:pPr>
            <w:r>
              <w:rPr>
                <w:rFonts w:ascii="宋体" w:hAnsi="宋体" w:cs="宋体"/>
                <w:sz w:val="22"/>
              </w:rPr>
              <w:t>3、电源输入：约12V</w:t>
            </w:r>
          </w:p>
          <w:p>
            <w:pPr>
              <w:widowControl/>
              <w:jc w:val="left"/>
              <w:rPr>
                <w:rFonts w:ascii="宋体" w:hAnsi="宋体" w:cs="宋体"/>
                <w:sz w:val="22"/>
              </w:rPr>
            </w:pPr>
            <w:r>
              <w:rPr>
                <w:rFonts w:ascii="宋体" w:hAnsi="宋体" w:cs="宋体"/>
                <w:sz w:val="22"/>
              </w:rPr>
              <w:t>4、功耗：约12W</w:t>
            </w:r>
          </w:p>
          <w:p>
            <w:pPr>
              <w:widowControl/>
              <w:jc w:val="left"/>
              <w:rPr>
                <w:rFonts w:ascii="宋体" w:hAnsi="宋体" w:cs="宋体"/>
                <w:sz w:val="22"/>
              </w:rPr>
            </w:pPr>
            <w:r>
              <w:rPr>
                <w:rFonts w:ascii="宋体" w:hAnsi="宋体" w:cs="宋体"/>
                <w:sz w:val="22"/>
              </w:rPr>
              <w:t>5、设备照明：</w:t>
            </w:r>
            <w:r>
              <w:t>≥</w:t>
            </w:r>
            <w:r>
              <w:rPr>
                <w:rFonts w:ascii="宋体" w:hAnsi="宋体" w:cs="宋体"/>
                <w:sz w:val="22"/>
              </w:rPr>
              <w:t>Lux0.5Lux</w:t>
            </w:r>
          </w:p>
          <w:p>
            <w:r>
              <w:t>6、信噪比：≥55dB</w:t>
            </w:r>
          </w:p>
          <w:p>
            <w:r>
              <w:t>7、图像码流：支持双码流</w:t>
            </w:r>
          </w:p>
          <w:p>
            <w:pPr>
              <w:widowControl/>
              <w:jc w:val="left"/>
            </w:pPr>
            <w:r>
              <w:rPr>
                <w:rFonts w:ascii="宋体" w:hAnsi="宋体" w:cs="宋体"/>
                <w:sz w:val="22"/>
              </w:rPr>
              <w:t>8、尺寸：约150*150*168mm</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23</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直播摄像头2</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一、摄像头性能参数</w:t>
            </w:r>
          </w:p>
          <w:p>
            <w:pPr>
              <w:widowControl/>
              <w:jc w:val="left"/>
              <w:rPr>
                <w:rFonts w:ascii="宋体" w:hAnsi="宋体" w:cs="宋体"/>
                <w:sz w:val="22"/>
              </w:rPr>
            </w:pPr>
            <w:r>
              <w:rPr>
                <w:rFonts w:ascii="宋体" w:hAnsi="宋体" w:cs="宋体"/>
                <w:sz w:val="22"/>
              </w:rPr>
              <w:t>1、图像传感器：≥1/2.8英寸CMOS</w:t>
            </w:r>
          </w:p>
          <w:p>
            <w:pPr>
              <w:widowControl/>
              <w:jc w:val="left"/>
              <w:rPr>
                <w:rFonts w:ascii="宋体" w:hAnsi="宋体" w:cs="宋体"/>
                <w:sz w:val="22"/>
              </w:rPr>
            </w:pPr>
            <w:r>
              <w:rPr>
                <w:rFonts w:ascii="宋体" w:hAnsi="宋体" w:cs="宋体"/>
                <w:sz w:val="22"/>
              </w:rPr>
              <w:t>2、水平分辨率：≥1920*1080</w:t>
            </w:r>
          </w:p>
          <w:p>
            <w:pPr>
              <w:widowControl/>
              <w:jc w:val="left"/>
              <w:rPr>
                <w:rFonts w:ascii="宋体" w:hAnsi="宋体" w:cs="宋体"/>
                <w:sz w:val="22"/>
              </w:rPr>
            </w:pPr>
            <w:r>
              <w:rPr>
                <w:rFonts w:ascii="宋体" w:hAnsi="宋体" w:cs="宋体"/>
                <w:sz w:val="22"/>
              </w:rPr>
              <w:t>3、像素：≥207万</w:t>
            </w:r>
          </w:p>
          <w:p>
            <w:pPr>
              <w:widowControl/>
              <w:jc w:val="left"/>
              <w:rPr>
                <w:rFonts w:ascii="宋体" w:hAnsi="宋体" w:cs="宋体"/>
                <w:sz w:val="22"/>
              </w:rPr>
            </w:pPr>
            <w:r>
              <w:rPr>
                <w:rFonts w:ascii="宋体" w:hAnsi="宋体" w:cs="宋体"/>
                <w:sz w:val="22"/>
              </w:rPr>
              <w:t>4、输出帧率：≥60帧/秒</w:t>
            </w:r>
          </w:p>
          <w:p>
            <w:pPr>
              <w:widowControl/>
              <w:jc w:val="left"/>
              <w:rPr>
                <w:rFonts w:ascii="宋体" w:hAnsi="宋体" w:cs="宋体"/>
                <w:sz w:val="22"/>
              </w:rPr>
            </w:pPr>
            <w:r>
              <w:rPr>
                <w:rFonts w:ascii="宋体" w:hAnsi="宋体" w:cs="宋体"/>
                <w:sz w:val="22"/>
              </w:rPr>
              <w:t>5、变焦倍数：支持5倍、10倍、12倍光学变焦</w:t>
            </w:r>
          </w:p>
          <w:p>
            <w:pPr>
              <w:widowControl/>
              <w:jc w:val="left"/>
              <w:rPr>
                <w:rFonts w:ascii="宋体" w:hAnsi="宋体" w:cs="宋体"/>
                <w:sz w:val="22"/>
              </w:rPr>
            </w:pPr>
            <w:r>
              <w:rPr>
                <w:rFonts w:ascii="宋体" w:hAnsi="宋体" w:cs="宋体"/>
                <w:sz w:val="22"/>
              </w:rPr>
              <w:t>6、Focus：镜头可调聚焦</w:t>
            </w:r>
          </w:p>
          <w:p>
            <w:pPr>
              <w:widowControl/>
              <w:jc w:val="left"/>
              <w:rPr>
                <w:rFonts w:ascii="宋体" w:hAnsi="宋体" w:cs="宋体"/>
                <w:sz w:val="22"/>
              </w:rPr>
            </w:pPr>
            <w:r>
              <w:rPr>
                <w:rFonts w:ascii="宋体" w:hAnsi="宋体" w:cs="宋体"/>
                <w:sz w:val="22"/>
              </w:rPr>
              <w:t>7、变焦：支持自动</w:t>
            </w:r>
          </w:p>
          <w:p>
            <w:pPr>
              <w:widowControl/>
              <w:jc w:val="left"/>
              <w:rPr>
                <w:rFonts w:ascii="宋体" w:hAnsi="宋体" w:cs="宋体"/>
                <w:sz w:val="22"/>
              </w:rPr>
            </w:pPr>
            <w:r>
              <w:rPr>
                <w:rFonts w:ascii="宋体" w:hAnsi="宋体" w:cs="宋体"/>
                <w:sz w:val="22"/>
              </w:rPr>
              <w:t>二、其他参数：</w:t>
            </w:r>
          </w:p>
          <w:p>
            <w:pPr>
              <w:widowControl/>
              <w:jc w:val="left"/>
              <w:rPr>
                <w:rFonts w:ascii="宋体" w:hAnsi="宋体" w:cs="宋体"/>
                <w:sz w:val="22"/>
              </w:rPr>
            </w:pPr>
            <w:r>
              <w:rPr>
                <w:rFonts w:ascii="宋体" w:hAnsi="宋体" w:cs="宋体"/>
                <w:sz w:val="22"/>
              </w:rPr>
              <w:t>1、视频输出接口：支持HDMI、USB、有线LAN</w:t>
            </w:r>
          </w:p>
          <w:p>
            <w:pPr>
              <w:widowControl/>
              <w:jc w:val="left"/>
              <w:rPr>
                <w:rFonts w:ascii="宋体" w:hAnsi="宋体" w:cs="宋体"/>
                <w:sz w:val="22"/>
              </w:rPr>
            </w:pPr>
            <w:r>
              <w:rPr>
                <w:rFonts w:ascii="宋体" w:hAnsi="宋体" w:cs="宋体"/>
                <w:sz w:val="22"/>
              </w:rPr>
              <w:t>2、RS232级联：支持RS232级联，方便工程安装使用</w:t>
            </w:r>
          </w:p>
          <w:p>
            <w:pPr>
              <w:widowControl/>
              <w:jc w:val="left"/>
              <w:rPr>
                <w:rFonts w:ascii="宋体" w:hAnsi="宋体" w:cs="宋体"/>
                <w:sz w:val="22"/>
              </w:rPr>
            </w:pPr>
            <w:r>
              <w:rPr>
                <w:rFonts w:ascii="宋体" w:hAnsi="宋体" w:cs="宋体"/>
                <w:sz w:val="22"/>
              </w:rPr>
              <w:t>3、电源输入：约12V</w:t>
            </w:r>
          </w:p>
          <w:p>
            <w:pPr>
              <w:widowControl/>
              <w:jc w:val="left"/>
            </w:pPr>
            <w:r>
              <w:rPr>
                <w:rFonts w:ascii="宋体" w:hAnsi="宋体" w:cs="宋体"/>
                <w:sz w:val="22"/>
              </w:rPr>
              <w:t>4、功耗：约12W</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156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24</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直播摄像头3</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t>一</w:t>
            </w:r>
            <w:r>
              <w:rPr>
                <w:rFonts w:ascii="宋体" w:hAnsi="宋体" w:cs="宋体"/>
                <w:sz w:val="22"/>
              </w:rPr>
              <w:t>、摄像头性能参数</w:t>
            </w:r>
          </w:p>
          <w:p>
            <w:pPr>
              <w:widowControl/>
              <w:jc w:val="left"/>
              <w:rPr>
                <w:rFonts w:ascii="宋体" w:hAnsi="宋体" w:cs="宋体"/>
                <w:sz w:val="22"/>
              </w:rPr>
            </w:pPr>
            <w:r>
              <w:rPr>
                <w:rFonts w:ascii="宋体" w:hAnsi="宋体" w:cs="宋体"/>
                <w:sz w:val="22"/>
              </w:rPr>
              <w:t>1、图像传感器：≥1/2.8英寸高品质CMOS传感器</w:t>
            </w:r>
          </w:p>
          <w:p>
            <w:pPr>
              <w:widowControl/>
              <w:jc w:val="left"/>
              <w:rPr>
                <w:rFonts w:ascii="宋体" w:hAnsi="宋体" w:cs="宋体"/>
                <w:sz w:val="22"/>
              </w:rPr>
            </w:pPr>
            <w:r>
              <w:rPr>
                <w:rFonts w:ascii="宋体" w:hAnsi="宋体" w:cs="宋体"/>
                <w:sz w:val="22"/>
              </w:rPr>
              <w:t>2、有效像素：≥207 万</w:t>
            </w:r>
          </w:p>
          <w:p>
            <w:pPr>
              <w:widowControl/>
              <w:jc w:val="left"/>
              <w:rPr>
                <w:rFonts w:ascii="宋体" w:hAnsi="宋体" w:cs="宋体"/>
                <w:sz w:val="22"/>
              </w:rPr>
            </w:pPr>
            <w:r>
              <w:rPr>
                <w:rFonts w:ascii="宋体" w:hAnsi="宋体" w:cs="宋体"/>
                <w:sz w:val="22"/>
              </w:rPr>
              <w:t>3、变焦倍数：支持12倍、20倍、30倍光学变焦、</w:t>
            </w:r>
          </w:p>
          <w:p>
            <w:pPr>
              <w:widowControl/>
              <w:jc w:val="left"/>
              <w:rPr>
                <w:rFonts w:ascii="宋体" w:hAnsi="宋体" w:cs="宋体"/>
                <w:sz w:val="22"/>
              </w:rPr>
            </w:pPr>
            <w:r>
              <w:rPr>
                <w:rFonts w:ascii="宋体" w:hAnsi="宋体" w:cs="宋体"/>
                <w:sz w:val="22"/>
              </w:rPr>
              <w:t>4、视角：6.3°-72.5°</w:t>
            </w:r>
          </w:p>
          <w:p>
            <w:pPr>
              <w:widowControl/>
              <w:jc w:val="left"/>
              <w:rPr>
                <w:rFonts w:ascii="宋体" w:hAnsi="宋体" w:cs="宋体"/>
                <w:sz w:val="22"/>
              </w:rPr>
            </w:pPr>
            <w:r>
              <w:rPr>
                <w:rFonts w:ascii="宋体" w:hAnsi="宋体" w:cs="宋体"/>
                <w:sz w:val="22"/>
              </w:rPr>
              <w:t>5、光圈系数：支持F1.8-2.4、F1.6-F3.5、F1.6-F4.7</w:t>
            </w:r>
          </w:p>
          <w:p>
            <w:pPr>
              <w:widowControl/>
              <w:jc w:val="left"/>
              <w:rPr>
                <w:rFonts w:ascii="宋体" w:hAnsi="宋体" w:cs="宋体"/>
                <w:sz w:val="22"/>
              </w:rPr>
            </w:pPr>
            <w:r>
              <w:rPr>
                <w:rFonts w:ascii="宋体" w:hAnsi="宋体" w:cs="宋体"/>
                <w:sz w:val="22"/>
              </w:rPr>
              <w:t>6、照度：≥0.5Lux</w:t>
            </w:r>
          </w:p>
          <w:p>
            <w:pPr>
              <w:widowControl/>
              <w:jc w:val="left"/>
              <w:rPr>
                <w:rFonts w:ascii="宋体" w:hAnsi="宋体" w:cs="宋体"/>
                <w:sz w:val="22"/>
              </w:rPr>
            </w:pPr>
            <w:r>
              <w:rPr>
                <w:rFonts w:ascii="宋体" w:hAnsi="宋体" w:cs="宋体"/>
                <w:sz w:val="22"/>
              </w:rPr>
              <w:t>7、数字降噪：支持2D&amp;3D数字降噪</w:t>
            </w:r>
          </w:p>
          <w:p>
            <w:pPr>
              <w:widowControl/>
              <w:jc w:val="left"/>
              <w:rPr>
                <w:rFonts w:ascii="宋体" w:hAnsi="宋体" w:cs="宋体"/>
                <w:sz w:val="22"/>
              </w:rPr>
            </w:pPr>
            <w:r>
              <w:rPr>
                <w:rFonts w:ascii="宋体" w:hAnsi="宋体" w:cs="宋体"/>
                <w:sz w:val="22"/>
              </w:rPr>
              <w:t>8、聚焦：支持自动、手动、一键聚焦</w:t>
            </w:r>
          </w:p>
          <w:p>
            <w:pPr>
              <w:widowControl/>
              <w:jc w:val="left"/>
              <w:rPr>
                <w:rFonts w:ascii="宋体" w:hAnsi="宋体" w:cs="宋体"/>
                <w:sz w:val="22"/>
              </w:rPr>
            </w:pPr>
            <w:r>
              <w:rPr>
                <w:rFonts w:ascii="宋体" w:hAnsi="宋体" w:cs="宋体"/>
                <w:sz w:val="22"/>
              </w:rPr>
              <w:t>9、光圈：支持自动、手动</w:t>
            </w:r>
          </w:p>
          <w:p>
            <w:pPr>
              <w:widowControl/>
              <w:jc w:val="left"/>
              <w:rPr>
                <w:rFonts w:ascii="宋体" w:hAnsi="宋体" w:cs="宋体"/>
                <w:sz w:val="22"/>
              </w:rPr>
            </w:pPr>
            <w:r>
              <w:rPr>
                <w:rFonts w:ascii="宋体" w:hAnsi="宋体" w:cs="宋体"/>
                <w:sz w:val="22"/>
              </w:rPr>
              <w:t>10、电子快门：支持自动、手动</w:t>
            </w:r>
          </w:p>
          <w:p>
            <w:pPr>
              <w:widowControl/>
              <w:jc w:val="left"/>
              <w:rPr>
                <w:rFonts w:ascii="宋体" w:hAnsi="宋体" w:cs="宋体"/>
                <w:sz w:val="22"/>
              </w:rPr>
            </w:pPr>
            <w:r>
              <w:rPr>
                <w:rFonts w:ascii="宋体" w:hAnsi="宋体" w:cs="宋体"/>
                <w:sz w:val="22"/>
              </w:rPr>
              <w:t>11、信噪比：≥55dB</w:t>
            </w:r>
          </w:p>
          <w:p>
            <w:pPr>
              <w:widowControl/>
              <w:jc w:val="left"/>
              <w:rPr>
                <w:rFonts w:ascii="宋体" w:hAnsi="宋体" w:cs="宋体"/>
                <w:sz w:val="22"/>
              </w:rPr>
            </w:pPr>
            <w:r>
              <w:rPr>
                <w:rFonts w:ascii="宋体" w:hAnsi="宋体" w:cs="宋体"/>
                <w:sz w:val="22"/>
              </w:rPr>
              <w:t>二、接口功能性能参数</w:t>
            </w:r>
          </w:p>
          <w:p>
            <w:pPr>
              <w:widowControl/>
              <w:jc w:val="left"/>
              <w:rPr>
                <w:rFonts w:ascii="宋体" w:hAnsi="宋体" w:cs="宋体"/>
                <w:sz w:val="22"/>
              </w:rPr>
            </w:pPr>
            <w:r>
              <w:rPr>
                <w:rFonts w:ascii="宋体" w:hAnsi="宋体" w:cs="宋体"/>
                <w:sz w:val="22"/>
              </w:rPr>
              <w:t>1、视频输出接口：支持DVI(HDMI)、SDI、LAN、USB3.0</w:t>
            </w:r>
          </w:p>
          <w:p>
            <w:pPr>
              <w:widowControl/>
              <w:jc w:val="left"/>
              <w:rPr>
                <w:rFonts w:ascii="宋体" w:hAnsi="宋体" w:cs="宋体"/>
                <w:sz w:val="22"/>
              </w:rPr>
            </w:pPr>
            <w:r>
              <w:rPr>
                <w:rFonts w:ascii="宋体" w:hAnsi="宋体" w:cs="宋体"/>
                <w:sz w:val="22"/>
              </w:rPr>
              <w:t>2、图像码流：支持双码流输出</w:t>
            </w:r>
          </w:p>
          <w:p>
            <w:pPr>
              <w:widowControl/>
              <w:jc w:val="left"/>
              <w:rPr>
                <w:rFonts w:ascii="宋体" w:hAnsi="宋体" w:cs="宋体"/>
                <w:sz w:val="22"/>
              </w:rPr>
            </w:pPr>
            <w:r>
              <w:rPr>
                <w:rFonts w:ascii="宋体" w:hAnsi="宋体" w:cs="宋体"/>
                <w:sz w:val="22"/>
              </w:rPr>
              <w:t>3、视频压缩格式：支持H.265、H.264</w:t>
            </w:r>
          </w:p>
          <w:p>
            <w:pPr>
              <w:widowControl/>
              <w:jc w:val="left"/>
              <w:rPr>
                <w:rFonts w:ascii="宋体" w:hAnsi="宋体" w:cs="宋体"/>
                <w:sz w:val="22"/>
              </w:rPr>
            </w:pPr>
            <w:r>
              <w:rPr>
                <w:rFonts w:ascii="宋体" w:hAnsi="宋体" w:cs="宋体"/>
                <w:sz w:val="22"/>
              </w:rPr>
              <w:t>4、输入电压：约12V</w:t>
            </w:r>
          </w:p>
          <w:p>
            <w:pPr>
              <w:widowControl/>
              <w:jc w:val="left"/>
              <w:rPr>
                <w:rFonts w:ascii="宋体" w:hAnsi="宋体" w:cs="宋体"/>
                <w:sz w:val="22"/>
              </w:rPr>
            </w:pPr>
            <w:r>
              <w:rPr>
                <w:rFonts w:ascii="宋体" w:hAnsi="宋体" w:cs="宋体"/>
                <w:sz w:val="22"/>
              </w:rPr>
              <w:t>5、功耗：约12W</w:t>
            </w:r>
          </w:p>
          <w:p>
            <w:pPr>
              <w:widowControl/>
              <w:jc w:val="left"/>
              <w:rPr>
                <w:rFonts w:ascii="宋体" w:hAnsi="宋体" w:cs="宋体"/>
                <w:sz w:val="22"/>
              </w:rPr>
            </w:pPr>
            <w:r>
              <w:rPr>
                <w:rFonts w:ascii="宋体" w:hAnsi="宋体" w:cs="宋体"/>
                <w:sz w:val="22"/>
              </w:rPr>
              <w:t xml:space="preserve"> 三、云台参数</w:t>
            </w:r>
          </w:p>
          <w:p>
            <w:pPr>
              <w:widowControl/>
              <w:jc w:val="left"/>
              <w:rPr>
                <w:rFonts w:ascii="宋体" w:hAnsi="宋体" w:cs="宋体"/>
                <w:sz w:val="22"/>
              </w:rPr>
            </w:pPr>
            <w:r>
              <w:rPr>
                <w:rFonts w:ascii="宋体" w:hAnsi="宋体" w:cs="宋体"/>
                <w:sz w:val="22"/>
              </w:rPr>
              <w:t>1、水平转动：约-170°~+170°</w:t>
            </w:r>
          </w:p>
          <w:p>
            <w:pPr>
              <w:widowControl/>
              <w:jc w:val="left"/>
              <w:rPr>
                <w:rFonts w:ascii="宋体" w:hAnsi="宋体" w:cs="宋体"/>
                <w:sz w:val="22"/>
              </w:rPr>
            </w:pPr>
            <w:r>
              <w:rPr>
                <w:rFonts w:ascii="宋体" w:hAnsi="宋体" w:cs="宋体"/>
                <w:sz w:val="22"/>
              </w:rPr>
              <w:t>2、俯仰转动：约-30°~+90°</w:t>
            </w:r>
          </w:p>
          <w:p>
            <w:pPr>
              <w:widowControl/>
              <w:jc w:val="left"/>
              <w:rPr>
                <w:rFonts w:ascii="宋体" w:hAnsi="宋体" w:cs="宋体"/>
                <w:sz w:val="22"/>
              </w:rPr>
            </w:pPr>
            <w:r>
              <w:rPr>
                <w:rFonts w:ascii="宋体" w:hAnsi="宋体" w:cs="宋体"/>
                <w:sz w:val="22"/>
              </w:rPr>
              <w:t>3、水平控制速度：约0.1~100°/秒</w:t>
            </w:r>
          </w:p>
          <w:p>
            <w:pPr>
              <w:widowControl/>
              <w:jc w:val="left"/>
              <w:rPr>
                <w:rFonts w:ascii="宋体" w:hAnsi="宋体" w:cs="宋体"/>
                <w:sz w:val="22"/>
              </w:rPr>
            </w:pPr>
            <w:r>
              <w:rPr>
                <w:rFonts w:ascii="宋体" w:hAnsi="宋体" w:cs="宋体"/>
                <w:sz w:val="22"/>
              </w:rPr>
              <w:t>4、俯仰控制速度：约0.1~45°/秒</w:t>
            </w:r>
          </w:p>
          <w:p>
            <w:pPr>
              <w:widowControl/>
              <w:jc w:val="left"/>
            </w:pPr>
            <w:r>
              <w:rPr>
                <w:rFonts w:ascii="宋体" w:hAnsi="宋体" w:cs="宋体"/>
                <w:sz w:val="22"/>
              </w:rPr>
              <w:t>5、尺寸：约150*150*167.5mm</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25</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视频采集卡</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1.接口类型</w:t>
            </w:r>
            <w:r>
              <w:rPr>
                <w:rFonts w:hint="eastAsia" w:ascii="宋体" w:hAnsi="宋体" w:cs="宋体"/>
                <w:sz w:val="22"/>
              </w:rPr>
              <w:t>：</w:t>
            </w:r>
            <w:r>
              <w:rPr>
                <w:rFonts w:ascii="宋体" w:hAnsi="宋体" w:cs="宋体"/>
                <w:sz w:val="22"/>
              </w:rPr>
              <w:t>USB 3.0</w:t>
            </w:r>
          </w:p>
          <w:p>
            <w:pPr>
              <w:widowControl/>
              <w:jc w:val="left"/>
              <w:rPr>
                <w:rFonts w:ascii="宋体" w:hAnsi="宋体" w:cs="宋体"/>
                <w:sz w:val="22"/>
              </w:rPr>
            </w:pPr>
            <w:r>
              <w:rPr>
                <w:rFonts w:ascii="宋体" w:hAnsi="宋体" w:cs="宋体"/>
                <w:sz w:val="22"/>
              </w:rPr>
              <w:t>2.图像分辨率</w:t>
            </w:r>
            <w:r>
              <w:rPr>
                <w:rFonts w:hint="eastAsia" w:ascii="宋体" w:hAnsi="宋体" w:cs="宋体"/>
                <w:sz w:val="22"/>
              </w:rPr>
              <w:t>：≥</w:t>
            </w:r>
            <w:r>
              <w:rPr>
                <w:rFonts w:ascii="宋体" w:hAnsi="宋体" w:cs="宋体"/>
                <w:sz w:val="22"/>
              </w:rPr>
              <w:t>1920*1080P 60fps</w:t>
            </w:r>
          </w:p>
          <w:p>
            <w:pPr>
              <w:widowControl/>
              <w:jc w:val="left"/>
              <w:rPr>
                <w:rFonts w:ascii="宋体" w:hAnsi="宋体" w:cs="宋体"/>
                <w:sz w:val="22"/>
              </w:rPr>
            </w:pPr>
            <w:r>
              <w:rPr>
                <w:rFonts w:ascii="宋体" w:hAnsi="宋体" w:cs="宋体"/>
                <w:sz w:val="22"/>
              </w:rPr>
              <w:t>3.支持操作系统</w:t>
            </w:r>
            <w:r>
              <w:rPr>
                <w:rFonts w:hint="eastAsia" w:ascii="宋体" w:hAnsi="宋体" w:cs="宋体"/>
                <w:sz w:val="22"/>
              </w:rPr>
              <w:t>：</w:t>
            </w:r>
            <w:r>
              <w:rPr>
                <w:rFonts w:ascii="宋体" w:hAnsi="宋体" w:cs="宋体"/>
                <w:sz w:val="22"/>
              </w:rPr>
              <w:t>Windows，linux</w:t>
            </w:r>
          </w:p>
          <w:p>
            <w:pPr>
              <w:widowControl/>
              <w:jc w:val="left"/>
              <w:rPr>
                <w:rFonts w:ascii="宋体" w:hAnsi="宋体" w:cs="宋体"/>
                <w:sz w:val="22"/>
              </w:rPr>
            </w:pPr>
            <w:r>
              <w:rPr>
                <w:rFonts w:ascii="宋体" w:hAnsi="宋体" w:cs="宋体"/>
                <w:sz w:val="22"/>
              </w:rPr>
              <w:t>4.尺寸</w:t>
            </w:r>
            <w:r>
              <w:rPr>
                <w:rFonts w:hint="eastAsia" w:ascii="宋体" w:hAnsi="宋体" w:cs="宋体"/>
                <w:sz w:val="22"/>
              </w:rPr>
              <w:t>约</w:t>
            </w:r>
            <w:r>
              <w:rPr>
                <w:rFonts w:ascii="宋体" w:hAnsi="宋体" w:cs="宋体"/>
                <w:sz w:val="22"/>
              </w:rPr>
              <w:t>：114*78*25mm</w:t>
            </w:r>
          </w:p>
          <w:p>
            <w:pPr>
              <w:widowControl/>
              <w:jc w:val="left"/>
              <w:rPr>
                <w:rFonts w:ascii="宋体" w:hAnsi="宋体" w:cs="宋体"/>
                <w:sz w:val="22"/>
              </w:rPr>
            </w:pPr>
            <w:r>
              <w:rPr>
                <w:rFonts w:ascii="宋体" w:hAnsi="宋体" w:cs="宋体"/>
                <w:sz w:val="22"/>
              </w:rPr>
              <w:t>5.输入接口：S端子 x1，HDMI x1，DVI x1</w:t>
            </w:r>
          </w:p>
          <w:p>
            <w:pPr>
              <w:widowControl/>
              <w:jc w:val="left"/>
              <w:rPr>
                <w:rFonts w:ascii="宋体" w:hAnsi="宋体" w:cs="宋体"/>
                <w:sz w:val="22"/>
              </w:rPr>
            </w:pPr>
            <w:r>
              <w:rPr>
                <w:rFonts w:ascii="宋体" w:hAnsi="宋体" w:cs="宋体"/>
                <w:sz w:val="22"/>
              </w:rPr>
              <w:t>6.分量输入格式：480i，576i，480p，576p，720p，1080i，1080p</w:t>
            </w:r>
          </w:p>
          <w:p>
            <w:pPr>
              <w:widowControl/>
              <w:jc w:val="left"/>
              <w:rPr>
                <w:rFonts w:ascii="宋体" w:hAnsi="宋体" w:cs="宋体"/>
                <w:sz w:val="22"/>
              </w:rPr>
            </w:pPr>
            <w:r>
              <w:rPr>
                <w:rFonts w:ascii="宋体" w:hAnsi="宋体" w:cs="宋体"/>
                <w:sz w:val="22"/>
              </w:rPr>
              <w:t>7.CVBS输入标准：PAL/NTSC</w:t>
            </w:r>
          </w:p>
          <w:p>
            <w:pPr>
              <w:widowControl/>
              <w:jc w:val="left"/>
              <w:rPr>
                <w:rFonts w:ascii="宋体" w:hAnsi="宋体" w:cs="宋体"/>
                <w:sz w:val="22"/>
              </w:rPr>
            </w:pPr>
            <w:r>
              <w:rPr>
                <w:rFonts w:ascii="宋体" w:hAnsi="宋体" w:cs="宋体"/>
                <w:sz w:val="22"/>
              </w:rPr>
              <w:t>8.标清输出图像格式：176*144-768*576，帧率：1-30fps</w:t>
            </w:r>
          </w:p>
          <w:p>
            <w:pPr>
              <w:widowControl/>
              <w:jc w:val="left"/>
            </w:pPr>
            <w:r>
              <w:rPr>
                <w:rFonts w:ascii="宋体" w:hAnsi="宋体" w:cs="宋体"/>
                <w:sz w:val="22"/>
              </w:rPr>
              <w:t>9.功耗：约6W</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26</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环境监控显示器</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一、基本参数</w:t>
            </w:r>
          </w:p>
          <w:p>
            <w:pPr>
              <w:widowControl/>
              <w:jc w:val="left"/>
              <w:rPr>
                <w:rFonts w:ascii="宋体" w:hAnsi="宋体" w:cs="宋体"/>
                <w:sz w:val="22"/>
              </w:rPr>
            </w:pPr>
            <w:r>
              <w:rPr>
                <w:rFonts w:ascii="宋体" w:hAnsi="宋体" w:cs="宋体"/>
                <w:sz w:val="22"/>
              </w:rPr>
              <w:t>1、产品尺寸：约245.2*154.96*7.35mm</w:t>
            </w:r>
          </w:p>
          <w:p>
            <w:pPr>
              <w:widowControl/>
              <w:jc w:val="left"/>
              <w:rPr>
                <w:rFonts w:ascii="宋体" w:hAnsi="宋体" w:cs="宋体"/>
                <w:sz w:val="22"/>
              </w:rPr>
            </w:pPr>
            <w:r>
              <w:rPr>
                <w:rFonts w:ascii="宋体" w:hAnsi="宋体" w:cs="宋体"/>
                <w:sz w:val="22"/>
              </w:rPr>
              <w:t>2、操作系统：基于Google Android 10</w:t>
            </w:r>
          </w:p>
          <w:p>
            <w:pPr>
              <w:widowControl/>
              <w:jc w:val="left"/>
              <w:rPr>
                <w:rFonts w:ascii="宋体" w:hAnsi="宋体" w:cs="宋体"/>
                <w:sz w:val="22"/>
              </w:rPr>
            </w:pPr>
            <w:r>
              <w:rPr>
                <w:rFonts w:ascii="宋体" w:hAnsi="宋体" w:cs="宋体"/>
                <w:sz w:val="22"/>
              </w:rPr>
              <w:t>二、配置参数</w:t>
            </w:r>
          </w:p>
          <w:p>
            <w:pPr>
              <w:widowControl/>
              <w:jc w:val="left"/>
              <w:rPr>
                <w:rFonts w:ascii="宋体" w:hAnsi="宋体" w:cs="宋体"/>
                <w:sz w:val="22"/>
              </w:rPr>
            </w:pPr>
            <w:r>
              <w:rPr>
                <w:rFonts w:ascii="宋体" w:hAnsi="宋体" w:cs="宋体"/>
                <w:sz w:val="22"/>
              </w:rPr>
              <w:t>1、处理器参数：最高频率≥2.27GHZ；处理器核心≥八核心</w:t>
            </w:r>
          </w:p>
          <w:p>
            <w:pPr>
              <w:widowControl/>
              <w:jc w:val="left"/>
              <w:rPr>
                <w:rFonts w:ascii="宋体" w:hAnsi="宋体" w:cs="宋体"/>
                <w:sz w:val="22"/>
              </w:rPr>
            </w:pPr>
            <w:r>
              <w:rPr>
                <w:rFonts w:ascii="宋体" w:hAnsi="宋体" w:cs="宋体"/>
                <w:sz w:val="22"/>
              </w:rPr>
              <w:t>2、系统内存：≥4GB</w:t>
            </w:r>
          </w:p>
          <w:p>
            <w:pPr>
              <w:widowControl/>
              <w:jc w:val="left"/>
              <w:rPr>
                <w:rFonts w:ascii="宋体" w:hAnsi="宋体" w:cs="宋体"/>
                <w:sz w:val="22"/>
              </w:rPr>
            </w:pPr>
            <w:r>
              <w:rPr>
                <w:rFonts w:ascii="宋体" w:hAnsi="宋体" w:cs="宋体"/>
                <w:sz w:val="22"/>
              </w:rPr>
              <w:t>3、存储容量：≥64GB，支持Micro SD（TF）卡，最大支持512GB</w:t>
            </w:r>
          </w:p>
          <w:p>
            <w:pPr>
              <w:widowControl/>
              <w:jc w:val="left"/>
              <w:rPr>
                <w:rFonts w:ascii="宋体" w:hAnsi="宋体" w:cs="宋体"/>
                <w:sz w:val="22"/>
              </w:rPr>
            </w:pPr>
            <w:r>
              <w:rPr>
                <w:rFonts w:ascii="宋体" w:hAnsi="宋体" w:cs="宋体"/>
                <w:sz w:val="22"/>
              </w:rPr>
              <w:t>三、显示屏参数</w:t>
            </w:r>
          </w:p>
          <w:p>
            <w:pPr>
              <w:widowControl/>
              <w:jc w:val="left"/>
              <w:rPr>
                <w:rFonts w:ascii="宋体" w:hAnsi="宋体" w:cs="宋体"/>
                <w:sz w:val="22"/>
              </w:rPr>
            </w:pPr>
            <w:r>
              <w:rPr>
                <w:rFonts w:ascii="宋体" w:hAnsi="宋体" w:cs="宋体"/>
                <w:sz w:val="22"/>
              </w:rPr>
              <w:t>1、屏幕尺寸：≥10.4英寸</w:t>
            </w:r>
          </w:p>
          <w:p>
            <w:pPr>
              <w:widowControl/>
              <w:jc w:val="left"/>
              <w:rPr>
                <w:rFonts w:ascii="宋体" w:hAnsi="宋体" w:cs="宋体"/>
                <w:sz w:val="22"/>
              </w:rPr>
            </w:pPr>
            <w:r>
              <w:rPr>
                <w:rFonts w:ascii="宋体" w:hAnsi="宋体" w:cs="宋体"/>
                <w:sz w:val="22"/>
              </w:rPr>
              <w:t>2、屏幕类型：IPS触摸屏</w:t>
            </w:r>
          </w:p>
          <w:p>
            <w:pPr>
              <w:widowControl/>
              <w:jc w:val="left"/>
              <w:rPr>
                <w:rFonts w:ascii="宋体" w:hAnsi="宋体" w:cs="宋体"/>
                <w:sz w:val="22"/>
              </w:rPr>
            </w:pPr>
            <w:r>
              <w:rPr>
                <w:rFonts w:ascii="宋体" w:hAnsi="宋体" w:cs="宋体"/>
                <w:sz w:val="22"/>
              </w:rPr>
              <w:t>3、屏幕分辨率：≥2000*1200</w:t>
            </w:r>
          </w:p>
          <w:p>
            <w:pPr>
              <w:widowControl/>
              <w:jc w:val="left"/>
              <w:rPr>
                <w:rFonts w:ascii="宋体" w:hAnsi="宋体" w:cs="宋体"/>
                <w:sz w:val="22"/>
              </w:rPr>
            </w:pPr>
            <w:r>
              <w:rPr>
                <w:rFonts w:ascii="宋体" w:hAnsi="宋体" w:cs="宋体"/>
                <w:sz w:val="22"/>
              </w:rPr>
              <w:t>4、屏幕像素密度：≥225PPI</w:t>
            </w:r>
          </w:p>
          <w:p>
            <w:pPr>
              <w:widowControl/>
              <w:jc w:val="left"/>
              <w:rPr>
                <w:rFonts w:ascii="宋体" w:hAnsi="宋体" w:cs="宋体"/>
                <w:sz w:val="22"/>
              </w:rPr>
            </w:pPr>
            <w:r>
              <w:rPr>
                <w:rFonts w:ascii="宋体" w:hAnsi="宋体" w:cs="宋体"/>
                <w:sz w:val="22"/>
              </w:rPr>
              <w:t>四、其他参数：</w:t>
            </w:r>
          </w:p>
          <w:p>
            <w:pPr>
              <w:widowControl/>
              <w:jc w:val="left"/>
              <w:rPr>
                <w:rFonts w:ascii="宋体" w:hAnsi="宋体" w:cs="宋体"/>
                <w:sz w:val="22"/>
              </w:rPr>
            </w:pPr>
            <w:r>
              <w:rPr>
                <w:rFonts w:ascii="宋体" w:hAnsi="宋体" w:cs="宋体"/>
                <w:sz w:val="22"/>
              </w:rPr>
              <w:t>1、支持802.11a/b/g/n无线协议，双频（2.4GHz+5GHz）</w:t>
            </w:r>
          </w:p>
          <w:p>
            <w:pPr>
              <w:widowControl/>
              <w:jc w:val="left"/>
              <w:rPr>
                <w:rFonts w:ascii="宋体" w:hAnsi="宋体" w:cs="宋体"/>
                <w:sz w:val="22"/>
              </w:rPr>
            </w:pPr>
            <w:r>
              <w:rPr>
                <w:rFonts w:ascii="宋体" w:hAnsi="宋体" w:cs="宋体"/>
                <w:sz w:val="22"/>
              </w:rPr>
              <w:t>2、支持蓝牙5.1模块</w:t>
            </w:r>
          </w:p>
          <w:p>
            <w:pPr>
              <w:widowControl/>
              <w:jc w:val="left"/>
              <w:rPr>
                <w:rFonts w:ascii="宋体" w:hAnsi="宋体" w:cs="宋体"/>
                <w:sz w:val="22"/>
              </w:rPr>
            </w:pPr>
            <w:r>
              <w:rPr>
                <w:rFonts w:ascii="宋体" w:hAnsi="宋体" w:cs="宋体"/>
                <w:sz w:val="22"/>
              </w:rPr>
              <w:t>3、支持GPS、北斗</w:t>
            </w:r>
          </w:p>
          <w:p>
            <w:pPr>
              <w:widowControl/>
              <w:jc w:val="left"/>
              <w:rPr>
                <w:rFonts w:ascii="宋体" w:hAnsi="宋体" w:cs="宋体"/>
                <w:sz w:val="22"/>
              </w:rPr>
            </w:pPr>
            <w:r>
              <w:rPr>
                <w:rFonts w:ascii="宋体" w:hAnsi="宋体" w:cs="宋体"/>
                <w:sz w:val="22"/>
              </w:rPr>
              <w:t>4、数据接口：支持USB Type-C充电，支持3.5mm耳机接口</w:t>
            </w:r>
          </w:p>
          <w:p>
            <w:pPr>
              <w:widowControl/>
              <w:jc w:val="left"/>
            </w:pPr>
            <w:r>
              <w:rPr>
                <w:rFonts w:ascii="宋体" w:hAnsi="宋体" w:cs="宋体"/>
                <w:sz w:val="22"/>
              </w:rPr>
              <w:t>5、电池容量：≥7250毫安</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27</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会议屏</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1.屏幕尺寸：</w:t>
            </w:r>
            <w:r>
              <w:rPr>
                <w:rFonts w:hint="eastAsia" w:ascii="宋体" w:hAnsi="宋体" w:cs="宋体"/>
                <w:sz w:val="22"/>
              </w:rPr>
              <w:t>≥</w:t>
            </w:r>
            <w:r>
              <w:rPr>
                <w:rFonts w:ascii="宋体" w:hAnsi="宋体" w:cs="宋体"/>
                <w:sz w:val="22"/>
              </w:rPr>
              <w:t>86寸</w:t>
            </w:r>
          </w:p>
          <w:p>
            <w:pPr>
              <w:widowControl/>
              <w:jc w:val="left"/>
              <w:rPr>
                <w:rFonts w:ascii="宋体" w:hAnsi="宋体" w:cs="宋体"/>
                <w:sz w:val="22"/>
              </w:rPr>
            </w:pPr>
            <w:r>
              <w:rPr>
                <w:rFonts w:ascii="宋体" w:hAnsi="宋体" w:cs="宋体"/>
                <w:sz w:val="22"/>
              </w:rPr>
              <w:t>2.屏幕分辨率：超高清4K（3840*2160像素）</w:t>
            </w:r>
          </w:p>
          <w:p>
            <w:pPr>
              <w:widowControl/>
              <w:jc w:val="left"/>
              <w:rPr>
                <w:rFonts w:ascii="宋体" w:hAnsi="宋体" w:cs="宋体"/>
                <w:sz w:val="22"/>
              </w:rPr>
            </w:pPr>
            <w:r>
              <w:rPr>
                <w:rFonts w:ascii="宋体" w:hAnsi="宋体" w:cs="宋体"/>
                <w:sz w:val="22"/>
              </w:rPr>
              <w:t>3.触控点数：20点</w:t>
            </w:r>
          </w:p>
          <w:p>
            <w:pPr>
              <w:widowControl/>
              <w:jc w:val="left"/>
              <w:rPr>
                <w:rFonts w:ascii="宋体" w:hAnsi="宋体" w:cs="宋体"/>
                <w:sz w:val="22"/>
              </w:rPr>
            </w:pPr>
            <w:r>
              <w:rPr>
                <w:rFonts w:ascii="宋体" w:hAnsi="宋体" w:cs="宋体"/>
                <w:sz w:val="22"/>
              </w:rPr>
              <w:t>4.内存：</w:t>
            </w:r>
            <w:r>
              <w:rPr>
                <w:rFonts w:hint="eastAsia" w:ascii="宋体" w:hAnsi="宋体" w:cs="宋体"/>
                <w:sz w:val="22"/>
              </w:rPr>
              <w:t>≥</w:t>
            </w:r>
            <w:r>
              <w:rPr>
                <w:rFonts w:ascii="宋体" w:hAnsi="宋体" w:cs="宋体"/>
                <w:sz w:val="22"/>
              </w:rPr>
              <w:t>4G</w:t>
            </w:r>
          </w:p>
          <w:p>
            <w:pPr>
              <w:widowControl/>
              <w:jc w:val="left"/>
              <w:rPr>
                <w:rFonts w:ascii="宋体" w:hAnsi="宋体" w:cs="宋体"/>
                <w:sz w:val="22"/>
              </w:rPr>
            </w:pPr>
            <w:r>
              <w:rPr>
                <w:rFonts w:ascii="宋体" w:hAnsi="宋体" w:cs="宋体"/>
                <w:sz w:val="22"/>
              </w:rPr>
              <w:t>5.FLASH:32G</w:t>
            </w:r>
          </w:p>
          <w:p>
            <w:pPr>
              <w:widowControl/>
              <w:jc w:val="left"/>
              <w:rPr>
                <w:rFonts w:ascii="宋体" w:hAnsi="宋体" w:cs="宋体"/>
                <w:sz w:val="22"/>
              </w:rPr>
            </w:pPr>
            <w:r>
              <w:rPr>
                <w:rFonts w:ascii="宋体" w:hAnsi="宋体" w:cs="宋体"/>
                <w:sz w:val="22"/>
              </w:rPr>
              <w:t>6.OPS配置：</w:t>
            </w:r>
            <w:r>
              <w:rPr>
                <w:rFonts w:hint="eastAsia" w:ascii="宋体" w:hAnsi="宋体" w:cs="宋体"/>
                <w:sz w:val="22"/>
              </w:rPr>
              <w:t>≥</w:t>
            </w:r>
            <w:r>
              <w:rPr>
                <w:rFonts w:ascii="宋体" w:hAnsi="宋体" w:cs="宋体"/>
                <w:sz w:val="22"/>
              </w:rPr>
              <w:t>I7-8500,8G DDR4,256G SSD,4K60,windows10)</w:t>
            </w:r>
          </w:p>
          <w:p>
            <w:pPr>
              <w:widowControl/>
              <w:jc w:val="left"/>
            </w:pPr>
            <w:r>
              <w:rPr>
                <w:rFonts w:ascii="宋体" w:hAnsi="宋体" w:cs="宋体"/>
                <w:sz w:val="22"/>
              </w:rPr>
              <w:t>7.其他：带移动支架和投屏器</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28</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相机</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一、基本参数</w:t>
            </w:r>
          </w:p>
          <w:p>
            <w:pPr>
              <w:widowControl/>
              <w:jc w:val="left"/>
              <w:rPr>
                <w:rFonts w:ascii="宋体" w:hAnsi="宋体" w:cs="宋体"/>
                <w:sz w:val="22"/>
              </w:rPr>
            </w:pPr>
            <w:r>
              <w:rPr>
                <w:rFonts w:ascii="宋体" w:hAnsi="宋体" w:cs="宋体"/>
                <w:sz w:val="22"/>
              </w:rPr>
              <w:t>总像素：≥2010万像素</w:t>
            </w:r>
          </w:p>
          <w:p>
            <w:pPr>
              <w:widowControl/>
              <w:jc w:val="left"/>
              <w:rPr>
                <w:rFonts w:ascii="宋体" w:hAnsi="宋体" w:cs="宋体"/>
                <w:sz w:val="22"/>
              </w:rPr>
            </w:pPr>
            <w:r>
              <w:rPr>
                <w:rFonts w:ascii="宋体" w:hAnsi="宋体" w:cs="宋体"/>
                <w:sz w:val="22"/>
              </w:rPr>
              <w:t>传感器类型：堆栈式Exmor RS CMOS</w:t>
            </w:r>
          </w:p>
          <w:p>
            <w:pPr>
              <w:widowControl/>
              <w:jc w:val="left"/>
              <w:rPr>
                <w:rFonts w:ascii="宋体" w:hAnsi="宋体" w:cs="宋体"/>
                <w:sz w:val="22"/>
              </w:rPr>
            </w:pPr>
            <w:r>
              <w:rPr>
                <w:rFonts w:ascii="宋体" w:hAnsi="宋体" w:cs="宋体"/>
                <w:sz w:val="22"/>
              </w:rPr>
              <w:t>传感器尺寸：≥1英寸</w:t>
            </w:r>
          </w:p>
          <w:p>
            <w:pPr>
              <w:widowControl/>
              <w:jc w:val="left"/>
              <w:rPr>
                <w:rFonts w:ascii="宋体" w:hAnsi="宋体" w:cs="宋体"/>
                <w:sz w:val="22"/>
              </w:rPr>
            </w:pPr>
            <w:r>
              <w:rPr>
                <w:rFonts w:ascii="宋体" w:hAnsi="宋体" w:cs="宋体"/>
                <w:sz w:val="22"/>
              </w:rPr>
              <w:t>影像处理系统：BIONZ X</w:t>
            </w:r>
          </w:p>
          <w:p>
            <w:pPr>
              <w:widowControl/>
              <w:jc w:val="left"/>
              <w:rPr>
                <w:rFonts w:ascii="宋体" w:hAnsi="宋体" w:cs="宋体"/>
                <w:sz w:val="22"/>
              </w:rPr>
            </w:pPr>
            <w:r>
              <w:rPr>
                <w:rFonts w:ascii="宋体" w:hAnsi="宋体" w:cs="宋体"/>
                <w:sz w:val="22"/>
              </w:rPr>
              <w:t>二、镜头参数</w:t>
            </w:r>
          </w:p>
          <w:p>
            <w:pPr>
              <w:widowControl/>
              <w:jc w:val="left"/>
              <w:rPr>
                <w:rFonts w:ascii="宋体" w:hAnsi="宋体" w:cs="宋体"/>
                <w:sz w:val="22"/>
              </w:rPr>
            </w:pPr>
            <w:r>
              <w:rPr>
                <w:rFonts w:ascii="宋体" w:hAnsi="宋体" w:cs="宋体"/>
                <w:sz w:val="22"/>
              </w:rPr>
              <w:t>镜头类型：伸缩式</w:t>
            </w:r>
          </w:p>
          <w:p>
            <w:pPr>
              <w:widowControl/>
              <w:jc w:val="left"/>
              <w:rPr>
                <w:rFonts w:ascii="宋体" w:hAnsi="宋体" w:cs="宋体"/>
                <w:sz w:val="22"/>
              </w:rPr>
            </w:pPr>
            <w:r>
              <w:rPr>
                <w:rFonts w:ascii="宋体" w:hAnsi="宋体" w:cs="宋体"/>
                <w:sz w:val="22"/>
              </w:rPr>
              <w:t>焦距范围：26-70mm</w:t>
            </w:r>
          </w:p>
          <w:p>
            <w:pPr>
              <w:widowControl/>
              <w:jc w:val="left"/>
              <w:rPr>
                <w:rFonts w:ascii="宋体" w:hAnsi="宋体" w:cs="宋体"/>
                <w:sz w:val="22"/>
              </w:rPr>
            </w:pPr>
            <w:r>
              <w:rPr>
                <w:rFonts w:ascii="宋体" w:hAnsi="宋体" w:cs="宋体"/>
                <w:sz w:val="22"/>
              </w:rPr>
              <w:t>光圈范围：F1.8-2.8</w:t>
            </w:r>
          </w:p>
          <w:p>
            <w:pPr>
              <w:widowControl/>
              <w:jc w:val="left"/>
              <w:rPr>
                <w:rFonts w:ascii="宋体" w:hAnsi="宋体" w:cs="宋体"/>
                <w:sz w:val="22"/>
              </w:rPr>
            </w:pPr>
            <w:r>
              <w:rPr>
                <w:rFonts w:ascii="宋体" w:hAnsi="宋体" w:cs="宋体"/>
                <w:sz w:val="22"/>
              </w:rPr>
              <w:t>对焦系统：约315个相位检测自动对焦点+425个对比检测自动对焦点</w:t>
            </w:r>
          </w:p>
          <w:p>
            <w:pPr>
              <w:widowControl/>
              <w:jc w:val="left"/>
              <w:rPr>
                <w:rFonts w:ascii="宋体" w:hAnsi="宋体" w:cs="宋体"/>
                <w:sz w:val="22"/>
              </w:rPr>
            </w:pPr>
            <w:r>
              <w:rPr>
                <w:rFonts w:ascii="宋体" w:hAnsi="宋体" w:cs="宋体"/>
                <w:sz w:val="22"/>
              </w:rPr>
              <w:t>三、屏幕参数：</w:t>
            </w:r>
          </w:p>
          <w:p>
            <w:pPr>
              <w:widowControl/>
              <w:jc w:val="left"/>
              <w:rPr>
                <w:rFonts w:ascii="宋体" w:hAnsi="宋体" w:cs="宋体"/>
                <w:sz w:val="22"/>
              </w:rPr>
            </w:pPr>
            <w:r>
              <w:rPr>
                <w:rFonts w:ascii="宋体" w:hAnsi="宋体" w:cs="宋体"/>
                <w:sz w:val="22"/>
              </w:rPr>
              <w:t>液晶屏尺寸：≥3英寸</w:t>
            </w:r>
          </w:p>
          <w:p>
            <w:pPr>
              <w:widowControl/>
              <w:jc w:val="left"/>
              <w:rPr>
                <w:rFonts w:ascii="宋体" w:hAnsi="宋体" w:cs="宋体"/>
                <w:sz w:val="22"/>
              </w:rPr>
            </w:pPr>
            <w:r>
              <w:rPr>
                <w:rFonts w:ascii="宋体" w:hAnsi="宋体" w:cs="宋体"/>
                <w:sz w:val="22"/>
              </w:rPr>
              <w:t>液晶屏像素：≥92万像素</w:t>
            </w:r>
          </w:p>
          <w:p>
            <w:pPr>
              <w:widowControl/>
              <w:jc w:val="left"/>
              <w:rPr>
                <w:rFonts w:ascii="宋体" w:hAnsi="宋体" w:cs="宋体"/>
                <w:sz w:val="22"/>
              </w:rPr>
            </w:pPr>
            <w:r>
              <w:rPr>
                <w:rFonts w:ascii="宋体" w:hAnsi="宋体" w:cs="宋体"/>
                <w:sz w:val="22"/>
              </w:rPr>
              <w:t>液晶屏特性：可旋转、可触摸LCD显示屏</w:t>
            </w:r>
          </w:p>
          <w:p>
            <w:pPr>
              <w:widowControl/>
              <w:jc w:val="left"/>
              <w:rPr>
                <w:rFonts w:ascii="宋体" w:hAnsi="宋体" w:cs="宋体"/>
                <w:sz w:val="22"/>
              </w:rPr>
            </w:pPr>
            <w:r>
              <w:rPr>
                <w:rFonts w:ascii="宋体" w:hAnsi="宋体" w:cs="宋体"/>
                <w:sz w:val="22"/>
              </w:rPr>
              <w:t>四、其他参数：</w:t>
            </w:r>
          </w:p>
          <w:p>
            <w:pPr>
              <w:widowControl/>
              <w:jc w:val="left"/>
              <w:rPr>
                <w:rFonts w:ascii="宋体" w:hAnsi="宋体" w:cs="宋体"/>
                <w:sz w:val="22"/>
              </w:rPr>
            </w:pPr>
            <w:r>
              <w:rPr>
                <w:rFonts w:ascii="宋体" w:hAnsi="宋体" w:cs="宋体"/>
                <w:sz w:val="22"/>
              </w:rPr>
              <w:t>1、ISO感光度：100-12800（可扩展至64-25600）</w:t>
            </w:r>
          </w:p>
          <w:p>
            <w:pPr>
              <w:widowControl/>
              <w:jc w:val="left"/>
              <w:rPr>
                <w:rFonts w:ascii="宋体" w:hAnsi="宋体" w:cs="宋体"/>
                <w:sz w:val="22"/>
              </w:rPr>
            </w:pPr>
            <w:r>
              <w:rPr>
                <w:rFonts w:ascii="宋体" w:hAnsi="宋体" w:cs="宋体"/>
                <w:sz w:val="22"/>
              </w:rPr>
              <w:t>2、视频拍摄帧数：约30帧/秒</w:t>
            </w:r>
          </w:p>
          <w:p>
            <w:pPr>
              <w:widowControl/>
              <w:jc w:val="left"/>
              <w:rPr>
                <w:rFonts w:ascii="宋体" w:hAnsi="宋体" w:cs="宋体"/>
                <w:sz w:val="22"/>
              </w:rPr>
            </w:pPr>
            <w:r>
              <w:rPr>
                <w:rFonts w:ascii="宋体" w:hAnsi="宋体" w:cs="宋体"/>
                <w:sz w:val="22"/>
              </w:rPr>
              <w:t>3、快门速度：约30-1/2000s</w:t>
            </w:r>
          </w:p>
          <w:p>
            <w:pPr>
              <w:widowControl/>
              <w:jc w:val="left"/>
              <w:rPr>
                <w:rFonts w:ascii="宋体" w:hAnsi="宋体" w:cs="宋体"/>
                <w:sz w:val="22"/>
              </w:rPr>
            </w:pPr>
            <w:r>
              <w:rPr>
                <w:rFonts w:ascii="宋体" w:hAnsi="宋体" w:cs="宋体"/>
                <w:sz w:val="22"/>
              </w:rPr>
              <w:t>4、电子快门速度：约30-1/32000s</w:t>
            </w:r>
          </w:p>
          <w:p>
            <w:pPr>
              <w:widowControl/>
              <w:jc w:val="left"/>
              <w:rPr>
                <w:rFonts w:ascii="宋体" w:hAnsi="宋体" w:cs="宋体"/>
                <w:sz w:val="22"/>
              </w:rPr>
            </w:pPr>
            <w:r>
              <w:rPr>
                <w:rFonts w:ascii="宋体" w:hAnsi="宋体" w:cs="宋体"/>
                <w:sz w:val="22"/>
              </w:rPr>
              <w:t>5、连拍功能：约24张/秒</w:t>
            </w:r>
          </w:p>
          <w:p>
            <w:pPr>
              <w:widowControl/>
              <w:jc w:val="left"/>
            </w:pPr>
            <w:r>
              <w:rPr>
                <w:rFonts w:ascii="宋体" w:hAnsi="宋体" w:cs="宋体"/>
                <w:sz w:val="22"/>
              </w:rPr>
              <w:t>6、存储介质：支持SD卡、SDHC卡、SDXC卡</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29</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领夹式麦克风</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1.类型：专业录音麦克风</w:t>
            </w:r>
          </w:p>
          <w:p>
            <w:pPr>
              <w:widowControl/>
              <w:jc w:val="left"/>
              <w:rPr>
                <w:rFonts w:ascii="宋体" w:hAnsi="宋体" w:cs="宋体"/>
                <w:sz w:val="22"/>
              </w:rPr>
            </w:pPr>
            <w:r>
              <w:rPr>
                <w:rFonts w:ascii="宋体" w:hAnsi="宋体" w:cs="宋体"/>
                <w:sz w:val="22"/>
              </w:rPr>
              <w:t>2.连接主体：手机，相机/摄像机</w:t>
            </w:r>
          </w:p>
          <w:p>
            <w:pPr>
              <w:widowControl/>
              <w:jc w:val="left"/>
              <w:rPr>
                <w:rFonts w:ascii="宋体" w:hAnsi="宋体" w:cs="宋体"/>
                <w:sz w:val="22"/>
              </w:rPr>
            </w:pPr>
            <w:r>
              <w:rPr>
                <w:rFonts w:ascii="宋体" w:hAnsi="宋体" w:cs="宋体"/>
                <w:sz w:val="22"/>
              </w:rPr>
              <w:t>3.使用方式：领夹式</w:t>
            </w:r>
          </w:p>
          <w:p>
            <w:pPr>
              <w:widowControl/>
              <w:jc w:val="left"/>
              <w:rPr>
                <w:rFonts w:ascii="宋体" w:hAnsi="宋体" w:cs="宋体"/>
                <w:sz w:val="22"/>
              </w:rPr>
            </w:pPr>
            <w:r>
              <w:rPr>
                <w:rFonts w:ascii="宋体" w:hAnsi="宋体" w:cs="宋体"/>
                <w:sz w:val="22"/>
              </w:rPr>
              <w:t>4.传输方式：无线</w:t>
            </w:r>
          </w:p>
          <w:p>
            <w:pPr>
              <w:widowControl/>
              <w:jc w:val="left"/>
              <w:rPr>
                <w:rFonts w:ascii="宋体" w:hAnsi="宋体" w:cs="宋体"/>
                <w:sz w:val="22"/>
              </w:rPr>
            </w:pPr>
            <w:r>
              <w:rPr>
                <w:rFonts w:ascii="宋体" w:hAnsi="宋体" w:cs="宋体"/>
                <w:sz w:val="22"/>
              </w:rPr>
              <w:t>5.供电方式：内置电池</w:t>
            </w:r>
          </w:p>
          <w:p>
            <w:pPr>
              <w:widowControl/>
              <w:jc w:val="left"/>
              <w:rPr>
                <w:rFonts w:ascii="宋体" w:hAnsi="宋体" w:cs="宋体"/>
                <w:sz w:val="22"/>
              </w:rPr>
            </w:pPr>
            <w:r>
              <w:rPr>
                <w:rFonts w:ascii="宋体" w:hAnsi="宋体" w:cs="宋体"/>
                <w:sz w:val="22"/>
              </w:rPr>
              <w:t>6.频率范围：50hz-20khz</w:t>
            </w:r>
          </w:p>
          <w:p>
            <w:pPr>
              <w:widowControl/>
              <w:jc w:val="left"/>
              <w:rPr>
                <w:rFonts w:ascii="宋体" w:hAnsi="宋体" w:cs="宋体"/>
                <w:sz w:val="22"/>
              </w:rPr>
            </w:pPr>
            <w:r>
              <w:rPr>
                <w:rFonts w:ascii="宋体" w:hAnsi="宋体" w:cs="宋体"/>
                <w:sz w:val="22"/>
              </w:rPr>
              <w:t>7.声学原理：pre-polarised压力传感器</w:t>
            </w:r>
          </w:p>
          <w:p>
            <w:pPr>
              <w:widowControl/>
              <w:jc w:val="left"/>
              <w:rPr>
                <w:rFonts w:ascii="宋体" w:hAnsi="宋体" w:cs="宋体"/>
                <w:sz w:val="22"/>
              </w:rPr>
            </w:pPr>
            <w:r>
              <w:rPr>
                <w:rFonts w:ascii="宋体" w:hAnsi="宋体" w:cs="宋体"/>
                <w:sz w:val="22"/>
              </w:rPr>
              <w:t>8.最大SPL：100分贝</w:t>
            </w:r>
          </w:p>
          <w:p>
            <w:pPr>
              <w:widowControl/>
              <w:jc w:val="left"/>
              <w:rPr>
                <w:rFonts w:ascii="宋体" w:hAnsi="宋体" w:cs="宋体"/>
                <w:sz w:val="22"/>
              </w:rPr>
            </w:pPr>
            <w:r>
              <w:rPr>
                <w:rFonts w:ascii="宋体" w:hAnsi="宋体" w:cs="宋体"/>
                <w:sz w:val="22"/>
              </w:rPr>
              <w:t>9.最大输入电平：-20伏特分贝</w:t>
            </w:r>
          </w:p>
          <w:p>
            <w:pPr>
              <w:widowControl/>
              <w:jc w:val="left"/>
              <w:rPr>
                <w:rFonts w:ascii="宋体" w:hAnsi="宋体" w:cs="宋体"/>
                <w:sz w:val="22"/>
              </w:rPr>
            </w:pPr>
            <w:r>
              <w:rPr>
                <w:rFonts w:ascii="宋体" w:hAnsi="宋体" w:cs="宋体"/>
                <w:sz w:val="22"/>
              </w:rPr>
              <w:t>10.传播范围：约200米（无遮挡）</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30</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热靴式补光灯</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1.功率/指数：80WS/GN60</w:t>
            </w:r>
          </w:p>
          <w:p>
            <w:pPr>
              <w:widowControl/>
              <w:jc w:val="left"/>
              <w:rPr>
                <w:rFonts w:ascii="宋体" w:hAnsi="宋体" w:cs="宋体"/>
                <w:sz w:val="22"/>
              </w:rPr>
            </w:pPr>
            <w:r>
              <w:rPr>
                <w:rFonts w:ascii="宋体" w:hAnsi="宋体" w:cs="宋体"/>
                <w:sz w:val="22"/>
              </w:rPr>
              <w:t>2.回电时间：0.05~1.2s</w:t>
            </w:r>
          </w:p>
          <w:p>
            <w:pPr>
              <w:widowControl/>
              <w:jc w:val="left"/>
              <w:rPr>
                <w:rFonts w:ascii="宋体" w:hAnsi="宋体" w:cs="宋体"/>
                <w:sz w:val="22"/>
              </w:rPr>
            </w:pPr>
            <w:r>
              <w:rPr>
                <w:rFonts w:ascii="宋体" w:hAnsi="宋体" w:cs="宋体"/>
                <w:sz w:val="22"/>
              </w:rPr>
              <w:t>3.闪光模式：M手动/TTL自动模式</w:t>
            </w:r>
          </w:p>
          <w:p>
            <w:pPr>
              <w:widowControl/>
              <w:jc w:val="left"/>
              <w:rPr>
                <w:rFonts w:ascii="宋体" w:hAnsi="宋体" w:cs="宋体"/>
                <w:sz w:val="22"/>
              </w:rPr>
            </w:pPr>
            <w:r>
              <w:rPr>
                <w:rFonts w:ascii="宋体" w:hAnsi="宋体" w:cs="宋体"/>
                <w:sz w:val="22"/>
              </w:rPr>
              <w:t>4.色温：5500K±200K</w:t>
            </w:r>
          </w:p>
          <w:p>
            <w:pPr>
              <w:widowControl/>
              <w:jc w:val="left"/>
              <w:rPr>
                <w:rFonts w:ascii="宋体" w:hAnsi="宋体" w:cs="宋体"/>
                <w:sz w:val="22"/>
              </w:rPr>
            </w:pPr>
            <w:r>
              <w:rPr>
                <w:rFonts w:ascii="宋体" w:hAnsi="宋体" w:cs="宋体"/>
                <w:sz w:val="22"/>
              </w:rPr>
              <w:t>5.灯头电动变焦：6档，0~5/自动（范围约28~105m）</w:t>
            </w:r>
          </w:p>
          <w:p>
            <w:pPr>
              <w:widowControl/>
              <w:jc w:val="left"/>
              <w:rPr>
                <w:rFonts w:ascii="宋体" w:hAnsi="宋体" w:cs="宋体"/>
                <w:sz w:val="22"/>
              </w:rPr>
            </w:pPr>
            <w:r>
              <w:rPr>
                <w:rFonts w:ascii="宋体" w:hAnsi="宋体" w:cs="宋体"/>
                <w:sz w:val="22"/>
              </w:rPr>
              <w:t>6.闪光灯指数：60</w:t>
            </w:r>
          </w:p>
          <w:p>
            <w:pPr>
              <w:widowControl/>
              <w:jc w:val="left"/>
              <w:rPr>
                <w:rFonts w:ascii="宋体" w:hAnsi="宋体" w:cs="宋体"/>
                <w:sz w:val="22"/>
              </w:rPr>
            </w:pPr>
            <w:r>
              <w:rPr>
                <w:rFonts w:hint="eastAsia" w:ascii="宋体" w:hAnsi="宋体" w:cs="宋体"/>
                <w:sz w:val="22"/>
              </w:rPr>
              <w:t>7</w:t>
            </w:r>
            <w:r>
              <w:rPr>
                <w:rFonts w:ascii="宋体" w:hAnsi="宋体" w:cs="宋体"/>
                <w:sz w:val="22"/>
              </w:rPr>
              <w:t>.产品尺寸（mm）：</w:t>
            </w:r>
            <w:r>
              <w:rPr>
                <w:rFonts w:hint="eastAsia" w:ascii="宋体" w:hAnsi="宋体" w:cs="宋体"/>
                <w:sz w:val="22"/>
              </w:rPr>
              <w:t>约</w:t>
            </w:r>
            <w:r>
              <w:rPr>
                <w:rFonts w:ascii="宋体" w:hAnsi="宋体" w:cs="宋体"/>
                <w:sz w:val="22"/>
              </w:rPr>
              <w:t>215*80*80</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31</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手持式补光灯</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1.类别：常亮补光灯</w:t>
            </w:r>
          </w:p>
          <w:p>
            <w:pPr>
              <w:widowControl/>
              <w:jc w:val="left"/>
              <w:rPr>
                <w:rFonts w:ascii="宋体" w:hAnsi="宋体" w:cs="宋体"/>
                <w:sz w:val="22"/>
              </w:rPr>
            </w:pPr>
            <w:r>
              <w:rPr>
                <w:rFonts w:ascii="宋体" w:hAnsi="宋体" w:cs="宋体"/>
                <w:sz w:val="22"/>
              </w:rPr>
              <w:t>2.色温：3300K~5500K±300K</w:t>
            </w:r>
          </w:p>
          <w:p>
            <w:pPr>
              <w:widowControl/>
              <w:jc w:val="left"/>
              <w:rPr>
                <w:rFonts w:ascii="宋体" w:hAnsi="宋体" w:cs="宋体"/>
                <w:sz w:val="22"/>
              </w:rPr>
            </w:pPr>
            <w:r>
              <w:rPr>
                <w:rFonts w:ascii="宋体" w:hAnsi="宋体" w:cs="宋体"/>
                <w:sz w:val="22"/>
              </w:rPr>
              <w:t>3.功率：可达12W</w:t>
            </w:r>
          </w:p>
          <w:p>
            <w:pPr>
              <w:widowControl/>
              <w:jc w:val="left"/>
              <w:rPr>
                <w:rFonts w:ascii="宋体" w:hAnsi="宋体" w:cs="宋体"/>
                <w:sz w:val="22"/>
              </w:rPr>
            </w:pPr>
            <w:r>
              <w:rPr>
                <w:rFonts w:ascii="宋体" w:hAnsi="宋体" w:cs="宋体"/>
                <w:sz w:val="22"/>
              </w:rPr>
              <w:t>4.显色指数：＞95</w:t>
            </w:r>
          </w:p>
          <w:p>
            <w:pPr>
              <w:widowControl/>
              <w:jc w:val="left"/>
              <w:rPr>
                <w:rFonts w:ascii="宋体" w:hAnsi="宋体" w:cs="宋体"/>
                <w:sz w:val="22"/>
              </w:rPr>
            </w:pPr>
            <w:r>
              <w:rPr>
                <w:rFonts w:ascii="宋体" w:hAnsi="宋体" w:cs="宋体"/>
                <w:sz w:val="22"/>
              </w:rPr>
              <w:t>5.调光范围：10%-100%</w:t>
            </w:r>
          </w:p>
          <w:p>
            <w:pPr>
              <w:widowControl/>
              <w:jc w:val="left"/>
              <w:rPr>
                <w:rFonts w:ascii="宋体" w:hAnsi="宋体" w:cs="宋体"/>
                <w:sz w:val="22"/>
              </w:rPr>
            </w:pPr>
            <w:r>
              <w:rPr>
                <w:rFonts w:ascii="宋体" w:hAnsi="宋体" w:cs="宋体"/>
                <w:sz w:val="22"/>
              </w:rPr>
              <w:t>6.灯珠数量：116个</w:t>
            </w:r>
          </w:p>
          <w:p>
            <w:pPr>
              <w:widowControl/>
              <w:jc w:val="left"/>
              <w:rPr>
                <w:rFonts w:ascii="宋体" w:hAnsi="宋体" w:cs="宋体"/>
                <w:sz w:val="22"/>
              </w:rPr>
            </w:pPr>
            <w:r>
              <w:rPr>
                <w:rFonts w:ascii="宋体" w:hAnsi="宋体" w:cs="宋体"/>
                <w:sz w:val="22"/>
              </w:rPr>
              <w:t>7.产品尺寸：约175mm*130mm*17mm</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台</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32</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一体机</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一、整机要求：</w:t>
            </w:r>
          </w:p>
          <w:p>
            <w:pPr>
              <w:widowControl/>
              <w:jc w:val="left"/>
              <w:rPr>
                <w:rFonts w:ascii="宋体" w:hAnsi="宋体" w:cs="宋体"/>
                <w:sz w:val="22"/>
              </w:rPr>
            </w:pPr>
            <w:r>
              <w:rPr>
                <w:rFonts w:ascii="宋体" w:hAnsi="宋体" w:cs="宋体"/>
                <w:sz w:val="22"/>
              </w:rPr>
              <w:t>1</w:t>
            </w:r>
            <w:r>
              <w:rPr>
                <w:rFonts w:hint="eastAsia" w:ascii="宋体" w:hAnsi="宋体" w:cs="宋体"/>
                <w:sz w:val="22"/>
              </w:rPr>
              <w:t>.</w:t>
            </w:r>
            <w:r>
              <w:rPr>
                <w:rFonts w:ascii="宋体" w:hAnsi="宋体" w:cs="宋体"/>
                <w:sz w:val="22"/>
              </w:rPr>
              <w:t>整机采用窄边金属前外框设计；屏幕有效显示面积≥86英寸（对角线），采用LED背光源技术液晶屏，显示分辨率≥3840×2160。含壁挂外观尺寸约1934×1134×99 mm，净重约65kg</w:t>
            </w:r>
          </w:p>
          <w:p>
            <w:pPr>
              <w:widowControl/>
              <w:jc w:val="left"/>
              <w:rPr>
                <w:rFonts w:ascii="宋体" w:hAnsi="宋体" w:cs="宋体"/>
                <w:sz w:val="22"/>
              </w:rPr>
            </w:pPr>
            <w:r>
              <w:rPr>
                <w:rFonts w:ascii="宋体" w:hAnsi="宋体" w:cs="宋体"/>
                <w:sz w:val="22"/>
              </w:rPr>
              <w:t>2</w:t>
            </w:r>
            <w:r>
              <w:rPr>
                <w:rFonts w:hint="eastAsia" w:ascii="宋体" w:hAnsi="宋体" w:cs="宋体"/>
                <w:sz w:val="22"/>
              </w:rPr>
              <w:t>.</w:t>
            </w:r>
            <w:r>
              <w:rPr>
                <w:rFonts w:ascii="宋体" w:hAnsi="宋体" w:cs="宋体"/>
                <w:sz w:val="22"/>
              </w:rPr>
              <w:t>整机书写屏采用防眩光钢化玻璃屏，且表面硬度≥7H，透光率应超过90%；可视角≥178°；屏幕显示灰度分辨等级达到128灰阶，比例为16:9，对比度≥4000:1，亮度≥350cd/m²。</w:t>
            </w:r>
          </w:p>
          <w:p>
            <w:pPr>
              <w:widowControl/>
              <w:jc w:val="left"/>
              <w:rPr>
                <w:rFonts w:ascii="宋体" w:hAnsi="宋体" w:cs="宋体"/>
                <w:sz w:val="22"/>
              </w:rPr>
            </w:pPr>
            <w:r>
              <w:rPr>
                <w:rFonts w:ascii="宋体" w:hAnsi="宋体" w:cs="宋体"/>
                <w:sz w:val="22"/>
              </w:rPr>
              <w:t>3</w:t>
            </w:r>
            <w:r>
              <w:rPr>
                <w:rFonts w:hint="eastAsia" w:ascii="宋体" w:hAnsi="宋体" w:cs="宋体"/>
                <w:sz w:val="22"/>
              </w:rPr>
              <w:t>.</w:t>
            </w:r>
            <w:r>
              <w:rPr>
                <w:rFonts w:ascii="宋体" w:hAnsi="宋体" w:cs="宋体"/>
                <w:sz w:val="22"/>
              </w:rPr>
              <w:t>整机为一体化融合设计，且整机系统开关键、电脑开关键和节能待机键为同一物理按键，即长按该按键可同时开启/关闭整机系统和内置电脑、短按该按键可节能熄屏/唤醒屏幕，无需分开操作，实现前外框仅有一个物理按键；整体设计节能环保，待机下，功耗≤0.5W。</w:t>
            </w:r>
          </w:p>
          <w:p>
            <w:pPr>
              <w:widowControl/>
              <w:jc w:val="left"/>
              <w:rPr>
                <w:rFonts w:ascii="宋体" w:hAnsi="宋体" w:cs="宋体"/>
                <w:sz w:val="22"/>
              </w:rPr>
            </w:pPr>
            <w:r>
              <w:rPr>
                <w:rFonts w:ascii="宋体" w:hAnsi="宋体" w:cs="宋体"/>
                <w:sz w:val="22"/>
              </w:rPr>
              <w:t>4</w:t>
            </w:r>
            <w:r>
              <w:rPr>
                <w:rFonts w:hint="eastAsia" w:ascii="宋体" w:hAnsi="宋体" w:cs="宋体"/>
                <w:sz w:val="22"/>
              </w:rPr>
              <w:t>.</w:t>
            </w:r>
            <w:r>
              <w:rPr>
                <w:rFonts w:ascii="宋体" w:hAnsi="宋体" w:cs="宋体"/>
                <w:sz w:val="22"/>
              </w:rPr>
              <w:t>整机具有丰富的音、视频输入输出接口：VGA/HDMI/多媒体USB/Audio/RS232等，至少3组USB接口，其中至少2组为前置接口；喇叭输出功率≥2×15W，支持DBX音效，保证高音质；在任意一路信号源通道（如含Windows、VGA、HDMI等常用通道）下，均可调出全通道屏幕软中控触摸菜单，实现信号源通道切换、亮度对比度调节、声音图像调节等功能。</w:t>
            </w:r>
          </w:p>
          <w:p>
            <w:pPr>
              <w:widowControl/>
              <w:jc w:val="left"/>
              <w:rPr>
                <w:rFonts w:ascii="宋体" w:hAnsi="宋体" w:cs="宋体"/>
                <w:sz w:val="22"/>
              </w:rPr>
            </w:pPr>
            <w:r>
              <w:rPr>
                <w:rFonts w:ascii="宋体" w:hAnsi="宋体" w:cs="宋体"/>
                <w:sz w:val="22"/>
              </w:rPr>
              <w:t>5</w:t>
            </w:r>
            <w:r>
              <w:rPr>
                <w:rFonts w:hint="eastAsia" w:ascii="宋体" w:hAnsi="宋体" w:cs="宋体"/>
                <w:sz w:val="22"/>
              </w:rPr>
              <w:t>.</w:t>
            </w:r>
            <w:r>
              <w:rPr>
                <w:rFonts w:ascii="宋体" w:hAnsi="宋体" w:cs="宋体"/>
                <w:sz w:val="22"/>
              </w:rPr>
              <w:t>整机采用非接触式红外触控技术，防光干扰防遮挡；触控外边框采用超窄边设计，且左、右宽度≤15mm；在Windows系统下支持≥20点触控操作、同时≥10笔书写。</w:t>
            </w:r>
          </w:p>
          <w:p>
            <w:pPr>
              <w:widowControl/>
              <w:jc w:val="left"/>
              <w:rPr>
                <w:rFonts w:ascii="宋体" w:hAnsi="宋体" w:cs="宋体"/>
                <w:sz w:val="22"/>
              </w:rPr>
            </w:pPr>
            <w:r>
              <w:rPr>
                <w:rFonts w:ascii="宋体" w:hAnsi="宋体" w:cs="宋体"/>
                <w:sz w:val="22"/>
              </w:rPr>
              <w:t>6</w:t>
            </w:r>
            <w:r>
              <w:rPr>
                <w:rFonts w:hint="eastAsia" w:ascii="宋体" w:hAnsi="宋体" w:cs="宋体"/>
                <w:sz w:val="22"/>
              </w:rPr>
              <w:t>.</w:t>
            </w:r>
            <w:r>
              <w:rPr>
                <w:rFonts w:ascii="宋体" w:hAnsi="宋体" w:cs="宋体"/>
                <w:sz w:val="22"/>
              </w:rPr>
              <w:t>自动信号切换：当VGA、HDMI端口任一有外连信号源输入时，整机能够自动切换到对应通道，无需手动调整，信号断开后能自动切回到初始通道；同时，外部信号源设备（如外连电脑）连接了整机的touch接口，即可实现在整机上操控外部信号源设备。</w:t>
            </w:r>
          </w:p>
          <w:p>
            <w:pPr>
              <w:widowControl/>
              <w:jc w:val="left"/>
              <w:rPr>
                <w:rFonts w:ascii="宋体" w:hAnsi="宋体" w:cs="宋体"/>
                <w:sz w:val="22"/>
              </w:rPr>
            </w:pPr>
            <w:r>
              <w:rPr>
                <w:rFonts w:ascii="宋体" w:hAnsi="宋体" w:cs="宋体"/>
                <w:sz w:val="22"/>
              </w:rPr>
              <w:t>二、插拔模块电脑：</w:t>
            </w:r>
          </w:p>
          <w:p>
            <w:pPr>
              <w:widowControl/>
              <w:jc w:val="left"/>
              <w:rPr>
                <w:rFonts w:ascii="宋体" w:hAnsi="宋体" w:cs="宋体"/>
                <w:sz w:val="22"/>
              </w:rPr>
            </w:pPr>
            <w:r>
              <w:rPr>
                <w:rFonts w:ascii="宋体" w:hAnsi="宋体" w:cs="宋体"/>
                <w:sz w:val="22"/>
              </w:rPr>
              <w:t>1</w:t>
            </w:r>
            <w:r>
              <w:rPr>
                <w:rFonts w:hint="eastAsia" w:ascii="宋体" w:hAnsi="宋体" w:cs="宋体"/>
                <w:sz w:val="22"/>
              </w:rPr>
              <w:t>.</w:t>
            </w:r>
            <w:r>
              <w:rPr>
                <w:rFonts w:ascii="宋体" w:hAnsi="宋体" w:cs="宋体"/>
                <w:sz w:val="22"/>
              </w:rPr>
              <w:t>模块电脑须能与一体机抽拉内置式无缝对接，即可被一体机调用Windows功能。</w:t>
            </w:r>
          </w:p>
          <w:p>
            <w:pPr>
              <w:widowControl/>
              <w:jc w:val="left"/>
              <w:rPr>
                <w:rFonts w:ascii="宋体" w:hAnsi="宋体" w:cs="宋体"/>
                <w:sz w:val="22"/>
              </w:rPr>
            </w:pPr>
            <w:r>
              <w:rPr>
                <w:rFonts w:ascii="宋体" w:hAnsi="宋体" w:cs="宋体"/>
                <w:sz w:val="22"/>
              </w:rPr>
              <w:t>2</w:t>
            </w:r>
            <w:r>
              <w:rPr>
                <w:rFonts w:hint="eastAsia" w:ascii="宋体" w:hAnsi="宋体" w:cs="宋体"/>
                <w:sz w:val="22"/>
              </w:rPr>
              <w:t>.</w:t>
            </w:r>
            <w:r>
              <w:rPr>
                <w:rFonts w:ascii="宋体" w:hAnsi="宋体" w:cs="宋体"/>
                <w:sz w:val="22"/>
              </w:rPr>
              <w:t>采用可插拔式针脚接口的模块化电脑方案，低噪音热管传导散热设计。</w:t>
            </w:r>
          </w:p>
          <w:p>
            <w:pPr>
              <w:widowControl/>
              <w:jc w:val="left"/>
              <w:rPr>
                <w:rFonts w:ascii="宋体" w:hAnsi="宋体" w:cs="宋体"/>
                <w:sz w:val="22"/>
              </w:rPr>
            </w:pPr>
            <w:r>
              <w:rPr>
                <w:rFonts w:ascii="宋体" w:hAnsi="宋体" w:cs="宋体"/>
                <w:sz w:val="22"/>
              </w:rPr>
              <w:t>3</w:t>
            </w:r>
            <w:r>
              <w:rPr>
                <w:rFonts w:hint="eastAsia" w:ascii="宋体" w:hAnsi="宋体" w:cs="宋体"/>
                <w:sz w:val="22"/>
              </w:rPr>
              <w:t>.</w:t>
            </w:r>
            <w:r>
              <w:rPr>
                <w:rFonts w:ascii="宋体" w:hAnsi="宋体" w:cs="宋体"/>
                <w:sz w:val="22"/>
              </w:rPr>
              <w:t>具有标准PC防盗锁孔，确保模块电脑安全防盗；具有按压式卡扣，无需工具即可快速拆卸模块电脑。</w:t>
            </w:r>
          </w:p>
          <w:p>
            <w:pPr>
              <w:widowControl/>
              <w:jc w:val="left"/>
            </w:pPr>
            <w:r>
              <w:rPr>
                <w:rFonts w:ascii="宋体" w:hAnsi="宋体" w:cs="宋体"/>
                <w:sz w:val="22"/>
              </w:rPr>
              <w:t>4</w:t>
            </w:r>
            <w:r>
              <w:rPr>
                <w:rFonts w:hint="eastAsia" w:ascii="宋体" w:hAnsi="宋体" w:cs="宋体"/>
                <w:sz w:val="22"/>
              </w:rPr>
              <w:t>.</w:t>
            </w:r>
            <w:r>
              <w:rPr>
                <w:rFonts w:ascii="宋体" w:hAnsi="宋体" w:cs="宋体"/>
                <w:sz w:val="22"/>
              </w:rPr>
              <w:t>CPU≥Intel i5、内存≥DDR4 8G、SSD≥256G；内置网卡，内置Wi-Fi（支持802.11AC协议、2.4G/5G双频无线网络），内置≥蓝牙4.0模块；具有独立非外扩展≥4组USB 3.0 Type-A和≥1组USB Type-C，≥1组HDMI、≥1组DP、≥1组VGA。</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套</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33</w:t>
            </w:r>
          </w:p>
        </w:tc>
        <w:tc>
          <w:tcPr>
            <w:tcW w:w="9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sz w:val="22"/>
              </w:rPr>
            </w:pPr>
            <w:r>
              <w:rPr>
                <w:rFonts w:hint="eastAsia" w:ascii="宋体" w:hAnsi="宋体" w:cs="宋体"/>
                <w:b/>
                <w:sz w:val="22"/>
              </w:rPr>
              <w:t>配套设备</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教师椅</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类别：办公转椅</w:t>
            </w:r>
          </w:p>
          <w:p>
            <w:pPr>
              <w:widowControl/>
              <w:jc w:val="left"/>
              <w:rPr>
                <w:rFonts w:ascii="宋体" w:hAnsi="宋体" w:cs="宋体"/>
                <w:sz w:val="22"/>
              </w:rPr>
            </w:pPr>
            <w:r>
              <w:rPr>
                <w:rFonts w:hint="eastAsia" w:ascii="宋体" w:hAnsi="宋体" w:cs="宋体"/>
                <w:sz w:val="22"/>
              </w:rPr>
              <w:t>2</w:t>
            </w:r>
            <w:r>
              <w:rPr>
                <w:rFonts w:ascii="宋体" w:hAnsi="宋体" w:cs="宋体"/>
                <w:sz w:val="22"/>
              </w:rPr>
              <w:t>.</w:t>
            </w:r>
            <w:r>
              <w:rPr>
                <w:rFonts w:hint="eastAsia" w:ascii="宋体" w:hAnsi="宋体" w:cs="宋体"/>
                <w:sz w:val="22"/>
              </w:rPr>
              <w:t>面料材质：网布</w:t>
            </w:r>
          </w:p>
          <w:p>
            <w:pPr>
              <w:widowControl/>
              <w:jc w:val="left"/>
              <w:rPr>
                <w:rFonts w:ascii="宋体" w:hAnsi="宋体" w:cs="宋体"/>
                <w:sz w:val="22"/>
              </w:rPr>
            </w:pPr>
            <w:r>
              <w:rPr>
                <w:rFonts w:hint="eastAsia" w:ascii="宋体" w:hAnsi="宋体" w:cs="宋体"/>
                <w:sz w:val="22"/>
              </w:rPr>
              <w:t>3</w:t>
            </w:r>
            <w:r>
              <w:rPr>
                <w:rFonts w:ascii="宋体" w:hAnsi="宋体" w:cs="宋体"/>
                <w:sz w:val="22"/>
              </w:rPr>
              <w:t>.</w:t>
            </w:r>
            <w:r>
              <w:rPr>
                <w:rFonts w:hint="eastAsia" w:ascii="宋体" w:hAnsi="宋体" w:cs="宋体"/>
                <w:sz w:val="22"/>
              </w:rPr>
              <w:t>靠背最大角度：120-155度(含)</w:t>
            </w:r>
          </w:p>
          <w:p>
            <w:pPr>
              <w:widowControl/>
              <w:jc w:val="left"/>
              <w:rPr>
                <w:rFonts w:ascii="宋体" w:hAnsi="宋体" w:cs="宋体"/>
                <w:sz w:val="22"/>
              </w:rPr>
            </w:pPr>
            <w:r>
              <w:rPr>
                <w:rFonts w:hint="eastAsia" w:ascii="宋体" w:hAnsi="宋体" w:cs="宋体"/>
                <w:sz w:val="22"/>
              </w:rPr>
              <w:t>4</w:t>
            </w:r>
            <w:r>
              <w:rPr>
                <w:rFonts w:ascii="宋体" w:hAnsi="宋体" w:cs="宋体"/>
                <w:sz w:val="22"/>
              </w:rPr>
              <w:t>.</w:t>
            </w:r>
            <w:r>
              <w:rPr>
                <w:rFonts w:hint="eastAsia" w:ascii="宋体" w:hAnsi="宋体" w:cs="宋体"/>
                <w:sz w:val="22"/>
              </w:rPr>
              <w:t>扶手类型：固定扶手</w:t>
            </w:r>
          </w:p>
          <w:p>
            <w:pPr>
              <w:widowControl/>
              <w:jc w:val="left"/>
              <w:rPr>
                <w:rFonts w:ascii="宋体" w:hAnsi="宋体" w:cs="宋体"/>
                <w:sz w:val="22"/>
              </w:rPr>
            </w:pPr>
            <w:r>
              <w:rPr>
                <w:rFonts w:hint="eastAsia" w:ascii="宋体" w:hAnsi="宋体" w:cs="宋体"/>
                <w:sz w:val="22"/>
              </w:rPr>
              <w:t>5</w:t>
            </w:r>
            <w:r>
              <w:rPr>
                <w:rFonts w:ascii="宋体" w:hAnsi="宋体" w:cs="宋体"/>
                <w:sz w:val="22"/>
              </w:rPr>
              <w:t>.</w:t>
            </w:r>
            <w:r>
              <w:rPr>
                <w:rFonts w:hint="eastAsia" w:ascii="宋体" w:hAnsi="宋体" w:cs="宋体"/>
                <w:sz w:val="22"/>
              </w:rPr>
              <w:t>五星脚材质：锦纶/尼龙(聚酰胺纤维)</w:t>
            </w:r>
          </w:p>
          <w:p>
            <w:pPr>
              <w:widowControl/>
              <w:jc w:val="left"/>
              <w:rPr>
                <w:rFonts w:ascii="宋体" w:hAnsi="宋体" w:cs="宋体"/>
                <w:sz w:val="22"/>
              </w:rPr>
            </w:pPr>
            <w:r>
              <w:rPr>
                <w:rFonts w:hint="eastAsia" w:ascii="宋体" w:hAnsi="宋体" w:cs="宋体"/>
                <w:sz w:val="22"/>
              </w:rPr>
              <w:t>6</w:t>
            </w:r>
            <w:r>
              <w:rPr>
                <w:rFonts w:ascii="宋体" w:hAnsi="宋体" w:cs="宋体"/>
                <w:sz w:val="22"/>
              </w:rPr>
              <w:t>.</w:t>
            </w:r>
            <w:r>
              <w:rPr>
                <w:rFonts w:hint="eastAsia" w:ascii="宋体" w:hAnsi="宋体" w:cs="宋体"/>
                <w:sz w:val="22"/>
              </w:rPr>
              <w:t>升降方式：气压升降</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张</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34</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学生桌</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采用E1级实木颗粒板，桌面厚度≥25mm厚，经过≥2mm厚全自动封边刮边工艺，钢架采用≥30*60管钢架，壁厚≥1.2mm</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10</w:t>
            </w:r>
            <w:r>
              <w:rPr>
                <w:rFonts w:ascii="宋体" w:hAnsi="宋体" w:cs="宋体"/>
                <w:sz w:val="22"/>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工位</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35</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学生椅</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材料：聚丙烯塑料靠背、钢制环氧腿框</w:t>
            </w:r>
          </w:p>
          <w:p>
            <w:pPr>
              <w:widowControl/>
              <w:jc w:val="left"/>
              <w:rPr>
                <w:rFonts w:ascii="宋体" w:hAnsi="宋体" w:cs="宋体"/>
                <w:sz w:val="22"/>
              </w:rPr>
            </w:pPr>
            <w:r>
              <w:rPr>
                <w:rFonts w:hint="eastAsia" w:ascii="宋体" w:hAnsi="宋体" w:cs="宋体"/>
                <w:sz w:val="22"/>
              </w:rPr>
              <w:t>2</w:t>
            </w:r>
            <w:r>
              <w:rPr>
                <w:rFonts w:ascii="宋体" w:hAnsi="宋体" w:cs="宋体"/>
                <w:sz w:val="22"/>
              </w:rPr>
              <w:t>.</w:t>
            </w:r>
            <w:r>
              <w:rPr>
                <w:rFonts w:hint="eastAsia" w:ascii="宋体" w:hAnsi="宋体" w:cs="宋体"/>
                <w:sz w:val="22"/>
              </w:rPr>
              <w:t>商品尺寸约：宽度：46cm；深度：54cm；高度：80cm；座宽：40cm；座深：37cm；座高：45cm</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10</w:t>
            </w:r>
            <w:r>
              <w:rPr>
                <w:rFonts w:ascii="宋体" w:hAnsi="宋体" w:cs="宋体"/>
                <w:sz w:val="22"/>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张</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36</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直播台</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1.类型：开放直播台</w:t>
            </w:r>
          </w:p>
          <w:p>
            <w:pPr>
              <w:widowControl/>
              <w:jc w:val="left"/>
              <w:rPr>
                <w:rFonts w:ascii="宋体" w:hAnsi="宋体" w:cs="宋体"/>
                <w:sz w:val="22"/>
              </w:rPr>
            </w:pPr>
            <w:r>
              <w:rPr>
                <w:rFonts w:ascii="宋体" w:hAnsi="宋体" w:cs="宋体"/>
                <w:sz w:val="22"/>
              </w:rPr>
              <w:t>2.尺寸：</w:t>
            </w:r>
            <w:r>
              <w:rPr>
                <w:rFonts w:hint="eastAsia" w:ascii="宋体" w:hAnsi="宋体" w:cs="宋体"/>
                <w:sz w:val="22"/>
              </w:rPr>
              <w:t>≥</w:t>
            </w:r>
            <w:r>
              <w:rPr>
                <w:rFonts w:ascii="宋体" w:hAnsi="宋体" w:cs="宋体"/>
                <w:sz w:val="22"/>
              </w:rPr>
              <w:t>2*0.6*0.75m</w:t>
            </w:r>
          </w:p>
          <w:p>
            <w:pPr>
              <w:widowControl/>
              <w:jc w:val="left"/>
            </w:pPr>
            <w:r>
              <w:rPr>
                <w:rFonts w:hint="eastAsia" w:ascii="宋体" w:hAnsi="宋体" w:cs="宋体"/>
                <w:sz w:val="22"/>
              </w:rPr>
              <w:t>3</w:t>
            </w:r>
            <w:r>
              <w:rPr>
                <w:rFonts w:ascii="宋体" w:hAnsi="宋体" w:cs="宋体"/>
                <w:sz w:val="22"/>
              </w:rPr>
              <w:t>.材质工艺：高密度板烤漆</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3</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套</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37</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直播桌</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1.尺寸：</w:t>
            </w:r>
            <w:r>
              <w:rPr>
                <w:rFonts w:hint="eastAsia" w:ascii="宋体" w:hAnsi="宋体" w:cs="宋体"/>
                <w:sz w:val="22"/>
              </w:rPr>
              <w:t>≥</w:t>
            </w:r>
            <w:r>
              <w:rPr>
                <w:rFonts w:ascii="宋体" w:hAnsi="宋体" w:cs="宋体"/>
                <w:sz w:val="22"/>
              </w:rPr>
              <w:t>1.5*0.6*0.75m;</w:t>
            </w:r>
          </w:p>
          <w:p>
            <w:pPr>
              <w:widowControl/>
              <w:jc w:val="left"/>
            </w:pPr>
            <w:r>
              <w:rPr>
                <w:rFonts w:ascii="宋体" w:hAnsi="宋体" w:cs="宋体"/>
                <w:sz w:val="22"/>
              </w:rPr>
              <w:t>2.材质：木质烤漆制作</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张</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38</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助理桌</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1.尺寸：</w:t>
            </w:r>
            <w:r>
              <w:rPr>
                <w:rFonts w:hint="eastAsia" w:ascii="宋体" w:hAnsi="宋体" w:cs="宋体"/>
                <w:sz w:val="22"/>
              </w:rPr>
              <w:t>≥</w:t>
            </w:r>
            <w:r>
              <w:rPr>
                <w:rFonts w:ascii="宋体" w:hAnsi="宋体" w:cs="宋体"/>
                <w:sz w:val="22"/>
              </w:rPr>
              <w:t>0.8*0.6*0.75m;</w:t>
            </w:r>
          </w:p>
          <w:p>
            <w:pPr>
              <w:widowControl/>
              <w:jc w:val="left"/>
            </w:pPr>
            <w:r>
              <w:rPr>
                <w:rFonts w:ascii="宋体" w:hAnsi="宋体" w:cs="宋体"/>
                <w:sz w:val="22"/>
              </w:rPr>
              <w:t>2.材质：免漆板桌面、金属支架</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张</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39</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直播椅</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类别：直播</w:t>
            </w:r>
            <w:r>
              <w:rPr>
                <w:rFonts w:ascii="宋体" w:hAnsi="宋体" w:cs="宋体"/>
                <w:sz w:val="22"/>
              </w:rPr>
              <w:t>转椅</w:t>
            </w:r>
          </w:p>
          <w:p>
            <w:pPr>
              <w:widowControl/>
              <w:jc w:val="left"/>
              <w:rPr>
                <w:rFonts w:ascii="宋体" w:hAnsi="宋体" w:cs="宋体"/>
                <w:sz w:val="22"/>
              </w:rPr>
            </w:pPr>
            <w:r>
              <w:rPr>
                <w:rFonts w:hint="eastAsia" w:ascii="宋体" w:hAnsi="宋体" w:cs="宋体"/>
                <w:sz w:val="22"/>
              </w:rPr>
              <w:t>2</w:t>
            </w:r>
            <w:r>
              <w:rPr>
                <w:rFonts w:ascii="宋体" w:hAnsi="宋体" w:cs="宋体"/>
                <w:sz w:val="22"/>
              </w:rPr>
              <w:t>.</w:t>
            </w:r>
            <w:r>
              <w:rPr>
                <w:rFonts w:hint="eastAsia" w:ascii="宋体" w:hAnsi="宋体" w:cs="宋体"/>
                <w:sz w:val="22"/>
              </w:rPr>
              <w:t>面料材质：网布</w:t>
            </w:r>
          </w:p>
          <w:p>
            <w:pPr>
              <w:widowControl/>
              <w:jc w:val="left"/>
              <w:rPr>
                <w:rFonts w:ascii="宋体" w:hAnsi="宋体" w:cs="宋体"/>
                <w:sz w:val="22"/>
              </w:rPr>
            </w:pPr>
            <w:r>
              <w:rPr>
                <w:rFonts w:hint="eastAsia" w:ascii="宋体" w:hAnsi="宋体" w:cs="宋体"/>
                <w:sz w:val="22"/>
              </w:rPr>
              <w:t>3</w:t>
            </w:r>
            <w:r>
              <w:rPr>
                <w:rFonts w:ascii="宋体" w:hAnsi="宋体" w:cs="宋体"/>
                <w:sz w:val="22"/>
              </w:rPr>
              <w:t>.</w:t>
            </w:r>
            <w:r>
              <w:rPr>
                <w:rFonts w:hint="eastAsia" w:ascii="宋体" w:hAnsi="宋体" w:cs="宋体"/>
                <w:sz w:val="22"/>
              </w:rPr>
              <w:t>靠背最大角度：120-155度(含)</w:t>
            </w:r>
          </w:p>
          <w:p>
            <w:pPr>
              <w:widowControl/>
              <w:jc w:val="left"/>
              <w:rPr>
                <w:rFonts w:ascii="宋体" w:hAnsi="宋体" w:cs="宋体"/>
                <w:sz w:val="22"/>
              </w:rPr>
            </w:pPr>
            <w:r>
              <w:rPr>
                <w:rFonts w:hint="eastAsia" w:ascii="宋体" w:hAnsi="宋体" w:cs="宋体"/>
                <w:sz w:val="22"/>
              </w:rPr>
              <w:t>4</w:t>
            </w:r>
            <w:r>
              <w:rPr>
                <w:rFonts w:ascii="宋体" w:hAnsi="宋体" w:cs="宋体"/>
                <w:sz w:val="22"/>
              </w:rPr>
              <w:t>.</w:t>
            </w:r>
            <w:r>
              <w:rPr>
                <w:rFonts w:hint="eastAsia" w:ascii="宋体" w:hAnsi="宋体" w:cs="宋体"/>
                <w:sz w:val="22"/>
              </w:rPr>
              <w:t>扶手类型：固定扶手</w:t>
            </w:r>
          </w:p>
          <w:p>
            <w:pPr>
              <w:widowControl/>
              <w:jc w:val="left"/>
              <w:rPr>
                <w:rFonts w:ascii="宋体" w:hAnsi="宋体" w:cs="宋体"/>
                <w:sz w:val="22"/>
              </w:rPr>
            </w:pPr>
            <w:r>
              <w:rPr>
                <w:rFonts w:hint="eastAsia" w:ascii="宋体" w:hAnsi="宋体" w:cs="宋体"/>
                <w:sz w:val="22"/>
              </w:rPr>
              <w:t>5</w:t>
            </w:r>
            <w:r>
              <w:rPr>
                <w:rFonts w:ascii="宋体" w:hAnsi="宋体" w:cs="宋体"/>
                <w:sz w:val="22"/>
              </w:rPr>
              <w:t>.</w:t>
            </w:r>
            <w:r>
              <w:rPr>
                <w:rFonts w:hint="eastAsia" w:ascii="宋体" w:hAnsi="宋体" w:cs="宋体"/>
                <w:sz w:val="22"/>
              </w:rPr>
              <w:t>五星脚材质：锦纶/尼龙(聚酰胺纤维)</w:t>
            </w:r>
          </w:p>
          <w:p>
            <w:pPr>
              <w:widowControl/>
              <w:jc w:val="left"/>
              <w:rPr>
                <w:rFonts w:ascii="宋体" w:hAnsi="宋体" w:cs="宋体"/>
                <w:sz w:val="22"/>
              </w:rPr>
            </w:pPr>
            <w:r>
              <w:rPr>
                <w:rFonts w:hint="eastAsia" w:ascii="宋体" w:hAnsi="宋体" w:cs="宋体"/>
                <w:sz w:val="22"/>
              </w:rPr>
              <w:t>6</w:t>
            </w:r>
            <w:r>
              <w:rPr>
                <w:rFonts w:ascii="宋体" w:hAnsi="宋体" w:cs="宋体"/>
                <w:sz w:val="22"/>
              </w:rPr>
              <w:t>.</w:t>
            </w:r>
            <w:r>
              <w:rPr>
                <w:rFonts w:hint="eastAsia" w:ascii="宋体" w:hAnsi="宋体" w:cs="宋体"/>
                <w:sz w:val="22"/>
              </w:rPr>
              <w:t>升降方式：气压升降</w:t>
            </w:r>
          </w:p>
          <w:p>
            <w:pPr>
              <w:widowControl/>
              <w:jc w:val="left"/>
              <w:rPr>
                <w:rFonts w:ascii="宋体" w:hAnsi="宋体" w:cs="宋体"/>
                <w:sz w:val="22"/>
              </w:rPr>
            </w:pPr>
            <w:r>
              <w:rPr>
                <w:rFonts w:hint="eastAsia" w:ascii="宋体" w:hAnsi="宋体" w:cs="宋体"/>
                <w:sz w:val="22"/>
              </w:rPr>
              <w:t>7</w:t>
            </w:r>
            <w:r>
              <w:rPr>
                <w:rFonts w:ascii="宋体" w:hAnsi="宋体" w:cs="宋体"/>
                <w:sz w:val="22"/>
              </w:rPr>
              <w:t>.</w:t>
            </w:r>
            <w:r>
              <w:rPr>
                <w:rFonts w:hint="eastAsia" w:ascii="宋体" w:hAnsi="宋体" w:cs="宋体"/>
                <w:sz w:val="22"/>
              </w:rPr>
              <w:t>附加组件：固定头枕，带滚轮</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r>
              <w:rPr>
                <w:rFonts w:ascii="宋体" w:hAnsi="宋体" w:cs="宋体"/>
                <w:sz w:val="22"/>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工位</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40</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助理椅</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1</w:t>
            </w:r>
            <w:r>
              <w:rPr>
                <w:rFonts w:ascii="宋体" w:hAnsi="宋体" w:cs="宋体"/>
                <w:sz w:val="22"/>
              </w:rPr>
              <w:t>.</w:t>
            </w:r>
            <w:r>
              <w:rPr>
                <w:rFonts w:hint="eastAsia" w:ascii="宋体" w:hAnsi="宋体" w:cs="宋体"/>
                <w:sz w:val="22"/>
              </w:rPr>
              <w:t>材料：聚丙烯塑料靠背、钢制环氧腿框</w:t>
            </w:r>
          </w:p>
          <w:p>
            <w:pPr>
              <w:widowControl/>
              <w:jc w:val="left"/>
              <w:rPr>
                <w:rFonts w:ascii="宋体" w:hAnsi="宋体" w:cs="宋体"/>
                <w:sz w:val="22"/>
              </w:rPr>
            </w:pPr>
            <w:r>
              <w:rPr>
                <w:rFonts w:hint="eastAsia" w:ascii="宋体" w:hAnsi="宋体" w:cs="宋体"/>
                <w:sz w:val="22"/>
              </w:rPr>
              <w:t>2</w:t>
            </w:r>
            <w:r>
              <w:rPr>
                <w:rFonts w:ascii="宋体" w:hAnsi="宋体" w:cs="宋体"/>
                <w:sz w:val="22"/>
              </w:rPr>
              <w:t>.</w:t>
            </w:r>
            <w:r>
              <w:rPr>
                <w:rFonts w:hint="eastAsia" w:ascii="宋体" w:hAnsi="宋体" w:cs="宋体"/>
                <w:sz w:val="22"/>
              </w:rPr>
              <w:t>商品尺寸约：宽度：46cm；深度：54cm；高度：80cm；座宽：40cm；座深：37cm；座高：45cm</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张</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41</w:t>
            </w:r>
          </w:p>
        </w:tc>
        <w:tc>
          <w:tcPr>
            <w:tcW w:w="949" w:type="dxa"/>
            <w:vMerge w:val="restart"/>
            <w:tcBorders>
              <w:top w:val="single" w:color="000000" w:sz="4" w:space="0"/>
              <w:left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直播商品展示柜</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1.尺寸：≥2100*400*2200;</w:t>
            </w:r>
          </w:p>
          <w:p>
            <w:pPr>
              <w:widowControl/>
              <w:jc w:val="left"/>
            </w:pPr>
            <w:r>
              <w:rPr>
                <w:rFonts w:ascii="宋体" w:hAnsi="宋体" w:cs="宋体"/>
                <w:sz w:val="22"/>
              </w:rPr>
              <w:t>2.材质：</w:t>
            </w:r>
            <w:r>
              <w:rPr>
                <w:rFonts w:hint="eastAsia" w:ascii="宋体" w:hAnsi="宋体" w:cs="宋体"/>
                <w:sz w:val="22"/>
              </w:rPr>
              <w:t>≥</w:t>
            </w:r>
            <w:r>
              <w:rPr>
                <w:rFonts w:ascii="宋体" w:hAnsi="宋体" w:cs="宋体"/>
                <w:sz w:val="22"/>
              </w:rPr>
              <w:t>18mm免漆板隔板；金属支架，支架壁厚不低于1.2mm</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6</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套</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42</w:t>
            </w:r>
          </w:p>
        </w:tc>
        <w:tc>
          <w:tcPr>
            <w:tcW w:w="949" w:type="dxa"/>
            <w:vMerge w:val="continue"/>
            <w:tcBorders>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会议桌椅</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1.尺寸:</w:t>
            </w:r>
            <w:r>
              <w:rPr>
                <w:rFonts w:hint="eastAsia" w:ascii="宋体" w:hAnsi="宋体" w:cs="宋体"/>
                <w:sz w:val="22"/>
              </w:rPr>
              <w:t>≥</w:t>
            </w:r>
            <w:r>
              <w:rPr>
                <w:rFonts w:ascii="宋体" w:hAnsi="宋体" w:cs="宋体"/>
                <w:sz w:val="22"/>
              </w:rPr>
              <w:t>4.5*1*0.75m</w:t>
            </w:r>
          </w:p>
          <w:p>
            <w:pPr>
              <w:widowControl/>
              <w:jc w:val="left"/>
              <w:rPr>
                <w:rFonts w:ascii="宋体" w:hAnsi="宋体" w:cs="宋体"/>
                <w:sz w:val="22"/>
              </w:rPr>
            </w:pPr>
            <w:r>
              <w:rPr>
                <w:rFonts w:ascii="宋体" w:hAnsi="宋体" w:cs="宋体"/>
                <w:sz w:val="22"/>
              </w:rPr>
              <w:t>2.材质工艺：木质免漆板</w:t>
            </w:r>
          </w:p>
          <w:p>
            <w:pPr>
              <w:widowControl/>
              <w:jc w:val="left"/>
            </w:pPr>
            <w:r>
              <w:rPr>
                <w:rFonts w:ascii="宋体" w:hAnsi="宋体" w:cs="宋体"/>
                <w:sz w:val="22"/>
              </w:rPr>
              <w:t>3.</w:t>
            </w:r>
            <w:r>
              <w:rPr>
                <w:rFonts w:hint="eastAsia" w:ascii="宋体" w:hAnsi="宋体" w:cs="宋体"/>
                <w:sz w:val="22"/>
              </w:rPr>
              <w:t>配套</w:t>
            </w:r>
            <w:r>
              <w:rPr>
                <w:rFonts w:ascii="宋体" w:hAnsi="宋体" w:cs="宋体"/>
                <w:sz w:val="22"/>
              </w:rPr>
              <w:t>16把椅子</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套</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43</w:t>
            </w:r>
          </w:p>
        </w:tc>
        <w:tc>
          <w:tcPr>
            <w:tcW w:w="94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sz w:val="22"/>
              </w:rPr>
            </w:pPr>
            <w:r>
              <w:rPr>
                <w:rFonts w:hint="eastAsia" w:ascii="宋体" w:hAnsi="宋体" w:cs="宋体"/>
                <w:b/>
                <w:sz w:val="22"/>
              </w:rPr>
              <w:t>配套工程</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综合布线</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包含：约430平方</w:t>
            </w:r>
            <w:r>
              <w:rPr>
                <w:rFonts w:ascii="宋体" w:hAnsi="宋体" w:cs="宋体"/>
                <w:sz w:val="22"/>
              </w:rPr>
              <w:t>的</w:t>
            </w:r>
            <w:r>
              <w:rPr>
                <w:rFonts w:hint="eastAsia" w:ascii="宋体" w:hAnsi="宋体" w:cs="宋体"/>
                <w:sz w:val="22"/>
              </w:rPr>
              <w:t>地面塑胶地板铺设；约230平方</w:t>
            </w:r>
            <w:r>
              <w:rPr>
                <w:rFonts w:ascii="宋体" w:hAnsi="宋体" w:cs="宋体"/>
                <w:sz w:val="22"/>
              </w:rPr>
              <w:t>的</w:t>
            </w:r>
            <w:r>
              <w:rPr>
                <w:rFonts w:hint="eastAsia" w:ascii="宋体" w:hAnsi="宋体" w:cs="宋体"/>
                <w:sz w:val="22"/>
              </w:rPr>
              <w:t>墙面重新粉刷；</w:t>
            </w:r>
            <w:r>
              <w:rPr>
                <w:rFonts w:ascii="宋体" w:hAnsi="宋体" w:cs="宋体"/>
                <w:sz w:val="22"/>
              </w:rPr>
              <w:t>5个实训室约125个弱电点位、166个强电点位的</w:t>
            </w:r>
            <w:r>
              <w:rPr>
                <w:rFonts w:hint="eastAsia" w:ascii="宋体" w:hAnsi="宋体" w:cs="宋体"/>
                <w:sz w:val="22"/>
              </w:rPr>
              <w:t>综合布线</w:t>
            </w:r>
            <w:r>
              <w:rPr>
                <w:rFonts w:ascii="宋体" w:hAnsi="宋体" w:cs="宋体"/>
                <w:sz w:val="22"/>
              </w:rPr>
              <w:t>，</w:t>
            </w:r>
            <w:r>
              <w:rPr>
                <w:rFonts w:hint="eastAsia" w:ascii="宋体" w:hAnsi="宋体" w:cs="宋体"/>
                <w:sz w:val="22"/>
              </w:rPr>
              <w:t>地面</w:t>
            </w:r>
            <w:r>
              <w:rPr>
                <w:rFonts w:ascii="宋体" w:hAnsi="宋体" w:cs="宋体"/>
                <w:sz w:val="22"/>
              </w:rPr>
              <w:t>刻槽</w:t>
            </w:r>
            <w:r>
              <w:rPr>
                <w:rFonts w:hint="eastAsia" w:ascii="宋体" w:hAnsi="宋体" w:cs="宋体"/>
                <w:sz w:val="22"/>
              </w:rPr>
              <w:t>铺设强弱电线路，</w:t>
            </w:r>
            <w:r>
              <w:rPr>
                <w:rFonts w:ascii="宋体" w:hAnsi="宋体" w:cs="宋体"/>
                <w:sz w:val="22"/>
              </w:rPr>
              <w:t>含</w:t>
            </w:r>
            <w:r>
              <w:rPr>
                <w:rFonts w:hint="eastAsia" w:ascii="宋体" w:hAnsi="宋体" w:cs="宋体"/>
                <w:sz w:val="22"/>
              </w:rPr>
              <w:t>弱电线材</w:t>
            </w:r>
            <w:r>
              <w:rPr>
                <w:rFonts w:ascii="宋体" w:hAnsi="宋体" w:cs="宋体"/>
                <w:sz w:val="22"/>
              </w:rPr>
              <w:t>、</w:t>
            </w:r>
            <w:r>
              <w:rPr>
                <w:rFonts w:hint="eastAsia" w:ascii="宋体" w:hAnsi="宋体" w:cs="宋体"/>
                <w:sz w:val="22"/>
              </w:rPr>
              <w:t>强电线材</w:t>
            </w:r>
            <w:r>
              <w:rPr>
                <w:rFonts w:ascii="宋体" w:hAnsi="宋体" w:cs="宋体"/>
                <w:sz w:val="22"/>
              </w:rPr>
              <w:t>及其他辅材等</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44</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文化建设</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包含：铝方通吊顶约240平方及石膏板吊顶制作约189平方；</w:t>
            </w:r>
            <w:r>
              <w:rPr>
                <w:rFonts w:ascii="宋体" w:hAnsi="宋体" w:cs="宋体"/>
                <w:sz w:val="22"/>
              </w:rPr>
              <w:t>文化建设内容设计与</w:t>
            </w:r>
            <w:r>
              <w:rPr>
                <w:rFonts w:hint="eastAsia" w:ascii="宋体" w:hAnsi="宋体" w:cs="宋体"/>
                <w:sz w:val="22"/>
              </w:rPr>
              <w:t>制作约10平方；</w:t>
            </w:r>
            <w:r>
              <w:rPr>
                <w:rFonts w:ascii="宋体" w:hAnsi="宋体" w:cs="宋体"/>
                <w:sz w:val="22"/>
              </w:rPr>
              <w:t>玻璃隔断腰线</w:t>
            </w:r>
            <w:r>
              <w:rPr>
                <w:rFonts w:hint="eastAsia" w:ascii="宋体" w:hAnsi="宋体" w:cs="宋体"/>
                <w:sz w:val="22"/>
              </w:rPr>
              <w:t>；</w:t>
            </w:r>
            <w:r>
              <w:rPr>
                <w:rFonts w:ascii="宋体" w:hAnsi="宋体" w:cs="宋体"/>
                <w:sz w:val="22"/>
              </w:rPr>
              <w:t>制度牌等</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45</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直播背景墙1</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进行直播</w:t>
            </w:r>
            <w:r>
              <w:rPr>
                <w:rFonts w:hint="eastAsia" w:ascii="宋体" w:hAnsi="宋体" w:cs="宋体"/>
                <w:sz w:val="22"/>
              </w:rPr>
              <w:t>区域背景墙</w:t>
            </w:r>
            <w:r>
              <w:rPr>
                <w:rFonts w:ascii="宋体" w:hAnsi="宋体" w:cs="宋体"/>
                <w:sz w:val="22"/>
              </w:rPr>
              <w:t>制作</w:t>
            </w:r>
            <w:r>
              <w:rPr>
                <w:rFonts w:hint="eastAsia" w:ascii="宋体" w:hAnsi="宋体" w:cs="宋体"/>
                <w:sz w:val="22"/>
              </w:rPr>
              <w:t>约12平方</w:t>
            </w:r>
          </w:p>
          <w:p>
            <w:pPr>
              <w:widowControl/>
              <w:jc w:val="left"/>
              <w:rPr>
                <w:rFonts w:ascii="宋体" w:hAnsi="宋体" w:cs="宋体"/>
                <w:sz w:val="22"/>
              </w:rPr>
            </w:pPr>
            <w:r>
              <w:rPr>
                <w:rFonts w:hint="eastAsia" w:ascii="宋体" w:hAnsi="宋体" w:cs="宋体"/>
                <w:sz w:val="22"/>
              </w:rPr>
              <w:t>制作方式：</w:t>
            </w:r>
            <w:r>
              <w:rPr>
                <w:rFonts w:ascii="宋体" w:hAnsi="宋体" w:cs="宋体"/>
                <w:sz w:val="22"/>
              </w:rPr>
              <w:t>雪弗板背景</w:t>
            </w:r>
            <w:r>
              <w:rPr>
                <w:rFonts w:hint="eastAsia" w:ascii="宋体" w:hAnsi="宋体" w:cs="宋体"/>
                <w:sz w:val="22"/>
              </w:rPr>
              <w:t>基层+</w:t>
            </w:r>
            <w:r>
              <w:rPr>
                <w:rFonts w:ascii="宋体" w:hAnsi="宋体" w:cs="宋体"/>
                <w:sz w:val="22"/>
              </w:rPr>
              <w:t>黑色亚克力激光雕刻造型</w:t>
            </w:r>
            <w:r>
              <w:rPr>
                <w:rFonts w:hint="eastAsia" w:ascii="宋体" w:hAnsi="宋体" w:cs="宋体"/>
                <w:sz w:val="22"/>
              </w:rPr>
              <w:t>+</w:t>
            </w:r>
            <w:r>
              <w:rPr>
                <w:rFonts w:ascii="宋体" w:hAnsi="宋体" w:cs="宋体"/>
                <w:sz w:val="22"/>
              </w:rPr>
              <w:t>轨道灯</w:t>
            </w:r>
            <w:r>
              <w:rPr>
                <w:rFonts w:hint="eastAsia" w:ascii="宋体" w:hAnsi="宋体" w:cs="宋体"/>
                <w:sz w:val="22"/>
              </w:rPr>
              <w:t>等</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46</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直播背景墙2</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进行直播</w:t>
            </w:r>
            <w:r>
              <w:rPr>
                <w:rFonts w:hint="eastAsia" w:ascii="宋体" w:hAnsi="宋体" w:cs="宋体"/>
                <w:sz w:val="22"/>
              </w:rPr>
              <w:t>区域背景墙</w:t>
            </w:r>
            <w:r>
              <w:rPr>
                <w:rFonts w:ascii="宋体" w:hAnsi="宋体" w:cs="宋体"/>
                <w:sz w:val="22"/>
              </w:rPr>
              <w:t>制作</w:t>
            </w:r>
            <w:r>
              <w:rPr>
                <w:rFonts w:hint="eastAsia" w:ascii="宋体" w:hAnsi="宋体" w:cs="宋体"/>
                <w:sz w:val="22"/>
              </w:rPr>
              <w:t>约12平方</w:t>
            </w:r>
          </w:p>
          <w:p>
            <w:pPr>
              <w:widowControl/>
              <w:jc w:val="left"/>
              <w:rPr>
                <w:rFonts w:ascii="宋体" w:hAnsi="宋体" w:cs="宋体"/>
                <w:sz w:val="22"/>
              </w:rPr>
            </w:pPr>
            <w:r>
              <w:rPr>
                <w:rFonts w:hint="eastAsia" w:ascii="宋体" w:hAnsi="宋体" w:cs="宋体"/>
                <w:sz w:val="22"/>
              </w:rPr>
              <w:t>制作方式：</w:t>
            </w:r>
            <w:r>
              <w:rPr>
                <w:rFonts w:ascii="宋体" w:hAnsi="宋体" w:cs="宋体"/>
                <w:sz w:val="22"/>
              </w:rPr>
              <w:t>雪弗板背景</w:t>
            </w:r>
            <w:r>
              <w:rPr>
                <w:rFonts w:hint="eastAsia" w:ascii="宋体" w:hAnsi="宋体" w:cs="宋体"/>
                <w:sz w:val="22"/>
              </w:rPr>
              <w:t>基层+</w:t>
            </w:r>
            <w:r>
              <w:rPr>
                <w:rFonts w:ascii="宋体" w:hAnsi="宋体" w:cs="宋体"/>
                <w:sz w:val="22"/>
              </w:rPr>
              <w:t>黑色亚克力激光雕刻造型</w:t>
            </w:r>
            <w:r>
              <w:rPr>
                <w:rFonts w:hint="eastAsia" w:ascii="宋体" w:hAnsi="宋体" w:cs="宋体"/>
                <w:sz w:val="22"/>
              </w:rPr>
              <w:t>+</w:t>
            </w:r>
            <w:r>
              <w:rPr>
                <w:rFonts w:ascii="宋体" w:hAnsi="宋体" w:cs="宋体"/>
                <w:sz w:val="22"/>
              </w:rPr>
              <w:t>轨道灯</w:t>
            </w:r>
            <w:r>
              <w:rPr>
                <w:rFonts w:hint="eastAsia" w:ascii="宋体" w:hAnsi="宋体" w:cs="宋体"/>
                <w:sz w:val="22"/>
              </w:rPr>
              <w:t>等</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47</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直播背景墙3</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进行直播</w:t>
            </w:r>
            <w:r>
              <w:rPr>
                <w:rFonts w:hint="eastAsia" w:ascii="宋体" w:hAnsi="宋体" w:cs="宋体"/>
                <w:sz w:val="22"/>
              </w:rPr>
              <w:t>区域背景墙</w:t>
            </w:r>
            <w:r>
              <w:rPr>
                <w:rFonts w:ascii="宋体" w:hAnsi="宋体" w:cs="宋体"/>
                <w:sz w:val="22"/>
              </w:rPr>
              <w:t>制作</w:t>
            </w:r>
            <w:r>
              <w:rPr>
                <w:rFonts w:hint="eastAsia" w:ascii="宋体" w:hAnsi="宋体" w:cs="宋体"/>
                <w:sz w:val="22"/>
              </w:rPr>
              <w:t>约12平方</w:t>
            </w:r>
          </w:p>
          <w:p>
            <w:pPr>
              <w:widowControl/>
              <w:jc w:val="left"/>
              <w:rPr>
                <w:rFonts w:ascii="宋体" w:hAnsi="宋体" w:cs="宋体"/>
                <w:sz w:val="22"/>
              </w:rPr>
            </w:pPr>
            <w:r>
              <w:rPr>
                <w:rFonts w:hint="eastAsia" w:ascii="宋体" w:hAnsi="宋体" w:cs="宋体"/>
                <w:sz w:val="22"/>
              </w:rPr>
              <w:t>制作方式：</w:t>
            </w:r>
            <w:r>
              <w:rPr>
                <w:rFonts w:ascii="宋体" w:hAnsi="宋体" w:cs="宋体"/>
                <w:sz w:val="22"/>
              </w:rPr>
              <w:t>轻钢龙骨基层</w:t>
            </w:r>
            <w:r>
              <w:rPr>
                <w:rFonts w:hint="eastAsia" w:ascii="宋体" w:hAnsi="宋体" w:cs="宋体"/>
                <w:sz w:val="22"/>
              </w:rPr>
              <w:t>+</w:t>
            </w:r>
            <w:r>
              <w:rPr>
                <w:rFonts w:ascii="宋体" w:hAnsi="宋体" w:cs="宋体"/>
                <w:sz w:val="22"/>
              </w:rPr>
              <w:t>石膏板造型+木纹木条造型</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48</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教室背景墙</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进行</w:t>
            </w:r>
            <w:r>
              <w:rPr>
                <w:rFonts w:hint="eastAsia" w:ascii="宋体" w:hAnsi="宋体" w:cs="宋体"/>
                <w:sz w:val="22"/>
              </w:rPr>
              <w:t>教室区域背景墙</w:t>
            </w:r>
            <w:r>
              <w:rPr>
                <w:rFonts w:ascii="宋体" w:hAnsi="宋体" w:cs="宋体"/>
                <w:sz w:val="22"/>
              </w:rPr>
              <w:t>制作</w:t>
            </w:r>
            <w:r>
              <w:rPr>
                <w:rFonts w:hint="eastAsia" w:ascii="宋体" w:hAnsi="宋体" w:cs="宋体"/>
                <w:sz w:val="22"/>
              </w:rPr>
              <w:t>约28平方</w:t>
            </w:r>
          </w:p>
          <w:p>
            <w:pPr>
              <w:widowControl/>
              <w:jc w:val="left"/>
              <w:rPr>
                <w:rFonts w:ascii="宋体" w:hAnsi="宋体" w:cs="宋体"/>
                <w:sz w:val="22"/>
              </w:rPr>
            </w:pPr>
            <w:r>
              <w:rPr>
                <w:rFonts w:hint="eastAsia" w:ascii="宋体" w:hAnsi="宋体" w:cs="宋体"/>
                <w:sz w:val="22"/>
              </w:rPr>
              <w:t>制作方式：</w:t>
            </w:r>
            <w:r>
              <w:rPr>
                <w:rFonts w:ascii="宋体" w:hAnsi="宋体" w:cs="宋体"/>
                <w:sz w:val="22"/>
              </w:rPr>
              <w:t>木纹板造型墙面。轻钢龙骨框架</w:t>
            </w:r>
            <w:r>
              <w:rPr>
                <w:rFonts w:hint="eastAsia" w:ascii="宋体" w:hAnsi="宋体" w:cs="宋体"/>
                <w:sz w:val="22"/>
              </w:rPr>
              <w:t>+</w:t>
            </w:r>
            <w:r>
              <w:rPr>
                <w:rFonts w:ascii="宋体" w:hAnsi="宋体" w:cs="宋体"/>
                <w:sz w:val="22"/>
              </w:rPr>
              <w:t>阻燃板基层</w:t>
            </w:r>
            <w:r>
              <w:rPr>
                <w:rFonts w:hint="eastAsia" w:ascii="宋体" w:hAnsi="宋体" w:cs="宋体"/>
                <w:sz w:val="22"/>
              </w:rPr>
              <w:t>+</w:t>
            </w:r>
            <w:r>
              <w:rPr>
                <w:rFonts w:ascii="宋体" w:hAnsi="宋体" w:cs="宋体"/>
                <w:sz w:val="22"/>
              </w:rPr>
              <w:t>木纹板造型饰面墙</w:t>
            </w:r>
            <w:r>
              <w:rPr>
                <w:rFonts w:hint="eastAsia" w:ascii="宋体" w:hAnsi="宋体" w:cs="宋体"/>
                <w:sz w:val="22"/>
              </w:rPr>
              <w:t>+</w:t>
            </w:r>
            <w:r>
              <w:rPr>
                <w:rFonts w:ascii="宋体" w:hAnsi="宋体" w:cs="宋体"/>
                <w:sz w:val="22"/>
              </w:rPr>
              <w:t>条形灯带</w:t>
            </w:r>
            <w:r>
              <w:rPr>
                <w:rFonts w:hint="eastAsia" w:ascii="宋体" w:hAnsi="宋体" w:cs="宋体"/>
                <w:sz w:val="22"/>
              </w:rPr>
              <w:t>等</w:t>
            </w:r>
            <w:r>
              <w:rPr>
                <w:rFonts w:ascii="宋体" w:hAnsi="宋体" w:cs="宋体"/>
                <w:sz w:val="22"/>
              </w:rPr>
              <w:t>。</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49</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玻璃隔断</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1.隔断类型：双玻+百叶</w:t>
            </w:r>
          </w:p>
          <w:p>
            <w:pPr>
              <w:widowControl/>
              <w:jc w:val="left"/>
              <w:rPr>
                <w:rFonts w:ascii="宋体" w:hAnsi="宋体" w:cs="宋体"/>
                <w:sz w:val="22"/>
              </w:rPr>
            </w:pPr>
            <w:r>
              <w:rPr>
                <w:rFonts w:ascii="宋体" w:hAnsi="宋体" w:cs="宋体"/>
                <w:sz w:val="22"/>
              </w:rPr>
              <w:t>2.玻璃厚度：</w:t>
            </w:r>
            <w:r>
              <w:rPr>
                <w:rFonts w:hint="eastAsia" w:ascii="宋体" w:hAnsi="宋体" w:cs="宋体"/>
                <w:sz w:val="22"/>
              </w:rPr>
              <w:t>≥</w:t>
            </w:r>
            <w:r>
              <w:rPr>
                <w:rFonts w:ascii="宋体" w:hAnsi="宋体" w:cs="宋体"/>
                <w:sz w:val="22"/>
              </w:rPr>
              <w:t>5+5mm两层钢化玻璃</w:t>
            </w:r>
          </w:p>
          <w:p>
            <w:pPr>
              <w:widowControl/>
              <w:jc w:val="left"/>
              <w:rPr>
                <w:rFonts w:ascii="宋体" w:hAnsi="宋体" w:cs="宋体"/>
                <w:sz w:val="22"/>
              </w:rPr>
            </w:pPr>
            <w:r>
              <w:rPr>
                <w:rFonts w:ascii="宋体" w:hAnsi="宋体" w:cs="宋体"/>
                <w:sz w:val="22"/>
              </w:rPr>
              <w:t>3.框架：铝合金框架</w:t>
            </w:r>
          </w:p>
          <w:p>
            <w:pPr>
              <w:widowControl/>
              <w:jc w:val="left"/>
              <w:rPr>
                <w:rFonts w:ascii="宋体" w:hAnsi="宋体" w:cs="宋体"/>
                <w:sz w:val="22"/>
              </w:rPr>
            </w:pPr>
            <w:r>
              <w:rPr>
                <w:rFonts w:ascii="宋体" w:hAnsi="宋体" w:cs="宋体"/>
                <w:sz w:val="22"/>
              </w:rPr>
              <w:t>4.隔断总厚：约85mm</w:t>
            </w:r>
          </w:p>
          <w:p>
            <w:pPr>
              <w:widowControl/>
              <w:jc w:val="left"/>
              <w:rPr>
                <w:rFonts w:ascii="宋体" w:hAnsi="宋体" w:cs="宋体"/>
                <w:sz w:val="22"/>
              </w:rPr>
            </w:pPr>
            <w:r>
              <w:rPr>
                <w:rFonts w:ascii="宋体" w:hAnsi="宋体" w:cs="宋体"/>
                <w:sz w:val="22"/>
              </w:rPr>
              <w:t>5.百叶：内置</w:t>
            </w:r>
          </w:p>
          <w:p>
            <w:pPr>
              <w:widowControl/>
              <w:jc w:val="left"/>
              <w:rPr>
                <w:rFonts w:ascii="宋体" w:hAnsi="宋体" w:cs="宋体"/>
                <w:sz w:val="22"/>
              </w:rPr>
            </w:pPr>
            <w:r>
              <w:rPr>
                <w:rFonts w:ascii="宋体" w:hAnsi="宋体" w:cs="宋体"/>
                <w:sz w:val="22"/>
              </w:rPr>
              <w:t>6.百叶帘片宽度</w:t>
            </w:r>
            <w:r>
              <w:rPr>
                <w:rFonts w:hint="eastAsia" w:ascii="宋体" w:hAnsi="宋体" w:cs="宋体"/>
                <w:sz w:val="22"/>
              </w:rPr>
              <w:t>约</w:t>
            </w:r>
            <w:r>
              <w:rPr>
                <w:rFonts w:ascii="宋体" w:hAnsi="宋体" w:cs="宋体"/>
                <w:sz w:val="22"/>
              </w:rPr>
              <w:t>：16㎜</w:t>
            </w:r>
          </w:p>
          <w:p>
            <w:pPr>
              <w:widowControl/>
              <w:jc w:val="left"/>
              <w:rPr>
                <w:rFonts w:ascii="宋体" w:hAnsi="宋体" w:cs="宋体"/>
                <w:sz w:val="22"/>
              </w:rPr>
            </w:pPr>
            <w:r>
              <w:rPr>
                <w:rFonts w:ascii="宋体" w:hAnsi="宋体" w:cs="宋体"/>
                <w:sz w:val="22"/>
              </w:rPr>
              <w:t>7.百叶旋扭模式：手动</w:t>
            </w:r>
          </w:p>
          <w:p>
            <w:pPr>
              <w:widowControl/>
              <w:jc w:val="left"/>
            </w:pPr>
            <w:r>
              <w:rPr>
                <w:rFonts w:ascii="宋体" w:hAnsi="宋体" w:cs="宋体"/>
                <w:sz w:val="22"/>
              </w:rPr>
              <w:t>8.百叶旋扭材质：优质铝合金</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102</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平方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50</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新建墙体隔断</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进行</w:t>
            </w:r>
            <w:r>
              <w:rPr>
                <w:rFonts w:hint="eastAsia" w:ascii="宋体" w:hAnsi="宋体" w:cs="宋体"/>
                <w:sz w:val="22"/>
              </w:rPr>
              <w:t>新建墙体</w:t>
            </w:r>
            <w:r>
              <w:rPr>
                <w:rFonts w:ascii="宋体" w:hAnsi="宋体" w:cs="宋体"/>
                <w:sz w:val="22"/>
              </w:rPr>
              <w:t>制作</w:t>
            </w:r>
          </w:p>
          <w:p>
            <w:pPr>
              <w:widowControl/>
              <w:jc w:val="left"/>
              <w:rPr>
                <w:rFonts w:ascii="宋体" w:hAnsi="宋体" w:cs="宋体"/>
                <w:sz w:val="22"/>
              </w:rPr>
            </w:pPr>
            <w:r>
              <w:rPr>
                <w:rFonts w:hint="eastAsia" w:ascii="宋体" w:hAnsi="宋体" w:cs="宋体"/>
                <w:sz w:val="22"/>
              </w:rPr>
              <w:t>制作方式：</w:t>
            </w:r>
            <w:r>
              <w:rPr>
                <w:rFonts w:ascii="宋体" w:hAnsi="宋体" w:cs="宋体"/>
                <w:sz w:val="22"/>
              </w:rPr>
              <w:t>新建石膏板隔墙。轻钢龙骨基层</w:t>
            </w:r>
            <w:r>
              <w:rPr>
                <w:rFonts w:hint="eastAsia" w:ascii="宋体" w:hAnsi="宋体" w:cs="宋体"/>
                <w:sz w:val="22"/>
              </w:rPr>
              <w:t>+</w:t>
            </w:r>
            <w:r>
              <w:rPr>
                <w:rFonts w:ascii="宋体" w:hAnsi="宋体" w:cs="宋体"/>
                <w:sz w:val="22"/>
              </w:rPr>
              <w:t>阻燃板</w:t>
            </w:r>
            <w:r>
              <w:rPr>
                <w:rFonts w:hint="eastAsia" w:ascii="宋体" w:hAnsi="宋体" w:cs="宋体"/>
                <w:sz w:val="22"/>
              </w:rPr>
              <w:t>基层+</w:t>
            </w:r>
            <w:r>
              <w:rPr>
                <w:rFonts w:ascii="宋体" w:hAnsi="宋体" w:cs="宋体"/>
                <w:sz w:val="22"/>
              </w:rPr>
              <w:t>石膏板饰面。</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80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平方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51</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室内拆除</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hint="eastAsia" w:ascii="宋体" w:hAnsi="宋体" w:cs="宋体"/>
                <w:sz w:val="22"/>
              </w:rPr>
              <w:t>包含：</w:t>
            </w:r>
            <w:r>
              <w:rPr>
                <w:rFonts w:ascii="宋体" w:hAnsi="宋体" w:cs="宋体"/>
                <w:sz w:val="22"/>
              </w:rPr>
              <w:t>地面静电地板</w:t>
            </w:r>
            <w:r>
              <w:rPr>
                <w:rFonts w:hint="eastAsia" w:ascii="宋体" w:hAnsi="宋体" w:cs="宋体"/>
                <w:sz w:val="22"/>
              </w:rPr>
              <w:t>拆除；</w:t>
            </w:r>
            <w:r>
              <w:rPr>
                <w:rFonts w:ascii="宋体" w:hAnsi="宋体" w:cs="宋体"/>
                <w:sz w:val="22"/>
              </w:rPr>
              <w:t>顶面石膏板吊顶拆除</w:t>
            </w:r>
            <w:r>
              <w:rPr>
                <w:rFonts w:hint="eastAsia" w:ascii="宋体" w:hAnsi="宋体" w:cs="宋体"/>
                <w:sz w:val="22"/>
              </w:rPr>
              <w:t>；</w:t>
            </w:r>
            <w:r>
              <w:rPr>
                <w:rFonts w:ascii="宋体" w:hAnsi="宋体" w:cs="宋体"/>
                <w:sz w:val="22"/>
              </w:rPr>
              <w:t>设施设备搬运</w:t>
            </w:r>
            <w:r>
              <w:rPr>
                <w:rFonts w:hint="eastAsia" w:ascii="宋体" w:hAnsi="宋体" w:cs="宋体"/>
                <w:sz w:val="22"/>
              </w:rPr>
              <w:t>；</w:t>
            </w:r>
            <w:r>
              <w:rPr>
                <w:rFonts w:ascii="宋体" w:hAnsi="宋体" w:cs="宋体"/>
                <w:sz w:val="22"/>
              </w:rPr>
              <w:t>垃圾清运至指定位置。</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项</w:t>
            </w:r>
          </w:p>
        </w:tc>
      </w:tr>
      <w:tr>
        <w:tblPrEx>
          <w:tblCellMar>
            <w:top w:w="0" w:type="dxa"/>
            <w:left w:w="108" w:type="dxa"/>
            <w:bottom w:w="0" w:type="dxa"/>
            <w:right w:w="108" w:type="dxa"/>
          </w:tblCellMar>
        </w:tblPrEx>
        <w:trPr>
          <w:trHeight w:val="600" w:hRule="atLeast"/>
        </w:trPr>
        <w:tc>
          <w:tcPr>
            <w:tcW w:w="5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52</w:t>
            </w:r>
          </w:p>
        </w:tc>
        <w:tc>
          <w:tcPr>
            <w:tcW w:w="9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sz w:val="22"/>
              </w:rPr>
            </w:pP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玻璃门</w:t>
            </w:r>
          </w:p>
        </w:tc>
        <w:tc>
          <w:tcPr>
            <w:tcW w:w="511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sz w:val="22"/>
              </w:rPr>
            </w:pPr>
            <w:r>
              <w:rPr>
                <w:rFonts w:ascii="宋体" w:hAnsi="宋体" w:cs="宋体"/>
                <w:sz w:val="22"/>
              </w:rPr>
              <w:t>1.门板材质: 双开钢化玻璃门</w:t>
            </w:r>
          </w:p>
          <w:p>
            <w:pPr>
              <w:widowControl/>
              <w:jc w:val="left"/>
              <w:rPr>
                <w:rFonts w:ascii="宋体" w:hAnsi="宋体" w:cs="宋体"/>
                <w:sz w:val="22"/>
              </w:rPr>
            </w:pPr>
            <w:r>
              <w:rPr>
                <w:rFonts w:ascii="宋体" w:hAnsi="宋体" w:cs="宋体"/>
                <w:sz w:val="22"/>
              </w:rPr>
              <w:t>2.钢化玻璃厚度：</w:t>
            </w:r>
            <w:r>
              <w:rPr>
                <w:rFonts w:hint="eastAsia" w:ascii="宋体" w:hAnsi="宋体" w:cs="宋体"/>
                <w:sz w:val="22"/>
              </w:rPr>
              <w:t>≥</w:t>
            </w:r>
            <w:r>
              <w:rPr>
                <w:rFonts w:ascii="宋体" w:hAnsi="宋体" w:cs="宋体"/>
                <w:sz w:val="22"/>
              </w:rPr>
              <w:t>10mm</w:t>
            </w:r>
          </w:p>
          <w:p>
            <w:pPr>
              <w:widowControl/>
              <w:jc w:val="left"/>
              <w:rPr>
                <w:rFonts w:ascii="宋体" w:hAnsi="宋体" w:cs="宋体"/>
                <w:sz w:val="22"/>
              </w:rPr>
            </w:pPr>
            <w:r>
              <w:rPr>
                <w:rFonts w:ascii="宋体" w:hAnsi="宋体" w:cs="宋体"/>
                <w:sz w:val="22"/>
              </w:rPr>
              <w:t>3.边框材质: 铝合金</w:t>
            </w:r>
          </w:p>
          <w:p>
            <w:pPr>
              <w:widowControl/>
              <w:jc w:val="left"/>
            </w:pPr>
            <w:r>
              <w:rPr>
                <w:rFonts w:ascii="宋体" w:hAnsi="宋体" w:cs="宋体"/>
                <w:sz w:val="22"/>
              </w:rPr>
              <w:t>4.五金配件：优质五金配件，含机械锁</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8</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套</w:t>
            </w:r>
          </w:p>
        </w:tc>
      </w:tr>
    </w:tbl>
    <w:p>
      <w:pPr>
        <w:spacing w:line="360" w:lineRule="auto"/>
        <w:ind w:firstLine="482" w:firstLineChars="200"/>
        <w:outlineLvl w:val="0"/>
        <w:rPr>
          <w:rFonts w:hint="default"/>
          <w:lang w:val="en-US" w:eastAsia="zh-CN"/>
        </w:rPr>
      </w:pPr>
      <w:r>
        <w:rPr>
          <w:rFonts w:hint="eastAsia" w:ascii="宋体" w:hAnsi="宋体" w:cs="宋体"/>
          <w:b/>
          <w:color w:val="auto"/>
          <w:sz w:val="24"/>
          <w:szCs w:val="24"/>
          <w:lang w:bidi="ar"/>
        </w:rPr>
        <w:t>注：以上“★”项为实质性响应条款，不满足或不响应则作无效投标处理。</w:t>
      </w:r>
    </w:p>
    <w:p>
      <w:pPr>
        <w:pageBreakBefore w:val="0"/>
        <w:numPr>
          <w:ilvl w:val="0"/>
          <w:numId w:val="0"/>
        </w:numPr>
        <w:kinsoku/>
        <w:wordWrap/>
        <w:overflowPunct/>
        <w:topLinePunct w:val="0"/>
        <w:bidi w:val="0"/>
        <w:snapToGrid/>
        <w:spacing w:line="360" w:lineRule="auto"/>
        <w:ind w:firstLine="482" w:firstLineChars="200"/>
        <w:textAlignment w:val="auto"/>
        <w:outlineLvl w:val="0"/>
        <w:rPr>
          <w:rFonts w:ascii="宋体" w:hAnsi="宋体" w:cs="宋体"/>
          <w:b/>
          <w:color w:val="auto"/>
          <w:sz w:val="24"/>
          <w:szCs w:val="24"/>
          <w:lang w:bidi="ar"/>
        </w:rPr>
      </w:pPr>
      <w:r>
        <w:rPr>
          <w:rFonts w:hint="eastAsia" w:ascii="宋体" w:hAnsi="宋体" w:cs="宋体"/>
          <w:b/>
          <w:color w:val="auto"/>
          <w:sz w:val="24"/>
          <w:szCs w:val="24"/>
          <w:lang w:val="en-US" w:eastAsia="zh-CN" w:bidi="ar"/>
        </w:rPr>
        <w:t>二、</w:t>
      </w:r>
      <w:r>
        <w:rPr>
          <w:rFonts w:hint="eastAsia" w:ascii="宋体" w:hAnsi="宋体" w:cs="宋体"/>
          <w:b/>
          <w:color w:val="auto"/>
          <w:sz w:val="24"/>
          <w:szCs w:val="24"/>
          <w:lang w:bidi="ar"/>
        </w:rPr>
        <w:t>项目完成时间</w:t>
      </w:r>
    </w:p>
    <w:p>
      <w:pPr>
        <w:pageBreakBefore w:val="0"/>
        <w:kinsoku/>
        <w:wordWrap/>
        <w:overflowPunct/>
        <w:topLinePunct w:val="0"/>
        <w:bidi w:val="0"/>
        <w:snapToGrid/>
        <w:spacing w:line="360" w:lineRule="auto"/>
        <w:ind w:firstLine="480" w:firstLineChars="200"/>
        <w:textAlignment w:val="auto"/>
        <w:rPr>
          <w:rFonts w:ascii="宋体" w:hAnsi="宋体" w:cs="宋体"/>
          <w:color w:val="auto"/>
          <w:sz w:val="24"/>
          <w:szCs w:val="24"/>
          <w:lang w:bidi="ar"/>
        </w:rPr>
      </w:pPr>
      <w:r>
        <w:rPr>
          <w:rFonts w:hint="eastAsia" w:ascii="宋体" w:hAnsi="宋体" w:cs="宋体"/>
          <w:color w:val="auto"/>
          <w:sz w:val="24"/>
          <w:szCs w:val="24"/>
          <w:lang w:bidi="ar"/>
        </w:rPr>
        <w:t>供货时间：合同签订后30天内完成。</w:t>
      </w:r>
    </w:p>
    <w:p>
      <w:pPr>
        <w:pageBreakBefore w:val="0"/>
        <w:kinsoku/>
        <w:wordWrap/>
        <w:overflowPunct/>
        <w:topLinePunct w:val="0"/>
        <w:bidi w:val="0"/>
        <w:snapToGrid/>
        <w:spacing w:line="360" w:lineRule="auto"/>
        <w:ind w:firstLine="480" w:firstLineChars="200"/>
        <w:textAlignment w:val="auto"/>
        <w:rPr>
          <w:color w:val="auto"/>
        </w:rPr>
      </w:pPr>
      <w:r>
        <w:rPr>
          <w:rFonts w:hint="eastAsia" w:ascii="宋体" w:hAnsi="宋体" w:cs="宋体"/>
          <w:color w:val="auto"/>
          <w:sz w:val="24"/>
          <w:szCs w:val="24"/>
          <w:lang w:bidi="ar"/>
        </w:rPr>
        <w:t>供货地点：业主指定地点。</w:t>
      </w:r>
    </w:p>
    <w:p>
      <w:pPr>
        <w:pageBreakBefore w:val="0"/>
        <w:kinsoku/>
        <w:wordWrap/>
        <w:overflowPunct/>
        <w:topLinePunct w:val="0"/>
        <w:bidi w:val="0"/>
        <w:snapToGrid/>
        <w:spacing w:line="360" w:lineRule="auto"/>
        <w:ind w:firstLine="482" w:firstLineChars="200"/>
        <w:textAlignment w:val="auto"/>
        <w:outlineLvl w:val="0"/>
        <w:rPr>
          <w:rFonts w:ascii="宋体" w:hAnsi="宋体" w:cs="宋体"/>
          <w:b/>
          <w:color w:val="auto"/>
          <w:sz w:val="24"/>
          <w:szCs w:val="24"/>
        </w:rPr>
      </w:pPr>
      <w:r>
        <w:rPr>
          <w:rFonts w:hint="eastAsia" w:ascii="宋体" w:hAnsi="宋体" w:cs="宋体"/>
          <w:b/>
          <w:color w:val="auto"/>
          <w:sz w:val="24"/>
          <w:szCs w:val="24"/>
          <w:lang w:val="en-US" w:eastAsia="zh-CN" w:bidi="ar"/>
        </w:rPr>
        <w:t>三、</w:t>
      </w:r>
      <w:r>
        <w:rPr>
          <w:rFonts w:hint="eastAsia" w:ascii="宋体" w:hAnsi="宋体" w:cs="宋体"/>
          <w:b/>
          <w:color w:val="auto"/>
          <w:sz w:val="24"/>
          <w:szCs w:val="24"/>
          <w:lang w:bidi="ar"/>
        </w:rPr>
        <w:t xml:space="preserve">售后服务  </w:t>
      </w:r>
      <w:r>
        <w:rPr>
          <w:rFonts w:hint="eastAsia" w:ascii="宋体" w:hAnsi="宋体" w:cs="宋体"/>
          <w:color w:val="auto"/>
          <w:sz w:val="24"/>
          <w:szCs w:val="24"/>
          <w:lang w:bidi="ar"/>
        </w:rPr>
        <w:t xml:space="preserve">                                    </w:t>
      </w:r>
    </w:p>
    <w:p>
      <w:pPr>
        <w:pageBreakBefore w:val="0"/>
        <w:kinsoku/>
        <w:wordWrap/>
        <w:overflowPunct/>
        <w:topLinePunct w:val="0"/>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lang w:bidi="ar"/>
        </w:rPr>
        <w:t>中标人对其提供的产品，在投标文件中必须承诺保修，产品验收合格使用之日起，质保期两年，质保期内的维修费用（包括材料）全部由中标人负责（人为因素除外），质保期后中标人应免费提供基础性的日常维修及设备安全性检测，如需设备材料更换的，按成本价供货，（招标规格参数内有注明的以招标规格参数要求为准），保质期内因设备本身缺陷造成各种故障应由中标人免费更换或维修。</w:t>
      </w:r>
    </w:p>
    <w:p>
      <w:pPr>
        <w:pageBreakBefore w:val="0"/>
        <w:kinsoku/>
        <w:wordWrap/>
        <w:overflowPunct/>
        <w:topLinePunct w:val="0"/>
        <w:bidi w:val="0"/>
        <w:snapToGrid/>
        <w:spacing w:line="360"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u w:val="none"/>
          <w:lang w:bidi="ar"/>
        </w:rPr>
        <w:t>中标人在接到电话后1小时内响应，</w:t>
      </w:r>
      <w:r>
        <w:rPr>
          <w:rFonts w:hint="eastAsia" w:ascii="宋体" w:hAnsi="宋体" w:cs="宋体"/>
          <w:color w:val="auto"/>
          <w:sz w:val="24"/>
          <w:szCs w:val="24"/>
          <w:u w:val="none"/>
          <w:lang w:val="en-US" w:eastAsia="zh-CN" w:bidi="ar"/>
        </w:rPr>
        <w:t>3</w:t>
      </w:r>
      <w:r>
        <w:rPr>
          <w:rFonts w:hint="eastAsia" w:ascii="宋体" w:hAnsi="宋体" w:cs="宋体"/>
          <w:color w:val="auto"/>
          <w:sz w:val="24"/>
          <w:szCs w:val="24"/>
          <w:u w:val="none"/>
          <w:lang w:bidi="ar"/>
        </w:rPr>
        <w:t>小时内到达现场解决问题，最迟在2个工作日内修复</w:t>
      </w:r>
      <w:r>
        <w:rPr>
          <w:rFonts w:hint="eastAsia" w:ascii="宋体" w:hAnsi="宋体" w:cs="宋体"/>
          <w:color w:val="auto"/>
          <w:sz w:val="24"/>
          <w:szCs w:val="24"/>
          <w:lang w:bidi="ar"/>
        </w:rPr>
        <w:t>，如不能修复应采取补救措施，以保证采购人的正常工作，中标人有其它服务承诺的，一并履行。在保修期内中标人不得以任何理由影响设备正常使用。中标人必须对所供设备实行终身维修。</w:t>
      </w:r>
    </w:p>
    <w:p>
      <w:pPr>
        <w:pageBreakBefore w:val="0"/>
        <w:kinsoku/>
        <w:wordWrap/>
        <w:overflowPunct/>
        <w:topLinePunct w:val="0"/>
        <w:bidi w:val="0"/>
        <w:snapToGrid/>
        <w:spacing w:line="360" w:lineRule="auto"/>
        <w:ind w:firstLine="482" w:firstLineChars="200"/>
        <w:textAlignment w:val="auto"/>
        <w:outlineLvl w:val="0"/>
        <w:rPr>
          <w:rFonts w:ascii="宋体" w:hAnsi="宋体" w:cs="宋体"/>
          <w:b/>
          <w:color w:val="auto"/>
          <w:sz w:val="24"/>
          <w:szCs w:val="24"/>
        </w:rPr>
      </w:pPr>
      <w:r>
        <w:rPr>
          <w:rFonts w:hint="eastAsia" w:ascii="宋体" w:hAnsi="宋体" w:cs="宋体"/>
          <w:b/>
          <w:color w:val="auto"/>
          <w:sz w:val="24"/>
          <w:szCs w:val="24"/>
          <w:lang w:val="en-US" w:eastAsia="zh-CN" w:bidi="ar"/>
        </w:rPr>
        <w:t>四、履约保证金及</w:t>
      </w:r>
      <w:r>
        <w:rPr>
          <w:rFonts w:hint="eastAsia" w:ascii="宋体" w:hAnsi="宋体" w:cs="宋体"/>
          <w:b/>
          <w:color w:val="auto"/>
          <w:sz w:val="24"/>
          <w:szCs w:val="24"/>
          <w:lang w:bidi="ar"/>
        </w:rPr>
        <w:t>付款方式</w:t>
      </w:r>
    </w:p>
    <w:p>
      <w:pPr>
        <w:pageBreakBefore w:val="0"/>
        <w:kinsoku/>
        <w:wordWrap/>
        <w:overflowPunct/>
        <w:topLinePunct w:val="0"/>
        <w:autoSpaceDE w:val="0"/>
        <w:autoSpaceDN w:val="0"/>
        <w:bidi w:val="0"/>
        <w:adjustRightInd w:val="0"/>
        <w:snapToGrid/>
        <w:spacing w:line="360" w:lineRule="auto"/>
        <w:ind w:firstLine="480" w:firstLineChars="200"/>
        <w:textAlignment w:val="auto"/>
        <w:rPr>
          <w:rFonts w:hint="default" w:ascii="宋体" w:hAnsi="宋体" w:cs="宋体"/>
          <w:color w:val="auto"/>
          <w:sz w:val="24"/>
          <w:szCs w:val="24"/>
          <w:lang w:val="en-US" w:eastAsia="zh-CN" w:bidi="ar"/>
        </w:rPr>
      </w:pPr>
      <w:r>
        <w:rPr>
          <w:rFonts w:hint="eastAsia" w:ascii="宋体" w:hAnsi="宋体" w:cs="宋体"/>
          <w:color w:val="auto"/>
          <w:sz w:val="24"/>
          <w:szCs w:val="24"/>
          <w:lang w:val="en-US" w:eastAsia="zh-CN" w:bidi="ar"/>
        </w:rPr>
        <w:t>1、履约保证金：中标人须向采购人缴纳中标金额2.5%的履约保证金，项目完成后无息退还。</w:t>
      </w:r>
    </w:p>
    <w:p>
      <w:pPr>
        <w:pageBreakBefore w:val="0"/>
        <w:kinsoku/>
        <w:wordWrap/>
        <w:overflowPunct/>
        <w:topLinePunct w:val="0"/>
        <w:autoSpaceDE w:val="0"/>
        <w:autoSpaceDN w:val="0"/>
        <w:bidi w:val="0"/>
        <w:adjustRightInd w:val="0"/>
        <w:snapToGrid/>
        <w:spacing w:line="360" w:lineRule="auto"/>
        <w:ind w:firstLine="480" w:firstLineChars="200"/>
        <w:textAlignment w:val="auto"/>
        <w:rPr>
          <w:color w:val="auto"/>
          <w:sz w:val="22"/>
          <w:szCs w:val="22"/>
          <w:highlight w:val="none"/>
        </w:rPr>
      </w:pPr>
      <w:r>
        <w:rPr>
          <w:rFonts w:hint="eastAsia" w:ascii="宋体" w:hAnsi="宋体" w:cs="宋体"/>
          <w:color w:val="auto"/>
          <w:sz w:val="24"/>
          <w:szCs w:val="24"/>
          <w:lang w:val="en-US" w:eastAsia="zh-CN" w:bidi="ar"/>
        </w:rPr>
        <w:t>2、付款方式：</w:t>
      </w: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预付款：采购合同签订后的15日内支付合同金额的</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0%作为预付款；</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eastAsia="zh-CN" w:bidi="ar"/>
        </w:rPr>
        <w:t>）</w:t>
      </w:r>
      <w:r>
        <w:rPr>
          <w:rFonts w:hint="eastAsia" w:ascii="宋体" w:hAnsi="宋体" w:eastAsia="宋体" w:cs="宋体"/>
          <w:color w:val="auto"/>
          <w:sz w:val="24"/>
          <w:szCs w:val="24"/>
          <w:lang w:bidi="ar"/>
        </w:rPr>
        <w:t>建设完成并通</w:t>
      </w:r>
      <w:r>
        <w:rPr>
          <w:rFonts w:hint="eastAsia" w:ascii="宋体" w:hAnsi="宋体" w:eastAsia="宋体" w:cs="宋体"/>
          <w:color w:val="auto"/>
          <w:sz w:val="24"/>
          <w:szCs w:val="24"/>
          <w:lang w:val="en-US" w:eastAsia="zh-CN" w:bidi="ar"/>
        </w:rPr>
        <w:t>过采购人验收经结算后的15日内支付至合同金额的100%。</w:t>
      </w:r>
    </w:p>
    <w:p>
      <w:pPr>
        <w:pStyle w:val="5"/>
        <w:pageBreakBefore w:val="0"/>
        <w:widowControl/>
        <w:kinsoku/>
        <w:wordWrap/>
        <w:overflowPunct/>
        <w:topLinePunct w:val="0"/>
        <w:bidi w:val="0"/>
        <w:snapToGrid/>
        <w:spacing w:before="0" w:after="0" w:line="360" w:lineRule="auto"/>
        <w:ind w:firstLine="241" w:firstLineChars="100"/>
        <w:textAlignment w:val="auto"/>
        <w:rPr>
          <w:rFonts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最高限价</w:t>
      </w:r>
    </w:p>
    <w:p>
      <w:pPr>
        <w:pageBreakBefore w:val="0"/>
        <w:kinsoku/>
        <w:wordWrap/>
        <w:overflowPunct/>
        <w:topLinePunct w:val="0"/>
        <w:bidi w:val="0"/>
        <w:snapToGrid/>
        <w:spacing w:line="360" w:lineRule="auto"/>
        <w:ind w:firstLine="482" w:firstLineChars="200"/>
        <w:textAlignment w:val="auto"/>
        <w:rPr>
          <w:rFonts w:hint="eastAsia" w:ascii="黑体" w:hAnsi="宋体" w:eastAsia="黑体"/>
          <w:color w:val="auto"/>
          <w:sz w:val="44"/>
          <w:szCs w:val="44"/>
        </w:rPr>
      </w:pPr>
      <w:r>
        <w:rPr>
          <w:rFonts w:hint="eastAsia" w:ascii="宋体" w:hAnsi="宋体" w:cs="宋体"/>
          <w:b/>
          <w:color w:val="auto"/>
          <w:sz w:val="24"/>
          <w:szCs w:val="24"/>
          <w:u w:val="single"/>
          <w:lang w:bidi="ar"/>
        </w:rPr>
        <w:t>本次采购最高限价</w:t>
      </w:r>
      <w:r>
        <w:rPr>
          <w:rFonts w:hint="eastAsia" w:ascii="宋体" w:hAnsi="宋体" w:cs="宋体"/>
          <w:b/>
          <w:bCs/>
          <w:color w:val="auto"/>
          <w:sz w:val="24"/>
          <w:u w:val="single"/>
        </w:rPr>
        <w:t>为人民币</w:t>
      </w:r>
      <w:r>
        <w:rPr>
          <w:rFonts w:hint="eastAsia" w:ascii="宋体" w:hAnsi="宋体" w:cs="宋体"/>
          <w:b/>
          <w:bCs/>
          <w:color w:val="auto"/>
          <w:sz w:val="24"/>
          <w:u w:val="single"/>
          <w:lang w:eastAsia="zh-CN"/>
        </w:rPr>
        <w:t>壹佰陆拾捌</w:t>
      </w:r>
      <w:r>
        <w:rPr>
          <w:rFonts w:hint="eastAsia" w:ascii="宋体" w:hAnsi="宋体" w:cs="宋体"/>
          <w:b/>
          <w:bCs/>
          <w:color w:val="auto"/>
          <w:sz w:val="24"/>
          <w:szCs w:val="24"/>
          <w:u w:val="single"/>
        </w:rPr>
        <w:t>万</w:t>
      </w:r>
      <w:r>
        <w:rPr>
          <w:rFonts w:hint="eastAsia" w:ascii="宋体" w:hAnsi="宋体" w:cs="宋体"/>
          <w:b/>
          <w:bCs/>
          <w:color w:val="auto"/>
          <w:sz w:val="24"/>
          <w:szCs w:val="24"/>
          <w:u w:val="single"/>
          <w:lang w:eastAsia="zh-CN"/>
        </w:rPr>
        <w:t>伍仟</w:t>
      </w:r>
      <w:r>
        <w:rPr>
          <w:rFonts w:hint="eastAsia" w:ascii="宋体" w:hAnsi="宋体" w:cs="宋体"/>
          <w:b/>
          <w:bCs/>
          <w:color w:val="auto"/>
          <w:sz w:val="24"/>
          <w:szCs w:val="24"/>
          <w:u w:val="single"/>
        </w:rPr>
        <w:t>元（¥</w:t>
      </w:r>
      <w:r>
        <w:rPr>
          <w:rFonts w:hint="eastAsia" w:ascii="宋体" w:hAnsi="宋体" w:cs="宋体"/>
          <w:b/>
          <w:bCs/>
          <w:color w:val="auto"/>
          <w:sz w:val="24"/>
          <w:szCs w:val="24"/>
          <w:u w:val="single"/>
          <w:lang w:val="en-US" w:eastAsia="zh-CN"/>
        </w:rPr>
        <w:t>1685</w:t>
      </w:r>
      <w:r>
        <w:rPr>
          <w:rFonts w:hint="eastAsia" w:ascii="宋体" w:hAnsi="宋体" w:cs="宋体"/>
          <w:b/>
          <w:bCs/>
          <w:color w:val="auto"/>
          <w:sz w:val="24"/>
          <w:szCs w:val="24"/>
          <w:u w:val="single"/>
        </w:rPr>
        <w:t>000.00）</w:t>
      </w:r>
      <w:r>
        <w:rPr>
          <w:rFonts w:hint="eastAsia" w:ascii="宋体" w:hAnsi="宋体" w:cs="宋体"/>
          <w:b/>
          <w:color w:val="auto"/>
          <w:sz w:val="24"/>
          <w:szCs w:val="24"/>
          <w:u w:val="single"/>
          <w:lang w:bidi="ar"/>
        </w:rPr>
        <w:t>整，（本项目投标报价包括人工、材料、设备软硬件、安装、税金等本项目实施的一切费用）。任何超过最高限价的报价将被认定为无效报价</w:t>
      </w:r>
      <w:r>
        <w:rPr>
          <w:rFonts w:hint="eastAsia" w:ascii="宋体" w:hAnsi="宋体" w:cs="宋体"/>
          <w:b/>
          <w:color w:val="auto"/>
          <w:sz w:val="24"/>
          <w:szCs w:val="24"/>
          <w:u w:val="single"/>
          <w:lang w:eastAsia="zh-CN" w:bidi="ar"/>
        </w:rPr>
        <w:t>。</w:t>
      </w: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hint="eastAsia" w:ascii="仿宋" w:hAnsi="仿宋" w:eastAsia="仿宋" w:cs="仿宋_GB2312"/>
          <w:b/>
          <w:sz w:val="36"/>
          <w:szCs w:val="36"/>
        </w:rPr>
      </w:pPr>
    </w:p>
    <w:p>
      <w:pPr>
        <w:snapToGrid w:val="0"/>
        <w:spacing w:line="360" w:lineRule="auto"/>
        <w:jc w:val="center"/>
        <w:rPr>
          <w:rFonts w:ascii="仿宋" w:hAnsi="仿宋" w:eastAsia="仿宋" w:cs="仿宋_GB2312"/>
          <w:b/>
          <w:sz w:val="36"/>
          <w:szCs w:val="36"/>
        </w:rPr>
      </w:pP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092"/>
      <w:bookmarkEnd w:id="27"/>
      <w:bookmarkStart w:id="28" w:name="_Toc184314452"/>
      <w:bookmarkEnd w:id="28"/>
      <w:bookmarkStart w:id="29" w:name="_Toc184310329"/>
      <w:bookmarkEnd w:id="29"/>
      <w:bookmarkStart w:id="30" w:name="_Toc184310334"/>
      <w:bookmarkEnd w:id="30"/>
      <w:bookmarkStart w:id="31" w:name="_Toc184308037"/>
      <w:bookmarkEnd w:id="31"/>
      <w:bookmarkStart w:id="32" w:name="_Toc184312122"/>
      <w:bookmarkEnd w:id="32"/>
      <w:bookmarkStart w:id="33" w:name="_Toc184312128"/>
      <w:bookmarkEnd w:id="33"/>
      <w:bookmarkStart w:id="34" w:name="_Toc184314481"/>
      <w:bookmarkEnd w:id="34"/>
      <w:bookmarkStart w:id="35" w:name="_Toc184310330"/>
      <w:bookmarkEnd w:id="35"/>
      <w:bookmarkStart w:id="36" w:name="_Toc184312109"/>
      <w:bookmarkEnd w:id="36"/>
      <w:bookmarkStart w:id="37" w:name="_Toc184308076"/>
      <w:bookmarkEnd w:id="37"/>
      <w:bookmarkStart w:id="38" w:name="_Toc184310340"/>
      <w:bookmarkEnd w:id="38"/>
      <w:bookmarkStart w:id="39" w:name="_Toc184313285"/>
      <w:bookmarkEnd w:id="39"/>
      <w:bookmarkStart w:id="40" w:name="_Toc184314470"/>
      <w:bookmarkEnd w:id="40"/>
      <w:bookmarkStart w:id="41" w:name="_Toc184313299"/>
      <w:bookmarkEnd w:id="41"/>
      <w:bookmarkStart w:id="42" w:name="_Toc184312130"/>
      <w:bookmarkEnd w:id="42"/>
      <w:bookmarkStart w:id="43" w:name="_Toc184312132"/>
      <w:bookmarkEnd w:id="43"/>
      <w:bookmarkStart w:id="44" w:name="_Toc184308046"/>
      <w:bookmarkEnd w:id="44"/>
      <w:bookmarkStart w:id="45" w:name="_Toc184312091"/>
      <w:bookmarkEnd w:id="45"/>
      <w:bookmarkStart w:id="46" w:name="_Toc184308068"/>
      <w:bookmarkEnd w:id="46"/>
      <w:bookmarkStart w:id="47" w:name="_Toc184314469"/>
      <w:bookmarkEnd w:id="47"/>
      <w:bookmarkStart w:id="48" w:name="_Toc184314468"/>
      <w:bookmarkEnd w:id="48"/>
      <w:bookmarkStart w:id="49" w:name="_Toc184313304"/>
      <w:bookmarkEnd w:id="49"/>
      <w:bookmarkStart w:id="50" w:name="_Toc184308103"/>
      <w:bookmarkEnd w:id="50"/>
      <w:bookmarkStart w:id="51" w:name="_Toc184312134"/>
      <w:bookmarkEnd w:id="51"/>
      <w:bookmarkStart w:id="52" w:name="_Toc184308097"/>
      <w:bookmarkEnd w:id="52"/>
      <w:bookmarkStart w:id="53" w:name="_Toc184312129"/>
      <w:bookmarkEnd w:id="53"/>
      <w:bookmarkStart w:id="54" w:name="_Toc184313305"/>
      <w:bookmarkEnd w:id="54"/>
      <w:bookmarkStart w:id="55" w:name="_Toc184308098"/>
      <w:bookmarkEnd w:id="55"/>
      <w:bookmarkStart w:id="56" w:name="_Toc184314412"/>
      <w:bookmarkEnd w:id="56"/>
      <w:bookmarkStart w:id="57" w:name="_Toc184308036"/>
      <w:bookmarkEnd w:id="57"/>
      <w:bookmarkStart w:id="58" w:name="_Toc184313300"/>
      <w:bookmarkEnd w:id="58"/>
      <w:bookmarkStart w:id="59" w:name="_Toc184313296"/>
      <w:bookmarkEnd w:id="59"/>
      <w:bookmarkStart w:id="60" w:name="_Toc184312090"/>
      <w:bookmarkEnd w:id="60"/>
      <w:bookmarkStart w:id="61" w:name="_Toc184313290"/>
      <w:bookmarkEnd w:id="61"/>
      <w:bookmarkStart w:id="62" w:name="_Toc184314427"/>
      <w:bookmarkEnd w:id="62"/>
      <w:bookmarkStart w:id="63" w:name="_Toc184310321"/>
      <w:bookmarkEnd w:id="63"/>
      <w:bookmarkStart w:id="64" w:name="_Toc184310304"/>
      <w:bookmarkEnd w:id="64"/>
      <w:bookmarkStart w:id="65" w:name="_Toc184314424"/>
      <w:bookmarkEnd w:id="65"/>
      <w:bookmarkStart w:id="66" w:name="_Toc184308073"/>
      <w:bookmarkEnd w:id="66"/>
      <w:bookmarkStart w:id="67" w:name="_Toc184314437"/>
      <w:bookmarkEnd w:id="67"/>
      <w:bookmarkStart w:id="68" w:name="_Toc184310294"/>
      <w:bookmarkEnd w:id="68"/>
      <w:bookmarkStart w:id="69" w:name="_Toc184314435"/>
      <w:bookmarkEnd w:id="69"/>
      <w:bookmarkStart w:id="70" w:name="_Toc184313278"/>
      <w:bookmarkEnd w:id="70"/>
      <w:bookmarkStart w:id="71" w:name="_Toc184313243"/>
      <w:bookmarkEnd w:id="71"/>
      <w:bookmarkStart w:id="72" w:name="_Toc184310320"/>
      <w:bookmarkEnd w:id="72"/>
      <w:bookmarkStart w:id="73" w:name="_Toc184312125"/>
      <w:bookmarkEnd w:id="73"/>
      <w:bookmarkStart w:id="74" w:name="_Toc184313265"/>
      <w:bookmarkEnd w:id="74"/>
      <w:bookmarkStart w:id="75" w:name="_Toc184312089"/>
      <w:bookmarkEnd w:id="75"/>
      <w:bookmarkStart w:id="76" w:name="_Toc184312110"/>
      <w:bookmarkEnd w:id="76"/>
      <w:bookmarkStart w:id="77" w:name="_Toc184313284"/>
      <w:bookmarkEnd w:id="77"/>
      <w:bookmarkStart w:id="78" w:name="_Toc184308045"/>
      <w:bookmarkEnd w:id="78"/>
      <w:bookmarkStart w:id="79" w:name="_Toc184313309"/>
      <w:bookmarkEnd w:id="79"/>
      <w:bookmarkStart w:id="80" w:name="_Toc184308050"/>
      <w:bookmarkEnd w:id="80"/>
      <w:bookmarkStart w:id="81" w:name="_Toc184308096"/>
      <w:bookmarkEnd w:id="81"/>
      <w:bookmarkStart w:id="82" w:name="_Toc184308080"/>
      <w:bookmarkEnd w:id="82"/>
      <w:bookmarkStart w:id="83" w:name="_Toc184314471"/>
      <w:bookmarkEnd w:id="83"/>
      <w:bookmarkStart w:id="84" w:name="_Toc184310295"/>
      <w:bookmarkEnd w:id="84"/>
      <w:bookmarkStart w:id="85" w:name="_Toc184310287"/>
      <w:bookmarkEnd w:id="85"/>
      <w:bookmarkStart w:id="86" w:name="_Toc184310332"/>
      <w:bookmarkEnd w:id="86"/>
      <w:bookmarkStart w:id="87" w:name="_Toc184314477"/>
      <w:bookmarkEnd w:id="87"/>
      <w:bookmarkStart w:id="88" w:name="_Toc184313276"/>
      <w:bookmarkEnd w:id="88"/>
      <w:bookmarkStart w:id="89" w:name="_Toc184308062"/>
      <w:bookmarkEnd w:id="89"/>
      <w:bookmarkStart w:id="90" w:name="_Toc184308060"/>
      <w:bookmarkEnd w:id="90"/>
      <w:bookmarkStart w:id="91" w:name="_Toc184310277"/>
      <w:bookmarkEnd w:id="91"/>
      <w:bookmarkStart w:id="92" w:name="_Toc184310301"/>
      <w:bookmarkEnd w:id="92"/>
      <w:bookmarkStart w:id="93" w:name="_Toc184314443"/>
      <w:bookmarkEnd w:id="93"/>
      <w:bookmarkStart w:id="94" w:name="_Toc184313273"/>
      <w:bookmarkEnd w:id="94"/>
      <w:bookmarkStart w:id="95" w:name="_Toc184314446"/>
      <w:bookmarkEnd w:id="95"/>
      <w:bookmarkStart w:id="96" w:name="_Toc184312103"/>
      <w:bookmarkEnd w:id="96"/>
      <w:bookmarkStart w:id="97" w:name="_Toc184310282"/>
      <w:bookmarkEnd w:id="97"/>
      <w:bookmarkStart w:id="98" w:name="_Toc184312100"/>
      <w:bookmarkEnd w:id="98"/>
      <w:bookmarkStart w:id="99" w:name="_Toc184308052"/>
      <w:bookmarkEnd w:id="99"/>
      <w:bookmarkStart w:id="100" w:name="_Toc184308047"/>
      <w:bookmarkEnd w:id="100"/>
      <w:bookmarkStart w:id="101" w:name="_Toc184313267"/>
      <w:bookmarkEnd w:id="101"/>
      <w:bookmarkStart w:id="102" w:name="_Toc184313257"/>
      <w:bookmarkEnd w:id="102"/>
      <w:bookmarkStart w:id="103" w:name="_Toc184314426"/>
      <w:bookmarkEnd w:id="103"/>
      <w:bookmarkStart w:id="104" w:name="_Toc184310293"/>
      <w:bookmarkEnd w:id="104"/>
      <w:bookmarkStart w:id="105" w:name="_Toc184310310"/>
      <w:bookmarkEnd w:id="105"/>
      <w:bookmarkStart w:id="106" w:name="_Toc184313271"/>
      <w:bookmarkEnd w:id="106"/>
      <w:bookmarkStart w:id="107" w:name="_Toc184313269"/>
      <w:bookmarkEnd w:id="107"/>
      <w:bookmarkStart w:id="108" w:name="_Toc184310308"/>
      <w:bookmarkEnd w:id="108"/>
      <w:bookmarkStart w:id="109" w:name="_Toc184308082"/>
      <w:bookmarkEnd w:id="109"/>
      <w:bookmarkStart w:id="110" w:name="_Toc184313281"/>
      <w:bookmarkEnd w:id="110"/>
      <w:bookmarkStart w:id="111" w:name="_Toc184308078"/>
      <w:bookmarkEnd w:id="111"/>
      <w:bookmarkStart w:id="112" w:name="_Toc184310300"/>
      <w:bookmarkEnd w:id="112"/>
      <w:bookmarkStart w:id="113" w:name="_Toc184308069"/>
      <w:bookmarkEnd w:id="113"/>
      <w:bookmarkStart w:id="114" w:name="_Toc184313283"/>
      <w:bookmarkEnd w:id="114"/>
      <w:bookmarkStart w:id="115" w:name="_Toc184310305"/>
      <w:bookmarkEnd w:id="115"/>
      <w:bookmarkStart w:id="116" w:name="_Toc184313268"/>
      <w:bookmarkEnd w:id="116"/>
      <w:bookmarkStart w:id="117" w:name="_Toc184314439"/>
      <w:bookmarkEnd w:id="117"/>
      <w:bookmarkStart w:id="118" w:name="_Toc184313240"/>
      <w:bookmarkEnd w:id="118"/>
      <w:bookmarkStart w:id="119" w:name="_Toc184313255"/>
      <w:bookmarkEnd w:id="119"/>
      <w:bookmarkStart w:id="120" w:name="_Toc184313258"/>
      <w:bookmarkEnd w:id="120"/>
      <w:bookmarkStart w:id="121" w:name="_Toc184312101"/>
      <w:bookmarkEnd w:id="121"/>
      <w:bookmarkStart w:id="122" w:name="_Toc184314462"/>
      <w:bookmarkEnd w:id="122"/>
      <w:bookmarkStart w:id="123" w:name="_Toc184308063"/>
      <w:bookmarkEnd w:id="123"/>
      <w:bookmarkStart w:id="124" w:name="_Toc184312093"/>
      <w:bookmarkEnd w:id="124"/>
      <w:bookmarkStart w:id="125" w:name="_Toc184313301"/>
      <w:bookmarkEnd w:id="125"/>
      <w:bookmarkStart w:id="126" w:name="_Toc184314479"/>
      <w:bookmarkEnd w:id="126"/>
      <w:bookmarkStart w:id="127" w:name="_Toc184314461"/>
      <w:bookmarkEnd w:id="127"/>
      <w:bookmarkStart w:id="128" w:name="_Toc184314480"/>
      <w:bookmarkEnd w:id="128"/>
      <w:bookmarkStart w:id="129" w:name="_Toc184314423"/>
      <w:bookmarkEnd w:id="129"/>
      <w:bookmarkStart w:id="130" w:name="_Toc184310327"/>
      <w:bookmarkEnd w:id="130"/>
      <w:bookmarkStart w:id="131" w:name="_Toc184314464"/>
      <w:bookmarkEnd w:id="131"/>
      <w:bookmarkStart w:id="132" w:name="_Toc184310313"/>
      <w:bookmarkEnd w:id="132"/>
      <w:bookmarkStart w:id="133" w:name="_Toc184314422"/>
      <w:bookmarkEnd w:id="133"/>
      <w:bookmarkStart w:id="134" w:name="_Toc184312105"/>
      <w:bookmarkEnd w:id="134"/>
      <w:bookmarkStart w:id="135" w:name="_Toc184308077"/>
      <w:bookmarkEnd w:id="135"/>
      <w:bookmarkStart w:id="136" w:name="_Toc184313250"/>
      <w:bookmarkEnd w:id="136"/>
      <w:bookmarkStart w:id="137" w:name="_Toc184308087"/>
      <w:bookmarkEnd w:id="137"/>
      <w:bookmarkStart w:id="138" w:name="_Toc184308093"/>
      <w:bookmarkEnd w:id="138"/>
      <w:bookmarkStart w:id="139" w:name="_Toc184308085"/>
      <w:bookmarkEnd w:id="139"/>
      <w:bookmarkStart w:id="140" w:name="_Toc184313241"/>
      <w:bookmarkEnd w:id="140"/>
      <w:bookmarkStart w:id="141" w:name="_Toc184312137"/>
      <w:bookmarkEnd w:id="141"/>
      <w:bookmarkStart w:id="142" w:name="_Toc184313248"/>
      <w:bookmarkEnd w:id="142"/>
      <w:bookmarkStart w:id="143" w:name="_Toc184312114"/>
      <w:bookmarkEnd w:id="143"/>
      <w:bookmarkStart w:id="144" w:name="_Toc184310325"/>
      <w:bookmarkEnd w:id="144"/>
      <w:bookmarkStart w:id="145" w:name="_Toc184308088"/>
      <w:bookmarkEnd w:id="145"/>
      <w:bookmarkStart w:id="146" w:name="_Toc184313298"/>
      <w:bookmarkEnd w:id="146"/>
      <w:bookmarkStart w:id="147" w:name="_Toc184314476"/>
      <w:bookmarkEnd w:id="147"/>
      <w:bookmarkStart w:id="148" w:name="_Toc184314466"/>
      <w:bookmarkEnd w:id="148"/>
      <w:bookmarkStart w:id="149" w:name="_Toc184312123"/>
      <w:bookmarkEnd w:id="149"/>
      <w:bookmarkStart w:id="150" w:name="_Toc184312107"/>
      <w:bookmarkEnd w:id="150"/>
      <w:bookmarkStart w:id="151" w:name="_Toc184312121"/>
      <w:bookmarkEnd w:id="151"/>
      <w:bookmarkStart w:id="152" w:name="_Toc184314467"/>
      <w:bookmarkEnd w:id="152"/>
      <w:bookmarkStart w:id="153" w:name="_Toc184310333"/>
      <w:bookmarkEnd w:id="153"/>
      <w:bookmarkStart w:id="154" w:name="_Toc184312127"/>
      <w:bookmarkEnd w:id="154"/>
      <w:bookmarkStart w:id="155" w:name="_Toc184308094"/>
      <w:bookmarkEnd w:id="155"/>
      <w:bookmarkStart w:id="156" w:name="_Toc184314463"/>
      <w:bookmarkEnd w:id="156"/>
      <w:bookmarkStart w:id="157" w:name="_Toc184308091"/>
      <w:bookmarkEnd w:id="157"/>
      <w:bookmarkStart w:id="158" w:name="_Toc184310331"/>
      <w:bookmarkEnd w:id="158"/>
      <w:bookmarkStart w:id="159" w:name="_Toc184314457"/>
      <w:bookmarkEnd w:id="159"/>
      <w:bookmarkStart w:id="160" w:name="_Toc184313294"/>
      <w:bookmarkEnd w:id="160"/>
      <w:bookmarkStart w:id="161" w:name="_Toc184310326"/>
      <w:bookmarkEnd w:id="161"/>
      <w:bookmarkStart w:id="162" w:name="_Toc184312120"/>
      <w:bookmarkEnd w:id="162"/>
      <w:bookmarkStart w:id="163" w:name="_Toc184308090"/>
      <w:bookmarkEnd w:id="163"/>
      <w:bookmarkStart w:id="164" w:name="_Toc184313288"/>
      <w:bookmarkEnd w:id="164"/>
      <w:bookmarkStart w:id="165" w:name="_Toc184308089"/>
      <w:bookmarkEnd w:id="165"/>
      <w:bookmarkStart w:id="166" w:name="_Toc184308095"/>
      <w:bookmarkEnd w:id="166"/>
      <w:bookmarkStart w:id="167" w:name="_Toc184312133"/>
      <w:bookmarkEnd w:id="167"/>
      <w:bookmarkStart w:id="168" w:name="_Toc184310338"/>
      <w:bookmarkEnd w:id="168"/>
      <w:bookmarkStart w:id="169" w:name="_Toc184313286"/>
      <w:bookmarkEnd w:id="169"/>
      <w:bookmarkStart w:id="170" w:name="_Toc184313297"/>
      <w:bookmarkEnd w:id="170"/>
      <w:bookmarkStart w:id="171" w:name="_Toc184308099"/>
      <w:bookmarkEnd w:id="171"/>
      <w:bookmarkStart w:id="172" w:name="_Toc184310302"/>
      <w:bookmarkEnd w:id="172"/>
      <w:bookmarkStart w:id="173" w:name="_Toc184310286"/>
      <w:bookmarkEnd w:id="173"/>
      <w:bookmarkStart w:id="174" w:name="_Toc184312108"/>
      <w:bookmarkEnd w:id="174"/>
      <w:bookmarkStart w:id="175" w:name="_Toc184312071"/>
      <w:bookmarkEnd w:id="175"/>
      <w:bookmarkStart w:id="176" w:name="_Toc184314441"/>
      <w:bookmarkEnd w:id="176"/>
      <w:bookmarkStart w:id="177" w:name="_Toc184314451"/>
      <w:bookmarkEnd w:id="177"/>
      <w:bookmarkStart w:id="178" w:name="_Toc184312124"/>
      <w:bookmarkEnd w:id="178"/>
      <w:bookmarkStart w:id="179" w:name="_Toc184313302"/>
      <w:bookmarkEnd w:id="179"/>
      <w:bookmarkStart w:id="180" w:name="_Toc184313252"/>
      <w:bookmarkEnd w:id="180"/>
      <w:bookmarkStart w:id="181" w:name="_Toc184312080"/>
      <w:bookmarkEnd w:id="181"/>
      <w:bookmarkStart w:id="182" w:name="_Toc184314465"/>
      <w:bookmarkEnd w:id="182"/>
      <w:bookmarkStart w:id="183" w:name="_Toc184313242"/>
      <w:bookmarkEnd w:id="183"/>
      <w:bookmarkStart w:id="184" w:name="_Toc184310324"/>
      <w:bookmarkEnd w:id="184"/>
      <w:bookmarkStart w:id="185" w:name="_Toc184314436"/>
      <w:bookmarkEnd w:id="185"/>
      <w:bookmarkStart w:id="186" w:name="_Toc184312118"/>
      <w:bookmarkEnd w:id="186"/>
      <w:bookmarkStart w:id="187" w:name="_Toc184312119"/>
      <w:bookmarkEnd w:id="187"/>
      <w:bookmarkStart w:id="188" w:name="_Toc184313289"/>
      <w:bookmarkEnd w:id="188"/>
      <w:bookmarkStart w:id="189" w:name="_Toc184308102"/>
      <w:bookmarkEnd w:id="189"/>
      <w:bookmarkStart w:id="190" w:name="_Toc184312136"/>
      <w:bookmarkEnd w:id="190"/>
      <w:bookmarkStart w:id="191" w:name="_Toc184314456"/>
      <w:bookmarkEnd w:id="191"/>
      <w:bookmarkStart w:id="192" w:name="_Toc184312113"/>
      <w:bookmarkEnd w:id="192"/>
      <w:bookmarkStart w:id="193" w:name="_Toc184314419"/>
      <w:bookmarkEnd w:id="193"/>
      <w:bookmarkStart w:id="194" w:name="_Toc184312126"/>
      <w:bookmarkEnd w:id="194"/>
      <w:bookmarkStart w:id="195" w:name="_Toc184313293"/>
      <w:bookmarkEnd w:id="195"/>
      <w:bookmarkStart w:id="196" w:name="_Toc184310309"/>
      <w:bookmarkEnd w:id="196"/>
      <w:bookmarkStart w:id="197" w:name="_Toc184313310"/>
      <w:bookmarkEnd w:id="197"/>
      <w:bookmarkStart w:id="198" w:name="_Toc184310328"/>
      <w:bookmarkEnd w:id="198"/>
      <w:bookmarkStart w:id="199" w:name="_Toc184314421"/>
      <w:bookmarkEnd w:id="199"/>
      <w:bookmarkStart w:id="200" w:name="_Toc184310307"/>
      <w:bookmarkEnd w:id="200"/>
      <w:bookmarkStart w:id="201" w:name="_Toc184308072"/>
      <w:bookmarkEnd w:id="201"/>
      <w:bookmarkStart w:id="202" w:name="_Toc184308051"/>
      <w:bookmarkEnd w:id="202"/>
      <w:bookmarkStart w:id="203" w:name="_Toc184308107"/>
      <w:bookmarkEnd w:id="203"/>
      <w:bookmarkStart w:id="204" w:name="_Toc184312131"/>
      <w:bookmarkEnd w:id="204"/>
      <w:bookmarkStart w:id="205" w:name="_Toc184312104"/>
      <w:bookmarkEnd w:id="205"/>
      <w:bookmarkStart w:id="206" w:name="_Toc184314482"/>
      <w:bookmarkEnd w:id="206"/>
      <w:bookmarkStart w:id="207" w:name="_Toc184310319"/>
      <w:bookmarkEnd w:id="207"/>
      <w:bookmarkStart w:id="208" w:name="_Toc184314410"/>
      <w:bookmarkEnd w:id="208"/>
      <w:bookmarkStart w:id="209" w:name="_Toc184314460"/>
      <w:bookmarkEnd w:id="209"/>
      <w:bookmarkStart w:id="210" w:name="_Toc184312138"/>
      <w:bookmarkEnd w:id="210"/>
      <w:bookmarkStart w:id="211" w:name="_Toc184313274"/>
      <w:bookmarkEnd w:id="211"/>
      <w:bookmarkStart w:id="212" w:name="_Toc184310285"/>
      <w:bookmarkEnd w:id="212"/>
      <w:bookmarkStart w:id="213" w:name="_Toc184312099"/>
      <w:bookmarkEnd w:id="213"/>
      <w:bookmarkStart w:id="214" w:name="_Toc184313279"/>
      <w:bookmarkEnd w:id="214"/>
      <w:bookmarkStart w:id="215" w:name="_Toc184310323"/>
      <w:bookmarkEnd w:id="215"/>
      <w:bookmarkStart w:id="216" w:name="_Toc184308086"/>
      <w:bookmarkEnd w:id="216"/>
      <w:bookmarkStart w:id="217" w:name="_Toc184314453"/>
      <w:bookmarkEnd w:id="217"/>
      <w:bookmarkStart w:id="218" w:name="_Toc184313295"/>
      <w:bookmarkEnd w:id="218"/>
      <w:bookmarkStart w:id="219" w:name="_Toc184308048"/>
      <w:bookmarkEnd w:id="219"/>
      <w:bookmarkStart w:id="220" w:name="_Toc184312139"/>
      <w:bookmarkEnd w:id="220"/>
      <w:bookmarkStart w:id="221" w:name="_Toc184313272"/>
      <w:bookmarkEnd w:id="221"/>
      <w:bookmarkStart w:id="222" w:name="_Toc184308079"/>
      <w:bookmarkEnd w:id="222"/>
      <w:bookmarkStart w:id="223" w:name="_Toc184310284"/>
      <w:bookmarkEnd w:id="223"/>
      <w:bookmarkStart w:id="224" w:name="_Toc184314440"/>
      <w:bookmarkEnd w:id="224"/>
      <w:bookmarkStart w:id="225" w:name="_Toc184312079"/>
      <w:bookmarkEnd w:id="225"/>
      <w:bookmarkStart w:id="226" w:name="_Toc184312102"/>
      <w:bookmarkEnd w:id="226"/>
      <w:bookmarkStart w:id="227" w:name="_Toc184310343"/>
      <w:bookmarkEnd w:id="227"/>
      <w:bookmarkStart w:id="228" w:name="_Toc184314444"/>
      <w:bookmarkEnd w:id="228"/>
      <w:bookmarkStart w:id="229" w:name="_Toc184312096"/>
      <w:bookmarkEnd w:id="229"/>
      <w:bookmarkStart w:id="230" w:name="_Toc184308071"/>
      <w:bookmarkEnd w:id="230"/>
      <w:bookmarkStart w:id="231" w:name="_Toc184314420"/>
      <w:bookmarkEnd w:id="231"/>
      <w:bookmarkStart w:id="232" w:name="_Toc184310303"/>
      <w:bookmarkEnd w:id="232"/>
      <w:bookmarkStart w:id="233" w:name="_Toc184308108"/>
      <w:bookmarkEnd w:id="233"/>
      <w:bookmarkStart w:id="234" w:name="_Toc184313291"/>
      <w:bookmarkEnd w:id="234"/>
      <w:bookmarkStart w:id="235" w:name="_Toc184308100"/>
      <w:bookmarkEnd w:id="235"/>
      <w:bookmarkStart w:id="236" w:name="_Toc184313264"/>
      <w:bookmarkEnd w:id="236"/>
      <w:bookmarkStart w:id="237" w:name="_Toc184314445"/>
      <w:bookmarkEnd w:id="237"/>
      <w:bookmarkStart w:id="238" w:name="_Toc184313238"/>
      <w:bookmarkEnd w:id="238"/>
      <w:bookmarkStart w:id="239" w:name="_Toc184308070"/>
      <w:bookmarkEnd w:id="239"/>
      <w:bookmarkStart w:id="240" w:name="_Toc184310283"/>
      <w:bookmarkEnd w:id="240"/>
      <w:bookmarkStart w:id="241" w:name="_Toc184313270"/>
      <w:bookmarkEnd w:id="241"/>
      <w:bookmarkStart w:id="242" w:name="_Toc184308084"/>
      <w:bookmarkEnd w:id="242"/>
      <w:bookmarkStart w:id="243" w:name="_Toc184310306"/>
      <w:bookmarkEnd w:id="243"/>
      <w:bookmarkStart w:id="244" w:name="_Toc184310311"/>
      <w:bookmarkEnd w:id="244"/>
      <w:bookmarkStart w:id="245" w:name="_Toc184313308"/>
      <w:bookmarkEnd w:id="245"/>
      <w:bookmarkStart w:id="246" w:name="_Toc184312081"/>
      <w:bookmarkEnd w:id="246"/>
      <w:bookmarkStart w:id="247" w:name="_Toc184314442"/>
      <w:bookmarkEnd w:id="247"/>
      <w:bookmarkStart w:id="248" w:name="_Toc184310337"/>
      <w:bookmarkEnd w:id="248"/>
      <w:bookmarkStart w:id="249" w:name="_Toc184312078"/>
      <w:bookmarkEnd w:id="249"/>
      <w:bookmarkStart w:id="250" w:name="_Toc184313249"/>
      <w:bookmarkEnd w:id="250"/>
      <w:bookmarkStart w:id="251" w:name="_Toc184308083"/>
      <w:bookmarkEnd w:id="251"/>
      <w:bookmarkStart w:id="252" w:name="_Toc184313239"/>
      <w:bookmarkEnd w:id="252"/>
      <w:bookmarkStart w:id="253" w:name="_Toc184313247"/>
      <w:bookmarkEnd w:id="253"/>
      <w:bookmarkStart w:id="254" w:name="_Toc184312083"/>
      <w:bookmarkEnd w:id="254"/>
      <w:bookmarkStart w:id="255" w:name="_Toc184308065"/>
      <w:bookmarkEnd w:id="255"/>
      <w:bookmarkStart w:id="256" w:name="_Toc184314475"/>
      <w:bookmarkEnd w:id="256"/>
      <w:bookmarkStart w:id="257" w:name="_Toc184308040"/>
      <w:bookmarkEnd w:id="257"/>
      <w:bookmarkStart w:id="258" w:name="_Toc184312088"/>
      <w:bookmarkEnd w:id="258"/>
      <w:bookmarkStart w:id="259" w:name="_Toc184314473"/>
      <w:bookmarkEnd w:id="259"/>
      <w:bookmarkStart w:id="260" w:name="_Toc184310291"/>
      <w:bookmarkEnd w:id="260"/>
      <w:bookmarkStart w:id="261" w:name="_Toc184308057"/>
      <w:bookmarkEnd w:id="261"/>
      <w:bookmarkStart w:id="262" w:name="_Toc184310341"/>
      <w:bookmarkEnd w:id="262"/>
      <w:bookmarkStart w:id="263" w:name="_Toc184312095"/>
      <w:bookmarkEnd w:id="263"/>
      <w:bookmarkStart w:id="264" w:name="_Toc184313259"/>
      <w:bookmarkEnd w:id="264"/>
      <w:bookmarkStart w:id="265" w:name="_Toc184310315"/>
      <w:bookmarkEnd w:id="265"/>
      <w:bookmarkStart w:id="266" w:name="_Toc184313254"/>
      <w:bookmarkEnd w:id="266"/>
      <w:bookmarkStart w:id="267" w:name="_Toc184312084"/>
      <w:bookmarkEnd w:id="267"/>
      <w:bookmarkStart w:id="268" w:name="_Toc184312106"/>
      <w:bookmarkEnd w:id="268"/>
      <w:bookmarkStart w:id="269" w:name="_Toc184314447"/>
      <w:bookmarkEnd w:id="269"/>
      <w:bookmarkStart w:id="270" w:name="_Toc184308074"/>
      <w:bookmarkEnd w:id="270"/>
      <w:bookmarkStart w:id="271" w:name="_Toc184312098"/>
      <w:bookmarkEnd w:id="271"/>
      <w:bookmarkStart w:id="272" w:name="_Toc184314432"/>
      <w:bookmarkEnd w:id="272"/>
      <w:bookmarkStart w:id="273" w:name="_Toc184308064"/>
      <w:bookmarkEnd w:id="273"/>
      <w:bookmarkStart w:id="274" w:name="_Toc184312068"/>
      <w:bookmarkEnd w:id="274"/>
      <w:bookmarkStart w:id="275" w:name="_Toc184310273"/>
      <w:bookmarkEnd w:id="275"/>
      <w:bookmarkStart w:id="276" w:name="_Toc184314434"/>
      <w:bookmarkEnd w:id="276"/>
      <w:bookmarkStart w:id="277" w:name="_Toc184308058"/>
      <w:bookmarkEnd w:id="277"/>
      <w:bookmarkStart w:id="278" w:name="_Toc184308055"/>
      <w:bookmarkEnd w:id="278"/>
      <w:bookmarkStart w:id="279" w:name="_Toc184312097"/>
      <w:bookmarkEnd w:id="279"/>
      <w:bookmarkStart w:id="280" w:name="_Toc184313266"/>
      <w:bookmarkEnd w:id="280"/>
      <w:bookmarkStart w:id="281" w:name="_Toc184312087"/>
      <w:bookmarkEnd w:id="281"/>
      <w:bookmarkStart w:id="282" w:name="_Toc184308066"/>
      <w:bookmarkEnd w:id="282"/>
      <w:bookmarkStart w:id="283" w:name="_Toc184313256"/>
      <w:bookmarkEnd w:id="283"/>
      <w:bookmarkStart w:id="284" w:name="_Toc184310314"/>
      <w:bookmarkEnd w:id="284"/>
      <w:bookmarkStart w:id="285" w:name="_Toc184314438"/>
      <w:bookmarkEnd w:id="285"/>
      <w:bookmarkStart w:id="286" w:name="_Toc184314431"/>
      <w:bookmarkEnd w:id="286"/>
      <w:bookmarkStart w:id="287" w:name="_Toc184308067"/>
      <w:bookmarkEnd w:id="287"/>
      <w:bookmarkStart w:id="288" w:name="_Toc184308061"/>
      <w:bookmarkEnd w:id="288"/>
      <w:bookmarkStart w:id="289" w:name="_Toc184312070"/>
      <w:bookmarkEnd w:id="289"/>
      <w:bookmarkStart w:id="290" w:name="_Toc184312135"/>
      <w:bookmarkEnd w:id="290"/>
      <w:bookmarkStart w:id="291" w:name="_Toc184314455"/>
      <w:bookmarkEnd w:id="291"/>
      <w:bookmarkStart w:id="292" w:name="_Toc184312117"/>
      <w:bookmarkEnd w:id="292"/>
      <w:bookmarkStart w:id="293" w:name="_Toc184312094"/>
      <w:bookmarkEnd w:id="293"/>
      <w:bookmarkStart w:id="294" w:name="_Toc184313303"/>
      <w:bookmarkEnd w:id="294"/>
      <w:bookmarkStart w:id="295" w:name="_Toc184312115"/>
      <w:bookmarkEnd w:id="295"/>
      <w:bookmarkStart w:id="296" w:name="_Toc184310317"/>
      <w:bookmarkEnd w:id="296"/>
      <w:bookmarkStart w:id="297" w:name="_Toc184310336"/>
      <w:bookmarkEnd w:id="297"/>
      <w:bookmarkStart w:id="298" w:name="_Toc184310281"/>
      <w:bookmarkEnd w:id="298"/>
      <w:bookmarkStart w:id="299" w:name="_Toc184308053"/>
      <w:bookmarkEnd w:id="299"/>
      <w:bookmarkStart w:id="300" w:name="_Toc184314430"/>
      <w:bookmarkEnd w:id="300"/>
      <w:bookmarkStart w:id="301" w:name="_Toc184310322"/>
      <w:bookmarkEnd w:id="301"/>
      <w:bookmarkStart w:id="302" w:name="_Toc184313251"/>
      <w:bookmarkEnd w:id="302"/>
      <w:bookmarkStart w:id="303" w:name="_Toc184310292"/>
      <w:bookmarkEnd w:id="303"/>
      <w:bookmarkStart w:id="304" w:name="_Toc184314454"/>
      <w:bookmarkEnd w:id="304"/>
      <w:bookmarkStart w:id="305" w:name="_Toc184313307"/>
      <w:bookmarkEnd w:id="305"/>
      <w:bookmarkStart w:id="306" w:name="_Toc184314458"/>
      <w:bookmarkEnd w:id="306"/>
      <w:bookmarkStart w:id="307" w:name="_Toc184308101"/>
      <w:bookmarkEnd w:id="307"/>
      <w:bookmarkStart w:id="308" w:name="_Toc184310298"/>
      <w:bookmarkEnd w:id="308"/>
      <w:bookmarkStart w:id="309" w:name="_Toc184308081"/>
      <w:bookmarkEnd w:id="309"/>
      <w:bookmarkStart w:id="310" w:name="_Toc184310288"/>
      <w:bookmarkEnd w:id="310"/>
      <w:bookmarkStart w:id="311" w:name="_Toc184313292"/>
      <w:bookmarkEnd w:id="311"/>
      <w:bookmarkStart w:id="312" w:name="_Toc184308056"/>
      <w:bookmarkEnd w:id="312"/>
      <w:bookmarkStart w:id="313" w:name="_Toc184312086"/>
      <w:bookmarkEnd w:id="313"/>
      <w:bookmarkStart w:id="314" w:name="_Toc184313287"/>
      <w:bookmarkEnd w:id="314"/>
      <w:bookmarkStart w:id="315" w:name="_Toc184313275"/>
      <w:bookmarkEnd w:id="315"/>
      <w:bookmarkStart w:id="316" w:name="_Toc184310275"/>
      <w:bookmarkEnd w:id="316"/>
      <w:bookmarkStart w:id="317" w:name="_Toc184308054"/>
      <w:bookmarkEnd w:id="317"/>
      <w:bookmarkStart w:id="318" w:name="_Toc184314459"/>
      <w:bookmarkEnd w:id="318"/>
      <w:bookmarkStart w:id="319" w:name="_Toc184313263"/>
      <w:bookmarkEnd w:id="319"/>
      <w:bookmarkStart w:id="320" w:name="_Toc184312112"/>
      <w:bookmarkEnd w:id="320"/>
      <w:bookmarkStart w:id="321" w:name="_Toc184312116"/>
      <w:bookmarkEnd w:id="321"/>
      <w:bookmarkStart w:id="322" w:name="_Toc184308049"/>
      <w:bookmarkEnd w:id="322"/>
      <w:bookmarkStart w:id="323" w:name="_Toc184314413"/>
      <w:bookmarkEnd w:id="323"/>
      <w:bookmarkStart w:id="324" w:name="_Toc184313253"/>
      <w:bookmarkEnd w:id="324"/>
      <w:bookmarkStart w:id="325" w:name="_Toc184312069"/>
      <w:bookmarkEnd w:id="325"/>
      <w:bookmarkStart w:id="326" w:name="_Toc184314429"/>
      <w:bookmarkEnd w:id="326"/>
      <w:bookmarkStart w:id="327" w:name="_Toc184313280"/>
      <w:bookmarkEnd w:id="327"/>
      <w:bookmarkStart w:id="328" w:name="_Toc184310296"/>
      <w:bookmarkEnd w:id="328"/>
      <w:bookmarkStart w:id="329" w:name="_Toc184313306"/>
      <w:bookmarkEnd w:id="329"/>
      <w:bookmarkStart w:id="330" w:name="_Toc184308039"/>
      <w:bookmarkEnd w:id="330"/>
      <w:bookmarkStart w:id="331" w:name="_Toc184310299"/>
      <w:bookmarkEnd w:id="331"/>
      <w:bookmarkStart w:id="332" w:name="_Toc184314450"/>
      <w:bookmarkEnd w:id="332"/>
      <w:bookmarkStart w:id="333" w:name="_Toc184314449"/>
      <w:bookmarkEnd w:id="333"/>
      <w:bookmarkStart w:id="334" w:name="_Toc184313262"/>
      <w:bookmarkEnd w:id="334"/>
      <w:bookmarkStart w:id="335" w:name="_Toc184312067"/>
      <w:bookmarkEnd w:id="335"/>
      <w:bookmarkStart w:id="336" w:name="_Toc184312085"/>
      <w:bookmarkEnd w:id="336"/>
      <w:bookmarkStart w:id="337" w:name="_Toc184314428"/>
      <w:bookmarkEnd w:id="337"/>
      <w:bookmarkStart w:id="338" w:name="_Toc184310289"/>
      <w:bookmarkEnd w:id="338"/>
      <w:bookmarkStart w:id="339" w:name="_Toc184310297"/>
      <w:bookmarkEnd w:id="339"/>
      <w:bookmarkStart w:id="340" w:name="_Toc184313277"/>
      <w:bookmarkEnd w:id="340"/>
      <w:bookmarkStart w:id="341" w:name="_Toc184314478"/>
      <w:bookmarkEnd w:id="341"/>
      <w:bookmarkStart w:id="342" w:name="_Toc184312072"/>
      <w:bookmarkEnd w:id="342"/>
      <w:bookmarkStart w:id="343" w:name="_Toc184310339"/>
      <w:bookmarkEnd w:id="343"/>
      <w:bookmarkStart w:id="344" w:name="_Toc184314411"/>
      <w:bookmarkEnd w:id="344"/>
      <w:bookmarkStart w:id="345" w:name="_Toc184312073"/>
      <w:bookmarkEnd w:id="345"/>
      <w:bookmarkStart w:id="346" w:name="_Toc184313246"/>
      <w:bookmarkEnd w:id="346"/>
      <w:bookmarkStart w:id="347" w:name="_Toc184314418"/>
      <w:bookmarkEnd w:id="347"/>
      <w:bookmarkStart w:id="348" w:name="_Toc184310290"/>
      <w:bookmarkEnd w:id="348"/>
      <w:bookmarkStart w:id="349" w:name="_Toc184314474"/>
      <w:bookmarkEnd w:id="349"/>
      <w:bookmarkStart w:id="350" w:name="_Toc184308038"/>
      <w:bookmarkEnd w:id="350"/>
      <w:bookmarkStart w:id="351" w:name="_Toc184313260"/>
      <w:bookmarkEnd w:id="351"/>
      <w:bookmarkStart w:id="352" w:name="_Toc184308105"/>
      <w:bookmarkEnd w:id="352"/>
      <w:bookmarkStart w:id="353" w:name="_Toc184308043"/>
      <w:bookmarkEnd w:id="353"/>
      <w:bookmarkStart w:id="354" w:name="_Toc184308104"/>
      <w:bookmarkEnd w:id="354"/>
      <w:bookmarkStart w:id="355" w:name="_Toc184310274"/>
      <w:bookmarkEnd w:id="355"/>
      <w:bookmarkStart w:id="356" w:name="_Toc184310335"/>
      <w:bookmarkEnd w:id="356"/>
      <w:bookmarkStart w:id="357" w:name="_Toc184314417"/>
      <w:bookmarkEnd w:id="357"/>
      <w:bookmarkStart w:id="358" w:name="_Toc184310342"/>
      <w:bookmarkEnd w:id="358"/>
      <w:bookmarkStart w:id="359" w:name="_Toc184310279"/>
      <w:bookmarkEnd w:id="359"/>
      <w:bookmarkStart w:id="360" w:name="_Toc184313244"/>
      <w:bookmarkEnd w:id="360"/>
      <w:bookmarkStart w:id="361" w:name="_Toc184314416"/>
      <w:bookmarkEnd w:id="361"/>
      <w:bookmarkStart w:id="362" w:name="_Toc184310312"/>
      <w:bookmarkEnd w:id="362"/>
      <w:bookmarkStart w:id="363" w:name="_Toc184310316"/>
      <w:bookmarkEnd w:id="363"/>
      <w:bookmarkStart w:id="364" w:name="_Toc184308044"/>
      <w:bookmarkEnd w:id="364"/>
      <w:bookmarkStart w:id="365" w:name="_Toc184312076"/>
      <w:bookmarkEnd w:id="365"/>
      <w:bookmarkStart w:id="366" w:name="_Toc184310272"/>
      <w:bookmarkEnd w:id="366"/>
      <w:bookmarkStart w:id="367" w:name="_Toc184314415"/>
      <w:bookmarkEnd w:id="367"/>
      <w:bookmarkStart w:id="368" w:name="_Toc184308041"/>
      <w:bookmarkEnd w:id="368"/>
      <w:bookmarkStart w:id="369" w:name="_Toc184312111"/>
      <w:bookmarkEnd w:id="369"/>
      <w:bookmarkStart w:id="370" w:name="_Toc184314414"/>
      <w:bookmarkEnd w:id="370"/>
      <w:bookmarkStart w:id="371" w:name="_Toc184310280"/>
      <w:bookmarkEnd w:id="371"/>
      <w:bookmarkStart w:id="372" w:name="_Toc184314472"/>
      <w:bookmarkEnd w:id="372"/>
      <w:bookmarkStart w:id="373" w:name="_Toc184312077"/>
      <w:bookmarkEnd w:id="373"/>
      <w:bookmarkStart w:id="374" w:name="_Toc184310318"/>
      <w:bookmarkEnd w:id="374"/>
      <w:bookmarkStart w:id="375" w:name="_Toc184312074"/>
      <w:bookmarkEnd w:id="375"/>
      <w:bookmarkStart w:id="376" w:name="_Toc184312075"/>
      <w:bookmarkEnd w:id="376"/>
      <w:bookmarkStart w:id="377" w:name="_Toc184313245"/>
      <w:bookmarkEnd w:id="377"/>
      <w:bookmarkStart w:id="378" w:name="_Toc184313282"/>
      <w:bookmarkEnd w:id="378"/>
      <w:bookmarkStart w:id="379" w:name="_Toc184310276"/>
      <w:bookmarkEnd w:id="379"/>
      <w:bookmarkStart w:id="380" w:name="_Toc184314448"/>
      <w:bookmarkEnd w:id="380"/>
      <w:bookmarkStart w:id="381" w:name="_Toc184310278"/>
      <w:bookmarkEnd w:id="381"/>
      <w:bookmarkStart w:id="382" w:name="_Toc184310344"/>
      <w:bookmarkEnd w:id="382"/>
      <w:bookmarkStart w:id="383" w:name="_Toc184314433"/>
      <w:bookmarkEnd w:id="383"/>
      <w:bookmarkStart w:id="384" w:name="_Toc184312092"/>
      <w:bookmarkEnd w:id="384"/>
      <w:bookmarkStart w:id="385" w:name="_Toc184308075"/>
      <w:bookmarkEnd w:id="385"/>
      <w:bookmarkStart w:id="386" w:name="_Toc184312082"/>
      <w:bookmarkEnd w:id="386"/>
      <w:bookmarkStart w:id="387" w:name="_Toc184308042"/>
      <w:bookmarkEnd w:id="387"/>
      <w:bookmarkStart w:id="388" w:name="_Toc184308059"/>
      <w:bookmarkEnd w:id="388"/>
      <w:bookmarkStart w:id="389" w:name="_Toc184314425"/>
      <w:bookmarkEnd w:id="389"/>
      <w:bookmarkStart w:id="390" w:name="_Toc184313261"/>
      <w:bookmarkEnd w:id="390"/>
      <w:bookmarkStart w:id="391" w:name="_Toc184308106"/>
      <w:bookmarkEnd w:id="391"/>
      <w:r>
        <w:rPr>
          <w:rFonts w:hint="eastAsia" w:ascii="仿宋" w:hAnsi="仿宋" w:eastAsia="仿宋" w:cs="仿宋_GB2312"/>
          <w:b/>
          <w:sz w:val="36"/>
          <w:szCs w:val="36"/>
        </w:rPr>
        <w:t>评标办法</w:t>
      </w:r>
    </w:p>
    <w:p>
      <w:pPr>
        <w:snapToGrid w:val="0"/>
        <w:spacing w:line="360" w:lineRule="auto"/>
        <w:jc w:val="center"/>
        <w:rPr>
          <w:rFonts w:hint="eastAsia" w:ascii="仿宋" w:hAnsi="仿宋" w:eastAsia="仿宋" w:cs="仿宋_GB2312"/>
          <w:b/>
          <w:sz w:val="32"/>
          <w:szCs w:val="20"/>
        </w:rPr>
      </w:pPr>
      <w:r>
        <w:rPr>
          <w:rFonts w:hint="eastAsia" w:ascii="仿宋" w:hAnsi="仿宋" w:eastAsia="仿宋" w:cs="仿宋_GB2312"/>
          <w:b/>
          <w:sz w:val="32"/>
          <w:szCs w:val="20"/>
        </w:rPr>
        <w:t>评标办法前附表</w:t>
      </w:r>
    </w:p>
    <w:p>
      <w:pPr>
        <w:spacing w:line="300" w:lineRule="auto"/>
        <w:ind w:firstLine="482" w:firstLineChars="200"/>
        <w:rPr>
          <w:rFonts w:ascii="宋体"/>
          <w:b/>
          <w:bCs/>
          <w:sz w:val="24"/>
          <w:szCs w:val="24"/>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）满分为</w:t>
      </w:r>
      <w:r>
        <w:rPr>
          <w:rFonts w:ascii="宋体" w:hAnsi="宋体" w:cs="宋体"/>
          <w:b/>
          <w:bCs/>
          <w:sz w:val="24"/>
          <w:szCs w:val="24"/>
        </w:rPr>
        <w:t>100</w:t>
      </w:r>
      <w:r>
        <w:rPr>
          <w:rFonts w:hint="eastAsia" w:ascii="宋体" w:hAnsi="宋体" w:cs="宋体"/>
          <w:b/>
          <w:bCs/>
          <w:sz w:val="24"/>
          <w:szCs w:val="24"/>
        </w:rPr>
        <w:t>分。总得分</w:t>
      </w:r>
      <w:r>
        <w:rPr>
          <w:rFonts w:ascii="宋体" w:hAnsi="宋体" w:cs="宋体"/>
          <w:b/>
          <w:bCs/>
          <w:sz w:val="24"/>
          <w:szCs w:val="24"/>
        </w:rPr>
        <w:t>=</w:t>
      </w:r>
      <w:r>
        <w:rPr>
          <w:rFonts w:hint="eastAsia" w:ascii="宋体" w:hAnsi="宋体" w:cs="宋体"/>
          <w:b/>
          <w:bCs/>
          <w:sz w:val="24"/>
          <w:szCs w:val="24"/>
        </w:rPr>
        <w:t>技术得分</w:t>
      </w:r>
      <w:r>
        <w:rPr>
          <w:rFonts w:ascii="宋体" w:hAnsi="宋体" w:cs="宋体"/>
          <w:b/>
          <w:bCs/>
          <w:sz w:val="24"/>
          <w:szCs w:val="24"/>
        </w:rPr>
        <w:t>+</w:t>
      </w:r>
      <w:r>
        <w:rPr>
          <w:rFonts w:hint="eastAsia" w:ascii="宋体" w:hAnsi="宋体" w:cs="宋体"/>
          <w:b/>
          <w:bCs/>
          <w:sz w:val="24"/>
          <w:szCs w:val="24"/>
        </w:rPr>
        <w:t>商务得分；</w:t>
      </w:r>
    </w:p>
    <w:p>
      <w:pPr>
        <w:spacing w:line="300" w:lineRule="auto"/>
        <w:ind w:firstLine="482" w:firstLineChars="200"/>
        <w:rPr>
          <w:rFonts w:ascii="宋体"/>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）技术得分</w:t>
      </w:r>
      <w:r>
        <w:rPr>
          <w:rFonts w:ascii="宋体" w:hAnsi="宋体" w:cs="宋体"/>
          <w:b/>
          <w:bCs/>
          <w:sz w:val="24"/>
          <w:szCs w:val="24"/>
        </w:rPr>
        <w:t>=</w:t>
      </w:r>
      <w:r>
        <w:rPr>
          <w:rFonts w:hint="eastAsia" w:ascii="宋体" w:hAnsi="宋体" w:cs="宋体"/>
          <w:b/>
          <w:bCs/>
          <w:sz w:val="24"/>
          <w:szCs w:val="24"/>
        </w:rPr>
        <w:t>商务技术评分，商务技术评分</w:t>
      </w:r>
      <w:r>
        <w:rPr>
          <w:rFonts w:ascii="宋体" w:hAnsi="宋体" w:cs="宋体"/>
          <w:b/>
          <w:bCs/>
          <w:sz w:val="24"/>
          <w:szCs w:val="24"/>
        </w:rPr>
        <w:t>=</w:t>
      </w:r>
      <w:r>
        <w:rPr>
          <w:rFonts w:hint="eastAsia" w:ascii="宋体" w:hAnsi="宋体" w:cs="宋体"/>
          <w:b/>
          <w:bCs/>
          <w:sz w:val="24"/>
          <w:szCs w:val="24"/>
        </w:rPr>
        <w:t>各评委的有效评分的算术平均数；</w:t>
      </w:r>
    </w:p>
    <w:p>
      <w:pPr>
        <w:spacing w:line="300" w:lineRule="auto"/>
        <w:ind w:firstLine="482" w:firstLineChars="200"/>
        <w:rPr>
          <w:rFonts w:ascii="宋体"/>
          <w:b/>
          <w:bCs/>
          <w:sz w:val="24"/>
          <w:szCs w:val="24"/>
        </w:rPr>
      </w:pP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）商务得分</w:t>
      </w:r>
      <w:r>
        <w:rPr>
          <w:rFonts w:ascii="宋体" w:hAnsi="宋体" w:cs="宋体"/>
          <w:b/>
          <w:bCs/>
          <w:sz w:val="24"/>
          <w:szCs w:val="24"/>
        </w:rPr>
        <w:t>=</w:t>
      </w:r>
      <w:r>
        <w:rPr>
          <w:rFonts w:hint="eastAsia" w:ascii="宋体" w:hAnsi="宋体" w:cs="宋体"/>
          <w:b/>
          <w:bCs/>
          <w:sz w:val="24"/>
          <w:szCs w:val="24"/>
        </w:rPr>
        <w:t>（评标基准价</w:t>
      </w:r>
      <w:r>
        <w:rPr>
          <w:rFonts w:ascii="宋体" w:hAnsi="宋体" w:cs="宋体"/>
          <w:b/>
          <w:bCs/>
          <w:sz w:val="24"/>
          <w:szCs w:val="24"/>
        </w:rPr>
        <w:t>/</w:t>
      </w:r>
      <w:r>
        <w:rPr>
          <w:rFonts w:hint="eastAsia" w:ascii="宋体" w:hAnsi="宋体" w:cs="宋体"/>
          <w:b/>
          <w:bCs/>
          <w:sz w:val="24"/>
          <w:szCs w:val="24"/>
        </w:rPr>
        <w:t>投标报价）</w:t>
      </w:r>
      <w:r>
        <w:rPr>
          <w:rFonts w:ascii="宋体" w:hAnsi="宋体" w:cs="宋体"/>
          <w:b/>
          <w:bCs/>
          <w:sz w:val="24"/>
          <w:szCs w:val="24"/>
        </w:rPr>
        <w:t>*</w:t>
      </w:r>
      <w:r>
        <w:rPr>
          <w:rFonts w:hint="eastAsia" w:ascii="宋体" w:hAnsi="宋体" w:cs="宋体"/>
          <w:b/>
          <w:bCs/>
          <w:sz w:val="24"/>
          <w:szCs w:val="24"/>
        </w:rPr>
        <w:t>价格权值</w:t>
      </w:r>
      <w:r>
        <w:rPr>
          <w:rFonts w:ascii="宋体" w:hAnsi="宋体" w:cs="宋体"/>
          <w:b/>
          <w:bCs/>
          <w:sz w:val="24"/>
          <w:szCs w:val="24"/>
        </w:rPr>
        <w:t>*100</w:t>
      </w:r>
      <w:r>
        <w:rPr>
          <w:rFonts w:hint="eastAsia" w:ascii="宋体" w:hAnsi="宋体" w:cs="宋体"/>
          <w:b/>
          <w:bCs/>
          <w:sz w:val="24"/>
          <w:szCs w:val="24"/>
        </w:rPr>
        <w:t>，评标基准价</w:t>
      </w:r>
      <w:r>
        <w:rPr>
          <w:rFonts w:ascii="宋体" w:hAnsi="宋体" w:cs="宋体"/>
          <w:b/>
          <w:bCs/>
          <w:sz w:val="24"/>
          <w:szCs w:val="24"/>
        </w:rPr>
        <w:t>=</w:t>
      </w:r>
      <w:r>
        <w:rPr>
          <w:rFonts w:hint="eastAsia" w:ascii="宋体" w:hAnsi="宋体" w:cs="宋体"/>
          <w:b/>
          <w:bCs/>
          <w:sz w:val="24"/>
          <w:szCs w:val="24"/>
        </w:rPr>
        <w:t>有效投标人的最低投标报价，价格权值</w:t>
      </w:r>
      <w:r>
        <w:rPr>
          <w:rFonts w:ascii="宋体" w:hAnsi="宋体" w:cs="宋体"/>
          <w:b/>
          <w:bCs/>
          <w:sz w:val="24"/>
          <w:szCs w:val="24"/>
        </w:rPr>
        <w:t>=30%</w:t>
      </w:r>
      <w:r>
        <w:rPr>
          <w:rFonts w:hint="eastAsia" w:ascii="宋体" w:hAnsi="宋体" w:cs="宋体"/>
          <w:b/>
          <w:bCs/>
          <w:sz w:val="24"/>
          <w:szCs w:val="24"/>
        </w:rPr>
        <w:t>；</w:t>
      </w:r>
    </w:p>
    <w:p>
      <w:pPr>
        <w:spacing w:line="300" w:lineRule="auto"/>
        <w:ind w:firstLine="482" w:firstLineChars="200"/>
        <w:rPr>
          <w:rFonts w:hint="eastAsia" w:ascii="宋体" w:hAnsi="宋体" w:cs="宋体"/>
          <w:b/>
          <w:bCs/>
          <w:sz w:val="24"/>
          <w:szCs w:val="24"/>
          <w:lang w:eastAsia="zh-CN"/>
        </w:rPr>
      </w:pPr>
      <w:r>
        <w:rPr>
          <w:rFonts w:hint="eastAsia" w:ascii="宋体" w:hAnsi="宋体" w:cs="宋体"/>
          <w:b/>
          <w:bCs/>
          <w:sz w:val="24"/>
          <w:szCs w:val="24"/>
        </w:rPr>
        <w:t>（</w:t>
      </w:r>
      <w:r>
        <w:rPr>
          <w:rFonts w:ascii="宋体" w:hAnsi="宋体" w:cs="宋体"/>
          <w:b/>
          <w:bCs/>
          <w:sz w:val="24"/>
          <w:szCs w:val="24"/>
        </w:rPr>
        <w:t>4</w:t>
      </w:r>
      <w:r>
        <w:rPr>
          <w:rFonts w:hint="eastAsia" w:ascii="宋体" w:hAnsi="宋体" w:cs="宋体"/>
          <w:b/>
          <w:bCs/>
          <w:sz w:val="24"/>
          <w:szCs w:val="24"/>
        </w:rPr>
        <w:t>）技术分评分细则（</w:t>
      </w:r>
      <w:r>
        <w:rPr>
          <w:rFonts w:ascii="宋体" w:hAnsi="宋体" w:cs="宋体"/>
          <w:b/>
          <w:bCs/>
          <w:sz w:val="24"/>
          <w:szCs w:val="24"/>
        </w:rPr>
        <w:t>70</w:t>
      </w:r>
      <w:r>
        <w:rPr>
          <w:rFonts w:hint="eastAsia" w:ascii="宋体" w:hAnsi="宋体" w:cs="宋体"/>
          <w:b/>
          <w:bCs/>
          <w:sz w:val="24"/>
          <w:szCs w:val="24"/>
        </w:rPr>
        <w:t>分）</w:t>
      </w:r>
      <w:r>
        <w:rPr>
          <w:rFonts w:hint="eastAsia" w:ascii="宋体" w:hAnsi="宋体" w:cs="宋体"/>
          <w:b/>
          <w:bCs/>
          <w:sz w:val="24"/>
          <w:szCs w:val="24"/>
          <w:lang w:eastAsia="zh-CN"/>
        </w:rPr>
        <w:t>。</w:t>
      </w:r>
    </w:p>
    <w:tbl>
      <w:tblPr>
        <w:tblStyle w:val="63"/>
        <w:tblW w:w="11241" w:type="dxa"/>
        <w:tblInd w:w="-1313" w:type="dxa"/>
        <w:tblLayout w:type="fixed"/>
        <w:tblCellMar>
          <w:top w:w="0" w:type="dxa"/>
          <w:left w:w="0" w:type="dxa"/>
          <w:bottom w:w="0" w:type="dxa"/>
          <w:right w:w="0" w:type="dxa"/>
        </w:tblCellMar>
      </w:tblPr>
      <w:tblGrid>
        <w:gridCol w:w="1230"/>
        <w:gridCol w:w="1776"/>
        <w:gridCol w:w="7275"/>
        <w:gridCol w:w="960"/>
      </w:tblGrid>
      <w:tr>
        <w:tblPrEx>
          <w:tblCellMar>
            <w:top w:w="0" w:type="dxa"/>
            <w:left w:w="0" w:type="dxa"/>
            <w:bottom w:w="0" w:type="dxa"/>
            <w:right w:w="0" w:type="dxa"/>
          </w:tblCellMar>
        </w:tblPrEx>
        <w:trPr>
          <w:trHeight w:val="307"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序号</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评分内容</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评审标准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分值</w:t>
            </w:r>
          </w:p>
        </w:tc>
      </w:tr>
      <w:tr>
        <w:tblPrEx>
          <w:tblCellMar>
            <w:top w:w="0" w:type="dxa"/>
            <w:left w:w="0" w:type="dxa"/>
            <w:bottom w:w="0" w:type="dxa"/>
            <w:right w:w="0" w:type="dxa"/>
          </w:tblCellMar>
        </w:tblPrEx>
        <w:trPr>
          <w:trHeight w:val="90" w:hRule="atLeast"/>
        </w:trPr>
        <w:tc>
          <w:tcPr>
            <w:tcW w:w="1230" w:type="dxa"/>
            <w:tcBorders>
              <w:top w:val="single" w:color="000000" w:sz="4" w:space="0"/>
              <w:left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1</w:t>
            </w:r>
          </w:p>
        </w:tc>
        <w:tc>
          <w:tcPr>
            <w:tcW w:w="1776" w:type="dxa"/>
            <w:tcBorders>
              <w:top w:val="single" w:color="000000" w:sz="4" w:space="0"/>
              <w:left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投标产品响应程度和技术参数符合度</w:t>
            </w:r>
          </w:p>
        </w:tc>
        <w:tc>
          <w:tcPr>
            <w:tcW w:w="7275" w:type="dxa"/>
            <w:tcBorders>
              <w:top w:val="single" w:color="000000" w:sz="4" w:space="0"/>
              <w:left w:val="single" w:color="000000" w:sz="4" w:space="0"/>
              <w:right w:val="single" w:color="000000" w:sz="4" w:space="0"/>
            </w:tcBorders>
            <w:noWrap w:val="0"/>
            <w:vAlign w:val="center"/>
          </w:tcPr>
          <w:p>
            <w:pPr>
              <w:widowControl/>
              <w:spacing w:line="319" w:lineRule="exact"/>
              <w:rPr>
                <w:rFonts w:ascii="宋体" w:hAnsi="宋体" w:cs="宋体"/>
                <w:sz w:val="22"/>
              </w:rPr>
            </w:pPr>
            <w:r>
              <w:rPr>
                <w:rFonts w:hint="eastAsia" w:ascii="宋体" w:hAnsi="宋体" w:cs="宋体"/>
                <w:kern w:val="2"/>
                <w:sz w:val="22"/>
                <w:szCs w:val="22"/>
                <w:lang w:bidi="ar"/>
              </w:rPr>
              <w:t>根据投标文</w:t>
            </w:r>
            <w:r>
              <w:rPr>
                <w:rFonts w:hint="eastAsia" w:ascii="宋体" w:hAnsi="宋体" w:cs="宋体"/>
                <w:kern w:val="2"/>
                <w:sz w:val="22"/>
                <w:szCs w:val="22"/>
                <w:shd w:val="clear" w:color="auto" w:fill="FFFFFF"/>
                <w:lang w:bidi="ar"/>
              </w:rPr>
              <w:t>件</w:t>
            </w:r>
            <w:r>
              <w:rPr>
                <w:rFonts w:hint="eastAsia" w:ascii="宋体" w:hAnsi="宋体" w:cs="宋体"/>
                <w:color w:val="FF0000"/>
                <w:kern w:val="2"/>
                <w:sz w:val="22"/>
                <w:szCs w:val="22"/>
                <w:shd w:val="clear" w:color="auto" w:fill="FFFFFF"/>
                <w:lang w:bidi="ar"/>
              </w:rPr>
              <w:t>（产品设备、配套工程、系统平台功能及配套服务但不包含软件演示所涉及功能）</w:t>
            </w:r>
            <w:r>
              <w:rPr>
                <w:rFonts w:hint="eastAsia" w:ascii="宋体" w:hAnsi="宋体" w:cs="宋体"/>
                <w:kern w:val="2"/>
                <w:sz w:val="22"/>
                <w:szCs w:val="22"/>
                <w:shd w:val="clear" w:color="auto" w:fill="FFFFFF"/>
                <w:lang w:bidi="ar"/>
              </w:rPr>
              <w:t>的响应度、符合度打分，</w:t>
            </w:r>
            <w:r>
              <w:rPr>
                <w:rFonts w:hint="eastAsia" w:ascii="宋体" w:hAnsi="宋体" w:cs="宋体"/>
                <w:kern w:val="2"/>
                <w:sz w:val="22"/>
                <w:szCs w:val="22"/>
                <w:lang w:bidi="ar"/>
              </w:rPr>
              <w:t>全部满足</w:t>
            </w:r>
            <w:r>
              <w:rPr>
                <w:rFonts w:hint="eastAsia" w:ascii="宋体" w:hAnsi="宋体" w:cs="宋体"/>
                <w:kern w:val="2"/>
                <w:sz w:val="22"/>
                <w:szCs w:val="22"/>
                <w:shd w:val="clear" w:color="auto" w:fill="FFFFFF"/>
                <w:lang w:bidi="ar"/>
              </w:rPr>
              <w:t>得30分，打▲负偏离或不满足一项，扣2分，其他项负偏离或不满足酌情扣分，扣完为止。若要求提供证明材料的须按提供证明材料复印件且具体内容清晰可见，加盖</w:t>
            </w:r>
            <w:r>
              <w:rPr>
                <w:rFonts w:ascii="宋体" w:hAnsi="宋体" w:cs="宋体"/>
                <w:kern w:val="2"/>
                <w:sz w:val="22"/>
                <w:szCs w:val="22"/>
                <w:shd w:val="clear" w:color="auto" w:fill="FFFFFF"/>
                <w:lang w:bidi="ar"/>
              </w:rPr>
              <w:t>投标单位</w:t>
            </w:r>
            <w:r>
              <w:rPr>
                <w:rFonts w:hint="eastAsia" w:ascii="宋体" w:hAnsi="宋体" w:cs="宋体"/>
                <w:kern w:val="2"/>
                <w:sz w:val="22"/>
                <w:szCs w:val="22"/>
                <w:shd w:val="clear" w:color="auto" w:fill="FFFFFF"/>
                <w:lang w:bidi="ar"/>
              </w:rPr>
              <w:t>公章，否则不得分。</w:t>
            </w:r>
          </w:p>
        </w:tc>
        <w:tc>
          <w:tcPr>
            <w:tcW w:w="960" w:type="dxa"/>
            <w:tcBorders>
              <w:top w:val="single" w:color="000000" w:sz="4" w:space="0"/>
              <w:left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30分</w:t>
            </w:r>
          </w:p>
        </w:tc>
      </w:tr>
      <w:tr>
        <w:tblPrEx>
          <w:tblCellMar>
            <w:top w:w="0" w:type="dxa"/>
            <w:left w:w="0" w:type="dxa"/>
            <w:bottom w:w="0" w:type="dxa"/>
            <w:right w:w="0" w:type="dxa"/>
          </w:tblCellMar>
        </w:tblPrEx>
        <w:trPr>
          <w:trHeight w:val="1321"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ascii="宋体" w:hAnsi="宋体" w:cs="宋体"/>
                <w:sz w:val="22"/>
              </w:rPr>
              <w:t>2</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22"/>
              </w:rPr>
            </w:pPr>
            <w:r>
              <w:rPr>
                <w:rFonts w:hint="eastAsia" w:ascii="宋体" w:hAnsi="宋体" w:cs="宋体"/>
                <w:sz w:val="22"/>
              </w:rPr>
              <w:t>投标单位同类项目业绩</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sz w:val="22"/>
              </w:rPr>
            </w:pPr>
            <w:r>
              <w:rPr>
                <w:rFonts w:hint="eastAsia" w:ascii="宋体" w:hAnsi="宋体" w:cs="宋体"/>
                <w:sz w:val="22"/>
              </w:rPr>
              <w:t>投标单位提供近5年以来电商专业建设类似项目业绩证明材料，一份得1分，业绩最高得3分。（</w:t>
            </w:r>
            <w:r>
              <w:rPr>
                <w:rFonts w:hint="eastAsia"/>
                <w:sz w:val="22"/>
              </w:rPr>
              <w:t>时间以合同签订时间为准，</w:t>
            </w:r>
            <w:r>
              <w:rPr>
                <w:rFonts w:hint="eastAsia"/>
                <w:b/>
                <w:sz w:val="22"/>
              </w:rPr>
              <w:t>须提供业绩的合同扫描件</w:t>
            </w:r>
            <w:r>
              <w:rPr>
                <w:rFonts w:hint="eastAsia"/>
                <w:sz w:val="22"/>
              </w:rPr>
              <w:t>，并加盖供应商公章，否则不得分。</w:t>
            </w:r>
            <w:r>
              <w:rPr>
                <w:rFonts w:hint="eastAsia" w:ascii="宋体" w:hAnsi="宋体" w:cs="宋体"/>
                <w:sz w:val="22"/>
              </w:rPr>
              <w:t>如果中标后发现弄虚作假，将报有关部门处理）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sz w:val="22"/>
              </w:rPr>
            </w:pPr>
            <w:r>
              <w:rPr>
                <w:rFonts w:hint="eastAsia" w:ascii="宋体" w:hAnsi="宋体" w:cs="宋体"/>
                <w:sz w:val="22"/>
              </w:rPr>
              <w:t>3分</w:t>
            </w:r>
          </w:p>
        </w:tc>
      </w:tr>
      <w:tr>
        <w:tblPrEx>
          <w:tblCellMar>
            <w:top w:w="0" w:type="dxa"/>
            <w:left w:w="0" w:type="dxa"/>
            <w:bottom w:w="0" w:type="dxa"/>
            <w:right w:w="0" w:type="dxa"/>
          </w:tblCellMar>
        </w:tblPrEx>
        <w:trPr>
          <w:trHeight w:val="2466"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sz w:val="22"/>
              </w:rPr>
            </w:pPr>
            <w:r>
              <w:rPr>
                <w:rFonts w:hint="eastAsia" w:ascii="宋体"/>
                <w:sz w:val="22"/>
              </w:rPr>
              <w:t>3</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sz w:val="22"/>
              </w:rPr>
            </w:pPr>
            <w:r>
              <w:rPr>
                <w:rFonts w:hint="eastAsia" w:ascii="宋体"/>
                <w:sz w:val="22"/>
              </w:rPr>
              <w:t>软件功能演示</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22"/>
              </w:rPr>
            </w:pPr>
            <w:r>
              <w:rPr>
                <w:rFonts w:hint="eastAsia" w:ascii="宋体" w:hAnsi="宋体" w:cs="宋体"/>
                <w:sz w:val="22"/>
              </w:rPr>
              <w:t>投标时提供无剪切录制的功能演示视频一套（U盘等存储介质），以签收时间为准，逾期送达不予接收，投标单位应当确保U盘能够打开运行并正式使用，未提供或无法打开，该项得0分。</w:t>
            </w:r>
          </w:p>
          <w:p>
            <w:pPr>
              <w:numPr>
                <w:ilvl w:val="0"/>
                <w:numId w:val="6"/>
              </w:numPr>
              <w:rPr>
                <w:rFonts w:ascii="宋体" w:hAnsi="宋体" w:cs="宋体"/>
                <w:sz w:val="22"/>
              </w:rPr>
            </w:pPr>
            <w:r>
              <w:rPr>
                <w:rFonts w:hint="eastAsia" w:ascii="宋体" w:hAnsi="宋体" w:cs="宋体"/>
                <w:sz w:val="22"/>
              </w:rPr>
              <w:t>信息化教学平台现场演示全部满足得12分，</w:t>
            </w:r>
            <w:r>
              <w:rPr>
                <w:rFonts w:hint="eastAsia" w:ascii="宋体" w:hAnsi="宋体" w:cs="宋体"/>
                <w:color w:val="FF0000"/>
                <w:sz w:val="22"/>
              </w:rPr>
              <w:t>（不满足扣相应分数）</w:t>
            </w:r>
            <w:r>
              <w:rPr>
                <w:rFonts w:hint="eastAsia" w:ascii="宋体" w:hAnsi="宋体" w:cs="宋体"/>
                <w:sz w:val="22"/>
              </w:rPr>
              <w:t>扣完为止。</w:t>
            </w:r>
          </w:p>
          <w:p>
            <w:pPr>
              <w:widowControl/>
              <w:jc w:val="left"/>
              <w:rPr>
                <w:rFonts w:ascii="宋体" w:hAnsi="宋体" w:cs="宋体"/>
                <w:sz w:val="22"/>
              </w:rPr>
            </w:pPr>
            <w:r>
              <w:rPr>
                <w:rFonts w:hint="eastAsia" w:ascii="宋体" w:hAnsi="宋体" w:cs="宋体"/>
                <w:sz w:val="22"/>
              </w:rPr>
              <w:t>平台需包括课程、技能、班级三大功能。</w:t>
            </w:r>
          </w:p>
          <w:p>
            <w:pPr>
              <w:widowControl/>
              <w:jc w:val="left"/>
              <w:rPr>
                <w:rFonts w:ascii="宋体" w:hAnsi="宋体" w:cs="宋体"/>
                <w:sz w:val="22"/>
              </w:rPr>
            </w:pPr>
            <w:r>
              <w:rPr>
                <w:rFonts w:hint="eastAsia" w:ascii="宋体" w:hAnsi="宋体" w:cs="宋体"/>
                <w:sz w:val="22"/>
              </w:rPr>
              <w:t>1）课程需提供电商基础、网络营销、电商运营、移动电商、跨境电商、摄影/设计、产品/开发、能力/职业认证8大课程资源</w:t>
            </w:r>
            <w:r>
              <w:rPr>
                <w:rFonts w:hint="eastAsia" w:ascii="宋体" w:hAnsi="宋体" w:cs="宋体"/>
                <w:color w:val="FF0000"/>
                <w:sz w:val="22"/>
              </w:rPr>
              <w:t>（2分）</w:t>
            </w:r>
            <w:r>
              <w:rPr>
                <w:rFonts w:hint="eastAsia" w:ascii="宋体" w:hAnsi="宋体" w:cs="宋体"/>
                <w:sz w:val="22"/>
              </w:rPr>
              <w:t>。资源包括课程列表、课程介绍、评论三部分，课程列表囊括每个课程的视频资源，课程介绍详解介绍每个课程的具体内容，评论针对每个课程内容进行线上评论沟通</w:t>
            </w:r>
            <w:r>
              <w:rPr>
                <w:rFonts w:hint="eastAsia" w:ascii="宋体" w:hAnsi="宋体" w:cs="宋体"/>
                <w:color w:val="FF0000"/>
                <w:sz w:val="22"/>
              </w:rPr>
              <w:t>（2分）</w:t>
            </w:r>
            <w:r>
              <w:rPr>
                <w:rFonts w:hint="eastAsia" w:ascii="宋体" w:hAnsi="宋体" w:cs="宋体"/>
                <w:sz w:val="22"/>
              </w:rPr>
              <w:t>。</w:t>
            </w:r>
          </w:p>
          <w:p>
            <w:pPr>
              <w:widowControl/>
              <w:jc w:val="left"/>
              <w:rPr>
                <w:rFonts w:ascii="宋体" w:hAnsi="宋体" w:cs="宋体"/>
                <w:sz w:val="22"/>
              </w:rPr>
            </w:pPr>
            <w:r>
              <w:rPr>
                <w:rFonts w:hint="eastAsia" w:ascii="宋体" w:hAnsi="宋体" w:cs="宋体"/>
                <w:sz w:val="22"/>
              </w:rPr>
              <w:t>2）技能模块需提供实训、实战、竞技、证书四部分</w:t>
            </w:r>
            <w:r>
              <w:rPr>
                <w:rFonts w:hint="eastAsia" w:ascii="宋体" w:hAnsi="宋体" w:cs="宋体"/>
                <w:color w:val="FF0000"/>
                <w:sz w:val="22"/>
              </w:rPr>
              <w:t>（2分）</w:t>
            </w:r>
            <w:r>
              <w:rPr>
                <w:rFonts w:hint="eastAsia" w:ascii="宋体" w:hAnsi="宋体" w:cs="宋体"/>
                <w:sz w:val="22"/>
              </w:rPr>
              <w:t>，需提供电商基础、网络营销、电商运营、移动电商、摄影/设计、产品/开发实训6大核心课程的实训训练任务、实战任务</w:t>
            </w:r>
            <w:r>
              <w:rPr>
                <w:rFonts w:hint="eastAsia" w:ascii="宋体" w:hAnsi="宋体" w:cs="宋体"/>
                <w:color w:val="FF0000"/>
                <w:sz w:val="22"/>
              </w:rPr>
              <w:t>（2分）</w:t>
            </w:r>
            <w:r>
              <w:rPr>
                <w:rFonts w:hint="eastAsia" w:ascii="宋体" w:hAnsi="宋体" w:cs="宋体"/>
                <w:sz w:val="22"/>
              </w:rPr>
              <w:t>，针对电商专业学校提供线上专项竞赛</w:t>
            </w:r>
            <w:r>
              <w:rPr>
                <w:rFonts w:hint="eastAsia" w:ascii="宋体" w:hAnsi="宋体" w:cs="宋体"/>
                <w:color w:val="FF0000"/>
                <w:sz w:val="22"/>
              </w:rPr>
              <w:t>（1分）</w:t>
            </w:r>
            <w:r>
              <w:rPr>
                <w:rFonts w:hint="eastAsia" w:ascii="宋体" w:hAnsi="宋体" w:cs="宋体"/>
                <w:sz w:val="22"/>
              </w:rPr>
              <w:t>，学生可获取电子商务类专项证书</w:t>
            </w:r>
            <w:r>
              <w:rPr>
                <w:rFonts w:hint="eastAsia" w:ascii="宋体" w:hAnsi="宋体" w:cs="宋体"/>
                <w:color w:val="FF0000"/>
                <w:sz w:val="22"/>
              </w:rPr>
              <w:t>（1分）</w:t>
            </w:r>
            <w:r>
              <w:rPr>
                <w:rFonts w:hint="eastAsia" w:ascii="宋体" w:hAnsi="宋体" w:cs="宋体"/>
                <w:sz w:val="22"/>
              </w:rPr>
              <w:t>。</w:t>
            </w:r>
          </w:p>
          <w:p>
            <w:pPr>
              <w:pStyle w:val="2"/>
              <w:rPr>
                <w:rFonts w:ascii="宋体" w:hAnsi="宋体" w:cs="宋体"/>
                <w:sz w:val="22"/>
              </w:rPr>
            </w:pPr>
            <w:r>
              <w:rPr>
                <w:rFonts w:hint="eastAsia" w:ascii="宋体" w:hAnsi="宋体" w:cs="宋体"/>
                <w:sz w:val="22"/>
              </w:rPr>
              <w:t>3）班级模块中需包括课程、作业、测验、资料、公告、考勤、讨论等，辅助教师进行信息化教学</w:t>
            </w:r>
            <w:r>
              <w:rPr>
                <w:rFonts w:hint="eastAsia" w:ascii="宋体" w:hAnsi="宋体" w:cs="宋体"/>
                <w:color w:val="FF0000"/>
                <w:sz w:val="22"/>
              </w:rPr>
              <w:t>（2分）</w:t>
            </w:r>
            <w:r>
              <w:rPr>
                <w:rFonts w:hint="eastAsia" w:ascii="宋体" w:hAnsi="宋体" w:cs="宋体"/>
                <w:sz w:val="22"/>
              </w:rPr>
              <w:t>。</w:t>
            </w:r>
          </w:p>
          <w:p>
            <w:pPr>
              <w:rPr>
                <w:rFonts w:ascii="宋体" w:hAnsi="宋体" w:cs="宋体"/>
                <w:sz w:val="22"/>
              </w:rPr>
            </w:pPr>
            <w:r>
              <w:rPr>
                <w:rFonts w:hint="eastAsia" w:ascii="宋体" w:hAnsi="宋体" w:cs="宋体"/>
                <w:sz w:val="22"/>
              </w:rPr>
              <w:t>二、农产品社交媒体营销功能模块现场演示全部满足得8分，</w:t>
            </w:r>
            <w:r>
              <w:rPr>
                <w:rFonts w:hint="eastAsia" w:ascii="宋体" w:hAnsi="宋体" w:cs="宋体"/>
                <w:color w:val="FF0000"/>
                <w:sz w:val="22"/>
              </w:rPr>
              <w:t>（不满足扣相应分数）</w:t>
            </w:r>
            <w:r>
              <w:rPr>
                <w:rFonts w:hint="eastAsia" w:ascii="宋体" w:hAnsi="宋体" w:cs="宋体"/>
                <w:sz w:val="22"/>
              </w:rPr>
              <w:t>，扣完为止。</w:t>
            </w:r>
          </w:p>
          <w:p>
            <w:pPr>
              <w:pStyle w:val="2"/>
              <w:rPr>
                <w:rFonts w:ascii="宋体" w:hAnsi="宋体" w:cs="宋体"/>
                <w:sz w:val="22"/>
              </w:rPr>
            </w:pPr>
            <w:r>
              <w:rPr>
                <w:rFonts w:hint="eastAsia" w:ascii="宋体" w:hAnsi="宋体" w:cs="宋体"/>
                <w:sz w:val="22"/>
              </w:rPr>
              <w:t>包含微信营销</w:t>
            </w:r>
            <w:r>
              <w:rPr>
                <w:rFonts w:hint="eastAsia" w:ascii="宋体" w:hAnsi="宋体" w:cs="宋体"/>
                <w:color w:val="FF0000"/>
                <w:sz w:val="22"/>
              </w:rPr>
              <w:t>（</w:t>
            </w:r>
            <w:r>
              <w:rPr>
                <w:rFonts w:ascii="宋体" w:hAnsi="宋体" w:cs="宋体"/>
                <w:color w:val="FF0000"/>
                <w:sz w:val="22"/>
              </w:rPr>
              <w:t>1</w:t>
            </w:r>
            <w:r>
              <w:rPr>
                <w:rFonts w:hint="eastAsia" w:ascii="宋体" w:hAnsi="宋体" w:cs="宋体"/>
                <w:color w:val="FF0000"/>
                <w:sz w:val="22"/>
              </w:rPr>
              <w:t>分）</w:t>
            </w:r>
            <w:r>
              <w:rPr>
                <w:rFonts w:hint="eastAsia" w:ascii="宋体" w:hAnsi="宋体" w:cs="宋体"/>
                <w:sz w:val="22"/>
              </w:rPr>
              <w:t>、微博营销</w:t>
            </w:r>
            <w:r>
              <w:rPr>
                <w:rFonts w:hint="eastAsia" w:ascii="宋体" w:hAnsi="宋体" w:cs="宋体"/>
                <w:color w:val="FF0000"/>
                <w:sz w:val="22"/>
              </w:rPr>
              <w:t>（</w:t>
            </w:r>
            <w:r>
              <w:rPr>
                <w:rFonts w:ascii="宋体" w:hAnsi="宋体" w:cs="宋体"/>
                <w:color w:val="FF0000"/>
                <w:sz w:val="22"/>
              </w:rPr>
              <w:t>1</w:t>
            </w:r>
            <w:r>
              <w:rPr>
                <w:rFonts w:hint="eastAsia" w:ascii="宋体" w:hAnsi="宋体" w:cs="宋体"/>
                <w:color w:val="FF0000"/>
                <w:sz w:val="22"/>
              </w:rPr>
              <w:t>分）</w:t>
            </w:r>
            <w:r>
              <w:rPr>
                <w:rFonts w:hint="eastAsia" w:ascii="宋体" w:hAnsi="宋体" w:cs="宋体"/>
                <w:sz w:val="22"/>
              </w:rPr>
              <w:t>、社群营销</w:t>
            </w:r>
            <w:r>
              <w:rPr>
                <w:rFonts w:hint="eastAsia" w:ascii="宋体" w:hAnsi="宋体" w:cs="宋体"/>
                <w:color w:val="FF0000"/>
                <w:sz w:val="22"/>
              </w:rPr>
              <w:t>（</w:t>
            </w:r>
            <w:r>
              <w:rPr>
                <w:rFonts w:ascii="宋体" w:hAnsi="宋体" w:cs="宋体"/>
                <w:color w:val="FF0000"/>
                <w:sz w:val="22"/>
              </w:rPr>
              <w:t>1</w:t>
            </w:r>
            <w:r>
              <w:rPr>
                <w:rFonts w:hint="eastAsia" w:ascii="宋体" w:hAnsi="宋体" w:cs="宋体"/>
                <w:color w:val="FF0000"/>
                <w:sz w:val="22"/>
              </w:rPr>
              <w:t>分）</w:t>
            </w:r>
            <w:r>
              <w:rPr>
                <w:rFonts w:hint="eastAsia" w:ascii="宋体" w:hAnsi="宋体" w:cs="宋体"/>
                <w:sz w:val="22"/>
              </w:rPr>
              <w:t>和各模块数据看板</w:t>
            </w:r>
            <w:r>
              <w:rPr>
                <w:rFonts w:hint="eastAsia" w:ascii="宋体" w:hAnsi="宋体" w:cs="宋体"/>
                <w:color w:val="FF0000"/>
                <w:sz w:val="22"/>
              </w:rPr>
              <w:t>（</w:t>
            </w:r>
            <w:r>
              <w:rPr>
                <w:rFonts w:ascii="宋体" w:hAnsi="宋体" w:cs="宋体"/>
                <w:color w:val="FF0000"/>
                <w:sz w:val="22"/>
              </w:rPr>
              <w:t>1</w:t>
            </w:r>
            <w:r>
              <w:rPr>
                <w:rFonts w:hint="eastAsia" w:ascii="宋体" w:hAnsi="宋体" w:cs="宋体"/>
                <w:color w:val="FF0000"/>
                <w:sz w:val="22"/>
              </w:rPr>
              <w:t>分）</w:t>
            </w:r>
            <w:r>
              <w:rPr>
                <w:rFonts w:hint="eastAsia" w:ascii="宋体" w:hAnsi="宋体" w:cs="宋体"/>
                <w:sz w:val="22"/>
              </w:rPr>
              <w:t>。该模块以社群营销为主线，通过社群构建、群内容分享、群接龙、群互动、群转化、群裂变多个阶段，提升群曝光、群活跃度，从而提升农产品营销目标</w:t>
            </w:r>
            <w:r>
              <w:rPr>
                <w:rFonts w:hint="eastAsia" w:ascii="宋体" w:hAnsi="宋体" w:cs="宋体"/>
                <w:color w:val="FF0000"/>
                <w:sz w:val="22"/>
              </w:rPr>
              <w:t>（2分）</w:t>
            </w:r>
            <w:r>
              <w:rPr>
                <w:rFonts w:hint="eastAsia" w:ascii="宋体" w:hAnsi="宋体" w:cs="宋体"/>
                <w:sz w:val="22"/>
              </w:rPr>
              <w:t>，通过微信营销、微博营销及数据分析提升社交媒体营销综合能力</w:t>
            </w:r>
            <w:r>
              <w:rPr>
                <w:rFonts w:hint="eastAsia" w:ascii="宋体" w:hAnsi="宋体" w:cs="宋体"/>
                <w:color w:val="FF0000"/>
                <w:sz w:val="22"/>
              </w:rPr>
              <w:t>（2分）</w:t>
            </w:r>
            <w:r>
              <w:rPr>
                <w:rFonts w:hint="eastAsia" w:ascii="宋体" w:hAnsi="宋体" w:cs="宋体"/>
                <w:sz w:val="22"/>
              </w:rPr>
              <w:t>。</w:t>
            </w:r>
          </w:p>
          <w:p>
            <w:pPr>
              <w:rPr>
                <w:rFonts w:ascii="宋体" w:hAnsi="宋体" w:cs="宋体"/>
                <w:sz w:val="22"/>
              </w:rPr>
            </w:pPr>
            <w:r>
              <w:rPr>
                <w:rFonts w:hint="eastAsia" w:ascii="宋体" w:hAnsi="宋体" w:cs="宋体"/>
                <w:sz w:val="22"/>
              </w:rPr>
              <w:t>三、直播营销功能模块现场演示全部满足得8分，</w:t>
            </w:r>
            <w:r>
              <w:rPr>
                <w:rFonts w:hint="eastAsia" w:ascii="宋体" w:hAnsi="宋体" w:cs="宋体"/>
                <w:color w:val="FF0000"/>
                <w:sz w:val="22"/>
              </w:rPr>
              <w:t>（不满足扣相应分数）</w:t>
            </w:r>
            <w:r>
              <w:rPr>
                <w:rFonts w:hint="eastAsia" w:ascii="宋体" w:hAnsi="宋体" w:cs="宋体"/>
                <w:sz w:val="22"/>
              </w:rPr>
              <w:t>，扣完为止。</w:t>
            </w:r>
          </w:p>
          <w:p>
            <w:pPr>
              <w:pStyle w:val="2"/>
              <w:rPr>
                <w:rFonts w:ascii="宋体" w:hAnsi="宋体" w:cs="宋体"/>
                <w:sz w:val="22"/>
              </w:rPr>
            </w:pPr>
            <w:r>
              <w:rPr>
                <w:rFonts w:hint="eastAsia" w:ascii="宋体" w:hAnsi="宋体" w:cs="宋体"/>
                <w:sz w:val="22"/>
              </w:rPr>
              <w:t>（1）直播规划和前期准备，撰写整场直播脚本，编写直播预告文案，制作和发布直播预告；</w:t>
            </w:r>
            <w:r>
              <w:rPr>
                <w:rFonts w:hint="eastAsia" w:ascii="宋体" w:hAnsi="宋体" w:cs="宋体"/>
                <w:color w:val="FF0000"/>
                <w:sz w:val="22"/>
              </w:rPr>
              <w:t>（2分）</w:t>
            </w:r>
            <w:r>
              <w:rPr>
                <w:rFonts w:ascii="宋体" w:hAnsi="宋体" w:cs="宋体"/>
                <w:sz w:val="22"/>
              </w:rPr>
              <w:br w:type="textWrapping"/>
            </w:r>
            <w:r>
              <w:rPr>
                <w:rFonts w:hint="eastAsia" w:ascii="宋体" w:hAnsi="宋体" w:cs="宋体"/>
                <w:sz w:val="22"/>
              </w:rPr>
              <w:t>（2）直播间装修、直播过程实施和智能主播助理设置;</w:t>
            </w:r>
            <w:r>
              <w:rPr>
                <w:rFonts w:hint="eastAsia" w:ascii="宋体" w:hAnsi="宋体" w:cs="宋体"/>
                <w:color w:val="FF0000"/>
                <w:sz w:val="22"/>
              </w:rPr>
              <w:t xml:space="preserve"> （2分）</w:t>
            </w:r>
            <w:r>
              <w:rPr>
                <w:rFonts w:ascii="宋体" w:hAnsi="宋体" w:cs="宋体"/>
                <w:sz w:val="22"/>
              </w:rPr>
              <w:br w:type="textWrapping"/>
            </w:r>
            <w:r>
              <w:rPr>
                <w:rFonts w:hint="eastAsia" w:ascii="宋体" w:hAnsi="宋体" w:cs="宋体"/>
                <w:sz w:val="22"/>
              </w:rPr>
              <w:t>（3）直播管理和营销活动包含设置公告、直播商品上架、秒杀设置和推送、分享抽奖、优惠券红包、倒计时红包等直播粉丝互动工具；支持粉丝互动评论和禁言。</w:t>
            </w:r>
            <w:r>
              <w:rPr>
                <w:rFonts w:hint="eastAsia" w:ascii="宋体" w:hAnsi="宋体" w:cs="宋体"/>
                <w:color w:val="FF0000"/>
                <w:sz w:val="22"/>
              </w:rPr>
              <w:t>（2分）</w:t>
            </w:r>
            <w:r>
              <w:rPr>
                <w:rFonts w:ascii="宋体" w:hAnsi="宋体" w:cs="宋体"/>
                <w:sz w:val="22"/>
              </w:rPr>
              <w:br w:type="textWrapping"/>
            </w:r>
            <w:r>
              <w:rPr>
                <w:rFonts w:hint="eastAsia" w:ascii="宋体" w:hAnsi="宋体" w:cs="宋体"/>
                <w:sz w:val="22"/>
              </w:rPr>
              <w:t>（4）数据分析包含直播数据看板和分析问题，分析看板数据，回答问题和撰写分析结论。</w:t>
            </w:r>
            <w:r>
              <w:rPr>
                <w:rFonts w:hint="eastAsia" w:ascii="宋体" w:hAnsi="宋体" w:cs="宋体"/>
                <w:color w:val="FF0000"/>
                <w:sz w:val="22"/>
              </w:rPr>
              <w:t>（2分）</w:t>
            </w:r>
          </w:p>
          <w:p>
            <w:pPr>
              <w:pStyle w:val="3"/>
              <w:rPr>
                <w:rFonts w:hint="eastAsia" w:ascii="宋体" w:hAnsi="宋体" w:cs="宋体"/>
                <w:sz w:val="22"/>
              </w:rPr>
            </w:pPr>
            <w:r>
              <w:rPr>
                <w:rFonts w:hint="eastAsia" w:ascii="宋体" w:hAnsi="宋体" w:cs="宋体"/>
                <w:color w:val="FF0000"/>
                <w:sz w:val="22"/>
              </w:rPr>
              <w:t>注：投标人应结合采购需求演示系统内容，尽可能阐述系统实质性功能，演示时间不超过1</w:t>
            </w:r>
            <w:r>
              <w:rPr>
                <w:rFonts w:ascii="宋体" w:hAnsi="宋体" w:cs="宋体"/>
                <w:color w:val="FF0000"/>
                <w:sz w:val="22"/>
              </w:rPr>
              <w:t>5</w:t>
            </w:r>
            <w:r>
              <w:rPr>
                <w:rFonts w:hint="eastAsia" w:ascii="宋体" w:hAnsi="宋体" w:cs="宋体"/>
                <w:color w:val="FF0000"/>
                <w:sz w:val="22"/>
              </w:rPr>
              <w:t>分钟，评标委员会根据系统演示内容是否实质性满足采购人需求评分。对微偏差或有偏差但不影响系统实际功能或采购人实质性需求的，经评标委员会综合评定应给予得分。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sz w:val="22"/>
              </w:rPr>
            </w:pPr>
            <w:r>
              <w:rPr>
                <w:rFonts w:hint="eastAsia" w:ascii="宋体"/>
                <w:sz w:val="22"/>
              </w:rPr>
              <w:t>28分</w:t>
            </w:r>
          </w:p>
        </w:tc>
      </w:tr>
      <w:tr>
        <w:tblPrEx>
          <w:tblCellMar>
            <w:top w:w="0" w:type="dxa"/>
            <w:left w:w="0" w:type="dxa"/>
            <w:bottom w:w="0" w:type="dxa"/>
            <w:right w:w="0" w:type="dxa"/>
          </w:tblCellMar>
        </w:tblPrEx>
        <w:trPr>
          <w:trHeight w:val="1204"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sz w:val="22"/>
              </w:rPr>
            </w:pPr>
            <w:r>
              <w:rPr>
                <w:rFonts w:hint="eastAsia" w:ascii="宋体"/>
                <w:sz w:val="22"/>
              </w:rPr>
              <w:t>4</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sz w:val="22"/>
              </w:rPr>
            </w:pPr>
            <w:r>
              <w:rPr>
                <w:rFonts w:hint="eastAsia" w:ascii="宋体"/>
                <w:sz w:val="22"/>
              </w:rPr>
              <w:t>项目实施方案</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sz w:val="22"/>
              </w:rPr>
            </w:pPr>
            <w:r>
              <w:rPr>
                <w:rFonts w:hint="eastAsia" w:ascii="宋体"/>
                <w:sz w:val="22"/>
              </w:rPr>
              <w:t>根据投标单位提供的质量管理的方针、目标和承诺、实施计划、具体的供货、安装、调试等实施方案，由评委打分。（非常全面科学合理可行的最高得</w:t>
            </w:r>
            <w:r>
              <w:rPr>
                <w:rFonts w:ascii="宋体"/>
                <w:sz w:val="22"/>
              </w:rPr>
              <w:t>5</w:t>
            </w:r>
            <w:r>
              <w:rPr>
                <w:rFonts w:hint="eastAsia" w:ascii="宋体"/>
                <w:sz w:val="22"/>
              </w:rPr>
              <w:t>分，基本合理的最高得</w:t>
            </w:r>
            <w:r>
              <w:rPr>
                <w:rFonts w:ascii="宋体"/>
                <w:sz w:val="22"/>
              </w:rPr>
              <w:t>3</w:t>
            </w:r>
            <w:r>
              <w:rPr>
                <w:rFonts w:hint="eastAsia" w:ascii="宋体"/>
                <w:sz w:val="22"/>
              </w:rPr>
              <w:t>分，部分合理的最高得2分。）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sz w:val="22"/>
              </w:rPr>
            </w:pPr>
            <w:r>
              <w:rPr>
                <w:rFonts w:ascii="宋体"/>
                <w:sz w:val="22"/>
              </w:rPr>
              <w:t>5</w:t>
            </w:r>
            <w:r>
              <w:rPr>
                <w:rFonts w:hint="eastAsia" w:ascii="宋体"/>
                <w:sz w:val="22"/>
              </w:rPr>
              <w:t>分</w:t>
            </w:r>
          </w:p>
        </w:tc>
      </w:tr>
      <w:tr>
        <w:tblPrEx>
          <w:tblCellMar>
            <w:top w:w="0" w:type="dxa"/>
            <w:left w:w="0" w:type="dxa"/>
            <w:bottom w:w="0" w:type="dxa"/>
            <w:right w:w="0" w:type="dxa"/>
          </w:tblCellMar>
        </w:tblPrEx>
        <w:trPr>
          <w:trHeight w:val="1495" w:hRule="atLeast"/>
        </w:trPr>
        <w:tc>
          <w:tcPr>
            <w:tcW w:w="12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sz w:val="22"/>
              </w:rPr>
            </w:pPr>
            <w:r>
              <w:rPr>
                <w:rFonts w:hint="eastAsia" w:ascii="宋体"/>
                <w:sz w:val="22"/>
              </w:rPr>
              <w:t>5</w:t>
            </w:r>
          </w:p>
        </w:tc>
        <w:tc>
          <w:tcPr>
            <w:tcW w:w="1776"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sz w:val="22"/>
              </w:rPr>
            </w:pPr>
            <w:r>
              <w:rPr>
                <w:rFonts w:hint="eastAsia" w:ascii="宋体"/>
                <w:sz w:val="22"/>
              </w:rPr>
              <w:t>售后服务及培训计划</w:t>
            </w:r>
          </w:p>
        </w:tc>
        <w:tc>
          <w:tcPr>
            <w:tcW w:w="7275"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sz w:val="22"/>
              </w:rPr>
            </w:pPr>
            <w:r>
              <w:rPr>
                <w:rFonts w:hint="eastAsia" w:ascii="宋体"/>
                <w:sz w:val="22"/>
              </w:rPr>
              <w:t>根据投标单位售后服务的响应速度、赶赴现场时间、售后服务人员配备等进行打分，最高得2分。</w:t>
            </w:r>
          </w:p>
          <w:p>
            <w:pPr>
              <w:widowControl/>
              <w:rPr>
                <w:rFonts w:ascii="宋体"/>
                <w:sz w:val="22"/>
              </w:rPr>
            </w:pPr>
            <w:r>
              <w:rPr>
                <w:rFonts w:hint="eastAsia" w:ascii="宋体"/>
                <w:color w:val="FF0000"/>
                <w:sz w:val="22"/>
              </w:rPr>
              <w:t>投标人应充分考虑投标成本，</w:t>
            </w:r>
            <w:r>
              <w:rPr>
                <w:rFonts w:hint="eastAsia" w:ascii="宋体"/>
                <w:sz w:val="22"/>
              </w:rPr>
              <w:t>质保期在满足招标文件的要求下承诺每增加</w:t>
            </w:r>
            <w:r>
              <w:rPr>
                <w:rFonts w:ascii="宋体"/>
                <w:sz w:val="22"/>
              </w:rPr>
              <w:t>一年</w:t>
            </w:r>
            <w:r>
              <w:rPr>
                <w:rFonts w:hint="eastAsia" w:ascii="宋体"/>
                <w:sz w:val="22"/>
              </w:rPr>
              <w:t>的得0.5分，最高得</w:t>
            </w:r>
            <w:r>
              <w:rPr>
                <w:rFonts w:ascii="宋体"/>
                <w:sz w:val="22"/>
              </w:rPr>
              <w:t>1</w:t>
            </w:r>
            <w:r>
              <w:rPr>
                <w:rFonts w:hint="eastAsia" w:ascii="宋体"/>
                <w:sz w:val="22"/>
              </w:rPr>
              <w:t>分。</w:t>
            </w:r>
          </w:p>
          <w:p>
            <w:pPr>
              <w:pStyle w:val="2"/>
              <w:ind w:left="0" w:leftChars="0" w:firstLine="0" w:firstLineChars="0"/>
              <w:rPr>
                <w:rFonts w:ascii="宋体" w:hAnsi="宋体" w:cs="宋体"/>
              </w:rPr>
            </w:pPr>
            <w:r>
              <w:rPr>
                <w:rFonts w:hint="eastAsia" w:ascii="宋体"/>
                <w:color w:val="FF0000"/>
                <w:sz w:val="22"/>
              </w:rPr>
              <w:t>投标人应充分考虑投标成本</w:t>
            </w:r>
            <w:r>
              <w:rPr>
                <w:rFonts w:hint="eastAsia" w:ascii="宋体"/>
                <w:sz w:val="22"/>
              </w:rPr>
              <w:t>，</w:t>
            </w:r>
            <w:r>
              <w:rPr>
                <w:rFonts w:ascii="宋体" w:hAnsi="宋体" w:cs="宋体"/>
                <w:sz w:val="22"/>
              </w:rPr>
              <w:t>软件更新升级维护在满足招标文件的要求下承诺每增加一年的</w:t>
            </w:r>
            <w:r>
              <w:rPr>
                <w:rFonts w:hint="eastAsia" w:ascii="宋体"/>
                <w:sz w:val="22"/>
              </w:rPr>
              <w:t>得0.5分，最高得</w:t>
            </w:r>
            <w:r>
              <w:rPr>
                <w:rFonts w:ascii="宋体"/>
                <w:sz w:val="22"/>
              </w:rPr>
              <w:t>1</w:t>
            </w:r>
            <w:r>
              <w:rPr>
                <w:rFonts w:hint="eastAsia" w:ascii="宋体"/>
                <w:sz w:val="22"/>
              </w:rPr>
              <w:t>分。</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sz w:val="22"/>
              </w:rPr>
            </w:pPr>
            <w:r>
              <w:rPr>
                <w:rFonts w:hint="eastAsia" w:ascii="宋体"/>
                <w:sz w:val="22"/>
              </w:rPr>
              <w:t>4分</w:t>
            </w:r>
          </w:p>
        </w:tc>
      </w:tr>
    </w:tbl>
    <w:p>
      <w:pPr>
        <w:pStyle w:val="2"/>
        <w:rPr>
          <w:rFonts w:hint="eastAsia"/>
          <w:lang w:eastAsia="zh-CN"/>
        </w:rPr>
      </w:pPr>
    </w:p>
    <w:p>
      <w:pPr>
        <w:snapToGrid w:val="0"/>
        <w:spacing w:line="360" w:lineRule="auto"/>
        <w:rPr>
          <w:rFonts w:hint="eastAsia" w:ascii="宋体" w:hAnsi="宋体" w:eastAsia="宋体" w:cs="宋体"/>
          <w:b/>
          <w:sz w:val="24"/>
        </w:rPr>
      </w:pPr>
      <w:r>
        <w:rPr>
          <w:rFonts w:hint="eastAsia" w:ascii="宋体" w:hAnsi="宋体" w:eastAsia="宋体" w:cs="宋体"/>
          <w:b/>
          <w:sz w:val="24"/>
        </w:rPr>
        <w:t>备注：</w:t>
      </w:r>
      <w:r>
        <w:rPr>
          <w:rFonts w:hint="eastAsia" w:ascii="宋体" w:hAnsi="宋体" w:eastAsia="宋体" w:cs="宋体"/>
          <w:sz w:val="24"/>
        </w:rPr>
        <w:t>投标人编制投标文件（商务技术文件部分）时，建议按此目录（序号和内容）提供评标标准相应的商务技术资料。 </w:t>
      </w:r>
    </w:p>
    <w:p>
      <w:pPr>
        <w:snapToGrid w:val="0"/>
        <w:spacing w:line="360" w:lineRule="auto"/>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32"/>
        </w:rPr>
        <w:t>一、评标方法</w:t>
      </w:r>
    </w:p>
    <w:p>
      <w:pPr>
        <w:adjustRightInd/>
        <w:spacing w:line="360" w:lineRule="auto"/>
        <w:ind w:firstLine="472" w:firstLineChars="196"/>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1.本项目采用综合评分法。</w:t>
      </w:r>
      <w:r>
        <w:rPr>
          <w:rFonts w:hint="eastAsia" w:asciiTheme="majorEastAsia" w:hAnsiTheme="majorEastAsia" w:eastAsiaTheme="majorEastAsia" w:cstheme="majorEastAsia"/>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
          <w:sz w:val="32"/>
        </w:rPr>
        <w:t>二、评标标准</w:t>
      </w:r>
    </w:p>
    <w:p>
      <w:pPr>
        <w:spacing w:line="360" w:lineRule="auto"/>
        <w:ind w:firstLine="472" w:firstLineChars="196"/>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2.</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b/>
          <w:sz w:val="24"/>
        </w:rPr>
        <w:t>评标标准：</w:t>
      </w:r>
      <w:r>
        <w:rPr>
          <w:rFonts w:hint="eastAsia" w:asciiTheme="majorEastAsia" w:hAnsiTheme="majorEastAsia" w:eastAsiaTheme="majorEastAsia" w:cstheme="majorEastAsia"/>
          <w:kern w:val="0"/>
          <w:sz w:val="24"/>
        </w:rPr>
        <w:t>见评标办法前附表。</w:t>
      </w:r>
    </w:p>
    <w:p>
      <w:pPr>
        <w:spacing w:line="360" w:lineRule="auto"/>
        <w:outlineLvl w:val="0"/>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三、评标程序</w:t>
      </w:r>
    </w:p>
    <w:p>
      <w:pPr>
        <w:spacing w:line="360" w:lineRule="auto"/>
        <w:ind w:firstLine="472" w:firstLineChars="196"/>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3.1符合性审查。</w:t>
      </w:r>
      <w:r>
        <w:rPr>
          <w:rFonts w:hint="eastAsia" w:asciiTheme="majorEastAsia" w:hAnsiTheme="majorEastAsia" w:eastAsiaTheme="majorEastAsia" w:cstheme="majorEastAsia"/>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3.2 比较与评价。</w:t>
      </w:r>
      <w:r>
        <w:rPr>
          <w:rFonts w:hint="eastAsia" w:asciiTheme="majorEastAsia" w:hAnsiTheme="majorEastAsia" w:eastAsiaTheme="majorEastAsia" w:cstheme="majorEastAsia"/>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3.3汇总商务技术得分。</w:t>
      </w:r>
      <w:r>
        <w:rPr>
          <w:rFonts w:hint="eastAsia" w:asciiTheme="majorEastAsia" w:hAnsiTheme="majorEastAsia" w:eastAsiaTheme="majorEastAsia" w:cstheme="majorEastAsia"/>
          <w:kern w:val="0"/>
          <w:sz w:val="24"/>
        </w:rPr>
        <w:t>评标委员会各成员应当独立对每个投标人的商务和技术文件进行评价，并汇总商务技术得分情况。</w:t>
      </w:r>
    </w:p>
    <w:p>
      <w:pPr>
        <w:spacing w:line="360" w:lineRule="auto"/>
        <w:ind w:firstLine="472" w:firstLineChars="196"/>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3.4报价评审。</w:t>
      </w:r>
    </w:p>
    <w:p>
      <w:pPr>
        <w:pStyle w:val="129"/>
        <w:spacing w:before="0"/>
        <w:ind w:firstLine="508" w:firstLineChars="212"/>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rPr>
        <w:t>3.4</w:t>
      </w:r>
      <w:r>
        <w:rPr>
          <w:rFonts w:hint="eastAsia" w:asciiTheme="majorEastAsia" w:hAnsiTheme="majorEastAsia" w:eastAsiaTheme="majorEastAsia" w:cstheme="majorEastAsia"/>
          <w:kern w:val="0"/>
          <w:szCs w:val="24"/>
        </w:rPr>
        <w:t>.1投标文件报价出现前后不一致的，按照下列规定修正：</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3.4.1.1投标文件中开标一览表(报价表)内容与投标文件中相应内容不一致的，以开标一览表(报价表)为准;</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3.4.1.2大写金额和小写金额不一致的，以大写金额为准;</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3.4.1.3单价金额小数点或者百分比有明显错位的，以开标一览表的总价为准，并修改单价;</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3.4.1.4总价金额与按单价汇总金额不一致的，以单价金额计算结果为准。</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3.4.1.5同时出现两种以上不一致的，按照3.4.1规定的顺序修正。修正后的报价按照《政府采购货物和服务招标投标管理办法》（财政部令第87号）第五十一条第二款的规定经投标人确认后产生约束力。</w:t>
      </w:r>
    </w:p>
    <w:p>
      <w:pPr>
        <w:snapToGrid w:val="0"/>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3.4.2投标文件出现不是唯一的、有选择性投标报价的，投标无效。</w:t>
      </w:r>
    </w:p>
    <w:p>
      <w:pPr>
        <w:snapToGrid w:val="0"/>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3.4.3投标报价超过招标文件中规定的预算金额或者最高限价的，投标无效。</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9"/>
        <w:spacing w:before="0"/>
        <w:ind w:firstLine="480"/>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kern w:val="0"/>
          <w:szCs w:val="24"/>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3.5排序与推荐。</w:t>
      </w:r>
      <w:r>
        <w:rPr>
          <w:rFonts w:hint="eastAsia" w:asciiTheme="majorEastAsia" w:hAnsiTheme="majorEastAsia" w:eastAsiaTheme="majorEastAsia" w:cstheme="majorEastAsia"/>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pPr>
        <w:spacing w:line="360" w:lineRule="auto"/>
        <w:ind w:firstLine="480" w:firstLineChars="200"/>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b/>
          <w:kern w:val="0"/>
          <w:sz w:val="24"/>
        </w:rPr>
        <w:t>3.6编写评标报告。</w:t>
      </w:r>
      <w:r>
        <w:rPr>
          <w:rFonts w:hint="eastAsia" w:asciiTheme="majorEastAsia" w:hAnsiTheme="majorEastAsia" w:eastAsiaTheme="majorEastAsia" w:cstheme="maj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Theme="majorEastAsia" w:hAnsiTheme="majorEastAsia" w:eastAsiaTheme="majorEastAsia" w:cstheme="majorEastAsia"/>
          <w:b/>
          <w:sz w:val="32"/>
        </w:rPr>
      </w:pPr>
      <w:r>
        <w:rPr>
          <w:rFonts w:hint="eastAsia" w:asciiTheme="majorEastAsia" w:hAnsiTheme="majorEastAsia" w:eastAsiaTheme="majorEastAsia" w:cstheme="majorEastAsia"/>
          <w:b/>
          <w:sz w:val="32"/>
        </w:rPr>
        <w:t>四、评标中的其他事项</w:t>
      </w:r>
    </w:p>
    <w:p>
      <w:pPr>
        <w:pStyle w:val="129"/>
        <w:spacing w:before="0"/>
        <w:ind w:firstLine="472" w:firstLineChars="196"/>
        <w:rPr>
          <w:rFonts w:hint="eastAsia" w:asciiTheme="majorEastAsia" w:hAnsiTheme="majorEastAsia" w:eastAsiaTheme="majorEastAsia" w:cstheme="majorEastAsia"/>
          <w:kern w:val="0"/>
          <w:szCs w:val="24"/>
        </w:rPr>
      </w:pPr>
      <w:r>
        <w:rPr>
          <w:rFonts w:hint="eastAsia" w:asciiTheme="majorEastAsia" w:hAnsiTheme="majorEastAsia" w:eastAsiaTheme="majorEastAsia" w:cstheme="majorEastAsia"/>
          <w:b/>
          <w:kern w:val="0"/>
          <w:szCs w:val="24"/>
        </w:rPr>
        <w:t>4.1投标人澄清、说明或者补正。</w:t>
      </w:r>
      <w:r>
        <w:rPr>
          <w:rFonts w:hint="eastAsia" w:asciiTheme="majorEastAsia" w:hAnsiTheme="majorEastAsia" w:eastAsiaTheme="majorEastAsia" w:cstheme="majorEastAsia"/>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b/>
          <w:kern w:val="0"/>
        </w:rPr>
        <w:t>4.2投标无效。</w:t>
      </w:r>
      <w:r>
        <w:rPr>
          <w:rFonts w:hint="eastAsia" w:asciiTheme="majorEastAsia" w:hAnsiTheme="majorEastAsia" w:eastAsiaTheme="majorEastAsia" w:cstheme="majorEastAsia"/>
          <w:szCs w:val="21"/>
        </w:rPr>
        <w:t>有下列情况之一的，投标无效：</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4.2.2投标文件未按照招标文件要求签署、盖章的；</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4.2.4投标文件含有采购人不能接受的附加条件的；</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4.2.5投标文件中承诺的投标有效期少于招标文件中载明的投标有效期的；</w:t>
      </w:r>
    </w:p>
    <w:p>
      <w:pPr>
        <w:snapToGrid w:val="0"/>
        <w:spacing w:line="360" w:lineRule="auto"/>
        <w:ind w:firstLine="120" w:firstLineChars="5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4.2.6投标文件出现不是唯一的、有选择性投标报价的;</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4.2.7投标报价超过招标文件中规定的预算金额或者最高限价的;</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4.2.9投标人对根据修正原则修正后的报价不确认的；</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4.2.10投标人提供虚假材料投标的；</w:t>
      </w:r>
    </w:p>
    <w:p>
      <w:pPr>
        <w:spacing w:line="360" w:lineRule="auto"/>
        <w:ind w:firstLine="240" w:firstLineChars="1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4.2.12投标人仅提交备份投标文件，没有在电子交易平台传输递交投标文件的，投标无效；</w:t>
      </w:r>
    </w:p>
    <w:p>
      <w:pPr>
        <w:pStyle w:val="5"/>
        <w:ind w:left="862" w:leftChars="205"/>
        <w:rPr>
          <w:rFonts w:hint="eastAsia" w:asciiTheme="majorEastAsia" w:hAnsiTheme="majorEastAsia" w:eastAsiaTheme="majorEastAsia" w:cstheme="majorEastAsia"/>
          <w:b w:val="0"/>
          <w:bCs w:val="0"/>
          <w:kern w:val="0"/>
          <w:sz w:val="24"/>
          <w:szCs w:val="24"/>
          <w:lang w:val="en-US"/>
        </w:rPr>
      </w:pPr>
      <w:r>
        <w:rPr>
          <w:rFonts w:hint="eastAsia" w:asciiTheme="majorEastAsia" w:hAnsiTheme="majorEastAsia" w:eastAsiaTheme="majorEastAsia" w:cstheme="majorEastAsia"/>
          <w:b w:val="0"/>
          <w:bCs w:val="0"/>
          <w:kern w:val="0"/>
          <w:sz w:val="24"/>
          <w:szCs w:val="24"/>
          <w:lang w:val="en-US"/>
        </w:rPr>
        <w:t>4.2.13 投标文件不满足招标文件的其它实质性要求的；</w:t>
      </w:r>
    </w:p>
    <w:p>
      <w:pPr>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Theme="majorEastAsia" w:hAnsiTheme="majorEastAsia" w:eastAsiaTheme="majorEastAsia" w:cstheme="majorEastAsia"/>
        </w:rPr>
      </w:pPr>
      <w:r>
        <w:rPr>
          <w:rFonts w:hint="eastAsia" w:asciiTheme="majorEastAsia" w:hAnsiTheme="majorEastAsia" w:eastAsiaTheme="majorEastAsia" w:cstheme="majorEastAsia"/>
          <w:b/>
        </w:rPr>
        <w:t>4.3.废标。</w:t>
      </w:r>
      <w:r>
        <w:rPr>
          <w:rFonts w:hint="eastAsia" w:asciiTheme="majorEastAsia" w:hAnsiTheme="majorEastAsia" w:eastAsiaTheme="majorEastAsia" w:cstheme="majorEastAsia"/>
        </w:rPr>
        <w:t>根据《中华人民共和国政府采购法》第三十六条之规定，在采购中，出现下列情形之一的，应予废标：</w:t>
      </w:r>
    </w:p>
    <w:p>
      <w:pPr>
        <w:pStyle w:val="25"/>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4.3.1符合专业条件的供应商或者对招标文件作实质响应的供应商不足3家的；</w:t>
      </w:r>
    </w:p>
    <w:p>
      <w:pPr>
        <w:pStyle w:val="25"/>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4.3.2出现影响采购公正的违法、违规行为的；</w:t>
      </w:r>
    </w:p>
    <w:p>
      <w:pPr>
        <w:pStyle w:val="25"/>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4.3.3投标人的报价均超过了采购预算，采购人不能支付的；</w:t>
      </w:r>
    </w:p>
    <w:p>
      <w:pPr>
        <w:pStyle w:val="25"/>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4.3.4因重大变故，采购任务取消的。</w:t>
      </w:r>
    </w:p>
    <w:p>
      <w:pPr>
        <w:pStyle w:val="25"/>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废标后，采购代理机构应当将废标理由通知所有投标人。</w:t>
      </w:r>
    </w:p>
    <w:p>
      <w:pPr>
        <w:pStyle w:val="25"/>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b/>
        </w:rPr>
        <w:t>4.4.修改招标文件，重新组织采购活动。</w:t>
      </w:r>
      <w:r>
        <w:rPr>
          <w:rFonts w:hint="eastAsia" w:asciiTheme="majorEastAsia" w:hAnsiTheme="majorEastAsia" w:eastAsiaTheme="majorEastAsia" w:cstheme="maj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b/>
          <w:kern w:val="0"/>
        </w:rPr>
        <w:t>4.5.重新开展采购。</w:t>
      </w:r>
      <w:r>
        <w:rPr>
          <w:rFonts w:hint="eastAsia" w:asciiTheme="majorEastAsia" w:hAnsiTheme="majorEastAsia" w:eastAsiaTheme="majorEastAsia" w:cstheme="majorEastAsia"/>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hint="eastAsia" w:asciiTheme="majorEastAsia" w:hAnsiTheme="majorEastAsia" w:eastAsiaTheme="majorEastAsia" w:cstheme="majorEastAsia"/>
        </w:rPr>
      </w:pPr>
      <w:r>
        <w:rPr>
          <w:rFonts w:hint="eastAsia" w:asciiTheme="majorEastAsia" w:hAnsiTheme="majorEastAsia" w:eastAsiaTheme="majorEastAsia" w:cstheme="majorEastAsia"/>
        </w:rPr>
        <w:t>4.5.1未确定中标或者中标人的，终止本次政府采购活动，重新开展政府采购活动。</w:t>
      </w:r>
    </w:p>
    <w:p>
      <w:pPr>
        <w:pStyle w:val="25"/>
        <w:snapToGrid w:val="0"/>
        <w:spacing w:line="360" w:lineRule="auto"/>
        <w:ind w:firstLine="600" w:firstLineChars="250"/>
        <w:rPr>
          <w:rFonts w:hint="eastAsia" w:asciiTheme="majorEastAsia" w:hAnsiTheme="majorEastAsia" w:eastAsiaTheme="majorEastAsia" w:cstheme="majorEastAsia"/>
        </w:rPr>
      </w:pPr>
      <w:r>
        <w:rPr>
          <w:rFonts w:hint="eastAsia" w:asciiTheme="majorEastAsia" w:hAnsiTheme="majorEastAsia" w:eastAsiaTheme="majorEastAsia" w:cstheme="majorEastAsia"/>
        </w:rPr>
        <w:t>4.5.2已确定中标或者中标人但尚未签订政府采购合同的，中标或者成交结果无效，从合格的中标或者成交候选人中另行确定中标或者中标人；没有合格的中标或者成交候选人的，重新开展政府采购活动。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hint="eastAsia" w:asciiTheme="majorEastAsia" w:hAnsiTheme="majorEastAsia" w:eastAsiaTheme="majorEastAsia" w:cstheme="majorEastAsia"/>
        </w:rPr>
      </w:pPr>
      <w:r>
        <w:rPr>
          <w:rFonts w:hint="eastAsia" w:asciiTheme="majorEastAsia" w:hAnsiTheme="majorEastAsia" w:eastAsiaTheme="majorEastAsia" w:cstheme="majorEastAsia"/>
        </w:rPr>
        <w:t>4.5.3政府采购合同已签订但尚未履行的，撤销合同，从合格的中标或者成交候选人中另行确定中标或者中标人；没有合格的中标或者成交候选人的，重新开展政府采购活动。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4.5.4政府采购合同已经履行，给采购人、供应商造成损失的，由责任人承担赔偿责任。</w:t>
      </w:r>
    </w:p>
    <w:p>
      <w:pPr>
        <w:pStyle w:val="25"/>
        <w:snapToGrid w:val="0"/>
        <w:spacing w:line="360" w:lineRule="auto"/>
        <w:rPr>
          <w:rFonts w:hint="eastAsia" w:asciiTheme="majorEastAsia" w:hAnsiTheme="majorEastAsia" w:eastAsiaTheme="majorEastAsia" w:cstheme="majorEastAsia"/>
        </w:rPr>
      </w:pPr>
      <w:r>
        <w:rPr>
          <w:rFonts w:hint="eastAsia" w:asciiTheme="majorEastAsia" w:hAnsiTheme="majorEastAsia" w:eastAsiaTheme="majorEastAsia" w:cstheme="majorEastAsia"/>
        </w:rPr>
        <w:t>4.5.5政府采购当事人有其他违反政府采购法或者政府采购法实施条例等法律法规规定的行为，经改正后仍然影响或者可能影响中标、成交结果或者依法被认定为中标、成交无效的，依照7.1-7.4规定处理。</w:t>
      </w:r>
    </w:p>
    <w:p>
      <w:pPr>
        <w:pStyle w:val="25"/>
        <w:snapToGrid w:val="0"/>
        <w:spacing w:line="360" w:lineRule="auto"/>
        <w:ind w:firstLine="0" w:firstLineChars="0"/>
        <w:rPr>
          <w:rFonts w:hint="eastAsia" w:asciiTheme="majorEastAsia" w:hAnsiTheme="majorEastAsia" w:eastAsiaTheme="majorEastAsia" w:cstheme="majorEastAsia"/>
        </w:rPr>
      </w:pPr>
    </w:p>
    <w:bookmarkEnd w:id="26"/>
    <w:p>
      <w:pPr>
        <w:spacing w:line="360" w:lineRule="auto"/>
        <w:ind w:left="720" w:leftChars="343" w:firstLine="1084" w:firstLineChars="300"/>
        <w:outlineLvl w:val="0"/>
        <w:rPr>
          <w:rFonts w:ascii="仿宋_GB2312" w:hAnsi="仿宋" w:eastAsia="仿宋_GB2312" w:cs="仿宋_GB2312"/>
          <w:b/>
          <w:sz w:val="36"/>
          <w:szCs w:val="36"/>
        </w:rPr>
      </w:pPr>
      <w:bookmarkStart w:id="392" w:name="第五部分"/>
      <w:bookmarkStart w:id="393" w:name="_Toc86217003"/>
    </w:p>
    <w:p>
      <w:pPr>
        <w:spacing w:line="360" w:lineRule="auto"/>
        <w:ind w:left="720" w:leftChars="343" w:firstLine="1084" w:firstLineChars="300"/>
        <w:outlineLvl w:val="0"/>
        <w:rPr>
          <w:rFonts w:ascii="仿宋_GB2312" w:hAnsi="仿宋" w:eastAsia="仿宋_GB2312" w:cs="仿宋_GB2312"/>
          <w:b/>
          <w:sz w:val="36"/>
          <w:szCs w:val="36"/>
        </w:rPr>
      </w:pPr>
      <w:r>
        <w:rPr>
          <w:rFonts w:ascii="仿宋_GB2312" w:hAnsi="仿宋" w:eastAsia="仿宋_GB2312" w:cs="仿宋_GB2312"/>
          <w:b/>
          <w:sz w:val="36"/>
          <w:szCs w:val="36"/>
        </w:rPr>
        <w:t xml:space="preserve">    </w:t>
      </w:r>
    </w:p>
    <w:p>
      <w:pPr>
        <w:spacing w:line="360" w:lineRule="auto"/>
        <w:ind w:left="720" w:leftChars="343" w:firstLine="1084" w:firstLineChars="300"/>
        <w:outlineLvl w:val="0"/>
        <w:rPr>
          <w:rFonts w:ascii="仿宋_GB2312" w:hAnsi="仿宋" w:eastAsia="仿宋_GB2312" w:cs="仿宋_GB2312"/>
          <w:b/>
          <w:sz w:val="36"/>
          <w:szCs w:val="36"/>
        </w:rPr>
      </w:pPr>
    </w:p>
    <w:p>
      <w:pPr>
        <w:spacing w:line="360" w:lineRule="auto"/>
        <w:ind w:left="720" w:leftChars="343" w:firstLine="1084" w:firstLineChars="300"/>
        <w:outlineLvl w:val="0"/>
        <w:rPr>
          <w:rFonts w:ascii="仿宋_GB2312" w:hAnsi="仿宋" w:eastAsia="仿宋_GB2312" w:cs="仿宋_GB2312"/>
          <w:b/>
          <w:sz w:val="36"/>
          <w:szCs w:val="36"/>
        </w:rPr>
      </w:pPr>
    </w:p>
    <w:p>
      <w:pPr>
        <w:pStyle w:val="5"/>
        <w:rPr>
          <w:lang w:val="en-US"/>
        </w:rPr>
      </w:pPr>
    </w:p>
    <w:p>
      <w:pPr>
        <w:spacing w:line="360" w:lineRule="auto"/>
        <w:ind w:left="720" w:leftChars="343" w:firstLine="1084" w:firstLineChars="300"/>
        <w:outlineLvl w:val="0"/>
        <w:rPr>
          <w:rFonts w:ascii="仿宋_GB2312" w:hAnsi="仿宋" w:eastAsia="仿宋_GB2312" w:cs="仿宋_GB2312"/>
          <w:b/>
          <w:sz w:val="36"/>
          <w:szCs w:val="36"/>
        </w:rPr>
      </w:pPr>
    </w:p>
    <w:p>
      <w:pPr>
        <w:rPr>
          <w:lang w:val="en-US"/>
        </w:rPr>
      </w:pPr>
    </w:p>
    <w:p>
      <w:pPr>
        <w:pStyle w:val="2"/>
        <w:rPr>
          <w:lang w:val="en-US"/>
        </w:rPr>
      </w:pPr>
    </w:p>
    <w:p>
      <w:pPr>
        <w:pStyle w:val="3"/>
        <w:rPr>
          <w:lang w:val="en-US"/>
        </w:rPr>
      </w:pPr>
    </w:p>
    <w:p>
      <w:pPr>
        <w:rPr>
          <w:lang w:val="en-US"/>
        </w:rPr>
      </w:pPr>
    </w:p>
    <w:p>
      <w:pPr>
        <w:pStyle w:val="2"/>
        <w:rPr>
          <w:lang w:val="en-US"/>
        </w:rPr>
      </w:pPr>
    </w:p>
    <w:p>
      <w:pPr>
        <w:pStyle w:val="3"/>
        <w:rPr>
          <w:lang w:val="en-US"/>
        </w:rPr>
      </w:pPr>
    </w:p>
    <w:p>
      <w:pPr>
        <w:rPr>
          <w:lang w:val="en-US"/>
        </w:rPr>
      </w:pPr>
    </w:p>
    <w:p>
      <w:pPr>
        <w:pStyle w:val="2"/>
        <w:rPr>
          <w:lang w:val="en-US"/>
        </w:rPr>
      </w:pPr>
    </w:p>
    <w:p>
      <w:pPr>
        <w:pStyle w:val="3"/>
        <w:rPr>
          <w:lang w:val="en-US"/>
        </w:rPr>
      </w:pPr>
    </w:p>
    <w:p>
      <w:pPr>
        <w:rPr>
          <w:lang w:val="en-US"/>
        </w:rPr>
      </w:pPr>
    </w:p>
    <w:p/>
    <w:p>
      <w:pPr>
        <w:spacing w:line="360" w:lineRule="auto"/>
        <w:ind w:left="720" w:leftChars="343" w:firstLine="1084" w:firstLineChars="300"/>
        <w:outlineLvl w:val="0"/>
        <w:rPr>
          <w:rFonts w:ascii="仿宋_GB2312" w:hAnsi="仿宋" w:eastAsia="仿宋_GB2312" w:cs="仿宋_GB2312"/>
          <w:b/>
          <w:sz w:val="36"/>
          <w:szCs w:val="36"/>
        </w:rPr>
      </w:pPr>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p>
    <w:p>
      <w:pPr>
        <w:rPr>
          <w:rFonts w:ascii="楷体" w:hAnsi="楷体" w:eastAsia="楷体"/>
          <w:sz w:val="24"/>
          <w:u w:val="single"/>
        </w:rPr>
      </w:pPr>
      <w:r>
        <w:rPr>
          <w:rFonts w:hint="eastAsia" w:ascii="楷体" w:hAnsi="楷体" w:eastAsia="楷体"/>
          <w:sz w:val="24"/>
        </w:rPr>
        <w:t>合同编号：</w:t>
      </w:r>
      <w:r>
        <w:rPr>
          <w:rFonts w:ascii="楷体" w:hAnsi="楷体" w:eastAsia="楷体"/>
          <w:sz w:val="24"/>
          <w:u w:val="single"/>
        </w:rPr>
        <w:t xml:space="preserve">           </w:t>
      </w:r>
    </w:p>
    <w:p>
      <w:pPr>
        <w:spacing w:line="480" w:lineRule="auto"/>
        <w:jc w:val="center"/>
        <w:rPr>
          <w:rFonts w:ascii="楷体" w:hAnsi="楷体" w:eastAsia="楷体"/>
          <w:b/>
          <w:sz w:val="28"/>
          <w:szCs w:val="28"/>
        </w:rPr>
      </w:pPr>
    </w:p>
    <w:p>
      <w:pPr>
        <w:spacing w:line="480" w:lineRule="auto"/>
        <w:jc w:val="center"/>
        <w:rPr>
          <w:rFonts w:ascii="仿宋" w:hAnsi="仿宋" w:eastAsia="仿宋"/>
          <w:b/>
          <w:sz w:val="24"/>
        </w:rPr>
      </w:pPr>
    </w:p>
    <w:p>
      <w:pPr>
        <w:spacing w:line="480" w:lineRule="auto"/>
        <w:jc w:val="center"/>
        <w:rPr>
          <w:rFonts w:ascii="仿宋" w:hAnsi="仿宋" w:eastAsia="仿宋"/>
          <w:b/>
          <w:sz w:val="24"/>
        </w:rPr>
      </w:pP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政府采购合同参考范本</w:t>
      </w:r>
    </w:p>
    <w:p>
      <w:pPr>
        <w:spacing w:line="480" w:lineRule="auto"/>
        <w:jc w:val="center"/>
        <w:rPr>
          <w:rFonts w:ascii="仿宋_GB2312" w:hAnsi="仿宋" w:eastAsia="仿宋_GB2312" w:cs="仿宋_GB2312"/>
          <w:b/>
          <w:sz w:val="36"/>
          <w:szCs w:val="36"/>
        </w:rPr>
      </w:pPr>
      <w:r>
        <w:rPr>
          <w:rFonts w:hint="eastAsia" w:ascii="仿宋_GB2312" w:hAnsi="仿宋" w:eastAsia="仿宋_GB2312" w:cs="仿宋_GB2312"/>
          <w:b/>
          <w:sz w:val="36"/>
          <w:szCs w:val="36"/>
        </w:rPr>
        <w:t>（货物类）</w:t>
      </w:r>
    </w:p>
    <w:p>
      <w:pPr>
        <w:pStyle w:val="699"/>
        <w:rPr>
          <w:rFonts w:ascii="仿宋" w:hAnsi="仿宋" w:eastAsia="仿宋"/>
          <w:szCs w:val="24"/>
        </w:rPr>
      </w:pPr>
    </w:p>
    <w:p>
      <w:pPr>
        <w:pStyle w:val="699"/>
        <w:rPr>
          <w:rFonts w:ascii="仿宋" w:hAnsi="仿宋" w:eastAsia="仿宋"/>
          <w:szCs w:val="24"/>
        </w:rPr>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25"/>
      </w:pPr>
    </w:p>
    <w:p>
      <w:pPr>
        <w:pStyle w:val="699"/>
        <w:jc w:val="center"/>
        <w:rPr>
          <w:rFonts w:ascii="仿宋" w:hAnsi="仿宋" w:eastAsia="仿宋"/>
          <w:szCs w:val="24"/>
        </w:rPr>
      </w:pPr>
    </w:p>
    <w:p>
      <w:pPr>
        <w:pStyle w:val="25"/>
      </w:pPr>
    </w:p>
    <w:p>
      <w:pPr>
        <w:pStyle w:val="699"/>
        <w:ind w:firstLine="2843" w:firstLineChars="1180"/>
        <w:rPr>
          <w:rFonts w:ascii="仿宋" w:hAnsi="仿宋" w:eastAsia="仿宋"/>
          <w:b/>
          <w:szCs w:val="24"/>
        </w:rPr>
      </w:pPr>
      <w:r>
        <w:rPr>
          <w:rFonts w:hint="eastAsia" w:ascii="仿宋" w:hAnsi="仿宋" w:eastAsia="仿宋"/>
          <w:b/>
          <w:szCs w:val="24"/>
        </w:rPr>
        <w:t>通用合同书</w:t>
      </w:r>
    </w:p>
    <w:p>
      <w:pPr>
        <w:pStyle w:val="699"/>
        <w:rPr>
          <w:rFonts w:ascii="仿宋" w:hAnsi="仿宋" w:eastAsia="仿宋"/>
          <w:szCs w:val="24"/>
        </w:rPr>
      </w:pPr>
    </w:p>
    <w:p>
      <w:pPr>
        <w:pStyle w:val="699"/>
        <w:rPr>
          <w:rFonts w:ascii="仿宋" w:hAnsi="仿宋" w:eastAsia="仿宋"/>
          <w:szCs w:val="24"/>
        </w:rPr>
      </w:pPr>
    </w:p>
    <w:p>
      <w:pPr>
        <w:pStyle w:val="25"/>
      </w:pPr>
    </w:p>
    <w:p>
      <w:pPr>
        <w:spacing w:before="120" w:line="22" w:lineRule="atLeast"/>
        <w:rPr>
          <w:rFonts w:ascii="仿宋" w:hAnsi="仿宋" w:eastAsia="仿宋"/>
          <w:sz w:val="24"/>
        </w:rPr>
      </w:pPr>
    </w:p>
    <w:p>
      <w:pPr>
        <w:spacing w:before="120" w:line="22" w:lineRule="atLeast"/>
        <w:ind w:left="960"/>
        <w:rPr>
          <w:rFonts w:ascii="仿宋" w:hAnsi="仿宋" w:eastAsia="仿宋"/>
          <w:sz w:val="24"/>
        </w:rPr>
      </w:pPr>
      <w:r>
        <w:rPr>
          <w:rFonts w:hint="eastAsia" w:ascii="仿宋" w:hAnsi="仿宋" w:eastAsia="仿宋"/>
          <w:sz w:val="24"/>
        </w:rPr>
        <w:t>项目名称：</w:t>
      </w:r>
      <w:r>
        <w:rPr>
          <w:rFonts w:ascii="仿宋" w:hAnsi="仿宋" w:eastAsia="仿宋"/>
          <w:sz w:val="24"/>
          <w:u w:val="single"/>
        </w:rPr>
        <w:t xml:space="preserve">                                   </w:t>
      </w:r>
    </w:p>
    <w:p>
      <w:pPr>
        <w:pStyle w:val="596"/>
        <w:spacing w:before="120" w:line="22" w:lineRule="atLeast"/>
        <w:rPr>
          <w:rFonts w:ascii="仿宋" w:hAnsi="仿宋" w:eastAsia="仿宋"/>
          <w:szCs w:val="24"/>
        </w:rPr>
      </w:pPr>
    </w:p>
    <w:p>
      <w:pPr>
        <w:pStyle w:val="596"/>
        <w:spacing w:before="120" w:line="22" w:lineRule="atLeast"/>
        <w:rPr>
          <w:rFonts w:ascii="仿宋" w:hAnsi="仿宋" w:eastAsia="仿宋"/>
          <w:szCs w:val="24"/>
        </w:rPr>
      </w:pPr>
    </w:p>
    <w:p>
      <w:pPr>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甲方：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left="960"/>
        <w:rPr>
          <w:rFonts w:ascii="仿宋" w:hAnsi="仿宋" w:eastAsia="仿宋"/>
          <w:sz w:val="24"/>
          <w:u w:val="single"/>
        </w:rPr>
      </w:pPr>
      <w:r>
        <w:rPr>
          <w:rFonts w:hint="eastAsia" w:ascii="仿宋" w:hAnsi="仿宋" w:eastAsia="仿宋"/>
          <w:sz w:val="24"/>
        </w:rPr>
        <w:t>乙方：</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签订地：</w:t>
      </w:r>
      <w:r>
        <w:rPr>
          <w:rFonts w:ascii="仿宋" w:hAnsi="仿宋" w:eastAsia="仿宋"/>
          <w:sz w:val="24"/>
          <w:u w:val="single"/>
        </w:rPr>
        <w:t xml:space="preserve">                                     </w:t>
      </w:r>
    </w:p>
    <w:p>
      <w:pPr>
        <w:spacing w:before="120" w:line="22" w:lineRule="atLeast"/>
        <w:rPr>
          <w:rFonts w:ascii="仿宋" w:hAnsi="仿宋" w:eastAsia="仿宋"/>
          <w:sz w:val="24"/>
        </w:rPr>
      </w:pPr>
    </w:p>
    <w:p>
      <w:pPr>
        <w:spacing w:before="120" w:line="22" w:lineRule="atLeast"/>
        <w:ind w:firstLine="960" w:firstLineChars="400"/>
        <w:rPr>
          <w:rFonts w:ascii="仿宋" w:hAnsi="仿宋" w:eastAsia="仿宋"/>
          <w:sz w:val="24"/>
          <w:u w:val="single"/>
        </w:rPr>
      </w:pPr>
      <w:r>
        <w:rPr>
          <w:rFonts w:hint="eastAsia" w:ascii="仿宋" w:hAnsi="仿宋" w:eastAsia="仿宋"/>
          <w:sz w:val="24"/>
        </w:rPr>
        <w:t>签订日期：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widowControl/>
        <w:jc w:val="left"/>
        <w:rPr>
          <w:rFonts w:ascii="仿宋" w:hAnsi="仿宋" w:eastAsia="仿宋"/>
          <w:kern w:val="0"/>
          <w:sz w:val="24"/>
        </w:rPr>
        <w:sectPr>
          <w:pgSz w:w="11907" w:h="16840"/>
          <w:pgMar w:top="1474" w:right="1814" w:bottom="1474" w:left="1814" w:header="851" w:footer="851" w:gutter="0"/>
          <w:cols w:space="720" w:num="1"/>
        </w:sectPr>
      </w:pPr>
    </w:p>
    <w:p>
      <w:pPr>
        <w:pStyle w:val="5"/>
        <w:rPr>
          <w:lang w:val="en-US"/>
        </w:rPr>
      </w:pPr>
    </w:p>
    <w:p>
      <w:pPr>
        <w:ind w:firstLine="420" w:firstLineChars="200"/>
        <w:rPr>
          <w:u w:val="single"/>
        </w:rPr>
      </w:pPr>
      <w:r>
        <w:rPr>
          <w:rFonts w:hint="eastAsia"/>
          <w:u w:val="single"/>
        </w:rPr>
        <w:t xml:space="preserve"> </w:t>
      </w:r>
      <w:r>
        <w:rPr>
          <w:u w:val="single"/>
        </w:rPr>
        <w:t xml:space="preserve">                     </w:t>
      </w:r>
      <w:r>
        <w:rPr>
          <w:rFonts w:hint="eastAsia"/>
        </w:rPr>
        <w:t>（甲方）</w:t>
      </w:r>
      <w:r>
        <w:rPr>
          <w:rFonts w:hint="eastAsia"/>
          <w:u w:val="single"/>
        </w:rPr>
        <w:t xml:space="preserve"> </w:t>
      </w:r>
      <w:r>
        <w:rPr>
          <w:u w:val="single"/>
        </w:rPr>
        <w:t xml:space="preserve">                   </w:t>
      </w:r>
      <w:r>
        <w:rPr>
          <w:rFonts w:hint="eastAsia"/>
        </w:rPr>
        <w:t xml:space="preserve"> （项目名称）经诸暨市公共资源交易中心以招标文件（编号：诸政采20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w:t>
      </w:r>
      <w:r>
        <w:t>进行公开招标。甲方确定</w:t>
      </w:r>
      <w:r>
        <w:rPr>
          <w:u w:val="single"/>
        </w:rPr>
        <w:t xml:space="preserve">                              </w:t>
      </w:r>
      <w:r>
        <w:t>（乙方）为中标人。甲、乙双方依据《中华人</w:t>
      </w:r>
      <w:r>
        <w:rPr>
          <w:rFonts w:hint="eastAsia"/>
        </w:rPr>
        <w:t>民共和国政府采购法》、《中华人民共和国民法典》，在平等自愿的基础上，同意按照下面的条款和条件，签署本合同。</w:t>
      </w:r>
    </w:p>
    <w:p>
      <w:pPr>
        <w:rPr>
          <w:b/>
          <w:bCs/>
          <w:u w:val="single"/>
        </w:rPr>
      </w:pPr>
      <w:r>
        <w:rPr>
          <w:rFonts w:hint="eastAsia"/>
          <w:b/>
          <w:bCs/>
        </w:rPr>
        <w:t>（一）项目采购依据</w:t>
      </w:r>
    </w:p>
    <w:p>
      <w:pPr>
        <w:ind w:firstLine="420" w:firstLineChars="200"/>
      </w:pPr>
      <w:r>
        <w:rPr>
          <w:rFonts w:hint="eastAsia"/>
        </w:rPr>
        <w:t>政府采购预算执行确认书。</w:t>
      </w:r>
      <w:r>
        <w:t xml:space="preserve"> </w:t>
      </w:r>
    </w:p>
    <w:p>
      <w:pPr>
        <w:rPr>
          <w:b/>
          <w:bCs/>
        </w:rPr>
      </w:pPr>
      <w:r>
        <w:rPr>
          <w:rFonts w:hint="eastAsia"/>
          <w:b/>
          <w:bCs/>
        </w:rPr>
        <w:t>（二）下列文件构成本合同的组成部分</w:t>
      </w:r>
    </w:p>
    <w:p>
      <w:pPr>
        <w:ind w:firstLine="420" w:firstLineChars="200"/>
      </w:pPr>
      <w:r>
        <w:rPr>
          <w:rFonts w:hint="eastAsia"/>
        </w:rPr>
        <w:t>以下文件为本合同的组成部分，应该认为是一个整体，彼此相互解释，相互补充。</w:t>
      </w:r>
    </w:p>
    <w:p>
      <w:pPr>
        <w:ind w:firstLine="420" w:firstLineChars="200"/>
      </w:pPr>
      <w:r>
        <w:t>a. 本合同书</w:t>
      </w:r>
    </w:p>
    <w:p>
      <w:pPr>
        <w:ind w:firstLine="420" w:firstLineChars="200"/>
      </w:pPr>
      <w:r>
        <w:t>b. 中标通知书</w:t>
      </w:r>
    </w:p>
    <w:p>
      <w:pPr>
        <w:ind w:firstLine="420" w:firstLineChars="200"/>
      </w:pPr>
      <w:r>
        <w:t>c. 询标承诺</w:t>
      </w:r>
    </w:p>
    <w:p>
      <w:pPr>
        <w:ind w:firstLine="420" w:firstLineChars="200"/>
      </w:pPr>
      <w:r>
        <w:t>d. 投标文件</w:t>
      </w:r>
    </w:p>
    <w:p>
      <w:pPr>
        <w:ind w:firstLine="420" w:firstLineChars="200"/>
      </w:pPr>
      <w:r>
        <w:t>e. 招标文件</w:t>
      </w:r>
    </w:p>
    <w:p>
      <w:pPr>
        <w:rPr>
          <w:b/>
          <w:bCs/>
        </w:rPr>
      </w:pPr>
      <w:r>
        <w:rPr>
          <w:rFonts w:hint="eastAsia"/>
          <w:b/>
          <w:bCs/>
        </w:rPr>
        <w:t>（三）合同标的物</w:t>
      </w:r>
    </w:p>
    <w:tbl>
      <w:tblPr>
        <w:tblStyle w:val="63"/>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规格、型号（或服务内容）</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pPr>
              <w:jc w:val="center"/>
            </w:pPr>
          </w:p>
        </w:tc>
        <w:tc>
          <w:tcPr>
            <w:tcW w:w="3960" w:type="dxa"/>
          </w:tcPr>
          <w:p>
            <w:pPr>
              <w:jc w:val="center"/>
            </w:pPr>
          </w:p>
        </w:tc>
        <w:tc>
          <w:tcPr>
            <w:tcW w:w="1080" w:type="dxa"/>
          </w:tcPr>
          <w:p>
            <w:pPr>
              <w:jc w:val="center"/>
            </w:pPr>
          </w:p>
        </w:tc>
        <w:tc>
          <w:tcPr>
            <w:tcW w:w="1260" w:type="dxa"/>
          </w:tcPr>
          <w:p>
            <w:pPr>
              <w:jc w:val="center"/>
            </w:pPr>
          </w:p>
        </w:tc>
        <w:tc>
          <w:tcPr>
            <w:tcW w:w="1440" w:type="dxa"/>
          </w:tcPr>
          <w:p>
            <w:pPr>
              <w:jc w:val="center"/>
            </w:pPr>
          </w:p>
        </w:tc>
      </w:tr>
    </w:tbl>
    <w:p>
      <w:pPr>
        <w:ind w:firstLine="420" w:firstLineChars="200"/>
      </w:pPr>
      <w:r>
        <w:rPr>
          <w:rFonts w:hint="eastAsia"/>
        </w:rPr>
        <w:t>（具体标的物或服务内容可根据实际修改）</w:t>
      </w:r>
    </w:p>
    <w:p>
      <w:pPr>
        <w:rPr>
          <w:b/>
          <w:bCs/>
        </w:rPr>
      </w:pPr>
      <w:r>
        <w:rPr>
          <w:rFonts w:hint="eastAsia"/>
          <w:b/>
          <w:bCs/>
        </w:rPr>
        <w:t>（四）合同总价</w:t>
      </w:r>
    </w:p>
    <w:p>
      <w:pPr>
        <w:ind w:firstLine="420" w:firstLineChars="200"/>
      </w:pPr>
      <w:r>
        <w:rPr>
          <w:rFonts w:hint="eastAsia"/>
        </w:rPr>
        <w:t>本合同总价为</w:t>
      </w:r>
      <w:r>
        <w:rPr>
          <w:u w:val="single"/>
        </w:rPr>
        <w:t xml:space="preserve">       </w:t>
      </w:r>
      <w:r>
        <w:t>元人民币</w:t>
      </w:r>
      <w:r>
        <w:rPr>
          <w:rFonts w:hint="eastAsia"/>
        </w:rPr>
        <w:t>，大写</w:t>
      </w:r>
      <w:r>
        <w:rPr>
          <w:rFonts w:hint="eastAsia"/>
          <w:u w:val="single"/>
        </w:rPr>
        <w:t xml:space="preserve"> </w:t>
      </w:r>
      <w:r>
        <w:rPr>
          <w:u w:val="single"/>
        </w:rPr>
        <w:t xml:space="preserve">                                   </w:t>
      </w:r>
      <w:r>
        <w:t>。</w:t>
      </w:r>
    </w:p>
    <w:p>
      <w:pPr>
        <w:rPr>
          <w:b/>
          <w:bCs/>
        </w:rPr>
      </w:pPr>
      <w:r>
        <w:rPr>
          <w:rFonts w:hint="eastAsia"/>
          <w:b/>
          <w:bCs/>
        </w:rPr>
        <w:t>（五）合同价款的支付</w:t>
      </w:r>
    </w:p>
    <w:p>
      <w:pPr>
        <w:ind w:firstLine="420" w:firstLineChars="200"/>
      </w:pPr>
      <w:r>
        <w:t>1</w:t>
      </w:r>
      <w:r>
        <w:rPr>
          <w:rFonts w:hint="eastAsia"/>
        </w:rPr>
        <w:t>.</w:t>
      </w:r>
      <w:r>
        <w:t>本合同中甲乙双方之间所发生的一切费用以人民币进行结算。</w:t>
      </w:r>
    </w:p>
    <w:p>
      <w:pPr>
        <w:ind w:firstLine="420" w:firstLineChars="200"/>
      </w:pPr>
      <w:r>
        <w:t>2</w:t>
      </w:r>
      <w:r>
        <w:rPr>
          <w:rFonts w:hint="eastAsia"/>
        </w:rPr>
        <w:t>.</w:t>
      </w:r>
      <w:r>
        <w:t>支付方式：</w:t>
      </w:r>
    </w:p>
    <w:tbl>
      <w:tblPr>
        <w:tblStyle w:val="6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付款次数</w:t>
            </w:r>
          </w:p>
        </w:tc>
        <w:tc>
          <w:tcPr>
            <w:tcW w:w="1985" w:type="dxa"/>
            <w:vAlign w:val="center"/>
          </w:tcPr>
          <w:p>
            <w:pPr>
              <w:jc w:val="center"/>
            </w:pPr>
            <w:r>
              <w:rPr>
                <w:rFonts w:hint="eastAsia"/>
              </w:rPr>
              <w:t>约定支付条件</w:t>
            </w:r>
          </w:p>
        </w:tc>
        <w:tc>
          <w:tcPr>
            <w:tcW w:w="4394" w:type="dxa"/>
            <w:vAlign w:val="center"/>
          </w:tcPr>
          <w:p>
            <w:pPr>
              <w:jc w:val="center"/>
            </w:pPr>
            <w:r>
              <w:t>付款条件</w:t>
            </w:r>
          </w:p>
        </w:tc>
        <w:tc>
          <w:tcPr>
            <w:tcW w:w="1413" w:type="dxa"/>
            <w:vAlign w:val="center"/>
          </w:tcPr>
          <w:p>
            <w:pPr>
              <w:jc w:val="center"/>
            </w:pPr>
            <w: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1</w:t>
            </w:r>
          </w:p>
        </w:tc>
        <w:tc>
          <w:tcPr>
            <w:tcW w:w="1985" w:type="dxa"/>
            <w:vAlign w:val="center"/>
          </w:tcPr>
          <w:p>
            <w:pPr>
              <w:jc w:val="center"/>
            </w:pPr>
            <w:r>
              <w:t>合同签订后</w:t>
            </w:r>
          </w:p>
        </w:tc>
        <w:tc>
          <w:tcPr>
            <w:tcW w:w="4394" w:type="dxa"/>
            <w:vAlign w:val="center"/>
          </w:tcPr>
          <w:p>
            <w:pPr>
              <w:jc w:val="center"/>
            </w:pPr>
            <w:r>
              <w:rPr>
                <w:rFonts w:hint="eastAsia"/>
              </w:rPr>
              <w:t>满足合同约定支付条件，甲方收到乙方提供的同等金额的正规发票后</w:t>
            </w:r>
            <w:r>
              <w:t xml:space="preserve"> 7 个工作日内，向</w:t>
            </w:r>
            <w:r>
              <w:rPr>
                <w:rFonts w:hint="eastAsia"/>
              </w:rPr>
              <w:t>乙方支付合同总价</w:t>
            </w:r>
            <w:r>
              <w:rPr>
                <w:u w:val="single"/>
              </w:rPr>
              <w:t xml:space="preserve">     </w:t>
            </w:r>
            <w:r>
              <w:t>%的预付款；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2</w:t>
            </w:r>
          </w:p>
        </w:tc>
        <w:tc>
          <w:tcPr>
            <w:tcW w:w="1985" w:type="dxa"/>
            <w:vAlign w:val="center"/>
          </w:tcPr>
          <w:p>
            <w:pPr>
              <w:jc w:val="center"/>
            </w:pPr>
            <w:r>
              <w:rPr>
                <w:rFonts w:hint="eastAsia"/>
              </w:rPr>
              <w:t>项目验收合格后</w:t>
            </w:r>
          </w:p>
        </w:tc>
        <w:tc>
          <w:tcPr>
            <w:tcW w:w="4394" w:type="dxa"/>
            <w:vAlign w:val="center"/>
          </w:tcPr>
          <w:p>
            <w:pPr>
              <w:jc w:val="center"/>
            </w:pPr>
            <w:r>
              <w:rPr>
                <w:rFonts w:hint="eastAsia"/>
              </w:rPr>
              <w:t>满足合同约定支付条件，甲方收到乙方提供</w:t>
            </w:r>
          </w:p>
          <w:p>
            <w:pPr>
              <w:jc w:val="center"/>
            </w:pPr>
            <w:r>
              <w:rPr>
                <w:rFonts w:hint="eastAsia"/>
              </w:rPr>
              <w:t>的同等金额的正规发票后</w:t>
            </w:r>
            <w:r>
              <w:t xml:space="preserve"> 7 个工作日内，向</w:t>
            </w:r>
          </w:p>
          <w:p>
            <w:pPr>
              <w:jc w:val="center"/>
            </w:pPr>
            <w:r>
              <w:rPr>
                <w:rFonts w:hint="eastAsia"/>
              </w:rPr>
              <w:t>乙方支付合同总价</w:t>
            </w:r>
            <w:r>
              <w:rPr>
                <w:u w:val="single"/>
              </w:rPr>
              <w:t xml:space="preserve">      </w:t>
            </w:r>
            <w:r>
              <w:t>%的合同款。</w:t>
            </w:r>
          </w:p>
        </w:tc>
        <w:tc>
          <w:tcPr>
            <w:tcW w:w="141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pPr>
              <w:jc w:val="center"/>
            </w:pPr>
            <w:r>
              <w:rPr>
                <w:rFonts w:hint="eastAsia"/>
              </w:rPr>
              <w:t>3</w:t>
            </w:r>
          </w:p>
        </w:tc>
        <w:tc>
          <w:tcPr>
            <w:tcW w:w="1985" w:type="dxa"/>
            <w:vAlign w:val="center"/>
          </w:tcPr>
          <w:p/>
        </w:tc>
        <w:tc>
          <w:tcPr>
            <w:tcW w:w="4394" w:type="dxa"/>
            <w:vAlign w:val="center"/>
          </w:tcPr>
          <w:p>
            <w:pPr>
              <w:jc w:val="center"/>
            </w:pPr>
          </w:p>
        </w:tc>
        <w:tc>
          <w:tcPr>
            <w:tcW w:w="1413" w:type="dxa"/>
            <w:vAlign w:val="center"/>
          </w:tcPr>
          <w:p>
            <w:pPr>
              <w:jc w:val="center"/>
            </w:pPr>
          </w:p>
        </w:tc>
      </w:tr>
    </w:tbl>
    <w:p>
      <w:pPr>
        <w:ind w:firstLine="420" w:firstLineChars="200"/>
      </w:pPr>
      <w:r>
        <w:t>3</w:t>
      </w:r>
      <w:r>
        <w:rPr>
          <w:rFonts w:hint="eastAsia"/>
        </w:rPr>
        <w:t>.</w:t>
      </w:r>
      <w:r>
        <w:t>甲方应付合同款至以下乙方指定的银行账户：</w:t>
      </w:r>
    </w:p>
    <w:p>
      <w:pPr>
        <w:ind w:firstLine="420" w:firstLineChars="200"/>
      </w:pPr>
      <w:r>
        <w:rPr>
          <w:rFonts w:hint="eastAsia"/>
        </w:rPr>
        <w:t>开户名称：</w:t>
      </w:r>
    </w:p>
    <w:p>
      <w:pPr>
        <w:ind w:firstLine="420" w:firstLineChars="200"/>
      </w:pPr>
      <w:r>
        <w:rPr>
          <w:rFonts w:hint="eastAsia"/>
        </w:rPr>
        <w:t>开户银行：</w:t>
      </w:r>
    </w:p>
    <w:p>
      <w:pPr>
        <w:ind w:firstLine="420" w:firstLineChars="200"/>
      </w:pPr>
      <w:r>
        <w:rPr>
          <w:rFonts w:hint="eastAsia"/>
        </w:rPr>
        <w:t>账</w:t>
      </w:r>
      <w:r>
        <w:t xml:space="preserve"> 号：</w:t>
      </w:r>
    </w:p>
    <w:p>
      <w:pPr>
        <w:rPr>
          <w:b/>
          <w:bCs/>
        </w:rPr>
      </w:pPr>
      <w:r>
        <w:rPr>
          <w:rFonts w:hint="eastAsia"/>
          <w:b/>
          <w:bCs/>
        </w:rPr>
        <w:t>（六）履约保证金</w:t>
      </w:r>
    </w:p>
    <w:p>
      <w:pPr>
        <w:ind w:firstLine="420" w:firstLineChars="200"/>
      </w:pPr>
      <w:r>
        <w:t>1</w:t>
      </w:r>
      <w:r>
        <w:rPr>
          <w:rFonts w:hint="eastAsia"/>
        </w:rPr>
        <w:t>.</w:t>
      </w:r>
      <w:r>
        <w:t>乙方应在合同签订后 5 个工作日内向甲方提交履约保证金为【/】元。</w:t>
      </w:r>
    </w:p>
    <w:p>
      <w:pPr>
        <w:ind w:firstLine="420" w:firstLineChars="200"/>
      </w:pPr>
      <w:r>
        <w:t>2</w:t>
      </w:r>
      <w:r>
        <w:rPr>
          <w:rFonts w:hint="eastAsia"/>
        </w:rPr>
        <w:t>.</w:t>
      </w:r>
      <w:r>
        <w:t>履约保证金用于补偿甲方因乙方不能履行其合同义务而蒙受的损失。</w:t>
      </w:r>
    </w:p>
    <w:p>
      <w:pPr>
        <w:ind w:firstLine="420" w:firstLineChars="200"/>
      </w:pPr>
      <w:r>
        <w:t>3</w:t>
      </w:r>
      <w:r>
        <w:rPr>
          <w:rFonts w:hint="eastAsia"/>
        </w:rPr>
        <w:t>.</w:t>
      </w:r>
      <w:r>
        <w:t>履约保证金有效期限：合同签订之日起至项目通过甲方验收后结束。</w:t>
      </w:r>
    </w:p>
    <w:p>
      <w:pPr>
        <w:ind w:firstLine="420" w:firstLineChars="200"/>
      </w:pPr>
      <w:r>
        <w:t>4</w:t>
      </w:r>
      <w:r>
        <w:rPr>
          <w:rFonts w:hint="eastAsia"/>
        </w:rPr>
        <w:t>.</w:t>
      </w:r>
      <w:r>
        <w:t>履约保证金退还：有效期限满后，按合同约定扣除相关款项（如有）后无息退还。</w:t>
      </w:r>
    </w:p>
    <w:p>
      <w:pPr>
        <w:rPr>
          <w:b/>
          <w:bCs/>
        </w:rPr>
      </w:pPr>
      <w:r>
        <w:rPr>
          <w:rFonts w:hint="eastAsia"/>
          <w:b/>
          <w:bCs/>
        </w:rPr>
        <w:t>（七）服务要求</w:t>
      </w:r>
    </w:p>
    <w:p>
      <w:pPr>
        <w:ind w:firstLine="420" w:firstLineChars="200"/>
      </w:pPr>
      <w:r>
        <w:rPr>
          <w:rFonts w:hint="eastAsia"/>
        </w:rPr>
        <w:t>服务期内，乙方应在充分了解甲方现有环境基础上，提供规范化、高质量的服务，具体服务内容与要求详见附件。</w:t>
      </w:r>
    </w:p>
    <w:p>
      <w:pPr>
        <w:ind w:firstLine="420" w:firstLineChars="200"/>
      </w:pPr>
      <w:r>
        <w:rPr>
          <w:rFonts w:hint="eastAsia"/>
        </w:rPr>
        <w:t>履行期限：</w:t>
      </w:r>
    </w:p>
    <w:p>
      <w:pPr>
        <w:ind w:firstLine="420" w:firstLineChars="200"/>
      </w:pPr>
      <w:r>
        <w:rPr>
          <w:rFonts w:hint="eastAsia"/>
        </w:rPr>
        <w:t>履行地点：</w:t>
      </w:r>
    </w:p>
    <w:p>
      <w:pPr>
        <w:rPr>
          <w:b/>
          <w:bCs/>
        </w:rPr>
      </w:pPr>
      <w:r>
        <w:rPr>
          <w:rFonts w:hint="eastAsia"/>
          <w:b/>
          <w:bCs/>
        </w:rPr>
        <w:t>（八）服务人员</w:t>
      </w:r>
    </w:p>
    <w:p>
      <w:pPr>
        <w:ind w:firstLine="420" w:firstLineChars="200"/>
      </w:pPr>
      <w:r>
        <w:rPr>
          <w:rFonts w:hint="eastAsia"/>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ind w:firstLine="420" w:firstLineChars="200"/>
      </w:pPr>
      <w:r>
        <w:rPr>
          <w:rFonts w:hint="eastAsia"/>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ind w:firstLine="420" w:firstLineChars="200"/>
      </w:pPr>
      <w:r>
        <w:rPr>
          <w:rFonts w:hint="eastAsia"/>
        </w:rPr>
        <w:t>甲乙双方指定代表，作为履行本合同服务事宜的主要联系人。</w:t>
      </w:r>
    </w:p>
    <w:p>
      <w:pPr>
        <w:ind w:firstLine="420" w:firstLineChars="200"/>
        <w:rPr>
          <w:u w:val="single"/>
        </w:rPr>
      </w:pPr>
      <w:r>
        <w:rPr>
          <w:rFonts w:hint="eastAsia"/>
        </w:rPr>
        <w:t>甲方代表：</w:t>
      </w:r>
      <w:r>
        <w:rPr>
          <w:u w:val="single"/>
        </w:rPr>
        <w:t xml:space="preserve">                 </w:t>
      </w:r>
      <w:r>
        <w:t>电话：</w:t>
      </w:r>
      <w:r>
        <w:rPr>
          <w:u w:val="single"/>
        </w:rPr>
        <w:t xml:space="preserve">                     </w:t>
      </w:r>
    </w:p>
    <w:p>
      <w:pPr>
        <w:ind w:firstLine="420" w:firstLineChars="200"/>
        <w:rPr>
          <w:u w:val="single"/>
        </w:rPr>
      </w:pPr>
      <w:r>
        <w:rPr>
          <w:rFonts w:hint="eastAsia"/>
        </w:rPr>
        <w:t>乙方代表：</w:t>
      </w:r>
      <w:r>
        <w:rPr>
          <w:u w:val="single"/>
        </w:rPr>
        <w:t xml:space="preserve">                 </w:t>
      </w:r>
      <w:r>
        <w:t>电话：</w:t>
      </w:r>
      <w:r>
        <w:rPr>
          <w:u w:val="single"/>
        </w:rPr>
        <w:t xml:space="preserve">                     </w:t>
      </w:r>
    </w:p>
    <w:p>
      <w:pPr>
        <w:rPr>
          <w:b/>
          <w:bCs/>
        </w:rPr>
      </w:pPr>
      <w:r>
        <w:rPr>
          <w:rFonts w:hint="eastAsia"/>
          <w:b/>
          <w:bCs/>
        </w:rPr>
        <w:t>（九）服务考核</w:t>
      </w:r>
    </w:p>
    <w:p>
      <w:pPr>
        <w:ind w:firstLine="420" w:firstLineChars="200"/>
      </w:pPr>
      <w:r>
        <w:rPr>
          <w:rFonts w:hint="eastAsia"/>
        </w:rPr>
        <w:t>甲方对乙方服务质量进行客观评估，具体考核办法（如有）作为合同附件。</w:t>
      </w:r>
    </w:p>
    <w:p>
      <w:pPr>
        <w:ind w:firstLine="420" w:firstLineChars="200"/>
      </w:pPr>
      <w:r>
        <w:rPr>
          <w:rFonts w:hint="eastAsia"/>
        </w:rPr>
        <w:t>项目完成后，乙方应及时向甲方发出书面履约完成通知，甲方在收到乙方履约完成通知后，按《浙江省财政厅关于印发浙江省政府采购合同暂行办法的通知》（浙财采监〔</w:t>
      </w:r>
      <w:r>
        <w:t>2017〕11 号）相关规定组</w:t>
      </w:r>
      <w:r>
        <w:rPr>
          <w:rFonts w:hint="eastAsia"/>
        </w:rPr>
        <w:t>织验收。验收小组完成验收后应出具验收书，验收书应包括每一项技术、服务、安全等标准的履约情况。</w:t>
      </w:r>
    </w:p>
    <w:p>
      <w:pPr>
        <w:rPr>
          <w:b/>
          <w:bCs/>
        </w:rPr>
      </w:pPr>
      <w:r>
        <w:rPr>
          <w:rFonts w:hint="eastAsia"/>
          <w:b/>
          <w:bCs/>
        </w:rPr>
        <w:t>（十）违约责任</w:t>
      </w:r>
    </w:p>
    <w:p>
      <w:pPr>
        <w:ind w:firstLine="420" w:firstLineChars="200"/>
      </w:pPr>
      <w:r>
        <w:rPr>
          <w:rFonts w:hint="eastAsia"/>
        </w:rPr>
        <w:t>除合同规定的不可抗力外，如果乙方没有按照合同规定的时间提供服务，甲方可要求乙方支付违约金。违约金按每周合同款的</w:t>
      </w:r>
      <w:r>
        <w:rPr>
          <w:u w:val="single"/>
        </w:rPr>
        <w:t xml:space="preserve">     </w:t>
      </w:r>
      <w:r>
        <w:t>%计收。但违约金的最高限额为合同价的</w:t>
      </w:r>
      <w:r>
        <w:rPr>
          <w:u w:val="single"/>
        </w:rPr>
        <w:t xml:space="preserve">    </w:t>
      </w:r>
      <w:r>
        <w:t>%。一周按 7 天计算，</w:t>
      </w:r>
      <w:r>
        <w:rPr>
          <w:rFonts w:hint="eastAsia"/>
        </w:rPr>
        <w:t>不足</w:t>
      </w:r>
      <w:r>
        <w:t xml:space="preserve"> 7 天按一周计算。如果达到最高限额，甲方有权解除合同。</w:t>
      </w:r>
    </w:p>
    <w:p>
      <w:pPr>
        <w:ind w:firstLine="420" w:firstLineChars="200"/>
      </w:pPr>
      <w:r>
        <w:rPr>
          <w:rFonts w:hint="eastAsia"/>
        </w:rPr>
        <w:t>项目结束时验收不合格，乙方应在收到甲方通知后</w:t>
      </w:r>
      <w:r>
        <w:rPr>
          <w:u w:val="single"/>
        </w:rPr>
        <w:t xml:space="preserve"> 7 </w:t>
      </w:r>
      <w:r>
        <w:t>日内退还甲方已支付的合同款，逾期退还</w:t>
      </w:r>
      <w:r>
        <w:rPr>
          <w:rFonts w:hint="eastAsia"/>
        </w:rPr>
        <w:t>合同款的，每日按未退还金额的</w:t>
      </w:r>
      <w:r>
        <w:rPr>
          <w:u w:val="single"/>
        </w:rPr>
        <w:t xml:space="preserve">      </w:t>
      </w:r>
      <w:r>
        <w:t>%支付违约金。</w:t>
      </w:r>
    </w:p>
    <w:p>
      <w:pPr>
        <w:ind w:firstLine="420" w:firstLineChars="200"/>
      </w:pPr>
      <w:r>
        <w:rPr>
          <w:rFonts w:hint="eastAsia"/>
        </w:rPr>
        <w:t>其他违约条款双方协商确定：</w:t>
      </w:r>
      <w:r>
        <w:rPr>
          <w:rFonts w:hint="eastAsia"/>
          <w:u w:val="single"/>
        </w:rPr>
        <w:t xml:space="preserve"> </w:t>
      </w:r>
      <w:r>
        <w:rPr>
          <w:u w:val="single"/>
        </w:rPr>
        <w:t xml:space="preserve">                            </w:t>
      </w:r>
      <w:r>
        <w:rPr>
          <w:rFonts w:hint="eastAsia"/>
          <w:u w:val="single"/>
        </w:rPr>
        <w:t>。</w:t>
      </w:r>
    </w:p>
    <w:p>
      <w:pPr>
        <w:rPr>
          <w:b/>
          <w:bCs/>
        </w:rPr>
      </w:pPr>
      <w:r>
        <w:rPr>
          <w:rFonts w:hint="eastAsia"/>
          <w:b/>
          <w:bCs/>
        </w:rPr>
        <w:t>（十一）解决争议的方法</w:t>
      </w:r>
    </w:p>
    <w:p>
      <w:pPr>
        <w:ind w:firstLine="420" w:firstLineChars="200"/>
      </w:pPr>
      <w:r>
        <w:rPr>
          <w:rFonts w:hint="eastAsia"/>
        </w:rPr>
        <w:t>因合同履行中发生的争议，可通过合同当事人双方友好协商解决。如自协商开始之起</w:t>
      </w:r>
      <w:r>
        <w:t xml:space="preserve"> 15 日内得</w:t>
      </w:r>
      <w:r>
        <w:rPr>
          <w:rFonts w:hint="eastAsia"/>
        </w:rPr>
        <w:t>不到解决，双方应将争议提交政府采购监管部门调解。调解不成的，可向</w:t>
      </w:r>
      <w:r>
        <w:rPr>
          <w:rFonts w:hint="eastAsia"/>
          <w:u w:val="single"/>
        </w:rPr>
        <w:t>（</w:t>
      </w:r>
      <w:r>
        <w:rPr>
          <w:u w:val="single"/>
        </w:rPr>
        <w:t>1）向绍兴市仲裁委员会申请仲裁；</w:t>
      </w:r>
      <w:r>
        <w:rPr>
          <w:rFonts w:hint="eastAsia"/>
          <w:u w:val="single"/>
        </w:rPr>
        <w:t>（</w:t>
      </w:r>
      <w:r>
        <w:rPr>
          <w:u w:val="single"/>
        </w:rPr>
        <w:t>2）向                           人民法院起诉</w:t>
      </w:r>
      <w:r>
        <w:t>。</w:t>
      </w:r>
      <w:r>
        <w:rPr>
          <w:rFonts w:hint="eastAsia"/>
        </w:rPr>
        <w:t>诉讼费用除人民法院另有裁决外，应由败诉方负担。</w:t>
      </w:r>
    </w:p>
    <w:p>
      <w:pPr>
        <w:rPr>
          <w:b/>
          <w:bCs/>
        </w:rPr>
      </w:pPr>
      <w:r>
        <w:rPr>
          <w:rFonts w:hint="eastAsia"/>
          <w:b/>
          <w:bCs/>
        </w:rPr>
        <w:t>（十二）违约解除合同</w:t>
      </w:r>
    </w:p>
    <w:p>
      <w:pPr>
        <w:ind w:firstLine="420" w:firstLineChars="200"/>
      </w:pPr>
      <w:r>
        <w:t>1</w:t>
      </w:r>
      <w:r>
        <w:rPr>
          <w:rFonts w:hint="eastAsia"/>
        </w:rPr>
        <w:t>.</w:t>
      </w:r>
      <w:r>
        <w:t>在乙方违约的情况下，甲方可向乙方发出书面通知，部分或全部终止合同</w:t>
      </w:r>
      <w:r>
        <w:rPr>
          <w:rFonts w:hint="eastAsia"/>
        </w:rPr>
        <w:t>,</w:t>
      </w:r>
      <w:r>
        <w:t>同时保留向乙方</w:t>
      </w:r>
      <w:r>
        <w:rPr>
          <w:rFonts w:hint="eastAsia"/>
        </w:rPr>
        <w:t>追诉的权利：</w:t>
      </w:r>
    </w:p>
    <w:p>
      <w:pPr>
        <w:ind w:firstLine="420" w:firstLineChars="200"/>
      </w:pPr>
      <w:r>
        <w:t>乙方未能在合同规定的限期或甲方同意延长的限期内，提供全部或部分标的物的；</w:t>
      </w:r>
    </w:p>
    <w:p>
      <w:pPr>
        <w:ind w:firstLine="420" w:firstLineChars="200"/>
      </w:pPr>
      <w:r>
        <w:t>乙方未能履行合同规定的其它主要义务的；</w:t>
      </w:r>
    </w:p>
    <w:p>
      <w:pPr>
        <w:ind w:firstLine="420" w:firstLineChars="200"/>
      </w:pPr>
      <w:r>
        <w:t>甲方认为乙方在本合同履行过程中有腐败和欺诈</w:t>
      </w:r>
      <w:r>
        <w:rPr>
          <w:rFonts w:hint="eastAsia"/>
        </w:rPr>
        <w:t>等</w:t>
      </w:r>
      <w:r>
        <w:t>行为的。</w:t>
      </w:r>
    </w:p>
    <w:p>
      <w:pPr>
        <w:ind w:firstLine="420" w:firstLineChars="200"/>
      </w:pPr>
      <w:r>
        <w:t>2</w:t>
      </w:r>
      <w:r>
        <w:rPr>
          <w:rFonts w:hint="eastAsia"/>
        </w:rPr>
        <w:t>.</w:t>
      </w:r>
      <w:r>
        <w:t>甲方解除合同的，合同于甲方发出书面解除合同通知书送达乙方之日起解除。乙方应在合同</w:t>
      </w:r>
      <w:r>
        <w:rPr>
          <w:rFonts w:hint="eastAsia"/>
        </w:rPr>
        <w:t>解除后</w:t>
      </w:r>
      <w:r>
        <w:rPr>
          <w:u w:val="single"/>
        </w:rPr>
        <w:t xml:space="preserve"> 7 </w:t>
      </w:r>
      <w:r>
        <w:t>日内退还甲方已支付的合同款，逾期退还合同款的，每日按未退还金额的</w:t>
      </w:r>
      <w:r>
        <w:rPr>
          <w:u w:val="single"/>
        </w:rPr>
        <w:t xml:space="preserve">    </w:t>
      </w:r>
      <w:r>
        <w:t xml:space="preserve"> %支付违约</w:t>
      </w:r>
      <w:r>
        <w:rPr>
          <w:rFonts w:hint="eastAsia"/>
        </w:rPr>
        <w:t>金。</w:t>
      </w:r>
    </w:p>
    <w:p>
      <w:pPr>
        <w:rPr>
          <w:b/>
          <w:bCs/>
        </w:rPr>
      </w:pPr>
      <w:r>
        <w:rPr>
          <w:rFonts w:hint="eastAsia"/>
          <w:b/>
          <w:bCs/>
        </w:rPr>
        <w:t>（十三）破产终止合同</w:t>
      </w:r>
    </w:p>
    <w:p>
      <w:pPr>
        <w:ind w:firstLine="420" w:firstLineChars="200"/>
      </w:pPr>
      <w:r>
        <w:rPr>
          <w:rFonts w:hint="eastAsia"/>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pPr>
        <w:rPr>
          <w:b/>
          <w:bCs/>
        </w:rPr>
      </w:pPr>
      <w:r>
        <w:rPr>
          <w:rFonts w:hint="eastAsia"/>
          <w:b/>
          <w:bCs/>
        </w:rPr>
        <w:t>（十四）转让和分包</w:t>
      </w:r>
    </w:p>
    <w:p>
      <w:pPr>
        <w:ind w:firstLine="420" w:firstLineChars="200"/>
      </w:pPr>
      <w:r>
        <w:t>1</w:t>
      </w:r>
      <w:r>
        <w:rPr>
          <w:rFonts w:hint="eastAsia"/>
        </w:rPr>
        <w:t>.</w:t>
      </w:r>
      <w:r>
        <w:t>政府采购合同不能转让。</w:t>
      </w:r>
    </w:p>
    <w:p>
      <w:pPr>
        <w:ind w:firstLine="420" w:firstLineChars="200"/>
      </w:pPr>
      <w:r>
        <w:t>2</w:t>
      </w:r>
      <w:r>
        <w:rPr>
          <w:rFonts w:hint="eastAsia"/>
        </w:rPr>
        <w:t>.</w:t>
      </w:r>
      <w:r>
        <w:t>本项目内容</w:t>
      </w:r>
      <w:r>
        <w:rPr>
          <w:u w:val="single"/>
        </w:rPr>
        <w:t>不</w:t>
      </w:r>
      <w:r>
        <w:t>允许分包</w:t>
      </w:r>
      <w:r>
        <w:rPr>
          <w:rFonts w:hint="eastAsia"/>
        </w:rPr>
        <w:t>（按照招标文件要求）</w:t>
      </w:r>
      <w:r>
        <w:t>。</w:t>
      </w:r>
    </w:p>
    <w:p>
      <w:pPr>
        <w:rPr>
          <w:b/>
          <w:bCs/>
        </w:rPr>
      </w:pPr>
      <w:r>
        <w:rPr>
          <w:rFonts w:hint="eastAsia"/>
          <w:b/>
          <w:bCs/>
        </w:rPr>
        <w:t>（十五）合同变更、解除</w:t>
      </w:r>
    </w:p>
    <w:p>
      <w:pPr>
        <w:ind w:firstLine="420" w:firstLineChars="200"/>
      </w:pPr>
      <w:r>
        <w:t>甲方和乙方都不得擅自</w:t>
      </w:r>
      <w:r>
        <w:rPr>
          <w:rFonts w:hint="eastAsia"/>
        </w:rPr>
        <w:t>中止或终止本合同，</w:t>
      </w:r>
      <w:r>
        <w:t>但合同继续履行将损害国家和社会公共利益的除外。</w:t>
      </w:r>
      <w:r>
        <w:rPr>
          <w:rFonts w:hint="eastAsia"/>
        </w:rPr>
        <w:t>不得擅自</w:t>
      </w:r>
      <w:r>
        <w:t>变更本合同，如</w:t>
      </w:r>
      <w:r>
        <w:rPr>
          <w:rFonts w:hint="eastAsia"/>
        </w:rPr>
        <w:t>必须对合同条款进行改动时，当事人双方须共同签署书面文件，做为合同的补充，并报同级政府采购监督管理部门批准和备案。</w:t>
      </w:r>
    </w:p>
    <w:p>
      <w:pPr>
        <w:rPr>
          <w:b/>
          <w:bCs/>
        </w:rPr>
      </w:pPr>
      <w:r>
        <w:rPr>
          <w:rFonts w:hint="eastAsia"/>
          <w:b/>
          <w:bCs/>
        </w:rPr>
        <w:t>（十六）通知</w:t>
      </w:r>
    </w:p>
    <w:p>
      <w:pPr>
        <w:ind w:firstLine="420" w:firstLineChars="200"/>
      </w:pPr>
      <w:r>
        <w:rPr>
          <w:rFonts w:hint="eastAsia"/>
        </w:rPr>
        <w:t>本合同任何一方给另一方的通知，都应以书面形式发送，而另一方也应以书面形式确认并发送到对方明确的地址。</w:t>
      </w:r>
    </w:p>
    <w:p>
      <w:pPr>
        <w:rPr>
          <w:b/>
          <w:bCs/>
        </w:rPr>
      </w:pPr>
      <w:r>
        <w:rPr>
          <w:rFonts w:hint="eastAsia"/>
          <w:b/>
          <w:bCs/>
        </w:rPr>
        <w:t>（十七）计量单位</w:t>
      </w:r>
    </w:p>
    <w:p>
      <w:pPr>
        <w:ind w:firstLine="420" w:firstLineChars="200"/>
      </w:pPr>
      <w:r>
        <w:rPr>
          <w:rFonts w:hint="eastAsia"/>
        </w:rPr>
        <w:t>除技术规范中另有规定外，计量单位均使用国家法定计量单位。</w:t>
      </w:r>
    </w:p>
    <w:p>
      <w:pPr>
        <w:rPr>
          <w:b/>
          <w:bCs/>
        </w:rPr>
      </w:pPr>
      <w:r>
        <w:rPr>
          <w:rFonts w:hint="eastAsia"/>
          <w:b/>
          <w:bCs/>
        </w:rPr>
        <w:t>（十八）不可抗力</w:t>
      </w:r>
    </w:p>
    <w:p>
      <w:pPr>
        <w:ind w:firstLine="420" w:firstLineChars="200"/>
      </w:pPr>
      <w:r>
        <w:t>1</w:t>
      </w:r>
      <w:r>
        <w:rPr>
          <w:rFonts w:hint="eastAsia"/>
        </w:rPr>
        <w:t>.</w:t>
      </w:r>
      <w:r>
        <w:t>如果双方中任何一方遭遇法律规定的不可抗力，致使合同履行受阻时，履行合同的期限应予</w:t>
      </w:r>
      <w:r>
        <w:rPr>
          <w:rFonts w:hint="eastAsia"/>
        </w:rPr>
        <w:t>延长，延长的期限应相当于不可抗力所影响的时间。</w:t>
      </w:r>
    </w:p>
    <w:p>
      <w:pPr>
        <w:ind w:firstLine="420" w:firstLineChars="200"/>
      </w:pPr>
      <w:r>
        <w:t>2</w:t>
      </w:r>
      <w:r>
        <w:rPr>
          <w:rFonts w:hint="eastAsia"/>
        </w:rPr>
        <w:t>.</w:t>
      </w:r>
      <w:r>
        <w:t>受事故影响的一方应在不可抗力的事故发生后尽快书面形式通知另一方，并在事故发生后合</w:t>
      </w:r>
      <w:r>
        <w:rPr>
          <w:rFonts w:hint="eastAsia"/>
        </w:rPr>
        <w:t>同规定时间内，将有关部门出具的证明文件送达另一方。</w:t>
      </w:r>
    </w:p>
    <w:p>
      <w:pPr>
        <w:ind w:firstLine="420" w:firstLineChars="200"/>
      </w:pPr>
      <w:r>
        <w:t>3</w:t>
      </w:r>
      <w:r>
        <w:rPr>
          <w:rFonts w:hint="eastAsia"/>
        </w:rPr>
        <w:t>.</w:t>
      </w:r>
      <w:r>
        <w:t>不可抗力使合同的某些内容有变更必要的，双方应通过协商达成进一步履行合同的协议，因</w:t>
      </w:r>
      <w:r>
        <w:rPr>
          <w:rFonts w:hint="eastAsia"/>
        </w:rPr>
        <w:t>不可抗力致使合同不能履行的，合同终止。</w:t>
      </w:r>
    </w:p>
    <w:p>
      <w:pPr>
        <w:rPr>
          <w:b/>
          <w:bCs/>
        </w:rPr>
      </w:pPr>
      <w:r>
        <w:rPr>
          <w:rFonts w:hint="eastAsia"/>
          <w:b/>
          <w:bCs/>
        </w:rPr>
        <w:t>（十九）合同解释</w:t>
      </w:r>
    </w:p>
    <w:p>
      <w:pPr>
        <w:ind w:firstLine="420" w:firstLineChars="200"/>
      </w:pPr>
      <w:r>
        <w:rPr>
          <w:rFonts w:hint="eastAsia"/>
        </w:rPr>
        <w:t>本合同应按照《中华人民共和国政府采购法》、《中华人民共和国民法典》、《浙江省政府采购合同暂行办法》等进行解释。</w:t>
      </w:r>
    </w:p>
    <w:p>
      <w:r>
        <w:rPr>
          <w:rFonts w:hint="eastAsia"/>
          <w:b/>
          <w:bCs/>
        </w:rPr>
        <w:t>（二十）合同的生效及其他</w:t>
      </w:r>
    </w:p>
    <w:p>
      <w:pPr>
        <w:ind w:firstLine="420" w:firstLineChars="200"/>
      </w:pPr>
      <w:r>
        <w:rPr>
          <w:rFonts w:hint="eastAsia"/>
        </w:rPr>
        <w:t>政府采购项目的采购合同内容的确定应以招标文件和投标文件为基础，不得违背其实质性内容。</w:t>
      </w:r>
    </w:p>
    <w:p>
      <w:r>
        <w:rPr>
          <w:rFonts w:hint="eastAsia"/>
        </w:rPr>
        <w:t>合同将在双方签字盖章后开始生效。授权代表签署的应附法定代表人授权书。</w:t>
      </w:r>
    </w:p>
    <w:p>
      <w:pPr>
        <w:rPr>
          <w:b/>
          <w:bCs/>
        </w:rPr>
      </w:pPr>
      <w:r>
        <w:rPr>
          <w:rFonts w:hint="eastAsia"/>
          <w:b/>
          <w:bCs/>
        </w:rPr>
        <w:t>（二十一）合同附件（如有）</w:t>
      </w:r>
    </w:p>
    <w:p>
      <w:pPr>
        <w:rPr>
          <w:b/>
          <w:bCs/>
        </w:rPr>
      </w:pPr>
      <w:r>
        <w:rPr>
          <w:rFonts w:hint="eastAsia"/>
          <w:b/>
          <w:bCs/>
        </w:rPr>
        <w:t>（二十二）合同份数</w:t>
      </w:r>
    </w:p>
    <w:p>
      <w:r>
        <w:rPr>
          <w:rFonts w:hint="eastAsia"/>
        </w:rPr>
        <w:t>本合同一式</w:t>
      </w:r>
      <w:r>
        <w:rPr>
          <w:rFonts w:hint="eastAsia"/>
          <w:u w:val="single"/>
        </w:rPr>
        <w:t>五</w:t>
      </w:r>
      <w:r>
        <w:rPr>
          <w:rFonts w:hint="eastAsia"/>
        </w:rPr>
        <w:t>份，具同等法律效力。</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甲方</w:t>
            </w:r>
          </w:p>
        </w:tc>
        <w:tc>
          <w:tcPr>
            <w:tcW w:w="4234" w:type="dxa"/>
            <w:vAlign w:val="center"/>
          </w:tcPr>
          <w:p>
            <w:pPr>
              <w:jc w:val="center"/>
            </w:pPr>
            <w:r>
              <w:rPr>
                <w:rFonts w:hint="eastAsia"/>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p>
            <w:r>
              <w:rPr>
                <w:rFonts w:hint="eastAsia"/>
              </w:rPr>
              <w:t xml:space="preserve">税 </w:t>
            </w:r>
            <w:r>
              <w:t xml:space="preserve">   </w:t>
            </w:r>
            <w:r>
              <w:rPr>
                <w:rFonts w:hint="eastAsia"/>
              </w:rPr>
              <w:t>号：</w:t>
            </w:r>
          </w:p>
          <w:p>
            <w:r>
              <w:t>签订时间：</w:t>
            </w:r>
          </w:p>
        </w:tc>
      </w:tr>
    </w:tbl>
    <w:p/>
    <w:p/>
    <w:p>
      <w:pPr>
        <w:ind w:firstLine="422" w:firstLineChars="200"/>
        <w:rPr>
          <w:rFonts w:ascii="宋体" w:hAnsi="宋体"/>
          <w:b/>
          <w:color w:val="FF0000"/>
        </w:rPr>
      </w:pPr>
      <w:r>
        <w:rPr>
          <w:rFonts w:hint="eastAsia" w:ascii="宋体" w:hAnsi="宋体"/>
          <w:b/>
          <w:color w:val="FF0000"/>
        </w:rPr>
        <w:t>（注：在正式签约时，双方可以根据上述要求应拟定更为详尽的合同书）</w:t>
      </w:r>
    </w:p>
    <w:p>
      <w:pPr>
        <w:spacing w:line="360" w:lineRule="auto"/>
        <w:ind w:left="-420" w:leftChars="-200" w:right="-420" w:rightChars="-200" w:firstLine="480" w:firstLineChars="200"/>
        <w:jc w:val="center"/>
        <w:outlineLvl w:val="0"/>
        <w:rPr>
          <w:rFonts w:ascii="仿宋" w:hAnsi="仿宋" w:eastAsia="仿宋"/>
          <w:sz w:val="24"/>
        </w:rPr>
      </w:pPr>
    </w:p>
    <w:p>
      <w:pPr>
        <w:pStyle w:val="5"/>
        <w:rPr>
          <w:lang w:val="en-US"/>
        </w:rPr>
      </w:pPr>
    </w:p>
    <w:p/>
    <w:p>
      <w:pPr>
        <w:pStyle w:val="5"/>
        <w:rPr>
          <w:lang w:val="en-US"/>
        </w:rPr>
      </w:pPr>
    </w:p>
    <w:p>
      <w:pPr>
        <w:pStyle w:val="5"/>
        <w:ind w:left="0" w:leftChars="0" w:firstLine="0" w:firstLineChars="0"/>
        <w:rPr>
          <w:lang w:val="en-US"/>
        </w:rPr>
      </w:pPr>
    </w:p>
    <w:p/>
    <w:p/>
    <w:p>
      <w:pPr>
        <w:spacing w:line="360" w:lineRule="auto"/>
        <w:ind w:left="720" w:firstLine="723" w:firstLineChars="200"/>
        <w:outlineLvl w:val="0"/>
        <w:rPr>
          <w:rFonts w:hint="eastAsia" w:asciiTheme="majorEastAsia" w:hAnsiTheme="majorEastAsia" w:eastAsiaTheme="majorEastAsia" w:cstheme="majorEastAsia"/>
          <w:b/>
          <w:sz w:val="36"/>
          <w:szCs w:val="20"/>
        </w:rPr>
      </w:pPr>
      <w:r>
        <w:rPr>
          <w:rFonts w:hint="eastAsia" w:asciiTheme="majorEastAsia" w:hAnsiTheme="majorEastAsia" w:eastAsiaTheme="majorEastAsia" w:cstheme="majorEastAsia"/>
          <w:b/>
          <w:sz w:val="36"/>
          <w:szCs w:val="20"/>
        </w:rPr>
        <w:t>第六部分</w:t>
      </w:r>
      <w:bookmarkEnd w:id="392"/>
      <w:r>
        <w:rPr>
          <w:rFonts w:hint="eastAsia" w:asciiTheme="majorEastAsia" w:hAnsiTheme="majorEastAsia" w:eastAsiaTheme="majorEastAsia" w:cstheme="majorEastAsia"/>
          <w:b/>
          <w:sz w:val="36"/>
          <w:szCs w:val="20"/>
        </w:rPr>
        <w:t xml:space="preserve"> </w:t>
      </w:r>
      <w:bookmarkEnd w:id="393"/>
      <w:r>
        <w:rPr>
          <w:rFonts w:hint="eastAsia" w:asciiTheme="majorEastAsia" w:hAnsiTheme="majorEastAsia" w:eastAsiaTheme="majorEastAsia" w:cstheme="majorEastAsia"/>
          <w:b/>
          <w:sz w:val="36"/>
          <w:szCs w:val="20"/>
        </w:rPr>
        <w:t>应提交的有关格式范例</w:t>
      </w:r>
    </w:p>
    <w:p>
      <w:pPr>
        <w:spacing w:line="360" w:lineRule="auto"/>
        <w:jc w:val="center"/>
        <w:outlineLvl w:val="0"/>
        <w:rPr>
          <w:rFonts w:hint="eastAsia" w:asciiTheme="majorEastAsia" w:hAnsiTheme="majorEastAsia" w:eastAsiaTheme="majorEastAsia" w:cstheme="majorEastAsia"/>
          <w:b/>
          <w:kern w:val="0"/>
          <w:sz w:val="36"/>
          <w:szCs w:val="36"/>
        </w:rPr>
      </w:pPr>
    </w:p>
    <w:p>
      <w:pPr>
        <w:spacing w:line="360" w:lineRule="auto"/>
        <w:jc w:val="center"/>
        <w:outlineLvl w:val="0"/>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资格文件部分</w:t>
      </w:r>
    </w:p>
    <w:p>
      <w:pPr>
        <w:spacing w:line="360" w:lineRule="auto"/>
        <w:jc w:val="center"/>
        <w:outlineLvl w:val="0"/>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目录</w:t>
      </w:r>
    </w:p>
    <w:p>
      <w:pPr>
        <w:spacing w:line="360" w:lineRule="auto"/>
        <w:jc w:val="center"/>
        <w:outlineLvl w:val="0"/>
        <w:rPr>
          <w:rFonts w:hint="eastAsia" w:asciiTheme="majorEastAsia" w:hAnsiTheme="majorEastAsia" w:eastAsiaTheme="majorEastAsia" w:cstheme="majorEastAsia"/>
          <w:b/>
          <w:kern w:val="0"/>
          <w:sz w:val="36"/>
          <w:szCs w:val="36"/>
        </w:rPr>
      </w:pP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（1）符合参加政府采购活动应当具备的一般条件的承诺函……………（页码）</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（2）落实政府采购政策需满足的资格要求（如需）……………………（页码）</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（3）本项目的特定资格要求（如需）……………………………………（页码）</w:t>
      </w:r>
    </w:p>
    <w:p>
      <w:pPr>
        <w:snapToGrid w:val="0"/>
        <w:spacing w:line="360" w:lineRule="auto"/>
        <w:ind w:firstLine="480" w:firstLineChars="200"/>
        <w:rPr>
          <w:rFonts w:hint="eastAsia" w:asciiTheme="majorEastAsia" w:hAnsiTheme="majorEastAsia" w:eastAsiaTheme="majorEastAsia" w:cstheme="majorEastAsia"/>
          <w:sz w:val="24"/>
        </w:rPr>
      </w:pPr>
    </w:p>
    <w:p>
      <w:pPr>
        <w:spacing w:line="360" w:lineRule="auto"/>
        <w:ind w:firstLine="480" w:firstLineChars="200"/>
        <w:rPr>
          <w:rFonts w:hint="eastAsia" w:asciiTheme="majorEastAsia" w:hAnsiTheme="majorEastAsia" w:eastAsiaTheme="majorEastAsia" w:cstheme="majorEastAsia"/>
          <w:sz w:val="24"/>
        </w:rPr>
      </w:pPr>
    </w:p>
    <w:p>
      <w:pPr>
        <w:snapToGrid w:val="0"/>
        <w:spacing w:line="360" w:lineRule="auto"/>
        <w:ind w:right="480"/>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kern w:val="0"/>
          <w:sz w:val="24"/>
        </w:rPr>
        <w:br w:type="page"/>
      </w:r>
      <w:r>
        <w:rPr>
          <w:rFonts w:hint="eastAsia" w:asciiTheme="majorEastAsia" w:hAnsiTheme="majorEastAsia" w:eastAsiaTheme="majorEastAsia" w:cstheme="majorEastAsia"/>
          <w:b/>
          <w:kern w:val="0"/>
          <w:sz w:val="32"/>
          <w:szCs w:val="32"/>
        </w:rPr>
        <w:t xml:space="preserve">  一、 符合参加政府采购活动应当具备的一般条件的承诺函</w:t>
      </w:r>
    </w:p>
    <w:p>
      <w:pPr>
        <w:snapToGrid w:val="0"/>
        <w:spacing w:line="360" w:lineRule="auto"/>
        <w:rPr>
          <w:rFonts w:hint="eastAsia" w:asciiTheme="majorEastAsia" w:hAnsiTheme="majorEastAsia" w:eastAsiaTheme="majorEastAsia" w:cstheme="majorEastAsia"/>
          <w:sz w:val="24"/>
        </w:rPr>
      </w:pP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（采购人）、（采购代理机构）：</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我方参与（项目名称）【招标编号：（采购编号）】政府采购活动，郑重承诺：</w:t>
      </w:r>
    </w:p>
    <w:p>
      <w:pPr>
        <w:snapToGrid w:val="0"/>
        <w:spacing w:line="360" w:lineRule="auto"/>
        <w:ind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（一）具备《中华人民共和国政府采购法》第二十二条规定的以下条件：</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1、具有独立承担民事责任的能力；</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2、具有良好的商业信誉和健全的财务会计制度； </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3、具有履行合同所必需的设备和专业技术能力；</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4、有依法缴纳税收和社会保障资金的良好记录；</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5、参加政府采购活动前三年内，在经营活动中没有重大违法记录；</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6、法律、行政法规规定的其他条件。</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（三）不存在以下情况：</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2、为采购项目提供整体设计、规范编制或者项目管理、监理、检测等服务后再参加该采购项目的其他采购活动的。</w:t>
      </w: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snapToGrid w:val="0"/>
        <w:spacing w:line="360" w:lineRule="auto"/>
        <w:ind w:firstLine="5520" w:firstLineChars="23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zh-CN"/>
        </w:rPr>
        <w:t>投标人名称(电子签名)：</w:t>
      </w: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zh-CN"/>
        </w:rPr>
        <w:t xml:space="preserve">                        </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日期</w:t>
      </w:r>
      <w:r>
        <w:rPr>
          <w:rFonts w:hint="eastAsia" w:asciiTheme="majorEastAsia" w:hAnsiTheme="majorEastAsia" w:eastAsiaTheme="majorEastAsia" w:cstheme="majorEastAsia"/>
          <w:kern w:val="0"/>
          <w:sz w:val="24"/>
        </w:rPr>
        <w:t xml:space="preserve">：  年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w:t>
      </w: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二、落实政府采购政策需满足的资格要求</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A</w:t>
      </w:r>
      <w:r>
        <w:rPr>
          <w:rFonts w:hint="eastAsia" w:asciiTheme="majorEastAsia" w:hAnsiTheme="majorEastAsia" w:eastAsiaTheme="majorEastAsia" w:cstheme="majorEastAsia"/>
          <w:sz w:val="24"/>
        </w:rPr>
        <w:t xml:space="preserve">.专门面向中小企业，货物全部由符合政策要求的中小企业（或小微企业）制造或者服务全部由符合政策要求的中小企业（或小微企业）承接的，提供相应的中小企业声明函（附件4）。 </w:t>
      </w:r>
    </w:p>
    <w:p>
      <w:pPr>
        <w:snapToGrid w:val="0"/>
        <w:spacing w:before="50" w:after="50" w:line="360" w:lineRule="auto"/>
        <w:jc w:val="center"/>
        <w:rPr>
          <w:rFonts w:hint="eastAsia"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sz w:val="24"/>
        </w:rPr>
        <w:t xml:space="preserve">    </w:t>
      </w:r>
      <w:r>
        <w:rPr>
          <w:rFonts w:hint="eastAsia" w:asciiTheme="majorEastAsia" w:hAnsiTheme="majorEastAsia" w:eastAsiaTheme="majorEastAsia" w:cstheme="majorEastAsia"/>
          <w:b/>
          <w:kern w:val="0"/>
          <w:sz w:val="32"/>
          <w:szCs w:val="32"/>
          <w:lang w:val="zh-CN"/>
        </w:rPr>
        <w:t>联合协议</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u w:val="single"/>
        </w:rPr>
        <w:t>（联合体所有成员名称）</w:t>
      </w:r>
      <w:r>
        <w:rPr>
          <w:rFonts w:hint="eastAsia" w:asciiTheme="majorEastAsia" w:hAnsiTheme="majorEastAsia" w:eastAsiaTheme="majorEastAsia" w:cstheme="majorEastAsia"/>
          <w:kern w:val="0"/>
          <w:sz w:val="24"/>
        </w:rPr>
        <w:t>自愿</w:t>
      </w:r>
      <w:r>
        <w:rPr>
          <w:rFonts w:hint="eastAsia" w:asciiTheme="majorEastAsia" w:hAnsiTheme="majorEastAsia" w:eastAsiaTheme="majorEastAsia" w:cstheme="majorEastAsia"/>
          <w:kern w:val="0"/>
          <w:sz w:val="24"/>
          <w:lang w:val="zh-CN"/>
        </w:rPr>
        <w:t>组成一个联合体，以一个投标人的身份</w:t>
      </w:r>
      <w:r>
        <w:rPr>
          <w:rFonts w:hint="eastAsia" w:asciiTheme="majorEastAsia" w:hAnsiTheme="majorEastAsia" w:eastAsiaTheme="majorEastAsia" w:cstheme="majorEastAsia"/>
          <w:kern w:val="0"/>
          <w:sz w:val="24"/>
        </w:rPr>
        <w:t>参加</w:t>
      </w:r>
      <w:r>
        <w:rPr>
          <w:rFonts w:hint="eastAsia" w:asciiTheme="majorEastAsia" w:hAnsiTheme="majorEastAsia" w:eastAsiaTheme="majorEastAsia" w:cstheme="majorEastAsia"/>
          <w:sz w:val="24"/>
        </w:rPr>
        <w:t>（项目名称）【招标编号：（采购编号）】</w:t>
      </w:r>
      <w:r>
        <w:rPr>
          <w:rFonts w:hint="eastAsia" w:asciiTheme="majorEastAsia" w:hAnsiTheme="majorEastAsia" w:eastAsiaTheme="majorEastAsia" w:cstheme="majorEastAsia"/>
          <w:kern w:val="0"/>
          <w:sz w:val="24"/>
          <w:lang w:val="zh-CN"/>
        </w:rPr>
        <w:t xml:space="preserve">投标。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一、各方一致决定，</w:t>
      </w:r>
      <w:r>
        <w:rPr>
          <w:rFonts w:hint="eastAsia" w:asciiTheme="majorEastAsia" w:hAnsiTheme="majorEastAsia" w:eastAsiaTheme="majorEastAsia" w:cstheme="majorEastAsia"/>
          <w:kern w:val="0"/>
          <w:sz w:val="24"/>
          <w:u w:val="single"/>
        </w:rPr>
        <w:t>（某联合体成员名称）</w:t>
      </w:r>
      <w:r>
        <w:rPr>
          <w:rFonts w:hint="eastAsia" w:asciiTheme="majorEastAsia" w:hAnsiTheme="majorEastAsia" w:eastAsiaTheme="majorEastAsia" w:cstheme="majorEastAsia"/>
          <w:kern w:val="0"/>
          <w:sz w:val="24"/>
        </w:rPr>
        <w:t>为联合体</w:t>
      </w:r>
      <w:r>
        <w:rPr>
          <w:rFonts w:hint="eastAsia" w:asciiTheme="majorEastAsia" w:hAnsiTheme="majorEastAsia" w:eastAsiaTheme="majorEastAsia" w:cstheme="majorEastAsia"/>
          <w:kern w:val="0"/>
          <w:sz w:val="24"/>
          <w:lang w:val="zh-CN"/>
        </w:rPr>
        <w:t>牵头人</w:t>
      </w:r>
      <w:r>
        <w:rPr>
          <w:rFonts w:hint="eastAsia" w:asciiTheme="majorEastAsia" w:hAnsiTheme="majorEastAsia" w:eastAsiaTheme="majorEastAsia" w:cstheme="majorEastAsia"/>
          <w:sz w:val="24"/>
        </w:rPr>
        <w:t>，代表所有联合体成员负责投标和合同实施阶段的主办、协调工作</w:t>
      </w:r>
      <w:r>
        <w:rPr>
          <w:rFonts w:hint="eastAsia" w:asciiTheme="majorEastAsia" w:hAnsiTheme="majorEastAsia" w:eastAsiaTheme="majorEastAsia" w:cstheme="majorEastAsia"/>
          <w:kern w:val="0"/>
          <w:sz w:val="24"/>
          <w:lang w:val="zh-CN"/>
        </w:rPr>
        <w:t>。</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二、</w:t>
      </w:r>
      <w:r>
        <w:rPr>
          <w:rFonts w:hint="eastAsia" w:asciiTheme="majorEastAsia" w:hAnsiTheme="majorEastAsia" w:eastAsiaTheme="majorEastAsia" w:cstheme="majorEastAsia"/>
          <w:sz w:val="24"/>
        </w:rPr>
        <w:t>所有联合体成员各方签署授权书，授权书载明的</w:t>
      </w:r>
      <w:r>
        <w:rPr>
          <w:rFonts w:hint="eastAsia" w:asciiTheme="majorEastAsia" w:hAnsiTheme="majorEastAsia" w:eastAsiaTheme="majorEastAsia" w:cstheme="majorEastAsia"/>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三、本次联合投标中，分工如下：</w:t>
      </w:r>
      <w:r>
        <w:rPr>
          <w:rFonts w:hint="eastAsia" w:asciiTheme="majorEastAsia" w:hAnsiTheme="majorEastAsia" w:eastAsiaTheme="majorEastAsia" w:cstheme="majorEastAsia"/>
          <w:kern w:val="0"/>
          <w:sz w:val="24"/>
          <w:u w:val="single"/>
        </w:rPr>
        <w:t>（联合体其中一方成员名称）</w:t>
      </w:r>
      <w:r>
        <w:rPr>
          <w:rFonts w:hint="eastAsia" w:asciiTheme="majorEastAsia" w:hAnsiTheme="majorEastAsia" w:eastAsiaTheme="majorEastAsia" w:cstheme="majorEastAsia"/>
          <w:kern w:val="0"/>
          <w:sz w:val="24"/>
          <w:lang w:val="zh-CN"/>
        </w:rPr>
        <w:t>承担的工作和义务为：</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kern w:val="0"/>
          <w:sz w:val="24"/>
          <w:lang w:val="zh-CN"/>
        </w:rPr>
        <w:t>；</w:t>
      </w:r>
      <w:r>
        <w:rPr>
          <w:rFonts w:hint="eastAsia" w:asciiTheme="majorEastAsia" w:hAnsiTheme="majorEastAsia" w:eastAsiaTheme="majorEastAsia" w:cstheme="majorEastAsia"/>
          <w:kern w:val="0"/>
          <w:sz w:val="24"/>
          <w:u w:val="single"/>
        </w:rPr>
        <w:t>（联合体其中一方成员名称）</w:t>
      </w:r>
      <w:r>
        <w:rPr>
          <w:rFonts w:hint="eastAsia" w:asciiTheme="majorEastAsia" w:hAnsiTheme="majorEastAsia" w:eastAsiaTheme="majorEastAsia" w:cstheme="majorEastAsia"/>
          <w:kern w:val="0"/>
          <w:sz w:val="24"/>
          <w:lang w:val="zh-CN"/>
        </w:rPr>
        <w:t>承担的工作和义务为：</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kern w:val="0"/>
          <w:sz w:val="24"/>
          <w:lang w:val="zh-CN"/>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四、</w:t>
      </w:r>
      <w:r>
        <w:rPr>
          <w:rFonts w:hint="eastAsia" w:asciiTheme="majorEastAsia" w:hAnsiTheme="majorEastAsia" w:eastAsiaTheme="majorEastAsia" w:cstheme="majorEastAsia"/>
          <w:sz w:val="24"/>
        </w:rPr>
        <w:t>中小企业合同金额达到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%，小微企业合同金额达到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kern w:val="0"/>
          <w:sz w:val="24"/>
          <w:lang w:val="zh-CN"/>
        </w:rPr>
        <w:t>。</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五、如果中标，</w:t>
      </w:r>
      <w:r>
        <w:rPr>
          <w:rFonts w:hint="eastAsia" w:asciiTheme="majorEastAsia" w:hAnsiTheme="majorEastAsia" w:eastAsiaTheme="majorEastAsia" w:cstheme="majorEastAsia"/>
          <w:sz w:val="24"/>
        </w:rPr>
        <w:t>联合体各成员方共同与采购人签订合同，并就采购合同约定的事项对采购人承担连带责任。</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六、有关本次联合投标的其他事宜：</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联合体成员名称(电子签名/公章)：</w:t>
      </w:r>
    </w:p>
    <w:p>
      <w:pPr>
        <w:snapToGrid w:val="0"/>
        <w:spacing w:line="360" w:lineRule="auto"/>
        <w:ind w:firstLine="5040" w:firstLineChars="21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lang w:val="zh-CN"/>
        </w:rPr>
        <w:t>……</w:t>
      </w:r>
    </w:p>
    <w:p>
      <w:pPr>
        <w:snapToGrid w:val="0"/>
        <w:spacing w:line="360" w:lineRule="auto"/>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日期：  年  月   日</w:t>
      </w:r>
    </w:p>
    <w:p>
      <w:pPr>
        <w:spacing w:line="360" w:lineRule="auto"/>
        <w:ind w:firstLine="482"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b/>
          <w:sz w:val="24"/>
        </w:rPr>
        <w:t>C、</w:t>
      </w:r>
      <w:r>
        <w:rPr>
          <w:rFonts w:hint="eastAsia" w:asciiTheme="majorEastAsia" w:hAnsiTheme="majorEastAsia" w:eastAsiaTheme="majorEastAsia" w:cstheme="majorEastAsia"/>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分包意向协议</w:t>
      </w:r>
    </w:p>
    <w:p>
      <w:pPr>
        <w:widowControl/>
        <w:spacing w:line="360" w:lineRule="auto"/>
        <w:ind w:firstLine="120" w:firstLineChars="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
          <w:sz w:val="24"/>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sz w:val="24"/>
        </w:rPr>
        <w:t>）</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u w:val="single"/>
        </w:rPr>
        <w:t>（投标人名称）</w:t>
      </w:r>
      <w:r>
        <w:rPr>
          <w:rFonts w:hint="eastAsia" w:asciiTheme="majorEastAsia" w:hAnsiTheme="majorEastAsia" w:eastAsiaTheme="majorEastAsia" w:cstheme="majorEastAsia"/>
          <w:kern w:val="0"/>
          <w:sz w:val="24"/>
          <w:lang w:val="zh-CN"/>
        </w:rPr>
        <w:t>若成为</w:t>
      </w:r>
      <w:r>
        <w:rPr>
          <w:rFonts w:hint="eastAsia" w:asciiTheme="majorEastAsia" w:hAnsiTheme="majorEastAsia" w:eastAsiaTheme="majorEastAsia" w:cstheme="majorEastAsia"/>
          <w:sz w:val="24"/>
        </w:rPr>
        <w:t>（项目名称）【招标编号：（采购编号）】</w:t>
      </w:r>
      <w:r>
        <w:rPr>
          <w:rFonts w:hint="eastAsia" w:asciiTheme="majorEastAsia" w:hAnsiTheme="majorEastAsia" w:eastAsiaTheme="majorEastAsia" w:cstheme="majorEastAsia"/>
          <w:kern w:val="0"/>
          <w:sz w:val="24"/>
          <w:lang w:val="zh-CN"/>
        </w:rPr>
        <w:t>的中标供应商，将依法采取分包方式履行合同。</w:t>
      </w:r>
      <w:r>
        <w:rPr>
          <w:rFonts w:hint="eastAsia" w:asciiTheme="majorEastAsia" w:hAnsiTheme="majorEastAsia" w:eastAsiaTheme="majorEastAsia" w:cstheme="majorEastAsia"/>
          <w:kern w:val="0"/>
          <w:sz w:val="24"/>
          <w:u w:val="single"/>
        </w:rPr>
        <w:t>（投标人名称）</w:t>
      </w:r>
      <w:r>
        <w:rPr>
          <w:rFonts w:hint="eastAsia" w:asciiTheme="majorEastAsia" w:hAnsiTheme="majorEastAsia" w:eastAsiaTheme="majorEastAsia" w:cstheme="majorEastAsia"/>
          <w:kern w:val="0"/>
          <w:sz w:val="24"/>
        </w:rPr>
        <w:t>与</w:t>
      </w:r>
      <w:r>
        <w:rPr>
          <w:rFonts w:hint="eastAsia" w:asciiTheme="majorEastAsia" w:hAnsiTheme="majorEastAsia" w:eastAsiaTheme="majorEastAsia" w:cstheme="majorEastAsia"/>
          <w:kern w:val="0"/>
          <w:sz w:val="24"/>
          <w:u w:val="single"/>
        </w:rPr>
        <w:t>（所有分包供应商名称）</w:t>
      </w:r>
      <w:r>
        <w:rPr>
          <w:rFonts w:hint="eastAsia" w:asciiTheme="majorEastAsia" w:hAnsiTheme="majorEastAsia" w:eastAsiaTheme="majorEastAsia" w:cstheme="majorEastAsia"/>
          <w:kern w:val="0"/>
          <w:sz w:val="24"/>
        </w:rPr>
        <w:t>达成分包意向协议</w:t>
      </w:r>
      <w:r>
        <w:rPr>
          <w:rFonts w:hint="eastAsia" w:asciiTheme="majorEastAsia" w:hAnsiTheme="majorEastAsia" w:eastAsiaTheme="majorEastAsia" w:cstheme="majorEastAsia"/>
          <w:kern w:val="0"/>
          <w:sz w:val="24"/>
          <w:lang w:val="zh-CN"/>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一、分包标的及数量</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u w:val="single"/>
        </w:rPr>
        <w:t>（投标人名称）</w:t>
      </w:r>
      <w:r>
        <w:rPr>
          <w:rFonts w:hint="eastAsia" w:asciiTheme="majorEastAsia" w:hAnsiTheme="majorEastAsia" w:eastAsiaTheme="majorEastAsia" w:cstheme="majorEastAsia"/>
          <w:kern w:val="0"/>
          <w:sz w:val="24"/>
          <w:lang w:val="zh-CN"/>
        </w:rPr>
        <w:t>将</w:t>
      </w:r>
      <w:r>
        <w:rPr>
          <w:rFonts w:hint="eastAsia" w:asciiTheme="majorEastAsia" w:hAnsiTheme="majorEastAsia" w:eastAsiaTheme="majorEastAsia" w:cstheme="majorEastAsia"/>
          <w:u w:val="single"/>
        </w:rPr>
        <w:t xml:space="preserve">   XX工作内容   </w:t>
      </w:r>
      <w:r>
        <w:rPr>
          <w:rFonts w:hint="eastAsia" w:asciiTheme="majorEastAsia" w:hAnsiTheme="majorEastAsia" w:eastAsiaTheme="majorEastAsia" w:cstheme="majorEastAsia"/>
          <w:sz w:val="24"/>
        </w:rPr>
        <w:t>分包给</w:t>
      </w:r>
      <w:r>
        <w:rPr>
          <w:rFonts w:hint="eastAsia" w:asciiTheme="majorEastAsia" w:hAnsiTheme="majorEastAsia" w:eastAsiaTheme="majorEastAsia" w:cstheme="majorEastAsia"/>
          <w:kern w:val="0"/>
          <w:sz w:val="24"/>
          <w:u w:val="single"/>
        </w:rPr>
        <w:t>（某分包供应商名称）</w:t>
      </w:r>
      <w:r>
        <w:rPr>
          <w:rFonts w:hint="eastAsia" w:asciiTheme="majorEastAsia" w:hAnsiTheme="majorEastAsia" w:eastAsiaTheme="majorEastAsia" w:cstheme="majorEastAsia"/>
          <w:kern w:val="0"/>
          <w:sz w:val="24"/>
          <w:lang w:val="zh-CN"/>
        </w:rPr>
        <w:t>，</w:t>
      </w:r>
      <w:r>
        <w:rPr>
          <w:rFonts w:hint="eastAsia" w:asciiTheme="majorEastAsia" w:hAnsiTheme="majorEastAsia" w:eastAsiaTheme="majorEastAsia" w:cstheme="majorEastAsia"/>
          <w:kern w:val="0"/>
          <w:sz w:val="24"/>
          <w:u w:val="single"/>
        </w:rPr>
        <w:t>（某分包供应商名称），</w:t>
      </w:r>
      <w:r>
        <w:rPr>
          <w:rFonts w:hint="eastAsia" w:asciiTheme="majorEastAsia" w:hAnsiTheme="majorEastAsia" w:eastAsiaTheme="majorEastAsia" w:cstheme="majorEastAsia"/>
          <w:kern w:val="0"/>
          <w:sz w:val="24"/>
          <w:lang w:val="zh-CN"/>
        </w:rPr>
        <w:t>具备承</w:t>
      </w:r>
      <w:r>
        <w:rPr>
          <w:rFonts w:hint="eastAsia" w:asciiTheme="majorEastAsia" w:hAnsiTheme="majorEastAsia" w:eastAsiaTheme="majorEastAsia" w:cstheme="majorEastAsia"/>
          <w:kern w:val="0"/>
          <w:sz w:val="24"/>
        </w:rPr>
        <w:t>担</w:t>
      </w:r>
      <w:r>
        <w:rPr>
          <w:rFonts w:hint="eastAsia" w:asciiTheme="majorEastAsia" w:hAnsiTheme="majorEastAsia" w:eastAsiaTheme="majorEastAsia" w:cstheme="majorEastAsia"/>
          <w:kern w:val="0"/>
          <w:sz w:val="24"/>
          <w:u w:val="single"/>
          <w:lang w:val="zh-CN"/>
        </w:rPr>
        <w:t>XX工作内容</w:t>
      </w:r>
      <w:r>
        <w:rPr>
          <w:rFonts w:hint="eastAsia" w:asciiTheme="majorEastAsia" w:hAnsiTheme="majorEastAsia" w:eastAsiaTheme="majorEastAsia" w:cstheme="majorEastAsia"/>
          <w:kern w:val="0"/>
          <w:sz w:val="24"/>
          <w:lang w:val="zh-CN"/>
        </w:rPr>
        <w:t>相应资质条件且不得再次分包；</w:t>
      </w:r>
    </w:p>
    <w:p>
      <w:pPr>
        <w:pStyle w:val="5"/>
        <w:ind w:left="664" w:leftChars="316" w:firstLine="229" w:firstLineChars="95"/>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szCs w:val="24"/>
        </w:rPr>
        <w:t>……</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二、分包工作履行期限、地点、方式</w:t>
      </w:r>
    </w:p>
    <w:p>
      <w:pPr>
        <w:snapToGrid w:val="0"/>
        <w:spacing w:line="360" w:lineRule="auto"/>
        <w:ind w:firstLine="576"/>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u w:val="single"/>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三、质量</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u w:val="single"/>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四、价款或者报酬</w:t>
      </w:r>
    </w:p>
    <w:p>
      <w:pPr>
        <w:snapToGrid w:val="0"/>
        <w:spacing w:line="360" w:lineRule="auto"/>
        <w:ind w:left="573" w:leftChars="273"/>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u w:val="single"/>
        </w:rPr>
        <w:t xml:space="preserve">                                                                                     </w:t>
      </w:r>
    </w:p>
    <w:p>
      <w:pPr>
        <w:snapToGrid w:val="0"/>
        <w:spacing w:line="360" w:lineRule="auto"/>
        <w:ind w:left="573" w:leftChars="273"/>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五、违约责任</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u w:val="single"/>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六、争议解决的办法</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u w:val="single"/>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七、其他</w:t>
      </w:r>
    </w:p>
    <w:p>
      <w:pPr>
        <w:snapToGrid w:val="0"/>
        <w:spacing w:line="360" w:lineRule="auto"/>
        <w:ind w:left="5758" w:leftChars="342" w:hanging="5040" w:hangingChars="21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sz w:val="24"/>
        </w:rPr>
        <w:t>中小企业合同金额达到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%，小微企业合同金额达到</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kern w:val="0"/>
          <w:sz w:val="24"/>
          <w:lang w:val="zh-CN"/>
        </w:rPr>
        <w:t xml:space="preserve">  。                                           投标人名称(电子签名)：</w:t>
      </w:r>
    </w:p>
    <w:p>
      <w:pPr>
        <w:snapToGrid w:val="0"/>
        <w:spacing w:line="360" w:lineRule="auto"/>
        <w:ind w:firstLine="5640" w:firstLineChars="235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分包供应商名称：</w:t>
      </w:r>
    </w:p>
    <w:p>
      <w:pPr>
        <w:snapToGrid w:val="0"/>
        <w:spacing w:line="360" w:lineRule="auto"/>
        <w:ind w:firstLine="5760" w:firstLineChars="24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lang w:val="zh-CN"/>
        </w:rPr>
        <w:t>……</w:t>
      </w:r>
    </w:p>
    <w:p>
      <w:pPr>
        <w:spacing w:line="360" w:lineRule="auto"/>
        <w:jc w:val="center"/>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日期：  年  月   日</w:t>
      </w:r>
    </w:p>
    <w:p>
      <w:pPr>
        <w:widowControl/>
        <w:spacing w:line="360" w:lineRule="auto"/>
        <w:ind w:left="150"/>
        <w:jc w:val="center"/>
        <w:rPr>
          <w:rFonts w:hint="eastAsia" w:asciiTheme="majorEastAsia" w:hAnsiTheme="majorEastAsia" w:eastAsiaTheme="majorEastAsia" w:cstheme="majorEastAsia"/>
          <w:b/>
          <w:kern w:val="0"/>
          <w:sz w:val="32"/>
          <w:szCs w:val="32"/>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lang w:val="en-US"/>
        </w:rPr>
      </w:pPr>
    </w:p>
    <w:p>
      <w:pPr>
        <w:pStyle w:val="4"/>
        <w:rPr>
          <w:rFonts w:hint="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widowControl/>
        <w:spacing w:line="360" w:lineRule="auto"/>
        <w:ind w:left="150"/>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三、本项目的特定资格要求</w:t>
      </w: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（根据招标公告本项目的特定资格要求提供相应的材料；未要求的，无需提供）</w:t>
      </w:r>
    </w:p>
    <w:p>
      <w:pPr>
        <w:rPr>
          <w:rFonts w:hint="eastAsia" w:asciiTheme="majorEastAsia" w:hAnsiTheme="majorEastAsia" w:eastAsiaTheme="majorEastAsia" w:cstheme="majorEastAsia"/>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pStyle w:val="5"/>
        <w:rPr>
          <w:rFonts w:hint="eastAsia" w:asciiTheme="majorEastAsia" w:hAnsiTheme="majorEastAsia" w:eastAsiaTheme="majorEastAsia" w:cstheme="majorEastAsia"/>
          <w:lang w:val="en-US"/>
        </w:rPr>
      </w:pPr>
    </w:p>
    <w:p>
      <w:pPr>
        <w:rPr>
          <w:rFonts w:hint="eastAsia" w:asciiTheme="majorEastAsia" w:hAnsiTheme="majorEastAsia" w:eastAsiaTheme="majorEastAsia" w:cstheme="majorEastAsia"/>
        </w:rPr>
      </w:pPr>
    </w:p>
    <w:p>
      <w:pPr>
        <w:spacing w:line="360" w:lineRule="auto"/>
        <w:jc w:val="center"/>
        <w:outlineLvl w:val="0"/>
        <w:rPr>
          <w:rFonts w:hint="eastAsia" w:asciiTheme="majorEastAsia" w:hAnsiTheme="majorEastAsia" w:eastAsiaTheme="majorEastAsia" w:cstheme="majorEastAsia"/>
          <w:b/>
          <w:kern w:val="0"/>
          <w:sz w:val="36"/>
          <w:szCs w:val="36"/>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pacing w:line="360" w:lineRule="auto"/>
        <w:jc w:val="center"/>
        <w:outlineLvl w:val="0"/>
        <w:rPr>
          <w:rFonts w:hint="eastAsia" w:asciiTheme="majorEastAsia" w:hAnsiTheme="majorEastAsia" w:eastAsiaTheme="majorEastAsia" w:cstheme="majorEastAsia"/>
          <w:b/>
          <w:kern w:val="0"/>
          <w:sz w:val="36"/>
          <w:szCs w:val="36"/>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pacing w:line="360" w:lineRule="auto"/>
        <w:jc w:val="center"/>
        <w:outlineLvl w:val="0"/>
        <w:rPr>
          <w:rFonts w:hint="eastAsia" w:asciiTheme="majorEastAsia" w:hAnsiTheme="majorEastAsia" w:eastAsiaTheme="majorEastAsia" w:cstheme="majorEastAsia"/>
          <w:b/>
          <w:kern w:val="0"/>
          <w:sz w:val="36"/>
          <w:szCs w:val="36"/>
        </w:rPr>
      </w:pPr>
    </w:p>
    <w:p>
      <w:pPr>
        <w:pStyle w:val="5"/>
        <w:rPr>
          <w:rFonts w:hint="eastAsia" w:asciiTheme="majorEastAsia" w:hAnsiTheme="majorEastAsia" w:eastAsiaTheme="majorEastAsia" w:cstheme="majorEastAsia"/>
          <w:lang w:val="en-US"/>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商务技术文件部分</w:t>
      </w:r>
    </w:p>
    <w:p>
      <w:pPr>
        <w:spacing w:line="360" w:lineRule="auto"/>
        <w:jc w:val="center"/>
        <w:outlineLvl w:val="0"/>
        <w:rPr>
          <w:rFonts w:hint="eastAsia" w:asciiTheme="majorEastAsia" w:hAnsiTheme="majorEastAsia" w:eastAsiaTheme="majorEastAsia" w:cstheme="majorEastAsia"/>
          <w:b/>
          <w:kern w:val="0"/>
          <w:sz w:val="24"/>
        </w:rPr>
      </w:pPr>
    </w:p>
    <w:p>
      <w:pPr>
        <w:spacing w:line="360" w:lineRule="auto"/>
        <w:jc w:val="center"/>
        <w:outlineLvl w:val="0"/>
        <w:rPr>
          <w:rFonts w:hint="eastAsia" w:asciiTheme="majorEastAsia" w:hAnsiTheme="majorEastAsia" w:eastAsiaTheme="majorEastAsia" w:cstheme="majorEastAsia"/>
          <w:b/>
          <w:kern w:val="0"/>
          <w:sz w:val="28"/>
          <w:szCs w:val="28"/>
        </w:rPr>
      </w:pPr>
      <w:r>
        <w:rPr>
          <w:rFonts w:hint="eastAsia" w:asciiTheme="majorEastAsia" w:hAnsiTheme="majorEastAsia" w:eastAsiaTheme="majorEastAsia" w:cstheme="majorEastAsia"/>
          <w:b/>
          <w:kern w:val="0"/>
          <w:sz w:val="28"/>
          <w:szCs w:val="28"/>
        </w:rPr>
        <w:t>目录</w:t>
      </w:r>
    </w:p>
    <w:p>
      <w:pPr>
        <w:snapToGrid w:val="0"/>
        <w:spacing w:line="360" w:lineRule="auto"/>
        <w:ind w:left="479" w:leftChars="228"/>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（1）投标函</w:t>
      </w:r>
      <w:r>
        <w:rPr>
          <w:rFonts w:hint="eastAsia" w:asciiTheme="majorEastAsia" w:hAnsiTheme="majorEastAsia" w:eastAsiaTheme="majorEastAsia" w:cstheme="majorEastAsia"/>
        </w:rPr>
        <w:t>…………………………………………………………………………………（页码）</w:t>
      </w:r>
      <w:r>
        <w:rPr>
          <w:rFonts w:hint="eastAsia" w:asciiTheme="majorEastAsia" w:hAnsiTheme="majorEastAsia" w:eastAsiaTheme="majorEastAsia" w:cstheme="majorEastAsia"/>
          <w:sz w:val="24"/>
        </w:rPr>
        <w:t>（2）授权委托书或法定代表人（单位负责人、自然人本人）身份证明</w:t>
      </w:r>
      <w:r>
        <w:rPr>
          <w:rFonts w:hint="eastAsia" w:asciiTheme="majorEastAsia" w:hAnsiTheme="majorEastAsia" w:eastAsiaTheme="majorEastAsia" w:cstheme="majorEastAsia"/>
        </w:rPr>
        <w:t>………（页码）</w:t>
      </w:r>
    </w:p>
    <w:p>
      <w:pPr>
        <w:snapToGrid w:val="0"/>
        <w:spacing w:line="360" w:lineRule="auto"/>
        <w:ind w:left="479" w:leftChars="228"/>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（3）联合协议（如需）</w:t>
      </w:r>
      <w:r>
        <w:rPr>
          <w:rFonts w:hint="eastAsia" w:asciiTheme="majorEastAsia" w:hAnsiTheme="majorEastAsia" w:eastAsiaTheme="majorEastAsia" w:cstheme="majorEastAsia"/>
        </w:rPr>
        <w:t>……………………………………………………………………（页码）</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（4）分包意向协议（如需）</w:t>
      </w:r>
      <w:r>
        <w:rPr>
          <w:rFonts w:hint="eastAsia" w:asciiTheme="majorEastAsia" w:hAnsiTheme="majorEastAsia" w:eastAsiaTheme="majorEastAsia" w:cstheme="majorEastAsia"/>
        </w:rPr>
        <w:t>………………………………………………………………（页码）</w:t>
      </w:r>
    </w:p>
    <w:p>
      <w:pPr>
        <w:snapToGrid w:val="0"/>
        <w:spacing w:line="360" w:lineRule="auto"/>
        <w:ind w:firstLine="48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（5）符合性审查资料</w:t>
      </w:r>
      <w:r>
        <w:rPr>
          <w:rFonts w:hint="eastAsia" w:asciiTheme="majorEastAsia" w:hAnsiTheme="majorEastAsia" w:eastAsiaTheme="majorEastAsia" w:cstheme="majorEastAsia"/>
        </w:rPr>
        <w:t>………………………………………………………………………（页码）</w:t>
      </w:r>
    </w:p>
    <w:p>
      <w:pPr>
        <w:snapToGrid w:val="0"/>
        <w:spacing w:line="360" w:lineRule="auto"/>
        <w:ind w:left="479" w:leftChars="228"/>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（6）评标标准相应的商务技术资料（如需）</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rPr>
        <w:t>…………（页码）</w:t>
      </w:r>
    </w:p>
    <w:p>
      <w:pPr>
        <w:snapToGrid w:val="0"/>
        <w:spacing w:line="360" w:lineRule="auto"/>
        <w:ind w:left="479" w:leftChars="228"/>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rPr>
        <w:t>（7）商务技术偏离表</w:t>
      </w:r>
      <w:r>
        <w:rPr>
          <w:rFonts w:hint="eastAsia" w:asciiTheme="majorEastAsia" w:hAnsiTheme="majorEastAsia" w:eastAsiaTheme="majorEastAsia" w:cstheme="majorEastAsia"/>
        </w:rPr>
        <w:t>………………………………………………………………………（页码）</w:t>
      </w:r>
    </w:p>
    <w:p>
      <w:pPr>
        <w:snapToGrid w:val="0"/>
        <w:spacing w:line="360" w:lineRule="auto"/>
        <w:ind w:left="479" w:leftChars="228"/>
        <w:rPr>
          <w:rFonts w:hint="eastAsia" w:asciiTheme="majorEastAsia" w:hAnsiTheme="majorEastAsia" w:eastAsiaTheme="majorEastAsia" w:cstheme="majorEastAsia"/>
        </w:rPr>
      </w:pP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lang w:val="zh-CN"/>
        </w:rPr>
        <w:t>）政府采购供应商廉洁自律承诺书</w:t>
      </w:r>
      <w:r>
        <w:rPr>
          <w:rFonts w:hint="eastAsia" w:asciiTheme="majorEastAsia" w:hAnsiTheme="majorEastAsia" w:eastAsiaTheme="majorEastAsia" w:cstheme="majorEastAsia"/>
        </w:rPr>
        <w:t>…………………………………………………（页码）</w:t>
      </w:r>
    </w:p>
    <w:p>
      <w:pPr>
        <w:snapToGrid w:val="0"/>
        <w:spacing w:line="360" w:lineRule="auto"/>
        <w:jc w:val="center"/>
        <w:rPr>
          <w:rFonts w:hint="eastAsia" w:asciiTheme="majorEastAsia" w:hAnsiTheme="majorEastAsia" w:eastAsiaTheme="majorEastAsia" w:cstheme="majorEastAsia"/>
          <w:b/>
          <w:kern w:val="0"/>
          <w:sz w:val="32"/>
          <w:szCs w:val="32"/>
          <w:lang w:val="zh-CN"/>
        </w:rPr>
      </w:pPr>
    </w:p>
    <w:p>
      <w:pPr>
        <w:snapToGrid w:val="0"/>
        <w:spacing w:line="360" w:lineRule="auto"/>
        <w:jc w:val="center"/>
        <w:rPr>
          <w:rFonts w:hint="eastAsia" w:asciiTheme="majorEastAsia" w:hAnsiTheme="majorEastAsia" w:eastAsiaTheme="majorEastAsia" w:cstheme="majorEastAsia"/>
          <w:b/>
          <w:kern w:val="0"/>
          <w:sz w:val="32"/>
          <w:szCs w:val="32"/>
          <w:lang w:val="zh-CN"/>
        </w:rPr>
      </w:pPr>
    </w:p>
    <w:p>
      <w:pPr>
        <w:snapToGrid w:val="0"/>
        <w:spacing w:line="360" w:lineRule="auto"/>
        <w:jc w:val="center"/>
        <w:rPr>
          <w:rFonts w:hint="eastAsia" w:asciiTheme="majorEastAsia" w:hAnsiTheme="majorEastAsia" w:eastAsiaTheme="majorEastAsia" w:cstheme="majorEastAsia"/>
          <w:b/>
          <w:kern w:val="0"/>
          <w:sz w:val="32"/>
          <w:szCs w:val="32"/>
          <w:lang w:val="zh-CN"/>
        </w:rPr>
      </w:pPr>
    </w:p>
    <w:p>
      <w:pPr>
        <w:snapToGrid w:val="0"/>
        <w:spacing w:line="360" w:lineRule="auto"/>
        <w:jc w:val="center"/>
        <w:rPr>
          <w:rFonts w:hint="eastAsia" w:asciiTheme="majorEastAsia" w:hAnsiTheme="majorEastAsia" w:eastAsiaTheme="majorEastAsia" w:cstheme="majorEastAsia"/>
          <w:b/>
          <w:kern w:val="0"/>
          <w:sz w:val="32"/>
          <w:szCs w:val="32"/>
          <w:lang w:val="zh-CN"/>
        </w:rPr>
      </w:pPr>
    </w:p>
    <w:p>
      <w:pPr>
        <w:snapToGrid w:val="0"/>
        <w:spacing w:line="360" w:lineRule="auto"/>
        <w:jc w:val="center"/>
        <w:rPr>
          <w:rFonts w:hint="eastAsia" w:asciiTheme="majorEastAsia" w:hAnsiTheme="majorEastAsia" w:eastAsiaTheme="majorEastAsia" w:cstheme="majorEastAsia"/>
          <w:b/>
          <w:kern w:val="0"/>
          <w:sz w:val="32"/>
          <w:szCs w:val="32"/>
          <w:lang w:val="zh-CN"/>
        </w:rPr>
      </w:pPr>
    </w:p>
    <w:p>
      <w:pPr>
        <w:snapToGrid w:val="0"/>
        <w:spacing w:line="360" w:lineRule="auto"/>
        <w:jc w:val="center"/>
        <w:outlineLvl w:val="0"/>
        <w:rPr>
          <w:rFonts w:hint="eastAsia" w:asciiTheme="majorEastAsia" w:hAnsiTheme="majorEastAsia" w:eastAsiaTheme="majorEastAsia" w:cstheme="majorEastAsia"/>
          <w:b/>
          <w:kern w:val="0"/>
          <w:sz w:val="32"/>
          <w:szCs w:val="32"/>
        </w:rPr>
      </w:pPr>
    </w:p>
    <w:p>
      <w:pPr>
        <w:snapToGrid w:val="0"/>
        <w:spacing w:line="360" w:lineRule="auto"/>
        <w:jc w:val="center"/>
        <w:outlineLvl w:val="0"/>
        <w:rPr>
          <w:rFonts w:hint="eastAsia" w:asciiTheme="majorEastAsia" w:hAnsiTheme="majorEastAsia" w:eastAsiaTheme="majorEastAsia" w:cstheme="majorEastAsia"/>
          <w:b/>
          <w:kern w:val="0"/>
          <w:sz w:val="32"/>
          <w:szCs w:val="32"/>
        </w:rPr>
      </w:pPr>
    </w:p>
    <w:p>
      <w:pPr>
        <w:rPr>
          <w:rFonts w:hint="eastAsia" w:asciiTheme="majorEastAsia" w:hAnsiTheme="majorEastAsia" w:eastAsiaTheme="majorEastAsia" w:cstheme="majorEastAsia"/>
        </w:rPr>
      </w:pPr>
    </w:p>
    <w:p>
      <w:pPr>
        <w:snapToGrid w:val="0"/>
        <w:spacing w:line="360" w:lineRule="auto"/>
        <w:jc w:val="center"/>
        <w:outlineLvl w:val="0"/>
        <w:rPr>
          <w:rFonts w:hint="eastAsia" w:asciiTheme="majorEastAsia" w:hAnsiTheme="majorEastAsia" w:eastAsiaTheme="majorEastAsia" w:cstheme="majorEastAsia"/>
          <w:b/>
          <w:kern w:val="0"/>
          <w:sz w:val="32"/>
          <w:szCs w:val="32"/>
        </w:rPr>
      </w:pPr>
    </w:p>
    <w:p>
      <w:pPr>
        <w:snapToGrid w:val="0"/>
        <w:spacing w:line="360" w:lineRule="auto"/>
        <w:jc w:val="center"/>
        <w:outlineLvl w:val="0"/>
        <w:rPr>
          <w:rFonts w:hint="eastAsia" w:asciiTheme="majorEastAsia" w:hAnsiTheme="majorEastAsia" w:eastAsiaTheme="majorEastAsia" w:cstheme="majorEastAsia"/>
          <w:b/>
          <w:kern w:val="0"/>
          <w:sz w:val="32"/>
          <w:szCs w:val="32"/>
        </w:rPr>
      </w:pPr>
    </w:p>
    <w:p>
      <w:pPr>
        <w:snapToGrid w:val="0"/>
        <w:spacing w:line="360" w:lineRule="auto"/>
        <w:jc w:val="center"/>
        <w:outlineLvl w:val="0"/>
        <w:rPr>
          <w:rFonts w:hint="eastAsia" w:asciiTheme="majorEastAsia" w:hAnsiTheme="majorEastAsia" w:eastAsiaTheme="majorEastAsia" w:cstheme="majorEastAsia"/>
          <w:b/>
          <w:kern w:val="0"/>
          <w:sz w:val="32"/>
          <w:szCs w:val="32"/>
        </w:rPr>
      </w:pPr>
    </w:p>
    <w:p>
      <w:pPr>
        <w:snapToGrid w:val="0"/>
        <w:spacing w:line="360" w:lineRule="auto"/>
        <w:jc w:val="center"/>
        <w:outlineLvl w:val="0"/>
        <w:rPr>
          <w:rFonts w:hint="eastAsia" w:asciiTheme="majorEastAsia" w:hAnsiTheme="majorEastAsia" w:eastAsiaTheme="majorEastAsia" w:cstheme="majorEastAsia"/>
          <w:b/>
          <w:kern w:val="0"/>
          <w:sz w:val="32"/>
          <w:szCs w:val="32"/>
        </w:rPr>
      </w:pPr>
    </w:p>
    <w:p>
      <w:pPr>
        <w:snapToGrid w:val="0"/>
        <w:spacing w:line="360" w:lineRule="auto"/>
        <w:outlineLvl w:val="0"/>
        <w:rPr>
          <w:rFonts w:hint="eastAsia" w:asciiTheme="majorEastAsia" w:hAnsiTheme="majorEastAsia" w:eastAsiaTheme="majorEastAsia" w:cstheme="majorEastAsia"/>
          <w:b/>
          <w:kern w:val="0"/>
          <w:sz w:val="32"/>
          <w:szCs w:val="32"/>
        </w:rPr>
      </w:pPr>
    </w:p>
    <w:p>
      <w:pPr>
        <w:snapToGrid w:val="0"/>
        <w:spacing w:line="360" w:lineRule="auto"/>
        <w:jc w:val="center"/>
        <w:outlineLvl w:val="0"/>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kern w:val="0"/>
          <w:sz w:val="32"/>
          <w:szCs w:val="32"/>
        </w:rPr>
        <w:t>一、投标</w:t>
      </w:r>
      <w:r>
        <w:rPr>
          <w:rFonts w:hint="eastAsia" w:asciiTheme="majorEastAsia" w:hAnsiTheme="majorEastAsia" w:eastAsiaTheme="majorEastAsia" w:cstheme="majorEastAsia"/>
          <w:b/>
          <w:sz w:val="32"/>
          <w:szCs w:val="32"/>
        </w:rPr>
        <w:t>函</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（采购人）、（采购代理机构）：</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我方参加你方组织的（项目名称）【招标编号：（采购编号）】招标的有关活动，并对此项目进行投标。为此：</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1、我方承诺投标有效期从提交投标文件的截止之日起</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天（不少于90天）</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sz w:val="24"/>
        </w:rPr>
        <w:t>本投标文件在投标有效期满之前均具有约束力。</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2、我方的投标文件包括以下内容：</w:t>
      </w:r>
    </w:p>
    <w:p>
      <w:pPr>
        <w:snapToGrid w:val="0"/>
        <w:spacing w:line="360" w:lineRule="auto"/>
        <w:ind w:left="210" w:leftChars="1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2.1资格文件：</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2.1.1承诺函；</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2.1.2落实政府采购政策需满足的资格要求（如果有）；</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2.1.3本项目的特定资格要求（如果有）。</w:t>
      </w:r>
    </w:p>
    <w:p>
      <w:pPr>
        <w:snapToGrid w:val="0"/>
        <w:spacing w:line="360" w:lineRule="auto"/>
        <w:ind w:left="210" w:leftChars="100" w:firstLine="480" w:firstLineChars="20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 xml:space="preserve"> </w:t>
      </w:r>
      <w:r>
        <w:rPr>
          <w:rFonts w:hint="eastAsia" w:asciiTheme="majorEastAsia" w:hAnsiTheme="majorEastAsia" w:eastAsiaTheme="majorEastAsia" w:cstheme="majorEastAsia"/>
          <w:sz w:val="24"/>
        </w:rPr>
        <w:t>商务技术</w:t>
      </w:r>
      <w:r>
        <w:rPr>
          <w:rFonts w:hint="eastAsia" w:asciiTheme="majorEastAsia" w:hAnsiTheme="majorEastAsia" w:eastAsiaTheme="majorEastAsia" w:cstheme="majorEastAsia"/>
          <w:sz w:val="24"/>
          <w:lang w:val="zh-CN"/>
        </w:rPr>
        <w:t>文件：</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2.2.1投标函；</w:t>
      </w:r>
      <w:r>
        <w:rPr>
          <w:rFonts w:hint="eastAsia" w:asciiTheme="majorEastAsia" w:hAnsiTheme="majorEastAsia" w:eastAsiaTheme="majorEastAsia" w:cstheme="majorEastAsia"/>
          <w:sz w:val="24"/>
          <w:lang w:val="zh-CN"/>
        </w:rPr>
        <w:t xml:space="preserve"> </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2.2.2授权委托书或法定代表人（单位负责人）身份证明；</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2.2.3联合协议（如果有）；</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2.2.4分包意向协议（如果有）；</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2.2.5符合性审查资料；</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2.2.6评标标准相应的商务技术资料；</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2.2.7商务技术偏离表；</w:t>
      </w:r>
    </w:p>
    <w:p>
      <w:pPr>
        <w:snapToGrid w:val="0"/>
        <w:spacing w:line="360" w:lineRule="auto"/>
        <w:ind w:left="420" w:leftChars="200" w:firstLine="480" w:firstLineChars="200"/>
        <w:rPr>
          <w:rFonts w:hint="eastAsia"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8</w:t>
      </w:r>
      <w:r>
        <w:rPr>
          <w:rFonts w:hint="eastAsia" w:asciiTheme="majorEastAsia" w:hAnsiTheme="majorEastAsia" w:eastAsiaTheme="majorEastAsia" w:cstheme="majorEastAsia"/>
          <w:sz w:val="24"/>
          <w:lang w:val="zh-CN"/>
        </w:rPr>
        <w:t>政府采购供应商廉洁自律承诺书；</w:t>
      </w:r>
    </w:p>
    <w:p>
      <w:pPr>
        <w:snapToGrid w:val="0"/>
        <w:spacing w:line="360" w:lineRule="auto"/>
        <w:ind w:left="210" w:leftChars="1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w:t>
      </w:r>
      <w:r>
        <w:rPr>
          <w:rFonts w:hint="eastAsia" w:asciiTheme="majorEastAsia" w:hAnsiTheme="majorEastAsia" w:eastAsiaTheme="majorEastAsia" w:cstheme="majorEastAsia"/>
          <w:sz w:val="24"/>
        </w:rPr>
        <w:t>3报价文件</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2.3.1开标一览表（报价表）；</w:t>
      </w:r>
    </w:p>
    <w:p>
      <w:pPr>
        <w:snapToGrid w:val="0"/>
        <w:spacing w:line="360" w:lineRule="auto"/>
        <w:ind w:left="420" w:leftChars="2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2.3.2中小企业声明函（如果有）。</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3、我方承诺除商务技术偏离表列出的偏离外，我方响应招标文件的全部要求。</w:t>
      </w:r>
    </w:p>
    <w:p>
      <w:pPr>
        <w:snapToGrid w:val="0"/>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4、如我方中标，我方承诺：</w:t>
      </w:r>
    </w:p>
    <w:p>
      <w:pPr>
        <w:snapToGrid w:val="0"/>
        <w:spacing w:line="360" w:lineRule="auto"/>
        <w:ind w:left="210" w:leftChars="1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4.2在签订合同时不向你方提出附加条件； </w:t>
      </w:r>
    </w:p>
    <w:p>
      <w:pPr>
        <w:snapToGrid w:val="0"/>
        <w:spacing w:line="360" w:lineRule="auto"/>
        <w:ind w:left="210" w:leftChars="1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4.3按照招标文件要求提交履约保证金； </w:t>
      </w:r>
    </w:p>
    <w:p>
      <w:pPr>
        <w:snapToGrid w:val="0"/>
        <w:spacing w:line="360" w:lineRule="auto"/>
        <w:ind w:left="210" w:leftChars="1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4.4在合同约定的期限内完成合同规定的全部义务。 </w:t>
      </w:r>
    </w:p>
    <w:p>
      <w:pPr>
        <w:snapToGrid w:val="0"/>
        <w:spacing w:line="360" w:lineRule="auto"/>
        <w:ind w:left="210" w:leftChars="100"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5、其他补充说明:</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w:t>
      </w:r>
    </w:p>
    <w:p>
      <w:pPr>
        <w:spacing w:line="360" w:lineRule="auto"/>
        <w:ind w:firstLine="3600" w:firstLineChars="15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投标人名称（电子签名）：                          </w:t>
      </w:r>
    </w:p>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日期：  年   月   日</w:t>
      </w:r>
    </w:p>
    <w:p>
      <w:pPr>
        <w:snapToGrid w:val="0"/>
        <w:spacing w:line="360" w:lineRule="auto"/>
        <w:ind w:left="420" w:leftChars="200" w:firstLine="4200" w:firstLineChars="1750"/>
        <w:rPr>
          <w:rFonts w:hint="eastAsia" w:asciiTheme="majorEastAsia" w:hAnsiTheme="majorEastAsia" w:eastAsiaTheme="majorEastAsia" w:cstheme="majorEastAsia"/>
          <w:kern w:val="0"/>
          <w:sz w:val="24"/>
          <w:u w:val="single"/>
          <w:lang w:val="zh-CN"/>
        </w:rPr>
      </w:pPr>
    </w:p>
    <w:p>
      <w:pPr>
        <w:snapToGrid w:val="0"/>
        <w:spacing w:line="360" w:lineRule="auto"/>
        <w:jc w:val="center"/>
        <w:rPr>
          <w:rFonts w:hint="eastAsia" w:asciiTheme="majorEastAsia" w:hAnsiTheme="majorEastAsia" w:eastAsiaTheme="majorEastAsia" w:cstheme="majorEastAsia"/>
          <w:b/>
          <w:kern w:val="0"/>
          <w:sz w:val="32"/>
          <w:szCs w:val="32"/>
          <w:lang w:val="zh-CN"/>
        </w:rPr>
      </w:pPr>
    </w:p>
    <w:p>
      <w:pPr>
        <w:snapToGrid w:val="0"/>
        <w:spacing w:line="360" w:lineRule="auto"/>
        <w:rPr>
          <w:rFonts w:hint="eastAsia" w:asciiTheme="majorEastAsia" w:hAnsiTheme="majorEastAsia" w:eastAsiaTheme="majorEastAsia" w:cstheme="majorEastAsia"/>
          <w:sz w:val="24"/>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p>
    <w:p>
      <w:pPr>
        <w:jc w:val="center"/>
        <w:rPr>
          <w:rFonts w:hint="eastAsia"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lang w:val="zh-CN"/>
        </w:rPr>
        <w:t>二、授权委托书或法定代表人（单位负责人、自然人本人）身份证明</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p>
    <w:p>
      <w:pPr>
        <w:snapToGrid w:val="0"/>
        <w:spacing w:line="360" w:lineRule="auto"/>
        <w:ind w:firstLine="2872" w:firstLineChars="894"/>
        <w:rPr>
          <w:rFonts w:hint="eastAsia" w:asciiTheme="majorEastAsia" w:hAnsiTheme="majorEastAsia" w:eastAsiaTheme="majorEastAsia" w:cstheme="majorEastAsia"/>
        </w:rPr>
      </w:pPr>
      <w:r>
        <w:rPr>
          <w:rFonts w:hint="eastAsia" w:asciiTheme="majorEastAsia" w:hAnsiTheme="majorEastAsia" w:eastAsiaTheme="majorEastAsia" w:cstheme="majorEastAsia"/>
          <w:b/>
          <w:kern w:val="0"/>
          <w:sz w:val="32"/>
          <w:szCs w:val="32"/>
          <w:lang w:val="zh-CN"/>
        </w:rPr>
        <w:t>授权委托书（适用于非联合体投标）</w:t>
      </w:r>
      <w:r>
        <w:rPr>
          <w:rFonts w:hint="eastAsia" w:asciiTheme="majorEastAsia" w:hAnsiTheme="majorEastAsia" w:eastAsiaTheme="majorEastAsia" w:cstheme="majorEastAsia"/>
        </w:rPr>
        <w:t xml:space="preserve">                               </w:t>
      </w: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（采购人）、（采购代理机构）</w:t>
      </w:r>
      <w:r>
        <w:rPr>
          <w:rFonts w:hint="eastAsia" w:asciiTheme="majorEastAsia" w:hAnsiTheme="majorEastAsia" w:eastAsiaTheme="majorEastAsia" w:cstheme="majorEastAsia"/>
          <w:kern w:val="0"/>
          <w:sz w:val="24"/>
          <w:lang w:val="zh-CN"/>
        </w:rPr>
        <w:t>：</w:t>
      </w:r>
    </w:p>
    <w:p>
      <w:pPr>
        <w:snapToGrid w:val="0"/>
        <w:spacing w:line="360" w:lineRule="auto"/>
        <w:ind w:firstLine="576"/>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现</w:t>
      </w:r>
      <w:r>
        <w:rPr>
          <w:rFonts w:hint="eastAsia" w:asciiTheme="majorEastAsia" w:hAnsiTheme="majorEastAsia" w:eastAsiaTheme="majorEastAsia" w:cstheme="majorEastAsia"/>
          <w:kern w:val="0"/>
          <w:sz w:val="24"/>
          <w:lang w:val="zh-CN"/>
        </w:rPr>
        <w:t>委托</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（姓名）为我方代理人（身份证号码：</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，手机：</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），以我方名义处理</w:t>
      </w:r>
      <w:r>
        <w:rPr>
          <w:rFonts w:hint="eastAsia" w:asciiTheme="majorEastAsia" w:hAnsiTheme="majorEastAsia" w:eastAsiaTheme="majorEastAsia" w:cstheme="majorEastAsia"/>
          <w:sz w:val="24"/>
        </w:rPr>
        <w:t>（项目名称）【招标编号：（采购编号）】</w:t>
      </w:r>
      <w:r>
        <w:rPr>
          <w:rFonts w:hint="eastAsia" w:asciiTheme="majorEastAsia" w:hAnsiTheme="majorEastAsia" w:eastAsiaTheme="majorEastAsia" w:cstheme="majorEastAsia"/>
          <w:kern w:val="0"/>
          <w:sz w:val="24"/>
          <w:lang w:val="zh-CN"/>
        </w:rPr>
        <w:t>政府采购投标的一切事项，其法律后果由我方承担。</w:t>
      </w: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委托期限</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自</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年</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日起至</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年</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日止。</w:t>
      </w: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特此告知。</w:t>
      </w: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lang w:val="zh-CN"/>
        </w:rPr>
        <w:t xml:space="preserve">                                                 投标人名称(电子签名)：</w:t>
      </w:r>
    </w:p>
    <w:p>
      <w:pPr>
        <w:snapToGrid w:val="0"/>
        <w:spacing w:line="360" w:lineRule="auto"/>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签发日期：  年  月   日</w:t>
      </w:r>
    </w:p>
    <w:p>
      <w:pPr>
        <w:snapToGrid w:val="0"/>
        <w:spacing w:line="360" w:lineRule="auto"/>
        <w:rPr>
          <w:rFonts w:hint="eastAsia" w:asciiTheme="majorEastAsia" w:hAnsiTheme="majorEastAsia" w:eastAsiaTheme="majorEastAsia" w:cstheme="majorEastAsia"/>
          <w:sz w:val="24"/>
        </w:rPr>
      </w:pPr>
    </w:p>
    <w:p>
      <w:pPr>
        <w:snapToGrid w:val="0"/>
        <w:spacing w:line="360" w:lineRule="auto"/>
        <w:rPr>
          <w:rFonts w:hint="eastAsia" w:asciiTheme="majorEastAsia" w:hAnsiTheme="majorEastAsia" w:eastAsiaTheme="majorEastAsia" w:cstheme="majorEastAsia"/>
          <w:sz w:val="24"/>
        </w:rPr>
      </w:pPr>
    </w:p>
    <w:p>
      <w:pPr>
        <w:snapToGrid w:val="0"/>
        <w:spacing w:line="360" w:lineRule="auto"/>
        <w:rPr>
          <w:rFonts w:hint="eastAsia" w:asciiTheme="majorEastAsia" w:hAnsiTheme="majorEastAsia" w:eastAsiaTheme="majorEastAsia" w:cstheme="majorEastAsia"/>
          <w:sz w:val="24"/>
        </w:rPr>
      </w:pPr>
    </w:p>
    <w:p>
      <w:p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lang w:val="zh-CN"/>
        </w:rPr>
        <w:t xml:space="preserve">      </w:t>
      </w:r>
      <w:r>
        <w:rPr>
          <w:rFonts w:hint="eastAsia" w:asciiTheme="majorEastAsia" w:hAnsiTheme="majorEastAsia" w:eastAsiaTheme="majorEastAsia" w:cstheme="majorEastAsia"/>
          <w:b/>
          <w:kern w:val="0"/>
          <w:sz w:val="32"/>
          <w:szCs w:val="32"/>
        </w:rPr>
        <w:t xml:space="preserve"> </w:t>
      </w:r>
      <w:r>
        <w:rPr>
          <w:rFonts w:hint="eastAsia" w:asciiTheme="majorEastAsia" w:hAnsiTheme="majorEastAsia" w:eastAsiaTheme="majorEastAsia" w:cstheme="majorEastAsia"/>
          <w:b/>
          <w:kern w:val="0"/>
          <w:sz w:val="32"/>
          <w:szCs w:val="32"/>
          <w:lang w:val="zh-CN"/>
        </w:rPr>
        <w:t>授权委托书（适用于联合体投标）</w:t>
      </w: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（采购人）、（采购代理机构）</w:t>
      </w:r>
      <w:r>
        <w:rPr>
          <w:rFonts w:hint="eastAsia" w:asciiTheme="majorEastAsia" w:hAnsiTheme="majorEastAsia" w:eastAsiaTheme="majorEastAsia" w:cstheme="majorEastAsia"/>
          <w:kern w:val="0"/>
          <w:sz w:val="24"/>
          <w:lang w:val="zh-CN"/>
        </w:rPr>
        <w:t>：</w:t>
      </w:r>
    </w:p>
    <w:p>
      <w:pPr>
        <w:snapToGrid w:val="0"/>
        <w:spacing w:line="360" w:lineRule="auto"/>
        <w:ind w:firstLine="576"/>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现</w:t>
      </w:r>
      <w:r>
        <w:rPr>
          <w:rFonts w:hint="eastAsia" w:asciiTheme="majorEastAsia" w:hAnsiTheme="majorEastAsia" w:eastAsiaTheme="majorEastAsia" w:cstheme="majorEastAsia"/>
          <w:kern w:val="0"/>
          <w:sz w:val="24"/>
          <w:lang w:val="zh-CN"/>
        </w:rPr>
        <w:t>委托</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（姓名）为我方代理人（身份证号码：</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，手机：</w:t>
      </w:r>
      <w:r>
        <w:rPr>
          <w:rFonts w:hint="eastAsia" w:asciiTheme="majorEastAsia" w:hAnsiTheme="majorEastAsia" w:eastAsiaTheme="majorEastAsia" w:cstheme="majorEastAsia"/>
          <w:kern w:val="0"/>
          <w:sz w:val="24"/>
          <w:u w:val="single"/>
          <w:lang w:val="zh-CN"/>
        </w:rPr>
        <w:t xml:space="preserve">          </w:t>
      </w:r>
      <w:r>
        <w:rPr>
          <w:rFonts w:hint="eastAsia" w:asciiTheme="majorEastAsia" w:hAnsiTheme="majorEastAsia" w:eastAsiaTheme="majorEastAsia" w:cstheme="majorEastAsia"/>
          <w:kern w:val="0"/>
          <w:sz w:val="24"/>
          <w:lang w:val="zh-CN"/>
        </w:rPr>
        <w:t>），以我方名义处理</w:t>
      </w:r>
      <w:r>
        <w:rPr>
          <w:rFonts w:hint="eastAsia" w:asciiTheme="majorEastAsia" w:hAnsiTheme="majorEastAsia" w:eastAsiaTheme="majorEastAsia" w:cstheme="majorEastAsia"/>
          <w:sz w:val="24"/>
        </w:rPr>
        <w:t>（项目名称）【招标编号：（采购编号）】</w:t>
      </w:r>
      <w:r>
        <w:rPr>
          <w:rFonts w:hint="eastAsia" w:asciiTheme="majorEastAsia" w:hAnsiTheme="majorEastAsia" w:eastAsiaTheme="majorEastAsia" w:cstheme="majorEastAsia"/>
          <w:kern w:val="0"/>
          <w:sz w:val="24"/>
          <w:lang w:val="zh-CN"/>
        </w:rPr>
        <w:t>政府采购投标的一切事项，其法律后果由我方承担。</w:t>
      </w: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委托期限</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自</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年</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日起至</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年</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月</w:t>
      </w: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日止。</w:t>
      </w: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w:t>
      </w:r>
      <w:r>
        <w:rPr>
          <w:rFonts w:hint="eastAsia" w:asciiTheme="majorEastAsia" w:hAnsiTheme="majorEastAsia" w:eastAsiaTheme="majorEastAsia" w:cstheme="majorEastAsia"/>
          <w:kern w:val="0"/>
          <w:sz w:val="24"/>
          <w:lang w:val="zh-CN"/>
        </w:rPr>
        <w:t>特此告知。</w:t>
      </w: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rPr>
          <w:rFonts w:hint="eastAsia" w:asciiTheme="majorEastAsia" w:hAnsiTheme="majorEastAsia" w:eastAsiaTheme="majorEastAsia" w:cstheme="majorEastAsia"/>
        </w:rPr>
      </w:pPr>
    </w:p>
    <w:p>
      <w:pPr>
        <w:snapToGrid w:val="0"/>
        <w:spacing w:line="360" w:lineRule="auto"/>
        <w:ind w:firstLine="5040" w:firstLineChars="21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联合体成员名称(电子签名/公章)：</w:t>
      </w:r>
    </w:p>
    <w:p>
      <w:pPr>
        <w:snapToGrid w:val="0"/>
        <w:spacing w:line="360" w:lineRule="auto"/>
        <w:ind w:firstLine="5040" w:firstLineChars="21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lang w:val="zh-CN"/>
        </w:rPr>
        <w:t>……</w:t>
      </w:r>
    </w:p>
    <w:p>
      <w:pPr>
        <w:snapToGrid w:val="0"/>
        <w:spacing w:line="360" w:lineRule="auto"/>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日期：  年  月   日</w:t>
      </w:r>
    </w:p>
    <w:p>
      <w:pPr>
        <w:autoSpaceDE w:val="0"/>
        <w:autoSpaceDN w:val="0"/>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kern w:val="0"/>
          <w:sz w:val="32"/>
          <w:szCs w:val="32"/>
          <w:lang w:val="zh-CN"/>
        </w:rPr>
        <w:t>法定代表人、单位负责人或自然人本人</w:t>
      </w:r>
      <w:r>
        <w:rPr>
          <w:rFonts w:hint="eastAsia" w:asciiTheme="majorEastAsia" w:hAnsiTheme="majorEastAsia" w:eastAsiaTheme="majorEastAsia" w:cstheme="majorEastAsia"/>
          <w:b/>
          <w:sz w:val="30"/>
          <w:szCs w:val="30"/>
        </w:rPr>
        <w:t>的身份证明（适用于法定代表人、单位负责人或者自然人本人代表投标人参加投标）</w:t>
      </w:r>
    </w:p>
    <w:p>
      <w:pPr>
        <w:pStyle w:val="147"/>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7"/>
              <w:adjustRightInd w:val="0"/>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正面：                                 反面：</w:t>
            </w:r>
          </w:p>
          <w:p>
            <w:pPr>
              <w:pStyle w:val="147"/>
              <w:adjustRightInd w:val="0"/>
              <w:spacing w:line="360" w:lineRule="auto"/>
              <w:rPr>
                <w:rFonts w:hint="eastAsia" w:asciiTheme="majorEastAsia" w:hAnsiTheme="majorEastAsia" w:eastAsiaTheme="majorEastAsia" w:cstheme="majorEastAsia"/>
                <w:bCs/>
                <w:sz w:val="24"/>
              </w:rPr>
            </w:pPr>
          </w:p>
        </w:tc>
      </w:tr>
    </w:tbl>
    <w:p>
      <w:pPr>
        <w:snapToGrid w:val="0"/>
        <w:spacing w:line="360" w:lineRule="auto"/>
        <w:ind w:firstLine="576"/>
        <w:jc w:val="center"/>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w:t>
      </w:r>
    </w:p>
    <w:p>
      <w:pPr>
        <w:snapToGrid w:val="0"/>
        <w:spacing w:line="360" w:lineRule="auto"/>
        <w:ind w:firstLine="576"/>
        <w:jc w:val="center"/>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投标人名称(电子签名)：                              </w:t>
      </w:r>
    </w:p>
    <w:p>
      <w:pPr>
        <w:spacing w:line="360" w:lineRule="auto"/>
        <w:jc w:val="center"/>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日期：  年  月  日</w:t>
      </w: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lang w:val="zh-CN"/>
        </w:rPr>
      </w:pPr>
      <w:r>
        <w:rPr>
          <w:rFonts w:hint="eastAsia" w:asciiTheme="majorEastAsia" w:hAnsiTheme="majorEastAsia" w:eastAsiaTheme="majorEastAsia" w:cstheme="majorEastAsia"/>
          <w:b/>
          <w:kern w:val="0"/>
          <w:sz w:val="32"/>
          <w:szCs w:val="32"/>
        </w:rPr>
        <w:t>三、</w:t>
      </w:r>
      <w:r>
        <w:rPr>
          <w:rFonts w:hint="eastAsia" w:asciiTheme="majorEastAsia" w:hAnsiTheme="majorEastAsia" w:eastAsiaTheme="majorEastAsia" w:cstheme="majorEastAsia"/>
          <w:b/>
          <w:kern w:val="0"/>
          <w:sz w:val="32"/>
          <w:szCs w:val="32"/>
          <w:lang w:val="zh-CN"/>
        </w:rPr>
        <w:t>联合协议</w:t>
      </w:r>
    </w:p>
    <w:p>
      <w:pPr>
        <w:widowControl/>
        <w:spacing w:line="360" w:lineRule="auto"/>
        <w:ind w:firstLine="482" w:firstLineChars="20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u w:val="single"/>
        </w:rPr>
        <w:t>（联合体所有成员名称）</w:t>
      </w:r>
      <w:r>
        <w:rPr>
          <w:rFonts w:hint="eastAsia" w:asciiTheme="majorEastAsia" w:hAnsiTheme="majorEastAsia" w:eastAsiaTheme="majorEastAsia" w:cstheme="majorEastAsia"/>
          <w:kern w:val="0"/>
          <w:sz w:val="24"/>
        </w:rPr>
        <w:t>自愿</w:t>
      </w:r>
      <w:r>
        <w:rPr>
          <w:rFonts w:hint="eastAsia" w:asciiTheme="majorEastAsia" w:hAnsiTheme="majorEastAsia" w:eastAsiaTheme="majorEastAsia" w:cstheme="majorEastAsia"/>
          <w:kern w:val="0"/>
          <w:sz w:val="24"/>
          <w:lang w:val="zh-CN"/>
        </w:rPr>
        <w:t>组成一个联合体，以一个投标人的身份</w:t>
      </w:r>
      <w:r>
        <w:rPr>
          <w:rFonts w:hint="eastAsia" w:asciiTheme="majorEastAsia" w:hAnsiTheme="majorEastAsia" w:eastAsiaTheme="majorEastAsia" w:cstheme="majorEastAsia"/>
          <w:kern w:val="0"/>
          <w:sz w:val="24"/>
        </w:rPr>
        <w:t>参加</w:t>
      </w:r>
      <w:r>
        <w:rPr>
          <w:rFonts w:hint="eastAsia" w:asciiTheme="majorEastAsia" w:hAnsiTheme="majorEastAsia" w:eastAsiaTheme="majorEastAsia" w:cstheme="majorEastAsia"/>
          <w:sz w:val="24"/>
        </w:rPr>
        <w:t>（项目名称）【招标编号：（采购编号）】</w:t>
      </w:r>
      <w:r>
        <w:rPr>
          <w:rFonts w:hint="eastAsia" w:asciiTheme="majorEastAsia" w:hAnsiTheme="majorEastAsia" w:eastAsiaTheme="majorEastAsia" w:cstheme="majorEastAsia"/>
          <w:kern w:val="0"/>
          <w:sz w:val="24"/>
          <w:lang w:val="zh-CN"/>
        </w:rPr>
        <w:t xml:space="preserve">投标。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一、各方一致决定，</w:t>
      </w:r>
      <w:r>
        <w:rPr>
          <w:rFonts w:hint="eastAsia" w:asciiTheme="majorEastAsia" w:hAnsiTheme="majorEastAsia" w:eastAsiaTheme="majorEastAsia" w:cstheme="majorEastAsia"/>
          <w:kern w:val="0"/>
          <w:sz w:val="24"/>
          <w:u w:val="single"/>
        </w:rPr>
        <w:t>（某联合体成员名称）</w:t>
      </w:r>
      <w:r>
        <w:rPr>
          <w:rFonts w:hint="eastAsia" w:asciiTheme="majorEastAsia" w:hAnsiTheme="majorEastAsia" w:eastAsiaTheme="majorEastAsia" w:cstheme="majorEastAsia"/>
          <w:kern w:val="0"/>
          <w:sz w:val="24"/>
        </w:rPr>
        <w:t>为联合体</w:t>
      </w:r>
      <w:r>
        <w:rPr>
          <w:rFonts w:hint="eastAsia" w:asciiTheme="majorEastAsia" w:hAnsiTheme="majorEastAsia" w:eastAsiaTheme="majorEastAsia" w:cstheme="majorEastAsia"/>
          <w:kern w:val="0"/>
          <w:sz w:val="24"/>
          <w:lang w:val="zh-CN"/>
        </w:rPr>
        <w:t>牵头人</w:t>
      </w:r>
      <w:r>
        <w:rPr>
          <w:rFonts w:hint="eastAsia" w:asciiTheme="majorEastAsia" w:hAnsiTheme="majorEastAsia" w:eastAsiaTheme="majorEastAsia" w:cstheme="majorEastAsia"/>
          <w:sz w:val="24"/>
        </w:rPr>
        <w:t>，代表所有联合体成员负责投标和合同实施阶段的主办、协调工作</w:t>
      </w:r>
      <w:r>
        <w:rPr>
          <w:rFonts w:hint="eastAsia" w:asciiTheme="majorEastAsia" w:hAnsiTheme="majorEastAsia" w:eastAsiaTheme="majorEastAsia" w:cstheme="majorEastAsia"/>
          <w:kern w:val="0"/>
          <w:sz w:val="24"/>
          <w:lang w:val="zh-CN"/>
        </w:rPr>
        <w:t>。</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二、</w:t>
      </w:r>
      <w:r>
        <w:rPr>
          <w:rFonts w:hint="eastAsia" w:asciiTheme="majorEastAsia" w:hAnsiTheme="majorEastAsia" w:eastAsiaTheme="majorEastAsia" w:cstheme="majorEastAsia"/>
          <w:sz w:val="24"/>
        </w:rPr>
        <w:t>所有联合体成员各方签署授权书，授权书载明的</w:t>
      </w:r>
      <w:r>
        <w:rPr>
          <w:rFonts w:hint="eastAsia" w:asciiTheme="majorEastAsia" w:hAnsiTheme="majorEastAsia" w:eastAsiaTheme="majorEastAsia" w:cstheme="majorEastAsia"/>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三、本次联合投标中，分工如下：</w:t>
      </w:r>
      <w:r>
        <w:rPr>
          <w:rFonts w:hint="eastAsia" w:asciiTheme="majorEastAsia" w:hAnsiTheme="majorEastAsia" w:eastAsiaTheme="majorEastAsia" w:cstheme="majorEastAsia"/>
          <w:kern w:val="0"/>
          <w:sz w:val="24"/>
          <w:u w:val="single"/>
        </w:rPr>
        <w:t>（联合体其中一方成员名称）</w:t>
      </w:r>
      <w:r>
        <w:rPr>
          <w:rFonts w:hint="eastAsia" w:asciiTheme="majorEastAsia" w:hAnsiTheme="majorEastAsia" w:eastAsiaTheme="majorEastAsia" w:cstheme="majorEastAsia"/>
          <w:kern w:val="0"/>
          <w:sz w:val="24"/>
          <w:lang w:val="zh-CN"/>
        </w:rPr>
        <w:t>承担的工作和义务为：</w:t>
      </w:r>
      <w:r>
        <w:rPr>
          <w:rFonts w:hint="eastAsia" w:asciiTheme="majorEastAsia" w:hAnsiTheme="majorEastAsia" w:eastAsiaTheme="majorEastAsia" w:cstheme="majorEastAsia"/>
          <w:u w:val="single"/>
        </w:rPr>
        <w:t xml:space="preserve">             </w:t>
      </w:r>
      <w:r>
        <w:rPr>
          <w:rFonts w:hint="eastAsia" w:asciiTheme="majorEastAsia" w:hAnsiTheme="majorEastAsia" w:eastAsiaTheme="majorEastAsia" w:cstheme="majorEastAsia"/>
          <w:kern w:val="0"/>
          <w:sz w:val="24"/>
          <w:lang w:val="zh-CN"/>
        </w:rPr>
        <w:t>；……。</w:t>
      </w:r>
    </w:p>
    <w:p>
      <w:pPr>
        <w:snapToGrid w:val="0"/>
        <w:spacing w:line="360" w:lineRule="auto"/>
        <w:ind w:firstLine="576"/>
        <w:rPr>
          <w:rFonts w:hint="eastAsia"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kern w:val="0"/>
          <w:sz w:val="24"/>
          <w:lang w:val="zh-CN"/>
        </w:rPr>
        <w:t>四、</w:t>
      </w:r>
      <w:r>
        <w:rPr>
          <w:rFonts w:hint="eastAsia" w:asciiTheme="majorEastAsia" w:hAnsiTheme="majorEastAsia" w:eastAsiaTheme="majorEastAsia" w:cstheme="majorEastAsia"/>
          <w:kern w:val="0"/>
          <w:sz w:val="24"/>
          <w:u w:val="single"/>
        </w:rPr>
        <w:t>（联合体其中一方成员名称）</w:t>
      </w:r>
      <w:r>
        <w:rPr>
          <w:rFonts w:hint="eastAsia" w:asciiTheme="majorEastAsia" w:hAnsiTheme="majorEastAsia" w:eastAsiaTheme="majorEastAsia" w:cstheme="majorEastAsia"/>
          <w:kern w:val="0"/>
          <w:sz w:val="24"/>
        </w:rPr>
        <w:t>提供的全部货物由小微企业制造，其合同份额占到合同总金额</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rPr>
        <w:t>%以上；</w:t>
      </w:r>
      <w:r>
        <w:rPr>
          <w:rFonts w:hint="eastAsia" w:asciiTheme="majorEastAsia" w:hAnsiTheme="majorEastAsia" w:eastAsiaTheme="majorEastAsia" w:cstheme="majorEastAsia"/>
          <w:kern w:val="0"/>
          <w:sz w:val="24"/>
          <w:lang w:val="zh-CN"/>
        </w:rPr>
        <w:t>……。</w:t>
      </w:r>
      <w:r>
        <w:rPr>
          <w:rFonts w:hint="eastAsia" w:asciiTheme="majorEastAsia" w:hAnsiTheme="majorEastAsia" w:eastAsiaTheme="majorEastAsia" w:cstheme="majorEastAsia"/>
          <w:b/>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五、如果中标，</w:t>
      </w:r>
      <w:r>
        <w:rPr>
          <w:rFonts w:hint="eastAsia" w:asciiTheme="majorEastAsia" w:hAnsiTheme="majorEastAsia" w:eastAsiaTheme="majorEastAsia" w:cstheme="majorEastAsia"/>
          <w:sz w:val="24"/>
        </w:rPr>
        <w:t>联合体各成员方共同与采购人签订合同，并就采购合同约定的事项对采购人承担连带责任。</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六、有关本次联合投标的其他事宜：</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联合体成员名称(电子签名/公章)：</w:t>
      </w:r>
    </w:p>
    <w:p>
      <w:pPr>
        <w:snapToGrid w:val="0"/>
        <w:spacing w:line="360" w:lineRule="auto"/>
        <w:ind w:firstLine="5760" w:firstLineChars="24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lang w:val="zh-CN"/>
        </w:rPr>
        <w:t>……</w:t>
      </w:r>
    </w:p>
    <w:p>
      <w:pPr>
        <w:snapToGrid w:val="0"/>
        <w:spacing w:line="360" w:lineRule="auto"/>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日期：  年  月   日</w:t>
      </w:r>
    </w:p>
    <w:p>
      <w:pPr>
        <w:snapToGrid w:val="0"/>
        <w:spacing w:line="360" w:lineRule="auto"/>
        <w:ind w:right="480"/>
        <w:rPr>
          <w:rFonts w:hint="eastAsia" w:asciiTheme="majorEastAsia" w:hAnsiTheme="majorEastAsia" w:eastAsiaTheme="majorEastAsia" w:cstheme="majorEastAsia"/>
          <w:b/>
          <w:kern w:val="0"/>
          <w:sz w:val="32"/>
          <w:szCs w:val="32"/>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四、分包意向协议</w:t>
      </w:r>
    </w:p>
    <w:p>
      <w:pPr>
        <w:widowControl/>
        <w:spacing w:line="360" w:lineRule="auto"/>
        <w:ind w:firstLine="120" w:firstLineChars="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b/>
          <w:sz w:val="24"/>
        </w:rPr>
        <w:t>中标后以分包方式履行合同的，提供分包意向协议；采购人不同意分包或者投标人中标后不以分包方式履行合同的，则不需要提供。</w:t>
      </w:r>
      <w:r>
        <w:rPr>
          <w:rFonts w:hint="eastAsia" w:asciiTheme="majorEastAsia" w:hAnsiTheme="majorEastAsia" w:eastAsiaTheme="majorEastAsia" w:cstheme="majorEastAsia"/>
          <w:sz w:val="24"/>
        </w:rPr>
        <w:t>）</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u w:val="single"/>
        </w:rPr>
        <w:t>（投标人名称）</w:t>
      </w:r>
      <w:r>
        <w:rPr>
          <w:rFonts w:hint="eastAsia" w:asciiTheme="majorEastAsia" w:hAnsiTheme="majorEastAsia" w:eastAsiaTheme="majorEastAsia" w:cstheme="majorEastAsia"/>
          <w:kern w:val="0"/>
          <w:sz w:val="24"/>
          <w:lang w:val="zh-CN"/>
        </w:rPr>
        <w:t>若成为</w:t>
      </w:r>
      <w:r>
        <w:rPr>
          <w:rFonts w:hint="eastAsia" w:asciiTheme="majorEastAsia" w:hAnsiTheme="majorEastAsia" w:eastAsiaTheme="majorEastAsia" w:cstheme="majorEastAsia"/>
          <w:sz w:val="24"/>
        </w:rPr>
        <w:t>（项目名称）【招标编号：（采购编号）】</w:t>
      </w:r>
      <w:r>
        <w:rPr>
          <w:rFonts w:hint="eastAsia" w:asciiTheme="majorEastAsia" w:hAnsiTheme="majorEastAsia" w:eastAsiaTheme="majorEastAsia" w:cstheme="majorEastAsia"/>
          <w:kern w:val="0"/>
          <w:sz w:val="24"/>
          <w:lang w:val="zh-CN"/>
        </w:rPr>
        <w:t>的中标供应商，将依法采取分包方式履行合同。</w:t>
      </w:r>
      <w:r>
        <w:rPr>
          <w:rFonts w:hint="eastAsia" w:asciiTheme="majorEastAsia" w:hAnsiTheme="majorEastAsia" w:eastAsiaTheme="majorEastAsia" w:cstheme="majorEastAsia"/>
          <w:kern w:val="0"/>
          <w:sz w:val="24"/>
          <w:u w:val="single"/>
        </w:rPr>
        <w:t>（投标人名称）</w:t>
      </w:r>
      <w:r>
        <w:rPr>
          <w:rFonts w:hint="eastAsia" w:asciiTheme="majorEastAsia" w:hAnsiTheme="majorEastAsia" w:eastAsiaTheme="majorEastAsia" w:cstheme="majorEastAsia"/>
          <w:kern w:val="0"/>
          <w:sz w:val="24"/>
        </w:rPr>
        <w:t>与</w:t>
      </w:r>
      <w:r>
        <w:rPr>
          <w:rFonts w:hint="eastAsia" w:asciiTheme="majorEastAsia" w:hAnsiTheme="majorEastAsia" w:eastAsiaTheme="majorEastAsia" w:cstheme="majorEastAsia"/>
          <w:kern w:val="0"/>
          <w:sz w:val="24"/>
          <w:u w:val="single"/>
        </w:rPr>
        <w:t>（所有分包供应商名称）</w:t>
      </w:r>
      <w:r>
        <w:rPr>
          <w:rFonts w:hint="eastAsia" w:asciiTheme="majorEastAsia" w:hAnsiTheme="majorEastAsia" w:eastAsiaTheme="majorEastAsia" w:cstheme="majorEastAsia"/>
          <w:kern w:val="0"/>
          <w:sz w:val="24"/>
        </w:rPr>
        <w:t>达成分包意向协议</w:t>
      </w:r>
      <w:r>
        <w:rPr>
          <w:rFonts w:hint="eastAsia" w:asciiTheme="majorEastAsia" w:hAnsiTheme="majorEastAsia" w:eastAsiaTheme="majorEastAsia" w:cstheme="majorEastAsia"/>
          <w:kern w:val="0"/>
          <w:sz w:val="24"/>
          <w:lang w:val="zh-CN"/>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一、分包标的及数量</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u w:val="single"/>
        </w:rPr>
        <w:t>（投标人名称）</w:t>
      </w:r>
      <w:r>
        <w:rPr>
          <w:rFonts w:hint="eastAsia" w:asciiTheme="majorEastAsia" w:hAnsiTheme="majorEastAsia" w:eastAsiaTheme="majorEastAsia" w:cstheme="majorEastAsia"/>
          <w:kern w:val="0"/>
          <w:sz w:val="24"/>
          <w:lang w:val="zh-CN"/>
        </w:rPr>
        <w:t>将</w:t>
      </w:r>
      <w:r>
        <w:rPr>
          <w:rFonts w:hint="eastAsia" w:asciiTheme="majorEastAsia" w:hAnsiTheme="majorEastAsia" w:eastAsiaTheme="majorEastAsia" w:cstheme="majorEastAsia"/>
          <w:u w:val="single"/>
        </w:rPr>
        <w:t xml:space="preserve">   XX工作内容   </w:t>
      </w:r>
      <w:r>
        <w:rPr>
          <w:rFonts w:hint="eastAsia" w:asciiTheme="majorEastAsia" w:hAnsiTheme="majorEastAsia" w:eastAsiaTheme="majorEastAsia" w:cstheme="majorEastAsia"/>
          <w:sz w:val="24"/>
        </w:rPr>
        <w:t>分包给</w:t>
      </w:r>
      <w:r>
        <w:rPr>
          <w:rFonts w:hint="eastAsia" w:asciiTheme="majorEastAsia" w:hAnsiTheme="majorEastAsia" w:eastAsiaTheme="majorEastAsia" w:cstheme="majorEastAsia"/>
          <w:kern w:val="0"/>
          <w:sz w:val="24"/>
          <w:u w:val="single"/>
        </w:rPr>
        <w:t>（某分包供应商名称）</w:t>
      </w:r>
      <w:r>
        <w:rPr>
          <w:rFonts w:hint="eastAsia" w:asciiTheme="majorEastAsia" w:hAnsiTheme="majorEastAsia" w:eastAsiaTheme="majorEastAsia" w:cstheme="majorEastAsia"/>
          <w:kern w:val="0"/>
          <w:sz w:val="24"/>
          <w:lang w:val="zh-CN"/>
        </w:rPr>
        <w:t>，</w:t>
      </w:r>
      <w:r>
        <w:rPr>
          <w:rFonts w:hint="eastAsia" w:asciiTheme="majorEastAsia" w:hAnsiTheme="majorEastAsia" w:eastAsiaTheme="majorEastAsia" w:cstheme="majorEastAsia"/>
          <w:kern w:val="0"/>
          <w:sz w:val="24"/>
          <w:u w:val="single"/>
        </w:rPr>
        <w:t>（某分包供应商名称），</w:t>
      </w:r>
      <w:r>
        <w:rPr>
          <w:rFonts w:hint="eastAsia" w:asciiTheme="majorEastAsia" w:hAnsiTheme="majorEastAsia" w:eastAsiaTheme="majorEastAsia" w:cstheme="majorEastAsia"/>
          <w:kern w:val="0"/>
          <w:sz w:val="24"/>
          <w:lang w:val="zh-CN"/>
        </w:rPr>
        <w:t>具备承</w:t>
      </w:r>
      <w:r>
        <w:rPr>
          <w:rFonts w:hint="eastAsia" w:asciiTheme="majorEastAsia" w:hAnsiTheme="majorEastAsia" w:eastAsiaTheme="majorEastAsia" w:cstheme="majorEastAsia"/>
          <w:kern w:val="0"/>
          <w:sz w:val="24"/>
        </w:rPr>
        <w:t>担</w:t>
      </w:r>
      <w:r>
        <w:rPr>
          <w:rFonts w:hint="eastAsia" w:asciiTheme="majorEastAsia" w:hAnsiTheme="majorEastAsia" w:eastAsiaTheme="majorEastAsia" w:cstheme="majorEastAsia"/>
          <w:kern w:val="0"/>
          <w:sz w:val="24"/>
          <w:u w:val="single"/>
          <w:lang w:val="zh-CN"/>
        </w:rPr>
        <w:t>XX工作内容</w:t>
      </w:r>
      <w:r>
        <w:rPr>
          <w:rFonts w:hint="eastAsia" w:asciiTheme="majorEastAsia" w:hAnsiTheme="majorEastAsia" w:eastAsiaTheme="majorEastAsia" w:cstheme="majorEastAsia"/>
          <w:kern w:val="0"/>
          <w:sz w:val="24"/>
          <w:lang w:val="zh-CN"/>
        </w:rPr>
        <w:t>相应资质条件且不得再次分包；</w:t>
      </w:r>
    </w:p>
    <w:p>
      <w:pPr>
        <w:pStyle w:val="5"/>
        <w:ind w:left="664" w:leftChars="316" w:firstLine="229" w:firstLineChars="95"/>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szCs w:val="24"/>
        </w:rPr>
        <w:t>……</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二、分包工作履行期限、地点、方式</w:t>
      </w:r>
    </w:p>
    <w:p>
      <w:pPr>
        <w:snapToGrid w:val="0"/>
        <w:spacing w:line="360" w:lineRule="auto"/>
        <w:ind w:firstLine="576"/>
        <w:rPr>
          <w:rFonts w:hint="eastAsia" w:asciiTheme="majorEastAsia" w:hAnsiTheme="majorEastAsia" w:eastAsiaTheme="majorEastAsia" w:cstheme="majorEastAsia"/>
          <w:u w:val="single"/>
        </w:rPr>
      </w:pPr>
      <w:r>
        <w:rPr>
          <w:rFonts w:hint="eastAsia" w:asciiTheme="majorEastAsia" w:hAnsiTheme="majorEastAsia" w:eastAsiaTheme="majorEastAsia" w:cstheme="majorEastAsia"/>
          <w:u w:val="single"/>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三、质量</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u w:val="single"/>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四、价款或者报酬</w:t>
      </w:r>
    </w:p>
    <w:p>
      <w:pPr>
        <w:snapToGrid w:val="0"/>
        <w:spacing w:line="360" w:lineRule="auto"/>
        <w:ind w:left="573" w:leftChars="273"/>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u w:val="single"/>
        </w:rPr>
        <w:t xml:space="preserve">                                                                                     </w:t>
      </w:r>
    </w:p>
    <w:p>
      <w:pPr>
        <w:snapToGrid w:val="0"/>
        <w:spacing w:line="360" w:lineRule="auto"/>
        <w:ind w:left="573" w:leftChars="273"/>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五、违约责任</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u w:val="single"/>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六、争议解决的办法</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u w:val="single"/>
        </w:rPr>
        <w:t xml:space="preserve">                                                                                  </w:t>
      </w:r>
    </w:p>
    <w:p>
      <w:pPr>
        <w:snapToGrid w:val="0"/>
        <w:spacing w:line="360" w:lineRule="auto"/>
        <w:ind w:firstLine="576"/>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七、其他</w:t>
      </w:r>
    </w:p>
    <w:p>
      <w:pPr>
        <w:snapToGrid w:val="0"/>
        <w:spacing w:line="360" w:lineRule="auto"/>
        <w:ind w:firstLine="576"/>
        <w:rPr>
          <w:rFonts w:hint="eastAsia"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kern w:val="0"/>
          <w:sz w:val="24"/>
          <w:u w:val="single"/>
        </w:rPr>
        <w:t>（分包供应商名称）提供的货物全部由小微企业制造，</w:t>
      </w:r>
      <w:r>
        <w:rPr>
          <w:rFonts w:hint="eastAsia" w:asciiTheme="majorEastAsia" w:hAnsiTheme="majorEastAsia" w:eastAsiaTheme="majorEastAsia" w:cstheme="majorEastAsia"/>
          <w:kern w:val="0"/>
          <w:sz w:val="24"/>
        </w:rPr>
        <w:t>其合同份额占到合同总金额</w:t>
      </w:r>
      <w:r>
        <w:rPr>
          <w:rFonts w:hint="eastAsia" w:asciiTheme="majorEastAsia" w:hAnsiTheme="majorEastAsia" w:eastAsiaTheme="majorEastAsia" w:cstheme="majorEastAsia"/>
          <w:kern w:val="0"/>
          <w:sz w:val="24"/>
          <w:u w:val="single"/>
        </w:rPr>
        <w:t xml:space="preserve">     </w:t>
      </w:r>
      <w:r>
        <w:rPr>
          <w:rFonts w:hint="eastAsia" w:asciiTheme="majorEastAsia" w:hAnsiTheme="majorEastAsia" w:eastAsiaTheme="majorEastAsia" w:cstheme="majorEastAsia"/>
          <w:kern w:val="0"/>
          <w:sz w:val="24"/>
        </w:rPr>
        <w:t>%以上</w:t>
      </w:r>
      <w:r>
        <w:rPr>
          <w:rFonts w:hint="eastAsia" w:asciiTheme="majorEastAsia" w:hAnsiTheme="majorEastAsia" w:eastAsiaTheme="majorEastAsia" w:cstheme="majorEastAsia"/>
        </w:rPr>
        <w:t>。</w:t>
      </w:r>
      <w:r>
        <w:rPr>
          <w:rFonts w:hint="eastAsia" w:asciiTheme="majorEastAsia" w:hAnsiTheme="majorEastAsia" w:eastAsiaTheme="majorEastAsia" w:cstheme="majorEastAsia"/>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投标人名称(电子签名)：</w:t>
      </w:r>
    </w:p>
    <w:p>
      <w:pPr>
        <w:snapToGrid w:val="0"/>
        <w:spacing w:line="360" w:lineRule="auto"/>
        <w:ind w:firstLine="5640" w:firstLineChars="235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分包供应商名称：</w:t>
      </w:r>
    </w:p>
    <w:p>
      <w:pPr>
        <w:snapToGrid w:val="0"/>
        <w:spacing w:line="360" w:lineRule="auto"/>
        <w:ind w:firstLine="5760" w:firstLineChars="2400"/>
        <w:rPr>
          <w:rFonts w:hint="eastAsia" w:asciiTheme="majorEastAsia" w:hAnsiTheme="majorEastAsia" w:eastAsiaTheme="majorEastAsia" w:cstheme="majorEastAsia"/>
        </w:rPr>
      </w:pPr>
      <w:r>
        <w:rPr>
          <w:rFonts w:hint="eastAsia" w:asciiTheme="majorEastAsia" w:hAnsiTheme="majorEastAsia" w:eastAsiaTheme="majorEastAsia" w:cstheme="majorEastAsia"/>
          <w:kern w:val="0"/>
          <w:sz w:val="24"/>
          <w:lang w:val="zh-CN"/>
        </w:rPr>
        <w:t>……</w:t>
      </w:r>
    </w:p>
    <w:p>
      <w:pPr>
        <w:snapToGrid w:val="0"/>
        <w:spacing w:line="360" w:lineRule="auto"/>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                                               日期：  年  月   日</w:t>
      </w:r>
    </w:p>
    <w:p>
      <w:p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五、符合性审查资料</w:t>
      </w:r>
    </w:p>
    <w:p>
      <w:pPr>
        <w:jc w:val="center"/>
        <w:rPr>
          <w:rFonts w:hint="eastAsia" w:asciiTheme="majorEastAsia" w:hAnsiTheme="majorEastAsia" w:eastAsiaTheme="majorEastAsia" w:cstheme="majorEastAsia"/>
          <w:b/>
          <w:kern w:val="0"/>
          <w:sz w:val="32"/>
          <w:szCs w:val="32"/>
        </w:rPr>
      </w:pPr>
    </w:p>
    <w:tbl>
      <w:tblPr>
        <w:tblStyle w:val="6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240" w:lineRule="atLeas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4991" w:type="dxa"/>
            <w:vAlign w:val="center"/>
          </w:tcPr>
          <w:p>
            <w:pPr>
              <w:snapToGrid w:val="0"/>
              <w:spacing w:line="240" w:lineRule="atLeas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实质性要求</w:t>
            </w:r>
          </w:p>
        </w:tc>
        <w:tc>
          <w:tcPr>
            <w:tcW w:w="3714" w:type="dxa"/>
            <w:vAlign w:val="center"/>
          </w:tcPr>
          <w:p>
            <w:pPr>
              <w:snapToGrid w:val="0"/>
              <w:spacing w:line="240" w:lineRule="atLeast"/>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需要提供的符合性审查资料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4991" w:type="dxa"/>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投标文件按照招标文件要求签署、盖章。</w:t>
            </w:r>
          </w:p>
        </w:tc>
        <w:tc>
          <w:tcPr>
            <w:tcW w:w="3714" w:type="dxa"/>
            <w:vAlign w:val="center"/>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需要使用电子签名或者签字盖章的投标文件的组成部分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4991" w:type="dxa"/>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节能产品认证证书（本项目拟采购的产品不属于政府强制采购的节能产品品目清单范围的，无需提供）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4991" w:type="dxa"/>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投标文件中承诺的投标有效期不少于招标文件中载明的投标有效期。</w:t>
            </w:r>
          </w:p>
        </w:tc>
        <w:tc>
          <w:tcPr>
            <w:tcW w:w="3714" w:type="dxa"/>
            <w:vAlign w:val="center"/>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pP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4991" w:type="dxa"/>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投标文件满足招标文件的其它实质性要求。</w:t>
            </w:r>
          </w:p>
        </w:tc>
        <w:tc>
          <w:tcPr>
            <w:tcW w:w="3714" w:type="dxa"/>
            <w:vAlign w:val="center"/>
          </w:tcPr>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招标文件其它实质性要求相应的材料（“★” 系指实质性要求条款，招标文件无其它实质性要求的，无需提供）</w:t>
            </w:r>
          </w:p>
        </w:tc>
      </w:tr>
    </w:tbl>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 xml:space="preserve">            </w:t>
      </w: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pStyle w:val="5"/>
        <w:rPr>
          <w:rFonts w:hint="eastAsia" w:asciiTheme="majorEastAsia" w:hAnsiTheme="majorEastAsia" w:eastAsiaTheme="majorEastAsia" w:cstheme="majorEastAsia"/>
          <w:b/>
          <w:kern w:val="0"/>
          <w:sz w:val="32"/>
          <w:szCs w:val="32"/>
        </w:rPr>
      </w:pPr>
    </w:p>
    <w:p>
      <w:pPr>
        <w:rPr>
          <w:rFonts w:hint="eastAsia" w:asciiTheme="majorEastAsia" w:hAnsiTheme="majorEastAsia" w:eastAsiaTheme="majorEastAsia" w:cstheme="majorEastAsia"/>
          <w:b/>
          <w:kern w:val="0"/>
          <w:sz w:val="32"/>
          <w:szCs w:val="32"/>
        </w:rPr>
      </w:pPr>
    </w:p>
    <w:p>
      <w:pPr>
        <w:pStyle w:val="5"/>
        <w:rPr>
          <w:rFonts w:hint="eastAsia" w:asciiTheme="majorEastAsia" w:hAnsiTheme="majorEastAsia" w:eastAsiaTheme="majorEastAsia" w:cstheme="majorEastAsia"/>
          <w:b/>
          <w:kern w:val="0"/>
          <w:sz w:val="32"/>
          <w:szCs w:val="32"/>
        </w:rPr>
      </w:pPr>
    </w:p>
    <w:p>
      <w:pP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rPr>
          <w:rFonts w:hint="eastAsia" w:asciiTheme="majorEastAsia" w:hAnsiTheme="majorEastAsia" w:eastAsiaTheme="majorEastAsia" w:cstheme="majorEastAsia"/>
          <w:b/>
          <w:kern w:val="0"/>
          <w:sz w:val="32"/>
          <w:szCs w:val="32"/>
        </w:rPr>
      </w:pPr>
    </w:p>
    <w:p>
      <w:pP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rPr>
      </w:pPr>
      <w:r>
        <w:rPr>
          <w:rFonts w:hint="eastAsia" w:asciiTheme="majorEastAsia" w:hAnsiTheme="majorEastAsia" w:eastAsiaTheme="majorEastAsia" w:cstheme="majorEastAsia"/>
          <w:b/>
          <w:kern w:val="0"/>
          <w:sz w:val="32"/>
          <w:szCs w:val="32"/>
        </w:rPr>
        <w:t>六、评标标准相应的商务技术资料</w:t>
      </w:r>
    </w:p>
    <w:p>
      <w:pPr>
        <w:snapToGrid w:val="0"/>
        <w:spacing w:line="360" w:lineRule="auto"/>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（按招标文件第四部分评标办法前附表中“投标文件中评标标准相应的商务技术资料目录”提供资料）</w:t>
      </w: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both"/>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序号</w:t>
            </w:r>
          </w:p>
        </w:tc>
        <w:tc>
          <w:tcPr>
            <w:tcW w:w="3289" w:type="dxa"/>
          </w:tcPr>
          <w:p>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招标文件章节及具体内容</w:t>
            </w:r>
          </w:p>
        </w:tc>
        <w:tc>
          <w:tcPr>
            <w:tcW w:w="3940" w:type="dxa"/>
          </w:tcPr>
          <w:p>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投标文件章节（页码）及具体内容</w:t>
            </w:r>
          </w:p>
        </w:tc>
        <w:tc>
          <w:tcPr>
            <w:tcW w:w="1276" w:type="dxa"/>
          </w:tcPr>
          <w:p>
            <w:pPr>
              <w:jc w:val="center"/>
              <w:rPr>
                <w:rFonts w:hint="eastAsia"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w:t>
            </w:r>
          </w:p>
        </w:tc>
        <w:tc>
          <w:tcPr>
            <w:tcW w:w="3289" w:type="dxa"/>
          </w:tcPr>
          <w:p>
            <w:pPr>
              <w:jc w:val="center"/>
              <w:rPr>
                <w:rFonts w:hint="eastAsia" w:asciiTheme="majorEastAsia" w:hAnsiTheme="majorEastAsia" w:eastAsiaTheme="majorEastAsia" w:cstheme="majorEastAsia"/>
                <w:b/>
                <w:kern w:val="0"/>
                <w:sz w:val="32"/>
                <w:szCs w:val="32"/>
              </w:rPr>
            </w:pPr>
          </w:p>
        </w:tc>
        <w:tc>
          <w:tcPr>
            <w:tcW w:w="3940" w:type="dxa"/>
          </w:tcPr>
          <w:p>
            <w:pPr>
              <w:jc w:val="center"/>
              <w:rPr>
                <w:rFonts w:hint="eastAsia" w:asciiTheme="majorEastAsia" w:hAnsiTheme="majorEastAsia" w:eastAsiaTheme="majorEastAsia" w:cstheme="majorEastAsia"/>
                <w:b/>
                <w:kern w:val="0"/>
                <w:sz w:val="32"/>
                <w:szCs w:val="32"/>
              </w:rPr>
            </w:pPr>
          </w:p>
        </w:tc>
        <w:tc>
          <w:tcPr>
            <w:tcW w:w="1276" w:type="dxa"/>
          </w:tcPr>
          <w:p>
            <w:pPr>
              <w:jc w:val="center"/>
              <w:rPr>
                <w:rFonts w:hint="eastAsia" w:asciiTheme="majorEastAsia" w:hAnsiTheme="majorEastAsia" w:eastAsiaTheme="majorEastAsia" w:cstheme="maj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w:t>
            </w:r>
          </w:p>
        </w:tc>
        <w:tc>
          <w:tcPr>
            <w:tcW w:w="3289" w:type="dxa"/>
          </w:tcPr>
          <w:p>
            <w:pPr>
              <w:jc w:val="center"/>
              <w:rPr>
                <w:rFonts w:hint="eastAsia" w:asciiTheme="majorEastAsia" w:hAnsiTheme="majorEastAsia" w:eastAsiaTheme="majorEastAsia" w:cstheme="majorEastAsia"/>
                <w:b/>
                <w:kern w:val="0"/>
                <w:sz w:val="32"/>
                <w:szCs w:val="32"/>
              </w:rPr>
            </w:pPr>
          </w:p>
        </w:tc>
        <w:tc>
          <w:tcPr>
            <w:tcW w:w="3940" w:type="dxa"/>
          </w:tcPr>
          <w:p>
            <w:pPr>
              <w:jc w:val="center"/>
              <w:rPr>
                <w:rFonts w:hint="eastAsia" w:asciiTheme="majorEastAsia" w:hAnsiTheme="majorEastAsia" w:eastAsiaTheme="majorEastAsia" w:cstheme="majorEastAsia"/>
                <w:b/>
                <w:kern w:val="0"/>
                <w:sz w:val="32"/>
                <w:szCs w:val="32"/>
              </w:rPr>
            </w:pPr>
          </w:p>
        </w:tc>
        <w:tc>
          <w:tcPr>
            <w:tcW w:w="1276" w:type="dxa"/>
          </w:tcPr>
          <w:p>
            <w:pPr>
              <w:jc w:val="center"/>
              <w:rPr>
                <w:rFonts w:hint="eastAsia" w:asciiTheme="majorEastAsia" w:hAnsiTheme="majorEastAsia" w:eastAsiaTheme="majorEastAsia" w:cstheme="majorEastAsia"/>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w:t>
            </w:r>
          </w:p>
        </w:tc>
        <w:tc>
          <w:tcPr>
            <w:tcW w:w="3289" w:type="dxa"/>
          </w:tcPr>
          <w:p>
            <w:pPr>
              <w:jc w:val="center"/>
              <w:rPr>
                <w:rFonts w:hint="eastAsia" w:asciiTheme="majorEastAsia" w:hAnsiTheme="majorEastAsia" w:eastAsiaTheme="majorEastAsia" w:cstheme="majorEastAsia"/>
                <w:b/>
                <w:kern w:val="0"/>
                <w:sz w:val="32"/>
                <w:szCs w:val="32"/>
              </w:rPr>
            </w:pPr>
          </w:p>
        </w:tc>
        <w:tc>
          <w:tcPr>
            <w:tcW w:w="3940" w:type="dxa"/>
          </w:tcPr>
          <w:p>
            <w:pPr>
              <w:jc w:val="center"/>
              <w:rPr>
                <w:rFonts w:hint="eastAsia" w:asciiTheme="majorEastAsia" w:hAnsiTheme="majorEastAsia" w:eastAsiaTheme="majorEastAsia" w:cstheme="majorEastAsia"/>
                <w:b/>
                <w:kern w:val="0"/>
                <w:sz w:val="32"/>
                <w:szCs w:val="32"/>
              </w:rPr>
            </w:pPr>
          </w:p>
        </w:tc>
        <w:tc>
          <w:tcPr>
            <w:tcW w:w="1276" w:type="dxa"/>
          </w:tcPr>
          <w:p>
            <w:pPr>
              <w:jc w:val="center"/>
              <w:rPr>
                <w:rFonts w:hint="eastAsia" w:asciiTheme="majorEastAsia" w:hAnsiTheme="majorEastAsia" w:eastAsiaTheme="majorEastAsia" w:cstheme="majorEastAsia"/>
                <w:b/>
                <w:kern w:val="0"/>
                <w:sz w:val="32"/>
                <w:szCs w:val="32"/>
              </w:rPr>
            </w:pPr>
          </w:p>
        </w:tc>
      </w:tr>
    </w:tbl>
    <w:p>
      <w:pPr>
        <w:pStyle w:val="33"/>
        <w:spacing w:line="400" w:lineRule="atLeast"/>
        <w:rPr>
          <w:rFonts w:hint="eastAsia" w:asciiTheme="majorEastAsia" w:hAnsiTheme="majorEastAsia" w:eastAsiaTheme="majorEastAsia" w:cstheme="majorEastAsia"/>
          <w:snapToGrid/>
          <w:kern w:val="0"/>
          <w:sz w:val="24"/>
          <w:szCs w:val="24"/>
        </w:rPr>
      </w:pPr>
      <w:r>
        <w:rPr>
          <w:rFonts w:hint="eastAsia" w:asciiTheme="majorEastAsia" w:hAnsiTheme="majorEastAsia" w:eastAsiaTheme="majorEastAsia" w:cstheme="majorEastAsia"/>
          <w:snapToGrid/>
          <w:kern w:val="0"/>
          <w:sz w:val="24"/>
          <w:szCs w:val="24"/>
        </w:rPr>
        <w:t>注：</w:t>
      </w:r>
    </w:p>
    <w:p>
      <w:pPr>
        <w:pStyle w:val="33"/>
        <w:spacing w:line="400" w:lineRule="atLeast"/>
        <w:rPr>
          <w:rFonts w:hint="eastAsia" w:asciiTheme="majorEastAsia" w:hAnsiTheme="majorEastAsia" w:eastAsiaTheme="majorEastAsia" w:cstheme="majorEastAsia"/>
          <w:snapToGrid/>
          <w:kern w:val="0"/>
          <w:sz w:val="24"/>
          <w:szCs w:val="24"/>
        </w:rPr>
      </w:pPr>
      <w:r>
        <w:rPr>
          <w:rFonts w:hint="eastAsia" w:asciiTheme="majorEastAsia" w:hAnsiTheme="majorEastAsia" w:eastAsiaTheme="majorEastAsia" w:cstheme="majorEastAsia"/>
          <w:snapToGrid/>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pPr>
        <w:pStyle w:val="33"/>
        <w:spacing w:line="400" w:lineRule="atLeast"/>
        <w:rPr>
          <w:rFonts w:hint="eastAsia" w:asciiTheme="majorEastAsia" w:hAnsiTheme="majorEastAsia" w:eastAsiaTheme="majorEastAsia" w:cstheme="majorEastAsia"/>
          <w:snapToGrid/>
          <w:kern w:val="0"/>
          <w:sz w:val="24"/>
          <w:szCs w:val="24"/>
        </w:rPr>
      </w:pPr>
      <w:r>
        <w:rPr>
          <w:rFonts w:hint="eastAsia" w:asciiTheme="majorEastAsia" w:hAnsiTheme="majorEastAsia" w:eastAsiaTheme="majorEastAsia" w:cstheme="majorEastAsia"/>
          <w:snapToGrid/>
          <w:kern w:val="0"/>
          <w:sz w:val="24"/>
          <w:szCs w:val="24"/>
        </w:rPr>
        <w:t>2、投标人递交的技术规格书中必须真实逐条列明，否则由投标人自行承担相关风险。</w:t>
      </w:r>
    </w:p>
    <w:p>
      <w:pPr>
        <w:pStyle w:val="33"/>
        <w:spacing w:line="400" w:lineRule="atLeast"/>
        <w:rPr>
          <w:rFonts w:hint="eastAsia" w:asciiTheme="majorEastAsia" w:hAnsiTheme="majorEastAsia" w:eastAsiaTheme="majorEastAsia" w:cstheme="majorEastAsia"/>
          <w:snapToGrid/>
          <w:kern w:val="0"/>
          <w:sz w:val="24"/>
          <w:szCs w:val="24"/>
        </w:rPr>
      </w:pPr>
      <w:r>
        <w:rPr>
          <w:rFonts w:hint="eastAsia" w:asciiTheme="majorEastAsia" w:hAnsiTheme="majorEastAsia" w:eastAsiaTheme="majorEastAsia" w:cstheme="majorEastAsia"/>
          <w:snapToGrid/>
          <w:kern w:val="0"/>
          <w:sz w:val="24"/>
          <w:szCs w:val="24"/>
        </w:rPr>
        <w:t>3、此表在不改变格式的情况下可自行制作。</w:t>
      </w:r>
    </w:p>
    <w:p>
      <w:pPr>
        <w:pStyle w:val="33"/>
        <w:spacing w:line="400" w:lineRule="atLeast"/>
        <w:rPr>
          <w:rFonts w:hint="eastAsia" w:asciiTheme="majorEastAsia" w:hAnsiTheme="majorEastAsia" w:eastAsiaTheme="majorEastAsia" w:cstheme="majorEastAsia"/>
          <w:snapToGrid/>
          <w:kern w:val="0"/>
          <w:sz w:val="24"/>
          <w:szCs w:val="24"/>
        </w:rPr>
      </w:pPr>
      <w:r>
        <w:rPr>
          <w:rFonts w:hint="eastAsia" w:asciiTheme="majorEastAsia" w:hAnsiTheme="majorEastAsia" w:eastAsiaTheme="majorEastAsia" w:cstheme="majorEastAsia"/>
          <w:snapToGrid/>
          <w:kern w:val="0"/>
          <w:sz w:val="24"/>
          <w:szCs w:val="24"/>
        </w:rPr>
        <w:t>4、此表置于商务技术文件中。</w:t>
      </w:r>
    </w:p>
    <w:p>
      <w:pPr>
        <w:jc w:val="left"/>
        <w:rPr>
          <w:rFonts w:hint="eastAsia" w:asciiTheme="majorEastAsia" w:hAnsiTheme="majorEastAsia" w:eastAsiaTheme="majorEastAsia" w:cstheme="majorEastAsia"/>
          <w:b/>
          <w:kern w:val="0"/>
          <w:sz w:val="24"/>
        </w:rPr>
      </w:pPr>
      <w:r>
        <w:rPr>
          <w:rFonts w:hint="eastAsia" w:asciiTheme="majorEastAsia" w:hAnsiTheme="majorEastAsia" w:eastAsiaTheme="majorEastAsia" w:cstheme="majorEastAsia"/>
          <w:b/>
          <w:kern w:val="0"/>
          <w:sz w:val="24"/>
        </w:rPr>
        <w:t>投标人保证：除商务技术偏离表列出的偏离外，投标人响应招标文件的全部要求。</w:t>
      </w: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jc w:val="center"/>
        <w:rPr>
          <w:rFonts w:hint="eastAsia" w:asciiTheme="majorEastAsia" w:hAnsiTheme="majorEastAsia" w:eastAsiaTheme="majorEastAsia" w:cstheme="majorEastAsia"/>
          <w:b/>
          <w:kern w:val="0"/>
          <w:sz w:val="32"/>
          <w:szCs w:val="32"/>
        </w:rPr>
      </w:pPr>
    </w:p>
    <w:p>
      <w:pPr>
        <w:ind w:firstLine="2891" w:firstLineChars="900"/>
        <w:rPr>
          <w:rFonts w:hint="eastAsia" w:asciiTheme="majorEastAsia" w:hAnsiTheme="majorEastAsia" w:eastAsiaTheme="majorEastAsia" w:cstheme="majorEastAsia"/>
          <w:b/>
          <w:bCs/>
          <w:sz w:val="32"/>
          <w:szCs w:val="32"/>
        </w:rPr>
      </w:pPr>
    </w:p>
    <w:p>
      <w:pPr>
        <w:ind w:firstLine="2891" w:firstLineChars="900"/>
        <w:rPr>
          <w:rFonts w:hint="eastAsia" w:asciiTheme="majorEastAsia" w:hAnsiTheme="majorEastAsia" w:eastAsiaTheme="majorEastAsia" w:cstheme="majorEastAsia"/>
          <w:b/>
          <w:bCs/>
          <w:sz w:val="32"/>
          <w:szCs w:val="32"/>
        </w:rPr>
      </w:pPr>
    </w:p>
    <w:p>
      <w:pPr>
        <w:ind w:firstLine="2891" w:firstLineChars="900"/>
        <w:rPr>
          <w:rFonts w:hint="eastAsia" w:asciiTheme="majorEastAsia" w:hAnsiTheme="majorEastAsia" w:eastAsiaTheme="majorEastAsia" w:cstheme="majorEastAsia"/>
          <w:b/>
          <w:bCs/>
          <w:sz w:val="32"/>
          <w:szCs w:val="32"/>
        </w:rPr>
      </w:pPr>
    </w:p>
    <w:p>
      <w:pPr>
        <w:ind w:firstLine="2891" w:firstLineChars="900"/>
        <w:rPr>
          <w:rFonts w:hint="eastAsia" w:asciiTheme="majorEastAsia" w:hAnsiTheme="majorEastAsia" w:eastAsiaTheme="majorEastAsia" w:cstheme="majorEastAsia"/>
          <w:b/>
          <w:bCs/>
          <w:sz w:val="32"/>
          <w:szCs w:val="32"/>
        </w:rPr>
      </w:pPr>
    </w:p>
    <w:p>
      <w:pPr>
        <w:ind w:firstLine="2891" w:firstLineChars="900"/>
        <w:rPr>
          <w:rFonts w:hint="eastAsia" w:asciiTheme="majorEastAsia" w:hAnsiTheme="majorEastAsia" w:eastAsiaTheme="majorEastAsia" w:cstheme="majorEastAsia"/>
          <w:b/>
          <w:bCs/>
          <w:sz w:val="32"/>
          <w:szCs w:val="32"/>
        </w:rPr>
      </w:pPr>
    </w:p>
    <w:p>
      <w:pPr>
        <w:ind w:firstLine="2891" w:firstLineChars="900"/>
        <w:rPr>
          <w:rFonts w:hint="eastAsia" w:asciiTheme="majorEastAsia" w:hAnsiTheme="majorEastAsia" w:eastAsiaTheme="majorEastAsia" w:cstheme="majorEastAsia"/>
          <w:b/>
          <w:bCs/>
          <w:sz w:val="32"/>
          <w:szCs w:val="32"/>
        </w:rPr>
      </w:pPr>
    </w:p>
    <w:p>
      <w:pPr>
        <w:ind w:firstLine="2891" w:firstLineChars="900"/>
        <w:rPr>
          <w:rFonts w:hint="eastAsia" w:asciiTheme="majorEastAsia" w:hAnsiTheme="majorEastAsia" w:eastAsiaTheme="majorEastAsia" w:cstheme="majorEastAsia"/>
          <w:b/>
          <w:kern w:val="0"/>
          <w:sz w:val="32"/>
          <w:szCs w:val="32"/>
        </w:rPr>
      </w:pPr>
    </w:p>
    <w:p>
      <w:pPr>
        <w:ind w:firstLine="2891" w:firstLineChars="900"/>
        <w:rPr>
          <w:rFonts w:hint="eastAsia" w:asciiTheme="majorEastAsia" w:hAnsiTheme="majorEastAsia" w:eastAsiaTheme="majorEastAsia" w:cstheme="majorEastAsia"/>
          <w:b/>
          <w:kern w:val="0"/>
          <w:sz w:val="32"/>
          <w:szCs w:val="32"/>
        </w:rPr>
      </w:pPr>
    </w:p>
    <w:p>
      <w:pPr>
        <w:ind w:firstLine="1911" w:firstLineChars="595"/>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八、</w:t>
      </w:r>
      <w:r>
        <w:rPr>
          <w:rFonts w:hint="eastAsia" w:asciiTheme="majorEastAsia" w:hAnsiTheme="majorEastAsia" w:eastAsiaTheme="majorEastAsia" w:cstheme="majorEastAsia"/>
          <w:b/>
          <w:kern w:val="0"/>
          <w:sz w:val="32"/>
          <w:szCs w:val="32"/>
          <w:lang w:val="zh-CN"/>
        </w:rPr>
        <w:t>政府采购供应商廉洁自律承诺书</w:t>
      </w:r>
    </w:p>
    <w:p>
      <w:pPr>
        <w:snapToGrid w:val="0"/>
        <w:spacing w:line="360" w:lineRule="auto"/>
        <w:rPr>
          <w:rFonts w:hint="eastAsia" w:asciiTheme="majorEastAsia" w:hAnsiTheme="majorEastAsia" w:eastAsiaTheme="majorEastAsia" w:cstheme="majorEastAsia"/>
          <w:sz w:val="24"/>
        </w:rPr>
      </w:pPr>
    </w:p>
    <w:p>
      <w:pPr>
        <w:snapToGrid w:val="0"/>
        <w:spacing w:line="360" w:lineRule="auto"/>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（采购人）、（采购代理机构）</w:t>
      </w:r>
      <w:r>
        <w:rPr>
          <w:rFonts w:hint="eastAsia" w:asciiTheme="majorEastAsia" w:hAnsiTheme="majorEastAsia" w:eastAsiaTheme="majorEastAsia" w:cstheme="majorEastAsia"/>
          <w:kern w:val="0"/>
          <w:sz w:val="24"/>
          <w:lang w:val="zh-CN"/>
        </w:rPr>
        <w:t>：</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我单位响应你</w:t>
      </w:r>
      <w:r>
        <w:rPr>
          <w:rFonts w:hint="eastAsia" w:asciiTheme="majorEastAsia" w:hAnsiTheme="majorEastAsia" w:eastAsiaTheme="majorEastAsia" w:cstheme="majorEastAsia"/>
          <w:sz w:val="24"/>
        </w:rPr>
        <w:t>单位</w:t>
      </w:r>
      <w:r>
        <w:rPr>
          <w:rFonts w:hint="eastAsia" w:asciiTheme="majorEastAsia" w:hAnsiTheme="majorEastAsia" w:eastAsiaTheme="majorEastAsia" w:cstheme="majorEastAsia"/>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四、不为项目有关人员及部门出国（境）、旅游等提供方便；</w:t>
      </w:r>
    </w:p>
    <w:p>
      <w:pPr>
        <w:autoSpaceDE w:val="0"/>
        <w:autoSpaceDN w:val="0"/>
        <w:spacing w:line="360" w:lineRule="auto"/>
        <w:ind w:left="481" w:leftChars="229"/>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五、不为项目有关人员个人装修住房、婚丧嫁娶、配偶子女工作安排等提供</w:t>
      </w:r>
    </w:p>
    <w:p>
      <w:pPr>
        <w:autoSpaceDE w:val="0"/>
        <w:autoSpaceDN w:val="0"/>
        <w:spacing w:line="360" w:lineRule="auto"/>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好处；</w:t>
      </w:r>
    </w:p>
    <w:p>
      <w:pPr>
        <w:autoSpaceDE w:val="0"/>
        <w:autoSpaceDN w:val="0"/>
        <w:spacing w:line="360" w:lineRule="auto"/>
        <w:ind w:left="481" w:leftChars="229"/>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六、严格遵守《</w:t>
      </w:r>
      <w:r>
        <w:rPr>
          <w:rFonts w:hint="eastAsia" w:asciiTheme="majorEastAsia" w:hAnsiTheme="majorEastAsia" w:eastAsiaTheme="majorEastAsia" w:cstheme="majorEastAsia"/>
          <w:sz w:val="24"/>
          <w:lang w:val="zh-CN"/>
        </w:rPr>
        <w:t>中华人民共和国</w:t>
      </w:r>
      <w:r>
        <w:rPr>
          <w:rFonts w:hint="eastAsia" w:asciiTheme="majorEastAsia" w:hAnsiTheme="majorEastAsia" w:eastAsiaTheme="majorEastAsia" w:cstheme="majorEastAsia"/>
          <w:kern w:val="0"/>
          <w:sz w:val="24"/>
          <w:lang w:val="zh-CN"/>
        </w:rPr>
        <w:t>政府采购法》《</w:t>
      </w:r>
      <w:r>
        <w:rPr>
          <w:rFonts w:hint="eastAsia" w:asciiTheme="majorEastAsia" w:hAnsiTheme="majorEastAsia" w:eastAsiaTheme="majorEastAsia" w:cstheme="majorEastAsia"/>
          <w:sz w:val="24"/>
          <w:lang w:val="zh-CN"/>
        </w:rPr>
        <w:t>中华人民共和国</w:t>
      </w:r>
      <w:r>
        <w:rPr>
          <w:rFonts w:hint="eastAsia" w:asciiTheme="majorEastAsia" w:hAnsiTheme="majorEastAsia" w:eastAsiaTheme="majorEastAsia" w:cstheme="majorEastAsia"/>
          <w:kern w:val="0"/>
          <w:sz w:val="24"/>
          <w:lang w:val="zh-CN"/>
        </w:rPr>
        <w:t>招标投标</w:t>
      </w:r>
    </w:p>
    <w:p>
      <w:pPr>
        <w:autoSpaceDE w:val="0"/>
        <w:autoSpaceDN w:val="0"/>
        <w:spacing w:line="360" w:lineRule="auto"/>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法》</w:t>
      </w:r>
      <w:r>
        <w:rPr>
          <w:rFonts w:hint="eastAsia" w:asciiTheme="majorEastAsia" w:hAnsiTheme="majorEastAsia" w:eastAsiaTheme="majorEastAsia" w:cstheme="majorEastAsia"/>
          <w:sz w:val="24"/>
          <w:lang w:val="zh-CN"/>
        </w:rPr>
        <w:t>《中华人民共和国民法典》</w:t>
      </w:r>
      <w:r>
        <w:rPr>
          <w:rFonts w:hint="eastAsia" w:asciiTheme="majorEastAsia" w:hAnsiTheme="majorEastAsia" w:eastAsiaTheme="majorEastAsia" w:cstheme="majorEastAsia"/>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如违反上述承诺，你</w:t>
      </w:r>
      <w:r>
        <w:rPr>
          <w:rFonts w:hint="eastAsia" w:asciiTheme="majorEastAsia" w:hAnsiTheme="majorEastAsia" w:eastAsiaTheme="majorEastAsia" w:cstheme="majorEastAsia"/>
          <w:sz w:val="24"/>
        </w:rPr>
        <w:t>单位</w:t>
      </w:r>
      <w:r>
        <w:rPr>
          <w:rFonts w:hint="eastAsia" w:asciiTheme="majorEastAsia" w:hAnsiTheme="majorEastAsia" w:eastAsiaTheme="majorEastAsia" w:cstheme="majorEastAsia"/>
          <w:kern w:val="0"/>
          <w:sz w:val="24"/>
          <w:lang w:val="zh-CN"/>
        </w:rPr>
        <w:t>有权立即取消我单位投标、中标或在建项目的建设资格，有权拒绝我单位在一定时期内进入你</w:t>
      </w:r>
      <w:r>
        <w:rPr>
          <w:rFonts w:hint="eastAsia" w:asciiTheme="majorEastAsia" w:hAnsiTheme="majorEastAsia" w:eastAsiaTheme="majorEastAsia" w:cstheme="majorEastAsia"/>
          <w:sz w:val="24"/>
        </w:rPr>
        <w:t>单位</w:t>
      </w:r>
      <w:r>
        <w:rPr>
          <w:rFonts w:hint="eastAsia" w:asciiTheme="majorEastAsia" w:hAnsiTheme="majorEastAsia" w:eastAsiaTheme="majorEastAsia" w:cstheme="majorEastAsia"/>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Theme="majorEastAsia" w:hAnsiTheme="majorEastAsia" w:eastAsiaTheme="majorEastAsia" w:cstheme="majorEastAsia"/>
          <w:kern w:val="0"/>
          <w:sz w:val="24"/>
          <w:lang w:val="zh-CN"/>
        </w:rPr>
      </w:pPr>
    </w:p>
    <w:p>
      <w:pPr>
        <w:autoSpaceDE w:val="0"/>
        <w:autoSpaceDN w:val="0"/>
        <w:spacing w:line="360" w:lineRule="auto"/>
        <w:ind w:left="2"/>
        <w:jc w:val="left"/>
        <w:rPr>
          <w:rFonts w:hint="eastAsia" w:asciiTheme="majorEastAsia" w:hAnsiTheme="majorEastAsia" w:eastAsiaTheme="majorEastAsia" w:cstheme="majorEastAsia"/>
          <w:kern w:val="0"/>
          <w:sz w:val="24"/>
          <w:lang w:val="zh-CN"/>
        </w:rPr>
      </w:pPr>
    </w:p>
    <w:p>
      <w:pPr>
        <w:autoSpaceDE w:val="0"/>
        <w:autoSpaceDN w:val="0"/>
        <w:spacing w:line="360" w:lineRule="auto"/>
        <w:ind w:left="2"/>
        <w:jc w:val="left"/>
        <w:rPr>
          <w:rFonts w:hint="eastAsia" w:asciiTheme="majorEastAsia" w:hAnsiTheme="majorEastAsia" w:eastAsiaTheme="majorEastAsia" w:cstheme="majorEastAsia"/>
          <w:kern w:val="0"/>
          <w:sz w:val="24"/>
          <w:lang w:val="zh-CN"/>
        </w:rPr>
      </w:pPr>
    </w:p>
    <w:p>
      <w:pPr>
        <w:autoSpaceDE w:val="0"/>
        <w:autoSpaceDN w:val="0"/>
        <w:spacing w:line="360" w:lineRule="auto"/>
        <w:ind w:left="2" w:leftChars="1" w:right="1120" w:firstLine="4560" w:firstLineChars="19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投标人名称（</w:t>
      </w:r>
      <w:r>
        <w:rPr>
          <w:rFonts w:hint="eastAsia" w:asciiTheme="majorEastAsia" w:hAnsiTheme="majorEastAsia" w:eastAsiaTheme="majorEastAsia" w:cstheme="majorEastAsia"/>
          <w:sz w:val="24"/>
        </w:rPr>
        <w:t>电子签名</w:t>
      </w:r>
      <w:r>
        <w:rPr>
          <w:rFonts w:hint="eastAsia" w:asciiTheme="majorEastAsia" w:hAnsiTheme="majorEastAsia" w:eastAsiaTheme="majorEastAsia" w:cstheme="majorEastAsia"/>
          <w:kern w:val="0"/>
          <w:sz w:val="24"/>
          <w:lang w:val="zh-CN"/>
        </w:rPr>
        <w:t xml:space="preserve">）：                                                                                                                                                                                                               </w:t>
      </w:r>
    </w:p>
    <w:p>
      <w:pPr>
        <w:spacing w:line="360" w:lineRule="auto"/>
        <w:ind w:left="4620" w:leftChars="2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val="zh-CN"/>
        </w:rPr>
        <w:t>日期</w:t>
      </w:r>
      <w:r>
        <w:rPr>
          <w:rFonts w:hint="eastAsia" w:asciiTheme="majorEastAsia" w:hAnsiTheme="majorEastAsia" w:eastAsiaTheme="majorEastAsia" w:cstheme="majorEastAsia"/>
          <w:kern w:val="0"/>
          <w:sz w:val="24"/>
        </w:rPr>
        <w:t>：</w:t>
      </w:r>
      <w:r>
        <w:rPr>
          <w:rFonts w:hint="eastAsia" w:asciiTheme="majorEastAsia" w:hAnsiTheme="majorEastAsia" w:eastAsiaTheme="majorEastAsia" w:cstheme="majorEastAsia"/>
          <w:kern w:val="0"/>
          <w:sz w:val="24"/>
          <w:lang w:val="zh-CN"/>
        </w:rPr>
        <w:t xml:space="preserve">   年   月   日</w:t>
      </w:r>
    </w:p>
    <w:p>
      <w:pPr>
        <w:spacing w:line="360" w:lineRule="auto"/>
        <w:jc w:val="center"/>
        <w:rPr>
          <w:rFonts w:hint="eastAsia" w:asciiTheme="majorEastAsia" w:hAnsiTheme="majorEastAsia" w:eastAsiaTheme="majorEastAsia" w:cstheme="majorEastAsia"/>
          <w:b/>
          <w:bCs/>
          <w:sz w:val="24"/>
        </w:rPr>
      </w:pPr>
    </w:p>
    <w:p>
      <w:pPr>
        <w:spacing w:line="360" w:lineRule="auto"/>
        <w:jc w:val="center"/>
        <w:rPr>
          <w:rFonts w:hint="eastAsia" w:asciiTheme="majorEastAsia" w:hAnsiTheme="majorEastAsia" w:eastAsiaTheme="majorEastAsia" w:cstheme="majorEastAsia"/>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报价文件部分</w:t>
      </w:r>
    </w:p>
    <w:p>
      <w:pPr>
        <w:spacing w:line="360" w:lineRule="auto"/>
        <w:jc w:val="center"/>
        <w:outlineLvl w:val="0"/>
        <w:rPr>
          <w:rFonts w:hint="eastAsia" w:asciiTheme="majorEastAsia" w:hAnsiTheme="majorEastAsia" w:eastAsiaTheme="majorEastAsia" w:cstheme="majorEastAsia"/>
          <w:b/>
          <w:kern w:val="0"/>
          <w:sz w:val="36"/>
          <w:szCs w:val="36"/>
        </w:rPr>
      </w:pPr>
      <w:r>
        <w:rPr>
          <w:rFonts w:hint="eastAsia" w:asciiTheme="majorEastAsia" w:hAnsiTheme="majorEastAsia" w:eastAsiaTheme="majorEastAsia" w:cstheme="majorEastAsia"/>
          <w:b/>
          <w:kern w:val="0"/>
          <w:sz w:val="36"/>
          <w:szCs w:val="36"/>
        </w:rPr>
        <w:t>目录</w:t>
      </w:r>
    </w:p>
    <w:p>
      <w:pPr>
        <w:spacing w:line="360" w:lineRule="auto"/>
        <w:jc w:val="center"/>
        <w:outlineLvl w:val="0"/>
        <w:rPr>
          <w:rFonts w:hint="eastAsia" w:asciiTheme="majorEastAsia" w:hAnsiTheme="majorEastAsia" w:eastAsiaTheme="majorEastAsia" w:cstheme="majorEastAsia"/>
          <w:b/>
          <w:kern w:val="0"/>
          <w:sz w:val="36"/>
          <w:szCs w:val="36"/>
        </w:rPr>
      </w:pP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（1）开标一览表（报价表）………………………………………………………（页码）</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（2）中小企业声明函（如需）……………………………………………………（页码）</w:t>
      </w: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snapToGrid w:val="0"/>
        <w:spacing w:line="360" w:lineRule="auto"/>
        <w:ind w:right="480"/>
        <w:jc w:val="center"/>
        <w:rPr>
          <w:rFonts w:hint="eastAsia" w:asciiTheme="majorEastAsia" w:hAnsiTheme="majorEastAsia" w:eastAsiaTheme="majorEastAsia" w:cstheme="majorEastAsia"/>
          <w:b/>
          <w:kern w:val="0"/>
          <w:sz w:val="32"/>
          <w:szCs w:val="32"/>
        </w:rPr>
      </w:pPr>
    </w:p>
    <w:p>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numPr>
          <w:ilvl w:val="0"/>
          <w:numId w:val="7"/>
        </w:numPr>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rPr>
      </w:pPr>
      <w:r>
        <w:rPr>
          <w:rFonts w:hint="eastAsia" w:asciiTheme="majorEastAsia" w:hAnsiTheme="majorEastAsia" w:eastAsiaTheme="majorEastAsia" w:cstheme="majorEastAsia"/>
          <w:kern w:val="2"/>
          <w:sz w:val="32"/>
          <w:szCs w:val="32"/>
        </w:rPr>
        <w:t>开标一览表（报价表）</w:t>
      </w:r>
    </w:p>
    <w:p>
      <w:pPr>
        <w:pStyle w:val="690"/>
        <w:keepNext w:val="0"/>
        <w:pageBreakBefore w:val="0"/>
        <w:tabs>
          <w:tab w:val="clear" w:pos="720"/>
        </w:tabs>
        <w:snapToGrid w:val="0"/>
        <w:spacing w:before="120" w:after="120"/>
        <w:jc w:val="both"/>
        <w:outlineLvl w:val="9"/>
        <w:rPr>
          <w:rFonts w:hint="eastAsia" w:asciiTheme="majorEastAsia" w:hAnsiTheme="majorEastAsia" w:eastAsiaTheme="majorEastAsia" w:cstheme="majorEastAsia"/>
          <w:kern w:val="2"/>
          <w:sz w:val="32"/>
          <w:szCs w:val="32"/>
        </w:rPr>
      </w:pP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序号</w:t>
            </w:r>
          </w:p>
        </w:tc>
        <w:tc>
          <w:tcPr>
            <w:tcW w:w="1417" w:type="dxa"/>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名称</w:t>
            </w:r>
          </w:p>
        </w:tc>
        <w:tc>
          <w:tcPr>
            <w:tcW w:w="1843" w:type="dxa"/>
          </w:tcPr>
          <w:p>
            <w:pPr>
              <w:spacing w:line="360" w:lineRule="auto"/>
              <w:jc w:val="center"/>
              <w:rPr>
                <w:rFonts w:hint="eastAsia" w:asciiTheme="majorEastAsia" w:hAnsiTheme="majorEastAsia" w:eastAsiaTheme="majorEastAsia" w:cstheme="majorEastAsia"/>
                <w:b/>
                <w:sz w:val="24"/>
              </w:rPr>
            </w:pPr>
          </w:p>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品牌（如果有）</w:t>
            </w:r>
          </w:p>
        </w:tc>
        <w:tc>
          <w:tcPr>
            <w:tcW w:w="3118" w:type="dxa"/>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规格型号（或具体服务）</w:t>
            </w:r>
          </w:p>
        </w:tc>
        <w:tc>
          <w:tcPr>
            <w:tcW w:w="993" w:type="dxa"/>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数量</w:t>
            </w:r>
          </w:p>
        </w:tc>
        <w:tc>
          <w:tcPr>
            <w:tcW w:w="1559" w:type="dxa"/>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单价</w:t>
            </w:r>
          </w:p>
        </w:tc>
        <w:tc>
          <w:tcPr>
            <w:tcW w:w="1984" w:type="dxa"/>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总价</w:t>
            </w:r>
          </w:p>
        </w:tc>
        <w:tc>
          <w:tcPr>
            <w:tcW w:w="3119" w:type="dxa"/>
            <w:vAlign w:val="center"/>
          </w:tcPr>
          <w:p>
            <w:pPr>
              <w:spacing w:line="360" w:lineRule="auto"/>
              <w:jc w:val="center"/>
              <w:rPr>
                <w:rFonts w:hint="eastAsia" w:asciiTheme="majorEastAsia" w:hAnsiTheme="majorEastAsia" w:eastAsiaTheme="majorEastAsia" w:cstheme="majorEastAsia"/>
                <w:b/>
                <w:sz w:val="24"/>
              </w:rPr>
            </w:pPr>
          </w:p>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服务要求（年限）</w:t>
            </w:r>
          </w:p>
          <w:p>
            <w:pPr>
              <w:spacing w:line="360" w:lineRule="auto"/>
              <w:jc w:val="center"/>
              <w:rPr>
                <w:rFonts w:hint="eastAsia" w:asciiTheme="majorEastAsia" w:hAnsiTheme="majorEastAsia" w:eastAsiaTheme="majorEastAsia" w:cstheme="majorEastAsia"/>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417"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84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3118"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99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559" w:type="dxa"/>
            <w:vAlign w:val="center"/>
          </w:tcPr>
          <w:p>
            <w:pPr>
              <w:spacing w:line="360" w:lineRule="auto"/>
              <w:jc w:val="center"/>
              <w:rPr>
                <w:rFonts w:hint="eastAsia" w:asciiTheme="majorEastAsia" w:hAnsiTheme="majorEastAsia" w:eastAsiaTheme="majorEastAsia" w:cstheme="majorEastAsia"/>
                <w:sz w:val="24"/>
              </w:rPr>
            </w:pPr>
          </w:p>
        </w:tc>
        <w:tc>
          <w:tcPr>
            <w:tcW w:w="1984" w:type="dxa"/>
            <w:vAlign w:val="center"/>
          </w:tcPr>
          <w:p>
            <w:pPr>
              <w:spacing w:line="360" w:lineRule="auto"/>
              <w:jc w:val="center"/>
              <w:rPr>
                <w:rFonts w:hint="eastAsia" w:asciiTheme="majorEastAsia" w:hAnsiTheme="majorEastAsia" w:eastAsiaTheme="majorEastAsia" w:cstheme="majorEastAsia"/>
                <w:sz w:val="24"/>
              </w:rPr>
            </w:pPr>
          </w:p>
        </w:tc>
        <w:tc>
          <w:tcPr>
            <w:tcW w:w="3119" w:type="dxa"/>
            <w:vAlign w:val="center"/>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417"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84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3118"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99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559" w:type="dxa"/>
            <w:vAlign w:val="center"/>
          </w:tcPr>
          <w:p>
            <w:pPr>
              <w:spacing w:line="360" w:lineRule="auto"/>
              <w:jc w:val="center"/>
              <w:rPr>
                <w:rFonts w:hint="eastAsia" w:asciiTheme="majorEastAsia" w:hAnsiTheme="majorEastAsia" w:eastAsiaTheme="majorEastAsia" w:cstheme="majorEastAsia"/>
                <w:sz w:val="24"/>
              </w:rPr>
            </w:pPr>
          </w:p>
        </w:tc>
        <w:tc>
          <w:tcPr>
            <w:tcW w:w="1984" w:type="dxa"/>
            <w:vAlign w:val="center"/>
          </w:tcPr>
          <w:p>
            <w:pPr>
              <w:spacing w:line="360" w:lineRule="auto"/>
              <w:jc w:val="center"/>
              <w:rPr>
                <w:rFonts w:hint="eastAsia" w:asciiTheme="majorEastAsia" w:hAnsiTheme="majorEastAsia" w:eastAsiaTheme="majorEastAsia" w:cstheme="majorEastAsia"/>
                <w:sz w:val="24"/>
              </w:rPr>
            </w:pPr>
          </w:p>
        </w:tc>
        <w:tc>
          <w:tcPr>
            <w:tcW w:w="3119" w:type="dxa"/>
            <w:vAlign w:val="center"/>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tc>
        <w:tc>
          <w:tcPr>
            <w:tcW w:w="1417"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84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3118"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99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559" w:type="dxa"/>
            <w:vAlign w:val="center"/>
          </w:tcPr>
          <w:p>
            <w:pPr>
              <w:spacing w:line="360" w:lineRule="auto"/>
              <w:jc w:val="center"/>
              <w:rPr>
                <w:rFonts w:hint="eastAsia" w:asciiTheme="majorEastAsia" w:hAnsiTheme="majorEastAsia" w:eastAsiaTheme="majorEastAsia" w:cstheme="majorEastAsia"/>
                <w:sz w:val="24"/>
              </w:rPr>
            </w:pPr>
          </w:p>
        </w:tc>
        <w:tc>
          <w:tcPr>
            <w:tcW w:w="1984" w:type="dxa"/>
            <w:vAlign w:val="center"/>
          </w:tcPr>
          <w:p>
            <w:pPr>
              <w:spacing w:line="360" w:lineRule="auto"/>
              <w:jc w:val="center"/>
              <w:rPr>
                <w:rFonts w:hint="eastAsia" w:asciiTheme="majorEastAsia" w:hAnsiTheme="majorEastAsia" w:eastAsiaTheme="majorEastAsia" w:cstheme="majorEastAsia"/>
                <w:sz w:val="24"/>
              </w:rPr>
            </w:pPr>
          </w:p>
        </w:tc>
        <w:tc>
          <w:tcPr>
            <w:tcW w:w="3119" w:type="dxa"/>
            <w:vAlign w:val="center"/>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Theme="majorEastAsia" w:hAnsiTheme="majorEastAsia" w:eastAsiaTheme="majorEastAsia" w:cstheme="majorEastAsia"/>
                <w:sz w:val="24"/>
              </w:rPr>
            </w:pPr>
          </w:p>
        </w:tc>
        <w:tc>
          <w:tcPr>
            <w:tcW w:w="1417"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84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3118"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99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559" w:type="dxa"/>
            <w:vAlign w:val="center"/>
          </w:tcPr>
          <w:p>
            <w:pPr>
              <w:spacing w:line="360" w:lineRule="auto"/>
              <w:jc w:val="center"/>
              <w:rPr>
                <w:rFonts w:hint="eastAsia" w:asciiTheme="majorEastAsia" w:hAnsiTheme="majorEastAsia" w:eastAsiaTheme="majorEastAsia" w:cstheme="majorEastAsia"/>
                <w:sz w:val="24"/>
              </w:rPr>
            </w:pPr>
          </w:p>
        </w:tc>
        <w:tc>
          <w:tcPr>
            <w:tcW w:w="1984" w:type="dxa"/>
            <w:vAlign w:val="center"/>
          </w:tcPr>
          <w:p>
            <w:pPr>
              <w:spacing w:line="360" w:lineRule="auto"/>
              <w:jc w:val="center"/>
              <w:rPr>
                <w:rFonts w:hint="eastAsia" w:asciiTheme="majorEastAsia" w:hAnsiTheme="majorEastAsia" w:eastAsiaTheme="majorEastAsia" w:cstheme="majorEastAsia"/>
                <w:sz w:val="24"/>
              </w:rPr>
            </w:pPr>
          </w:p>
        </w:tc>
        <w:tc>
          <w:tcPr>
            <w:tcW w:w="3119" w:type="dxa"/>
            <w:vAlign w:val="center"/>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Theme="majorEastAsia" w:hAnsiTheme="majorEastAsia" w:eastAsiaTheme="majorEastAsia" w:cstheme="majorEastAsia"/>
                <w:sz w:val="24"/>
              </w:rPr>
            </w:pPr>
          </w:p>
        </w:tc>
        <w:tc>
          <w:tcPr>
            <w:tcW w:w="1417"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84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3118"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993" w:type="dxa"/>
            <w:vAlign w:val="center"/>
          </w:tcPr>
          <w:p>
            <w:pPr>
              <w:snapToGrid w:val="0"/>
              <w:spacing w:line="360" w:lineRule="auto"/>
              <w:jc w:val="center"/>
              <w:rPr>
                <w:rFonts w:hint="eastAsia" w:asciiTheme="majorEastAsia" w:hAnsiTheme="majorEastAsia" w:eastAsiaTheme="majorEastAsia" w:cstheme="majorEastAsia"/>
                <w:sz w:val="24"/>
              </w:rPr>
            </w:pPr>
          </w:p>
        </w:tc>
        <w:tc>
          <w:tcPr>
            <w:tcW w:w="1559" w:type="dxa"/>
            <w:vAlign w:val="center"/>
          </w:tcPr>
          <w:p>
            <w:pPr>
              <w:spacing w:line="360" w:lineRule="auto"/>
              <w:jc w:val="center"/>
              <w:rPr>
                <w:rFonts w:hint="eastAsia" w:asciiTheme="majorEastAsia" w:hAnsiTheme="majorEastAsia" w:eastAsiaTheme="majorEastAsia" w:cstheme="majorEastAsia"/>
                <w:sz w:val="24"/>
              </w:rPr>
            </w:pPr>
          </w:p>
        </w:tc>
        <w:tc>
          <w:tcPr>
            <w:tcW w:w="1984" w:type="dxa"/>
            <w:vAlign w:val="center"/>
          </w:tcPr>
          <w:p>
            <w:pPr>
              <w:spacing w:line="360" w:lineRule="auto"/>
              <w:jc w:val="center"/>
              <w:rPr>
                <w:rFonts w:hint="eastAsia" w:asciiTheme="majorEastAsia" w:hAnsiTheme="majorEastAsia" w:eastAsiaTheme="majorEastAsia" w:cstheme="majorEastAsia"/>
                <w:sz w:val="24"/>
              </w:rPr>
            </w:pPr>
          </w:p>
        </w:tc>
        <w:tc>
          <w:tcPr>
            <w:tcW w:w="3119" w:type="dxa"/>
            <w:vAlign w:val="center"/>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投标报价（小写）</w:t>
            </w:r>
          </w:p>
        </w:tc>
        <w:tc>
          <w:tcPr>
            <w:tcW w:w="7655" w:type="dxa"/>
            <w:gridSpan w:val="4"/>
            <w:vAlign w:val="center"/>
          </w:tcPr>
          <w:p>
            <w:pPr>
              <w:spacing w:line="360" w:lineRule="auto"/>
              <w:jc w:val="center"/>
              <w:rPr>
                <w:rFonts w:hint="eastAsia" w:asciiTheme="majorEastAsia" w:hAnsiTheme="majorEastAsia" w:eastAsiaTheme="majorEastAsia" w:cs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投标报价（大写）</w:t>
            </w:r>
          </w:p>
        </w:tc>
        <w:tc>
          <w:tcPr>
            <w:tcW w:w="7655" w:type="dxa"/>
            <w:gridSpan w:val="4"/>
            <w:vAlign w:val="center"/>
          </w:tcPr>
          <w:p>
            <w:pPr>
              <w:spacing w:line="360" w:lineRule="auto"/>
              <w:jc w:val="center"/>
              <w:rPr>
                <w:rFonts w:hint="eastAsia" w:asciiTheme="majorEastAsia" w:hAnsiTheme="majorEastAsia" w:eastAsiaTheme="majorEastAsia" w:cstheme="majorEastAsia"/>
                <w:sz w:val="24"/>
              </w:rPr>
            </w:pPr>
          </w:p>
        </w:tc>
      </w:tr>
    </w:tbl>
    <w:p>
      <w:pPr>
        <w:snapToGrid w:val="0"/>
        <w:spacing w:line="360" w:lineRule="auto"/>
        <w:ind w:firstLine="8674" w:firstLineChars="3600"/>
        <w:rPr>
          <w:rFonts w:hint="eastAsia" w:asciiTheme="majorEastAsia" w:hAnsiTheme="majorEastAsia" w:eastAsiaTheme="majorEastAsia" w:cstheme="majorEastAsia"/>
          <w:b/>
          <w:kern w:val="0"/>
          <w:sz w:val="24"/>
          <w:lang w:val="zh-CN"/>
        </w:rPr>
      </w:pPr>
    </w:p>
    <w:p>
      <w:pPr>
        <w:snapToGrid w:val="0"/>
        <w:spacing w:line="360" w:lineRule="auto"/>
        <w:ind w:firstLine="8674" w:firstLineChars="3600"/>
        <w:rPr>
          <w:rFonts w:hint="eastAsia" w:asciiTheme="majorEastAsia" w:hAnsiTheme="majorEastAsia" w:eastAsiaTheme="majorEastAsia" w:cstheme="majorEastAsia"/>
          <w:b/>
          <w:kern w:val="0"/>
          <w:sz w:val="24"/>
          <w:lang w:val="zh-CN"/>
        </w:rPr>
      </w:pPr>
    </w:p>
    <w:p>
      <w:pPr>
        <w:snapToGrid w:val="0"/>
        <w:spacing w:line="360" w:lineRule="auto"/>
        <w:ind w:firstLine="8674" w:firstLineChars="3600"/>
        <w:rPr>
          <w:rFonts w:hint="eastAsia"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投标人名称（电子签名）：</w:t>
      </w:r>
    </w:p>
    <w:p>
      <w:pPr>
        <w:snapToGrid w:val="0"/>
        <w:spacing w:line="360" w:lineRule="auto"/>
        <w:ind w:firstLine="9638" w:firstLineChars="4000"/>
        <w:rPr>
          <w:rFonts w:hint="eastAsia"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日  期：</w:t>
      </w:r>
    </w:p>
    <w:p>
      <w:pPr>
        <w:snapToGrid w:val="0"/>
        <w:spacing w:line="360" w:lineRule="auto"/>
        <w:ind w:left="480"/>
        <w:rPr>
          <w:rFonts w:hint="eastAsia" w:asciiTheme="majorEastAsia" w:hAnsiTheme="majorEastAsia" w:eastAsiaTheme="majorEastAsia" w:cstheme="majorEastAsia"/>
          <w:b/>
          <w:kern w:val="0"/>
          <w:sz w:val="24"/>
          <w:lang w:val="zh-CN"/>
        </w:rPr>
      </w:pPr>
    </w:p>
    <w:p>
      <w:pPr>
        <w:snapToGrid w:val="0"/>
        <w:spacing w:line="360" w:lineRule="auto"/>
        <w:ind w:left="480"/>
        <w:rPr>
          <w:rFonts w:hint="eastAsia" w:asciiTheme="majorEastAsia" w:hAnsiTheme="majorEastAsia" w:eastAsiaTheme="majorEastAsia" w:cstheme="majorEastAsia"/>
          <w:b/>
          <w:kern w:val="0"/>
          <w:sz w:val="24"/>
          <w:lang w:val="zh-CN"/>
        </w:rPr>
      </w:pPr>
      <w:r>
        <w:rPr>
          <w:rFonts w:hint="eastAsia" w:asciiTheme="majorEastAsia" w:hAnsiTheme="majorEastAsia" w:eastAsiaTheme="majorEastAsia" w:cstheme="majorEastAsia"/>
          <w:b/>
          <w:kern w:val="0"/>
          <w:sz w:val="24"/>
          <w:lang w:val="zh-CN"/>
        </w:rPr>
        <w:t>注：</w:t>
      </w:r>
    </w:p>
    <w:p>
      <w:pPr>
        <w:spacing w:line="360" w:lineRule="auto"/>
        <w:ind w:left="-2" w:leftChars="-1"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1、投标人需按本表格式填写，单位统一均为人民币元。</w:t>
      </w:r>
    </w:p>
    <w:p>
      <w:pPr>
        <w:spacing w:line="360" w:lineRule="auto"/>
        <w:ind w:firstLine="480" w:firstLineChars="200"/>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2、有关本项目实施所涉及的一切费用均计入报价。</w:t>
      </w:r>
      <w:r>
        <w:rPr>
          <w:rFonts w:hint="eastAsia" w:asciiTheme="majorEastAsia" w:hAnsiTheme="majorEastAsia" w:eastAsiaTheme="majorEastAsia" w:cstheme="majorEastAsia"/>
          <w:b/>
          <w:kern w:val="0"/>
          <w:sz w:val="24"/>
          <w:lang w:val="zh-CN"/>
        </w:rPr>
        <w:t>采购人将以合同形式有偿取得货物或服务，不接受投标人给予的赠品、回扣或者与采购无关的其他商品、服务</w:t>
      </w:r>
      <w:r>
        <w:rPr>
          <w:rFonts w:hint="eastAsia" w:asciiTheme="majorEastAsia" w:hAnsiTheme="majorEastAsia" w:eastAsiaTheme="majorEastAsia" w:cstheme="majorEastAsia"/>
          <w:kern w:val="0"/>
          <w:sz w:val="24"/>
          <w:lang w:val="zh-CN"/>
        </w:rPr>
        <w:t>，</w:t>
      </w:r>
      <w:r>
        <w:rPr>
          <w:rFonts w:hint="eastAsia" w:asciiTheme="majorEastAsia" w:hAnsiTheme="majorEastAsia" w:eastAsiaTheme="majorEastAsia" w:cstheme="majorEastAsia"/>
          <w:b/>
          <w:kern w:val="0"/>
          <w:sz w:val="24"/>
          <w:lang w:val="zh-CN"/>
        </w:rPr>
        <w:t>不得出现“0元”“免费赠送”等形式的无偿报价，</w:t>
      </w:r>
      <w:r>
        <w:rPr>
          <w:rFonts w:hint="eastAsia" w:asciiTheme="majorEastAsia" w:hAnsiTheme="majorEastAsia" w:eastAsiaTheme="majorEastAsia" w:cstheme="majorEastAsia"/>
          <w:b/>
          <w:kern w:val="0"/>
          <w:sz w:val="24"/>
        </w:rPr>
        <w:t>否则视为</w:t>
      </w:r>
      <w:r>
        <w:rPr>
          <w:rFonts w:hint="eastAsia" w:asciiTheme="majorEastAsia" w:hAnsiTheme="majorEastAsia" w:eastAsiaTheme="majorEastAsia" w:cstheme="majorEastAsia"/>
          <w:b/>
          <w:sz w:val="24"/>
        </w:rPr>
        <w:t>投标文件含有采购人不能接受的附加条件的，投标无效</w:t>
      </w:r>
      <w:r>
        <w:rPr>
          <w:rFonts w:hint="eastAsia" w:asciiTheme="majorEastAsia" w:hAnsiTheme="majorEastAsia" w:eastAsiaTheme="majorEastAsia" w:cstheme="majorEastAsia"/>
          <w:b/>
          <w:kern w:val="0"/>
          <w:sz w:val="24"/>
          <w:lang w:val="zh-CN"/>
        </w:rPr>
        <w:t>。</w:t>
      </w:r>
    </w:p>
    <w:p>
      <w:pPr>
        <w:snapToGrid w:val="0"/>
        <w:spacing w:line="360" w:lineRule="auto"/>
        <w:ind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lang w:val="zh-CN"/>
        </w:rPr>
        <w:t>4、特别提示：采购代理机构将对项目名称和项目编号，中标供应商名称、地址和中标金额，主要中标标的的名称、规格型号、数量、单价、服务要求等予以公示。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kern w:val="0"/>
          <w:sz w:val="24"/>
          <w:szCs w:val="22"/>
          <w:lang w:val="zh-CN"/>
        </w:rPr>
        <w:t>5、</w:t>
      </w:r>
      <w:r>
        <w:rPr>
          <w:rFonts w:hint="eastAsia" w:asciiTheme="majorEastAsia" w:hAnsiTheme="majorEastAsia" w:eastAsiaTheme="majorEastAsia" w:cstheme="majorEastAsia"/>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Theme="majorEastAsia" w:hAnsiTheme="majorEastAsia" w:eastAsiaTheme="majorEastAsia" w:cstheme="majorEastAsia"/>
          <w:b/>
          <w:kern w:val="0"/>
          <w:sz w:val="24"/>
        </w:rPr>
      </w:pPr>
    </w:p>
    <w:p>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rPr>
      </w:pPr>
    </w:p>
    <w:p>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kern w:val="2"/>
          <w:sz w:val="32"/>
          <w:szCs w:val="32"/>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kern w:val="2"/>
          <w:sz w:val="32"/>
          <w:szCs w:val="32"/>
        </w:rPr>
        <w:t>二、</w:t>
      </w:r>
      <w:r>
        <w:rPr>
          <w:rFonts w:hint="eastAsia" w:asciiTheme="majorEastAsia" w:hAnsiTheme="majorEastAsia" w:eastAsiaTheme="majorEastAsia" w:cstheme="majorEastAsia"/>
          <w:sz w:val="32"/>
          <w:szCs w:val="32"/>
        </w:rPr>
        <w:t>中小企业声明函</w:t>
      </w:r>
    </w:p>
    <w:p>
      <w:pPr>
        <w:widowControl/>
        <w:spacing w:line="360" w:lineRule="auto"/>
        <w:ind w:firstLine="120" w:firstLineChars="50"/>
        <w:jc w:val="left"/>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pPr>
        <w:pStyle w:val="690"/>
        <w:keepNext w:val="0"/>
        <w:pageBreakBefore w:val="0"/>
        <w:tabs>
          <w:tab w:val="clear" w:pos="720"/>
        </w:tabs>
        <w:snapToGrid w:val="0"/>
        <w:spacing w:before="120" w:after="120"/>
        <w:ind w:firstLine="643"/>
        <w:outlineLvl w:val="9"/>
        <w:rPr>
          <w:rFonts w:hint="eastAsia" w:asciiTheme="majorEastAsia" w:hAnsiTheme="majorEastAsia" w:eastAsiaTheme="majorEastAsia" w:cstheme="majorEastAsia"/>
          <w:b w:val="0"/>
          <w:sz w:val="32"/>
          <w:szCs w:val="32"/>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spacing w:line="360" w:lineRule="auto"/>
        <w:ind w:right="420" w:firstLine="3614" w:firstLineChars="1000"/>
        <w:rPr>
          <w:rFonts w:hint="eastAsia" w:asciiTheme="majorEastAsia" w:hAnsiTheme="majorEastAsia" w:eastAsiaTheme="majorEastAsia" w:cstheme="majorEastAsia"/>
          <w:b/>
          <w:kern w:val="0"/>
          <w:sz w:val="36"/>
          <w:szCs w:val="36"/>
        </w:rPr>
      </w:pPr>
    </w:p>
    <w:p>
      <w:pPr>
        <w:tabs>
          <w:tab w:val="left" w:pos="8085"/>
        </w:tabs>
        <w:spacing w:line="360" w:lineRule="auto"/>
        <w:ind w:firstLine="1285" w:firstLineChars="400"/>
        <w:jc w:val="left"/>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政府采购支持中小企业信用融资相关事项通知</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pPr>
        <w:spacing w:line="360" w:lineRule="auto"/>
        <w:ind w:left="5040" w:hanging="5060" w:hangingChars="2100"/>
        <w:rPr>
          <w:rFonts w:hint="eastAsia" w:asciiTheme="majorEastAsia" w:hAnsiTheme="majorEastAsia" w:eastAsiaTheme="majorEastAsia" w:cstheme="majorEastAsia"/>
          <w:b/>
          <w:bCs/>
          <w:kern w:val="0"/>
          <w:sz w:val="24"/>
        </w:rPr>
      </w:pPr>
    </w:p>
    <w:p>
      <w:pPr>
        <w:pStyle w:val="4"/>
        <w:keepNext w:val="0"/>
        <w:keepLines w:val="0"/>
        <w:pageBreakBefore/>
        <w:widowControl/>
        <w:spacing w:before="100" w:beforeAutospacing="1" w:after="100" w:afterAutospacing="1" w:line="360" w:lineRule="auto"/>
        <w:ind w:left="1290" w:firstLine="3092" w:firstLineChars="700"/>
        <w:rPr>
          <w:rFonts w:hint="eastAsia" w:asciiTheme="majorEastAsia" w:hAnsiTheme="majorEastAsia" w:eastAsiaTheme="majorEastAsia" w:cstheme="majorEastAsia"/>
        </w:rPr>
      </w:pPr>
      <w:bookmarkStart w:id="394" w:name="_Toc465665161"/>
      <w:r>
        <w:rPr>
          <w:rFonts w:hint="eastAsia" w:asciiTheme="majorEastAsia" w:hAnsiTheme="majorEastAsia" w:eastAsiaTheme="majorEastAsia" w:cstheme="majorEastAsia"/>
        </w:rPr>
        <w:t>附件</w:t>
      </w:r>
      <w:bookmarkEnd w:id="394"/>
    </w:p>
    <w:p>
      <w:pPr>
        <w:spacing w:line="360" w:lineRule="auto"/>
        <w:rPr>
          <w:rFonts w:hint="eastAsia"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t>附件1：</w:t>
      </w:r>
    </w:p>
    <w:p>
      <w:pPr>
        <w:spacing w:line="360" w:lineRule="auto"/>
        <w:jc w:val="center"/>
        <w:rPr>
          <w:rFonts w:hint="eastAsia" w:asciiTheme="majorEastAsia" w:hAnsiTheme="majorEastAsia" w:eastAsiaTheme="majorEastAsia" w:cstheme="majorEastAsia"/>
          <w:b/>
          <w:spacing w:val="6"/>
          <w:sz w:val="32"/>
          <w:szCs w:val="32"/>
        </w:rPr>
      </w:pPr>
      <w:bookmarkStart w:id="395" w:name="OLE_LINK14"/>
      <w:bookmarkStart w:id="396" w:name="OLE_LINK13"/>
      <w:r>
        <w:rPr>
          <w:rFonts w:hint="eastAsia" w:asciiTheme="majorEastAsia" w:hAnsiTheme="majorEastAsia" w:eastAsiaTheme="majorEastAsia" w:cstheme="majorEastAsia"/>
          <w:b/>
          <w:spacing w:val="6"/>
          <w:sz w:val="32"/>
          <w:szCs w:val="32"/>
        </w:rPr>
        <w:t>残疾人福利性单位声明函</w:t>
      </w:r>
    </w:p>
    <w:bookmarkEnd w:id="395"/>
    <w:bookmarkEnd w:id="396"/>
    <w:p>
      <w:pPr>
        <w:spacing w:line="360" w:lineRule="auto"/>
        <w:rPr>
          <w:rFonts w:hint="eastAsia" w:asciiTheme="majorEastAsia" w:hAnsiTheme="majorEastAsia" w:eastAsiaTheme="majorEastAsia" w:cstheme="majorEastAsia"/>
          <w:b/>
          <w:spacing w:val="6"/>
          <w:sz w:val="30"/>
          <w:szCs w:val="30"/>
        </w:rPr>
      </w:pP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本单位对上述声明的真实性负责。如有虚假，将依法承担相应责任。</w:t>
      </w:r>
    </w:p>
    <w:p>
      <w:pPr>
        <w:spacing w:line="360" w:lineRule="auto"/>
        <w:ind w:firstLine="480" w:firstLineChars="200"/>
        <w:rPr>
          <w:rFonts w:hint="eastAsia" w:asciiTheme="majorEastAsia" w:hAnsiTheme="majorEastAsia" w:eastAsiaTheme="majorEastAsia" w:cstheme="majorEastAsia"/>
          <w:sz w:val="24"/>
        </w:rPr>
      </w:pPr>
    </w:p>
    <w:p>
      <w:pPr>
        <w:spacing w:line="360" w:lineRule="auto"/>
        <w:ind w:firstLine="480" w:firstLineChars="200"/>
        <w:rPr>
          <w:rFonts w:hint="eastAsia" w:asciiTheme="majorEastAsia" w:hAnsiTheme="majorEastAsia" w:eastAsiaTheme="majorEastAsia" w:cstheme="majorEastAsia"/>
          <w:sz w:val="24"/>
        </w:rPr>
      </w:pPr>
    </w:p>
    <w:p>
      <w:pPr>
        <w:tabs>
          <w:tab w:val="left" w:pos="4860"/>
        </w:tabs>
        <w:spacing w:line="360" w:lineRule="auto"/>
        <w:ind w:right="1560" w:firstLine="480" w:firstLineChars="20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w:t>
      </w:r>
      <w:r>
        <w:rPr>
          <w:rFonts w:hint="eastAsia" w:asciiTheme="majorEastAsia" w:hAnsiTheme="majorEastAsia" w:eastAsiaTheme="majorEastAsia" w:cstheme="majorEastAsia"/>
          <w:kern w:val="0"/>
          <w:sz w:val="24"/>
          <w:lang w:val="zh-CN"/>
        </w:rPr>
        <w:t>投标人名称（电子签名）</w:t>
      </w:r>
      <w:r>
        <w:rPr>
          <w:rFonts w:hint="eastAsia" w:asciiTheme="majorEastAsia" w:hAnsiTheme="majorEastAsia" w:eastAsiaTheme="majorEastAsia" w:cstheme="majorEastAsia"/>
          <w:sz w:val="24"/>
        </w:rPr>
        <w:t>：</w:t>
      </w:r>
    </w:p>
    <w:p>
      <w:pPr>
        <w:tabs>
          <w:tab w:val="left" w:pos="4860"/>
        </w:tabs>
        <w:spacing w:line="360" w:lineRule="auto"/>
        <w:ind w:right="1560" w:firstLine="480" w:firstLineChars="200"/>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日  期：</w:t>
      </w:r>
    </w:p>
    <w:p>
      <w:pPr>
        <w:spacing w:line="360" w:lineRule="auto"/>
        <w:ind w:firstLine="480" w:firstLineChars="200"/>
        <w:rPr>
          <w:rFonts w:hint="eastAsia" w:asciiTheme="majorEastAsia" w:hAnsiTheme="majorEastAsia" w:eastAsiaTheme="majorEastAsia" w:cstheme="majorEastAsia"/>
          <w:sz w:val="24"/>
        </w:rPr>
      </w:pPr>
    </w:p>
    <w:p>
      <w:pPr>
        <w:spacing w:line="360" w:lineRule="auto"/>
        <w:ind w:firstLine="420" w:firstLineChars="200"/>
        <w:rPr>
          <w:rFonts w:hint="eastAsia" w:asciiTheme="majorEastAsia" w:hAnsiTheme="majorEastAsia" w:eastAsiaTheme="majorEastAsia" w:cstheme="majorEastAsia"/>
        </w:rPr>
      </w:pPr>
    </w:p>
    <w:p>
      <w:pPr>
        <w:spacing w:line="360" w:lineRule="auto"/>
        <w:ind w:firstLine="420" w:firstLineChars="200"/>
        <w:rPr>
          <w:rFonts w:hint="eastAsia" w:asciiTheme="majorEastAsia" w:hAnsiTheme="majorEastAsia" w:eastAsiaTheme="majorEastAsia" w:cstheme="majorEastAsia"/>
        </w:rPr>
      </w:pPr>
    </w:p>
    <w:p>
      <w:pPr>
        <w:spacing w:line="360" w:lineRule="auto"/>
        <w:ind w:firstLine="420" w:firstLineChars="200"/>
        <w:rPr>
          <w:rFonts w:hint="eastAsia" w:asciiTheme="majorEastAsia" w:hAnsiTheme="majorEastAsia" w:eastAsiaTheme="majorEastAsia" w:cstheme="majorEastAsia"/>
        </w:rPr>
      </w:pPr>
    </w:p>
    <w:p>
      <w:pPr>
        <w:spacing w:line="360" w:lineRule="auto"/>
        <w:ind w:firstLine="420" w:firstLineChars="200"/>
        <w:rPr>
          <w:rFonts w:hint="eastAsia" w:asciiTheme="majorEastAsia" w:hAnsiTheme="majorEastAsia" w:eastAsiaTheme="majorEastAsia" w:cstheme="majorEastAsia"/>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jc w:val="left"/>
        <w:rPr>
          <w:rFonts w:hint="eastAsia"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t>附件2：质疑函范本及制作说明</w:t>
      </w:r>
    </w:p>
    <w:p>
      <w:pPr>
        <w:spacing w:line="360" w:lineRule="auto"/>
        <w:jc w:val="center"/>
        <w:rPr>
          <w:rFonts w:hint="eastAsia"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t>质疑函范本</w:t>
      </w:r>
    </w:p>
    <w:p>
      <w:pPr>
        <w:snapToGrid w:val="0"/>
        <w:spacing w:before="240" w:beforeLines="100"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一、质疑供应商基本信息</w:t>
      </w:r>
    </w:p>
    <w:p>
      <w:pPr>
        <w:snapToGrid w:val="0"/>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质疑供应商：</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地址：</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邮编：</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联系电话：</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授权代表：</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联系电话：</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 xml:space="preserve"> </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地址： </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邮编：</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二、质疑项目基本情况</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质疑项目的名称：</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质疑项目的编号：</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包号：</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采购人名称：</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采购文件获取日期：</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三、质疑事项具体内容</w:t>
      </w:r>
    </w:p>
    <w:p>
      <w:pPr>
        <w:snapToGrid w:val="0"/>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质疑事项1：</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事实依据：</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法律依据：</w:t>
      </w: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u w:val="dotted"/>
        </w:rPr>
        <w:t xml:space="preserve">                                                     </w:t>
      </w:r>
    </w:p>
    <w:p>
      <w:pPr>
        <w:snapToGrid w:val="0"/>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质疑事项2</w:t>
      </w:r>
    </w:p>
    <w:p>
      <w:pPr>
        <w:snapToGri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p>
      <w:pPr>
        <w:snapToGrid w:val="0"/>
        <w:spacing w:line="360" w:lineRule="auto"/>
        <w:rPr>
          <w:rFonts w:hint="eastAsia" w:asciiTheme="majorEastAsia" w:hAnsiTheme="majorEastAsia" w:eastAsiaTheme="majorEastAsia" w:cstheme="majorEastAsia"/>
          <w:bCs/>
          <w:sz w:val="24"/>
        </w:rPr>
      </w:pPr>
      <w:r>
        <w:rPr>
          <w:rFonts w:hint="eastAsia" w:asciiTheme="majorEastAsia" w:hAnsiTheme="majorEastAsia" w:eastAsiaTheme="majorEastAsia" w:cstheme="majorEastAsia"/>
          <w:bCs/>
          <w:sz w:val="24"/>
        </w:rPr>
        <w:t>四、与质疑事项相关的质疑请求</w:t>
      </w:r>
    </w:p>
    <w:p>
      <w:pPr>
        <w:snapToGrid w:val="0"/>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请求：</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签字(签章)：                   公章：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日期：    </w:t>
      </w:r>
    </w:p>
    <w:p>
      <w:pPr>
        <w:spacing w:line="360" w:lineRule="auto"/>
        <w:jc w:val="center"/>
        <w:rPr>
          <w:rFonts w:hint="eastAsia" w:asciiTheme="majorEastAsia" w:hAnsiTheme="majorEastAsia" w:eastAsiaTheme="majorEastAsia" w:cstheme="majorEastAsia"/>
          <w:b/>
          <w:bCs/>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质疑函制作说明：</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1.供应商提出质疑时，应提交质疑函和必要的证明材料。</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2.质疑供应商若委托代理人进行质疑的，质疑函应按要求列明“授权代表”的有关内容，并在附件中提交由质疑</w:t>
      </w:r>
      <w:r>
        <w:rPr>
          <w:rFonts w:hint="eastAsia" w:asciiTheme="majorEastAsia" w:hAnsiTheme="majorEastAsia" w:eastAsiaTheme="majorEastAsia" w:cstheme="majorEastAsia"/>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3.质疑供应商若对项目的某一分包进行质疑，质疑函中应列明具体分包号。</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4.质疑函的质疑事项应具体、明确，并有必要的事实依据和法律依据。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5.质疑函的质疑请求应与质疑事项相关。</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Theme="majorEastAsia" w:hAnsiTheme="majorEastAsia" w:eastAsiaTheme="majorEastAsia" w:cstheme="majorEastAsia"/>
          <w:sz w:val="30"/>
          <w:szCs w:val="30"/>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center"/>
        <w:rPr>
          <w:rFonts w:hint="eastAsia" w:asciiTheme="majorEastAsia" w:hAnsiTheme="majorEastAsia" w:eastAsiaTheme="majorEastAsia" w:cstheme="majorEastAsia"/>
          <w:b/>
          <w:spacing w:val="6"/>
          <w:sz w:val="32"/>
          <w:szCs w:val="32"/>
        </w:rPr>
      </w:pPr>
    </w:p>
    <w:p>
      <w:pPr>
        <w:pStyle w:val="5"/>
        <w:rPr>
          <w:rFonts w:hint="eastAsia" w:asciiTheme="majorEastAsia" w:hAnsiTheme="majorEastAsia" w:eastAsiaTheme="majorEastAsia" w:cstheme="majorEastAsia"/>
        </w:rPr>
      </w:pPr>
    </w:p>
    <w:p>
      <w:pPr>
        <w:spacing w:line="360" w:lineRule="auto"/>
        <w:jc w:val="center"/>
        <w:rPr>
          <w:rFonts w:hint="eastAsia" w:asciiTheme="majorEastAsia" w:hAnsiTheme="majorEastAsia" w:eastAsiaTheme="majorEastAsia" w:cstheme="majorEastAsia"/>
          <w:b/>
          <w:spacing w:val="6"/>
          <w:sz w:val="32"/>
          <w:szCs w:val="32"/>
        </w:rPr>
      </w:pPr>
    </w:p>
    <w:p>
      <w:pPr>
        <w:spacing w:line="360" w:lineRule="auto"/>
        <w:jc w:val="left"/>
        <w:rPr>
          <w:rFonts w:hint="eastAsia" w:asciiTheme="majorEastAsia" w:hAnsiTheme="majorEastAsia" w:eastAsiaTheme="majorEastAsia" w:cstheme="majorEastAsia"/>
          <w:b/>
          <w:spacing w:val="6"/>
          <w:sz w:val="32"/>
          <w:szCs w:val="32"/>
        </w:rPr>
      </w:pPr>
    </w:p>
    <w:p>
      <w:pPr>
        <w:spacing w:line="360" w:lineRule="auto"/>
        <w:jc w:val="left"/>
        <w:rPr>
          <w:rFonts w:hint="eastAsia"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t>附件3：投诉书范本及制作说明</w:t>
      </w:r>
    </w:p>
    <w:p>
      <w:pPr>
        <w:spacing w:line="360" w:lineRule="auto"/>
        <w:jc w:val="center"/>
        <w:rPr>
          <w:rFonts w:hint="eastAsia" w:asciiTheme="majorEastAsia" w:hAnsiTheme="majorEastAsia" w:eastAsiaTheme="majorEastAsia" w:cstheme="majorEastAsia"/>
          <w:b/>
          <w:sz w:val="24"/>
        </w:rPr>
      </w:pPr>
    </w:p>
    <w:p>
      <w:pPr>
        <w:spacing w:line="360" w:lineRule="auto"/>
        <w:jc w:val="center"/>
        <w:rPr>
          <w:rFonts w:hint="eastAsia" w:asciiTheme="majorEastAsia" w:hAnsiTheme="majorEastAsia" w:eastAsiaTheme="majorEastAsia" w:cstheme="majorEastAsia"/>
          <w:b/>
          <w:spacing w:val="6"/>
          <w:sz w:val="32"/>
          <w:szCs w:val="32"/>
        </w:rPr>
      </w:pPr>
      <w:r>
        <w:rPr>
          <w:rFonts w:hint="eastAsia" w:asciiTheme="majorEastAsia" w:hAnsiTheme="majorEastAsia" w:eastAsiaTheme="majorEastAsia" w:cstheme="majorEastAsia"/>
          <w:b/>
          <w:spacing w:val="6"/>
          <w:sz w:val="32"/>
          <w:szCs w:val="32"/>
        </w:rPr>
        <w:t>投诉书范本</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一、投诉相关主体基本情况</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投诉人：</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地     址：</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邮编：</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u w:val="single"/>
        </w:rPr>
        <w:t xml:space="preserve">   </w:t>
      </w:r>
    </w:p>
    <w:p>
      <w:pPr>
        <w:tabs>
          <w:tab w:val="left" w:pos="6510"/>
        </w:tabs>
        <w:spacing w:line="360" w:lineRule="auto"/>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法定代表人/主要负责人：</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 xml:space="preserve">  </w:t>
      </w:r>
    </w:p>
    <w:p>
      <w:pPr>
        <w:tabs>
          <w:tab w:val="left" w:pos="6510"/>
        </w:tabs>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联系电话：</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授权代表：</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联系电话</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地     址：</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邮编：</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被投诉人1：</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u w:val="single"/>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地     址：</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邮编：</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u w:val="single"/>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联系电话：</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u w:val="single"/>
        </w:rPr>
        <w:t xml:space="preserve">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被投诉人2</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相关供应商：</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u w:val="single"/>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地     址：</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邮编：</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u w:val="single"/>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联系人：</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联系电话：</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u w:val="single"/>
        </w:rPr>
        <w:t xml:space="preserve">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二、投诉项目基本情况</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采购项目名称：</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采购项目编号：</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包号：</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采购人名称：</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u w:val="single"/>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代理机构名称：</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采购文件公告:</w:t>
      </w:r>
      <w:r>
        <w:rPr>
          <w:rFonts w:hint="eastAsia" w:asciiTheme="majorEastAsia" w:hAnsiTheme="majorEastAsia" w:eastAsiaTheme="majorEastAsia" w:cstheme="majorEastAsia"/>
          <w:sz w:val="24"/>
          <w:u w:val="dotted"/>
        </w:rPr>
        <w:t xml:space="preserve">是/否 </w:t>
      </w:r>
      <w:r>
        <w:rPr>
          <w:rFonts w:hint="eastAsia" w:asciiTheme="majorEastAsia" w:hAnsiTheme="majorEastAsia" w:eastAsiaTheme="majorEastAsia" w:cstheme="majorEastAsia"/>
          <w:sz w:val="24"/>
        </w:rPr>
        <w:t>公告期限：</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采购结果公告:</w:t>
      </w:r>
      <w:r>
        <w:rPr>
          <w:rFonts w:hint="eastAsia" w:asciiTheme="majorEastAsia" w:hAnsiTheme="majorEastAsia" w:eastAsiaTheme="majorEastAsia" w:cstheme="majorEastAsia"/>
          <w:sz w:val="24"/>
          <w:u w:val="dotted"/>
        </w:rPr>
        <w:t xml:space="preserve">是/否 </w:t>
      </w:r>
      <w:r>
        <w:rPr>
          <w:rFonts w:hint="eastAsia" w:asciiTheme="majorEastAsia" w:hAnsiTheme="majorEastAsia" w:eastAsiaTheme="majorEastAsia" w:cstheme="majorEastAsia"/>
          <w:sz w:val="24"/>
        </w:rPr>
        <w:t>公告期限：</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三、质疑基本情况</w:t>
      </w:r>
    </w:p>
    <w:p>
      <w:pPr>
        <w:spacing w:line="360" w:lineRule="auto"/>
        <w:ind w:firstLine="480" w:firstLineChars="200"/>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投诉人于</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日,向</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提出质疑，质疑事项为：</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 xml:space="preserve">  </w:t>
      </w:r>
    </w:p>
    <w:p>
      <w:pPr>
        <w:spacing w:line="360" w:lineRule="auto"/>
        <w:ind w:firstLine="360" w:firstLineChars="1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u w:val="dotted"/>
        </w:rPr>
        <w:t>采购人/代理机构</w:t>
      </w:r>
      <w:r>
        <w:rPr>
          <w:rFonts w:hint="eastAsia" w:asciiTheme="majorEastAsia" w:hAnsiTheme="majorEastAsia" w:eastAsiaTheme="majorEastAsia" w:cstheme="majorEastAsia"/>
          <w:sz w:val="24"/>
        </w:rPr>
        <w:t>于</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年</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月</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日,就质疑事项作出了答复/没有在法定期限内作出答复。</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四、投诉事项具体内容</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投诉事项 1：</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事实依据：</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法律依据：</w:t>
      </w: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u w:val="dotted"/>
        </w:rPr>
        <w:t xml:space="preserve">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投诉事项2</w:t>
      </w:r>
    </w:p>
    <w:p>
      <w:pPr>
        <w:spacing w:line="360" w:lineRule="auto"/>
        <w:rPr>
          <w:rFonts w:hint="eastAsia" w:asciiTheme="majorEastAsia" w:hAnsiTheme="majorEastAsia" w:eastAsiaTheme="majorEastAsia" w:cstheme="majorEastAsia"/>
          <w:sz w:val="24"/>
          <w:u w:val="dotted"/>
        </w:rPr>
      </w:pPr>
      <w:r>
        <w:rPr>
          <w:rFonts w:hint="eastAsia" w:asciiTheme="majorEastAsia" w:hAnsiTheme="majorEastAsia" w:eastAsiaTheme="majorEastAsia" w:cstheme="majorEastAsia"/>
          <w:sz w:val="24"/>
        </w:rPr>
        <w:t>……</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五、与投诉事项相关的投诉请求</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请求：</w:t>
      </w:r>
      <w:r>
        <w:rPr>
          <w:rFonts w:hint="eastAsia" w:asciiTheme="majorEastAsia" w:hAnsiTheme="majorEastAsia" w:eastAsiaTheme="majorEastAsia" w:cstheme="majorEastAsia"/>
          <w:sz w:val="24"/>
          <w:u w:val="dotted"/>
        </w:rPr>
        <w:t xml:space="preserve">                                              </w:t>
      </w:r>
      <w:r>
        <w:rPr>
          <w:rFonts w:hint="eastAsia" w:asciiTheme="majorEastAsia" w:hAnsiTheme="majorEastAsia" w:eastAsiaTheme="majorEastAsia" w:cstheme="majorEastAsia"/>
          <w:sz w:val="24"/>
        </w:rPr>
        <w:t xml:space="preserve"> </w:t>
      </w:r>
    </w:p>
    <w:p>
      <w:pPr>
        <w:spacing w:line="360" w:lineRule="auto"/>
        <w:rPr>
          <w:rFonts w:hint="eastAsia" w:asciiTheme="majorEastAsia" w:hAnsiTheme="majorEastAsia" w:eastAsiaTheme="majorEastAsia" w:cstheme="majorEastAsia"/>
          <w:sz w:val="24"/>
          <w:u w:val="single"/>
        </w:rPr>
      </w:pPr>
      <w:r>
        <w:rPr>
          <w:rFonts w:hint="eastAsia" w:asciiTheme="majorEastAsia" w:hAnsiTheme="majorEastAsia" w:eastAsiaTheme="majorEastAsia" w:cstheme="majorEastAsia"/>
          <w:sz w:val="24"/>
        </w:rPr>
        <w:t xml:space="preserve">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签字(签章)：                   公章：                      </w:t>
      </w:r>
    </w:p>
    <w:p>
      <w:pPr>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日期：    </w:t>
      </w: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p>
    <w:p>
      <w:pPr>
        <w:spacing w:line="360" w:lineRule="auto"/>
        <w:rPr>
          <w:rFonts w:hint="eastAsia" w:asciiTheme="majorEastAsia" w:hAnsiTheme="majorEastAsia" w:eastAsiaTheme="majorEastAsia" w:cstheme="majorEastAsia"/>
          <w:b/>
          <w:sz w:val="24"/>
        </w:rPr>
      </w:pPr>
      <w:r>
        <w:rPr>
          <w:rFonts w:hint="eastAsia" w:asciiTheme="majorEastAsia" w:hAnsiTheme="majorEastAsia" w:eastAsiaTheme="majorEastAsia" w:cstheme="majorEastAsia"/>
          <w:b/>
          <w:sz w:val="24"/>
        </w:rPr>
        <w:t>投诉书制作说明：</w:t>
      </w:r>
    </w:p>
    <w:p>
      <w:pPr>
        <w:widowControl/>
        <w:spacing w:line="360" w:lineRule="auto"/>
        <w:ind w:firstLine="480" w:firstLineChars="200"/>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2.投诉人若委托代理人进行投诉的，投诉书应按照要求列明“授权代表”的有关内容，并在附件中提交由</w:t>
      </w:r>
      <w:r>
        <w:rPr>
          <w:rFonts w:hint="eastAsia" w:asciiTheme="majorEastAsia" w:hAnsiTheme="majorEastAsia" w:eastAsiaTheme="majorEastAsia" w:cstheme="majorEastAsia"/>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3.投诉人若对项目的某一分包进行投诉，投诉书应列明具体分包号。</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4.投诉书应简要列明质疑事项，质疑函、质疑答复等作为附件材料提供。</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5.投诉书的投诉事项应具体、明确，并有必要的事实依据和法律依据。</w:t>
      </w:r>
    </w:p>
    <w:p>
      <w:pPr>
        <w:widowControl/>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6.投诉书的投诉请求应与投诉事项相关。</w:t>
      </w:r>
    </w:p>
    <w:p>
      <w:pPr>
        <w:widowControl/>
        <w:spacing w:line="360" w:lineRule="auto"/>
        <w:ind w:firstLine="480" w:firstLineChars="200"/>
        <w:jc w:val="left"/>
        <w:rPr>
          <w:rFonts w:hint="eastAsia"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Theme="majorEastAsia" w:hAnsiTheme="majorEastAsia" w:eastAsiaTheme="majorEastAsia" w:cstheme="majorEastAsia"/>
          <w:b/>
          <w:sz w:val="24"/>
        </w:rPr>
      </w:pPr>
    </w:p>
    <w:p>
      <w:pPr>
        <w:autoSpaceDE w:val="0"/>
        <w:autoSpaceDN w:val="0"/>
        <w:jc w:val="center"/>
        <w:rPr>
          <w:rFonts w:hint="eastAsia" w:asciiTheme="majorEastAsia" w:hAnsiTheme="majorEastAsia" w:eastAsiaTheme="majorEastAsia" w:cstheme="majorEastAsia"/>
          <w:b/>
          <w:spacing w:val="6"/>
          <w:sz w:val="32"/>
          <w:szCs w:val="32"/>
        </w:rPr>
      </w:pPr>
    </w:p>
    <w:p>
      <w:pPr>
        <w:autoSpaceDE w:val="0"/>
        <w:autoSpaceDN w:val="0"/>
        <w:jc w:val="center"/>
        <w:rPr>
          <w:rFonts w:hint="eastAsia" w:asciiTheme="majorEastAsia" w:hAnsiTheme="majorEastAsia" w:eastAsiaTheme="majorEastAsia" w:cstheme="majorEastAsia"/>
          <w:b/>
          <w:spacing w:val="6"/>
          <w:sz w:val="32"/>
          <w:szCs w:val="32"/>
        </w:rPr>
      </w:pPr>
    </w:p>
    <w:p>
      <w:pPr>
        <w:autoSpaceDE w:val="0"/>
        <w:autoSpaceDN w:val="0"/>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spacing w:val="6"/>
          <w:sz w:val="32"/>
          <w:szCs w:val="32"/>
        </w:rPr>
        <w:t>附件4：</w:t>
      </w:r>
      <w:r>
        <w:rPr>
          <w:rFonts w:hint="eastAsia" w:asciiTheme="majorEastAsia" w:hAnsiTheme="majorEastAsia" w:eastAsiaTheme="majorEastAsia" w:cstheme="majorEastAsia"/>
          <w:b/>
          <w:sz w:val="32"/>
          <w:szCs w:val="32"/>
        </w:rPr>
        <w:t>中小企业声明函</w:t>
      </w:r>
    </w:p>
    <w:p>
      <w:pPr>
        <w:spacing w:line="360" w:lineRule="auto"/>
        <w:jc w:val="both"/>
        <w:rPr>
          <w:rFonts w:hint="eastAsia" w:asciiTheme="majorEastAsia" w:hAnsiTheme="majorEastAsia" w:eastAsiaTheme="majorEastAsia" w:cstheme="majorEastAsia"/>
          <w:b/>
          <w:sz w:val="32"/>
          <w:szCs w:val="32"/>
        </w:rPr>
      </w:pPr>
    </w:p>
    <w:p>
      <w:pPr>
        <w:spacing w:line="360" w:lineRule="auto"/>
        <w:jc w:val="center"/>
        <w:rPr>
          <w:rFonts w:hint="eastAsia" w:asciiTheme="majorEastAsia" w:hAnsiTheme="majorEastAsia" w:eastAsiaTheme="majorEastAsia" w:cstheme="majorEastAsia"/>
          <w:b/>
          <w:sz w:val="32"/>
          <w:szCs w:val="32"/>
        </w:rPr>
      </w:pPr>
      <w:r>
        <w:rPr>
          <w:rFonts w:hint="eastAsia" w:asciiTheme="majorEastAsia" w:hAnsiTheme="majorEastAsia" w:eastAsiaTheme="majorEastAsia" w:cstheme="majorEastAsia"/>
          <w:b/>
          <w:sz w:val="32"/>
          <w:szCs w:val="32"/>
        </w:rPr>
        <w:t>中小企业声明函（工程、服务）</w:t>
      </w:r>
    </w:p>
    <w:p>
      <w:pPr>
        <w:spacing w:line="360" w:lineRule="auto"/>
        <w:rPr>
          <w:rFonts w:hint="eastAsia" w:asciiTheme="majorEastAsia" w:hAnsiTheme="majorEastAsia" w:eastAsiaTheme="majorEastAsia" w:cstheme="majorEastAsia"/>
        </w:rPr>
      </w:pPr>
    </w:p>
    <w:p>
      <w:pPr>
        <w:spacing w:line="360" w:lineRule="auto"/>
        <w:ind w:firstLine="360" w:firstLineChars="15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sz w:val="24"/>
          <w:u w:val="single"/>
        </w:rPr>
        <w:t>（标的名称）</w:t>
      </w:r>
      <w:r>
        <w:rPr>
          <w:rFonts w:hint="eastAsia" w:asciiTheme="majorEastAsia" w:hAnsiTheme="majorEastAsia" w:eastAsiaTheme="majorEastAsia" w:cstheme="majorEastAsia"/>
          <w:sz w:val="24"/>
        </w:rPr>
        <w:t xml:space="preserve">，属于 </w:t>
      </w:r>
      <w:r>
        <w:rPr>
          <w:rFonts w:hint="eastAsia" w:asciiTheme="majorEastAsia" w:hAnsiTheme="majorEastAsia" w:eastAsiaTheme="majorEastAsia" w:cstheme="majorEastAsia"/>
          <w:sz w:val="24"/>
          <w:u w:val="single"/>
        </w:rPr>
        <w:t>（采购文件中明确的所属行业）</w:t>
      </w:r>
      <w:r>
        <w:rPr>
          <w:rFonts w:hint="eastAsia" w:asciiTheme="majorEastAsia" w:hAnsiTheme="majorEastAsia" w:eastAsiaTheme="majorEastAsia" w:cstheme="majorEastAsia"/>
          <w:sz w:val="24"/>
        </w:rPr>
        <w:t xml:space="preserve"> ；承建（承接）企业为 </w:t>
      </w:r>
      <w:r>
        <w:rPr>
          <w:rFonts w:hint="eastAsia" w:asciiTheme="majorEastAsia" w:hAnsiTheme="majorEastAsia" w:eastAsiaTheme="majorEastAsia" w:cstheme="majorEastAsia"/>
          <w:sz w:val="24"/>
          <w:u w:val="single"/>
        </w:rPr>
        <w:t>（企业名称）</w:t>
      </w:r>
      <w:r>
        <w:rPr>
          <w:rFonts w:hint="eastAsia" w:asciiTheme="majorEastAsia" w:hAnsiTheme="majorEastAsia" w:eastAsiaTheme="majorEastAsia" w:cstheme="majorEastAsia"/>
          <w:sz w:val="24"/>
        </w:rPr>
        <w:t xml:space="preserve"> ，从业人员</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人，营业收入为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万元，资产总额为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万元属于</w:t>
      </w:r>
      <w:r>
        <w:rPr>
          <w:rFonts w:hint="eastAsia" w:asciiTheme="majorEastAsia" w:hAnsiTheme="majorEastAsia" w:eastAsiaTheme="majorEastAsia" w:cstheme="majorEastAsia"/>
          <w:sz w:val="24"/>
          <w:u w:val="single"/>
        </w:rPr>
        <w:t xml:space="preserve"> （中型企业、小型企业、微型企业） </w:t>
      </w:r>
      <w:r>
        <w:rPr>
          <w:rFonts w:hint="eastAsia" w:asciiTheme="majorEastAsia" w:hAnsiTheme="majorEastAsia" w:eastAsiaTheme="majorEastAsia" w:cstheme="majorEastAsia"/>
          <w:sz w:val="24"/>
        </w:rPr>
        <w:t>；</w:t>
      </w:r>
    </w:p>
    <w:p>
      <w:pPr>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rPr>
        <w:t xml:space="preserve"> </w:t>
      </w:r>
      <w:r>
        <w:rPr>
          <w:rFonts w:hint="eastAsia" w:asciiTheme="majorEastAsia" w:hAnsiTheme="majorEastAsia" w:eastAsiaTheme="majorEastAsia" w:cstheme="majorEastAsia"/>
          <w:sz w:val="24"/>
          <w:u w:val="single"/>
        </w:rPr>
        <w:t>（标的名称）</w:t>
      </w:r>
      <w:r>
        <w:rPr>
          <w:rFonts w:hint="eastAsia" w:asciiTheme="majorEastAsia" w:hAnsiTheme="majorEastAsia" w:eastAsiaTheme="majorEastAsia" w:cstheme="majorEastAsia"/>
          <w:sz w:val="24"/>
        </w:rPr>
        <w:t xml:space="preserve">，属于 </w:t>
      </w:r>
      <w:r>
        <w:rPr>
          <w:rFonts w:hint="eastAsia" w:asciiTheme="majorEastAsia" w:hAnsiTheme="majorEastAsia" w:eastAsiaTheme="majorEastAsia" w:cstheme="majorEastAsia"/>
          <w:sz w:val="24"/>
          <w:u w:val="single"/>
        </w:rPr>
        <w:t>（采购文件中明确的所属行业）</w:t>
      </w:r>
      <w:r>
        <w:rPr>
          <w:rFonts w:hint="eastAsia" w:asciiTheme="majorEastAsia" w:hAnsiTheme="majorEastAsia" w:eastAsiaTheme="majorEastAsia" w:cstheme="majorEastAsia"/>
          <w:sz w:val="24"/>
        </w:rPr>
        <w:t xml:space="preserve"> ；承建（承接）企业为 </w:t>
      </w:r>
      <w:r>
        <w:rPr>
          <w:rFonts w:hint="eastAsia" w:asciiTheme="majorEastAsia" w:hAnsiTheme="majorEastAsia" w:eastAsiaTheme="majorEastAsia" w:cstheme="majorEastAsia"/>
          <w:sz w:val="24"/>
          <w:u w:val="single"/>
        </w:rPr>
        <w:t>（企业名称）</w:t>
      </w:r>
      <w:r>
        <w:rPr>
          <w:rFonts w:hint="eastAsia" w:asciiTheme="majorEastAsia" w:hAnsiTheme="majorEastAsia" w:eastAsiaTheme="majorEastAsia" w:cstheme="majorEastAsia"/>
          <w:sz w:val="24"/>
        </w:rPr>
        <w:t xml:space="preserve"> ，从业人员</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人，营业收入为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万元，资产总额为</w:t>
      </w:r>
      <w:r>
        <w:rPr>
          <w:rFonts w:hint="eastAsia" w:asciiTheme="majorEastAsia" w:hAnsiTheme="majorEastAsia" w:eastAsiaTheme="majorEastAsia" w:cstheme="majorEastAsia"/>
          <w:sz w:val="24"/>
          <w:u w:val="single"/>
        </w:rPr>
        <w:t xml:space="preserve">   </w:t>
      </w:r>
      <w:r>
        <w:rPr>
          <w:rFonts w:hint="eastAsia" w:asciiTheme="majorEastAsia" w:hAnsiTheme="majorEastAsia" w:eastAsiaTheme="majorEastAsia" w:cstheme="majorEastAsia"/>
          <w:sz w:val="24"/>
        </w:rPr>
        <w:t>万元属于</w:t>
      </w:r>
      <w:r>
        <w:rPr>
          <w:rFonts w:hint="eastAsia" w:asciiTheme="majorEastAsia" w:hAnsiTheme="majorEastAsia" w:eastAsiaTheme="majorEastAsia" w:cstheme="majorEastAsia"/>
          <w:sz w:val="24"/>
          <w:u w:val="single"/>
        </w:rPr>
        <w:t xml:space="preserve"> （中型企业、小型企业、微型企业） </w:t>
      </w:r>
      <w:r>
        <w:rPr>
          <w:rFonts w:hint="eastAsia" w:asciiTheme="majorEastAsia" w:hAnsiTheme="majorEastAsia" w:eastAsiaTheme="majorEastAsia" w:cstheme="majorEastAsia"/>
          <w:sz w:val="24"/>
        </w:rPr>
        <w:t>；</w:t>
      </w:r>
    </w:p>
    <w:p>
      <w:pPr>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w:t>
      </w:r>
    </w:p>
    <w:p>
      <w:pPr>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本企业对上述声明内容的真实性负责。如有虚假，将依法承担相应责任。</w:t>
      </w:r>
    </w:p>
    <w:p>
      <w:pPr>
        <w:spacing w:line="360" w:lineRule="auto"/>
        <w:ind w:right="1760"/>
        <w:jc w:val="right"/>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投标人名称（电子签名）：</w:t>
      </w:r>
    </w:p>
    <w:p>
      <w:pPr>
        <w:spacing w:line="360" w:lineRule="auto"/>
        <w:ind w:right="1120" w:firstLine="4680" w:firstLineChars="195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日 期：</w:t>
      </w:r>
    </w:p>
    <w:p>
      <w:pPr>
        <w:spacing w:line="360" w:lineRule="auto"/>
        <w:ind w:firstLine="310" w:firstLineChars="147"/>
        <w:jc w:val="left"/>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从业人员、营业收入、资产总额填报上一年度数据，无上一年度数据的新成立企业可不填报。</w:t>
      </w:r>
    </w:p>
    <w:p>
      <w:pPr>
        <w:spacing w:line="360" w:lineRule="auto"/>
        <w:ind w:right="420"/>
        <w:rPr>
          <w:rFonts w:hint="eastAsia" w:asciiTheme="majorEastAsia" w:hAnsiTheme="majorEastAsia" w:eastAsiaTheme="majorEastAsia" w:cstheme="majorEastAsia"/>
          <w:sz w:val="24"/>
        </w:rPr>
      </w:pPr>
    </w:p>
    <w:p>
      <w:pPr>
        <w:spacing w:line="360" w:lineRule="auto"/>
        <w:ind w:right="420"/>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Theme="majorEastAsia" w:hAnsiTheme="majorEastAsia" w:eastAsiaTheme="majorEastAsia" w:cstheme="majorEastAsia"/>
          <w:lang w:val="en-US"/>
        </w:rPr>
      </w:pPr>
    </w:p>
    <w:p>
      <w:pPr>
        <w:spacing w:line="360" w:lineRule="auto"/>
        <w:rPr>
          <w:rFonts w:hint="eastAsia" w:asciiTheme="majorEastAsia" w:hAnsiTheme="majorEastAsia" w:eastAsiaTheme="majorEastAsia" w:cstheme="majorEastAsia"/>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Times New Roman"/>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bookmarkStart w:id="397" w:name="_Toc164085800"/>
    <w:bookmarkStart w:id="398" w:name="_Toc36110187"/>
    <w:bookmarkStart w:id="399" w:name="_Toc131845147"/>
    <w:bookmarkStart w:id="400" w:name="_Toc91899912"/>
    <w:r>
      <w:rPr>
        <w:rFonts w:hint="eastAsia" w:ascii="仿宋_GB2312" w:eastAsia="仿宋_GB2312"/>
        <w:kern w:val="0"/>
        <w:szCs w:val="21"/>
      </w:rPr>
      <w:t xml:space="preserve"> 页</w:t>
    </w:r>
    <w:bookmarkEnd w:id="397"/>
    <w:bookmarkEnd w:id="398"/>
    <w:bookmarkEnd w:id="399"/>
    <w:bookmarkEnd w:id="40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诸暨</w:t>
    </w:r>
    <w:r>
      <w:t>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诸暨</w:t>
    </w:r>
    <w:r>
      <w:t>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rPr>
      <w:t>诸暨</w:t>
    </w:r>
    <w:r>
      <w:rPr>
        <w:lang w:val="zh-CN"/>
      </w:rPr>
      <w:t>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诸暨</w:t>
    </w:r>
    <w:r>
      <w:t>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诸暨</w:t>
    </w:r>
    <w:r>
      <w:t>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诸暨</w:t>
    </w:r>
    <w:r>
      <w:t>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诸暨</w:t>
    </w:r>
    <w:r>
      <w:t>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r>
      <w:rPr>
        <w:rFonts w:hint="eastAsia"/>
      </w:rPr>
      <w:t>诸暨</w:t>
    </w:r>
    <w:r>
      <w:t>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lvlText w:val="（%1）"/>
      <w:lvlJc w:val="left"/>
      <w:pPr>
        <w:ind w:left="420" w:hanging="420"/>
      </w:pPr>
    </w:lvl>
  </w:abstractNum>
  <w:abstractNum w:abstractNumId="1">
    <w:nsid w:val="0F5E487D"/>
    <w:multiLevelType w:val="multilevel"/>
    <w:tmpl w:val="0F5E487D"/>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114FCA"/>
    <w:multiLevelType w:val="multilevel"/>
    <w:tmpl w:val="42114FC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E465744"/>
    <w:multiLevelType w:val="singleLevel"/>
    <w:tmpl w:val="4E465744"/>
    <w:lvl w:ilvl="0" w:tentative="0">
      <w:start w:val="1"/>
      <w:numFmt w:val="chineseCounting"/>
      <w:suff w:val="nothing"/>
      <w:lvlText w:val="%1、"/>
      <w:lvlJc w:val="left"/>
      <w:rPr>
        <w:rFonts w:hint="eastAsia"/>
      </w:rPr>
    </w:lvl>
  </w:abstractNum>
  <w:abstractNum w:abstractNumId="4">
    <w:nsid w:val="4EAF669B"/>
    <w:multiLevelType w:val="multilevel"/>
    <w:tmpl w:val="4EAF66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CC06C3F"/>
    <w:multiLevelType w:val="multilevel"/>
    <w:tmpl w:val="5CC06C3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5DF2E8"/>
    <w:multiLevelType w:val="singleLevel"/>
    <w:tmpl w:val="755DF2E8"/>
    <w:lvl w:ilvl="0" w:tentative="0">
      <w:start w:val="1"/>
      <w:numFmt w:val="chineseCounting"/>
      <w:suff w:val="nothing"/>
      <w:lvlText w:val="%1、"/>
      <w:lvlJc w:val="left"/>
      <w:rPr>
        <w:rFonts w:hint="eastAsia"/>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OGVlYzFiNjhmZTdhMjVmNDYyMmYxMThlNjlkZTQifQ=="/>
  </w:docVars>
  <w:rsids>
    <w:rsidRoot w:val="00172A27"/>
    <w:rsid w:val="00000451"/>
    <w:rsid w:val="000004F6"/>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9F7441"/>
    <w:rsid w:val="01B37585"/>
    <w:rsid w:val="01D55165"/>
    <w:rsid w:val="01DF6BF8"/>
    <w:rsid w:val="01E64C5E"/>
    <w:rsid w:val="01EC2C57"/>
    <w:rsid w:val="026B2E25"/>
    <w:rsid w:val="02824D4D"/>
    <w:rsid w:val="02DC4B10"/>
    <w:rsid w:val="02DD76CE"/>
    <w:rsid w:val="02F36323"/>
    <w:rsid w:val="02F5619C"/>
    <w:rsid w:val="0326446A"/>
    <w:rsid w:val="032D5555"/>
    <w:rsid w:val="036634D2"/>
    <w:rsid w:val="03DD35E4"/>
    <w:rsid w:val="04076900"/>
    <w:rsid w:val="041A5A3B"/>
    <w:rsid w:val="041B6B58"/>
    <w:rsid w:val="042311BA"/>
    <w:rsid w:val="042B157A"/>
    <w:rsid w:val="048F763B"/>
    <w:rsid w:val="049F330E"/>
    <w:rsid w:val="04AA775C"/>
    <w:rsid w:val="04AF1889"/>
    <w:rsid w:val="04E62470"/>
    <w:rsid w:val="04F66F48"/>
    <w:rsid w:val="05251E14"/>
    <w:rsid w:val="055661F0"/>
    <w:rsid w:val="05A16594"/>
    <w:rsid w:val="05A7762D"/>
    <w:rsid w:val="05D00EC1"/>
    <w:rsid w:val="060E5941"/>
    <w:rsid w:val="06110FAF"/>
    <w:rsid w:val="063F4ED6"/>
    <w:rsid w:val="06493CA7"/>
    <w:rsid w:val="065A6178"/>
    <w:rsid w:val="066C6438"/>
    <w:rsid w:val="066F1CF3"/>
    <w:rsid w:val="0678654A"/>
    <w:rsid w:val="06930BB8"/>
    <w:rsid w:val="07245D42"/>
    <w:rsid w:val="07264C62"/>
    <w:rsid w:val="0779354C"/>
    <w:rsid w:val="08061376"/>
    <w:rsid w:val="08163A15"/>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02EE5"/>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AD0A9E"/>
    <w:rsid w:val="0EB803EE"/>
    <w:rsid w:val="0EF94D4B"/>
    <w:rsid w:val="0F4958DC"/>
    <w:rsid w:val="0F515DF7"/>
    <w:rsid w:val="0F596BA8"/>
    <w:rsid w:val="0F6248D2"/>
    <w:rsid w:val="0F693536"/>
    <w:rsid w:val="0F7B0511"/>
    <w:rsid w:val="0F7B76D9"/>
    <w:rsid w:val="0F816ACD"/>
    <w:rsid w:val="0F9832DB"/>
    <w:rsid w:val="0FBF3FD2"/>
    <w:rsid w:val="0FBF7FF3"/>
    <w:rsid w:val="0FF94348"/>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55233"/>
    <w:rsid w:val="12530213"/>
    <w:rsid w:val="127723A9"/>
    <w:rsid w:val="12862074"/>
    <w:rsid w:val="12883966"/>
    <w:rsid w:val="129E45B4"/>
    <w:rsid w:val="12A0243C"/>
    <w:rsid w:val="12D81596"/>
    <w:rsid w:val="13072A44"/>
    <w:rsid w:val="135F4BE2"/>
    <w:rsid w:val="139B1A0A"/>
    <w:rsid w:val="139D25C7"/>
    <w:rsid w:val="13BF3CE4"/>
    <w:rsid w:val="141008D8"/>
    <w:rsid w:val="14125FE6"/>
    <w:rsid w:val="146D271E"/>
    <w:rsid w:val="14982588"/>
    <w:rsid w:val="149A5AD9"/>
    <w:rsid w:val="14A524FA"/>
    <w:rsid w:val="14A7619D"/>
    <w:rsid w:val="150536C3"/>
    <w:rsid w:val="150C1963"/>
    <w:rsid w:val="151447A0"/>
    <w:rsid w:val="154A6454"/>
    <w:rsid w:val="15762120"/>
    <w:rsid w:val="166F1D9B"/>
    <w:rsid w:val="16A8729C"/>
    <w:rsid w:val="16B33777"/>
    <w:rsid w:val="16BC70A7"/>
    <w:rsid w:val="16C6339E"/>
    <w:rsid w:val="172F2D79"/>
    <w:rsid w:val="17557BEF"/>
    <w:rsid w:val="17D349C1"/>
    <w:rsid w:val="1830729E"/>
    <w:rsid w:val="1870062C"/>
    <w:rsid w:val="18817102"/>
    <w:rsid w:val="18830A15"/>
    <w:rsid w:val="18852B28"/>
    <w:rsid w:val="188B5321"/>
    <w:rsid w:val="19826FE8"/>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945CBD"/>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AA273C"/>
    <w:rsid w:val="1EB7330C"/>
    <w:rsid w:val="1F0A0FF3"/>
    <w:rsid w:val="1F5771FF"/>
    <w:rsid w:val="1FE868A9"/>
    <w:rsid w:val="20034907"/>
    <w:rsid w:val="20173E4B"/>
    <w:rsid w:val="204E48BC"/>
    <w:rsid w:val="208921B3"/>
    <w:rsid w:val="20973DEB"/>
    <w:rsid w:val="20A23587"/>
    <w:rsid w:val="20B26522"/>
    <w:rsid w:val="20B44310"/>
    <w:rsid w:val="211116EB"/>
    <w:rsid w:val="216133FC"/>
    <w:rsid w:val="21D56769"/>
    <w:rsid w:val="21E52EF3"/>
    <w:rsid w:val="21FB5D7B"/>
    <w:rsid w:val="220B1C3D"/>
    <w:rsid w:val="221D1D20"/>
    <w:rsid w:val="22334A87"/>
    <w:rsid w:val="22631AF5"/>
    <w:rsid w:val="22BE6801"/>
    <w:rsid w:val="233500BF"/>
    <w:rsid w:val="23377FF7"/>
    <w:rsid w:val="236B425F"/>
    <w:rsid w:val="23836192"/>
    <w:rsid w:val="23901F29"/>
    <w:rsid w:val="239C0061"/>
    <w:rsid w:val="23B908A4"/>
    <w:rsid w:val="23E95BEF"/>
    <w:rsid w:val="23FD0064"/>
    <w:rsid w:val="245375B0"/>
    <w:rsid w:val="24642C0A"/>
    <w:rsid w:val="24A06A19"/>
    <w:rsid w:val="24B22173"/>
    <w:rsid w:val="24B95AD9"/>
    <w:rsid w:val="24BE24DA"/>
    <w:rsid w:val="24CF5825"/>
    <w:rsid w:val="24D663E6"/>
    <w:rsid w:val="24D77F2B"/>
    <w:rsid w:val="258B00E2"/>
    <w:rsid w:val="25A917A6"/>
    <w:rsid w:val="25B85E7F"/>
    <w:rsid w:val="25BE27CC"/>
    <w:rsid w:val="25F74A5C"/>
    <w:rsid w:val="2628662C"/>
    <w:rsid w:val="262D45DE"/>
    <w:rsid w:val="265E2CFF"/>
    <w:rsid w:val="26697A1A"/>
    <w:rsid w:val="26A53EF9"/>
    <w:rsid w:val="26A94201"/>
    <w:rsid w:val="26AC274F"/>
    <w:rsid w:val="27044A29"/>
    <w:rsid w:val="271D34C8"/>
    <w:rsid w:val="276142BF"/>
    <w:rsid w:val="27783712"/>
    <w:rsid w:val="27907362"/>
    <w:rsid w:val="27D76A4F"/>
    <w:rsid w:val="28333E1D"/>
    <w:rsid w:val="28454BD6"/>
    <w:rsid w:val="28455253"/>
    <w:rsid w:val="28551971"/>
    <w:rsid w:val="285B1C53"/>
    <w:rsid w:val="289F7086"/>
    <w:rsid w:val="28C32028"/>
    <w:rsid w:val="28CC490F"/>
    <w:rsid w:val="28DE40AA"/>
    <w:rsid w:val="29345E77"/>
    <w:rsid w:val="294C65AD"/>
    <w:rsid w:val="29515D72"/>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F2E89"/>
    <w:rsid w:val="2E9A3C18"/>
    <w:rsid w:val="2EBB0FEE"/>
    <w:rsid w:val="2EC63002"/>
    <w:rsid w:val="2F0A6B38"/>
    <w:rsid w:val="2F946CCB"/>
    <w:rsid w:val="2FA17659"/>
    <w:rsid w:val="2FD25781"/>
    <w:rsid w:val="2FFD7934"/>
    <w:rsid w:val="30733ACD"/>
    <w:rsid w:val="308C3862"/>
    <w:rsid w:val="309379D8"/>
    <w:rsid w:val="30A270F7"/>
    <w:rsid w:val="30BB21D9"/>
    <w:rsid w:val="30DF1478"/>
    <w:rsid w:val="30EA2B2E"/>
    <w:rsid w:val="30EC586F"/>
    <w:rsid w:val="319C6071"/>
    <w:rsid w:val="31AC537E"/>
    <w:rsid w:val="31E3679B"/>
    <w:rsid w:val="31E732FD"/>
    <w:rsid w:val="32517576"/>
    <w:rsid w:val="327D6706"/>
    <w:rsid w:val="32BE5C2C"/>
    <w:rsid w:val="32FB6478"/>
    <w:rsid w:val="33263B3F"/>
    <w:rsid w:val="33403BE0"/>
    <w:rsid w:val="336963EB"/>
    <w:rsid w:val="33816EEB"/>
    <w:rsid w:val="33EB55CD"/>
    <w:rsid w:val="33EC4C02"/>
    <w:rsid w:val="340D2360"/>
    <w:rsid w:val="3410665D"/>
    <w:rsid w:val="34211214"/>
    <w:rsid w:val="342E63AB"/>
    <w:rsid w:val="34950E68"/>
    <w:rsid w:val="34986E94"/>
    <w:rsid w:val="34AF62C9"/>
    <w:rsid w:val="34CB4388"/>
    <w:rsid w:val="34FA6E12"/>
    <w:rsid w:val="358D5588"/>
    <w:rsid w:val="36142918"/>
    <w:rsid w:val="363A3B40"/>
    <w:rsid w:val="365302AE"/>
    <w:rsid w:val="36607A0A"/>
    <w:rsid w:val="366E227C"/>
    <w:rsid w:val="366F2E0D"/>
    <w:rsid w:val="367B6A5C"/>
    <w:rsid w:val="36A74ADA"/>
    <w:rsid w:val="36AD60D5"/>
    <w:rsid w:val="36B224F9"/>
    <w:rsid w:val="36EC0CC9"/>
    <w:rsid w:val="373F410B"/>
    <w:rsid w:val="37427AD3"/>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3D2DA2"/>
    <w:rsid w:val="3E42664B"/>
    <w:rsid w:val="3E5A733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4019356B"/>
    <w:rsid w:val="40592157"/>
    <w:rsid w:val="406E1CAE"/>
    <w:rsid w:val="40792BC6"/>
    <w:rsid w:val="40A0133A"/>
    <w:rsid w:val="40C31A53"/>
    <w:rsid w:val="40FB058A"/>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13CC5"/>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BC6561"/>
    <w:rsid w:val="48E37AAB"/>
    <w:rsid w:val="48FD4B4C"/>
    <w:rsid w:val="490A68E0"/>
    <w:rsid w:val="491055FE"/>
    <w:rsid w:val="495F5B3E"/>
    <w:rsid w:val="496F77D7"/>
    <w:rsid w:val="497654FD"/>
    <w:rsid w:val="49B64211"/>
    <w:rsid w:val="49F6167F"/>
    <w:rsid w:val="4A064FA0"/>
    <w:rsid w:val="4A16615C"/>
    <w:rsid w:val="4A174DEF"/>
    <w:rsid w:val="4A4424D7"/>
    <w:rsid w:val="4AA46948"/>
    <w:rsid w:val="4AB82D0F"/>
    <w:rsid w:val="4AEB7664"/>
    <w:rsid w:val="4AFD7C19"/>
    <w:rsid w:val="4B0567D1"/>
    <w:rsid w:val="4B236AAE"/>
    <w:rsid w:val="4B707271"/>
    <w:rsid w:val="4B9739F7"/>
    <w:rsid w:val="4BEE2503"/>
    <w:rsid w:val="4C245A30"/>
    <w:rsid w:val="4CB6685F"/>
    <w:rsid w:val="4CC367FE"/>
    <w:rsid w:val="4CEE6EA6"/>
    <w:rsid w:val="4D077F3C"/>
    <w:rsid w:val="4D123355"/>
    <w:rsid w:val="4D2A3B31"/>
    <w:rsid w:val="4D312C52"/>
    <w:rsid w:val="4D905305"/>
    <w:rsid w:val="4D964A72"/>
    <w:rsid w:val="4D9C1254"/>
    <w:rsid w:val="4E793892"/>
    <w:rsid w:val="4E800872"/>
    <w:rsid w:val="4EC569ED"/>
    <w:rsid w:val="4ED50EA1"/>
    <w:rsid w:val="4EDF237F"/>
    <w:rsid w:val="4EEC050C"/>
    <w:rsid w:val="4F104EC3"/>
    <w:rsid w:val="4F47354A"/>
    <w:rsid w:val="4F911C54"/>
    <w:rsid w:val="4FE625E0"/>
    <w:rsid w:val="5021480F"/>
    <w:rsid w:val="50770C26"/>
    <w:rsid w:val="50962ECB"/>
    <w:rsid w:val="50A42E38"/>
    <w:rsid w:val="50A4577F"/>
    <w:rsid w:val="50B73D1F"/>
    <w:rsid w:val="50BD5BC9"/>
    <w:rsid w:val="50C11EEE"/>
    <w:rsid w:val="50E97CFC"/>
    <w:rsid w:val="50FA4028"/>
    <w:rsid w:val="510D65B7"/>
    <w:rsid w:val="511157AB"/>
    <w:rsid w:val="5142540C"/>
    <w:rsid w:val="517F7502"/>
    <w:rsid w:val="518832C8"/>
    <w:rsid w:val="51A0432A"/>
    <w:rsid w:val="51A74E09"/>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B16294"/>
    <w:rsid w:val="57032A2C"/>
    <w:rsid w:val="570453D1"/>
    <w:rsid w:val="570F5219"/>
    <w:rsid w:val="575D12B5"/>
    <w:rsid w:val="57610A87"/>
    <w:rsid w:val="577B1140"/>
    <w:rsid w:val="577B7F21"/>
    <w:rsid w:val="577F181B"/>
    <w:rsid w:val="57921984"/>
    <w:rsid w:val="57947A4C"/>
    <w:rsid w:val="579737F0"/>
    <w:rsid w:val="57AB7B30"/>
    <w:rsid w:val="57AF5251"/>
    <w:rsid w:val="57B26373"/>
    <w:rsid w:val="57B63F04"/>
    <w:rsid w:val="57CD20C2"/>
    <w:rsid w:val="57D675AB"/>
    <w:rsid w:val="57D95FDD"/>
    <w:rsid w:val="58917D2F"/>
    <w:rsid w:val="5894085C"/>
    <w:rsid w:val="58AE4F0C"/>
    <w:rsid w:val="58B85899"/>
    <w:rsid w:val="58BD6D69"/>
    <w:rsid w:val="58E363A9"/>
    <w:rsid w:val="595E1678"/>
    <w:rsid w:val="596D5BD4"/>
    <w:rsid w:val="597E3DD8"/>
    <w:rsid w:val="59F80043"/>
    <w:rsid w:val="59FD7B5D"/>
    <w:rsid w:val="5A09252F"/>
    <w:rsid w:val="5A0B2778"/>
    <w:rsid w:val="5A2A7C7B"/>
    <w:rsid w:val="5A3E2560"/>
    <w:rsid w:val="5A5D3B6E"/>
    <w:rsid w:val="5A637A76"/>
    <w:rsid w:val="5A6D33BA"/>
    <w:rsid w:val="5A792B1F"/>
    <w:rsid w:val="5A874767"/>
    <w:rsid w:val="5AAD6F28"/>
    <w:rsid w:val="5AD63A24"/>
    <w:rsid w:val="5AF52A20"/>
    <w:rsid w:val="5B2E1A1D"/>
    <w:rsid w:val="5B843A1C"/>
    <w:rsid w:val="5B873E3F"/>
    <w:rsid w:val="5C02690E"/>
    <w:rsid w:val="5C196DA7"/>
    <w:rsid w:val="5C1F4650"/>
    <w:rsid w:val="5C2A048C"/>
    <w:rsid w:val="5C80234E"/>
    <w:rsid w:val="5C8A680C"/>
    <w:rsid w:val="5CCD4019"/>
    <w:rsid w:val="5D0C4701"/>
    <w:rsid w:val="5D0F0395"/>
    <w:rsid w:val="5D221076"/>
    <w:rsid w:val="5D2D0F82"/>
    <w:rsid w:val="5D397964"/>
    <w:rsid w:val="5D4D2245"/>
    <w:rsid w:val="5D5A391C"/>
    <w:rsid w:val="5D5E6285"/>
    <w:rsid w:val="5D5F10C0"/>
    <w:rsid w:val="5D891B7B"/>
    <w:rsid w:val="5DAD38EE"/>
    <w:rsid w:val="5E006862"/>
    <w:rsid w:val="5E0207B9"/>
    <w:rsid w:val="5E1834A1"/>
    <w:rsid w:val="5E261785"/>
    <w:rsid w:val="5E4A7017"/>
    <w:rsid w:val="5E552BBA"/>
    <w:rsid w:val="5E611C10"/>
    <w:rsid w:val="5EAE4B05"/>
    <w:rsid w:val="5EFC7377"/>
    <w:rsid w:val="5F06174D"/>
    <w:rsid w:val="5F3A3602"/>
    <w:rsid w:val="5F6277C6"/>
    <w:rsid w:val="5F6D0B1D"/>
    <w:rsid w:val="5F8D0B82"/>
    <w:rsid w:val="5FCC5339"/>
    <w:rsid w:val="5FE34A5B"/>
    <w:rsid w:val="5FFE1E36"/>
    <w:rsid w:val="60232584"/>
    <w:rsid w:val="607330CE"/>
    <w:rsid w:val="60825176"/>
    <w:rsid w:val="609F2AC4"/>
    <w:rsid w:val="60E5329F"/>
    <w:rsid w:val="60FA2EE8"/>
    <w:rsid w:val="61054A27"/>
    <w:rsid w:val="610A52BC"/>
    <w:rsid w:val="611D2366"/>
    <w:rsid w:val="61421856"/>
    <w:rsid w:val="615227C4"/>
    <w:rsid w:val="61654E3F"/>
    <w:rsid w:val="6182292A"/>
    <w:rsid w:val="619F7F92"/>
    <w:rsid w:val="61F94C26"/>
    <w:rsid w:val="62000E56"/>
    <w:rsid w:val="624F3E49"/>
    <w:rsid w:val="62576091"/>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833A63"/>
    <w:rsid w:val="69C76B2A"/>
    <w:rsid w:val="69CC2BFF"/>
    <w:rsid w:val="69FD55B8"/>
    <w:rsid w:val="6A0B1C62"/>
    <w:rsid w:val="6A2406C8"/>
    <w:rsid w:val="6ADE0BD1"/>
    <w:rsid w:val="6AE96859"/>
    <w:rsid w:val="6B147746"/>
    <w:rsid w:val="6B24787C"/>
    <w:rsid w:val="6B573233"/>
    <w:rsid w:val="6B5B6274"/>
    <w:rsid w:val="6B612554"/>
    <w:rsid w:val="6B817F14"/>
    <w:rsid w:val="6B935D53"/>
    <w:rsid w:val="6C196F71"/>
    <w:rsid w:val="6C226FCB"/>
    <w:rsid w:val="6C2918DA"/>
    <w:rsid w:val="6C31226F"/>
    <w:rsid w:val="6C552F0B"/>
    <w:rsid w:val="6C5D26DE"/>
    <w:rsid w:val="6C8C67B7"/>
    <w:rsid w:val="6C9D744C"/>
    <w:rsid w:val="6D167928"/>
    <w:rsid w:val="6D26299B"/>
    <w:rsid w:val="6D4772EC"/>
    <w:rsid w:val="6D9078AF"/>
    <w:rsid w:val="6DAA3FEF"/>
    <w:rsid w:val="6DC0172B"/>
    <w:rsid w:val="6DCB690C"/>
    <w:rsid w:val="6DD41A5B"/>
    <w:rsid w:val="6DE3508D"/>
    <w:rsid w:val="6DF43C2E"/>
    <w:rsid w:val="6DF51CA3"/>
    <w:rsid w:val="6E8335BD"/>
    <w:rsid w:val="6E8E12EF"/>
    <w:rsid w:val="6E967FF1"/>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820EE"/>
    <w:rsid w:val="73012015"/>
    <w:rsid w:val="73C0646E"/>
    <w:rsid w:val="742222F5"/>
    <w:rsid w:val="74476126"/>
    <w:rsid w:val="74706664"/>
    <w:rsid w:val="747F3682"/>
    <w:rsid w:val="749C4185"/>
    <w:rsid w:val="7500081F"/>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62504C"/>
    <w:rsid w:val="777F31F2"/>
    <w:rsid w:val="77D1700D"/>
    <w:rsid w:val="77EC04CC"/>
    <w:rsid w:val="7838116A"/>
    <w:rsid w:val="78775729"/>
    <w:rsid w:val="78A42DB0"/>
    <w:rsid w:val="78A656AB"/>
    <w:rsid w:val="78B2245C"/>
    <w:rsid w:val="78E172CC"/>
    <w:rsid w:val="78EA1D1F"/>
    <w:rsid w:val="7904172F"/>
    <w:rsid w:val="79074C3A"/>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CB59A3"/>
    <w:rsid w:val="7AD05746"/>
    <w:rsid w:val="7B257FFD"/>
    <w:rsid w:val="7B343476"/>
    <w:rsid w:val="7B5A2978"/>
    <w:rsid w:val="7B5A7E4C"/>
    <w:rsid w:val="7B667AF9"/>
    <w:rsid w:val="7B7468F8"/>
    <w:rsid w:val="7BEE0103"/>
    <w:rsid w:val="7C0A0FE4"/>
    <w:rsid w:val="7C254906"/>
    <w:rsid w:val="7C421432"/>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6531DB"/>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ind w:firstLine="200" w:firstLineChars="200"/>
    </w:pPr>
    <w:rPr>
      <w:rFonts w:ascii="Arial" w:hAnsi="Arial"/>
      <w:spacing w:val="-5"/>
      <w:kern w:val="0"/>
      <w:sz w:val="24"/>
      <w:szCs w:val="20"/>
    </w:rPr>
  </w:style>
  <w:style w:type="paragraph" w:styleId="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link w:val="22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0"/>
    <w:qFormat/>
    <w:uiPriority w:val="0"/>
    <w:pPr>
      <w:shd w:val="clear" w:color="auto" w:fill="000080"/>
    </w:pPr>
  </w:style>
  <w:style w:type="paragraph" w:styleId="21">
    <w:name w:val="annotation text"/>
    <w:basedOn w:val="1"/>
    <w:link w:val="342"/>
    <w:qFormat/>
    <w:uiPriority w:val="99"/>
    <w:pPr>
      <w:jc w:val="left"/>
    </w:pPr>
  </w:style>
  <w:style w:type="paragraph" w:styleId="22">
    <w:name w:val="Salutation"/>
    <w:basedOn w:val="1"/>
    <w:next w:val="1"/>
    <w:link w:val="296"/>
    <w:qFormat/>
    <w:uiPriority w:val="0"/>
    <w:rPr>
      <w:rFonts w:ascii="仿宋_GB2312" w:eastAsia="仿宋_GB2312"/>
      <w:sz w:val="28"/>
      <w:szCs w:val="20"/>
    </w:rPr>
  </w:style>
  <w:style w:type="paragraph" w:styleId="23">
    <w:name w:val="Body Text 3"/>
    <w:basedOn w:val="1"/>
    <w:link w:val="32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263"/>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3"/>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9"/>
    <w:qFormat/>
    <w:uiPriority w:val="0"/>
    <w:pPr>
      <w:ind w:left="100" w:leftChars="2500"/>
    </w:pPr>
    <w:rPr>
      <w:rFonts w:ascii="宋体"/>
      <w:sz w:val="24"/>
      <w:szCs w:val="21"/>
      <w:lang w:val="zh-CN"/>
    </w:rPr>
  </w:style>
  <w:style w:type="paragraph" w:styleId="37">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6"/>
    <w:qFormat/>
    <w:uiPriority w:val="0"/>
    <w:rPr>
      <w:sz w:val="18"/>
      <w:szCs w:val="18"/>
    </w:rPr>
  </w:style>
  <w:style w:type="paragraph" w:styleId="40">
    <w:name w:val="footer"/>
    <w:basedOn w:val="1"/>
    <w:link w:val="381"/>
    <w:qFormat/>
    <w:uiPriority w:val="99"/>
    <w:pPr>
      <w:tabs>
        <w:tab w:val="center" w:pos="4153"/>
        <w:tab w:val="right" w:pos="8306"/>
      </w:tabs>
      <w:snapToGrid w:val="0"/>
      <w:jc w:val="left"/>
    </w:pPr>
    <w:rPr>
      <w:sz w:val="18"/>
      <w:szCs w:val="18"/>
    </w:rPr>
  </w:style>
  <w:style w:type="paragraph" w:styleId="41">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08"/>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3"/>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0"/>
    <w:qFormat/>
    <w:uiPriority w:val="0"/>
    <w:pPr>
      <w:spacing w:after="120" w:line="480" w:lineRule="auto"/>
    </w:pPr>
  </w:style>
  <w:style w:type="paragraph" w:styleId="57">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4"/>
    <w:qFormat/>
    <w:uiPriority w:val="0"/>
    <w:rPr>
      <w:b/>
      <w:bCs/>
    </w:rPr>
  </w:style>
  <w:style w:type="paragraph" w:styleId="61">
    <w:name w:val="Body Text First Indent"/>
    <w:basedOn w:val="3"/>
    <w:link w:val="319"/>
    <w:qFormat/>
    <w:uiPriority w:val="0"/>
    <w:pPr>
      <w:ind w:firstLine="420"/>
    </w:pPr>
    <w:rPr>
      <w:rFonts w:hAnsi="Calibri" w:cs="Times New Roman"/>
      <w:snapToGrid/>
      <w:szCs w:val="20"/>
    </w:rPr>
  </w:style>
  <w:style w:type="paragraph" w:styleId="62">
    <w:name w:val="Body Text First Indent 2"/>
    <w:basedOn w:val="25"/>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0"/>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7"/>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10"/>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5"/>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6"/>
    <w:qFormat/>
    <w:uiPriority w:val="0"/>
    <w:rPr>
      <w:rFonts w:ascii="宋体"/>
      <w:kern w:val="2"/>
      <w:sz w:val="24"/>
      <w:szCs w:val="21"/>
      <w:lang w:val="zh-CN"/>
    </w:rPr>
  </w:style>
  <w:style w:type="character" w:customStyle="1" w:styleId="180">
    <w:name w:val="标题 9 字符"/>
    <w:link w:val="13"/>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字符1"/>
    <w:link w:val="39"/>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7"/>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20"/>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0"/>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8"/>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8"/>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locked/>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5"/>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semiHidden/>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4"/>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59"/>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9"/>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2"/>
    <w:qFormat/>
    <w:uiPriority w:val="0"/>
    <w:rPr>
      <w:rFonts w:ascii="仿宋_GB2312" w:eastAsia="仿宋_GB2312"/>
      <w:kern w:val="2"/>
      <w:sz w:val="28"/>
    </w:rPr>
  </w:style>
  <w:style w:type="character" w:customStyle="1" w:styleId="297">
    <w:name w:val="文本正文 Char Char"/>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7"/>
    <w:qFormat/>
    <w:uiPriority w:val="0"/>
    <w:rPr>
      <w:rFonts w:ascii="黑体" w:hAnsi="Courier New" w:eastAsia="黑体"/>
    </w:rPr>
  </w:style>
  <w:style w:type="character" w:customStyle="1" w:styleId="300">
    <w:name w:val="正文文本 2 字符1"/>
    <w:link w:val="56"/>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8"/>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1"/>
    <w:qFormat/>
    <w:uiPriority w:val="0"/>
    <w:rPr>
      <w:b/>
      <w:bCs/>
      <w:kern w:val="2"/>
      <w:sz w:val="24"/>
      <w:szCs w:val="24"/>
    </w:rPr>
  </w:style>
  <w:style w:type="character" w:customStyle="1" w:styleId="306">
    <w:name w:val="正文文本缩进 2 字符"/>
    <w:link w:val="37"/>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0"/>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61"/>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8"/>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3"/>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1"/>
    <w:qFormat/>
    <w:uiPriority w:val="0"/>
    <w:rPr>
      <w:kern w:val="2"/>
      <w:sz w:val="21"/>
      <w:szCs w:val="24"/>
    </w:rPr>
  </w:style>
  <w:style w:type="character" w:customStyle="1" w:styleId="343">
    <w:name w:val="签名 字符"/>
    <w:link w:val="42"/>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2"/>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3"/>
    <w:qFormat/>
    <w:uiPriority w:val="0"/>
    <w:rPr>
      <w:kern w:val="2"/>
      <w:sz w:val="24"/>
    </w:rPr>
  </w:style>
  <w:style w:type="character" w:customStyle="1" w:styleId="374">
    <w:name w:val="日期 Char1"/>
    <w:semiHidden/>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0"/>
    <w:qFormat/>
    <w:locked/>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1"/>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7"/>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8"/>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5"/>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outlineLvl w:val="5"/>
    </w:pPr>
  </w:style>
  <w:style w:type="paragraph" w:customStyle="1" w:styleId="472">
    <w:name w:val="5级标题"/>
    <w:basedOn w:val="473"/>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5"/>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6"/>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9"/>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6"/>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8"/>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Lines="50"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3"/>
    <w:next w:val="233"/>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3"/>
    <w:next w:val="233"/>
    <w:qFormat/>
    <w:uiPriority w:val="0"/>
    <w:rPr>
      <w:rFonts w:ascii="宋体" w:eastAsia="宋体" w:cs="Times New Roman"/>
      <w:color w:val="auto"/>
    </w:rPr>
  </w:style>
  <w:style w:type="paragraph" w:customStyle="1" w:styleId="54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3">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4"/>
    <w:qFormat/>
    <w:uiPriority w:val="0"/>
    <w:pPr>
      <w:tabs>
        <w:tab w:val="left" w:pos="840"/>
      </w:tabs>
      <w:adjustRightInd/>
      <w:ind w:left="840" w:hanging="420"/>
    </w:pPr>
  </w:style>
  <w:style w:type="paragraph" w:customStyle="1" w:styleId="623">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Lines="0" w:afterLines="0"/>
      <w:ind w:left="1680"/>
      <w:outlineLvl w:val="2"/>
    </w:pPr>
  </w:style>
  <w:style w:type="paragraph" w:customStyle="1" w:styleId="655">
    <w:name w:val="章标题"/>
    <w:next w:val="637"/>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8"/>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Lines="50"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6"/>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7"/>
    <w:qFormat/>
    <w:uiPriority w:val="2"/>
    <w:pPr>
      <w:tabs>
        <w:tab w:val="clear" w:pos="390"/>
        <w:tab w:val="clear" w:pos="454"/>
      </w:tabs>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20"/>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9"/>
    <w:next w:val="1"/>
    <w:qFormat/>
    <w:uiPriority w:val="0"/>
    <w:pPr>
      <w:tabs>
        <w:tab w:val="left" w:pos="1080"/>
      </w:tabs>
      <w:ind w:left="1080" w:hanging="1080"/>
    </w:pPr>
  </w:style>
  <w:style w:type="paragraph" w:customStyle="1" w:styleId="894">
    <w:name w:val="数字标题1"/>
    <w:basedOn w:val="4"/>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character" w:customStyle="1" w:styleId="961">
    <w:name w:val="Unresolved Mention"/>
    <w:basedOn w:val="70"/>
    <w:semiHidden/>
    <w:unhideWhenUsed/>
    <w:qFormat/>
    <w:uiPriority w:val="99"/>
    <w:rPr>
      <w:color w:val="605E5C"/>
      <w:shd w:val="clear" w:color="auto" w:fill="E1DFDD"/>
    </w:rPr>
  </w:style>
  <w:style w:type="character" w:customStyle="1" w:styleId="962">
    <w:name w:val="页码11"/>
    <w:basedOn w:val="963"/>
    <w:qFormat/>
    <w:uiPriority w:val="99"/>
    <w:rPr>
      <w:rFonts w:cs="Times New Roman"/>
      <w:lang w:val="zh-TW" w:eastAsia="zh-TW"/>
    </w:rPr>
  </w:style>
  <w:style w:type="character" w:customStyle="1" w:styleId="963">
    <w:name w:val="无 A"/>
    <w:qFormat/>
    <w:uiPriority w:val="99"/>
    <w:rPr>
      <w:lang w:val="en-US"/>
    </w:rPr>
  </w:style>
  <w:style w:type="character" w:customStyle="1" w:styleId="964">
    <w:name w:val="无"/>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6BA9-C167-476A-AAEB-E1B1ED46AF6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78</Pages>
  <Words>38190</Words>
  <Characters>42122</Characters>
  <Lines>248</Lines>
  <Paragraphs>69</Paragraphs>
  <TotalTime>30</TotalTime>
  <ScaleCrop>false</ScaleCrop>
  <LinksUpToDate>false</LinksUpToDate>
  <CharactersWithSpaces>47456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PC</cp:lastModifiedBy>
  <cp:lastPrinted>2022-05-31T02:37:00Z</cp:lastPrinted>
  <dcterms:modified xsi:type="dcterms:W3CDTF">2022-05-31T07:32:29Z</dcterms:modified>
  <dc:title>杭州市市民卡扩大发卡工程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A813990FBF984EB79FFF0A4CC13188AB</vt:lpwstr>
  </property>
</Properties>
</file>