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p>
    <w:p>
      <w:pPr>
        <w:jc w:val="center"/>
        <w:rPr>
          <w:rFonts w:ascii="黑体" w:eastAsia="黑体"/>
          <w:sz w:val="72"/>
          <w:szCs w:val="72"/>
        </w:rPr>
      </w:pPr>
      <w:r>
        <w:rPr>
          <w:rFonts w:hint="eastAsia" w:ascii="黑体" w:eastAsia="黑体"/>
          <w:sz w:val="72"/>
          <w:szCs w:val="72"/>
        </w:rPr>
        <w:t>诸暨市卫健系统医疗器械</w:t>
      </w:r>
    </w:p>
    <w:p>
      <w:pPr>
        <w:jc w:val="center"/>
        <w:rPr>
          <w:rFonts w:ascii="黑体" w:eastAsia="黑体"/>
          <w:sz w:val="72"/>
          <w:szCs w:val="72"/>
        </w:rPr>
      </w:pPr>
      <w:r>
        <w:rPr>
          <w:rFonts w:hint="eastAsia" w:ascii="黑体" w:eastAsia="黑体"/>
          <w:sz w:val="72"/>
          <w:szCs w:val="72"/>
        </w:rPr>
        <w:t>采购项目</w:t>
      </w:r>
    </w:p>
    <w:p>
      <w:pPr>
        <w:jc w:val="center"/>
        <w:rPr>
          <w:rFonts w:ascii="黑体" w:eastAsia="黑体" w:cs="黑体"/>
          <w:sz w:val="32"/>
          <w:szCs w:val="32"/>
        </w:rPr>
      </w:pPr>
      <w:r>
        <w:rPr>
          <w:rFonts w:ascii="仿宋" w:hAnsi="仿宋" w:eastAsia="仿宋" w:cs="仿宋_GB2312"/>
          <w:b/>
          <w:sz w:val="44"/>
          <w:szCs w:val="44"/>
        </w:rPr>
        <w:t>（电子招投标）</w:t>
      </w:r>
    </w:p>
    <w:p>
      <w:pPr>
        <w:jc w:val="center"/>
        <w:rPr>
          <w:rFonts w:ascii="黑体" w:eastAsia="黑体" w:cs="黑体"/>
          <w:sz w:val="32"/>
          <w:szCs w:val="32"/>
        </w:rPr>
      </w:pPr>
      <w:r>
        <w:rPr>
          <w:rFonts w:hint="eastAsia" w:ascii="黑体" w:eastAsia="黑体" w:cs="黑体"/>
          <w:sz w:val="32"/>
          <w:szCs w:val="32"/>
        </w:rPr>
        <w:t>（编号：诸政采2022-04-07）</w:t>
      </w:r>
    </w:p>
    <w:p>
      <w:pPr>
        <w:jc w:val="center"/>
        <w:rPr>
          <w:rFonts w:ascii="黑体" w:eastAsia="黑体" w:cs="黑体"/>
          <w:sz w:val="32"/>
          <w:szCs w:val="32"/>
        </w:rPr>
      </w:pPr>
    </w:p>
    <w:p>
      <w:pPr>
        <w:jc w:val="center"/>
        <w:rPr>
          <w:b/>
          <w:bCs/>
          <w:sz w:val="84"/>
          <w:szCs w:val="84"/>
        </w:rPr>
      </w:pPr>
      <w:r>
        <w:rPr>
          <w:rFonts w:hint="eastAsia" w:cs="宋体"/>
          <w:b/>
          <w:bCs/>
          <w:sz w:val="84"/>
          <w:szCs w:val="84"/>
        </w:rPr>
        <w:t>招</w:t>
      </w:r>
    </w:p>
    <w:p>
      <w:pPr>
        <w:jc w:val="center"/>
        <w:rPr>
          <w:b/>
          <w:bCs/>
          <w:sz w:val="28"/>
          <w:szCs w:val="28"/>
        </w:rPr>
      </w:pPr>
    </w:p>
    <w:p>
      <w:pPr>
        <w:jc w:val="center"/>
        <w:rPr>
          <w:b/>
          <w:bCs/>
          <w:sz w:val="84"/>
          <w:szCs w:val="84"/>
        </w:rPr>
      </w:pPr>
      <w:r>
        <w:rPr>
          <w:rFonts w:hint="eastAsia" w:cs="宋体"/>
          <w:b/>
          <w:bCs/>
          <w:sz w:val="84"/>
          <w:szCs w:val="84"/>
        </w:rPr>
        <w:t>标</w:t>
      </w:r>
    </w:p>
    <w:p>
      <w:pPr>
        <w:jc w:val="center"/>
        <w:rPr>
          <w:b/>
          <w:bCs/>
          <w:sz w:val="28"/>
          <w:szCs w:val="28"/>
        </w:rPr>
      </w:pPr>
    </w:p>
    <w:p>
      <w:pPr>
        <w:jc w:val="center"/>
        <w:rPr>
          <w:b/>
          <w:bCs/>
          <w:sz w:val="84"/>
          <w:szCs w:val="84"/>
        </w:rPr>
      </w:pPr>
      <w:r>
        <w:rPr>
          <w:rFonts w:hint="eastAsia" w:cs="宋体"/>
          <w:b/>
          <w:bCs/>
          <w:sz w:val="84"/>
          <w:szCs w:val="84"/>
        </w:rPr>
        <w:t>文</w:t>
      </w:r>
    </w:p>
    <w:p>
      <w:pPr>
        <w:jc w:val="center"/>
        <w:rPr>
          <w:b/>
          <w:bCs/>
          <w:sz w:val="28"/>
          <w:szCs w:val="28"/>
        </w:rPr>
      </w:pPr>
    </w:p>
    <w:p>
      <w:pPr>
        <w:jc w:val="center"/>
        <w:rPr>
          <w:rFonts w:cs="宋体"/>
          <w:b/>
          <w:bCs/>
          <w:sz w:val="84"/>
          <w:szCs w:val="84"/>
        </w:rPr>
      </w:pPr>
      <w:r>
        <w:rPr>
          <w:rFonts w:hint="eastAsia" w:cs="宋体"/>
          <w:b/>
          <w:bCs/>
          <w:sz w:val="84"/>
          <w:szCs w:val="84"/>
        </w:rPr>
        <w:t>件</w:t>
      </w:r>
    </w:p>
    <w:p>
      <w:pPr>
        <w:jc w:val="center"/>
        <w:rPr>
          <w:b/>
          <w:bCs/>
          <w:sz w:val="24"/>
        </w:rPr>
      </w:pPr>
    </w:p>
    <w:p>
      <w:pPr>
        <w:jc w:val="center"/>
        <w:rPr>
          <w:b/>
          <w:bCs/>
          <w:sz w:val="24"/>
        </w:rPr>
      </w:pPr>
    </w:p>
    <w:p>
      <w:pPr>
        <w:pStyle w:val="32"/>
        <w:snapToGrid w:val="0"/>
        <w:spacing w:before="120" w:after="120" w:line="360" w:lineRule="auto"/>
        <w:rPr>
          <w:rFonts w:ascii="隶书" w:hAnsi="Arial Narrow" w:eastAsia="隶书"/>
          <w:b/>
          <w:sz w:val="30"/>
          <w:szCs w:val="48"/>
        </w:rPr>
      </w:pPr>
      <w:r>
        <w:rPr>
          <w:rFonts w:ascii="楷体_GB2312" w:hAnsi="楷体_GB2312" w:eastAsia="楷体_GB2312" w:cs="楷体_GB2312"/>
          <w:b/>
          <w:bCs/>
          <w:w w:val="95"/>
          <w:kern w:val="0"/>
          <w:sz w:val="30"/>
          <w:szCs w:val="30"/>
        </w:rPr>
        <w:t>采</w:t>
      </w:r>
      <w:r>
        <w:rPr>
          <w:rFonts w:hint="eastAsia" w:ascii="楷体_GB2312" w:hAnsi="楷体_GB2312" w:eastAsia="楷体_GB2312" w:cs="楷体_GB2312"/>
          <w:b/>
          <w:bCs/>
          <w:w w:val="95"/>
          <w:kern w:val="0"/>
          <w:sz w:val="30"/>
          <w:szCs w:val="30"/>
        </w:rPr>
        <w:t xml:space="preserve">   </w:t>
      </w:r>
      <w:r>
        <w:rPr>
          <w:rFonts w:ascii="楷体_GB2312" w:hAnsi="楷体_GB2312" w:eastAsia="楷体_GB2312" w:cs="楷体_GB2312"/>
          <w:b/>
          <w:bCs/>
          <w:w w:val="95"/>
          <w:kern w:val="0"/>
          <w:sz w:val="30"/>
          <w:szCs w:val="30"/>
        </w:rPr>
        <w:t>购</w:t>
      </w:r>
      <w:r>
        <w:rPr>
          <w:rFonts w:hint="eastAsia" w:ascii="楷体_GB2312" w:hAnsi="楷体_GB2312" w:eastAsia="楷体_GB2312" w:cs="楷体_GB2312"/>
          <w:b/>
          <w:bCs/>
          <w:w w:val="95"/>
          <w:kern w:val="0"/>
          <w:sz w:val="30"/>
          <w:szCs w:val="30"/>
        </w:rPr>
        <w:t xml:space="preserve">   人</w:t>
      </w:r>
      <w:r>
        <w:rPr>
          <w:rFonts w:ascii="楷体_GB2312" w:hAnsi="楷体_GB2312" w:eastAsia="楷体_GB2312" w:cs="楷体_GB2312"/>
          <w:b/>
          <w:bCs/>
          <w:w w:val="95"/>
          <w:kern w:val="0"/>
          <w:sz w:val="30"/>
          <w:szCs w:val="30"/>
        </w:rPr>
        <w:t>：</w:t>
      </w:r>
      <w:r>
        <w:rPr>
          <w:rFonts w:hint="eastAsia" w:ascii="隶书" w:hAnsi="Arial Narrow" w:eastAsia="隶书"/>
          <w:b/>
          <w:sz w:val="30"/>
          <w:szCs w:val="48"/>
        </w:rPr>
        <w:t>诸暨市人民医院</w:t>
      </w:r>
    </w:p>
    <w:p>
      <w:pPr>
        <w:pStyle w:val="32"/>
        <w:snapToGrid w:val="0"/>
        <w:spacing w:before="120" w:after="120" w:line="360" w:lineRule="auto"/>
        <w:rPr>
          <w:rFonts w:ascii="隶书" w:hAnsi="Arial Narrow" w:eastAsia="隶书"/>
          <w:b/>
          <w:sz w:val="30"/>
          <w:szCs w:val="48"/>
        </w:rPr>
      </w:pPr>
      <w:r>
        <w:rPr>
          <w:rFonts w:hint="eastAsia" w:ascii="楷体_GB2312" w:hAnsi="宋体" w:eastAsia="楷体_GB2312"/>
          <w:b/>
          <w:bCs/>
          <w:w w:val="95"/>
          <w:sz w:val="30"/>
          <w:szCs w:val="30"/>
        </w:rPr>
        <w:t>采购代理机构</w:t>
      </w:r>
      <w:r>
        <w:rPr>
          <w:rFonts w:ascii="楷体_GB2312" w:hAnsi="宋体" w:eastAsia="楷体_GB2312"/>
          <w:b/>
          <w:bCs/>
          <w:w w:val="95"/>
          <w:sz w:val="30"/>
          <w:szCs w:val="30"/>
        </w:rPr>
        <w:t>：</w:t>
      </w:r>
      <w:r>
        <w:rPr>
          <w:rFonts w:ascii="隶书" w:hAnsi="Arial Narrow" w:eastAsia="隶书"/>
          <w:b/>
          <w:sz w:val="30"/>
          <w:szCs w:val="48"/>
        </w:rPr>
        <w:t>诸暨市公共资源交易中心</w:t>
      </w:r>
    </w:p>
    <w:p>
      <w:pPr>
        <w:pStyle w:val="32"/>
        <w:snapToGrid w:val="0"/>
        <w:spacing w:before="120" w:after="120" w:line="360" w:lineRule="auto"/>
        <w:rPr>
          <w:rFonts w:ascii="隶书" w:hAnsi="Arial Narrow" w:eastAsia="隶书"/>
          <w:b/>
          <w:sz w:val="30"/>
          <w:szCs w:val="48"/>
        </w:rPr>
      </w:pPr>
      <w:r>
        <w:rPr>
          <w:rFonts w:hint="eastAsia" w:ascii="楷体_GB2312" w:hAnsi="宋体" w:eastAsia="楷体_GB2312"/>
          <w:b/>
          <w:bCs/>
          <w:spacing w:val="70"/>
          <w:w w:val="95"/>
          <w:sz w:val="30"/>
          <w:szCs w:val="30"/>
        </w:rPr>
        <w:t>监督单位</w:t>
      </w:r>
      <w:r>
        <w:rPr>
          <w:rFonts w:hint="eastAsia" w:ascii="隶书" w:hAnsi="Arial Narrow" w:eastAsia="隶书"/>
          <w:b/>
          <w:sz w:val="30"/>
          <w:szCs w:val="48"/>
        </w:rPr>
        <w:t>：诸暨市公共资源交易管理委员会办公室</w:t>
      </w:r>
    </w:p>
    <w:p>
      <w:pPr>
        <w:pStyle w:val="32"/>
        <w:snapToGrid w:val="0"/>
        <w:spacing w:before="120" w:after="120" w:line="360" w:lineRule="auto"/>
        <w:rPr>
          <w:rFonts w:ascii="楷体_GB2312" w:hAnsi="宋体" w:eastAsia="楷体_GB2312"/>
          <w:b/>
          <w:bCs/>
          <w:w w:val="95"/>
          <w:sz w:val="30"/>
          <w:szCs w:val="30"/>
        </w:rPr>
      </w:pPr>
      <w:r>
        <w:rPr>
          <w:rFonts w:hint="eastAsia" w:ascii="隶书" w:hAnsi="Arial Narrow" w:eastAsia="隶书"/>
          <w:b/>
          <w:sz w:val="30"/>
          <w:szCs w:val="48"/>
        </w:rPr>
        <w:t xml:space="preserve">              诸暨市财政局</w:t>
      </w:r>
    </w:p>
    <w:p>
      <w:pPr>
        <w:jc w:val="center"/>
      </w:pPr>
      <w:r>
        <w:rPr>
          <w:rFonts w:hint="eastAsia" w:ascii="楷体_GB2312" w:hAnsi="宋体" w:eastAsia="楷体_GB2312"/>
          <w:b/>
          <w:bCs/>
          <w:w w:val="95"/>
          <w:sz w:val="30"/>
          <w:szCs w:val="30"/>
        </w:rPr>
        <w:t>二</w:t>
      </w:r>
      <w:r>
        <w:rPr>
          <w:rFonts w:hint="eastAsia" w:ascii="宋体" w:hAnsi="宋体" w:cs="宋体"/>
          <w:b/>
          <w:bCs/>
          <w:w w:val="95"/>
          <w:sz w:val="30"/>
          <w:szCs w:val="30"/>
        </w:rPr>
        <w:t>〇</w:t>
      </w:r>
      <w:r>
        <w:rPr>
          <w:rFonts w:hint="eastAsia" w:ascii="楷体_GB2312" w:hAnsi="楷体_GB2312" w:eastAsia="楷体_GB2312" w:cs="楷体_GB2312"/>
          <w:b/>
          <w:bCs/>
          <w:w w:val="95"/>
          <w:sz w:val="30"/>
          <w:szCs w:val="30"/>
        </w:rPr>
        <w:t>二二年四月</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w:t>
      </w: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sz w:val="24"/>
        </w:rPr>
      </w:pPr>
      <w:r>
        <w:rPr>
          <w:rFonts w:ascii="仿宋" w:hAnsi="仿宋" w:eastAsia="仿宋" w:cs="仿宋_GB2312"/>
          <w:b/>
          <w:sz w:val="44"/>
          <w:szCs w:val="44"/>
        </w:rPr>
        <w:t xml:space="preserve"> </w:t>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729822"/>
      <w:bookmarkEnd w:id="4"/>
      <w:bookmarkStart w:id="5" w:name="_Hlt74707423"/>
      <w:bookmarkEnd w:id="5"/>
      <w:bookmarkStart w:id="6" w:name="_Hlt74649545"/>
      <w:bookmarkEnd w:id="6"/>
      <w:bookmarkStart w:id="7" w:name="_Hlt74728647"/>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u w:val="single"/>
        </w:rPr>
      </w:pPr>
      <w:r>
        <w:rPr>
          <w:rFonts w:hint="eastAsia" w:ascii="仿宋_GB2312" w:hAnsi="仿宋" w:eastAsia="仿宋_GB2312"/>
          <w:sz w:val="24"/>
          <w:u w:val="single"/>
        </w:rPr>
        <w:t>诸暨市卫健系统医疗器械采购项目</w:t>
      </w:r>
      <w:r>
        <w:rPr>
          <w:rFonts w:hint="eastAsia" w:ascii="仿宋_GB2312" w:hAnsi="仿宋" w:eastAsia="仿宋_GB2312"/>
          <w:sz w:val="24"/>
        </w:rPr>
        <w:t>招标项目的潜在投标人应在浙江政府采购网“政府采购云平台”</w:t>
      </w:r>
      <w:r>
        <w:fldChar w:fldCharType="begin"/>
      </w:r>
      <w:r>
        <w:instrText xml:space="preserve"> HYPERLINK "https://www.zcygov.cn/）获取（下载）招标文件，并于2021年" </w:instrText>
      </w:r>
      <w:r>
        <w:fldChar w:fldCharType="separate"/>
      </w:r>
      <w:r>
        <w:rPr>
          <w:rStyle w:val="76"/>
          <w:rFonts w:ascii="仿宋_GB2312" w:hAnsi="仿宋" w:eastAsia="仿宋_GB2312" w:cs="Times New Roman"/>
          <w:snapToGrid/>
          <w:color w:val="auto"/>
          <w:kern w:val="2"/>
          <w:sz w:val="24"/>
          <w:szCs w:val="24"/>
        </w:rPr>
        <w:t>获取（下载）招标文件，并于</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rPr>
        <w:t>5月25日9点30分</w:t>
      </w:r>
      <w:r>
        <w:rPr>
          <w:rFonts w:hint="eastAsia" w:ascii="仿宋_GB2312" w:hAnsi="仿宋" w:eastAsia="仿宋_GB2312"/>
          <w:bCs/>
          <w:sz w:val="24"/>
          <w:u w:val="single"/>
        </w:rPr>
        <w:t>00秒</w:t>
      </w:r>
      <w:r>
        <w:rPr>
          <w:rFonts w:hint="eastAsia" w:ascii="仿宋_GB2312" w:hAnsi="仿宋" w:eastAsia="仿宋_GB2312"/>
          <w:bCs/>
          <w:sz w:val="24"/>
          <w:u w:val="single"/>
        </w:rPr>
        <w:fldChar w:fldCharType="end"/>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spacing w:line="360" w:lineRule="auto"/>
        <w:rPr>
          <w:rFonts w:ascii="仿宋_GB2312" w:hAnsi="仿宋" w:eastAsia="仿宋_GB2312"/>
          <w:b/>
          <w:sz w:val="24"/>
        </w:rPr>
      </w:pPr>
      <w:r>
        <w:rPr>
          <w:rFonts w:hint="eastAsia" w:ascii="仿宋_GB2312" w:hAnsi="仿宋" w:eastAsia="仿宋_GB2312"/>
          <w:b/>
          <w:sz w:val="24"/>
        </w:rPr>
        <w:t>一、项目基本情况</w:t>
      </w:r>
      <w:r>
        <w:rPr>
          <w:rFonts w:ascii="仿宋_GB2312" w:hAnsi="仿宋" w:eastAsia="仿宋_GB2312"/>
          <w:b/>
          <w:sz w:val="24"/>
        </w:rPr>
        <w:t xml:space="preserve">                                            </w:t>
      </w:r>
    </w:p>
    <w:p>
      <w:pPr>
        <w:spacing w:line="360" w:lineRule="auto"/>
        <w:rPr>
          <w:rFonts w:ascii="仿宋_GB2312" w:hAnsi="仿宋" w:eastAsia="仿宋_GB2312" w:cs="仿宋_GB2312"/>
          <w:sz w:val="24"/>
        </w:rPr>
      </w:pPr>
      <w:r>
        <w:rPr>
          <w:rFonts w:ascii="仿宋_GB2312" w:hAnsi="仿宋" w:eastAsia="仿宋_GB2312"/>
          <w:sz w:val="24"/>
        </w:rPr>
        <w:t xml:space="preserve">    </w:t>
      </w:r>
      <w:r>
        <w:rPr>
          <w:rFonts w:hint="eastAsia" w:ascii="仿宋_GB2312" w:hAnsi="仿宋" w:eastAsia="仿宋_GB2312"/>
          <w:b/>
          <w:sz w:val="24"/>
        </w:rPr>
        <w:t>项目编号：</w:t>
      </w:r>
      <w:r>
        <w:rPr>
          <w:rFonts w:hint="eastAsia" w:ascii="仿宋_GB2312" w:hAnsi="仿宋" w:eastAsia="仿宋_GB2312" w:cs="仿宋_GB2312"/>
          <w:sz w:val="24"/>
        </w:rPr>
        <w:t>诸政采2022-04-07</w:t>
      </w:r>
    </w:p>
    <w:p>
      <w:pPr>
        <w:spacing w:line="360" w:lineRule="auto"/>
        <w:rPr>
          <w:rFonts w:ascii="仿宋_GB2312" w:hAnsi="仿宋" w:eastAsia="仿宋_GB2312"/>
          <w:sz w:val="24"/>
        </w:rPr>
      </w:pPr>
      <w:r>
        <w:rPr>
          <w:rFonts w:ascii="仿宋_GB2312" w:hAnsi="仿宋" w:eastAsia="仿宋_GB2312"/>
          <w:sz w:val="24"/>
        </w:rPr>
        <w:t xml:space="preserve">   </w:t>
      </w:r>
      <w:r>
        <w:rPr>
          <w:rFonts w:ascii="仿宋_GB2312" w:hAnsi="仿宋" w:eastAsia="仿宋_GB2312"/>
          <w:b/>
          <w:sz w:val="24"/>
        </w:rPr>
        <w:t xml:space="preserve"> 项目名称：</w:t>
      </w:r>
      <w:r>
        <w:rPr>
          <w:rFonts w:hint="eastAsia" w:ascii="仿宋_GB2312" w:hAnsi="仿宋" w:eastAsia="仿宋_GB2312" w:cs="仿宋_GB2312"/>
          <w:sz w:val="24"/>
        </w:rPr>
        <w:t>诸暨市卫健系统医疗器械采购项目</w:t>
      </w:r>
    </w:p>
    <w:p>
      <w:pPr>
        <w:spacing w:line="360" w:lineRule="auto"/>
        <w:rPr>
          <w:rFonts w:ascii="仿宋_GB2312" w:hAnsi="仿宋" w:eastAsia="仿宋_GB2312"/>
          <w:sz w:val="24"/>
        </w:rPr>
      </w:pPr>
      <w:r>
        <w:rPr>
          <w:rFonts w:ascii="仿宋_GB2312" w:hAnsi="仿宋" w:eastAsia="仿宋_GB2312"/>
          <w:sz w:val="24"/>
        </w:rPr>
        <w:t xml:space="preserve">   </w:t>
      </w:r>
      <w:r>
        <w:rPr>
          <w:rFonts w:ascii="仿宋_GB2312" w:hAnsi="仿宋" w:eastAsia="仿宋_GB2312"/>
          <w:b/>
          <w:sz w:val="24"/>
        </w:rPr>
        <w:t xml:space="preserve"> 预算金额：</w:t>
      </w:r>
      <w:r>
        <w:rPr>
          <w:rFonts w:hint="eastAsia" w:ascii="仿宋_GB2312" w:hAnsi="仿宋" w:eastAsia="仿宋_GB2312"/>
          <w:sz w:val="24"/>
        </w:rPr>
        <w:t>1160万元</w:t>
      </w:r>
    </w:p>
    <w:p>
      <w:pPr>
        <w:spacing w:line="360" w:lineRule="auto"/>
        <w:ind w:firstLine="480"/>
        <w:rPr>
          <w:rFonts w:ascii="仿宋_GB2312" w:hAnsi="仿宋" w:eastAsia="仿宋_GB2312"/>
          <w:sz w:val="24"/>
        </w:rPr>
      </w:pPr>
      <w:r>
        <w:rPr>
          <w:rFonts w:hint="eastAsia" w:ascii="仿宋_GB2312" w:hAnsi="仿宋" w:eastAsia="仿宋_GB2312"/>
          <w:b/>
          <w:sz w:val="24"/>
        </w:rPr>
        <w:t>最高限价：</w:t>
      </w:r>
      <w:r>
        <w:rPr>
          <w:rFonts w:hint="eastAsia" w:ascii="仿宋_GB2312" w:hAnsi="仿宋" w:eastAsia="仿宋_GB2312"/>
          <w:sz w:val="24"/>
        </w:rPr>
        <w:t>1160万元</w:t>
      </w:r>
    </w:p>
    <w:p>
      <w:pPr>
        <w:pStyle w:val="5"/>
        <w:spacing w:line="360" w:lineRule="auto"/>
        <w:ind w:firstLine="480"/>
        <w:rPr>
          <w:rFonts w:ascii="仿宋_GB2312" w:hAnsi="仿宋" w:eastAsia="仿宋_GB2312"/>
          <w:bCs/>
          <w:snapToGrid/>
          <w:color w:val="auto"/>
          <w:kern w:val="2"/>
          <w:sz w:val="24"/>
          <w:szCs w:val="24"/>
        </w:rPr>
      </w:pPr>
      <w:r>
        <w:rPr>
          <w:rFonts w:hint="eastAsia" w:ascii="仿宋_GB2312" w:hAnsi="仿宋" w:eastAsia="仿宋_GB2312"/>
          <w:b/>
          <w:color w:val="auto"/>
          <w:sz w:val="24"/>
        </w:rPr>
        <w:t>采购需求：</w:t>
      </w:r>
      <w:r>
        <w:rPr>
          <w:rFonts w:hint="eastAsia" w:ascii="仿宋_GB2312" w:hAnsi="仿宋" w:eastAsia="仿宋_GB2312"/>
          <w:bCs/>
          <w:snapToGrid/>
          <w:color w:val="auto"/>
          <w:kern w:val="2"/>
          <w:sz w:val="24"/>
          <w:szCs w:val="24"/>
        </w:rPr>
        <w:t>详见招标文件第三部分采购需求。</w:t>
      </w:r>
    </w:p>
    <w:p>
      <w:pPr>
        <w:pStyle w:val="5"/>
        <w:spacing w:line="360" w:lineRule="auto"/>
        <w:ind w:firstLine="480"/>
        <w:rPr>
          <w:rFonts w:ascii="仿宋_GB2312" w:hAnsi="仿宋" w:eastAsia="仿宋_GB2312"/>
          <w:b/>
          <w:sz w:val="24"/>
        </w:rPr>
      </w:pPr>
      <w:r>
        <w:rPr>
          <w:rFonts w:hint="eastAsia" w:ascii="仿宋_GB2312" w:hAnsi="仿宋" w:eastAsia="仿宋_GB2312"/>
          <w:b/>
          <w:color w:val="auto"/>
          <w:sz w:val="24"/>
        </w:rPr>
        <w:t>本项目接受联合体投标：</w:t>
      </w:r>
      <w:sdt>
        <w:sdtPr>
          <w:rPr>
            <w:rFonts w:hint="eastAsia" w:ascii="仿宋_GB2312" w:hAnsi="仿宋" w:eastAsia="仿宋_GB2312" w:cs="Arial"/>
            <w:color w:val="auto"/>
            <w:kern w:val="0"/>
            <w:sz w:val="24"/>
          </w:rPr>
          <w:id w:val="2035453831"/>
        </w:sdtPr>
        <w:sdtEndPr>
          <w:rPr>
            <w:rFonts w:hint="eastAsia" w:ascii="仿宋_GB2312" w:hAnsi="仿宋" w:eastAsia="仿宋_GB2312" w:cs="Arial"/>
            <w:color w:val="auto"/>
            <w:kern w:val="0"/>
            <w:sz w:val="24"/>
          </w:rPr>
        </w:sdtEndPr>
        <w:sdtContent>
          <w:r>
            <w:rPr>
              <w:rFonts w:ascii="MS Gothic" w:hAnsi="MS Gothic" w:eastAsia="MS Gothic" w:cs="Arial"/>
              <w:color w:val="auto"/>
              <w:kern w:val="0"/>
              <w:sz w:val="24"/>
            </w:rPr>
            <w:t>☐</w:t>
          </w:r>
        </w:sdtContent>
      </w:sdt>
      <w:r>
        <w:rPr>
          <w:rFonts w:hint="eastAsia" w:ascii="仿宋_GB2312" w:hAnsi="仿宋" w:eastAsia="仿宋_GB2312"/>
          <w:b/>
          <w:color w:val="auto"/>
          <w:sz w:val="24"/>
        </w:rPr>
        <w:t>是，</w:t>
      </w:r>
      <w:sdt>
        <w:sdtPr>
          <w:rPr>
            <w:rFonts w:hint="eastAsia" w:ascii="仿宋_GB2312" w:hAnsi="仿宋" w:eastAsia="仿宋_GB2312" w:cs="Arial"/>
            <w:color w:val="auto"/>
            <w:kern w:val="0"/>
            <w:sz w:val="24"/>
          </w:rPr>
          <w:id w:val="-1765526721"/>
        </w:sdtPr>
        <w:sdtEndPr>
          <w:rPr>
            <w:rFonts w:hint="eastAsia" w:ascii="仿宋_GB2312" w:hAnsi="仿宋" w:eastAsia="仿宋_GB2312" w:cs="Arial"/>
            <w:color w:val="auto"/>
            <w:kern w:val="0"/>
            <w:sz w:val="24"/>
          </w:rPr>
        </w:sdtEndPr>
        <w:sdtContent>
          <w:sdt>
            <w:sdtPr>
              <w:rPr>
                <w:rFonts w:hint="eastAsia" w:ascii="仿宋_GB2312" w:hAnsi="仿宋" w:eastAsia="仿宋_GB2312" w:cs="Arial"/>
                <w:color w:val="auto"/>
                <w:kern w:val="0"/>
                <w:sz w:val="24"/>
              </w:rPr>
              <w:id w:val="842998546"/>
            </w:sdtPr>
            <w:sdtEndPr>
              <w:rPr>
                <w:rFonts w:hint="eastAsia" w:ascii="仿宋_GB2312" w:hAnsi="仿宋" w:eastAsia="仿宋_GB2312" w:cs="Arial"/>
                <w:color w:val="auto"/>
                <w:kern w:val="0"/>
                <w:sz w:val="24"/>
              </w:rPr>
            </w:sdtEndPr>
            <w:sdtContent>
              <w:r>
                <w:rPr>
                  <w:rFonts w:ascii="MS Gothic" w:hAnsi="MS Gothic" w:eastAsia="MS Gothic" w:cs="Arial"/>
                  <w:color w:val="auto"/>
                  <w:kern w:val="0"/>
                  <w:sz w:val="24"/>
                </w:rPr>
                <w:sym w:font="Wingdings" w:char="F0FE"/>
              </w:r>
            </w:sdtContent>
          </w:sdt>
        </w:sdtContent>
      </w:sdt>
      <w:r>
        <w:rPr>
          <w:rFonts w:hint="eastAsia" w:ascii="仿宋_GB2312" w:hAnsi="仿宋" w:eastAsia="仿宋_GB2312"/>
          <w:b/>
          <w:color w:val="auto"/>
          <w:sz w:val="24"/>
        </w:rPr>
        <w:t>否</w:t>
      </w:r>
      <w:r>
        <w:rPr>
          <w:rFonts w:hint="eastAsia" w:cs="Arial" w:asciiTheme="minorEastAsia" w:hAnsiTheme="minorEastAsia" w:eastAsiaTheme="minorEastAsia"/>
          <w:color w:val="auto"/>
          <w:kern w:val="0"/>
          <w:sz w:val="24"/>
        </w:rPr>
        <w:t>。</w:t>
      </w:r>
    </w:p>
    <w:p>
      <w:pPr>
        <w:spacing w:line="360" w:lineRule="auto"/>
        <w:rPr>
          <w:rFonts w:ascii="仿宋_GB2312" w:hAnsi="仿宋" w:eastAsia="仿宋_GB2312"/>
          <w:b/>
          <w:sz w:val="24"/>
        </w:rPr>
      </w:pPr>
      <w:r>
        <w:rPr>
          <w:rFonts w:hint="eastAsia" w:ascii="仿宋_GB2312" w:hAnsi="仿宋" w:eastAsia="仿宋_GB2312"/>
          <w:b/>
          <w:sz w:val="24"/>
        </w:rPr>
        <w:t>二、申请人的资格要求：</w:t>
      </w:r>
    </w:p>
    <w:p>
      <w:pPr>
        <w:spacing w:line="360" w:lineRule="auto"/>
        <w:ind w:firstLine="480"/>
        <w:rPr>
          <w:rFonts w:ascii="仿宋_GB2312" w:hAnsi="仿宋" w:eastAsia="仿宋_GB2312"/>
          <w:bCs/>
          <w:sz w:val="24"/>
        </w:rPr>
      </w:pPr>
      <w:r>
        <w:rPr>
          <w:rFonts w:hint="eastAsia" w:ascii="仿宋_GB2312" w:hAnsi="仿宋" w:eastAsia="仿宋_GB2312"/>
          <w:bCs/>
          <w:sz w:val="24"/>
        </w:rPr>
        <w:t>1. 满足《中华人民共和国政府采购法》第二十二条规定；</w:t>
      </w:r>
    </w:p>
    <w:p>
      <w:pPr>
        <w:spacing w:line="360" w:lineRule="auto"/>
        <w:ind w:firstLine="480"/>
        <w:rPr>
          <w:rFonts w:ascii="仿宋_GB2312" w:hAnsi="仿宋" w:eastAsia="仿宋_GB2312"/>
          <w:bCs/>
          <w:sz w:val="24"/>
        </w:rPr>
      </w:pPr>
      <w:r>
        <w:rPr>
          <w:rFonts w:hint="eastAsia" w:ascii="仿宋_GB2312" w:hAnsi="仿宋" w:eastAsia="仿宋_GB2312"/>
          <w:bCs/>
          <w:sz w:val="24"/>
        </w:rPr>
        <w:t>2.未被“信用中国”（www.creditchina.gov.cn)、中国政府采购网（www.ccgp.gov.cn）列入失信被执行人、重大税收违法案件当事人名单、政府采购严重违法失信行为记录名单。</w:t>
      </w:r>
    </w:p>
    <w:p>
      <w:pPr>
        <w:spacing w:line="360" w:lineRule="auto"/>
        <w:rPr>
          <w:rFonts w:ascii="仿宋_GB2312" w:hAnsi="仿宋" w:eastAsia="仿宋_GB2312"/>
          <w:bCs/>
          <w:sz w:val="24"/>
        </w:rPr>
      </w:pPr>
      <w:r>
        <w:rPr>
          <w:rFonts w:hint="eastAsia" w:ascii="仿宋_GB2312" w:hAnsi="仿宋" w:eastAsia="仿宋_GB2312"/>
          <w:bCs/>
          <w:sz w:val="24"/>
        </w:rPr>
        <w:t xml:space="preserve">    3.落实政府采购政策需满足的资格要求：</w:t>
      </w:r>
    </w:p>
    <w:p>
      <w:pPr>
        <w:spacing w:line="360" w:lineRule="auto"/>
        <w:ind w:firstLine="480" w:firstLineChars="200"/>
        <w:rPr>
          <w:rFonts w:ascii="仿宋_GB2312" w:hAnsi="仿宋" w:eastAsia="仿宋_GB2312"/>
          <w:bCs/>
          <w:sz w:val="24"/>
        </w:rPr>
      </w:pPr>
      <w:sdt>
        <w:sdtPr>
          <w:rPr>
            <w:rFonts w:hint="eastAsia" w:ascii="仿宋_GB2312" w:hAnsi="仿宋" w:eastAsia="仿宋_GB2312"/>
            <w:bCs/>
            <w:sz w:val="24"/>
          </w:rPr>
          <w:id w:val="1928616923"/>
        </w:sdtPr>
        <w:sdtEndPr>
          <w:rPr>
            <w:rFonts w:hint="eastAsia" w:ascii="仿宋_GB2312" w:hAnsi="仿宋" w:eastAsia="仿宋_GB2312"/>
            <w:bCs/>
            <w:sz w:val="24"/>
          </w:rPr>
        </w:sdtEndPr>
        <w:sdtContent>
          <w:sdt>
            <w:sdtPr>
              <w:rPr>
                <w:rFonts w:hint="eastAsia" w:ascii="仿宋_GB2312" w:hAnsi="仿宋" w:eastAsia="仿宋_GB2312"/>
                <w:bCs/>
                <w:sz w:val="24"/>
              </w:rPr>
              <w:id w:val="842998552"/>
            </w:sdtPr>
            <w:sdtEndPr>
              <w:rPr>
                <w:rFonts w:hint="eastAsia" w:ascii="仿宋_GB2312" w:hAnsi="仿宋" w:eastAsia="仿宋_GB2312"/>
                <w:bCs/>
                <w:sz w:val="24"/>
              </w:rPr>
            </w:sdtEndPr>
            <w:sdtContent>
              <w:r>
                <w:rPr>
                  <w:rFonts w:hint="eastAsia" w:ascii="仿宋_GB2312" w:hAnsi="仿宋" w:eastAsia="仿宋_GB2312"/>
                  <w:bCs/>
                  <w:sz w:val="24"/>
                </w:rPr>
                <w:sym w:font="Wingdings" w:char="F0FE"/>
              </w:r>
            </w:sdtContent>
          </w:sdt>
        </w:sdtContent>
      </w:sdt>
      <w:r>
        <w:rPr>
          <w:rFonts w:hint="eastAsia" w:ascii="仿宋_GB2312" w:hAnsi="仿宋" w:eastAsia="仿宋_GB2312"/>
          <w:bCs/>
          <w:sz w:val="24"/>
        </w:rPr>
        <w:t>无；</w:t>
      </w:r>
    </w:p>
    <w:p>
      <w:pPr>
        <w:spacing w:line="360" w:lineRule="auto"/>
        <w:ind w:firstLine="480"/>
        <w:rPr>
          <w:rFonts w:ascii="仿宋_GB2312" w:hAnsi="仿宋" w:eastAsia="仿宋_GB2312"/>
          <w:bCs/>
          <w:sz w:val="24"/>
        </w:rPr>
      </w:pPr>
      <w:sdt>
        <w:sdtPr>
          <w:rPr>
            <w:rFonts w:hint="eastAsia" w:ascii="仿宋_GB2312" w:hAnsi="仿宋" w:eastAsia="仿宋_GB2312"/>
            <w:bCs/>
            <w:sz w:val="24"/>
          </w:rPr>
          <w:id w:val="-1024704304"/>
        </w:sdtPr>
        <w:sdtEndPr>
          <w:rPr>
            <w:rFonts w:hint="eastAsia" w:ascii="仿宋_GB2312" w:hAnsi="仿宋" w:eastAsia="仿宋_GB2312"/>
            <w:bCs/>
            <w:sz w:val="24"/>
          </w:rPr>
        </w:sdtEndPr>
        <w:sdtContent>
          <w:r>
            <w:rPr>
              <w:rFonts w:hint="eastAsia" w:ascii="仿宋_GB2312" w:hAnsi="仿宋" w:eastAsia="仿宋_GB2312"/>
              <w:bCs/>
              <w:sz w:val="24"/>
            </w:rPr>
            <w:t>☐</w:t>
          </w:r>
        </w:sdtContent>
      </w:sdt>
      <w:r>
        <w:rPr>
          <w:rFonts w:hint="eastAsia" w:ascii="仿宋_GB2312" w:hAnsi="仿宋" w:eastAsia="仿宋_GB2312"/>
          <w:bCs/>
          <w:sz w:val="24"/>
        </w:rPr>
        <w:t>专门面向中小企业。</w:t>
      </w:r>
    </w:p>
    <w:p>
      <w:pPr>
        <w:spacing w:line="360" w:lineRule="auto"/>
        <w:ind w:firstLine="480"/>
        <w:rPr>
          <w:rFonts w:ascii="仿宋_GB2312" w:hAnsi="仿宋" w:eastAsia="仿宋_GB2312"/>
          <w:bCs/>
          <w:sz w:val="24"/>
        </w:rPr>
      </w:pPr>
      <w:r>
        <w:rPr>
          <w:rFonts w:hint="eastAsia" w:ascii="仿宋_GB2312" w:hAnsi="仿宋" w:eastAsia="仿宋_GB2312"/>
          <w:bCs/>
          <w:sz w:val="24"/>
        </w:rPr>
        <w:t>4.本项目的特定资格要求：无 。</w:t>
      </w:r>
    </w:p>
    <w:p>
      <w:pPr>
        <w:spacing w:line="360" w:lineRule="auto"/>
        <w:rPr>
          <w:rFonts w:ascii="仿宋_GB2312" w:hAnsi="仿宋" w:eastAsia="仿宋_GB2312"/>
          <w:b/>
          <w:sz w:val="24"/>
        </w:rPr>
      </w:pPr>
      <w:r>
        <w:rPr>
          <w:rFonts w:hint="eastAsia" w:ascii="仿宋_GB2312" w:hAnsi="仿宋" w:eastAsia="仿宋_GB2312"/>
          <w:b/>
          <w:sz w:val="24"/>
        </w:rPr>
        <w:t>三、获取招标文件</w:t>
      </w:r>
      <w:r>
        <w:rPr>
          <w:rFonts w:ascii="仿宋_GB2312" w:hAnsi="仿宋" w:eastAsia="仿宋_GB2312"/>
          <w:b/>
          <w:sz w:val="24"/>
        </w:rPr>
        <w:t xml:space="preserve"> </w:t>
      </w:r>
    </w:p>
    <w:p>
      <w:pPr>
        <w:pStyle w:val="32"/>
        <w:spacing w:line="360" w:lineRule="auto"/>
        <w:ind w:firstLine="482" w:firstLineChars="200"/>
        <w:rPr>
          <w:rFonts w:ascii="仿宋_GB2312" w:hAnsi="仿宋" w:eastAsia="仿宋_GB2312"/>
          <w:sz w:val="24"/>
        </w:rPr>
      </w:pPr>
      <w:r>
        <w:rPr>
          <w:rFonts w:hint="eastAsia" w:ascii="仿宋_GB2312" w:hAnsi="仿宋" w:eastAsia="仿宋_GB2312"/>
          <w:b/>
          <w:sz w:val="24"/>
        </w:rPr>
        <w:t>时间：</w:t>
      </w:r>
      <w:r>
        <w:rPr>
          <w:rFonts w:ascii="仿宋_GB2312" w:hAnsi="仿宋" w:eastAsia="仿宋_GB2312"/>
          <w:sz w:val="24"/>
        </w:rPr>
        <w:t>/至</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rPr>
        <w:t>5</w:t>
      </w:r>
      <w:r>
        <w:rPr>
          <w:rFonts w:ascii="仿宋_GB2312" w:hAnsi="仿宋" w:eastAsia="仿宋_GB2312"/>
          <w:sz w:val="24"/>
          <w:u w:val="single"/>
        </w:rPr>
        <w:t>月</w:t>
      </w:r>
      <w:r>
        <w:rPr>
          <w:rFonts w:hint="eastAsia" w:ascii="仿宋_GB2312" w:hAnsi="仿宋" w:eastAsia="仿宋_GB2312"/>
          <w:sz w:val="24"/>
          <w:u w:val="single"/>
        </w:rPr>
        <w:t>10</w:t>
      </w:r>
      <w:r>
        <w:rPr>
          <w:rFonts w:ascii="仿宋_GB2312" w:hAnsi="仿宋" w:eastAsia="仿宋_GB2312"/>
          <w:sz w:val="24"/>
          <w:u w:val="single"/>
        </w:rPr>
        <w:t>日</w:t>
      </w:r>
      <w:r>
        <w:rPr>
          <w:rFonts w:hint="eastAsia" w:ascii="仿宋_GB2312" w:hAnsi="仿宋" w:eastAsia="仿宋_GB2312"/>
          <w:sz w:val="24"/>
        </w:rPr>
        <w:t>，每天上午</w:t>
      </w:r>
      <w:r>
        <w:rPr>
          <w:rFonts w:ascii="仿宋_GB2312" w:hAnsi="仿宋" w:eastAsia="仿宋_GB2312"/>
          <w:sz w:val="24"/>
        </w:rPr>
        <w:t xml:space="preserve">00:00至12:00 </w:t>
      </w:r>
      <w:r>
        <w:rPr>
          <w:rFonts w:hint="eastAsia" w:ascii="仿宋_GB2312" w:hAnsi="仿宋" w:eastAsia="仿宋_GB2312"/>
          <w:sz w:val="24"/>
        </w:rPr>
        <w:t>，下午</w:t>
      </w:r>
      <w:r>
        <w:rPr>
          <w:rFonts w:ascii="仿宋_GB2312" w:hAnsi="仿宋" w:eastAsia="仿宋_GB2312"/>
          <w:sz w:val="24"/>
        </w:rPr>
        <w:t>12:00至23:59（北京时间，线上获取法定节假日均可）</w:t>
      </w:r>
      <w:r>
        <w:rPr>
          <w:rFonts w:hint="eastAsia" w:ascii="仿宋_GB2312" w:hAnsi="仿宋" w:eastAsia="仿宋_GB2312"/>
          <w:sz w:val="24"/>
        </w:rPr>
        <w:t>。招标文件发布截止时间之后有潜在供应商提出要求获取招标文件的，允许获取。</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cs="Arial"/>
          <w:snapToGrid w:val="0"/>
          <w:sz w:val="24"/>
          <w:szCs w:val="21"/>
        </w:rPr>
        <w:t>浙江政府采购网（http://zfcg.czt.zj.gov.cn/）</w:t>
      </w:r>
      <w:r>
        <w:rPr>
          <w:rFonts w:ascii="仿宋_GB2312" w:hAnsi="仿宋" w:eastAsia="仿宋_GB2312"/>
          <w:sz w:val="24"/>
        </w:rPr>
        <w:t xml:space="preserve"> </w:t>
      </w:r>
    </w:p>
    <w:p>
      <w:pPr>
        <w:spacing w:line="360" w:lineRule="auto"/>
        <w:ind w:firstLine="482" w:firstLineChars="200"/>
        <w:rPr>
          <w:rFonts w:ascii="仿宋_GB2312" w:hAnsi="仿宋" w:eastAsia="仿宋_GB2312" w:cs="Arial"/>
          <w:snapToGrid w:val="0"/>
          <w:sz w:val="24"/>
          <w:szCs w:val="21"/>
        </w:rPr>
      </w:pPr>
      <w:r>
        <w:rPr>
          <w:rFonts w:hint="eastAsia" w:ascii="仿宋_GB2312" w:hAnsi="仿宋" w:eastAsia="仿宋_GB2312"/>
          <w:b/>
          <w:sz w:val="24"/>
        </w:rPr>
        <w:t>方式：</w:t>
      </w:r>
      <w:r>
        <w:rPr>
          <w:rFonts w:hint="eastAsia" w:ascii="仿宋_GB2312" w:hAnsi="仿宋" w:eastAsia="仿宋_GB2312" w:cs="Arial"/>
          <w:snapToGrid w:val="0"/>
          <w:sz w:val="24"/>
          <w:szCs w:val="21"/>
        </w:rPr>
        <w:t>本项目招标文件采用网上下载方式发布，不提供招标文件纸质版。符合投标人资格条件的供应商请在上述网站采购公告栏目中获取招标文件。本项目无须报名，直接在政府采购云平台上参与电子投标。</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w:t>
      </w:r>
      <w:r>
        <w:rPr>
          <w:rFonts w:ascii="仿宋_GB2312" w:hAnsi="仿宋" w:eastAsia="仿宋_GB2312" w:cs="Arial"/>
          <w:snapToGrid w:val="0"/>
          <w:sz w:val="24"/>
          <w:szCs w:val="21"/>
        </w:rPr>
        <w:t xml:space="preserve">0 </w:t>
      </w:r>
      <w:r>
        <w:rPr>
          <w:rFonts w:hint="eastAsia" w:ascii="仿宋_GB2312" w:hAnsi="仿宋" w:eastAsia="仿宋_GB2312" w:cs="Arial"/>
          <w:snapToGrid w:val="0"/>
          <w:sz w:val="24"/>
          <w:szCs w:val="21"/>
        </w:rPr>
        <w:t>元。</w:t>
      </w:r>
      <w:r>
        <w:rPr>
          <w:rFonts w:ascii="仿宋_GB2312" w:hAnsi="仿宋" w:eastAsia="仿宋_GB2312"/>
          <w:sz w:val="24"/>
        </w:rPr>
        <w:tab/>
      </w:r>
    </w:p>
    <w:p>
      <w:pPr>
        <w:spacing w:line="360" w:lineRule="auto"/>
        <w:rPr>
          <w:rFonts w:ascii="仿宋_GB2312" w:hAnsi="仿宋" w:eastAsia="仿宋_GB2312"/>
          <w:b/>
          <w:sz w:val="24"/>
        </w:rPr>
      </w:pPr>
      <w:r>
        <w:rPr>
          <w:rFonts w:hint="eastAsia" w:ascii="仿宋_GB2312" w:hAnsi="仿宋" w:eastAsia="仿宋_GB2312"/>
          <w:b/>
          <w:sz w:val="24"/>
        </w:rPr>
        <w:t>四、提交投标文件截止时间、开标时间和地点</w:t>
      </w:r>
    </w:p>
    <w:p>
      <w:pPr>
        <w:pStyle w:val="32"/>
        <w:spacing w:line="360" w:lineRule="auto"/>
        <w:ind w:firstLine="482" w:firstLineChars="200"/>
        <w:rPr>
          <w:rFonts w:ascii="仿宋_GB2312" w:hAnsi="仿宋" w:eastAsia="仿宋_GB2312"/>
          <w:sz w:val="24"/>
        </w:rPr>
      </w:pPr>
      <w:r>
        <w:rPr>
          <w:rFonts w:hint="eastAsia" w:ascii="仿宋_GB2312" w:hAnsi="仿宋" w:eastAsia="仿宋_GB2312" w:cs="Times New Roman"/>
          <w:b/>
          <w:snapToGrid/>
          <w:sz w:val="24"/>
          <w:szCs w:val="24"/>
        </w:rPr>
        <w:t>提交投标文件截止时间及开标时间：</w:t>
      </w:r>
      <w:r>
        <w:rPr>
          <w:rFonts w:hint="eastAsia" w:ascii="仿宋_GB2312" w:hAnsi="仿宋" w:eastAsia="仿宋_GB2312"/>
          <w:sz w:val="24"/>
        </w:rPr>
        <w:t>投标人应于2022年5月25日9时30分（北京时间）前按照电子投标要求将电子加密标书上传到政府采购云平台，逾期或未上传成功的将导致无法投标或投标无效。</w:t>
      </w:r>
    </w:p>
    <w:p>
      <w:pPr>
        <w:pStyle w:val="32"/>
        <w:spacing w:line="360" w:lineRule="auto"/>
        <w:ind w:firstLine="482" w:firstLineChars="200"/>
        <w:rPr>
          <w:rFonts w:ascii="仿宋_GB2312" w:hAnsi="仿宋" w:eastAsia="仿宋_GB2312"/>
          <w:sz w:val="24"/>
        </w:rPr>
      </w:pPr>
      <w:r>
        <w:rPr>
          <w:rFonts w:hint="eastAsia" w:ascii="仿宋_GB2312" w:hAnsi="仿宋" w:eastAsia="仿宋_GB2312" w:cs="Times New Roman"/>
          <w:b/>
          <w:snapToGrid/>
          <w:sz w:val="24"/>
          <w:szCs w:val="24"/>
        </w:rPr>
        <w:t>开标地点：</w:t>
      </w:r>
      <w:r>
        <w:rPr>
          <w:rFonts w:hint="eastAsia" w:ascii="仿宋_GB2312" w:hAnsi="仿宋" w:eastAsia="仿宋_GB2312"/>
          <w:sz w:val="24"/>
        </w:rPr>
        <w:t>政府采购云平台（www.zcygov.cn）。所有投标人均须准时在“政府采购云平台”在线参加。</w:t>
      </w:r>
    </w:p>
    <w:p>
      <w:pPr>
        <w:spacing w:line="360" w:lineRule="auto"/>
        <w:rPr>
          <w:rFonts w:ascii="仿宋_GB2312" w:hAnsi="仿宋" w:eastAsia="仿宋_GB2312"/>
          <w:sz w:val="24"/>
        </w:rPr>
      </w:pPr>
      <w:r>
        <w:rPr>
          <w:rFonts w:hint="eastAsia" w:ascii="仿宋_GB2312" w:hAnsi="仿宋" w:eastAsia="仿宋_GB2312"/>
          <w:b/>
          <w:sz w:val="24"/>
        </w:rPr>
        <w:t>五、公告期限</w:t>
      </w:r>
      <w:r>
        <w:rPr>
          <w:rFonts w:ascii="仿宋_GB2312" w:hAnsi="仿宋" w:eastAsia="仿宋_GB2312"/>
          <w:b/>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spacing w:line="360" w:lineRule="auto"/>
        <w:rPr>
          <w:rFonts w:ascii="仿宋_GB2312" w:hAnsi="仿宋" w:eastAsia="仿宋_GB2312"/>
          <w:b/>
          <w:sz w:val="24"/>
        </w:rPr>
      </w:pPr>
      <w:r>
        <w:rPr>
          <w:rFonts w:hint="eastAsia" w:ascii="仿宋_GB2312" w:hAnsi="仿宋" w:eastAsia="仿宋_GB2312"/>
          <w:b/>
          <w:sz w:val="24"/>
        </w:rPr>
        <w:t>六、其他补充事宜</w:t>
      </w:r>
    </w:p>
    <w:p>
      <w:pPr>
        <w:spacing w:line="360" w:lineRule="auto"/>
        <w:ind w:firstLine="480" w:firstLineChars="200"/>
        <w:rPr>
          <w:rFonts w:ascii="仿宋_GB2312" w:hAnsi="仿宋" w:eastAsia="仿宋_GB2312"/>
          <w:sz w:val="24"/>
        </w:rPr>
      </w:pPr>
      <w:r>
        <w:rPr>
          <w:rFonts w:ascii="仿宋_GB2312" w:hAnsi="仿宋" w:eastAsia="仿宋_GB2312"/>
          <w:sz w:val="24"/>
        </w:rPr>
        <w:t>1.供应商认为招标文件使自己的权益受到损害的，可以自获取招标文件之日或者招标文件公告期限届满之日（公告期限届满后获取招标文件的，以公告期限届满之日为准）起</w:t>
      </w:r>
      <w:r>
        <w:rPr>
          <w:rFonts w:hint="eastAsia" w:ascii="仿宋_GB2312" w:hAnsi="仿宋" w:eastAsia="仿宋_GB2312"/>
          <w:sz w:val="24"/>
        </w:rPr>
        <w:t>七</w:t>
      </w:r>
      <w:r>
        <w:rPr>
          <w:rFonts w:ascii="仿宋_GB2312" w:hAnsi="仿宋" w:eastAsia="仿宋_GB2312"/>
          <w:sz w:val="24"/>
        </w:rPr>
        <w:t>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作出答复的，可以在答复期满后十五个工作日内向同级政府采购监督管理部门投诉。</w:t>
      </w:r>
    </w:p>
    <w:p>
      <w:pPr>
        <w:spacing w:line="360" w:lineRule="auto"/>
        <w:ind w:firstLine="480" w:firstLineChars="200"/>
        <w:rPr>
          <w:rFonts w:ascii="仿宋_GB2312" w:hAnsi="仿宋" w:eastAsia="仿宋_GB2312"/>
          <w:sz w:val="24"/>
        </w:rPr>
      </w:pPr>
      <w:r>
        <w:rPr>
          <w:rFonts w:ascii="仿宋_GB2312" w:hAnsi="仿宋" w:eastAsia="仿宋_GB2312"/>
          <w:sz w:val="24"/>
        </w:rPr>
        <w:t>2</w:t>
      </w:r>
      <w:r>
        <w:rPr>
          <w:rFonts w:hint="eastAsia" w:ascii="仿宋_GB2312" w:hAnsi="仿宋" w:eastAsia="仿宋_GB2312"/>
          <w:sz w:val="24"/>
        </w:rPr>
        <w:t>.《浙江省财政厅关于进一步发挥政府采购政策功能全力推动经济稳进提质的通知》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_GB2312" w:hAnsi="仿宋" w:eastAsia="仿宋_GB2312"/>
          <w:sz w:val="24"/>
        </w:rPr>
      </w:pPr>
      <w:r>
        <w:rPr>
          <w:rFonts w:ascii="仿宋_GB2312" w:hAnsi="仿宋" w:eastAsia="仿宋_GB2312"/>
          <w:sz w:val="24"/>
        </w:rPr>
        <w:t>3</w:t>
      </w:r>
      <w:r>
        <w:rPr>
          <w:rFonts w:hint="eastAsia" w:ascii="仿宋_GB2312" w:hAnsi="仿宋" w:eastAsia="仿宋_GB2312"/>
          <w:sz w:val="24"/>
        </w:rPr>
        <w:t>.其他事项：（1）需要落实的政府采购政策：包括节约资源、保护环境、支持创新、促进中小企业发展等，详见招标文件的第二部分投标人须知-总则。（2）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w:t>
      </w:r>
      <w:r>
        <w:rPr>
          <w:rFonts w:hint="eastAsia" w:ascii="仿宋_GB2312" w:hAnsi="仿宋" w:eastAsia="仿宋_GB2312" w:cs="仿宋_GB2312"/>
          <w:sz w:val="24"/>
        </w:rPr>
        <w:t>政府采购云平台；进入“项目采购”应用，在获取采购文件菜单中选择项目，获取招标文件；④</w:t>
      </w:r>
      <w:r>
        <w:rPr>
          <w:rFonts w:ascii="仿宋_GB2312" w:hAnsi="仿宋" w:eastAsia="仿宋_GB2312"/>
          <w:sz w:val="24"/>
        </w:rPr>
        <w:t>对未按上述方式获取</w:t>
      </w:r>
      <w:r>
        <w:rPr>
          <w:rFonts w:hint="eastAsia" w:ascii="仿宋_GB2312" w:hAnsi="仿宋" w:eastAsia="仿宋_GB2312"/>
          <w:sz w:val="24"/>
        </w:rPr>
        <w:t>招标</w:t>
      </w:r>
      <w:r>
        <w:rPr>
          <w:rFonts w:ascii="仿宋_GB2312" w:hAnsi="仿宋" w:eastAsia="仿宋_GB2312"/>
          <w:sz w:val="24"/>
        </w:rPr>
        <w:t>文件的供应商</w:t>
      </w:r>
      <w:r>
        <w:rPr>
          <w:rFonts w:hint="eastAsia" w:ascii="仿宋_GB2312" w:hAnsi="仿宋" w:eastAsia="仿宋_GB2312"/>
          <w:sz w:val="24"/>
        </w:rPr>
        <w:t>，视为未参与该项政府采购活动，不具备对该政府采购项目提出质疑的法定权利，但因供应商资格条件或报名时间设定不符合有关法律法规规定等原因使供应商权益受损的除外；⑤</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⑥</w:t>
      </w:r>
      <w:r>
        <w:rPr>
          <w:rFonts w:ascii="仿宋_GB2312" w:hAnsi="仿宋" w:eastAsia="仿宋_GB2312"/>
          <w:sz w:val="24"/>
        </w:rPr>
        <w:t>不提供招标文件纸质版</w:t>
      </w:r>
      <w:r>
        <w:rPr>
          <w:rFonts w:hint="eastAsia" w:ascii="仿宋_GB2312" w:hAnsi="仿宋" w:eastAsia="仿宋_GB2312"/>
          <w:sz w:val="24"/>
        </w:rPr>
        <w:t>；⑦</w:t>
      </w:r>
      <w:r>
        <w:rPr>
          <w:rFonts w:ascii="仿宋_GB2312" w:hAnsi="仿宋" w:eastAsia="仿宋_GB2312" w:cs="仿宋_GB2312"/>
          <w:sz w:val="24"/>
        </w:rPr>
        <w:t>投标文件的传输递交：投标人在投标截止时间前将加密的投标文件上传至政府采购云平台，还可以在投标截止时间前递交备份投标文件1份。</w:t>
      </w:r>
      <w:r>
        <w:rPr>
          <w:rFonts w:ascii="仿宋_GB2312" w:hAnsi="仿宋" w:eastAsia="仿宋_GB2312" w:cs="仿宋_GB2312"/>
          <w:b/>
          <w:bCs/>
          <w:sz w:val="24"/>
        </w:rPr>
        <w:t>备份投标文件的制作、递交详见招标文件第二部分第15点—“备份投标文件”</w:t>
      </w:r>
      <w:r>
        <w:rPr>
          <w:rFonts w:hint="eastAsia" w:ascii="仿宋_GB2312" w:hAnsi="仿宋" w:eastAsia="仿宋_GB2312" w:cs="仿宋_GB2312"/>
          <w:b/>
          <w:bCs/>
          <w:sz w:val="24"/>
        </w:rPr>
        <w:t>；</w:t>
      </w:r>
      <w:r>
        <w:rPr>
          <w:rFonts w:hint="eastAsia" w:ascii="仿宋_GB2312" w:hAnsi="仿宋" w:eastAsia="仿宋_GB2312" w:cs="仿宋_GB2312"/>
          <w:sz w:val="24"/>
        </w:rPr>
        <w:t xml:space="preserve"> ⑧投标文件的解密：投标人按照平台提示和招标文件的规定在3</w:t>
      </w:r>
      <w:r>
        <w:rPr>
          <w:rFonts w:ascii="仿宋_GB2312" w:hAnsi="仿宋" w:eastAsia="仿宋_GB2312" w:cs="仿宋_GB2312"/>
          <w:sz w:val="24"/>
        </w:rPr>
        <w:t>0</w:t>
      </w:r>
      <w:r>
        <w:rPr>
          <w:rFonts w:hint="eastAsia" w:ascii="仿宋_GB2312" w:hAnsi="仿宋" w:eastAsia="仿宋_GB2312" w:cs="仿宋_GB2312"/>
          <w:sz w:val="24"/>
        </w:rPr>
        <w:t>分钟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r>
        <w:rPr>
          <w:rFonts w:hint="eastAsia" w:ascii="仿宋_GB2312" w:hAnsi="仿宋" w:eastAsia="仿宋_GB2312"/>
          <w:sz w:val="24"/>
        </w:rPr>
        <w:t>⑨</w:t>
      </w:r>
      <w:r>
        <w:rPr>
          <w:rFonts w:ascii="仿宋_GB2312" w:hAnsi="仿宋" w:eastAsia="仿宋_GB2312" w:cs="仿宋_GB2312"/>
          <w:sz w:val="24"/>
        </w:rPr>
        <w:t>具体操作指南：详见</w:t>
      </w:r>
      <w:r>
        <w:rPr>
          <w:rFonts w:hint="eastAsia" w:ascii="仿宋_GB2312" w:hAnsi="仿宋" w:eastAsia="仿宋_GB2312" w:cs="仿宋_GB2312"/>
          <w:sz w:val="24"/>
        </w:rPr>
        <w:t>政府采购云平台“服务中心</w:t>
      </w:r>
      <w:r>
        <w:rPr>
          <w:rFonts w:ascii="仿宋_GB2312" w:hAnsi="仿宋" w:eastAsia="仿宋_GB2312" w:cs="仿宋_GB2312"/>
          <w:sz w:val="24"/>
        </w:rPr>
        <w:t>-帮助文档-项目采购-操作流程-电子招投标-政府采购项目电子交易管理操作指南-供应商”。</w:t>
      </w:r>
      <w:r>
        <w:rPr>
          <w:rFonts w:hint="eastAsia" w:ascii="仿宋_GB2312" w:hAnsi="仿宋" w:eastAsia="仿宋_GB2312"/>
          <w:sz w:val="24"/>
        </w:rPr>
        <w:t xml:space="preserve"> </w:t>
      </w:r>
    </w:p>
    <w:p>
      <w:pPr>
        <w:spacing w:line="360" w:lineRule="auto"/>
        <w:rPr>
          <w:rFonts w:ascii="仿宋_GB2312" w:hAnsi="仿宋" w:eastAsia="仿宋_GB2312"/>
          <w:b/>
          <w:sz w:val="24"/>
        </w:rPr>
      </w:pPr>
      <w:r>
        <w:rPr>
          <w:rFonts w:hint="eastAsia" w:ascii="仿宋_GB2312" w:hAnsi="仿宋" w:eastAsia="仿宋_GB2312"/>
          <w:b/>
          <w:sz w:val="24"/>
        </w:rPr>
        <w:t>七、对本次采购提出询问、质疑、投诉，请按以下方式联系</w:t>
      </w:r>
    </w:p>
    <w:p>
      <w:pPr>
        <w:spacing w:line="360" w:lineRule="auto"/>
        <w:rPr>
          <w:rFonts w:ascii="仿宋_GB2312" w:hAnsi="仿宋" w:eastAsia="仿宋_GB2312"/>
          <w:sz w:val="24"/>
        </w:rPr>
      </w:pPr>
      <w:r>
        <w:rPr>
          <w:rFonts w:ascii="仿宋_GB2312" w:hAnsi="仿宋" w:eastAsia="仿宋_GB2312"/>
          <w:sz w:val="24"/>
        </w:rPr>
        <w:t xml:space="preserve">    1.采购人信息</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仿宋_GB2312" w:hAnsi="仿宋" w:eastAsia="仿宋_GB2312"/>
          <w:sz w:val="24"/>
        </w:rPr>
        <w:t>诸暨市人民医院</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仿宋_GB2312" w:hAnsi="仿宋" w:eastAsia="仿宋_GB2312"/>
          <w:sz w:val="24"/>
        </w:rPr>
        <w:t>诸暨市健民路9号</w:t>
      </w:r>
      <w:r>
        <w:rPr>
          <w:rFonts w:ascii="仿宋_GB2312" w:hAnsi="仿宋" w:eastAsia="仿宋_GB2312"/>
          <w:sz w:val="24"/>
        </w:rPr>
        <w:t xml:space="preserve">     </w:t>
      </w:r>
    </w:p>
    <w:p>
      <w:pPr>
        <w:spacing w:line="360" w:lineRule="auto"/>
        <w:ind w:firstLine="480"/>
        <w:rPr>
          <w:rFonts w:ascii="仿宋_GB2312" w:hAnsi="仿宋" w:eastAsia="仿宋_GB2312"/>
          <w:sz w:val="24"/>
        </w:rPr>
      </w:pPr>
      <w:r>
        <w:rPr>
          <w:rFonts w:hint="eastAsia" w:ascii="仿宋_GB2312" w:hAnsi="仿宋" w:eastAsia="仿宋_GB2312"/>
          <w:sz w:val="24"/>
        </w:rPr>
        <w:t>项目联系人（询问）：杨琼</w:t>
      </w:r>
      <w:r>
        <w:rPr>
          <w:rFonts w:ascii="仿宋_GB2312" w:hAnsi="仿宋" w:eastAsia="仿宋_GB2312"/>
          <w:sz w:val="24"/>
        </w:rPr>
        <w:t xml:space="preserve"> </w:t>
      </w:r>
      <w:r>
        <w:rPr>
          <w:rFonts w:hint="eastAsia" w:ascii="仿宋_GB2312" w:hAnsi="仿宋" w:eastAsia="仿宋_GB2312"/>
          <w:sz w:val="24"/>
        </w:rPr>
        <w:t xml:space="preserve">        </w:t>
      </w:r>
      <w:r>
        <w:rPr>
          <w:rFonts w:ascii="仿宋_GB2312" w:hAnsi="仿宋" w:eastAsia="仿宋_GB2312"/>
          <w:sz w:val="24"/>
        </w:rPr>
        <w:t>项目联系方式（询问）：0575-81782758</w:t>
      </w:r>
      <w:r>
        <w:rPr>
          <w:rFonts w:hint="eastAsia"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质疑联系人：</w:t>
      </w:r>
      <w:r>
        <w:rPr>
          <w:rFonts w:hint="eastAsia" w:ascii="仿宋_GB2312" w:hAnsi="仿宋" w:eastAsia="仿宋_GB2312"/>
          <w:sz w:val="24"/>
        </w:rPr>
        <w:t xml:space="preserve">赵小芳              </w:t>
      </w:r>
      <w:r>
        <w:rPr>
          <w:rFonts w:ascii="仿宋_GB2312" w:hAnsi="仿宋" w:eastAsia="仿宋_GB2312"/>
          <w:sz w:val="24"/>
        </w:rPr>
        <w:t>质疑联系方式：0575-81782817</w:t>
      </w:r>
    </w:p>
    <w:p>
      <w:pPr>
        <w:spacing w:line="360" w:lineRule="auto"/>
        <w:rPr>
          <w:rFonts w:ascii="仿宋_GB2312" w:hAnsi="仿宋" w:eastAsia="仿宋_GB2312"/>
          <w:sz w:val="24"/>
        </w:rPr>
      </w:pPr>
      <w:r>
        <w:rPr>
          <w:rFonts w:ascii="仿宋_GB2312" w:hAnsi="仿宋" w:eastAsia="仿宋_GB2312"/>
          <w:sz w:val="24"/>
        </w:rPr>
        <w:t xml:space="preserve">    2.采购代理机构信息            </w:t>
      </w:r>
    </w:p>
    <w:p>
      <w:pPr>
        <w:spacing w:line="360" w:lineRule="auto"/>
        <w:ind w:firstLine="480"/>
        <w:rPr>
          <w:rFonts w:ascii="仿宋_GB2312" w:hAnsi="仿宋" w:eastAsia="仿宋_GB2312"/>
          <w:sz w:val="24"/>
        </w:rPr>
      </w:pPr>
      <w:r>
        <w:rPr>
          <w:rFonts w:hint="eastAsia" w:ascii="仿宋_GB2312" w:hAnsi="仿宋" w:eastAsia="仿宋_GB2312"/>
          <w:sz w:val="24"/>
        </w:rPr>
        <w:t>名</w:t>
      </w:r>
      <w:r>
        <w:rPr>
          <w:rFonts w:ascii="仿宋_GB2312" w:hAnsi="仿宋" w:eastAsia="仿宋_GB2312"/>
          <w:sz w:val="24"/>
        </w:rPr>
        <w:t xml:space="preserve">    </w:t>
      </w:r>
      <w:r>
        <w:rPr>
          <w:rFonts w:hint="eastAsia" w:ascii="仿宋_GB2312" w:hAnsi="仿宋" w:eastAsia="仿宋_GB2312"/>
          <w:sz w:val="24"/>
        </w:rPr>
        <w:t>称：诸暨市公共资源交易中心</w:t>
      </w:r>
    </w:p>
    <w:p>
      <w:pPr>
        <w:spacing w:line="360" w:lineRule="auto"/>
        <w:ind w:firstLine="480"/>
        <w:rPr>
          <w:rFonts w:ascii="仿宋_GB2312" w:hAnsi="仿宋" w:eastAsia="仿宋_GB2312"/>
          <w:sz w:val="24"/>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址：诸暨市暨东路58号6楼北602办公室</w:t>
      </w:r>
    </w:p>
    <w:p>
      <w:pPr>
        <w:spacing w:line="360" w:lineRule="auto"/>
        <w:ind w:firstLine="465"/>
        <w:rPr>
          <w:rFonts w:ascii="仿宋_GB2312" w:hAnsi="仿宋" w:eastAsia="仿宋_GB2312"/>
          <w:sz w:val="24"/>
        </w:rPr>
      </w:pPr>
      <w:r>
        <w:rPr>
          <w:rFonts w:ascii="仿宋_GB2312" w:hAnsi="仿宋" w:eastAsia="仿宋_GB2312"/>
          <w:sz w:val="24"/>
        </w:rPr>
        <w:t>项目联系人（询问）：</w:t>
      </w:r>
      <w:r>
        <w:rPr>
          <w:rFonts w:hint="eastAsia" w:ascii="仿宋_GB2312" w:hAnsi="仿宋" w:eastAsia="仿宋_GB2312"/>
          <w:sz w:val="24"/>
        </w:rPr>
        <w:t xml:space="preserve">杨工 </w:t>
      </w:r>
      <w:r>
        <w:rPr>
          <w:rFonts w:ascii="仿宋_GB2312" w:hAnsi="仿宋" w:eastAsia="仿宋_GB2312"/>
          <w:sz w:val="24"/>
        </w:rPr>
        <w:t xml:space="preserve"> </w:t>
      </w:r>
    </w:p>
    <w:p>
      <w:pPr>
        <w:spacing w:line="360" w:lineRule="auto"/>
        <w:ind w:firstLine="465"/>
        <w:rPr>
          <w:rFonts w:ascii="仿宋_GB2312" w:hAnsi="仿宋" w:eastAsia="仿宋_GB2312"/>
          <w:sz w:val="24"/>
        </w:rPr>
      </w:pPr>
      <w:r>
        <w:rPr>
          <w:rFonts w:ascii="仿宋_GB2312" w:hAnsi="仿宋" w:eastAsia="仿宋_GB2312"/>
          <w:sz w:val="24"/>
        </w:rPr>
        <w:t>项目联系方式（询问）：</w:t>
      </w:r>
      <w:r>
        <w:rPr>
          <w:rFonts w:hint="eastAsia" w:ascii="仿宋_GB2312" w:hAnsi="仿宋" w:eastAsia="仿宋_GB2312"/>
          <w:sz w:val="24"/>
        </w:rPr>
        <w:t xml:space="preserve">0575-89006366    </w:t>
      </w:r>
      <w:r>
        <w:rPr>
          <w:rFonts w:ascii="仿宋_GB2312" w:hAnsi="仿宋" w:eastAsia="仿宋_GB2312"/>
          <w:sz w:val="24"/>
        </w:rPr>
        <w:t>传    真：</w:t>
      </w:r>
      <w:r>
        <w:rPr>
          <w:rFonts w:hint="eastAsia" w:ascii="仿宋_GB2312" w:hAnsi="仿宋" w:eastAsia="仿宋_GB2312"/>
          <w:sz w:val="24"/>
        </w:rPr>
        <w:t>0575-87221107</w:t>
      </w:r>
    </w:p>
    <w:p>
      <w:pPr>
        <w:spacing w:line="360" w:lineRule="auto"/>
        <w:ind w:firstLine="465"/>
        <w:rPr>
          <w:rFonts w:ascii="仿宋_GB2312" w:hAnsi="仿宋" w:eastAsia="仿宋_GB2312"/>
          <w:sz w:val="24"/>
        </w:rPr>
      </w:pPr>
      <w:r>
        <w:rPr>
          <w:rFonts w:ascii="仿宋_GB2312" w:hAnsi="仿宋" w:eastAsia="仿宋_GB2312"/>
          <w:sz w:val="24"/>
        </w:rPr>
        <w:t>质疑联系人：</w:t>
      </w:r>
      <w:r>
        <w:rPr>
          <w:rFonts w:hint="eastAsia" w:ascii="仿宋_GB2312" w:hAnsi="仿宋" w:eastAsia="仿宋_GB2312"/>
          <w:sz w:val="24"/>
        </w:rPr>
        <w:t xml:space="preserve">金泽成 </w:t>
      </w:r>
      <w:r>
        <w:rPr>
          <w:rFonts w:ascii="仿宋_GB2312" w:hAnsi="仿宋" w:eastAsia="仿宋_GB2312"/>
          <w:sz w:val="24"/>
        </w:rPr>
        <w:t xml:space="preserve">            </w:t>
      </w:r>
      <w:r>
        <w:rPr>
          <w:rFonts w:hint="eastAsia" w:ascii="仿宋_GB2312" w:hAnsi="仿宋" w:eastAsia="仿宋_GB2312"/>
          <w:sz w:val="24"/>
        </w:rPr>
        <w:t xml:space="preserve">    </w:t>
      </w:r>
    </w:p>
    <w:p>
      <w:pPr>
        <w:spacing w:line="360" w:lineRule="auto"/>
        <w:ind w:firstLine="465"/>
        <w:rPr>
          <w:rFonts w:ascii="仿宋_GB2312" w:hAnsi="仿宋" w:eastAsia="仿宋_GB2312"/>
          <w:sz w:val="24"/>
        </w:rPr>
      </w:pPr>
      <w:r>
        <w:rPr>
          <w:rFonts w:ascii="仿宋_GB2312" w:hAnsi="仿宋" w:eastAsia="仿宋_GB2312"/>
          <w:sz w:val="24"/>
        </w:rPr>
        <w:t>质疑联系方式：</w:t>
      </w:r>
      <w:r>
        <w:rPr>
          <w:rFonts w:hint="eastAsia" w:ascii="仿宋_GB2312" w:hAnsi="仿宋" w:eastAsia="仿宋_GB2312"/>
          <w:sz w:val="24"/>
        </w:rPr>
        <w:t xml:space="preserve">0575-87253015            </w:t>
      </w:r>
      <w:r>
        <w:rPr>
          <w:rFonts w:ascii="仿宋_GB2312" w:hAnsi="仿宋" w:eastAsia="仿宋_GB2312"/>
          <w:sz w:val="24"/>
        </w:rPr>
        <w:t>传    真：</w:t>
      </w:r>
      <w:r>
        <w:rPr>
          <w:rFonts w:hint="eastAsia" w:ascii="仿宋_GB2312" w:hAnsi="仿宋" w:eastAsia="仿宋_GB2312"/>
          <w:sz w:val="24"/>
        </w:rPr>
        <w:t>0575-87221107</w:t>
      </w:r>
    </w:p>
    <w:p>
      <w:pPr>
        <w:spacing w:line="360" w:lineRule="auto"/>
        <w:rPr>
          <w:rFonts w:ascii="仿宋_GB2312" w:hAnsi="仿宋" w:eastAsia="仿宋_GB2312"/>
          <w:sz w:val="24"/>
        </w:rPr>
      </w:pPr>
      <w:r>
        <w:rPr>
          <w:rFonts w:ascii="仿宋_GB2312" w:hAnsi="仿宋" w:eastAsia="仿宋_GB2312"/>
          <w:sz w:val="24"/>
        </w:rPr>
        <w:t xml:space="preserve">    3.同级政府采购监督管理部门            </w:t>
      </w:r>
    </w:p>
    <w:p>
      <w:pPr>
        <w:spacing w:line="360" w:lineRule="auto"/>
        <w:rPr>
          <w:rFonts w:ascii="仿宋" w:hAnsi="仿宋" w:eastAsia="仿宋"/>
          <w:sz w:val="24"/>
        </w:rPr>
      </w:pPr>
      <w:r>
        <w:rPr>
          <w:rFonts w:ascii="仿宋_GB2312" w:hAnsi="仿宋" w:eastAsia="仿宋_GB2312"/>
          <w:sz w:val="24"/>
        </w:rPr>
        <w:t xml:space="preserve">    </w:t>
      </w:r>
      <w:r>
        <w:rPr>
          <w:rFonts w:ascii="仿宋" w:hAnsi="仿宋" w:eastAsia="仿宋"/>
          <w:sz w:val="24"/>
        </w:rPr>
        <w:t>名    称：</w:t>
      </w:r>
      <w:r>
        <w:rPr>
          <w:rFonts w:hint="eastAsia" w:ascii="仿宋" w:hAnsi="仿宋" w:eastAsia="仿宋"/>
          <w:sz w:val="24"/>
        </w:rPr>
        <w:t>诸暨市财政局政府采购监管科</w:t>
      </w:r>
    </w:p>
    <w:p>
      <w:pPr>
        <w:spacing w:line="360" w:lineRule="auto"/>
        <w:rPr>
          <w:rFonts w:ascii="仿宋" w:hAnsi="仿宋" w:eastAsia="仿宋"/>
          <w:sz w:val="24"/>
        </w:rPr>
      </w:pPr>
      <w:r>
        <w:rPr>
          <w:rFonts w:ascii="仿宋" w:hAnsi="仿宋" w:eastAsia="仿宋"/>
          <w:sz w:val="24"/>
        </w:rPr>
        <w:t xml:space="preserve">    地    址：</w:t>
      </w:r>
      <w:r>
        <w:rPr>
          <w:rFonts w:hint="eastAsia" w:ascii="仿宋" w:hAnsi="仿宋" w:eastAsia="仿宋"/>
          <w:sz w:val="24"/>
        </w:rPr>
        <w:t>诸暨市人民中路356号</w:t>
      </w:r>
    </w:p>
    <w:p>
      <w:pPr>
        <w:spacing w:line="360" w:lineRule="auto"/>
        <w:ind w:firstLine="240" w:firstLineChars="100"/>
        <w:rPr>
          <w:rFonts w:ascii="仿宋" w:hAnsi="仿宋" w:eastAsia="仿宋"/>
          <w:sz w:val="24"/>
        </w:rPr>
      </w:pPr>
      <w:r>
        <w:rPr>
          <w:rFonts w:ascii="仿宋" w:hAnsi="仿宋" w:eastAsia="仿宋"/>
          <w:sz w:val="24"/>
        </w:rPr>
        <w:t xml:space="preserve">  传    真：</w:t>
      </w:r>
      <w:r>
        <w:rPr>
          <w:rFonts w:hint="eastAsia" w:ascii="仿宋" w:hAnsi="仿宋" w:eastAsia="仿宋"/>
          <w:sz w:val="24"/>
        </w:rPr>
        <w:t>0575-87023633</w:t>
      </w:r>
    </w:p>
    <w:p>
      <w:pPr>
        <w:spacing w:line="360" w:lineRule="auto"/>
        <w:ind w:firstLine="465"/>
        <w:rPr>
          <w:rFonts w:ascii="仿宋" w:hAnsi="仿宋" w:eastAsia="仿宋"/>
          <w:sz w:val="24"/>
        </w:rPr>
      </w:pPr>
      <w:r>
        <w:rPr>
          <w:rFonts w:ascii="仿宋" w:hAnsi="仿宋" w:eastAsia="仿宋"/>
          <w:sz w:val="24"/>
        </w:rPr>
        <w:t>联系人 ：</w:t>
      </w:r>
      <w:r>
        <w:rPr>
          <w:rFonts w:hint="eastAsia" w:ascii="仿宋" w:hAnsi="仿宋" w:eastAsia="仿宋"/>
          <w:sz w:val="24"/>
        </w:rPr>
        <w:t xml:space="preserve">吕康玮 </w:t>
      </w:r>
      <w:r>
        <w:rPr>
          <w:rFonts w:ascii="仿宋" w:hAnsi="仿宋" w:eastAsia="仿宋"/>
          <w:sz w:val="24"/>
        </w:rPr>
        <w:t xml:space="preserve"> </w:t>
      </w:r>
    </w:p>
    <w:p>
      <w:pPr>
        <w:spacing w:line="360" w:lineRule="auto"/>
        <w:ind w:firstLine="465"/>
        <w:rPr>
          <w:rFonts w:ascii="仿宋" w:hAnsi="仿宋" w:eastAsia="仿宋"/>
          <w:sz w:val="24"/>
        </w:rPr>
      </w:pPr>
      <w:r>
        <w:rPr>
          <w:rFonts w:ascii="仿宋" w:hAnsi="仿宋" w:eastAsia="仿宋"/>
          <w:sz w:val="24"/>
        </w:rPr>
        <w:t>监督投诉电话：</w:t>
      </w:r>
      <w:r>
        <w:rPr>
          <w:rFonts w:hint="eastAsia" w:ascii="仿宋" w:hAnsi="仿宋" w:eastAsia="仿宋"/>
          <w:sz w:val="24"/>
        </w:rPr>
        <w:t xml:space="preserve">0575-87111685 </w:t>
      </w:r>
      <w:r>
        <w:rPr>
          <w:rFonts w:ascii="仿宋" w:hAnsi="仿宋" w:eastAsia="仿宋"/>
          <w:sz w:val="24"/>
        </w:rPr>
        <w:t xml:space="preserve">       </w:t>
      </w:r>
      <w:r>
        <w:rPr>
          <w:rFonts w:hint="eastAsia" w:ascii="仿宋" w:hAnsi="仿宋" w:eastAsia="仿宋"/>
          <w:sz w:val="24"/>
        </w:rPr>
        <w:t>电子邮箱：962305234@qq.com</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w:t>
      </w:r>
      <w:r>
        <w:rPr>
          <w:rFonts w:hint="eastAsia" w:ascii="仿宋_GB2312" w:hAnsi="仿宋" w:eastAsia="仿宋_GB2312"/>
          <w:sz w:val="24"/>
        </w:rPr>
        <w:t>若对项目采购电子交易系统操作有疑问，可登录政府采购云平台（</w:t>
      </w:r>
      <w:r>
        <w:rPr>
          <w:rFonts w:ascii="仿宋_GB2312" w:hAnsi="仿宋" w:eastAsia="仿宋_GB2312"/>
          <w:sz w:val="24"/>
        </w:rPr>
        <w:t>https://www.zcygov.cn/），点击右侧咨询小采，获取采小蜜智能服务管家帮助，或拨打</w:t>
      </w:r>
      <w:r>
        <w:rPr>
          <w:rFonts w:hint="eastAsia" w:ascii="仿宋_GB2312" w:hAnsi="仿宋" w:eastAsia="仿宋_GB2312"/>
          <w:sz w:val="24"/>
        </w:rPr>
        <w:t>服务热线</w:t>
      </w:r>
      <w:r>
        <w:rPr>
          <w:rFonts w:ascii="仿宋_GB2312" w:hAnsi="仿宋" w:eastAsia="仿宋_GB2312"/>
          <w:sz w:val="24"/>
        </w:rPr>
        <w:t>400-881-7190获取热线服务帮助。</w:t>
      </w:r>
    </w:p>
    <w:p>
      <w:pPr>
        <w:spacing w:line="360" w:lineRule="auto"/>
        <w:ind w:firstLine="480" w:firstLineChars="200"/>
        <w:rPr>
          <w:rFonts w:ascii="仿宋_GB2312" w:hAnsi="仿宋" w:eastAsia="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8"/>
      <w:r>
        <w:rPr>
          <w:rFonts w:ascii="仿宋" w:hAnsi="仿宋" w:eastAsia="仿宋" w:cs="仿宋_GB2312"/>
          <w:b/>
          <w:sz w:val="36"/>
          <w:szCs w:val="20"/>
        </w:rPr>
        <w:t xml:space="preserve"> 投标人须知</w:t>
      </w:r>
      <w:bookmarkEnd w:id="9"/>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2"/>
        <w:tblW w:w="958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98"/>
        <w:gridCol w:w="1760"/>
        <w:gridCol w:w="71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71"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1</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评标办法</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cs="仿宋_GB2312"/>
                <w:b/>
                <w:sz w:val="24"/>
              </w:rPr>
            </w:pPr>
            <w:r>
              <w:rPr>
                <w:rFonts w:hint="eastAsia" w:ascii="仿宋_GB2312" w:hAnsi="仿宋" w:eastAsia="仿宋_GB2312"/>
                <w:kern w:val="0"/>
                <w:sz w:val="24"/>
                <w:lang w:val="zh-CN"/>
              </w:rPr>
              <w:t>本项目采用</w:t>
            </w:r>
            <w:r>
              <w:rPr>
                <w:rFonts w:hint="eastAsia" w:ascii="仿宋_GB2312" w:hAnsi="仿宋" w:eastAsia="仿宋_GB2312"/>
                <w:kern w:val="0"/>
                <w:sz w:val="24"/>
                <w:u w:val="single"/>
                <w:lang w:val="zh-CN"/>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41"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2</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kern w:val="0"/>
                <w:sz w:val="24"/>
                <w:lang w:val="zh-CN"/>
              </w:rPr>
            </w:pPr>
            <w:r>
              <w:rPr>
                <w:rFonts w:hint="eastAsia" w:ascii="仿宋_GB2312" w:hAnsi="仿宋" w:eastAsia="仿宋_GB2312"/>
                <w:kern w:val="0"/>
                <w:sz w:val="24"/>
                <w:lang w:val="zh-CN"/>
              </w:rPr>
              <w:t>有关本项目实施所需的所有费用（含税费）均计入报价。</w:t>
            </w:r>
          </w:p>
          <w:p>
            <w:pPr>
              <w:snapToGrid w:val="0"/>
              <w:spacing w:line="360" w:lineRule="auto"/>
              <w:jc w:val="left"/>
              <w:rPr>
                <w:rFonts w:ascii="仿宋_GB2312" w:hAnsi="仿宋" w:eastAsia="仿宋_GB2312" w:cs="仿宋_GB2312"/>
                <w:kern w:val="0"/>
                <w:sz w:val="24"/>
                <w:lang w:val="zh-CN"/>
              </w:rPr>
            </w:pP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w:t>
            </w:r>
          </w:p>
          <w:p>
            <w:pPr>
              <w:snapToGrid w:val="0"/>
              <w:spacing w:line="360" w:lineRule="auto"/>
              <w:jc w:val="left"/>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招标文件未列明，而投标人认为必需的费用也需列入报价。</w:t>
            </w:r>
            <w:r>
              <w:rPr>
                <w:rFonts w:hint="eastAsia" w:ascii="仿宋_GB2312" w:hAnsi="仿宋" w:eastAsia="仿宋_GB2312" w:cs="仿宋_GB2312"/>
                <w:b/>
                <w:kern w:val="0"/>
                <w:sz w:val="24"/>
                <w:lang w:val="zh-CN"/>
              </w:rPr>
              <w:t>提醒：验收时检测费用由采购人承担，不包含在投标总价中。</w:t>
            </w:r>
          </w:p>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pStyle w:val="255"/>
              <w:numPr>
                <w:ilvl w:val="0"/>
                <w:numId w:val="1"/>
              </w:numPr>
              <w:snapToGrid w:val="0"/>
              <w:ind w:firstLineChars="0"/>
              <w:jc w:val="left"/>
              <w:rPr>
                <w:rFonts w:ascii="仿宋_GB2312" w:hAnsi="仿宋" w:eastAsia="仿宋_GB2312" w:cs="仿宋_GB2312"/>
                <w:bCs/>
                <w:kern w:val="0"/>
                <w:lang w:val="zh-CN"/>
              </w:rPr>
            </w:pPr>
            <w:r>
              <w:rPr>
                <w:rFonts w:hint="eastAsia" w:ascii="仿宋_GB2312" w:hAnsi="仿宋" w:eastAsia="仿宋_GB2312" w:cs="仿宋_GB2312"/>
                <w:bCs/>
                <w:kern w:val="0"/>
                <w:lang w:val="zh-CN"/>
              </w:rPr>
              <w:t>投标文件出现不是唯一的、有选择性投标报价的；</w:t>
            </w:r>
          </w:p>
          <w:p>
            <w:pPr>
              <w:pStyle w:val="255"/>
              <w:numPr>
                <w:ilvl w:val="0"/>
                <w:numId w:val="1"/>
              </w:numPr>
              <w:snapToGrid w:val="0"/>
              <w:ind w:firstLineChars="0"/>
              <w:jc w:val="left"/>
              <w:rPr>
                <w:rFonts w:ascii="仿宋_GB2312" w:hAnsi="仿宋" w:eastAsia="仿宋_GB2312" w:cs="仿宋_GB2312"/>
                <w:bCs/>
                <w:kern w:val="0"/>
                <w:lang w:val="zh-CN"/>
              </w:rPr>
            </w:pPr>
            <w:r>
              <w:rPr>
                <w:rFonts w:hint="eastAsia" w:ascii="仿宋_GB2312" w:hAnsi="仿宋" w:eastAsia="仿宋_GB2312" w:cs="仿宋_GB2312"/>
                <w:bCs/>
                <w:kern w:val="0"/>
                <w:lang w:val="zh-CN"/>
              </w:rPr>
              <w:t>投标报价超过招标文件中规定的预算金额或者最高限价的</w:t>
            </w:r>
            <w:r>
              <w:rPr>
                <w:rFonts w:ascii="仿宋_GB2312" w:hAnsi="仿宋" w:eastAsia="仿宋_GB2312"/>
                <w:bCs/>
                <w:kern w:val="0"/>
                <w:lang w:val="zh-CN"/>
              </w:rPr>
              <w:t>;</w:t>
            </w:r>
          </w:p>
          <w:p>
            <w:pPr>
              <w:pStyle w:val="255"/>
              <w:numPr>
                <w:ilvl w:val="0"/>
                <w:numId w:val="1"/>
              </w:numPr>
              <w:ind w:firstLineChars="0"/>
              <w:rPr>
                <w:rFonts w:ascii="仿宋_GB2312" w:hAnsi="仿宋" w:eastAsia="仿宋_GB2312" w:cs="仿宋_GB2312"/>
                <w:bCs/>
                <w:kern w:val="0"/>
                <w:lang w:val="zh-CN"/>
              </w:rPr>
            </w:pPr>
            <w:r>
              <w:rPr>
                <w:rFonts w:ascii="仿宋_GB2312" w:hAnsi="仿宋" w:eastAsia="仿宋_GB2312" w:cs="仿宋_GB2312"/>
                <w:bCs/>
                <w:kern w:val="0"/>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Pr>
                <w:rFonts w:hint="eastAsia" w:ascii="仿宋_GB2312" w:hAnsi="仿宋" w:eastAsia="仿宋_GB2312" w:cs="仿宋_GB2312"/>
                <w:bCs/>
                <w:kern w:val="0"/>
                <w:lang w:val="zh-CN"/>
              </w:rPr>
              <w:t>，</w:t>
            </w:r>
            <w:r>
              <w:rPr>
                <w:rFonts w:ascii="仿宋_GB2312" w:hAnsi="仿宋" w:eastAsia="仿宋_GB2312" w:cs="仿宋_GB2312"/>
                <w:bCs/>
                <w:kern w:val="0"/>
                <w:lang w:val="zh-CN"/>
              </w:rPr>
              <w:t>评标委员会应当将其作为无效投标处理;</w:t>
            </w:r>
          </w:p>
          <w:p>
            <w:pPr>
              <w:pStyle w:val="255"/>
              <w:numPr>
                <w:ilvl w:val="0"/>
                <w:numId w:val="1"/>
              </w:numPr>
              <w:ind w:firstLineChars="0"/>
              <w:rPr>
                <w:rFonts w:ascii="仿宋_GB2312" w:hAnsi="仿宋" w:eastAsia="仿宋_GB2312" w:cs="仿宋_GB2312"/>
                <w:bCs/>
                <w:kern w:val="0"/>
                <w:lang w:val="zh-CN"/>
              </w:rPr>
            </w:pPr>
            <w:r>
              <w:rPr>
                <w:rFonts w:hint="eastAsia" w:ascii="仿宋_GB2312" w:hAnsi="仿宋" w:eastAsia="仿宋_GB2312" w:cs="Arial"/>
                <w:bCs/>
                <w:kern w:val="0"/>
              </w:rPr>
              <w:t>投标人对根据修正原则修正后的报价不确认的</w:t>
            </w:r>
            <w:r>
              <w:rPr>
                <w:rFonts w:hint="eastAsia" w:ascii="仿宋_GB2312" w:hAnsi="仿宋" w:eastAsia="仿宋_GB2312"/>
                <w:bC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21"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3</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sz w:val="24"/>
              </w:rPr>
            </w:pPr>
            <w:r>
              <w:rPr>
                <w:rFonts w:hint="eastAsia" w:ascii="仿宋_GB2312" w:hAnsi="仿宋" w:eastAsia="仿宋_GB2312" w:cs="仿宋_GB2312"/>
                <w:b/>
                <w:sz w:val="24"/>
              </w:rPr>
              <w:t>分包</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477286927"/>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cs="Arial"/>
                <w:kern w:val="0"/>
                <w:sz w:val="24"/>
              </w:rPr>
              <w:t xml:space="preserve"> A</w:t>
            </w:r>
            <w:r>
              <w:rPr>
                <w:rFonts w:hint="eastAsia" w:ascii="仿宋_GB2312" w:hAnsi="仿宋" w:eastAsia="仿宋_GB2312"/>
                <w:sz w:val="24"/>
              </w:rPr>
              <w:t>同意将非主体、非关键性的</w:t>
            </w:r>
            <w:r>
              <w:rPr>
                <w:rFonts w:ascii="仿宋_GB2312" w:hAnsi="仿宋" w:eastAsia="仿宋_GB2312"/>
                <w:sz w:val="24"/>
                <w:u w:val="single"/>
              </w:rPr>
              <w:t xml:space="preserve">             </w:t>
            </w:r>
            <w:r>
              <w:rPr>
                <w:rFonts w:hint="eastAsia" w:ascii="仿宋_GB2312" w:hAnsi="仿宋" w:eastAsia="仿宋_GB2312"/>
                <w:sz w:val="24"/>
              </w:rPr>
              <w:t>分包。</w:t>
            </w:r>
          </w:p>
          <w:p>
            <w:pPr>
              <w:spacing w:line="360" w:lineRule="auto"/>
              <w:rPr>
                <w:rFonts w:ascii="仿宋_GB2312" w:hAnsi="仿宋" w:eastAsia="仿宋_GB2312" w:cs="仿宋_GB2312"/>
                <w:sz w:val="24"/>
              </w:rPr>
            </w:pPr>
            <w:sdt>
              <w:sdtPr>
                <w:rPr>
                  <w:rFonts w:hint="eastAsia" w:ascii="仿宋_GB2312" w:hAnsi="仿宋" w:eastAsia="仿宋_GB2312" w:cs="Arial"/>
                  <w:kern w:val="0"/>
                  <w:sz w:val="24"/>
                </w:rPr>
                <w:id w:val="-1276331357"/>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ascii="仿宋_GB2312" w:hAnsi="仿宋" w:eastAsia="仿宋_GB2312" w:cs="Arial"/>
                <w:kern w:val="0"/>
                <w:sz w:val="24"/>
              </w:rPr>
              <w:t xml:space="preserve"> 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52" w:hRule="atLeast"/>
          <w:tblHeader/>
          <w:jc w:val="center"/>
        </w:trPr>
        <w:tc>
          <w:tcPr>
            <w:tcW w:w="698" w:type="dxa"/>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4</w:t>
            </w:r>
          </w:p>
        </w:tc>
        <w:tc>
          <w:tcPr>
            <w:tcW w:w="1760" w:type="dxa"/>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投标人应当提供的资格文件</w:t>
            </w:r>
          </w:p>
        </w:tc>
        <w:tc>
          <w:tcPr>
            <w:tcW w:w="7125" w:type="dxa"/>
            <w:tcBorders>
              <w:top w:val="single" w:color="000000" w:sz="8" w:space="0"/>
              <w:left w:val="single" w:color="000000" w:sz="2" w:space="0"/>
              <w:right w:val="single" w:color="000000" w:sz="8" w:space="0"/>
            </w:tcBorders>
            <w:vAlign w:val="center"/>
          </w:tcPr>
          <w:p>
            <w:pPr>
              <w:pStyle w:val="255"/>
              <w:numPr>
                <w:ilvl w:val="0"/>
                <w:numId w:val="2"/>
              </w:numPr>
              <w:snapToGrid w:val="0"/>
              <w:ind w:firstLineChars="0"/>
              <w:rPr>
                <w:rFonts w:ascii="仿宋_GB2312" w:hAnsi="仿宋" w:eastAsia="仿宋_GB2312" w:cs="仿宋_GB2312"/>
              </w:rPr>
            </w:pPr>
            <w:r>
              <w:rPr>
                <w:rFonts w:ascii="仿宋_GB2312" w:hAnsi="仿宋" w:eastAsia="仿宋_GB2312" w:cs="仿宋_GB2312"/>
              </w:rPr>
              <w:t>符合参加政府采购活动应当具备的一般条件的承诺函；</w:t>
            </w:r>
          </w:p>
          <w:p>
            <w:pPr>
              <w:pStyle w:val="255"/>
              <w:numPr>
                <w:ilvl w:val="0"/>
                <w:numId w:val="2"/>
              </w:numPr>
              <w:snapToGrid w:val="0"/>
              <w:ind w:firstLineChars="0"/>
              <w:rPr>
                <w:rFonts w:ascii="仿宋_GB2312" w:hAnsi="仿宋" w:eastAsia="仿宋_GB2312" w:cs="仿宋_GB2312"/>
              </w:rPr>
            </w:pPr>
            <w:r>
              <w:rPr>
                <w:rFonts w:ascii="仿宋_GB2312" w:hAnsi="仿宋" w:eastAsia="仿宋_GB2312" w:cs="仿宋_GB2312"/>
              </w:rPr>
              <w:t>落实政府采购政策需满足的资格要求</w:t>
            </w:r>
            <w:r>
              <w:rPr>
                <w:rFonts w:hint="eastAsia" w:ascii="仿宋_GB2312" w:hAnsi="仿宋" w:eastAsia="仿宋_GB2312" w:cs="仿宋_GB2312"/>
              </w:rPr>
              <w:t>（如需）</w:t>
            </w:r>
            <w:r>
              <w:rPr>
                <w:rFonts w:ascii="仿宋_GB2312" w:hAnsi="仿宋" w:eastAsia="仿宋_GB2312" w:cs="仿宋_GB2312"/>
              </w:rPr>
              <w:t>；</w:t>
            </w:r>
          </w:p>
          <w:p>
            <w:pPr>
              <w:spacing w:line="360" w:lineRule="auto"/>
              <w:rPr>
                <w:rFonts w:ascii="仿宋_GB2312" w:hAnsi="仿宋" w:eastAsia="仿宋_GB2312"/>
                <w:sz w:val="24"/>
              </w:rPr>
            </w:pPr>
            <w:r>
              <w:rPr>
                <w:rFonts w:hint="eastAsia" w:ascii="仿宋_GB2312" w:hAnsi="仿宋" w:eastAsia="仿宋_GB2312" w:cs="仿宋_GB2312"/>
                <w:sz w:val="24"/>
              </w:rPr>
              <w:t>③</w:t>
            </w:r>
            <w:r>
              <w:rPr>
                <w:rFonts w:ascii="仿宋_GB2312" w:hAnsi="仿宋" w:eastAsia="仿宋_GB2312" w:cs="仿宋_GB2312"/>
                <w:sz w:val="24"/>
              </w:rPr>
              <w:t>本项目的特定资格要求</w:t>
            </w:r>
            <w:r>
              <w:rPr>
                <w:rFonts w:hint="eastAsia" w:ascii="仿宋_GB2312" w:hAnsi="仿宋" w:eastAsia="仿宋_GB2312" w:cs="仿宋_GB2312"/>
                <w:sz w:val="24"/>
              </w:rPr>
              <w:t>（如需）</w:t>
            </w:r>
            <w:r>
              <w:rPr>
                <w:rFonts w:ascii="仿宋_GB2312" w:hAnsi="仿宋" w:eastAsia="仿宋_GB2312"/>
                <w:sz w:val="24"/>
              </w:rPr>
              <w:t>。</w:t>
            </w:r>
          </w:p>
          <w:p>
            <w:pPr>
              <w:spacing w:line="360" w:lineRule="auto"/>
              <w:rPr>
                <w:rFonts w:ascii="Arial" w:hAnsi="Arial" w:eastAsia="黑体" w:cs="Arial"/>
                <w:b/>
                <w:snapToGrid w:val="0"/>
                <w:kern w:val="0"/>
                <w:szCs w:val="21"/>
              </w:rPr>
            </w:pPr>
            <w:r>
              <w:rPr>
                <w:rFonts w:hint="eastAsia" w:ascii="仿宋_GB2312" w:hAnsi="仿宋" w:eastAsia="仿宋_GB2312"/>
                <w:b/>
                <w:kern w:val="0"/>
                <w:sz w:val="24"/>
                <w:lang w:val="zh-CN"/>
              </w:rPr>
              <w:t>投标人未提供有效的资格证明文件的，视为投标人不具备招标文件中规定的资格要求，其投标无效。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06" w:hRule="atLeast"/>
          <w:tblHeader/>
          <w:jc w:val="center"/>
        </w:trPr>
        <w:tc>
          <w:tcPr>
            <w:tcW w:w="698" w:type="dxa"/>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5</w:t>
            </w:r>
          </w:p>
        </w:tc>
        <w:tc>
          <w:tcPr>
            <w:tcW w:w="1760" w:type="dxa"/>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投标人应当提供的商务技术文件</w:t>
            </w:r>
          </w:p>
        </w:tc>
        <w:tc>
          <w:tcPr>
            <w:tcW w:w="7125" w:type="dxa"/>
            <w:tcBorders>
              <w:top w:val="single" w:color="000000" w:sz="8" w:space="0"/>
              <w:left w:val="single" w:color="000000" w:sz="2" w:space="0"/>
              <w:right w:val="single" w:color="000000" w:sz="8" w:space="0"/>
            </w:tcBorders>
            <w:vAlign w:val="center"/>
          </w:tcPr>
          <w:p>
            <w:pPr>
              <w:pStyle w:val="255"/>
              <w:numPr>
                <w:ilvl w:val="0"/>
                <w:numId w:val="3"/>
              </w:numPr>
              <w:snapToGrid w:val="0"/>
              <w:ind w:firstLineChars="0"/>
              <w:rPr>
                <w:rFonts w:ascii="仿宋_GB2312" w:hAnsi="仿宋" w:eastAsia="仿宋_GB2312" w:cs="仿宋_GB2312"/>
                <w:lang w:val="zh-CN"/>
              </w:rPr>
            </w:pPr>
            <w:r>
              <w:rPr>
                <w:rFonts w:ascii="仿宋_GB2312" w:hAnsi="仿宋" w:eastAsia="仿宋_GB2312" w:cs="仿宋_GB2312"/>
              </w:rPr>
              <w:t>投标函；</w:t>
            </w:r>
          </w:p>
          <w:p>
            <w:pPr>
              <w:pStyle w:val="255"/>
              <w:numPr>
                <w:ilvl w:val="0"/>
                <w:numId w:val="3"/>
              </w:numPr>
              <w:snapToGrid w:val="0"/>
              <w:ind w:firstLineChars="0"/>
              <w:rPr>
                <w:rFonts w:ascii="仿宋_GB2312" w:hAnsi="仿宋" w:eastAsia="仿宋_GB2312" w:cs="仿宋_GB2312"/>
                <w:lang w:val="zh-CN"/>
              </w:rPr>
            </w:pPr>
            <w:r>
              <w:rPr>
                <w:rFonts w:ascii="仿宋_GB2312" w:hAnsi="仿宋" w:eastAsia="仿宋_GB2312" w:cs="仿宋_GB2312"/>
              </w:rPr>
              <w:t>授权委托书或法定代表人（单位负责人、自然人本人）身份证明</w:t>
            </w:r>
            <w:r>
              <w:rPr>
                <w:rFonts w:hint="eastAsia" w:ascii="仿宋_GB2312" w:hAnsi="仿宋" w:eastAsia="仿宋_GB2312" w:cs="仿宋_GB2312"/>
              </w:rPr>
              <w:t>；</w:t>
            </w:r>
          </w:p>
          <w:p>
            <w:pPr>
              <w:pStyle w:val="255"/>
              <w:numPr>
                <w:ilvl w:val="0"/>
                <w:numId w:val="3"/>
              </w:numPr>
              <w:snapToGrid w:val="0"/>
              <w:ind w:firstLineChars="0"/>
              <w:rPr>
                <w:rFonts w:ascii="仿宋_GB2312" w:hAnsi="仿宋" w:eastAsia="仿宋_GB2312" w:cs="仿宋_GB2312"/>
                <w:lang w:val="zh-CN"/>
              </w:rPr>
            </w:pPr>
            <w:r>
              <w:rPr>
                <w:rFonts w:ascii="仿宋_GB2312" w:hAnsi="仿宋" w:eastAsia="仿宋_GB2312" w:cs="仿宋_GB2312"/>
              </w:rPr>
              <w:t>联合协议</w:t>
            </w:r>
            <w:r>
              <w:rPr>
                <w:rFonts w:hint="eastAsia" w:ascii="仿宋_GB2312" w:hAnsi="仿宋" w:eastAsia="仿宋_GB2312" w:cs="仿宋_GB2312"/>
              </w:rPr>
              <w:t>（如需）</w:t>
            </w:r>
            <w:r>
              <w:rPr>
                <w:rFonts w:ascii="仿宋_GB2312" w:hAnsi="仿宋" w:eastAsia="仿宋_GB2312" w:cs="仿宋_GB2312"/>
              </w:rPr>
              <w:t>；</w:t>
            </w:r>
          </w:p>
          <w:p>
            <w:pPr>
              <w:pStyle w:val="255"/>
              <w:numPr>
                <w:ilvl w:val="0"/>
                <w:numId w:val="3"/>
              </w:numPr>
              <w:snapToGrid w:val="0"/>
              <w:ind w:firstLineChars="0"/>
              <w:rPr>
                <w:rFonts w:ascii="仿宋_GB2312" w:hAnsi="仿宋" w:eastAsia="仿宋_GB2312" w:cs="仿宋_GB2312"/>
                <w:lang w:val="zh-CN"/>
              </w:rPr>
            </w:pPr>
            <w:r>
              <w:rPr>
                <w:rFonts w:ascii="仿宋_GB2312" w:hAnsi="仿宋" w:eastAsia="仿宋_GB2312" w:cs="仿宋_GB2312"/>
              </w:rPr>
              <w:t>分包意向协议</w:t>
            </w:r>
            <w:r>
              <w:rPr>
                <w:rFonts w:hint="eastAsia" w:ascii="仿宋_GB2312" w:hAnsi="仿宋" w:eastAsia="仿宋_GB2312" w:cs="仿宋_GB2312"/>
              </w:rPr>
              <w:t>（如需）</w:t>
            </w:r>
            <w:r>
              <w:rPr>
                <w:rFonts w:ascii="仿宋_GB2312" w:hAnsi="仿宋" w:eastAsia="仿宋_GB2312" w:cs="仿宋_GB2312"/>
              </w:rPr>
              <w:t>；</w:t>
            </w:r>
          </w:p>
          <w:p>
            <w:pPr>
              <w:pStyle w:val="255"/>
              <w:numPr>
                <w:ilvl w:val="0"/>
                <w:numId w:val="3"/>
              </w:numPr>
              <w:snapToGrid w:val="0"/>
              <w:ind w:firstLineChars="0"/>
              <w:rPr>
                <w:rFonts w:ascii="仿宋_GB2312" w:hAnsi="仿宋" w:eastAsia="仿宋_GB2312" w:cs="仿宋_GB2312"/>
                <w:lang w:val="zh-CN"/>
              </w:rPr>
            </w:pPr>
            <w:r>
              <w:rPr>
                <w:rFonts w:ascii="仿宋_GB2312" w:hAnsi="仿宋" w:eastAsia="仿宋_GB2312" w:cs="仿宋_GB2312"/>
              </w:rPr>
              <w:t>符合性审查资料；</w:t>
            </w:r>
          </w:p>
          <w:p>
            <w:pPr>
              <w:pStyle w:val="255"/>
              <w:numPr>
                <w:ilvl w:val="0"/>
                <w:numId w:val="3"/>
              </w:numPr>
              <w:snapToGrid w:val="0"/>
              <w:ind w:firstLineChars="0"/>
              <w:rPr>
                <w:rFonts w:ascii="仿宋_GB2312" w:hAnsi="仿宋" w:eastAsia="仿宋_GB2312" w:cs="仿宋_GB2312"/>
                <w:lang w:val="zh-CN"/>
              </w:rPr>
            </w:pPr>
            <w:r>
              <w:rPr>
                <w:rFonts w:ascii="仿宋_GB2312" w:hAnsi="仿宋" w:eastAsia="仿宋_GB2312" w:cs="仿宋_GB2312"/>
              </w:rPr>
              <w:t>评标标准相应的商务技术资料</w:t>
            </w:r>
            <w:r>
              <w:rPr>
                <w:rFonts w:hint="eastAsia" w:ascii="仿宋_GB2312" w:hAnsi="仿宋" w:eastAsia="仿宋_GB2312" w:cs="仿宋_GB2312"/>
              </w:rPr>
              <w:t>（如需）</w:t>
            </w:r>
            <w:r>
              <w:rPr>
                <w:rFonts w:ascii="仿宋_GB2312" w:hAnsi="仿宋" w:eastAsia="仿宋_GB2312" w:cs="仿宋_GB2312"/>
              </w:rPr>
              <w:t>；</w:t>
            </w:r>
          </w:p>
          <w:p>
            <w:pPr>
              <w:pStyle w:val="255"/>
              <w:numPr>
                <w:ilvl w:val="0"/>
                <w:numId w:val="3"/>
              </w:numPr>
              <w:snapToGrid w:val="0"/>
              <w:ind w:firstLineChars="0"/>
              <w:rPr>
                <w:rFonts w:ascii="仿宋_GB2312" w:hAnsi="仿宋" w:eastAsia="仿宋_GB2312" w:cs="仿宋_GB2312"/>
                <w:lang w:val="zh-CN"/>
              </w:rPr>
            </w:pPr>
            <w:r>
              <w:rPr>
                <w:rFonts w:ascii="仿宋_GB2312" w:hAnsi="仿宋" w:eastAsia="仿宋_GB2312" w:cs="仿宋_GB2312"/>
              </w:rPr>
              <w:t>商务技术偏离表；</w:t>
            </w:r>
          </w:p>
          <w:p>
            <w:pPr>
              <w:pStyle w:val="255"/>
              <w:numPr>
                <w:ilvl w:val="0"/>
                <w:numId w:val="3"/>
              </w:numPr>
              <w:snapToGrid w:val="0"/>
              <w:ind w:firstLineChars="0"/>
              <w:rPr>
                <w:rFonts w:ascii="仿宋_GB2312" w:hAnsi="仿宋" w:eastAsia="仿宋_GB2312" w:cs="仿宋_GB2312"/>
                <w:lang w:val="zh-CN"/>
              </w:rPr>
            </w:pPr>
            <w:r>
              <w:rPr>
                <w:rFonts w:hint="eastAsia" w:ascii="仿宋_GB2312" w:hAnsi="仿宋" w:eastAsia="仿宋_GB2312" w:cs="仿宋_GB2312"/>
                <w:lang w:val="zh-CN"/>
              </w:rPr>
              <w:t>政府采购供应商廉洁自律承诺书。</w:t>
            </w:r>
          </w:p>
          <w:p>
            <w:pPr>
              <w:spacing w:line="360" w:lineRule="auto"/>
              <w:rPr>
                <w:lang w:val="zh-CN"/>
              </w:rPr>
            </w:pPr>
            <w:r>
              <w:rPr>
                <w:rFonts w:hint="eastAsia" w:ascii="仿宋_GB2312" w:hAnsi="仿宋" w:eastAsia="仿宋_GB2312"/>
                <w:b/>
                <w:kern w:val="0"/>
                <w:sz w:val="24"/>
                <w:lang w:val="zh-CN"/>
              </w:rPr>
              <w:t>投标文件项目不齐全或内容虚假的，将视为无效投标。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30" w:hRule="atLeast"/>
          <w:tblHeader/>
          <w:jc w:val="center"/>
        </w:trPr>
        <w:tc>
          <w:tcPr>
            <w:tcW w:w="698" w:type="dxa"/>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6</w:t>
            </w:r>
          </w:p>
        </w:tc>
        <w:tc>
          <w:tcPr>
            <w:tcW w:w="1760" w:type="dxa"/>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投标人应当提供的报价文件</w:t>
            </w:r>
          </w:p>
        </w:tc>
        <w:tc>
          <w:tcPr>
            <w:tcW w:w="7125" w:type="dxa"/>
            <w:tcBorders>
              <w:top w:val="single" w:color="000000" w:sz="8" w:space="0"/>
              <w:left w:val="single" w:color="000000" w:sz="2" w:space="0"/>
              <w:right w:val="single" w:color="000000" w:sz="8" w:space="0"/>
            </w:tcBorders>
            <w:vAlign w:val="center"/>
          </w:tcPr>
          <w:p>
            <w:pPr>
              <w:pStyle w:val="255"/>
              <w:numPr>
                <w:ilvl w:val="0"/>
                <w:numId w:val="4"/>
              </w:numPr>
              <w:snapToGrid w:val="0"/>
              <w:ind w:firstLineChars="0"/>
              <w:rPr>
                <w:rFonts w:ascii="仿宋_GB2312" w:hAnsi="仿宋" w:eastAsia="仿宋_GB2312" w:cs="仿宋_GB2312"/>
              </w:rPr>
            </w:pPr>
            <w:r>
              <w:rPr>
                <w:rFonts w:ascii="仿宋_GB2312" w:hAnsi="仿宋" w:eastAsia="仿宋_GB2312" w:cs="仿宋_GB2312"/>
              </w:rPr>
              <w:t>开标一览表（报价表）；</w:t>
            </w:r>
          </w:p>
          <w:p>
            <w:pPr>
              <w:pStyle w:val="255"/>
              <w:numPr>
                <w:ilvl w:val="0"/>
                <w:numId w:val="4"/>
              </w:numPr>
              <w:snapToGrid w:val="0"/>
              <w:ind w:firstLineChars="0"/>
              <w:rPr>
                <w:rFonts w:ascii="仿宋_GB2312" w:hAnsi="仿宋" w:eastAsia="仿宋_GB2312" w:cs="仿宋_GB2312"/>
              </w:rPr>
            </w:pPr>
            <w:r>
              <w:rPr>
                <w:rFonts w:ascii="仿宋_GB2312" w:hAnsi="仿宋" w:eastAsia="仿宋_GB2312" w:cs="仿宋_GB2312"/>
              </w:rPr>
              <w:t>中小企业声明函</w:t>
            </w:r>
            <w:r>
              <w:rPr>
                <w:rFonts w:hint="eastAsia" w:ascii="仿宋_GB2312" w:hAnsi="仿宋" w:eastAsia="仿宋_GB2312" w:cs="仿宋_GB2312"/>
              </w:rPr>
              <w:t>（如需）</w:t>
            </w:r>
            <w:r>
              <w:rPr>
                <w:rFonts w:ascii="仿宋_GB2312" w:hAnsi="仿宋" w:eastAsia="仿宋_GB2312" w:cs="仿宋_GB2312"/>
              </w:rPr>
              <w:t>。</w:t>
            </w:r>
          </w:p>
          <w:p>
            <w:pPr>
              <w:spacing w:line="360" w:lineRule="auto"/>
              <w:rPr>
                <w:rFonts w:ascii="仿宋_GB2312" w:hAnsi="仿宋" w:eastAsia="仿宋_GB2312"/>
                <w:b/>
                <w:sz w:val="24"/>
              </w:rPr>
            </w:pPr>
            <w:r>
              <w:rPr>
                <w:rFonts w:hint="eastAsia" w:ascii="仿宋_GB2312" w:hAnsi="仿宋" w:eastAsia="仿宋_GB2312"/>
                <w:b/>
                <w:sz w:val="24"/>
              </w:rPr>
              <w:t>投标文件含有采购人不能接受的附加条件的，</w:t>
            </w:r>
            <w:r>
              <w:rPr>
                <w:rFonts w:hint="eastAsia" w:ascii="仿宋_GB2312" w:hAnsi="仿宋" w:eastAsia="仿宋_GB2312"/>
                <w:b/>
                <w:kern w:val="0"/>
                <w:sz w:val="24"/>
                <w:lang w:val="zh-CN"/>
              </w:rPr>
              <w:t>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35"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7</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212966419"/>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sz w:val="24"/>
                <w:szCs w:val="20"/>
              </w:rPr>
            </w:pPr>
            <w:sdt>
              <w:sdtPr>
                <w:rPr>
                  <w:rFonts w:hint="eastAsia" w:ascii="仿宋_GB2312" w:hAnsi="仿宋" w:eastAsia="仿宋_GB2312" w:cs="Arial"/>
                  <w:kern w:val="0"/>
                  <w:sz w:val="24"/>
                </w:rPr>
                <w:id w:val="-999802974"/>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kern w:val="0"/>
                <w:sz w:val="24"/>
              </w:rPr>
              <w:t>B组织，</w:t>
            </w:r>
            <w:r>
              <w:rPr>
                <w:rFonts w:hint="eastAsia" w:ascii="仿宋_GB2312" w:hAnsi="仿宋" w:eastAsia="仿宋_GB2312"/>
                <w:sz w:val="24"/>
              </w:rPr>
              <w:t>时间：</w:t>
            </w:r>
            <w:r>
              <w:rPr>
                <w:rFonts w:ascii="仿宋_GB2312" w:hAnsi="仿宋" w:eastAsia="仿宋_GB2312"/>
                <w:sz w:val="24"/>
                <w:u w:val="single"/>
              </w:rPr>
              <w:t xml:space="preserve">      </w:t>
            </w:r>
            <w:r>
              <w:rPr>
                <w:rFonts w:ascii="仿宋_GB2312" w:hAnsi="仿宋" w:eastAsia="仿宋_GB2312"/>
                <w:sz w:val="24"/>
              </w:rPr>
              <w:t>,地点：</w:t>
            </w:r>
            <w:r>
              <w:rPr>
                <w:rFonts w:ascii="仿宋_GB2312" w:hAnsi="仿宋" w:eastAsia="仿宋_GB2312"/>
                <w:sz w:val="24"/>
                <w:u w:val="single"/>
              </w:rPr>
              <w:t xml:space="preserve">      </w:t>
            </w:r>
            <w:r>
              <w:rPr>
                <w:rFonts w:hint="eastAsia" w:ascii="仿宋_GB2312" w:hAnsi="仿宋" w:eastAsia="仿宋_GB2312"/>
                <w:sz w:val="24"/>
              </w:rPr>
              <w:t>，联系人：</w:t>
            </w:r>
            <w:r>
              <w:rPr>
                <w:rFonts w:ascii="仿宋_GB2312" w:hAnsi="仿宋" w:eastAsia="仿宋_GB2312"/>
                <w:sz w:val="24"/>
                <w:u w:val="single"/>
              </w:rPr>
              <w:t xml:space="preserve">      </w:t>
            </w:r>
            <w:r>
              <w:rPr>
                <w:rFonts w:hint="eastAsia" w:ascii="仿宋_GB2312" w:hAnsi="仿宋" w:eastAsia="仿宋_GB2312"/>
                <w:sz w:val="24"/>
              </w:rPr>
              <w:t>，联系方式：</w:t>
            </w:r>
            <w:r>
              <w:rPr>
                <w:rFonts w:ascii="仿宋_GB2312" w:hAnsi="仿宋" w:eastAsia="仿宋_GB2312"/>
                <w:sz w:val="24"/>
                <w:u w:val="single"/>
              </w:rPr>
              <w:t xml:space="preserve">      </w:t>
            </w:r>
            <w:r>
              <w:rPr>
                <w:rFonts w:hint="eastAsia" w:ascii="仿宋_GB2312" w:hAnsi="仿宋" w:eastAsia="仿宋_GB2312"/>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200"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8</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样品提供</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639946486"/>
              </w:sdtPr>
              <w:sdtEndPr>
                <w:rPr>
                  <w:rFonts w:hint="eastAsia" w:ascii="仿宋_GB2312" w:hAnsi="仿宋" w:eastAsia="仿宋_GB2312" w:cs="Times New Roman"/>
                  <w:kern w:val="0"/>
                  <w:sz w:val="24"/>
                </w:rPr>
              </w:sdtEndPr>
              <w:sdtContent>
                <w:r>
                  <w:rPr>
                    <w:rFonts w:hint="eastAsia" w:ascii="仿宋_GB2312" w:hAnsi="仿宋" w:eastAsia="仿宋_GB2312" w:cs="Arial"/>
                    <w:kern w:val="0"/>
                    <w:sz w:val="24"/>
                  </w:rPr>
                  <w:t xml:space="preserve"> </w:t>
                </w:r>
                <w:sdt>
                  <w:sdtPr>
                    <w:rPr>
                      <w:rFonts w:hint="eastAsia" w:ascii="仿宋_GB2312" w:hAnsi="仿宋" w:eastAsia="仿宋_GB2312" w:cs="Arial"/>
                      <w:kern w:val="0"/>
                      <w:sz w:val="24"/>
                    </w:rPr>
                    <w:id w:val="805436019"/>
                  </w:sdtPr>
                  <w:sdtEndPr>
                    <w:rPr>
                      <w:rFonts w:hint="eastAsia" w:ascii="仿宋_GB2312" w:hAnsi="仿宋" w:eastAsia="仿宋_GB2312" w:cs="Times New Roman"/>
                      <w:kern w:val="0"/>
                      <w:sz w:val="24"/>
                    </w:rPr>
                  </w:sdtEndPr>
                  <w:sdtContent>
                    <w:r>
                      <w:rPr>
                        <w:rFonts w:ascii="MS Gothic" w:hAnsi="MS Gothic" w:eastAsia="MS Gothic" w:cs="Arial"/>
                        <w:kern w:val="0"/>
                        <w:sz w:val="24"/>
                      </w:rPr>
                      <w:sym w:font="Wingdings" w:char="F0FE"/>
                    </w:r>
                  </w:sdtContent>
                </w:sdt>
              </w:sdtContent>
            </w:sdt>
            <w:r>
              <w:rPr>
                <w:rFonts w:ascii="仿宋_GB2312" w:hAnsi="仿宋" w:eastAsia="仿宋_GB2312"/>
                <w:kern w:val="0"/>
                <w:sz w:val="24"/>
              </w:rPr>
              <w:t xml:space="preserve"> A</w:t>
            </w:r>
            <w:r>
              <w:rPr>
                <w:rFonts w:hint="eastAsia" w:ascii="仿宋_GB2312" w:hAnsi="仿宋" w:eastAsia="仿宋_GB2312"/>
                <w:kern w:val="0"/>
                <w:sz w:val="24"/>
              </w:rPr>
              <w:t>不要求提供</w:t>
            </w:r>
            <w:r>
              <w:rPr>
                <w:rFonts w:hint="eastAsia" w:ascii="仿宋_GB2312" w:hAnsi="仿宋" w:eastAsia="仿宋_GB2312"/>
                <w:sz w:val="24"/>
              </w:rPr>
              <w:t>。</w:t>
            </w:r>
          </w:p>
          <w:p>
            <w:pPr>
              <w:spacing w:line="360" w:lineRule="auto"/>
              <w:rPr>
                <w:rFonts w:ascii="仿宋_GB2312" w:hAnsi="仿宋" w:eastAsia="仿宋_GB2312"/>
                <w:kern w:val="0"/>
                <w:sz w:val="24"/>
              </w:rPr>
            </w:pPr>
            <w:sdt>
              <w:sdtPr>
                <w:rPr>
                  <w:rFonts w:hint="eastAsia" w:ascii="仿宋_GB2312" w:hAnsi="仿宋" w:eastAsia="仿宋_GB2312" w:cs="Arial"/>
                  <w:kern w:val="0"/>
                  <w:sz w:val="24"/>
                </w:rPr>
                <w:id w:val="1026831988"/>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kern w:val="0"/>
                <w:sz w:val="24"/>
              </w:rPr>
              <w:t>B</w:t>
            </w:r>
            <w:r>
              <w:rPr>
                <w:rFonts w:hint="eastAsia" w:ascii="仿宋_GB2312" w:hAnsi="仿宋" w:eastAsia="仿宋_GB2312"/>
                <w:kern w:val="0"/>
                <w:sz w:val="24"/>
              </w:rPr>
              <w:t>要求提供：</w:t>
            </w:r>
          </w:p>
          <w:p>
            <w:pPr>
              <w:spacing w:line="360" w:lineRule="auto"/>
              <w:ind w:firstLine="480" w:firstLineChars="200"/>
              <w:rPr>
                <w:rFonts w:ascii="仿宋_GB2312" w:hAnsi="仿宋" w:eastAsia="仿宋_GB2312"/>
                <w:kern w:val="0"/>
                <w:sz w:val="24"/>
              </w:rPr>
            </w:pPr>
            <w:r>
              <w:rPr>
                <w:rFonts w:hint="eastAsia" w:ascii="仿宋_GB2312" w:hAnsi="仿宋" w:eastAsia="仿宋_GB2312"/>
                <w:kern w:val="0"/>
                <w:sz w:val="24"/>
              </w:rPr>
              <w:t>样品：</w:t>
            </w:r>
            <w:r>
              <w:rPr>
                <w:rFonts w:hint="eastAsia" w:ascii="仿宋_GB2312" w:hAnsi="仿宋" w:eastAsia="仿宋_GB2312"/>
                <w:sz w:val="24"/>
                <w:u w:val="single"/>
              </w:rPr>
              <w:t xml:space="preserve">    </w:t>
            </w:r>
            <w:r>
              <w:rPr>
                <w:rFonts w:hint="eastAsia" w:ascii="仿宋_GB2312" w:hAnsi="仿宋" w:eastAsia="仿宋_GB2312"/>
                <w:kern w:val="0"/>
                <w:sz w:val="24"/>
              </w:rPr>
              <w:t>；</w:t>
            </w:r>
          </w:p>
          <w:p>
            <w:pPr>
              <w:spacing w:line="360" w:lineRule="auto"/>
              <w:ind w:firstLine="480" w:firstLineChars="200"/>
              <w:rPr>
                <w:rFonts w:ascii="仿宋_GB2312" w:hAnsi="仿宋" w:eastAsia="仿宋_GB2312"/>
                <w:kern w:val="0"/>
                <w:sz w:val="24"/>
              </w:rPr>
            </w:pPr>
            <w:r>
              <w:rPr>
                <w:rFonts w:hint="eastAsia" w:ascii="仿宋_GB2312" w:hAnsi="仿宋" w:eastAsia="仿宋_GB2312"/>
                <w:kern w:val="0"/>
                <w:sz w:val="24"/>
              </w:rPr>
              <w:t>样品制作的标准和要求：</w:t>
            </w:r>
            <w:r>
              <w:rPr>
                <w:rFonts w:hint="eastAsia" w:ascii="仿宋_GB2312" w:hAnsi="仿宋" w:eastAsia="仿宋_GB2312"/>
                <w:sz w:val="24"/>
                <w:u w:val="single"/>
              </w:rPr>
              <w:t xml:space="preserve">    </w:t>
            </w:r>
            <w:r>
              <w:rPr>
                <w:rFonts w:hint="eastAsia" w:ascii="仿宋_GB2312" w:hAnsi="仿宋" w:eastAsia="仿宋_GB2312"/>
                <w:kern w:val="0"/>
                <w:sz w:val="24"/>
              </w:rPr>
              <w:t>；</w:t>
            </w:r>
          </w:p>
          <w:p>
            <w:pPr>
              <w:spacing w:line="360" w:lineRule="auto"/>
              <w:ind w:firstLine="480" w:firstLineChars="200"/>
              <w:rPr>
                <w:rFonts w:ascii="仿宋_GB2312" w:hAnsi="仿宋" w:eastAsia="仿宋_GB2312"/>
                <w:kern w:val="0"/>
                <w:sz w:val="24"/>
              </w:rPr>
            </w:pPr>
            <w:r>
              <w:rPr>
                <w:rFonts w:ascii="仿宋_GB2312" w:hAnsi="仿宋" w:eastAsia="仿宋_GB2312"/>
                <w:kern w:val="0"/>
                <w:sz w:val="24"/>
              </w:rPr>
              <w:t>样品的评审方法以及评审标准</w:t>
            </w:r>
            <w:r>
              <w:rPr>
                <w:rFonts w:hint="eastAsia" w:ascii="仿宋" w:hAnsi="仿宋" w:eastAsia="仿宋"/>
                <w:snapToGrid w:val="0"/>
                <w:kern w:val="28"/>
                <w:sz w:val="24"/>
              </w:rPr>
              <w:t>：</w:t>
            </w:r>
            <w:r>
              <w:rPr>
                <w:rFonts w:hint="eastAsia" w:ascii="仿宋_GB2312" w:hAnsi="仿宋" w:eastAsia="仿宋_GB2312"/>
                <w:kern w:val="0"/>
                <w:sz w:val="24"/>
              </w:rPr>
              <w:t>详见</w:t>
            </w:r>
            <w:r>
              <w:rPr>
                <w:rFonts w:hint="eastAsia" w:ascii="仿宋_GB2312" w:hAnsi="仿宋" w:eastAsia="仿宋_GB2312"/>
                <w:sz w:val="24"/>
                <w:u w:val="single"/>
              </w:rPr>
              <w:t>评标办法</w:t>
            </w:r>
            <w:r>
              <w:rPr>
                <w:rFonts w:hint="eastAsia" w:ascii="仿宋_GB2312" w:hAnsi="仿宋" w:eastAsia="仿宋_GB2312"/>
                <w:kern w:val="0"/>
                <w:sz w:val="24"/>
              </w:rPr>
              <w:t>；</w:t>
            </w:r>
          </w:p>
          <w:p>
            <w:pPr>
              <w:spacing w:line="360" w:lineRule="auto"/>
              <w:ind w:firstLine="480" w:firstLineChars="200"/>
              <w:rPr>
                <w:rFonts w:ascii="仿宋_GB2312" w:hAnsi="仿宋" w:eastAsia="仿宋_GB2312"/>
                <w:kern w:val="0"/>
                <w:sz w:val="24"/>
              </w:rPr>
            </w:pPr>
            <w:r>
              <w:rPr>
                <w:rFonts w:ascii="仿宋_GB2312" w:hAnsi="仿宋" w:eastAsia="仿宋_GB2312"/>
                <w:kern w:val="0"/>
                <w:sz w:val="24"/>
              </w:rPr>
              <w:t>是否需要随样品提交检测报告</w:t>
            </w:r>
            <w:r>
              <w:rPr>
                <w:rFonts w:hint="eastAsia" w:ascii="仿宋_GB2312" w:hAnsi="仿宋" w:eastAsia="仿宋_GB2312"/>
                <w:kern w:val="0"/>
                <w:sz w:val="24"/>
              </w:rPr>
              <w:t>：</w:t>
            </w:r>
            <w:sdt>
              <w:sdtPr>
                <w:rPr>
                  <w:rFonts w:hint="eastAsia" w:ascii="仿宋_GB2312" w:hAnsi="仿宋" w:eastAsia="仿宋_GB2312" w:cs="Arial"/>
                  <w:kern w:val="0"/>
                  <w:sz w:val="24"/>
                </w:rPr>
                <w:id w:val="1303421454"/>
              </w:sdtPr>
              <w:sdtEndPr>
                <w:rPr>
                  <w:rFonts w:hint="eastAsia" w:ascii="仿宋_GB2312" w:hAnsi="仿宋" w:eastAsia="仿宋_GB2312" w:cs="Arial"/>
                  <w:kern w:val="0"/>
                  <w:sz w:val="24"/>
                </w:rPr>
              </w:sdtEndPr>
              <w:sdtContent>
                <w:r>
                  <w:rPr>
                    <w:rFonts w:ascii="MS Gothic" w:hAnsi="MS Gothic" w:eastAsia="仿宋_GB2312" w:cs="Arial"/>
                    <w:kern w:val="0"/>
                    <w:sz w:val="24"/>
                  </w:rPr>
                  <w:sym w:font="Wingdings" w:char="F0FE"/>
                </w:r>
              </w:sdtContent>
            </w:sdt>
            <w:r>
              <w:rPr>
                <w:rFonts w:ascii="仿宋_GB2312" w:hAnsi="仿宋" w:eastAsia="仿宋_GB2312"/>
                <w:kern w:val="0"/>
                <w:sz w:val="24"/>
              </w:rPr>
              <w:t>否；</w:t>
            </w:r>
            <w:sdt>
              <w:sdtPr>
                <w:rPr>
                  <w:rFonts w:hint="eastAsia" w:ascii="仿宋_GB2312" w:hAnsi="仿宋" w:eastAsia="仿宋_GB2312" w:cs="Arial"/>
                  <w:kern w:val="0"/>
                  <w:sz w:val="24"/>
                </w:rPr>
                <w:id w:val="1621728433"/>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ascii="仿宋_GB2312" w:hAnsi="仿宋" w:eastAsia="仿宋_GB2312"/>
                <w:kern w:val="0"/>
                <w:sz w:val="24"/>
              </w:rPr>
              <w:t>是，检测机构的要求</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kern w:val="0"/>
                <w:sz w:val="24"/>
              </w:rPr>
              <w:t>；检测内容</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kern w:val="0"/>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提供样品的时间：</w:t>
            </w:r>
            <w:r>
              <w:rPr>
                <w:rFonts w:hint="eastAsia" w:ascii="仿宋_GB2312" w:hAnsi="仿宋" w:eastAsia="仿宋_GB2312"/>
                <w:sz w:val="24"/>
                <w:u w:val="single"/>
              </w:rPr>
              <w:t xml:space="preserve">    </w:t>
            </w:r>
            <w:r>
              <w:rPr>
                <w:rFonts w:hint="eastAsia" w:ascii="仿宋_GB2312" w:hAnsi="仿宋" w:eastAsia="仿宋_GB2312"/>
                <w:kern w:val="0"/>
                <w:sz w:val="24"/>
              </w:rPr>
              <w:t>；地点：</w:t>
            </w:r>
            <w:r>
              <w:rPr>
                <w:rFonts w:hint="eastAsia" w:ascii="仿宋_GB2312" w:hAnsi="仿宋" w:eastAsia="仿宋_GB2312"/>
                <w:sz w:val="24"/>
                <w:u w:val="single"/>
              </w:rPr>
              <w:t xml:space="preserve">    </w:t>
            </w:r>
            <w:r>
              <w:rPr>
                <w:rFonts w:hint="eastAsia" w:ascii="仿宋_GB2312" w:hAnsi="仿宋" w:eastAsia="仿宋_GB2312"/>
                <w:kern w:val="0"/>
                <w:sz w:val="24"/>
              </w:rPr>
              <w:t>；联系人</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sz w:val="24"/>
              </w:rPr>
              <w:t>，</w:t>
            </w:r>
            <w:r>
              <w:rPr>
                <w:rFonts w:hint="eastAsia" w:ascii="仿宋_GB2312" w:hAnsi="仿宋" w:eastAsia="仿宋_GB2312"/>
                <w:kern w:val="28"/>
                <w:sz w:val="24"/>
              </w:rPr>
              <w:t>联系电话：</w:t>
            </w:r>
            <w:r>
              <w:rPr>
                <w:rFonts w:hint="eastAsia" w:ascii="仿宋_GB2312" w:hAnsi="仿宋" w:eastAsia="仿宋_GB2312"/>
                <w:sz w:val="24"/>
                <w:u w:val="single"/>
              </w:rPr>
              <w:t xml:space="preserve">    </w:t>
            </w:r>
            <w:r>
              <w:rPr>
                <w:rFonts w:hint="eastAsia" w:ascii="仿宋_GB2312" w:hAnsi="仿宋" w:eastAsia="仿宋_GB2312"/>
                <w:sz w:val="24"/>
              </w:rPr>
              <w:t>。请投标人在上述时间内提供样品并按规定位置安装完毕。超过截止时间的，采购人或采购代理机构将不予接收，并将清场并封闭样品现场。</w:t>
            </w:r>
          </w:p>
          <w:p>
            <w:pPr>
              <w:spacing w:line="360" w:lineRule="auto"/>
              <w:rPr>
                <w:rFonts w:ascii="仿宋_GB2312" w:hAnsi="仿宋" w:eastAsia="仿宋_GB2312"/>
                <w:sz w:val="24"/>
              </w:rPr>
            </w:pPr>
            <w:r>
              <w:rPr>
                <w:rFonts w:ascii="仿宋_GB2312" w:hAnsi="仿宋" w:eastAsia="仿宋_GB2312"/>
                <w:sz w:val="24"/>
              </w:rPr>
              <w:t xml:space="preserve">   采购活动结束后，对于未中标人提供的样品，</w:t>
            </w:r>
            <w:r>
              <w:rPr>
                <w:rFonts w:hint="eastAsia" w:ascii="仿宋_GB2312" w:hAnsi="仿宋" w:eastAsia="仿宋_GB2312"/>
                <w:sz w:val="24"/>
              </w:rPr>
              <w:t>采购人、采购代理机构将通知</w:t>
            </w:r>
            <w:r>
              <w:rPr>
                <w:rFonts w:ascii="仿宋_GB2312" w:hAnsi="仿宋" w:eastAsia="仿宋_GB2312"/>
                <w:sz w:val="24"/>
              </w:rPr>
              <w:t>未中标人</w:t>
            </w:r>
            <w:r>
              <w:rPr>
                <w:rFonts w:hint="eastAsia" w:ascii="仿宋_GB2312" w:hAnsi="仿宋" w:eastAsia="仿宋_GB2312"/>
                <w:sz w:val="24"/>
              </w:rPr>
              <w:t>在规定的时间内取回，逾期未取回的，采购人、采购代理机构不负保管义务</w:t>
            </w:r>
            <w:r>
              <w:rPr>
                <w:rFonts w:ascii="仿宋_GB2312" w:hAnsi="仿宋" w:eastAsia="仿宋_GB2312"/>
                <w:sz w:val="24"/>
              </w:rPr>
              <w:t>；对于中标人提供的样品，</w:t>
            </w:r>
            <w:r>
              <w:rPr>
                <w:rFonts w:hint="eastAsia" w:ascii="仿宋_GB2312" w:hAnsi="仿宋" w:eastAsia="仿宋_GB2312"/>
                <w:sz w:val="24"/>
              </w:rPr>
              <w:t>采购人将进</w:t>
            </w:r>
            <w:r>
              <w:rPr>
                <w:rFonts w:ascii="仿宋_GB2312" w:hAnsi="仿宋" w:eastAsia="仿宋_GB2312"/>
                <w:sz w:val="24"/>
              </w:rPr>
              <w:t>行保管、封存，并作为履约验收的参考。</w:t>
            </w:r>
          </w:p>
          <w:p>
            <w:pPr>
              <w:spacing w:line="360" w:lineRule="auto"/>
              <w:ind w:firstLine="480" w:firstLineChars="200"/>
              <w:rPr>
                <w:rFonts w:ascii="仿宋_GB2312" w:hAnsi="仿宋" w:eastAsia="仿宋_GB2312"/>
                <w:b/>
                <w:sz w:val="24"/>
              </w:rPr>
            </w:pPr>
            <w:r>
              <w:rPr>
                <w:rFonts w:ascii="仿宋_GB2312" w:hAnsi="仿宋" w:eastAsia="仿宋_GB2312"/>
                <w:sz w:val="24"/>
              </w:rPr>
              <w:t>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377"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9</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sz w:val="24"/>
              </w:rPr>
            </w:pPr>
            <w:r>
              <w:rPr>
                <w:rFonts w:hint="eastAsia" w:ascii="仿宋_GB2312" w:hAnsi="仿宋" w:eastAsia="仿宋_GB2312" w:cs="仿宋_GB2312"/>
                <w:b/>
                <w:sz w:val="24"/>
              </w:rPr>
              <w:t>方案讲解演示</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859348549"/>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kern w:val="0"/>
                <w:sz w:val="24"/>
              </w:rPr>
            </w:pPr>
            <w:sdt>
              <w:sdtPr>
                <w:rPr>
                  <w:rFonts w:hint="eastAsia" w:ascii="仿宋_GB2312" w:hAnsi="仿宋" w:eastAsia="仿宋_GB2312" w:cs="Arial"/>
                  <w:kern w:val="0"/>
                  <w:sz w:val="24"/>
                </w:rPr>
                <w:id w:val="1174071719"/>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ascii="仿宋_GB2312" w:hAnsi="仿宋" w:eastAsia="仿宋_GB2312"/>
                <w:kern w:val="0"/>
                <w:sz w:val="24"/>
              </w:rPr>
              <w:t>B组织。</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本项目</w:t>
            </w:r>
            <w:r>
              <w:rPr>
                <w:rFonts w:ascii="仿宋_GB2312" w:hAnsi="仿宋" w:eastAsia="仿宋_GB2312"/>
                <w:kern w:val="0"/>
                <w:sz w:val="24"/>
              </w:rPr>
              <w:t>方案讲解演示</w:t>
            </w:r>
            <w:r>
              <w:rPr>
                <w:rFonts w:hint="eastAsia" w:ascii="仿宋_GB2312" w:hAnsi="仿宋" w:eastAsia="仿宋_GB2312"/>
                <w:kern w:val="0"/>
                <w:sz w:val="24"/>
              </w:rPr>
              <w:t>采用U盘或光盘演示。投标人须通过现场或邮寄方式递交此项目演示视频存储介质，请各投标人在邮寄过程中自行保护好隐私，并确保在投标截止时间前寄到收件人处。</w:t>
            </w:r>
            <w:r>
              <w:rPr>
                <w:rFonts w:ascii="仿宋_GB2312" w:hAnsi="仿宋" w:eastAsia="仿宋_GB2312"/>
                <w:kern w:val="0"/>
                <w:sz w:val="24"/>
              </w:rPr>
              <w:t>每个投标人</w:t>
            </w:r>
            <w:r>
              <w:rPr>
                <w:rFonts w:hint="eastAsia" w:ascii="仿宋_GB2312" w:hAnsi="仿宋" w:eastAsia="仿宋_GB2312"/>
                <w:kern w:val="0"/>
                <w:sz w:val="24"/>
              </w:rPr>
              <w:t>演示</w:t>
            </w:r>
            <w:r>
              <w:rPr>
                <w:rFonts w:ascii="仿宋_GB2312" w:hAnsi="仿宋" w:eastAsia="仿宋_GB2312"/>
                <w:kern w:val="0"/>
                <w:sz w:val="24"/>
              </w:rPr>
              <w:t>时间不超过20分钟。</w:t>
            </w:r>
          </w:p>
          <w:p>
            <w:pPr>
              <w:snapToGrid w:val="0"/>
              <w:spacing w:line="360" w:lineRule="auto"/>
              <w:rPr>
                <w:rFonts w:ascii="仿宋_GB2312" w:hAnsi="仿宋" w:eastAsia="仿宋_GB2312" w:cs="仿宋_GB2312"/>
                <w:b/>
                <w:kern w:val="0"/>
                <w:sz w:val="24"/>
                <w:lang w:val="zh-CN"/>
              </w:rPr>
            </w:pPr>
            <w:r>
              <w:rPr>
                <w:rFonts w:hint="eastAsia" w:ascii="仿宋_GB2312" w:hAnsi="仿宋" w:eastAsia="仿宋_GB2312"/>
                <w:kern w:val="0"/>
                <w:sz w:val="24"/>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FF0000"/>
                <w:sz w:val="24"/>
              </w:rPr>
            </w:pPr>
            <w:r>
              <w:rPr>
                <w:rFonts w:hint="eastAsia" w:ascii="仿宋_GB2312" w:hAnsi="仿宋" w:eastAsia="仿宋_GB2312" w:cs="仿宋_GB2312"/>
                <w:sz w:val="24"/>
              </w:rPr>
              <w:t>10</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保证金收取</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kern w:val="0"/>
                <w:sz w:val="24"/>
              </w:rPr>
            </w:pPr>
            <w:r>
              <w:rPr>
                <w:rFonts w:hint="eastAsia" w:ascii="仿宋_GB2312" w:hAnsi="仿宋" w:eastAsia="仿宋_GB2312"/>
                <w:kern w:val="0"/>
                <w:sz w:val="24"/>
              </w:rPr>
              <w:t>本项目不收取投标保证金。</w:t>
            </w:r>
          </w:p>
          <w:p>
            <w:pPr>
              <w:snapToGrid w:val="0"/>
              <w:spacing w:line="360" w:lineRule="auto"/>
            </w:pPr>
            <w:r>
              <w:rPr>
                <w:rFonts w:hint="eastAsia" w:ascii="仿宋_GB2312" w:hAnsi="仿宋" w:eastAsia="仿宋_GB2312"/>
                <w:kern w:val="0"/>
                <w:sz w:val="24"/>
              </w:rPr>
              <w:t>签订合同时，中标供应商须向采购人缴纳中标价</w:t>
            </w:r>
            <w:r>
              <w:rPr>
                <w:rFonts w:hint="eastAsia" w:ascii="仿宋_GB2312" w:hAnsi="仿宋" w:eastAsia="仿宋_GB2312"/>
                <w:kern w:val="0"/>
                <w:sz w:val="24"/>
                <w:u w:val="single"/>
              </w:rPr>
              <w:t>2.5%（不高于2</w:t>
            </w:r>
            <w:r>
              <w:rPr>
                <w:rFonts w:ascii="仿宋_GB2312" w:hAnsi="仿宋" w:eastAsia="仿宋_GB2312"/>
                <w:kern w:val="0"/>
                <w:sz w:val="24"/>
                <w:u w:val="single"/>
              </w:rPr>
              <w:t>.5</w:t>
            </w:r>
            <w:r>
              <w:rPr>
                <w:rFonts w:hint="eastAsia" w:ascii="仿宋_GB2312" w:hAnsi="仿宋" w:eastAsia="仿宋_GB2312"/>
                <w:kern w:val="0"/>
                <w:sz w:val="24"/>
                <w:u w:val="single"/>
              </w:rPr>
              <w:t>%）</w:t>
            </w:r>
            <w:r>
              <w:rPr>
                <w:rFonts w:hint="eastAsia" w:ascii="仿宋_GB2312" w:hAnsi="仿宋" w:eastAsia="仿宋_GB2312"/>
                <w:kern w:val="0"/>
                <w:sz w:val="24"/>
              </w:rPr>
              <w:t>的履约保证金。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11</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采购进口产品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pPr>
            <w:r>
              <w:rPr>
                <w:rFonts w:hint="eastAsia" w:ascii="仿宋_GB2312" w:hAnsi="仿宋" w:eastAsia="仿宋_GB2312" w:cs="Arial"/>
                <w:kern w:val="0"/>
                <w:sz w:val="24"/>
              </w:rPr>
              <w:t>除招标文件中（采购需求）有特别说明，一般不允许采购进口产品。如果招标文件允许采购进口产品（详见采购需求），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12</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项目属性与核心产品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18727868"/>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ascii="仿宋_GB2312" w:hAnsi="仿宋" w:eastAsia="仿宋_GB2312" w:cs="Arial"/>
                <w:kern w:val="0"/>
                <w:sz w:val="24"/>
              </w:rPr>
              <w:t>A</w:t>
            </w:r>
            <w:r>
              <w:rPr>
                <w:rFonts w:hint="eastAsia" w:ascii="仿宋_GB2312" w:hAnsi="仿宋" w:eastAsia="仿宋_GB2312"/>
                <w:sz w:val="24"/>
              </w:rPr>
              <w:t>货物类，单一产品或</w:t>
            </w:r>
            <w:r>
              <w:rPr>
                <w:rFonts w:hint="eastAsia" w:ascii="仿宋_GB2312" w:hAnsi="仿宋" w:eastAsia="仿宋_GB2312"/>
                <w:kern w:val="0"/>
                <w:sz w:val="24"/>
              </w:rPr>
              <w:t>核心产品为：</w:t>
            </w:r>
            <w:r>
              <w:rPr>
                <w:rFonts w:hint="eastAsia" w:ascii="仿宋_GB2312" w:hAnsi="仿宋" w:eastAsia="仿宋_GB2312"/>
                <w:sz w:val="24"/>
                <w:u w:val="single"/>
              </w:rPr>
              <w:t xml:space="preserve"> </w:t>
            </w:r>
            <w:r>
              <w:rPr>
                <w:rFonts w:hint="eastAsia" w:eastAsia="仿宋_GB2312" w:asciiTheme="minorHAnsi" w:hAnsiTheme="minorHAnsi"/>
                <w:sz w:val="24"/>
                <w:u w:val="single"/>
              </w:rPr>
              <w:t>/</w:t>
            </w:r>
            <w:r>
              <w:rPr>
                <w:rFonts w:hint="eastAsia" w:ascii="仿宋_GB2312" w:hAnsi="仿宋" w:eastAsia="仿宋_GB2312"/>
                <w:sz w:val="24"/>
                <w:u w:val="single"/>
              </w:rPr>
              <w:t xml:space="preserve"> </w:t>
            </w:r>
            <w:r>
              <w:rPr>
                <w:rFonts w:hint="eastAsia" w:ascii="仿宋_GB2312" w:hAnsi="仿宋" w:eastAsia="仿宋_GB2312"/>
                <w:sz w:val="24"/>
              </w:rPr>
              <w:t>。</w:t>
            </w:r>
          </w:p>
          <w:p>
            <w:pPr>
              <w:spacing w:line="360" w:lineRule="auto"/>
              <w:rPr>
                <w:rFonts w:ascii="仿宋_GB2312" w:hAnsi="仿宋" w:eastAsia="仿宋_GB2312"/>
                <w:sz w:val="24"/>
              </w:rPr>
            </w:pPr>
            <w:sdt>
              <w:sdtPr>
                <w:rPr>
                  <w:rFonts w:hint="eastAsia" w:ascii="仿宋_GB2312" w:hAnsi="仿宋" w:eastAsia="仿宋_GB2312" w:cs="Arial"/>
                  <w:kern w:val="0"/>
                  <w:sz w:val="24"/>
                </w:rPr>
                <w:id w:val="474885559"/>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ascii="仿宋_GB2312" w:hAnsi="仿宋" w:eastAsia="仿宋_GB2312" w:cs="Arial"/>
                <w:kern w:val="0"/>
                <w:sz w:val="24"/>
              </w:rPr>
              <w:t>B</w:t>
            </w:r>
            <w:r>
              <w:rPr>
                <w:rFonts w:hint="eastAsia" w:ascii="仿宋_GB2312" w:hAnsi="仿宋" w:eastAsia="仿宋_GB2312"/>
                <w:sz w:val="24"/>
              </w:rPr>
              <w:t>服务类：</w:t>
            </w:r>
            <w:r>
              <w:rPr>
                <w:rFonts w:hint="eastAsia" w:ascii="仿宋_GB2312" w:hAnsi="仿宋" w:eastAsia="仿宋_GB2312"/>
                <w:sz w:val="24"/>
                <w:u w:val="single"/>
              </w:rPr>
              <w:t xml:space="preserve">    </w:t>
            </w:r>
            <w:r>
              <w:rPr>
                <w:rFonts w:hint="eastAsia" w:ascii="仿宋_GB2312" w:hAnsi="仿宋" w:eastAsia="仿宋_GB2312"/>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7"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13</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中小企业划分标准所属行业</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cs="Arial"/>
                <w:kern w:val="0"/>
                <w:sz w:val="24"/>
              </w:rPr>
            </w:pPr>
            <w:r>
              <w:rPr>
                <w:rFonts w:hint="eastAsia" w:ascii="仿宋_GB2312" w:hAnsi="仿宋" w:eastAsia="仿宋_GB2312" w:cs="Arial"/>
                <w:kern w:val="0"/>
                <w:sz w:val="24"/>
              </w:rPr>
              <w:t>属于</w:t>
            </w:r>
            <w:r>
              <w:rPr>
                <w:rFonts w:hint="eastAsia" w:ascii="仿宋_GB2312" w:hAnsi="仿宋" w:eastAsia="仿宋_GB2312" w:cs="Arial"/>
                <w:kern w:val="0"/>
                <w:sz w:val="24"/>
                <w:u w:val="single"/>
              </w:rPr>
              <w:t>工业</w:t>
            </w:r>
            <w:r>
              <w:rPr>
                <w:rFonts w:hint="eastAsia" w:ascii="仿宋_GB2312" w:hAnsi="仿宋" w:eastAsia="仿宋_GB2312" w:cs="Arial"/>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17" w:hRule="atLeast"/>
          <w:tblHeader/>
          <w:jc w:val="center"/>
        </w:trPr>
        <w:tc>
          <w:tcPr>
            <w:tcW w:w="698" w:type="dxa"/>
            <w:tcBorders>
              <w:top w:val="single" w:color="auto" w:sz="4" w:space="0"/>
              <w:left w:val="single" w:color="000000" w:sz="8"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rPr>
              <w:t>4</w:t>
            </w:r>
          </w:p>
        </w:tc>
        <w:tc>
          <w:tcPr>
            <w:tcW w:w="1760" w:type="dxa"/>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中小企业信用</w:t>
            </w:r>
          </w:p>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融资</w:t>
            </w:r>
          </w:p>
        </w:tc>
        <w:tc>
          <w:tcPr>
            <w:tcW w:w="7125" w:type="dxa"/>
            <w:tcBorders>
              <w:top w:val="single" w:color="000000" w:sz="8" w:space="0"/>
              <w:left w:val="single" w:color="000000" w:sz="2"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napToGrid w:val="0"/>
                <w:kern w:val="28"/>
                <w:sz w:val="24"/>
              </w:rPr>
              <w:t xml:space="preserve">    供应商中标后可在政府采购云平台申请政采贷：操作路径：登录政府采购云平台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05"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rPr>
              <w:t>5</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备份投标文件送达地点</w:t>
            </w:r>
            <w:r>
              <w:rPr>
                <w:rFonts w:ascii="仿宋_GB2312" w:hAnsi="仿宋" w:eastAsia="仿宋_GB2312" w:cs="仿宋_GB2312"/>
                <w:b/>
                <w:sz w:val="24"/>
              </w:rPr>
              <w:t xml:space="preserve"> </w:t>
            </w:r>
          </w:p>
        </w:tc>
        <w:tc>
          <w:tcPr>
            <w:tcW w:w="712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ascii="仿宋_GB2312" w:hAnsi="仿宋" w:eastAsia="仿宋_GB2312" w:cs="仿宋_GB2312"/>
                <w:b/>
                <w:snapToGrid/>
                <w:sz w:val="24"/>
                <w:szCs w:val="24"/>
              </w:rPr>
            </w:pPr>
            <w:r>
              <w:rPr>
                <w:rFonts w:ascii="仿宋_GB2312" w:hAnsi="仿宋" w:eastAsia="仿宋_GB2312" w:cs="仿宋_GB2312"/>
                <w:b/>
                <w:snapToGrid/>
                <w:sz w:val="24"/>
                <w:szCs w:val="24"/>
              </w:rPr>
              <w:t>诸暨市公共资源交易中心邮箱（</w:t>
            </w:r>
            <w:r>
              <w:fldChar w:fldCharType="begin"/>
            </w:r>
            <w:r>
              <w:instrText xml:space="preserve"> HYPERLINK "mailto:zjztb001@aliyun.com" </w:instrText>
            </w:r>
            <w:r>
              <w:fldChar w:fldCharType="separate"/>
            </w:r>
            <w:r>
              <w:rPr>
                <w:rStyle w:val="76"/>
                <w:rFonts w:ascii="仿宋_GB2312" w:hAnsi="仿宋" w:eastAsia="仿宋_GB2312" w:cs="仿宋_GB2312"/>
                <w:b/>
                <w:kern w:val="2"/>
                <w:sz w:val="24"/>
                <w:szCs w:val="24"/>
              </w:rPr>
              <w:t>zjztb001@aliyun.com</w:t>
            </w:r>
            <w:r>
              <w:rPr>
                <w:rStyle w:val="76"/>
                <w:rFonts w:ascii="仿宋_GB2312" w:hAnsi="仿宋" w:eastAsia="仿宋_GB2312" w:cs="仿宋_GB2312"/>
                <w:b/>
                <w:kern w:val="2"/>
                <w:sz w:val="24"/>
                <w:szCs w:val="24"/>
              </w:rPr>
              <w:fldChar w:fldCharType="end"/>
            </w:r>
            <w:r>
              <w:rPr>
                <w:rFonts w:ascii="仿宋_GB2312" w:hAnsi="仿宋" w:eastAsia="仿宋_GB2312" w:cs="仿宋_GB2312"/>
                <w:b/>
                <w:snapToGrid/>
                <w:sz w:val="24"/>
                <w:szCs w:val="24"/>
              </w:rPr>
              <w:t>）</w:t>
            </w:r>
            <w:r>
              <w:rPr>
                <w:rFonts w:hint="eastAsia" w:ascii="仿宋_GB2312" w:hAnsi="仿宋" w:eastAsia="仿宋_GB2312" w:cs="仿宋_GB2312"/>
                <w:b/>
                <w:snapToGrid/>
                <w:sz w:val="24"/>
                <w:szCs w:val="24"/>
              </w:rPr>
              <w:t>。</w:t>
            </w:r>
          </w:p>
          <w:p>
            <w:pPr>
              <w:pStyle w:val="32"/>
              <w:spacing w:line="360" w:lineRule="auto"/>
              <w:rPr>
                <w:rFonts w:ascii="仿宋_GB2312" w:hAnsi="仿宋" w:eastAsia="仿宋_GB2312"/>
                <w:kern w:val="28"/>
                <w:sz w:val="24"/>
              </w:rPr>
            </w:pPr>
            <w:r>
              <w:rPr>
                <w:rFonts w:hint="eastAsia" w:ascii="仿宋_GB2312" w:hAnsi="仿宋" w:eastAsia="仿宋_GB2312" w:cs="仿宋_GB2312"/>
                <w:b/>
                <w:snapToGrid/>
                <w:sz w:val="24"/>
                <w:szCs w:val="24"/>
              </w:rPr>
              <w:t>注：本邮箱仅接受备份投标文件，其余文件不予受理。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rPr>
              <w:t>6</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特别说明</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kern w:val="28"/>
                <w:sz w:val="24"/>
              </w:rPr>
            </w:pPr>
            <w:r>
              <w:rPr>
                <w:rFonts w:hint="eastAsia"/>
                <w:b/>
                <w:bCs/>
              </w:rPr>
              <w:t>……</w:t>
            </w:r>
          </w:p>
        </w:tc>
      </w:tr>
    </w:tbl>
    <w:p/>
    <w:p/>
    <w:p/>
    <w:p/>
    <w:p/>
    <w:p/>
    <w:p/>
    <w:p/>
    <w:p/>
    <w:p/>
    <w:p>
      <w:pPr>
        <w:pStyle w:val="2"/>
        <w:rPr>
          <w:lang w:val="en-US"/>
        </w:rPr>
      </w:pPr>
    </w:p>
    <w:p/>
    <w:p>
      <w:pPr>
        <w:pStyle w:val="2"/>
        <w:rPr>
          <w:lang w:val="en-US"/>
        </w:rPr>
      </w:pPr>
    </w:p>
    <w:p/>
    <w:p/>
    <w:p/>
    <w:p>
      <w:pPr>
        <w:pStyle w:val="2"/>
        <w:rPr>
          <w:lang w:val="en-US"/>
        </w:rPr>
      </w:pPr>
    </w:p>
    <w:bookmarkEnd w:id="10"/>
    <w:p>
      <w:pPr>
        <w:adjustRightInd/>
        <w:spacing w:line="360" w:lineRule="auto"/>
        <w:ind w:firstLine="3845" w:firstLineChars="1197"/>
        <w:outlineLvl w:val="0"/>
        <w:rPr>
          <w:rFonts w:ascii="仿宋_GB2312" w:hAnsi="仿宋" w:eastAsia="仿宋_GB2312" w:cs="仿宋_GB2312"/>
          <w:b/>
          <w:sz w:val="32"/>
          <w:szCs w:val="20"/>
        </w:rPr>
      </w:pPr>
      <w:bookmarkStart w:id="11" w:name="第三部分"/>
      <w:bookmarkStart w:id="12" w:name="_Toc164416483"/>
      <w:r>
        <w:rPr>
          <w:rFonts w:hint="eastAsia" w:ascii="仿宋_GB2312" w:hAnsi="仿宋" w:eastAsia="仿宋_GB2312" w:cs="仿宋_GB2312"/>
          <w:b/>
          <w:sz w:val="32"/>
          <w:szCs w:val="20"/>
        </w:rPr>
        <w:t>一、总则</w:t>
      </w:r>
    </w:p>
    <w:p>
      <w:pPr>
        <w:snapToGrid w:val="0"/>
        <w:spacing w:line="360" w:lineRule="auto"/>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“采购代理机构”系指招标公告中载明的本项目的采购代理机构。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_GB2312" w:hAnsi="仿宋" w:eastAsia="仿宋_GB2312"/>
          <w:sz w:val="24"/>
        </w:rPr>
        <w:t>“公章”系指单位法定名称章。</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系指实质性要求条款，“</w:t>
      </w:r>
      <w:sdt>
        <w:sdtPr>
          <w:rPr>
            <w:rFonts w:hint="eastAsia" w:ascii="仿宋_GB2312" w:hAnsi="仿宋" w:eastAsia="仿宋_GB2312"/>
            <w:sz w:val="24"/>
          </w:rPr>
          <w:id w:val="512970236"/>
        </w:sdtPr>
        <w:sdtEndPr>
          <w:rPr>
            <w:rFonts w:hint="eastAsia" w:ascii="仿宋_GB2312" w:hAnsi="仿宋" w:eastAsia="仿宋_GB2312"/>
            <w:sz w:val="24"/>
          </w:rPr>
        </w:sdtEndPr>
        <w:sdtContent>
          <w:sdt>
            <w:sdtPr>
              <w:rPr>
                <w:rFonts w:hint="eastAsia" w:ascii="仿宋_GB2312" w:hAnsi="仿宋" w:eastAsia="仿宋_GB2312" w:cs="Arial"/>
                <w:kern w:val="0"/>
                <w:sz w:val="24"/>
              </w:rPr>
              <w:id w:val="-1828113808"/>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系指适用本项目的要求，“</w:t>
      </w:r>
      <w:sdt>
        <w:sdtPr>
          <w:rPr>
            <w:rFonts w:hint="eastAsia" w:ascii="仿宋_GB2312" w:hAnsi="仿宋" w:eastAsia="仿宋_GB2312"/>
            <w:sz w:val="24"/>
          </w:rPr>
          <w:id w:val="404888855"/>
        </w:sdtPr>
        <w:sdtEndPr>
          <w:rPr>
            <w:rFonts w:hint="eastAsia" w:ascii="仿宋_GB2312" w:hAnsi="仿宋" w:eastAsia="仿宋_GB2312"/>
            <w:sz w:val="24"/>
          </w:rPr>
        </w:sdtEndPr>
        <w:sdtContent>
          <w:r>
            <w:rPr>
              <w:rFonts w:ascii="仿宋_GB2312" w:hAnsi="仿宋" w:eastAsia="仿宋_GB2312"/>
              <w:sz w:val="24"/>
            </w:rPr>
            <w:t>☐</w:t>
          </w:r>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系指不适用本项目的要求。</w:t>
      </w:r>
    </w:p>
    <w:p>
      <w:pPr>
        <w:spacing w:line="360" w:lineRule="auto"/>
        <w:rPr>
          <w:rFonts w:ascii="仿宋_GB2312" w:hAnsi="仿宋" w:eastAsia="仿宋_GB2312"/>
          <w:sz w:val="24"/>
        </w:rPr>
      </w:pPr>
      <w:r>
        <w:rPr>
          <w:rFonts w:ascii="仿宋_GB2312" w:hAnsi="仿宋" w:eastAsia="仿宋_GB2312"/>
          <w:b/>
          <w:sz w:val="24"/>
        </w:rPr>
        <w:t>3.</w:t>
      </w:r>
      <w:r>
        <w:rPr>
          <w:rFonts w:ascii="仿宋_GB2312" w:hAnsi="仿宋" w:eastAsia="仿宋_GB2312"/>
        </w:rPr>
        <w:t xml:space="preserve"> </w:t>
      </w:r>
      <w:r>
        <w:rPr>
          <w:rFonts w:hint="eastAsia" w:ascii="仿宋_GB2312" w:hAnsi="仿宋" w:eastAsia="仿宋_GB2312"/>
          <w:b/>
          <w:sz w:val="24"/>
        </w:rPr>
        <w:t>采购项目需要落实的政府采购政策</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w:t>
      </w:r>
      <w:r>
        <w:rPr>
          <w:rFonts w:hint="eastAsia" w:ascii="仿宋_GB2312" w:hAnsi="宋体" w:eastAsia="仿宋_GB2312" w:cs="宋体"/>
          <w:kern w:val="0"/>
          <w:sz w:val="24"/>
        </w:rPr>
        <w:t>民法典</w:t>
      </w:r>
      <w:r>
        <w:rPr>
          <w:rFonts w:ascii="仿宋_GB2312" w:hAnsi="宋体" w:eastAsia="仿宋_GB2312" w:cs="宋体"/>
          <w:kern w:val="0"/>
          <w:sz w:val="24"/>
        </w:rPr>
        <w:t>》订立劳动合同的从业人员。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sz w:val="24"/>
        </w:rPr>
        <w:t>10%的扣除，用扣除后的价格参与评审。接受大中型企业与小微企业组成联合体或者允许大中型企业向一家或者多家小微企业分包的</w:t>
      </w:r>
      <w:r>
        <w:rPr>
          <w:rFonts w:hint="eastAsia" w:ascii="仿宋_GB2312" w:hAnsi="仿宋" w:eastAsia="仿宋_GB2312"/>
          <w:sz w:val="24"/>
        </w:rPr>
        <w:t>政府</w:t>
      </w:r>
      <w:r>
        <w:rPr>
          <w:rFonts w:ascii="仿宋_GB2312" w:hAnsi="仿宋" w:eastAsia="仿宋_GB2312"/>
          <w:sz w:val="24"/>
        </w:rPr>
        <w:t>采购</w:t>
      </w:r>
      <w:r>
        <w:rPr>
          <w:rFonts w:hint="eastAsia" w:ascii="仿宋_GB2312" w:hAnsi="仿宋" w:eastAsia="仿宋_GB2312"/>
          <w:sz w:val="24"/>
        </w:rPr>
        <w:t>货物或服务</w:t>
      </w:r>
      <w:r>
        <w:rPr>
          <w:rFonts w:ascii="仿宋_GB2312" w:hAnsi="仿宋" w:eastAsia="仿宋_GB2312"/>
          <w:sz w:val="24"/>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或未按照要求提供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ascii="仿宋_GB2312" w:hAnsi="仿宋" w:eastAsia="仿宋_GB2312"/>
          <w:sz w:val="24"/>
        </w:rPr>
        <w:t>3.3.</w:t>
      </w:r>
      <w:r>
        <w:rPr>
          <w:rFonts w:hint="eastAsia" w:ascii="仿宋_GB2312" w:hAnsi="仿宋" w:eastAsia="仿宋_GB2312"/>
          <w:sz w:val="24"/>
        </w:rPr>
        <w:t>8采购人严格贯彻落实《保障中小企业款项支付条例》，按规定向中小企业支付款项。</w:t>
      </w:r>
    </w:p>
    <w:p>
      <w:pPr>
        <w:spacing w:line="360" w:lineRule="auto"/>
        <w:ind w:firstLine="480" w:firstLineChars="200"/>
        <w:rPr>
          <w:rFonts w:ascii="仿宋_GB2312" w:hAnsi="仿宋" w:eastAsia="仿宋_GB2312"/>
          <w:sz w:val="24"/>
        </w:rPr>
      </w:pPr>
      <w:r>
        <w:rPr>
          <w:rFonts w:ascii="仿宋_GB2312" w:hAnsi="仿宋" w:eastAsia="仿宋_GB2312"/>
          <w:sz w:val="24"/>
        </w:rPr>
        <w:t>3.3.9中小企业信用融资：</w:t>
      </w:r>
      <w:r>
        <w:rPr>
          <w:rFonts w:hint="eastAsia" w:ascii="仿宋_GB2312" w:hAnsi="仿宋" w:eastAsia="仿宋_GB2312"/>
          <w:sz w:val="24"/>
        </w:rPr>
        <w:t>供应商中标后可在政府采购云平台申请政采贷：操作路径：登录政府采购云平台-金融服务中心-【融资服务】。</w:t>
      </w:r>
    </w:p>
    <w:p>
      <w:pPr>
        <w:spacing w:line="360" w:lineRule="auto"/>
        <w:ind w:firstLine="480" w:firstLineChars="2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 采购人优先采购被认定</w:t>
      </w:r>
      <w:r>
        <w:rPr>
          <w:rFonts w:hint="eastAsia" w:ascii="仿宋_GB2312" w:hAnsi="仿宋" w:eastAsia="仿宋_GB2312"/>
          <w:sz w:val="24"/>
        </w:rPr>
        <w:t>为首台套产品和“制造精品”的自主创新产品。</w:t>
      </w:r>
    </w:p>
    <w:p>
      <w:pPr>
        <w:spacing w:line="360" w:lineRule="auto"/>
        <w:ind w:firstLine="480" w:firstLineChars="200"/>
        <w:rPr>
          <w:rFonts w:ascii="仿宋_GB2312" w:hAnsi="仿宋" w:eastAsia="仿宋_GB2312"/>
          <w:sz w:val="24"/>
        </w:rPr>
      </w:pPr>
      <w:r>
        <w:rPr>
          <w:rFonts w:ascii="仿宋_GB2312" w:hAnsi="仿宋" w:eastAsia="仿宋_GB2312"/>
          <w:sz w:val="24"/>
        </w:rPr>
        <w:t>3.4.2首台套产品</w:t>
      </w:r>
      <w:r>
        <w:rPr>
          <w:rFonts w:hint="eastAsia" w:ascii="仿宋_GB2312" w:hAnsi="仿宋" w:eastAsia="仿宋_GB2312"/>
          <w:sz w:val="24"/>
        </w:rPr>
        <w:t>被纳入《首台套产品推广应用指导目录》之日起</w:t>
      </w:r>
      <w:r>
        <w:rPr>
          <w:rFonts w:ascii="仿宋_GB2312" w:hAnsi="仿宋" w:eastAsia="仿宋_GB2312"/>
          <w:sz w:val="24"/>
        </w:rPr>
        <w:t>2年内，以及产品核心技术高于国内领先水平，并具有明晰自主知识产权的“制造精品”产品，</w:t>
      </w:r>
      <w:r>
        <w:rPr>
          <w:rFonts w:hint="eastAsia" w:ascii="仿宋_GB2312" w:hAnsi="仿宋" w:eastAsia="仿宋_GB2312"/>
          <w:sz w:val="24"/>
        </w:rPr>
        <w:t>自认定之日起</w:t>
      </w:r>
      <w:r>
        <w:rPr>
          <w:rFonts w:ascii="仿宋_GB2312" w:hAnsi="仿宋" w:eastAsia="仿宋_GB2312"/>
          <w:sz w:val="24"/>
        </w:rPr>
        <w:t>2年内视同已具备相应销售业绩，参加政府采购活动</w:t>
      </w:r>
      <w:r>
        <w:rPr>
          <w:rFonts w:hint="eastAsia" w:ascii="仿宋_GB2312" w:hAnsi="仿宋" w:eastAsia="仿宋_GB2312"/>
          <w:sz w:val="24"/>
        </w:rPr>
        <w:t>时业绩分值为满分。</w:t>
      </w:r>
    </w:p>
    <w:p>
      <w:pPr>
        <w:spacing w:line="360" w:lineRule="auto"/>
        <w:rPr>
          <w:rFonts w:ascii="仿宋_GB2312" w:hAnsi="仿宋" w:eastAsia="仿宋_GB2312"/>
          <w:sz w:val="24"/>
        </w:rPr>
      </w:pPr>
      <w:r>
        <w:rPr>
          <w:rFonts w:ascii="仿宋_GB2312" w:hAnsi="仿宋" w:eastAsia="仿宋_GB2312"/>
          <w:b/>
          <w:sz w:val="24"/>
        </w:rPr>
        <w:t xml:space="preserve">4. </w:t>
      </w:r>
      <w:r>
        <w:rPr>
          <w:rFonts w:hint="eastAsia" w:ascii="仿宋_GB2312" w:hAnsi="仿宋" w:eastAsia="仿宋_GB2312"/>
          <w:b/>
          <w:sz w:val="24"/>
        </w:rPr>
        <w:t>询问、质疑、投诉</w:t>
      </w:r>
    </w:p>
    <w:p>
      <w:pPr>
        <w:spacing w:line="360" w:lineRule="auto"/>
        <w:ind w:firstLine="480" w:firstLineChars="200"/>
        <w:rPr>
          <w:rFonts w:ascii="仿宋_GB2312" w:hAnsi="仿宋" w:eastAsia="仿宋_GB2312"/>
          <w:b/>
          <w:sz w:val="24"/>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2"/>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w:t>
      </w:r>
      <w:r>
        <w:rPr>
          <w:rFonts w:hint="eastAsia" w:ascii="仿宋_GB2312" w:hAnsi="仿宋" w:eastAsia="仿宋_GB2312"/>
          <w:sz w:val="24"/>
        </w:rPr>
        <w:t>7</w:t>
      </w:r>
      <w:r>
        <w:rPr>
          <w:rFonts w:ascii="仿宋_GB2312" w:hAnsi="仿宋" w:eastAsia="仿宋_GB2312"/>
          <w:sz w:val="24"/>
        </w:rPr>
        <w:t>个工作日内，以书面形式向采购人或者采购代理机构提出质疑，否则，采购人或者采购代理机构不予受理</w:t>
      </w:r>
      <w:r>
        <w:rPr>
          <w:rFonts w:hint="eastAsia" w:ascii="仿宋_GB2312" w:hAnsi="仿宋" w:eastAsia="仿宋_GB2312"/>
          <w:sz w:val="24"/>
        </w:rPr>
        <w:t>：</w:t>
      </w:r>
    </w:p>
    <w:p>
      <w:pPr>
        <w:pStyle w:val="5"/>
        <w:spacing w:line="360" w:lineRule="auto"/>
        <w:ind w:firstLine="480" w:firstLineChars="200"/>
        <w:rPr>
          <w:rFonts w:ascii="仿宋_GB2312" w:hAnsi="仿宋" w:eastAsia="仿宋_GB2312"/>
          <w:snapToGrid/>
          <w:color w:val="auto"/>
          <w:kern w:val="2"/>
          <w:sz w:val="24"/>
        </w:rPr>
      </w:pPr>
      <w:r>
        <w:rPr>
          <w:rFonts w:ascii="仿宋_GB2312" w:hAnsi="仿宋" w:eastAsia="仿宋_GB2312"/>
          <w:snapToGrid/>
          <w:color w:val="auto"/>
          <w:kern w:val="2"/>
          <w:sz w:val="24"/>
        </w:rPr>
        <w:t>4.2.2.1对招标文件提出质疑的，质疑期限为供应商获得招标文件之日或者招标文件公告期限届满之日起计算。</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2"/>
        <w:spacing w:line="360" w:lineRule="auto"/>
        <w:ind w:firstLine="482" w:firstLineChars="200"/>
        <w:rPr>
          <w:rFonts w:ascii="仿宋_GB2312" w:hAnsi="仿宋" w:eastAsia="仿宋_GB2312"/>
          <w:b/>
          <w:sz w:val="24"/>
        </w:rPr>
      </w:pPr>
      <w:r>
        <w:rPr>
          <w:rFonts w:ascii="仿宋_GB2312" w:hAnsi="仿宋" w:eastAsia="仿宋_GB2312"/>
          <w:b/>
          <w:sz w:val="24"/>
        </w:rPr>
        <w:t>4.2.2.</w:t>
      </w:r>
      <w:r>
        <w:rPr>
          <w:rFonts w:hint="eastAsia" w:ascii="仿宋_GB2312" w:hAnsi="仿宋" w:eastAsia="仿宋_GB2312"/>
          <w:b/>
          <w:sz w:val="24"/>
        </w:rPr>
        <w:t>4针对采购文件中特定资格条件、采购需求、评分办法提出的质疑，应向采购人提出；对采购文件中其他内容、采购过程、采购结果提出的质疑，应向采购代理机构提出。</w:t>
      </w:r>
    </w:p>
    <w:p>
      <w:pPr>
        <w:pStyle w:val="32"/>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2"/>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2"/>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2"/>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2"/>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2"/>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2"/>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3.6</w:t>
      </w:r>
      <w:r>
        <w:rPr>
          <w:rFonts w:hint="eastAsia" w:ascii="仿宋_GB2312" w:hAnsi="仿宋" w:eastAsia="仿宋_GB2312"/>
          <w:sz w:val="24"/>
        </w:rPr>
        <w:t>提出质疑的日期。</w:t>
      </w:r>
    </w:p>
    <w:p>
      <w:pPr>
        <w:pStyle w:val="32"/>
        <w:spacing w:line="360" w:lineRule="auto"/>
        <w:ind w:firstLine="480" w:firstLineChars="200"/>
        <w:rPr>
          <w:rFonts w:ascii="仿宋_GB2312" w:hAnsi="仿宋" w:eastAsia="仿宋_GB2312"/>
          <w:sz w:val="24"/>
        </w:rPr>
      </w:pPr>
      <w:r>
        <w:rPr>
          <w:rFonts w:hint="eastAsia" w:ascii="仿宋_GB2312" w:hAnsi="仿宋" w:eastAsia="仿宋_GB2312"/>
          <w:sz w:val="24"/>
        </w:rPr>
        <w:t>供应商提交的质疑函需一式三份。供应商为自然人的，应当由本人签字；供应商为法人或者其他组织的，应当由法定代表人、主要负责人，或者其授权代表签字或者盖章，并加盖公章。质疑函范本及制作说明详见《质疑函范本》（附件2）</w:t>
      </w:r>
      <w:r>
        <w:rPr>
          <w:rFonts w:ascii="仿宋_GB2312" w:hAnsi="仿宋" w:eastAsia="仿宋_GB2312"/>
          <w:sz w:val="24"/>
        </w:rPr>
        <w:t>。</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4.2.4</w:t>
      </w:r>
      <w:r>
        <w:rPr>
          <w:rFonts w:hint="eastAsia" w:ascii="仿宋_GB2312" w:hAnsi="仿宋" w:eastAsia="仿宋_GB2312"/>
          <w:sz w:val="24"/>
        </w:rPr>
        <w:t>采购人或者采购代理机构应当在收到供应商的书面质疑后七个工作日内作出答复，并以书面形式通知质疑供应商和其他与质疑处理结果有利害关系的政府采购当事人，但答复的内容不得涉及商业秘密。采购人或者采购代理机构在质疑回复后</w:t>
      </w:r>
      <w:r>
        <w:rPr>
          <w:rFonts w:ascii="仿宋_GB2312" w:hAnsi="仿宋" w:eastAsia="仿宋_GB2312"/>
          <w:sz w:val="24"/>
        </w:rPr>
        <w:t>5个工作日内，在浙江政府采购网的“其他公告”栏目公开质疑答复，答复内容应当完整。质疑</w:t>
      </w:r>
      <w:r>
        <w:rPr>
          <w:rFonts w:hint="eastAsia" w:ascii="仿宋_GB2312" w:hAnsi="仿宋" w:eastAsia="仿宋_GB2312"/>
          <w:sz w:val="24"/>
        </w:rPr>
        <w:t>函作为附件上传。</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4.2.5询问或者质疑事项可能影响采购结果的，采购人应当暂停签订合同，已经签订合同的，应当中止履行合同。</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4.3</w:t>
      </w:r>
      <w:r>
        <w:rPr>
          <w:rFonts w:hint="eastAsia" w:ascii="仿宋_GB2312" w:hAnsi="仿宋" w:eastAsia="仿宋_GB2312"/>
          <w:sz w:val="24"/>
        </w:rPr>
        <w:t>质疑</w:t>
      </w:r>
      <w:r>
        <w:rPr>
          <w:rFonts w:ascii="仿宋_GB2312" w:hAnsi="仿宋" w:eastAsia="仿宋_GB2312"/>
          <w:sz w:val="24"/>
        </w:rPr>
        <w:t>供应商投诉</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4.3.1质疑供应商对采购人、采购代理机构的答复不满意或者采购人、采购代理机构未在规定的时间内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作出答复的，可以在答复期满后十五个工作日内向同级政府采购监督管理部门提出投诉。</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4.3.2</w:t>
      </w:r>
      <w:r>
        <w:rPr>
          <w:rFonts w:hint="eastAsia" w:ascii="仿宋_GB2312" w:hAnsi="仿宋" w:eastAsia="仿宋_GB2312"/>
          <w:sz w:val="24"/>
        </w:rPr>
        <w:t>供应商投诉的事项不得超出已质疑事项的范围，基于质疑答复内容提出的投诉事项除外。</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4.3.3供应</w:t>
      </w:r>
      <w:r>
        <w:rPr>
          <w:rFonts w:hint="eastAsia" w:ascii="仿宋_GB2312" w:hAnsi="仿宋" w:eastAsia="仿宋_GB2312"/>
          <w:sz w:val="24"/>
        </w:rPr>
        <w:t>商投诉应当有明确的请求和必要的证明材料。</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 xml:space="preserve">4.3.5 </w:t>
      </w:r>
      <w:r>
        <w:rPr>
          <w:rFonts w:hint="eastAsia" w:ascii="仿宋_GB2312" w:hAnsi="仿宋" w:eastAsia="仿宋_GB2312"/>
          <w:sz w:val="24"/>
        </w:rPr>
        <w:t>以联合体形式参加政府采购活动的，其投诉应当由组成联合体的所有供应商共同提出。投诉书范本及制作说明详见附件</w:t>
      </w:r>
      <w:r>
        <w:rPr>
          <w:rFonts w:ascii="仿宋_GB2312" w:hAnsi="仿宋" w:eastAsia="仿宋_GB2312"/>
          <w:sz w:val="24"/>
        </w:rPr>
        <w:t>3。</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4.4</w:t>
      </w:r>
      <w:r>
        <w:rPr>
          <w:rFonts w:hint="eastAsia" w:ascii="仿宋_GB2312" w:hAnsi="仿宋" w:eastAsia="仿宋_GB2312"/>
          <w:sz w:val="24"/>
        </w:rPr>
        <w:t>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w:t>
      </w:r>
      <w:r>
        <w:rPr>
          <w:rFonts w:hint="eastAsia" w:ascii="仿宋_GB2312" w:hAnsi="仿宋" w:eastAsia="仿宋_GB2312" w:cs="仿宋_GB2312"/>
          <w:b/>
          <w:sz w:val="32"/>
          <w:szCs w:val="20"/>
        </w:rPr>
        <w:t>补充、</w:t>
      </w:r>
      <w:r>
        <w:rPr>
          <w:rFonts w:ascii="仿宋_GB2312" w:hAnsi="仿宋" w:eastAsia="仿宋_GB2312" w:cs="仿宋_GB2312"/>
          <w:b/>
          <w:sz w:val="32"/>
          <w:szCs w:val="20"/>
        </w:rPr>
        <w:t>修改</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2"/>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2"/>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2"/>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2"/>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2"/>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2"/>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2"/>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澄清、补充、修改的内容为招标文件的组成部分</w:t>
      </w:r>
      <w:r>
        <w:rPr>
          <w:rFonts w:hint="eastAsia" w:ascii="仿宋_GB2312" w:hAnsi="仿宋" w:eastAsia="仿宋_GB2312" w:cs="仿宋_GB2312"/>
          <w:sz w:val="24"/>
        </w:rPr>
        <w:t>。</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招标文件的澄清、补充、修改</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6.1已获取招标文件的潜在投标人，若有问题需要澄清，应于投标截止时间前，以书面形式向采购代理机构提出。</w:t>
      </w:r>
    </w:p>
    <w:p>
      <w:pPr>
        <w:pStyle w:val="128"/>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采购代理机构对招标文件进行澄清、补充、修改的，将以网上发布补充（更正）公告的形式通知所有潜在投标人，同时视情况延长投标截止时间和开标时间。该澄清、补充、修改的内容为招标文件的组成部分。</w:t>
      </w:r>
    </w:p>
    <w:p>
      <w:pPr>
        <w:pStyle w:val="128"/>
        <w:snapToGrid w:val="0"/>
        <w:spacing w:before="0"/>
        <w:ind w:firstLine="480"/>
        <w:rPr>
          <w:rFonts w:ascii="仿宋_GB2312" w:hAnsi="仿宋" w:eastAsia="仿宋_GB2312"/>
        </w:rPr>
      </w:pPr>
      <w:r>
        <w:rPr>
          <w:rFonts w:hint="eastAsia" w:ascii="仿宋_GB2312" w:hAnsi="仿宋" w:eastAsia="仿宋_GB2312"/>
        </w:rPr>
        <w:t>6.3当招标文件与澄清、补充、修改就同一内容表述不一致的以最后发出的文件或公告为准。</w:t>
      </w: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2"/>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2"/>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5"/>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2" w:firstLineChars="200"/>
        <w:rPr>
          <w:rFonts w:ascii="仿宋_GB2312" w:hAnsi="仿宋" w:eastAsia="仿宋_GB2312" w:cs="仿宋_GB2312"/>
          <w:b/>
          <w:bCs/>
          <w:sz w:val="24"/>
        </w:rPr>
      </w:pPr>
      <w:r>
        <w:rPr>
          <w:rFonts w:ascii="仿宋_GB2312" w:hAnsi="仿宋" w:eastAsia="仿宋_GB2312" w:cs="仿宋_GB2312"/>
          <w:b/>
          <w:bCs/>
          <w:sz w:val="24"/>
        </w:rPr>
        <w:t>11.1</w:t>
      </w:r>
      <w:r>
        <w:rPr>
          <w:rFonts w:hint="eastAsia" w:ascii="仿宋_GB2312" w:hAnsi="仿宋" w:eastAsia="仿宋_GB2312" w:cs="仿宋_GB2312"/>
          <w:b/>
          <w:bCs/>
          <w:sz w:val="24"/>
        </w:rPr>
        <w:t>资格文件：</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11.1.1符合参加政府采购活动应当具备的一般条件的承诺函；</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11.1.2落实政府采购政策需满足的资格要求</w:t>
      </w:r>
      <w:r>
        <w:rPr>
          <w:rFonts w:hint="eastAsia" w:ascii="仿宋_GB2312" w:hAnsi="仿宋" w:eastAsia="仿宋_GB2312" w:cs="仿宋_GB2312"/>
          <w:sz w:val="24"/>
        </w:rPr>
        <w:t>（如需）</w:t>
      </w:r>
      <w:r>
        <w:rPr>
          <w:rFonts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11.1.3本项目的特定资格要求</w:t>
      </w:r>
      <w:r>
        <w:rPr>
          <w:rFonts w:hint="eastAsia" w:ascii="仿宋_GB2312" w:hAnsi="仿宋" w:eastAsia="仿宋_GB2312" w:cs="仿宋_GB2312"/>
          <w:sz w:val="24"/>
        </w:rPr>
        <w:t>（如需）</w:t>
      </w:r>
      <w:r>
        <w:rPr>
          <w:rFonts w:ascii="仿宋_GB2312" w:hAnsi="仿宋" w:eastAsia="仿宋_GB2312" w:cs="仿宋_GB2312"/>
          <w:sz w:val="24"/>
        </w:rPr>
        <w:t>。</w:t>
      </w:r>
    </w:p>
    <w:p>
      <w:pPr>
        <w:snapToGrid w:val="0"/>
        <w:spacing w:line="360" w:lineRule="auto"/>
        <w:ind w:firstLine="482" w:firstLineChars="200"/>
        <w:rPr>
          <w:rFonts w:ascii="仿宋_GB2312" w:hAnsi="仿宋" w:eastAsia="仿宋_GB2312" w:cs="仿宋_GB2312"/>
          <w:b/>
          <w:bCs/>
          <w:sz w:val="24"/>
          <w:lang w:val="zh-CN"/>
        </w:rPr>
      </w:pPr>
      <w:r>
        <w:rPr>
          <w:rFonts w:ascii="仿宋_GB2312" w:hAnsi="仿宋" w:eastAsia="仿宋_GB2312" w:cs="仿宋_GB2312"/>
          <w:b/>
          <w:bCs/>
          <w:sz w:val="24"/>
          <w:lang w:val="zh-CN"/>
        </w:rPr>
        <w:t>11.</w:t>
      </w:r>
      <w:r>
        <w:rPr>
          <w:rFonts w:ascii="仿宋_GB2312" w:hAnsi="仿宋" w:eastAsia="仿宋_GB2312" w:cs="仿宋_GB2312"/>
          <w:b/>
          <w:bCs/>
          <w:sz w:val="24"/>
        </w:rPr>
        <w:t>2</w:t>
      </w:r>
      <w:r>
        <w:rPr>
          <w:rFonts w:ascii="仿宋_GB2312" w:hAnsi="仿宋" w:eastAsia="仿宋_GB2312" w:cs="仿宋_GB2312"/>
          <w:b/>
          <w:bCs/>
          <w:sz w:val="24"/>
          <w:lang w:val="zh-CN"/>
        </w:rPr>
        <w:t xml:space="preserve">  </w:t>
      </w:r>
      <w:r>
        <w:rPr>
          <w:rFonts w:hint="eastAsia" w:ascii="仿宋_GB2312" w:hAnsi="仿宋" w:eastAsia="仿宋_GB2312" w:cs="仿宋_GB2312"/>
          <w:b/>
          <w:bCs/>
          <w:sz w:val="24"/>
        </w:rPr>
        <w:t>商务技术</w:t>
      </w:r>
      <w:r>
        <w:rPr>
          <w:rFonts w:hint="eastAsia" w:ascii="仿宋_GB2312" w:hAnsi="仿宋" w:eastAsia="仿宋_GB2312" w:cs="仿宋_GB2312"/>
          <w:b/>
          <w:bCs/>
          <w:sz w:val="24"/>
          <w:lang w:val="zh-CN"/>
        </w:rPr>
        <w:t>文件：</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11.2.1投标函；</w:t>
      </w:r>
      <w:r>
        <w:rPr>
          <w:rFonts w:ascii="仿宋_GB2312" w:hAnsi="仿宋" w:eastAsia="仿宋_GB2312" w:cs="仿宋_GB2312"/>
          <w:sz w:val="24"/>
          <w:lang w:val="zh-CN"/>
        </w:rPr>
        <w:t xml:space="preserve"> </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11.2.2授权委托书或法定代表人（单位负责人、自然人本人）身份证明；</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11.2.3联合协议</w:t>
      </w:r>
      <w:r>
        <w:rPr>
          <w:rFonts w:hint="eastAsia" w:ascii="仿宋_GB2312" w:hAnsi="仿宋" w:eastAsia="仿宋_GB2312" w:cs="仿宋_GB2312"/>
          <w:sz w:val="24"/>
        </w:rPr>
        <w:t>（如需）</w:t>
      </w:r>
      <w:r>
        <w:rPr>
          <w:rFonts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11.2.4分包意向协议</w:t>
      </w:r>
      <w:r>
        <w:rPr>
          <w:rFonts w:hint="eastAsia" w:ascii="仿宋_GB2312" w:hAnsi="仿宋" w:eastAsia="仿宋_GB2312" w:cs="仿宋_GB2312"/>
          <w:sz w:val="24"/>
        </w:rPr>
        <w:t>（如需）</w:t>
      </w:r>
      <w:r>
        <w:rPr>
          <w:rFonts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11.2.5符合性审查资料；</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11.2.6评标标准相应的商务技术资料</w:t>
      </w:r>
      <w:r>
        <w:rPr>
          <w:rFonts w:hint="eastAsia" w:ascii="仿宋_GB2312" w:hAnsi="仿宋" w:eastAsia="仿宋_GB2312" w:cs="仿宋_GB2312"/>
          <w:sz w:val="24"/>
        </w:rPr>
        <w:t>（如需）</w:t>
      </w:r>
      <w:r>
        <w:rPr>
          <w:rFonts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11.2.7商务技术偏离表；</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firstLine="482" w:firstLineChars="200"/>
        <w:rPr>
          <w:rFonts w:ascii="仿宋_GB2312" w:hAnsi="仿宋" w:eastAsia="仿宋_GB2312" w:cs="仿宋_GB2312"/>
          <w:b/>
          <w:bCs/>
          <w:sz w:val="24"/>
          <w:u w:val="single"/>
          <w:lang w:val="zh-CN"/>
        </w:rPr>
      </w:pPr>
      <w:r>
        <w:rPr>
          <w:rFonts w:ascii="仿宋_GB2312" w:hAnsi="仿宋" w:eastAsia="仿宋_GB2312" w:cs="仿宋_GB2312"/>
          <w:b/>
          <w:bCs/>
          <w:kern w:val="0"/>
          <w:sz w:val="24"/>
          <w:lang w:val="zh-CN"/>
        </w:rPr>
        <w:t>11.</w:t>
      </w:r>
      <w:r>
        <w:rPr>
          <w:rFonts w:ascii="仿宋_GB2312" w:hAnsi="仿宋" w:eastAsia="仿宋_GB2312" w:cs="仿宋_GB2312"/>
          <w:b/>
          <w:bCs/>
          <w:kern w:val="0"/>
          <w:sz w:val="24"/>
        </w:rPr>
        <w:t>3</w:t>
      </w:r>
      <w:r>
        <w:rPr>
          <w:rFonts w:hint="eastAsia" w:ascii="仿宋_GB2312" w:hAnsi="仿宋" w:eastAsia="仿宋_GB2312" w:cs="仿宋_GB2312"/>
          <w:b/>
          <w:bCs/>
          <w:sz w:val="24"/>
        </w:rPr>
        <w:t>报价文件：</w:t>
      </w:r>
      <w:r>
        <w:rPr>
          <w:rFonts w:ascii="仿宋_GB2312" w:hAnsi="仿宋" w:eastAsia="仿宋_GB2312" w:cs="仿宋_GB2312"/>
          <w:b/>
          <w:bCs/>
          <w:sz w:val="24"/>
        </w:rPr>
        <w:t xml:space="preserve"> </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11.3.1开标一览表（报价表）；</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11.3.2中小企业声明函</w:t>
      </w:r>
      <w:r>
        <w:rPr>
          <w:rFonts w:hint="eastAsia" w:ascii="仿宋_GB2312" w:hAnsi="仿宋" w:eastAsia="仿宋_GB2312" w:cs="仿宋_GB2312"/>
          <w:sz w:val="24"/>
        </w:rPr>
        <w:t>（如需）</w:t>
      </w:r>
      <w:r>
        <w:rPr>
          <w:rFonts w:ascii="仿宋_GB2312" w:hAnsi="仿宋" w:eastAsia="仿宋_GB2312" w:cs="仿宋_GB2312"/>
          <w:sz w:val="24"/>
        </w:rPr>
        <w:t>。</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1</w:t>
      </w:r>
      <w:r>
        <w:rPr>
          <w:rFonts w:ascii="仿宋_GB2312" w:hAnsi="仿宋" w:eastAsia="仿宋_GB2312"/>
          <w:b/>
          <w:sz w:val="24"/>
        </w:rPr>
        <w:t>1.4</w:t>
      </w:r>
      <w:r>
        <w:rPr>
          <w:rFonts w:hint="eastAsia" w:ascii="仿宋_GB2312" w:hAnsi="仿宋" w:eastAsia="仿宋_GB2312"/>
          <w:b/>
          <w:sz w:val="24"/>
        </w:rPr>
        <w:t>投标文件含有采购人不能接受的附加条件的，投标无效；投标人提供虚假材料投标的，投标无效。</w:t>
      </w:r>
    </w:p>
    <w:p>
      <w:pPr>
        <w:pStyle w:val="128"/>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12.4</w:t>
      </w:r>
      <w:r>
        <w:rPr>
          <w:rFonts w:hint="eastAsia" w:ascii="仿宋_GB2312" w:hAnsi="仿宋" w:eastAsia="仿宋_GB2312" w:cs="仿宋_GB2312"/>
          <w:kern w:val="0"/>
          <w:sz w:val="24"/>
          <w:lang w:val="zh-CN"/>
        </w:rPr>
        <w:t>投标人应充分考虑完成平台注册、申领CA证书等所需时间，如未在“政府采购云平台”系统内完成相关流程，而引起的投标或响应无效的责任自负。</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128"/>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128"/>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仿宋_GB2312" w:hAnsi="仿宋" w:eastAsia="仿宋_GB2312" w:cs="仿宋_GB2312"/>
          <w:color w:val="FF0000"/>
          <w:szCs w:val="24"/>
          <w:u w:val="single"/>
        </w:rPr>
      </w:pPr>
      <w:r>
        <w:rPr>
          <w:rFonts w:ascii="仿宋_GB2312" w:hAnsi="仿宋" w:eastAsia="仿宋_GB2312" w:cs="仿宋_GB2312"/>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2"/>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15.1投标人在电子交易平台传输递交投标文件后，还可以在投标截止时间前</w:t>
      </w:r>
      <w:r>
        <w:rPr>
          <w:rFonts w:hint="eastAsia" w:ascii="仿宋_GB2312" w:hAnsi="仿宋" w:eastAsia="仿宋_GB2312" w:cs="仿宋_GB2312"/>
          <w:sz w:val="24"/>
          <w:szCs w:val="24"/>
        </w:rPr>
        <w:t>向</w:t>
      </w:r>
      <w:r>
        <w:rPr>
          <w:rFonts w:ascii="仿宋_GB2312" w:hAnsi="仿宋" w:eastAsia="仿宋_GB2312" w:cs="仿宋_GB2312"/>
          <w:bCs/>
          <w:snapToGrid/>
          <w:sz w:val="24"/>
          <w:szCs w:val="24"/>
        </w:rPr>
        <w:t>诸暨</w:t>
      </w:r>
      <w:r>
        <w:rPr>
          <w:rFonts w:ascii="仿宋_GB2312" w:hAnsi="仿宋" w:eastAsia="仿宋_GB2312" w:cs="仿宋_GB2312"/>
          <w:bCs/>
          <w:sz w:val="24"/>
          <w:szCs w:val="24"/>
        </w:rPr>
        <w:t>市公共资源交易中心邮箱（</w:t>
      </w:r>
      <w:r>
        <w:rPr>
          <w:rFonts w:ascii="仿宋_GB2312" w:hAnsi="仿宋" w:eastAsia="仿宋_GB2312" w:cs="仿宋_GB2312"/>
          <w:sz w:val="24"/>
          <w:szCs w:val="24"/>
        </w:rPr>
        <w:t>zjztb001@aliyun.com）递交备份投标文件1份，</w:t>
      </w:r>
      <w:r>
        <w:rPr>
          <w:rFonts w:hint="eastAsia" w:ascii="仿宋_GB2312" w:hAnsi="仿宋" w:eastAsia="仿宋_GB2312" w:cs="仿宋_GB2312"/>
          <w:b/>
          <w:sz w:val="24"/>
          <w:szCs w:val="24"/>
        </w:rPr>
        <w:t>但采购人、采购代理机构不强制或变相强制投标人提交备份投标文件。</w:t>
      </w:r>
    </w:p>
    <w:p>
      <w:pPr>
        <w:pStyle w:val="32"/>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w:t>
      </w:r>
      <w:r>
        <w:rPr>
          <w:rFonts w:ascii="仿宋_GB2312" w:hAnsi="仿宋" w:eastAsia="仿宋_GB2312" w:cs="仿宋_GB2312"/>
          <w:b/>
          <w:sz w:val="24"/>
          <w:szCs w:val="24"/>
        </w:rPr>
        <w:t xml:space="preserve"> </w:t>
      </w:r>
    </w:p>
    <w:p>
      <w:pPr>
        <w:pStyle w:val="32"/>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15.3采购代理机构将拒绝接受逾期送达的备份投标文件。</w:t>
      </w:r>
    </w:p>
    <w:p>
      <w:pPr>
        <w:pStyle w:val="32"/>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w:t>
      </w:r>
      <w:r>
        <w:rPr>
          <w:rFonts w:hint="eastAsia" w:ascii="仿宋_GB2312" w:hAnsi="仿宋" w:eastAsia="仿宋_GB2312" w:cs="仿宋_GB2312"/>
          <w:b/>
          <w:sz w:val="24"/>
          <w:szCs w:val="24"/>
        </w:rPr>
        <w:t>4</w:t>
      </w:r>
      <w:r>
        <w:rPr>
          <w:rFonts w:ascii="仿宋_GB2312" w:hAnsi="仿宋" w:eastAsia="仿宋_GB2312" w:cs="仿宋_GB2312"/>
          <w:b/>
          <w:sz w:val="24"/>
          <w:szCs w:val="24"/>
        </w:rPr>
        <w:t>投标人仅提交备份投标文件，没有在电子交易平台传输递交投标文件的，投标无效。</w:t>
      </w:r>
    </w:p>
    <w:p>
      <w:pPr>
        <w:pStyle w:val="32"/>
        <w:spacing w:line="360" w:lineRule="auto"/>
        <w:ind w:firstLine="477" w:firstLineChars="199"/>
        <w:rPr>
          <w:rFonts w:ascii="仿宋_GB2312" w:hAnsi="仿宋" w:eastAsia="仿宋_GB2312" w:cs="仿宋_GB2312"/>
          <w:sz w:val="24"/>
          <w:szCs w:val="24"/>
        </w:rPr>
      </w:pPr>
      <w:r>
        <w:rPr>
          <w:rFonts w:hint="eastAsia" w:ascii="仿宋_GB2312" w:hAnsi="仿宋" w:eastAsia="仿宋_GB2312" w:cs="仿宋_GB2312"/>
          <w:sz w:val="24"/>
          <w:szCs w:val="24"/>
        </w:rPr>
        <w:t>1</w:t>
      </w:r>
      <w:r>
        <w:rPr>
          <w:rFonts w:ascii="仿宋_GB2312" w:hAnsi="仿宋" w:eastAsia="仿宋_GB2312" w:cs="仿宋_GB2312"/>
          <w:sz w:val="24"/>
          <w:szCs w:val="24"/>
        </w:rPr>
        <w:t>5.5</w:t>
      </w:r>
      <w:r>
        <w:rPr>
          <w:rFonts w:hint="eastAsia" w:ascii="仿宋_GB2312" w:hAnsi="仿宋" w:eastAsia="仿宋_GB2312" w:cs="仿宋_GB2312"/>
          <w:sz w:val="24"/>
          <w:szCs w:val="24"/>
        </w:rPr>
        <w:t>投标文件如有补充、修改，备份投标文件应同步调整并再次提交，采购代理机构以最新备份投标文件为准。</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24"/>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第4.2</w:t>
      </w:r>
      <w:r>
        <w:rPr>
          <w:rFonts w:ascii="仿宋_GB2312" w:hAnsi="仿宋" w:eastAsia="仿宋_GB2312"/>
        </w:rPr>
        <w:t>项规定</w:t>
      </w:r>
      <w:r>
        <w:rPr>
          <w:rFonts w:hint="eastAsia" w:ascii="仿宋_GB2312" w:hAnsi="仿宋" w:eastAsia="仿宋_GB2312" w:cs="仿宋_GB2312"/>
          <w:szCs w:val="21"/>
        </w:rPr>
        <w:t>的情形之一的，投标无效。</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sz w:val="24"/>
        </w:rPr>
        <w:t>★</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128"/>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128"/>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28"/>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555"/>
        <w:spacing w:before="0" w:line="360" w:lineRule="auto"/>
        <w:ind w:left="0" w:firstLine="0"/>
        <w:contextualSpacing/>
        <w:rPr>
          <w:rFonts w:ascii="仿宋_GB2312" w:eastAsia="仿宋_GB2312"/>
          <w:sz w:val="24"/>
        </w:rPr>
      </w:pPr>
      <w:r>
        <w:rPr>
          <w:rFonts w:ascii="仿宋_GB2312" w:hAnsi="仿宋" w:eastAsia="仿宋_GB2312" w:cs="仿宋_GB2312"/>
          <w:b/>
          <w:sz w:val="24"/>
          <w:szCs w:val="24"/>
        </w:rPr>
        <w:t>18.开标</w:t>
      </w:r>
      <w:r>
        <w:rPr>
          <w:rFonts w:ascii="仿宋_GB2312" w:eastAsia="仿宋_GB2312"/>
          <w:sz w:val="24"/>
        </w:rPr>
        <w:t xml:space="preserve"> </w:t>
      </w:r>
    </w:p>
    <w:p>
      <w:pPr>
        <w:pStyle w:val="555"/>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18.1采购代理机构按照招标文件规定的时间通过电子交易平台组织开标，所有投标人均应当准时在线参加。投标人不足3家的，不得开标。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18.2开标时，电子交易平台按开标时间自动提取所有投标文件。采购代理机构依托电子交易平台发起开始解密指令，投标人按照平台提示</w:t>
      </w:r>
      <w:r>
        <w:rPr>
          <w:rFonts w:hint="eastAsia" w:ascii="仿宋_GB2312" w:hAnsi="仿宋" w:eastAsia="仿宋_GB2312" w:cs="仿宋_GB2312"/>
          <w:sz w:val="24"/>
        </w:rPr>
        <w:t>在</w:t>
      </w:r>
      <w:r>
        <w:rPr>
          <w:rFonts w:ascii="仿宋_GB2312" w:hAnsi="仿宋" w:eastAsia="仿宋_GB2312" w:cs="仿宋_GB2312"/>
          <w:sz w:val="24"/>
        </w:rPr>
        <w:t>招标文件规定</w:t>
      </w:r>
      <w:r>
        <w:rPr>
          <w:rFonts w:hint="eastAsia" w:ascii="仿宋_GB2312" w:hAnsi="仿宋" w:eastAsia="仿宋_GB2312" w:cs="仿宋_GB2312"/>
          <w:sz w:val="24"/>
        </w:rPr>
        <w:t>时间</w:t>
      </w:r>
      <w:r>
        <w:rPr>
          <w:rFonts w:ascii="仿宋_GB2312" w:hAnsi="仿宋" w:eastAsia="仿宋_GB2312" w:cs="仿宋_GB2312"/>
          <w:sz w:val="24"/>
        </w:rPr>
        <w:t>内完成在线解密。</w:t>
      </w:r>
    </w:p>
    <w:p>
      <w:pPr>
        <w:pStyle w:val="555"/>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投标文件未按时解密，投标人提供了备份投标文件的，经投标人同意后以备份投标文件作为依据，否则视为投标文件撤回。投标文件已按时解密的，备份投标文件自动失效。</w:t>
      </w:r>
    </w:p>
    <w:p>
      <w:pPr>
        <w:pStyle w:val="555"/>
        <w:spacing w:before="0" w:line="360" w:lineRule="auto"/>
        <w:ind w:left="0" w:firstLine="0"/>
        <w:contextualSpacing/>
        <w:rPr>
          <w:rFonts w:ascii="仿宋_GB2312" w:hAnsi="仿宋" w:eastAsia="仿宋_GB2312" w:cs="仿宋_GB2312"/>
          <w:b/>
          <w:sz w:val="24"/>
        </w:rPr>
      </w:pPr>
      <w:r>
        <w:rPr>
          <w:rFonts w:ascii="仿宋_GB2312" w:hAnsi="仿宋" w:eastAsia="仿宋_GB2312" w:cs="仿宋_GB2312"/>
          <w:b/>
          <w:sz w:val="24"/>
        </w:rPr>
        <w:t>19</w:t>
      </w:r>
      <w:r>
        <w:rPr>
          <w:rFonts w:ascii="仿宋_GB2312" w:hAnsi="仿宋" w:eastAsia="仿宋_GB2312" w:cs="仿宋_GB2312"/>
          <w:b/>
          <w:sz w:val="24"/>
          <w:szCs w:val="24"/>
        </w:rPr>
        <w:t>.</w:t>
      </w:r>
      <w:r>
        <w:rPr>
          <w:rFonts w:ascii="仿宋_GB2312" w:hAnsi="仿宋" w:eastAsia="仿宋_GB2312" w:cs="仿宋_GB2312"/>
          <w:b/>
          <w:sz w:val="24"/>
        </w:rPr>
        <w:t>资格审查</w:t>
      </w:r>
    </w:p>
    <w:p>
      <w:pPr>
        <w:pStyle w:val="128"/>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19.1开标后，采购人或采购代理机构将依法对投标人的资格进行审查。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采购人或采购代理机构依据法律法规和招标文件的规定，对投标人的基本资格条件、特定资格条件进行审查。</w:t>
      </w:r>
    </w:p>
    <w:p>
      <w:pPr>
        <w:pStyle w:val="128"/>
        <w:spacing w:before="0"/>
        <w:ind w:firstLine="480"/>
        <w:rPr>
          <w:rFonts w:ascii="仿宋_GB2312" w:hAnsi="仿宋" w:eastAsia="仿宋_GB2312" w:cs="Arial"/>
          <w:kern w:val="0"/>
          <w:szCs w:val="24"/>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有效资格证明材料的，视为投标人不具备招标文件中规定的资格要求，其投标无效。</w:t>
      </w:r>
    </w:p>
    <w:p>
      <w:pPr>
        <w:pStyle w:val="128"/>
        <w:spacing w:before="0"/>
        <w:ind w:firstLine="480"/>
        <w:rPr>
          <w:rFonts w:ascii="仿宋_GB2312" w:hAnsi="仿宋" w:eastAsia="仿宋_GB2312" w:cs="Arial"/>
          <w:kern w:val="0"/>
          <w:szCs w:val="24"/>
        </w:rPr>
      </w:pPr>
      <w:r>
        <w:rPr>
          <w:rFonts w:ascii="仿宋_GB2312" w:hAnsi="仿宋" w:eastAsia="仿宋_GB2312" w:cs="Arial"/>
          <w:kern w:val="0"/>
          <w:szCs w:val="24"/>
        </w:rPr>
        <w:t>19.4对未通过资格审查的投标人，采购人或采购代理机构告知其未通过的原因。</w:t>
      </w:r>
    </w:p>
    <w:p>
      <w:pPr>
        <w:pStyle w:val="128"/>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128"/>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20.1信用信息查询渠道及截止时间：采购代理机构将通过“信用中国”网站(www.creditchina.gov.cn)、中国政府采购网(www.ccgp.gov.cn)渠道查询投标人投标截止时间当天的信用记录。</w:t>
      </w:r>
    </w:p>
    <w:p>
      <w:pPr>
        <w:pStyle w:val="128"/>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3" w:name="_Toc91899903"/>
      <w:r>
        <w:rPr>
          <w:rFonts w:ascii="仿宋_GB2312" w:hAnsi="仿宋" w:eastAsia="仿宋_GB2312" w:cs="仿宋_GB2312"/>
          <w:b/>
          <w:sz w:val="24"/>
        </w:rPr>
        <w:t>21.</w:t>
      </w:r>
      <w:r>
        <w:rPr>
          <w:rFonts w:ascii="仿宋_GB2312" w:eastAsia="仿宋_GB2312"/>
        </w:rPr>
        <w:t xml:space="preserve"> </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评标委员会将根据招标文件和有关规定，履行评标工作职责，并按照评标方法及评分标准，全面衡量各投标人对招标文件的响应情况。对实质上响应招标文件的投标人，按照评审因素进行评审。</w:t>
      </w:r>
      <w:r>
        <w:rPr>
          <w:rFonts w:hint="eastAsia" w:ascii="仿宋_GB2312" w:hAnsi="仿宋" w:eastAsia="仿宋_GB2312" w:cs="仿宋_GB2312"/>
          <w:b/>
          <w:sz w:val="24"/>
        </w:rPr>
        <w:t>详见招标文件第四部分评标办法。</w:t>
      </w: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六、定标</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128"/>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5个工作日内通过电子交易平台在评审报告推荐的中标候选人中确定中标供应商</w:t>
      </w:r>
      <w:r>
        <w:rPr>
          <w:rFonts w:hint="eastAsia" w:ascii="仿宋_GB2312" w:hAnsi="仿宋" w:eastAsia="仿宋_GB2312" w:cs="仿宋_GB2312"/>
          <w:szCs w:val="24"/>
        </w:rPr>
        <w:t>，并将结果确认书面提交给采购代理机构</w:t>
      </w:r>
      <w:r>
        <w:rPr>
          <w:rFonts w:ascii="仿宋_GB2312" w:hAnsi="仿宋" w:eastAsia="仿宋_GB2312" w:cs="仿宋_GB2312"/>
          <w:szCs w:val="24"/>
        </w:rPr>
        <w:t>。</w:t>
      </w:r>
    </w:p>
    <w:p>
      <w:pPr>
        <w:pStyle w:val="128"/>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23.1自中标人确定之日起2个工作日内，采购代理机构通过电子交易平台向中标人发出中标通知书，</w:t>
      </w:r>
      <w:r>
        <w:rPr>
          <w:rFonts w:hint="eastAsia" w:ascii="仿宋_GB2312" w:hAnsi="仿宋" w:eastAsia="仿宋_GB2312" w:cs="仿宋_GB2312"/>
          <w:sz w:val="24"/>
        </w:rPr>
        <w:t>同时编制发布采购结果公告。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w:t>
      </w:r>
      <w:r>
        <w:rPr>
          <w:rFonts w:hint="eastAsia" w:ascii="仿宋_GB2312" w:hAnsi="仿宋" w:eastAsia="仿宋_GB2312" w:cs="仿宋_GB2312"/>
          <w:sz w:val="24"/>
        </w:rPr>
        <w:t>2</w:t>
      </w:r>
      <w:r>
        <w:rPr>
          <w:rFonts w:ascii="仿宋_GB2312" w:hAnsi="仿宋" w:eastAsia="仿宋_GB2312" w:cs="仿宋_GB2312"/>
          <w:sz w:val="24"/>
        </w:rPr>
        <w:t>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采购人与中标人应当在中标通知书发出之日起三十日内，按照招标文件确定的事项签订政府采购合同，并在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128"/>
        <w:snapToGrid w:val="0"/>
        <w:spacing w:before="0"/>
        <w:ind w:firstLine="480"/>
        <w:rPr>
          <w:rFonts w:ascii="仿宋_GB2312" w:hAnsi="仿宋" w:eastAsia="仿宋_GB2312"/>
          <w:kern w:val="0"/>
          <w:lang w:val="zh-CN"/>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仿宋_GB2312" w:hAnsi="仿宋" w:eastAsia="仿宋_GB2312"/>
          <w:kern w:val="0"/>
        </w:rPr>
      </w:pPr>
      <w:r>
        <w:rPr>
          <w:rFonts w:ascii="仿宋_GB2312" w:hAnsi="仿宋" w:eastAsia="仿宋_GB2312" w:cs="仿宋_GB2312"/>
        </w:rPr>
        <w:t>25.3</w:t>
      </w:r>
      <w:r>
        <w:rPr>
          <w:rFonts w:hint="eastAsia" w:ascii="仿宋_GB2312" w:hAnsi="仿宋" w:eastAsia="仿宋_GB2312" w:cs="仿宋_GB2312"/>
        </w:rPr>
        <w:t>采购人对合同内容负责。合同金额200万元及以上的必须由法律顾问根据《政府采购法》、《民法典》等对合同条款进行审查，出具法律意见书后方可签订合同。对于合同金额200万元以下的项目，采购单位自行组织审查合同条款。</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25.4如签订合同并生效后，供应商无故拒绝或延期，除按照合同条款处理外，</w:t>
      </w:r>
      <w:r>
        <w:rPr>
          <w:rFonts w:hint="eastAsia" w:ascii="仿宋_GB2312" w:hAnsi="仿宋" w:eastAsia="仿宋_GB2312" w:cs="仿宋_GB2312"/>
        </w:rPr>
        <w:t>将上报政府采购监管部门予以处理</w:t>
      </w:r>
      <w:r>
        <w:rPr>
          <w:rFonts w:ascii="仿宋_GB2312" w:hAnsi="仿宋" w:eastAsia="仿宋_GB2312" w:cs="仿宋_GB2312"/>
        </w:rPr>
        <w:t>。</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25.5中标供应</w:t>
      </w:r>
      <w:r>
        <w:rPr>
          <w:rFonts w:hint="eastAsia" w:ascii="仿宋_GB2312" w:hAnsi="仿宋" w:eastAsia="仿宋_GB2312" w:cs="仿宋_GB2312"/>
        </w:rPr>
        <w:t>商拒绝与采购人签订合同的，采购人应当重新开展政府采购活动。</w:t>
      </w:r>
    </w:p>
    <w:p>
      <w:pPr>
        <w:pStyle w:val="128"/>
        <w:snapToGrid w:val="0"/>
        <w:spacing w:before="0" w:after="120"/>
        <w:ind w:firstLine="480"/>
        <w:rPr>
          <w:rFonts w:ascii="仿宋_GB2312" w:hAnsi="仿宋" w:eastAsia="仿宋_GB2312" w:cs="仿宋_GB2312"/>
        </w:rPr>
      </w:pPr>
      <w:r>
        <w:rPr>
          <w:rFonts w:ascii="仿宋_GB2312" w:hAnsi="仿宋" w:eastAsia="仿宋_GB2312" w:cs="仿宋_GB2312"/>
        </w:rPr>
        <w:t>25.6采购合同由采购人与中标供应商根据</w:t>
      </w:r>
      <w:r>
        <w:rPr>
          <w:rFonts w:hint="eastAsia" w:ascii="仿宋_GB2312" w:hAnsi="仿宋" w:eastAsia="仿宋_GB2312" w:cs="仿宋_GB2312"/>
        </w:rPr>
        <w:t>招标文件、投标文件等内容签订并公告。</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。履约保证金的数额不得超过政府采购合同金额的2.5</w:t>
      </w:r>
      <w:r>
        <w:rPr>
          <w:rFonts w:ascii="仿宋_GB2312" w:hAnsi="仿宋" w:eastAsia="仿宋_GB2312"/>
          <w:sz w:val="24"/>
        </w:rPr>
        <w:t>%。</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p>
    <w:p>
      <w:pPr>
        <w:tabs>
          <w:tab w:val="left" w:pos="0"/>
        </w:tabs>
        <w:spacing w:line="360" w:lineRule="auto"/>
        <w:ind w:firstLine="482"/>
        <w:rPr>
          <w:rFonts w:ascii="仿宋_GB2312" w:hAnsi="仿宋" w:eastAsia="仿宋_GB2312" w:cs="仿宋_GB2312"/>
          <w:b/>
          <w:sz w:val="32"/>
        </w:rPr>
      </w:pPr>
      <w:r>
        <w:rPr>
          <w:rFonts w:hint="eastAsia" w:ascii="仿宋_GB2312" w:hAnsi="仿宋" w:eastAsia="仿宋_GB2312" w:cs="Helvetica"/>
          <w:kern w:val="0"/>
          <w:sz w:val="24"/>
        </w:rPr>
        <w:t>供应商可登录政府采购云平台-【金融服务】—【我的项目】—【已备案合同】以保函形式提供。政府采购云平台金融专线400-903-9583。</w:t>
      </w:r>
    </w:p>
    <w:p>
      <w:pPr>
        <w:snapToGrid w:val="0"/>
        <w:spacing w:line="360" w:lineRule="auto"/>
        <w:jc w:val="center"/>
        <w:rPr>
          <w:rFonts w:ascii="仿宋_GB2312" w:hAnsi="仿宋" w:eastAsia="仿宋_GB2312"/>
          <w:b/>
          <w:sz w:val="24"/>
        </w:rPr>
      </w:pPr>
      <w:r>
        <w:rPr>
          <w:rFonts w:hint="eastAsia" w:ascii="仿宋_GB2312" w:hAnsi="仿宋" w:eastAsia="仿宋_GB2312" w:cs="仿宋_GB2312"/>
          <w:b/>
          <w:sz w:val="32"/>
        </w:rPr>
        <w:t>八、电子交易活动的中止</w:t>
      </w:r>
    </w:p>
    <w:p>
      <w:pPr>
        <w:pStyle w:val="128"/>
        <w:snapToGrid w:val="0"/>
        <w:spacing w:before="0"/>
        <w:ind w:firstLine="0" w:firstLineChars="0"/>
        <w:rPr>
          <w:rFonts w:ascii="仿宋_GB2312" w:hAnsi="仿宋" w:eastAsia="仿宋_GB2312" w:cs="仿宋_GB2312"/>
        </w:rPr>
      </w:pPr>
      <w:r>
        <w:rPr>
          <w:rFonts w:ascii="仿宋_GB2312" w:hAnsi="仿宋" w:eastAsia="仿宋_GB2312" w:cs="仿宋_GB2312"/>
          <w:b/>
          <w:bCs/>
        </w:rPr>
        <w:t xml:space="preserve">27.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采购过程中出现以下情形，导致电子交易平台无法正常运行，或者无法保证电子交易的公平、公正和安全时，采购代理机构可中止电子交易活动：</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128"/>
        <w:snapToGrid w:val="0"/>
        <w:spacing w:before="0"/>
        <w:ind w:firstLine="0" w:firstLineChars="0"/>
        <w:rPr>
          <w:rFonts w:ascii="仿宋_GB2312" w:hAnsi="仿宋" w:eastAsia="仿宋_GB2312" w:cs="仿宋_GB2312"/>
        </w:rPr>
      </w:pPr>
      <w:r>
        <w:rPr>
          <w:rFonts w:ascii="仿宋_GB2312" w:hAnsi="仿宋" w:eastAsia="仿宋_GB2312" w:cs="仿宋_GB2312"/>
          <w:b/>
          <w:bCs/>
        </w:rPr>
        <w:t>28.</w:t>
      </w:r>
      <w:r>
        <w:rPr>
          <w:rFonts w:ascii="仿宋_GB2312" w:hAnsi="仿宋" w:eastAsia="仿宋_GB2312" w:cs="仿宋_GB2312"/>
        </w:rPr>
        <w:t>出现以上情形，不影响采购公平、公正性的，采购组织机构可以待上述情形消除后继续组织电子交易活动，也可以决定某些环节以纸质形式进行；影响或可能影响采购公平、公正性的，</w:t>
      </w:r>
      <w:r>
        <w:rPr>
          <w:rFonts w:hint="eastAsia" w:ascii="仿宋_GB2312" w:hAnsi="仿宋" w:eastAsia="仿宋_GB2312" w:cs="仿宋_GB2312"/>
        </w:rPr>
        <w:t>报告政府采购监管部门并组织重新采购</w:t>
      </w:r>
      <w:r>
        <w:rPr>
          <w:rFonts w:ascii="仿宋_GB2312" w:hAnsi="仿宋" w:eastAsia="仿宋_GB2312" w:cs="仿宋_GB2312"/>
        </w:rPr>
        <w:t>。</w:t>
      </w: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4"/>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w:t>
      </w:r>
      <w:r>
        <w:rPr>
          <w:rFonts w:hint="eastAsia" w:ascii="仿宋_GB2312" w:hAnsi="仿宋" w:eastAsia="仿宋_GB2312" w:cs="Helvetica"/>
          <w:kern w:val="0"/>
          <w:sz w:val="24"/>
        </w:rPr>
        <w:t>，相关费用原则上由采购人支付（采购需求另行规定的除外）</w:t>
      </w:r>
      <w:r>
        <w:rPr>
          <w:rFonts w:ascii="仿宋_GB2312" w:hAnsi="仿宋" w:eastAsia="仿宋_GB2312" w:cs="Helvetica"/>
          <w:kern w:val="0"/>
          <w:sz w:val="24"/>
        </w:rPr>
        <w:t>。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kern w:val="0"/>
          <w:sz w:val="24"/>
        </w:rPr>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cols w:space="720" w:num="1"/>
          <w:titlePg/>
          <w:docGrid w:linePitch="312" w:charSpace="0"/>
        </w:sectPr>
      </w:pPr>
      <w:bookmarkStart w:id="14" w:name="_Hlt75236011"/>
      <w:bookmarkEnd w:id="14"/>
      <w:bookmarkStart w:id="15" w:name="_Hlt75236290"/>
      <w:bookmarkEnd w:id="15"/>
      <w:bookmarkStart w:id="16" w:name="_Hlt68072990"/>
      <w:bookmarkEnd w:id="16"/>
      <w:bookmarkStart w:id="17" w:name="_Hlt74729768"/>
      <w:bookmarkEnd w:id="17"/>
      <w:bookmarkStart w:id="18" w:name="_Hlt74730295"/>
      <w:bookmarkEnd w:id="18"/>
      <w:bookmarkStart w:id="19" w:name="_Hlt74707468"/>
      <w:bookmarkEnd w:id="19"/>
      <w:bookmarkStart w:id="20" w:name="_Hlt75236101"/>
      <w:bookmarkEnd w:id="20"/>
      <w:bookmarkStart w:id="21" w:name="_Hlt68057669"/>
      <w:bookmarkEnd w:id="21"/>
      <w:bookmarkStart w:id="22" w:name="_Hlt68072998"/>
      <w:bookmarkEnd w:id="22"/>
      <w:bookmarkStart w:id="23" w:name="_Hlt74714665"/>
      <w:bookmarkEnd w:id="23"/>
      <w:bookmarkStart w:id="24" w:name="_Hlt68403820"/>
      <w:bookmarkEnd w:id="24"/>
      <w:bookmarkStart w:id="25" w:name="_Hlt68073093"/>
      <w:bookmarkEnd w:id="25"/>
    </w:p>
    <w:bookmarkEnd w:id="11"/>
    <w:bookmarkEnd w:id="12"/>
    <w:p>
      <w:pPr>
        <w:spacing w:line="360" w:lineRule="auto"/>
        <w:jc w:val="center"/>
        <w:outlineLvl w:val="0"/>
        <w:rPr>
          <w:rFonts w:ascii="仿宋" w:hAnsi="仿宋" w:eastAsia="仿宋" w:cs="仿宋_GB2312"/>
          <w:b/>
          <w:sz w:val="36"/>
          <w:szCs w:val="36"/>
        </w:rPr>
      </w:pPr>
      <w:bookmarkStart w:id="26" w:name="第四部分"/>
      <w:r>
        <w:rPr>
          <w:rFonts w:hint="eastAsia" w:ascii="仿宋" w:hAnsi="仿宋" w:eastAsia="仿宋" w:cs="仿宋_GB2312"/>
          <w:b/>
          <w:sz w:val="36"/>
          <w:szCs w:val="36"/>
        </w:rPr>
        <w:t>第三部分</w:t>
      </w:r>
      <w:r>
        <w:rPr>
          <w:rFonts w:ascii="仿宋" w:hAnsi="仿宋" w:eastAsia="仿宋" w:cs="仿宋_GB2312"/>
          <w:b/>
          <w:sz w:val="36"/>
          <w:szCs w:val="36"/>
        </w:rPr>
        <w:t xml:space="preserve">   </w:t>
      </w:r>
      <w:r>
        <w:rPr>
          <w:rFonts w:hint="eastAsia" w:ascii="仿宋" w:hAnsi="仿宋" w:eastAsia="仿宋" w:cs="仿宋_GB2312"/>
          <w:b/>
          <w:sz w:val="36"/>
          <w:szCs w:val="36"/>
        </w:rPr>
        <w:t>采购需求</w:t>
      </w:r>
    </w:p>
    <w:p>
      <w:pPr>
        <w:rPr>
          <w:rFonts w:ascii="宋体" w:hAnsi="宋体" w:cs="宋体"/>
        </w:rPr>
      </w:pPr>
      <w:r>
        <w:rPr>
          <w:rFonts w:hint="eastAsia" w:ascii="宋体" w:hAnsi="宋体"/>
        </w:rPr>
        <w:t>诸暨市人民医院生化检测试剂及相关配套，最高限价1160万元，供货期限二年，项目清单</w:t>
      </w:r>
      <w:r>
        <w:rPr>
          <w:rFonts w:hint="eastAsia" w:ascii="宋体" w:hAnsi="宋体" w:cs="宋体"/>
        </w:rPr>
        <w:t>、参考数量如下：</w:t>
      </w:r>
    </w:p>
    <w:tbl>
      <w:tblPr>
        <w:tblStyle w:val="62"/>
        <w:tblW w:w="8520" w:type="dxa"/>
        <w:tblInd w:w="-102" w:type="dxa"/>
        <w:tblLayout w:type="fixed"/>
        <w:tblCellMar>
          <w:top w:w="0" w:type="dxa"/>
          <w:left w:w="108" w:type="dxa"/>
          <w:bottom w:w="0" w:type="dxa"/>
          <w:right w:w="108" w:type="dxa"/>
        </w:tblCellMar>
      </w:tblPr>
      <w:tblGrid>
        <w:gridCol w:w="1095"/>
        <w:gridCol w:w="2901"/>
        <w:gridCol w:w="1554"/>
        <w:gridCol w:w="2970"/>
      </w:tblGrid>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检测项目序号</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检测试剂名称</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年参考测试数</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每测试最高限价（元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1</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总胆红素</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338488</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0.1335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2</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直接胆红素</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336262</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0.1335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3</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总蛋白</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336292</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0.0426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4</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总钙</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162585</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0.0450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5</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白蛋白</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335896</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0.0338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6</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丙氨酸氨基转移酶</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304772</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0.0855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7</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天门冬氨酸氨基转移酶</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349845</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0.0855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8</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γ-谷氨酰基转移酶</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337184</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0.1676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9</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碱性磷酸酶</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330995</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0.1438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10</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镁</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89716</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0.0800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11</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葡萄糖</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281257</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0.0606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12</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肌酸激酶</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262615</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0.4456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13</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总胆固醇</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227642</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0.1123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14</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甘油三酯</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227674</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0.2521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15</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载脂蛋白A1</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119395</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1.0247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16</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载脂蛋白B</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119785</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0.9900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17</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尿素</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477831</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0.1225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18</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尿酸</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324360</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0.1208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19</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肌酐（酶法）</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713509</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0.7350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20</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补体3</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10032</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0.2200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21</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补体4</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10032</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0.8756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22</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免疫球蛋白G</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18439</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0.5911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23</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免疫球蛋白A</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18439</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0.5906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24</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免疫球蛋白M</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18424</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0.8958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25</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血磷</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90863</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0.0512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26</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脂肪酶</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113837</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2.7225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27</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肌酸激酶同工酶</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262615</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1.5336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28</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低密度脂蛋白胆固醇</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222637</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0.6299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29</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高密度脂蛋白胆固醇</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222637</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0.4985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30</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脂蛋白a</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62379</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2.6641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31</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乳酸脱氢酶</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91410</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0.1421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32</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C反应蛋白</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74960</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0.6960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33</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类风湿因子</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14034</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0.5680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34</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抗链球菌O</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13239</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0.6040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35</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血清转铁蛋白</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12117</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0.6400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36</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前白蛋白</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198429</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0.4416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37</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总胆汁酸</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198503</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0.8341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38</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腺苷脱氨酶</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9122</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1.4325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39</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胱抑素C</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72630</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4.3500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40</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同型半胱氨酸</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68943</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11.5542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41</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β-羟丁酸</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3564</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2.4253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42</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不饱和铁结合力</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3600</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0.9600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43</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葡萄糖-6-磷酸脱氢酶</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2563</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0.6000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44</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尿视黄醇结合蛋白</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11850</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5.3460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45</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尿转铁蛋白</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11850</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2.6730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46</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κ轻链</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3600</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4.0000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47</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λ轻链</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3600</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4.0000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48</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α1-酸糖蛋白</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3600</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1.6000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49</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触珠蛋白</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3600</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1.6000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50</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血β2微球蛋白</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1000</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2.8800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51</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尿微量白蛋白</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11850</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2.6730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52</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尿免疫球蛋白G</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11850</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2.6730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53</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铜蓝蛋白</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1000</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4.0000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54</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α2巨球蛋白</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11381</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1.2800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55</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尿β2微球蛋白</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523</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5.3460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56</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脑脊液白蛋白</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1586</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0.3200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57</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缺血修饰白蛋白</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6500</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10.4000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58</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线粒体天门冬氨酸氨基转移酶</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3895</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0.6000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59</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IV型胶原蛋白</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36000</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4.3200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60</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中性粒细胞明胶酶相关脂质运载蛋白</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5682</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3.2000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61</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游离脂肪酸</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4589</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2.6000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62</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脑脊液总蛋白</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3586</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0.1472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63</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骨碱性磷酸酶</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34586</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1.0800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64</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糖化血清蛋白（果糖胺）</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19786</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0.4785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65</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载脂蛋白E</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56892</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1.7440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66</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补体C1q</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45689</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4.8920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67</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尿液总蛋白</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5383</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0.4800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68</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纤维连接蛋白</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6000</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1.2000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69</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糖化白蛋白</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2193</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3.8920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70</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淀粉样蛋白A</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73505</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1.8440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71</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免疫球蛋白E</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73505</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1.3520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72</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胃蛋白酶原Ⅰ</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2199</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10.6880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73</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胃蛋白酶原Ⅱ</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2199</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7.1280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74</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甘胆酸</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1800</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0.9200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75</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胰淀粉酶</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1800</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0.7200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76</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血清脂肪酸</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80207</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 xml:space="preserve">5.2000 </w:t>
            </w:r>
          </w:p>
        </w:tc>
      </w:tr>
      <w:tr>
        <w:tblPrEx>
          <w:tblCellMar>
            <w:top w:w="0" w:type="dxa"/>
            <w:left w:w="108" w:type="dxa"/>
            <w:bottom w:w="0" w:type="dxa"/>
            <w:right w:w="108" w:type="dxa"/>
          </w:tblCellMar>
        </w:tblPrEx>
        <w:trPr>
          <w:trHeight w:val="27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77</w:t>
            </w:r>
          </w:p>
        </w:tc>
        <w:tc>
          <w:tcPr>
            <w:tcW w:w="2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textAlignment w:val="center"/>
              <w:rPr>
                <w:rFonts w:ascii="宋体" w:hAnsi="宋体" w:cs="宋体"/>
                <w:sz w:val="18"/>
                <w:szCs w:val="18"/>
              </w:rPr>
            </w:pPr>
            <w:r>
              <w:rPr>
                <w:rFonts w:hint="eastAsia" w:ascii="宋体" w:hAnsi="宋体" w:cs="宋体"/>
                <w:sz w:val="18"/>
                <w:szCs w:val="18"/>
              </w:rPr>
              <w:t>电解质试剂、电极及各类清洗液</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jc w:val="center"/>
              <w:rPr>
                <w:rFonts w:ascii="宋体" w:hAnsi="宋体" w:cs="宋体"/>
                <w:sz w:val="18"/>
                <w:szCs w:val="18"/>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jc w:val="center"/>
              <w:rPr>
                <w:rFonts w:ascii="宋体" w:hAnsi="宋体" w:cs="宋体"/>
                <w:sz w:val="18"/>
                <w:szCs w:val="18"/>
              </w:rPr>
            </w:pPr>
            <w:r>
              <w:rPr>
                <w:rFonts w:hint="eastAsia" w:ascii="宋体" w:hAnsi="宋体" w:cs="宋体"/>
                <w:sz w:val="18"/>
                <w:szCs w:val="18"/>
              </w:rPr>
              <w:t>300000.00</w:t>
            </w:r>
          </w:p>
        </w:tc>
      </w:tr>
      <w:tr>
        <w:tblPrEx>
          <w:tblCellMar>
            <w:top w:w="0" w:type="dxa"/>
            <w:left w:w="108" w:type="dxa"/>
            <w:bottom w:w="0" w:type="dxa"/>
            <w:right w:w="108" w:type="dxa"/>
          </w:tblCellMar>
        </w:tblPrEx>
        <w:trPr>
          <w:trHeight w:val="270" w:hRule="atLeast"/>
        </w:trPr>
        <w:tc>
          <w:tcPr>
            <w:tcW w:w="1095" w:type="dxa"/>
            <w:tcBorders>
              <w:top w:val="nil"/>
              <w:left w:val="nil"/>
              <w:bottom w:val="nil"/>
              <w:right w:val="nil"/>
            </w:tcBorders>
            <w:shd w:val="clear" w:color="auto" w:fill="auto"/>
            <w:noWrap/>
            <w:vAlign w:val="center"/>
          </w:tcPr>
          <w:p>
            <w:pPr>
              <w:adjustRightInd/>
              <w:rPr>
                <w:rFonts w:ascii="宋体" w:hAnsi="宋体" w:cs="宋体"/>
                <w:sz w:val="22"/>
                <w:szCs w:val="22"/>
              </w:rPr>
            </w:pPr>
          </w:p>
        </w:tc>
        <w:tc>
          <w:tcPr>
            <w:tcW w:w="2901" w:type="dxa"/>
            <w:tcBorders>
              <w:top w:val="nil"/>
              <w:left w:val="nil"/>
              <w:bottom w:val="nil"/>
              <w:right w:val="nil"/>
            </w:tcBorders>
            <w:shd w:val="clear" w:color="auto" w:fill="auto"/>
            <w:noWrap/>
            <w:vAlign w:val="center"/>
          </w:tcPr>
          <w:p>
            <w:pPr>
              <w:widowControl/>
              <w:adjustRightInd/>
              <w:jc w:val="left"/>
              <w:textAlignment w:val="center"/>
              <w:rPr>
                <w:rFonts w:ascii="宋体" w:hAnsi="宋体" w:cs="宋体"/>
                <w:sz w:val="22"/>
                <w:szCs w:val="22"/>
              </w:rPr>
            </w:pPr>
          </w:p>
        </w:tc>
        <w:tc>
          <w:tcPr>
            <w:tcW w:w="1554" w:type="dxa"/>
            <w:tcBorders>
              <w:top w:val="nil"/>
              <w:left w:val="nil"/>
              <w:bottom w:val="nil"/>
              <w:right w:val="nil"/>
            </w:tcBorders>
            <w:shd w:val="clear" w:color="auto" w:fill="auto"/>
            <w:noWrap/>
            <w:vAlign w:val="center"/>
          </w:tcPr>
          <w:p>
            <w:pPr>
              <w:adjustRightInd/>
              <w:rPr>
                <w:rFonts w:ascii="宋体" w:hAnsi="宋体" w:cs="宋体"/>
                <w:sz w:val="22"/>
                <w:szCs w:val="22"/>
              </w:rPr>
            </w:pPr>
          </w:p>
        </w:tc>
        <w:tc>
          <w:tcPr>
            <w:tcW w:w="2970" w:type="dxa"/>
            <w:tcBorders>
              <w:top w:val="nil"/>
              <w:left w:val="nil"/>
              <w:bottom w:val="nil"/>
              <w:right w:val="nil"/>
            </w:tcBorders>
            <w:shd w:val="clear" w:color="auto" w:fill="auto"/>
            <w:noWrap/>
            <w:vAlign w:val="center"/>
          </w:tcPr>
          <w:p>
            <w:pPr>
              <w:adjustRightInd/>
              <w:rPr>
                <w:rFonts w:ascii="宋体" w:hAnsi="宋体" w:cs="宋体"/>
                <w:sz w:val="22"/>
                <w:szCs w:val="22"/>
              </w:rPr>
            </w:pPr>
          </w:p>
        </w:tc>
      </w:tr>
    </w:tbl>
    <w:p>
      <w:pPr>
        <w:spacing w:line="360" w:lineRule="auto"/>
        <w:ind w:firstLine="181" w:firstLineChars="50"/>
        <w:rPr>
          <w:rFonts w:ascii="仿宋_GB2312" w:hAnsi="仿宋" w:eastAsia="仿宋_GB2312" w:cs="仿宋_GB2312"/>
          <w:b/>
          <w:sz w:val="36"/>
          <w:szCs w:val="36"/>
        </w:rPr>
      </w:pPr>
    </w:p>
    <w:p>
      <w:pPr>
        <w:spacing w:line="360" w:lineRule="auto"/>
        <w:rPr>
          <w:rFonts w:ascii="仿宋" w:hAnsi="仿宋" w:eastAsia="仿宋"/>
          <w:sz w:val="24"/>
        </w:rPr>
      </w:pPr>
    </w:p>
    <w:p>
      <w:pPr>
        <w:widowControl/>
        <w:ind w:firstLine="720" w:firstLineChars="300"/>
        <w:jc w:val="left"/>
        <w:rPr>
          <w:rFonts w:ascii="仿宋" w:hAnsi="仿宋" w:eastAsia="仿宋"/>
          <w:bCs/>
          <w:sz w:val="24"/>
        </w:rPr>
      </w:pPr>
    </w:p>
    <w:p>
      <w:pPr>
        <w:rPr>
          <w:rFonts w:ascii="仿宋" w:hAnsi="仿宋" w:eastAsia="仿宋" w:cs="Arial"/>
          <w:snapToGrid w:val="0"/>
          <w:kern w:val="0"/>
          <w:sz w:val="24"/>
        </w:rPr>
      </w:pPr>
    </w:p>
    <w:p>
      <w:pPr>
        <w:snapToGrid w:val="0"/>
        <w:spacing w:line="360" w:lineRule="auto"/>
        <w:jc w:val="center"/>
        <w:rPr>
          <w:rFonts w:ascii="仿宋" w:hAnsi="仿宋" w:eastAsia="仿宋" w:cs="仿宋_GB2312"/>
          <w:b/>
          <w:sz w:val="36"/>
          <w:szCs w:val="36"/>
        </w:rPr>
      </w:pPr>
      <w:r>
        <w:rPr>
          <w:rFonts w:ascii="仿宋" w:hAnsi="仿宋" w:eastAsia="仿宋" w:cs="仿宋_GB2312"/>
          <w:b/>
          <w:sz w:val="24"/>
        </w:rPr>
        <w:br w:type="page"/>
      </w:r>
      <w:r>
        <w:rPr>
          <w:rFonts w:hint="eastAsia" w:ascii="仿宋" w:hAnsi="仿宋" w:eastAsia="仿宋" w:cs="仿宋_GB2312"/>
          <w:b/>
          <w:sz w:val="36"/>
          <w:szCs w:val="36"/>
        </w:rPr>
        <w:t>第四部分</w:t>
      </w:r>
      <w:r>
        <w:rPr>
          <w:rFonts w:ascii="仿宋" w:hAnsi="仿宋" w:eastAsia="仿宋" w:cs="仿宋_GB2312"/>
          <w:b/>
          <w:sz w:val="36"/>
          <w:szCs w:val="36"/>
        </w:rPr>
        <w:t xml:space="preserve">   </w:t>
      </w:r>
      <w:bookmarkStart w:id="27" w:name="_Toc184310286"/>
      <w:bookmarkEnd w:id="27"/>
      <w:bookmarkStart w:id="28" w:name="_Toc184312108"/>
      <w:bookmarkEnd w:id="28"/>
      <w:bookmarkStart w:id="29" w:name="_Toc184312071"/>
      <w:bookmarkEnd w:id="29"/>
      <w:bookmarkStart w:id="30" w:name="_Toc184314441"/>
      <w:bookmarkEnd w:id="30"/>
      <w:bookmarkStart w:id="31" w:name="_Toc184314451"/>
      <w:bookmarkEnd w:id="31"/>
      <w:bookmarkStart w:id="32" w:name="_Toc184312124"/>
      <w:bookmarkEnd w:id="32"/>
      <w:bookmarkStart w:id="33" w:name="_Toc184313302"/>
      <w:bookmarkEnd w:id="33"/>
      <w:bookmarkStart w:id="34" w:name="_Toc184313252"/>
      <w:bookmarkEnd w:id="34"/>
      <w:bookmarkStart w:id="35" w:name="_Toc184312080"/>
      <w:bookmarkEnd w:id="35"/>
      <w:bookmarkStart w:id="36" w:name="_Toc184314465"/>
      <w:bookmarkEnd w:id="36"/>
      <w:bookmarkStart w:id="37" w:name="_Toc184313242"/>
      <w:bookmarkEnd w:id="37"/>
      <w:bookmarkStart w:id="38" w:name="_Toc184310324"/>
      <w:bookmarkEnd w:id="38"/>
      <w:bookmarkStart w:id="39" w:name="_Toc184314436"/>
      <w:bookmarkEnd w:id="39"/>
      <w:bookmarkStart w:id="40" w:name="_Toc184312118"/>
      <w:bookmarkEnd w:id="40"/>
      <w:bookmarkStart w:id="41" w:name="_Toc184312119"/>
      <w:bookmarkEnd w:id="41"/>
      <w:bookmarkStart w:id="42" w:name="_Toc184313289"/>
      <w:bookmarkEnd w:id="42"/>
      <w:bookmarkStart w:id="43" w:name="_Toc184308102"/>
      <w:bookmarkEnd w:id="43"/>
      <w:bookmarkStart w:id="44" w:name="_Toc184312136"/>
      <w:bookmarkEnd w:id="44"/>
      <w:bookmarkStart w:id="45" w:name="_Toc184314456"/>
      <w:bookmarkEnd w:id="45"/>
      <w:bookmarkStart w:id="46" w:name="_Toc184312113"/>
      <w:bookmarkEnd w:id="46"/>
      <w:bookmarkStart w:id="47" w:name="_Toc184314419"/>
      <w:bookmarkEnd w:id="47"/>
      <w:bookmarkStart w:id="48" w:name="_Toc184312126"/>
      <w:bookmarkEnd w:id="48"/>
      <w:bookmarkStart w:id="49" w:name="_Toc184313293"/>
      <w:bookmarkEnd w:id="49"/>
      <w:bookmarkStart w:id="50" w:name="_Toc184310309"/>
      <w:bookmarkEnd w:id="50"/>
      <w:bookmarkStart w:id="51" w:name="_Toc184313310"/>
      <w:bookmarkEnd w:id="51"/>
      <w:bookmarkStart w:id="52" w:name="_Toc184310328"/>
      <w:bookmarkEnd w:id="52"/>
      <w:bookmarkStart w:id="53" w:name="_Toc184314421"/>
      <w:bookmarkEnd w:id="53"/>
      <w:bookmarkStart w:id="54" w:name="_Toc184310307"/>
      <w:bookmarkEnd w:id="54"/>
      <w:bookmarkStart w:id="55" w:name="_Toc184308072"/>
      <w:bookmarkEnd w:id="55"/>
      <w:bookmarkStart w:id="56" w:name="_Toc184308051"/>
      <w:bookmarkEnd w:id="56"/>
      <w:bookmarkStart w:id="57" w:name="_Toc184308107"/>
      <w:bookmarkEnd w:id="57"/>
      <w:bookmarkStart w:id="58" w:name="_Toc184312131"/>
      <w:bookmarkEnd w:id="58"/>
      <w:bookmarkStart w:id="59" w:name="_Toc184312104"/>
      <w:bookmarkEnd w:id="59"/>
      <w:bookmarkStart w:id="60" w:name="_Toc184314482"/>
      <w:bookmarkEnd w:id="60"/>
      <w:bookmarkStart w:id="61" w:name="_Toc184310319"/>
      <w:bookmarkEnd w:id="61"/>
      <w:bookmarkStart w:id="62" w:name="_Toc184314410"/>
      <w:bookmarkEnd w:id="62"/>
      <w:bookmarkStart w:id="63" w:name="_Toc184314460"/>
      <w:bookmarkEnd w:id="63"/>
      <w:bookmarkStart w:id="64" w:name="_Toc184312138"/>
      <w:bookmarkEnd w:id="64"/>
      <w:bookmarkStart w:id="65" w:name="_Toc184313274"/>
      <w:bookmarkEnd w:id="65"/>
      <w:bookmarkStart w:id="66" w:name="_Toc184310285"/>
      <w:bookmarkEnd w:id="66"/>
      <w:bookmarkStart w:id="67" w:name="_Toc184312099"/>
      <w:bookmarkEnd w:id="67"/>
      <w:bookmarkStart w:id="68" w:name="_Toc184313279"/>
      <w:bookmarkEnd w:id="68"/>
      <w:bookmarkStart w:id="69" w:name="_Toc184310323"/>
      <w:bookmarkEnd w:id="69"/>
      <w:bookmarkStart w:id="70" w:name="_Toc184308086"/>
      <w:bookmarkEnd w:id="70"/>
      <w:bookmarkStart w:id="71" w:name="_Toc184314453"/>
      <w:bookmarkEnd w:id="71"/>
      <w:bookmarkStart w:id="72" w:name="_Toc184313295"/>
      <w:bookmarkEnd w:id="72"/>
      <w:bookmarkStart w:id="73" w:name="_Toc184308048"/>
      <w:bookmarkEnd w:id="73"/>
      <w:bookmarkStart w:id="74" w:name="_Toc184312139"/>
      <w:bookmarkEnd w:id="74"/>
      <w:bookmarkStart w:id="75" w:name="_Toc184313272"/>
      <w:bookmarkEnd w:id="75"/>
      <w:bookmarkStart w:id="76" w:name="_Toc184308079"/>
      <w:bookmarkEnd w:id="76"/>
      <w:bookmarkStart w:id="77" w:name="_Toc184310284"/>
      <w:bookmarkEnd w:id="77"/>
      <w:bookmarkStart w:id="78" w:name="_Toc184314440"/>
      <w:bookmarkEnd w:id="78"/>
      <w:bookmarkStart w:id="79" w:name="_Toc184312079"/>
      <w:bookmarkEnd w:id="79"/>
      <w:bookmarkStart w:id="80" w:name="_Toc184312102"/>
      <w:bookmarkEnd w:id="80"/>
      <w:bookmarkStart w:id="81" w:name="_Toc184310343"/>
      <w:bookmarkEnd w:id="81"/>
      <w:bookmarkStart w:id="82" w:name="_Toc184314444"/>
      <w:bookmarkEnd w:id="82"/>
      <w:bookmarkStart w:id="83" w:name="_Toc184312096"/>
      <w:bookmarkEnd w:id="83"/>
      <w:bookmarkStart w:id="84" w:name="_Toc184308071"/>
      <w:bookmarkEnd w:id="84"/>
      <w:bookmarkStart w:id="85" w:name="_Toc184314420"/>
      <w:bookmarkEnd w:id="85"/>
      <w:bookmarkStart w:id="86" w:name="_Toc184310303"/>
      <w:bookmarkEnd w:id="86"/>
      <w:bookmarkStart w:id="87" w:name="_Toc184308108"/>
      <w:bookmarkEnd w:id="87"/>
      <w:bookmarkStart w:id="88" w:name="_Toc184313291"/>
      <w:bookmarkEnd w:id="88"/>
      <w:bookmarkStart w:id="89" w:name="_Toc184308100"/>
      <w:bookmarkEnd w:id="89"/>
      <w:bookmarkStart w:id="90" w:name="_Toc184313264"/>
      <w:bookmarkEnd w:id="90"/>
      <w:bookmarkStart w:id="91" w:name="_Toc184314445"/>
      <w:bookmarkEnd w:id="91"/>
      <w:bookmarkStart w:id="92" w:name="_Toc184313238"/>
      <w:bookmarkEnd w:id="92"/>
      <w:bookmarkStart w:id="93" w:name="_Toc184308070"/>
      <w:bookmarkEnd w:id="93"/>
      <w:bookmarkStart w:id="94" w:name="_Toc184310283"/>
      <w:bookmarkEnd w:id="94"/>
      <w:bookmarkStart w:id="95" w:name="_Toc184313270"/>
      <w:bookmarkEnd w:id="95"/>
      <w:bookmarkStart w:id="96" w:name="_Toc184308084"/>
      <w:bookmarkEnd w:id="96"/>
      <w:bookmarkStart w:id="97" w:name="_Toc184310306"/>
      <w:bookmarkEnd w:id="97"/>
      <w:bookmarkStart w:id="98" w:name="_Toc184310311"/>
      <w:bookmarkEnd w:id="98"/>
      <w:bookmarkStart w:id="99" w:name="_Toc184313308"/>
      <w:bookmarkEnd w:id="99"/>
      <w:bookmarkStart w:id="100" w:name="_Toc184312081"/>
      <w:bookmarkEnd w:id="100"/>
      <w:bookmarkStart w:id="101" w:name="_Toc184314442"/>
      <w:bookmarkEnd w:id="101"/>
      <w:bookmarkStart w:id="102" w:name="_Toc184310337"/>
      <w:bookmarkEnd w:id="102"/>
      <w:bookmarkStart w:id="103" w:name="_Toc184312078"/>
      <w:bookmarkEnd w:id="103"/>
      <w:bookmarkStart w:id="104" w:name="_Toc184313249"/>
      <w:bookmarkEnd w:id="104"/>
      <w:bookmarkStart w:id="105" w:name="_Toc184308083"/>
      <w:bookmarkEnd w:id="105"/>
      <w:bookmarkStart w:id="106" w:name="_Toc184313239"/>
      <w:bookmarkEnd w:id="106"/>
      <w:bookmarkStart w:id="107" w:name="_Toc184313247"/>
      <w:bookmarkEnd w:id="107"/>
      <w:bookmarkStart w:id="108" w:name="_Toc184312083"/>
      <w:bookmarkEnd w:id="108"/>
      <w:bookmarkStart w:id="109" w:name="_Toc184308065"/>
      <w:bookmarkEnd w:id="109"/>
      <w:bookmarkStart w:id="110" w:name="_Toc184314475"/>
      <w:bookmarkEnd w:id="110"/>
      <w:bookmarkStart w:id="111" w:name="_Toc184308040"/>
      <w:bookmarkEnd w:id="111"/>
      <w:bookmarkStart w:id="112" w:name="_Toc184312088"/>
      <w:bookmarkEnd w:id="112"/>
      <w:bookmarkStart w:id="113" w:name="_Toc184314473"/>
      <w:bookmarkEnd w:id="113"/>
      <w:bookmarkStart w:id="114" w:name="_Toc184310291"/>
      <w:bookmarkEnd w:id="114"/>
      <w:bookmarkStart w:id="115" w:name="_Toc184308057"/>
      <w:bookmarkEnd w:id="115"/>
      <w:bookmarkStart w:id="116" w:name="_Toc184310341"/>
      <w:bookmarkEnd w:id="116"/>
      <w:bookmarkStart w:id="117" w:name="_Toc184312095"/>
      <w:bookmarkEnd w:id="117"/>
      <w:bookmarkStart w:id="118" w:name="_Toc184313259"/>
      <w:bookmarkEnd w:id="118"/>
      <w:bookmarkStart w:id="119" w:name="_Toc184310315"/>
      <w:bookmarkEnd w:id="119"/>
      <w:bookmarkStart w:id="120" w:name="_Toc184313254"/>
      <w:bookmarkEnd w:id="120"/>
      <w:bookmarkStart w:id="121" w:name="_Toc184312084"/>
      <w:bookmarkEnd w:id="121"/>
      <w:bookmarkStart w:id="122" w:name="_Toc184312106"/>
      <w:bookmarkEnd w:id="122"/>
      <w:bookmarkStart w:id="123" w:name="_Toc184314447"/>
      <w:bookmarkEnd w:id="123"/>
      <w:bookmarkStart w:id="124" w:name="_Toc184308074"/>
      <w:bookmarkEnd w:id="124"/>
      <w:bookmarkStart w:id="125" w:name="_Toc184312098"/>
      <w:bookmarkEnd w:id="125"/>
      <w:bookmarkStart w:id="126" w:name="_Toc184314432"/>
      <w:bookmarkEnd w:id="126"/>
      <w:bookmarkStart w:id="127" w:name="_Toc184308064"/>
      <w:bookmarkEnd w:id="127"/>
      <w:bookmarkStart w:id="128" w:name="_Toc184312068"/>
      <w:bookmarkEnd w:id="128"/>
      <w:bookmarkStart w:id="129" w:name="_Toc184310273"/>
      <w:bookmarkEnd w:id="129"/>
      <w:bookmarkStart w:id="130" w:name="_Toc184314434"/>
      <w:bookmarkEnd w:id="130"/>
      <w:bookmarkStart w:id="131" w:name="_Toc184308058"/>
      <w:bookmarkEnd w:id="131"/>
      <w:bookmarkStart w:id="132" w:name="_Toc184308055"/>
      <w:bookmarkEnd w:id="132"/>
      <w:bookmarkStart w:id="133" w:name="_Toc184312097"/>
      <w:bookmarkEnd w:id="133"/>
      <w:bookmarkStart w:id="134" w:name="_Toc184313266"/>
      <w:bookmarkEnd w:id="134"/>
      <w:bookmarkStart w:id="135" w:name="_Toc184312087"/>
      <w:bookmarkEnd w:id="135"/>
      <w:bookmarkStart w:id="136" w:name="_Toc184308066"/>
      <w:bookmarkEnd w:id="136"/>
      <w:bookmarkStart w:id="137" w:name="_Toc184313256"/>
      <w:bookmarkEnd w:id="137"/>
      <w:bookmarkStart w:id="138" w:name="_Toc184310314"/>
      <w:bookmarkEnd w:id="138"/>
      <w:bookmarkStart w:id="139" w:name="_Toc184314438"/>
      <w:bookmarkEnd w:id="139"/>
      <w:bookmarkStart w:id="140" w:name="_Toc184314431"/>
      <w:bookmarkEnd w:id="140"/>
      <w:bookmarkStart w:id="141" w:name="_Toc184308067"/>
      <w:bookmarkEnd w:id="141"/>
      <w:bookmarkStart w:id="142" w:name="_Toc184308061"/>
      <w:bookmarkEnd w:id="142"/>
      <w:bookmarkStart w:id="143" w:name="_Toc184312070"/>
      <w:bookmarkEnd w:id="143"/>
      <w:bookmarkStart w:id="144" w:name="_Toc184312135"/>
      <w:bookmarkEnd w:id="144"/>
      <w:bookmarkStart w:id="145" w:name="_Toc184314455"/>
      <w:bookmarkEnd w:id="145"/>
      <w:bookmarkStart w:id="146" w:name="_Toc184312117"/>
      <w:bookmarkEnd w:id="146"/>
      <w:bookmarkStart w:id="147" w:name="_Toc184312094"/>
      <w:bookmarkEnd w:id="147"/>
      <w:bookmarkStart w:id="148" w:name="_Toc184313303"/>
      <w:bookmarkEnd w:id="148"/>
      <w:bookmarkStart w:id="149" w:name="_Toc184312115"/>
      <w:bookmarkEnd w:id="149"/>
      <w:bookmarkStart w:id="150" w:name="_Toc184310317"/>
      <w:bookmarkEnd w:id="150"/>
      <w:bookmarkStart w:id="151" w:name="_Toc184310336"/>
      <w:bookmarkEnd w:id="151"/>
      <w:bookmarkStart w:id="152" w:name="_Toc184310281"/>
      <w:bookmarkEnd w:id="152"/>
      <w:bookmarkStart w:id="153" w:name="_Toc184308053"/>
      <w:bookmarkEnd w:id="153"/>
      <w:bookmarkStart w:id="154" w:name="_Toc184314430"/>
      <w:bookmarkEnd w:id="154"/>
      <w:bookmarkStart w:id="155" w:name="_Toc184310322"/>
      <w:bookmarkEnd w:id="155"/>
      <w:bookmarkStart w:id="156" w:name="_Toc184313251"/>
      <w:bookmarkEnd w:id="156"/>
      <w:bookmarkStart w:id="157" w:name="_Toc184310292"/>
      <w:bookmarkEnd w:id="157"/>
      <w:bookmarkStart w:id="158" w:name="_Toc184314454"/>
      <w:bookmarkEnd w:id="158"/>
      <w:bookmarkStart w:id="159" w:name="_Toc184313307"/>
      <w:bookmarkEnd w:id="159"/>
      <w:bookmarkStart w:id="160" w:name="_Toc184314458"/>
      <w:bookmarkEnd w:id="160"/>
      <w:bookmarkStart w:id="161" w:name="_Toc184308101"/>
      <w:bookmarkEnd w:id="161"/>
      <w:bookmarkStart w:id="162" w:name="_Toc184310298"/>
      <w:bookmarkEnd w:id="162"/>
      <w:bookmarkStart w:id="163" w:name="_Toc184308081"/>
      <w:bookmarkEnd w:id="163"/>
      <w:bookmarkStart w:id="164" w:name="_Toc184310288"/>
      <w:bookmarkEnd w:id="164"/>
      <w:bookmarkStart w:id="165" w:name="_Toc184313292"/>
      <w:bookmarkEnd w:id="165"/>
      <w:bookmarkStart w:id="166" w:name="_Toc184308056"/>
      <w:bookmarkEnd w:id="166"/>
      <w:bookmarkStart w:id="167" w:name="_Toc184312086"/>
      <w:bookmarkEnd w:id="167"/>
      <w:bookmarkStart w:id="168" w:name="_Toc184313287"/>
      <w:bookmarkEnd w:id="168"/>
      <w:bookmarkStart w:id="169" w:name="_Toc184313275"/>
      <w:bookmarkEnd w:id="169"/>
      <w:bookmarkStart w:id="170" w:name="_Toc184310275"/>
      <w:bookmarkEnd w:id="170"/>
      <w:bookmarkStart w:id="171" w:name="_Toc184308054"/>
      <w:bookmarkEnd w:id="171"/>
      <w:bookmarkStart w:id="172" w:name="_Toc184314459"/>
      <w:bookmarkEnd w:id="172"/>
      <w:bookmarkStart w:id="173" w:name="_Toc184313263"/>
      <w:bookmarkEnd w:id="173"/>
      <w:bookmarkStart w:id="174" w:name="_Toc184312112"/>
      <w:bookmarkEnd w:id="174"/>
      <w:bookmarkStart w:id="175" w:name="_Toc184312116"/>
      <w:bookmarkEnd w:id="175"/>
      <w:bookmarkStart w:id="176" w:name="_Toc184308049"/>
      <w:bookmarkEnd w:id="176"/>
      <w:bookmarkStart w:id="177" w:name="_Toc184314413"/>
      <w:bookmarkEnd w:id="177"/>
      <w:bookmarkStart w:id="178" w:name="_Toc184313253"/>
      <w:bookmarkEnd w:id="178"/>
      <w:bookmarkStart w:id="179" w:name="_Toc184312069"/>
      <w:bookmarkEnd w:id="179"/>
      <w:bookmarkStart w:id="180" w:name="_Toc184314429"/>
      <w:bookmarkEnd w:id="180"/>
      <w:bookmarkStart w:id="181" w:name="_Toc184313280"/>
      <w:bookmarkEnd w:id="181"/>
      <w:bookmarkStart w:id="182" w:name="_Toc184310296"/>
      <w:bookmarkEnd w:id="182"/>
      <w:bookmarkStart w:id="183" w:name="_Toc184313306"/>
      <w:bookmarkEnd w:id="183"/>
      <w:bookmarkStart w:id="184" w:name="_Toc184308039"/>
      <w:bookmarkEnd w:id="184"/>
      <w:bookmarkStart w:id="185" w:name="_Toc184310299"/>
      <w:bookmarkEnd w:id="185"/>
      <w:bookmarkStart w:id="186" w:name="_Toc184314450"/>
      <w:bookmarkEnd w:id="186"/>
      <w:bookmarkStart w:id="187" w:name="_Toc184314449"/>
      <w:bookmarkEnd w:id="187"/>
      <w:bookmarkStart w:id="188" w:name="_Toc184313262"/>
      <w:bookmarkEnd w:id="188"/>
      <w:bookmarkStart w:id="189" w:name="_Toc184312067"/>
      <w:bookmarkEnd w:id="189"/>
      <w:bookmarkStart w:id="190" w:name="_Toc184312085"/>
      <w:bookmarkEnd w:id="190"/>
      <w:bookmarkStart w:id="191" w:name="_Toc184314428"/>
      <w:bookmarkEnd w:id="191"/>
      <w:bookmarkStart w:id="192" w:name="_Toc184310289"/>
      <w:bookmarkEnd w:id="192"/>
      <w:bookmarkStart w:id="193" w:name="_Toc184310297"/>
      <w:bookmarkEnd w:id="193"/>
      <w:bookmarkStart w:id="194" w:name="_Toc184313277"/>
      <w:bookmarkEnd w:id="194"/>
      <w:bookmarkStart w:id="195" w:name="_Toc184314478"/>
      <w:bookmarkEnd w:id="195"/>
      <w:bookmarkStart w:id="196" w:name="_Toc184312072"/>
      <w:bookmarkEnd w:id="196"/>
      <w:bookmarkStart w:id="197" w:name="_Toc184310339"/>
      <w:bookmarkEnd w:id="197"/>
      <w:bookmarkStart w:id="198" w:name="_Toc184314411"/>
      <w:bookmarkEnd w:id="198"/>
      <w:bookmarkStart w:id="199" w:name="_Toc184312073"/>
      <w:bookmarkEnd w:id="199"/>
      <w:bookmarkStart w:id="200" w:name="_Toc184313246"/>
      <w:bookmarkEnd w:id="200"/>
      <w:bookmarkStart w:id="201" w:name="_Toc184314418"/>
      <w:bookmarkEnd w:id="201"/>
      <w:bookmarkStart w:id="202" w:name="_Toc184310290"/>
      <w:bookmarkEnd w:id="202"/>
      <w:bookmarkStart w:id="203" w:name="_Toc184314474"/>
      <w:bookmarkEnd w:id="203"/>
      <w:bookmarkStart w:id="204" w:name="_Toc184308038"/>
      <w:bookmarkEnd w:id="204"/>
      <w:bookmarkStart w:id="205" w:name="_Toc184313260"/>
      <w:bookmarkEnd w:id="205"/>
      <w:bookmarkStart w:id="206" w:name="_Toc184308105"/>
      <w:bookmarkEnd w:id="206"/>
      <w:bookmarkStart w:id="207" w:name="_Toc184308043"/>
      <w:bookmarkEnd w:id="207"/>
      <w:bookmarkStart w:id="208" w:name="_Toc184308104"/>
      <w:bookmarkEnd w:id="208"/>
      <w:bookmarkStart w:id="209" w:name="_Toc184310274"/>
      <w:bookmarkEnd w:id="209"/>
      <w:bookmarkStart w:id="210" w:name="_Toc184310335"/>
      <w:bookmarkEnd w:id="210"/>
      <w:bookmarkStart w:id="211" w:name="_Toc184314417"/>
      <w:bookmarkEnd w:id="211"/>
      <w:bookmarkStart w:id="212" w:name="_Toc184310342"/>
      <w:bookmarkEnd w:id="212"/>
      <w:bookmarkStart w:id="213" w:name="_Toc184310279"/>
      <w:bookmarkEnd w:id="213"/>
      <w:bookmarkStart w:id="214" w:name="_Toc184313244"/>
      <w:bookmarkEnd w:id="214"/>
      <w:bookmarkStart w:id="215" w:name="_Toc184314416"/>
      <w:bookmarkEnd w:id="215"/>
      <w:bookmarkStart w:id="216" w:name="_Toc184310312"/>
      <w:bookmarkEnd w:id="216"/>
      <w:bookmarkStart w:id="217" w:name="_Toc184310316"/>
      <w:bookmarkEnd w:id="217"/>
      <w:bookmarkStart w:id="218" w:name="_Toc184308044"/>
      <w:bookmarkEnd w:id="218"/>
      <w:bookmarkStart w:id="219" w:name="_Toc184312076"/>
      <w:bookmarkEnd w:id="219"/>
      <w:bookmarkStart w:id="220" w:name="_Toc184310272"/>
      <w:bookmarkEnd w:id="220"/>
      <w:bookmarkStart w:id="221" w:name="_Toc184314415"/>
      <w:bookmarkEnd w:id="221"/>
      <w:bookmarkStart w:id="222" w:name="_Toc184308041"/>
      <w:bookmarkEnd w:id="222"/>
      <w:bookmarkStart w:id="223" w:name="_Toc184312111"/>
      <w:bookmarkEnd w:id="223"/>
      <w:bookmarkStart w:id="224" w:name="_Toc184314414"/>
      <w:bookmarkEnd w:id="224"/>
      <w:bookmarkStart w:id="225" w:name="_Toc184310280"/>
      <w:bookmarkEnd w:id="225"/>
      <w:bookmarkStart w:id="226" w:name="_Toc184314472"/>
      <w:bookmarkEnd w:id="226"/>
      <w:bookmarkStart w:id="227" w:name="_Toc184312077"/>
      <w:bookmarkEnd w:id="227"/>
      <w:bookmarkStart w:id="228" w:name="_Toc184310318"/>
      <w:bookmarkEnd w:id="228"/>
      <w:bookmarkStart w:id="229" w:name="_Toc184312074"/>
      <w:bookmarkEnd w:id="229"/>
      <w:bookmarkStart w:id="230" w:name="_Toc184312075"/>
      <w:bookmarkEnd w:id="230"/>
      <w:bookmarkStart w:id="231" w:name="_Toc184313245"/>
      <w:bookmarkEnd w:id="231"/>
      <w:bookmarkStart w:id="232" w:name="_Toc184313282"/>
      <w:bookmarkEnd w:id="232"/>
      <w:bookmarkStart w:id="233" w:name="_Toc184310276"/>
      <w:bookmarkEnd w:id="233"/>
      <w:bookmarkStart w:id="234" w:name="_Toc184314448"/>
      <w:bookmarkEnd w:id="234"/>
      <w:bookmarkStart w:id="235" w:name="_Toc184310278"/>
      <w:bookmarkEnd w:id="235"/>
      <w:bookmarkStart w:id="236" w:name="_Toc184310344"/>
      <w:bookmarkEnd w:id="236"/>
      <w:bookmarkStart w:id="237" w:name="_Toc184314433"/>
      <w:bookmarkEnd w:id="237"/>
      <w:bookmarkStart w:id="238" w:name="_Toc184312092"/>
      <w:bookmarkEnd w:id="238"/>
      <w:bookmarkStart w:id="239" w:name="_Toc184308075"/>
      <w:bookmarkEnd w:id="239"/>
      <w:bookmarkStart w:id="240" w:name="_Toc184312082"/>
      <w:bookmarkEnd w:id="240"/>
      <w:bookmarkStart w:id="241" w:name="_Toc184308042"/>
      <w:bookmarkEnd w:id="241"/>
      <w:bookmarkStart w:id="242" w:name="_Toc184308059"/>
      <w:bookmarkEnd w:id="242"/>
      <w:bookmarkStart w:id="243" w:name="_Toc184314425"/>
      <w:bookmarkEnd w:id="243"/>
      <w:bookmarkStart w:id="244" w:name="_Toc184313261"/>
      <w:bookmarkEnd w:id="244"/>
      <w:bookmarkStart w:id="245" w:name="_Toc184308106"/>
      <w:bookmarkEnd w:id="245"/>
      <w:bookmarkStart w:id="246" w:name="_Toc184310277"/>
      <w:bookmarkEnd w:id="246"/>
      <w:bookmarkStart w:id="247" w:name="_Toc184308060"/>
      <w:bookmarkEnd w:id="247"/>
      <w:bookmarkStart w:id="248" w:name="_Toc184308062"/>
      <w:bookmarkEnd w:id="248"/>
      <w:bookmarkStart w:id="249" w:name="_Toc184313276"/>
      <w:bookmarkEnd w:id="249"/>
      <w:bookmarkStart w:id="250" w:name="_Toc184314477"/>
      <w:bookmarkEnd w:id="250"/>
      <w:bookmarkStart w:id="251" w:name="_Toc184310332"/>
      <w:bookmarkEnd w:id="251"/>
      <w:bookmarkStart w:id="252" w:name="_Toc184310287"/>
      <w:bookmarkEnd w:id="252"/>
      <w:bookmarkStart w:id="253" w:name="_Toc184310295"/>
      <w:bookmarkEnd w:id="253"/>
      <w:bookmarkStart w:id="254" w:name="_Toc184314471"/>
      <w:bookmarkEnd w:id="254"/>
      <w:bookmarkStart w:id="255" w:name="_Toc184308080"/>
      <w:bookmarkEnd w:id="255"/>
      <w:bookmarkStart w:id="256" w:name="_Toc184308096"/>
      <w:bookmarkEnd w:id="256"/>
      <w:bookmarkStart w:id="257" w:name="_Toc184308050"/>
      <w:bookmarkEnd w:id="257"/>
      <w:bookmarkStart w:id="258" w:name="_Toc184313309"/>
      <w:bookmarkEnd w:id="258"/>
      <w:bookmarkStart w:id="259" w:name="_Toc184308045"/>
      <w:bookmarkEnd w:id="259"/>
      <w:bookmarkStart w:id="260" w:name="_Toc184313284"/>
      <w:bookmarkEnd w:id="260"/>
      <w:bookmarkStart w:id="261" w:name="_Toc184312110"/>
      <w:bookmarkEnd w:id="261"/>
      <w:bookmarkStart w:id="262" w:name="_Toc184312089"/>
      <w:bookmarkEnd w:id="262"/>
      <w:bookmarkStart w:id="263" w:name="_Toc184313265"/>
      <w:bookmarkEnd w:id="263"/>
      <w:bookmarkStart w:id="264" w:name="_Toc184312125"/>
      <w:bookmarkEnd w:id="264"/>
      <w:bookmarkStart w:id="265" w:name="_Toc184310320"/>
      <w:bookmarkEnd w:id="265"/>
      <w:bookmarkStart w:id="266" w:name="_Toc184313243"/>
      <w:bookmarkEnd w:id="266"/>
      <w:bookmarkStart w:id="267" w:name="_Toc184313278"/>
      <w:bookmarkEnd w:id="267"/>
      <w:bookmarkStart w:id="268" w:name="_Toc184314435"/>
      <w:bookmarkEnd w:id="268"/>
      <w:bookmarkStart w:id="269" w:name="_Toc184310294"/>
      <w:bookmarkEnd w:id="269"/>
      <w:bookmarkStart w:id="270" w:name="_Toc184314437"/>
      <w:bookmarkEnd w:id="270"/>
      <w:bookmarkStart w:id="271" w:name="_Toc184308073"/>
      <w:bookmarkEnd w:id="271"/>
      <w:bookmarkStart w:id="272" w:name="_Toc184314424"/>
      <w:bookmarkEnd w:id="272"/>
      <w:bookmarkStart w:id="273" w:name="_Toc184310304"/>
      <w:bookmarkEnd w:id="273"/>
      <w:bookmarkStart w:id="274" w:name="_Toc184310321"/>
      <w:bookmarkEnd w:id="274"/>
      <w:bookmarkStart w:id="275" w:name="_Toc184314427"/>
      <w:bookmarkEnd w:id="275"/>
      <w:bookmarkStart w:id="276" w:name="_Toc184313290"/>
      <w:bookmarkEnd w:id="276"/>
      <w:bookmarkStart w:id="277" w:name="_Toc184312090"/>
      <w:bookmarkEnd w:id="277"/>
      <w:bookmarkStart w:id="278" w:name="_Toc184313296"/>
      <w:bookmarkEnd w:id="278"/>
      <w:bookmarkStart w:id="279" w:name="_Toc184313300"/>
      <w:bookmarkEnd w:id="279"/>
      <w:bookmarkStart w:id="280" w:name="_Toc184308036"/>
      <w:bookmarkEnd w:id="280"/>
      <w:bookmarkStart w:id="281" w:name="_Toc184314412"/>
      <w:bookmarkEnd w:id="281"/>
      <w:bookmarkStart w:id="282" w:name="_Toc184308098"/>
      <w:bookmarkEnd w:id="282"/>
      <w:bookmarkStart w:id="283" w:name="_Toc184313305"/>
      <w:bookmarkEnd w:id="283"/>
      <w:bookmarkStart w:id="284" w:name="_Toc184312129"/>
      <w:bookmarkEnd w:id="284"/>
      <w:bookmarkStart w:id="285" w:name="_Toc184308097"/>
      <w:bookmarkEnd w:id="285"/>
      <w:bookmarkStart w:id="286" w:name="_Toc184312134"/>
      <w:bookmarkEnd w:id="286"/>
      <w:bookmarkStart w:id="287" w:name="_Toc184308103"/>
      <w:bookmarkEnd w:id="287"/>
      <w:bookmarkStart w:id="288" w:name="_Toc184313304"/>
      <w:bookmarkEnd w:id="288"/>
      <w:bookmarkStart w:id="289" w:name="_Toc184314468"/>
      <w:bookmarkEnd w:id="289"/>
      <w:bookmarkStart w:id="290" w:name="_Toc184314469"/>
      <w:bookmarkEnd w:id="290"/>
      <w:bookmarkStart w:id="291" w:name="_Toc184308068"/>
      <w:bookmarkEnd w:id="291"/>
      <w:bookmarkStart w:id="292" w:name="_Toc184312091"/>
      <w:bookmarkEnd w:id="292"/>
      <w:bookmarkStart w:id="293" w:name="_Toc184308046"/>
      <w:bookmarkEnd w:id="293"/>
      <w:bookmarkStart w:id="294" w:name="_Toc184312130"/>
      <w:bookmarkEnd w:id="294"/>
      <w:bookmarkStart w:id="295" w:name="_Toc184312132"/>
      <w:bookmarkEnd w:id="295"/>
      <w:bookmarkStart w:id="296" w:name="_Toc184313299"/>
      <w:bookmarkEnd w:id="296"/>
      <w:bookmarkStart w:id="297" w:name="_Toc184314470"/>
      <w:bookmarkEnd w:id="297"/>
      <w:bookmarkStart w:id="298" w:name="_Toc184313285"/>
      <w:bookmarkEnd w:id="298"/>
      <w:bookmarkStart w:id="299" w:name="_Toc184310340"/>
      <w:bookmarkEnd w:id="299"/>
      <w:bookmarkStart w:id="300" w:name="_Toc184308076"/>
      <w:bookmarkEnd w:id="300"/>
      <w:bookmarkStart w:id="301" w:name="_Toc184312109"/>
      <w:bookmarkEnd w:id="301"/>
      <w:bookmarkStart w:id="302" w:name="_Toc184310330"/>
      <w:bookmarkEnd w:id="302"/>
      <w:bookmarkStart w:id="303" w:name="_Toc184314481"/>
      <w:bookmarkEnd w:id="303"/>
      <w:bookmarkStart w:id="304" w:name="_Toc184312128"/>
      <w:bookmarkEnd w:id="304"/>
      <w:bookmarkStart w:id="305" w:name="_Toc184312122"/>
      <w:bookmarkEnd w:id="305"/>
      <w:bookmarkStart w:id="306" w:name="_Toc184310329"/>
      <w:bookmarkEnd w:id="306"/>
      <w:bookmarkStart w:id="307" w:name="_Toc184308037"/>
      <w:bookmarkEnd w:id="307"/>
      <w:bookmarkStart w:id="308" w:name="_Toc184310334"/>
      <w:bookmarkEnd w:id="308"/>
      <w:bookmarkStart w:id="309" w:name="_Toc184314452"/>
      <w:bookmarkEnd w:id="309"/>
      <w:bookmarkStart w:id="310" w:name="_Toc184308092"/>
      <w:bookmarkEnd w:id="310"/>
      <w:bookmarkStart w:id="311" w:name="_Toc184308099"/>
      <w:bookmarkEnd w:id="311"/>
      <w:bookmarkStart w:id="312" w:name="_Toc184313297"/>
      <w:bookmarkEnd w:id="312"/>
      <w:bookmarkStart w:id="313" w:name="_Toc184313286"/>
      <w:bookmarkEnd w:id="313"/>
      <w:bookmarkStart w:id="314" w:name="_Toc184310338"/>
      <w:bookmarkEnd w:id="314"/>
      <w:bookmarkStart w:id="315" w:name="_Toc184312133"/>
      <w:bookmarkEnd w:id="315"/>
      <w:bookmarkStart w:id="316" w:name="_Toc184308095"/>
      <w:bookmarkEnd w:id="316"/>
      <w:bookmarkStart w:id="317" w:name="_Toc184308089"/>
      <w:bookmarkEnd w:id="317"/>
      <w:bookmarkStart w:id="318" w:name="_Toc184313288"/>
      <w:bookmarkEnd w:id="318"/>
      <w:bookmarkStart w:id="319" w:name="_Toc184308090"/>
      <w:bookmarkEnd w:id="319"/>
      <w:bookmarkStart w:id="320" w:name="_Toc184312120"/>
      <w:bookmarkEnd w:id="320"/>
      <w:bookmarkStart w:id="321" w:name="_Toc184310326"/>
      <w:bookmarkEnd w:id="321"/>
      <w:bookmarkStart w:id="322" w:name="_Toc184313294"/>
      <w:bookmarkEnd w:id="322"/>
      <w:bookmarkStart w:id="323" w:name="_Toc184314457"/>
      <w:bookmarkEnd w:id="323"/>
      <w:bookmarkStart w:id="324" w:name="_Toc184310331"/>
      <w:bookmarkEnd w:id="324"/>
      <w:bookmarkStart w:id="325" w:name="_Toc184308091"/>
      <w:bookmarkEnd w:id="325"/>
      <w:bookmarkStart w:id="326" w:name="_Toc184314463"/>
      <w:bookmarkEnd w:id="326"/>
      <w:bookmarkStart w:id="327" w:name="_Toc184308094"/>
      <w:bookmarkEnd w:id="327"/>
      <w:bookmarkStart w:id="328" w:name="_Toc184312127"/>
      <w:bookmarkEnd w:id="328"/>
      <w:bookmarkStart w:id="329" w:name="_Toc184310333"/>
      <w:bookmarkEnd w:id="329"/>
      <w:bookmarkStart w:id="330" w:name="_Toc184314467"/>
      <w:bookmarkEnd w:id="330"/>
      <w:bookmarkStart w:id="331" w:name="_Toc184312121"/>
      <w:bookmarkEnd w:id="331"/>
      <w:bookmarkStart w:id="332" w:name="_Toc184312107"/>
      <w:bookmarkEnd w:id="332"/>
      <w:bookmarkStart w:id="333" w:name="_Toc184312123"/>
      <w:bookmarkEnd w:id="333"/>
      <w:bookmarkStart w:id="334" w:name="_Toc184314466"/>
      <w:bookmarkEnd w:id="334"/>
      <w:bookmarkStart w:id="335" w:name="_Toc184314476"/>
      <w:bookmarkEnd w:id="335"/>
      <w:bookmarkStart w:id="336" w:name="_Toc184313298"/>
      <w:bookmarkEnd w:id="336"/>
      <w:bookmarkStart w:id="337" w:name="_Toc184308088"/>
      <w:bookmarkEnd w:id="337"/>
      <w:bookmarkStart w:id="338" w:name="_Toc184310325"/>
      <w:bookmarkEnd w:id="338"/>
      <w:bookmarkStart w:id="339" w:name="_Toc184312114"/>
      <w:bookmarkEnd w:id="339"/>
      <w:bookmarkStart w:id="340" w:name="_Toc184313248"/>
      <w:bookmarkEnd w:id="340"/>
      <w:bookmarkStart w:id="341" w:name="_Toc184312137"/>
      <w:bookmarkEnd w:id="341"/>
      <w:bookmarkStart w:id="342" w:name="_Toc184313241"/>
      <w:bookmarkEnd w:id="342"/>
      <w:bookmarkStart w:id="343" w:name="_Toc184308085"/>
      <w:bookmarkEnd w:id="343"/>
      <w:bookmarkStart w:id="344" w:name="_Toc184308093"/>
      <w:bookmarkEnd w:id="344"/>
      <w:bookmarkStart w:id="345" w:name="_Toc184308087"/>
      <w:bookmarkEnd w:id="345"/>
      <w:bookmarkStart w:id="346" w:name="_Toc184313250"/>
      <w:bookmarkEnd w:id="346"/>
      <w:bookmarkStart w:id="347" w:name="_Toc184308077"/>
      <w:bookmarkEnd w:id="347"/>
      <w:bookmarkStart w:id="348" w:name="_Toc184312105"/>
      <w:bookmarkEnd w:id="348"/>
      <w:bookmarkStart w:id="349" w:name="_Toc184314422"/>
      <w:bookmarkEnd w:id="349"/>
      <w:bookmarkStart w:id="350" w:name="_Toc184310313"/>
      <w:bookmarkEnd w:id="350"/>
      <w:bookmarkStart w:id="351" w:name="_Toc184314464"/>
      <w:bookmarkEnd w:id="351"/>
      <w:bookmarkStart w:id="352" w:name="_Toc184310327"/>
      <w:bookmarkEnd w:id="352"/>
      <w:bookmarkStart w:id="353" w:name="_Toc184314423"/>
      <w:bookmarkEnd w:id="353"/>
      <w:bookmarkStart w:id="354" w:name="_Toc184314480"/>
      <w:bookmarkEnd w:id="354"/>
      <w:bookmarkStart w:id="355" w:name="_Toc184314461"/>
      <w:bookmarkEnd w:id="355"/>
      <w:bookmarkStart w:id="356" w:name="_Toc184314479"/>
      <w:bookmarkEnd w:id="356"/>
      <w:bookmarkStart w:id="357" w:name="_Toc184313301"/>
      <w:bookmarkEnd w:id="357"/>
      <w:bookmarkStart w:id="358" w:name="_Toc184312093"/>
      <w:bookmarkEnd w:id="358"/>
      <w:bookmarkStart w:id="359" w:name="_Toc184314462"/>
      <w:bookmarkEnd w:id="359"/>
      <w:bookmarkStart w:id="360" w:name="_Toc184308063"/>
      <w:bookmarkEnd w:id="360"/>
      <w:bookmarkStart w:id="361" w:name="_Toc184312101"/>
      <w:bookmarkEnd w:id="361"/>
      <w:bookmarkStart w:id="362" w:name="_Toc184313258"/>
      <w:bookmarkEnd w:id="362"/>
      <w:bookmarkStart w:id="363" w:name="_Toc184313255"/>
      <w:bookmarkEnd w:id="363"/>
      <w:bookmarkStart w:id="364" w:name="_Toc184313240"/>
      <w:bookmarkEnd w:id="364"/>
      <w:bookmarkStart w:id="365" w:name="_Toc184314439"/>
      <w:bookmarkEnd w:id="365"/>
      <w:bookmarkStart w:id="366" w:name="_Toc184313268"/>
      <w:bookmarkEnd w:id="366"/>
      <w:bookmarkStart w:id="367" w:name="_Toc184310305"/>
      <w:bookmarkEnd w:id="367"/>
      <w:bookmarkStart w:id="368" w:name="_Toc184313283"/>
      <w:bookmarkEnd w:id="368"/>
      <w:bookmarkStart w:id="369" w:name="_Toc184308069"/>
      <w:bookmarkEnd w:id="369"/>
      <w:bookmarkStart w:id="370" w:name="_Toc184310300"/>
      <w:bookmarkEnd w:id="370"/>
      <w:bookmarkStart w:id="371" w:name="_Toc184308082"/>
      <w:bookmarkEnd w:id="371"/>
      <w:bookmarkStart w:id="372" w:name="_Toc184308078"/>
      <w:bookmarkEnd w:id="372"/>
      <w:bookmarkStart w:id="373" w:name="_Toc184313281"/>
      <w:bookmarkEnd w:id="373"/>
      <w:bookmarkStart w:id="374" w:name="_Toc184310308"/>
      <w:bookmarkEnd w:id="374"/>
      <w:bookmarkStart w:id="375" w:name="_Toc184313269"/>
      <w:bookmarkEnd w:id="375"/>
      <w:bookmarkStart w:id="376" w:name="_Toc184313271"/>
      <w:bookmarkEnd w:id="376"/>
      <w:bookmarkStart w:id="377" w:name="_Toc184310310"/>
      <w:bookmarkEnd w:id="377"/>
      <w:bookmarkStart w:id="378" w:name="_Toc184310293"/>
      <w:bookmarkEnd w:id="378"/>
      <w:bookmarkStart w:id="379" w:name="_Toc184314426"/>
      <w:bookmarkEnd w:id="379"/>
      <w:bookmarkStart w:id="380" w:name="_Toc184313257"/>
      <w:bookmarkEnd w:id="380"/>
      <w:bookmarkStart w:id="381" w:name="_Toc184313267"/>
      <w:bookmarkEnd w:id="381"/>
      <w:bookmarkStart w:id="382" w:name="_Toc184308047"/>
      <w:bookmarkEnd w:id="382"/>
      <w:bookmarkStart w:id="383" w:name="_Toc184310302"/>
      <w:bookmarkEnd w:id="383"/>
      <w:bookmarkStart w:id="384" w:name="_Toc184312100"/>
      <w:bookmarkEnd w:id="384"/>
      <w:bookmarkStart w:id="385" w:name="_Toc184308052"/>
      <w:bookmarkEnd w:id="385"/>
      <w:bookmarkStart w:id="386" w:name="_Toc184312103"/>
      <w:bookmarkEnd w:id="386"/>
      <w:bookmarkStart w:id="387" w:name="_Toc184310282"/>
      <w:bookmarkEnd w:id="387"/>
      <w:bookmarkStart w:id="388" w:name="_Toc184310301"/>
      <w:bookmarkEnd w:id="388"/>
      <w:bookmarkStart w:id="389" w:name="_Toc184314443"/>
      <w:bookmarkEnd w:id="389"/>
      <w:bookmarkStart w:id="390" w:name="_Toc184313273"/>
      <w:bookmarkEnd w:id="390"/>
      <w:bookmarkStart w:id="391" w:name="_Toc184314446"/>
      <w:bookmarkEnd w:id="391"/>
      <w:r>
        <w:rPr>
          <w:rFonts w:hint="eastAsia" w:ascii="仿宋" w:hAnsi="仿宋" w:eastAsia="仿宋" w:cs="仿宋_GB2312"/>
          <w:b/>
          <w:sz w:val="36"/>
          <w:szCs w:val="36"/>
        </w:rPr>
        <w:t>评标办法</w:t>
      </w:r>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评标办法前附表</w:t>
      </w:r>
    </w:p>
    <w:tbl>
      <w:tblPr>
        <w:tblStyle w:val="62"/>
        <w:tblpPr w:leftFromText="180" w:rightFromText="180" w:vertAnchor="text" w:horzAnchor="page" w:tblpXSpec="center" w:tblpY="126"/>
        <w:tblW w:w="55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8"/>
        <w:gridCol w:w="4251"/>
        <w:gridCol w:w="850"/>
        <w:gridCol w:w="2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429" w:type="pct"/>
            <w:vAlign w:val="center"/>
          </w:tcPr>
          <w:p>
            <w:pPr>
              <w:spacing w:line="360" w:lineRule="auto"/>
              <w:jc w:val="center"/>
              <w:outlineLvl w:val="0"/>
              <w:rPr>
                <w:rFonts w:cs="仿宋_GB2312" w:asciiTheme="minorEastAsia" w:hAnsiTheme="minorEastAsia" w:eastAsiaTheme="minorEastAsia"/>
                <w:bCs/>
                <w:szCs w:val="21"/>
              </w:rPr>
            </w:pPr>
            <w:r>
              <w:rPr>
                <w:rFonts w:hint="eastAsia" w:cs="仿宋_GB2312" w:asciiTheme="minorEastAsia" w:hAnsiTheme="minorEastAsia" w:eastAsiaTheme="minorEastAsia"/>
                <w:bCs/>
                <w:szCs w:val="21"/>
              </w:rPr>
              <w:t>序号</w:t>
            </w:r>
          </w:p>
        </w:tc>
        <w:tc>
          <w:tcPr>
            <w:tcW w:w="671" w:type="pct"/>
            <w:vAlign w:val="center"/>
          </w:tcPr>
          <w:p>
            <w:pPr>
              <w:jc w:val="center"/>
              <w:rPr>
                <w:rFonts w:ascii="宋体" w:hAnsi="宋体"/>
                <w:szCs w:val="21"/>
              </w:rPr>
            </w:pPr>
            <w:r>
              <w:rPr>
                <w:rFonts w:hint="eastAsia" w:ascii="宋体" w:hAnsi="宋体"/>
                <w:szCs w:val="21"/>
              </w:rPr>
              <w:t>评分</w:t>
            </w:r>
          </w:p>
          <w:p>
            <w:pPr>
              <w:spacing w:line="360" w:lineRule="auto"/>
              <w:jc w:val="center"/>
              <w:outlineLvl w:val="0"/>
              <w:rPr>
                <w:rFonts w:cs="仿宋_GB2312" w:asciiTheme="minorEastAsia" w:hAnsiTheme="minorEastAsia" w:eastAsiaTheme="minorEastAsia"/>
                <w:bCs/>
                <w:szCs w:val="21"/>
              </w:rPr>
            </w:pPr>
            <w:r>
              <w:rPr>
                <w:rFonts w:hint="eastAsia" w:ascii="宋体" w:hAnsi="宋体"/>
                <w:szCs w:val="21"/>
              </w:rPr>
              <w:t>内容</w:t>
            </w:r>
          </w:p>
        </w:tc>
        <w:tc>
          <w:tcPr>
            <w:tcW w:w="2234" w:type="pct"/>
            <w:vAlign w:val="center"/>
          </w:tcPr>
          <w:p>
            <w:pPr>
              <w:spacing w:line="360" w:lineRule="auto"/>
              <w:ind w:firstLine="1365" w:firstLineChars="650"/>
              <w:outlineLvl w:val="0"/>
              <w:rPr>
                <w:rFonts w:cs="仿宋_GB2312" w:asciiTheme="minorEastAsia" w:hAnsiTheme="minorEastAsia" w:eastAsiaTheme="minorEastAsia"/>
                <w:bCs/>
                <w:szCs w:val="21"/>
              </w:rPr>
            </w:pPr>
            <w:r>
              <w:rPr>
                <w:rFonts w:hint="eastAsia" w:cs="仿宋_GB2312" w:asciiTheme="minorEastAsia" w:hAnsiTheme="minorEastAsia" w:eastAsiaTheme="minorEastAsia"/>
                <w:bCs/>
                <w:szCs w:val="21"/>
              </w:rPr>
              <w:t>评标标准</w:t>
            </w:r>
          </w:p>
        </w:tc>
        <w:tc>
          <w:tcPr>
            <w:tcW w:w="447" w:type="pct"/>
            <w:vAlign w:val="center"/>
          </w:tcPr>
          <w:p>
            <w:pPr>
              <w:spacing w:line="360" w:lineRule="auto"/>
              <w:jc w:val="center"/>
              <w:outlineLvl w:val="0"/>
              <w:rPr>
                <w:rFonts w:cs="仿宋_GB2312" w:asciiTheme="minorEastAsia" w:hAnsiTheme="minorEastAsia" w:eastAsiaTheme="minorEastAsia"/>
                <w:bCs/>
                <w:szCs w:val="21"/>
              </w:rPr>
            </w:pPr>
            <w:r>
              <w:rPr>
                <w:rFonts w:hint="eastAsia" w:cs="仿宋_GB2312" w:asciiTheme="minorEastAsia" w:hAnsiTheme="minorEastAsia" w:eastAsiaTheme="minorEastAsia"/>
                <w:bCs/>
                <w:szCs w:val="21"/>
              </w:rPr>
              <w:t>权重</w:t>
            </w:r>
          </w:p>
        </w:tc>
        <w:tc>
          <w:tcPr>
            <w:tcW w:w="1218" w:type="pct"/>
            <w:vAlign w:val="center"/>
          </w:tcPr>
          <w:p>
            <w:pPr>
              <w:spacing w:line="360" w:lineRule="auto"/>
              <w:jc w:val="center"/>
              <w:outlineLvl w:val="0"/>
              <w:rPr>
                <w:rFonts w:cs="仿宋_GB2312" w:asciiTheme="minorEastAsia" w:hAnsiTheme="minorEastAsia" w:eastAsiaTheme="minorEastAsia"/>
                <w:bCs/>
                <w:szCs w:val="21"/>
              </w:rPr>
            </w:pPr>
            <w:r>
              <w:rPr>
                <w:rFonts w:hint="eastAsia" w:cs="仿宋_GB2312" w:asciiTheme="minorEastAsia" w:hAnsiTheme="minorEastAsia" w:eastAsiaTheme="minorEastAsia"/>
                <w:bCs/>
                <w:szCs w:val="21"/>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429" w:type="pct"/>
            <w:vAlign w:val="center"/>
          </w:tcPr>
          <w:p>
            <w:pPr>
              <w:spacing w:line="360" w:lineRule="auto"/>
              <w:ind w:firstLine="210" w:firstLineChars="100"/>
              <w:outlineLvl w:val="0"/>
              <w:rPr>
                <w:rFonts w:cs="仿宋_GB2312" w:asciiTheme="minorEastAsia" w:hAnsiTheme="minorEastAsia" w:eastAsiaTheme="minorEastAsia"/>
                <w:szCs w:val="21"/>
              </w:rPr>
            </w:pPr>
            <w:r>
              <w:rPr>
                <w:rFonts w:hint="eastAsia" w:cs="仿宋_GB2312" w:asciiTheme="minorEastAsia" w:hAnsiTheme="minorEastAsia" w:eastAsiaTheme="minorEastAsia"/>
                <w:szCs w:val="21"/>
              </w:rPr>
              <w:t>1</w:t>
            </w:r>
          </w:p>
        </w:tc>
        <w:tc>
          <w:tcPr>
            <w:tcW w:w="671" w:type="pct"/>
            <w:vAlign w:val="center"/>
          </w:tcPr>
          <w:p>
            <w:pPr>
              <w:jc w:val="center"/>
              <w:rPr>
                <w:rFonts w:ascii="宋体" w:hAnsi="宋体"/>
                <w:szCs w:val="21"/>
              </w:rPr>
            </w:pPr>
            <w:r>
              <w:rPr>
                <w:rFonts w:hint="eastAsia" w:ascii="宋体" w:hAnsi="宋体"/>
                <w:szCs w:val="21"/>
              </w:rPr>
              <w:t>试剂及配套仪器参数</w:t>
            </w:r>
          </w:p>
        </w:tc>
        <w:tc>
          <w:tcPr>
            <w:tcW w:w="2234" w:type="pct"/>
            <w:vAlign w:val="center"/>
          </w:tcPr>
          <w:p>
            <w:pPr>
              <w:rPr>
                <w:rFonts w:ascii="宋体" w:hAnsi="宋体"/>
                <w:szCs w:val="21"/>
              </w:rPr>
            </w:pPr>
            <w:r>
              <w:rPr>
                <w:rFonts w:hint="eastAsia" w:ascii="宋体" w:hAnsi="宋体"/>
                <w:szCs w:val="21"/>
              </w:rPr>
              <w:t>招标技术参数的偏离度：</w:t>
            </w:r>
          </w:p>
          <w:p>
            <w:pPr>
              <w:numPr>
                <w:ilvl w:val="0"/>
                <w:numId w:val="5"/>
              </w:numPr>
              <w:adjustRightInd/>
              <w:ind w:left="360" w:hanging="360"/>
              <w:rPr>
                <w:rFonts w:ascii="宋体" w:hAnsi="宋体"/>
                <w:szCs w:val="21"/>
              </w:rPr>
            </w:pPr>
            <w:r>
              <w:rPr>
                <w:rFonts w:hint="eastAsia" w:ascii="宋体" w:hAnsi="宋体"/>
                <w:szCs w:val="21"/>
              </w:rPr>
              <w:t>带“</w:t>
            </w:r>
            <w:r>
              <w:rPr>
                <w:rFonts w:hint="eastAsia" w:ascii="宋体" w:hAnsi="宋体" w:cs="宋体"/>
                <w:szCs w:val="21"/>
              </w:rPr>
              <w:t>▲</w:t>
            </w:r>
            <w:r>
              <w:rPr>
                <w:rFonts w:hint="eastAsia" w:ascii="宋体" w:hAnsi="宋体"/>
                <w:szCs w:val="21"/>
              </w:rPr>
              <w:t>”技术参数偏离一项扣5分；</w:t>
            </w:r>
          </w:p>
          <w:p>
            <w:pPr>
              <w:numPr>
                <w:ilvl w:val="0"/>
                <w:numId w:val="5"/>
              </w:numPr>
              <w:adjustRightInd/>
              <w:ind w:left="360" w:hanging="360"/>
              <w:rPr>
                <w:rFonts w:ascii="宋体" w:hAnsi="宋体"/>
                <w:szCs w:val="21"/>
              </w:rPr>
            </w:pPr>
            <w:r>
              <w:rPr>
                <w:rFonts w:hint="eastAsia" w:ascii="宋体" w:hAnsi="宋体"/>
                <w:szCs w:val="21"/>
              </w:rPr>
              <w:t>常规技术参数偏离一项扣2分；</w:t>
            </w:r>
          </w:p>
          <w:p>
            <w:pPr>
              <w:rPr>
                <w:rFonts w:ascii="宋体" w:hAnsi="宋体"/>
                <w:szCs w:val="21"/>
              </w:rPr>
            </w:pPr>
            <w:r>
              <w:rPr>
                <w:rFonts w:hint="eastAsia" w:ascii="宋体" w:hAnsi="宋体"/>
                <w:szCs w:val="21"/>
              </w:rPr>
              <w:t>以上二项需提供满足技术参数的佐证资料，包括说明书，不提供不得分，扣完为止。</w:t>
            </w:r>
          </w:p>
        </w:tc>
        <w:tc>
          <w:tcPr>
            <w:tcW w:w="447" w:type="pct"/>
            <w:vAlign w:val="center"/>
          </w:tcPr>
          <w:p>
            <w:pPr>
              <w:jc w:val="center"/>
              <w:rPr>
                <w:rFonts w:ascii="宋体" w:hAnsi="宋体"/>
                <w:szCs w:val="21"/>
              </w:rPr>
            </w:pPr>
            <w:r>
              <w:rPr>
                <w:rFonts w:hint="eastAsia" w:ascii="宋体" w:hAnsi="宋体"/>
                <w:szCs w:val="21"/>
              </w:rPr>
              <w:t>40分</w:t>
            </w:r>
          </w:p>
        </w:tc>
        <w:tc>
          <w:tcPr>
            <w:tcW w:w="1218" w:type="pct"/>
            <w:vAlign w:val="center"/>
          </w:tcPr>
          <w:p>
            <w:pPr>
              <w:spacing w:line="360" w:lineRule="auto"/>
              <w:jc w:val="center"/>
              <w:outlineLvl w:val="0"/>
              <w:rPr>
                <w:rFonts w:cs="仿宋_GB2312"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429" w:type="pct"/>
            <w:vAlign w:val="center"/>
          </w:tcPr>
          <w:p>
            <w:pPr>
              <w:spacing w:line="360" w:lineRule="auto"/>
              <w:ind w:firstLine="210" w:firstLineChars="100"/>
              <w:outlineLvl w:val="0"/>
              <w:rPr>
                <w:rFonts w:cs="仿宋_GB2312" w:asciiTheme="minorEastAsia" w:hAnsiTheme="minorEastAsia" w:eastAsiaTheme="minorEastAsia"/>
                <w:szCs w:val="21"/>
              </w:rPr>
            </w:pPr>
            <w:r>
              <w:rPr>
                <w:rFonts w:hint="eastAsia" w:cs="仿宋_GB2312" w:asciiTheme="minorEastAsia" w:hAnsiTheme="minorEastAsia" w:eastAsiaTheme="minorEastAsia"/>
                <w:szCs w:val="21"/>
              </w:rPr>
              <w:t>2</w:t>
            </w:r>
          </w:p>
        </w:tc>
        <w:tc>
          <w:tcPr>
            <w:tcW w:w="671" w:type="pct"/>
            <w:vAlign w:val="center"/>
          </w:tcPr>
          <w:p>
            <w:pPr>
              <w:jc w:val="center"/>
              <w:rPr>
                <w:rFonts w:ascii="宋体" w:hAnsi="宋体"/>
                <w:szCs w:val="21"/>
              </w:rPr>
            </w:pPr>
            <w:r>
              <w:rPr>
                <w:rFonts w:hint="eastAsia" w:ascii="宋体" w:hAnsi="宋体"/>
                <w:szCs w:val="21"/>
              </w:rPr>
              <w:t>试剂可靠性</w:t>
            </w:r>
          </w:p>
        </w:tc>
        <w:tc>
          <w:tcPr>
            <w:tcW w:w="2234" w:type="pct"/>
            <w:vAlign w:val="center"/>
          </w:tcPr>
          <w:p>
            <w:pPr>
              <w:rPr>
                <w:rFonts w:ascii="宋体" w:hAnsi="宋体"/>
                <w:szCs w:val="21"/>
              </w:rPr>
            </w:pPr>
            <w:r>
              <w:rPr>
                <w:rFonts w:hint="eastAsia" w:ascii="宋体" w:hAnsi="宋体"/>
                <w:szCs w:val="21"/>
              </w:rPr>
              <w:t>1.提供本次应标的项目清单及项目注册证。</w:t>
            </w:r>
          </w:p>
          <w:p>
            <w:pPr>
              <w:rPr>
                <w:rFonts w:ascii="宋体" w:hAnsi="宋体"/>
                <w:szCs w:val="21"/>
              </w:rPr>
            </w:pPr>
            <w:r>
              <w:rPr>
                <w:rFonts w:hint="eastAsia" w:ascii="宋体" w:hAnsi="宋体"/>
                <w:szCs w:val="21"/>
              </w:rPr>
              <w:t>其中序号1-36为参加国家卫生健康委临检中心室间质量评价的必备项目，如供应商提供项目缺项的，视为不响应，不予后续评分；</w:t>
            </w:r>
          </w:p>
          <w:p>
            <w:pPr>
              <w:rPr>
                <w:rFonts w:ascii="宋体" w:hAnsi="宋体"/>
                <w:szCs w:val="21"/>
              </w:rPr>
            </w:pPr>
            <w:r>
              <w:rPr>
                <w:rFonts w:hint="eastAsia" w:ascii="宋体" w:hAnsi="宋体"/>
                <w:szCs w:val="21"/>
              </w:rPr>
              <w:t>2.序号1-36的项目在国家卫健委临床检验中心室间质量评价中独立分组，投标产品每项参加国家卫健委临床检验中心室间质评的实验室数量0-</w:t>
            </w:r>
            <w:r>
              <w:rPr>
                <w:rFonts w:ascii="宋体" w:hAnsi="宋体"/>
                <w:szCs w:val="21"/>
              </w:rPr>
              <w:t>150</w:t>
            </w:r>
            <w:r>
              <w:rPr>
                <w:rFonts w:hint="eastAsia" w:ascii="宋体" w:hAnsi="宋体"/>
                <w:szCs w:val="21"/>
              </w:rPr>
              <w:t>家，每项得0</w:t>
            </w:r>
            <w:r>
              <w:rPr>
                <w:rFonts w:ascii="宋体" w:hAnsi="宋体"/>
                <w:szCs w:val="21"/>
              </w:rPr>
              <w:t>.1</w:t>
            </w:r>
            <w:r>
              <w:rPr>
                <w:rFonts w:hint="eastAsia" w:ascii="宋体" w:hAnsi="宋体"/>
                <w:szCs w:val="21"/>
              </w:rPr>
              <w:t>分；1</w:t>
            </w:r>
            <w:r>
              <w:rPr>
                <w:rFonts w:ascii="宋体" w:hAnsi="宋体"/>
                <w:szCs w:val="21"/>
              </w:rPr>
              <w:t>51</w:t>
            </w:r>
            <w:r>
              <w:rPr>
                <w:rFonts w:hint="eastAsia" w:ascii="宋体" w:hAnsi="宋体"/>
                <w:szCs w:val="21"/>
              </w:rPr>
              <w:t>-</w:t>
            </w:r>
            <w:r>
              <w:rPr>
                <w:rFonts w:ascii="宋体" w:hAnsi="宋体"/>
                <w:szCs w:val="21"/>
              </w:rPr>
              <w:t>300</w:t>
            </w:r>
            <w:r>
              <w:rPr>
                <w:rFonts w:hint="eastAsia" w:ascii="宋体" w:hAnsi="宋体"/>
                <w:szCs w:val="21"/>
              </w:rPr>
              <w:t>家，每项得0</w:t>
            </w:r>
            <w:r>
              <w:rPr>
                <w:rFonts w:ascii="宋体" w:hAnsi="宋体"/>
                <w:szCs w:val="21"/>
              </w:rPr>
              <w:t>.15</w:t>
            </w:r>
            <w:r>
              <w:rPr>
                <w:rFonts w:hint="eastAsia" w:ascii="宋体" w:hAnsi="宋体"/>
                <w:szCs w:val="21"/>
              </w:rPr>
              <w:t>分；3</w:t>
            </w:r>
            <w:r>
              <w:rPr>
                <w:rFonts w:ascii="宋体" w:hAnsi="宋体"/>
                <w:szCs w:val="21"/>
              </w:rPr>
              <w:t>00</w:t>
            </w:r>
            <w:r>
              <w:rPr>
                <w:rFonts w:hint="eastAsia" w:ascii="宋体" w:hAnsi="宋体"/>
                <w:szCs w:val="21"/>
              </w:rPr>
              <w:t>家以上的每项得0</w:t>
            </w:r>
            <w:r>
              <w:rPr>
                <w:rFonts w:ascii="宋体" w:hAnsi="宋体"/>
                <w:szCs w:val="21"/>
              </w:rPr>
              <w:t>.2</w:t>
            </w:r>
            <w:r>
              <w:rPr>
                <w:rFonts w:hint="eastAsia" w:ascii="宋体" w:hAnsi="宋体"/>
                <w:szCs w:val="21"/>
              </w:rPr>
              <w:t>分。总分不超过7.2分。需要提供2</w:t>
            </w:r>
            <w:r>
              <w:rPr>
                <w:rFonts w:ascii="宋体" w:hAnsi="宋体"/>
                <w:szCs w:val="21"/>
              </w:rPr>
              <w:t>02</w:t>
            </w:r>
            <w:r>
              <w:rPr>
                <w:rFonts w:hint="eastAsia" w:ascii="宋体" w:hAnsi="宋体"/>
                <w:szCs w:val="21"/>
              </w:rPr>
              <w:t>1国家室间质评的佐证材料，未提供的不得分；</w:t>
            </w:r>
          </w:p>
          <w:p>
            <w:pPr>
              <w:rPr>
                <w:rFonts w:ascii="宋体" w:hAnsi="宋体"/>
                <w:szCs w:val="21"/>
              </w:rPr>
            </w:pPr>
            <w:r>
              <w:rPr>
                <w:rFonts w:hint="eastAsia" w:ascii="宋体" w:hAnsi="宋体"/>
                <w:szCs w:val="21"/>
              </w:rPr>
              <w:t>3.序号1-43的试剂、校准品和仪器品牌为同一品牌的，每项得0</w:t>
            </w:r>
            <w:r>
              <w:rPr>
                <w:rFonts w:ascii="宋体" w:hAnsi="宋体"/>
                <w:szCs w:val="21"/>
              </w:rPr>
              <w:t>.3</w:t>
            </w:r>
            <w:r>
              <w:rPr>
                <w:rFonts w:hint="eastAsia" w:ascii="宋体" w:hAnsi="宋体"/>
                <w:szCs w:val="21"/>
              </w:rPr>
              <w:t>分，总分不超过</w:t>
            </w:r>
            <w:r>
              <w:rPr>
                <w:rFonts w:ascii="宋体" w:hAnsi="宋体"/>
                <w:szCs w:val="21"/>
              </w:rPr>
              <w:t>12</w:t>
            </w:r>
            <w:r>
              <w:rPr>
                <w:rFonts w:hint="eastAsia" w:ascii="宋体" w:hAnsi="宋体"/>
                <w:szCs w:val="21"/>
              </w:rPr>
              <w:t>.8分，供应商提供的试剂和仪器为不同品牌的，该项不得分；</w:t>
            </w:r>
          </w:p>
          <w:p>
            <w:pPr>
              <w:rPr>
                <w:rFonts w:ascii="宋体" w:hAnsi="宋体"/>
                <w:szCs w:val="21"/>
              </w:rPr>
            </w:pPr>
            <w:r>
              <w:rPr>
                <w:rFonts w:hint="eastAsia" w:ascii="宋体" w:hAnsi="宋体"/>
                <w:szCs w:val="21"/>
              </w:rPr>
              <w:t>4.提供投标试剂检测体系的溯源性相关认可文件。每项得0</w:t>
            </w:r>
            <w:r>
              <w:rPr>
                <w:rFonts w:ascii="宋体" w:hAnsi="宋体"/>
                <w:szCs w:val="21"/>
              </w:rPr>
              <w:t>.5</w:t>
            </w:r>
            <w:r>
              <w:rPr>
                <w:rFonts w:hint="eastAsia" w:ascii="宋体" w:hAnsi="宋体"/>
                <w:szCs w:val="21"/>
              </w:rPr>
              <w:t>分，总分不超过</w:t>
            </w:r>
            <w:r>
              <w:rPr>
                <w:rFonts w:ascii="宋体" w:hAnsi="宋体"/>
                <w:szCs w:val="21"/>
              </w:rPr>
              <w:t>8</w:t>
            </w:r>
            <w:r>
              <w:rPr>
                <w:rFonts w:hint="eastAsia" w:ascii="宋体" w:hAnsi="宋体"/>
                <w:szCs w:val="21"/>
              </w:rPr>
              <w:t>分。无法提供厂家认证文件的不得分。</w:t>
            </w:r>
          </w:p>
        </w:tc>
        <w:tc>
          <w:tcPr>
            <w:tcW w:w="447" w:type="pct"/>
            <w:vAlign w:val="center"/>
          </w:tcPr>
          <w:p>
            <w:pPr>
              <w:jc w:val="center"/>
              <w:rPr>
                <w:rFonts w:ascii="宋体" w:hAnsi="宋体"/>
                <w:szCs w:val="21"/>
              </w:rPr>
            </w:pPr>
            <w:r>
              <w:rPr>
                <w:rFonts w:hint="eastAsia" w:ascii="宋体" w:hAnsi="宋体"/>
                <w:szCs w:val="21"/>
              </w:rPr>
              <w:t>28分</w:t>
            </w:r>
          </w:p>
        </w:tc>
        <w:tc>
          <w:tcPr>
            <w:tcW w:w="1218" w:type="pct"/>
            <w:vAlign w:val="center"/>
          </w:tcPr>
          <w:p>
            <w:pPr>
              <w:spacing w:line="360" w:lineRule="auto"/>
              <w:jc w:val="center"/>
              <w:outlineLvl w:val="0"/>
              <w:rPr>
                <w:rFonts w:cs="仿宋_GB2312"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429" w:type="pct"/>
            <w:vAlign w:val="center"/>
          </w:tcPr>
          <w:p>
            <w:pPr>
              <w:spacing w:line="360" w:lineRule="auto"/>
              <w:ind w:firstLine="210" w:firstLineChars="100"/>
              <w:outlineLvl w:val="0"/>
              <w:rPr>
                <w:rFonts w:cs="仿宋_GB2312" w:asciiTheme="minorEastAsia" w:hAnsiTheme="minorEastAsia" w:eastAsiaTheme="minorEastAsia"/>
                <w:szCs w:val="21"/>
              </w:rPr>
            </w:pPr>
            <w:r>
              <w:rPr>
                <w:rFonts w:hint="eastAsia" w:cs="仿宋_GB2312" w:asciiTheme="minorEastAsia" w:hAnsiTheme="minorEastAsia" w:eastAsiaTheme="minorEastAsia"/>
                <w:szCs w:val="21"/>
              </w:rPr>
              <w:t>3</w:t>
            </w:r>
          </w:p>
        </w:tc>
        <w:tc>
          <w:tcPr>
            <w:tcW w:w="671" w:type="pct"/>
            <w:vAlign w:val="center"/>
          </w:tcPr>
          <w:p>
            <w:pPr>
              <w:jc w:val="center"/>
              <w:rPr>
                <w:rFonts w:ascii="宋体" w:hAnsi="宋体"/>
                <w:szCs w:val="21"/>
              </w:rPr>
            </w:pPr>
            <w:r>
              <w:rPr>
                <w:rFonts w:hint="eastAsia" w:ascii="宋体" w:hAnsi="宋体"/>
                <w:szCs w:val="21"/>
              </w:rPr>
              <w:t>售后</w:t>
            </w:r>
          </w:p>
          <w:p>
            <w:pPr>
              <w:jc w:val="center"/>
              <w:rPr>
                <w:rFonts w:ascii="宋体" w:hAnsi="宋体"/>
                <w:szCs w:val="21"/>
              </w:rPr>
            </w:pPr>
            <w:r>
              <w:rPr>
                <w:rFonts w:hint="eastAsia" w:ascii="宋体" w:hAnsi="宋体"/>
                <w:szCs w:val="21"/>
              </w:rPr>
              <w:t>服务</w:t>
            </w:r>
          </w:p>
        </w:tc>
        <w:tc>
          <w:tcPr>
            <w:tcW w:w="2234" w:type="pct"/>
            <w:vAlign w:val="center"/>
          </w:tcPr>
          <w:p>
            <w:pPr>
              <w:rPr>
                <w:rFonts w:ascii="宋体" w:hAnsi="宋体"/>
                <w:szCs w:val="21"/>
              </w:rPr>
            </w:pPr>
            <w:r>
              <w:rPr>
                <w:rFonts w:hint="eastAsia" w:ascii="宋体" w:hAnsi="宋体"/>
                <w:szCs w:val="21"/>
              </w:rPr>
              <w:t>根据投标人提供售后服务总体方案</w:t>
            </w:r>
          </w:p>
          <w:p>
            <w:pPr>
              <w:pStyle w:val="259"/>
              <w:ind w:firstLine="0" w:firstLineChars="0"/>
              <w:rPr>
                <w:rFonts w:ascii="宋体" w:hAnsi="宋体"/>
                <w:szCs w:val="21"/>
              </w:rPr>
            </w:pPr>
            <w:r>
              <w:rPr>
                <w:rFonts w:hint="eastAsia" w:ascii="宋体" w:hAnsi="宋体"/>
                <w:szCs w:val="21"/>
              </w:rPr>
              <w:t>1.基本售后服务内容，包括售后服务可行性、及时性，人员配置等各项内容，得0.5分；</w:t>
            </w:r>
          </w:p>
          <w:p>
            <w:pPr>
              <w:pStyle w:val="259"/>
              <w:ind w:firstLine="0" w:firstLineChars="0"/>
              <w:rPr>
                <w:rFonts w:ascii="宋体" w:hAnsi="宋体"/>
                <w:szCs w:val="21"/>
              </w:rPr>
            </w:pPr>
            <w:r>
              <w:rPr>
                <w:rFonts w:hint="eastAsia" w:ascii="宋体" w:hAnsi="宋体"/>
                <w:szCs w:val="21"/>
              </w:rPr>
              <w:t>2.协助ISO</w:t>
            </w:r>
            <w:r>
              <w:rPr>
                <w:rFonts w:ascii="宋体" w:hAnsi="宋体"/>
                <w:szCs w:val="21"/>
              </w:rPr>
              <w:t>15189</w:t>
            </w:r>
            <w:r>
              <w:rPr>
                <w:rFonts w:hint="eastAsia" w:ascii="宋体" w:hAnsi="宋体"/>
                <w:szCs w:val="21"/>
              </w:rPr>
              <w:t>实验室质量体系认证的相关工作的方案，得0.5分。</w:t>
            </w:r>
          </w:p>
          <w:p>
            <w:pPr>
              <w:rPr>
                <w:rFonts w:ascii="宋体" w:hAnsi="宋体"/>
                <w:szCs w:val="21"/>
              </w:rPr>
            </w:pPr>
            <w:r>
              <w:rPr>
                <w:rFonts w:hint="eastAsia" w:ascii="宋体" w:hAnsi="宋体"/>
                <w:szCs w:val="21"/>
              </w:rPr>
              <w:t>不提供，不得分。</w:t>
            </w:r>
          </w:p>
        </w:tc>
        <w:tc>
          <w:tcPr>
            <w:tcW w:w="447" w:type="pct"/>
            <w:vAlign w:val="center"/>
          </w:tcPr>
          <w:p>
            <w:pPr>
              <w:jc w:val="center"/>
              <w:rPr>
                <w:rFonts w:ascii="宋体" w:hAnsi="宋体"/>
                <w:szCs w:val="21"/>
              </w:rPr>
            </w:pPr>
            <w:r>
              <w:rPr>
                <w:rFonts w:hint="eastAsia" w:ascii="宋体" w:hAnsi="宋体"/>
                <w:szCs w:val="21"/>
              </w:rPr>
              <w:t>1分</w:t>
            </w:r>
          </w:p>
        </w:tc>
        <w:tc>
          <w:tcPr>
            <w:tcW w:w="1218" w:type="pct"/>
            <w:vAlign w:val="center"/>
          </w:tcPr>
          <w:p>
            <w:pPr>
              <w:spacing w:line="360" w:lineRule="auto"/>
              <w:jc w:val="center"/>
              <w:outlineLvl w:val="0"/>
              <w:rPr>
                <w:rFonts w:cs="仿宋_GB2312"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29" w:type="pc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671" w:type="pct"/>
            <w:vAlign w:val="center"/>
          </w:tcPr>
          <w:p>
            <w:pPr>
              <w:jc w:val="center"/>
              <w:rPr>
                <w:rFonts w:asciiTheme="minorEastAsia" w:hAnsiTheme="minorEastAsia" w:eastAsiaTheme="minorEastAsia"/>
                <w:szCs w:val="21"/>
              </w:rPr>
            </w:pPr>
            <w:r>
              <w:rPr>
                <w:rFonts w:hint="eastAsia" w:ascii="宋体" w:hAnsi="宋体"/>
                <w:szCs w:val="21"/>
              </w:rPr>
              <w:t>配送服务</w:t>
            </w:r>
          </w:p>
          <w:p>
            <w:pPr>
              <w:jc w:val="center"/>
              <w:rPr>
                <w:rFonts w:ascii="宋体" w:hAnsi="宋体"/>
                <w:szCs w:val="21"/>
              </w:rPr>
            </w:pPr>
            <w:r>
              <w:rPr>
                <w:rFonts w:hint="eastAsia" w:ascii="宋体" w:hAnsi="宋体"/>
                <w:szCs w:val="21"/>
              </w:rPr>
              <w:t>能力</w:t>
            </w:r>
          </w:p>
        </w:tc>
        <w:tc>
          <w:tcPr>
            <w:tcW w:w="2234" w:type="pct"/>
            <w:vAlign w:val="center"/>
          </w:tcPr>
          <w:p>
            <w:pPr>
              <w:rPr>
                <w:rFonts w:ascii="宋体" w:hAnsi="宋体"/>
                <w:szCs w:val="21"/>
              </w:rPr>
            </w:pPr>
            <w:bookmarkStart w:id="401" w:name="_GoBack"/>
            <w:r>
              <w:rPr>
                <w:rFonts w:hint="eastAsia" w:ascii="宋体" w:hAnsi="宋体"/>
                <w:szCs w:val="21"/>
              </w:rPr>
              <w:t>1.所有试剂提供冷链配送，投标商有自主冷链配送能力的，得1分。（需提供佐证材料）</w:t>
            </w:r>
            <w:bookmarkEnd w:id="401"/>
          </w:p>
        </w:tc>
        <w:tc>
          <w:tcPr>
            <w:tcW w:w="447" w:type="pct"/>
            <w:vAlign w:val="center"/>
          </w:tcPr>
          <w:p>
            <w:pPr>
              <w:jc w:val="center"/>
              <w:rPr>
                <w:rFonts w:ascii="宋体" w:hAnsi="宋体"/>
                <w:szCs w:val="21"/>
              </w:rPr>
            </w:pPr>
            <w:r>
              <w:rPr>
                <w:rFonts w:hint="eastAsia" w:ascii="宋体" w:hAnsi="宋体"/>
                <w:szCs w:val="21"/>
              </w:rPr>
              <w:t>1分</w:t>
            </w:r>
          </w:p>
        </w:tc>
        <w:tc>
          <w:tcPr>
            <w:tcW w:w="1218" w:type="pct"/>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trPr>
        <w:tc>
          <w:tcPr>
            <w:tcW w:w="429" w:type="pct"/>
            <w:vAlign w:val="center"/>
          </w:tcPr>
          <w:p>
            <w:pPr>
              <w:spacing w:line="360" w:lineRule="auto"/>
              <w:ind w:firstLine="210" w:firstLineChars="100"/>
              <w:outlineLvl w:val="0"/>
              <w:rPr>
                <w:rFonts w:cs="仿宋_GB2312" w:asciiTheme="minorEastAsia" w:hAnsiTheme="minorEastAsia" w:eastAsiaTheme="minorEastAsia"/>
                <w:szCs w:val="21"/>
              </w:rPr>
            </w:pPr>
            <w:r>
              <w:rPr>
                <w:rFonts w:hint="eastAsia" w:cs="仿宋_GB2312" w:asciiTheme="minorEastAsia" w:hAnsiTheme="minorEastAsia" w:eastAsiaTheme="minorEastAsia"/>
                <w:szCs w:val="21"/>
              </w:rPr>
              <w:t>5</w:t>
            </w:r>
          </w:p>
        </w:tc>
        <w:tc>
          <w:tcPr>
            <w:tcW w:w="671" w:type="pct"/>
            <w:vAlign w:val="center"/>
          </w:tcPr>
          <w:p>
            <w:pPr>
              <w:spacing w:line="360" w:lineRule="auto"/>
              <w:ind w:firstLine="210" w:firstLineChars="100"/>
              <w:jc w:val="center"/>
              <w:outlineLvl w:val="0"/>
              <w:rPr>
                <w:rFonts w:cs="仿宋_GB2312" w:asciiTheme="minorEastAsia" w:hAnsiTheme="minorEastAsia" w:eastAsiaTheme="minorEastAsia"/>
                <w:szCs w:val="21"/>
              </w:rPr>
            </w:pPr>
          </w:p>
        </w:tc>
        <w:tc>
          <w:tcPr>
            <w:tcW w:w="2234" w:type="pct"/>
            <w:vAlign w:val="center"/>
          </w:tcPr>
          <w:p>
            <w:pPr>
              <w:spacing w:line="276" w:lineRule="auto"/>
              <w:ind w:firstLine="420" w:firstLineChars="200"/>
              <w:outlineLvl w:val="0"/>
              <w:rPr>
                <w:rFonts w:cs="仿宋_GB2312" w:asciiTheme="minorEastAsia" w:hAnsiTheme="minorEastAsia" w:eastAsiaTheme="minorEastAsia"/>
                <w:szCs w:val="21"/>
              </w:rPr>
            </w:pPr>
            <w:r>
              <w:rPr>
                <w:rFonts w:hint="eastAsia" w:cs="仿宋_GB2312" w:asciiTheme="minorEastAsia" w:hAnsiTheme="minorEastAsia" w:eastAsiaTheme="minorEastAsia"/>
                <w:szCs w:val="21"/>
              </w:rPr>
              <w:t>有效投标报价的最低价作为评标基准价，其最低报价为满分；按［投标报价得分</w:t>
            </w:r>
            <w:r>
              <w:rPr>
                <w:rFonts w:cs="仿宋_GB2312" w:asciiTheme="minorEastAsia" w:hAnsiTheme="minorEastAsia" w:eastAsiaTheme="minorEastAsia"/>
                <w:szCs w:val="21"/>
              </w:rPr>
              <w:t>=（评标基准价/投标报价）*30］的计算公式计算。</w:t>
            </w:r>
          </w:p>
          <w:p>
            <w:pPr>
              <w:spacing w:line="276" w:lineRule="auto"/>
              <w:ind w:firstLine="420" w:firstLineChars="200"/>
              <w:outlineLvl w:val="0"/>
              <w:rPr>
                <w:rFonts w:cs="仿宋_GB2312" w:asciiTheme="minorEastAsia" w:hAnsiTheme="minorEastAsia" w:eastAsiaTheme="minorEastAsia"/>
                <w:szCs w:val="21"/>
              </w:rPr>
            </w:pPr>
            <w:r>
              <w:rPr>
                <w:rFonts w:cs="仿宋_GB2312" w:asciiTheme="minorEastAsia" w:hAnsiTheme="minorEastAsia" w:eastAsiaTheme="minorEastAsia"/>
                <w:szCs w:val="21"/>
              </w:rPr>
              <w:t>评标过程中，不得去掉报价中的最高报价和最低报价。</w:t>
            </w:r>
          </w:p>
          <w:p>
            <w:pPr>
              <w:spacing w:line="276" w:lineRule="auto"/>
              <w:ind w:firstLine="420" w:firstLineChars="200"/>
              <w:outlineLvl w:val="0"/>
              <w:rPr>
                <w:rFonts w:cs="仿宋_GB2312" w:asciiTheme="minorEastAsia" w:hAnsiTheme="minorEastAsia" w:eastAsiaTheme="minorEastAsia"/>
                <w:szCs w:val="21"/>
              </w:rPr>
            </w:pPr>
            <w:r>
              <w:rPr>
                <w:rFonts w:cs="仿宋_GB2312" w:asciiTheme="minorEastAsia" w:hAnsiTheme="minorEastAsia" w:eastAsiaTheme="minorEastAsia"/>
                <w:szCs w:val="21"/>
              </w:rPr>
              <w:t>因落实政府采购政策</w:t>
            </w:r>
            <w:r>
              <w:rPr>
                <w:rFonts w:hint="eastAsia" w:cs="仿宋_GB2312" w:asciiTheme="minorEastAsia" w:hAnsiTheme="minorEastAsia" w:eastAsiaTheme="minorEastAsia"/>
                <w:szCs w:val="21"/>
              </w:rPr>
              <w:t>需要</w:t>
            </w:r>
            <w:r>
              <w:rPr>
                <w:rFonts w:cs="仿宋_GB2312" w:asciiTheme="minorEastAsia" w:hAnsiTheme="minorEastAsia" w:eastAsiaTheme="minorEastAsia"/>
                <w:szCs w:val="21"/>
              </w:rPr>
              <w:t>进行价格调整的，以调整后的价格计算评标基准价和投标报价。</w:t>
            </w:r>
          </w:p>
        </w:tc>
        <w:tc>
          <w:tcPr>
            <w:tcW w:w="447" w:type="pct"/>
            <w:vAlign w:val="center"/>
          </w:tcPr>
          <w:p>
            <w:pPr>
              <w:spacing w:line="360" w:lineRule="auto"/>
              <w:ind w:firstLine="105" w:firstLineChars="50"/>
              <w:jc w:val="center"/>
              <w:outlineLvl w:val="0"/>
              <w:rPr>
                <w:rFonts w:cs="仿宋_GB2312" w:asciiTheme="minorEastAsia" w:hAnsiTheme="minorEastAsia" w:eastAsiaTheme="minorEastAsia"/>
                <w:szCs w:val="21"/>
              </w:rPr>
            </w:pPr>
            <w:r>
              <w:rPr>
                <w:rFonts w:cs="仿宋_GB2312" w:asciiTheme="minorEastAsia" w:hAnsiTheme="minorEastAsia" w:eastAsiaTheme="minorEastAsia"/>
                <w:szCs w:val="21"/>
              </w:rPr>
              <w:t>30</w:t>
            </w:r>
          </w:p>
        </w:tc>
        <w:tc>
          <w:tcPr>
            <w:tcW w:w="1218" w:type="pct"/>
            <w:vAlign w:val="center"/>
          </w:tcPr>
          <w:p>
            <w:pPr>
              <w:spacing w:line="360" w:lineRule="auto"/>
              <w:jc w:val="center"/>
              <w:outlineLvl w:val="0"/>
              <w:rPr>
                <w:rFonts w:cs="仿宋_GB2312" w:asciiTheme="minorEastAsia" w:hAnsiTheme="minorEastAsia" w:eastAsiaTheme="minorEastAsia"/>
                <w:szCs w:val="21"/>
              </w:rPr>
            </w:pPr>
            <w:r>
              <w:rPr>
                <w:rFonts w:cs="仿宋_GB2312" w:asciiTheme="minorEastAsia" w:hAnsiTheme="minorEastAsia" w:eastAsiaTheme="minorEastAsia"/>
                <w:szCs w:val="21"/>
              </w:rPr>
              <w:t>/</w:t>
            </w:r>
          </w:p>
        </w:tc>
      </w:tr>
    </w:tbl>
    <w:p>
      <w:pPr>
        <w:snapToGrid w:val="0"/>
        <w:spacing w:line="360" w:lineRule="auto"/>
        <w:rPr>
          <w:rFonts w:ascii="仿宋" w:hAnsi="仿宋" w:eastAsia="仿宋" w:cs="仿宋_GB2312"/>
          <w:sz w:val="24"/>
        </w:rPr>
      </w:pPr>
      <w:r>
        <w:rPr>
          <w:rFonts w:ascii="Arial" w:hAnsi="Arial" w:cs="Arial"/>
          <w:sz w:val="20"/>
          <w:szCs w:val="20"/>
          <w:shd w:val="clear" w:color="auto" w:fill="FFFFFF"/>
        </w:rPr>
        <w:t> </w:t>
      </w:r>
      <w:r>
        <w:rPr>
          <w:rFonts w:hint="eastAsia" w:ascii="仿宋" w:hAnsi="仿宋" w:eastAsia="仿宋" w:cs="仿宋_GB2312"/>
          <w:b/>
          <w:sz w:val="24"/>
        </w:rPr>
        <w:t>备注：</w:t>
      </w:r>
      <w:r>
        <w:rPr>
          <w:rFonts w:hint="eastAsia" w:ascii="仿宋" w:hAnsi="仿宋" w:eastAsia="仿宋" w:cs="仿宋_GB2312"/>
          <w:sz w:val="24"/>
        </w:rPr>
        <w:t>投标人编制投标文件（商务技术文件部分）时，建议按此目录（序号和内容）提供评标标准相应的商务技术资料。</w:t>
      </w:r>
      <w:r>
        <w:rPr>
          <w:rFonts w:ascii="仿宋" w:hAnsi="仿宋" w:eastAsia="仿宋" w:cs="仿宋_GB2312"/>
          <w:sz w:val="24"/>
        </w:rPr>
        <w:t> </w:t>
      </w:r>
    </w:p>
    <w:p>
      <w:pPr>
        <w:spacing w:line="400" w:lineRule="exact"/>
        <w:rPr>
          <w:rFonts w:ascii="宋体" w:hAnsi="宋体" w:cs="宋体"/>
          <w:sz w:val="24"/>
        </w:rPr>
      </w:pPr>
      <w:r>
        <w:rPr>
          <w:rFonts w:hint="eastAsia" w:ascii="宋体" w:hAnsi="宋体" w:cs="宋体"/>
          <w:sz w:val="24"/>
        </w:rPr>
        <w:t>招标技术参数：</w:t>
      </w:r>
    </w:p>
    <w:tbl>
      <w:tblPr>
        <w:tblStyle w:val="62"/>
        <w:tblpPr w:leftFromText="180" w:rightFromText="180" w:vertAnchor="text" w:horzAnchor="page" w:tblpX="1425" w:tblpY="21"/>
        <w:tblOverlap w:val="never"/>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7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tcPr>
          <w:p>
            <w:pPr>
              <w:jc w:val="center"/>
              <w:rPr>
                <w:rFonts w:ascii="宋体" w:hAnsi="宋体" w:cs="宋体"/>
              </w:rPr>
            </w:pPr>
            <w:r>
              <w:rPr>
                <w:rFonts w:hint="eastAsia" w:ascii="宋体" w:hAnsi="宋体" w:cs="宋体"/>
              </w:rPr>
              <w:t>序号</w:t>
            </w:r>
          </w:p>
        </w:tc>
        <w:tc>
          <w:tcPr>
            <w:tcW w:w="7923" w:type="dxa"/>
          </w:tcPr>
          <w:p>
            <w:pPr>
              <w:jc w:val="center"/>
              <w:rPr>
                <w:rFonts w:ascii="宋体" w:hAnsi="宋体" w:cs="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tcPr>
          <w:p>
            <w:pPr>
              <w:rPr>
                <w:rFonts w:ascii="宋体" w:hAnsi="宋体" w:cs="宋体"/>
              </w:rPr>
            </w:pPr>
            <w:r>
              <w:rPr>
                <w:rFonts w:hint="eastAsia" w:ascii="宋体" w:hAnsi="宋体" w:cs="宋体"/>
              </w:rPr>
              <w:t>1</w:t>
            </w:r>
            <w:r>
              <w:rPr>
                <w:rFonts w:hint="eastAsia" w:ascii="宋体" w:hAnsi="宋体" w:cs="宋体"/>
                <w:bCs/>
              </w:rPr>
              <w:t>★</w:t>
            </w:r>
          </w:p>
        </w:tc>
        <w:tc>
          <w:tcPr>
            <w:tcW w:w="7923" w:type="dxa"/>
          </w:tcPr>
          <w:p>
            <w:pPr>
              <w:rPr>
                <w:rFonts w:ascii="宋体" w:hAnsi="宋体" w:cs="宋体"/>
              </w:rPr>
            </w:pPr>
            <w:r>
              <w:rPr>
                <w:rFonts w:hint="eastAsia" w:ascii="宋体" w:hAnsi="宋体" w:cs="宋体"/>
              </w:rPr>
              <w:t>所有试剂及耗材提供有效证件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tcPr>
          <w:p>
            <w:pPr>
              <w:rPr>
                <w:rFonts w:ascii="宋体" w:hAnsi="宋体" w:cs="宋体"/>
              </w:rPr>
            </w:pPr>
            <w:r>
              <w:rPr>
                <w:rFonts w:hint="eastAsia" w:ascii="宋体" w:hAnsi="宋体" w:cs="宋体"/>
              </w:rPr>
              <w:t>2</w:t>
            </w:r>
          </w:p>
        </w:tc>
        <w:tc>
          <w:tcPr>
            <w:tcW w:w="7923" w:type="dxa"/>
          </w:tcPr>
          <w:p>
            <w:pPr>
              <w:rPr>
                <w:rFonts w:ascii="宋体" w:hAnsi="宋体" w:cs="宋体"/>
              </w:rPr>
            </w:pPr>
            <w:r>
              <w:rPr>
                <w:rFonts w:hint="eastAsia" w:ascii="宋体" w:hAnsi="宋体" w:cs="宋体"/>
              </w:rPr>
              <w:t>光学比色速度≥10000测试/小时，电解质（ISE）速度≥3000测试/小时。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90" w:type="dxa"/>
          </w:tcPr>
          <w:p>
            <w:pPr>
              <w:rPr>
                <w:rFonts w:ascii="宋体" w:hAnsi="宋体" w:cs="宋体"/>
              </w:rPr>
            </w:pPr>
            <w:r>
              <w:rPr>
                <w:rFonts w:hint="eastAsia" w:ascii="宋体" w:hAnsi="宋体" w:cs="宋体"/>
              </w:rPr>
              <w:t>3</w:t>
            </w:r>
            <w:r>
              <w:rPr>
                <w:rFonts w:hint="eastAsia" w:ascii="宋体" w:hAnsi="宋体" w:cs="宋体"/>
                <w:bCs/>
              </w:rPr>
              <w:t>★</w:t>
            </w:r>
          </w:p>
        </w:tc>
        <w:tc>
          <w:tcPr>
            <w:tcW w:w="7923" w:type="dxa"/>
          </w:tcPr>
          <w:p>
            <w:pPr>
              <w:rPr>
                <w:rFonts w:ascii="宋体" w:hAnsi="宋体" w:cs="宋体"/>
              </w:rPr>
            </w:pPr>
            <w:r>
              <w:rPr>
                <w:rFonts w:hint="eastAsia" w:ascii="宋体" w:hAnsi="宋体" w:cs="宋体"/>
              </w:rPr>
              <w:t>供应商需提供生化试剂使用的相关配套设备，提供完整的设备型号及配置方案表，且设备方案能整体连接。</w:t>
            </w:r>
          </w:p>
          <w:p>
            <w:pPr>
              <w:rPr>
                <w:rFonts w:ascii="宋体" w:hAnsi="宋体" w:cs="宋体"/>
              </w:rPr>
            </w:pPr>
            <w:r>
              <w:rPr>
                <w:rFonts w:hint="eastAsia" w:ascii="宋体" w:hAnsi="宋体" w:cs="宋体"/>
              </w:rPr>
              <w:t>如供应商无法提供设备方案的，视为不响应，不予后续评分。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tcPr>
          <w:p>
            <w:pPr>
              <w:rPr>
                <w:rFonts w:ascii="宋体" w:hAnsi="宋体" w:cs="宋体"/>
              </w:rPr>
            </w:pPr>
            <w:r>
              <w:rPr>
                <w:rFonts w:hint="eastAsia" w:ascii="宋体" w:hAnsi="宋体" w:cs="宋体"/>
              </w:rPr>
              <w:t>4</w:t>
            </w:r>
          </w:p>
        </w:tc>
        <w:tc>
          <w:tcPr>
            <w:tcW w:w="7923" w:type="dxa"/>
          </w:tcPr>
          <w:p>
            <w:pPr>
              <w:rPr>
                <w:rFonts w:ascii="宋体" w:hAnsi="宋体" w:cs="宋体"/>
              </w:rPr>
            </w:pPr>
            <w:r>
              <w:rPr>
                <w:rFonts w:hint="eastAsia" w:ascii="宋体" w:hAnsi="宋体" w:cs="宋体"/>
              </w:rPr>
              <w:t>轨道式进样，进样位≥150管，有样本缓冲区域≥250个，支持连续进样。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tcPr>
          <w:p>
            <w:pPr>
              <w:rPr>
                <w:rFonts w:ascii="宋体" w:hAnsi="宋体" w:cs="宋体"/>
              </w:rPr>
            </w:pPr>
            <w:r>
              <w:rPr>
                <w:rFonts w:hint="eastAsia" w:ascii="宋体" w:hAnsi="宋体" w:cs="宋体"/>
              </w:rPr>
              <w:t>5</w:t>
            </w:r>
          </w:p>
        </w:tc>
        <w:tc>
          <w:tcPr>
            <w:tcW w:w="7923" w:type="dxa"/>
          </w:tcPr>
          <w:p>
            <w:pPr>
              <w:rPr>
                <w:rFonts w:ascii="宋体" w:hAnsi="宋体" w:cs="宋体"/>
              </w:rPr>
            </w:pPr>
            <w:r>
              <w:rPr>
                <w:rFonts w:hint="eastAsia" w:ascii="宋体" w:hAnsi="宋体" w:cs="宋体"/>
              </w:rPr>
              <w:t>最小样本量：≤1.5μl加样，0.1μl步进。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tcPr>
          <w:p>
            <w:pPr>
              <w:rPr>
                <w:rFonts w:ascii="宋体" w:hAnsi="宋体" w:cs="宋体"/>
              </w:rPr>
            </w:pPr>
            <w:r>
              <w:rPr>
                <w:rFonts w:hint="eastAsia" w:ascii="宋体" w:hAnsi="宋体" w:cs="宋体"/>
              </w:rPr>
              <w:t>6▲</w:t>
            </w:r>
          </w:p>
        </w:tc>
        <w:tc>
          <w:tcPr>
            <w:tcW w:w="7923" w:type="dxa"/>
          </w:tcPr>
          <w:p>
            <w:pPr>
              <w:rPr>
                <w:rFonts w:ascii="宋体" w:hAnsi="宋体" w:cs="宋体"/>
              </w:rPr>
            </w:pPr>
            <w:r>
              <w:rPr>
                <w:rFonts w:hint="eastAsia" w:ascii="宋体" w:hAnsi="宋体" w:cs="宋体"/>
              </w:rPr>
              <w:t>仪器支持≥16个波长，且仪器支持溶血、脂血、黄疸三大血清指数定量分析。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90" w:type="dxa"/>
          </w:tcPr>
          <w:p>
            <w:pPr>
              <w:rPr>
                <w:rFonts w:ascii="宋体" w:hAnsi="宋体" w:cs="宋体"/>
              </w:rPr>
            </w:pPr>
            <w:r>
              <w:rPr>
                <w:rFonts w:hint="eastAsia" w:ascii="宋体" w:hAnsi="宋体" w:cs="宋体"/>
              </w:rPr>
              <w:t>7</w:t>
            </w:r>
          </w:p>
        </w:tc>
        <w:tc>
          <w:tcPr>
            <w:tcW w:w="7923" w:type="dxa"/>
          </w:tcPr>
          <w:p>
            <w:pPr>
              <w:rPr>
                <w:rFonts w:ascii="宋体" w:hAnsi="宋体" w:cs="宋体"/>
              </w:rPr>
            </w:pPr>
            <w:r>
              <w:rPr>
                <w:rFonts w:hint="eastAsia" w:ascii="宋体" w:hAnsi="宋体" w:cs="宋体"/>
              </w:rPr>
              <w:t>反应盘清洗方式≥9阶清洗。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tcPr>
          <w:p>
            <w:pPr>
              <w:rPr>
                <w:rFonts w:ascii="宋体" w:hAnsi="宋体" w:cs="宋体"/>
              </w:rPr>
            </w:pPr>
            <w:r>
              <w:rPr>
                <w:rFonts w:hint="eastAsia" w:ascii="宋体" w:hAnsi="宋体" w:cs="宋体"/>
              </w:rPr>
              <w:t>8▲</w:t>
            </w:r>
          </w:p>
        </w:tc>
        <w:tc>
          <w:tcPr>
            <w:tcW w:w="7923" w:type="dxa"/>
          </w:tcPr>
          <w:p>
            <w:pPr>
              <w:rPr>
                <w:rFonts w:ascii="宋体" w:hAnsi="宋体" w:cs="宋体"/>
              </w:rPr>
            </w:pPr>
            <w:r>
              <w:rPr>
                <w:rFonts w:hint="eastAsia" w:ascii="宋体" w:hAnsi="宋体" w:cs="宋体"/>
              </w:rPr>
              <w:t>吸样针清洗模式：支持超声波清洗模式。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tcPr>
          <w:p>
            <w:pPr>
              <w:rPr>
                <w:rFonts w:ascii="宋体" w:hAnsi="宋体" w:cs="宋体"/>
              </w:rPr>
            </w:pPr>
            <w:r>
              <w:rPr>
                <w:rFonts w:hint="eastAsia" w:ascii="宋体" w:hAnsi="宋体" w:cs="宋体"/>
              </w:rPr>
              <w:t>9▲</w:t>
            </w:r>
          </w:p>
        </w:tc>
        <w:tc>
          <w:tcPr>
            <w:tcW w:w="7923" w:type="dxa"/>
          </w:tcPr>
          <w:p>
            <w:pPr>
              <w:rPr>
                <w:rFonts w:ascii="宋体" w:hAnsi="宋体" w:cs="宋体"/>
              </w:rPr>
            </w:pPr>
            <w:r>
              <w:rPr>
                <w:rFonts w:hint="eastAsia" w:ascii="宋体" w:hAnsi="宋体" w:cs="宋体"/>
              </w:rPr>
              <w:t>有独立急诊轨道，急诊模式支持1分钟快速启动检测。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tcPr>
          <w:p>
            <w:pPr>
              <w:rPr>
                <w:rFonts w:ascii="宋体" w:hAnsi="宋体" w:cs="宋体"/>
              </w:rPr>
            </w:pPr>
            <w:r>
              <w:rPr>
                <w:rFonts w:hint="eastAsia" w:ascii="宋体" w:hAnsi="宋体" w:cs="宋体"/>
              </w:rPr>
              <w:t>10</w:t>
            </w:r>
          </w:p>
        </w:tc>
        <w:tc>
          <w:tcPr>
            <w:tcW w:w="7923" w:type="dxa"/>
          </w:tcPr>
          <w:p>
            <w:pPr>
              <w:rPr>
                <w:rFonts w:ascii="宋体" w:hAnsi="宋体" w:cs="宋体"/>
              </w:rPr>
            </w:pPr>
            <w:r>
              <w:rPr>
                <w:rFonts w:hint="eastAsia" w:ascii="宋体" w:hAnsi="宋体" w:cs="宋体"/>
              </w:rPr>
              <w:t>单模块生化试剂位（R1+R2总试剂位）≥140个。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90" w:type="dxa"/>
          </w:tcPr>
          <w:p>
            <w:pPr>
              <w:rPr>
                <w:rFonts w:ascii="宋体" w:hAnsi="宋体" w:cs="宋体"/>
              </w:rPr>
            </w:pPr>
            <w:r>
              <w:rPr>
                <w:rFonts w:hint="eastAsia" w:ascii="宋体" w:hAnsi="宋体" w:cs="宋体"/>
              </w:rPr>
              <w:t>11</w:t>
            </w:r>
          </w:p>
        </w:tc>
        <w:tc>
          <w:tcPr>
            <w:tcW w:w="7923" w:type="dxa"/>
          </w:tcPr>
          <w:p>
            <w:pPr>
              <w:rPr>
                <w:rFonts w:ascii="宋体" w:hAnsi="宋体" w:cs="宋体"/>
              </w:rPr>
            </w:pPr>
            <w:r>
              <w:rPr>
                <w:rFonts w:hint="eastAsia" w:ascii="宋体" w:hAnsi="宋体" w:cs="宋体"/>
              </w:rPr>
              <w:t xml:space="preserve">最小总反应体积≤80μl。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tcPr>
          <w:p>
            <w:pPr>
              <w:rPr>
                <w:rFonts w:ascii="宋体" w:hAnsi="宋体" w:cs="宋体"/>
              </w:rPr>
            </w:pPr>
            <w:r>
              <w:rPr>
                <w:rFonts w:hint="eastAsia" w:ascii="宋体" w:hAnsi="宋体" w:cs="宋体"/>
              </w:rPr>
              <w:t>12▲</w:t>
            </w:r>
          </w:p>
        </w:tc>
        <w:tc>
          <w:tcPr>
            <w:tcW w:w="7923" w:type="dxa"/>
          </w:tcPr>
          <w:p>
            <w:pPr>
              <w:rPr>
                <w:rFonts w:ascii="宋体" w:hAnsi="宋体" w:cs="宋体"/>
              </w:rPr>
            </w:pPr>
            <w:r>
              <w:rPr>
                <w:rFonts w:hint="eastAsia" w:ascii="宋体" w:hAnsi="宋体" w:cs="宋体"/>
              </w:rPr>
              <w:t>恒温系统：固体直热（干式）恒温方式，控温精度37℃±0.1℃；无额外耗材。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tcPr>
          <w:p>
            <w:pPr>
              <w:rPr>
                <w:rFonts w:ascii="宋体" w:hAnsi="宋体" w:cs="宋体"/>
              </w:rPr>
            </w:pPr>
            <w:r>
              <w:rPr>
                <w:rFonts w:hint="eastAsia" w:ascii="宋体" w:hAnsi="宋体" w:cs="宋体"/>
              </w:rPr>
              <w:t>13</w:t>
            </w:r>
          </w:p>
        </w:tc>
        <w:tc>
          <w:tcPr>
            <w:tcW w:w="7923" w:type="dxa"/>
          </w:tcPr>
          <w:p>
            <w:pPr>
              <w:rPr>
                <w:rFonts w:ascii="宋体" w:hAnsi="宋体" w:cs="宋体"/>
              </w:rPr>
            </w:pPr>
            <w:r>
              <w:rPr>
                <w:rFonts w:hint="eastAsia" w:ascii="宋体" w:hAnsi="宋体" w:cs="宋体"/>
              </w:rPr>
              <w:t>反应杯：石英玻璃比色杯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tcPr>
          <w:p>
            <w:pPr>
              <w:rPr>
                <w:rFonts w:ascii="宋体" w:hAnsi="宋体" w:cs="宋体"/>
              </w:rPr>
            </w:pPr>
            <w:r>
              <w:rPr>
                <w:rFonts w:hint="eastAsia" w:ascii="宋体" w:hAnsi="宋体" w:cs="宋体"/>
              </w:rPr>
              <w:t>14</w:t>
            </w:r>
          </w:p>
        </w:tc>
        <w:tc>
          <w:tcPr>
            <w:tcW w:w="7923" w:type="dxa"/>
          </w:tcPr>
          <w:p>
            <w:pPr>
              <w:rPr>
                <w:rFonts w:ascii="宋体" w:hAnsi="宋体" w:cs="宋体"/>
              </w:rPr>
            </w:pPr>
            <w:r>
              <w:rPr>
                <w:rFonts w:hint="eastAsia" w:ascii="宋体" w:hAnsi="宋体" w:cs="宋体"/>
              </w:rPr>
              <w:t>模块化设计、后期可根据客户的使用需要，新增生化、免疫分析模块。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90" w:type="dxa"/>
          </w:tcPr>
          <w:p>
            <w:pPr>
              <w:rPr>
                <w:rFonts w:ascii="宋体" w:hAnsi="宋体" w:cs="宋体"/>
              </w:rPr>
            </w:pPr>
            <w:r>
              <w:rPr>
                <w:rFonts w:hint="eastAsia" w:ascii="宋体" w:hAnsi="宋体" w:cs="宋体"/>
              </w:rPr>
              <w:t>15</w:t>
            </w:r>
          </w:p>
        </w:tc>
        <w:tc>
          <w:tcPr>
            <w:tcW w:w="7923" w:type="dxa"/>
          </w:tcPr>
          <w:p>
            <w:pPr>
              <w:rPr>
                <w:rFonts w:ascii="宋体" w:hAnsi="宋体" w:cs="宋体"/>
              </w:rPr>
            </w:pPr>
            <w:r>
              <w:rPr>
                <w:rFonts w:hint="eastAsia" w:ascii="宋体" w:hAnsi="宋体" w:cs="宋体"/>
              </w:rPr>
              <w:t>生化仪有独立试剂显示屏，支持触控操作，支持在线不停机更换试剂。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tcPr>
          <w:p>
            <w:pPr>
              <w:rPr>
                <w:rFonts w:ascii="宋体" w:hAnsi="宋体" w:cs="宋体"/>
              </w:rPr>
            </w:pPr>
            <w:r>
              <w:rPr>
                <w:rFonts w:hint="eastAsia" w:ascii="宋体" w:hAnsi="宋体" w:cs="宋体"/>
              </w:rPr>
              <w:t>16</w:t>
            </w:r>
          </w:p>
        </w:tc>
        <w:tc>
          <w:tcPr>
            <w:tcW w:w="7923" w:type="dxa"/>
          </w:tcPr>
          <w:p>
            <w:pPr>
              <w:rPr>
                <w:rFonts w:ascii="宋体" w:hAnsi="宋体" w:cs="宋体"/>
              </w:rPr>
            </w:pPr>
            <w:r>
              <w:rPr>
                <w:rFonts w:hint="eastAsia" w:ascii="宋体" w:hAnsi="宋体"/>
              </w:rPr>
              <w:t>所有试剂全程冷链。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tcPr>
          <w:p>
            <w:pPr>
              <w:rPr>
                <w:rFonts w:ascii="宋体" w:hAnsi="宋体" w:cs="宋体"/>
              </w:rPr>
            </w:pPr>
            <w:r>
              <w:rPr>
                <w:rFonts w:hint="eastAsia" w:ascii="宋体" w:hAnsi="宋体" w:cs="宋体"/>
              </w:rPr>
              <w:t>17</w:t>
            </w:r>
          </w:p>
        </w:tc>
        <w:tc>
          <w:tcPr>
            <w:tcW w:w="7923" w:type="dxa"/>
          </w:tcPr>
          <w:p>
            <w:pPr>
              <w:rPr>
                <w:rFonts w:ascii="宋体" w:hAnsi="宋体"/>
              </w:rPr>
            </w:pPr>
            <w:r>
              <w:rPr>
                <w:rFonts w:hint="eastAsia" w:ascii="宋体" w:hAnsi="宋体"/>
              </w:rPr>
              <w:t>免费提供所有耗材（包括校准品、第三方质控品）。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tcPr>
          <w:p>
            <w:pPr>
              <w:rPr>
                <w:rFonts w:ascii="宋体" w:hAnsi="宋体" w:cs="宋体"/>
              </w:rPr>
            </w:pPr>
            <w:r>
              <w:rPr>
                <w:rFonts w:hint="eastAsia" w:ascii="宋体" w:hAnsi="宋体" w:cs="宋体"/>
              </w:rPr>
              <w:t>18</w:t>
            </w:r>
          </w:p>
        </w:tc>
        <w:tc>
          <w:tcPr>
            <w:tcW w:w="7923" w:type="dxa"/>
          </w:tcPr>
          <w:p>
            <w:pPr>
              <w:rPr>
                <w:rFonts w:ascii="宋体" w:hAnsi="宋体"/>
              </w:rPr>
            </w:pPr>
            <w:r>
              <w:rPr>
                <w:rFonts w:hint="eastAsia" w:ascii="宋体" w:hAnsi="宋体"/>
              </w:rPr>
              <w:t>免费提供性能验证服务及所需要试剂、质控品。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90" w:type="dxa"/>
          </w:tcPr>
          <w:p>
            <w:pPr>
              <w:rPr>
                <w:rFonts w:ascii="宋体" w:hAnsi="宋体" w:cs="宋体"/>
              </w:rPr>
            </w:pPr>
            <w:r>
              <w:rPr>
                <w:rFonts w:hint="eastAsia" w:ascii="宋体" w:hAnsi="宋体" w:cs="宋体"/>
              </w:rPr>
              <w:t>19</w:t>
            </w:r>
            <w:r>
              <w:rPr>
                <w:rFonts w:hint="eastAsia" w:ascii="宋体" w:hAnsi="宋体" w:cs="宋体"/>
                <w:bCs/>
              </w:rPr>
              <w:t>★</w:t>
            </w:r>
          </w:p>
        </w:tc>
        <w:tc>
          <w:tcPr>
            <w:tcW w:w="7923" w:type="dxa"/>
          </w:tcPr>
          <w:p>
            <w:pPr>
              <w:rPr>
                <w:rFonts w:ascii="宋体" w:hAnsi="宋体"/>
              </w:rPr>
            </w:pPr>
            <w:r>
              <w:rPr>
                <w:rFonts w:hint="eastAsia" w:ascii="宋体" w:hAnsi="宋体" w:cs="宋体"/>
              </w:rPr>
              <w:t>供应商须承诺所投产品已上架或中标后签订合同时上架浙江省药械采购平台，同时签订合同时提供浙江省药械采购平台代码，且所投产品的报价不得高于该产品浙江省药械采购平台的最低价。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tcPr>
          <w:p>
            <w:pPr>
              <w:rPr>
                <w:rFonts w:ascii="宋体" w:hAnsi="宋体" w:cs="宋体"/>
              </w:rPr>
            </w:pPr>
            <w:r>
              <w:rPr>
                <w:rFonts w:hint="eastAsia" w:ascii="宋体" w:hAnsi="宋体" w:cs="宋体"/>
              </w:rPr>
              <w:t>20</w:t>
            </w:r>
          </w:p>
        </w:tc>
        <w:tc>
          <w:tcPr>
            <w:tcW w:w="7923" w:type="dxa"/>
          </w:tcPr>
          <w:p>
            <w:pPr>
              <w:rPr>
                <w:rFonts w:ascii="宋体" w:hAnsi="宋体"/>
              </w:rPr>
            </w:pPr>
            <w:r>
              <w:rPr>
                <w:rFonts w:hint="eastAsia" w:ascii="宋体" w:hAnsi="宋体"/>
              </w:rPr>
              <w:t>提供6个月以上同批次的试剂。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tcPr>
          <w:p>
            <w:pPr>
              <w:rPr>
                <w:rFonts w:ascii="宋体" w:hAnsi="宋体" w:cs="宋体"/>
              </w:rPr>
            </w:pPr>
            <w:r>
              <w:rPr>
                <w:rFonts w:hint="eastAsia" w:ascii="宋体" w:hAnsi="宋体" w:cs="宋体"/>
              </w:rPr>
              <w:t>21</w:t>
            </w:r>
          </w:p>
        </w:tc>
        <w:tc>
          <w:tcPr>
            <w:tcW w:w="7923" w:type="dxa"/>
          </w:tcPr>
          <w:p>
            <w:pPr>
              <w:rPr>
                <w:rFonts w:ascii="宋体" w:hAnsi="宋体"/>
              </w:rPr>
            </w:pPr>
            <w:r>
              <w:rPr>
                <w:rFonts w:hint="eastAsia"/>
              </w:rPr>
              <w:t>试剂可靠性：1.序号1-36为参加国家卫生健康委临检中心室间质量评价必备项目； 2.序号1-36在国家卫健委临床检验中心室间质量评价中独立分组；3.投标试剂检测体系配套性和溯源性。</w:t>
            </w:r>
          </w:p>
        </w:tc>
      </w:tr>
    </w:tbl>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sz w:val="24"/>
        </w:rPr>
      </w:pPr>
      <w:r>
        <w:rPr>
          <w:rFonts w:ascii="仿宋_GB2312" w:hAnsi="仿宋_GB2312" w:eastAsia="仿宋_GB2312" w:cs="仿宋_GB2312"/>
          <w:b/>
          <w:sz w:val="24"/>
        </w:rPr>
        <w:t>2.</w:t>
      </w:r>
      <w:r>
        <w:t xml:space="preserve"> </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128"/>
        <w:spacing w:before="0"/>
        <w:ind w:firstLine="508" w:firstLineChars="212"/>
        <w:rPr>
          <w:rFonts w:ascii="仿宋_GB2312" w:hAnsi="仿宋" w:eastAsia="仿宋_GB2312" w:cs="Arial"/>
          <w:kern w:val="0"/>
          <w:szCs w:val="24"/>
        </w:rPr>
      </w:pPr>
      <w:r>
        <w:rPr>
          <w:rFonts w:ascii="仿宋_GB2312" w:hAnsi="仿宋" w:eastAsia="仿宋_GB2312" w:cs="Arial"/>
          <w:kern w:val="0"/>
        </w:rPr>
        <w:t>3.4</w:t>
      </w:r>
      <w:r>
        <w:rPr>
          <w:rFonts w:ascii="仿宋_GB2312" w:hAnsi="仿宋" w:eastAsia="仿宋_GB2312" w:cs="Arial"/>
          <w:kern w:val="0"/>
          <w:szCs w:val="24"/>
        </w:rPr>
        <w:t>.1投标文件报价出现前后不一致的，按照下列规定修正：</w:t>
      </w:r>
    </w:p>
    <w:p>
      <w:pPr>
        <w:pStyle w:val="128"/>
        <w:spacing w:before="0"/>
        <w:ind w:firstLine="480"/>
        <w:rPr>
          <w:rFonts w:ascii="仿宋_GB2312" w:hAnsi="仿宋" w:eastAsia="仿宋_GB2312" w:cs="Arial"/>
          <w:kern w:val="0"/>
          <w:szCs w:val="24"/>
        </w:rPr>
      </w:pPr>
      <w:r>
        <w:rPr>
          <w:rFonts w:ascii="仿宋_GB2312" w:hAnsi="仿宋" w:eastAsia="仿宋_GB2312" w:cs="Arial"/>
          <w:kern w:val="0"/>
          <w:szCs w:val="24"/>
        </w:rPr>
        <w:t>3.4.1.1投标文件中开标一览表(报价表)内容与投标文件中相应内容不一致的，以开标一览表(报价表)为准;</w:t>
      </w:r>
    </w:p>
    <w:p>
      <w:pPr>
        <w:pStyle w:val="128"/>
        <w:spacing w:before="0"/>
        <w:ind w:firstLine="480"/>
        <w:rPr>
          <w:rFonts w:ascii="仿宋_GB2312" w:hAnsi="仿宋" w:eastAsia="仿宋_GB2312" w:cs="Arial"/>
          <w:kern w:val="0"/>
          <w:szCs w:val="24"/>
        </w:rPr>
      </w:pPr>
      <w:r>
        <w:rPr>
          <w:rFonts w:ascii="仿宋_GB2312" w:hAnsi="仿宋" w:eastAsia="仿宋_GB2312" w:cs="Arial"/>
          <w:kern w:val="0"/>
          <w:szCs w:val="24"/>
        </w:rPr>
        <w:t>3.4.1.2大写金额和小写金额不一致的，以大写金额为准;</w:t>
      </w:r>
    </w:p>
    <w:p>
      <w:pPr>
        <w:pStyle w:val="128"/>
        <w:spacing w:before="0"/>
        <w:ind w:firstLine="480"/>
        <w:rPr>
          <w:rFonts w:ascii="仿宋_GB2312" w:hAnsi="仿宋" w:eastAsia="仿宋_GB2312" w:cs="Arial"/>
          <w:kern w:val="0"/>
          <w:szCs w:val="24"/>
        </w:rPr>
      </w:pPr>
      <w:r>
        <w:rPr>
          <w:rFonts w:ascii="仿宋_GB2312" w:hAnsi="仿宋" w:eastAsia="仿宋_GB2312" w:cs="Arial"/>
          <w:kern w:val="0"/>
          <w:szCs w:val="24"/>
        </w:rPr>
        <w:t>3.4.1.3单价金额小数点或者百分比有明显错位的，以开标一览表的总价为准，并修改单价;</w:t>
      </w:r>
    </w:p>
    <w:p>
      <w:pPr>
        <w:pStyle w:val="128"/>
        <w:spacing w:before="0"/>
        <w:ind w:firstLine="480"/>
        <w:rPr>
          <w:rFonts w:ascii="仿宋_GB2312" w:hAnsi="仿宋" w:eastAsia="仿宋_GB2312" w:cs="Arial"/>
          <w:kern w:val="0"/>
          <w:szCs w:val="24"/>
        </w:rPr>
      </w:pPr>
      <w:r>
        <w:rPr>
          <w:rFonts w:ascii="仿宋_GB2312" w:hAnsi="仿宋" w:eastAsia="仿宋_GB2312" w:cs="Arial"/>
          <w:kern w:val="0"/>
          <w:szCs w:val="24"/>
        </w:rPr>
        <w:t>3.4.1.4总价金额与按单价汇总金额不一致的，以单价金额计算结果为准。</w:t>
      </w:r>
    </w:p>
    <w:p>
      <w:pPr>
        <w:pStyle w:val="128"/>
        <w:spacing w:before="0"/>
        <w:ind w:firstLine="480"/>
        <w:rPr>
          <w:rFonts w:ascii="仿宋_GB2312" w:hAnsi="仿宋" w:eastAsia="仿宋_GB2312" w:cs="Arial"/>
          <w:kern w:val="0"/>
          <w:szCs w:val="24"/>
        </w:rPr>
      </w:pPr>
      <w:r>
        <w:rPr>
          <w:rFonts w:ascii="仿宋_GB2312" w:hAnsi="仿宋" w:eastAsia="仿宋_GB2312" w:cs="Arial"/>
          <w:kern w:val="0"/>
          <w:szCs w:val="24"/>
        </w:rPr>
        <w:t>3.4.1.5同时出现两种以上不一致的，按照3.4.1</w:t>
      </w:r>
      <w:r>
        <w:rPr>
          <w:rFonts w:hint="eastAsia" w:ascii="仿宋_GB2312" w:hAnsi="仿宋" w:eastAsia="仿宋_GB2312" w:cs="Arial"/>
          <w:kern w:val="0"/>
          <w:szCs w:val="24"/>
        </w:rPr>
        <w:t>规定的顺序修正。修正后的报价按照《政府采购货物和服务招标投标管理办法》（财政部</w:t>
      </w:r>
      <w:r>
        <w:rPr>
          <w:rFonts w:ascii="仿宋_GB2312" w:hAnsi="仿宋" w:eastAsia="仿宋_GB2312" w:cs="Arial"/>
          <w:kern w:val="0"/>
          <w:szCs w:val="24"/>
        </w:rPr>
        <w:t>令</w:t>
      </w:r>
      <w:r>
        <w:rPr>
          <w:rFonts w:hint="eastAsia" w:ascii="仿宋_GB2312" w:hAnsi="仿宋" w:eastAsia="仿宋_GB2312" w:cs="Arial"/>
          <w:kern w:val="0"/>
          <w:szCs w:val="24"/>
        </w:rPr>
        <w:t>第</w:t>
      </w:r>
      <w:r>
        <w:rPr>
          <w:rFonts w:ascii="仿宋_GB2312" w:hAnsi="仿宋" w:eastAsia="仿宋_GB2312" w:cs="Arial"/>
          <w:kern w:val="0"/>
          <w:szCs w:val="24"/>
        </w:rPr>
        <w:t>87号</w:t>
      </w:r>
      <w:r>
        <w:rPr>
          <w:rFonts w:hint="eastAsia" w:ascii="仿宋_GB2312" w:hAnsi="仿宋" w:eastAsia="仿宋_GB2312" w:cs="Arial"/>
          <w:kern w:val="0"/>
          <w:szCs w:val="24"/>
        </w:rPr>
        <w:t>）第五十一条第二款的规定经投标人确认后产生约束力。</w:t>
      </w:r>
    </w:p>
    <w:p>
      <w:pPr>
        <w:snapToGrid w:val="0"/>
        <w:spacing w:line="360" w:lineRule="auto"/>
        <w:ind w:firstLine="480" w:firstLineChars="200"/>
        <w:jc w:val="left"/>
        <w:rPr>
          <w:rFonts w:ascii="仿宋_GB2312" w:hAnsi="仿宋" w:eastAsia="仿宋_GB2312" w:cs="Arial"/>
          <w:kern w:val="0"/>
          <w:sz w:val="24"/>
        </w:rPr>
      </w:pPr>
      <w:r>
        <w:rPr>
          <w:rFonts w:ascii="仿宋_GB2312" w:hAnsi="仿宋" w:eastAsia="仿宋_GB2312" w:cs="Arial"/>
          <w:kern w:val="0"/>
          <w:sz w:val="24"/>
        </w:rPr>
        <w:t>3.4.2</w:t>
      </w:r>
      <w:r>
        <w:rPr>
          <w:rFonts w:hint="eastAsia" w:ascii="仿宋_GB2312" w:hAnsi="仿宋" w:eastAsia="仿宋_GB2312" w:cs="Arial"/>
          <w:kern w:val="0"/>
          <w:sz w:val="24"/>
        </w:rPr>
        <w:t>投标文件出现不是唯一的、有选择性投标报价的，投标无效。</w:t>
      </w:r>
    </w:p>
    <w:p>
      <w:pPr>
        <w:snapToGrid w:val="0"/>
        <w:spacing w:line="360" w:lineRule="auto"/>
        <w:ind w:firstLine="480" w:firstLineChars="200"/>
        <w:jc w:val="left"/>
        <w:rPr>
          <w:rFonts w:ascii="仿宋_GB2312" w:hAnsi="仿宋" w:eastAsia="仿宋_GB2312" w:cs="Arial"/>
          <w:kern w:val="0"/>
          <w:sz w:val="24"/>
        </w:rPr>
      </w:pPr>
      <w:r>
        <w:rPr>
          <w:rFonts w:ascii="仿宋_GB2312" w:hAnsi="仿宋" w:eastAsia="仿宋_GB2312" w:cs="Arial"/>
          <w:kern w:val="0"/>
          <w:sz w:val="24"/>
        </w:rPr>
        <w:t>3.4.3</w:t>
      </w:r>
      <w:r>
        <w:rPr>
          <w:rFonts w:hint="eastAsia" w:ascii="仿宋_GB2312" w:hAnsi="仿宋" w:eastAsia="仿宋_GB2312" w:cs="Arial"/>
          <w:kern w:val="0"/>
          <w:sz w:val="24"/>
        </w:rPr>
        <w:t>投标报价超过招标文件中规定的预算金额或者最高限价的，投标无效。</w:t>
      </w:r>
    </w:p>
    <w:p>
      <w:pPr>
        <w:pStyle w:val="128"/>
        <w:spacing w:before="0"/>
        <w:ind w:firstLine="480"/>
        <w:rPr>
          <w:rFonts w:ascii="仿宋_GB2312" w:hAnsi="仿宋" w:eastAsia="仿宋_GB2312" w:cs="Arial"/>
          <w:kern w:val="0"/>
          <w:szCs w:val="24"/>
        </w:rPr>
      </w:pPr>
      <w:r>
        <w:rPr>
          <w:rFonts w:ascii="仿宋_GB2312" w:hAnsi="仿宋" w:eastAsia="仿宋_GB2312" w:cs="Arial"/>
          <w:kern w:val="0"/>
          <w:szCs w:val="24"/>
        </w:rPr>
        <w:t>3.4.4</w:t>
      </w:r>
      <w:r>
        <w:rPr>
          <w:rFonts w:hint="eastAsia" w:ascii="仿宋_GB2312" w:hAnsi="仿宋" w:eastAsia="仿宋_GB2312" w:cs="Arial"/>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_GB2312" w:hAnsi="仿宋" w:eastAsia="仿宋_GB2312" w:cs="Arial"/>
          <w:kern w:val="0"/>
          <w:szCs w:val="24"/>
        </w:rPr>
        <w:t>;投标人不能证明其报价合理性的，评标委员会应当将其作为无效投标处理。</w:t>
      </w:r>
    </w:p>
    <w:p>
      <w:pPr>
        <w:pStyle w:val="128"/>
        <w:spacing w:before="0"/>
        <w:ind w:firstLine="480"/>
        <w:rPr>
          <w:rFonts w:ascii="仿宋_GB2312" w:hAnsi="仿宋" w:eastAsia="仿宋_GB2312" w:cs="Arial"/>
          <w:kern w:val="0"/>
          <w:szCs w:val="24"/>
        </w:rPr>
      </w:pPr>
      <w:r>
        <w:rPr>
          <w:rFonts w:ascii="仿宋_GB2312" w:hAnsi="仿宋" w:eastAsia="仿宋_GB2312" w:cs="Arial"/>
          <w:kern w:val="0"/>
          <w:szCs w:val="24"/>
        </w:rPr>
        <w:t>3.4.5</w:t>
      </w:r>
      <w:r>
        <w:rPr>
          <w:rFonts w:hint="eastAsia" w:ascii="仿宋_GB2312" w:hAnsi="仿宋" w:eastAsia="仿宋_GB2312" w:cs="Arial"/>
          <w:kern w:val="0"/>
          <w:szCs w:val="24"/>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cs="Arial"/>
          <w:kern w:val="0"/>
          <w:szCs w:val="24"/>
        </w:rPr>
        <w:t>10%的扣除，用扣除后的价格参与评审。接受大中型企业与小</w:t>
      </w:r>
      <w:r>
        <w:rPr>
          <w:rFonts w:hint="eastAsia" w:ascii="仿宋_GB2312" w:hAnsi="仿宋" w:eastAsia="仿宋_GB2312" w:cs="Arial"/>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_GB2312" w:hAnsi="仿宋" w:eastAsia="仿宋_GB2312" w:cs="Arial"/>
          <w:kern w:val="0"/>
          <w:szCs w:val="24"/>
        </w:rPr>
        <w:t>30%以上的，对联合体或者大中型企业的报价给予3%的扣除，用扣除后的价格参加评审。组成联合体或者接受分包的小</w:t>
      </w:r>
      <w:r>
        <w:rPr>
          <w:rFonts w:hint="eastAsia" w:ascii="仿宋_GB2312" w:hAnsi="仿宋" w:eastAsia="仿宋_GB2312" w:cs="Arial"/>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中标候选人</w:t>
      </w:r>
      <w:r>
        <w:rPr>
          <w:rFonts w:hint="eastAsia" w:ascii="仿宋_GB2312" w:hAnsi="仿宋" w:eastAsia="仿宋_GB2312" w:cs="Arial"/>
          <w:kern w:val="0"/>
          <w:sz w:val="24"/>
        </w:rPr>
        <w:t>。本项目只推荐</w:t>
      </w:r>
      <w:r>
        <w:rPr>
          <w:rFonts w:ascii="仿宋_GB2312" w:hAnsi="仿宋" w:eastAsia="仿宋_GB2312" w:cs="Arial"/>
          <w:kern w:val="0"/>
          <w:sz w:val="24"/>
        </w:rPr>
        <w:t>评审</w:t>
      </w:r>
      <w:r>
        <w:rPr>
          <w:rFonts w:hint="eastAsia" w:ascii="仿宋_GB2312" w:hAnsi="仿宋" w:eastAsia="仿宋_GB2312" w:cs="Arial"/>
          <w:kern w:val="0"/>
          <w:sz w:val="24"/>
        </w:rPr>
        <w:t>综合</w:t>
      </w:r>
      <w:r>
        <w:rPr>
          <w:rFonts w:ascii="仿宋_GB2312" w:hAnsi="仿宋" w:eastAsia="仿宋_GB2312" w:cs="Arial"/>
          <w:kern w:val="0"/>
          <w:sz w:val="24"/>
        </w:rPr>
        <w:t>得分最高的投标人</w:t>
      </w:r>
      <w:r>
        <w:rPr>
          <w:rFonts w:hint="eastAsia" w:ascii="仿宋_GB2312" w:hAnsi="仿宋" w:eastAsia="仿宋_GB2312" w:cs="Arial"/>
          <w:kern w:val="0"/>
          <w:sz w:val="24"/>
        </w:rPr>
        <w:t>为中标候选人。</w:t>
      </w:r>
    </w:p>
    <w:p>
      <w:pPr>
        <w:spacing w:line="360" w:lineRule="auto"/>
        <w:ind w:firstLine="480" w:firstLineChars="200"/>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128"/>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rPr>
      </w:pPr>
      <w:r>
        <w:rPr>
          <w:rFonts w:ascii="仿宋_GB2312" w:hAnsi="仿宋" w:eastAsia="仿宋_GB2312" w:cs="Arial"/>
          <w:kern w:val="0"/>
          <w:sz w:val="24"/>
        </w:rPr>
        <w:t xml:space="preserve">  </w:t>
      </w:r>
      <w:r>
        <w:rPr>
          <w:rFonts w:hint="eastAsia" w:ascii="仿宋_GB2312" w:hAnsi="仿宋" w:eastAsia="仿宋_GB2312" w:cs="Arial"/>
          <w:kern w:val="0"/>
          <w:sz w:val="24"/>
        </w:rPr>
        <w:t xml:space="preserve"> </w:t>
      </w:r>
      <w:r>
        <w:rPr>
          <w:rFonts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ascii="仿宋_GB2312" w:hAnsi="仿宋" w:eastAsia="仿宋_GB2312"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4.2.12投标人仅提交备份投标文件，没有在电子交易平台传输递交投标文件的，投标无效；</w:t>
      </w:r>
    </w:p>
    <w:p>
      <w:pPr>
        <w:pStyle w:val="2"/>
        <w:ind w:left="862" w:leftChars="205"/>
        <w:rPr>
          <w:rFonts w:cs="Arial"/>
          <w:b w:val="0"/>
          <w:bCs w:val="0"/>
          <w:kern w:val="0"/>
          <w:sz w:val="24"/>
          <w:szCs w:val="24"/>
          <w:lang w:val="en-US"/>
        </w:rPr>
      </w:pPr>
      <w:r>
        <w:rPr>
          <w:rFonts w:cs="Arial"/>
          <w:b w:val="0"/>
          <w:bCs w:val="0"/>
          <w:kern w:val="0"/>
          <w:sz w:val="24"/>
          <w:szCs w:val="24"/>
          <w:lang w:val="en-US"/>
        </w:rPr>
        <w:t xml:space="preserve">4.2.13 </w:t>
      </w:r>
      <w:r>
        <w:rPr>
          <w:rFonts w:hint="eastAsia" w:cs="Arial"/>
          <w:b w:val="0"/>
          <w:bCs w:val="0"/>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24"/>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4.3.废标。</w:t>
      </w:r>
      <w:r>
        <w:rPr>
          <w:rFonts w:hint="eastAsia" w:ascii="仿宋_GB2312" w:hAnsi="仿宋" w:eastAsia="仿宋_GB2312" w:cs="仿宋_GB2312"/>
        </w:rPr>
        <w:t>根据《中华人民共和国政府采购法》第三十六条之规定，在采购中，出现下列情形之一的，应予废标：</w:t>
      </w:r>
    </w:p>
    <w:p>
      <w:pPr>
        <w:pStyle w:val="24"/>
        <w:snapToGrid w:val="0"/>
        <w:spacing w:line="360" w:lineRule="auto"/>
        <w:rPr>
          <w:rFonts w:ascii="仿宋_GB2312" w:hAnsi="仿宋" w:eastAsia="仿宋_GB2312" w:cs="仿宋_GB2312"/>
        </w:rPr>
      </w:pPr>
      <w:r>
        <w:rPr>
          <w:rFonts w:ascii="仿宋_GB2312" w:hAnsi="仿宋" w:eastAsia="仿宋_GB2312" w:cs="仿宋_GB2312"/>
        </w:rPr>
        <w:t>4.3.1符合专业条件的供应商或者对招标文件作实质响应的供应商不足3家的；</w:t>
      </w:r>
    </w:p>
    <w:p>
      <w:pPr>
        <w:pStyle w:val="24"/>
        <w:snapToGrid w:val="0"/>
        <w:spacing w:line="360" w:lineRule="auto"/>
        <w:rPr>
          <w:rFonts w:ascii="仿宋_GB2312" w:hAnsi="仿宋" w:eastAsia="仿宋_GB2312" w:cs="仿宋_GB2312"/>
        </w:rPr>
      </w:pPr>
      <w:r>
        <w:rPr>
          <w:rFonts w:ascii="仿宋_GB2312" w:hAnsi="仿宋" w:eastAsia="仿宋_GB2312" w:cs="仿宋_GB2312"/>
        </w:rPr>
        <w:t>4.3.2出现影响采购公正的违法、违规行为的；</w:t>
      </w:r>
    </w:p>
    <w:p>
      <w:pPr>
        <w:pStyle w:val="24"/>
        <w:snapToGrid w:val="0"/>
        <w:spacing w:line="360" w:lineRule="auto"/>
        <w:rPr>
          <w:rFonts w:ascii="仿宋_GB2312" w:hAnsi="仿宋" w:eastAsia="仿宋_GB2312" w:cs="仿宋_GB2312"/>
        </w:rPr>
      </w:pPr>
      <w:r>
        <w:rPr>
          <w:rFonts w:ascii="仿宋_GB2312" w:hAnsi="仿宋" w:eastAsia="仿宋_GB2312" w:cs="仿宋_GB2312"/>
        </w:rPr>
        <w:t>4.3.3投标人的报价均超过了采购预算，采购人不能支付的；</w:t>
      </w:r>
    </w:p>
    <w:p>
      <w:pPr>
        <w:pStyle w:val="24"/>
        <w:snapToGrid w:val="0"/>
        <w:spacing w:line="360" w:lineRule="auto"/>
        <w:rPr>
          <w:rFonts w:ascii="仿宋_GB2312" w:hAnsi="仿宋" w:eastAsia="仿宋_GB2312" w:cs="仿宋_GB2312"/>
        </w:rPr>
      </w:pPr>
      <w:r>
        <w:rPr>
          <w:rFonts w:ascii="仿宋_GB2312" w:hAnsi="仿宋" w:eastAsia="仿宋_GB2312" w:cs="仿宋_GB2312"/>
        </w:rPr>
        <w:t>4.3.4因重大变故，采购任务取消的。</w:t>
      </w:r>
    </w:p>
    <w:p>
      <w:pPr>
        <w:pStyle w:val="24"/>
        <w:snapToGrid w:val="0"/>
        <w:spacing w:line="360" w:lineRule="auto"/>
        <w:rPr>
          <w:rFonts w:ascii="仿宋_GB2312" w:hAnsi="仿宋" w:eastAsia="仿宋_GB2312" w:cs="仿宋_GB2312"/>
        </w:rPr>
      </w:pPr>
      <w:r>
        <w:rPr>
          <w:rFonts w:hint="eastAsia" w:ascii="仿宋_GB2312" w:hAnsi="仿宋" w:eastAsia="仿宋_GB2312" w:cs="仿宋_GB2312"/>
        </w:rPr>
        <w:t>废标后，采购代理机构应当将废标理由通知所有投标人。</w:t>
      </w:r>
    </w:p>
    <w:p>
      <w:pPr>
        <w:pStyle w:val="24"/>
        <w:snapToGrid w:val="0"/>
        <w:spacing w:line="360" w:lineRule="auto"/>
        <w:ind w:firstLine="482"/>
        <w:rPr>
          <w:rFonts w:ascii="仿宋_GB2312" w:hAnsi="仿宋" w:eastAsia="仿宋_GB2312" w:cs="仿宋_GB2312"/>
        </w:rPr>
      </w:pPr>
      <w:r>
        <w:rPr>
          <w:rFonts w:ascii="仿宋_GB2312" w:hAnsi="仿宋" w:eastAsia="仿宋_GB2312" w:cs="仿宋_GB2312"/>
          <w:b/>
        </w:rPr>
        <w:t>4.4.修改招标文件，重新组织采购活动。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4"/>
        <w:snapToGrid w:val="0"/>
        <w:spacing w:line="360" w:lineRule="auto"/>
        <w:ind w:firstLine="482"/>
        <w:rPr>
          <w:rFonts w:ascii="仿宋_GB2312" w:hAnsi="仿宋" w:eastAsia="仿宋_GB2312" w:cs="仿宋_GB2312"/>
        </w:rPr>
      </w:pPr>
      <w:r>
        <w:rPr>
          <w:rFonts w:ascii="仿宋_GB2312" w:hAnsi="Helvetica" w:eastAsia="仿宋_GB2312" w:cs="Helvetica"/>
          <w:b/>
          <w:kern w:val="0"/>
        </w:rPr>
        <w:t>4.5</w:t>
      </w:r>
      <w:r>
        <w:rPr>
          <w:rFonts w:hint="eastAsia" w:ascii="仿宋_GB2312" w:hAnsi="Helvetica" w:eastAsia="仿宋_GB2312" w:cs="Helvetica"/>
          <w:b/>
          <w:kern w:val="0"/>
        </w:rPr>
        <w:t>.重新开展采购。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4"/>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4.5.1未确定中标或者中标人的，终止本次政府采购活动，重新开展政府采购</w:t>
      </w:r>
      <w:r>
        <w:rPr>
          <w:rFonts w:hint="eastAsia" w:ascii="仿宋_GB2312" w:hAnsi="仿宋" w:eastAsia="仿宋_GB2312" w:cs="仿宋_GB2312"/>
        </w:rPr>
        <w:t>活动。</w:t>
      </w:r>
    </w:p>
    <w:p>
      <w:pPr>
        <w:pStyle w:val="24"/>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4.5.2已确定中标或者中标人但尚未签订政府采购合同的，中标或者成交结果无效，从合格的中标或者成交候选人中另行确定中标或者中标人；没有合格的中标或者成交候选人的，重新开展政府采购活动。</w:t>
      </w:r>
    </w:p>
    <w:p>
      <w:pPr>
        <w:pStyle w:val="24"/>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4.5.3政府采购合同已签订但尚未履行的，撤销合同，从合格的中标或者成交候选人中另行确定中标或者中标人；没有合格的中标或者成交候选人的，重新开展政府采购活动。</w:t>
      </w:r>
    </w:p>
    <w:p>
      <w:pPr>
        <w:pStyle w:val="24"/>
        <w:snapToGrid w:val="0"/>
        <w:spacing w:line="360" w:lineRule="auto"/>
        <w:rPr>
          <w:rFonts w:ascii="仿宋_GB2312" w:hAnsi="仿宋" w:eastAsia="仿宋_GB2312" w:cs="仿宋_GB2312"/>
        </w:rPr>
      </w:pPr>
      <w:r>
        <w:rPr>
          <w:rFonts w:ascii="仿宋_GB2312" w:hAnsi="仿宋" w:eastAsia="仿宋_GB2312" w:cs="仿宋_GB2312"/>
        </w:rPr>
        <w:t>4.5.4政府采购合同已经履行，给采购人、供应</w:t>
      </w:r>
      <w:r>
        <w:rPr>
          <w:rFonts w:hint="eastAsia" w:ascii="仿宋_GB2312" w:hAnsi="仿宋" w:eastAsia="仿宋_GB2312" w:cs="仿宋_GB2312"/>
        </w:rPr>
        <w:t>商造成损失的，由责任人承担赔偿责任。</w:t>
      </w:r>
    </w:p>
    <w:p>
      <w:pPr>
        <w:pStyle w:val="24"/>
        <w:snapToGrid w:val="0"/>
        <w:spacing w:line="360" w:lineRule="auto"/>
        <w:rPr>
          <w:rFonts w:ascii="仿宋_GB2312" w:hAnsi="仿宋" w:eastAsia="仿宋_GB2312" w:cs="仿宋_GB2312"/>
        </w:rPr>
      </w:pPr>
      <w:r>
        <w:rPr>
          <w:rFonts w:ascii="仿宋_GB2312" w:hAnsi="仿宋" w:eastAsia="仿宋_GB2312" w:cs="仿宋_GB2312"/>
        </w:rPr>
        <w:t>4.5.5政府采购当事人有其他违反政府采购</w:t>
      </w:r>
      <w:r>
        <w:rPr>
          <w:rFonts w:hint="eastAsia" w:ascii="仿宋_GB2312" w:hAnsi="仿宋" w:eastAsia="仿宋_GB2312" w:cs="仿宋_GB2312"/>
        </w:rPr>
        <w:t>法或者政府采购法实施条例等法律法规规定的行为，经改正后仍然影响或者可能影响中标、成交结果或者依法被认定为中标、成交无效的，依照</w:t>
      </w:r>
      <w:r>
        <w:rPr>
          <w:rFonts w:ascii="仿宋_GB2312" w:hAnsi="仿宋" w:eastAsia="仿宋_GB2312" w:cs="仿宋_GB2312"/>
        </w:rPr>
        <w:t>7.1-7.4规定处理。</w:t>
      </w:r>
    </w:p>
    <w:p>
      <w:pPr>
        <w:pStyle w:val="24"/>
        <w:snapToGrid w:val="0"/>
        <w:spacing w:line="360" w:lineRule="auto"/>
        <w:ind w:firstLine="0" w:firstLineChars="0"/>
        <w:rPr>
          <w:rFonts w:ascii="仿宋_GB2312" w:hAnsi="仿宋" w:eastAsia="仿宋_GB2312" w:cs="仿宋_GB2312"/>
        </w:rPr>
      </w:pPr>
    </w:p>
    <w:bookmarkEnd w:id="26"/>
    <w:p>
      <w:pPr>
        <w:spacing w:line="360" w:lineRule="auto"/>
        <w:ind w:left="720" w:leftChars="343" w:firstLine="1084" w:firstLineChars="300"/>
        <w:outlineLvl w:val="0"/>
        <w:rPr>
          <w:rFonts w:ascii="仿宋_GB2312" w:hAnsi="仿宋" w:eastAsia="仿宋_GB2312" w:cs="仿宋_GB2312"/>
          <w:b/>
          <w:sz w:val="36"/>
          <w:szCs w:val="36"/>
        </w:rPr>
      </w:pPr>
      <w:bookmarkStart w:id="392" w:name="第五部分"/>
      <w:bookmarkStart w:id="393" w:name="_Toc86217003"/>
    </w:p>
    <w:p>
      <w:pPr>
        <w:spacing w:line="360" w:lineRule="auto"/>
        <w:ind w:left="720" w:leftChars="343" w:firstLine="1084" w:firstLineChars="300"/>
        <w:outlineLvl w:val="0"/>
        <w:rPr>
          <w:rFonts w:ascii="仿宋_GB2312" w:hAnsi="仿宋" w:eastAsia="仿宋_GB2312" w:cs="仿宋_GB2312"/>
          <w:b/>
          <w:sz w:val="36"/>
          <w:szCs w:val="36"/>
        </w:rPr>
      </w:pPr>
      <w:r>
        <w:rPr>
          <w:rFonts w:ascii="仿宋_GB2312" w:hAnsi="仿宋" w:eastAsia="仿宋_GB2312" w:cs="仿宋_GB2312"/>
          <w:b/>
          <w:sz w:val="36"/>
          <w:szCs w:val="36"/>
        </w:rPr>
        <w:t xml:space="preserve">    </w:t>
      </w: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pStyle w:val="2"/>
        <w:rPr>
          <w:lang w:val="en-US"/>
        </w:rPr>
      </w:pPr>
    </w:p>
    <w:p>
      <w:pPr>
        <w:spacing w:line="360" w:lineRule="auto"/>
        <w:ind w:left="720" w:leftChars="343" w:firstLine="1084" w:firstLineChars="300"/>
        <w:outlineLvl w:val="0"/>
        <w:rPr>
          <w:rFonts w:ascii="仿宋_GB2312" w:hAnsi="仿宋" w:eastAsia="仿宋_GB2312" w:cs="仿宋_GB2312"/>
          <w:b/>
          <w:sz w:val="36"/>
          <w:szCs w:val="36"/>
        </w:rPr>
      </w:pPr>
    </w:p>
    <w:p/>
    <w:p>
      <w:pPr>
        <w:spacing w:line="360" w:lineRule="auto"/>
        <w:ind w:left="720" w:leftChars="343" w:firstLine="1084" w:firstLineChars="3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拟签订的合同文本</w:t>
      </w:r>
    </w:p>
    <w:p>
      <w:pPr>
        <w:rPr>
          <w:rFonts w:ascii="楷体" w:hAnsi="楷体" w:eastAsia="楷体"/>
          <w:sz w:val="24"/>
          <w:u w:val="single"/>
        </w:rPr>
      </w:pPr>
      <w:r>
        <w:rPr>
          <w:rFonts w:hint="eastAsia" w:ascii="楷体" w:hAnsi="楷体" w:eastAsia="楷体"/>
          <w:sz w:val="24"/>
        </w:rPr>
        <w:t>合同编号：</w:t>
      </w:r>
      <w:r>
        <w:rPr>
          <w:rFonts w:ascii="楷体" w:hAnsi="楷体" w:eastAsia="楷体"/>
          <w:sz w:val="24"/>
          <w:u w:val="single"/>
        </w:rPr>
        <w:t xml:space="preserve">           </w:t>
      </w:r>
    </w:p>
    <w:p>
      <w:pPr>
        <w:spacing w:line="480" w:lineRule="auto"/>
        <w:jc w:val="center"/>
        <w:rPr>
          <w:rFonts w:ascii="楷体" w:hAnsi="楷体" w:eastAsia="楷体"/>
          <w:b/>
          <w:sz w:val="28"/>
          <w:szCs w:val="28"/>
        </w:rPr>
      </w:pPr>
    </w:p>
    <w:p>
      <w:pPr>
        <w:spacing w:line="480" w:lineRule="auto"/>
        <w:jc w:val="center"/>
        <w:rPr>
          <w:rFonts w:ascii="仿宋" w:hAnsi="仿宋" w:eastAsia="仿宋"/>
          <w:b/>
          <w:sz w:val="24"/>
        </w:rPr>
      </w:pPr>
    </w:p>
    <w:p>
      <w:pPr>
        <w:spacing w:line="480" w:lineRule="auto"/>
        <w:jc w:val="center"/>
        <w:rPr>
          <w:rFonts w:ascii="仿宋" w:hAnsi="仿宋" w:eastAsia="仿宋"/>
          <w:b/>
          <w:sz w:val="24"/>
        </w:rPr>
      </w:pP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（货物类）</w:t>
      </w:r>
    </w:p>
    <w:p>
      <w:pPr>
        <w:pStyle w:val="700"/>
        <w:rPr>
          <w:rFonts w:ascii="仿宋" w:hAnsi="仿宋" w:eastAsia="仿宋"/>
          <w:szCs w:val="24"/>
        </w:rPr>
      </w:pPr>
    </w:p>
    <w:p>
      <w:pPr>
        <w:pStyle w:val="700"/>
        <w:rPr>
          <w:rFonts w:ascii="仿宋" w:hAnsi="仿宋" w:eastAsia="仿宋"/>
          <w:szCs w:val="24"/>
        </w:rPr>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700"/>
        <w:jc w:val="center"/>
        <w:rPr>
          <w:rFonts w:ascii="仿宋" w:hAnsi="仿宋" w:eastAsia="仿宋"/>
          <w:szCs w:val="24"/>
        </w:rPr>
      </w:pPr>
    </w:p>
    <w:p>
      <w:pPr>
        <w:pStyle w:val="24"/>
      </w:pPr>
    </w:p>
    <w:p>
      <w:pPr>
        <w:pStyle w:val="700"/>
        <w:ind w:firstLine="2843" w:firstLineChars="1180"/>
        <w:rPr>
          <w:rFonts w:ascii="仿宋" w:hAnsi="仿宋" w:eastAsia="仿宋"/>
          <w:b/>
          <w:szCs w:val="24"/>
        </w:rPr>
      </w:pPr>
      <w:r>
        <w:rPr>
          <w:rFonts w:hint="eastAsia" w:ascii="仿宋" w:hAnsi="仿宋" w:eastAsia="仿宋"/>
          <w:b/>
          <w:szCs w:val="24"/>
        </w:rPr>
        <w:t>通用合同书</w:t>
      </w:r>
    </w:p>
    <w:p>
      <w:pPr>
        <w:pStyle w:val="700"/>
        <w:rPr>
          <w:rFonts w:ascii="仿宋" w:hAnsi="仿宋" w:eastAsia="仿宋"/>
          <w:szCs w:val="24"/>
        </w:rPr>
      </w:pPr>
    </w:p>
    <w:p>
      <w:pPr>
        <w:pStyle w:val="700"/>
        <w:rPr>
          <w:rFonts w:ascii="仿宋" w:hAnsi="仿宋" w:eastAsia="仿宋"/>
          <w:szCs w:val="24"/>
        </w:rPr>
      </w:pPr>
    </w:p>
    <w:p>
      <w:pPr>
        <w:pStyle w:val="24"/>
      </w:pPr>
    </w:p>
    <w:p>
      <w:pPr>
        <w:spacing w:before="120" w:line="22" w:lineRule="atLeast"/>
        <w:rPr>
          <w:rFonts w:ascii="仿宋" w:hAnsi="仿宋" w:eastAsia="仿宋"/>
          <w:sz w:val="24"/>
        </w:rPr>
      </w:pPr>
    </w:p>
    <w:p>
      <w:pPr>
        <w:spacing w:before="120" w:line="22" w:lineRule="atLeast"/>
        <w:ind w:left="960"/>
        <w:rPr>
          <w:rFonts w:ascii="仿宋" w:hAnsi="仿宋" w:eastAsia="仿宋"/>
          <w:sz w:val="24"/>
        </w:rPr>
      </w:pPr>
      <w:r>
        <w:rPr>
          <w:rFonts w:hint="eastAsia" w:ascii="仿宋" w:hAnsi="仿宋" w:eastAsia="仿宋"/>
          <w:sz w:val="24"/>
        </w:rPr>
        <w:t>项目名称：</w:t>
      </w:r>
      <w:r>
        <w:rPr>
          <w:rFonts w:ascii="仿宋" w:hAnsi="仿宋" w:eastAsia="仿宋"/>
          <w:sz w:val="24"/>
          <w:u w:val="single"/>
        </w:rPr>
        <w:t xml:space="preserve">                                   </w:t>
      </w:r>
    </w:p>
    <w:p>
      <w:pPr>
        <w:pStyle w:val="597"/>
        <w:spacing w:before="120" w:line="22" w:lineRule="atLeast"/>
        <w:rPr>
          <w:rFonts w:ascii="仿宋" w:hAnsi="仿宋" w:eastAsia="仿宋"/>
          <w:szCs w:val="24"/>
        </w:rPr>
      </w:pPr>
    </w:p>
    <w:p>
      <w:pPr>
        <w:pStyle w:val="597"/>
        <w:spacing w:before="120" w:line="22" w:lineRule="atLeast"/>
        <w:rPr>
          <w:rFonts w:ascii="仿宋" w:hAnsi="仿宋" w:eastAsia="仿宋"/>
          <w:szCs w:val="24"/>
        </w:rPr>
      </w:pPr>
    </w:p>
    <w:p>
      <w:pPr>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甲方：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乙方：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签订地：</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签订日期：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p>
    <w:p>
      <w:pPr>
        <w:widowControl/>
        <w:jc w:val="left"/>
        <w:rPr>
          <w:rFonts w:ascii="仿宋" w:hAnsi="仿宋" w:eastAsia="仿宋"/>
          <w:kern w:val="0"/>
          <w:sz w:val="24"/>
        </w:rPr>
        <w:sectPr>
          <w:pgSz w:w="11907" w:h="16840"/>
          <w:pgMar w:top="1474" w:right="1814" w:bottom="1474" w:left="1814" w:header="851" w:footer="851" w:gutter="0"/>
          <w:cols w:space="720" w:num="1"/>
        </w:sectPr>
      </w:pPr>
    </w:p>
    <w:p>
      <w:pPr>
        <w:pStyle w:val="2"/>
        <w:rPr>
          <w:lang w:val="en-US"/>
        </w:rPr>
      </w:pPr>
    </w:p>
    <w:p>
      <w:pPr>
        <w:ind w:firstLine="420" w:firstLineChars="200"/>
        <w:rPr>
          <w:u w:val="single"/>
        </w:rPr>
      </w:pPr>
      <w:r>
        <w:rPr>
          <w:rFonts w:hint="eastAsia"/>
          <w:u w:val="single"/>
        </w:rPr>
        <w:t xml:space="preserve"> </w:t>
      </w:r>
      <w:r>
        <w:rPr>
          <w:u w:val="single"/>
        </w:rPr>
        <w:t xml:space="preserve">                     </w:t>
      </w:r>
      <w:r>
        <w:rPr>
          <w:rFonts w:hint="eastAsia"/>
        </w:rPr>
        <w:t>（甲方）</w:t>
      </w:r>
      <w:r>
        <w:rPr>
          <w:rFonts w:hint="eastAsia"/>
          <w:u w:val="single"/>
        </w:rPr>
        <w:t xml:space="preserve"> </w:t>
      </w:r>
      <w:r>
        <w:rPr>
          <w:u w:val="single"/>
        </w:rPr>
        <w:t xml:space="preserve">                   </w:t>
      </w:r>
      <w:r>
        <w:rPr>
          <w:rFonts w:hint="eastAsia"/>
        </w:rPr>
        <w:t xml:space="preserve"> （项目名称）经诸暨市公共资源交易中心以招标文件（编号：诸政采20</w:t>
      </w:r>
      <w:r>
        <w:rPr>
          <w:rFonts w:hint="eastAsia"/>
          <w:u w:val="single"/>
        </w:rPr>
        <w:t xml:space="preserve">    </w:t>
      </w:r>
      <w:r>
        <w:rPr>
          <w:rFonts w:hint="eastAsia"/>
        </w:rPr>
        <w:t>—</w:t>
      </w:r>
      <w:r>
        <w:rPr>
          <w:rFonts w:hint="eastAsia"/>
          <w:u w:val="single"/>
        </w:rPr>
        <w:t xml:space="preserve">    </w:t>
      </w:r>
      <w:r>
        <w:rPr>
          <w:rFonts w:hint="eastAsia"/>
        </w:rPr>
        <w:t>—</w:t>
      </w:r>
      <w:r>
        <w:rPr>
          <w:rFonts w:hint="eastAsia"/>
          <w:u w:val="single"/>
        </w:rPr>
        <w:t xml:space="preserve">    </w:t>
      </w:r>
      <w:r>
        <w:rPr>
          <w:rFonts w:hint="eastAsia"/>
        </w:rPr>
        <w:t>号）</w:t>
      </w:r>
      <w:r>
        <w:t>进行公开招标。甲方确定</w:t>
      </w:r>
      <w:r>
        <w:rPr>
          <w:u w:val="single"/>
        </w:rPr>
        <w:t xml:space="preserve">                              </w:t>
      </w:r>
      <w:r>
        <w:t>（乙方）为中标人。甲、乙双方依据《中华人</w:t>
      </w:r>
      <w:r>
        <w:rPr>
          <w:rFonts w:hint="eastAsia"/>
        </w:rPr>
        <w:t>民共和国政府采购法》、《中华人民共和国民法典》，在平等自愿的基础上，同意按照下面的条款和条件，签署本合同。</w:t>
      </w:r>
    </w:p>
    <w:p>
      <w:pPr>
        <w:rPr>
          <w:b/>
          <w:bCs/>
          <w:u w:val="single"/>
        </w:rPr>
      </w:pPr>
      <w:r>
        <w:rPr>
          <w:rFonts w:hint="eastAsia"/>
          <w:b/>
          <w:bCs/>
        </w:rPr>
        <w:t>（一）项目采购依据</w:t>
      </w:r>
    </w:p>
    <w:p>
      <w:pPr>
        <w:ind w:firstLine="420" w:firstLineChars="200"/>
      </w:pPr>
      <w:r>
        <w:rPr>
          <w:rFonts w:hint="eastAsia"/>
        </w:rPr>
        <w:t>政府采购预算执行确认书。</w:t>
      </w:r>
      <w:r>
        <w:t xml:space="preserve"> </w:t>
      </w:r>
    </w:p>
    <w:p>
      <w:pPr>
        <w:rPr>
          <w:b/>
          <w:bCs/>
        </w:rPr>
      </w:pPr>
      <w:r>
        <w:rPr>
          <w:rFonts w:hint="eastAsia"/>
          <w:b/>
          <w:bCs/>
        </w:rPr>
        <w:t>（二）下列文件构成本合同的组成部分</w:t>
      </w:r>
    </w:p>
    <w:p>
      <w:pPr>
        <w:ind w:firstLine="420" w:firstLineChars="200"/>
      </w:pPr>
      <w:r>
        <w:rPr>
          <w:rFonts w:hint="eastAsia"/>
        </w:rPr>
        <w:t>以下文件为本合同的组成部分，应该认为是一个整体，彼此相互解释，相互补充。</w:t>
      </w:r>
    </w:p>
    <w:p>
      <w:pPr>
        <w:ind w:firstLine="420" w:firstLineChars="200"/>
      </w:pPr>
      <w:r>
        <w:t>a. 本合同书</w:t>
      </w:r>
    </w:p>
    <w:p>
      <w:pPr>
        <w:ind w:firstLine="420" w:firstLineChars="200"/>
      </w:pPr>
      <w:r>
        <w:t>b. 中标通知书</w:t>
      </w:r>
    </w:p>
    <w:p>
      <w:pPr>
        <w:ind w:firstLine="420" w:firstLineChars="200"/>
      </w:pPr>
      <w:r>
        <w:t>c. 询标承诺</w:t>
      </w:r>
    </w:p>
    <w:p>
      <w:pPr>
        <w:ind w:firstLine="420" w:firstLineChars="200"/>
      </w:pPr>
      <w:r>
        <w:t>d. 投标文件</w:t>
      </w:r>
    </w:p>
    <w:p>
      <w:pPr>
        <w:ind w:firstLine="420" w:firstLineChars="200"/>
      </w:pPr>
      <w:r>
        <w:t>e. 招标文件</w:t>
      </w:r>
    </w:p>
    <w:p>
      <w:pPr>
        <w:rPr>
          <w:b/>
          <w:bCs/>
        </w:rPr>
      </w:pPr>
      <w:r>
        <w:rPr>
          <w:rFonts w:hint="eastAsia"/>
          <w:b/>
          <w:bCs/>
        </w:rPr>
        <w:t>（三）合同标的物</w:t>
      </w:r>
    </w:p>
    <w:tbl>
      <w:tblPr>
        <w:tblStyle w:val="62"/>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3960"/>
        <w:gridCol w:w="108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vAlign w:val="center"/>
          </w:tcPr>
          <w:p>
            <w:pPr>
              <w:jc w:val="center"/>
            </w:pPr>
            <w:r>
              <w:rPr>
                <w:rFonts w:hint="eastAsia"/>
              </w:rPr>
              <w:t>产品名称</w:t>
            </w:r>
          </w:p>
        </w:tc>
        <w:tc>
          <w:tcPr>
            <w:tcW w:w="3960" w:type="dxa"/>
            <w:vAlign w:val="center"/>
          </w:tcPr>
          <w:p>
            <w:pPr>
              <w:jc w:val="center"/>
            </w:pPr>
            <w:r>
              <w:rPr>
                <w:rFonts w:hint="eastAsia"/>
              </w:rPr>
              <w:t>规格、型号（或服务内容）</w:t>
            </w:r>
          </w:p>
        </w:tc>
        <w:tc>
          <w:tcPr>
            <w:tcW w:w="1080" w:type="dxa"/>
            <w:vAlign w:val="center"/>
          </w:tcPr>
          <w:p>
            <w:pPr>
              <w:jc w:val="center"/>
            </w:pPr>
            <w:r>
              <w:rPr>
                <w:rFonts w:hint="eastAsia"/>
              </w:rPr>
              <w:t>数量</w:t>
            </w:r>
          </w:p>
        </w:tc>
        <w:tc>
          <w:tcPr>
            <w:tcW w:w="1260" w:type="dxa"/>
            <w:vAlign w:val="center"/>
          </w:tcPr>
          <w:p>
            <w:pPr>
              <w:jc w:val="center"/>
            </w:pPr>
            <w:r>
              <w:rPr>
                <w:rFonts w:hint="eastAsia"/>
              </w:rPr>
              <w:t>单价（元）</w:t>
            </w:r>
          </w:p>
        </w:tc>
        <w:tc>
          <w:tcPr>
            <w:tcW w:w="1440" w:type="dxa"/>
            <w:vAlign w:val="center"/>
          </w:tcPr>
          <w:p>
            <w:pPr>
              <w:jc w:val="center"/>
            </w:pPr>
            <w:r>
              <w:rPr>
                <w:rFonts w:hint="eastAsia"/>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bl>
    <w:p>
      <w:pPr>
        <w:ind w:firstLine="420" w:firstLineChars="200"/>
      </w:pPr>
      <w:r>
        <w:rPr>
          <w:rFonts w:hint="eastAsia"/>
        </w:rPr>
        <w:t>（具体标的物或服务内容可根据实际修改）</w:t>
      </w:r>
    </w:p>
    <w:p>
      <w:pPr>
        <w:rPr>
          <w:b/>
          <w:bCs/>
        </w:rPr>
      </w:pPr>
      <w:r>
        <w:rPr>
          <w:rFonts w:hint="eastAsia"/>
          <w:b/>
          <w:bCs/>
        </w:rPr>
        <w:t>（四）合同总价</w:t>
      </w:r>
    </w:p>
    <w:p>
      <w:pPr>
        <w:ind w:firstLine="420" w:firstLineChars="200"/>
      </w:pPr>
      <w:r>
        <w:rPr>
          <w:rFonts w:hint="eastAsia"/>
        </w:rPr>
        <w:t>本合同总价为</w:t>
      </w:r>
      <w:r>
        <w:rPr>
          <w:u w:val="single"/>
        </w:rPr>
        <w:t xml:space="preserve">       </w:t>
      </w:r>
      <w:r>
        <w:t>元人民币</w:t>
      </w:r>
      <w:r>
        <w:rPr>
          <w:rFonts w:hint="eastAsia"/>
        </w:rPr>
        <w:t>，大写</w:t>
      </w:r>
      <w:r>
        <w:rPr>
          <w:rFonts w:hint="eastAsia"/>
          <w:u w:val="single"/>
        </w:rPr>
        <w:t xml:space="preserve"> </w:t>
      </w:r>
      <w:r>
        <w:rPr>
          <w:u w:val="single"/>
        </w:rPr>
        <w:t xml:space="preserve">                                   </w:t>
      </w:r>
      <w:r>
        <w:t>。</w:t>
      </w:r>
    </w:p>
    <w:p>
      <w:pPr>
        <w:rPr>
          <w:b/>
          <w:bCs/>
        </w:rPr>
      </w:pPr>
      <w:r>
        <w:rPr>
          <w:rFonts w:hint="eastAsia"/>
          <w:b/>
          <w:bCs/>
        </w:rPr>
        <w:t>（五）合同价款的支付</w:t>
      </w:r>
    </w:p>
    <w:p>
      <w:pPr>
        <w:ind w:firstLine="420" w:firstLineChars="200"/>
      </w:pPr>
      <w:r>
        <w:t>1</w:t>
      </w:r>
      <w:r>
        <w:rPr>
          <w:rFonts w:hint="eastAsia"/>
        </w:rPr>
        <w:t>.</w:t>
      </w:r>
      <w:r>
        <w:t>本合同中甲乙双方之间所发生的一切费用以人民币进行结算。</w:t>
      </w:r>
    </w:p>
    <w:p>
      <w:pPr>
        <w:ind w:firstLine="420" w:firstLineChars="200"/>
      </w:pPr>
      <w:r>
        <w:t>2</w:t>
      </w:r>
      <w:r>
        <w:rPr>
          <w:rFonts w:hint="eastAsia"/>
        </w:rPr>
        <w:t>.</w:t>
      </w:r>
      <w:r>
        <w:t>支付方式：</w:t>
      </w:r>
    </w:p>
    <w:tbl>
      <w:tblPr>
        <w:tblStyle w:val="62"/>
        <w:tblW w:w="8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985"/>
        <w:gridCol w:w="4394"/>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付款次数</w:t>
            </w:r>
          </w:p>
        </w:tc>
        <w:tc>
          <w:tcPr>
            <w:tcW w:w="1985" w:type="dxa"/>
            <w:vAlign w:val="center"/>
          </w:tcPr>
          <w:p>
            <w:pPr>
              <w:jc w:val="center"/>
            </w:pPr>
            <w:r>
              <w:rPr>
                <w:rFonts w:hint="eastAsia"/>
              </w:rPr>
              <w:t>约定支付条件</w:t>
            </w:r>
          </w:p>
        </w:tc>
        <w:tc>
          <w:tcPr>
            <w:tcW w:w="4394" w:type="dxa"/>
            <w:vAlign w:val="center"/>
          </w:tcPr>
          <w:p>
            <w:pPr>
              <w:jc w:val="center"/>
            </w:pPr>
            <w:r>
              <w:t>付款条件</w:t>
            </w:r>
          </w:p>
        </w:tc>
        <w:tc>
          <w:tcPr>
            <w:tcW w:w="1413" w:type="dxa"/>
            <w:vAlign w:val="center"/>
          </w:tcPr>
          <w:p>
            <w:pPr>
              <w:jc w:val="center"/>
            </w:pPr>
            <w: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1</w:t>
            </w:r>
          </w:p>
        </w:tc>
        <w:tc>
          <w:tcPr>
            <w:tcW w:w="1985" w:type="dxa"/>
            <w:vAlign w:val="center"/>
          </w:tcPr>
          <w:p>
            <w:pPr>
              <w:jc w:val="center"/>
            </w:pPr>
            <w:r>
              <w:t>合同签订后</w:t>
            </w:r>
          </w:p>
        </w:tc>
        <w:tc>
          <w:tcPr>
            <w:tcW w:w="4394" w:type="dxa"/>
            <w:vAlign w:val="center"/>
          </w:tcPr>
          <w:p>
            <w:pPr>
              <w:jc w:val="center"/>
            </w:pPr>
            <w:r>
              <w:rPr>
                <w:rFonts w:hint="eastAsia"/>
              </w:rPr>
              <w:t>满足合同约定支付条件，甲方收到乙方提供的同等金额的正规发票后</w:t>
            </w:r>
            <w:r>
              <w:t xml:space="preserve"> 7 个工作日内，向</w:t>
            </w:r>
            <w:r>
              <w:rPr>
                <w:rFonts w:hint="eastAsia"/>
              </w:rPr>
              <w:t>乙方支付合同总价</w:t>
            </w:r>
            <w:r>
              <w:rPr>
                <w:u w:val="single"/>
              </w:rPr>
              <w:t xml:space="preserve">     </w:t>
            </w:r>
            <w:r>
              <w:t>%的预付款；</w:t>
            </w:r>
          </w:p>
        </w:tc>
        <w:tc>
          <w:tcPr>
            <w:tcW w:w="141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2</w:t>
            </w:r>
          </w:p>
        </w:tc>
        <w:tc>
          <w:tcPr>
            <w:tcW w:w="1985" w:type="dxa"/>
            <w:vAlign w:val="center"/>
          </w:tcPr>
          <w:p>
            <w:pPr>
              <w:jc w:val="center"/>
            </w:pPr>
            <w:r>
              <w:rPr>
                <w:rFonts w:hint="eastAsia"/>
              </w:rPr>
              <w:t>项目验收合格后</w:t>
            </w:r>
          </w:p>
        </w:tc>
        <w:tc>
          <w:tcPr>
            <w:tcW w:w="4394" w:type="dxa"/>
            <w:vAlign w:val="center"/>
          </w:tcPr>
          <w:p>
            <w:pPr>
              <w:jc w:val="center"/>
            </w:pPr>
            <w:r>
              <w:rPr>
                <w:rFonts w:hint="eastAsia"/>
              </w:rPr>
              <w:t>满足合同约定支付条件，甲方收到乙方提供</w:t>
            </w:r>
          </w:p>
          <w:p>
            <w:pPr>
              <w:jc w:val="center"/>
            </w:pPr>
            <w:r>
              <w:rPr>
                <w:rFonts w:hint="eastAsia"/>
              </w:rPr>
              <w:t>的同等金额的正规发票后</w:t>
            </w:r>
            <w:r>
              <w:t xml:space="preserve"> 7 个工作日内，向</w:t>
            </w:r>
          </w:p>
          <w:p>
            <w:pPr>
              <w:jc w:val="center"/>
            </w:pPr>
            <w:r>
              <w:rPr>
                <w:rFonts w:hint="eastAsia"/>
              </w:rPr>
              <w:t>乙方支付合同总价</w:t>
            </w:r>
            <w:r>
              <w:rPr>
                <w:u w:val="single"/>
              </w:rPr>
              <w:t xml:space="preserve">      </w:t>
            </w:r>
            <w:r>
              <w:t>%的合同款。</w:t>
            </w:r>
          </w:p>
        </w:tc>
        <w:tc>
          <w:tcPr>
            <w:tcW w:w="141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3</w:t>
            </w:r>
          </w:p>
        </w:tc>
        <w:tc>
          <w:tcPr>
            <w:tcW w:w="1985" w:type="dxa"/>
            <w:vAlign w:val="center"/>
          </w:tcPr>
          <w:p/>
        </w:tc>
        <w:tc>
          <w:tcPr>
            <w:tcW w:w="4394" w:type="dxa"/>
            <w:vAlign w:val="center"/>
          </w:tcPr>
          <w:p>
            <w:pPr>
              <w:jc w:val="center"/>
            </w:pPr>
          </w:p>
        </w:tc>
        <w:tc>
          <w:tcPr>
            <w:tcW w:w="1413" w:type="dxa"/>
            <w:vAlign w:val="center"/>
          </w:tcPr>
          <w:p>
            <w:pPr>
              <w:jc w:val="center"/>
            </w:pPr>
          </w:p>
        </w:tc>
      </w:tr>
    </w:tbl>
    <w:p>
      <w:pPr>
        <w:ind w:firstLine="420" w:firstLineChars="200"/>
      </w:pPr>
      <w:r>
        <w:t>3</w:t>
      </w:r>
      <w:r>
        <w:rPr>
          <w:rFonts w:hint="eastAsia"/>
        </w:rPr>
        <w:t>.</w:t>
      </w:r>
      <w:r>
        <w:t>甲方应付合同款至以下乙方指定的银行账户：</w:t>
      </w:r>
    </w:p>
    <w:p>
      <w:pPr>
        <w:ind w:firstLine="420" w:firstLineChars="200"/>
      </w:pPr>
      <w:r>
        <w:rPr>
          <w:rFonts w:hint="eastAsia"/>
        </w:rPr>
        <w:t>开户名称：</w:t>
      </w:r>
    </w:p>
    <w:p>
      <w:pPr>
        <w:ind w:firstLine="420" w:firstLineChars="200"/>
      </w:pPr>
      <w:r>
        <w:rPr>
          <w:rFonts w:hint="eastAsia"/>
        </w:rPr>
        <w:t>开户银行：</w:t>
      </w:r>
    </w:p>
    <w:p>
      <w:pPr>
        <w:ind w:firstLine="420" w:firstLineChars="200"/>
      </w:pPr>
      <w:r>
        <w:rPr>
          <w:rFonts w:hint="eastAsia"/>
        </w:rPr>
        <w:t>账</w:t>
      </w:r>
      <w:r>
        <w:t xml:space="preserve"> 号：</w:t>
      </w:r>
    </w:p>
    <w:p>
      <w:pPr>
        <w:rPr>
          <w:b/>
          <w:bCs/>
        </w:rPr>
      </w:pPr>
      <w:r>
        <w:rPr>
          <w:rFonts w:hint="eastAsia"/>
          <w:b/>
          <w:bCs/>
        </w:rPr>
        <w:t>（六）履约保证金</w:t>
      </w:r>
    </w:p>
    <w:p>
      <w:pPr>
        <w:ind w:firstLine="420" w:firstLineChars="200"/>
      </w:pPr>
      <w:r>
        <w:t>1</w:t>
      </w:r>
      <w:r>
        <w:rPr>
          <w:rFonts w:hint="eastAsia"/>
        </w:rPr>
        <w:t>.</w:t>
      </w:r>
      <w:r>
        <w:t>乙方应在合同签订后 5 个工作日内向甲方提交履约保证金为【/】元。</w:t>
      </w:r>
    </w:p>
    <w:p>
      <w:pPr>
        <w:ind w:firstLine="420" w:firstLineChars="200"/>
      </w:pPr>
      <w:r>
        <w:t>2</w:t>
      </w:r>
      <w:r>
        <w:rPr>
          <w:rFonts w:hint="eastAsia"/>
        </w:rPr>
        <w:t>.</w:t>
      </w:r>
      <w:r>
        <w:t>履约保证金用于补偿甲方因乙方不能履行其合同义务而蒙受的损失。</w:t>
      </w:r>
    </w:p>
    <w:p>
      <w:pPr>
        <w:ind w:firstLine="420" w:firstLineChars="200"/>
      </w:pPr>
      <w:r>
        <w:t>3</w:t>
      </w:r>
      <w:r>
        <w:rPr>
          <w:rFonts w:hint="eastAsia"/>
        </w:rPr>
        <w:t>.</w:t>
      </w:r>
      <w:r>
        <w:t>履约保证金有效期限：合同签订之日起至项目通过甲方验收后结束。</w:t>
      </w:r>
    </w:p>
    <w:p>
      <w:pPr>
        <w:ind w:firstLine="420" w:firstLineChars="200"/>
      </w:pPr>
      <w:r>
        <w:t>4</w:t>
      </w:r>
      <w:r>
        <w:rPr>
          <w:rFonts w:hint="eastAsia"/>
        </w:rPr>
        <w:t>.</w:t>
      </w:r>
      <w:r>
        <w:t>履约保证金退还：有效期限满后，按合同约定扣除相关款项（如有）后无息退还。</w:t>
      </w:r>
    </w:p>
    <w:p>
      <w:pPr>
        <w:rPr>
          <w:b/>
          <w:bCs/>
        </w:rPr>
      </w:pPr>
      <w:r>
        <w:rPr>
          <w:rFonts w:hint="eastAsia"/>
          <w:b/>
          <w:bCs/>
        </w:rPr>
        <w:t>（七）服务要求</w:t>
      </w:r>
    </w:p>
    <w:p>
      <w:pPr>
        <w:ind w:firstLine="420" w:firstLineChars="200"/>
      </w:pPr>
      <w:r>
        <w:rPr>
          <w:rFonts w:hint="eastAsia"/>
        </w:rPr>
        <w:t>服务期内，乙方应在充分了解甲方现有环境基础上，提供规范化、高质量的服务，具体服务内容与要求详见附件。</w:t>
      </w:r>
    </w:p>
    <w:p>
      <w:pPr>
        <w:ind w:firstLine="420" w:firstLineChars="200"/>
      </w:pPr>
      <w:r>
        <w:rPr>
          <w:rFonts w:hint="eastAsia"/>
        </w:rPr>
        <w:t>履行期限：</w:t>
      </w:r>
    </w:p>
    <w:p>
      <w:pPr>
        <w:ind w:firstLine="420" w:firstLineChars="200"/>
      </w:pPr>
      <w:r>
        <w:rPr>
          <w:rFonts w:hint="eastAsia"/>
        </w:rPr>
        <w:t>履行地点：</w:t>
      </w:r>
    </w:p>
    <w:p>
      <w:pPr>
        <w:rPr>
          <w:b/>
          <w:bCs/>
        </w:rPr>
      </w:pPr>
      <w:r>
        <w:rPr>
          <w:rFonts w:hint="eastAsia"/>
          <w:b/>
          <w:bCs/>
        </w:rPr>
        <w:t>（八）服务人员</w:t>
      </w:r>
    </w:p>
    <w:p>
      <w:pPr>
        <w:ind w:firstLine="420" w:firstLineChars="200"/>
      </w:pPr>
      <w:r>
        <w:rPr>
          <w:rFonts w:hint="eastAsia"/>
        </w:rPr>
        <w:t>乙方应派遣一名具有专业知识的资深管理人员负责与甲方对接，负责本项目的项目管理，统筹相关工作，监督项目执行与情况汇报，控制工作质量，执行变更和应急情况管理，并根据实际状况调整乙方人员安排，以保证项目的正常高效运作。</w:t>
      </w:r>
    </w:p>
    <w:p>
      <w:pPr>
        <w:ind w:firstLine="420" w:firstLineChars="200"/>
      </w:pPr>
      <w:r>
        <w:rPr>
          <w:rFonts w:hint="eastAsia"/>
        </w:rPr>
        <w:t>乙方应派出响应文件中指定资历和经验的专业服务人员提供服务，负责对其人员进行监督、指导和管理，甲方有权要求撤换不合格的服务人员。若乙方原因，未经甲方书面同意，乙方不得擅自更换指定的服务人员，否则甲方有权解除合同，另行安排服务商，由此造成的损失由乙方承担。</w:t>
      </w:r>
    </w:p>
    <w:p>
      <w:pPr>
        <w:ind w:firstLine="420" w:firstLineChars="200"/>
      </w:pPr>
      <w:r>
        <w:rPr>
          <w:rFonts w:hint="eastAsia"/>
        </w:rPr>
        <w:t>甲乙双方指定代表，作为履行本合同服务事宜的主要联系人。</w:t>
      </w:r>
    </w:p>
    <w:p>
      <w:pPr>
        <w:ind w:firstLine="420" w:firstLineChars="200"/>
        <w:rPr>
          <w:u w:val="single"/>
        </w:rPr>
      </w:pPr>
      <w:r>
        <w:rPr>
          <w:rFonts w:hint="eastAsia"/>
        </w:rPr>
        <w:t>甲方代表：</w:t>
      </w:r>
      <w:r>
        <w:rPr>
          <w:u w:val="single"/>
        </w:rPr>
        <w:t xml:space="preserve">                 </w:t>
      </w:r>
      <w:r>
        <w:t>电话：</w:t>
      </w:r>
      <w:r>
        <w:rPr>
          <w:u w:val="single"/>
        </w:rPr>
        <w:t xml:space="preserve">                     </w:t>
      </w:r>
    </w:p>
    <w:p>
      <w:pPr>
        <w:ind w:firstLine="420" w:firstLineChars="200"/>
        <w:rPr>
          <w:u w:val="single"/>
        </w:rPr>
      </w:pPr>
      <w:r>
        <w:rPr>
          <w:rFonts w:hint="eastAsia"/>
        </w:rPr>
        <w:t>乙方代表：</w:t>
      </w:r>
      <w:r>
        <w:rPr>
          <w:u w:val="single"/>
        </w:rPr>
        <w:t xml:space="preserve">                 </w:t>
      </w:r>
      <w:r>
        <w:t>电话：</w:t>
      </w:r>
      <w:r>
        <w:rPr>
          <w:u w:val="single"/>
        </w:rPr>
        <w:t xml:space="preserve">                     </w:t>
      </w:r>
    </w:p>
    <w:p>
      <w:pPr>
        <w:rPr>
          <w:b/>
          <w:bCs/>
        </w:rPr>
      </w:pPr>
      <w:r>
        <w:rPr>
          <w:rFonts w:hint="eastAsia"/>
          <w:b/>
          <w:bCs/>
        </w:rPr>
        <w:t>（九）服务考核</w:t>
      </w:r>
    </w:p>
    <w:p>
      <w:pPr>
        <w:ind w:firstLine="420" w:firstLineChars="200"/>
      </w:pPr>
      <w:r>
        <w:rPr>
          <w:rFonts w:hint="eastAsia"/>
        </w:rPr>
        <w:t>甲方对乙方服务质量进行客观评估，具体考核办法（如有）作为合同附件。</w:t>
      </w:r>
    </w:p>
    <w:p>
      <w:pPr>
        <w:ind w:firstLine="420" w:firstLineChars="200"/>
      </w:pPr>
      <w:r>
        <w:rPr>
          <w:rFonts w:hint="eastAsia"/>
        </w:rPr>
        <w:t>项目完成后，乙方应及时向甲方发出书面履约完成通知，甲方在收到乙方履约完成通知后，按《浙江省财政厅关于印发浙江省政府采购合同暂行办法的通知》（浙财采监〔</w:t>
      </w:r>
      <w:r>
        <w:t>2017〕11 号）相关规定组</w:t>
      </w:r>
      <w:r>
        <w:rPr>
          <w:rFonts w:hint="eastAsia"/>
        </w:rPr>
        <w:t>织验收。验收小组完成验收后应出具验收书，验收书应包括每一项技术、服务、安全等标准的履约情况。</w:t>
      </w:r>
    </w:p>
    <w:p>
      <w:pPr>
        <w:rPr>
          <w:b/>
          <w:bCs/>
        </w:rPr>
      </w:pPr>
      <w:r>
        <w:rPr>
          <w:rFonts w:hint="eastAsia"/>
          <w:b/>
          <w:bCs/>
        </w:rPr>
        <w:t>（十）违约责任</w:t>
      </w:r>
    </w:p>
    <w:p>
      <w:pPr>
        <w:ind w:firstLine="420" w:firstLineChars="200"/>
      </w:pPr>
      <w:r>
        <w:rPr>
          <w:rFonts w:hint="eastAsia"/>
        </w:rPr>
        <w:t>除合同规定的不可抗力外，如果乙方没有按照合同规定的时间提供服务，甲方可要求乙方支付违约金。违约金按每周合同款的</w:t>
      </w:r>
      <w:r>
        <w:rPr>
          <w:u w:val="single"/>
        </w:rPr>
        <w:t xml:space="preserve">     </w:t>
      </w:r>
      <w:r>
        <w:t>%计收。但违约金的最高限额为合同价的</w:t>
      </w:r>
      <w:r>
        <w:rPr>
          <w:u w:val="single"/>
        </w:rPr>
        <w:t xml:space="preserve">    </w:t>
      </w:r>
      <w:r>
        <w:t>%。一周按 7 天计算，</w:t>
      </w:r>
      <w:r>
        <w:rPr>
          <w:rFonts w:hint="eastAsia"/>
        </w:rPr>
        <w:t>不足</w:t>
      </w:r>
      <w:r>
        <w:t xml:space="preserve"> 7 天按一周计算。如果达到最高限额，甲方有权解除合同。</w:t>
      </w:r>
    </w:p>
    <w:p>
      <w:pPr>
        <w:ind w:firstLine="420" w:firstLineChars="200"/>
      </w:pPr>
      <w:r>
        <w:rPr>
          <w:rFonts w:hint="eastAsia"/>
        </w:rPr>
        <w:t>项目结束时验收不合格，乙方应在收到甲方通知后</w:t>
      </w:r>
      <w:r>
        <w:rPr>
          <w:u w:val="single"/>
        </w:rPr>
        <w:t xml:space="preserve"> 7 </w:t>
      </w:r>
      <w:r>
        <w:t>日内退还甲方已支付的合同款，逾期退还</w:t>
      </w:r>
      <w:r>
        <w:rPr>
          <w:rFonts w:hint="eastAsia"/>
        </w:rPr>
        <w:t>合同款的，每日按未退还金额的</w:t>
      </w:r>
      <w:r>
        <w:rPr>
          <w:u w:val="single"/>
        </w:rPr>
        <w:t xml:space="preserve">      </w:t>
      </w:r>
      <w:r>
        <w:t>%支付违约金。</w:t>
      </w:r>
    </w:p>
    <w:p>
      <w:pPr>
        <w:ind w:firstLine="420" w:firstLineChars="200"/>
      </w:pPr>
      <w:r>
        <w:rPr>
          <w:rFonts w:hint="eastAsia"/>
        </w:rPr>
        <w:t>其他违约条款双方协商确定：</w:t>
      </w:r>
      <w:r>
        <w:rPr>
          <w:rFonts w:hint="eastAsia"/>
          <w:u w:val="single"/>
        </w:rPr>
        <w:t xml:space="preserve"> </w:t>
      </w:r>
      <w:r>
        <w:rPr>
          <w:u w:val="single"/>
        </w:rPr>
        <w:t xml:space="preserve">                            </w:t>
      </w:r>
      <w:r>
        <w:rPr>
          <w:rFonts w:hint="eastAsia"/>
          <w:u w:val="single"/>
        </w:rPr>
        <w:t>。</w:t>
      </w:r>
    </w:p>
    <w:p>
      <w:pPr>
        <w:rPr>
          <w:b/>
          <w:bCs/>
        </w:rPr>
      </w:pPr>
      <w:r>
        <w:rPr>
          <w:rFonts w:hint="eastAsia"/>
          <w:b/>
          <w:bCs/>
        </w:rPr>
        <w:t>（十一）解决争议的方法</w:t>
      </w:r>
    </w:p>
    <w:p>
      <w:pPr>
        <w:ind w:firstLine="420" w:firstLineChars="200"/>
      </w:pPr>
      <w:r>
        <w:rPr>
          <w:rFonts w:hint="eastAsia"/>
        </w:rPr>
        <w:t>因合同履行中发生的争议，可通过合同当事人双方友好协商解决。如自协商开始之起</w:t>
      </w:r>
      <w:r>
        <w:t xml:space="preserve"> 15 日内得</w:t>
      </w:r>
      <w:r>
        <w:rPr>
          <w:rFonts w:hint="eastAsia"/>
        </w:rPr>
        <w:t>不到解决，双方应将争议提交政府采购监管部门调解。调解不成的，可向</w:t>
      </w:r>
      <w:r>
        <w:rPr>
          <w:rFonts w:hint="eastAsia"/>
          <w:u w:val="single"/>
        </w:rPr>
        <w:t>（</w:t>
      </w:r>
      <w:r>
        <w:rPr>
          <w:u w:val="single"/>
        </w:rPr>
        <w:t>1）向绍兴市仲裁委员会申请仲裁；</w:t>
      </w:r>
      <w:r>
        <w:rPr>
          <w:rFonts w:hint="eastAsia"/>
          <w:u w:val="single"/>
        </w:rPr>
        <w:t>（</w:t>
      </w:r>
      <w:r>
        <w:rPr>
          <w:u w:val="single"/>
        </w:rPr>
        <w:t>2）向                           人民法院起诉</w:t>
      </w:r>
      <w:r>
        <w:t>。</w:t>
      </w:r>
      <w:r>
        <w:rPr>
          <w:rFonts w:hint="eastAsia"/>
        </w:rPr>
        <w:t>诉讼费用除人民法院另有裁决外，应由败诉方负担。</w:t>
      </w:r>
    </w:p>
    <w:p>
      <w:pPr>
        <w:rPr>
          <w:b/>
          <w:bCs/>
        </w:rPr>
      </w:pPr>
      <w:r>
        <w:rPr>
          <w:rFonts w:hint="eastAsia"/>
          <w:b/>
          <w:bCs/>
        </w:rPr>
        <w:t>（十二）违约解除合同</w:t>
      </w:r>
    </w:p>
    <w:p>
      <w:pPr>
        <w:ind w:firstLine="420" w:firstLineChars="200"/>
      </w:pPr>
      <w:r>
        <w:t>1</w:t>
      </w:r>
      <w:r>
        <w:rPr>
          <w:rFonts w:hint="eastAsia"/>
        </w:rPr>
        <w:t>.</w:t>
      </w:r>
      <w:r>
        <w:t>在乙方违约的情况下，甲方可向乙方发出书面通知，部分或全部终止合同</w:t>
      </w:r>
      <w:r>
        <w:rPr>
          <w:rFonts w:hint="eastAsia"/>
        </w:rPr>
        <w:t>,</w:t>
      </w:r>
      <w:r>
        <w:t>同时保留向乙方</w:t>
      </w:r>
      <w:r>
        <w:rPr>
          <w:rFonts w:hint="eastAsia"/>
        </w:rPr>
        <w:t>追诉的权利：</w:t>
      </w:r>
    </w:p>
    <w:p>
      <w:pPr>
        <w:ind w:firstLine="420" w:firstLineChars="200"/>
      </w:pPr>
      <w:r>
        <w:t>乙方未能在合同规定的限期或甲方同意延长的限期内，提供全部或部分标的物的；</w:t>
      </w:r>
    </w:p>
    <w:p>
      <w:pPr>
        <w:ind w:firstLine="420" w:firstLineChars="200"/>
      </w:pPr>
      <w:r>
        <w:t>乙方未能履行合同规定的其它主要义务的；</w:t>
      </w:r>
    </w:p>
    <w:p>
      <w:pPr>
        <w:ind w:firstLine="420" w:firstLineChars="200"/>
      </w:pPr>
      <w:r>
        <w:t>甲方认为乙方在本合同履行过程中有腐败和欺诈</w:t>
      </w:r>
      <w:r>
        <w:rPr>
          <w:rFonts w:hint="eastAsia"/>
        </w:rPr>
        <w:t>等</w:t>
      </w:r>
      <w:r>
        <w:t>行为的。</w:t>
      </w:r>
    </w:p>
    <w:p>
      <w:pPr>
        <w:ind w:firstLine="420" w:firstLineChars="200"/>
      </w:pPr>
      <w:r>
        <w:t>2</w:t>
      </w:r>
      <w:r>
        <w:rPr>
          <w:rFonts w:hint="eastAsia"/>
        </w:rPr>
        <w:t>.</w:t>
      </w:r>
      <w:r>
        <w:t>甲方解除合同的，合同于甲方发出书面解除合同通知书送达乙方之日起解除。乙方应在合同</w:t>
      </w:r>
      <w:r>
        <w:rPr>
          <w:rFonts w:hint="eastAsia"/>
        </w:rPr>
        <w:t>解除后</w:t>
      </w:r>
      <w:r>
        <w:rPr>
          <w:u w:val="single"/>
        </w:rPr>
        <w:t xml:space="preserve"> 7 </w:t>
      </w:r>
      <w:r>
        <w:t>日内退还甲方已支付的合同款，逾期退还合同款的，每日按未退还金额的</w:t>
      </w:r>
      <w:r>
        <w:rPr>
          <w:u w:val="single"/>
        </w:rPr>
        <w:t xml:space="preserve">    </w:t>
      </w:r>
      <w:r>
        <w:t xml:space="preserve"> %支付违约</w:t>
      </w:r>
      <w:r>
        <w:rPr>
          <w:rFonts w:hint="eastAsia"/>
        </w:rPr>
        <w:t>金。</w:t>
      </w:r>
    </w:p>
    <w:p>
      <w:pPr>
        <w:rPr>
          <w:b/>
          <w:bCs/>
        </w:rPr>
      </w:pPr>
      <w:r>
        <w:rPr>
          <w:rFonts w:hint="eastAsia"/>
          <w:b/>
          <w:bCs/>
        </w:rPr>
        <w:t>（十三）破产终止合同</w:t>
      </w:r>
    </w:p>
    <w:p>
      <w:pPr>
        <w:ind w:firstLine="420" w:firstLineChars="200"/>
      </w:pPr>
      <w:r>
        <w:rPr>
          <w:rFonts w:hint="eastAsia"/>
        </w:rPr>
        <w:t>如果乙方破产或无清偿能力时，甲方经报同级政府采购监督管理部门审批同意后，可在任何时候以书面通知乙方，提出终止合同而不给乙方补偿。该合同的终止将不损害或不影响甲方已经采取或将要采取任何行动或补救措施的权利。</w:t>
      </w:r>
    </w:p>
    <w:p>
      <w:pPr>
        <w:rPr>
          <w:b/>
          <w:bCs/>
        </w:rPr>
      </w:pPr>
      <w:r>
        <w:rPr>
          <w:rFonts w:hint="eastAsia"/>
          <w:b/>
          <w:bCs/>
        </w:rPr>
        <w:t>（十四）转让和分包</w:t>
      </w:r>
    </w:p>
    <w:p>
      <w:pPr>
        <w:ind w:firstLine="420" w:firstLineChars="200"/>
      </w:pPr>
      <w:r>
        <w:t>1</w:t>
      </w:r>
      <w:r>
        <w:rPr>
          <w:rFonts w:hint="eastAsia"/>
        </w:rPr>
        <w:t>.</w:t>
      </w:r>
      <w:r>
        <w:t>政府采购合同不能转让。</w:t>
      </w:r>
    </w:p>
    <w:p>
      <w:pPr>
        <w:ind w:firstLine="420" w:firstLineChars="200"/>
      </w:pPr>
      <w:r>
        <w:t>2</w:t>
      </w:r>
      <w:r>
        <w:rPr>
          <w:rFonts w:hint="eastAsia"/>
        </w:rPr>
        <w:t>.</w:t>
      </w:r>
      <w:r>
        <w:t>本项目内容</w:t>
      </w:r>
      <w:r>
        <w:rPr>
          <w:u w:val="single"/>
        </w:rPr>
        <w:t>不</w:t>
      </w:r>
      <w:r>
        <w:t>允许分包</w:t>
      </w:r>
      <w:r>
        <w:rPr>
          <w:rFonts w:hint="eastAsia"/>
        </w:rPr>
        <w:t>（按照招标文件要求）</w:t>
      </w:r>
      <w:r>
        <w:t>。</w:t>
      </w:r>
    </w:p>
    <w:p>
      <w:pPr>
        <w:rPr>
          <w:b/>
          <w:bCs/>
        </w:rPr>
      </w:pPr>
      <w:r>
        <w:rPr>
          <w:rFonts w:hint="eastAsia"/>
          <w:b/>
          <w:bCs/>
        </w:rPr>
        <w:t>（十五）合同变更、解除</w:t>
      </w:r>
    </w:p>
    <w:p>
      <w:pPr>
        <w:ind w:firstLine="420" w:firstLineChars="200"/>
      </w:pPr>
      <w:r>
        <w:t>甲方和乙方都不得擅自</w:t>
      </w:r>
      <w:r>
        <w:rPr>
          <w:rFonts w:hint="eastAsia"/>
        </w:rPr>
        <w:t>中止或终止本合同，</w:t>
      </w:r>
      <w:r>
        <w:t>但合同继续履行将损害国家和社会公共利益的除外。</w:t>
      </w:r>
      <w:r>
        <w:rPr>
          <w:rFonts w:hint="eastAsia"/>
        </w:rPr>
        <w:t>不得擅自</w:t>
      </w:r>
      <w:r>
        <w:t>变更本合同，如</w:t>
      </w:r>
      <w:r>
        <w:rPr>
          <w:rFonts w:hint="eastAsia"/>
        </w:rPr>
        <w:t>必须对合同条款进行改动时，当事人双方须共同签署书面文件，做为合同的补充，并报同级政府采购监督管理部门批准和备案。</w:t>
      </w:r>
    </w:p>
    <w:p>
      <w:pPr>
        <w:rPr>
          <w:b/>
          <w:bCs/>
        </w:rPr>
      </w:pPr>
      <w:r>
        <w:rPr>
          <w:rFonts w:hint="eastAsia"/>
          <w:b/>
          <w:bCs/>
        </w:rPr>
        <w:t>（十六）通知</w:t>
      </w:r>
    </w:p>
    <w:p>
      <w:pPr>
        <w:ind w:firstLine="420" w:firstLineChars="200"/>
      </w:pPr>
      <w:r>
        <w:rPr>
          <w:rFonts w:hint="eastAsia"/>
        </w:rPr>
        <w:t>本合同任何一方给另一方的通知，都应以书面形式发送，而另一方也应以书面形式确认并发送到对方明确的地址。</w:t>
      </w:r>
    </w:p>
    <w:p>
      <w:pPr>
        <w:rPr>
          <w:b/>
          <w:bCs/>
        </w:rPr>
      </w:pPr>
      <w:r>
        <w:rPr>
          <w:rFonts w:hint="eastAsia"/>
          <w:b/>
          <w:bCs/>
        </w:rPr>
        <w:t>（十七）计量单位</w:t>
      </w:r>
    </w:p>
    <w:p>
      <w:pPr>
        <w:ind w:firstLine="420" w:firstLineChars="200"/>
      </w:pPr>
      <w:r>
        <w:rPr>
          <w:rFonts w:hint="eastAsia"/>
        </w:rPr>
        <w:t>除技术规范中另有规定外，计量单位均使用国家法定计量单位。</w:t>
      </w:r>
    </w:p>
    <w:p>
      <w:pPr>
        <w:rPr>
          <w:b/>
          <w:bCs/>
        </w:rPr>
      </w:pPr>
      <w:r>
        <w:rPr>
          <w:rFonts w:hint="eastAsia"/>
          <w:b/>
          <w:bCs/>
        </w:rPr>
        <w:t>（十八）不可抗力</w:t>
      </w:r>
    </w:p>
    <w:p>
      <w:pPr>
        <w:ind w:firstLine="420" w:firstLineChars="200"/>
      </w:pPr>
      <w:r>
        <w:t>1</w:t>
      </w:r>
      <w:r>
        <w:rPr>
          <w:rFonts w:hint="eastAsia"/>
        </w:rPr>
        <w:t>.</w:t>
      </w:r>
      <w:r>
        <w:t>如果双方中任何一方遭遇法律规定的不可抗力，致使合同履行受阻时，履行合同的期限应予</w:t>
      </w:r>
      <w:r>
        <w:rPr>
          <w:rFonts w:hint="eastAsia"/>
        </w:rPr>
        <w:t>延长，延长的期限应相当于不可抗力所影响的时间。</w:t>
      </w:r>
    </w:p>
    <w:p>
      <w:pPr>
        <w:ind w:firstLine="420" w:firstLineChars="200"/>
      </w:pPr>
      <w:r>
        <w:t>2</w:t>
      </w:r>
      <w:r>
        <w:rPr>
          <w:rFonts w:hint="eastAsia"/>
        </w:rPr>
        <w:t>.</w:t>
      </w:r>
      <w:r>
        <w:t>受事故影响的一方应在不可抗力的事故发生后尽快书面形式通知另一方，并在事故发生后合</w:t>
      </w:r>
      <w:r>
        <w:rPr>
          <w:rFonts w:hint="eastAsia"/>
        </w:rPr>
        <w:t>同规定时间内，将有关部门出具的证明文件送达另一方。</w:t>
      </w:r>
    </w:p>
    <w:p>
      <w:pPr>
        <w:ind w:firstLine="420" w:firstLineChars="200"/>
      </w:pPr>
      <w:r>
        <w:t>3</w:t>
      </w:r>
      <w:r>
        <w:rPr>
          <w:rFonts w:hint="eastAsia"/>
        </w:rPr>
        <w:t>.</w:t>
      </w:r>
      <w:r>
        <w:t>不可抗力使合同的某些内容有变更必要的，双方应通过协商达成进一步履行合同的协议，因</w:t>
      </w:r>
      <w:r>
        <w:rPr>
          <w:rFonts w:hint="eastAsia"/>
        </w:rPr>
        <w:t>不可抗力致使合同不能履行的，合同终止。</w:t>
      </w:r>
    </w:p>
    <w:p>
      <w:pPr>
        <w:rPr>
          <w:b/>
          <w:bCs/>
        </w:rPr>
      </w:pPr>
      <w:r>
        <w:rPr>
          <w:rFonts w:hint="eastAsia"/>
          <w:b/>
          <w:bCs/>
        </w:rPr>
        <w:t>（十九）合同解释</w:t>
      </w:r>
    </w:p>
    <w:p>
      <w:pPr>
        <w:ind w:firstLine="420" w:firstLineChars="200"/>
      </w:pPr>
      <w:r>
        <w:rPr>
          <w:rFonts w:hint="eastAsia"/>
        </w:rPr>
        <w:t>本合同应按照《中华人民共和国政府采购法》、《中华人民共和国民法典》、《浙江省政府采购合同暂行办法》等进行解释。</w:t>
      </w:r>
    </w:p>
    <w:p>
      <w:r>
        <w:rPr>
          <w:rFonts w:hint="eastAsia"/>
          <w:b/>
          <w:bCs/>
        </w:rPr>
        <w:t>（二十）合同的生效及其他</w:t>
      </w:r>
    </w:p>
    <w:p>
      <w:pPr>
        <w:ind w:firstLine="420" w:firstLineChars="200"/>
      </w:pPr>
      <w:r>
        <w:rPr>
          <w:rFonts w:hint="eastAsia"/>
        </w:rPr>
        <w:t>政府采购项目的采购合同内容的确定应以招标文件和投标文件为基础，不得违背其实质性内容。</w:t>
      </w:r>
    </w:p>
    <w:p>
      <w:r>
        <w:rPr>
          <w:rFonts w:hint="eastAsia"/>
        </w:rPr>
        <w:t>合同将在双方签字盖章后开始生效。授权代表签署的应附法定代表人授权书。</w:t>
      </w:r>
    </w:p>
    <w:p>
      <w:pPr>
        <w:rPr>
          <w:b/>
          <w:bCs/>
        </w:rPr>
      </w:pPr>
      <w:r>
        <w:rPr>
          <w:rFonts w:hint="eastAsia"/>
          <w:b/>
          <w:bCs/>
        </w:rPr>
        <w:t>（二十一）合同附件（如有）</w:t>
      </w:r>
    </w:p>
    <w:p>
      <w:pPr>
        <w:rPr>
          <w:b/>
          <w:bCs/>
        </w:rPr>
      </w:pPr>
      <w:r>
        <w:rPr>
          <w:rFonts w:hint="eastAsia"/>
          <w:b/>
          <w:bCs/>
        </w:rPr>
        <w:t>（二十二）合同份数</w:t>
      </w:r>
    </w:p>
    <w:p>
      <w:r>
        <w:rPr>
          <w:rFonts w:hint="eastAsia"/>
        </w:rPr>
        <w:t>本合同一式</w:t>
      </w:r>
      <w:r>
        <w:rPr>
          <w:rFonts w:hint="eastAsia"/>
          <w:u w:val="single"/>
        </w:rPr>
        <w:t>五</w:t>
      </w:r>
      <w:r>
        <w:rPr>
          <w:rFonts w:hint="eastAsia"/>
        </w:rPr>
        <w:t>份，具同等法律效力。</w:t>
      </w:r>
    </w:p>
    <w:tbl>
      <w:tblPr>
        <w:tblStyle w:val="6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4"/>
        <w:gridCol w:w="4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24" w:type="dxa"/>
            <w:vAlign w:val="center"/>
          </w:tcPr>
          <w:p>
            <w:pPr>
              <w:jc w:val="center"/>
            </w:pPr>
            <w:r>
              <w:rPr>
                <w:rFonts w:hint="eastAsia"/>
              </w:rPr>
              <w:t>甲方</w:t>
            </w:r>
          </w:p>
        </w:tc>
        <w:tc>
          <w:tcPr>
            <w:tcW w:w="4234" w:type="dxa"/>
            <w:vAlign w:val="center"/>
          </w:tcPr>
          <w:p>
            <w:pPr>
              <w:jc w:val="center"/>
            </w:pPr>
            <w:r>
              <w:rPr>
                <w:rFonts w:hint="eastAsia"/>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452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p>
            <w:r>
              <w:rPr>
                <w:rFonts w:hint="eastAsia"/>
              </w:rPr>
              <w:t>开户银行：</w:t>
            </w:r>
          </w:p>
          <w:p>
            <w:r>
              <w:rPr>
                <w:rFonts w:hint="eastAsia"/>
              </w:rPr>
              <w:t>账    号：</w:t>
            </w:r>
          </w:p>
          <w:p>
            <w:r>
              <w:rPr>
                <w:rFonts w:hint="eastAsia"/>
              </w:rPr>
              <w:t xml:space="preserve">税 </w:t>
            </w:r>
            <w:r>
              <w:t xml:space="preserve">   </w:t>
            </w:r>
            <w:r>
              <w:rPr>
                <w:rFonts w:hint="eastAsia"/>
              </w:rPr>
              <w:t>号：</w:t>
            </w:r>
          </w:p>
          <w:p>
            <w:r>
              <w:t>签订时间：</w:t>
            </w:r>
          </w:p>
        </w:tc>
        <w:tc>
          <w:tcPr>
            <w:tcW w:w="423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p>
            <w:r>
              <w:rPr>
                <w:rFonts w:hint="eastAsia"/>
              </w:rPr>
              <w:t>开户银行：</w:t>
            </w:r>
          </w:p>
          <w:p>
            <w:r>
              <w:rPr>
                <w:rFonts w:hint="eastAsia"/>
              </w:rPr>
              <w:t>账    号：</w:t>
            </w:r>
          </w:p>
          <w:p>
            <w:r>
              <w:rPr>
                <w:rFonts w:hint="eastAsia"/>
              </w:rPr>
              <w:t xml:space="preserve">税 </w:t>
            </w:r>
            <w:r>
              <w:t xml:space="preserve">   </w:t>
            </w:r>
            <w:r>
              <w:rPr>
                <w:rFonts w:hint="eastAsia"/>
              </w:rPr>
              <w:t>号：</w:t>
            </w:r>
          </w:p>
          <w:p>
            <w:r>
              <w:t>签订时间：</w:t>
            </w:r>
          </w:p>
        </w:tc>
      </w:tr>
    </w:tbl>
    <w:p/>
    <w:p/>
    <w:p>
      <w:pPr>
        <w:ind w:firstLine="422" w:firstLineChars="200"/>
        <w:rPr>
          <w:rFonts w:ascii="宋体" w:hAnsi="宋体"/>
          <w:b/>
          <w:color w:val="FF0000"/>
        </w:rPr>
      </w:pPr>
      <w:r>
        <w:rPr>
          <w:rFonts w:hint="eastAsia" w:ascii="宋体" w:hAnsi="宋体"/>
          <w:b/>
          <w:color w:val="FF0000"/>
        </w:rPr>
        <w:t>（注：在正式签约时，双方可以根据上述要求应拟定更为详尽的合同书）</w:t>
      </w:r>
    </w:p>
    <w:p>
      <w:pPr>
        <w:spacing w:line="360" w:lineRule="auto"/>
        <w:ind w:left="-420" w:leftChars="-200" w:right="-420" w:rightChars="-200" w:firstLine="480" w:firstLineChars="200"/>
        <w:jc w:val="center"/>
        <w:outlineLvl w:val="0"/>
        <w:rPr>
          <w:rFonts w:ascii="仿宋" w:hAnsi="仿宋" w:eastAsia="仿宋"/>
          <w:sz w:val="24"/>
        </w:rPr>
      </w:pPr>
    </w:p>
    <w:p>
      <w:pPr>
        <w:pStyle w:val="2"/>
        <w:rPr>
          <w:lang w:val="en-US"/>
        </w:rPr>
      </w:pPr>
    </w:p>
    <w:p/>
    <w:p>
      <w:pPr>
        <w:pStyle w:val="2"/>
        <w:rPr>
          <w:lang w:val="en-US"/>
        </w:rPr>
      </w:pPr>
    </w:p>
    <w:p/>
    <w:p>
      <w:pPr>
        <w:pStyle w:val="2"/>
        <w:rPr>
          <w:lang w:val="en-US"/>
        </w:rPr>
      </w:pPr>
    </w:p>
    <w:p/>
    <w:p/>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392"/>
      <w:r>
        <w:rPr>
          <w:rFonts w:ascii="仿宋" w:hAnsi="仿宋" w:eastAsia="仿宋" w:cs="仿宋_GB2312"/>
          <w:b/>
          <w:sz w:val="36"/>
          <w:szCs w:val="20"/>
        </w:rPr>
        <w:t xml:space="preserve"> </w:t>
      </w:r>
      <w:bookmarkEnd w:id="393"/>
      <w:r>
        <w:rPr>
          <w:rFonts w:hint="eastAsia" w:ascii="仿宋" w:hAnsi="仿宋" w:eastAsia="仿宋" w:cs="仿宋_GB2312"/>
          <w:b/>
          <w:sz w:val="36"/>
          <w:szCs w:val="20"/>
        </w:rPr>
        <w:t>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2）落实政府采购政策需满足的资格要求</w:t>
      </w:r>
      <w:r>
        <w:rPr>
          <w:rFonts w:hint="eastAsia" w:ascii="仿宋_GB2312" w:hAnsi="仿宋" w:eastAsia="仿宋_GB2312" w:cs="仿宋_GB2312"/>
          <w:sz w:val="24"/>
        </w:rPr>
        <w:t>（如需）</w:t>
      </w:r>
      <w:r>
        <w:rPr>
          <w:rFonts w:ascii="仿宋_GB2312" w:hAnsi="仿宋" w:eastAsia="仿宋_GB2312" w:cs="仿宋_GB2312"/>
          <w:sz w:val="24"/>
        </w:rPr>
        <w:t>……</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3）本项目的特定资格要求</w:t>
      </w:r>
      <w:r>
        <w:rPr>
          <w:rFonts w:hint="eastAsia" w:ascii="仿宋_GB2312" w:hAnsi="仿宋" w:eastAsia="仿宋_GB2312" w:cs="仿宋_GB2312"/>
          <w:sz w:val="24"/>
        </w:rPr>
        <w:t>（如需）……………………………………（页码）</w:t>
      </w:r>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我方参与（项目名称）【招标编号：</w:t>
      </w:r>
      <w:r>
        <w:rPr>
          <w:rFonts w:hint="eastAsia" w:ascii="仿宋_GB2312" w:hAnsi="仿宋" w:eastAsia="仿宋_GB2312"/>
          <w:sz w:val="24"/>
        </w:rPr>
        <w:t>（采购编号）</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（一）具备《中华人民共和国政府采购法》第二十二条规定的以下条件：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pStyle w:val="2"/>
        <w:rPr>
          <w:lang w:val="en-US"/>
        </w:rPr>
      </w:pPr>
    </w:p>
    <w:p/>
    <w:p>
      <w:pPr>
        <w:pStyle w:val="2"/>
        <w:rPr>
          <w:lang w:val="en-US"/>
        </w:rPr>
      </w:pPr>
    </w:p>
    <w:p/>
    <w:p>
      <w:pPr>
        <w:pStyle w:val="2"/>
        <w:rPr>
          <w:lang w:val="en-US"/>
        </w:rPr>
      </w:pPr>
    </w:p>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专门面向中小企业，货物全部由符合政策要求的中小企业（或小微企业）制造或者服务全部由符合政策要求的中小企业（或小微企业）承接的，提供相应的中小企业声明函（附件4）。</w:t>
      </w:r>
      <w:r>
        <w:rPr>
          <w:rFonts w:ascii="仿宋_GB2312" w:hAnsi="仿宋" w:eastAsia="仿宋_GB2312" w:cs="仿宋_GB2312"/>
          <w:sz w:val="24"/>
        </w:rPr>
        <w:t xml:space="preserve"> </w:t>
      </w:r>
    </w:p>
    <w:p>
      <w:pPr>
        <w:widowControl/>
        <w:spacing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B.</w:t>
      </w:r>
      <w:r>
        <w:rPr>
          <w:rFonts w:hint="eastAsia" w:ascii="仿宋_GB2312" w:hAnsi="仿宋" w:eastAsia="仿宋_GB2312" w:cs="仿宋_GB2312"/>
          <w:sz w:val="24"/>
        </w:rPr>
        <w:t>要求以联合体形式参加的，提供联合协议和中小企业声明函（附件4），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kern w:val="0"/>
          <w:sz w:val="32"/>
          <w:szCs w:val="32"/>
          <w:lang w:val="zh-CN"/>
        </w:rPr>
      </w:pPr>
      <w:r>
        <w:rPr>
          <w:rFonts w:ascii="仿宋_GB2312" w:hAnsi="仿宋" w:eastAsia="仿宋_GB2312" w:cs="仿宋_GB2312"/>
          <w:b/>
          <w:sz w:val="24"/>
        </w:rPr>
        <w:t xml:space="preserve">    </w:t>
      </w:r>
      <w:r>
        <w:rPr>
          <w:rFonts w:hint="eastAsia" w:ascii="仿宋_GB2312" w:hAnsi="仿宋" w:eastAsia="仿宋_GB2312" w:cs="仿宋_GB2312"/>
          <w:b/>
          <w:kern w:val="0"/>
          <w:sz w:val="32"/>
          <w:szCs w:val="32"/>
          <w:lang w:val="zh-CN"/>
        </w:rPr>
        <w:t>联合协议</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pacing w:line="360" w:lineRule="auto"/>
        <w:ind w:firstLine="482" w:firstLineChars="200"/>
        <w:rPr>
          <w:rFonts w:ascii="仿宋" w:hAnsi="仿宋" w:eastAsia="仿宋"/>
          <w:sz w:val="24"/>
        </w:rPr>
      </w:pPr>
      <w:r>
        <w:rPr>
          <w:rFonts w:ascii="仿宋_GB2312" w:hAnsi="仿宋" w:eastAsia="仿宋_GB2312" w:cs="仿宋_GB2312"/>
          <w:b/>
          <w:sz w:val="24"/>
        </w:rPr>
        <w:t>C、</w:t>
      </w:r>
      <w:r>
        <w:rPr>
          <w:rFonts w:hint="eastAsia" w:ascii="仿宋_GB2312" w:hAnsi="仿宋" w:eastAsia="仿宋_GB2312" w:cs="仿宋_GB2312"/>
          <w:sz w:val="24"/>
        </w:rPr>
        <w:t>要求合同分包的，提供分包意向协议和中小企业声明函（附件4），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2"/>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left="5758" w:leftChars="342" w:hanging="5040" w:hangingChars="2100"/>
        <w:rPr>
          <w:rFonts w:ascii="仿宋_GB2312" w:hAnsi="仿宋" w:eastAsia="仿宋_GB2312" w:cs="仿宋_GB2312"/>
          <w:kern w:val="0"/>
          <w:sz w:val="24"/>
          <w:lang w:val="zh-CN"/>
        </w:rPr>
      </w:pP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ascii="仿宋_GB2312" w:hAnsi="仿宋" w:eastAsia="仿宋_GB2312" w:cs="仿宋_GB2312"/>
          <w:kern w:val="0"/>
          <w:sz w:val="24"/>
          <w:lang w:val="zh-CN"/>
        </w:rPr>
        <w:t xml:space="preserve">  。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widowControl/>
        <w:spacing w:line="360" w:lineRule="auto"/>
        <w:ind w:left="150"/>
        <w:jc w:val="center"/>
        <w:rPr>
          <w:rFonts w:ascii="仿宋_GB2312" w:hAnsi="仿宋" w:eastAsia="仿宋_GB2312" w:cs="仿宋_GB2312"/>
          <w:b/>
          <w:kern w:val="0"/>
          <w:sz w:val="32"/>
          <w:szCs w:val="32"/>
        </w:rPr>
      </w:pPr>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pStyle w:val="2"/>
        <w:rPr>
          <w:lang w:val="en-US"/>
        </w:rPr>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3）联合协议</w:t>
      </w:r>
      <w:r>
        <w:rPr>
          <w:rFonts w:hint="eastAsia" w:ascii="仿宋_GB2312" w:hAnsi="仿宋" w:eastAsia="仿宋_GB2312" w:cs="仿宋_GB2312"/>
          <w:sz w:val="24"/>
        </w:rPr>
        <w:t>（如需）</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4）分包意向协议</w:t>
      </w:r>
      <w:r>
        <w:rPr>
          <w:rFonts w:hint="eastAsia" w:ascii="仿宋_GB2312" w:hAnsi="仿宋" w:eastAsia="仿宋_GB2312" w:cs="仿宋_GB2312"/>
          <w:sz w:val="24"/>
        </w:rPr>
        <w:t>（如需）</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5）符合性审查资料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6）评标标准相应的商务技术资料</w:t>
      </w:r>
      <w:r>
        <w:rPr>
          <w:rFonts w:hint="eastAsia" w:ascii="仿宋_GB2312" w:hAnsi="仿宋" w:eastAsia="仿宋_GB2312" w:cs="仿宋_GB2312"/>
          <w:sz w:val="24"/>
        </w:rPr>
        <w:t>（如需）</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7）商务技术偏离表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r>
        <w:rPr>
          <w:rFonts w:ascii="仿宋_GB2312" w:hAnsi="仿宋" w:eastAsia="仿宋_GB2312" w:cs="仿宋_GB2312"/>
          <w:sz w:val="24"/>
          <w:lang w:val="zh-CN"/>
        </w:rPr>
        <w:t xml:space="preserve"> </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2.2.7商务技术偏离表；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ascii="仿宋_GB2312" w:hAnsi="仿宋" w:eastAsia="仿宋_GB2312" w:cs="仿宋_GB2312"/>
          <w:sz w:val="24"/>
          <w:u w:val="single"/>
        </w:rPr>
        <w:t xml:space="preserve">                                        </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r>
        <w:t xml:space="preserve">                               </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lang w:val="zh-CN"/>
        </w:rPr>
        <w:t xml:space="preserve">      </w:t>
      </w:r>
      <w:r>
        <w:rPr>
          <w:rFonts w:ascii="仿宋_GB2312" w:hAnsi="仿宋" w:eastAsia="仿宋_GB2312" w:cs="仿宋_GB2312"/>
          <w:b/>
          <w:kern w:val="0"/>
          <w:sz w:val="32"/>
          <w:szCs w:val="32"/>
        </w:rPr>
        <w:t xml:space="preserve"> </w:t>
      </w: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146"/>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146"/>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三、</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rPr>
        <w:t>提供的全部货物由小微企业制造，其合同份额占到合同总金额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，对联合体报价给予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napToGrid w:val="0"/>
        <w:spacing w:line="360" w:lineRule="auto"/>
        <w:ind w:right="480"/>
        <w:rPr>
          <w:rFonts w:ascii="仿宋_GB2312" w:hAnsi="仿宋" w:eastAsia="仿宋_GB2312" w:cs="仿宋_GB2312"/>
          <w:b/>
          <w:kern w:val="0"/>
          <w:sz w:val="32"/>
          <w:szCs w:val="32"/>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2"/>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u w:val="single"/>
        </w:rPr>
        <w:t>（分包供应商名称）提供的货物全部由小微企业制造，</w:t>
      </w:r>
      <w:r>
        <w:rPr>
          <w:rFonts w:hint="eastAsia" w:ascii="仿宋_GB2312" w:hAnsi="仿宋" w:eastAsia="仿宋_GB2312" w:cs="仿宋_GB2312"/>
          <w:kern w:val="0"/>
          <w:sz w:val="24"/>
        </w:rPr>
        <w:t>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rPr>
        <w:t>。</w:t>
      </w:r>
      <w:r>
        <w:rPr>
          <w:rFonts w:hint="eastAsia" w:ascii="仿宋_GB2312" w:hAnsi="仿宋" w:eastAsia="仿宋_GB2312" w:cs="仿宋_GB2312"/>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的，对大中型企业的报价给予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五、符合性审查资料</w:t>
      </w:r>
    </w:p>
    <w:p>
      <w:pPr>
        <w:jc w:val="center"/>
        <w:rPr>
          <w:rFonts w:ascii="仿宋_GB2312" w:hAnsi="仿宋" w:eastAsia="仿宋_GB2312" w:cs="仿宋_GB2312"/>
          <w:b/>
          <w:kern w:val="0"/>
          <w:sz w:val="32"/>
          <w:szCs w:val="32"/>
        </w:rPr>
      </w:pPr>
    </w:p>
    <w:tbl>
      <w:tblPr>
        <w:tblStyle w:val="62"/>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3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499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3714"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仿宋" w:hAnsi="仿宋" w:eastAsia="仿宋"/>
                <w:sz w:val="24"/>
              </w:rPr>
            </w:pPr>
            <w:r>
              <w:rPr>
                <w:rFonts w:ascii="仿宋" w:hAnsi="仿宋" w:eastAsia="仿宋"/>
                <w:sz w:val="24"/>
              </w:rPr>
              <w:t>1</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投标文件按照招标文件要求签署、盖章。</w:t>
            </w:r>
          </w:p>
        </w:tc>
        <w:tc>
          <w:tcPr>
            <w:tcW w:w="3714" w:type="dxa"/>
            <w:vAlign w:val="center"/>
          </w:tcPr>
          <w:p>
            <w:pPr>
              <w:spacing w:line="360" w:lineRule="auto"/>
              <w:rPr>
                <w:rFonts w:ascii="仿宋_GB2312" w:hAnsi="仿宋" w:eastAsia="仿宋_GB2312"/>
                <w:sz w:val="24"/>
              </w:rPr>
            </w:pPr>
            <w:r>
              <w:rPr>
                <w:rFonts w:hint="eastAsia" w:ascii="仿宋_GB2312" w:hAnsi="仿宋" w:eastAsia="仿宋_GB2312"/>
                <w:sz w:val="24"/>
              </w:rPr>
              <w:t>需要使用电子签名或者签字盖章的投标文件的组成部分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spacing w:line="360" w:lineRule="auto"/>
              <w:rPr>
                <w:rFonts w:ascii="仿宋_GB2312" w:hAnsi="仿宋" w:eastAsia="仿宋_GB2312"/>
                <w:sz w:val="24"/>
              </w:rPr>
            </w:pPr>
            <w:r>
              <w:rPr>
                <w:rFonts w:ascii="仿宋_GB2312" w:hAnsi="仿宋" w:eastAsia="仿宋_GB2312"/>
                <w:sz w:val="24"/>
              </w:rPr>
              <w:t>2</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采购人拟采购的产品属于政府强制采购的节能产品品目清单范围的，投标人按招标文件要求提供国家确定的认证机构出具的、处于有效期之内的节能产品认证证书。</w:t>
            </w:r>
          </w:p>
        </w:tc>
        <w:tc>
          <w:tcPr>
            <w:tcW w:w="3714" w:type="dxa"/>
            <w:vAlign w:val="center"/>
          </w:tcPr>
          <w:p>
            <w:pPr>
              <w:spacing w:line="360" w:lineRule="auto"/>
              <w:rPr>
                <w:rFonts w:ascii="仿宋_GB2312" w:hAnsi="仿宋" w:eastAsia="仿宋_GB2312"/>
                <w:sz w:val="24"/>
              </w:rPr>
            </w:pPr>
            <w:r>
              <w:rPr>
                <w:rFonts w:hint="eastAsia" w:ascii="仿宋_GB2312" w:hAnsi="仿宋" w:eastAsia="仿宋_GB2312"/>
                <w:sz w:val="24"/>
              </w:rPr>
              <w:t>节能产品认证证书（本项目拟采购的产品不属于政府强制采购的节能产品品目清单范围的，无需提供）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仿宋" w:hAnsi="仿宋" w:eastAsia="仿宋"/>
                <w:sz w:val="24"/>
              </w:rPr>
            </w:pPr>
            <w:r>
              <w:rPr>
                <w:rFonts w:ascii="仿宋" w:hAnsi="仿宋" w:eastAsia="仿宋"/>
                <w:sz w:val="24"/>
              </w:rPr>
              <w:t>3</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投标文件中承诺的投标有效期不少于招标文件中载明的投标有效期。</w:t>
            </w:r>
          </w:p>
        </w:tc>
        <w:tc>
          <w:tcPr>
            <w:tcW w:w="3714" w:type="dxa"/>
            <w:vAlign w:val="center"/>
          </w:tcPr>
          <w:p>
            <w:pPr>
              <w:spacing w:line="360" w:lineRule="auto"/>
              <w:rPr>
                <w:rFonts w:ascii="仿宋_GB2312" w:hAnsi="仿宋" w:eastAsia="仿宋_GB2312"/>
                <w:sz w:val="24"/>
              </w:rPr>
            </w:pPr>
            <w:r>
              <w:rPr>
                <w:rFonts w:hint="eastAsia" w:ascii="仿宋_GB2312" w:hAnsi="仿宋" w:eastAsia="仿宋_GB2312"/>
                <w:sz w:val="24"/>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仿宋" w:hAnsi="仿宋" w:eastAsia="仿宋"/>
                <w:sz w:val="24"/>
              </w:rPr>
            </w:pPr>
            <w:r>
              <w:rPr>
                <w:rFonts w:ascii="仿宋" w:hAnsi="仿宋" w:eastAsia="仿宋"/>
                <w:sz w:val="24"/>
              </w:rPr>
              <w:t>4</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投标文件满足招标文件的其它实质性要求。</w:t>
            </w:r>
          </w:p>
        </w:tc>
        <w:tc>
          <w:tcPr>
            <w:tcW w:w="3714" w:type="dxa"/>
            <w:vAlign w:val="center"/>
          </w:tcPr>
          <w:p>
            <w:pPr>
              <w:spacing w:line="360" w:lineRule="auto"/>
              <w:rPr>
                <w:rFonts w:ascii="仿宋_GB2312" w:hAnsi="仿宋" w:eastAsia="仿宋_GB2312"/>
                <w:sz w:val="24"/>
              </w:rPr>
            </w:pPr>
            <w:r>
              <w:rPr>
                <w:rFonts w:hint="eastAsia" w:ascii="仿宋_GB2312" w:hAnsi="仿宋" w:eastAsia="仿宋_GB2312"/>
                <w:sz w:val="24"/>
              </w:rPr>
              <w:t>招标文件其它实质性要求相应的材料（“★” 系指实质性要求条款，招标文件无其它实质性要求的，无需提供）</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pStyle w:val="2"/>
        <w:rPr>
          <w:rFonts w:cs="仿宋_GB2312"/>
          <w:kern w:val="0"/>
        </w:rPr>
      </w:pPr>
    </w:p>
    <w:p>
      <w:pPr>
        <w:rPr>
          <w:rFonts w:ascii="仿宋_GB2312" w:hAnsi="仿宋" w:eastAsia="仿宋_GB2312" w:cs="仿宋_GB2312"/>
          <w:b/>
          <w:kern w:val="0"/>
          <w:sz w:val="32"/>
          <w:szCs w:val="32"/>
        </w:rPr>
      </w:pPr>
    </w:p>
    <w:p>
      <w:pPr>
        <w:pStyle w:val="2"/>
        <w:rPr>
          <w:rFonts w:cs="仿宋_GB2312"/>
          <w:kern w:val="0"/>
        </w:rPr>
      </w:pPr>
    </w:p>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rPr>
        <w:t>六、评标标准相应的商务技术资料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289"/>
        <w:gridCol w:w="394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sz w:val="24"/>
              </w:rPr>
            </w:pPr>
            <w:r>
              <w:rPr>
                <w:rFonts w:hint="eastAsia" w:ascii="仿宋_GB2312" w:hAnsi="仿宋" w:eastAsia="仿宋_GB2312"/>
                <w:b/>
                <w:bCs/>
                <w:sz w:val="24"/>
              </w:rPr>
              <w:t>序号</w:t>
            </w:r>
          </w:p>
        </w:tc>
        <w:tc>
          <w:tcPr>
            <w:tcW w:w="3289" w:type="dxa"/>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940" w:type="dxa"/>
          </w:tcPr>
          <w:p>
            <w:pPr>
              <w:jc w:val="center"/>
              <w:rPr>
                <w:rFonts w:ascii="仿宋_GB2312" w:hAnsi="仿宋" w:eastAsia="仿宋_GB2312"/>
                <w:b/>
                <w:bCs/>
                <w:sz w:val="24"/>
              </w:rPr>
            </w:pPr>
            <w:r>
              <w:rPr>
                <w:rFonts w:hint="eastAsia" w:ascii="仿宋_GB2312" w:hAnsi="仿宋" w:eastAsia="仿宋_GB2312"/>
                <w:b/>
                <w:bCs/>
                <w:sz w:val="24"/>
              </w:rPr>
              <w:t>投标文件章节（页码）及具体内容</w:t>
            </w:r>
          </w:p>
        </w:tc>
        <w:tc>
          <w:tcPr>
            <w:tcW w:w="1276" w:type="dxa"/>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289" w:type="dxa"/>
          </w:tcPr>
          <w:p>
            <w:pPr>
              <w:jc w:val="center"/>
              <w:rPr>
                <w:rFonts w:ascii="仿宋_GB2312" w:hAnsi="仿宋" w:eastAsia="仿宋_GB2312" w:cs="仿宋_GB2312"/>
                <w:b/>
                <w:kern w:val="0"/>
                <w:sz w:val="32"/>
                <w:szCs w:val="32"/>
              </w:rPr>
            </w:pPr>
          </w:p>
        </w:tc>
        <w:tc>
          <w:tcPr>
            <w:tcW w:w="3940"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289" w:type="dxa"/>
          </w:tcPr>
          <w:p>
            <w:pPr>
              <w:jc w:val="center"/>
              <w:rPr>
                <w:rFonts w:ascii="仿宋_GB2312" w:hAnsi="仿宋" w:eastAsia="仿宋_GB2312" w:cs="仿宋_GB2312"/>
                <w:b/>
                <w:kern w:val="0"/>
                <w:sz w:val="32"/>
                <w:szCs w:val="32"/>
              </w:rPr>
            </w:pPr>
          </w:p>
        </w:tc>
        <w:tc>
          <w:tcPr>
            <w:tcW w:w="3940"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289" w:type="dxa"/>
          </w:tcPr>
          <w:p>
            <w:pPr>
              <w:jc w:val="center"/>
              <w:rPr>
                <w:rFonts w:ascii="仿宋_GB2312" w:hAnsi="仿宋" w:eastAsia="仿宋_GB2312" w:cs="仿宋_GB2312"/>
                <w:b/>
                <w:kern w:val="0"/>
                <w:sz w:val="32"/>
                <w:szCs w:val="32"/>
              </w:rPr>
            </w:pPr>
          </w:p>
        </w:tc>
        <w:tc>
          <w:tcPr>
            <w:tcW w:w="3940"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bl>
    <w:p>
      <w:pPr>
        <w:pStyle w:val="32"/>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注：</w:t>
      </w:r>
    </w:p>
    <w:p>
      <w:pPr>
        <w:pStyle w:val="32"/>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1、此表须与招标文件“采购需求”相应标项内的所有技术规格、商务条款（含技术、功能、配置、附加必备条件、售后服务、安装、验收、付款方式等）相比较且一一对应真实逐条填列，并在“偏离情况”栏注明“正偏离”、“负偏离”或“无偏离”。</w:t>
      </w:r>
    </w:p>
    <w:p>
      <w:pPr>
        <w:pStyle w:val="32"/>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2、投标人递交的技术规格书中必须真实逐条列明，否则由投标人自行承担相关风险。</w:t>
      </w:r>
    </w:p>
    <w:p>
      <w:pPr>
        <w:pStyle w:val="32"/>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3、此表在不改变格式的情况下可自行制作。</w:t>
      </w:r>
    </w:p>
    <w:p>
      <w:pPr>
        <w:pStyle w:val="32"/>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4、此表置于商务技术文件中。</w:t>
      </w:r>
    </w:p>
    <w:p>
      <w:pPr>
        <w:jc w:val="left"/>
        <w:rPr>
          <w:rFonts w:ascii="仿宋_GB2312" w:hAnsi="仿宋" w:eastAsia="仿宋_GB2312" w:cs="仿宋_GB2312"/>
          <w:b/>
          <w:kern w:val="0"/>
          <w:sz w:val="24"/>
        </w:rPr>
      </w:pPr>
      <w:r>
        <w:rPr>
          <w:rFonts w:hint="eastAsia" w:ascii="仿宋_GB2312" w:hAnsi="仿宋" w:eastAsia="仿宋_GB2312" w:cs="仿宋_GB2312"/>
          <w:b/>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八、</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2）中小企业声明函</w:t>
      </w:r>
      <w:r>
        <w:rPr>
          <w:rFonts w:hint="eastAsia" w:ascii="仿宋_GB2312" w:hAnsi="仿宋" w:eastAsia="仿宋_GB2312" w:cs="仿宋_GB2312"/>
          <w:sz w:val="24"/>
        </w:rPr>
        <w:t>（如需）……………………………………………………（页码）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691"/>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1"/>
        <w:keepNext w:val="0"/>
        <w:pageBreakBefore w:val="0"/>
        <w:numPr>
          <w:ilvl w:val="0"/>
          <w:numId w:val="6"/>
        </w:numPr>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开标一览表（报价表）</w:t>
      </w:r>
    </w:p>
    <w:p>
      <w:pPr>
        <w:pStyle w:val="691"/>
        <w:keepNext w:val="0"/>
        <w:pageBreakBefore w:val="0"/>
        <w:tabs>
          <w:tab w:val="clear" w:pos="720"/>
        </w:tabs>
        <w:snapToGrid w:val="0"/>
        <w:spacing w:before="120" w:after="120"/>
        <w:jc w:val="both"/>
        <w:outlineLvl w:val="9"/>
        <w:rPr>
          <w:rFonts w:ascii="仿宋_GB2312" w:hAnsi="仿宋" w:eastAsia="仿宋_GB2312" w:cs="仿宋_GB2312"/>
          <w:kern w:val="2"/>
          <w:sz w:val="32"/>
          <w:szCs w:val="32"/>
        </w:rPr>
      </w:pP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序号</w:t>
            </w:r>
          </w:p>
        </w:tc>
        <w:tc>
          <w:tcPr>
            <w:tcW w:w="1417"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名称</w:t>
            </w:r>
          </w:p>
        </w:tc>
        <w:tc>
          <w:tcPr>
            <w:tcW w:w="1843" w:type="dxa"/>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品牌（如果有）</w:t>
            </w:r>
          </w:p>
        </w:tc>
        <w:tc>
          <w:tcPr>
            <w:tcW w:w="3118"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规格型号（或具体服务）</w:t>
            </w:r>
          </w:p>
        </w:tc>
        <w:tc>
          <w:tcPr>
            <w:tcW w:w="993"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数量</w:t>
            </w:r>
          </w:p>
        </w:tc>
        <w:tc>
          <w:tcPr>
            <w:tcW w:w="1559"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单价</w:t>
            </w:r>
          </w:p>
        </w:tc>
        <w:tc>
          <w:tcPr>
            <w:tcW w:w="198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总价</w:t>
            </w:r>
          </w:p>
        </w:tc>
        <w:tc>
          <w:tcPr>
            <w:tcW w:w="3119" w:type="dxa"/>
            <w:vAlign w:val="center"/>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服务要求（年限）</w:t>
            </w:r>
          </w:p>
          <w:p>
            <w:pPr>
              <w:spacing w:line="360" w:lineRule="auto"/>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投标报价（小写）</w:t>
            </w:r>
          </w:p>
        </w:tc>
        <w:tc>
          <w:tcPr>
            <w:tcW w:w="7655" w:type="dxa"/>
            <w:gridSpan w:val="4"/>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投标报价（大写）</w:t>
            </w:r>
          </w:p>
        </w:tc>
        <w:tc>
          <w:tcPr>
            <w:tcW w:w="7655" w:type="dxa"/>
            <w:gridSpan w:val="4"/>
            <w:vAlign w:val="center"/>
          </w:tcPr>
          <w:p>
            <w:pPr>
              <w:spacing w:line="360" w:lineRule="auto"/>
              <w:jc w:val="center"/>
              <w:rPr>
                <w:rFonts w:ascii="仿宋_GB2312" w:hAnsi="仿宋" w:eastAsia="仿宋_GB2312" w:cs="仿宋_GB2312"/>
                <w:sz w:val="24"/>
              </w:rPr>
            </w:pPr>
          </w:p>
        </w:tc>
      </w:tr>
    </w:tbl>
    <w:p>
      <w:pPr>
        <w:snapToGrid w:val="0"/>
        <w:spacing w:line="360" w:lineRule="auto"/>
        <w:ind w:firstLine="8674" w:firstLineChars="3600"/>
        <w:rPr>
          <w:rFonts w:ascii="仿宋_GB2312" w:hAnsi="仿宋" w:eastAsia="仿宋_GB2312" w:cs="仿宋_GB2312"/>
          <w:b/>
          <w:kern w:val="0"/>
          <w:sz w:val="24"/>
          <w:lang w:val="zh-CN"/>
        </w:rPr>
      </w:pPr>
    </w:p>
    <w:p>
      <w:pPr>
        <w:snapToGrid w:val="0"/>
        <w:spacing w:line="360" w:lineRule="auto"/>
        <w:ind w:firstLine="8674" w:firstLineChars="3600"/>
        <w:rPr>
          <w:rFonts w:ascii="仿宋_GB2312" w:hAnsi="仿宋" w:eastAsia="仿宋_GB2312" w:cs="仿宋_GB2312"/>
          <w:b/>
          <w:kern w:val="0"/>
          <w:sz w:val="24"/>
          <w:lang w:val="zh-CN"/>
        </w:rPr>
      </w:pPr>
    </w:p>
    <w:p>
      <w:pPr>
        <w:snapToGrid w:val="0"/>
        <w:spacing w:line="360" w:lineRule="auto"/>
        <w:ind w:firstLine="8674" w:firstLineChars="360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投标人名称（电子签名）：</w:t>
      </w:r>
    </w:p>
    <w:p>
      <w:pPr>
        <w:snapToGrid w:val="0"/>
        <w:spacing w:line="360" w:lineRule="auto"/>
        <w:ind w:firstLine="9638" w:firstLineChars="400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 xml:space="preserve">日 </w:t>
      </w:r>
      <w:r>
        <w:rPr>
          <w:rFonts w:ascii="仿宋_GB2312" w:hAnsi="仿宋" w:eastAsia="仿宋_GB2312" w:cs="仿宋_GB2312"/>
          <w:b/>
          <w:kern w:val="0"/>
          <w:sz w:val="24"/>
          <w:lang w:val="zh-CN"/>
        </w:rPr>
        <w:t xml:space="preserve"> </w:t>
      </w:r>
      <w:r>
        <w:rPr>
          <w:rFonts w:hint="eastAsia" w:ascii="仿宋_GB2312" w:hAnsi="仿宋" w:eastAsia="仿宋_GB2312" w:cs="仿宋_GB2312"/>
          <w:b/>
          <w:kern w:val="0"/>
          <w:sz w:val="24"/>
          <w:lang w:val="zh-CN"/>
        </w:rPr>
        <w:t>期：</w:t>
      </w:r>
    </w:p>
    <w:p>
      <w:pPr>
        <w:snapToGrid w:val="0"/>
        <w:spacing w:line="360" w:lineRule="auto"/>
        <w:ind w:left="480"/>
        <w:rPr>
          <w:rFonts w:ascii="仿宋_GB2312" w:hAnsi="仿宋" w:eastAsia="仿宋_GB2312" w:cs="仿宋_GB2312"/>
          <w:b/>
          <w:kern w:val="0"/>
          <w:sz w:val="24"/>
          <w:lang w:val="zh-CN"/>
        </w:rPr>
      </w:pPr>
    </w:p>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leftChars="-1"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w:t>
      </w:r>
      <w:r>
        <w:rPr>
          <w:rFonts w:hint="eastAsia" w:ascii="仿宋_GB2312" w:hAnsi="仿宋" w:eastAsia="仿宋_GB2312" w:cs="仿宋_GB2312"/>
          <w:kern w:val="0"/>
          <w:sz w:val="24"/>
          <w:lang w:val="zh-CN"/>
        </w:rPr>
        <w:t>单位统一均为人民币元</w:t>
      </w:r>
      <w:r>
        <w:rPr>
          <w:rFonts w:ascii="仿宋_GB2312" w:hAnsi="仿宋" w:eastAsia="仿宋_GB2312" w:cs="仿宋_GB2312"/>
          <w:kern w:val="0"/>
          <w:sz w:val="24"/>
          <w:lang w:val="zh-CN"/>
        </w:rPr>
        <w:t>。</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4、特别提示：采购代理机构将对项目名称和项目编号，中标供应商名称、地址和中标金额，主要中标标的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kern w:val="0"/>
          <w:sz w:val="24"/>
        </w:rPr>
      </w:pPr>
    </w:p>
    <w:p>
      <w:pPr>
        <w:pStyle w:val="691"/>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p>
    <w:p>
      <w:pPr>
        <w:pStyle w:val="691"/>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pgSz w:w="16838" w:h="11906" w:orient="landscape"/>
          <w:pgMar w:top="1418" w:right="1247" w:bottom="1418" w:left="1276"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4</w:t>
      </w:r>
      <w:r>
        <w:rPr>
          <w:rFonts w:ascii="仿宋_GB2312" w:hAnsi="仿宋" w:eastAsia="仿宋_GB2312" w:cs="仿宋_GB2312"/>
          <w:b/>
          <w:sz w:val="24"/>
        </w:rPr>
        <w:t>）。</w:t>
      </w:r>
      <w:r>
        <w:rPr>
          <w:rFonts w:hint="eastAsia" w:ascii="仿宋_GB2312" w:hAnsi="仿宋" w:eastAsia="仿宋_GB2312" w:cs="仿宋_GB2312"/>
          <w:b/>
          <w:sz w:val="24"/>
        </w:rPr>
        <w:t>]</w:t>
      </w:r>
    </w:p>
    <w:p>
      <w:pPr>
        <w:pStyle w:val="691"/>
        <w:keepNext w:val="0"/>
        <w:pageBreakBefore w:val="0"/>
        <w:tabs>
          <w:tab w:val="clear" w:pos="720"/>
        </w:tabs>
        <w:snapToGrid w:val="0"/>
        <w:spacing w:before="120" w:after="120"/>
        <w:ind w:firstLine="643"/>
        <w:outlineLvl w:val="9"/>
        <w:rPr>
          <w:rFonts w:ascii="仿宋_GB2312" w:hAnsi="宋体" w:eastAsia="仿宋_GB2312"/>
          <w:b w:val="0"/>
          <w:sz w:val="32"/>
          <w:szCs w:val="32"/>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snapToGrid w:val="0"/>
          <w:kern w:val="28"/>
          <w:sz w:val="24"/>
        </w:rPr>
        <w:t>供应商中标后可在政府采购云平台申请政采贷：操作路径：登录政府采购云平台 - 金融服务中心 -【融资服务】，可在热门申请中选择产品直接申请，也可点击云智贷匹配适合产品进行申请，或者在可申请项目中根据该项目进行申请。</w:t>
      </w:r>
    </w:p>
    <w:p>
      <w:pPr>
        <w:spacing w:line="360" w:lineRule="auto"/>
        <w:ind w:left="5060" w:hanging="5060" w:hangingChars="2100"/>
        <w:rPr>
          <w:rFonts w:ascii="仿宋_GB2312" w:hAnsi="仿宋" w:eastAsia="仿宋_GB2312" w:cs="仿宋_GB2312"/>
          <w:b/>
          <w:bCs/>
          <w:kern w:val="0"/>
          <w:sz w:val="24"/>
        </w:rPr>
      </w:pPr>
    </w:p>
    <w:p>
      <w:pPr>
        <w:pStyle w:val="3"/>
        <w:keepNext w:val="0"/>
        <w:keepLines w:val="0"/>
        <w:pageBreakBefore/>
        <w:widowControl/>
        <w:spacing w:before="100" w:beforeAutospacing="1" w:after="100" w:afterAutospacing="1" w:line="360" w:lineRule="auto"/>
        <w:ind w:left="1290" w:firstLine="3092" w:firstLineChars="700"/>
        <w:rPr>
          <w:rFonts w:ascii="仿宋_GB2312" w:hAnsi="仿宋" w:eastAsia="仿宋_GB2312"/>
        </w:rPr>
      </w:pPr>
      <w:bookmarkStart w:id="394" w:name="_Toc465665161"/>
      <w:r>
        <w:rPr>
          <w:rFonts w:hint="eastAsia" w:ascii="仿宋_GB2312" w:hAnsi="仿宋" w:eastAsia="仿宋_GB2312"/>
        </w:rPr>
        <w:t>附件</w:t>
      </w:r>
      <w:bookmarkEnd w:id="394"/>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395" w:name="OLE_LINK14"/>
      <w:bookmarkStart w:id="396" w:name="OLE_LINK13"/>
      <w:r>
        <w:rPr>
          <w:rFonts w:hint="eastAsia" w:ascii="仿宋_GB2312" w:hAnsi="仿宋" w:eastAsia="仿宋_GB2312"/>
          <w:b/>
          <w:spacing w:val="6"/>
          <w:sz w:val="32"/>
          <w:szCs w:val="32"/>
        </w:rPr>
        <w:t>残疾人福利性单位声明函</w:t>
      </w:r>
    </w:p>
    <w:bookmarkEnd w:id="395"/>
    <w:bookmarkEnd w:id="396"/>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pStyle w:val="2"/>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附件4：</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ascii="仿宋_GB2312" w:hAnsi="宋体" w:eastAsia="仿宋_GB2312"/>
          <w:sz w:val="24"/>
        </w:rPr>
        <w:t>2020</w:t>
      </w:r>
      <w:r>
        <w:rPr>
          <w:rFonts w:hint="eastAsia" w:ascii="宋体" w:hAnsi="宋体" w:cs="宋体"/>
          <w:sz w:val="24"/>
        </w:rPr>
        <w:t>﹞</w:t>
      </w:r>
      <w:r>
        <w:rPr>
          <w:rFonts w:ascii="仿宋_GB2312" w:hAnsi="宋体" w:eastAsia="仿宋_GB2312"/>
          <w:sz w:val="24"/>
        </w:rPr>
        <w:t xml:space="preserve">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pacing w:line="360" w:lineRule="auto"/>
        <w:jc w:val="left"/>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注：符合《关于促进残疾人就业政府采购政策的通知》（财库〔</w:t>
      </w:r>
      <w:r>
        <w:rPr>
          <w:rFonts w:ascii="仿宋_GB2312" w:hAnsi="仿宋" w:eastAsia="仿宋_GB2312" w:cs="仿宋_GB2312"/>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Times New Roman"/>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roman"/>
    <w:pitch w:val="default"/>
    <w:sig w:usb0="FFFFFFFF" w:usb1="E9FFFFFF" w:usb2="0000003F" w:usb3="00000000" w:csb0="603F01FF" w:csb1="FFFF0000"/>
  </w:font>
  <w:font w:name="Helvetica">
    <w:altName w:val="Arial"/>
    <w:panose1 w:val="020B050402020203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63</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56</w:t>
    </w:r>
    <w:r>
      <w:rPr>
        <w:rFonts w:hint="eastAsia" w:ascii="仿宋_GB2312" w:eastAsia="仿宋_GB2312"/>
        <w:kern w:val="0"/>
        <w:szCs w:val="21"/>
      </w:rPr>
      <w:fldChar w:fldCharType="end"/>
    </w:r>
    <w:bookmarkStart w:id="397" w:name="_Toc164085800"/>
    <w:bookmarkStart w:id="398" w:name="_Toc36110187"/>
    <w:bookmarkStart w:id="399" w:name="_Toc131845147"/>
    <w:bookmarkStart w:id="400" w:name="_Toc91899912"/>
    <w:r>
      <w:rPr>
        <w:rFonts w:hint="eastAsia" w:ascii="仿宋_GB2312" w:eastAsia="仿宋_GB2312"/>
        <w:kern w:val="0"/>
        <w:szCs w:val="21"/>
      </w:rPr>
      <w:t xml:space="preserve"> 页</w:t>
    </w:r>
    <w:bookmarkEnd w:id="397"/>
    <w:bookmarkEnd w:id="398"/>
    <w:bookmarkEnd w:id="399"/>
    <w:bookmarkEnd w:id="40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诸暨</w:t>
    </w:r>
    <w:r>
      <w:t>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诸暨</w:t>
    </w:r>
    <w:r>
      <w:t>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rPr>
      <w:t>诸暨</w:t>
    </w:r>
    <w:r>
      <w:rPr>
        <w:lang w:val="zh-CN"/>
      </w:rPr>
      <w:t>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诸暨</w:t>
    </w:r>
    <w:r>
      <w:t>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诸暨</w:t>
    </w:r>
    <w:r>
      <w:t>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诸暨</w:t>
    </w:r>
    <w:r>
      <w:t>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诸暨</w:t>
    </w:r>
    <w:r>
      <w:t>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诸暨</w:t>
    </w:r>
    <w:r>
      <w:t>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诸暨</w:t>
    </w:r>
    <w:r>
      <w:t>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w:t>
    </w:r>
    <w:r>
      <w:rPr>
        <w:rFonts w:hint="eastAsia"/>
      </w:rPr>
      <w:t>诸暨</w:t>
    </w:r>
    <w:r>
      <w:t>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5E487D"/>
    <w:multiLevelType w:val="multilevel"/>
    <w:tmpl w:val="0F5E487D"/>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9EC5A40"/>
    <w:multiLevelType w:val="singleLevel"/>
    <w:tmpl w:val="29EC5A40"/>
    <w:lvl w:ilvl="0" w:tentative="0">
      <w:start w:val="1"/>
      <w:numFmt w:val="decimal"/>
      <w:lvlText w:val="%1."/>
      <w:lvlJc w:val="left"/>
      <w:pPr>
        <w:tabs>
          <w:tab w:val="left" w:pos="312"/>
        </w:tabs>
      </w:pPr>
    </w:lvl>
  </w:abstractNum>
  <w:abstractNum w:abstractNumId="2">
    <w:nsid w:val="42114FCA"/>
    <w:multiLevelType w:val="multilevel"/>
    <w:tmpl w:val="42114FCA"/>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E465744"/>
    <w:multiLevelType w:val="singleLevel"/>
    <w:tmpl w:val="4E465744"/>
    <w:lvl w:ilvl="0" w:tentative="0">
      <w:start w:val="1"/>
      <w:numFmt w:val="chineseCounting"/>
      <w:suff w:val="nothing"/>
      <w:lvlText w:val="%1、"/>
      <w:lvlJc w:val="left"/>
      <w:rPr>
        <w:rFonts w:hint="eastAsia"/>
      </w:rPr>
    </w:lvl>
  </w:abstractNum>
  <w:abstractNum w:abstractNumId="4">
    <w:nsid w:val="4EAF669B"/>
    <w:multiLevelType w:val="multilevel"/>
    <w:tmpl w:val="4EAF669B"/>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5CC06C3F"/>
    <w:multiLevelType w:val="multilevel"/>
    <w:tmpl w:val="5CC06C3F"/>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51"/>
    <w:rsid w:val="000004F6"/>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685"/>
    <w:rsid w:val="00024962"/>
    <w:rsid w:val="000249AA"/>
    <w:rsid w:val="00025350"/>
    <w:rsid w:val="000253E5"/>
    <w:rsid w:val="00025776"/>
    <w:rsid w:val="00026EAC"/>
    <w:rsid w:val="000270F2"/>
    <w:rsid w:val="00027115"/>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58F"/>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0D42"/>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BC8"/>
    <w:rsid w:val="00145C6D"/>
    <w:rsid w:val="001460FC"/>
    <w:rsid w:val="00146151"/>
    <w:rsid w:val="00146326"/>
    <w:rsid w:val="00147032"/>
    <w:rsid w:val="001470CB"/>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5942"/>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257"/>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36B"/>
    <w:rsid w:val="0019756A"/>
    <w:rsid w:val="001A06B5"/>
    <w:rsid w:val="001A07F8"/>
    <w:rsid w:val="001A0A23"/>
    <w:rsid w:val="001A0C98"/>
    <w:rsid w:val="001A128B"/>
    <w:rsid w:val="001A1475"/>
    <w:rsid w:val="001A1F0E"/>
    <w:rsid w:val="001A3335"/>
    <w:rsid w:val="001A473A"/>
    <w:rsid w:val="001A4ED9"/>
    <w:rsid w:val="001A5785"/>
    <w:rsid w:val="001A5FD7"/>
    <w:rsid w:val="001A6643"/>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EB0"/>
    <w:rsid w:val="001E12F9"/>
    <w:rsid w:val="001E17E3"/>
    <w:rsid w:val="001E2052"/>
    <w:rsid w:val="001E2492"/>
    <w:rsid w:val="001E257C"/>
    <w:rsid w:val="001E286C"/>
    <w:rsid w:val="001E2F34"/>
    <w:rsid w:val="001E35EE"/>
    <w:rsid w:val="001E3DAD"/>
    <w:rsid w:val="001E4B2C"/>
    <w:rsid w:val="001E507F"/>
    <w:rsid w:val="001E56C2"/>
    <w:rsid w:val="001E59FB"/>
    <w:rsid w:val="001E7F81"/>
    <w:rsid w:val="001F0FD1"/>
    <w:rsid w:val="001F1526"/>
    <w:rsid w:val="001F19D1"/>
    <w:rsid w:val="001F1CB9"/>
    <w:rsid w:val="001F1F18"/>
    <w:rsid w:val="001F210D"/>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47AE"/>
    <w:rsid w:val="002359FC"/>
    <w:rsid w:val="002361C8"/>
    <w:rsid w:val="00236690"/>
    <w:rsid w:val="0023669D"/>
    <w:rsid w:val="00237EAE"/>
    <w:rsid w:val="00237FA2"/>
    <w:rsid w:val="002403D5"/>
    <w:rsid w:val="00240C1F"/>
    <w:rsid w:val="00240F55"/>
    <w:rsid w:val="00240F67"/>
    <w:rsid w:val="00241144"/>
    <w:rsid w:val="00242510"/>
    <w:rsid w:val="00242F79"/>
    <w:rsid w:val="00243EEF"/>
    <w:rsid w:val="0024415B"/>
    <w:rsid w:val="00245565"/>
    <w:rsid w:val="002458C1"/>
    <w:rsid w:val="00245E62"/>
    <w:rsid w:val="002460D0"/>
    <w:rsid w:val="00246357"/>
    <w:rsid w:val="002470D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660"/>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564"/>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134"/>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7E2"/>
    <w:rsid w:val="002C3890"/>
    <w:rsid w:val="002C3AD9"/>
    <w:rsid w:val="002C4286"/>
    <w:rsid w:val="002C43FC"/>
    <w:rsid w:val="002C45C3"/>
    <w:rsid w:val="002C483B"/>
    <w:rsid w:val="002C4DFE"/>
    <w:rsid w:val="002C519E"/>
    <w:rsid w:val="002C5A46"/>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A0B"/>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2D0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6FFF"/>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13D"/>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0C24"/>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2D1"/>
    <w:rsid w:val="003B5531"/>
    <w:rsid w:val="003B636A"/>
    <w:rsid w:val="003B69CE"/>
    <w:rsid w:val="003B7403"/>
    <w:rsid w:val="003C011C"/>
    <w:rsid w:val="003C0E32"/>
    <w:rsid w:val="003C0FDA"/>
    <w:rsid w:val="003C11D7"/>
    <w:rsid w:val="003C16CB"/>
    <w:rsid w:val="003C1B97"/>
    <w:rsid w:val="003C247B"/>
    <w:rsid w:val="003C302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44E9"/>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42F"/>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C57"/>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1DC"/>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056"/>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4F6"/>
    <w:rsid w:val="0051050F"/>
    <w:rsid w:val="0051058B"/>
    <w:rsid w:val="00510DDC"/>
    <w:rsid w:val="00511166"/>
    <w:rsid w:val="00511327"/>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2CC3"/>
    <w:rsid w:val="00594437"/>
    <w:rsid w:val="00594B70"/>
    <w:rsid w:val="00596CFA"/>
    <w:rsid w:val="00596E5B"/>
    <w:rsid w:val="00596EC6"/>
    <w:rsid w:val="005975CE"/>
    <w:rsid w:val="005A0088"/>
    <w:rsid w:val="005A04F6"/>
    <w:rsid w:val="005A14F0"/>
    <w:rsid w:val="005A1861"/>
    <w:rsid w:val="005A1A31"/>
    <w:rsid w:val="005A3455"/>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01"/>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1FD7"/>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02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3F8"/>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324"/>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27E"/>
    <w:rsid w:val="006D135C"/>
    <w:rsid w:val="006D2F72"/>
    <w:rsid w:val="006D43C1"/>
    <w:rsid w:val="006D5442"/>
    <w:rsid w:val="006D6E4E"/>
    <w:rsid w:val="006D7A7B"/>
    <w:rsid w:val="006D7A8E"/>
    <w:rsid w:val="006D7C59"/>
    <w:rsid w:val="006E00E3"/>
    <w:rsid w:val="006E045C"/>
    <w:rsid w:val="006E0569"/>
    <w:rsid w:val="006E065E"/>
    <w:rsid w:val="006E0849"/>
    <w:rsid w:val="006E08EF"/>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851"/>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992"/>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178B9"/>
    <w:rsid w:val="007208A7"/>
    <w:rsid w:val="00720B6A"/>
    <w:rsid w:val="0072104B"/>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577"/>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32BD"/>
    <w:rsid w:val="007444E6"/>
    <w:rsid w:val="0074592C"/>
    <w:rsid w:val="00745C91"/>
    <w:rsid w:val="00746098"/>
    <w:rsid w:val="00746D58"/>
    <w:rsid w:val="00747578"/>
    <w:rsid w:val="0075096B"/>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0FBB"/>
    <w:rsid w:val="0077146D"/>
    <w:rsid w:val="00771CAC"/>
    <w:rsid w:val="00772036"/>
    <w:rsid w:val="00773098"/>
    <w:rsid w:val="007739A3"/>
    <w:rsid w:val="00773BD9"/>
    <w:rsid w:val="00773CB0"/>
    <w:rsid w:val="00773D71"/>
    <w:rsid w:val="00774C0B"/>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515"/>
    <w:rsid w:val="007C27D5"/>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2B1"/>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1F9"/>
    <w:rsid w:val="00822456"/>
    <w:rsid w:val="00823819"/>
    <w:rsid w:val="00823C4B"/>
    <w:rsid w:val="0082427D"/>
    <w:rsid w:val="00825441"/>
    <w:rsid w:val="00826855"/>
    <w:rsid w:val="00826F2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67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3EF3"/>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01"/>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CAF"/>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1E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653"/>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30"/>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5EB"/>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42E0"/>
    <w:rsid w:val="009557A9"/>
    <w:rsid w:val="0095630E"/>
    <w:rsid w:val="00956647"/>
    <w:rsid w:val="00957380"/>
    <w:rsid w:val="00957409"/>
    <w:rsid w:val="00957499"/>
    <w:rsid w:val="00957ED2"/>
    <w:rsid w:val="009604AE"/>
    <w:rsid w:val="00960746"/>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5616"/>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923"/>
    <w:rsid w:val="009A3C3E"/>
    <w:rsid w:val="009A4153"/>
    <w:rsid w:val="009A4C2C"/>
    <w:rsid w:val="009A59B3"/>
    <w:rsid w:val="009A5FAE"/>
    <w:rsid w:val="009A6B3A"/>
    <w:rsid w:val="009A70A3"/>
    <w:rsid w:val="009A7B8A"/>
    <w:rsid w:val="009A7E7C"/>
    <w:rsid w:val="009B05D2"/>
    <w:rsid w:val="009B08F6"/>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C74E5"/>
    <w:rsid w:val="009D03B7"/>
    <w:rsid w:val="009D07AD"/>
    <w:rsid w:val="009D0824"/>
    <w:rsid w:val="009D1172"/>
    <w:rsid w:val="009D13CC"/>
    <w:rsid w:val="009D1654"/>
    <w:rsid w:val="009D1AAC"/>
    <w:rsid w:val="009D1BDB"/>
    <w:rsid w:val="009D25DA"/>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2B3F"/>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1FC"/>
    <w:rsid w:val="00A526CE"/>
    <w:rsid w:val="00A54909"/>
    <w:rsid w:val="00A54DC0"/>
    <w:rsid w:val="00A550C9"/>
    <w:rsid w:val="00A55228"/>
    <w:rsid w:val="00A55410"/>
    <w:rsid w:val="00A55A04"/>
    <w:rsid w:val="00A564DE"/>
    <w:rsid w:val="00A6054E"/>
    <w:rsid w:val="00A60799"/>
    <w:rsid w:val="00A60EB1"/>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239"/>
    <w:rsid w:val="00A67429"/>
    <w:rsid w:val="00A677E7"/>
    <w:rsid w:val="00A678F1"/>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B0F"/>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4C5"/>
    <w:rsid w:val="00AD159E"/>
    <w:rsid w:val="00AD2AB1"/>
    <w:rsid w:val="00AD3132"/>
    <w:rsid w:val="00AD3DA6"/>
    <w:rsid w:val="00AD3F3C"/>
    <w:rsid w:val="00AD447E"/>
    <w:rsid w:val="00AD4B2F"/>
    <w:rsid w:val="00AD5A2E"/>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80F"/>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C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5FC0"/>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6FD"/>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3D59"/>
    <w:rsid w:val="00B44288"/>
    <w:rsid w:val="00B448BF"/>
    <w:rsid w:val="00B45A59"/>
    <w:rsid w:val="00B45F9F"/>
    <w:rsid w:val="00B4627C"/>
    <w:rsid w:val="00B4641F"/>
    <w:rsid w:val="00B46793"/>
    <w:rsid w:val="00B46953"/>
    <w:rsid w:val="00B47455"/>
    <w:rsid w:val="00B47979"/>
    <w:rsid w:val="00B47A59"/>
    <w:rsid w:val="00B47ECD"/>
    <w:rsid w:val="00B47EE2"/>
    <w:rsid w:val="00B47FF3"/>
    <w:rsid w:val="00B503D6"/>
    <w:rsid w:val="00B51520"/>
    <w:rsid w:val="00B515C3"/>
    <w:rsid w:val="00B517C2"/>
    <w:rsid w:val="00B518CE"/>
    <w:rsid w:val="00B51F56"/>
    <w:rsid w:val="00B52234"/>
    <w:rsid w:val="00B53623"/>
    <w:rsid w:val="00B53D1D"/>
    <w:rsid w:val="00B53E98"/>
    <w:rsid w:val="00B53F9B"/>
    <w:rsid w:val="00B5406E"/>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A49"/>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200"/>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19E5"/>
    <w:rsid w:val="00C0234A"/>
    <w:rsid w:val="00C0247B"/>
    <w:rsid w:val="00C0378E"/>
    <w:rsid w:val="00C042A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2F6C"/>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05D"/>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4ACE"/>
    <w:rsid w:val="00C75A8F"/>
    <w:rsid w:val="00C76129"/>
    <w:rsid w:val="00C76C0C"/>
    <w:rsid w:val="00C76FFC"/>
    <w:rsid w:val="00C774E0"/>
    <w:rsid w:val="00C776BA"/>
    <w:rsid w:val="00C7791E"/>
    <w:rsid w:val="00C80A8A"/>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AC1"/>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22E"/>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037"/>
    <w:rsid w:val="00D25382"/>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74A"/>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6284"/>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4D3"/>
    <w:rsid w:val="00DE75EF"/>
    <w:rsid w:val="00DE7611"/>
    <w:rsid w:val="00DE7810"/>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BE1"/>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463"/>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536"/>
    <w:rsid w:val="00EE2A9D"/>
    <w:rsid w:val="00EE32D5"/>
    <w:rsid w:val="00EE3384"/>
    <w:rsid w:val="00EE4236"/>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35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DC4"/>
    <w:rsid w:val="00F51A82"/>
    <w:rsid w:val="00F51B78"/>
    <w:rsid w:val="00F51BDD"/>
    <w:rsid w:val="00F52065"/>
    <w:rsid w:val="00F521CE"/>
    <w:rsid w:val="00F5253E"/>
    <w:rsid w:val="00F5254B"/>
    <w:rsid w:val="00F52CB7"/>
    <w:rsid w:val="00F53A44"/>
    <w:rsid w:val="00F54E5E"/>
    <w:rsid w:val="00F551DB"/>
    <w:rsid w:val="00F556B3"/>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124"/>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77BC9"/>
    <w:rsid w:val="00F8056E"/>
    <w:rsid w:val="00F805B7"/>
    <w:rsid w:val="00F810C1"/>
    <w:rsid w:val="00F81623"/>
    <w:rsid w:val="00F81D25"/>
    <w:rsid w:val="00F8245C"/>
    <w:rsid w:val="00F82928"/>
    <w:rsid w:val="00F829B9"/>
    <w:rsid w:val="00F83045"/>
    <w:rsid w:val="00F83615"/>
    <w:rsid w:val="00F83C2E"/>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711"/>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C46"/>
    <w:rsid w:val="00FC6D59"/>
    <w:rsid w:val="00FC7561"/>
    <w:rsid w:val="00FC78F5"/>
    <w:rsid w:val="00FC7ACA"/>
    <w:rsid w:val="00FC7AD2"/>
    <w:rsid w:val="00FD10B3"/>
    <w:rsid w:val="00FD11C3"/>
    <w:rsid w:val="00FD154E"/>
    <w:rsid w:val="00FD24D7"/>
    <w:rsid w:val="00FD29CE"/>
    <w:rsid w:val="00FD3AE2"/>
    <w:rsid w:val="00FD3E41"/>
    <w:rsid w:val="00FD3EFA"/>
    <w:rsid w:val="00FD41C6"/>
    <w:rsid w:val="00FD54A8"/>
    <w:rsid w:val="00FD5AE4"/>
    <w:rsid w:val="00FD5D21"/>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35F"/>
    <w:rsid w:val="00FE7877"/>
    <w:rsid w:val="00FE7DD1"/>
    <w:rsid w:val="00FF0B4F"/>
    <w:rsid w:val="00FF0F58"/>
    <w:rsid w:val="00FF183C"/>
    <w:rsid w:val="00FF1A06"/>
    <w:rsid w:val="00FF1AD3"/>
    <w:rsid w:val="00FF1B46"/>
    <w:rsid w:val="00FF219D"/>
    <w:rsid w:val="00FF2A7B"/>
    <w:rsid w:val="00FF3D2B"/>
    <w:rsid w:val="00FF49B4"/>
    <w:rsid w:val="00FF49F4"/>
    <w:rsid w:val="00FF5538"/>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13CC5"/>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80234E"/>
    <w:rsid w:val="5C8A680C"/>
    <w:rsid w:val="5D0C4701"/>
    <w:rsid w:val="5D0F0395"/>
    <w:rsid w:val="5D221076"/>
    <w:rsid w:val="5D397964"/>
    <w:rsid w:val="5D4D2245"/>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caption"/>
    <w:basedOn w:val="1"/>
    <w:next w:val="1"/>
    <w:link w:val="226"/>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199"/>
    <w:qFormat/>
    <w:uiPriority w:val="0"/>
    <w:pPr>
      <w:shd w:val="clear" w:color="auto" w:fill="000080"/>
    </w:pPr>
  </w:style>
  <w:style w:type="paragraph" w:styleId="19">
    <w:name w:val="annotation text"/>
    <w:basedOn w:val="1"/>
    <w:link w:val="342"/>
    <w:qFormat/>
    <w:uiPriority w:val="99"/>
    <w:pPr>
      <w:jc w:val="left"/>
    </w:pPr>
  </w:style>
  <w:style w:type="paragraph" w:styleId="20">
    <w:name w:val="Salutation"/>
    <w:basedOn w:val="1"/>
    <w:next w:val="1"/>
    <w:link w:val="296"/>
    <w:qFormat/>
    <w:uiPriority w:val="0"/>
    <w:rPr>
      <w:rFonts w:ascii="仿宋_GB2312" w:eastAsia="仿宋_GB2312"/>
      <w:sz w:val="28"/>
      <w:szCs w:val="20"/>
    </w:rPr>
  </w:style>
  <w:style w:type="paragraph" w:styleId="21">
    <w:name w:val="Body Text 3"/>
    <w:basedOn w:val="1"/>
    <w:link w:val="328"/>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428"/>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263"/>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2"/>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78"/>
    <w:qFormat/>
    <w:uiPriority w:val="0"/>
    <w:pPr>
      <w:ind w:left="100" w:leftChars="2500"/>
    </w:pPr>
    <w:rPr>
      <w:rFonts w:ascii="宋体"/>
      <w:sz w:val="24"/>
      <w:szCs w:val="21"/>
      <w:lang w:val="zh-CN"/>
    </w:rPr>
  </w:style>
  <w:style w:type="paragraph" w:styleId="36">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7">
    <w:name w:val="endnote text"/>
    <w:basedOn w:val="1"/>
    <w:link w:val="930"/>
    <w:qFormat/>
    <w:uiPriority w:val="0"/>
    <w:rPr>
      <w:lang w:val="zh-CN"/>
    </w:rPr>
  </w:style>
  <w:style w:type="paragraph" w:styleId="38">
    <w:name w:val="Balloon Text"/>
    <w:basedOn w:val="1"/>
    <w:link w:val="185"/>
    <w:qFormat/>
    <w:uiPriority w:val="0"/>
    <w:rPr>
      <w:sz w:val="18"/>
      <w:szCs w:val="18"/>
    </w:rPr>
  </w:style>
  <w:style w:type="paragraph" w:styleId="39">
    <w:name w:val="footer"/>
    <w:basedOn w:val="1"/>
    <w:link w:val="381"/>
    <w:qFormat/>
    <w:uiPriority w:val="99"/>
    <w:pPr>
      <w:tabs>
        <w:tab w:val="center" w:pos="4153"/>
        <w:tab w:val="right" w:pos="8306"/>
      </w:tabs>
      <w:snapToGrid w:val="0"/>
      <w:jc w:val="left"/>
    </w:pPr>
    <w:rPr>
      <w:sz w:val="18"/>
      <w:szCs w:val="18"/>
    </w:rPr>
  </w:style>
  <w:style w:type="paragraph" w:styleId="40">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308"/>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3"/>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300"/>
    <w:qFormat/>
    <w:uiPriority w:val="0"/>
    <w:pPr>
      <w:spacing w:after="120" w:line="480" w:lineRule="auto"/>
    </w:pPr>
  </w:style>
  <w:style w:type="paragraph" w:styleId="56">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4"/>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3"/>
    <w:qFormat/>
    <w:uiPriority w:val="0"/>
    <w:rPr>
      <w:b/>
      <w:bCs/>
    </w:rPr>
  </w:style>
  <w:style w:type="paragraph" w:styleId="60">
    <w:name w:val="Body Text First Indent"/>
    <w:basedOn w:val="23"/>
    <w:link w:val="319"/>
    <w:qFormat/>
    <w:uiPriority w:val="0"/>
    <w:pPr>
      <w:ind w:firstLine="420"/>
    </w:pPr>
    <w:rPr>
      <w:rFonts w:hAnsi="Calibri" w:cs="Times New Roman"/>
      <w:snapToGrid/>
      <w:szCs w:val="20"/>
    </w:rPr>
  </w:style>
  <w:style w:type="paragraph" w:styleId="61">
    <w:name w:val="Body Text First Indent 2"/>
    <w:basedOn w:val="24"/>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59"/>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6"/>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8"/>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2"/>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5"/>
    <w:qFormat/>
    <w:uiPriority w:val="0"/>
    <w:rPr>
      <w:rFonts w:ascii="宋体"/>
      <w:kern w:val="2"/>
      <w:sz w:val="24"/>
      <w:szCs w:val="21"/>
      <w:lang w:val="zh-CN"/>
    </w:rPr>
  </w:style>
  <w:style w:type="character" w:customStyle="1" w:styleId="179">
    <w:name w:val="标题 9 Char"/>
    <w:link w:val="11"/>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8"/>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5"/>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8"/>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29"/>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6"/>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6"/>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link w:val="259"/>
    <w:qFormat/>
    <w:uiPriority w:val="34"/>
  </w:style>
  <w:style w:type="paragraph" w:customStyle="1" w:styleId="259">
    <w:name w:val="_Style 962"/>
    <w:basedOn w:val="1"/>
    <w:next w:val="255"/>
    <w:link w:val="258"/>
    <w:qFormat/>
    <w:uiPriority w:val="34"/>
    <w:pPr>
      <w:adjustRightInd/>
      <w:ind w:firstLine="420" w:firstLineChars="200"/>
    </w:pPr>
    <w:rPr>
      <w:rFonts w:ascii="Calibri" w:hAnsi="Calibri"/>
      <w:szCs w:val="22"/>
    </w:rPr>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Char3"/>
    <w:link w:val="24"/>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Char"/>
    <w:link w:val="3"/>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Char2"/>
    <w:link w:val="58"/>
    <w:qFormat/>
    <w:uiPriority w:val="10"/>
    <w:rPr>
      <w:b/>
      <w:sz w:val="24"/>
      <w:lang w:val="en-GB"/>
    </w:rPr>
  </w:style>
  <w:style w:type="character" w:customStyle="1" w:styleId="285">
    <w:name w:val="font81"/>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Char"/>
    <w:link w:val="7"/>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Char"/>
    <w:link w:val="20"/>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Char"/>
    <w:link w:val="56"/>
    <w:qFormat/>
    <w:uiPriority w:val="0"/>
    <w:rPr>
      <w:rFonts w:ascii="黑体" w:hAnsi="Courier New" w:eastAsia="黑体"/>
    </w:rPr>
  </w:style>
  <w:style w:type="character" w:customStyle="1" w:styleId="300">
    <w:name w:val="正文文本 2 Char1"/>
    <w:link w:val="55"/>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6"/>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Char"/>
    <w:link w:val="9"/>
    <w:qFormat/>
    <w:uiPriority w:val="0"/>
    <w:rPr>
      <w:b/>
      <w:bCs/>
      <w:kern w:val="2"/>
      <w:sz w:val="24"/>
      <w:szCs w:val="24"/>
    </w:rPr>
  </w:style>
  <w:style w:type="character" w:customStyle="1" w:styleId="306">
    <w:name w:val="正文文本缩进 2 Char"/>
    <w:link w:val="36"/>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Char"/>
    <w:link w:val="49"/>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首行缩进 Char"/>
    <w:link w:val="60"/>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Char2"/>
    <w:link w:val="6"/>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Char"/>
    <w:link w:val="21"/>
    <w:qFormat/>
    <w:uiPriority w:val="0"/>
    <w:rPr>
      <w:kern w:val="2"/>
      <w:sz w:val="21"/>
    </w:rPr>
  </w:style>
  <w:style w:type="character" w:customStyle="1" w:styleId="329">
    <w:name w:val="font31"/>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Char1"/>
    <w:link w:val="19"/>
    <w:qFormat/>
    <w:uiPriority w:val="0"/>
    <w:rPr>
      <w:kern w:val="2"/>
      <w:sz w:val="21"/>
      <w:szCs w:val="24"/>
    </w:rPr>
  </w:style>
  <w:style w:type="character" w:customStyle="1" w:styleId="343">
    <w:name w:val="签名 Char"/>
    <w:link w:val="41"/>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10"/>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Char"/>
    <w:link w:val="52"/>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Char2"/>
    <w:link w:val="39"/>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Char2"/>
    <w:link w:val="40"/>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69"/>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5"/>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29">
    <w:name w:val="gray6"/>
    <w:basedOn w:val="69"/>
    <w:qFormat/>
    <w:uiPriority w:val="0"/>
    <w:rPr>
      <w:rFonts w:ascii="Arial" w:hAnsi="Arial" w:eastAsia="黑体" w:cs="Arial"/>
      <w:snapToGrid w:val="0"/>
      <w:kern w:val="0"/>
      <w:szCs w:val="21"/>
    </w:rPr>
  </w:style>
  <w:style w:type="character" w:customStyle="1" w:styleId="430">
    <w:name w:val="hui"/>
    <w:basedOn w:val="69"/>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6"/>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2"/>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outlineLvl w:val="5"/>
    </w:pPr>
  </w:style>
  <w:style w:type="paragraph" w:customStyle="1" w:styleId="472">
    <w:name w:val="5级标题"/>
    <w:basedOn w:val="473"/>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3">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1"/>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2"/>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4"/>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7"/>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4"/>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6"/>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Lines="50"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2"/>
    <w:next w:val="232"/>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2"/>
    <w:next w:val="232"/>
    <w:qFormat/>
    <w:uiPriority w:val="0"/>
    <w:rPr>
      <w:rFonts w:ascii="宋体" w:eastAsia="宋体" w:cs="Times New Roman"/>
      <w:color w:val="auto"/>
    </w:rPr>
  </w:style>
  <w:style w:type="paragraph" w:customStyle="1" w:styleId="548">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4"/>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5"/>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4">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3"/>
    <w:qFormat/>
    <w:uiPriority w:val="0"/>
    <w:pPr>
      <w:tabs>
        <w:tab w:val="left" w:pos="840"/>
      </w:tabs>
      <w:adjustRightInd/>
      <w:ind w:left="840" w:hanging="420"/>
    </w:pPr>
  </w:style>
  <w:style w:type="paragraph" w:customStyle="1" w:styleId="624">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Lines="0" w:afterLines="0"/>
      <w:ind w:left="1680"/>
      <w:outlineLvl w:val="2"/>
    </w:pPr>
  </w:style>
  <w:style w:type="paragraph" w:customStyle="1" w:styleId="656">
    <w:name w:val="章标题"/>
    <w:next w:val="638"/>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6"/>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Lines="50"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6"/>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4"/>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5"/>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4"/>
    <w:qFormat/>
    <w:uiPriority w:val="0"/>
    <w:pPr>
      <w:adjustRightInd/>
      <w:spacing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5"/>
    <w:qFormat/>
    <w:uiPriority w:val="2"/>
    <w:pPr>
      <w:tabs>
        <w:tab w:val="clear" w:pos="390"/>
        <w:tab w:val="clear" w:pos="454"/>
      </w:tabs>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18"/>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6"/>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7"/>
    <w:next w:val="1"/>
    <w:qFormat/>
    <w:uiPriority w:val="0"/>
    <w:pPr>
      <w:tabs>
        <w:tab w:val="left" w:pos="1080"/>
      </w:tabs>
      <w:ind w:left="1080" w:hanging="1080"/>
    </w:pPr>
  </w:style>
  <w:style w:type="paragraph" w:customStyle="1" w:styleId="895">
    <w:name w:val="数字标题1"/>
    <w:basedOn w:val="3"/>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1"/>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37"/>
    <w:qFormat/>
    <w:uiPriority w:val="0"/>
    <w:rPr>
      <w:kern w:val="2"/>
      <w:sz w:val="21"/>
      <w:szCs w:val="24"/>
      <w:lang w:val="zh-CN"/>
    </w:rPr>
  </w:style>
  <w:style w:type="character" w:customStyle="1" w:styleId="931">
    <w:name w:val="无间隔 Char"/>
    <w:link w:val="481"/>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5"/>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69"/>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character" w:customStyle="1" w:styleId="962">
    <w:name w:val="Unresolved Mention"/>
    <w:basedOn w:val="69"/>
    <w:semiHidden/>
    <w:unhideWhenUsed/>
    <w:uiPriority w:val="99"/>
    <w:rPr>
      <w:color w:val="605E5C"/>
      <w:shd w:val="clear" w:color="auto" w:fill="E1DFDD"/>
    </w:rPr>
  </w:style>
  <w:style w:type="character" w:customStyle="1" w:styleId="963">
    <w:name w:val="纯文本 字符1"/>
    <w:qFormat/>
    <w:locked/>
    <w:uiPriority w:val="0"/>
    <w:rPr>
      <w:rFonts w:eastAsia="宋体"/>
      <w:kern w:val="2"/>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numbering" Target="numbering.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CBD85-10D9-4DC2-A0AF-810E399B155F}">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63</Pages>
  <Words>27889</Words>
  <Characters>30170</Characters>
  <Lines>266</Lines>
  <Paragraphs>74</Paragraphs>
  <TotalTime>186</TotalTime>
  <ScaleCrop>false</ScaleCrop>
  <LinksUpToDate>false</LinksUpToDate>
  <CharactersWithSpaces>35507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2022-03-11T08:42:00Z</dcterms:created>
  <dc:creator>玥</dc:creator>
  <cp:lastModifiedBy>愿你年少有为不自卑</cp:lastModifiedBy>
  <cp:lastPrinted>2022-04-29T06:41:00Z</cp:lastPrinted>
  <dcterms:modified xsi:type="dcterms:W3CDTF">2022-04-29T07:46:51Z</dcterms:modified>
  <dc:title>杭州市市民卡扩大发卡工程</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13596247E8B24592A05E85D20C0D0C7A</vt:lpwstr>
  </property>
</Properties>
</file>