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pPr>
        <w:autoSpaceDE/>
        <w:autoSpaceDN/>
        <w:jc w:val="center"/>
        <w:rPr>
          <w:rFonts w:ascii="黑体" w:eastAsia="黑体"/>
          <w:sz w:val="72"/>
          <w:szCs w:val="72"/>
        </w:rPr>
      </w:pPr>
      <w:r>
        <w:rPr>
          <w:rFonts w:hint="eastAsia" w:ascii="黑体" w:eastAsia="黑体"/>
          <w:sz w:val="72"/>
          <w:szCs w:val="72"/>
        </w:rPr>
        <w:t>诸暨市教育考试中心《2021年高中招生考生指南》</w:t>
      </w:r>
    </w:p>
    <w:p>
      <w:pPr>
        <w:autoSpaceDE/>
        <w:autoSpaceDN/>
        <w:jc w:val="center"/>
        <w:rPr>
          <w:rFonts w:ascii="黑体" w:eastAsia="黑体"/>
          <w:sz w:val="72"/>
          <w:szCs w:val="72"/>
        </w:rPr>
      </w:pPr>
      <w:r>
        <w:rPr>
          <w:rFonts w:hint="eastAsia" w:ascii="黑体" w:eastAsia="黑体"/>
          <w:sz w:val="72"/>
          <w:szCs w:val="72"/>
        </w:rPr>
        <w:t>印刷服务采购项目</w:t>
      </w:r>
    </w:p>
    <w:p>
      <w:pPr>
        <w:autoSpaceDE/>
        <w:autoSpaceDN/>
        <w:jc w:val="center"/>
        <w:rPr>
          <w:rFonts w:ascii="黑体" w:eastAsia="黑体" w:cs="黑体"/>
          <w:color w:val="auto"/>
          <w:sz w:val="32"/>
          <w:szCs w:val="32"/>
        </w:rPr>
      </w:pPr>
      <w:r>
        <w:rPr>
          <w:rFonts w:hint="eastAsia" w:ascii="黑体" w:eastAsia="黑体" w:cs="黑体"/>
          <w:color w:val="auto"/>
          <w:sz w:val="32"/>
          <w:szCs w:val="32"/>
        </w:rPr>
        <w:t>（编号：诸政采2021-04-07）</w:t>
      </w:r>
    </w:p>
    <w:p>
      <w:pPr>
        <w:autoSpaceDE/>
        <w:autoSpaceDN/>
        <w:jc w:val="center"/>
        <w:rPr>
          <w:rFonts w:eastAsia="黑体"/>
          <w:color w:val="auto"/>
        </w:rPr>
      </w:pPr>
    </w:p>
    <w:p>
      <w:pPr>
        <w:autoSpaceDE/>
        <w:autoSpaceDN/>
        <w:jc w:val="center"/>
        <w:rPr>
          <w:b/>
          <w:bCs/>
          <w:color w:val="auto"/>
          <w:sz w:val="84"/>
          <w:szCs w:val="84"/>
        </w:rPr>
      </w:pPr>
      <w:r>
        <w:rPr>
          <w:rFonts w:hint="eastAsia" w:cs="宋体"/>
          <w:b/>
          <w:bCs/>
          <w:color w:val="auto"/>
          <w:sz w:val="84"/>
          <w:szCs w:val="84"/>
        </w:rPr>
        <w:t>招</w:t>
      </w:r>
    </w:p>
    <w:p>
      <w:pPr>
        <w:autoSpaceDE/>
        <w:autoSpaceDN/>
        <w:jc w:val="center"/>
        <w:rPr>
          <w:b/>
          <w:bCs/>
          <w:color w:val="auto"/>
          <w:sz w:val="28"/>
          <w:szCs w:val="28"/>
        </w:rPr>
      </w:pPr>
    </w:p>
    <w:p>
      <w:pPr>
        <w:autoSpaceDE/>
        <w:autoSpaceDN/>
        <w:jc w:val="center"/>
        <w:rPr>
          <w:b/>
          <w:bCs/>
          <w:color w:val="auto"/>
          <w:sz w:val="84"/>
          <w:szCs w:val="84"/>
        </w:rPr>
      </w:pPr>
      <w:r>
        <w:rPr>
          <w:rFonts w:hint="eastAsia" w:cs="宋体"/>
          <w:b/>
          <w:bCs/>
          <w:color w:val="auto"/>
          <w:sz w:val="84"/>
          <w:szCs w:val="84"/>
        </w:rPr>
        <w:t>标</w:t>
      </w:r>
    </w:p>
    <w:p>
      <w:pPr>
        <w:autoSpaceDE/>
        <w:autoSpaceDN/>
        <w:jc w:val="center"/>
        <w:rPr>
          <w:b/>
          <w:bCs/>
          <w:color w:val="auto"/>
          <w:sz w:val="28"/>
          <w:szCs w:val="28"/>
        </w:rPr>
      </w:pPr>
    </w:p>
    <w:p>
      <w:pPr>
        <w:autoSpaceDE/>
        <w:autoSpaceDN/>
        <w:jc w:val="center"/>
        <w:rPr>
          <w:b/>
          <w:bCs/>
          <w:color w:val="auto"/>
          <w:sz w:val="84"/>
          <w:szCs w:val="84"/>
        </w:rPr>
      </w:pPr>
      <w:r>
        <w:rPr>
          <w:rFonts w:hint="eastAsia" w:cs="宋体"/>
          <w:b/>
          <w:bCs/>
          <w:color w:val="auto"/>
          <w:sz w:val="84"/>
          <w:szCs w:val="84"/>
        </w:rPr>
        <w:t>文</w:t>
      </w:r>
    </w:p>
    <w:p>
      <w:pPr>
        <w:autoSpaceDE/>
        <w:autoSpaceDN/>
        <w:jc w:val="center"/>
        <w:rPr>
          <w:b/>
          <w:bCs/>
          <w:color w:val="auto"/>
          <w:sz w:val="28"/>
          <w:szCs w:val="28"/>
        </w:rPr>
      </w:pPr>
    </w:p>
    <w:p>
      <w:pPr>
        <w:autoSpaceDE/>
        <w:autoSpaceDN/>
        <w:jc w:val="center"/>
        <w:rPr>
          <w:b/>
          <w:bCs/>
          <w:color w:val="auto"/>
          <w:sz w:val="84"/>
          <w:szCs w:val="84"/>
        </w:rPr>
      </w:pPr>
      <w:r>
        <w:rPr>
          <w:rFonts w:hint="eastAsia" w:cs="宋体"/>
          <w:b/>
          <w:bCs/>
          <w:color w:val="auto"/>
          <w:sz w:val="84"/>
          <w:szCs w:val="84"/>
        </w:rPr>
        <w:t>件</w:t>
      </w:r>
    </w:p>
    <w:p>
      <w:pPr>
        <w:pStyle w:val="11"/>
        <w:snapToGrid w:val="0"/>
        <w:spacing w:before="120" w:after="120" w:line="360" w:lineRule="auto"/>
        <w:rPr>
          <w:rFonts w:ascii="隶书" w:hAnsi="Arial Narrow" w:eastAsia="隶书"/>
          <w:b/>
          <w:sz w:val="30"/>
          <w:szCs w:val="48"/>
        </w:rPr>
      </w:pPr>
      <w:r>
        <w:rPr>
          <w:rFonts w:ascii="楷体_GB2312" w:hAnsi="宋体" w:eastAsia="楷体_GB2312"/>
          <w:b/>
          <w:bCs/>
          <w:spacing w:val="70"/>
          <w:w w:val="95"/>
          <w:sz w:val="30"/>
          <w:szCs w:val="30"/>
        </w:rPr>
        <w:t>采购单位</w:t>
      </w:r>
      <w:r>
        <w:rPr>
          <w:rFonts w:ascii="楷体_GB2312" w:hAnsi="宋体" w:eastAsia="楷体_GB2312"/>
          <w:b/>
          <w:bCs/>
          <w:w w:val="95"/>
          <w:sz w:val="30"/>
          <w:szCs w:val="30"/>
        </w:rPr>
        <w:t>：</w:t>
      </w:r>
      <w:r>
        <w:rPr>
          <w:rFonts w:hint="eastAsia" w:ascii="楷体_GB2312" w:hAnsi="宋体" w:eastAsia="楷体_GB2312"/>
          <w:b/>
          <w:bCs/>
          <w:w w:val="95"/>
          <w:sz w:val="30"/>
          <w:szCs w:val="30"/>
        </w:rPr>
        <w:t>诸暨市教育考试中心</w:t>
      </w:r>
    </w:p>
    <w:p>
      <w:pPr>
        <w:pStyle w:val="11"/>
        <w:snapToGrid w:val="0"/>
        <w:spacing w:before="120" w:after="120" w:line="360" w:lineRule="auto"/>
        <w:rPr>
          <w:rFonts w:ascii="隶书" w:hAnsi="Arial Narrow" w:eastAsia="隶书"/>
          <w:b/>
          <w:sz w:val="30"/>
          <w:szCs w:val="48"/>
        </w:rPr>
      </w:pPr>
      <w:r>
        <w:rPr>
          <w:rFonts w:hint="eastAsia" w:ascii="楷体_GB2312" w:hAnsi="宋体" w:eastAsia="楷体_GB2312"/>
          <w:b/>
          <w:bCs/>
          <w:w w:val="95"/>
          <w:sz w:val="30"/>
          <w:szCs w:val="30"/>
        </w:rPr>
        <w:t>采购代理机构</w:t>
      </w:r>
      <w:r>
        <w:rPr>
          <w:rFonts w:ascii="楷体_GB2312" w:hAnsi="宋体" w:eastAsia="楷体_GB2312"/>
          <w:b/>
          <w:bCs/>
          <w:w w:val="95"/>
          <w:sz w:val="30"/>
          <w:szCs w:val="30"/>
        </w:rPr>
        <w:t>：诸暨市公共资源交易中心</w:t>
      </w:r>
    </w:p>
    <w:p>
      <w:pPr>
        <w:pStyle w:val="11"/>
        <w:snapToGrid w:val="0"/>
        <w:spacing w:before="120" w:after="120" w:line="360" w:lineRule="auto"/>
        <w:rPr>
          <w:rFonts w:ascii="隶书" w:hAnsi="Arial Narrow" w:eastAsia="隶书"/>
          <w:b/>
          <w:sz w:val="30"/>
          <w:szCs w:val="48"/>
        </w:rPr>
      </w:pPr>
      <w:r>
        <w:rPr>
          <w:rFonts w:hint="eastAsia" w:ascii="楷体_GB2312" w:hAnsi="宋体" w:eastAsia="楷体_GB2312"/>
          <w:b/>
          <w:bCs/>
          <w:spacing w:val="70"/>
          <w:w w:val="95"/>
          <w:sz w:val="30"/>
          <w:szCs w:val="30"/>
        </w:rPr>
        <w:t>监督单位</w:t>
      </w:r>
      <w:r>
        <w:rPr>
          <w:rFonts w:hint="eastAsia" w:ascii="隶书" w:hAnsi="Arial Narrow" w:eastAsia="隶书"/>
          <w:b/>
          <w:sz w:val="30"/>
          <w:szCs w:val="48"/>
        </w:rPr>
        <w:t>：</w:t>
      </w:r>
      <w:r>
        <w:rPr>
          <w:rFonts w:hint="eastAsia" w:ascii="楷体_GB2312" w:hAnsi="宋体" w:eastAsia="楷体_GB2312"/>
          <w:b/>
          <w:bCs/>
          <w:w w:val="95"/>
          <w:sz w:val="30"/>
          <w:szCs w:val="30"/>
        </w:rPr>
        <w:t>诸暨市公共资源交易管理委员会办公室</w:t>
      </w:r>
    </w:p>
    <w:p>
      <w:pPr>
        <w:pStyle w:val="11"/>
        <w:snapToGrid w:val="0"/>
        <w:spacing w:before="120" w:after="120" w:line="360" w:lineRule="auto"/>
        <w:rPr>
          <w:rFonts w:ascii="楷体_GB2312" w:hAnsi="宋体" w:eastAsia="楷体_GB2312"/>
          <w:b/>
          <w:bCs/>
          <w:w w:val="95"/>
          <w:sz w:val="30"/>
          <w:szCs w:val="30"/>
        </w:rPr>
      </w:pPr>
      <w:r>
        <w:rPr>
          <w:rFonts w:hint="eastAsia" w:ascii="隶书" w:hAnsi="Arial Narrow" w:eastAsia="隶书"/>
          <w:b/>
          <w:sz w:val="30"/>
          <w:szCs w:val="48"/>
        </w:rPr>
        <w:t xml:space="preserve">              </w:t>
      </w:r>
      <w:r>
        <w:rPr>
          <w:rFonts w:hint="eastAsia" w:ascii="楷体_GB2312" w:hAnsi="宋体" w:eastAsia="楷体_GB2312"/>
          <w:b/>
          <w:bCs/>
          <w:w w:val="95"/>
          <w:sz w:val="30"/>
          <w:szCs w:val="30"/>
        </w:rPr>
        <w:t>诸暨市财政局</w:t>
      </w:r>
    </w:p>
    <w:p>
      <w:pPr>
        <w:jc w:val="center"/>
      </w:pPr>
      <w:r>
        <w:rPr>
          <w:rFonts w:hint="eastAsia" w:ascii="楷体_GB2312" w:hAnsi="宋体" w:eastAsia="楷体_GB2312"/>
          <w:b/>
          <w:bCs/>
          <w:w w:val="95"/>
          <w:sz w:val="30"/>
          <w:szCs w:val="30"/>
        </w:rPr>
        <w:t>二</w:t>
      </w:r>
      <w:r>
        <w:rPr>
          <w:rFonts w:hint="eastAsia" w:ascii="宋体" w:hAnsi="宋体" w:cs="宋体"/>
          <w:b/>
          <w:bCs/>
          <w:w w:val="95"/>
          <w:sz w:val="30"/>
          <w:szCs w:val="30"/>
        </w:rPr>
        <w:t>〇</w:t>
      </w:r>
      <w:r>
        <w:rPr>
          <w:rFonts w:hint="eastAsia" w:ascii="楷体_GB2312" w:hAnsi="楷体_GB2312" w:eastAsia="楷体_GB2312" w:cs="楷体_GB2312"/>
          <w:b/>
          <w:bCs/>
          <w:w w:val="95"/>
          <w:sz w:val="30"/>
          <w:szCs w:val="30"/>
        </w:rPr>
        <w:t>二</w:t>
      </w:r>
      <w:r>
        <w:rPr>
          <w:rFonts w:hint="eastAsia" w:ascii="宋体" w:hAnsi="宋体" w:cs="宋体"/>
          <w:b/>
          <w:bCs/>
          <w:w w:val="95"/>
          <w:sz w:val="30"/>
          <w:szCs w:val="30"/>
        </w:rPr>
        <w:t>一</w:t>
      </w:r>
      <w:r>
        <w:rPr>
          <w:rFonts w:hint="eastAsia" w:ascii="楷体_GB2312" w:hAnsi="楷体_GB2312" w:eastAsia="楷体_GB2312" w:cs="楷体_GB2312"/>
          <w:b/>
          <w:bCs/>
          <w:w w:val="95"/>
          <w:sz w:val="30"/>
          <w:szCs w:val="30"/>
        </w:rPr>
        <w:t>年四月</w:t>
      </w:r>
    </w:p>
    <w:p>
      <w:pPr>
        <w:jc w:val="center"/>
        <w:rPr>
          <w:rFonts w:ascii="隶书" w:eastAsia="隶书"/>
          <w:b/>
          <w:sz w:val="44"/>
          <w:szCs w:val="44"/>
        </w:rPr>
      </w:pPr>
    </w:p>
    <w:p>
      <w:pPr>
        <w:jc w:val="center"/>
        <w:rPr>
          <w:rFonts w:ascii="隶书" w:eastAsia="隶书"/>
          <w:b/>
          <w:sz w:val="44"/>
          <w:szCs w:val="44"/>
        </w:rPr>
      </w:pPr>
    </w:p>
    <w:p>
      <w:pPr>
        <w:jc w:val="center"/>
        <w:rPr>
          <w:rFonts w:ascii="隶书" w:eastAsia="隶书"/>
          <w:b/>
          <w:sz w:val="44"/>
          <w:szCs w:val="44"/>
        </w:rPr>
      </w:pPr>
    </w:p>
    <w:p>
      <w:pPr>
        <w:jc w:val="center"/>
        <w:rPr>
          <w:rFonts w:ascii="仿宋_GB2312" w:eastAsia="仿宋_GB2312"/>
          <w:b/>
          <w:sz w:val="44"/>
          <w:szCs w:val="44"/>
        </w:rPr>
      </w:pPr>
      <w:r>
        <w:rPr>
          <w:rFonts w:hint="eastAsia" w:ascii="仿宋_GB2312" w:eastAsia="仿宋_GB2312"/>
          <w:b/>
          <w:sz w:val="44"/>
          <w:szCs w:val="44"/>
        </w:rPr>
        <w:t>目录</w:t>
      </w:r>
    </w:p>
    <w:p>
      <w:pPr>
        <w:jc w:val="center"/>
        <w:rPr>
          <w:rFonts w:ascii="隶书" w:eastAsia="隶书"/>
          <w:b/>
          <w:sz w:val="44"/>
          <w:szCs w:val="44"/>
        </w:rPr>
      </w:pPr>
    </w:p>
    <w:p>
      <w:pPr>
        <w:jc w:val="center"/>
        <w:rPr>
          <w:rFonts w:ascii="隶书" w:eastAsia="隶书"/>
        </w:rPr>
      </w:pPr>
    </w:p>
    <w:p>
      <w:pPr>
        <w:snapToGrid w:val="0"/>
        <w:spacing w:line="480" w:lineRule="auto"/>
        <w:ind w:firstLine="1807" w:firstLineChars="500"/>
        <w:jc w:val="left"/>
        <w:rPr>
          <w:rFonts w:ascii="仿宋_GB2312" w:hAnsi="宋体" w:eastAsia="仿宋_GB2312"/>
          <w:b/>
          <w:sz w:val="36"/>
          <w:szCs w:val="36"/>
        </w:rPr>
      </w:pPr>
      <w:r>
        <w:rPr>
          <w:rFonts w:hint="eastAsia" w:ascii="仿宋_GB2312" w:hAnsi="宋体" w:eastAsia="仿宋_GB2312"/>
          <w:b/>
          <w:sz w:val="36"/>
          <w:szCs w:val="36"/>
        </w:rPr>
        <w:t>第一章    招标公告</w:t>
      </w:r>
    </w:p>
    <w:p>
      <w:pPr>
        <w:snapToGrid w:val="0"/>
        <w:spacing w:line="480" w:lineRule="auto"/>
        <w:ind w:firstLine="1807" w:firstLineChars="500"/>
        <w:jc w:val="left"/>
        <w:rPr>
          <w:rFonts w:ascii="仿宋_GB2312" w:hAnsi="宋体" w:eastAsia="仿宋_GB2312"/>
          <w:b/>
          <w:sz w:val="36"/>
          <w:szCs w:val="36"/>
        </w:rPr>
      </w:pPr>
      <w:r>
        <w:rPr>
          <w:rFonts w:hint="eastAsia" w:ascii="仿宋_GB2312" w:hAnsi="宋体" w:eastAsia="仿宋_GB2312"/>
          <w:b/>
          <w:sz w:val="36"/>
          <w:szCs w:val="36"/>
        </w:rPr>
        <w:t>第二章    投标须知</w:t>
      </w:r>
    </w:p>
    <w:p>
      <w:pPr>
        <w:snapToGrid w:val="0"/>
        <w:spacing w:line="480" w:lineRule="auto"/>
        <w:ind w:firstLine="1807" w:firstLineChars="500"/>
        <w:jc w:val="left"/>
        <w:rPr>
          <w:rFonts w:ascii="仿宋_GB2312" w:hAnsi="宋体" w:eastAsia="仿宋_GB2312"/>
          <w:b/>
          <w:sz w:val="36"/>
          <w:szCs w:val="36"/>
        </w:rPr>
      </w:pPr>
      <w:r>
        <w:rPr>
          <w:rFonts w:hint="eastAsia" w:ascii="仿宋_GB2312" w:hAnsi="宋体" w:eastAsia="仿宋_GB2312"/>
          <w:b/>
          <w:sz w:val="36"/>
          <w:szCs w:val="36"/>
        </w:rPr>
        <w:t>第三章    招标需求</w:t>
      </w:r>
    </w:p>
    <w:p>
      <w:pPr>
        <w:snapToGrid w:val="0"/>
        <w:spacing w:line="480" w:lineRule="auto"/>
        <w:ind w:firstLine="1807" w:firstLineChars="500"/>
        <w:jc w:val="left"/>
        <w:rPr>
          <w:rFonts w:ascii="仿宋_GB2312" w:hAnsi="宋体" w:eastAsia="仿宋_GB2312"/>
          <w:b/>
          <w:sz w:val="36"/>
          <w:szCs w:val="36"/>
        </w:rPr>
      </w:pPr>
      <w:r>
        <w:rPr>
          <w:rFonts w:hint="eastAsia" w:ascii="仿宋_GB2312" w:hAnsi="宋体" w:eastAsia="仿宋_GB2312"/>
          <w:b/>
          <w:sz w:val="36"/>
          <w:szCs w:val="36"/>
        </w:rPr>
        <w:t>第四章    诸暨市政府采购合同</w:t>
      </w:r>
    </w:p>
    <w:p>
      <w:pPr>
        <w:snapToGrid w:val="0"/>
        <w:spacing w:line="480" w:lineRule="auto"/>
        <w:ind w:firstLine="1807" w:firstLineChars="500"/>
        <w:jc w:val="left"/>
        <w:rPr>
          <w:rFonts w:ascii="仿宋_GB2312" w:hAnsi="宋体" w:eastAsia="仿宋_GB2312"/>
          <w:b/>
          <w:sz w:val="36"/>
          <w:szCs w:val="36"/>
        </w:rPr>
      </w:pPr>
      <w:r>
        <w:rPr>
          <w:rFonts w:hint="eastAsia" w:ascii="仿宋_GB2312" w:hAnsi="宋体" w:eastAsia="仿宋_GB2312"/>
          <w:b/>
          <w:sz w:val="36"/>
          <w:szCs w:val="36"/>
        </w:rPr>
        <w:t>第五章    应提交的有关格式范例</w:t>
      </w:r>
    </w:p>
    <w:p>
      <w:pPr>
        <w:snapToGrid w:val="0"/>
        <w:spacing w:line="480" w:lineRule="auto"/>
        <w:ind w:firstLine="1807" w:firstLineChars="500"/>
        <w:jc w:val="left"/>
        <w:rPr>
          <w:rFonts w:ascii="仿宋_GB2312" w:hAnsi="宋体" w:eastAsia="仿宋_GB2312"/>
          <w:b/>
          <w:sz w:val="36"/>
          <w:szCs w:val="36"/>
        </w:rPr>
      </w:pPr>
      <w:r>
        <w:rPr>
          <w:rFonts w:hint="eastAsia" w:ascii="仿宋_GB2312" w:hAnsi="宋体" w:eastAsia="仿宋_GB2312"/>
          <w:b/>
          <w:sz w:val="36"/>
          <w:szCs w:val="36"/>
        </w:rPr>
        <w:t xml:space="preserve">  </w:t>
      </w:r>
    </w:p>
    <w:p>
      <w:pPr>
        <w:spacing w:line="360" w:lineRule="auto"/>
        <w:ind w:firstLine="482" w:firstLineChars="200"/>
        <w:jc w:val="center"/>
        <w:rPr>
          <w:rFonts w:ascii="宋体" w:hAnsi="宋体"/>
          <w:b/>
          <w:sz w:val="24"/>
        </w:rPr>
      </w:pPr>
      <w:r>
        <w:rPr>
          <w:rFonts w:hint="eastAsia" w:ascii="宋体" w:hAnsi="宋体"/>
          <w:b/>
          <w:sz w:val="24"/>
        </w:rPr>
        <w:t>本招标文件为2021年新制版本，请各位投标人详细阅读各项条款</w:t>
      </w:r>
    </w:p>
    <w:p>
      <w:pPr>
        <w:spacing w:line="360" w:lineRule="auto"/>
        <w:ind w:firstLine="482" w:firstLineChars="200"/>
        <w:jc w:val="center"/>
        <w:rPr>
          <w:rFonts w:ascii="宋体" w:hAnsi="宋体"/>
          <w:b/>
          <w:sz w:val="24"/>
        </w:rPr>
      </w:pPr>
    </w:p>
    <w:p>
      <w:pPr>
        <w:jc w:val="center"/>
        <w:rPr>
          <w:rFonts w:ascii="宋体" w:hAnsi="宋体"/>
          <w:b/>
          <w:sz w:val="36"/>
          <w:szCs w:val="36"/>
        </w:rPr>
        <w:sectPr>
          <w:headerReference r:id="rId3" w:type="first"/>
          <w:footerReference r:id="rId4" w:type="default"/>
          <w:footerReference r:id="rId5" w:type="even"/>
          <w:pgSz w:w="11906" w:h="16838"/>
          <w:pgMar w:top="1247" w:right="1418" w:bottom="1247" w:left="1418" w:header="851" w:footer="907" w:gutter="0"/>
          <w:pgNumType w:start="0"/>
          <w:cols w:space="720" w:num="1"/>
          <w:docGrid w:type="lines" w:linePitch="312" w:charSpace="0"/>
        </w:sectPr>
      </w:pPr>
      <w:bookmarkStart w:id="0" w:name="_Toc125344501"/>
    </w:p>
    <w:p>
      <w:pPr>
        <w:jc w:val="center"/>
        <w:rPr>
          <w:rFonts w:ascii="宋体" w:hAnsi="宋体"/>
          <w:b/>
          <w:sz w:val="36"/>
          <w:szCs w:val="36"/>
        </w:rPr>
      </w:pPr>
      <w:r>
        <w:rPr>
          <w:rFonts w:hint="eastAsia" w:ascii="宋体" w:hAnsi="宋体"/>
          <w:b/>
          <w:sz w:val="36"/>
          <w:szCs w:val="36"/>
        </w:rPr>
        <w:t>第一章  招标公告</w:t>
      </w:r>
      <w:bookmarkEnd w:id="0"/>
    </w:p>
    <w:p>
      <w:pPr>
        <w:pBdr>
          <w:top w:val="single" w:color="auto" w:sz="4" w:space="1"/>
          <w:left w:val="single" w:color="auto" w:sz="4" w:space="4"/>
          <w:bottom w:val="single" w:color="auto" w:sz="4" w:space="1"/>
          <w:right w:val="single" w:color="auto" w:sz="4" w:space="4"/>
        </w:pBdr>
        <w:spacing w:line="360" w:lineRule="auto"/>
        <w:ind w:firstLine="480" w:firstLineChars="200"/>
        <w:rPr>
          <w:rFonts w:ascii="仿宋" w:hAnsi="仿宋" w:eastAsia="仿宋"/>
          <w:sz w:val="28"/>
          <w:szCs w:val="28"/>
          <w:u w:val="single"/>
        </w:rPr>
      </w:pPr>
      <w:bookmarkStart w:id="1" w:name="_Toc125344503"/>
      <w:r>
        <w:rPr>
          <w:rFonts w:hint="eastAsia" w:ascii="宋体" w:hAnsi="宋体"/>
          <w:sz w:val="24"/>
          <w:szCs w:val="24"/>
        </w:rPr>
        <w:t>项目概况</w:t>
      </w:r>
    </w:p>
    <w:p>
      <w:pPr>
        <w:pBdr>
          <w:top w:val="single" w:color="auto" w:sz="4" w:space="1"/>
          <w:left w:val="single" w:color="auto" w:sz="4" w:space="4"/>
          <w:bottom w:val="single" w:color="auto" w:sz="4" w:space="1"/>
          <w:right w:val="single" w:color="auto" w:sz="4" w:space="4"/>
        </w:pBdr>
        <w:spacing w:line="360" w:lineRule="auto"/>
        <w:ind w:firstLine="241" w:firstLineChars="100"/>
        <w:rPr>
          <w:rFonts w:ascii="仿宋" w:hAnsi="仿宋" w:eastAsia="仿宋"/>
          <w:sz w:val="28"/>
          <w:szCs w:val="28"/>
        </w:rPr>
      </w:pPr>
      <w:r>
        <w:rPr>
          <w:rFonts w:hint="eastAsia" w:ascii="宋体" w:hAnsi="宋体"/>
          <w:b/>
          <w:color w:val="FFFFFF" w:themeColor="background1"/>
          <w:sz w:val="24"/>
          <w:szCs w:val="24"/>
          <w:u w:val="single"/>
        </w:rPr>
        <w:t>.</w:t>
      </w:r>
      <w:r>
        <w:rPr>
          <w:rFonts w:hint="eastAsia" w:ascii="宋体" w:hAnsi="宋体"/>
          <w:b/>
          <w:sz w:val="24"/>
          <w:szCs w:val="24"/>
          <w:u w:val="single"/>
        </w:rPr>
        <w:t xml:space="preserve"> </w:t>
      </w:r>
      <w:r>
        <w:rPr>
          <w:rFonts w:hint="eastAsia" w:ascii="宋体" w:hAnsi="宋体" w:cs="宋体"/>
          <w:sz w:val="24"/>
          <w:u w:val="single"/>
        </w:rPr>
        <w:t xml:space="preserve"> 诸暨市教育考试中心《2021年高中招生考生指南》印刷服务采购项目</w:t>
      </w:r>
      <w:r>
        <w:rPr>
          <w:rFonts w:hint="eastAsia" w:ascii="宋体" w:hAnsi="宋体"/>
          <w:b/>
          <w:sz w:val="24"/>
          <w:szCs w:val="24"/>
          <w:u w:val="single"/>
        </w:rPr>
        <w:t xml:space="preserve">   </w:t>
      </w:r>
      <w:r>
        <w:rPr>
          <w:rFonts w:hint="eastAsia" w:ascii="宋体" w:hAnsi="宋体"/>
          <w:sz w:val="24"/>
          <w:szCs w:val="24"/>
        </w:rPr>
        <w:t>的潜在投标人应在浙江政府采购网“政府采购云平台”或诸暨市公共资源交易网“政府采购”板块获取（下载）招标文件，并于</w:t>
      </w:r>
      <w:r>
        <w:rPr>
          <w:rFonts w:hint="eastAsia" w:ascii="宋体" w:hAnsi="宋体"/>
          <w:color w:val="auto"/>
          <w:sz w:val="24"/>
          <w:szCs w:val="24"/>
          <w:u w:val="single"/>
        </w:rPr>
        <w:t xml:space="preserve">  </w:t>
      </w:r>
      <w:r>
        <w:rPr>
          <w:rFonts w:hint="eastAsia" w:ascii="宋体" w:hAnsi="宋体"/>
          <w:b/>
          <w:color w:val="auto"/>
          <w:sz w:val="24"/>
          <w:szCs w:val="24"/>
          <w:u w:val="single"/>
        </w:rPr>
        <w:t>2</w:t>
      </w:r>
      <w:r>
        <w:rPr>
          <w:rFonts w:hint="eastAsia" w:ascii="宋体" w:hAnsi="宋体"/>
          <w:b/>
          <w:sz w:val="24"/>
          <w:szCs w:val="24"/>
          <w:u w:val="single"/>
        </w:rPr>
        <w:t>021 年 5 月 19 日 9 时 30 分</w:t>
      </w:r>
      <w:r>
        <w:rPr>
          <w:rFonts w:hint="eastAsia" w:ascii="宋体" w:hAnsi="宋体"/>
          <w:sz w:val="24"/>
          <w:szCs w:val="24"/>
          <w:u w:val="single"/>
        </w:rPr>
        <w:t xml:space="preserve">（北京时间）  </w:t>
      </w:r>
      <w:r>
        <w:rPr>
          <w:rFonts w:hint="eastAsia" w:ascii="宋体" w:hAnsi="宋体"/>
          <w:sz w:val="24"/>
          <w:szCs w:val="24"/>
        </w:rPr>
        <w:t>前递交（上传）投标文件。</w:t>
      </w:r>
    </w:p>
    <w:p>
      <w:pPr>
        <w:rPr>
          <w:rFonts w:asciiTheme="minorEastAsia" w:hAnsiTheme="minorEastAsia" w:eastAsiaTheme="minorEastAsia"/>
          <w:b/>
          <w:sz w:val="28"/>
          <w:szCs w:val="28"/>
        </w:rPr>
      </w:pPr>
      <w:bookmarkStart w:id="2" w:name="_Toc28359002"/>
      <w:bookmarkStart w:id="3" w:name="_Toc35393790"/>
      <w:bookmarkStart w:id="4" w:name="_Toc28359079"/>
      <w:bookmarkStart w:id="5" w:name="_Toc35393621"/>
      <w:r>
        <w:rPr>
          <w:rFonts w:hint="eastAsia" w:asciiTheme="minorEastAsia" w:hAnsiTheme="minorEastAsia" w:eastAsiaTheme="minorEastAsia"/>
          <w:b/>
          <w:sz w:val="28"/>
          <w:szCs w:val="28"/>
        </w:rPr>
        <w:t>一、项目基本情况</w:t>
      </w:r>
      <w:bookmarkEnd w:id="2"/>
      <w:bookmarkEnd w:id="3"/>
      <w:bookmarkEnd w:id="4"/>
      <w:bookmarkEnd w:id="5"/>
    </w:p>
    <w:p>
      <w:pPr>
        <w:pStyle w:val="11"/>
        <w:ind w:firstLine="480" w:firstLineChars="200"/>
        <w:rPr>
          <w:rFonts w:ascii="宋体" w:hAnsi="宋体"/>
          <w:szCs w:val="24"/>
        </w:rPr>
      </w:pPr>
      <w:r>
        <w:rPr>
          <w:rFonts w:hint="eastAsia" w:ascii="宋体" w:hAnsi="宋体"/>
          <w:szCs w:val="24"/>
        </w:rPr>
        <w:t>项目编号：诸政采2021-04-07</w:t>
      </w:r>
    </w:p>
    <w:p>
      <w:pPr>
        <w:pStyle w:val="11"/>
        <w:ind w:firstLine="480" w:firstLineChars="200"/>
        <w:rPr>
          <w:rFonts w:ascii="宋体" w:hAnsi="宋体"/>
          <w:szCs w:val="24"/>
        </w:rPr>
      </w:pPr>
      <w:r>
        <w:rPr>
          <w:rFonts w:hint="eastAsia" w:ascii="宋体" w:hAnsi="宋体"/>
          <w:szCs w:val="24"/>
        </w:rPr>
        <w:t>项目名称：</w:t>
      </w:r>
      <w:r>
        <w:rPr>
          <w:rFonts w:hint="eastAsia" w:ascii="宋体" w:hAnsi="宋体" w:cs="宋体"/>
        </w:rPr>
        <w:t>诸暨市教育考试中心《2021年高中招生考生指南》印刷服务采购项目</w:t>
      </w:r>
    </w:p>
    <w:p>
      <w:pPr>
        <w:pStyle w:val="11"/>
        <w:ind w:firstLine="480" w:firstLineChars="200"/>
        <w:rPr>
          <w:rFonts w:ascii="宋体" w:hAnsi="宋体"/>
          <w:szCs w:val="24"/>
        </w:rPr>
      </w:pPr>
      <w:r>
        <w:rPr>
          <w:rFonts w:hint="eastAsia" w:ascii="宋体" w:hAnsi="宋体"/>
          <w:szCs w:val="24"/>
        </w:rPr>
        <w:t>预算金额：标的总预算3.5万元</w:t>
      </w:r>
    </w:p>
    <w:p>
      <w:pPr>
        <w:pStyle w:val="11"/>
        <w:ind w:firstLine="480" w:firstLineChars="200"/>
        <w:rPr>
          <w:rFonts w:ascii="宋体" w:hAnsi="宋体"/>
          <w:szCs w:val="24"/>
        </w:rPr>
      </w:pPr>
      <w:r>
        <w:rPr>
          <w:rFonts w:hint="eastAsia" w:ascii="宋体" w:hAnsi="宋体"/>
          <w:szCs w:val="24"/>
        </w:rPr>
        <w:t>最高限价：3.5万元</w:t>
      </w:r>
    </w:p>
    <w:p>
      <w:pPr>
        <w:pStyle w:val="11"/>
        <w:ind w:firstLine="480" w:firstLineChars="200"/>
        <w:rPr>
          <w:rFonts w:ascii="宋体" w:hAnsi="宋体"/>
          <w:szCs w:val="24"/>
        </w:rPr>
      </w:pPr>
      <w:r>
        <w:rPr>
          <w:rFonts w:hint="eastAsia" w:ascii="宋体" w:hAnsi="宋体"/>
          <w:szCs w:val="24"/>
        </w:rPr>
        <w:t>采购需求：详见招标文件，标的内容如下：</w:t>
      </w:r>
    </w:p>
    <w:tbl>
      <w:tblPr>
        <w:tblStyle w:val="21"/>
        <w:tblW w:w="0" w:type="auto"/>
        <w:jc w:val="center"/>
        <w:tblLayout w:type="fixed"/>
        <w:tblCellMar>
          <w:top w:w="0" w:type="dxa"/>
          <w:left w:w="0" w:type="dxa"/>
          <w:bottom w:w="0" w:type="dxa"/>
          <w:right w:w="0" w:type="dxa"/>
        </w:tblCellMar>
      </w:tblPr>
      <w:tblGrid>
        <w:gridCol w:w="4681"/>
        <w:gridCol w:w="1709"/>
        <w:gridCol w:w="1171"/>
      </w:tblGrid>
      <w:tr>
        <w:tblPrEx>
          <w:tblCellMar>
            <w:top w:w="0" w:type="dxa"/>
            <w:left w:w="0" w:type="dxa"/>
            <w:bottom w:w="0" w:type="dxa"/>
            <w:right w:w="0" w:type="dxa"/>
          </w:tblCellMar>
        </w:tblPrEx>
        <w:trPr>
          <w:trHeight w:val="261" w:hRule="atLeast"/>
          <w:jc w:val="center"/>
        </w:trPr>
        <w:tc>
          <w:tcPr>
            <w:tcW w:w="4681" w:type="dxa"/>
            <w:tcBorders>
              <w:top w:val="single" w:color="auto" w:sz="8" w:space="0"/>
              <w:left w:val="single" w:color="auto" w:sz="8" w:space="0"/>
              <w:bottom w:val="single" w:color="auto" w:sz="8" w:space="0"/>
              <w:right w:val="single" w:color="auto" w:sz="8" w:space="0"/>
            </w:tcBorders>
            <w:tcMar>
              <w:top w:w="0" w:type="dxa"/>
              <w:left w:w="108" w:type="dxa"/>
              <w:bottom w:w="0" w:type="dxa"/>
              <w:right w:w="108" w:type="dxa"/>
            </w:tcMar>
            <w:vAlign w:val="center"/>
          </w:tcPr>
          <w:p>
            <w:pPr>
              <w:widowControl/>
              <w:jc w:val="center"/>
            </w:pPr>
            <w:r>
              <w:rPr>
                <w:rFonts w:hint="eastAsia" w:ascii="宋体" w:hAnsi="宋体"/>
                <w:b/>
                <w:bCs/>
                <w:sz w:val="24"/>
              </w:rPr>
              <w:t>采购内容</w:t>
            </w:r>
          </w:p>
        </w:tc>
        <w:tc>
          <w:tcPr>
            <w:tcW w:w="1709" w:type="dxa"/>
            <w:tcBorders>
              <w:top w:val="single" w:color="auto" w:sz="8" w:space="0"/>
              <w:left w:val="single" w:color="auto" w:sz="4" w:space="0"/>
              <w:bottom w:val="single" w:color="auto" w:sz="8" w:space="0"/>
              <w:right w:val="single" w:color="auto" w:sz="8" w:space="0"/>
            </w:tcBorders>
            <w:vAlign w:val="center"/>
          </w:tcPr>
          <w:p>
            <w:pPr>
              <w:widowControl/>
              <w:jc w:val="center"/>
              <w:rPr>
                <w:b/>
              </w:rPr>
            </w:pPr>
            <w:r>
              <w:rPr>
                <w:rFonts w:hint="eastAsia"/>
                <w:b/>
              </w:rPr>
              <w:t>简要技术需求</w:t>
            </w:r>
          </w:p>
          <w:p>
            <w:pPr>
              <w:widowControl/>
              <w:jc w:val="center"/>
              <w:rPr>
                <w:b/>
              </w:rPr>
            </w:pPr>
            <w:r>
              <w:rPr>
                <w:rFonts w:hint="eastAsia"/>
                <w:b/>
              </w:rPr>
              <w:t>或服务要求</w:t>
            </w:r>
          </w:p>
        </w:tc>
        <w:tc>
          <w:tcPr>
            <w:tcW w:w="1171" w:type="dxa"/>
            <w:tcBorders>
              <w:top w:val="single" w:color="auto" w:sz="8" w:space="0"/>
              <w:left w:val="single" w:color="auto" w:sz="8" w:space="0"/>
              <w:bottom w:val="single" w:color="auto" w:sz="8" w:space="0"/>
              <w:right w:val="single" w:color="auto" w:sz="8" w:space="0"/>
            </w:tcBorders>
            <w:vAlign w:val="center"/>
          </w:tcPr>
          <w:p>
            <w:pPr>
              <w:widowControl/>
              <w:jc w:val="center"/>
              <w:rPr>
                <w:b/>
              </w:rPr>
            </w:pPr>
            <w:r>
              <w:rPr>
                <w:rFonts w:hint="eastAsia"/>
                <w:b/>
              </w:rPr>
              <w:t>最高限价</w:t>
            </w:r>
          </w:p>
          <w:p>
            <w:pPr>
              <w:widowControl/>
              <w:jc w:val="center"/>
              <w:rPr>
                <w:b/>
              </w:rPr>
            </w:pPr>
            <w:r>
              <w:rPr>
                <w:rFonts w:hint="eastAsia"/>
                <w:b/>
              </w:rPr>
              <w:t>（万元）</w:t>
            </w:r>
          </w:p>
        </w:tc>
      </w:tr>
      <w:tr>
        <w:tblPrEx>
          <w:tblCellMar>
            <w:top w:w="0" w:type="dxa"/>
            <w:left w:w="0" w:type="dxa"/>
            <w:bottom w:w="0" w:type="dxa"/>
            <w:right w:w="0" w:type="dxa"/>
          </w:tblCellMar>
        </w:tblPrEx>
        <w:trPr>
          <w:trHeight w:val="1401" w:hRule="atLeast"/>
          <w:jc w:val="center"/>
        </w:trPr>
        <w:tc>
          <w:tcPr>
            <w:tcW w:w="4681" w:type="dxa"/>
            <w:tcBorders>
              <w:top w:val="single" w:color="auto" w:sz="8" w:space="0"/>
              <w:left w:val="single" w:color="auto" w:sz="8" w:space="0"/>
              <w:bottom w:val="single" w:color="auto" w:sz="4" w:space="0"/>
              <w:right w:val="single" w:color="auto" w:sz="8" w:space="0"/>
            </w:tcBorders>
            <w:tcMar>
              <w:top w:w="0" w:type="dxa"/>
              <w:left w:w="108" w:type="dxa"/>
              <w:bottom w:w="0" w:type="dxa"/>
              <w:right w:w="108" w:type="dxa"/>
            </w:tcMar>
            <w:vAlign w:val="center"/>
          </w:tcPr>
          <w:p>
            <w:pPr>
              <w:spacing w:line="276" w:lineRule="auto"/>
              <w:jc w:val="center"/>
              <w:rPr>
                <w:rFonts w:ascii="宋体" w:hAnsi="宋体" w:cs="宋体"/>
                <w:sz w:val="24"/>
              </w:rPr>
            </w:pPr>
            <w:r>
              <w:rPr>
                <w:rFonts w:hint="eastAsia" w:ascii="宋体" w:hAnsi="宋体" w:cs="宋体"/>
                <w:sz w:val="24"/>
              </w:rPr>
              <w:t>诸暨市教育考试中心《2021年高中招生</w:t>
            </w:r>
          </w:p>
          <w:p>
            <w:pPr>
              <w:spacing w:line="276" w:lineRule="auto"/>
              <w:jc w:val="center"/>
              <w:rPr>
                <w:rFonts w:ascii="宋体" w:hAnsi="宋体"/>
                <w:kern w:val="2"/>
                <w:sz w:val="24"/>
                <w:szCs w:val="24"/>
              </w:rPr>
            </w:pPr>
            <w:r>
              <w:rPr>
                <w:rFonts w:hint="eastAsia" w:ascii="宋体" w:hAnsi="宋体" w:cs="宋体"/>
                <w:sz w:val="24"/>
              </w:rPr>
              <w:t>考生指南》印刷服务采购项目</w:t>
            </w:r>
          </w:p>
        </w:tc>
        <w:tc>
          <w:tcPr>
            <w:tcW w:w="1709" w:type="dxa"/>
            <w:tcBorders>
              <w:top w:val="single" w:color="auto" w:sz="8" w:space="0"/>
              <w:left w:val="single" w:color="auto" w:sz="4" w:space="0"/>
              <w:bottom w:val="single" w:color="auto" w:sz="4" w:space="0"/>
              <w:right w:val="single" w:color="auto" w:sz="8" w:space="0"/>
            </w:tcBorders>
            <w:vAlign w:val="center"/>
          </w:tcPr>
          <w:p>
            <w:pPr>
              <w:widowControl/>
              <w:autoSpaceDE/>
              <w:autoSpaceDN/>
              <w:adjustRightInd/>
              <w:jc w:val="center"/>
              <w:rPr>
                <w:rFonts w:ascii="宋体" w:hAnsi="宋体"/>
                <w:kern w:val="2"/>
                <w:sz w:val="24"/>
                <w:szCs w:val="24"/>
              </w:rPr>
            </w:pPr>
            <w:r>
              <w:rPr>
                <w:rFonts w:hint="eastAsia" w:ascii="宋体" w:hAnsi="宋体"/>
                <w:kern w:val="2"/>
                <w:sz w:val="24"/>
                <w:szCs w:val="24"/>
              </w:rPr>
              <w:t>详见招标文件</w:t>
            </w:r>
          </w:p>
        </w:tc>
        <w:tc>
          <w:tcPr>
            <w:tcW w:w="1171" w:type="dxa"/>
            <w:tcBorders>
              <w:top w:val="single" w:color="auto" w:sz="8" w:space="0"/>
              <w:left w:val="single" w:color="auto" w:sz="8" w:space="0"/>
              <w:bottom w:val="single" w:color="auto" w:sz="4" w:space="0"/>
              <w:right w:val="single" w:color="auto" w:sz="8" w:space="0"/>
            </w:tcBorders>
            <w:vAlign w:val="center"/>
          </w:tcPr>
          <w:p>
            <w:pPr>
              <w:widowControl/>
              <w:autoSpaceDE/>
              <w:autoSpaceDN/>
              <w:adjustRightInd/>
              <w:jc w:val="center"/>
              <w:rPr>
                <w:rFonts w:ascii="宋体" w:hAnsi="宋体"/>
                <w:kern w:val="2"/>
                <w:sz w:val="24"/>
                <w:szCs w:val="24"/>
              </w:rPr>
            </w:pPr>
            <w:r>
              <w:rPr>
                <w:rFonts w:hint="eastAsia" w:ascii="宋体" w:hAnsi="宋体"/>
                <w:kern w:val="2"/>
                <w:sz w:val="24"/>
                <w:szCs w:val="24"/>
              </w:rPr>
              <w:t>3.5</w:t>
            </w:r>
          </w:p>
        </w:tc>
      </w:tr>
    </w:tbl>
    <w:p>
      <w:pPr>
        <w:pStyle w:val="11"/>
        <w:ind w:firstLine="480" w:firstLineChars="200"/>
        <w:rPr>
          <w:rFonts w:ascii="宋体" w:hAnsi="宋体"/>
          <w:szCs w:val="24"/>
        </w:rPr>
      </w:pPr>
      <w:r>
        <w:rPr>
          <w:rFonts w:hint="eastAsia" w:ascii="宋体" w:hAnsi="宋体"/>
          <w:szCs w:val="24"/>
        </w:rPr>
        <w:t xml:space="preserve"> </w:t>
      </w:r>
      <w:bookmarkStart w:id="6" w:name="_Toc28359080"/>
      <w:bookmarkStart w:id="7" w:name="_Toc28359003"/>
      <w:bookmarkStart w:id="8" w:name="_Toc35393791"/>
      <w:bookmarkStart w:id="9" w:name="_Toc35393622"/>
    </w:p>
    <w:p>
      <w:pPr>
        <w:rPr>
          <w:rFonts w:asciiTheme="minorEastAsia" w:hAnsiTheme="minorEastAsia" w:eastAsiaTheme="minorEastAsia"/>
          <w:b/>
          <w:sz w:val="28"/>
          <w:szCs w:val="28"/>
        </w:rPr>
      </w:pPr>
      <w:r>
        <w:rPr>
          <w:rFonts w:hint="eastAsia" w:asciiTheme="minorEastAsia" w:hAnsiTheme="minorEastAsia" w:eastAsiaTheme="minorEastAsia"/>
          <w:b/>
          <w:sz w:val="28"/>
          <w:szCs w:val="28"/>
        </w:rPr>
        <w:t>二、申请人的资格要求：</w:t>
      </w:r>
      <w:bookmarkEnd w:id="6"/>
      <w:bookmarkEnd w:id="7"/>
      <w:bookmarkEnd w:id="8"/>
      <w:bookmarkEnd w:id="9"/>
    </w:p>
    <w:p>
      <w:pPr>
        <w:pStyle w:val="11"/>
        <w:spacing w:line="360" w:lineRule="exact"/>
        <w:ind w:firstLine="480" w:firstLineChars="200"/>
        <w:rPr>
          <w:rFonts w:ascii="宋体" w:hAnsi="宋体"/>
          <w:szCs w:val="24"/>
        </w:rPr>
      </w:pPr>
      <w:r>
        <w:rPr>
          <w:rFonts w:hint="eastAsia" w:ascii="宋体" w:hAnsi="宋体"/>
          <w:szCs w:val="24"/>
        </w:rPr>
        <w:t>1.符合《中华人民共和国政府采购法》第二十二条。</w:t>
      </w:r>
    </w:p>
    <w:p>
      <w:pPr>
        <w:pStyle w:val="11"/>
        <w:spacing w:line="360" w:lineRule="exact"/>
        <w:ind w:firstLine="480" w:firstLineChars="200"/>
        <w:rPr>
          <w:rFonts w:ascii="宋体" w:hAnsi="宋体"/>
          <w:szCs w:val="24"/>
        </w:rPr>
      </w:pPr>
      <w:r>
        <w:rPr>
          <w:rFonts w:ascii="宋体" w:hAnsi="宋体"/>
          <w:szCs w:val="24"/>
        </w:rPr>
        <w:t>2</w:t>
      </w:r>
      <w:r>
        <w:rPr>
          <w:rFonts w:hint="eastAsia" w:ascii="宋体" w:hAnsi="宋体"/>
          <w:szCs w:val="24"/>
        </w:rPr>
        <w:t>.未被“信用中国”（www.creditchina.gov.cn）、中国政府采购网（www.ccgp.gov.cn）列入失信被执行人、重大税收违法案件当事人、政府采购严重违法失信行为记录名单。</w:t>
      </w:r>
    </w:p>
    <w:p>
      <w:pPr>
        <w:pStyle w:val="90"/>
        <w:widowControl w:val="0"/>
        <w:spacing w:after="156" w:line="360" w:lineRule="exact"/>
        <w:ind w:firstLine="480"/>
        <w:rPr>
          <w:rFonts w:ascii="宋体" w:hAnsi="宋体"/>
          <w:kern w:val="2"/>
          <w:szCs w:val="24"/>
        </w:rPr>
      </w:pPr>
      <w:r>
        <w:rPr>
          <w:rFonts w:hint="eastAsia" w:ascii="宋体" w:hAnsi="宋体"/>
          <w:szCs w:val="24"/>
        </w:rPr>
        <w:t>3、</w:t>
      </w:r>
      <w:r>
        <w:rPr>
          <w:rFonts w:hint="eastAsia" w:ascii="宋体" w:hAnsi="宋体"/>
          <w:kern w:val="2"/>
          <w:szCs w:val="24"/>
        </w:rPr>
        <w:t>本项目不接受联合体投标。</w:t>
      </w:r>
    </w:p>
    <w:p>
      <w:pPr>
        <w:rPr>
          <w:rFonts w:asciiTheme="minorEastAsia" w:hAnsiTheme="minorEastAsia" w:eastAsiaTheme="minorEastAsia"/>
          <w:b/>
          <w:sz w:val="28"/>
          <w:szCs w:val="28"/>
        </w:rPr>
      </w:pPr>
      <w:bookmarkStart w:id="10" w:name="_Toc35393623"/>
      <w:bookmarkStart w:id="11" w:name="_Toc35393792"/>
      <w:r>
        <w:rPr>
          <w:rFonts w:hint="eastAsia" w:asciiTheme="minorEastAsia" w:hAnsiTheme="minorEastAsia" w:eastAsiaTheme="minorEastAsia"/>
          <w:b/>
          <w:sz w:val="28"/>
          <w:szCs w:val="28"/>
        </w:rPr>
        <w:t>三、获取招标文件</w:t>
      </w:r>
      <w:bookmarkEnd w:id="10"/>
      <w:bookmarkEnd w:id="11"/>
    </w:p>
    <w:p>
      <w:pPr>
        <w:pStyle w:val="11"/>
        <w:ind w:firstLine="480" w:firstLineChars="200"/>
        <w:rPr>
          <w:rFonts w:ascii="宋体" w:hAnsi="宋体"/>
          <w:szCs w:val="24"/>
        </w:rPr>
      </w:pPr>
      <w:r>
        <w:rPr>
          <w:rFonts w:hint="eastAsia" w:ascii="宋体" w:hAnsi="宋体"/>
          <w:szCs w:val="24"/>
        </w:rPr>
        <w:t>时间：2021 年 4 月28 日至 2021 年 5月 8日（</w:t>
      </w:r>
      <w:r>
        <w:rPr>
          <w:rFonts w:ascii="宋体" w:hAnsi="宋体"/>
          <w:szCs w:val="24"/>
        </w:rPr>
        <w:t>法定节假日</w:t>
      </w:r>
      <w:r>
        <w:rPr>
          <w:rFonts w:hint="eastAsia" w:ascii="宋体" w:hAnsi="宋体"/>
          <w:szCs w:val="24"/>
        </w:rPr>
        <w:t>除外），招标文件发布截止时间之后有潜在供应商提出要求获取招标文件的，允许获取。</w:t>
      </w:r>
    </w:p>
    <w:p>
      <w:pPr>
        <w:pStyle w:val="11"/>
        <w:ind w:firstLine="480" w:firstLineChars="200"/>
        <w:rPr>
          <w:rFonts w:ascii="宋体" w:hAnsi="宋体"/>
          <w:szCs w:val="24"/>
        </w:rPr>
      </w:pPr>
      <w:r>
        <w:rPr>
          <w:rFonts w:hint="eastAsia" w:ascii="宋体" w:hAnsi="宋体"/>
          <w:szCs w:val="24"/>
        </w:rPr>
        <w:t>地点：诸暨市公共资源交易网（http://ggb.zhuji.gov.cn/）和浙江政府采购网（http://zfcg.czt.zj.gov.cn/）</w:t>
      </w:r>
    </w:p>
    <w:p>
      <w:pPr>
        <w:pStyle w:val="11"/>
        <w:ind w:firstLine="480" w:firstLineChars="200"/>
        <w:rPr>
          <w:rFonts w:ascii="宋体" w:hAnsi="宋体"/>
          <w:szCs w:val="24"/>
        </w:rPr>
      </w:pPr>
      <w:r>
        <w:rPr>
          <w:rFonts w:hint="eastAsia" w:ascii="宋体" w:hAnsi="宋体"/>
          <w:szCs w:val="24"/>
        </w:rPr>
        <w:t>方式：本项目招标文件采用网上下载方式发布，不提供招标文件纸质版。符合投标人资格条件的供应商请在上述网站采购公告栏目中下载招标文件。本项目无须报名，于开标当日直接参加投标</w:t>
      </w:r>
    </w:p>
    <w:p>
      <w:pPr>
        <w:pStyle w:val="11"/>
        <w:ind w:firstLine="480" w:firstLineChars="200"/>
        <w:rPr>
          <w:rFonts w:ascii="宋体" w:hAnsi="宋体"/>
          <w:szCs w:val="24"/>
        </w:rPr>
      </w:pPr>
      <w:r>
        <w:rPr>
          <w:rFonts w:hint="eastAsia" w:ascii="宋体" w:hAnsi="宋体"/>
          <w:szCs w:val="24"/>
        </w:rPr>
        <w:t>售价：本项目招标文件免费网上下载</w:t>
      </w:r>
    </w:p>
    <w:p>
      <w:pPr>
        <w:rPr>
          <w:rFonts w:asciiTheme="minorEastAsia" w:hAnsiTheme="minorEastAsia" w:eastAsiaTheme="minorEastAsia"/>
          <w:b/>
          <w:sz w:val="28"/>
          <w:szCs w:val="28"/>
        </w:rPr>
      </w:pPr>
      <w:bookmarkStart w:id="12" w:name="_Toc28359082"/>
      <w:bookmarkStart w:id="13" w:name="_Toc28359005"/>
      <w:bookmarkStart w:id="14" w:name="_Toc35393624"/>
      <w:bookmarkStart w:id="15" w:name="_Toc35393793"/>
      <w:r>
        <w:rPr>
          <w:rFonts w:hint="eastAsia" w:asciiTheme="minorEastAsia" w:hAnsiTheme="minorEastAsia" w:eastAsiaTheme="minorEastAsia"/>
          <w:b/>
          <w:sz w:val="28"/>
          <w:szCs w:val="28"/>
        </w:rPr>
        <w:t>四、提交投标文件</w:t>
      </w:r>
      <w:bookmarkEnd w:id="12"/>
      <w:bookmarkEnd w:id="13"/>
      <w:r>
        <w:rPr>
          <w:rFonts w:hint="eastAsia" w:asciiTheme="minorEastAsia" w:hAnsiTheme="minorEastAsia" w:eastAsiaTheme="minorEastAsia"/>
          <w:b/>
          <w:sz w:val="28"/>
          <w:szCs w:val="28"/>
        </w:rPr>
        <w:t>截止时间、开标时间和地点</w:t>
      </w:r>
      <w:bookmarkEnd w:id="14"/>
      <w:bookmarkEnd w:id="15"/>
    </w:p>
    <w:p>
      <w:pPr>
        <w:pStyle w:val="11"/>
        <w:ind w:firstLine="480" w:firstLineChars="200"/>
        <w:rPr>
          <w:rFonts w:ascii="宋体" w:hAnsi="宋体"/>
          <w:szCs w:val="24"/>
        </w:rPr>
      </w:pPr>
      <w:r>
        <w:rPr>
          <w:rFonts w:hint="eastAsia" w:ascii="宋体" w:hAnsi="宋体"/>
          <w:szCs w:val="24"/>
        </w:rPr>
        <w:t>提交投标文件截止时间及开标时间：投标人应于2021 年5月19日9时30分（北京时间）前按照电子投标要求将电子加密标书上传到“政采云”平台，逾期或未上传成功的将导致无法投标或投标无效。</w:t>
      </w:r>
    </w:p>
    <w:p>
      <w:pPr>
        <w:pStyle w:val="11"/>
        <w:ind w:firstLine="480" w:firstLineChars="200"/>
        <w:rPr>
          <w:rFonts w:ascii="宋体" w:hAnsi="宋体"/>
          <w:szCs w:val="24"/>
        </w:rPr>
      </w:pPr>
      <w:r>
        <w:rPr>
          <w:rFonts w:hint="eastAsia" w:ascii="宋体" w:hAnsi="宋体"/>
          <w:szCs w:val="24"/>
        </w:rPr>
        <w:t>开标地点：政府采购云平台（www.zcygov.cn）。所有投标人均应当准时于“政府采购云平台”在线参加</w:t>
      </w:r>
      <w:bookmarkStart w:id="16" w:name="_Toc35393625"/>
      <w:bookmarkStart w:id="17" w:name="_Toc28359007"/>
      <w:bookmarkStart w:id="18" w:name="_Toc35393794"/>
      <w:bookmarkStart w:id="19" w:name="_Toc28359084"/>
      <w:r>
        <w:rPr>
          <w:rFonts w:hint="eastAsia" w:ascii="宋体" w:hAnsi="宋体"/>
          <w:szCs w:val="24"/>
        </w:rPr>
        <w:t>。</w:t>
      </w:r>
    </w:p>
    <w:p>
      <w:pPr>
        <w:rPr>
          <w:rFonts w:asciiTheme="minorEastAsia" w:hAnsiTheme="minorEastAsia" w:eastAsiaTheme="minorEastAsia"/>
          <w:b/>
          <w:sz w:val="28"/>
          <w:szCs w:val="28"/>
        </w:rPr>
      </w:pPr>
      <w:r>
        <w:rPr>
          <w:rFonts w:hint="eastAsia" w:asciiTheme="minorEastAsia" w:hAnsiTheme="minorEastAsia" w:eastAsiaTheme="minorEastAsia"/>
          <w:b/>
          <w:sz w:val="28"/>
          <w:szCs w:val="28"/>
        </w:rPr>
        <w:t>五、公告期限</w:t>
      </w:r>
      <w:bookmarkEnd w:id="16"/>
      <w:bookmarkEnd w:id="17"/>
      <w:bookmarkEnd w:id="18"/>
      <w:bookmarkEnd w:id="19"/>
    </w:p>
    <w:p>
      <w:pPr>
        <w:pStyle w:val="11"/>
        <w:ind w:firstLine="480" w:firstLineChars="200"/>
        <w:rPr>
          <w:rFonts w:ascii="宋体" w:hAnsi="宋体"/>
          <w:szCs w:val="24"/>
        </w:rPr>
      </w:pPr>
      <w:r>
        <w:rPr>
          <w:rFonts w:hint="eastAsia" w:ascii="宋体" w:hAnsi="宋体"/>
          <w:szCs w:val="24"/>
        </w:rPr>
        <w:t>自本公告发布之日起5个工作日。</w:t>
      </w:r>
    </w:p>
    <w:p>
      <w:pPr>
        <w:rPr>
          <w:rFonts w:asciiTheme="minorEastAsia" w:hAnsiTheme="minorEastAsia" w:eastAsiaTheme="minorEastAsia"/>
          <w:b/>
          <w:sz w:val="28"/>
          <w:szCs w:val="28"/>
        </w:rPr>
      </w:pPr>
      <w:bookmarkStart w:id="20" w:name="_Toc35393626"/>
      <w:bookmarkStart w:id="21" w:name="_Toc35393795"/>
      <w:r>
        <w:rPr>
          <w:rFonts w:hint="eastAsia" w:asciiTheme="minorEastAsia" w:hAnsiTheme="minorEastAsia" w:eastAsiaTheme="minorEastAsia"/>
          <w:b/>
          <w:sz w:val="28"/>
          <w:szCs w:val="28"/>
        </w:rPr>
        <w:t>六、其他补充事宜</w:t>
      </w:r>
      <w:bookmarkEnd w:id="20"/>
      <w:bookmarkEnd w:id="21"/>
    </w:p>
    <w:p>
      <w:pPr>
        <w:pStyle w:val="11"/>
        <w:ind w:firstLine="480" w:firstLineChars="200"/>
        <w:rPr>
          <w:rFonts w:ascii="宋体" w:hAnsi="宋体"/>
          <w:szCs w:val="24"/>
        </w:rPr>
      </w:pPr>
      <w:r>
        <w:rPr>
          <w:rFonts w:hint="eastAsia" w:ascii="宋体" w:hAnsi="宋体"/>
          <w:szCs w:val="24"/>
        </w:rPr>
        <w:t>1、供应商认为采购文件使自己的权益受到损害的，可以自获取采购文件之日或者采购文件公告期限届满之日（公告期限届满后获取采购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相关联系信息详见本公告第七条)。</w:t>
      </w:r>
    </w:p>
    <w:p>
      <w:pPr>
        <w:pStyle w:val="11"/>
        <w:ind w:firstLine="480" w:firstLineChars="200"/>
        <w:rPr>
          <w:rFonts w:ascii="宋体" w:hAnsi="宋体"/>
          <w:szCs w:val="24"/>
        </w:rPr>
      </w:pPr>
      <w:r>
        <w:rPr>
          <w:rFonts w:hint="eastAsia" w:ascii="宋体" w:hAnsi="宋体"/>
          <w:szCs w:val="24"/>
        </w:rPr>
        <w:t>2、标前准备：本项目实行电子招投标，电子交易平台为政采云平台。投标人参与本项目电子招投标活动前应注册成为政采云平台正式投标人，编制电子投标文件前还需申领CA证书并绑定帐号【办理流程详见http://www.zhuji.gov.cn/art/2020/3/12/art_1388400_42241245.html】。投标人应充分考虑完成平台注册、申领CA证书等所需时间，如未在“政府采购云平台”系统内完成相关流程，而引起的投标或响应无效的责任自负</w:t>
      </w:r>
    </w:p>
    <w:p>
      <w:pPr>
        <w:pStyle w:val="11"/>
        <w:ind w:firstLine="480" w:firstLineChars="200"/>
        <w:rPr>
          <w:rFonts w:ascii="宋体" w:hAnsi="宋体"/>
          <w:szCs w:val="24"/>
        </w:rPr>
      </w:pPr>
      <w:r>
        <w:rPr>
          <w:rFonts w:hint="eastAsia" w:ascii="宋体" w:hAnsi="宋体"/>
          <w:szCs w:val="24"/>
        </w:rPr>
        <w:t>3、投标文件制作：投标人通过“政采云”平台电子投标工具制作投标文件，电子投标工具前往“浙江政府采购网-下载专区-电子交易客户端”（http://zfcg.czt.zj.gov.cn/bidClientTemplate/2019-09-24/12975.html）下载并安装，投标文件制作具体流程详见“政府采购云平台”（https://service.zcygov.cn/#/knowledges/CW1EtGwBFdiHxlNd6I3m/6IMVAG0BFdiHxlNdQ8Na），请投标人登录政府采购云平台获取最新操作指南。</w:t>
      </w:r>
    </w:p>
    <w:p>
      <w:pPr>
        <w:pStyle w:val="11"/>
        <w:ind w:firstLine="480" w:firstLineChars="200"/>
        <w:rPr>
          <w:rFonts w:ascii="宋体" w:hAnsi="宋体"/>
          <w:szCs w:val="24"/>
        </w:rPr>
      </w:pPr>
      <w:r>
        <w:rPr>
          <w:rFonts w:hint="eastAsia" w:ascii="宋体" w:hAnsi="宋体"/>
          <w:szCs w:val="24"/>
        </w:rPr>
        <w:t>4、供应商按照本招标文件和“政府采购云平台”的要求，通过“政采云电子交易客户端”编制并加密投标文件。供应商未按规定加密的投标文件，“政府采购云平台”将予以拒收。供应商应在开标时间后1小时内登录“政采云”平台，用“项目采购-开标评标”功能进行解密投标文件。若在规定时间内无法解密或解密失败，将导致投标无效或失败。供应商制作电子投标文件和解密投标文件需为同一把CA。同时为保障项目开标的连贯性、减少电子投标的意外事件，制作电子投标人员与开标人员最好为同一人，预留同一手机号码。</w:t>
      </w:r>
    </w:p>
    <w:p>
      <w:pPr>
        <w:pStyle w:val="11"/>
        <w:ind w:firstLine="480" w:firstLineChars="200"/>
        <w:rPr>
          <w:rFonts w:ascii="宋体" w:hAnsi="宋体"/>
          <w:szCs w:val="24"/>
        </w:rPr>
      </w:pPr>
      <w:r>
        <w:rPr>
          <w:rFonts w:hint="eastAsia" w:ascii="宋体" w:hAnsi="宋体"/>
          <w:szCs w:val="24"/>
        </w:rPr>
        <w:t>5、</w:t>
      </w:r>
      <w:r>
        <w:rPr>
          <w:rFonts w:ascii="宋体" w:hAnsi="宋体"/>
          <w:szCs w:val="24"/>
        </w:rPr>
        <w:t>为确保项目顺利实施，避免因政采云上电子投标文件解密失败导致投标人投标无效，投标人可在投标截止时间前将在政采云平台上最后生成的具备电子签章的备份加密投标文件（文件名后缀为备份文件四字的首字母）以电子邮件方式传送至诸暨市公共资源交易中心邮箱（zjztb001@aliyun.com），传送的备份电子投标文件需打包压缩并加密，加密密码由投标人自行保管，如政采云上电子投标文件出现解密失败情况（开标当日投标截止时间后一个小时内期间进行解密,供应商可以登录“政采云”平台，用“项目采购—开标评标”功能进行解密投标文件），投标人可按照自身意愿确认是否同意提供加密密码传送至诸暨市公共资源交易中心邮箱（zjztb001@aliyun.com）的备份文件，并以备份文件作为替代电子投标文件，如投标人未按照规定时间（投标截止时间前）及要求提供有效备份文件，同时政采云上投标文件解密失败的，将导致投标无效。</w:t>
      </w:r>
    </w:p>
    <w:p>
      <w:pPr>
        <w:pStyle w:val="11"/>
        <w:ind w:firstLine="480" w:firstLineChars="200"/>
        <w:rPr>
          <w:rFonts w:ascii="宋体" w:hAnsi="宋体"/>
          <w:szCs w:val="24"/>
        </w:rPr>
      </w:pPr>
      <w:r>
        <w:rPr>
          <w:rFonts w:hint="eastAsia" w:ascii="宋体" w:hAnsi="宋体"/>
          <w:szCs w:val="24"/>
        </w:rPr>
        <w:t>6、本项目不收取投标保证金。</w:t>
      </w:r>
    </w:p>
    <w:p>
      <w:pPr>
        <w:rPr>
          <w:rFonts w:asciiTheme="minorEastAsia" w:hAnsiTheme="minorEastAsia" w:eastAsiaTheme="minorEastAsia"/>
          <w:b/>
          <w:sz w:val="28"/>
          <w:szCs w:val="28"/>
        </w:rPr>
      </w:pPr>
      <w:bookmarkStart w:id="22" w:name="_Toc35393796"/>
      <w:bookmarkStart w:id="23" w:name="_Toc28359085"/>
      <w:bookmarkStart w:id="24" w:name="_Toc35393627"/>
      <w:bookmarkStart w:id="25" w:name="_Toc28359008"/>
    </w:p>
    <w:p>
      <w:pPr>
        <w:rPr>
          <w:rFonts w:asciiTheme="minorEastAsia" w:hAnsiTheme="minorEastAsia" w:eastAsiaTheme="minorEastAsia"/>
          <w:b/>
          <w:sz w:val="28"/>
          <w:szCs w:val="28"/>
        </w:rPr>
      </w:pPr>
      <w:r>
        <w:rPr>
          <w:rFonts w:hint="eastAsia" w:asciiTheme="minorEastAsia" w:hAnsiTheme="minorEastAsia" w:eastAsiaTheme="minorEastAsia"/>
          <w:b/>
          <w:sz w:val="28"/>
          <w:szCs w:val="28"/>
        </w:rPr>
        <w:t>七、对本次招标提出询问，请按</w:t>
      </w:r>
      <w:r>
        <w:rPr>
          <w:rFonts w:asciiTheme="minorEastAsia" w:hAnsiTheme="minorEastAsia" w:eastAsiaTheme="minorEastAsia"/>
          <w:b/>
          <w:sz w:val="28"/>
          <w:szCs w:val="28"/>
        </w:rPr>
        <w:t>以下方式</w:t>
      </w:r>
      <w:r>
        <w:rPr>
          <w:rFonts w:hint="eastAsia" w:asciiTheme="minorEastAsia" w:hAnsiTheme="minorEastAsia" w:eastAsiaTheme="minorEastAsia"/>
          <w:b/>
          <w:sz w:val="28"/>
          <w:szCs w:val="28"/>
        </w:rPr>
        <w:t>联系。</w:t>
      </w:r>
      <w:bookmarkEnd w:id="22"/>
      <w:bookmarkEnd w:id="23"/>
      <w:bookmarkEnd w:id="24"/>
      <w:bookmarkEnd w:id="25"/>
    </w:p>
    <w:p>
      <w:pPr>
        <w:pStyle w:val="11"/>
        <w:ind w:firstLine="482" w:firstLineChars="200"/>
        <w:rPr>
          <w:rFonts w:ascii="宋体" w:hAnsi="宋体"/>
          <w:b/>
          <w:szCs w:val="24"/>
        </w:rPr>
      </w:pPr>
      <w:r>
        <w:rPr>
          <w:rFonts w:hint="eastAsia" w:ascii="宋体" w:hAnsi="宋体"/>
          <w:b/>
          <w:szCs w:val="24"/>
        </w:rPr>
        <w:t>1.采购人信息</w:t>
      </w:r>
    </w:p>
    <w:p>
      <w:pPr>
        <w:pStyle w:val="11"/>
        <w:ind w:firstLine="480" w:firstLineChars="200"/>
        <w:rPr>
          <w:rFonts w:ascii="宋体" w:hAnsi="宋体" w:cs="宋体"/>
          <w:kern w:val="0"/>
        </w:rPr>
      </w:pPr>
      <w:r>
        <w:rPr>
          <w:rFonts w:hint="eastAsia" w:ascii="宋体" w:hAnsi="宋体"/>
          <w:szCs w:val="24"/>
        </w:rPr>
        <w:t>名      称：</w:t>
      </w:r>
      <w:r>
        <w:rPr>
          <w:rFonts w:hint="eastAsia" w:ascii="宋体" w:hAnsi="宋体" w:cs="宋体"/>
          <w:kern w:val="0"/>
        </w:rPr>
        <w:t>诸暨市教育考试中心</w:t>
      </w:r>
    </w:p>
    <w:p>
      <w:pPr>
        <w:pStyle w:val="11"/>
        <w:ind w:firstLine="480" w:firstLineChars="200"/>
        <w:rPr>
          <w:rFonts w:ascii="宋体" w:hAnsi="宋体" w:cs="宋体"/>
          <w:kern w:val="0"/>
        </w:rPr>
      </w:pPr>
      <w:r>
        <w:rPr>
          <w:rFonts w:hint="eastAsia" w:ascii="宋体" w:hAnsi="宋体"/>
          <w:szCs w:val="24"/>
        </w:rPr>
        <w:t>地      址：</w:t>
      </w:r>
      <w:r>
        <w:rPr>
          <w:rFonts w:hint="eastAsia" w:ascii="宋体" w:hAnsi="宋体" w:cs="宋体"/>
          <w:kern w:val="0"/>
        </w:rPr>
        <w:t>浣东北路51号</w:t>
      </w:r>
    </w:p>
    <w:p>
      <w:pPr>
        <w:pStyle w:val="11"/>
        <w:ind w:firstLine="480" w:firstLineChars="200"/>
        <w:rPr>
          <w:rFonts w:ascii="宋体" w:hAnsi="宋体"/>
          <w:szCs w:val="24"/>
        </w:rPr>
      </w:pPr>
      <w:r>
        <w:rPr>
          <w:rFonts w:hint="eastAsia" w:ascii="宋体" w:hAnsi="宋体"/>
          <w:szCs w:val="24"/>
        </w:rPr>
        <w:t>项目联系人：</w:t>
      </w:r>
      <w:r>
        <w:rPr>
          <w:rFonts w:hint="eastAsia" w:ascii="宋体" w:hAnsi="宋体" w:cs="宋体"/>
          <w:kern w:val="0"/>
        </w:rPr>
        <w:t>杨迪明</w:t>
      </w:r>
    </w:p>
    <w:p>
      <w:pPr>
        <w:widowControl/>
        <w:shd w:val="clear" w:color="auto" w:fill="FDFAF5"/>
        <w:spacing w:line="320" w:lineRule="exact"/>
        <w:ind w:firstLine="480" w:firstLineChars="200"/>
        <w:jc w:val="left"/>
        <w:rPr>
          <w:rFonts w:ascii="宋体" w:hAnsi="宋体"/>
          <w:kern w:val="2"/>
          <w:sz w:val="24"/>
          <w:szCs w:val="24"/>
        </w:rPr>
      </w:pPr>
      <w:r>
        <w:rPr>
          <w:rFonts w:hint="eastAsia" w:ascii="宋体" w:hAnsi="宋体"/>
          <w:kern w:val="2"/>
          <w:sz w:val="24"/>
          <w:szCs w:val="24"/>
        </w:rPr>
        <w:t>联系  方式：</w:t>
      </w:r>
      <w:bookmarkStart w:id="26" w:name="_Toc28359009"/>
      <w:bookmarkStart w:id="27" w:name="_Toc28359086"/>
      <w:r>
        <w:rPr>
          <w:rFonts w:hint="eastAsia" w:ascii="宋体" w:hAnsi="宋体"/>
          <w:kern w:val="2"/>
          <w:sz w:val="24"/>
          <w:szCs w:val="24"/>
        </w:rPr>
        <w:t>0575-87014375</w:t>
      </w:r>
    </w:p>
    <w:p>
      <w:pPr>
        <w:pStyle w:val="11"/>
        <w:ind w:firstLine="480" w:firstLineChars="200"/>
        <w:rPr>
          <w:rFonts w:ascii="宋体" w:hAnsi="宋体"/>
          <w:szCs w:val="24"/>
        </w:rPr>
      </w:pPr>
    </w:p>
    <w:p>
      <w:pPr>
        <w:pStyle w:val="11"/>
        <w:ind w:firstLine="480" w:firstLineChars="200"/>
        <w:rPr>
          <w:rFonts w:ascii="宋体" w:hAnsi="宋体"/>
          <w:szCs w:val="24"/>
        </w:rPr>
      </w:pPr>
    </w:p>
    <w:p>
      <w:pPr>
        <w:pStyle w:val="11"/>
        <w:ind w:firstLine="482" w:firstLineChars="200"/>
        <w:rPr>
          <w:rFonts w:ascii="宋体" w:hAnsi="宋体"/>
          <w:b/>
          <w:szCs w:val="24"/>
        </w:rPr>
      </w:pPr>
      <w:r>
        <w:rPr>
          <w:rFonts w:hint="eastAsia" w:ascii="宋体" w:hAnsi="宋体"/>
          <w:b/>
          <w:szCs w:val="24"/>
        </w:rPr>
        <w:t>2.采购代理机构信息</w:t>
      </w:r>
      <w:bookmarkEnd w:id="26"/>
      <w:bookmarkEnd w:id="27"/>
    </w:p>
    <w:p>
      <w:pPr>
        <w:pStyle w:val="11"/>
        <w:ind w:firstLine="480" w:firstLineChars="200"/>
        <w:rPr>
          <w:rFonts w:ascii="宋体" w:hAnsi="宋体"/>
          <w:szCs w:val="24"/>
        </w:rPr>
      </w:pPr>
      <w:r>
        <w:rPr>
          <w:rFonts w:hint="eastAsia" w:ascii="宋体" w:hAnsi="宋体"/>
          <w:szCs w:val="24"/>
        </w:rPr>
        <w:t>名      称：诸暨市公共资源交易中心</w:t>
      </w:r>
    </w:p>
    <w:p>
      <w:pPr>
        <w:pStyle w:val="11"/>
        <w:ind w:firstLine="480" w:firstLineChars="200"/>
        <w:rPr>
          <w:rFonts w:ascii="宋体" w:hAnsi="宋体"/>
          <w:szCs w:val="24"/>
        </w:rPr>
      </w:pPr>
      <w:r>
        <w:rPr>
          <w:rFonts w:hint="eastAsia" w:ascii="宋体" w:hAnsi="宋体"/>
          <w:szCs w:val="24"/>
        </w:rPr>
        <w:t>地　    址：诸暨市暨东路58号6楼北602办公室</w:t>
      </w:r>
    </w:p>
    <w:p>
      <w:pPr>
        <w:pStyle w:val="11"/>
        <w:ind w:firstLine="480" w:firstLineChars="200"/>
        <w:rPr>
          <w:rFonts w:ascii="宋体" w:hAnsi="宋体"/>
          <w:szCs w:val="24"/>
        </w:rPr>
      </w:pPr>
      <w:r>
        <w:rPr>
          <w:rFonts w:hint="eastAsia" w:ascii="宋体" w:hAnsi="宋体"/>
          <w:szCs w:val="24"/>
        </w:rPr>
        <w:t>项目联系人：王洁</w:t>
      </w:r>
    </w:p>
    <w:p>
      <w:pPr>
        <w:pStyle w:val="11"/>
        <w:ind w:firstLine="480" w:firstLineChars="200"/>
        <w:rPr>
          <w:rFonts w:ascii="宋体" w:hAnsi="宋体"/>
          <w:szCs w:val="24"/>
        </w:rPr>
      </w:pPr>
      <w:r>
        <w:rPr>
          <w:rFonts w:hint="eastAsia" w:ascii="宋体" w:hAnsi="宋体"/>
          <w:szCs w:val="24"/>
        </w:rPr>
        <w:t xml:space="preserve">联系  方式：0575-87253016  </w:t>
      </w:r>
      <w:r>
        <w:rPr>
          <w:rFonts w:hint="eastAsia" w:ascii="宋体"/>
          <w:color w:val="auto"/>
          <w:szCs w:val="24"/>
        </w:rPr>
        <w:t>传真：</w:t>
      </w:r>
      <w:r>
        <w:rPr>
          <w:rFonts w:hint="eastAsia" w:ascii="宋体" w:hAnsi="宋体"/>
          <w:szCs w:val="24"/>
        </w:rPr>
        <w:t>0575-</w:t>
      </w:r>
      <w:r>
        <w:rPr>
          <w:rFonts w:hint="eastAsia" w:ascii="宋体"/>
          <w:color w:val="auto"/>
          <w:szCs w:val="24"/>
        </w:rPr>
        <w:t>87221107</w:t>
      </w:r>
    </w:p>
    <w:p>
      <w:pPr>
        <w:pStyle w:val="11"/>
        <w:ind w:firstLine="480" w:firstLineChars="200"/>
        <w:rPr>
          <w:rFonts w:ascii="宋体" w:hAnsi="宋体"/>
          <w:szCs w:val="24"/>
        </w:rPr>
      </w:pPr>
    </w:p>
    <w:p>
      <w:pPr>
        <w:pStyle w:val="11"/>
        <w:ind w:firstLine="482" w:firstLineChars="200"/>
        <w:rPr>
          <w:rFonts w:ascii="宋体" w:hAnsi="宋体"/>
          <w:b/>
          <w:szCs w:val="24"/>
        </w:rPr>
      </w:pPr>
      <w:r>
        <w:rPr>
          <w:rFonts w:hint="eastAsia" w:ascii="宋体" w:hAnsi="宋体"/>
          <w:b/>
          <w:szCs w:val="24"/>
        </w:rPr>
        <w:t>3.同级政府采购监督管理部门</w:t>
      </w:r>
    </w:p>
    <w:p>
      <w:pPr>
        <w:pStyle w:val="11"/>
        <w:ind w:firstLine="480" w:firstLineChars="200"/>
        <w:rPr>
          <w:rFonts w:ascii="宋体" w:hAnsi="宋体"/>
          <w:szCs w:val="24"/>
        </w:rPr>
      </w:pPr>
      <w:r>
        <w:rPr>
          <w:rFonts w:hint="eastAsia" w:ascii="宋体" w:hAnsi="宋体"/>
          <w:szCs w:val="24"/>
        </w:rPr>
        <w:t>名      称：诸暨市财政局政府采购监管科</w:t>
      </w:r>
    </w:p>
    <w:p>
      <w:pPr>
        <w:pStyle w:val="11"/>
        <w:ind w:firstLine="480" w:firstLineChars="200"/>
        <w:rPr>
          <w:rFonts w:ascii="宋体" w:hAnsi="宋体"/>
          <w:szCs w:val="24"/>
        </w:rPr>
      </w:pPr>
      <w:r>
        <w:rPr>
          <w:rFonts w:hint="eastAsia" w:ascii="宋体" w:hAnsi="宋体"/>
          <w:szCs w:val="24"/>
        </w:rPr>
        <w:t>地      址：诸暨市人民中路356号</w:t>
      </w:r>
    </w:p>
    <w:p>
      <w:pPr>
        <w:pStyle w:val="11"/>
        <w:ind w:firstLine="480" w:firstLineChars="200"/>
        <w:rPr>
          <w:rFonts w:ascii="宋体" w:hAnsi="宋体"/>
          <w:szCs w:val="24"/>
        </w:rPr>
      </w:pPr>
      <w:r>
        <w:rPr>
          <w:rFonts w:hint="eastAsia" w:ascii="宋体" w:hAnsi="宋体"/>
          <w:szCs w:val="24"/>
        </w:rPr>
        <w:t>联  系  人：金永康 </w:t>
      </w:r>
    </w:p>
    <w:p>
      <w:pPr>
        <w:pStyle w:val="11"/>
        <w:ind w:firstLine="480" w:firstLineChars="200"/>
        <w:rPr>
          <w:rFonts w:ascii="宋体" w:hAnsi="宋体"/>
          <w:szCs w:val="24"/>
        </w:rPr>
      </w:pPr>
      <w:r>
        <w:rPr>
          <w:rFonts w:hint="eastAsia" w:ascii="宋体" w:hAnsi="宋体"/>
          <w:szCs w:val="24"/>
        </w:rPr>
        <w:t>监督投诉电话：0575-87113458</w:t>
      </w:r>
    </w:p>
    <w:p>
      <w:pPr>
        <w:pStyle w:val="11"/>
        <w:ind w:firstLine="480" w:firstLineChars="200"/>
        <w:rPr>
          <w:rFonts w:ascii="宋体" w:hAnsi="宋体"/>
          <w:szCs w:val="24"/>
        </w:rPr>
      </w:pPr>
    </w:p>
    <w:p>
      <w:pPr>
        <w:pStyle w:val="11"/>
        <w:ind w:firstLine="482" w:firstLineChars="200"/>
        <w:rPr>
          <w:rFonts w:ascii="宋体" w:hAnsi="宋体"/>
          <w:szCs w:val="24"/>
        </w:rPr>
      </w:pPr>
      <w:r>
        <w:rPr>
          <w:rFonts w:hint="eastAsia" w:ascii="宋体" w:hAnsi="宋体"/>
          <w:b/>
          <w:szCs w:val="24"/>
        </w:rPr>
        <w:t>4.政采云平台技术支持热线咨询</w:t>
      </w:r>
      <w:r>
        <w:rPr>
          <w:rFonts w:hint="eastAsia" w:ascii="宋体" w:hAnsi="宋体"/>
          <w:szCs w:val="24"/>
        </w:rPr>
        <w:t>，联系电话：400-881-7190</w:t>
      </w:r>
    </w:p>
    <w:p>
      <w:pPr>
        <w:rPr>
          <w:rFonts w:ascii="仿宋" w:hAnsi="仿宋" w:eastAsia="仿宋"/>
          <w:sz w:val="28"/>
          <w:szCs w:val="28"/>
        </w:rPr>
      </w:pPr>
    </w:p>
    <w:p>
      <w:pPr>
        <w:pStyle w:val="11"/>
        <w:ind w:firstLine="480" w:firstLineChars="200"/>
        <w:rPr>
          <w:rFonts w:ascii="宋体" w:hAnsi="宋体" w:cs="宋体"/>
          <w:kern w:val="0"/>
        </w:rPr>
      </w:pPr>
      <w:r>
        <w:rPr>
          <w:rFonts w:hint="eastAsia" w:ascii="宋体" w:hAnsi="宋体" w:cs="宋体"/>
        </w:rPr>
        <w:t xml:space="preserve">                                             </w:t>
      </w:r>
      <w:r>
        <w:rPr>
          <w:rFonts w:hint="eastAsia" w:ascii="宋体" w:hAnsi="宋体" w:cs="宋体"/>
          <w:kern w:val="0"/>
        </w:rPr>
        <w:t>诸暨市教育考试中心</w:t>
      </w:r>
    </w:p>
    <w:p>
      <w:pPr>
        <w:spacing w:line="320" w:lineRule="exact"/>
        <w:jc w:val="center"/>
        <w:rPr>
          <w:rFonts w:ascii="宋体" w:hAnsi="宋体"/>
          <w:sz w:val="24"/>
          <w:szCs w:val="24"/>
        </w:rPr>
      </w:pPr>
      <w:r>
        <w:rPr>
          <w:rFonts w:hint="eastAsia" w:ascii="宋体" w:hAnsi="宋体"/>
          <w:sz w:val="24"/>
          <w:szCs w:val="24"/>
        </w:rPr>
        <w:t>　　　　　　　　　　　　                     诸暨市公共资源交易中心</w:t>
      </w:r>
    </w:p>
    <w:p>
      <w:pPr>
        <w:spacing w:line="320" w:lineRule="exact"/>
        <w:jc w:val="center"/>
        <w:rPr>
          <w:rFonts w:ascii="宋体" w:hAnsi="宋体"/>
          <w:sz w:val="24"/>
          <w:szCs w:val="24"/>
        </w:rPr>
      </w:pPr>
      <w:r>
        <w:rPr>
          <w:rFonts w:hint="eastAsia" w:ascii="宋体" w:hAnsi="宋体"/>
          <w:sz w:val="24"/>
          <w:szCs w:val="24"/>
        </w:rPr>
        <w:t>　　　　　　　　　　　　            2021年4</w:t>
      </w:r>
      <w:r>
        <w:rPr>
          <w:rFonts w:hint="eastAsia" w:ascii="宋体" w:hAnsi="宋体" w:cs="Arial"/>
          <w:sz w:val="24"/>
        </w:rPr>
        <w:t>月28日</w:t>
      </w:r>
    </w:p>
    <w:p>
      <w:pPr>
        <w:spacing w:line="500" w:lineRule="exact"/>
        <w:ind w:firstLine="540"/>
        <w:rPr>
          <w:rFonts w:ascii="仿宋" w:hAnsi="仿宋" w:eastAsia="仿宋" w:cs="宋体"/>
          <w:sz w:val="28"/>
          <w:szCs w:val="28"/>
        </w:rPr>
      </w:pPr>
    </w:p>
    <w:p>
      <w:pPr>
        <w:jc w:val="center"/>
        <w:rPr>
          <w:rFonts w:ascii="宋体" w:hAnsi="宋体"/>
          <w:b/>
          <w:sz w:val="36"/>
          <w:szCs w:val="36"/>
        </w:rPr>
      </w:pPr>
      <w:r>
        <w:rPr>
          <w:rFonts w:ascii="宋体" w:hAnsi="宋体"/>
          <w:sz w:val="36"/>
          <w:szCs w:val="36"/>
        </w:rPr>
        <w:br w:type="page"/>
      </w:r>
      <w:r>
        <w:rPr>
          <w:rFonts w:hint="eastAsia" w:ascii="宋体" w:hAnsi="宋体"/>
          <w:sz w:val="36"/>
          <w:szCs w:val="36"/>
        </w:rPr>
        <w:t>第二章   投标须知</w:t>
      </w:r>
    </w:p>
    <w:p>
      <w:pPr>
        <w:jc w:val="center"/>
        <w:rPr>
          <w:rFonts w:ascii="宋体" w:hAnsi="宋体"/>
          <w:bCs/>
          <w:sz w:val="28"/>
          <w:szCs w:val="28"/>
        </w:rPr>
      </w:pPr>
      <w:r>
        <w:rPr>
          <w:rFonts w:hint="eastAsia" w:ascii="宋体" w:hAnsi="宋体"/>
          <w:bCs/>
          <w:sz w:val="28"/>
          <w:szCs w:val="28"/>
        </w:rPr>
        <w:t>前  附  表</w:t>
      </w:r>
    </w:p>
    <w:tbl>
      <w:tblPr>
        <w:tblStyle w:val="21"/>
        <w:tblW w:w="10069"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04"/>
        <w:gridCol w:w="1776"/>
        <w:gridCol w:w="7589"/>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82" w:hRule="atLeast"/>
          <w:jc w:val="center"/>
        </w:trPr>
        <w:tc>
          <w:tcPr>
            <w:tcW w:w="704" w:type="dxa"/>
            <w:tcBorders>
              <w:top w:val="single" w:color="auto" w:sz="4" w:space="0"/>
              <w:left w:val="single" w:color="auto" w:sz="4" w:space="0"/>
              <w:bottom w:val="single" w:color="auto" w:sz="4" w:space="0"/>
              <w:right w:val="single" w:color="auto" w:sz="4" w:space="0"/>
            </w:tcBorders>
            <w:vAlign w:val="center"/>
          </w:tcPr>
          <w:p>
            <w:pPr>
              <w:pStyle w:val="11"/>
              <w:spacing w:line="440" w:lineRule="exact"/>
              <w:jc w:val="center"/>
              <w:rPr>
                <w:rFonts w:ascii="宋体" w:hAnsi="宋体"/>
                <w:b/>
                <w:szCs w:val="24"/>
              </w:rPr>
            </w:pPr>
            <w:r>
              <w:rPr>
                <w:rFonts w:hint="eastAsia" w:ascii="宋体" w:hAnsi="宋体"/>
                <w:b/>
                <w:szCs w:val="24"/>
              </w:rPr>
              <w:t>序号</w:t>
            </w:r>
          </w:p>
        </w:tc>
        <w:tc>
          <w:tcPr>
            <w:tcW w:w="1776" w:type="dxa"/>
            <w:tcBorders>
              <w:top w:val="single" w:color="auto" w:sz="4" w:space="0"/>
              <w:left w:val="single" w:color="auto" w:sz="4" w:space="0"/>
              <w:bottom w:val="single" w:color="auto" w:sz="4" w:space="0"/>
              <w:right w:val="single" w:color="auto" w:sz="4" w:space="0"/>
            </w:tcBorders>
            <w:vAlign w:val="center"/>
          </w:tcPr>
          <w:p>
            <w:pPr>
              <w:pStyle w:val="11"/>
              <w:spacing w:line="440" w:lineRule="exact"/>
              <w:jc w:val="center"/>
              <w:rPr>
                <w:rFonts w:ascii="宋体" w:hAnsi="宋体"/>
                <w:b/>
                <w:szCs w:val="24"/>
              </w:rPr>
            </w:pPr>
            <w:r>
              <w:rPr>
                <w:rFonts w:hint="eastAsia" w:ascii="宋体" w:hAnsi="宋体"/>
                <w:b/>
                <w:szCs w:val="24"/>
              </w:rPr>
              <w:t>内容</w:t>
            </w:r>
          </w:p>
        </w:tc>
        <w:tc>
          <w:tcPr>
            <w:tcW w:w="7589" w:type="dxa"/>
            <w:tcBorders>
              <w:top w:val="single" w:color="auto" w:sz="4" w:space="0"/>
              <w:left w:val="single" w:color="auto" w:sz="4" w:space="0"/>
              <w:bottom w:val="single" w:color="auto" w:sz="4" w:space="0"/>
              <w:right w:val="single" w:color="auto" w:sz="4" w:space="0"/>
            </w:tcBorders>
            <w:vAlign w:val="center"/>
          </w:tcPr>
          <w:p>
            <w:pPr>
              <w:pStyle w:val="11"/>
              <w:spacing w:line="440" w:lineRule="exact"/>
              <w:jc w:val="center"/>
              <w:rPr>
                <w:rFonts w:ascii="宋体" w:hAnsi="宋体"/>
                <w:b/>
                <w:szCs w:val="24"/>
              </w:rPr>
            </w:pPr>
            <w:r>
              <w:rPr>
                <w:rFonts w:hint="eastAsia" w:ascii="宋体" w:hAnsi="宋体"/>
                <w:b/>
                <w:szCs w:val="24"/>
              </w:rPr>
              <w:t>说明与要求</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32" w:hRule="atLeast"/>
          <w:jc w:val="center"/>
        </w:trPr>
        <w:tc>
          <w:tcPr>
            <w:tcW w:w="704" w:type="dxa"/>
            <w:tcBorders>
              <w:top w:val="single" w:color="auto" w:sz="4" w:space="0"/>
              <w:left w:val="single" w:color="auto" w:sz="4" w:space="0"/>
              <w:bottom w:val="single" w:color="auto" w:sz="4" w:space="0"/>
              <w:right w:val="single" w:color="auto" w:sz="4" w:space="0"/>
            </w:tcBorders>
            <w:vAlign w:val="center"/>
          </w:tcPr>
          <w:p>
            <w:pPr>
              <w:pStyle w:val="11"/>
              <w:spacing w:line="440" w:lineRule="exact"/>
              <w:jc w:val="center"/>
              <w:rPr>
                <w:rFonts w:ascii="宋体" w:hAnsi="宋体"/>
                <w:b/>
                <w:szCs w:val="24"/>
              </w:rPr>
            </w:pPr>
            <w:r>
              <w:rPr>
                <w:rFonts w:hint="eastAsia" w:ascii="宋体" w:hAnsi="宋体"/>
                <w:b/>
                <w:szCs w:val="24"/>
              </w:rPr>
              <w:t>1</w:t>
            </w:r>
          </w:p>
        </w:tc>
        <w:tc>
          <w:tcPr>
            <w:tcW w:w="1776" w:type="dxa"/>
            <w:tcBorders>
              <w:top w:val="single" w:color="auto" w:sz="4" w:space="0"/>
              <w:left w:val="single" w:color="auto" w:sz="4" w:space="0"/>
              <w:bottom w:val="single" w:color="auto" w:sz="4" w:space="0"/>
              <w:right w:val="single" w:color="auto" w:sz="4" w:space="0"/>
            </w:tcBorders>
            <w:vAlign w:val="center"/>
          </w:tcPr>
          <w:p>
            <w:pPr>
              <w:pStyle w:val="11"/>
              <w:jc w:val="center"/>
              <w:rPr>
                <w:rFonts w:ascii="宋体" w:hAnsi="宋体"/>
                <w:b/>
                <w:szCs w:val="24"/>
              </w:rPr>
            </w:pPr>
            <w:r>
              <w:rPr>
                <w:rFonts w:hint="eastAsia" w:ascii="宋体" w:hAnsi="宋体"/>
                <w:szCs w:val="24"/>
              </w:rPr>
              <w:t>项目名称</w:t>
            </w:r>
          </w:p>
        </w:tc>
        <w:tc>
          <w:tcPr>
            <w:tcW w:w="7589" w:type="dxa"/>
            <w:tcBorders>
              <w:top w:val="single" w:color="auto" w:sz="4" w:space="0"/>
              <w:left w:val="single" w:color="auto" w:sz="4" w:space="0"/>
              <w:bottom w:val="single" w:color="auto" w:sz="4" w:space="0"/>
              <w:right w:val="single" w:color="auto" w:sz="4" w:space="0"/>
            </w:tcBorders>
            <w:vAlign w:val="center"/>
          </w:tcPr>
          <w:p>
            <w:pPr>
              <w:pStyle w:val="11"/>
              <w:ind w:right="-107" w:rightChars="-51"/>
              <w:rPr>
                <w:rFonts w:ascii="宋体" w:hAnsi="宋体"/>
                <w:szCs w:val="24"/>
              </w:rPr>
            </w:pPr>
            <w:r>
              <w:rPr>
                <w:rFonts w:hint="eastAsia" w:ascii="宋体" w:hAnsi="宋体" w:cs="宋体"/>
              </w:rPr>
              <w:t>诸暨市教育考试中心《2021年高中招生考生指南》印刷服务采购项目</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51" w:hRule="atLeast"/>
          <w:jc w:val="center"/>
        </w:trPr>
        <w:tc>
          <w:tcPr>
            <w:tcW w:w="704" w:type="dxa"/>
            <w:tcBorders>
              <w:top w:val="single" w:color="auto" w:sz="4" w:space="0"/>
              <w:left w:val="single" w:color="auto" w:sz="4" w:space="0"/>
              <w:bottom w:val="single" w:color="auto" w:sz="4" w:space="0"/>
              <w:right w:val="single" w:color="auto" w:sz="4" w:space="0"/>
            </w:tcBorders>
            <w:vAlign w:val="center"/>
          </w:tcPr>
          <w:p>
            <w:pPr>
              <w:pStyle w:val="11"/>
              <w:spacing w:line="440" w:lineRule="exact"/>
              <w:jc w:val="center"/>
              <w:rPr>
                <w:rFonts w:ascii="宋体" w:hAnsi="宋体"/>
                <w:b/>
                <w:szCs w:val="24"/>
              </w:rPr>
            </w:pPr>
            <w:r>
              <w:rPr>
                <w:rFonts w:hint="eastAsia" w:ascii="宋体" w:hAnsi="宋体"/>
                <w:b/>
                <w:szCs w:val="24"/>
              </w:rPr>
              <w:t>2</w:t>
            </w:r>
          </w:p>
        </w:tc>
        <w:tc>
          <w:tcPr>
            <w:tcW w:w="1776" w:type="dxa"/>
            <w:tcBorders>
              <w:top w:val="single" w:color="auto" w:sz="4" w:space="0"/>
              <w:left w:val="single" w:color="auto" w:sz="4" w:space="0"/>
              <w:bottom w:val="single" w:color="auto" w:sz="4" w:space="0"/>
              <w:right w:val="single" w:color="auto" w:sz="4" w:space="0"/>
            </w:tcBorders>
            <w:vAlign w:val="center"/>
          </w:tcPr>
          <w:p>
            <w:pPr>
              <w:pStyle w:val="11"/>
              <w:jc w:val="center"/>
              <w:rPr>
                <w:rFonts w:ascii="宋体" w:hAnsi="宋体"/>
                <w:b/>
                <w:szCs w:val="24"/>
              </w:rPr>
            </w:pPr>
            <w:r>
              <w:rPr>
                <w:rFonts w:hint="eastAsia" w:ascii="宋体" w:hAnsi="宋体"/>
                <w:szCs w:val="24"/>
              </w:rPr>
              <w:t>采购方式</w:t>
            </w:r>
          </w:p>
        </w:tc>
        <w:tc>
          <w:tcPr>
            <w:tcW w:w="7589" w:type="dxa"/>
            <w:tcBorders>
              <w:top w:val="single" w:color="auto" w:sz="4" w:space="0"/>
              <w:left w:val="single" w:color="auto" w:sz="4" w:space="0"/>
              <w:bottom w:val="single" w:color="auto" w:sz="4" w:space="0"/>
              <w:right w:val="single" w:color="auto" w:sz="4" w:space="0"/>
            </w:tcBorders>
            <w:vAlign w:val="center"/>
          </w:tcPr>
          <w:p>
            <w:pPr>
              <w:pStyle w:val="11"/>
              <w:ind w:right="-107" w:rightChars="-51"/>
              <w:rPr>
                <w:rFonts w:ascii="宋体" w:hAnsi="宋体"/>
                <w:szCs w:val="24"/>
              </w:rPr>
            </w:pPr>
            <w:r>
              <w:rPr>
                <w:rFonts w:hint="eastAsia" w:ascii="宋体" w:hAnsi="宋体"/>
                <w:szCs w:val="24"/>
              </w:rPr>
              <w:t>公开招标</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71" w:hRule="atLeast"/>
          <w:jc w:val="center"/>
        </w:trPr>
        <w:tc>
          <w:tcPr>
            <w:tcW w:w="704" w:type="dxa"/>
            <w:tcBorders>
              <w:top w:val="single" w:color="auto" w:sz="4" w:space="0"/>
              <w:left w:val="single" w:color="auto" w:sz="4" w:space="0"/>
              <w:bottom w:val="single" w:color="auto" w:sz="4" w:space="0"/>
              <w:right w:val="single" w:color="auto" w:sz="4" w:space="0"/>
            </w:tcBorders>
            <w:vAlign w:val="center"/>
          </w:tcPr>
          <w:p>
            <w:pPr>
              <w:pStyle w:val="11"/>
              <w:spacing w:line="440" w:lineRule="exact"/>
              <w:jc w:val="center"/>
              <w:rPr>
                <w:rFonts w:ascii="宋体" w:hAnsi="宋体"/>
                <w:b/>
                <w:szCs w:val="24"/>
              </w:rPr>
            </w:pPr>
            <w:r>
              <w:rPr>
                <w:rFonts w:hint="eastAsia" w:ascii="宋体" w:hAnsi="宋体"/>
                <w:b/>
                <w:szCs w:val="24"/>
              </w:rPr>
              <w:t>3</w:t>
            </w:r>
          </w:p>
        </w:tc>
        <w:tc>
          <w:tcPr>
            <w:tcW w:w="1776" w:type="dxa"/>
            <w:tcBorders>
              <w:top w:val="single" w:color="auto" w:sz="4" w:space="0"/>
              <w:left w:val="single" w:color="auto" w:sz="4" w:space="0"/>
              <w:bottom w:val="single" w:color="auto" w:sz="4" w:space="0"/>
              <w:right w:val="single" w:color="auto" w:sz="4" w:space="0"/>
            </w:tcBorders>
            <w:vAlign w:val="center"/>
          </w:tcPr>
          <w:p>
            <w:pPr>
              <w:pStyle w:val="11"/>
              <w:jc w:val="center"/>
              <w:rPr>
                <w:rFonts w:ascii="宋体" w:hAnsi="宋体"/>
                <w:b/>
                <w:szCs w:val="24"/>
              </w:rPr>
            </w:pPr>
            <w:r>
              <w:rPr>
                <w:rFonts w:hint="eastAsia" w:ascii="宋体" w:hAnsi="宋体"/>
                <w:szCs w:val="24"/>
              </w:rPr>
              <w:t>评标办法</w:t>
            </w:r>
          </w:p>
        </w:tc>
        <w:tc>
          <w:tcPr>
            <w:tcW w:w="7589" w:type="dxa"/>
            <w:tcBorders>
              <w:top w:val="single" w:color="auto" w:sz="4" w:space="0"/>
              <w:left w:val="single" w:color="auto" w:sz="4" w:space="0"/>
              <w:bottom w:val="single" w:color="auto" w:sz="4" w:space="0"/>
              <w:right w:val="single" w:color="auto" w:sz="4" w:space="0"/>
            </w:tcBorders>
            <w:vAlign w:val="center"/>
          </w:tcPr>
          <w:p>
            <w:pPr>
              <w:pStyle w:val="11"/>
              <w:ind w:right="-107" w:rightChars="-51"/>
              <w:rPr>
                <w:rFonts w:ascii="宋体" w:hAnsi="宋体"/>
                <w:szCs w:val="24"/>
              </w:rPr>
            </w:pPr>
            <w:r>
              <w:rPr>
                <w:rFonts w:hint="eastAsia" w:ascii="宋体" w:hAnsi="宋体"/>
                <w:szCs w:val="24"/>
              </w:rPr>
              <w:t>最低评标价法</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36" w:hRule="atLeast"/>
          <w:jc w:val="center"/>
        </w:trPr>
        <w:tc>
          <w:tcPr>
            <w:tcW w:w="704" w:type="dxa"/>
            <w:tcBorders>
              <w:top w:val="single" w:color="auto" w:sz="4" w:space="0"/>
              <w:left w:val="single" w:color="auto" w:sz="4" w:space="0"/>
              <w:bottom w:val="single" w:color="auto" w:sz="4" w:space="0"/>
              <w:right w:val="single" w:color="auto" w:sz="4" w:space="0"/>
            </w:tcBorders>
            <w:vAlign w:val="center"/>
          </w:tcPr>
          <w:p>
            <w:pPr>
              <w:pStyle w:val="11"/>
              <w:spacing w:line="440" w:lineRule="exact"/>
              <w:jc w:val="center"/>
              <w:rPr>
                <w:rFonts w:ascii="宋体" w:hAnsi="宋体"/>
                <w:szCs w:val="24"/>
              </w:rPr>
            </w:pPr>
            <w:r>
              <w:rPr>
                <w:rFonts w:hint="eastAsia" w:ascii="宋体" w:hAnsi="宋体"/>
                <w:szCs w:val="24"/>
              </w:rPr>
              <w:t>4</w:t>
            </w:r>
          </w:p>
        </w:tc>
        <w:tc>
          <w:tcPr>
            <w:tcW w:w="1776" w:type="dxa"/>
            <w:tcBorders>
              <w:top w:val="single" w:color="auto" w:sz="4" w:space="0"/>
              <w:left w:val="single" w:color="auto" w:sz="4" w:space="0"/>
              <w:bottom w:val="single" w:color="auto" w:sz="4" w:space="0"/>
              <w:right w:val="single" w:color="auto" w:sz="4" w:space="0"/>
            </w:tcBorders>
            <w:vAlign w:val="center"/>
          </w:tcPr>
          <w:p>
            <w:pPr>
              <w:pStyle w:val="11"/>
              <w:jc w:val="center"/>
              <w:rPr>
                <w:rFonts w:ascii="宋体" w:hAnsi="宋体"/>
                <w:szCs w:val="24"/>
              </w:rPr>
            </w:pPr>
            <w:r>
              <w:rPr>
                <w:rFonts w:hint="eastAsia" w:ascii="宋体" w:hAnsi="宋体"/>
                <w:szCs w:val="24"/>
              </w:rPr>
              <w:t>最高限价</w:t>
            </w:r>
          </w:p>
        </w:tc>
        <w:tc>
          <w:tcPr>
            <w:tcW w:w="7589" w:type="dxa"/>
            <w:tcBorders>
              <w:top w:val="single" w:color="auto" w:sz="4" w:space="0"/>
              <w:left w:val="single" w:color="auto" w:sz="4" w:space="0"/>
              <w:bottom w:val="single" w:color="auto" w:sz="4" w:space="0"/>
              <w:right w:val="single" w:color="auto" w:sz="4" w:space="0"/>
            </w:tcBorders>
            <w:vAlign w:val="center"/>
          </w:tcPr>
          <w:p>
            <w:pPr>
              <w:pStyle w:val="11"/>
              <w:rPr>
                <w:rFonts w:ascii="宋体" w:hAnsi="宋体"/>
                <w:szCs w:val="24"/>
              </w:rPr>
            </w:pPr>
            <w:r>
              <w:rPr>
                <w:rFonts w:hint="eastAsia" w:ascii="宋体" w:hAnsi="宋体" w:cs="宋体"/>
                <w:bCs/>
                <w:szCs w:val="24"/>
                <w:u w:val="single"/>
              </w:rPr>
              <w:t>本次招标标的最高限价为人民币</w:t>
            </w:r>
            <w:r>
              <w:rPr>
                <w:rFonts w:hint="eastAsia" w:ascii="宋体" w:hAnsi="宋体" w:cs="宋体"/>
                <w:b/>
                <w:bCs/>
                <w:szCs w:val="24"/>
                <w:u w:val="single"/>
              </w:rPr>
              <w:t>叁万伍仟圆（¥35000.00）整</w:t>
            </w:r>
            <w:r>
              <w:rPr>
                <w:rFonts w:hint="eastAsia" w:ascii="宋体" w:hAnsi="宋体" w:cs="宋体"/>
                <w:bCs/>
                <w:szCs w:val="24"/>
                <w:u w:val="single"/>
              </w:rPr>
              <w:t>，任何超过最高限价的报价将被认定为无效报价。</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29" w:hRule="atLeast"/>
          <w:jc w:val="center"/>
        </w:trPr>
        <w:tc>
          <w:tcPr>
            <w:tcW w:w="704" w:type="dxa"/>
            <w:tcBorders>
              <w:top w:val="single" w:color="auto" w:sz="4" w:space="0"/>
              <w:left w:val="single" w:color="auto" w:sz="4" w:space="0"/>
              <w:bottom w:val="single" w:color="auto" w:sz="4" w:space="0"/>
              <w:right w:val="single" w:color="auto" w:sz="4" w:space="0"/>
            </w:tcBorders>
            <w:vAlign w:val="center"/>
          </w:tcPr>
          <w:p>
            <w:pPr>
              <w:pStyle w:val="11"/>
              <w:spacing w:line="440" w:lineRule="exact"/>
              <w:jc w:val="center"/>
              <w:rPr>
                <w:rFonts w:ascii="宋体" w:hAnsi="宋体"/>
                <w:b/>
                <w:szCs w:val="24"/>
              </w:rPr>
            </w:pPr>
            <w:r>
              <w:rPr>
                <w:rFonts w:hint="eastAsia" w:ascii="宋体" w:hAnsi="宋体"/>
                <w:b/>
                <w:szCs w:val="24"/>
              </w:rPr>
              <w:t>5</w:t>
            </w:r>
          </w:p>
        </w:tc>
        <w:tc>
          <w:tcPr>
            <w:tcW w:w="1776" w:type="dxa"/>
            <w:tcBorders>
              <w:top w:val="single" w:color="auto" w:sz="4" w:space="0"/>
              <w:left w:val="single" w:color="auto" w:sz="4" w:space="0"/>
              <w:bottom w:val="single" w:color="auto" w:sz="4" w:space="0"/>
              <w:right w:val="single" w:color="auto" w:sz="4" w:space="0"/>
            </w:tcBorders>
            <w:vAlign w:val="center"/>
          </w:tcPr>
          <w:p>
            <w:pPr>
              <w:pStyle w:val="11"/>
              <w:jc w:val="center"/>
              <w:rPr>
                <w:rFonts w:ascii="宋体" w:hAnsi="宋体"/>
                <w:szCs w:val="24"/>
              </w:rPr>
            </w:pPr>
            <w:r>
              <w:rPr>
                <w:rFonts w:hint="eastAsia" w:ascii="宋体" w:hAnsi="宋体"/>
                <w:szCs w:val="24"/>
              </w:rPr>
              <w:t>投标人（供应商）资格要求</w:t>
            </w:r>
          </w:p>
        </w:tc>
        <w:tc>
          <w:tcPr>
            <w:tcW w:w="7589" w:type="dxa"/>
            <w:tcBorders>
              <w:top w:val="single" w:color="auto" w:sz="4" w:space="0"/>
              <w:left w:val="single" w:color="auto" w:sz="4" w:space="0"/>
              <w:bottom w:val="single" w:color="auto" w:sz="4" w:space="0"/>
              <w:right w:val="single" w:color="auto" w:sz="4" w:space="0"/>
            </w:tcBorders>
            <w:vAlign w:val="center"/>
          </w:tcPr>
          <w:p>
            <w:pPr>
              <w:rPr>
                <w:rFonts w:ascii="宋体" w:hAnsi="宋体" w:cs="宋体"/>
                <w:sz w:val="24"/>
              </w:rPr>
            </w:pPr>
            <w:r>
              <w:rPr>
                <w:rFonts w:hint="eastAsia" w:ascii="宋体" w:hAnsi="宋体" w:cs="宋体"/>
                <w:sz w:val="24"/>
              </w:rPr>
              <w:t>详见招标公告</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82" w:hRule="atLeast"/>
          <w:jc w:val="center"/>
        </w:trPr>
        <w:tc>
          <w:tcPr>
            <w:tcW w:w="704" w:type="dxa"/>
            <w:tcBorders>
              <w:top w:val="single" w:color="auto" w:sz="4" w:space="0"/>
              <w:left w:val="single" w:color="auto" w:sz="4" w:space="0"/>
              <w:bottom w:val="single" w:color="auto" w:sz="4" w:space="0"/>
              <w:right w:val="single" w:color="auto" w:sz="4" w:space="0"/>
            </w:tcBorders>
            <w:vAlign w:val="center"/>
          </w:tcPr>
          <w:p>
            <w:pPr>
              <w:pStyle w:val="11"/>
              <w:spacing w:line="440" w:lineRule="exact"/>
              <w:jc w:val="center"/>
              <w:rPr>
                <w:rFonts w:ascii="宋体" w:hAnsi="宋体"/>
                <w:b/>
                <w:szCs w:val="24"/>
              </w:rPr>
            </w:pPr>
            <w:r>
              <w:rPr>
                <w:rFonts w:hint="eastAsia" w:ascii="宋体" w:hAnsi="宋体"/>
                <w:b/>
                <w:szCs w:val="24"/>
              </w:rPr>
              <w:t>6</w:t>
            </w:r>
          </w:p>
        </w:tc>
        <w:tc>
          <w:tcPr>
            <w:tcW w:w="1776" w:type="dxa"/>
            <w:tcBorders>
              <w:top w:val="single" w:color="auto" w:sz="4" w:space="0"/>
              <w:left w:val="single" w:color="auto" w:sz="4" w:space="0"/>
              <w:bottom w:val="single" w:color="auto" w:sz="4" w:space="0"/>
              <w:right w:val="single" w:color="auto" w:sz="4" w:space="0"/>
            </w:tcBorders>
            <w:vAlign w:val="center"/>
          </w:tcPr>
          <w:p>
            <w:pPr>
              <w:pStyle w:val="11"/>
              <w:jc w:val="center"/>
              <w:rPr>
                <w:rFonts w:ascii="宋体" w:hAnsi="宋体"/>
                <w:b/>
                <w:szCs w:val="24"/>
              </w:rPr>
            </w:pPr>
            <w:r>
              <w:rPr>
                <w:rFonts w:hint="eastAsia" w:ascii="宋体" w:hAnsi="宋体"/>
                <w:szCs w:val="24"/>
              </w:rPr>
              <w:t>是否接受联合体投标</w:t>
            </w:r>
          </w:p>
        </w:tc>
        <w:tc>
          <w:tcPr>
            <w:tcW w:w="7589" w:type="dxa"/>
            <w:tcBorders>
              <w:top w:val="single" w:color="auto" w:sz="4" w:space="0"/>
              <w:left w:val="single" w:color="auto" w:sz="4" w:space="0"/>
              <w:bottom w:val="single" w:color="auto" w:sz="4" w:space="0"/>
              <w:right w:val="single" w:color="auto" w:sz="4" w:space="0"/>
            </w:tcBorders>
            <w:vAlign w:val="center"/>
          </w:tcPr>
          <w:p>
            <w:pPr>
              <w:pStyle w:val="11"/>
              <w:rPr>
                <w:rFonts w:ascii="宋体" w:hAnsi="宋体"/>
                <w:szCs w:val="24"/>
              </w:rPr>
            </w:pPr>
            <w:r>
              <w:rPr>
                <w:rFonts w:hint="eastAsia" w:ascii="宋体" w:hAnsi="宋体"/>
                <w:szCs w:val="24"/>
              </w:rPr>
              <w:t>除非招标文件有明确规定，否则均不接受联合体投标。</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7" w:hRule="atLeast"/>
          <w:jc w:val="center"/>
        </w:trPr>
        <w:tc>
          <w:tcPr>
            <w:tcW w:w="704" w:type="dxa"/>
            <w:tcBorders>
              <w:top w:val="single" w:color="auto" w:sz="4" w:space="0"/>
              <w:left w:val="single" w:color="auto" w:sz="4" w:space="0"/>
              <w:bottom w:val="single" w:color="auto" w:sz="4" w:space="0"/>
              <w:right w:val="single" w:color="auto" w:sz="4" w:space="0"/>
            </w:tcBorders>
            <w:vAlign w:val="center"/>
          </w:tcPr>
          <w:p>
            <w:pPr>
              <w:pStyle w:val="11"/>
              <w:spacing w:line="440" w:lineRule="exact"/>
              <w:jc w:val="center"/>
              <w:rPr>
                <w:rFonts w:ascii="宋体" w:hAnsi="宋体"/>
                <w:b/>
                <w:szCs w:val="24"/>
              </w:rPr>
            </w:pPr>
            <w:r>
              <w:rPr>
                <w:rFonts w:hint="eastAsia" w:ascii="宋体" w:hAnsi="宋体"/>
                <w:b/>
                <w:szCs w:val="24"/>
              </w:rPr>
              <w:t>7</w:t>
            </w:r>
          </w:p>
        </w:tc>
        <w:tc>
          <w:tcPr>
            <w:tcW w:w="1776" w:type="dxa"/>
            <w:tcBorders>
              <w:top w:val="single" w:color="auto" w:sz="4" w:space="0"/>
              <w:left w:val="single" w:color="auto" w:sz="4" w:space="0"/>
              <w:bottom w:val="single" w:color="auto" w:sz="4" w:space="0"/>
              <w:right w:val="single" w:color="auto" w:sz="4" w:space="0"/>
            </w:tcBorders>
            <w:vAlign w:val="center"/>
          </w:tcPr>
          <w:p>
            <w:pPr>
              <w:pStyle w:val="11"/>
              <w:jc w:val="center"/>
              <w:rPr>
                <w:rFonts w:ascii="宋体" w:hAnsi="宋体"/>
                <w:szCs w:val="24"/>
              </w:rPr>
            </w:pPr>
            <w:r>
              <w:rPr>
                <w:rFonts w:hint="eastAsia" w:ascii="宋体" w:hAnsi="宋体"/>
                <w:szCs w:val="24"/>
              </w:rPr>
              <w:t>标的划分</w:t>
            </w:r>
          </w:p>
        </w:tc>
        <w:tc>
          <w:tcPr>
            <w:tcW w:w="7589" w:type="dxa"/>
            <w:tcBorders>
              <w:top w:val="single" w:color="auto" w:sz="4" w:space="0"/>
              <w:left w:val="single" w:color="auto" w:sz="4" w:space="0"/>
              <w:bottom w:val="single" w:color="auto" w:sz="4" w:space="0"/>
              <w:right w:val="single" w:color="auto" w:sz="4" w:space="0"/>
            </w:tcBorders>
            <w:vAlign w:val="center"/>
          </w:tcPr>
          <w:p>
            <w:pPr>
              <w:snapToGrid w:val="0"/>
              <w:rPr>
                <w:rFonts w:ascii="宋体" w:hAnsi="宋体"/>
                <w:sz w:val="24"/>
                <w:szCs w:val="24"/>
              </w:rPr>
            </w:pPr>
            <w:r>
              <w:rPr>
                <w:rFonts w:hint="eastAsia" w:ascii="宋体" w:hAnsi="宋体"/>
                <w:sz w:val="24"/>
                <w:szCs w:val="24"/>
              </w:rPr>
              <w:t>本次招标采购共</w:t>
            </w:r>
            <w:r>
              <w:rPr>
                <w:rFonts w:hint="eastAsia" w:ascii="宋体" w:hAnsi="宋体"/>
                <w:b/>
                <w:sz w:val="24"/>
                <w:szCs w:val="24"/>
              </w:rPr>
              <w:t>1</w:t>
            </w:r>
            <w:r>
              <w:rPr>
                <w:rFonts w:hint="eastAsia" w:ascii="宋体" w:hAnsi="宋体"/>
                <w:sz w:val="24"/>
                <w:szCs w:val="24"/>
              </w:rPr>
              <w:t>个标的，招标人将择优择定中标人。</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06" w:hRule="atLeast"/>
          <w:jc w:val="center"/>
        </w:trPr>
        <w:tc>
          <w:tcPr>
            <w:tcW w:w="704" w:type="dxa"/>
            <w:tcBorders>
              <w:top w:val="single" w:color="auto" w:sz="4" w:space="0"/>
              <w:left w:val="single" w:color="auto" w:sz="4" w:space="0"/>
              <w:bottom w:val="single" w:color="auto" w:sz="4" w:space="0"/>
              <w:right w:val="single" w:color="auto" w:sz="4" w:space="0"/>
            </w:tcBorders>
            <w:vAlign w:val="center"/>
          </w:tcPr>
          <w:p>
            <w:pPr>
              <w:pStyle w:val="11"/>
              <w:spacing w:line="440" w:lineRule="exact"/>
              <w:jc w:val="center"/>
              <w:rPr>
                <w:rFonts w:ascii="宋体" w:hAnsi="宋体"/>
                <w:b/>
                <w:szCs w:val="24"/>
              </w:rPr>
            </w:pPr>
            <w:r>
              <w:rPr>
                <w:rFonts w:hint="eastAsia" w:ascii="宋体" w:hAnsi="宋体"/>
                <w:b/>
                <w:szCs w:val="24"/>
              </w:rPr>
              <w:t>8</w:t>
            </w:r>
          </w:p>
        </w:tc>
        <w:tc>
          <w:tcPr>
            <w:tcW w:w="1776" w:type="dxa"/>
            <w:tcBorders>
              <w:top w:val="single" w:color="auto" w:sz="4" w:space="0"/>
              <w:left w:val="single" w:color="auto" w:sz="4" w:space="0"/>
              <w:bottom w:val="single" w:color="auto" w:sz="4" w:space="0"/>
              <w:right w:val="single" w:color="auto" w:sz="4" w:space="0"/>
            </w:tcBorders>
            <w:vAlign w:val="center"/>
          </w:tcPr>
          <w:p>
            <w:pPr>
              <w:pStyle w:val="11"/>
              <w:jc w:val="center"/>
              <w:rPr>
                <w:rFonts w:ascii="宋体" w:hAnsi="宋体"/>
                <w:szCs w:val="24"/>
              </w:rPr>
            </w:pPr>
            <w:r>
              <w:rPr>
                <w:rFonts w:hint="eastAsia" w:ascii="宋体" w:hAnsi="宋体"/>
                <w:szCs w:val="24"/>
              </w:rPr>
              <w:t>资格审查方式</w:t>
            </w:r>
          </w:p>
        </w:tc>
        <w:tc>
          <w:tcPr>
            <w:tcW w:w="7589" w:type="dxa"/>
            <w:tcBorders>
              <w:top w:val="single" w:color="auto" w:sz="4" w:space="0"/>
              <w:left w:val="single" w:color="auto" w:sz="4" w:space="0"/>
              <w:bottom w:val="single" w:color="auto" w:sz="4" w:space="0"/>
              <w:right w:val="single" w:color="auto" w:sz="4" w:space="0"/>
            </w:tcBorders>
            <w:vAlign w:val="center"/>
          </w:tcPr>
          <w:p>
            <w:pPr>
              <w:snapToGrid w:val="0"/>
              <w:rPr>
                <w:rFonts w:ascii="宋体" w:hAnsi="宋体"/>
              </w:rPr>
            </w:pPr>
            <w:r>
              <w:rPr>
                <w:rFonts w:ascii="宋体" w:hAnsi="宋体"/>
                <w:sz w:val="24"/>
                <w:szCs w:val="24"/>
              </w:rPr>
              <w:t>供应商资格采用资格后审方式</w:t>
            </w:r>
            <w:r>
              <w:rPr>
                <w:rFonts w:hint="eastAsia" w:ascii="宋体" w:hAnsi="宋体"/>
                <w:sz w:val="24"/>
                <w:szCs w:val="24"/>
              </w:rPr>
              <w:t>，</w:t>
            </w:r>
            <w:r>
              <w:rPr>
                <w:rFonts w:ascii="宋体" w:hAnsi="宋体"/>
                <w:sz w:val="24"/>
                <w:szCs w:val="24"/>
              </w:rPr>
              <w:t>由评标委员会进行审查。</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99" w:hRule="atLeast"/>
          <w:jc w:val="center"/>
        </w:trPr>
        <w:tc>
          <w:tcPr>
            <w:tcW w:w="704" w:type="dxa"/>
            <w:tcBorders>
              <w:top w:val="single" w:color="auto" w:sz="4" w:space="0"/>
              <w:left w:val="single" w:color="auto" w:sz="4" w:space="0"/>
              <w:bottom w:val="single" w:color="auto" w:sz="4" w:space="0"/>
              <w:right w:val="single" w:color="auto" w:sz="4" w:space="0"/>
            </w:tcBorders>
            <w:vAlign w:val="center"/>
          </w:tcPr>
          <w:p>
            <w:pPr>
              <w:pStyle w:val="11"/>
              <w:spacing w:line="440" w:lineRule="exact"/>
              <w:jc w:val="center"/>
              <w:rPr>
                <w:rFonts w:ascii="宋体" w:hAnsi="宋体"/>
                <w:b/>
                <w:szCs w:val="24"/>
              </w:rPr>
            </w:pPr>
            <w:r>
              <w:rPr>
                <w:rFonts w:hint="eastAsia" w:ascii="宋体" w:hAnsi="宋体"/>
                <w:b/>
                <w:szCs w:val="24"/>
              </w:rPr>
              <w:t>9</w:t>
            </w:r>
          </w:p>
        </w:tc>
        <w:tc>
          <w:tcPr>
            <w:tcW w:w="1776" w:type="dxa"/>
            <w:tcBorders>
              <w:top w:val="single" w:color="auto" w:sz="4" w:space="0"/>
              <w:left w:val="single" w:color="auto" w:sz="4" w:space="0"/>
              <w:bottom w:val="single" w:color="auto" w:sz="4" w:space="0"/>
              <w:right w:val="single" w:color="auto" w:sz="4" w:space="0"/>
            </w:tcBorders>
            <w:vAlign w:val="center"/>
          </w:tcPr>
          <w:p>
            <w:pPr>
              <w:pStyle w:val="11"/>
              <w:jc w:val="center"/>
              <w:rPr>
                <w:rFonts w:ascii="宋体" w:hAnsi="宋体"/>
                <w:szCs w:val="24"/>
              </w:rPr>
            </w:pPr>
            <w:r>
              <w:rPr>
                <w:rFonts w:hint="eastAsia" w:ascii="宋体" w:hAnsi="宋体"/>
                <w:szCs w:val="24"/>
              </w:rPr>
              <w:t>招标文件的</w:t>
            </w:r>
          </w:p>
          <w:p>
            <w:pPr>
              <w:pStyle w:val="11"/>
              <w:jc w:val="center"/>
              <w:rPr>
                <w:rFonts w:ascii="宋体" w:hAnsi="宋体"/>
                <w:b/>
                <w:szCs w:val="24"/>
              </w:rPr>
            </w:pPr>
            <w:r>
              <w:rPr>
                <w:rFonts w:hint="eastAsia" w:ascii="宋体" w:hAnsi="宋体"/>
                <w:szCs w:val="24"/>
              </w:rPr>
              <w:t>获取</w:t>
            </w:r>
          </w:p>
        </w:tc>
        <w:tc>
          <w:tcPr>
            <w:tcW w:w="7589" w:type="dxa"/>
            <w:tcBorders>
              <w:top w:val="single" w:color="auto" w:sz="4" w:space="0"/>
              <w:left w:val="single" w:color="auto" w:sz="4" w:space="0"/>
              <w:bottom w:val="single" w:color="auto" w:sz="4" w:space="0"/>
              <w:right w:val="single" w:color="auto" w:sz="4" w:space="0"/>
            </w:tcBorders>
            <w:vAlign w:val="center"/>
          </w:tcPr>
          <w:p>
            <w:pPr>
              <w:rPr>
                <w:rFonts w:ascii="宋体" w:hAnsi="宋体" w:cs="宋体"/>
                <w:sz w:val="24"/>
              </w:rPr>
            </w:pPr>
            <w:r>
              <w:rPr>
                <w:rFonts w:hint="eastAsia" w:ascii="宋体" w:hAnsi="宋体" w:cs="宋体"/>
                <w:sz w:val="24"/>
              </w:rPr>
              <w:t>详见招标公告。</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401" w:hRule="atLeast"/>
          <w:jc w:val="center"/>
        </w:trPr>
        <w:tc>
          <w:tcPr>
            <w:tcW w:w="704" w:type="dxa"/>
            <w:tcBorders>
              <w:top w:val="single" w:color="auto" w:sz="4" w:space="0"/>
              <w:left w:val="single" w:color="auto" w:sz="4" w:space="0"/>
              <w:right w:val="single" w:color="auto" w:sz="4" w:space="0"/>
            </w:tcBorders>
            <w:vAlign w:val="center"/>
          </w:tcPr>
          <w:p>
            <w:pPr>
              <w:pStyle w:val="11"/>
              <w:spacing w:line="440" w:lineRule="exact"/>
              <w:jc w:val="center"/>
              <w:rPr>
                <w:rFonts w:ascii="宋体" w:hAnsi="宋体"/>
                <w:b/>
                <w:szCs w:val="24"/>
              </w:rPr>
            </w:pPr>
            <w:r>
              <w:rPr>
                <w:rFonts w:hint="eastAsia" w:ascii="宋体" w:hAnsi="宋体"/>
                <w:b/>
                <w:szCs w:val="24"/>
              </w:rPr>
              <w:t>10</w:t>
            </w:r>
          </w:p>
        </w:tc>
        <w:tc>
          <w:tcPr>
            <w:tcW w:w="1776" w:type="dxa"/>
            <w:tcBorders>
              <w:top w:val="single" w:color="auto" w:sz="4" w:space="0"/>
              <w:left w:val="single" w:color="auto" w:sz="4" w:space="0"/>
              <w:right w:val="single" w:color="auto" w:sz="4" w:space="0"/>
            </w:tcBorders>
            <w:vAlign w:val="center"/>
          </w:tcPr>
          <w:p>
            <w:pPr>
              <w:pStyle w:val="11"/>
              <w:jc w:val="center"/>
              <w:rPr>
                <w:rFonts w:ascii="宋体" w:hAnsi="宋体"/>
                <w:b/>
                <w:szCs w:val="24"/>
              </w:rPr>
            </w:pPr>
            <w:r>
              <w:rPr>
                <w:rFonts w:hint="eastAsia" w:ascii="宋体" w:hAnsi="宋体" w:cs="宋体"/>
              </w:rPr>
              <w:t>资格审查</w:t>
            </w:r>
          </w:p>
        </w:tc>
        <w:tc>
          <w:tcPr>
            <w:tcW w:w="7589" w:type="dxa"/>
            <w:tcBorders>
              <w:top w:val="single" w:color="auto" w:sz="4" w:space="0"/>
              <w:left w:val="single" w:color="auto" w:sz="4" w:space="0"/>
              <w:right w:val="single" w:color="auto" w:sz="4" w:space="0"/>
            </w:tcBorders>
            <w:vAlign w:val="center"/>
          </w:tcPr>
          <w:p>
            <w:pPr>
              <w:rPr>
                <w:rFonts w:hint="eastAsia" w:ascii="宋体" w:hAnsi="宋体" w:cs="宋体"/>
                <w:sz w:val="24"/>
              </w:rPr>
            </w:pPr>
            <w:r>
              <w:rPr>
                <w:rFonts w:hint="eastAsia" w:ascii="宋体" w:hAnsi="宋体" w:cs="宋体"/>
                <w:sz w:val="24"/>
              </w:rPr>
              <w:t>评标委员会负责资格审查，审查内容包括：</w:t>
            </w:r>
          </w:p>
          <w:p>
            <w:pPr>
              <w:rPr>
                <w:rFonts w:ascii="宋体" w:hAnsi="宋体" w:cs="宋体"/>
                <w:sz w:val="24"/>
              </w:rPr>
            </w:pPr>
            <w:r>
              <w:rPr>
                <w:rFonts w:hint="eastAsia" w:ascii="宋体" w:hAnsi="宋体" w:cs="宋体"/>
                <w:sz w:val="24"/>
              </w:rPr>
              <w:t>1、营业执照复印件。</w:t>
            </w:r>
          </w:p>
          <w:p>
            <w:pPr>
              <w:rPr>
                <w:rFonts w:ascii="宋体" w:hAnsi="宋体" w:cs="宋体"/>
                <w:color w:val="auto"/>
                <w:sz w:val="24"/>
              </w:rPr>
            </w:pPr>
            <w:r>
              <w:rPr>
                <w:rFonts w:hint="eastAsia" w:ascii="宋体" w:hAnsi="宋体" w:cs="宋体"/>
                <w:color w:val="auto"/>
                <w:sz w:val="24"/>
              </w:rPr>
              <w:t>1、信用记录查询。</w:t>
            </w:r>
          </w:p>
          <w:p>
            <w:pPr>
              <w:rPr>
                <w:rFonts w:ascii="宋体" w:hAnsi="宋体" w:cs="宋体"/>
                <w:color w:val="FF0000"/>
                <w:sz w:val="24"/>
              </w:rPr>
            </w:pPr>
            <w:r>
              <w:rPr>
                <w:rFonts w:hint="eastAsia" w:ascii="宋体" w:hAnsi="宋体" w:cs="宋体"/>
                <w:color w:val="auto"/>
                <w:sz w:val="24"/>
              </w:rPr>
              <w:t>2、其他资格条件证明</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3" w:hRule="atLeast"/>
          <w:jc w:val="center"/>
        </w:trPr>
        <w:tc>
          <w:tcPr>
            <w:tcW w:w="704" w:type="dxa"/>
            <w:tcBorders>
              <w:top w:val="single" w:color="auto" w:sz="4" w:space="0"/>
              <w:left w:val="single" w:color="auto" w:sz="4" w:space="0"/>
              <w:bottom w:val="single" w:color="auto" w:sz="4" w:space="0"/>
              <w:right w:val="single" w:color="auto" w:sz="4" w:space="0"/>
            </w:tcBorders>
            <w:vAlign w:val="center"/>
          </w:tcPr>
          <w:p>
            <w:pPr>
              <w:pStyle w:val="11"/>
              <w:spacing w:line="440" w:lineRule="exact"/>
              <w:jc w:val="center"/>
              <w:rPr>
                <w:rFonts w:ascii="宋体" w:hAnsi="宋体"/>
                <w:b/>
                <w:szCs w:val="24"/>
              </w:rPr>
            </w:pPr>
            <w:r>
              <w:rPr>
                <w:rFonts w:hint="eastAsia" w:ascii="宋体" w:hAnsi="宋体"/>
                <w:b/>
                <w:szCs w:val="24"/>
              </w:rPr>
              <w:t>11</w:t>
            </w:r>
          </w:p>
        </w:tc>
        <w:tc>
          <w:tcPr>
            <w:tcW w:w="1776" w:type="dxa"/>
            <w:tcBorders>
              <w:top w:val="single" w:color="auto" w:sz="4" w:space="0"/>
              <w:left w:val="single" w:color="auto" w:sz="4" w:space="0"/>
              <w:bottom w:val="single" w:color="auto" w:sz="4" w:space="0"/>
              <w:right w:val="single" w:color="auto" w:sz="4" w:space="0"/>
            </w:tcBorders>
            <w:vAlign w:val="center"/>
          </w:tcPr>
          <w:p>
            <w:pPr>
              <w:pStyle w:val="11"/>
              <w:jc w:val="center"/>
              <w:rPr>
                <w:rFonts w:ascii="宋体" w:hAnsi="宋体"/>
                <w:szCs w:val="24"/>
              </w:rPr>
            </w:pPr>
            <w:r>
              <w:rPr>
                <w:rFonts w:hint="eastAsia" w:ascii="宋体" w:hAnsi="宋体"/>
                <w:szCs w:val="24"/>
              </w:rPr>
              <w:t>投标保证金</w:t>
            </w:r>
          </w:p>
        </w:tc>
        <w:tc>
          <w:tcPr>
            <w:tcW w:w="7589" w:type="dxa"/>
            <w:tcBorders>
              <w:top w:val="single" w:color="auto" w:sz="4" w:space="0"/>
              <w:left w:val="single" w:color="auto" w:sz="4" w:space="0"/>
              <w:bottom w:val="single" w:color="auto" w:sz="4" w:space="0"/>
              <w:right w:val="single" w:color="auto" w:sz="4" w:space="0"/>
            </w:tcBorders>
            <w:vAlign w:val="center"/>
          </w:tcPr>
          <w:p>
            <w:pPr>
              <w:autoSpaceDE/>
              <w:autoSpaceDN/>
              <w:adjustRightInd/>
              <w:rPr>
                <w:rFonts w:ascii="宋体" w:hAnsi="宋体"/>
                <w:sz w:val="24"/>
                <w:szCs w:val="24"/>
              </w:rPr>
            </w:pPr>
            <w:r>
              <w:rPr>
                <w:rFonts w:hint="eastAsia" w:ascii="宋体" w:hAnsi="宋体"/>
                <w:sz w:val="24"/>
                <w:szCs w:val="24"/>
              </w:rPr>
              <w:t>本项目不收取投标保证金</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3" w:hRule="atLeast"/>
          <w:jc w:val="center"/>
        </w:trPr>
        <w:tc>
          <w:tcPr>
            <w:tcW w:w="704" w:type="dxa"/>
            <w:tcBorders>
              <w:top w:val="single" w:color="auto" w:sz="4" w:space="0"/>
              <w:left w:val="single" w:color="auto" w:sz="4" w:space="0"/>
              <w:bottom w:val="single" w:color="auto" w:sz="4" w:space="0"/>
              <w:right w:val="single" w:color="auto" w:sz="4" w:space="0"/>
            </w:tcBorders>
            <w:vAlign w:val="center"/>
          </w:tcPr>
          <w:p>
            <w:pPr>
              <w:pStyle w:val="11"/>
              <w:spacing w:line="440" w:lineRule="exact"/>
              <w:jc w:val="center"/>
              <w:rPr>
                <w:rFonts w:ascii="宋体" w:hAnsi="宋体"/>
                <w:b/>
                <w:szCs w:val="24"/>
              </w:rPr>
            </w:pPr>
            <w:r>
              <w:rPr>
                <w:rFonts w:hint="eastAsia" w:ascii="宋体" w:hAnsi="宋体"/>
                <w:b/>
                <w:szCs w:val="24"/>
              </w:rPr>
              <w:t>12</w:t>
            </w:r>
          </w:p>
        </w:tc>
        <w:tc>
          <w:tcPr>
            <w:tcW w:w="1776" w:type="dxa"/>
            <w:tcBorders>
              <w:top w:val="single" w:color="auto" w:sz="4" w:space="0"/>
              <w:left w:val="single" w:color="auto" w:sz="4" w:space="0"/>
              <w:bottom w:val="single" w:color="auto" w:sz="4" w:space="0"/>
              <w:right w:val="single" w:color="auto" w:sz="4" w:space="0"/>
            </w:tcBorders>
            <w:vAlign w:val="center"/>
          </w:tcPr>
          <w:p>
            <w:pPr>
              <w:pStyle w:val="11"/>
              <w:jc w:val="center"/>
              <w:rPr>
                <w:rFonts w:ascii="宋体" w:hAnsi="宋体"/>
                <w:szCs w:val="24"/>
              </w:rPr>
            </w:pPr>
            <w:r>
              <w:rPr>
                <w:rFonts w:hint="eastAsia" w:ascii="宋体" w:hAnsi="宋体"/>
                <w:szCs w:val="24"/>
              </w:rPr>
              <w:t>资格文件</w:t>
            </w:r>
          </w:p>
        </w:tc>
        <w:tc>
          <w:tcPr>
            <w:tcW w:w="7589" w:type="dxa"/>
            <w:tcBorders>
              <w:top w:val="single" w:color="auto" w:sz="4" w:space="0"/>
              <w:left w:val="single" w:color="auto" w:sz="4" w:space="0"/>
              <w:bottom w:val="single" w:color="auto" w:sz="4" w:space="0"/>
              <w:right w:val="single" w:color="auto" w:sz="4" w:space="0"/>
            </w:tcBorders>
            <w:vAlign w:val="center"/>
          </w:tcPr>
          <w:p>
            <w:pPr>
              <w:snapToGrid w:val="0"/>
              <w:jc w:val="left"/>
              <w:rPr>
                <w:rFonts w:ascii="宋体" w:hAnsi="宋体"/>
                <w:color w:val="auto"/>
                <w:kern w:val="2"/>
                <w:sz w:val="24"/>
                <w:szCs w:val="24"/>
              </w:rPr>
            </w:pPr>
            <w:r>
              <w:rPr>
                <w:rFonts w:hint="eastAsia" w:ascii="宋体" w:hAnsi="宋体"/>
                <w:color w:val="auto"/>
                <w:kern w:val="2"/>
                <w:sz w:val="24"/>
                <w:szCs w:val="24"/>
              </w:rPr>
              <w:t>（1）企业法人营业执照复印件（加盖单位公章）；</w:t>
            </w:r>
          </w:p>
          <w:p>
            <w:pPr>
              <w:snapToGrid w:val="0"/>
              <w:jc w:val="left"/>
              <w:rPr>
                <w:rFonts w:ascii="宋体" w:hAnsi="宋体"/>
                <w:color w:val="auto"/>
                <w:kern w:val="2"/>
                <w:sz w:val="24"/>
                <w:szCs w:val="24"/>
              </w:rPr>
            </w:pPr>
            <w:r>
              <w:rPr>
                <w:rFonts w:hint="eastAsia" w:ascii="宋体" w:hAnsi="宋体"/>
                <w:color w:val="auto"/>
                <w:kern w:val="2"/>
                <w:sz w:val="24"/>
                <w:szCs w:val="24"/>
              </w:rPr>
              <w:t>（2）法定代表人授权委托书（法定代表人提供身份证复印件，格式见附件)；</w:t>
            </w:r>
          </w:p>
          <w:p>
            <w:pPr>
              <w:snapToGrid w:val="0"/>
              <w:jc w:val="left"/>
              <w:rPr>
                <w:rFonts w:hint="eastAsia" w:ascii="宋体" w:hAnsi="宋体"/>
                <w:color w:val="auto"/>
                <w:kern w:val="2"/>
                <w:sz w:val="24"/>
                <w:szCs w:val="24"/>
              </w:rPr>
            </w:pPr>
            <w:r>
              <w:rPr>
                <w:rFonts w:hint="eastAsia" w:ascii="宋体" w:hAnsi="宋体"/>
                <w:color w:val="auto"/>
                <w:kern w:val="2"/>
                <w:sz w:val="24"/>
                <w:szCs w:val="24"/>
              </w:rPr>
              <w:t>（3）</w:t>
            </w:r>
            <w:bookmarkStart w:id="88" w:name="_GoBack"/>
            <w:r>
              <w:rPr>
                <w:rFonts w:hint="eastAsia" w:ascii="宋体" w:hAnsi="宋体"/>
                <w:color w:val="FF0000"/>
                <w:kern w:val="2"/>
                <w:sz w:val="24"/>
                <w:szCs w:val="24"/>
              </w:rPr>
              <w:t>参加本次政府采购活动前三年内，在经营活动中没有重大违法记录的声明（详见第六章格式范例）。</w:t>
            </w:r>
          </w:p>
          <w:bookmarkEnd w:id="88"/>
          <w:p>
            <w:pPr>
              <w:snapToGrid w:val="0"/>
              <w:jc w:val="left"/>
              <w:rPr>
                <w:rFonts w:ascii="宋体" w:hAnsi="宋体"/>
                <w:color w:val="auto"/>
                <w:sz w:val="24"/>
                <w:szCs w:val="24"/>
              </w:rPr>
            </w:pPr>
            <w:r>
              <w:rPr>
                <w:rFonts w:hint="eastAsia" w:ascii="宋体" w:hAnsi="宋体"/>
                <w:color w:val="auto"/>
                <w:kern w:val="2"/>
                <w:sz w:val="24"/>
                <w:szCs w:val="24"/>
              </w:rPr>
              <w:t>（4）其他资格证书（详见招标公告）。</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99" w:hRule="atLeast"/>
          <w:jc w:val="center"/>
        </w:trPr>
        <w:tc>
          <w:tcPr>
            <w:tcW w:w="704" w:type="dxa"/>
            <w:tcBorders>
              <w:top w:val="single" w:color="auto" w:sz="4" w:space="0"/>
              <w:left w:val="single" w:color="auto" w:sz="4" w:space="0"/>
              <w:bottom w:val="single" w:color="auto" w:sz="4" w:space="0"/>
              <w:right w:val="single" w:color="auto" w:sz="4" w:space="0"/>
            </w:tcBorders>
            <w:vAlign w:val="center"/>
          </w:tcPr>
          <w:p>
            <w:pPr>
              <w:pStyle w:val="11"/>
              <w:spacing w:line="440" w:lineRule="exact"/>
              <w:jc w:val="center"/>
              <w:rPr>
                <w:rFonts w:ascii="宋体" w:hAnsi="宋体"/>
                <w:b/>
                <w:szCs w:val="24"/>
              </w:rPr>
            </w:pPr>
            <w:r>
              <w:rPr>
                <w:rFonts w:hint="eastAsia" w:ascii="宋体" w:hAnsi="宋体"/>
                <w:b/>
                <w:szCs w:val="24"/>
              </w:rPr>
              <w:t>13</w:t>
            </w:r>
          </w:p>
        </w:tc>
        <w:tc>
          <w:tcPr>
            <w:tcW w:w="1776" w:type="dxa"/>
            <w:tcBorders>
              <w:top w:val="single" w:color="auto" w:sz="4" w:space="0"/>
              <w:left w:val="single" w:color="auto" w:sz="4" w:space="0"/>
              <w:bottom w:val="single" w:color="auto" w:sz="4" w:space="0"/>
              <w:right w:val="single" w:color="auto" w:sz="4" w:space="0"/>
            </w:tcBorders>
            <w:vAlign w:val="center"/>
          </w:tcPr>
          <w:p>
            <w:pPr>
              <w:snapToGrid w:val="0"/>
              <w:jc w:val="center"/>
              <w:rPr>
                <w:rFonts w:ascii="宋体" w:hAnsi="宋体"/>
                <w:color w:val="auto"/>
                <w:sz w:val="24"/>
                <w:szCs w:val="24"/>
              </w:rPr>
            </w:pPr>
            <w:r>
              <w:rPr>
                <w:rFonts w:ascii="宋体" w:hAnsi="宋体"/>
                <w:color w:val="auto"/>
                <w:sz w:val="24"/>
                <w:szCs w:val="24"/>
              </w:rPr>
              <w:t>商务</w:t>
            </w:r>
            <w:r>
              <w:rPr>
                <w:rFonts w:hint="eastAsia" w:ascii="宋体" w:hAnsi="宋体"/>
                <w:color w:val="auto"/>
                <w:sz w:val="24"/>
                <w:szCs w:val="24"/>
              </w:rPr>
              <w:t>技术文件</w:t>
            </w:r>
          </w:p>
        </w:tc>
        <w:tc>
          <w:tcPr>
            <w:tcW w:w="7589" w:type="dxa"/>
            <w:tcBorders>
              <w:top w:val="single" w:color="auto" w:sz="4" w:space="0"/>
              <w:left w:val="single" w:color="auto" w:sz="4" w:space="0"/>
              <w:bottom w:val="single" w:color="auto" w:sz="4" w:space="0"/>
              <w:right w:val="single" w:color="auto" w:sz="4" w:space="0"/>
            </w:tcBorders>
            <w:vAlign w:val="center"/>
          </w:tcPr>
          <w:p>
            <w:pPr>
              <w:snapToGrid w:val="0"/>
              <w:jc w:val="left"/>
              <w:rPr>
                <w:rFonts w:ascii="宋体" w:hAnsi="宋体"/>
                <w:color w:val="auto"/>
                <w:sz w:val="24"/>
                <w:szCs w:val="24"/>
              </w:rPr>
            </w:pPr>
            <w:r>
              <w:rPr>
                <w:rFonts w:hint="eastAsia" w:ascii="宋体" w:hAnsi="宋体"/>
                <w:color w:val="auto"/>
                <w:sz w:val="24"/>
                <w:szCs w:val="24"/>
              </w:rPr>
              <w:t>（</w:t>
            </w:r>
            <w:r>
              <w:rPr>
                <w:rFonts w:ascii="宋体" w:hAnsi="宋体"/>
                <w:color w:val="auto"/>
                <w:sz w:val="24"/>
                <w:szCs w:val="24"/>
              </w:rPr>
              <w:t>1）</w:t>
            </w:r>
            <w:r>
              <w:rPr>
                <w:rFonts w:hint="eastAsia" w:ascii="宋体" w:hAnsi="宋体"/>
                <w:color w:val="auto"/>
                <w:sz w:val="24"/>
                <w:szCs w:val="24"/>
              </w:rPr>
              <w:t>投标人情况介绍；</w:t>
            </w:r>
          </w:p>
          <w:p>
            <w:pPr>
              <w:snapToGrid w:val="0"/>
              <w:jc w:val="left"/>
              <w:rPr>
                <w:rFonts w:ascii="宋体" w:hAnsi="宋体"/>
                <w:color w:val="auto"/>
                <w:sz w:val="24"/>
                <w:szCs w:val="24"/>
              </w:rPr>
            </w:pPr>
            <w:r>
              <w:rPr>
                <w:rFonts w:hint="eastAsia" w:ascii="宋体" w:hAnsi="宋体"/>
                <w:color w:val="auto"/>
                <w:sz w:val="24"/>
                <w:szCs w:val="24"/>
              </w:rPr>
              <w:t>（</w:t>
            </w:r>
            <w:r>
              <w:rPr>
                <w:rFonts w:ascii="宋体" w:hAnsi="宋体"/>
                <w:color w:val="auto"/>
                <w:sz w:val="24"/>
                <w:szCs w:val="24"/>
              </w:rPr>
              <w:t>2）</w:t>
            </w:r>
            <w:r>
              <w:rPr>
                <w:rFonts w:hint="eastAsia" w:ascii="宋体" w:hAnsi="宋体"/>
                <w:color w:val="auto"/>
                <w:sz w:val="24"/>
                <w:szCs w:val="24"/>
              </w:rPr>
              <w:t>相关资质证明或文件复印件（如有，加盖单位公章）；</w:t>
            </w:r>
          </w:p>
          <w:p>
            <w:pPr>
              <w:snapToGrid w:val="0"/>
              <w:jc w:val="left"/>
              <w:rPr>
                <w:rFonts w:ascii="宋体" w:hAnsi="宋体"/>
                <w:color w:val="auto"/>
                <w:sz w:val="24"/>
                <w:szCs w:val="24"/>
              </w:rPr>
            </w:pPr>
            <w:r>
              <w:rPr>
                <w:rFonts w:hint="eastAsia" w:ascii="宋体" w:hAnsi="宋体"/>
                <w:color w:val="auto"/>
                <w:sz w:val="24"/>
                <w:szCs w:val="24"/>
              </w:rPr>
              <w:t>（</w:t>
            </w:r>
            <w:r>
              <w:rPr>
                <w:rFonts w:ascii="宋体" w:hAnsi="宋体"/>
                <w:color w:val="auto"/>
                <w:sz w:val="24"/>
                <w:szCs w:val="24"/>
              </w:rPr>
              <w:t>3）</w:t>
            </w:r>
            <w:r>
              <w:rPr>
                <w:rFonts w:hint="eastAsia" w:ascii="宋体" w:hAnsi="宋体"/>
                <w:color w:val="auto"/>
                <w:sz w:val="24"/>
                <w:szCs w:val="24"/>
              </w:rPr>
              <w:t>成功案例和业绩证明（如有）；</w:t>
            </w:r>
          </w:p>
          <w:p>
            <w:pPr>
              <w:snapToGrid w:val="0"/>
              <w:jc w:val="left"/>
              <w:rPr>
                <w:rFonts w:ascii="宋体" w:hAnsi="宋体"/>
                <w:color w:val="auto"/>
                <w:sz w:val="24"/>
                <w:szCs w:val="24"/>
              </w:rPr>
            </w:pPr>
            <w:r>
              <w:rPr>
                <w:rFonts w:hint="eastAsia" w:ascii="宋体" w:hAnsi="宋体"/>
                <w:sz w:val="24"/>
                <w:szCs w:val="24"/>
              </w:rPr>
              <w:t>（4）</w:t>
            </w:r>
            <w:r>
              <w:rPr>
                <w:rFonts w:ascii="宋体" w:hAnsi="宋体"/>
                <w:color w:val="auto"/>
                <w:sz w:val="24"/>
                <w:szCs w:val="24"/>
              </w:rPr>
              <w:t>对本项目系统总体要求的理解</w:t>
            </w:r>
            <w:r>
              <w:rPr>
                <w:rFonts w:hint="eastAsia" w:ascii="宋体" w:hAnsi="宋体"/>
                <w:color w:val="auto"/>
                <w:sz w:val="24"/>
                <w:szCs w:val="24"/>
              </w:rPr>
              <w:t>，包括：功能说明、性能指标及设备选型说明（如需要）；</w:t>
            </w:r>
          </w:p>
          <w:p>
            <w:pPr>
              <w:snapToGrid w:val="0"/>
              <w:jc w:val="left"/>
              <w:rPr>
                <w:rFonts w:ascii="宋体" w:hAnsi="宋体"/>
                <w:color w:val="auto"/>
                <w:sz w:val="24"/>
                <w:szCs w:val="24"/>
              </w:rPr>
            </w:pPr>
            <w:r>
              <w:rPr>
                <w:rFonts w:hint="eastAsia" w:ascii="宋体" w:hAnsi="宋体"/>
                <w:color w:val="auto"/>
                <w:sz w:val="24"/>
                <w:szCs w:val="24"/>
              </w:rPr>
              <w:t>（5</w:t>
            </w:r>
            <w:r>
              <w:rPr>
                <w:rFonts w:ascii="宋体" w:hAnsi="宋体"/>
                <w:color w:val="auto"/>
                <w:sz w:val="24"/>
                <w:szCs w:val="24"/>
              </w:rPr>
              <w:t>）</w:t>
            </w:r>
            <w:r>
              <w:rPr>
                <w:rFonts w:hint="eastAsia" w:ascii="宋体" w:hAnsi="宋体"/>
                <w:color w:val="auto"/>
                <w:sz w:val="24"/>
                <w:szCs w:val="24"/>
              </w:rPr>
              <w:t>投标设备详细配置清单和技术偏离表；</w:t>
            </w:r>
          </w:p>
          <w:p>
            <w:pPr>
              <w:tabs>
                <w:tab w:val="left" w:pos="3870"/>
                <w:tab w:val="left" w:pos="4085"/>
              </w:tabs>
              <w:snapToGrid w:val="0"/>
              <w:jc w:val="left"/>
              <w:rPr>
                <w:rFonts w:ascii="宋体" w:hAnsi="宋体"/>
                <w:sz w:val="24"/>
                <w:szCs w:val="24"/>
              </w:rPr>
            </w:pPr>
            <w:r>
              <w:rPr>
                <w:rFonts w:hint="eastAsia" w:ascii="宋体" w:hAnsi="宋体"/>
                <w:color w:val="auto"/>
                <w:sz w:val="24"/>
                <w:szCs w:val="24"/>
              </w:rPr>
              <w:t>（6</w:t>
            </w:r>
            <w:r>
              <w:rPr>
                <w:rFonts w:ascii="宋体" w:hAnsi="宋体"/>
                <w:color w:val="auto"/>
                <w:sz w:val="24"/>
                <w:szCs w:val="24"/>
              </w:rPr>
              <w:t>）招标文件</w:t>
            </w:r>
            <w:r>
              <w:rPr>
                <w:rFonts w:hint="eastAsia" w:ascii="宋体" w:hAnsi="宋体"/>
                <w:color w:val="auto"/>
                <w:sz w:val="24"/>
                <w:szCs w:val="24"/>
              </w:rPr>
              <w:t>标</w:t>
            </w:r>
            <w:r>
              <w:rPr>
                <w:rFonts w:ascii="宋体" w:hAnsi="宋体"/>
                <w:color w:val="auto"/>
                <w:sz w:val="24"/>
                <w:szCs w:val="24"/>
              </w:rPr>
              <w:t>明</w:t>
            </w:r>
            <w:r>
              <w:rPr>
                <w:rFonts w:ascii="宋体" w:hAnsi="宋体"/>
                <w:sz w:val="24"/>
                <w:szCs w:val="24"/>
              </w:rPr>
              <w:t>的影响投标人资格的其他证明文件（如</w:t>
            </w:r>
            <w:r>
              <w:rPr>
                <w:rFonts w:hint="eastAsia" w:ascii="宋体" w:hAnsi="宋体"/>
                <w:sz w:val="24"/>
                <w:szCs w:val="24"/>
              </w:rPr>
              <w:t>主要设备材料的原厂商对本项目的售后服务承诺，本地化服务能力证明）；</w:t>
            </w:r>
          </w:p>
          <w:p>
            <w:pPr>
              <w:snapToGrid w:val="0"/>
              <w:jc w:val="left"/>
              <w:rPr>
                <w:rFonts w:ascii="宋体" w:hAnsi="宋体"/>
                <w:color w:val="auto"/>
                <w:sz w:val="24"/>
                <w:szCs w:val="24"/>
              </w:rPr>
            </w:pPr>
            <w:r>
              <w:rPr>
                <w:rFonts w:hint="eastAsia" w:ascii="宋体" w:hAnsi="宋体"/>
                <w:color w:val="auto"/>
                <w:sz w:val="24"/>
                <w:szCs w:val="24"/>
              </w:rPr>
              <w:t>（7</w:t>
            </w:r>
            <w:r>
              <w:rPr>
                <w:rFonts w:ascii="宋体" w:hAnsi="宋体"/>
                <w:color w:val="auto"/>
                <w:sz w:val="24"/>
                <w:szCs w:val="24"/>
              </w:rPr>
              <w:t>）</w:t>
            </w:r>
            <w:r>
              <w:rPr>
                <w:rFonts w:ascii="宋体" w:hAnsi="宋体"/>
                <w:sz w:val="24"/>
                <w:szCs w:val="24"/>
              </w:rPr>
              <w:t>保证工程</w:t>
            </w:r>
            <w:r>
              <w:rPr>
                <w:rFonts w:ascii="宋体" w:hAnsi="宋体"/>
                <w:color w:val="auto"/>
                <w:sz w:val="24"/>
                <w:szCs w:val="24"/>
              </w:rPr>
              <w:t>质量的技术力量及技术措施</w:t>
            </w:r>
            <w:r>
              <w:rPr>
                <w:rFonts w:hint="eastAsia" w:ascii="宋体" w:hAnsi="宋体"/>
                <w:color w:val="auto"/>
                <w:sz w:val="24"/>
                <w:szCs w:val="24"/>
              </w:rPr>
              <w:t>（如需要）</w:t>
            </w:r>
            <w:r>
              <w:rPr>
                <w:rFonts w:ascii="宋体" w:hAnsi="宋体"/>
                <w:color w:val="auto"/>
                <w:sz w:val="24"/>
                <w:szCs w:val="24"/>
              </w:rPr>
              <w:t>；</w:t>
            </w:r>
          </w:p>
          <w:p>
            <w:pPr>
              <w:snapToGrid w:val="0"/>
              <w:jc w:val="left"/>
              <w:rPr>
                <w:rFonts w:ascii="宋体" w:hAnsi="宋体"/>
                <w:color w:val="auto"/>
                <w:sz w:val="24"/>
                <w:szCs w:val="24"/>
              </w:rPr>
            </w:pPr>
            <w:r>
              <w:rPr>
                <w:rFonts w:hint="eastAsia" w:ascii="宋体" w:hAnsi="宋体"/>
                <w:color w:val="auto"/>
                <w:sz w:val="24"/>
                <w:szCs w:val="24"/>
              </w:rPr>
              <w:t>（8</w:t>
            </w:r>
            <w:r>
              <w:rPr>
                <w:rFonts w:ascii="宋体" w:hAnsi="宋体"/>
                <w:color w:val="auto"/>
                <w:sz w:val="24"/>
                <w:szCs w:val="24"/>
              </w:rPr>
              <w:t>）投标人建议的安装、调试、验收方法或方案</w:t>
            </w:r>
            <w:r>
              <w:rPr>
                <w:rFonts w:hint="eastAsia" w:ascii="宋体" w:hAnsi="宋体"/>
                <w:color w:val="auto"/>
                <w:sz w:val="24"/>
                <w:szCs w:val="24"/>
              </w:rPr>
              <w:t>（如需要）</w:t>
            </w:r>
            <w:r>
              <w:rPr>
                <w:rFonts w:ascii="宋体" w:hAnsi="宋体"/>
                <w:color w:val="auto"/>
                <w:sz w:val="24"/>
                <w:szCs w:val="24"/>
              </w:rPr>
              <w:t>；</w:t>
            </w:r>
          </w:p>
          <w:p>
            <w:pPr>
              <w:snapToGrid w:val="0"/>
              <w:jc w:val="left"/>
              <w:rPr>
                <w:rFonts w:ascii="宋体" w:hAnsi="宋体"/>
                <w:color w:val="auto"/>
                <w:sz w:val="24"/>
                <w:szCs w:val="24"/>
              </w:rPr>
            </w:pPr>
            <w:r>
              <w:rPr>
                <w:rFonts w:hint="eastAsia" w:ascii="宋体" w:hAnsi="宋体"/>
                <w:color w:val="auto"/>
                <w:sz w:val="24"/>
                <w:szCs w:val="24"/>
              </w:rPr>
              <w:t>（9</w:t>
            </w:r>
            <w:r>
              <w:rPr>
                <w:rFonts w:ascii="宋体" w:hAnsi="宋体"/>
                <w:color w:val="auto"/>
                <w:sz w:val="24"/>
                <w:szCs w:val="24"/>
              </w:rPr>
              <w:t>）技术服务、技术培训、售后服务的内容和措施</w:t>
            </w:r>
            <w:r>
              <w:rPr>
                <w:rFonts w:hint="eastAsia" w:ascii="宋体" w:hAnsi="宋体"/>
                <w:color w:val="auto"/>
                <w:sz w:val="24"/>
                <w:szCs w:val="24"/>
              </w:rPr>
              <w:t>（如需要）</w:t>
            </w:r>
            <w:r>
              <w:rPr>
                <w:rFonts w:ascii="宋体" w:hAnsi="宋体"/>
                <w:color w:val="auto"/>
                <w:sz w:val="24"/>
                <w:szCs w:val="24"/>
              </w:rPr>
              <w:t>；</w:t>
            </w:r>
          </w:p>
          <w:p>
            <w:pPr>
              <w:snapToGrid w:val="0"/>
              <w:jc w:val="left"/>
              <w:rPr>
                <w:rFonts w:ascii="宋体" w:hAnsi="宋体"/>
                <w:color w:val="auto"/>
                <w:sz w:val="24"/>
                <w:szCs w:val="24"/>
              </w:rPr>
            </w:pPr>
            <w:r>
              <w:rPr>
                <w:rFonts w:hint="eastAsia" w:ascii="宋体" w:hAnsi="宋体"/>
                <w:color w:val="auto"/>
                <w:sz w:val="24"/>
                <w:szCs w:val="24"/>
              </w:rPr>
              <w:t>（10</w:t>
            </w:r>
            <w:r>
              <w:rPr>
                <w:rFonts w:ascii="宋体" w:hAnsi="宋体"/>
                <w:color w:val="auto"/>
                <w:sz w:val="24"/>
                <w:szCs w:val="24"/>
              </w:rPr>
              <w:t>）投标人需要说明的其他文件和说明</w:t>
            </w:r>
            <w:r>
              <w:rPr>
                <w:rFonts w:hint="eastAsia" w:ascii="宋体" w:hAnsi="宋体"/>
                <w:color w:val="auto"/>
                <w:sz w:val="24"/>
                <w:szCs w:val="24"/>
              </w:rPr>
              <w:t>。</w:t>
            </w:r>
          </w:p>
          <w:p>
            <w:pPr>
              <w:pStyle w:val="11"/>
              <w:rPr>
                <w:rFonts w:ascii="宋体" w:hAnsi="宋体"/>
                <w:b/>
                <w:szCs w:val="24"/>
              </w:rPr>
            </w:pPr>
            <w:r>
              <w:rPr>
                <w:rFonts w:hint="eastAsia" w:ascii="宋体" w:hAnsi="宋体"/>
                <w:b/>
                <w:szCs w:val="24"/>
              </w:rPr>
              <w:t>投标人在“技术文件资料”中应对招标文件作实质性响应，该项内容将作为评标重要指标。</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39" w:hRule="atLeast"/>
          <w:jc w:val="center"/>
        </w:trPr>
        <w:tc>
          <w:tcPr>
            <w:tcW w:w="704" w:type="dxa"/>
            <w:tcBorders>
              <w:top w:val="single" w:color="auto" w:sz="4" w:space="0"/>
              <w:left w:val="single" w:color="auto" w:sz="4" w:space="0"/>
              <w:bottom w:val="single" w:color="auto" w:sz="4" w:space="0"/>
              <w:right w:val="single" w:color="auto" w:sz="4" w:space="0"/>
            </w:tcBorders>
            <w:vAlign w:val="center"/>
          </w:tcPr>
          <w:p>
            <w:pPr>
              <w:pStyle w:val="11"/>
              <w:spacing w:line="440" w:lineRule="exact"/>
              <w:jc w:val="center"/>
              <w:rPr>
                <w:rFonts w:ascii="宋体" w:hAnsi="宋体"/>
                <w:b/>
                <w:szCs w:val="24"/>
              </w:rPr>
            </w:pPr>
            <w:r>
              <w:rPr>
                <w:rFonts w:hint="eastAsia" w:ascii="宋体" w:hAnsi="宋体"/>
                <w:b/>
                <w:szCs w:val="24"/>
              </w:rPr>
              <w:t>14</w:t>
            </w:r>
          </w:p>
        </w:tc>
        <w:tc>
          <w:tcPr>
            <w:tcW w:w="1776" w:type="dxa"/>
            <w:tcBorders>
              <w:top w:val="single" w:color="auto" w:sz="4" w:space="0"/>
              <w:left w:val="single" w:color="auto" w:sz="4" w:space="0"/>
              <w:bottom w:val="single" w:color="auto" w:sz="4" w:space="0"/>
              <w:right w:val="single" w:color="auto" w:sz="4" w:space="0"/>
            </w:tcBorders>
            <w:vAlign w:val="center"/>
          </w:tcPr>
          <w:p>
            <w:pPr>
              <w:pStyle w:val="11"/>
              <w:jc w:val="center"/>
              <w:rPr>
                <w:rFonts w:ascii="宋体" w:hAnsi="宋体"/>
                <w:szCs w:val="24"/>
              </w:rPr>
            </w:pPr>
            <w:r>
              <w:rPr>
                <w:rFonts w:hint="eastAsia" w:ascii="宋体" w:hAnsi="宋体"/>
                <w:szCs w:val="24"/>
              </w:rPr>
              <w:t>报价</w:t>
            </w:r>
            <w:r>
              <w:rPr>
                <w:rFonts w:ascii="宋体" w:hAnsi="宋体"/>
                <w:szCs w:val="24"/>
              </w:rPr>
              <w:t>文件</w:t>
            </w:r>
          </w:p>
        </w:tc>
        <w:tc>
          <w:tcPr>
            <w:tcW w:w="7589" w:type="dxa"/>
            <w:tcBorders>
              <w:top w:val="single" w:color="auto" w:sz="4" w:space="0"/>
              <w:left w:val="single" w:color="auto" w:sz="4" w:space="0"/>
              <w:bottom w:val="single" w:color="auto" w:sz="4" w:space="0"/>
              <w:right w:val="single" w:color="auto" w:sz="4" w:space="0"/>
            </w:tcBorders>
            <w:vAlign w:val="center"/>
          </w:tcPr>
          <w:p>
            <w:pPr>
              <w:tabs>
                <w:tab w:val="left" w:pos="3870"/>
                <w:tab w:val="left" w:pos="4085"/>
              </w:tabs>
              <w:snapToGrid w:val="0"/>
              <w:jc w:val="left"/>
              <w:rPr>
                <w:rFonts w:ascii="宋体" w:hAnsi="宋体"/>
                <w:sz w:val="24"/>
                <w:szCs w:val="24"/>
              </w:rPr>
            </w:pPr>
            <w:r>
              <w:rPr>
                <w:rFonts w:hint="eastAsia" w:ascii="宋体" w:hAnsi="宋体"/>
                <w:sz w:val="24"/>
                <w:szCs w:val="24"/>
              </w:rPr>
              <w:t>（</w:t>
            </w:r>
            <w:r>
              <w:rPr>
                <w:rFonts w:ascii="宋体" w:hAnsi="宋体"/>
                <w:sz w:val="24"/>
                <w:szCs w:val="24"/>
              </w:rPr>
              <w:t xml:space="preserve">1）投标函（格式见附件）； </w:t>
            </w:r>
          </w:p>
          <w:p>
            <w:pPr>
              <w:tabs>
                <w:tab w:val="left" w:pos="3870"/>
                <w:tab w:val="left" w:pos="4085"/>
              </w:tabs>
              <w:snapToGrid w:val="0"/>
              <w:jc w:val="left"/>
              <w:rPr>
                <w:rFonts w:ascii="宋体" w:hAnsi="宋体"/>
                <w:color w:val="auto"/>
                <w:sz w:val="24"/>
                <w:szCs w:val="24"/>
              </w:rPr>
            </w:pPr>
            <w:r>
              <w:rPr>
                <w:rFonts w:hint="eastAsia" w:ascii="宋体" w:hAnsi="宋体"/>
                <w:sz w:val="24"/>
                <w:szCs w:val="24"/>
              </w:rPr>
              <w:t>（2</w:t>
            </w:r>
            <w:r>
              <w:rPr>
                <w:rFonts w:ascii="宋体" w:hAnsi="宋体"/>
                <w:color w:val="auto"/>
                <w:sz w:val="24"/>
                <w:szCs w:val="24"/>
              </w:rPr>
              <w:t>）开标一览表（格式见附件）；</w:t>
            </w:r>
          </w:p>
          <w:p>
            <w:pPr>
              <w:tabs>
                <w:tab w:val="left" w:pos="3870"/>
                <w:tab w:val="left" w:pos="4085"/>
              </w:tabs>
              <w:snapToGrid w:val="0"/>
              <w:jc w:val="left"/>
              <w:rPr>
                <w:rFonts w:ascii="宋体" w:hAnsi="宋体"/>
                <w:color w:val="auto"/>
                <w:sz w:val="24"/>
                <w:szCs w:val="24"/>
              </w:rPr>
            </w:pPr>
            <w:r>
              <w:rPr>
                <w:rFonts w:hint="eastAsia" w:ascii="宋体" w:hAnsi="宋体"/>
                <w:color w:val="auto"/>
                <w:sz w:val="24"/>
                <w:szCs w:val="24"/>
              </w:rPr>
              <w:t>（3</w:t>
            </w:r>
            <w:r>
              <w:rPr>
                <w:rFonts w:ascii="宋体" w:hAnsi="宋体"/>
                <w:color w:val="auto"/>
                <w:sz w:val="24"/>
                <w:szCs w:val="24"/>
              </w:rPr>
              <w:t>）</w:t>
            </w:r>
            <w:r>
              <w:rPr>
                <w:rFonts w:hint="eastAsia" w:ascii="宋体" w:hAnsi="宋体"/>
                <w:color w:val="auto"/>
                <w:sz w:val="24"/>
                <w:szCs w:val="24"/>
              </w:rPr>
              <w:t>投标承诺书（</w:t>
            </w:r>
            <w:r>
              <w:rPr>
                <w:rFonts w:ascii="宋体" w:hAnsi="宋体"/>
                <w:color w:val="auto"/>
                <w:sz w:val="24"/>
                <w:szCs w:val="24"/>
              </w:rPr>
              <w:t>格式见附件）；</w:t>
            </w:r>
          </w:p>
          <w:p>
            <w:pPr>
              <w:tabs>
                <w:tab w:val="left" w:pos="3870"/>
                <w:tab w:val="left" w:pos="4085"/>
              </w:tabs>
              <w:snapToGrid w:val="0"/>
              <w:jc w:val="left"/>
              <w:rPr>
                <w:rFonts w:ascii="宋体" w:hAnsi="宋体"/>
                <w:color w:val="auto"/>
                <w:sz w:val="24"/>
                <w:szCs w:val="24"/>
              </w:rPr>
            </w:pPr>
            <w:r>
              <w:rPr>
                <w:rFonts w:hint="eastAsia" w:ascii="宋体" w:hAnsi="宋体"/>
                <w:color w:val="auto"/>
                <w:sz w:val="24"/>
                <w:szCs w:val="24"/>
              </w:rPr>
              <w:t>（4</w:t>
            </w:r>
            <w:r>
              <w:rPr>
                <w:rFonts w:ascii="宋体" w:hAnsi="宋体"/>
                <w:color w:val="auto"/>
                <w:sz w:val="24"/>
                <w:szCs w:val="24"/>
              </w:rPr>
              <w:t>）</w:t>
            </w:r>
            <w:r>
              <w:rPr>
                <w:rFonts w:hint="eastAsia" w:ascii="宋体" w:hAnsi="宋体"/>
                <w:color w:val="auto"/>
                <w:sz w:val="24"/>
                <w:szCs w:val="24"/>
              </w:rPr>
              <w:t>小微企业声明函、网页证明资料（若有，格式见附件）；</w:t>
            </w:r>
          </w:p>
          <w:p>
            <w:pPr>
              <w:tabs>
                <w:tab w:val="left" w:pos="3870"/>
                <w:tab w:val="left" w:pos="4085"/>
              </w:tabs>
              <w:snapToGrid w:val="0"/>
              <w:jc w:val="left"/>
              <w:rPr>
                <w:rFonts w:ascii="宋体" w:hAnsi="宋体"/>
                <w:color w:val="auto"/>
                <w:sz w:val="24"/>
                <w:szCs w:val="24"/>
              </w:rPr>
            </w:pPr>
            <w:r>
              <w:rPr>
                <w:rFonts w:hint="eastAsia" w:ascii="宋体" w:hAnsi="宋体"/>
                <w:color w:val="auto"/>
                <w:sz w:val="24"/>
                <w:szCs w:val="24"/>
              </w:rPr>
              <w:t>（5）残疾人福利企业声明函（若有，格式见附件）</w:t>
            </w:r>
          </w:p>
          <w:p>
            <w:pPr>
              <w:tabs>
                <w:tab w:val="left" w:pos="3870"/>
                <w:tab w:val="left" w:pos="4085"/>
              </w:tabs>
              <w:snapToGrid w:val="0"/>
              <w:jc w:val="left"/>
              <w:rPr>
                <w:rFonts w:ascii="宋体" w:hAnsi="宋体"/>
                <w:sz w:val="24"/>
                <w:szCs w:val="24"/>
              </w:rPr>
            </w:pPr>
            <w:r>
              <w:rPr>
                <w:rFonts w:hint="eastAsia" w:ascii="宋体" w:hAnsi="宋体"/>
                <w:color w:val="auto"/>
                <w:sz w:val="24"/>
                <w:szCs w:val="24"/>
              </w:rPr>
              <w:t>（6）</w:t>
            </w:r>
            <w:r>
              <w:rPr>
                <w:rFonts w:ascii="宋体" w:hAnsi="宋体"/>
                <w:color w:val="auto"/>
                <w:sz w:val="24"/>
                <w:szCs w:val="24"/>
              </w:rPr>
              <w:t>投标人需要说明的其他文件和说明（格式</w:t>
            </w:r>
            <w:r>
              <w:rPr>
                <w:rFonts w:hint="eastAsia" w:ascii="宋体" w:hAnsi="宋体"/>
                <w:color w:val="auto"/>
                <w:sz w:val="24"/>
                <w:szCs w:val="24"/>
              </w:rPr>
              <w:t>自拟</w:t>
            </w:r>
            <w:r>
              <w:rPr>
                <w:rFonts w:ascii="宋体" w:hAnsi="宋体"/>
                <w:color w:val="auto"/>
                <w:sz w:val="24"/>
                <w:szCs w:val="24"/>
              </w:rPr>
              <w:t>）</w:t>
            </w:r>
            <w:r>
              <w:rPr>
                <w:rFonts w:ascii="宋体" w:hAnsi="宋体"/>
                <w:sz w:val="24"/>
                <w:szCs w:val="24"/>
              </w:rPr>
              <w:t>。</w:t>
            </w:r>
          </w:p>
          <w:p>
            <w:pPr>
              <w:tabs>
                <w:tab w:val="left" w:pos="3870"/>
                <w:tab w:val="left" w:pos="4085"/>
              </w:tabs>
              <w:snapToGrid w:val="0"/>
              <w:jc w:val="left"/>
              <w:rPr>
                <w:rFonts w:ascii="宋体" w:hAnsi="宋体"/>
                <w:b/>
                <w:color w:val="FF0000"/>
                <w:sz w:val="24"/>
                <w:szCs w:val="24"/>
              </w:rPr>
            </w:pPr>
            <w:r>
              <w:rPr>
                <w:rFonts w:ascii="宋体" w:hAnsi="宋体"/>
                <w:sz w:val="24"/>
                <w:szCs w:val="24"/>
              </w:rPr>
              <w:t>注：投标函、开标一览表必须加盖单位公章。</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39" w:hRule="atLeast"/>
          <w:jc w:val="center"/>
        </w:trPr>
        <w:tc>
          <w:tcPr>
            <w:tcW w:w="704" w:type="dxa"/>
            <w:tcBorders>
              <w:top w:val="single" w:color="auto" w:sz="4" w:space="0"/>
              <w:left w:val="single" w:color="auto" w:sz="4" w:space="0"/>
              <w:bottom w:val="single" w:color="auto" w:sz="4" w:space="0"/>
              <w:right w:val="single" w:color="auto" w:sz="4" w:space="0"/>
            </w:tcBorders>
            <w:vAlign w:val="center"/>
          </w:tcPr>
          <w:p>
            <w:pPr>
              <w:pStyle w:val="11"/>
              <w:spacing w:line="440" w:lineRule="exact"/>
              <w:jc w:val="center"/>
              <w:rPr>
                <w:rFonts w:ascii="宋体" w:hAnsi="宋体"/>
                <w:b/>
                <w:szCs w:val="24"/>
              </w:rPr>
            </w:pPr>
            <w:r>
              <w:rPr>
                <w:rFonts w:hint="eastAsia" w:ascii="宋体" w:hAnsi="宋体"/>
                <w:b/>
                <w:szCs w:val="24"/>
              </w:rPr>
              <w:t>15</w:t>
            </w:r>
          </w:p>
        </w:tc>
        <w:tc>
          <w:tcPr>
            <w:tcW w:w="1776" w:type="dxa"/>
            <w:tcBorders>
              <w:top w:val="single" w:color="auto" w:sz="4" w:space="0"/>
              <w:left w:val="single" w:color="auto" w:sz="4" w:space="0"/>
              <w:bottom w:val="single" w:color="auto" w:sz="4" w:space="0"/>
              <w:right w:val="single" w:color="auto" w:sz="4" w:space="0"/>
            </w:tcBorders>
            <w:vAlign w:val="center"/>
          </w:tcPr>
          <w:p>
            <w:pPr>
              <w:pStyle w:val="11"/>
              <w:jc w:val="center"/>
              <w:rPr>
                <w:rFonts w:ascii="宋体" w:hAnsi="宋体"/>
                <w:szCs w:val="24"/>
              </w:rPr>
            </w:pPr>
            <w:r>
              <w:rPr>
                <w:rFonts w:hint="eastAsia" w:ascii="宋体" w:hAnsi="宋体"/>
                <w:szCs w:val="24"/>
              </w:rPr>
              <w:t>现场演示</w:t>
            </w:r>
          </w:p>
        </w:tc>
        <w:tc>
          <w:tcPr>
            <w:tcW w:w="7589" w:type="dxa"/>
            <w:tcBorders>
              <w:top w:val="single" w:color="auto" w:sz="4" w:space="0"/>
              <w:left w:val="single" w:color="auto" w:sz="4" w:space="0"/>
              <w:bottom w:val="single" w:color="auto" w:sz="4" w:space="0"/>
              <w:right w:val="single" w:color="auto" w:sz="4" w:space="0"/>
            </w:tcBorders>
            <w:vAlign w:val="center"/>
          </w:tcPr>
          <w:p>
            <w:pPr>
              <w:tabs>
                <w:tab w:val="left" w:pos="3870"/>
                <w:tab w:val="left" w:pos="4085"/>
              </w:tabs>
              <w:snapToGrid w:val="0"/>
              <w:jc w:val="left"/>
              <w:rPr>
                <w:rFonts w:ascii="宋体" w:hAnsi="宋体"/>
                <w:sz w:val="24"/>
                <w:szCs w:val="24"/>
              </w:rPr>
            </w:pPr>
            <w:r>
              <w:rPr>
                <w:rFonts w:hint="eastAsia" w:ascii="宋体" w:hAnsi="宋体"/>
                <w:color w:val="auto"/>
                <w:sz w:val="24"/>
                <w:szCs w:val="24"/>
              </w:rPr>
              <w:t>按招标文件相关要求执行。</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39" w:hRule="atLeast"/>
          <w:jc w:val="center"/>
        </w:trPr>
        <w:tc>
          <w:tcPr>
            <w:tcW w:w="704" w:type="dxa"/>
            <w:tcBorders>
              <w:top w:val="single" w:color="auto" w:sz="4" w:space="0"/>
              <w:left w:val="single" w:color="auto" w:sz="4" w:space="0"/>
              <w:bottom w:val="single" w:color="auto" w:sz="4" w:space="0"/>
              <w:right w:val="single" w:color="auto" w:sz="4" w:space="0"/>
            </w:tcBorders>
            <w:vAlign w:val="center"/>
          </w:tcPr>
          <w:p>
            <w:pPr>
              <w:pStyle w:val="11"/>
              <w:spacing w:line="440" w:lineRule="exact"/>
              <w:jc w:val="center"/>
              <w:rPr>
                <w:rFonts w:ascii="宋体" w:hAnsi="宋体"/>
                <w:b/>
                <w:szCs w:val="24"/>
              </w:rPr>
            </w:pPr>
            <w:r>
              <w:rPr>
                <w:rFonts w:hint="eastAsia" w:ascii="宋体" w:hAnsi="宋体"/>
                <w:b/>
                <w:szCs w:val="24"/>
              </w:rPr>
              <w:t>16</w:t>
            </w:r>
          </w:p>
        </w:tc>
        <w:tc>
          <w:tcPr>
            <w:tcW w:w="1776" w:type="dxa"/>
            <w:tcBorders>
              <w:top w:val="single" w:color="auto" w:sz="4" w:space="0"/>
              <w:left w:val="single" w:color="auto" w:sz="4" w:space="0"/>
              <w:bottom w:val="single" w:color="auto" w:sz="4" w:space="0"/>
              <w:right w:val="single" w:color="auto" w:sz="4" w:space="0"/>
            </w:tcBorders>
            <w:vAlign w:val="center"/>
          </w:tcPr>
          <w:p>
            <w:pPr>
              <w:pStyle w:val="11"/>
              <w:jc w:val="center"/>
              <w:rPr>
                <w:rFonts w:ascii="宋体" w:hAnsi="宋体"/>
                <w:szCs w:val="24"/>
              </w:rPr>
            </w:pPr>
            <w:r>
              <w:rPr>
                <w:rFonts w:hint="eastAsia" w:ascii="宋体" w:hAnsi="宋体"/>
                <w:szCs w:val="24"/>
              </w:rPr>
              <w:t>投标样品</w:t>
            </w:r>
          </w:p>
        </w:tc>
        <w:tc>
          <w:tcPr>
            <w:tcW w:w="7589" w:type="dxa"/>
            <w:tcBorders>
              <w:top w:val="single" w:color="auto" w:sz="4" w:space="0"/>
              <w:left w:val="single" w:color="auto" w:sz="4" w:space="0"/>
              <w:bottom w:val="single" w:color="auto" w:sz="4" w:space="0"/>
              <w:right w:val="single" w:color="auto" w:sz="4" w:space="0"/>
            </w:tcBorders>
            <w:vAlign w:val="center"/>
          </w:tcPr>
          <w:p>
            <w:pPr>
              <w:tabs>
                <w:tab w:val="left" w:pos="3870"/>
                <w:tab w:val="left" w:pos="4085"/>
              </w:tabs>
              <w:snapToGrid w:val="0"/>
              <w:jc w:val="left"/>
              <w:rPr>
                <w:rFonts w:ascii="宋体" w:hAnsi="宋体"/>
                <w:sz w:val="24"/>
                <w:szCs w:val="24"/>
              </w:rPr>
            </w:pPr>
            <w:r>
              <w:rPr>
                <w:rFonts w:hint="eastAsia" w:ascii="宋体" w:hAnsi="宋体"/>
                <w:color w:val="auto"/>
                <w:sz w:val="24"/>
                <w:szCs w:val="24"/>
              </w:rPr>
              <w:t>按招标文件相关要求执行。</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39" w:hRule="atLeast"/>
          <w:jc w:val="center"/>
        </w:trPr>
        <w:tc>
          <w:tcPr>
            <w:tcW w:w="704" w:type="dxa"/>
            <w:tcBorders>
              <w:top w:val="single" w:color="auto" w:sz="4" w:space="0"/>
              <w:left w:val="single" w:color="auto" w:sz="4" w:space="0"/>
              <w:bottom w:val="single" w:color="auto" w:sz="4" w:space="0"/>
              <w:right w:val="single" w:color="auto" w:sz="4" w:space="0"/>
            </w:tcBorders>
            <w:vAlign w:val="center"/>
          </w:tcPr>
          <w:p>
            <w:pPr>
              <w:pStyle w:val="11"/>
              <w:spacing w:line="440" w:lineRule="exact"/>
              <w:jc w:val="center"/>
              <w:rPr>
                <w:rFonts w:ascii="宋体" w:hAnsi="宋体"/>
                <w:b/>
                <w:szCs w:val="24"/>
              </w:rPr>
            </w:pPr>
            <w:r>
              <w:rPr>
                <w:rFonts w:hint="eastAsia" w:ascii="宋体" w:hAnsi="宋体"/>
                <w:b/>
                <w:szCs w:val="24"/>
              </w:rPr>
              <w:t>17</w:t>
            </w:r>
          </w:p>
        </w:tc>
        <w:tc>
          <w:tcPr>
            <w:tcW w:w="1776"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宋体" w:hAnsi="宋体"/>
              </w:rPr>
            </w:pPr>
            <w:r>
              <w:rPr>
                <w:rFonts w:hint="eastAsia" w:ascii="宋体" w:hAnsi="宋体"/>
              </w:rPr>
              <w:t>上传电子投标文件时间</w:t>
            </w:r>
          </w:p>
        </w:tc>
        <w:tc>
          <w:tcPr>
            <w:tcW w:w="7589" w:type="dxa"/>
            <w:tcBorders>
              <w:top w:val="single" w:color="auto" w:sz="4" w:space="0"/>
              <w:left w:val="single" w:color="auto" w:sz="4" w:space="0"/>
              <w:bottom w:val="single" w:color="auto" w:sz="4" w:space="0"/>
              <w:right w:val="single" w:color="auto" w:sz="4" w:space="0"/>
            </w:tcBorders>
            <w:vAlign w:val="center"/>
          </w:tcPr>
          <w:p>
            <w:pPr>
              <w:spacing w:line="400" w:lineRule="exact"/>
              <w:jc w:val="left"/>
            </w:pPr>
            <w:r>
              <w:rPr>
                <w:rFonts w:hint="eastAsia" w:ascii="宋体" w:hAnsi="宋体"/>
                <w:bCs/>
                <w:color w:val="auto"/>
                <w:sz w:val="24"/>
                <w:szCs w:val="24"/>
              </w:rPr>
              <w:t>供应商应于投标截止时间前在“政采云”上自行加密上传电子投标文件，</w:t>
            </w:r>
            <w:r>
              <w:rPr>
                <w:rFonts w:ascii="宋体" w:hAnsi="宋体"/>
                <w:bCs/>
                <w:color w:val="auto"/>
                <w:sz w:val="24"/>
                <w:szCs w:val="24"/>
              </w:rPr>
              <w:t>逾期</w:t>
            </w:r>
            <w:r>
              <w:rPr>
                <w:rFonts w:hint="eastAsia" w:ascii="宋体" w:hAnsi="宋体"/>
                <w:bCs/>
                <w:color w:val="auto"/>
                <w:sz w:val="24"/>
                <w:szCs w:val="24"/>
              </w:rPr>
              <w:t>上传</w:t>
            </w:r>
            <w:r>
              <w:rPr>
                <w:rFonts w:ascii="宋体" w:hAnsi="宋体"/>
                <w:bCs/>
                <w:color w:val="auto"/>
                <w:sz w:val="24"/>
                <w:szCs w:val="24"/>
              </w:rPr>
              <w:t>或未按要求</w:t>
            </w:r>
            <w:r>
              <w:rPr>
                <w:rFonts w:hint="eastAsia" w:ascii="宋体" w:hAnsi="宋体"/>
                <w:bCs/>
                <w:color w:val="auto"/>
                <w:sz w:val="24"/>
                <w:szCs w:val="24"/>
              </w:rPr>
              <w:t>上传</w:t>
            </w:r>
            <w:r>
              <w:rPr>
                <w:rFonts w:ascii="宋体" w:hAnsi="宋体"/>
                <w:bCs/>
                <w:color w:val="auto"/>
                <w:sz w:val="24"/>
                <w:szCs w:val="24"/>
              </w:rPr>
              <w:t>的投标文件将予以拒收。</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32" w:hRule="atLeast"/>
          <w:jc w:val="center"/>
        </w:trPr>
        <w:tc>
          <w:tcPr>
            <w:tcW w:w="704" w:type="dxa"/>
            <w:tcBorders>
              <w:top w:val="single" w:color="auto" w:sz="4" w:space="0"/>
              <w:left w:val="single" w:color="auto" w:sz="4" w:space="0"/>
              <w:bottom w:val="single" w:color="auto" w:sz="4" w:space="0"/>
              <w:right w:val="single" w:color="auto" w:sz="4" w:space="0"/>
            </w:tcBorders>
            <w:vAlign w:val="center"/>
          </w:tcPr>
          <w:p>
            <w:pPr>
              <w:pStyle w:val="11"/>
              <w:spacing w:line="440" w:lineRule="exact"/>
              <w:jc w:val="center"/>
              <w:rPr>
                <w:rFonts w:ascii="宋体" w:hAnsi="宋体"/>
                <w:b/>
                <w:szCs w:val="24"/>
              </w:rPr>
            </w:pPr>
            <w:r>
              <w:rPr>
                <w:rFonts w:hint="eastAsia" w:ascii="宋体" w:hAnsi="宋体"/>
                <w:b/>
                <w:szCs w:val="24"/>
              </w:rPr>
              <w:t>18</w:t>
            </w:r>
          </w:p>
        </w:tc>
        <w:tc>
          <w:tcPr>
            <w:tcW w:w="1776" w:type="dxa"/>
            <w:tcBorders>
              <w:top w:val="single" w:color="auto" w:sz="4" w:space="0"/>
              <w:left w:val="single" w:color="auto" w:sz="4" w:space="0"/>
              <w:bottom w:val="single" w:color="auto" w:sz="4" w:space="0"/>
              <w:right w:val="single" w:color="auto" w:sz="4" w:space="0"/>
            </w:tcBorders>
            <w:vAlign w:val="center"/>
          </w:tcPr>
          <w:p>
            <w:pPr>
              <w:pStyle w:val="11"/>
              <w:jc w:val="center"/>
              <w:rPr>
                <w:rFonts w:ascii="宋体" w:hAnsi="宋体"/>
                <w:szCs w:val="24"/>
              </w:rPr>
            </w:pPr>
            <w:r>
              <w:rPr>
                <w:rFonts w:hint="eastAsia" w:ascii="宋体" w:hAnsi="宋体"/>
                <w:szCs w:val="24"/>
              </w:rPr>
              <w:t>投标有效期</w:t>
            </w:r>
          </w:p>
        </w:tc>
        <w:tc>
          <w:tcPr>
            <w:tcW w:w="7589" w:type="dxa"/>
            <w:tcBorders>
              <w:top w:val="single" w:color="auto" w:sz="4" w:space="0"/>
              <w:left w:val="single" w:color="auto" w:sz="4" w:space="0"/>
              <w:bottom w:val="single" w:color="auto" w:sz="4" w:space="0"/>
              <w:right w:val="single" w:color="auto" w:sz="4" w:space="0"/>
            </w:tcBorders>
            <w:vAlign w:val="center"/>
          </w:tcPr>
          <w:p>
            <w:pPr>
              <w:pStyle w:val="11"/>
              <w:rPr>
                <w:rFonts w:ascii="宋体" w:hAnsi="宋体"/>
                <w:szCs w:val="24"/>
              </w:rPr>
            </w:pPr>
            <w:r>
              <w:rPr>
                <w:rFonts w:hint="eastAsia" w:ascii="宋体" w:hAnsi="宋体"/>
                <w:szCs w:val="24"/>
              </w:rPr>
              <w:t>自投标截止日起90天。如采购代理机构认为必要，可延长投标有效期。</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704" w:type="dxa"/>
            <w:tcBorders>
              <w:top w:val="single" w:color="auto" w:sz="4" w:space="0"/>
              <w:left w:val="single" w:color="auto" w:sz="4" w:space="0"/>
              <w:bottom w:val="single" w:color="auto" w:sz="4" w:space="0"/>
              <w:right w:val="single" w:color="auto" w:sz="4" w:space="0"/>
            </w:tcBorders>
            <w:vAlign w:val="center"/>
          </w:tcPr>
          <w:p>
            <w:pPr>
              <w:pStyle w:val="11"/>
              <w:spacing w:line="440" w:lineRule="exact"/>
              <w:jc w:val="center"/>
              <w:rPr>
                <w:rFonts w:ascii="宋体" w:hAnsi="宋体"/>
                <w:b/>
                <w:szCs w:val="24"/>
              </w:rPr>
            </w:pPr>
            <w:r>
              <w:rPr>
                <w:rFonts w:hint="eastAsia" w:ascii="宋体" w:hAnsi="宋体"/>
                <w:b/>
                <w:szCs w:val="24"/>
              </w:rPr>
              <w:t>19</w:t>
            </w:r>
          </w:p>
        </w:tc>
        <w:tc>
          <w:tcPr>
            <w:tcW w:w="1776" w:type="dxa"/>
            <w:tcBorders>
              <w:top w:val="single" w:color="auto" w:sz="4" w:space="0"/>
              <w:left w:val="single" w:color="auto" w:sz="4" w:space="0"/>
              <w:bottom w:val="single" w:color="auto" w:sz="4" w:space="0"/>
              <w:right w:val="single" w:color="auto" w:sz="4" w:space="0"/>
            </w:tcBorders>
            <w:vAlign w:val="center"/>
          </w:tcPr>
          <w:p>
            <w:pPr>
              <w:pStyle w:val="11"/>
              <w:jc w:val="center"/>
              <w:rPr>
                <w:rFonts w:ascii="宋体" w:hAnsi="宋体"/>
                <w:szCs w:val="24"/>
              </w:rPr>
            </w:pPr>
            <w:r>
              <w:rPr>
                <w:rFonts w:hint="eastAsia" w:ascii="宋体" w:hAnsi="宋体"/>
                <w:szCs w:val="24"/>
              </w:rPr>
              <w:t>签订合同时间</w:t>
            </w:r>
          </w:p>
        </w:tc>
        <w:tc>
          <w:tcPr>
            <w:tcW w:w="7589" w:type="dxa"/>
            <w:tcBorders>
              <w:top w:val="single" w:color="auto" w:sz="4" w:space="0"/>
              <w:left w:val="single" w:color="auto" w:sz="4" w:space="0"/>
              <w:bottom w:val="single" w:color="auto" w:sz="4" w:space="0"/>
              <w:right w:val="single" w:color="auto" w:sz="4" w:space="0"/>
            </w:tcBorders>
            <w:vAlign w:val="center"/>
          </w:tcPr>
          <w:p>
            <w:pPr>
              <w:pStyle w:val="11"/>
              <w:rPr>
                <w:rFonts w:ascii="宋体" w:hAnsi="宋体"/>
                <w:color w:val="FF00FF"/>
                <w:szCs w:val="24"/>
              </w:rPr>
            </w:pPr>
            <w:r>
              <w:rPr>
                <w:rFonts w:hint="eastAsia" w:ascii="宋体" w:hAnsi="宋体"/>
                <w:szCs w:val="24"/>
              </w:rPr>
              <w:t>中标通知书发出后30日内</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704" w:type="dxa"/>
            <w:tcBorders>
              <w:top w:val="single" w:color="auto" w:sz="4" w:space="0"/>
              <w:left w:val="single" w:color="auto" w:sz="4" w:space="0"/>
              <w:bottom w:val="single" w:color="auto" w:sz="4" w:space="0"/>
              <w:right w:val="single" w:color="auto" w:sz="4" w:space="0"/>
            </w:tcBorders>
            <w:vAlign w:val="center"/>
          </w:tcPr>
          <w:p>
            <w:pPr>
              <w:pStyle w:val="11"/>
              <w:spacing w:line="440" w:lineRule="exact"/>
              <w:jc w:val="center"/>
              <w:rPr>
                <w:rFonts w:ascii="宋体" w:hAnsi="宋体"/>
                <w:b/>
                <w:szCs w:val="24"/>
              </w:rPr>
            </w:pPr>
            <w:r>
              <w:rPr>
                <w:rFonts w:hint="eastAsia" w:ascii="宋体" w:hAnsi="宋体"/>
                <w:b/>
                <w:szCs w:val="24"/>
              </w:rPr>
              <w:t>20</w:t>
            </w:r>
          </w:p>
        </w:tc>
        <w:tc>
          <w:tcPr>
            <w:tcW w:w="1776" w:type="dxa"/>
            <w:tcBorders>
              <w:top w:val="single" w:color="auto" w:sz="4" w:space="0"/>
              <w:left w:val="single" w:color="auto" w:sz="4" w:space="0"/>
              <w:bottom w:val="single" w:color="auto" w:sz="4" w:space="0"/>
              <w:right w:val="single" w:color="auto" w:sz="4" w:space="0"/>
            </w:tcBorders>
            <w:vAlign w:val="center"/>
          </w:tcPr>
          <w:p>
            <w:pPr>
              <w:pStyle w:val="11"/>
              <w:jc w:val="center"/>
              <w:rPr>
                <w:rFonts w:ascii="宋体" w:hAnsi="宋体"/>
                <w:b/>
                <w:szCs w:val="24"/>
              </w:rPr>
            </w:pPr>
            <w:r>
              <w:rPr>
                <w:rFonts w:hint="eastAsia" w:ascii="宋体" w:hAnsi="宋体"/>
                <w:szCs w:val="24"/>
              </w:rPr>
              <w:t>转包与分包</w:t>
            </w:r>
          </w:p>
        </w:tc>
        <w:tc>
          <w:tcPr>
            <w:tcW w:w="7589" w:type="dxa"/>
            <w:tcBorders>
              <w:top w:val="single" w:color="auto" w:sz="4" w:space="0"/>
              <w:left w:val="single" w:color="auto" w:sz="4" w:space="0"/>
              <w:bottom w:val="single" w:color="auto" w:sz="4" w:space="0"/>
              <w:right w:val="single" w:color="auto" w:sz="4" w:space="0"/>
            </w:tcBorders>
            <w:vAlign w:val="center"/>
          </w:tcPr>
          <w:p>
            <w:pPr>
              <w:pStyle w:val="11"/>
              <w:rPr>
                <w:rFonts w:ascii="宋体" w:hAnsi="宋体"/>
                <w:szCs w:val="24"/>
              </w:rPr>
            </w:pPr>
            <w:r>
              <w:rPr>
                <w:rFonts w:ascii="宋体" w:hAnsi="宋体"/>
                <w:szCs w:val="24"/>
              </w:rPr>
              <w:t>本项目不允许转包</w:t>
            </w:r>
            <w:r>
              <w:rPr>
                <w:rFonts w:hint="eastAsia" w:ascii="宋体" w:hAnsi="宋体"/>
                <w:szCs w:val="24"/>
              </w:rPr>
              <w:t>和</w:t>
            </w:r>
            <w:r>
              <w:rPr>
                <w:rFonts w:ascii="宋体" w:hAnsi="宋体"/>
                <w:szCs w:val="24"/>
              </w:rPr>
              <w:t>分包</w:t>
            </w:r>
            <w:r>
              <w:rPr>
                <w:rFonts w:hint="eastAsia" w:ascii="宋体" w:hAnsi="宋体"/>
                <w:szCs w:val="24"/>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0" w:hRule="atLeast"/>
          <w:jc w:val="center"/>
        </w:trPr>
        <w:tc>
          <w:tcPr>
            <w:tcW w:w="704" w:type="dxa"/>
            <w:tcBorders>
              <w:top w:val="single" w:color="auto" w:sz="4" w:space="0"/>
              <w:left w:val="single" w:color="auto" w:sz="4" w:space="0"/>
              <w:bottom w:val="single" w:color="auto" w:sz="4" w:space="0"/>
              <w:right w:val="single" w:color="auto" w:sz="4" w:space="0"/>
            </w:tcBorders>
            <w:vAlign w:val="center"/>
          </w:tcPr>
          <w:p>
            <w:pPr>
              <w:pStyle w:val="11"/>
              <w:spacing w:line="440" w:lineRule="exact"/>
              <w:jc w:val="center"/>
              <w:rPr>
                <w:rFonts w:ascii="宋体" w:hAnsi="宋体"/>
                <w:b/>
                <w:szCs w:val="24"/>
              </w:rPr>
            </w:pPr>
            <w:r>
              <w:rPr>
                <w:rFonts w:hint="eastAsia" w:ascii="宋体" w:hAnsi="宋体"/>
                <w:b/>
                <w:szCs w:val="24"/>
              </w:rPr>
              <w:t>21</w:t>
            </w:r>
          </w:p>
        </w:tc>
        <w:tc>
          <w:tcPr>
            <w:tcW w:w="1776" w:type="dxa"/>
            <w:tcBorders>
              <w:top w:val="single" w:color="auto" w:sz="4" w:space="0"/>
              <w:left w:val="single" w:color="auto" w:sz="4" w:space="0"/>
              <w:bottom w:val="single" w:color="auto" w:sz="4" w:space="0"/>
              <w:right w:val="single" w:color="auto" w:sz="4" w:space="0"/>
            </w:tcBorders>
            <w:vAlign w:val="center"/>
          </w:tcPr>
          <w:p>
            <w:pPr>
              <w:pStyle w:val="11"/>
              <w:jc w:val="center"/>
              <w:rPr>
                <w:rFonts w:ascii="宋体" w:hAnsi="宋体"/>
                <w:szCs w:val="24"/>
              </w:rPr>
            </w:pPr>
            <w:r>
              <w:rPr>
                <w:rFonts w:hint="eastAsia" w:ascii="宋体" w:hAnsi="宋体"/>
                <w:szCs w:val="24"/>
              </w:rPr>
              <w:t>履约保证金</w:t>
            </w:r>
          </w:p>
        </w:tc>
        <w:tc>
          <w:tcPr>
            <w:tcW w:w="7589" w:type="dxa"/>
            <w:tcBorders>
              <w:top w:val="single" w:color="auto" w:sz="4" w:space="0"/>
              <w:left w:val="single" w:color="auto" w:sz="4" w:space="0"/>
              <w:bottom w:val="single" w:color="auto" w:sz="4" w:space="0"/>
              <w:right w:val="single" w:color="auto" w:sz="4" w:space="0"/>
            </w:tcBorders>
            <w:vAlign w:val="center"/>
          </w:tcPr>
          <w:p>
            <w:pPr>
              <w:pStyle w:val="11"/>
              <w:rPr>
                <w:rFonts w:ascii="宋体" w:hAnsi="宋体"/>
                <w:szCs w:val="24"/>
              </w:rPr>
            </w:pPr>
            <w:r>
              <w:rPr>
                <w:rFonts w:hint="eastAsia" w:ascii="宋体" w:hAnsi="宋体"/>
                <w:szCs w:val="24"/>
              </w:rPr>
              <w:t>签订合同时，中标人须向采购单位交入</w:t>
            </w:r>
            <w:r>
              <w:rPr>
                <w:rFonts w:hint="eastAsia" w:ascii="宋体" w:hAnsi="宋体"/>
                <w:b/>
                <w:szCs w:val="24"/>
              </w:rPr>
              <w:t>中标价5%的履约保证金</w:t>
            </w:r>
            <w:r>
              <w:rPr>
                <w:rFonts w:hint="eastAsia" w:ascii="宋体" w:hAnsi="宋体"/>
                <w:szCs w:val="24"/>
              </w:rPr>
              <w:t>。</w:t>
            </w:r>
            <w:r>
              <w:rPr>
                <w:rFonts w:hint="eastAsia" w:ascii="宋体" w:hAnsi="宋体"/>
              </w:rPr>
              <w:t>履约保证金在采购单位将货物（服务、工程）验收合格后5日内无息退还。</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0" w:hRule="atLeast"/>
          <w:jc w:val="center"/>
        </w:trPr>
        <w:tc>
          <w:tcPr>
            <w:tcW w:w="704" w:type="dxa"/>
            <w:tcBorders>
              <w:top w:val="single" w:color="auto" w:sz="4" w:space="0"/>
              <w:left w:val="single" w:color="auto" w:sz="4" w:space="0"/>
              <w:bottom w:val="single" w:color="auto" w:sz="4" w:space="0"/>
              <w:right w:val="single" w:color="auto" w:sz="4" w:space="0"/>
            </w:tcBorders>
            <w:vAlign w:val="center"/>
          </w:tcPr>
          <w:p>
            <w:pPr>
              <w:pStyle w:val="11"/>
              <w:spacing w:line="440" w:lineRule="exact"/>
              <w:jc w:val="center"/>
              <w:rPr>
                <w:rFonts w:ascii="宋体" w:hAnsi="宋体"/>
                <w:b/>
                <w:szCs w:val="24"/>
              </w:rPr>
            </w:pPr>
            <w:r>
              <w:rPr>
                <w:rFonts w:hint="eastAsia" w:ascii="宋体" w:hAnsi="宋体"/>
                <w:b/>
                <w:szCs w:val="24"/>
              </w:rPr>
              <w:t>22</w:t>
            </w:r>
          </w:p>
        </w:tc>
        <w:tc>
          <w:tcPr>
            <w:tcW w:w="1776" w:type="dxa"/>
            <w:tcBorders>
              <w:top w:val="single" w:color="auto" w:sz="4" w:space="0"/>
              <w:left w:val="single" w:color="auto" w:sz="4" w:space="0"/>
              <w:bottom w:val="single" w:color="auto" w:sz="4" w:space="0"/>
              <w:right w:val="single" w:color="auto" w:sz="4" w:space="0"/>
            </w:tcBorders>
            <w:vAlign w:val="center"/>
          </w:tcPr>
          <w:p>
            <w:pPr>
              <w:pStyle w:val="11"/>
              <w:jc w:val="center"/>
              <w:rPr>
                <w:rFonts w:ascii="宋体" w:hAnsi="宋体"/>
                <w:szCs w:val="24"/>
              </w:rPr>
            </w:pPr>
            <w:r>
              <w:rPr>
                <w:rFonts w:hint="eastAsia" w:ascii="宋体" w:hAnsi="宋体"/>
                <w:szCs w:val="24"/>
              </w:rPr>
              <w:t>投标文件上传截止时间</w:t>
            </w:r>
          </w:p>
        </w:tc>
        <w:tc>
          <w:tcPr>
            <w:tcW w:w="7589" w:type="dxa"/>
            <w:tcBorders>
              <w:top w:val="single" w:color="auto" w:sz="4" w:space="0"/>
              <w:left w:val="single" w:color="auto" w:sz="4" w:space="0"/>
              <w:bottom w:val="single" w:color="auto" w:sz="4" w:space="0"/>
              <w:right w:val="single" w:color="auto" w:sz="4" w:space="0"/>
            </w:tcBorders>
            <w:vAlign w:val="center"/>
          </w:tcPr>
          <w:p>
            <w:pPr>
              <w:snapToGrid w:val="0"/>
              <w:rPr>
                <w:rFonts w:ascii="宋体" w:hAnsi="宋体"/>
                <w:color w:val="auto"/>
                <w:kern w:val="2"/>
                <w:sz w:val="24"/>
                <w:szCs w:val="20"/>
              </w:rPr>
            </w:pPr>
            <w:r>
              <w:rPr>
                <w:rFonts w:hint="eastAsia" w:ascii="宋体" w:hAnsi="宋体"/>
                <w:color w:val="auto"/>
                <w:sz w:val="24"/>
                <w:szCs w:val="24"/>
              </w:rPr>
              <w:t>详见招标公告。</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16" w:hRule="atLeast"/>
          <w:jc w:val="center"/>
        </w:trPr>
        <w:tc>
          <w:tcPr>
            <w:tcW w:w="704" w:type="dxa"/>
            <w:tcBorders>
              <w:top w:val="single" w:color="auto" w:sz="4" w:space="0"/>
              <w:left w:val="single" w:color="auto" w:sz="4" w:space="0"/>
              <w:bottom w:val="single" w:color="auto" w:sz="4" w:space="0"/>
              <w:right w:val="single" w:color="auto" w:sz="4" w:space="0"/>
            </w:tcBorders>
            <w:vAlign w:val="center"/>
          </w:tcPr>
          <w:p>
            <w:pPr>
              <w:pStyle w:val="11"/>
              <w:spacing w:line="440" w:lineRule="exact"/>
              <w:jc w:val="center"/>
              <w:rPr>
                <w:rFonts w:ascii="宋体" w:hAnsi="宋体"/>
                <w:b/>
                <w:szCs w:val="24"/>
              </w:rPr>
            </w:pPr>
            <w:r>
              <w:rPr>
                <w:rFonts w:hint="eastAsia" w:ascii="宋体" w:hAnsi="宋体"/>
                <w:b/>
                <w:szCs w:val="24"/>
              </w:rPr>
              <w:t>23</w:t>
            </w:r>
          </w:p>
        </w:tc>
        <w:tc>
          <w:tcPr>
            <w:tcW w:w="1776" w:type="dxa"/>
            <w:tcBorders>
              <w:top w:val="single" w:color="auto" w:sz="4" w:space="0"/>
              <w:left w:val="single" w:color="auto" w:sz="4" w:space="0"/>
              <w:bottom w:val="single" w:color="auto" w:sz="4" w:space="0"/>
              <w:right w:val="single" w:color="auto" w:sz="4" w:space="0"/>
            </w:tcBorders>
            <w:vAlign w:val="center"/>
          </w:tcPr>
          <w:p>
            <w:pPr>
              <w:pStyle w:val="11"/>
              <w:jc w:val="center"/>
              <w:rPr>
                <w:rFonts w:ascii="宋体" w:hAnsi="宋体"/>
                <w:szCs w:val="24"/>
              </w:rPr>
            </w:pPr>
            <w:r>
              <w:rPr>
                <w:rFonts w:hint="eastAsia" w:ascii="宋体" w:hAnsi="宋体"/>
                <w:szCs w:val="24"/>
              </w:rPr>
              <w:t>开标时间</w:t>
            </w:r>
          </w:p>
        </w:tc>
        <w:tc>
          <w:tcPr>
            <w:tcW w:w="7589" w:type="dxa"/>
            <w:tcBorders>
              <w:top w:val="single" w:color="auto" w:sz="4" w:space="0"/>
              <w:left w:val="single" w:color="auto" w:sz="4" w:space="0"/>
              <w:bottom w:val="single" w:color="auto" w:sz="4" w:space="0"/>
              <w:right w:val="single" w:color="auto" w:sz="4" w:space="0"/>
            </w:tcBorders>
            <w:vAlign w:val="center"/>
          </w:tcPr>
          <w:p>
            <w:pPr>
              <w:snapToGrid w:val="0"/>
              <w:rPr>
                <w:rFonts w:ascii="宋体" w:hAnsi="宋体"/>
                <w:color w:val="auto"/>
                <w:kern w:val="2"/>
                <w:sz w:val="24"/>
                <w:szCs w:val="20"/>
              </w:rPr>
            </w:pPr>
            <w:r>
              <w:rPr>
                <w:rFonts w:hint="eastAsia" w:ascii="宋体" w:hAnsi="宋体"/>
                <w:color w:val="auto"/>
                <w:sz w:val="24"/>
                <w:szCs w:val="24"/>
              </w:rPr>
              <w:t>详见招标公告。</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5" w:hRule="atLeast"/>
          <w:jc w:val="center"/>
        </w:trPr>
        <w:tc>
          <w:tcPr>
            <w:tcW w:w="704" w:type="dxa"/>
            <w:tcBorders>
              <w:top w:val="single" w:color="auto" w:sz="4" w:space="0"/>
              <w:left w:val="single" w:color="auto" w:sz="4" w:space="0"/>
              <w:bottom w:val="single" w:color="auto" w:sz="4" w:space="0"/>
              <w:right w:val="single" w:color="auto" w:sz="4" w:space="0"/>
            </w:tcBorders>
            <w:vAlign w:val="center"/>
          </w:tcPr>
          <w:p>
            <w:pPr>
              <w:pStyle w:val="11"/>
              <w:spacing w:line="440" w:lineRule="exact"/>
              <w:jc w:val="center"/>
              <w:rPr>
                <w:rFonts w:ascii="宋体" w:hAnsi="宋体"/>
                <w:b/>
                <w:szCs w:val="24"/>
              </w:rPr>
            </w:pPr>
            <w:r>
              <w:rPr>
                <w:rFonts w:hint="eastAsia" w:ascii="宋体" w:hAnsi="宋体"/>
                <w:b/>
                <w:szCs w:val="24"/>
              </w:rPr>
              <w:t>24</w:t>
            </w:r>
          </w:p>
        </w:tc>
        <w:tc>
          <w:tcPr>
            <w:tcW w:w="1776" w:type="dxa"/>
            <w:tcBorders>
              <w:top w:val="single" w:color="auto" w:sz="4" w:space="0"/>
              <w:left w:val="single" w:color="auto" w:sz="4" w:space="0"/>
              <w:bottom w:val="single" w:color="auto" w:sz="4" w:space="0"/>
              <w:right w:val="single" w:color="auto" w:sz="4" w:space="0"/>
            </w:tcBorders>
            <w:vAlign w:val="center"/>
          </w:tcPr>
          <w:p>
            <w:pPr>
              <w:pStyle w:val="11"/>
              <w:jc w:val="center"/>
              <w:rPr>
                <w:rFonts w:ascii="宋体" w:hAnsi="宋体"/>
                <w:szCs w:val="24"/>
              </w:rPr>
            </w:pPr>
            <w:r>
              <w:rPr>
                <w:rFonts w:hint="eastAsia" w:ascii="宋体" w:hAnsi="宋体"/>
                <w:szCs w:val="24"/>
              </w:rPr>
              <w:t>开标地点</w:t>
            </w:r>
          </w:p>
        </w:tc>
        <w:tc>
          <w:tcPr>
            <w:tcW w:w="7589" w:type="dxa"/>
            <w:tcBorders>
              <w:top w:val="single" w:color="auto" w:sz="4" w:space="0"/>
              <w:left w:val="single" w:color="auto" w:sz="4" w:space="0"/>
              <w:bottom w:val="single" w:color="auto" w:sz="4" w:space="0"/>
              <w:right w:val="single" w:color="auto" w:sz="4" w:space="0"/>
            </w:tcBorders>
            <w:vAlign w:val="center"/>
          </w:tcPr>
          <w:p>
            <w:pPr>
              <w:snapToGrid w:val="0"/>
              <w:rPr>
                <w:rFonts w:ascii="宋体" w:hAnsi="宋体"/>
                <w:color w:val="auto"/>
                <w:kern w:val="2"/>
                <w:sz w:val="24"/>
                <w:szCs w:val="20"/>
              </w:rPr>
            </w:pPr>
            <w:r>
              <w:rPr>
                <w:rFonts w:hint="eastAsia" w:ascii="宋体" w:hAnsi="宋体"/>
                <w:color w:val="auto"/>
                <w:sz w:val="24"/>
                <w:szCs w:val="24"/>
              </w:rPr>
              <w:t>详见招标公告。</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5" w:hRule="atLeast"/>
          <w:jc w:val="center"/>
        </w:trPr>
        <w:tc>
          <w:tcPr>
            <w:tcW w:w="704" w:type="dxa"/>
            <w:tcBorders>
              <w:top w:val="single" w:color="auto" w:sz="4" w:space="0"/>
              <w:left w:val="single" w:color="auto" w:sz="4" w:space="0"/>
              <w:bottom w:val="single" w:color="auto" w:sz="4" w:space="0"/>
              <w:right w:val="single" w:color="auto" w:sz="4" w:space="0"/>
            </w:tcBorders>
            <w:vAlign w:val="center"/>
          </w:tcPr>
          <w:p>
            <w:pPr>
              <w:pStyle w:val="11"/>
              <w:spacing w:line="440" w:lineRule="exact"/>
              <w:jc w:val="center"/>
              <w:rPr>
                <w:rFonts w:ascii="宋体" w:hAnsi="宋体"/>
                <w:b/>
                <w:szCs w:val="24"/>
              </w:rPr>
            </w:pPr>
            <w:r>
              <w:rPr>
                <w:rFonts w:hint="eastAsia" w:ascii="宋体" w:hAnsi="宋体"/>
                <w:b/>
                <w:szCs w:val="24"/>
              </w:rPr>
              <w:t>25</w:t>
            </w:r>
          </w:p>
        </w:tc>
        <w:tc>
          <w:tcPr>
            <w:tcW w:w="1776" w:type="dxa"/>
            <w:tcBorders>
              <w:top w:val="single" w:color="auto" w:sz="4" w:space="0"/>
              <w:left w:val="single" w:color="auto" w:sz="4" w:space="0"/>
              <w:bottom w:val="single" w:color="auto" w:sz="4" w:space="0"/>
              <w:right w:val="single" w:color="auto" w:sz="4" w:space="0"/>
            </w:tcBorders>
            <w:vAlign w:val="center"/>
          </w:tcPr>
          <w:p>
            <w:pPr>
              <w:snapToGrid w:val="0"/>
              <w:jc w:val="center"/>
              <w:rPr>
                <w:rFonts w:ascii="宋体" w:hAnsi="宋体"/>
                <w:color w:val="auto"/>
                <w:kern w:val="2"/>
                <w:sz w:val="24"/>
                <w:szCs w:val="24"/>
              </w:rPr>
            </w:pPr>
            <w:r>
              <w:rPr>
                <w:rFonts w:hint="eastAsia" w:ascii="宋体" w:hAnsi="宋体"/>
                <w:color w:val="auto"/>
                <w:kern w:val="2"/>
                <w:sz w:val="24"/>
                <w:szCs w:val="24"/>
              </w:rPr>
              <w:t>信用记录</w:t>
            </w:r>
          </w:p>
        </w:tc>
        <w:tc>
          <w:tcPr>
            <w:tcW w:w="7589" w:type="dxa"/>
            <w:tcBorders>
              <w:top w:val="single" w:color="auto" w:sz="4" w:space="0"/>
              <w:left w:val="single" w:color="auto" w:sz="4" w:space="0"/>
              <w:bottom w:val="single" w:color="auto" w:sz="4" w:space="0"/>
              <w:right w:val="single" w:color="auto" w:sz="4" w:space="0"/>
            </w:tcBorders>
            <w:vAlign w:val="center"/>
          </w:tcPr>
          <w:p>
            <w:pPr>
              <w:pStyle w:val="11"/>
              <w:rPr>
                <w:rFonts w:ascii="宋体" w:hAnsi="宋体"/>
              </w:rPr>
            </w:pPr>
            <w:r>
              <w:rPr>
                <w:rFonts w:hint="eastAsia" w:ascii="宋体" w:hAnsi="宋体"/>
              </w:rPr>
              <w:t>根据财库[2016]125号文件，通过“信用中国”网站（www.creditchina.gov.cn）、中国政府采购网（www.ccgp.gov.cn），以开标当日网页查询记录为准。对列入失信被执行人、重大税收违法案件当事人名单、政府采购严重违法失信行为记录名单的供应商，其投标将作无效标处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581" w:hRule="atLeast"/>
          <w:jc w:val="center"/>
        </w:trPr>
        <w:tc>
          <w:tcPr>
            <w:tcW w:w="704" w:type="dxa"/>
            <w:tcBorders>
              <w:top w:val="single" w:color="auto" w:sz="4" w:space="0"/>
              <w:left w:val="single" w:color="auto" w:sz="4" w:space="0"/>
              <w:bottom w:val="single" w:color="auto" w:sz="4" w:space="0"/>
              <w:right w:val="single" w:color="auto" w:sz="4" w:space="0"/>
            </w:tcBorders>
            <w:vAlign w:val="center"/>
          </w:tcPr>
          <w:p>
            <w:pPr>
              <w:pStyle w:val="11"/>
              <w:spacing w:line="440" w:lineRule="exact"/>
              <w:jc w:val="center"/>
              <w:rPr>
                <w:rFonts w:ascii="宋体" w:hAnsi="宋体"/>
                <w:b/>
                <w:szCs w:val="24"/>
              </w:rPr>
            </w:pPr>
            <w:r>
              <w:rPr>
                <w:rFonts w:hint="eastAsia" w:ascii="宋体" w:hAnsi="宋体"/>
                <w:b/>
                <w:szCs w:val="24"/>
              </w:rPr>
              <w:t>26</w:t>
            </w:r>
          </w:p>
        </w:tc>
        <w:tc>
          <w:tcPr>
            <w:tcW w:w="1776" w:type="dxa"/>
            <w:tcBorders>
              <w:top w:val="single" w:color="auto" w:sz="4" w:space="0"/>
              <w:left w:val="single" w:color="auto" w:sz="4" w:space="0"/>
              <w:bottom w:val="single" w:color="auto" w:sz="4" w:space="0"/>
              <w:right w:val="single" w:color="auto" w:sz="4" w:space="0"/>
            </w:tcBorders>
            <w:vAlign w:val="center"/>
          </w:tcPr>
          <w:p>
            <w:pPr>
              <w:snapToGrid w:val="0"/>
              <w:jc w:val="center"/>
              <w:rPr>
                <w:rFonts w:ascii="宋体" w:hAnsi="宋体"/>
                <w:color w:val="auto"/>
                <w:kern w:val="2"/>
                <w:sz w:val="24"/>
                <w:szCs w:val="24"/>
              </w:rPr>
            </w:pPr>
            <w:r>
              <w:rPr>
                <w:rFonts w:hint="eastAsia" w:ascii="宋体" w:hAnsi="宋体"/>
                <w:color w:val="auto"/>
                <w:kern w:val="2"/>
                <w:sz w:val="24"/>
                <w:szCs w:val="24"/>
              </w:rPr>
              <w:t>政府采购节能环保产品</w:t>
            </w:r>
          </w:p>
        </w:tc>
        <w:tc>
          <w:tcPr>
            <w:tcW w:w="7589" w:type="dxa"/>
            <w:tcBorders>
              <w:top w:val="single" w:color="auto" w:sz="4" w:space="0"/>
              <w:left w:val="single" w:color="auto" w:sz="4" w:space="0"/>
              <w:bottom w:val="single" w:color="auto" w:sz="4" w:space="0"/>
              <w:right w:val="single" w:color="auto" w:sz="4" w:space="0"/>
            </w:tcBorders>
            <w:vAlign w:val="center"/>
          </w:tcPr>
          <w:p>
            <w:pPr>
              <w:spacing w:line="440" w:lineRule="exact"/>
              <w:rPr>
                <w:rFonts w:ascii="宋体" w:hAnsi="宋体"/>
                <w:color w:val="FF0000"/>
                <w:kern w:val="2"/>
                <w:sz w:val="24"/>
                <w:szCs w:val="20"/>
              </w:rPr>
            </w:pPr>
            <w:r>
              <w:rPr>
                <w:rFonts w:hint="eastAsia" w:ascii="宋体" w:hAnsi="宋体"/>
                <w:color w:val="FF0000"/>
                <w:kern w:val="2"/>
                <w:sz w:val="24"/>
                <w:szCs w:val="20"/>
              </w:rPr>
              <w:t>采购人拟采购的产品属于品目清单范围的，采购人将依据国家确定的认证机构出具的、处于有效期之内的节能产品、环境标志产品认证证书，对获得证书的产品实施政府优先采购或强制采购。投标人须按招标文件要求提供相关产品认证证书。</w:t>
            </w:r>
          </w:p>
          <w:p>
            <w:pPr>
              <w:pStyle w:val="11"/>
              <w:rPr>
                <w:rFonts w:ascii="宋体" w:hAnsi="宋体"/>
              </w:rPr>
            </w:pPr>
            <w:r>
              <w:rPr>
                <w:rFonts w:hint="eastAsia" w:ascii="宋体" w:hAnsi="宋体"/>
                <w:color w:val="FF0000"/>
                <w:szCs w:val="20"/>
              </w:rPr>
              <w:t>采购人拟采购的产品属于政府强制采购的节能产品品目清单范围的，投标人未按招标文件要求提供国家确定的认证机构出具的、处于有效期之内的节能产品认证证书，投标无效。</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409" w:hRule="atLeast"/>
          <w:jc w:val="center"/>
        </w:trPr>
        <w:tc>
          <w:tcPr>
            <w:tcW w:w="704" w:type="dxa"/>
            <w:tcBorders>
              <w:top w:val="single" w:color="auto" w:sz="4" w:space="0"/>
              <w:left w:val="single" w:color="auto" w:sz="4" w:space="0"/>
              <w:bottom w:val="single" w:color="auto" w:sz="4" w:space="0"/>
              <w:right w:val="single" w:color="auto" w:sz="4" w:space="0"/>
            </w:tcBorders>
            <w:vAlign w:val="center"/>
          </w:tcPr>
          <w:p>
            <w:pPr>
              <w:pStyle w:val="11"/>
              <w:spacing w:line="440" w:lineRule="exact"/>
              <w:jc w:val="center"/>
              <w:rPr>
                <w:rFonts w:ascii="宋体" w:hAnsi="宋体"/>
                <w:b/>
                <w:szCs w:val="24"/>
              </w:rPr>
            </w:pPr>
            <w:r>
              <w:rPr>
                <w:rFonts w:hint="eastAsia" w:ascii="宋体" w:hAnsi="宋体"/>
                <w:b/>
                <w:szCs w:val="24"/>
              </w:rPr>
              <w:t>27</w:t>
            </w:r>
          </w:p>
        </w:tc>
        <w:tc>
          <w:tcPr>
            <w:tcW w:w="1776" w:type="dxa"/>
            <w:tcBorders>
              <w:top w:val="single" w:color="auto" w:sz="4" w:space="0"/>
              <w:left w:val="single" w:color="auto" w:sz="4" w:space="0"/>
              <w:bottom w:val="single" w:color="auto" w:sz="4" w:space="0"/>
              <w:right w:val="single" w:color="auto" w:sz="4" w:space="0"/>
            </w:tcBorders>
            <w:vAlign w:val="center"/>
          </w:tcPr>
          <w:p>
            <w:pPr>
              <w:snapToGrid w:val="0"/>
              <w:jc w:val="center"/>
              <w:rPr>
                <w:rFonts w:ascii="宋体" w:hAnsi="宋体"/>
                <w:color w:val="auto"/>
                <w:kern w:val="2"/>
                <w:sz w:val="24"/>
                <w:szCs w:val="24"/>
              </w:rPr>
            </w:pPr>
            <w:r>
              <w:rPr>
                <w:rFonts w:hint="eastAsia" w:ascii="宋体" w:hAnsi="宋体"/>
                <w:color w:val="auto"/>
                <w:kern w:val="2"/>
                <w:sz w:val="24"/>
                <w:szCs w:val="24"/>
              </w:rPr>
              <w:t>小微企业有关政策</w:t>
            </w:r>
          </w:p>
        </w:tc>
        <w:tc>
          <w:tcPr>
            <w:tcW w:w="7589" w:type="dxa"/>
            <w:tcBorders>
              <w:top w:val="single" w:color="auto" w:sz="4" w:space="0"/>
              <w:left w:val="single" w:color="auto" w:sz="4" w:space="0"/>
              <w:bottom w:val="single" w:color="auto" w:sz="4" w:space="0"/>
              <w:right w:val="single" w:color="auto" w:sz="4" w:space="0"/>
            </w:tcBorders>
            <w:vAlign w:val="center"/>
          </w:tcPr>
          <w:p>
            <w:pPr>
              <w:spacing w:line="440" w:lineRule="exact"/>
              <w:ind w:firstLine="420" w:firstLineChars="200"/>
              <w:rPr>
                <w:rFonts w:ascii="宋体" w:hAnsi="宋体"/>
                <w:color w:val="FF0000"/>
                <w:kern w:val="2"/>
              </w:rPr>
            </w:pPr>
            <w:r>
              <w:rPr>
                <w:rFonts w:hint="eastAsia" w:ascii="宋体" w:hAnsi="宋体"/>
                <w:color w:val="FF0000"/>
                <w:kern w:val="2"/>
              </w:rPr>
              <w:t>小微企业是指在中华人民共和国境内依法设立，依据国务院批准的中小企业划分标准确定的小型企业和微型企业，但与大企业的负责人为同一人，或者与大企业存在直接控股、管理关系的除外。符合中小企业划分标准的个体工商户，在政府采购活动中视同中小企业。</w:t>
            </w:r>
          </w:p>
          <w:p>
            <w:pPr>
              <w:spacing w:line="440" w:lineRule="exact"/>
              <w:ind w:firstLine="420" w:firstLineChars="200"/>
              <w:rPr>
                <w:rFonts w:ascii="宋体" w:hAnsi="宋体"/>
                <w:color w:val="FF0000"/>
                <w:kern w:val="2"/>
              </w:rPr>
            </w:pPr>
            <w:r>
              <w:rPr>
                <w:rFonts w:hint="eastAsia" w:ascii="宋体" w:hAnsi="宋体"/>
                <w:color w:val="FF0000"/>
                <w:kern w:val="2"/>
              </w:rPr>
              <w:t>对于经主管预算单位统筹后未预留份额专门面向中小企业采购的采购项目，以及预留份额项目中的非预留部分采购包，采购人、采购代理机构将对符合规定的小微企业报价给予6%的扣除，用扣除后的价格参加评审。</w:t>
            </w:r>
          </w:p>
          <w:p>
            <w:pPr>
              <w:spacing w:line="440" w:lineRule="exact"/>
              <w:ind w:firstLine="420" w:firstLineChars="200"/>
              <w:rPr>
                <w:rFonts w:ascii="宋体" w:hAnsi="宋体"/>
                <w:color w:val="FF0000"/>
                <w:kern w:val="2"/>
              </w:rPr>
            </w:pPr>
            <w:r>
              <w:rPr>
                <w:rFonts w:hint="eastAsia" w:ascii="宋体" w:hAnsi="宋体"/>
                <w:color w:val="FF0000"/>
                <w:kern w:val="2"/>
              </w:rPr>
              <w:t>供应商提供的货物或服务符合下列情形，享受中小企业扶持政策：</w:t>
            </w:r>
          </w:p>
          <w:p>
            <w:pPr>
              <w:spacing w:line="440" w:lineRule="exact"/>
              <w:ind w:firstLine="420" w:firstLineChars="200"/>
              <w:rPr>
                <w:rFonts w:ascii="宋体" w:hAnsi="宋体"/>
                <w:color w:val="FF0000"/>
                <w:kern w:val="2"/>
              </w:rPr>
            </w:pPr>
            <w:r>
              <w:rPr>
                <w:rFonts w:hint="eastAsia" w:ascii="宋体" w:hAnsi="宋体"/>
                <w:color w:val="FF0000"/>
                <w:kern w:val="2"/>
              </w:rPr>
              <w:t>1、在货物采购项目中，货物由小微企业制造，即货物由小微企业生产且使用该小微企业商号或者注册商标。供应商提供的货物既有中小企业制造货物，也有大型企业制造货物的，不享受中小企业扶持政策。</w:t>
            </w:r>
          </w:p>
          <w:p>
            <w:pPr>
              <w:spacing w:line="440" w:lineRule="exact"/>
              <w:ind w:firstLine="420" w:firstLineChars="200"/>
              <w:rPr>
                <w:rFonts w:ascii="宋体" w:hAnsi="宋体"/>
                <w:color w:val="FF0000"/>
                <w:kern w:val="2"/>
              </w:rPr>
            </w:pPr>
            <w:r>
              <w:rPr>
                <w:rFonts w:hint="eastAsia" w:ascii="宋体" w:hAnsi="宋体"/>
                <w:color w:val="FF0000"/>
                <w:kern w:val="2"/>
              </w:rPr>
              <w:t>2、在服务采购项目中，服务由小微企业承接，即提供服务的人员为小微企业依照《中华人民共和国劳动合同法》订立劳动合同的从业人员。</w:t>
            </w:r>
          </w:p>
          <w:p>
            <w:pPr>
              <w:spacing w:line="440" w:lineRule="exact"/>
              <w:ind w:firstLine="420" w:firstLineChars="200"/>
              <w:rPr>
                <w:rFonts w:ascii="宋体" w:hAnsi="宋体"/>
                <w:color w:val="FF0000"/>
                <w:kern w:val="2"/>
              </w:rPr>
            </w:pPr>
            <w:r>
              <w:rPr>
                <w:rFonts w:hint="eastAsia" w:ascii="宋体" w:hAnsi="宋体"/>
                <w:color w:val="FF0000"/>
                <w:kern w:val="2"/>
              </w:rPr>
              <w:t>小微企业应按照招标文件格式要求提供《中小企业声明函》。</w:t>
            </w:r>
          </w:p>
          <w:p>
            <w:pPr>
              <w:spacing w:line="440" w:lineRule="exact"/>
              <w:ind w:firstLine="420" w:firstLineChars="200"/>
              <w:rPr>
                <w:rFonts w:ascii="宋体" w:hAnsi="宋体"/>
                <w:color w:val="FF0000"/>
                <w:kern w:val="2"/>
              </w:rPr>
            </w:pPr>
            <w:r>
              <w:rPr>
                <w:rFonts w:hint="eastAsia" w:ascii="宋体" w:hAnsi="宋体"/>
                <w:color w:val="FF0000"/>
                <w:kern w:val="2"/>
              </w:rPr>
              <w:t>接受大中型企业与小微企业组成联合体或者允许大中型企业向一家或者多家小微企业分包的采购项目，对于联合协议或者分包意向协议约定小微企业的合同份额占到合同总金额30%以上的，采购人、采购代理机构将对联合体或者大中型企业的报价给予2%的扣除，用扣除后的价格参加评审。组成联合体或者接受分包的小微企业与联合体内其他企业、分包企业之间存在直接控股、管理关系的，不享受价格扣除优惠政策。</w:t>
            </w:r>
          </w:p>
          <w:p>
            <w:pPr>
              <w:spacing w:line="440" w:lineRule="exact"/>
              <w:ind w:firstLine="420" w:firstLineChars="200"/>
              <w:rPr>
                <w:rFonts w:ascii="宋体" w:hAnsi="宋体"/>
                <w:color w:val="FF0000"/>
                <w:kern w:val="2"/>
              </w:rPr>
            </w:pPr>
            <w:r>
              <w:rPr>
                <w:rFonts w:hint="eastAsia" w:ascii="宋体" w:hAnsi="宋体"/>
                <w:color w:val="FF0000"/>
                <w:kern w:val="2"/>
              </w:rPr>
              <w:t>以联合体形式参加政府采购活动， 联合体各方均为中小企业的，联合体视同中小企业。其中，联合体各方均为小微企业的，联合体视同小微企业。</w:t>
            </w:r>
          </w:p>
          <w:p>
            <w:pPr>
              <w:spacing w:line="440" w:lineRule="exact"/>
              <w:ind w:firstLine="420" w:firstLineChars="200"/>
              <w:rPr>
                <w:rFonts w:ascii="宋体" w:hAnsi="宋体"/>
                <w:color w:val="FF0000"/>
                <w:kern w:val="2"/>
              </w:rPr>
            </w:pPr>
            <w:r>
              <w:rPr>
                <w:rFonts w:hint="eastAsia" w:ascii="宋体" w:hAnsi="宋体"/>
                <w:color w:val="FF0000"/>
                <w:kern w:val="2"/>
              </w:rPr>
              <w:t>符合《关于促进残疾人就业政府采购政策的通知》（财库〔2017〕141号）规定的条件并提供《残疾人福利性单位声明函》（附件1）的残疾人福利性单位视同小微企业。</w:t>
            </w:r>
          </w:p>
          <w:p>
            <w:pPr>
              <w:spacing w:line="440" w:lineRule="exact"/>
              <w:ind w:firstLine="420" w:firstLineChars="200"/>
              <w:rPr>
                <w:rFonts w:ascii="宋体" w:hAnsi="宋体"/>
                <w:color w:val="FF0000"/>
                <w:kern w:val="2"/>
              </w:rPr>
            </w:pPr>
            <w:r>
              <w:rPr>
                <w:rFonts w:hint="eastAsia" w:ascii="宋体" w:hAnsi="宋体"/>
                <w:color w:val="FF0000"/>
                <w:kern w:val="2"/>
              </w:rPr>
              <w:t>符合《关于政府采购支持监狱企业发展有关问题的通知》（财库[2014]68号）规定的监狱企业并提供由省级以上监狱管理局、戒毒管理局（含新疆生产建设兵团）出具的属于监狱企业证明文件的，视同为小微企业。</w:t>
            </w:r>
          </w:p>
          <w:p>
            <w:pPr>
              <w:pStyle w:val="11"/>
              <w:rPr>
                <w:rFonts w:ascii="宋体" w:hAnsi="宋体"/>
              </w:rPr>
            </w:pPr>
            <w:r>
              <w:rPr>
                <w:rFonts w:hint="eastAsia" w:ascii="宋体" w:hAnsi="宋体"/>
                <w:color w:val="FF0000"/>
                <w:sz w:val="21"/>
              </w:rPr>
              <w:t>贯彻落实《保障中小企业款项支付条例》，严格按照条例规定向中小企业支付款项。</w:t>
            </w:r>
          </w:p>
        </w:tc>
      </w:tr>
    </w:tbl>
    <w:p>
      <w:pPr>
        <w:jc w:val="center"/>
        <w:rPr>
          <w:b/>
          <w:sz w:val="28"/>
        </w:rPr>
      </w:pPr>
      <w:r>
        <w:br w:type="page"/>
      </w:r>
      <w:r>
        <w:rPr>
          <w:rFonts w:hint="eastAsia"/>
          <w:b/>
          <w:sz w:val="28"/>
        </w:rPr>
        <w:t>一、总   则</w:t>
      </w:r>
      <w:bookmarkEnd w:id="1"/>
    </w:p>
    <w:p>
      <w:pPr>
        <w:spacing w:line="360" w:lineRule="exact"/>
        <w:ind w:firstLine="482" w:firstLineChars="200"/>
        <w:rPr>
          <w:rFonts w:ascii="宋体" w:hAnsi="宋体"/>
        </w:rPr>
      </w:pPr>
      <w:bookmarkStart w:id="28" w:name="_Toc125344512"/>
      <w:r>
        <w:rPr>
          <w:rFonts w:hint="eastAsia" w:ascii="宋体" w:hAnsi="宋体"/>
          <w:b/>
          <w:bCs/>
          <w:sz w:val="24"/>
        </w:rPr>
        <w:t>1.</w:t>
      </w:r>
      <w:r>
        <w:rPr>
          <w:rFonts w:ascii="宋体" w:hAnsi="宋体"/>
          <w:b/>
          <w:sz w:val="24"/>
        </w:rPr>
        <w:t>适用范围</w:t>
      </w:r>
    </w:p>
    <w:p>
      <w:pPr>
        <w:snapToGrid w:val="0"/>
        <w:ind w:firstLine="480" w:firstLineChars="200"/>
        <w:jc w:val="left"/>
        <w:rPr>
          <w:rFonts w:ascii="宋体" w:hAnsi="宋体"/>
          <w:sz w:val="24"/>
        </w:rPr>
      </w:pPr>
      <w:r>
        <w:rPr>
          <w:rFonts w:hint="eastAsia" w:ascii="宋体" w:hAnsi="宋体"/>
          <w:sz w:val="24"/>
        </w:rPr>
        <w:t>本招标文件适用于本次所述项目的招标。</w:t>
      </w:r>
    </w:p>
    <w:p>
      <w:pPr>
        <w:snapToGrid w:val="0"/>
        <w:ind w:firstLine="482" w:firstLineChars="200"/>
        <w:jc w:val="left"/>
        <w:outlineLvl w:val="1"/>
        <w:rPr>
          <w:rFonts w:ascii="宋体" w:hAnsi="宋体"/>
          <w:b/>
          <w:sz w:val="24"/>
        </w:rPr>
      </w:pPr>
      <w:r>
        <w:rPr>
          <w:rFonts w:hint="eastAsia" w:ascii="宋体" w:hAnsi="宋体"/>
          <w:b/>
          <w:sz w:val="24"/>
        </w:rPr>
        <w:t>2.定义</w:t>
      </w:r>
    </w:p>
    <w:p>
      <w:pPr>
        <w:snapToGrid w:val="0"/>
        <w:ind w:firstLine="480" w:firstLineChars="200"/>
        <w:jc w:val="left"/>
        <w:rPr>
          <w:rFonts w:ascii="宋体" w:hAnsi="宋体"/>
          <w:sz w:val="24"/>
        </w:rPr>
      </w:pPr>
      <w:r>
        <w:rPr>
          <w:rFonts w:hint="eastAsia" w:ascii="宋体" w:hAnsi="宋体"/>
          <w:sz w:val="24"/>
        </w:rPr>
        <w:t>2.1“采购人”系指委托招标方采购本次货物、服务项目的国家机关、事业单位和团体组织。</w:t>
      </w:r>
    </w:p>
    <w:p>
      <w:pPr>
        <w:snapToGrid w:val="0"/>
        <w:ind w:firstLine="480" w:firstLineChars="200"/>
        <w:jc w:val="left"/>
        <w:rPr>
          <w:rFonts w:ascii="宋体" w:hAnsi="宋体"/>
          <w:sz w:val="24"/>
        </w:rPr>
      </w:pPr>
      <w:r>
        <w:rPr>
          <w:rFonts w:hint="eastAsia" w:ascii="宋体" w:hAnsi="宋体"/>
          <w:sz w:val="24"/>
        </w:rPr>
        <w:t>2.2</w:t>
      </w:r>
      <w:r>
        <w:rPr>
          <w:rFonts w:ascii="宋体" w:hAnsi="宋体"/>
          <w:sz w:val="24"/>
        </w:rPr>
        <w:t>“</w:t>
      </w:r>
      <w:r>
        <w:rPr>
          <w:rFonts w:hint="eastAsia" w:ascii="宋体" w:hAnsi="宋体"/>
          <w:sz w:val="24"/>
        </w:rPr>
        <w:t>采购代理机构</w:t>
      </w:r>
      <w:r>
        <w:rPr>
          <w:rFonts w:ascii="宋体" w:hAnsi="宋体"/>
          <w:sz w:val="24"/>
        </w:rPr>
        <w:t>”系指</w:t>
      </w:r>
      <w:r>
        <w:rPr>
          <w:rFonts w:hint="eastAsia" w:ascii="宋体" w:hAnsi="宋体"/>
          <w:sz w:val="24"/>
        </w:rPr>
        <w:t>诸暨市公共资源交易中心</w:t>
      </w:r>
      <w:r>
        <w:rPr>
          <w:rFonts w:ascii="宋体" w:hAnsi="宋体"/>
          <w:sz w:val="24"/>
        </w:rPr>
        <w:t>。</w:t>
      </w:r>
    </w:p>
    <w:p>
      <w:pPr>
        <w:snapToGrid w:val="0"/>
        <w:ind w:firstLine="480" w:firstLineChars="200"/>
        <w:jc w:val="left"/>
        <w:rPr>
          <w:rFonts w:ascii="宋体" w:hAnsi="宋体"/>
          <w:sz w:val="24"/>
        </w:rPr>
      </w:pPr>
      <w:r>
        <w:rPr>
          <w:rFonts w:hint="eastAsia" w:ascii="宋体" w:hAnsi="宋体"/>
          <w:sz w:val="24"/>
        </w:rPr>
        <w:t>2.3“</w:t>
      </w:r>
      <w:r>
        <w:rPr>
          <w:rFonts w:ascii="宋体" w:hAnsi="宋体"/>
          <w:sz w:val="24"/>
        </w:rPr>
        <w:t>投标人”系指向</w:t>
      </w:r>
      <w:r>
        <w:rPr>
          <w:rFonts w:hint="eastAsia" w:ascii="宋体" w:hAnsi="宋体"/>
          <w:sz w:val="24"/>
        </w:rPr>
        <w:t>采购人和采购代理机构</w:t>
      </w:r>
      <w:r>
        <w:rPr>
          <w:rFonts w:ascii="宋体" w:hAnsi="宋体"/>
          <w:sz w:val="24"/>
        </w:rPr>
        <w:t>提交投标文件的</w:t>
      </w:r>
      <w:r>
        <w:rPr>
          <w:rFonts w:hint="eastAsia" w:ascii="宋体" w:hAnsi="宋体"/>
          <w:sz w:val="24"/>
        </w:rPr>
        <w:t>供应商</w:t>
      </w:r>
      <w:r>
        <w:rPr>
          <w:rFonts w:ascii="宋体" w:hAnsi="宋体"/>
          <w:sz w:val="24"/>
        </w:rPr>
        <w:t>。</w:t>
      </w:r>
    </w:p>
    <w:p>
      <w:pPr>
        <w:snapToGrid w:val="0"/>
        <w:ind w:firstLine="480" w:firstLineChars="200"/>
        <w:jc w:val="left"/>
        <w:rPr>
          <w:rFonts w:ascii="宋体" w:hAnsi="宋体"/>
          <w:sz w:val="24"/>
        </w:rPr>
      </w:pPr>
      <w:r>
        <w:rPr>
          <w:rFonts w:hint="eastAsia" w:ascii="宋体" w:hAnsi="宋体"/>
          <w:sz w:val="24"/>
        </w:rPr>
        <w:t>2.4</w:t>
      </w:r>
      <w:r>
        <w:rPr>
          <w:rFonts w:ascii="宋体" w:hAnsi="宋体"/>
          <w:sz w:val="24"/>
        </w:rPr>
        <w:t>“</w:t>
      </w:r>
      <w:r>
        <w:rPr>
          <w:rFonts w:hint="eastAsia" w:ascii="宋体" w:hAnsi="宋体"/>
          <w:sz w:val="24"/>
        </w:rPr>
        <w:t>货物</w:t>
      </w:r>
      <w:r>
        <w:rPr>
          <w:rFonts w:ascii="宋体" w:hAnsi="宋体"/>
          <w:sz w:val="24"/>
        </w:rPr>
        <w:t>”系指供方按招标文件规定，须向采购人提供的一切设备、保险、税</w:t>
      </w:r>
      <w:r>
        <w:rPr>
          <w:rFonts w:hint="eastAsia" w:ascii="宋体" w:hAnsi="宋体"/>
          <w:sz w:val="24"/>
        </w:rPr>
        <w:t xml:space="preserve"> </w:t>
      </w:r>
      <w:r>
        <w:rPr>
          <w:rFonts w:ascii="宋体" w:hAnsi="宋体"/>
          <w:sz w:val="24"/>
        </w:rPr>
        <w:t>金、备品备件、工具、手册及其它有关技术资料和材料。</w:t>
      </w:r>
    </w:p>
    <w:p>
      <w:pPr>
        <w:snapToGrid w:val="0"/>
        <w:ind w:firstLine="480" w:firstLineChars="200"/>
        <w:jc w:val="left"/>
        <w:rPr>
          <w:rFonts w:ascii="宋体" w:hAnsi="宋体"/>
          <w:sz w:val="24"/>
        </w:rPr>
      </w:pPr>
      <w:r>
        <w:rPr>
          <w:rFonts w:hint="eastAsia" w:ascii="宋体" w:hAnsi="宋体"/>
          <w:sz w:val="24"/>
        </w:rPr>
        <w:t>2.5</w:t>
      </w:r>
      <w:r>
        <w:rPr>
          <w:rFonts w:ascii="宋体" w:hAnsi="宋体"/>
          <w:sz w:val="24"/>
        </w:rPr>
        <w:t>“服务”系指招标文件规定投标人须承担的安装、调试、技术协助、校准、培训、技术指导以及其他类似的义务。</w:t>
      </w:r>
    </w:p>
    <w:p>
      <w:pPr>
        <w:snapToGrid w:val="0"/>
        <w:ind w:firstLine="480" w:firstLineChars="200"/>
        <w:jc w:val="left"/>
        <w:rPr>
          <w:rFonts w:ascii="宋体" w:hAnsi="宋体"/>
          <w:sz w:val="24"/>
        </w:rPr>
      </w:pPr>
      <w:r>
        <w:rPr>
          <w:rFonts w:hint="eastAsia" w:ascii="宋体" w:hAnsi="宋体"/>
          <w:sz w:val="24"/>
        </w:rPr>
        <w:t>2.6</w:t>
      </w:r>
      <w:r>
        <w:rPr>
          <w:rFonts w:ascii="宋体" w:hAnsi="宋体"/>
          <w:sz w:val="24"/>
        </w:rPr>
        <w:t>“项目”系指投标人按招标文件规定向采购人提供的</w:t>
      </w:r>
      <w:r>
        <w:rPr>
          <w:rFonts w:hint="eastAsia" w:ascii="宋体" w:hAnsi="宋体"/>
          <w:sz w:val="24"/>
        </w:rPr>
        <w:t>货物</w:t>
      </w:r>
      <w:r>
        <w:rPr>
          <w:rFonts w:ascii="宋体" w:hAnsi="宋体"/>
          <w:sz w:val="24"/>
        </w:rPr>
        <w:t>和服务。</w:t>
      </w:r>
    </w:p>
    <w:p>
      <w:pPr>
        <w:snapToGrid w:val="0"/>
        <w:ind w:firstLine="480" w:firstLineChars="200"/>
        <w:jc w:val="left"/>
        <w:rPr>
          <w:rFonts w:ascii="宋体" w:hAnsi="宋体"/>
          <w:sz w:val="24"/>
        </w:rPr>
      </w:pPr>
      <w:r>
        <w:rPr>
          <w:rFonts w:hint="eastAsia" w:ascii="宋体" w:hAnsi="宋体"/>
          <w:sz w:val="24"/>
        </w:rPr>
        <w:t>2.7</w:t>
      </w:r>
      <w:r>
        <w:rPr>
          <w:rFonts w:ascii="宋体" w:hAnsi="宋体"/>
          <w:sz w:val="24"/>
        </w:rPr>
        <w:t>“书面形式”包括信函、传真、电报等。</w:t>
      </w:r>
    </w:p>
    <w:p>
      <w:pPr>
        <w:snapToGrid w:val="0"/>
        <w:ind w:firstLine="480" w:firstLineChars="200"/>
        <w:jc w:val="left"/>
        <w:rPr>
          <w:rFonts w:ascii="宋体" w:hAnsi="宋体"/>
          <w:sz w:val="24"/>
        </w:rPr>
      </w:pPr>
      <w:r>
        <w:rPr>
          <w:rFonts w:hint="eastAsia" w:ascii="宋体" w:hAnsi="宋体"/>
          <w:sz w:val="24"/>
        </w:rPr>
        <w:t>2.8本招标文件所述设备品牌、型号是结合实际现有情况的推荐性参考方案，投标人也可根据招标文件得要求参考性能相当或高于、服务条款相等或高于、符合招标方实际业务需求其他同档次优质品牌的产品，进行方案优化。所投产品不在参考品牌范围内的，是否符合招标文件要求由评标委员会在投标文件评审时集体讨论决定。</w:t>
      </w:r>
    </w:p>
    <w:p>
      <w:pPr>
        <w:spacing w:line="360" w:lineRule="exact"/>
        <w:ind w:firstLine="482" w:firstLineChars="200"/>
        <w:rPr>
          <w:rFonts w:ascii="宋体" w:hAnsi="宋体"/>
          <w:b/>
          <w:bCs/>
          <w:sz w:val="24"/>
        </w:rPr>
      </w:pPr>
      <w:r>
        <w:rPr>
          <w:rFonts w:hint="eastAsia" w:ascii="宋体" w:hAnsi="宋体"/>
          <w:b/>
          <w:bCs/>
          <w:sz w:val="24"/>
        </w:rPr>
        <w:t>3.采购方式</w:t>
      </w:r>
    </w:p>
    <w:p>
      <w:pPr>
        <w:snapToGrid w:val="0"/>
        <w:ind w:firstLine="480" w:firstLineChars="200"/>
        <w:jc w:val="left"/>
        <w:rPr>
          <w:rFonts w:ascii="宋体" w:hAnsi="宋体"/>
          <w:sz w:val="24"/>
        </w:rPr>
      </w:pPr>
      <w:r>
        <w:rPr>
          <w:rFonts w:ascii="宋体" w:hAnsi="宋体"/>
          <w:sz w:val="24"/>
        </w:rPr>
        <w:t>本次</w:t>
      </w:r>
      <w:r>
        <w:rPr>
          <w:rFonts w:hint="eastAsia" w:ascii="宋体" w:hAnsi="宋体"/>
          <w:sz w:val="24"/>
        </w:rPr>
        <w:t>采购</w:t>
      </w:r>
      <w:r>
        <w:rPr>
          <w:rFonts w:ascii="宋体" w:hAnsi="宋体"/>
          <w:sz w:val="24"/>
        </w:rPr>
        <w:t>采用公开招标方式进行。</w:t>
      </w:r>
    </w:p>
    <w:p>
      <w:pPr>
        <w:spacing w:line="360" w:lineRule="exact"/>
        <w:ind w:firstLine="482" w:firstLineChars="200"/>
        <w:rPr>
          <w:rFonts w:ascii="宋体" w:hAnsi="宋体"/>
          <w:b/>
          <w:bCs/>
          <w:sz w:val="24"/>
        </w:rPr>
      </w:pPr>
      <w:r>
        <w:rPr>
          <w:rFonts w:hint="eastAsia" w:ascii="宋体" w:hAnsi="宋体"/>
          <w:b/>
          <w:bCs/>
          <w:sz w:val="24"/>
        </w:rPr>
        <w:t>4.投标人及投标委托有关说明</w:t>
      </w:r>
    </w:p>
    <w:p>
      <w:pPr>
        <w:snapToGrid w:val="0"/>
        <w:ind w:firstLine="480" w:firstLineChars="200"/>
        <w:jc w:val="left"/>
        <w:rPr>
          <w:rFonts w:ascii="宋体" w:hAnsi="宋体"/>
          <w:color w:val="FF0000"/>
          <w:sz w:val="24"/>
        </w:rPr>
      </w:pPr>
      <w:r>
        <w:rPr>
          <w:rFonts w:hint="eastAsia" w:ascii="宋体" w:hAnsi="宋体"/>
          <w:sz w:val="24"/>
        </w:rPr>
        <w:t>4.1</w:t>
      </w:r>
      <w:r>
        <w:rPr>
          <w:rFonts w:ascii="宋体" w:hAnsi="宋体"/>
          <w:sz w:val="24"/>
        </w:rPr>
        <w:t>投标人代表不是法定代表人，须有法定代表人出具的授权委托书。</w:t>
      </w:r>
    </w:p>
    <w:p>
      <w:pPr>
        <w:spacing w:line="360" w:lineRule="exact"/>
        <w:ind w:firstLine="482" w:firstLineChars="200"/>
        <w:rPr>
          <w:rFonts w:ascii="宋体" w:hAnsi="宋体"/>
          <w:b/>
          <w:bCs/>
          <w:sz w:val="24"/>
        </w:rPr>
      </w:pPr>
      <w:r>
        <w:rPr>
          <w:rFonts w:hint="eastAsia" w:ascii="宋体" w:hAnsi="宋体"/>
          <w:b/>
          <w:bCs/>
          <w:sz w:val="24"/>
        </w:rPr>
        <w:t>5.投标费用</w:t>
      </w:r>
    </w:p>
    <w:p>
      <w:pPr>
        <w:snapToGrid w:val="0"/>
        <w:ind w:firstLine="480" w:firstLineChars="200"/>
        <w:jc w:val="left"/>
        <w:rPr>
          <w:rFonts w:ascii="宋体" w:hAnsi="宋体"/>
          <w:sz w:val="24"/>
        </w:rPr>
      </w:pPr>
      <w:r>
        <w:rPr>
          <w:rFonts w:hint="eastAsia" w:ascii="宋体" w:hAnsi="宋体"/>
          <w:sz w:val="24"/>
        </w:rPr>
        <w:t>投标人应自行承担获得招标文件和编制、提交投标文件所涉及的一切费用。不论投标结果如何，投标人均应自行承担所有与投标有关的全部费用。对中标人免收政府采购代理服务费。</w:t>
      </w:r>
    </w:p>
    <w:p>
      <w:pPr>
        <w:spacing w:line="360" w:lineRule="exact"/>
        <w:ind w:firstLine="482" w:firstLineChars="200"/>
        <w:rPr>
          <w:rFonts w:ascii="宋体" w:hAnsi="宋体"/>
          <w:b/>
          <w:bCs/>
          <w:sz w:val="24"/>
        </w:rPr>
      </w:pPr>
      <w:r>
        <w:rPr>
          <w:rFonts w:hint="eastAsia" w:ascii="宋体" w:hAnsi="宋体"/>
          <w:b/>
          <w:bCs/>
          <w:sz w:val="24"/>
        </w:rPr>
        <w:t>6.特别说明：</w:t>
      </w:r>
    </w:p>
    <w:p>
      <w:pPr>
        <w:pStyle w:val="11"/>
        <w:snapToGrid w:val="0"/>
        <w:ind w:firstLine="480" w:firstLineChars="200"/>
        <w:jc w:val="left"/>
        <w:rPr>
          <w:rFonts w:ascii="宋体" w:hAnsi="宋体"/>
        </w:rPr>
      </w:pPr>
      <w:r>
        <w:rPr>
          <w:rFonts w:hint="eastAsia" w:ascii="宋体" w:hAnsi="宋体"/>
        </w:rPr>
        <w:t>6.1</w:t>
      </w:r>
      <w:r>
        <w:rPr>
          <w:rFonts w:ascii="宋体" w:hAnsi="宋体"/>
        </w:rPr>
        <w:t>投标人应仔细阅读招标文件的所有内容，按照招标文件的要求提交投标文件，并对所提供的全部资料的真实性承担法律责任。</w:t>
      </w:r>
    </w:p>
    <w:p>
      <w:pPr>
        <w:pStyle w:val="11"/>
        <w:snapToGrid w:val="0"/>
        <w:ind w:firstLine="480" w:firstLineChars="200"/>
        <w:jc w:val="left"/>
        <w:rPr>
          <w:rFonts w:ascii="宋体" w:hAnsi="宋体"/>
        </w:rPr>
      </w:pPr>
      <w:r>
        <w:rPr>
          <w:rFonts w:hint="eastAsia" w:ascii="宋体" w:hAnsi="宋体"/>
        </w:rPr>
        <w:t>6.</w:t>
      </w:r>
      <w:r>
        <w:rPr>
          <w:rFonts w:ascii="宋体" w:hAnsi="宋体"/>
        </w:rPr>
        <w:t>2投标人在投标活动中提供任何虚假材料,其投标无效，并报监管部门查处；中标后发现的,中标人须依照《中华人民共和国消费者权益保护法》第49条之规定双倍赔偿采购人，且民事赔偿并不免除违法投标人的行政与刑事责任。</w:t>
      </w:r>
    </w:p>
    <w:p>
      <w:pPr>
        <w:pStyle w:val="11"/>
        <w:snapToGrid w:val="0"/>
        <w:ind w:firstLine="480" w:firstLineChars="200"/>
        <w:jc w:val="left"/>
        <w:rPr>
          <w:rFonts w:ascii="宋体" w:hAnsi="宋体"/>
        </w:rPr>
      </w:pPr>
      <w:r>
        <w:rPr>
          <w:rFonts w:hint="eastAsia" w:ascii="宋体" w:hAnsi="宋体"/>
        </w:rPr>
        <w:t>6.</w:t>
      </w:r>
      <w:r>
        <w:rPr>
          <w:rFonts w:ascii="宋体" w:hAnsi="宋体"/>
        </w:rPr>
        <w:t>3</w:t>
      </w:r>
      <w:r>
        <w:rPr>
          <w:rFonts w:hint="eastAsia" w:ascii="宋体" w:hAnsi="宋体"/>
        </w:rPr>
        <w:t>投标人须对所投产品、方案、技术和服务等拥有合法的占有和处置权，并对涉及项目的所有内容可能侵权行为指控负责，保证不伤害采购人的利益。在法律范围内，如果出现文字、图片、商标和技术等侵权行为而造成的纠纷和产生的一切费用，采购人概不负责，由此给采购人造成损失的，供应商应承担相应后果，并负责赔偿。供应商为执行本项目合同而提供的技术资料归采购人所有。</w:t>
      </w:r>
    </w:p>
    <w:p>
      <w:pPr>
        <w:pStyle w:val="11"/>
        <w:snapToGrid w:val="0"/>
        <w:ind w:left="2" w:leftChars="1" w:firstLine="480" w:firstLineChars="200"/>
        <w:rPr>
          <w:rFonts w:ascii="宋体" w:hAnsi="宋体"/>
        </w:rPr>
      </w:pPr>
      <w:r>
        <w:rPr>
          <w:rFonts w:hint="eastAsia" w:ascii="宋体" w:hAnsi="宋体"/>
        </w:rPr>
        <w:t>6.4供应商在政府采购项目投标过程中应诚实守信，不弄虚作假，不隐瞒真实情况，不围标串标，不恶意质疑投诉。如违反上述要求，经核实后，供应商的投标将作废，将该供应商列入不良记录名单并在网上曝光，同时提请政府采购监督管理部门给予一定年限内禁止参加政府采购活动的处罚或其他处罚。</w:t>
      </w:r>
    </w:p>
    <w:p>
      <w:pPr>
        <w:pStyle w:val="11"/>
        <w:snapToGrid w:val="0"/>
        <w:ind w:left="2" w:leftChars="1" w:firstLine="480" w:firstLineChars="200"/>
        <w:rPr>
          <w:rFonts w:ascii="宋体" w:hAnsi="宋体"/>
        </w:rPr>
      </w:pPr>
      <w:r>
        <w:rPr>
          <w:rFonts w:hint="eastAsia" w:ascii="宋体" w:hAnsi="宋体"/>
        </w:rPr>
        <w:t>6.</w:t>
      </w:r>
      <w:r>
        <w:rPr>
          <w:rFonts w:ascii="宋体" w:hAnsi="宋体"/>
        </w:rPr>
        <w:t>5</w:t>
      </w:r>
      <w:r>
        <w:rPr>
          <w:rFonts w:hint="eastAsia" w:ascii="宋体" w:hAnsi="宋体"/>
        </w:rPr>
        <w:t>本项目涉及采购货物必须是全新、未使用过的原装合格正品（包括零部件），如安装或配置了软件的，须为正版软件。</w:t>
      </w:r>
    </w:p>
    <w:p>
      <w:pPr>
        <w:pStyle w:val="11"/>
        <w:snapToGrid w:val="0"/>
        <w:ind w:left="2" w:leftChars="1" w:firstLine="480" w:firstLineChars="200"/>
        <w:rPr>
          <w:rFonts w:ascii="宋体" w:hAnsi="宋体"/>
        </w:rPr>
      </w:pPr>
      <w:r>
        <w:rPr>
          <w:rFonts w:hint="eastAsia" w:ascii="宋体" w:hAnsi="宋体"/>
        </w:rPr>
        <w:t>6.6国产的货物及其有关服务必须符合中华人民共和国的设计和制造生产标准或行业标准。招标公告有其他要求的，亦应符合其要求。</w:t>
      </w:r>
    </w:p>
    <w:p>
      <w:pPr>
        <w:pStyle w:val="11"/>
        <w:snapToGrid w:val="0"/>
        <w:ind w:left="2" w:leftChars="1" w:firstLine="480" w:firstLineChars="200"/>
        <w:rPr>
          <w:rFonts w:ascii="宋体" w:hAnsi="宋体"/>
        </w:rPr>
      </w:pPr>
      <w:r>
        <w:rPr>
          <w:rFonts w:hint="eastAsia" w:ascii="宋体" w:hAnsi="宋体"/>
        </w:rPr>
        <w:t>6.7进口货物及其有关服务必须符合原产地和/或中华人民共和国的设计和制造生产标准或行业标准。进口的货物必须具有合法的进口手续和途径，并通过中华人民共和国商检部门检验。招标公告有其他要求的，亦应符合其要求。</w:t>
      </w:r>
    </w:p>
    <w:p>
      <w:pPr>
        <w:spacing w:line="360" w:lineRule="exact"/>
        <w:ind w:firstLine="482" w:firstLineChars="200"/>
        <w:rPr>
          <w:rFonts w:ascii="宋体" w:hAnsi="宋体"/>
          <w:b/>
          <w:bCs/>
          <w:sz w:val="24"/>
        </w:rPr>
      </w:pPr>
      <w:r>
        <w:rPr>
          <w:rFonts w:hint="eastAsia" w:ascii="宋体" w:hAnsi="宋体"/>
          <w:b/>
          <w:bCs/>
          <w:sz w:val="24"/>
        </w:rPr>
        <w:t>7.询问、</w:t>
      </w:r>
      <w:r>
        <w:rPr>
          <w:rFonts w:ascii="宋体" w:hAnsi="宋体"/>
          <w:b/>
          <w:bCs/>
          <w:sz w:val="24"/>
        </w:rPr>
        <w:t>质疑和投诉</w:t>
      </w:r>
    </w:p>
    <w:p>
      <w:pPr>
        <w:pStyle w:val="11"/>
        <w:snapToGrid w:val="0"/>
        <w:ind w:left="1" w:firstLine="480" w:firstLineChars="200"/>
        <w:rPr>
          <w:rFonts w:ascii="宋体" w:hAnsi="宋体"/>
          <w:bCs/>
        </w:rPr>
      </w:pPr>
      <w:bookmarkStart w:id="29" w:name="_Toc125344504"/>
      <w:r>
        <w:rPr>
          <w:rFonts w:hint="eastAsia" w:ascii="宋体" w:hAnsi="宋体"/>
          <w:bCs/>
        </w:rPr>
        <w:t>7.</w:t>
      </w:r>
      <w:r>
        <w:rPr>
          <w:rFonts w:ascii="宋体" w:hAnsi="宋体"/>
          <w:bCs/>
        </w:rPr>
        <w:t>1</w:t>
      </w:r>
      <w:r>
        <w:rPr>
          <w:rFonts w:hint="eastAsia" w:ascii="宋体" w:hAnsi="宋体"/>
          <w:bCs/>
        </w:rPr>
        <w:t>采购人或采购代理机构应当在3个工作日内对供应商依法提出的询问作出答复。</w:t>
      </w:r>
    </w:p>
    <w:p>
      <w:pPr>
        <w:pStyle w:val="11"/>
        <w:snapToGrid w:val="0"/>
        <w:ind w:left="1" w:firstLine="480" w:firstLineChars="200"/>
        <w:rPr>
          <w:rFonts w:ascii="宋体" w:hAnsi="宋体"/>
          <w:bCs/>
        </w:rPr>
      </w:pPr>
      <w:r>
        <w:rPr>
          <w:rFonts w:hint="eastAsia" w:ascii="宋体" w:hAnsi="宋体"/>
          <w:bCs/>
        </w:rPr>
        <w:t>7.</w:t>
      </w:r>
      <w:r>
        <w:rPr>
          <w:rFonts w:ascii="宋体" w:hAnsi="宋体"/>
          <w:bCs/>
        </w:rPr>
        <w:t>2</w:t>
      </w:r>
      <w:r>
        <w:rPr>
          <w:rFonts w:hint="eastAsia" w:ascii="宋体" w:hAnsi="宋体"/>
          <w:bCs/>
        </w:rPr>
        <w:t>供应商认为采购文件、采购过程、中标或者成交结果使自己的权益受到损害的，可以在知道或者应知其权益受到损害之日起 7 个工作日内，以书面形式向采购人、采购代理机构提出质疑。</w:t>
      </w:r>
    </w:p>
    <w:p>
      <w:pPr>
        <w:pStyle w:val="11"/>
        <w:snapToGrid w:val="0"/>
        <w:ind w:left="1" w:firstLine="480" w:firstLineChars="200"/>
        <w:rPr>
          <w:rFonts w:ascii="宋体" w:hAnsi="宋体"/>
        </w:rPr>
      </w:pPr>
      <w:r>
        <w:rPr>
          <w:rFonts w:hint="eastAsia" w:ascii="宋体" w:hAnsi="宋体"/>
          <w:bCs/>
        </w:rPr>
        <w:t>7.3</w:t>
      </w:r>
      <w:r>
        <w:rPr>
          <w:rFonts w:hint="eastAsia" w:ascii="宋体" w:hAnsi="宋体"/>
          <w:b/>
          <w:u w:val="single"/>
        </w:rPr>
        <w:t>对采购文件提出质疑的，应当在获取采购文件或者采购文件公告期限届满之日起 7 个工作日内提出，</w:t>
      </w:r>
      <w:r>
        <w:rPr>
          <w:rFonts w:hint="eastAsia" w:ascii="宋体" w:hAnsi="宋体"/>
        </w:rPr>
        <w:t>采购文件在获取截止之日后获得的，应当自采购文件公告期限届满之日起计算，且应当在采购响应截止时间之前提出。针对采购文件中特定资格条件、采购需求、评分办法提出的质疑，原则上由采购人负责答复；对采购文件中其他内容提出的质疑，原则上由采购机构负责答复。对认为有必要</w:t>
      </w:r>
      <w:r>
        <w:rPr>
          <w:spacing w:val="-9"/>
        </w:rPr>
        <w:t>澄清或者修改</w:t>
      </w:r>
      <w:r>
        <w:rPr>
          <w:rFonts w:hint="eastAsia" w:ascii="宋体" w:hAnsi="宋体"/>
        </w:rPr>
        <w:t>的问题，采购人和采购代理机构将补充（更正）以网上发布公告的形式通知所有投标人，补充（更正）是招标文件的组成部份。</w:t>
      </w:r>
    </w:p>
    <w:p>
      <w:pPr>
        <w:pStyle w:val="11"/>
        <w:snapToGrid w:val="0"/>
        <w:ind w:left="1" w:firstLine="480" w:firstLineChars="200"/>
        <w:rPr>
          <w:b/>
          <w:u w:val="single"/>
        </w:rPr>
      </w:pPr>
      <w:r>
        <w:rPr>
          <w:rFonts w:hint="eastAsia" w:ascii="宋体" w:hAnsi="宋体"/>
        </w:rPr>
        <w:t>7.4</w:t>
      </w:r>
      <w:r>
        <w:rPr>
          <w:rFonts w:hint="eastAsia"/>
          <w:b/>
          <w:u w:val="single"/>
        </w:rPr>
        <w:t>质疑供应商</w:t>
      </w:r>
      <w:r>
        <w:rPr>
          <w:b/>
          <w:u w:val="single"/>
        </w:rPr>
        <w:t>在收到</w:t>
      </w:r>
      <w:r>
        <w:rPr>
          <w:rFonts w:hint="eastAsia" w:hAnsi="宋体"/>
          <w:b/>
          <w:u w:val="single"/>
        </w:rPr>
        <w:t>更正（补充）</w:t>
      </w:r>
      <w:r>
        <w:rPr>
          <w:rFonts w:hint="eastAsia"/>
          <w:b/>
          <w:u w:val="single"/>
        </w:rPr>
        <w:t>公告</w:t>
      </w:r>
      <w:r>
        <w:rPr>
          <w:b/>
          <w:u w:val="single"/>
        </w:rPr>
        <w:t>后应于1</w:t>
      </w:r>
      <w:r>
        <w:rPr>
          <w:rFonts w:hint="eastAsia"/>
          <w:b/>
          <w:u w:val="single"/>
        </w:rPr>
        <w:t>个工作</w:t>
      </w:r>
      <w:r>
        <w:rPr>
          <w:b/>
          <w:u w:val="single"/>
        </w:rPr>
        <w:t>日内，以书面或传真形式（签署意见并加盖公章）向</w:t>
      </w:r>
      <w:r>
        <w:rPr>
          <w:rFonts w:hint="eastAsia"/>
          <w:b/>
          <w:u w:val="single"/>
        </w:rPr>
        <w:t>采购</w:t>
      </w:r>
      <w:r>
        <w:rPr>
          <w:b/>
          <w:u w:val="single"/>
        </w:rPr>
        <w:t>代理机构回函给予确认。过期未回复的，视为默认接受。</w:t>
      </w:r>
    </w:p>
    <w:p>
      <w:pPr>
        <w:pStyle w:val="11"/>
        <w:snapToGrid w:val="0"/>
        <w:ind w:left="1" w:firstLine="480" w:firstLineChars="200"/>
        <w:rPr>
          <w:rFonts w:ascii="宋体" w:hAnsi="宋体"/>
        </w:rPr>
      </w:pPr>
      <w:r>
        <w:rPr>
          <w:rFonts w:hint="eastAsia" w:ascii="宋体" w:hAnsi="宋体"/>
        </w:rPr>
        <w:t>7.5</w:t>
      </w:r>
      <w:r>
        <w:rPr>
          <w:rFonts w:hint="eastAsia" w:ascii="宋体" w:hAnsi="宋体"/>
          <w:b/>
          <w:bCs/>
          <w:u w:val="single"/>
        </w:rPr>
        <w:t>供应商应当在法定质疑期内一次性提出针对同一采购程序环节的质疑。</w:t>
      </w:r>
    </w:p>
    <w:p>
      <w:pPr>
        <w:pStyle w:val="11"/>
        <w:snapToGrid w:val="0"/>
        <w:ind w:left="1" w:firstLine="480" w:firstLineChars="200"/>
        <w:rPr>
          <w:rFonts w:ascii="宋体" w:hAnsi="宋体"/>
        </w:rPr>
      </w:pPr>
      <w:r>
        <w:rPr>
          <w:rFonts w:hint="eastAsia" w:ascii="宋体" w:hAnsi="宋体"/>
        </w:rPr>
        <w:t>7.6供应商</w:t>
      </w:r>
      <w:r>
        <w:rPr>
          <w:rFonts w:ascii="宋体" w:hAnsi="宋体"/>
        </w:rPr>
        <w:t>对采购人的质疑答复不满意或者采购人未在规定时间内作出答复的，可以在答复期满后十五个工作日内向同级采购监管部门投诉。</w:t>
      </w:r>
      <w:r>
        <w:rPr>
          <w:rFonts w:hint="eastAsia" w:ascii="宋体" w:hAnsi="宋体"/>
        </w:rPr>
        <w:t>逾期提出的，采购代理机构不予受理、答复。</w:t>
      </w:r>
    </w:p>
    <w:p>
      <w:pPr>
        <w:pStyle w:val="11"/>
        <w:snapToGrid w:val="0"/>
        <w:ind w:left="1" w:firstLine="480" w:firstLineChars="200"/>
        <w:rPr>
          <w:rFonts w:ascii="宋体" w:hAnsi="宋体"/>
        </w:rPr>
      </w:pPr>
      <w:r>
        <w:rPr>
          <w:rFonts w:hint="eastAsia" w:ascii="宋体" w:hAnsi="宋体"/>
          <w:bCs/>
        </w:rPr>
        <w:t>7.7</w:t>
      </w:r>
      <w:r>
        <w:rPr>
          <w:rFonts w:ascii="宋体" w:hAnsi="宋体"/>
          <w:bCs/>
        </w:rPr>
        <w:t>质疑、投诉应当采用书面形式，质疑书、投诉书均应明确阐述招标文件、招标过程和中标结果中使自己合法权益受到损害的实质性内容，提供相关事实、依据和证据及</w:t>
      </w:r>
      <w:r>
        <w:rPr>
          <w:rFonts w:ascii="宋体" w:hAnsi="宋体"/>
        </w:rPr>
        <w:t>其来源或线索，便于有关单位调查、答复和处理</w:t>
      </w:r>
      <w:r>
        <w:rPr>
          <w:rFonts w:hint="eastAsia" w:ascii="宋体" w:hAnsi="宋体"/>
        </w:rPr>
        <w:t>。</w:t>
      </w:r>
    </w:p>
    <w:p>
      <w:pPr>
        <w:jc w:val="center"/>
        <w:rPr>
          <w:b/>
          <w:sz w:val="28"/>
        </w:rPr>
      </w:pPr>
      <w:r>
        <w:rPr>
          <w:rFonts w:hint="eastAsia"/>
          <w:b/>
          <w:sz w:val="28"/>
        </w:rPr>
        <w:t>二、招标文件</w:t>
      </w:r>
      <w:bookmarkEnd w:id="29"/>
    </w:p>
    <w:p>
      <w:pPr>
        <w:spacing w:line="360" w:lineRule="exact"/>
        <w:ind w:firstLine="482" w:firstLineChars="200"/>
        <w:rPr>
          <w:rFonts w:ascii="宋体" w:hAnsi="宋体"/>
          <w:b/>
          <w:bCs/>
          <w:sz w:val="24"/>
        </w:rPr>
      </w:pPr>
      <w:r>
        <w:rPr>
          <w:rFonts w:hint="eastAsia" w:ascii="宋体" w:hAnsi="宋体"/>
          <w:b/>
          <w:bCs/>
          <w:sz w:val="24"/>
        </w:rPr>
        <w:t>8.招标文件的构成。</w:t>
      </w:r>
    </w:p>
    <w:p>
      <w:pPr>
        <w:snapToGrid w:val="0"/>
        <w:ind w:firstLine="480" w:firstLineChars="200"/>
        <w:jc w:val="left"/>
        <w:rPr>
          <w:rFonts w:ascii="宋体" w:hAnsi="宋体"/>
          <w:sz w:val="24"/>
        </w:rPr>
      </w:pPr>
      <w:r>
        <w:rPr>
          <w:rFonts w:hint="eastAsia" w:ascii="宋体" w:hAnsi="宋体"/>
          <w:sz w:val="24"/>
        </w:rPr>
        <w:t>本招标文件由以下部份组成：</w:t>
      </w:r>
    </w:p>
    <w:p>
      <w:pPr>
        <w:snapToGrid w:val="0"/>
        <w:ind w:firstLine="480" w:firstLineChars="200"/>
        <w:jc w:val="left"/>
        <w:rPr>
          <w:rFonts w:ascii="宋体" w:hAnsi="宋体"/>
          <w:sz w:val="24"/>
        </w:rPr>
      </w:pPr>
      <w:r>
        <w:rPr>
          <w:rFonts w:hint="eastAsia" w:ascii="宋体" w:hAnsi="宋体"/>
          <w:sz w:val="24"/>
        </w:rPr>
        <w:t>8.</w:t>
      </w:r>
      <w:r>
        <w:rPr>
          <w:rFonts w:ascii="宋体" w:hAnsi="宋体"/>
          <w:sz w:val="24"/>
        </w:rPr>
        <w:t>1招标公告</w:t>
      </w:r>
      <w:r>
        <w:rPr>
          <w:rFonts w:hint="eastAsia" w:ascii="宋体" w:hAnsi="宋体"/>
          <w:sz w:val="24"/>
        </w:rPr>
        <w:t>；</w:t>
      </w:r>
    </w:p>
    <w:p>
      <w:pPr>
        <w:snapToGrid w:val="0"/>
        <w:ind w:firstLine="480" w:firstLineChars="200"/>
        <w:jc w:val="left"/>
        <w:rPr>
          <w:rFonts w:ascii="宋体" w:hAnsi="宋体"/>
          <w:sz w:val="24"/>
        </w:rPr>
      </w:pPr>
      <w:r>
        <w:rPr>
          <w:rFonts w:hint="eastAsia" w:ascii="宋体" w:hAnsi="宋体"/>
          <w:sz w:val="24"/>
        </w:rPr>
        <w:t>8.2投标须知；</w:t>
      </w:r>
    </w:p>
    <w:p>
      <w:pPr>
        <w:snapToGrid w:val="0"/>
        <w:ind w:firstLine="480" w:firstLineChars="200"/>
        <w:jc w:val="left"/>
        <w:rPr>
          <w:rFonts w:ascii="宋体" w:hAnsi="宋体"/>
          <w:sz w:val="24"/>
        </w:rPr>
      </w:pPr>
      <w:r>
        <w:rPr>
          <w:rFonts w:hint="eastAsia" w:ascii="宋体" w:hAnsi="宋体"/>
          <w:sz w:val="24"/>
        </w:rPr>
        <w:t>8.3采购需求；</w:t>
      </w:r>
    </w:p>
    <w:p>
      <w:pPr>
        <w:snapToGrid w:val="0"/>
        <w:ind w:firstLine="480" w:firstLineChars="200"/>
        <w:jc w:val="left"/>
        <w:rPr>
          <w:rFonts w:ascii="宋体" w:hAnsi="宋体"/>
          <w:sz w:val="24"/>
        </w:rPr>
      </w:pPr>
      <w:r>
        <w:rPr>
          <w:rFonts w:hint="eastAsia" w:ascii="宋体" w:hAnsi="宋体"/>
          <w:sz w:val="24"/>
        </w:rPr>
        <w:t>8.4应提交的有关格式范例；</w:t>
      </w:r>
    </w:p>
    <w:p>
      <w:pPr>
        <w:snapToGrid w:val="0"/>
        <w:ind w:firstLine="480" w:firstLineChars="200"/>
        <w:jc w:val="left"/>
        <w:rPr>
          <w:rFonts w:ascii="宋体" w:hAnsi="宋体"/>
          <w:sz w:val="24"/>
        </w:rPr>
      </w:pPr>
      <w:r>
        <w:rPr>
          <w:rFonts w:hint="eastAsia" w:ascii="宋体" w:hAnsi="宋体"/>
          <w:sz w:val="24"/>
        </w:rPr>
        <w:t>8.5本项目</w:t>
      </w:r>
      <w:r>
        <w:rPr>
          <w:rFonts w:ascii="宋体" w:hAnsi="宋体"/>
          <w:sz w:val="24"/>
        </w:rPr>
        <w:t>招标文件</w:t>
      </w:r>
      <w:r>
        <w:rPr>
          <w:rFonts w:hint="eastAsia" w:ascii="宋体" w:hAnsi="宋体"/>
          <w:sz w:val="24"/>
        </w:rPr>
        <w:t>的</w:t>
      </w:r>
      <w:r>
        <w:rPr>
          <w:rFonts w:ascii="宋体" w:hAnsi="宋体"/>
          <w:sz w:val="24"/>
        </w:rPr>
        <w:t>澄清、答复、修改、补充的内容</w:t>
      </w:r>
      <w:r>
        <w:rPr>
          <w:rFonts w:hint="eastAsia" w:ascii="宋体" w:hAnsi="宋体"/>
          <w:sz w:val="24"/>
        </w:rPr>
        <w:t>。</w:t>
      </w:r>
    </w:p>
    <w:p>
      <w:pPr>
        <w:spacing w:line="360" w:lineRule="exact"/>
        <w:ind w:firstLine="482" w:firstLineChars="200"/>
        <w:rPr>
          <w:rFonts w:ascii="宋体" w:hAnsi="宋体"/>
          <w:b/>
          <w:bCs/>
          <w:sz w:val="24"/>
        </w:rPr>
      </w:pPr>
      <w:r>
        <w:rPr>
          <w:rFonts w:hint="eastAsia" w:ascii="宋体" w:hAnsi="宋体"/>
          <w:b/>
          <w:bCs/>
          <w:sz w:val="24"/>
        </w:rPr>
        <w:t>9.投标人的风险</w:t>
      </w:r>
    </w:p>
    <w:p>
      <w:pPr>
        <w:snapToGrid w:val="0"/>
        <w:ind w:firstLine="480" w:firstLineChars="200"/>
        <w:jc w:val="left"/>
        <w:rPr>
          <w:rFonts w:ascii="宋体" w:hAnsi="宋体"/>
          <w:sz w:val="24"/>
        </w:rPr>
      </w:pPr>
      <w:r>
        <w:rPr>
          <w:rFonts w:hint="eastAsia" w:ascii="宋体" w:hAnsi="宋体"/>
          <w:sz w:val="24"/>
        </w:rPr>
        <w:t>9.1投标人应仔细阅读招标文件的所有内容，并按照招标文件的要求提交投标文件。投标人没有按照招标文件要求提供全部资料，或者投标人没有对招标文件在各方面作出实质性响应是投标人的风险，并可能导致其投标被拒绝。</w:t>
      </w:r>
    </w:p>
    <w:p>
      <w:pPr>
        <w:snapToGrid w:val="0"/>
        <w:ind w:firstLine="480" w:firstLineChars="200"/>
        <w:jc w:val="left"/>
        <w:rPr>
          <w:rFonts w:ascii="宋体" w:hAnsi="宋体"/>
          <w:sz w:val="24"/>
        </w:rPr>
      </w:pPr>
      <w:r>
        <w:rPr>
          <w:rFonts w:hint="eastAsia" w:ascii="宋体" w:hAnsi="宋体"/>
          <w:sz w:val="24"/>
        </w:rPr>
        <w:t>9.2任何人或任何组织向投标人提交的任何书面或口头资料，未经采购代理机构在网上发布或书面通知，均作无效处理，不得作为招标文件的组成部分。采购代理机构对投标人由此而做出的推论、理解和结论概不负责。</w:t>
      </w:r>
    </w:p>
    <w:p>
      <w:pPr>
        <w:spacing w:line="360" w:lineRule="exact"/>
        <w:ind w:firstLine="482" w:firstLineChars="200"/>
        <w:rPr>
          <w:rFonts w:ascii="宋体" w:hAnsi="宋体"/>
          <w:b/>
          <w:bCs/>
          <w:sz w:val="24"/>
        </w:rPr>
      </w:pPr>
      <w:r>
        <w:rPr>
          <w:rFonts w:hint="eastAsia" w:ascii="宋体" w:hAnsi="宋体"/>
          <w:b/>
          <w:bCs/>
          <w:sz w:val="24"/>
        </w:rPr>
        <w:t>10.招标文件的澄清与修改</w:t>
      </w:r>
      <w:r>
        <w:rPr>
          <w:rFonts w:ascii="宋体" w:hAnsi="宋体"/>
          <w:b/>
          <w:bCs/>
          <w:sz w:val="24"/>
        </w:rPr>
        <w:t xml:space="preserve"> </w:t>
      </w:r>
    </w:p>
    <w:p>
      <w:pPr>
        <w:pStyle w:val="11"/>
        <w:snapToGrid w:val="0"/>
        <w:ind w:firstLine="480" w:firstLineChars="200"/>
        <w:rPr>
          <w:rFonts w:ascii="宋体" w:hAnsi="宋体"/>
          <w:szCs w:val="24"/>
        </w:rPr>
      </w:pPr>
      <w:r>
        <w:rPr>
          <w:rFonts w:hint="eastAsia" w:ascii="宋体" w:hAnsi="宋体"/>
        </w:rPr>
        <w:t>10.1</w:t>
      </w:r>
      <w:r>
        <w:rPr>
          <w:rFonts w:ascii="宋体" w:hAnsi="宋体"/>
          <w:bCs/>
        </w:rPr>
        <w:t>投标人</w:t>
      </w:r>
      <w:r>
        <w:rPr>
          <w:rFonts w:hint="eastAsia" w:ascii="宋体" w:hAnsi="宋体"/>
          <w:bCs/>
        </w:rPr>
        <w:t>下载招标文件后，</w:t>
      </w:r>
      <w:r>
        <w:rPr>
          <w:rFonts w:ascii="宋体" w:hAnsi="宋体"/>
          <w:bCs/>
        </w:rPr>
        <w:t>应认真阅读本招标文件</w:t>
      </w:r>
      <w:r>
        <w:rPr>
          <w:rFonts w:hint="eastAsia" w:ascii="宋体" w:hAnsi="宋体"/>
          <w:bCs/>
        </w:rPr>
        <w:t>的所有内容</w:t>
      </w:r>
      <w:r>
        <w:rPr>
          <w:rFonts w:ascii="宋体" w:hAnsi="宋体"/>
          <w:bCs/>
        </w:rPr>
        <w:t>，发现其中有误或有不合理要求的，投标人必须</w:t>
      </w:r>
      <w:r>
        <w:rPr>
          <w:rFonts w:hint="eastAsia" w:ascii="宋体" w:hAnsi="宋体"/>
          <w:bCs/>
        </w:rPr>
        <w:t>按规定的时间</w:t>
      </w:r>
      <w:r>
        <w:rPr>
          <w:rFonts w:ascii="宋体" w:hAnsi="宋体"/>
          <w:bCs/>
        </w:rPr>
        <w:t>前以书面形</w:t>
      </w:r>
      <w:r>
        <w:rPr>
          <w:rFonts w:hint="eastAsia" w:ascii="宋体" w:hAnsi="宋体"/>
          <w:bCs/>
        </w:rPr>
        <w:t>式</w:t>
      </w:r>
      <w:r>
        <w:rPr>
          <w:rFonts w:hint="eastAsia" w:ascii="宋体" w:hAnsi="宋体"/>
        </w:rPr>
        <w:t>(包括书面文字、传真等)</w:t>
      </w:r>
      <w:r>
        <w:rPr>
          <w:rFonts w:hint="eastAsia" w:ascii="宋体" w:hAnsi="宋体"/>
          <w:bCs/>
        </w:rPr>
        <w:t>要求采购人澄清</w:t>
      </w:r>
      <w:r>
        <w:rPr>
          <w:rFonts w:hint="eastAsia" w:ascii="宋体" w:hAnsi="宋体"/>
        </w:rPr>
        <w:t>。逾期提出的，采购人将不予受理。</w:t>
      </w:r>
      <w:r>
        <w:rPr>
          <w:rFonts w:hint="eastAsia" w:ascii="宋体" w:hAnsi="宋体"/>
          <w:szCs w:val="24"/>
        </w:rPr>
        <w:t>采购代理机构与采购人研究后，对认为有必要回答的问题，采购人将补充（更正内容）以网上发布公告的形式通知所有投标人，补充（更正）内容是招标文件的组成部份。投标人可以通过诸暨市公共资源交易网自行下载，以确认已阅知该澄清或修改内容，否则，由此导致的风险由投标人自行承担，采购人不承担任何责任。</w:t>
      </w:r>
    </w:p>
    <w:p>
      <w:pPr>
        <w:pStyle w:val="11"/>
        <w:snapToGrid w:val="0"/>
        <w:ind w:firstLine="480" w:firstLineChars="200"/>
        <w:rPr>
          <w:rFonts w:ascii="宋体" w:hAnsi="宋体"/>
          <w:szCs w:val="24"/>
        </w:rPr>
      </w:pPr>
      <w:r>
        <w:rPr>
          <w:rFonts w:hint="eastAsia" w:ascii="宋体" w:hAnsi="宋体"/>
          <w:szCs w:val="24"/>
        </w:rPr>
        <w:t>10.2</w:t>
      </w:r>
      <w:r>
        <w:rPr>
          <w:rFonts w:ascii="宋体" w:hAnsi="宋体"/>
        </w:rPr>
        <w:t>招标文件澄清、答复、修改、补充的内容为招标文件的组成部分。</w:t>
      </w:r>
      <w:r>
        <w:rPr>
          <w:rFonts w:hAnsi="宋体"/>
        </w:rPr>
        <w:t>当招标文件与招标文件的答复、澄清、修改、补充公告就同一内容的表述不一致时，以最后发出的文件</w:t>
      </w:r>
      <w:r>
        <w:rPr>
          <w:rFonts w:hint="eastAsia" w:hAnsi="宋体"/>
        </w:rPr>
        <w:t>或公告或通知</w:t>
      </w:r>
      <w:r>
        <w:rPr>
          <w:rFonts w:hAnsi="宋体"/>
        </w:rPr>
        <w:t>为准。</w:t>
      </w:r>
    </w:p>
    <w:p>
      <w:pPr>
        <w:pStyle w:val="11"/>
        <w:snapToGrid w:val="0"/>
        <w:ind w:firstLine="480" w:firstLineChars="200"/>
        <w:rPr>
          <w:rFonts w:ascii="宋体" w:hAnsi="宋体"/>
        </w:rPr>
      </w:pPr>
      <w:r>
        <w:rPr>
          <w:rFonts w:hint="eastAsia" w:ascii="宋体" w:hAnsi="宋体"/>
        </w:rPr>
        <w:t>10.3在投标截止时间前，采购人有权修改招标文件，并以网站发布补充公告的形式通知所有投标人，通知中没有注明更改投标截止时间的视为截止时间不变。修改的文件作为招标文件的补充和组成部分，对所有投标人均有约束力。</w:t>
      </w:r>
    </w:p>
    <w:p>
      <w:pPr>
        <w:pStyle w:val="11"/>
        <w:snapToGrid w:val="0"/>
        <w:ind w:firstLine="480" w:firstLineChars="200"/>
        <w:rPr>
          <w:rFonts w:hAnsi="宋体"/>
        </w:rPr>
      </w:pPr>
      <w:r>
        <w:rPr>
          <w:rFonts w:hint="eastAsia" w:ascii="宋体" w:hAnsi="宋体"/>
        </w:rPr>
        <w:t>10.4为使投标人在编制投标文件时，把补充公告内容进行研究，采购代理机构可以酌情推迟递交投标文件的截止时间。</w:t>
      </w:r>
    </w:p>
    <w:p>
      <w:pPr>
        <w:pStyle w:val="11"/>
        <w:snapToGrid w:val="0"/>
        <w:ind w:firstLine="480" w:firstLineChars="200"/>
        <w:rPr>
          <w:rFonts w:ascii="宋体" w:hAnsi="宋体"/>
        </w:rPr>
      </w:pPr>
      <w:r>
        <w:rPr>
          <w:rFonts w:hint="eastAsia" w:ascii="宋体" w:hAnsi="宋体"/>
        </w:rPr>
        <w:t>10.5投标人一旦参与本次招标活动，即被视为接受了本招标文件的所有内容，如有任何异议，均须在答疑截止时间前提出。</w:t>
      </w:r>
    </w:p>
    <w:p>
      <w:pPr>
        <w:jc w:val="center"/>
        <w:rPr>
          <w:b/>
          <w:sz w:val="28"/>
        </w:rPr>
      </w:pPr>
      <w:bookmarkStart w:id="30" w:name="_Toc125344505"/>
      <w:r>
        <w:rPr>
          <w:rFonts w:hint="eastAsia"/>
          <w:b/>
          <w:sz w:val="28"/>
        </w:rPr>
        <w:t>三、投标文件编制</w:t>
      </w:r>
      <w:bookmarkEnd w:id="30"/>
      <w:r>
        <w:rPr>
          <w:rFonts w:hint="eastAsia"/>
          <w:b/>
          <w:sz w:val="28"/>
        </w:rPr>
        <w:t>和提交</w:t>
      </w:r>
    </w:p>
    <w:p>
      <w:pPr>
        <w:spacing w:line="360" w:lineRule="exact"/>
        <w:ind w:firstLine="482" w:firstLineChars="200"/>
        <w:rPr>
          <w:rFonts w:ascii="宋体" w:hAnsi="宋体"/>
          <w:b/>
          <w:bCs/>
          <w:sz w:val="24"/>
        </w:rPr>
      </w:pPr>
      <w:r>
        <w:rPr>
          <w:rFonts w:hint="eastAsia" w:ascii="宋体" w:hAnsi="宋体"/>
          <w:b/>
          <w:bCs/>
          <w:sz w:val="24"/>
        </w:rPr>
        <w:t>11.投标文件的组成</w:t>
      </w:r>
    </w:p>
    <w:p>
      <w:pPr>
        <w:snapToGrid w:val="0"/>
        <w:ind w:firstLine="480" w:firstLineChars="200"/>
        <w:jc w:val="left"/>
        <w:rPr>
          <w:rFonts w:ascii="宋体" w:hAnsi="宋体"/>
          <w:sz w:val="24"/>
        </w:rPr>
      </w:pPr>
      <w:r>
        <w:rPr>
          <w:rFonts w:hint="eastAsia" w:ascii="宋体" w:hAnsi="宋体"/>
          <w:sz w:val="24"/>
        </w:rPr>
        <w:t>投标文件由资格文件、商务技术文件、报价文件三部分组成。投标文件应当对招标文件提出的要求和条件作出明确响应。</w:t>
      </w:r>
    </w:p>
    <w:p>
      <w:pPr>
        <w:spacing w:line="360" w:lineRule="exact"/>
        <w:ind w:firstLine="482" w:firstLineChars="200"/>
        <w:rPr>
          <w:rFonts w:ascii="宋体" w:hAnsi="宋体"/>
          <w:b/>
          <w:bCs/>
          <w:sz w:val="24"/>
        </w:rPr>
      </w:pPr>
      <w:r>
        <w:rPr>
          <w:rFonts w:hint="eastAsia" w:ascii="宋体" w:hAnsi="宋体"/>
          <w:b/>
          <w:bCs/>
          <w:sz w:val="24"/>
        </w:rPr>
        <w:t>12.投标文件的语言及计量</w:t>
      </w:r>
    </w:p>
    <w:p>
      <w:pPr>
        <w:pStyle w:val="11"/>
        <w:snapToGrid w:val="0"/>
        <w:ind w:firstLine="480" w:firstLineChars="200"/>
        <w:rPr>
          <w:rFonts w:ascii="宋体" w:hAnsi="宋体"/>
        </w:rPr>
      </w:pPr>
      <w:r>
        <w:rPr>
          <w:rFonts w:hint="eastAsia" w:ascii="宋体" w:hAnsi="宋体"/>
        </w:rPr>
        <w:t>12.1</w:t>
      </w:r>
      <w:r>
        <w:rPr>
          <w:rFonts w:ascii="宋体" w:hAnsi="宋体"/>
        </w:rPr>
        <w:t>投标文件以及投标</w:t>
      </w:r>
      <w:r>
        <w:rPr>
          <w:rFonts w:hint="eastAsia" w:ascii="宋体" w:hAnsi="宋体"/>
        </w:rPr>
        <w:t>人</w:t>
      </w:r>
      <w:r>
        <w:rPr>
          <w:rFonts w:ascii="宋体" w:hAnsi="宋体"/>
        </w:rPr>
        <w:t>与</w:t>
      </w:r>
      <w:r>
        <w:rPr>
          <w:rFonts w:hint="eastAsia" w:ascii="宋体" w:hAnsi="宋体"/>
        </w:rPr>
        <w:t>采购代理机构</w:t>
      </w:r>
      <w:r>
        <w:rPr>
          <w:rFonts w:ascii="宋体" w:hAnsi="宋体"/>
        </w:rPr>
        <w:t>就有关投标事宜的所有往来</w:t>
      </w:r>
      <w:r>
        <w:rPr>
          <w:rFonts w:hint="eastAsia" w:ascii="宋体" w:hAnsi="宋体"/>
        </w:rPr>
        <w:t>通知、</w:t>
      </w:r>
      <w:r>
        <w:rPr>
          <w:rFonts w:ascii="宋体" w:hAnsi="宋体"/>
        </w:rPr>
        <w:t>函电，均应以中文汉语书写。除签名、盖章、专用名称等特殊情形外，以中文汉语以外的文字表述的投标文件视同未提供。</w:t>
      </w:r>
      <w:r>
        <w:rPr>
          <w:rFonts w:hint="eastAsia" w:ascii="宋体" w:hAnsi="宋体"/>
        </w:rPr>
        <w:t>投标人随投标文件提供的证明文件和资料可以为其它语言，但必须附中文译文。翻译的中文资料与外文资料如果出现差异时，以中文为准，但翻译错误的除外。</w:t>
      </w:r>
    </w:p>
    <w:p>
      <w:pPr>
        <w:pStyle w:val="11"/>
        <w:snapToGrid w:val="0"/>
        <w:ind w:firstLine="480" w:firstLineChars="200"/>
        <w:rPr>
          <w:rFonts w:ascii="宋体" w:hAnsi="宋体"/>
        </w:rPr>
      </w:pPr>
      <w:r>
        <w:rPr>
          <w:rFonts w:hint="eastAsia" w:ascii="宋体" w:hAnsi="宋体"/>
        </w:rPr>
        <w:t>12.2</w:t>
      </w:r>
      <w:r>
        <w:rPr>
          <w:rFonts w:ascii="宋体" w:hAnsi="宋体"/>
        </w:rPr>
        <w:t>投标计量单位，招标文件已有明确规定的，使用招标文件规定的计量单位；招标文件没有规定的，应采用中华人民共和国法定计量单位（货币单位：人民币元），否则视同未响应。</w:t>
      </w:r>
    </w:p>
    <w:p>
      <w:pPr>
        <w:spacing w:line="360" w:lineRule="exact"/>
        <w:ind w:firstLine="482" w:firstLineChars="200"/>
        <w:rPr>
          <w:rFonts w:ascii="宋体" w:hAnsi="宋体"/>
          <w:b/>
          <w:bCs/>
          <w:sz w:val="24"/>
        </w:rPr>
      </w:pPr>
      <w:r>
        <w:rPr>
          <w:rFonts w:hint="eastAsia" w:ascii="宋体" w:hAnsi="宋体"/>
          <w:b/>
          <w:bCs/>
          <w:sz w:val="24"/>
        </w:rPr>
        <w:t>13.投标报价</w:t>
      </w:r>
    </w:p>
    <w:p>
      <w:pPr>
        <w:pStyle w:val="11"/>
        <w:snapToGrid w:val="0"/>
        <w:ind w:firstLine="480" w:firstLineChars="200"/>
        <w:rPr>
          <w:rFonts w:ascii="宋体" w:hAnsi="宋体"/>
        </w:rPr>
      </w:pPr>
      <w:r>
        <w:rPr>
          <w:rFonts w:hint="eastAsia" w:ascii="宋体" w:hAnsi="宋体"/>
        </w:rPr>
        <w:t>13.1</w:t>
      </w:r>
      <w:r>
        <w:rPr>
          <w:rFonts w:ascii="宋体" w:hAnsi="宋体"/>
        </w:rPr>
        <w:t>投标报价应按招标文件中相关附表格式填写。</w:t>
      </w:r>
      <w:r>
        <w:rPr>
          <w:rFonts w:hint="eastAsia" w:ascii="宋体" w:hAnsi="宋体"/>
        </w:rPr>
        <w:t>本项目的投标应以人民币计。</w:t>
      </w:r>
    </w:p>
    <w:p>
      <w:pPr>
        <w:pStyle w:val="11"/>
        <w:snapToGrid w:val="0"/>
        <w:ind w:firstLine="480" w:firstLineChars="200"/>
        <w:rPr>
          <w:rFonts w:ascii="宋体" w:hAnsi="宋体"/>
        </w:rPr>
      </w:pPr>
      <w:r>
        <w:rPr>
          <w:rFonts w:hint="eastAsia" w:ascii="宋体" w:hAnsi="宋体"/>
        </w:rPr>
        <w:t>13.2投标报价应包括</w:t>
      </w:r>
      <w:r>
        <w:rPr>
          <w:rFonts w:ascii="宋体" w:hAnsi="宋体"/>
        </w:rPr>
        <w:t>货款、标准附件、备品备件、专用工具、包装、运输、装卸、保险、税金、货到就位以及安装、调试、培训、保修等一切税金和费用。</w:t>
      </w:r>
      <w:r>
        <w:rPr>
          <w:rFonts w:hint="eastAsia" w:ascii="宋体" w:hAnsi="宋体"/>
        </w:rPr>
        <w:t>投标报价（包括单价、总价等）均保留到小数点后两位（如：100.88元）。投标人必须报有合理单价，其将作为设备增减的主要依据。如有漏项，视同已包含在其它项目中，合同总价和单价不做调整。</w:t>
      </w:r>
    </w:p>
    <w:p>
      <w:pPr>
        <w:pStyle w:val="11"/>
        <w:snapToGrid w:val="0"/>
        <w:ind w:firstLine="480" w:firstLineChars="200"/>
        <w:rPr>
          <w:rFonts w:ascii="宋体" w:hAnsi="宋体"/>
        </w:rPr>
      </w:pPr>
      <w:r>
        <w:rPr>
          <w:rFonts w:hint="eastAsia" w:ascii="宋体" w:hAnsi="宋体"/>
        </w:rPr>
        <w:t>13.3</w:t>
      </w:r>
      <w:r>
        <w:rPr>
          <w:rFonts w:ascii="宋体" w:hAnsi="宋体"/>
        </w:rPr>
        <w:t>投标文件只允许有一个报价，有选择的</w:t>
      </w:r>
      <w:r>
        <w:rPr>
          <w:rFonts w:hint="eastAsia" w:ascii="宋体" w:hAnsi="宋体"/>
        </w:rPr>
        <w:t>或有条件的</w:t>
      </w:r>
      <w:r>
        <w:rPr>
          <w:rFonts w:ascii="宋体" w:hAnsi="宋体"/>
        </w:rPr>
        <w:t>报价将不予接受。</w:t>
      </w:r>
    </w:p>
    <w:p>
      <w:pPr>
        <w:pStyle w:val="11"/>
        <w:snapToGrid w:val="0"/>
        <w:ind w:firstLine="480" w:firstLineChars="200"/>
        <w:rPr>
          <w:rFonts w:ascii="宋体" w:hAnsi="宋体"/>
        </w:rPr>
      </w:pPr>
      <w:r>
        <w:rPr>
          <w:rFonts w:hint="eastAsia" w:ascii="宋体" w:hAnsi="宋体"/>
        </w:rPr>
        <w:t>13.4招标文件未列明，而投标人认为必需的费用也需列入报价。</w:t>
      </w:r>
    </w:p>
    <w:p>
      <w:pPr>
        <w:pStyle w:val="11"/>
        <w:snapToGrid w:val="0"/>
        <w:ind w:firstLine="480" w:firstLineChars="200"/>
        <w:rPr>
          <w:rFonts w:ascii="宋体" w:hAnsi="宋体"/>
        </w:rPr>
      </w:pPr>
      <w:r>
        <w:rPr>
          <w:rFonts w:hint="eastAsia" w:ascii="宋体" w:hAnsi="宋体"/>
        </w:rPr>
        <w:t>13.5中标后，中标人所填写的单价在合同实施期间不因市场变化因素而变动，投标人在计算报价时应考虑一定的风险系数。</w:t>
      </w:r>
    </w:p>
    <w:p>
      <w:pPr>
        <w:pStyle w:val="11"/>
        <w:snapToGrid w:val="0"/>
        <w:ind w:firstLine="482" w:firstLineChars="200"/>
        <w:rPr>
          <w:rFonts w:ascii="宋体" w:hAnsi="宋体"/>
          <w:color w:val="FF0000"/>
        </w:rPr>
      </w:pPr>
      <w:r>
        <w:rPr>
          <w:rFonts w:hint="eastAsia" w:ascii="宋体" w:hAnsi="宋体"/>
          <w:b/>
        </w:rPr>
        <w:t>13.6</w:t>
      </w:r>
      <w:r>
        <w:rPr>
          <w:rFonts w:ascii="宋体" w:hAnsi="宋体"/>
          <w:b/>
        </w:rPr>
        <w:t>投标人若有方案和报价未被唱标</w:t>
      </w:r>
      <w:r>
        <w:rPr>
          <w:rFonts w:hint="eastAsia" w:ascii="宋体" w:hAnsi="宋体"/>
          <w:b/>
        </w:rPr>
        <w:t>，</w:t>
      </w:r>
      <w:r>
        <w:rPr>
          <w:rFonts w:ascii="宋体" w:hAnsi="宋体"/>
          <w:b/>
        </w:rPr>
        <w:t>应在开标时及时声明或提请采购代理机构</w:t>
      </w:r>
      <w:r>
        <w:rPr>
          <w:rFonts w:hint="eastAsia" w:ascii="宋体" w:hAnsi="宋体"/>
          <w:b/>
        </w:rPr>
        <w:t>宣读</w:t>
      </w:r>
      <w:r>
        <w:rPr>
          <w:rFonts w:ascii="宋体" w:hAnsi="宋体"/>
          <w:b/>
        </w:rPr>
        <w:t>，否则是投标人自己的风险，采购代理机构对此不承担任何责任。</w:t>
      </w:r>
    </w:p>
    <w:p>
      <w:pPr>
        <w:spacing w:line="360" w:lineRule="exact"/>
        <w:ind w:firstLine="482" w:firstLineChars="200"/>
        <w:rPr>
          <w:rFonts w:ascii="宋体" w:hAnsi="宋体"/>
          <w:b/>
          <w:bCs/>
          <w:sz w:val="24"/>
        </w:rPr>
      </w:pPr>
      <w:r>
        <w:rPr>
          <w:rFonts w:hint="eastAsia" w:ascii="宋体" w:hAnsi="宋体"/>
          <w:b/>
          <w:bCs/>
          <w:sz w:val="24"/>
        </w:rPr>
        <w:t>14.投标文件的有效期</w:t>
      </w:r>
    </w:p>
    <w:p>
      <w:pPr>
        <w:pStyle w:val="11"/>
        <w:snapToGrid w:val="0"/>
        <w:ind w:firstLine="480" w:firstLineChars="200"/>
        <w:rPr>
          <w:rFonts w:ascii="宋体" w:hAnsi="宋体"/>
        </w:rPr>
      </w:pPr>
      <w:r>
        <w:rPr>
          <w:rFonts w:hint="eastAsia" w:ascii="宋体" w:hAnsi="宋体"/>
        </w:rPr>
        <w:t>14.1投标有效期为</w:t>
      </w:r>
      <w:r>
        <w:rPr>
          <w:rFonts w:hint="eastAsia" w:ascii="Arial" w:hAnsi="Arial" w:cs="Arial"/>
        </w:rPr>
        <w:t>从投标截止之日算起的日历天数，</w:t>
      </w:r>
      <w:r>
        <w:rPr>
          <w:rFonts w:ascii="宋体" w:hAnsi="宋体"/>
        </w:rPr>
        <w:t>自投标截止日起</w:t>
      </w:r>
      <w:r>
        <w:rPr>
          <w:rFonts w:hint="eastAsia" w:ascii="宋体" w:hAnsi="宋体"/>
        </w:rPr>
        <w:t>90</w:t>
      </w:r>
      <w:r>
        <w:rPr>
          <w:rFonts w:ascii="宋体" w:hAnsi="宋体"/>
        </w:rPr>
        <w:t>天投标书应保持有效。</w:t>
      </w:r>
      <w:r>
        <w:rPr>
          <w:rFonts w:hint="eastAsia" w:ascii="宋体" w:hAnsi="宋体"/>
        </w:rPr>
        <w:t>如采购人认为必要，可延长投标有效期。</w:t>
      </w:r>
      <w:r>
        <w:rPr>
          <w:rFonts w:ascii="宋体" w:hAnsi="宋体"/>
        </w:rPr>
        <w:t>有效期短于这个规定期限的投标将被拒绝。</w:t>
      </w:r>
    </w:p>
    <w:p>
      <w:pPr>
        <w:pStyle w:val="11"/>
        <w:snapToGrid w:val="0"/>
        <w:ind w:firstLine="480" w:firstLineChars="200"/>
        <w:rPr>
          <w:rFonts w:ascii="宋体" w:hAnsi="宋体"/>
        </w:rPr>
      </w:pPr>
      <w:r>
        <w:rPr>
          <w:rFonts w:hint="eastAsia" w:ascii="宋体" w:hAnsi="宋体"/>
        </w:rPr>
        <w:t>14.2</w:t>
      </w:r>
      <w:r>
        <w:rPr>
          <w:rFonts w:ascii="宋体" w:hAnsi="宋体"/>
        </w:rPr>
        <w:t>在特殊情况下，采购人可与投标人协商延长投标书的有效期，这种要求和答复均以书面形式进行。</w:t>
      </w:r>
    </w:p>
    <w:p>
      <w:pPr>
        <w:pStyle w:val="11"/>
        <w:snapToGrid w:val="0"/>
        <w:ind w:firstLine="480" w:firstLineChars="200"/>
        <w:rPr>
          <w:rFonts w:ascii="宋体" w:hAnsi="宋体"/>
        </w:rPr>
      </w:pPr>
      <w:r>
        <w:rPr>
          <w:rFonts w:hint="eastAsia" w:ascii="宋体" w:hAnsi="宋体"/>
        </w:rPr>
        <w:t>14.3</w:t>
      </w:r>
      <w:r>
        <w:rPr>
          <w:rFonts w:ascii="宋体" w:hAnsi="宋体"/>
        </w:rPr>
        <w:t>投标人可拒绝接受延期要求</w:t>
      </w:r>
      <w:r>
        <w:rPr>
          <w:rFonts w:hint="eastAsia" w:ascii="宋体" w:hAnsi="宋体"/>
        </w:rPr>
        <w:t>，但其投标在原投标有效期满后不再有效。</w:t>
      </w:r>
      <w:r>
        <w:rPr>
          <w:rFonts w:ascii="宋体" w:hAnsi="宋体"/>
        </w:rPr>
        <w:t xml:space="preserve">同意延长有效期的投标人不能修改投标文件。 </w:t>
      </w:r>
    </w:p>
    <w:p>
      <w:pPr>
        <w:pStyle w:val="11"/>
        <w:snapToGrid w:val="0"/>
        <w:ind w:firstLine="480" w:firstLineChars="200"/>
        <w:rPr>
          <w:rFonts w:ascii="宋体" w:hAnsi="宋体"/>
        </w:rPr>
      </w:pPr>
      <w:r>
        <w:rPr>
          <w:rFonts w:hint="eastAsia" w:ascii="宋体" w:hAnsi="宋体"/>
        </w:rPr>
        <w:t>14.4</w:t>
      </w:r>
      <w:r>
        <w:rPr>
          <w:rFonts w:ascii="宋体" w:hAnsi="宋体"/>
        </w:rPr>
        <w:t>中标人的投标文件自开标之日起至合同履行完毕止均应保持有效。</w:t>
      </w:r>
    </w:p>
    <w:p>
      <w:pPr>
        <w:spacing w:line="360" w:lineRule="exact"/>
        <w:ind w:firstLine="482" w:firstLineChars="200"/>
        <w:rPr>
          <w:rFonts w:ascii="宋体" w:hAnsi="宋体"/>
          <w:b/>
          <w:bCs/>
          <w:sz w:val="24"/>
        </w:rPr>
      </w:pPr>
      <w:r>
        <w:rPr>
          <w:rFonts w:hint="eastAsia" w:ascii="宋体" w:hAnsi="宋体"/>
          <w:b/>
          <w:bCs/>
          <w:sz w:val="24"/>
        </w:rPr>
        <w:t>15.投标保证金</w:t>
      </w:r>
    </w:p>
    <w:p>
      <w:pPr>
        <w:snapToGrid w:val="0"/>
        <w:ind w:firstLine="480" w:firstLineChars="200"/>
        <w:jc w:val="left"/>
        <w:outlineLvl w:val="0"/>
        <w:rPr>
          <w:rFonts w:ascii="宋体" w:hAnsi="宋体"/>
          <w:sz w:val="24"/>
          <w:szCs w:val="24"/>
        </w:rPr>
      </w:pPr>
      <w:r>
        <w:rPr>
          <w:rFonts w:hint="eastAsia" w:ascii="宋体" w:hAnsi="宋体"/>
          <w:sz w:val="24"/>
          <w:szCs w:val="24"/>
        </w:rPr>
        <w:t>15.1本项目免收投标保证金。</w:t>
      </w:r>
    </w:p>
    <w:p>
      <w:pPr>
        <w:snapToGrid w:val="0"/>
        <w:ind w:firstLine="480" w:firstLineChars="200"/>
        <w:jc w:val="left"/>
        <w:outlineLvl w:val="0"/>
        <w:rPr>
          <w:rFonts w:ascii="宋体" w:hAnsi="宋体" w:cs="Arial"/>
          <w:sz w:val="24"/>
        </w:rPr>
      </w:pPr>
      <w:r>
        <w:rPr>
          <w:rFonts w:hint="eastAsia" w:ascii="宋体" w:hAnsi="宋体"/>
          <w:sz w:val="24"/>
          <w:szCs w:val="24"/>
        </w:rPr>
        <w:t>15.2如投标人有</w:t>
      </w:r>
      <w:r>
        <w:rPr>
          <w:rFonts w:ascii="宋体" w:hAnsi="宋体"/>
          <w:sz w:val="24"/>
          <w:szCs w:val="24"/>
        </w:rPr>
        <w:t>下列情</w:t>
      </w:r>
      <w:r>
        <w:rPr>
          <w:rFonts w:hint="eastAsia" w:ascii="宋体" w:hAnsi="宋体"/>
          <w:sz w:val="24"/>
          <w:szCs w:val="24"/>
        </w:rPr>
        <w:t>形</w:t>
      </w:r>
      <w:r>
        <w:rPr>
          <w:rFonts w:hint="eastAsia" w:ascii="宋体" w:hAnsi="宋体" w:cs="Arial"/>
          <w:sz w:val="24"/>
        </w:rPr>
        <w:t>之一的，应当按照本项目采购预算价2%的标准承担因此给采购单位造成的损失的赔偿责任及相应的法律责任</w:t>
      </w:r>
      <w:r>
        <w:rPr>
          <w:rFonts w:ascii="宋体" w:hAnsi="宋体" w:cs="Arial"/>
          <w:sz w:val="24"/>
        </w:rPr>
        <w:t>：</w:t>
      </w:r>
    </w:p>
    <w:p>
      <w:pPr>
        <w:snapToGrid w:val="0"/>
        <w:ind w:firstLine="480" w:firstLineChars="200"/>
        <w:jc w:val="left"/>
        <w:outlineLvl w:val="0"/>
        <w:rPr>
          <w:rFonts w:ascii="宋体" w:hAnsi="宋体"/>
          <w:bCs/>
          <w:sz w:val="24"/>
          <w:szCs w:val="24"/>
        </w:rPr>
      </w:pPr>
      <w:r>
        <w:rPr>
          <w:rFonts w:hint="eastAsia" w:ascii="宋体" w:hAnsi="宋体" w:cs="Arial"/>
          <w:sz w:val="24"/>
        </w:rPr>
        <w:t>15.3.1投标人在投标有效期内撤回投标</w:t>
      </w:r>
      <w:r>
        <w:rPr>
          <w:rFonts w:hint="eastAsia" w:ascii="宋体" w:hAnsi="宋体"/>
          <w:bCs/>
          <w:sz w:val="24"/>
          <w:szCs w:val="24"/>
        </w:rPr>
        <w:t>文件的；</w:t>
      </w:r>
    </w:p>
    <w:p>
      <w:pPr>
        <w:snapToGrid w:val="0"/>
        <w:ind w:firstLine="470" w:firstLineChars="196"/>
        <w:jc w:val="left"/>
        <w:rPr>
          <w:rFonts w:ascii="宋体" w:hAnsi="宋体"/>
          <w:bCs/>
          <w:sz w:val="24"/>
          <w:szCs w:val="24"/>
        </w:rPr>
      </w:pPr>
      <w:r>
        <w:rPr>
          <w:rFonts w:hint="eastAsia" w:ascii="宋体" w:hAnsi="宋体"/>
          <w:bCs/>
          <w:sz w:val="24"/>
          <w:szCs w:val="24"/>
        </w:rPr>
        <w:t>15.3.2</w:t>
      </w:r>
      <w:r>
        <w:rPr>
          <w:rFonts w:ascii="宋体" w:hAnsi="宋体"/>
          <w:bCs/>
          <w:sz w:val="24"/>
          <w:szCs w:val="24"/>
        </w:rPr>
        <w:t>投标人在投标过程中弄虚作假，提供虚假材料</w:t>
      </w:r>
      <w:r>
        <w:rPr>
          <w:rFonts w:hint="eastAsia" w:ascii="宋体" w:hAnsi="宋体"/>
          <w:bCs/>
          <w:sz w:val="24"/>
          <w:szCs w:val="24"/>
        </w:rPr>
        <w:t>的</w:t>
      </w:r>
      <w:r>
        <w:rPr>
          <w:rFonts w:ascii="宋体" w:hAnsi="宋体"/>
          <w:bCs/>
          <w:sz w:val="24"/>
          <w:szCs w:val="24"/>
        </w:rPr>
        <w:t>；</w:t>
      </w:r>
    </w:p>
    <w:p>
      <w:pPr>
        <w:snapToGrid w:val="0"/>
        <w:ind w:firstLine="470" w:firstLineChars="196"/>
        <w:jc w:val="left"/>
        <w:rPr>
          <w:rFonts w:ascii="宋体" w:hAnsi="宋体"/>
          <w:bCs/>
          <w:sz w:val="24"/>
          <w:szCs w:val="24"/>
        </w:rPr>
      </w:pPr>
      <w:r>
        <w:rPr>
          <w:rFonts w:hint="eastAsia" w:ascii="宋体" w:hAnsi="宋体"/>
          <w:bCs/>
          <w:sz w:val="24"/>
          <w:szCs w:val="24"/>
        </w:rPr>
        <w:t>15.3.3中标人无正当理由在规定的时间内不与采购人签订合同的；</w:t>
      </w:r>
    </w:p>
    <w:p>
      <w:pPr>
        <w:snapToGrid w:val="0"/>
        <w:ind w:firstLine="470" w:firstLineChars="196"/>
        <w:rPr>
          <w:rFonts w:ascii="宋体" w:hAnsi="宋体"/>
          <w:bCs/>
          <w:sz w:val="24"/>
          <w:szCs w:val="24"/>
        </w:rPr>
      </w:pPr>
      <w:r>
        <w:rPr>
          <w:rFonts w:hint="eastAsia" w:ascii="宋体" w:hAnsi="宋体"/>
          <w:bCs/>
          <w:sz w:val="24"/>
          <w:szCs w:val="24"/>
        </w:rPr>
        <w:t>15.3.4</w:t>
      </w:r>
      <w:r>
        <w:rPr>
          <w:rFonts w:hint="eastAsia" w:ascii="宋体" w:hAnsi="宋体"/>
          <w:sz w:val="24"/>
          <w:szCs w:val="24"/>
        </w:rPr>
        <w:t>将中标项目转让给他人或者在投标文件中未说明且未经采购人同意，将中标项目分包给他人的；</w:t>
      </w:r>
    </w:p>
    <w:p>
      <w:pPr>
        <w:snapToGrid w:val="0"/>
        <w:ind w:firstLine="470" w:firstLineChars="196"/>
        <w:rPr>
          <w:rFonts w:ascii="宋体" w:hAnsi="宋体"/>
          <w:b/>
          <w:color w:val="FF0000"/>
          <w:sz w:val="24"/>
          <w:szCs w:val="24"/>
        </w:rPr>
      </w:pPr>
      <w:r>
        <w:rPr>
          <w:rFonts w:hint="eastAsia" w:ascii="宋体" w:hAnsi="宋体"/>
          <w:bCs/>
          <w:sz w:val="24"/>
          <w:szCs w:val="24"/>
        </w:rPr>
        <w:t>15.3</w:t>
      </w:r>
      <w:r>
        <w:rPr>
          <w:rFonts w:hint="eastAsia" w:ascii="宋体" w:hAnsi="宋体"/>
          <w:sz w:val="24"/>
          <w:szCs w:val="24"/>
        </w:rPr>
        <w:t>.5其他严重扰乱招投标程序的；</w:t>
      </w:r>
    </w:p>
    <w:p>
      <w:pPr>
        <w:snapToGrid w:val="0"/>
        <w:ind w:firstLine="480" w:firstLineChars="200"/>
        <w:rPr>
          <w:rFonts w:ascii="宋体" w:hAnsi="宋体"/>
          <w:sz w:val="24"/>
          <w:szCs w:val="24"/>
        </w:rPr>
      </w:pPr>
      <w:r>
        <w:rPr>
          <w:rFonts w:hint="eastAsia" w:ascii="宋体" w:hAnsi="宋体"/>
          <w:sz w:val="24"/>
          <w:szCs w:val="24"/>
        </w:rPr>
        <w:t>15.3.6向有关人员行贿或者采取其他不正当手段谋取中标的；</w:t>
      </w:r>
    </w:p>
    <w:p>
      <w:pPr>
        <w:snapToGrid w:val="0"/>
        <w:ind w:firstLine="480" w:firstLineChars="200"/>
        <w:rPr>
          <w:rFonts w:ascii="宋体" w:hAnsi="宋体"/>
          <w:sz w:val="24"/>
          <w:szCs w:val="24"/>
        </w:rPr>
      </w:pPr>
      <w:r>
        <w:rPr>
          <w:rFonts w:hint="eastAsia" w:ascii="宋体" w:hAnsi="宋体"/>
          <w:sz w:val="24"/>
          <w:szCs w:val="24"/>
        </w:rPr>
        <w:t>15.3.7中标人无正当理由放弃中标的；</w:t>
      </w:r>
    </w:p>
    <w:p>
      <w:pPr>
        <w:snapToGrid w:val="0"/>
        <w:ind w:firstLine="480" w:firstLineChars="200"/>
        <w:rPr>
          <w:rFonts w:ascii="宋体" w:hAnsi="宋体"/>
          <w:sz w:val="24"/>
          <w:szCs w:val="24"/>
        </w:rPr>
      </w:pPr>
      <w:r>
        <w:rPr>
          <w:rFonts w:hint="eastAsia" w:ascii="宋体" w:hAnsi="宋体"/>
          <w:sz w:val="24"/>
          <w:szCs w:val="24"/>
        </w:rPr>
        <w:t>15.3.8投标人质疑投诉提供虚假情况；</w:t>
      </w:r>
    </w:p>
    <w:p>
      <w:pPr>
        <w:snapToGrid w:val="0"/>
        <w:ind w:firstLine="480" w:firstLineChars="200"/>
        <w:rPr>
          <w:rFonts w:ascii="宋体" w:hAnsi="宋体"/>
          <w:sz w:val="24"/>
          <w:szCs w:val="24"/>
        </w:rPr>
      </w:pPr>
      <w:r>
        <w:rPr>
          <w:rFonts w:hint="eastAsia" w:ascii="宋体" w:hAnsi="宋体"/>
          <w:sz w:val="24"/>
          <w:szCs w:val="24"/>
        </w:rPr>
        <w:t>15.3.9存在法律、法规规定的其它损害采购人或采购单位利益或社会公共利益的情形的。</w:t>
      </w:r>
    </w:p>
    <w:p>
      <w:pPr>
        <w:snapToGrid w:val="0"/>
        <w:ind w:firstLine="472" w:firstLineChars="196"/>
        <w:jc w:val="left"/>
        <w:outlineLvl w:val="0"/>
        <w:rPr>
          <w:rFonts w:ascii="宋体" w:hAnsi="宋体"/>
          <w:b/>
          <w:sz w:val="24"/>
          <w:szCs w:val="24"/>
        </w:rPr>
      </w:pPr>
      <w:r>
        <w:rPr>
          <w:rFonts w:hint="eastAsia" w:ascii="宋体" w:hAnsi="宋体"/>
          <w:b/>
          <w:sz w:val="24"/>
          <w:szCs w:val="24"/>
        </w:rPr>
        <w:t>16.投标文件的制作</w:t>
      </w:r>
    </w:p>
    <w:p>
      <w:pPr>
        <w:snapToGrid w:val="0"/>
        <w:ind w:firstLine="480" w:firstLineChars="200"/>
        <w:jc w:val="left"/>
        <w:rPr>
          <w:rFonts w:ascii="宋体" w:hAnsi="宋体"/>
          <w:sz w:val="24"/>
          <w:szCs w:val="24"/>
        </w:rPr>
      </w:pPr>
      <w:r>
        <w:rPr>
          <w:rFonts w:hint="eastAsia" w:ascii="宋体" w:hAnsi="宋体"/>
          <w:sz w:val="24"/>
          <w:szCs w:val="24"/>
        </w:rPr>
        <w:t>16.1投标人应按招标文件前附表规定的内容编制投标文件。</w:t>
      </w:r>
    </w:p>
    <w:p>
      <w:pPr>
        <w:snapToGrid w:val="0"/>
        <w:ind w:firstLine="480" w:firstLineChars="200"/>
        <w:jc w:val="left"/>
        <w:rPr>
          <w:rFonts w:ascii="宋体" w:hAnsi="宋体"/>
          <w:sz w:val="24"/>
          <w:szCs w:val="24"/>
        </w:rPr>
      </w:pPr>
      <w:r>
        <w:rPr>
          <w:rFonts w:hint="eastAsia" w:ascii="宋体" w:hAnsi="宋体"/>
          <w:sz w:val="24"/>
          <w:szCs w:val="24"/>
        </w:rPr>
        <w:t>16.2</w:t>
      </w:r>
      <w:r>
        <w:rPr>
          <w:rFonts w:ascii="宋体" w:hAnsi="宋体"/>
          <w:sz w:val="24"/>
          <w:szCs w:val="24"/>
        </w:rPr>
        <w:t>投标人应</w:t>
      </w:r>
      <w:r>
        <w:rPr>
          <w:rFonts w:hint="eastAsia" w:ascii="宋体" w:hAnsi="宋体"/>
          <w:sz w:val="24"/>
          <w:szCs w:val="24"/>
        </w:rPr>
        <w:t>按</w:t>
      </w:r>
      <w:r>
        <w:rPr>
          <w:rFonts w:ascii="宋体" w:hAnsi="宋体"/>
          <w:sz w:val="24"/>
          <w:szCs w:val="24"/>
        </w:rPr>
        <w:t>本招标文件规定的格式和顺序编制投标文件</w:t>
      </w:r>
      <w:r>
        <w:rPr>
          <w:rFonts w:hint="eastAsia" w:ascii="宋体" w:hAnsi="宋体"/>
          <w:sz w:val="24"/>
          <w:szCs w:val="24"/>
        </w:rPr>
        <w:t>并标注页码</w:t>
      </w:r>
      <w:r>
        <w:rPr>
          <w:rFonts w:ascii="宋体" w:hAnsi="宋体"/>
          <w:sz w:val="24"/>
          <w:szCs w:val="24"/>
        </w:rPr>
        <w:t>，投标文件内容不完整、编排混乱导致投标文件被误读、漏读或者查找不到相关内容的，是投标人的责任。</w:t>
      </w:r>
      <w:r>
        <w:rPr>
          <w:rFonts w:hint="eastAsia" w:ascii="宋体" w:hAnsi="宋体" w:cs="仿宋_GB2312"/>
          <w:b/>
          <w:sz w:val="24"/>
        </w:rPr>
        <w:t>投标文件未按规定的格式编制的，投标无效。</w:t>
      </w:r>
    </w:p>
    <w:p>
      <w:pPr>
        <w:snapToGrid w:val="0"/>
        <w:ind w:firstLine="480" w:firstLineChars="200"/>
        <w:jc w:val="left"/>
        <w:rPr>
          <w:b/>
          <w:u w:val="single"/>
        </w:rPr>
      </w:pPr>
      <w:r>
        <w:rPr>
          <w:rFonts w:hint="eastAsia" w:ascii="宋体" w:hAnsi="宋体"/>
          <w:sz w:val="24"/>
          <w:szCs w:val="24"/>
        </w:rPr>
        <w:t>16.3</w:t>
      </w:r>
      <w:r>
        <w:rPr>
          <w:rFonts w:ascii="宋体" w:hAnsi="宋体"/>
          <w:sz w:val="24"/>
          <w:szCs w:val="24"/>
        </w:rPr>
        <w:t>投标文件须由投标人在规定位置盖章，投标人应写全称。</w:t>
      </w:r>
      <w:r>
        <w:rPr>
          <w:rFonts w:hint="eastAsia" w:ascii="宋体" w:hAnsi="宋体"/>
          <w:b/>
          <w:color w:val="auto"/>
          <w:sz w:val="24"/>
          <w:szCs w:val="24"/>
        </w:rPr>
        <w:t>电子投标文件中所有加盖公章均采用CA签章，投标人的投标文件未按照招标文件要求签署、盖章的，其投标无效。</w:t>
      </w:r>
    </w:p>
    <w:p>
      <w:pPr>
        <w:snapToGrid w:val="0"/>
        <w:ind w:firstLine="480" w:firstLineChars="200"/>
        <w:jc w:val="left"/>
        <w:rPr>
          <w:rFonts w:ascii="宋体" w:hAnsi="宋体"/>
          <w:b/>
          <w:sz w:val="24"/>
          <w:szCs w:val="24"/>
        </w:rPr>
      </w:pPr>
      <w:r>
        <w:rPr>
          <w:rFonts w:hint="eastAsia" w:ascii="宋体" w:hAnsi="宋体"/>
          <w:sz w:val="24"/>
          <w:szCs w:val="24"/>
        </w:rPr>
        <w:t>16.4</w:t>
      </w:r>
      <w:r>
        <w:rPr>
          <w:rFonts w:ascii="宋体" w:hAnsi="宋体"/>
          <w:sz w:val="24"/>
          <w:szCs w:val="24"/>
        </w:rPr>
        <w:t>投标文件不得涂改，若有修改错漏处，须加盖单位公章。投标文件因表达不清所引起的后果由投标人负责。</w:t>
      </w:r>
    </w:p>
    <w:p>
      <w:pPr>
        <w:snapToGrid w:val="0"/>
        <w:ind w:firstLine="482" w:firstLineChars="200"/>
        <w:jc w:val="left"/>
        <w:rPr>
          <w:rFonts w:ascii="宋体" w:hAnsi="宋体"/>
          <w:color w:val="auto"/>
          <w:sz w:val="24"/>
          <w:szCs w:val="24"/>
        </w:rPr>
      </w:pPr>
      <w:r>
        <w:rPr>
          <w:rFonts w:hint="eastAsia" w:ascii="宋体" w:hAnsi="宋体"/>
          <w:b/>
          <w:color w:val="auto"/>
          <w:sz w:val="24"/>
          <w:szCs w:val="24"/>
        </w:rPr>
        <w:t>16.5投标人应认真阅读招标文件中所有的内容。如果投标人编制的投标文件实质上不响应招标文件的要求，其投标文件将作无效标处理。</w:t>
      </w:r>
    </w:p>
    <w:p>
      <w:pPr>
        <w:spacing w:line="360" w:lineRule="exact"/>
        <w:ind w:firstLine="482" w:firstLineChars="200"/>
        <w:rPr>
          <w:rFonts w:ascii="宋体" w:hAnsi="宋体"/>
          <w:b/>
          <w:bCs/>
          <w:sz w:val="24"/>
        </w:rPr>
      </w:pPr>
      <w:r>
        <w:rPr>
          <w:rFonts w:hint="eastAsia" w:ascii="宋体" w:hAnsi="宋体"/>
          <w:b/>
          <w:bCs/>
          <w:sz w:val="24"/>
        </w:rPr>
        <w:t>17.投标文件的递交、修改和撤回</w:t>
      </w:r>
    </w:p>
    <w:p>
      <w:pPr>
        <w:pStyle w:val="5"/>
        <w:snapToGrid w:val="0"/>
        <w:ind w:firstLine="480" w:firstLineChars="200"/>
        <w:rPr>
          <w:rFonts w:ascii="宋体" w:hAnsi="宋体"/>
          <w:sz w:val="24"/>
          <w:szCs w:val="24"/>
        </w:rPr>
      </w:pPr>
      <w:r>
        <w:rPr>
          <w:rFonts w:hint="eastAsia" w:ascii="宋体" w:hAnsi="宋体"/>
          <w:sz w:val="24"/>
          <w:szCs w:val="24"/>
        </w:rPr>
        <w:t>17.1投标人应将投标文件的资格文件、商务技术文件、报价文件分开制作。</w:t>
      </w:r>
      <w:r>
        <w:rPr>
          <w:rFonts w:hint="eastAsia" w:ascii="宋体" w:hAnsi="宋体"/>
          <w:b/>
          <w:sz w:val="24"/>
          <w:szCs w:val="24"/>
        </w:rPr>
        <w:t>如投标文件商务技术标内容含有报价的内容，将被视作无效标处理。</w:t>
      </w:r>
    </w:p>
    <w:p>
      <w:pPr>
        <w:pStyle w:val="5"/>
        <w:snapToGrid w:val="0"/>
        <w:ind w:firstLine="482" w:firstLineChars="200"/>
        <w:rPr>
          <w:rFonts w:ascii="宋体" w:hAnsi="宋体"/>
          <w:b/>
          <w:sz w:val="24"/>
          <w:szCs w:val="24"/>
        </w:rPr>
      </w:pPr>
      <w:r>
        <w:rPr>
          <w:rFonts w:hint="eastAsia" w:ascii="宋体" w:hAnsi="宋体"/>
          <w:b/>
          <w:sz w:val="24"/>
          <w:szCs w:val="24"/>
        </w:rPr>
        <w:t>17.2投标人应在开标前在“政采云”上自行加密上传电子投标文件，</w:t>
      </w:r>
      <w:r>
        <w:rPr>
          <w:rFonts w:ascii="宋体" w:hAnsi="宋体"/>
          <w:b/>
          <w:sz w:val="24"/>
          <w:szCs w:val="24"/>
        </w:rPr>
        <w:t>逾期</w:t>
      </w:r>
      <w:r>
        <w:rPr>
          <w:rFonts w:hint="eastAsia" w:ascii="宋体" w:hAnsi="宋体"/>
          <w:b/>
          <w:sz w:val="24"/>
          <w:szCs w:val="24"/>
        </w:rPr>
        <w:t>上传</w:t>
      </w:r>
      <w:r>
        <w:rPr>
          <w:rFonts w:ascii="宋体" w:hAnsi="宋体"/>
          <w:b/>
          <w:sz w:val="24"/>
          <w:szCs w:val="24"/>
        </w:rPr>
        <w:t>或未按要求</w:t>
      </w:r>
      <w:r>
        <w:rPr>
          <w:rFonts w:hint="eastAsia" w:ascii="宋体" w:hAnsi="宋体"/>
          <w:b/>
          <w:sz w:val="24"/>
          <w:szCs w:val="24"/>
        </w:rPr>
        <w:t>上传</w:t>
      </w:r>
      <w:r>
        <w:rPr>
          <w:rFonts w:ascii="宋体" w:hAnsi="宋体"/>
          <w:b/>
          <w:sz w:val="24"/>
          <w:szCs w:val="24"/>
        </w:rPr>
        <w:t>的投标文件将予以拒收。</w:t>
      </w:r>
    </w:p>
    <w:p>
      <w:pPr>
        <w:pStyle w:val="5"/>
        <w:snapToGrid w:val="0"/>
        <w:ind w:firstLine="482" w:firstLineChars="200"/>
        <w:rPr>
          <w:rFonts w:ascii="宋体" w:hAnsi="宋体"/>
          <w:b/>
          <w:sz w:val="24"/>
          <w:szCs w:val="24"/>
        </w:rPr>
      </w:pPr>
      <w:r>
        <w:rPr>
          <w:rFonts w:hint="eastAsia" w:ascii="宋体" w:hAnsi="宋体"/>
          <w:b/>
          <w:sz w:val="24"/>
          <w:szCs w:val="24"/>
        </w:rPr>
        <w:t>17.3</w:t>
      </w:r>
      <w:r>
        <w:rPr>
          <w:rFonts w:hint="eastAsia" w:ascii="宋体" w:hAnsi="宋体"/>
          <w:sz w:val="24"/>
          <w:szCs w:val="24"/>
        </w:rPr>
        <w:t>投标人在投标截止时间之前，可以对已提交的投标文件进行修改或撤回，补充、修改的内容为投标文件的组成部分。</w:t>
      </w:r>
    </w:p>
    <w:p>
      <w:pPr>
        <w:pStyle w:val="5"/>
        <w:snapToGrid w:val="0"/>
        <w:ind w:firstLine="480" w:firstLineChars="200"/>
        <w:rPr>
          <w:rFonts w:ascii="宋体" w:hAnsi="宋体"/>
          <w:sz w:val="24"/>
          <w:szCs w:val="24"/>
        </w:rPr>
      </w:pPr>
      <w:r>
        <w:rPr>
          <w:rFonts w:hint="eastAsia" w:ascii="宋体" w:hAnsi="宋体"/>
          <w:sz w:val="24"/>
          <w:szCs w:val="24"/>
        </w:rPr>
        <w:t>17.4投标截止时间后，投标人不得撤回、修改投标文件。</w:t>
      </w:r>
    </w:p>
    <w:p>
      <w:pPr>
        <w:pStyle w:val="5"/>
        <w:snapToGrid w:val="0"/>
        <w:ind w:firstLine="480" w:firstLineChars="200"/>
        <w:rPr>
          <w:rFonts w:ascii="宋体" w:hAnsi="宋体"/>
          <w:sz w:val="24"/>
          <w:szCs w:val="24"/>
        </w:rPr>
      </w:pPr>
      <w:r>
        <w:rPr>
          <w:rFonts w:hint="eastAsia" w:ascii="宋体" w:hAnsi="宋体"/>
          <w:sz w:val="24"/>
          <w:szCs w:val="24"/>
        </w:rPr>
        <w:t>17.5不论投标人中标与否，投标人文件均不得撤回其投标。</w:t>
      </w:r>
    </w:p>
    <w:p>
      <w:pPr>
        <w:pStyle w:val="5"/>
        <w:snapToGrid w:val="0"/>
        <w:ind w:firstLine="482" w:firstLineChars="200"/>
        <w:rPr>
          <w:rFonts w:ascii="宋体" w:hAnsi="宋体"/>
          <w:b/>
          <w:sz w:val="24"/>
          <w:szCs w:val="24"/>
        </w:rPr>
      </w:pPr>
      <w:r>
        <w:rPr>
          <w:rFonts w:hint="eastAsia" w:ascii="宋体" w:hAnsi="宋体"/>
          <w:b/>
          <w:sz w:val="24"/>
          <w:szCs w:val="24"/>
        </w:rPr>
        <w:t>17.6未按时解密的，视为投标文件撤回。</w:t>
      </w:r>
    </w:p>
    <w:p>
      <w:pPr>
        <w:spacing w:line="360" w:lineRule="exact"/>
        <w:ind w:firstLine="482" w:firstLineChars="200"/>
        <w:rPr>
          <w:rFonts w:ascii="宋体" w:hAnsi="宋体"/>
          <w:b/>
          <w:bCs/>
          <w:sz w:val="24"/>
        </w:rPr>
      </w:pPr>
      <w:r>
        <w:rPr>
          <w:rFonts w:hint="eastAsia" w:ascii="宋体" w:hAnsi="宋体"/>
          <w:b/>
          <w:bCs/>
          <w:sz w:val="24"/>
        </w:rPr>
        <w:t>18.投标无效的情形</w:t>
      </w:r>
    </w:p>
    <w:p>
      <w:pPr>
        <w:snapToGrid w:val="0"/>
        <w:ind w:firstLine="480" w:firstLineChars="200"/>
        <w:rPr>
          <w:rFonts w:ascii="宋体" w:hAnsi="宋体"/>
          <w:sz w:val="24"/>
          <w:szCs w:val="24"/>
        </w:rPr>
      </w:pPr>
      <w:r>
        <w:rPr>
          <w:rFonts w:hint="eastAsia" w:ascii="宋体" w:hAnsi="宋体"/>
          <w:sz w:val="24"/>
          <w:szCs w:val="24"/>
        </w:rPr>
        <w:t>实质上没有响应招标文件要求的投标将被视为无效投标。投标人不得通过修正或撤消不合要求的偏离或保留从而使其投标成为实质上响应的投标，但经评标委员会认定属于投标人疏忽所造成的差错，应当允许其在评标结束之前进行修改或者补正。限时内不补正或经补正后仍不符合招标文件要求的，应认定其投标无效。投标人修改、补正投标文件后，不影响评标委员会对其投标文件所作的评价和评分结果。</w:t>
      </w:r>
    </w:p>
    <w:p>
      <w:pPr>
        <w:pStyle w:val="10"/>
        <w:snapToGrid w:val="0"/>
        <w:spacing w:after="0"/>
        <w:ind w:left="0" w:leftChars="0" w:firstLine="472" w:firstLineChars="196"/>
        <w:rPr>
          <w:rFonts w:ascii="宋体" w:hAnsi="宋体"/>
          <w:b/>
          <w:bCs/>
          <w:sz w:val="24"/>
          <w:szCs w:val="24"/>
        </w:rPr>
      </w:pPr>
      <w:r>
        <w:rPr>
          <w:rFonts w:hint="eastAsia" w:ascii="宋体" w:hAnsi="宋体"/>
          <w:b/>
          <w:bCs/>
          <w:sz w:val="24"/>
          <w:szCs w:val="24"/>
        </w:rPr>
        <w:t>18.1</w:t>
      </w:r>
      <w:r>
        <w:rPr>
          <w:rFonts w:ascii="宋体" w:hAnsi="宋体"/>
          <w:b/>
          <w:bCs/>
          <w:sz w:val="24"/>
          <w:szCs w:val="24"/>
        </w:rPr>
        <w:t>在符合性审查和</w:t>
      </w:r>
      <w:r>
        <w:rPr>
          <w:rFonts w:hint="eastAsia" w:ascii="宋体" w:hAnsi="宋体"/>
          <w:b/>
          <w:bCs/>
          <w:sz w:val="24"/>
          <w:szCs w:val="24"/>
        </w:rPr>
        <w:t>资格性审查</w:t>
      </w:r>
      <w:r>
        <w:rPr>
          <w:rFonts w:ascii="宋体" w:hAnsi="宋体"/>
          <w:b/>
          <w:bCs/>
          <w:sz w:val="24"/>
          <w:szCs w:val="24"/>
        </w:rPr>
        <w:t>时，如发现下列情形之一的，投标文件将被视为无效投标：</w:t>
      </w:r>
    </w:p>
    <w:p>
      <w:pPr>
        <w:snapToGrid w:val="0"/>
        <w:ind w:firstLine="470" w:firstLineChars="196"/>
        <w:rPr>
          <w:rFonts w:ascii="宋体" w:hAnsi="宋体"/>
          <w:sz w:val="24"/>
          <w:szCs w:val="24"/>
        </w:rPr>
      </w:pPr>
      <w:r>
        <w:rPr>
          <w:rFonts w:hint="eastAsia" w:ascii="宋体" w:hAnsi="宋体"/>
          <w:sz w:val="24"/>
          <w:szCs w:val="24"/>
        </w:rPr>
        <w:t>18.1.1</w:t>
      </w:r>
      <w:r>
        <w:rPr>
          <w:rFonts w:ascii="宋体" w:hAnsi="宋体"/>
          <w:sz w:val="24"/>
          <w:szCs w:val="24"/>
        </w:rPr>
        <w:t>资格证明文件不全的，或者不符合招标文件标明的资格要求的</w:t>
      </w:r>
      <w:r>
        <w:rPr>
          <w:rFonts w:hint="eastAsia" w:ascii="宋体" w:hAnsi="宋体"/>
          <w:sz w:val="24"/>
          <w:szCs w:val="24"/>
        </w:rPr>
        <w:t>；</w:t>
      </w:r>
    </w:p>
    <w:p>
      <w:pPr>
        <w:snapToGrid w:val="0"/>
        <w:ind w:firstLine="470" w:firstLineChars="196"/>
        <w:rPr>
          <w:rFonts w:ascii="宋体" w:hAnsi="宋体"/>
          <w:sz w:val="24"/>
          <w:szCs w:val="24"/>
        </w:rPr>
      </w:pPr>
      <w:r>
        <w:rPr>
          <w:rFonts w:hint="eastAsia" w:ascii="宋体" w:hAnsi="宋体"/>
          <w:sz w:val="24"/>
          <w:szCs w:val="24"/>
        </w:rPr>
        <w:t>18.1.2未按照招标文件规定要求盖章；</w:t>
      </w:r>
    </w:p>
    <w:p>
      <w:pPr>
        <w:snapToGrid w:val="0"/>
        <w:ind w:firstLine="470" w:firstLineChars="196"/>
        <w:rPr>
          <w:rFonts w:ascii="宋体" w:hAnsi="宋体"/>
          <w:sz w:val="24"/>
          <w:szCs w:val="24"/>
        </w:rPr>
      </w:pPr>
      <w:r>
        <w:rPr>
          <w:rFonts w:hint="eastAsia" w:ascii="宋体" w:hAnsi="宋体"/>
          <w:sz w:val="24"/>
          <w:szCs w:val="24"/>
        </w:rPr>
        <w:t>18.1.3</w:t>
      </w:r>
      <w:r>
        <w:rPr>
          <w:rFonts w:ascii="宋体" w:hAnsi="宋体"/>
          <w:sz w:val="24"/>
          <w:szCs w:val="24"/>
        </w:rPr>
        <w:t>投标文件项目不齐全或者内容虚假的；</w:t>
      </w:r>
    </w:p>
    <w:p>
      <w:pPr>
        <w:snapToGrid w:val="0"/>
        <w:ind w:firstLine="470" w:firstLineChars="196"/>
        <w:rPr>
          <w:rFonts w:ascii="宋体" w:hAnsi="宋体"/>
          <w:sz w:val="24"/>
          <w:szCs w:val="24"/>
        </w:rPr>
      </w:pPr>
      <w:r>
        <w:rPr>
          <w:rFonts w:hint="eastAsia" w:ascii="宋体" w:hAnsi="宋体"/>
          <w:sz w:val="24"/>
          <w:szCs w:val="24"/>
        </w:rPr>
        <w:t>18.1.4</w:t>
      </w:r>
      <w:r>
        <w:rPr>
          <w:rFonts w:ascii="宋体" w:hAnsi="宋体"/>
          <w:sz w:val="24"/>
          <w:szCs w:val="24"/>
        </w:rPr>
        <w:t>投标文件的实质性内容未使用中文表述、意思表述不明确、前后矛盾或者使用计量单位不符合招标文件要求的</w:t>
      </w:r>
      <w:r>
        <w:rPr>
          <w:rFonts w:hint="eastAsia" w:ascii="宋体" w:hAnsi="宋体"/>
          <w:sz w:val="24"/>
          <w:szCs w:val="24"/>
        </w:rPr>
        <w:t>；</w:t>
      </w:r>
    </w:p>
    <w:p>
      <w:pPr>
        <w:snapToGrid w:val="0"/>
        <w:ind w:firstLine="470" w:firstLineChars="196"/>
        <w:rPr>
          <w:rFonts w:ascii="宋体" w:hAnsi="宋体"/>
          <w:sz w:val="24"/>
          <w:szCs w:val="24"/>
        </w:rPr>
      </w:pPr>
      <w:r>
        <w:rPr>
          <w:rFonts w:hint="eastAsia" w:ascii="宋体" w:hAnsi="宋体"/>
          <w:sz w:val="24"/>
          <w:szCs w:val="24"/>
        </w:rPr>
        <w:t>18.1.5</w:t>
      </w:r>
      <w:r>
        <w:rPr>
          <w:rFonts w:ascii="宋体" w:hAnsi="宋体"/>
          <w:sz w:val="24"/>
          <w:szCs w:val="24"/>
        </w:rPr>
        <w:t>投标有效期、交货时间、质保期</w:t>
      </w:r>
      <w:r>
        <w:rPr>
          <w:rFonts w:hint="eastAsia" w:ascii="宋体" w:hAnsi="宋体"/>
          <w:sz w:val="24"/>
          <w:szCs w:val="24"/>
        </w:rPr>
        <w:t>、售后服务承诺</w:t>
      </w:r>
      <w:r>
        <w:rPr>
          <w:rFonts w:ascii="宋体" w:hAnsi="宋体"/>
          <w:sz w:val="24"/>
          <w:szCs w:val="24"/>
        </w:rPr>
        <w:t>等条款不能满足招标文件要求的；</w:t>
      </w:r>
    </w:p>
    <w:p>
      <w:pPr>
        <w:snapToGrid w:val="0"/>
        <w:ind w:firstLine="470" w:firstLineChars="196"/>
        <w:rPr>
          <w:rFonts w:ascii="宋体" w:hAnsi="宋体"/>
          <w:sz w:val="24"/>
          <w:szCs w:val="24"/>
        </w:rPr>
      </w:pPr>
      <w:r>
        <w:rPr>
          <w:rFonts w:hint="eastAsia" w:ascii="宋体" w:hAnsi="宋体"/>
          <w:sz w:val="24"/>
          <w:szCs w:val="24"/>
        </w:rPr>
        <w:t>18.1.6投标文件的技术标内容含有商务报价的内容；</w:t>
      </w:r>
    </w:p>
    <w:p>
      <w:pPr>
        <w:snapToGrid w:val="0"/>
        <w:ind w:firstLine="470" w:firstLineChars="196"/>
        <w:rPr>
          <w:rFonts w:ascii="宋体" w:hAnsi="宋体"/>
          <w:sz w:val="24"/>
          <w:szCs w:val="24"/>
        </w:rPr>
      </w:pPr>
      <w:r>
        <w:rPr>
          <w:rFonts w:hint="eastAsia" w:ascii="宋体" w:hAnsi="宋体"/>
          <w:sz w:val="24"/>
          <w:szCs w:val="24"/>
        </w:rPr>
        <w:t>18.1.7投标文件含有采购人不能接受的附加条件的；</w:t>
      </w:r>
    </w:p>
    <w:p>
      <w:pPr>
        <w:snapToGrid w:val="0"/>
        <w:ind w:left="420" w:firstLine="48" w:firstLineChars="20"/>
        <w:rPr>
          <w:rFonts w:ascii="宋体" w:hAnsi="宋体"/>
          <w:sz w:val="24"/>
          <w:szCs w:val="24"/>
        </w:rPr>
      </w:pPr>
      <w:r>
        <w:rPr>
          <w:rFonts w:hint="eastAsia" w:ascii="宋体" w:hAnsi="宋体"/>
          <w:sz w:val="24"/>
          <w:szCs w:val="24"/>
        </w:rPr>
        <w:t>18.1.8不符合法律、法规或未实质性</w:t>
      </w:r>
      <w:r>
        <w:rPr>
          <w:rFonts w:ascii="宋体" w:hAnsi="宋体"/>
          <w:sz w:val="24"/>
          <w:szCs w:val="24"/>
        </w:rPr>
        <w:t>响应招标文件要求</w:t>
      </w:r>
      <w:r>
        <w:rPr>
          <w:rFonts w:hint="eastAsia" w:ascii="宋体" w:hAnsi="宋体"/>
          <w:sz w:val="24"/>
          <w:szCs w:val="24"/>
        </w:rPr>
        <w:t>。</w:t>
      </w:r>
    </w:p>
    <w:p>
      <w:pPr>
        <w:pStyle w:val="10"/>
        <w:snapToGrid w:val="0"/>
        <w:spacing w:after="0"/>
        <w:rPr>
          <w:rFonts w:ascii="宋体" w:hAnsi="宋体"/>
          <w:b/>
          <w:bCs/>
          <w:sz w:val="24"/>
          <w:szCs w:val="24"/>
        </w:rPr>
      </w:pPr>
      <w:r>
        <w:rPr>
          <w:rFonts w:hint="eastAsia" w:ascii="宋体" w:hAnsi="宋体"/>
          <w:b/>
          <w:bCs/>
          <w:sz w:val="24"/>
          <w:szCs w:val="24"/>
        </w:rPr>
        <w:t>18.2</w:t>
      </w:r>
      <w:r>
        <w:rPr>
          <w:rFonts w:ascii="宋体" w:hAnsi="宋体"/>
          <w:b/>
          <w:bCs/>
          <w:sz w:val="24"/>
          <w:szCs w:val="24"/>
        </w:rPr>
        <w:t>在技术评审时，如发现下列情形之一的，投标文件将被视为无效：</w:t>
      </w:r>
    </w:p>
    <w:p>
      <w:pPr>
        <w:snapToGrid w:val="0"/>
        <w:ind w:firstLine="470" w:firstLineChars="196"/>
        <w:rPr>
          <w:rFonts w:ascii="宋体" w:hAnsi="宋体"/>
          <w:sz w:val="24"/>
          <w:szCs w:val="24"/>
        </w:rPr>
      </w:pPr>
      <w:r>
        <w:rPr>
          <w:rFonts w:hint="eastAsia" w:ascii="宋体" w:hAnsi="宋体"/>
          <w:sz w:val="24"/>
          <w:szCs w:val="24"/>
        </w:rPr>
        <w:t>18.2.1</w:t>
      </w:r>
      <w:r>
        <w:rPr>
          <w:rFonts w:ascii="宋体" w:hAnsi="宋体"/>
          <w:sz w:val="24"/>
          <w:szCs w:val="24"/>
        </w:rPr>
        <w:t>未提供或未如实提供投标货物的技术参数，或者投标文件标明的响应或偏离与事实不符或虚假投标的；</w:t>
      </w:r>
    </w:p>
    <w:p>
      <w:pPr>
        <w:snapToGrid w:val="0"/>
        <w:ind w:firstLine="470" w:firstLineChars="196"/>
        <w:rPr>
          <w:rFonts w:ascii="宋体" w:hAnsi="宋体"/>
          <w:sz w:val="24"/>
          <w:szCs w:val="24"/>
        </w:rPr>
      </w:pPr>
      <w:r>
        <w:rPr>
          <w:rFonts w:hint="eastAsia" w:ascii="宋体" w:hAnsi="宋体"/>
          <w:color w:val="auto"/>
          <w:sz w:val="24"/>
          <w:szCs w:val="24"/>
        </w:rPr>
        <w:t>18.2.2</w:t>
      </w:r>
      <w:r>
        <w:rPr>
          <w:rFonts w:ascii="宋体" w:hAnsi="宋体"/>
          <w:color w:val="auto"/>
          <w:sz w:val="24"/>
          <w:szCs w:val="24"/>
        </w:rPr>
        <w:t>明显不符合招标文件要求的规格型号、质量标准，或者与招标文件中标“</w:t>
      </w:r>
      <w:r>
        <w:rPr>
          <w:rFonts w:hint="eastAsia" w:ascii="宋体" w:hAnsi="宋体"/>
          <w:color w:val="auto"/>
          <w:sz w:val="24"/>
          <w:szCs w:val="24"/>
        </w:rPr>
        <w:t>★</w:t>
      </w:r>
      <w:r>
        <w:rPr>
          <w:rFonts w:ascii="宋体" w:hAnsi="宋体"/>
          <w:color w:val="auto"/>
          <w:sz w:val="24"/>
          <w:szCs w:val="24"/>
        </w:rPr>
        <w:t>”的技术</w:t>
      </w:r>
      <w:r>
        <w:rPr>
          <w:rFonts w:ascii="宋体" w:hAnsi="宋体"/>
          <w:sz w:val="24"/>
          <w:szCs w:val="24"/>
        </w:rPr>
        <w:t>指标、主要功能项目发生实质性偏离的；</w:t>
      </w:r>
    </w:p>
    <w:p>
      <w:pPr>
        <w:snapToGrid w:val="0"/>
        <w:ind w:firstLine="470" w:firstLineChars="196"/>
        <w:rPr>
          <w:rFonts w:ascii="宋体" w:hAnsi="宋体"/>
          <w:sz w:val="24"/>
          <w:szCs w:val="24"/>
        </w:rPr>
      </w:pPr>
      <w:r>
        <w:rPr>
          <w:rFonts w:hint="eastAsia" w:ascii="宋体" w:hAnsi="宋体"/>
          <w:sz w:val="24"/>
          <w:szCs w:val="24"/>
        </w:rPr>
        <w:t>18.2.3</w:t>
      </w:r>
      <w:r>
        <w:rPr>
          <w:rFonts w:ascii="宋体" w:hAnsi="宋体"/>
          <w:sz w:val="24"/>
          <w:szCs w:val="24"/>
        </w:rPr>
        <w:t>允许偏离的技术、性能指标或者辅助功能项目发生负偏离达</w:t>
      </w:r>
      <w:r>
        <w:rPr>
          <w:rFonts w:hint="eastAsia" w:ascii="宋体" w:hAnsi="宋体"/>
          <w:sz w:val="24"/>
          <w:szCs w:val="24"/>
        </w:rPr>
        <w:t>20</w:t>
      </w:r>
      <w:r>
        <w:rPr>
          <w:rFonts w:ascii="宋体" w:hAnsi="宋体"/>
          <w:sz w:val="24"/>
          <w:szCs w:val="24"/>
        </w:rPr>
        <w:t>项（含）以上的；</w:t>
      </w:r>
    </w:p>
    <w:p>
      <w:pPr>
        <w:snapToGrid w:val="0"/>
        <w:ind w:firstLine="470" w:firstLineChars="196"/>
        <w:rPr>
          <w:rFonts w:ascii="宋体" w:hAnsi="宋体"/>
          <w:sz w:val="24"/>
          <w:szCs w:val="24"/>
        </w:rPr>
      </w:pPr>
      <w:r>
        <w:rPr>
          <w:rFonts w:hint="eastAsia" w:ascii="宋体" w:hAnsi="宋体"/>
          <w:sz w:val="24"/>
          <w:szCs w:val="24"/>
        </w:rPr>
        <w:t>18.2.4</w:t>
      </w:r>
      <w:r>
        <w:rPr>
          <w:rFonts w:ascii="宋体" w:hAnsi="宋体"/>
          <w:sz w:val="24"/>
          <w:szCs w:val="24"/>
        </w:rPr>
        <w:t>投标技术方案不明确，存在一个或一个以上备选（替代）投标方案的；</w:t>
      </w:r>
    </w:p>
    <w:p>
      <w:pPr>
        <w:snapToGrid w:val="0"/>
        <w:ind w:firstLine="470" w:firstLineChars="196"/>
        <w:rPr>
          <w:rFonts w:ascii="宋体" w:hAnsi="宋体"/>
          <w:sz w:val="24"/>
          <w:szCs w:val="24"/>
        </w:rPr>
      </w:pPr>
      <w:r>
        <w:rPr>
          <w:rFonts w:hint="eastAsia" w:ascii="宋体" w:hAnsi="宋体"/>
          <w:sz w:val="24"/>
          <w:szCs w:val="24"/>
        </w:rPr>
        <w:t>18.2.5</w:t>
      </w:r>
      <w:r>
        <w:rPr>
          <w:rFonts w:hint="eastAsia" w:ascii="宋体" w:hAnsi="宋体"/>
          <w:b/>
          <w:sz w:val="24"/>
          <w:szCs w:val="24"/>
        </w:rPr>
        <w:t>发现有二份及二份以上投标文件的相互之间有特别相同或相似之处，且经询标澄清投标人无令人信服的理由和可靠证据证明其合理性的，经评标委员会半数以上成员确认有串通投标嫌疑的，其投标文件按无效标处理，予以废除，不再对其进行评审，也不影响招标工作继续评标。</w:t>
      </w:r>
    </w:p>
    <w:p>
      <w:pPr>
        <w:pStyle w:val="10"/>
        <w:snapToGrid w:val="0"/>
        <w:spacing w:after="0"/>
        <w:rPr>
          <w:rFonts w:ascii="宋体" w:hAnsi="宋体"/>
          <w:b/>
          <w:bCs/>
          <w:sz w:val="24"/>
          <w:szCs w:val="24"/>
        </w:rPr>
      </w:pPr>
      <w:r>
        <w:rPr>
          <w:rFonts w:hint="eastAsia" w:ascii="宋体" w:hAnsi="宋体"/>
          <w:b/>
          <w:bCs/>
          <w:sz w:val="24"/>
          <w:szCs w:val="24"/>
        </w:rPr>
        <w:t>18.3</w:t>
      </w:r>
      <w:r>
        <w:rPr>
          <w:rFonts w:ascii="宋体" w:hAnsi="宋体"/>
          <w:b/>
          <w:bCs/>
          <w:sz w:val="24"/>
          <w:szCs w:val="24"/>
        </w:rPr>
        <w:t>在报价评审时，如发现下列情形之一的，投标文件将被视为无效：</w:t>
      </w:r>
    </w:p>
    <w:p>
      <w:pPr>
        <w:snapToGrid w:val="0"/>
        <w:ind w:firstLine="470" w:firstLineChars="196"/>
        <w:rPr>
          <w:rFonts w:ascii="宋体" w:hAnsi="宋体"/>
          <w:sz w:val="24"/>
          <w:szCs w:val="24"/>
        </w:rPr>
      </w:pPr>
      <w:r>
        <w:rPr>
          <w:rFonts w:ascii="宋体" w:hAnsi="宋体"/>
          <w:sz w:val="24"/>
          <w:szCs w:val="24"/>
        </w:rPr>
        <w:t>（1）未采用人民币报价或者未按照招标文件标明的币种报价的；</w:t>
      </w:r>
    </w:p>
    <w:p>
      <w:pPr>
        <w:snapToGrid w:val="0"/>
        <w:ind w:firstLine="470" w:firstLineChars="196"/>
        <w:rPr>
          <w:rFonts w:ascii="宋体" w:hAnsi="宋体"/>
          <w:sz w:val="24"/>
          <w:szCs w:val="24"/>
        </w:rPr>
      </w:pPr>
      <w:r>
        <w:rPr>
          <w:rFonts w:ascii="宋体" w:hAnsi="宋体"/>
          <w:sz w:val="24"/>
          <w:szCs w:val="24"/>
        </w:rPr>
        <w:t>（2）</w:t>
      </w:r>
      <w:r>
        <w:rPr>
          <w:rFonts w:hint="eastAsia" w:ascii="宋体" w:hAnsi="宋体"/>
          <w:sz w:val="24"/>
          <w:szCs w:val="24"/>
        </w:rPr>
        <w:t>投标</w:t>
      </w:r>
      <w:r>
        <w:rPr>
          <w:rFonts w:ascii="宋体" w:hAnsi="宋体"/>
          <w:sz w:val="24"/>
          <w:szCs w:val="24"/>
        </w:rPr>
        <w:t>报价超</w:t>
      </w:r>
      <w:r>
        <w:rPr>
          <w:rFonts w:hint="eastAsia" w:ascii="宋体" w:hAnsi="宋体"/>
          <w:sz w:val="24"/>
          <w:szCs w:val="24"/>
        </w:rPr>
        <w:t>过招标文件中规定的</w:t>
      </w:r>
      <w:r>
        <w:rPr>
          <w:rFonts w:ascii="宋体" w:hAnsi="宋体"/>
          <w:sz w:val="24"/>
          <w:szCs w:val="24"/>
        </w:rPr>
        <w:t>最高限价</w:t>
      </w:r>
      <w:r>
        <w:rPr>
          <w:rFonts w:hint="eastAsia" w:ascii="宋体" w:hAnsi="宋体"/>
          <w:sz w:val="24"/>
          <w:szCs w:val="24"/>
        </w:rPr>
        <w:t>的</w:t>
      </w:r>
      <w:r>
        <w:rPr>
          <w:rFonts w:ascii="宋体" w:hAnsi="宋体"/>
          <w:sz w:val="24"/>
          <w:szCs w:val="24"/>
        </w:rPr>
        <w:t>；</w:t>
      </w:r>
    </w:p>
    <w:p>
      <w:pPr>
        <w:snapToGrid w:val="0"/>
        <w:ind w:firstLine="470" w:firstLineChars="196"/>
        <w:rPr>
          <w:rFonts w:ascii="宋体" w:hAnsi="宋体"/>
          <w:sz w:val="24"/>
          <w:szCs w:val="24"/>
        </w:rPr>
      </w:pPr>
      <w:r>
        <w:rPr>
          <w:rFonts w:ascii="宋体" w:hAnsi="宋体"/>
          <w:sz w:val="24"/>
          <w:szCs w:val="24"/>
        </w:rPr>
        <w:t>（3）</w:t>
      </w:r>
      <w:r>
        <w:rPr>
          <w:rFonts w:hint="eastAsia" w:ascii="宋体" w:hAnsi="宋体"/>
          <w:sz w:val="24"/>
          <w:szCs w:val="24"/>
        </w:rPr>
        <w:t>评标委员会认为投标人的报价明显低于其他通过符合性审查投标人的报价，有可能影响产品质量或者不能诚信履约，且投标人不能证明其报价合理性的；</w:t>
      </w:r>
    </w:p>
    <w:p>
      <w:pPr>
        <w:snapToGrid w:val="0"/>
        <w:ind w:firstLine="470" w:firstLineChars="196"/>
        <w:rPr>
          <w:rFonts w:ascii="宋体" w:hAnsi="宋体"/>
          <w:sz w:val="24"/>
          <w:szCs w:val="24"/>
        </w:rPr>
      </w:pPr>
      <w:r>
        <w:rPr>
          <w:rFonts w:hint="eastAsia" w:ascii="宋体" w:hAnsi="宋体"/>
          <w:sz w:val="24"/>
          <w:szCs w:val="24"/>
        </w:rPr>
        <w:t>（4）投标人不接受报价文件中修正后的报价的；</w:t>
      </w:r>
    </w:p>
    <w:p>
      <w:pPr>
        <w:snapToGrid w:val="0"/>
        <w:ind w:firstLine="470" w:firstLineChars="196"/>
        <w:rPr>
          <w:rFonts w:ascii="宋体" w:hAnsi="宋体"/>
          <w:sz w:val="24"/>
          <w:szCs w:val="24"/>
        </w:rPr>
      </w:pPr>
      <w:r>
        <w:rPr>
          <w:rFonts w:hint="eastAsia" w:ascii="宋体" w:hAnsi="宋体"/>
          <w:sz w:val="24"/>
          <w:szCs w:val="24"/>
        </w:rPr>
        <w:t>（5）</w:t>
      </w:r>
      <w:r>
        <w:rPr>
          <w:rFonts w:ascii="宋体" w:hAnsi="宋体"/>
          <w:sz w:val="24"/>
          <w:szCs w:val="24"/>
        </w:rPr>
        <w:t>投标报价具有选择性</w:t>
      </w:r>
      <w:r>
        <w:rPr>
          <w:rFonts w:hint="eastAsia" w:ascii="宋体" w:hAnsi="宋体"/>
          <w:sz w:val="24"/>
          <w:szCs w:val="24"/>
        </w:rPr>
        <w:t>。</w:t>
      </w:r>
    </w:p>
    <w:p>
      <w:pPr>
        <w:pStyle w:val="10"/>
        <w:snapToGrid w:val="0"/>
        <w:spacing w:after="0"/>
        <w:rPr>
          <w:rFonts w:ascii="宋体" w:hAnsi="宋体"/>
          <w:b/>
          <w:bCs/>
          <w:sz w:val="24"/>
          <w:szCs w:val="24"/>
        </w:rPr>
      </w:pPr>
      <w:r>
        <w:rPr>
          <w:rFonts w:hint="eastAsia" w:ascii="宋体" w:hAnsi="宋体"/>
          <w:b/>
          <w:bCs/>
          <w:sz w:val="24"/>
          <w:szCs w:val="24"/>
        </w:rPr>
        <w:t>18.4</w:t>
      </w:r>
      <w:r>
        <w:rPr>
          <w:rFonts w:ascii="宋体" w:hAnsi="宋体"/>
          <w:b/>
          <w:bCs/>
          <w:sz w:val="24"/>
          <w:szCs w:val="24"/>
        </w:rPr>
        <w:t>符合招标文件明确规定的其他无效投标条款的。</w:t>
      </w:r>
    </w:p>
    <w:p>
      <w:pPr>
        <w:jc w:val="center"/>
        <w:rPr>
          <w:b/>
          <w:sz w:val="28"/>
        </w:rPr>
      </w:pPr>
      <w:bookmarkStart w:id="31" w:name="_Toc125344507"/>
      <w:r>
        <w:rPr>
          <w:rFonts w:hint="eastAsia"/>
          <w:b/>
          <w:sz w:val="28"/>
        </w:rPr>
        <w:t>四、开  标</w:t>
      </w:r>
      <w:bookmarkEnd w:id="31"/>
    </w:p>
    <w:p>
      <w:pPr>
        <w:spacing w:line="360" w:lineRule="exact"/>
        <w:ind w:firstLine="482" w:firstLineChars="200"/>
        <w:rPr>
          <w:rFonts w:ascii="宋体" w:hAnsi="宋体"/>
          <w:b/>
          <w:bCs/>
          <w:sz w:val="24"/>
        </w:rPr>
      </w:pPr>
      <w:r>
        <w:rPr>
          <w:rFonts w:hint="eastAsia" w:ascii="宋体" w:hAnsi="宋体"/>
          <w:b/>
          <w:bCs/>
          <w:sz w:val="24"/>
        </w:rPr>
        <w:t>19.开标</w:t>
      </w:r>
    </w:p>
    <w:p>
      <w:pPr>
        <w:ind w:firstLine="480" w:firstLineChars="200"/>
        <w:rPr>
          <w:rFonts w:ascii="宋体" w:hAnsi="宋体"/>
          <w:sz w:val="24"/>
        </w:rPr>
      </w:pPr>
      <w:r>
        <w:rPr>
          <w:rFonts w:hint="eastAsia" w:ascii="宋体" w:hAnsi="宋体"/>
          <w:sz w:val="24"/>
        </w:rPr>
        <w:t>19.1采购代理机构将在前附表规定的时间、地点进行开标。无关人员不得进入开标现场。</w:t>
      </w:r>
    </w:p>
    <w:p>
      <w:pPr>
        <w:ind w:firstLine="480" w:firstLineChars="200"/>
        <w:rPr>
          <w:rFonts w:ascii="宋体" w:hAnsi="宋体"/>
          <w:sz w:val="24"/>
        </w:rPr>
      </w:pPr>
      <w:r>
        <w:rPr>
          <w:rFonts w:hint="eastAsia" w:ascii="宋体" w:hAnsi="宋体"/>
          <w:sz w:val="24"/>
        </w:rPr>
        <w:t>19.2采购代理机构通过电子交易平台组织开标，所有投标人均应当准时在线参加。投标人不足3家的，不得开标。</w:t>
      </w:r>
    </w:p>
    <w:p>
      <w:pPr>
        <w:spacing w:line="360" w:lineRule="exact"/>
        <w:ind w:firstLine="482" w:firstLineChars="200"/>
        <w:rPr>
          <w:rFonts w:ascii="宋体" w:hAnsi="宋体"/>
          <w:b/>
          <w:bCs/>
          <w:sz w:val="24"/>
        </w:rPr>
      </w:pPr>
      <w:r>
        <w:rPr>
          <w:rFonts w:hint="eastAsia" w:ascii="宋体" w:hAnsi="宋体"/>
          <w:b/>
          <w:bCs/>
          <w:sz w:val="24"/>
        </w:rPr>
        <w:t>20.开标程序</w:t>
      </w:r>
    </w:p>
    <w:p>
      <w:pPr>
        <w:ind w:firstLine="482" w:firstLineChars="200"/>
        <w:rPr>
          <w:rFonts w:ascii="宋体" w:hAnsi="宋体"/>
          <w:b/>
          <w:sz w:val="24"/>
        </w:rPr>
      </w:pPr>
      <w:r>
        <w:rPr>
          <w:rFonts w:hint="eastAsia" w:ascii="宋体" w:hAnsi="宋体"/>
          <w:b/>
          <w:sz w:val="24"/>
        </w:rPr>
        <w:t>20.1</w:t>
      </w:r>
      <w:r>
        <w:rPr>
          <w:rFonts w:ascii="宋体" w:hAnsi="宋体"/>
          <w:b/>
          <w:sz w:val="24"/>
        </w:rPr>
        <w:t>投标截止时间后</w:t>
      </w:r>
      <w:r>
        <w:rPr>
          <w:rFonts w:hint="eastAsia" w:ascii="宋体" w:hAnsi="宋体"/>
          <w:b/>
          <w:sz w:val="24"/>
        </w:rPr>
        <w:t>的1小时内</w:t>
      </w:r>
      <w:r>
        <w:rPr>
          <w:rFonts w:ascii="宋体" w:hAnsi="宋体"/>
          <w:b/>
          <w:sz w:val="24"/>
        </w:rPr>
        <w:t>，</w:t>
      </w:r>
      <w:r>
        <w:rPr>
          <w:rFonts w:hint="eastAsia" w:ascii="宋体" w:hAnsi="宋体"/>
          <w:b/>
          <w:sz w:val="24"/>
        </w:rPr>
        <w:t>由各投标人自行</w:t>
      </w:r>
      <w:r>
        <w:rPr>
          <w:rFonts w:ascii="宋体" w:hAnsi="宋体"/>
          <w:b/>
          <w:sz w:val="24"/>
        </w:rPr>
        <w:t>对</w:t>
      </w:r>
      <w:r>
        <w:rPr>
          <w:rFonts w:hint="eastAsia" w:ascii="宋体" w:hAnsi="宋体"/>
          <w:b/>
          <w:sz w:val="24"/>
        </w:rPr>
        <w:t>电子</w:t>
      </w:r>
      <w:r>
        <w:rPr>
          <w:rFonts w:ascii="宋体" w:hAnsi="宋体"/>
          <w:b/>
          <w:sz w:val="24"/>
        </w:rPr>
        <w:t>投标文件进行解密</w:t>
      </w:r>
      <w:r>
        <w:rPr>
          <w:rFonts w:hint="eastAsia" w:ascii="宋体" w:hAnsi="宋体"/>
          <w:b/>
          <w:sz w:val="24"/>
        </w:rPr>
        <w:t>（请各投标人务必在规定时间内完成电子投标文件的解密工作，在电子开评标期间，投标人（授权代表）需确保在各自所在的区域具备上网的技术条件并保持网络及联系方式畅通），同时为避免出现意外，建议全程由一台电脑进行操作（包括标书制作、上传、解密等），中途不要更换电脑；</w:t>
      </w:r>
    </w:p>
    <w:p>
      <w:pPr>
        <w:ind w:firstLine="480" w:firstLineChars="200"/>
        <w:rPr>
          <w:rFonts w:ascii="宋体" w:hAnsi="宋体"/>
          <w:sz w:val="24"/>
        </w:rPr>
      </w:pPr>
      <w:r>
        <w:rPr>
          <w:rFonts w:hint="eastAsia" w:ascii="宋体" w:hAnsi="宋体"/>
          <w:sz w:val="24"/>
        </w:rPr>
        <w:t>20.2投标文件未按时解密，投标人提供了备份投标文件的，以备份投标文件作为依据，否则视为投标文件撤回。投标文件已按时解密的，备份投标文件自动失效。</w:t>
      </w:r>
    </w:p>
    <w:p>
      <w:pPr>
        <w:ind w:firstLine="480" w:firstLineChars="200"/>
        <w:rPr>
          <w:rFonts w:ascii="宋体" w:hAnsi="宋体"/>
          <w:sz w:val="24"/>
        </w:rPr>
      </w:pPr>
      <w:r>
        <w:rPr>
          <w:rFonts w:hint="eastAsia" w:ascii="宋体" w:hAnsi="宋体"/>
          <w:sz w:val="24"/>
        </w:rPr>
        <w:t>20.3采购人或受采购人委托的评标委员会依法对投标人的资格进行审查。投标人未按照招标文件要求提供与基本资格条件、特定资格条件相应的有效资格证明材料的，视为投标人不具备招标文件中规定的资格要求，其投标无效。</w:t>
      </w:r>
    </w:p>
    <w:p>
      <w:pPr>
        <w:ind w:firstLine="480" w:firstLineChars="200"/>
        <w:rPr>
          <w:rFonts w:ascii="宋体" w:hAnsi="宋体"/>
          <w:sz w:val="24"/>
        </w:rPr>
      </w:pPr>
      <w:r>
        <w:rPr>
          <w:rFonts w:hint="eastAsia" w:ascii="宋体" w:hAnsi="宋体"/>
          <w:sz w:val="24"/>
        </w:rPr>
        <w:t>20.4评标委员会将根据招标文件和有关规定，履行评标工作职责，并对投标人技术响应文件进行评审；</w:t>
      </w:r>
    </w:p>
    <w:p>
      <w:pPr>
        <w:ind w:firstLine="480" w:firstLineChars="200"/>
        <w:rPr>
          <w:rFonts w:ascii="宋体" w:hAnsi="宋体"/>
          <w:sz w:val="24"/>
        </w:rPr>
      </w:pPr>
      <w:r>
        <w:rPr>
          <w:rFonts w:hint="eastAsia" w:ascii="宋体" w:hAnsi="宋体"/>
          <w:sz w:val="24"/>
        </w:rPr>
        <w:t>20.3对技术标有效的投标单位的投标报价在“政采云”平台上予以公开；</w:t>
      </w:r>
    </w:p>
    <w:p>
      <w:pPr>
        <w:ind w:firstLine="480" w:firstLineChars="200"/>
        <w:rPr>
          <w:rFonts w:ascii="宋体" w:hAnsi="宋体"/>
          <w:sz w:val="24"/>
        </w:rPr>
      </w:pPr>
      <w:r>
        <w:rPr>
          <w:rFonts w:hint="eastAsia" w:ascii="宋体" w:hAnsi="宋体"/>
          <w:sz w:val="24"/>
        </w:rPr>
        <w:t>20.4评标委员会对技术标有效的投标单位进行投标报价评审，确定投标报价评审有效投标单位；</w:t>
      </w:r>
    </w:p>
    <w:p>
      <w:pPr>
        <w:ind w:firstLine="480" w:firstLineChars="200"/>
        <w:rPr>
          <w:rFonts w:ascii="宋体" w:hAnsi="宋体"/>
          <w:b/>
          <w:sz w:val="24"/>
        </w:rPr>
      </w:pPr>
      <w:r>
        <w:rPr>
          <w:rFonts w:hint="eastAsia" w:ascii="宋体" w:hAnsi="宋体"/>
          <w:sz w:val="24"/>
        </w:rPr>
        <w:t>20.5确定预中标人。</w:t>
      </w:r>
    </w:p>
    <w:p>
      <w:pPr>
        <w:ind w:firstLine="482" w:firstLineChars="200"/>
        <w:rPr>
          <w:rFonts w:ascii="宋体" w:hAnsi="宋体"/>
          <w:b/>
          <w:sz w:val="24"/>
        </w:rPr>
      </w:pPr>
      <w:r>
        <w:rPr>
          <w:rFonts w:hint="eastAsia" w:ascii="宋体" w:hAnsi="宋体"/>
          <w:b/>
          <w:sz w:val="24"/>
        </w:rPr>
        <w:t>特别说明：</w:t>
      </w:r>
    </w:p>
    <w:p>
      <w:pPr>
        <w:ind w:firstLine="482" w:firstLineChars="200"/>
        <w:rPr>
          <w:rFonts w:ascii="宋体" w:hAnsi="宋体"/>
          <w:b/>
          <w:sz w:val="24"/>
        </w:rPr>
      </w:pPr>
      <w:r>
        <w:rPr>
          <w:rFonts w:hint="eastAsia" w:ascii="宋体" w:hAnsi="宋体"/>
          <w:b/>
          <w:sz w:val="24"/>
        </w:rPr>
        <w:t>1、政采云公司如对电子化开标及评审程序有调整的，按调整后的程序操作。</w:t>
      </w:r>
    </w:p>
    <w:p>
      <w:pPr>
        <w:ind w:firstLine="482" w:firstLineChars="200"/>
        <w:rPr>
          <w:rFonts w:ascii="宋体" w:hAnsi="宋体"/>
          <w:b/>
          <w:sz w:val="24"/>
        </w:rPr>
      </w:pPr>
      <w:r>
        <w:rPr>
          <w:rFonts w:hint="eastAsia" w:ascii="宋体" w:hAnsi="宋体"/>
          <w:b/>
          <w:sz w:val="24"/>
        </w:rPr>
        <w:t>2、如中标单位投标文件和招标文件要求不一致，且评审过程中未发现的，履约应按有利于采购人的要求执行。</w:t>
      </w:r>
    </w:p>
    <w:p>
      <w:pPr>
        <w:ind w:firstLine="482" w:firstLineChars="200"/>
        <w:rPr>
          <w:rFonts w:ascii="宋体" w:hAnsi="宋体"/>
          <w:b/>
          <w:sz w:val="24"/>
        </w:rPr>
      </w:pPr>
      <w:r>
        <w:rPr>
          <w:rFonts w:hint="eastAsia" w:ascii="宋体" w:hAnsi="宋体"/>
          <w:b/>
          <w:sz w:val="24"/>
        </w:rPr>
        <w:t>3、采购过程中出现以下情形，导致电子交易平台无法正常运行，或者无法保证电子交易的公平、公正和安全时，采购组织机构可中止电子交易活动：</w:t>
      </w:r>
    </w:p>
    <w:p>
      <w:pPr>
        <w:pStyle w:val="16"/>
        <w:ind w:firstLine="480" w:firstLineChars="200"/>
        <w:rPr>
          <w:rFonts w:ascii="宋体" w:hAnsi="宋体"/>
          <w:sz w:val="24"/>
        </w:rPr>
      </w:pPr>
      <w:r>
        <w:rPr>
          <w:rFonts w:hint="eastAsia" w:ascii="宋体" w:hAnsi="宋体"/>
          <w:sz w:val="24"/>
        </w:rPr>
        <w:t>（一）电子交易平台发生故障而无法登录访问的； </w:t>
      </w:r>
    </w:p>
    <w:p>
      <w:pPr>
        <w:pStyle w:val="16"/>
        <w:ind w:firstLine="480" w:firstLineChars="200"/>
        <w:rPr>
          <w:rFonts w:ascii="宋体" w:hAnsi="宋体"/>
          <w:sz w:val="24"/>
        </w:rPr>
      </w:pPr>
      <w:r>
        <w:rPr>
          <w:rFonts w:hint="eastAsia" w:ascii="宋体" w:hAnsi="宋体"/>
          <w:sz w:val="24"/>
        </w:rPr>
        <w:t>（二）电子交易平台应用或数据库出现错误，不能进行正常操作的；</w:t>
      </w:r>
    </w:p>
    <w:p>
      <w:pPr>
        <w:pStyle w:val="16"/>
        <w:ind w:firstLine="480" w:firstLineChars="200"/>
        <w:rPr>
          <w:rFonts w:ascii="宋体" w:hAnsi="宋体"/>
          <w:sz w:val="24"/>
        </w:rPr>
      </w:pPr>
      <w:r>
        <w:rPr>
          <w:rFonts w:hint="eastAsia" w:ascii="宋体" w:hAnsi="宋体"/>
          <w:sz w:val="24"/>
        </w:rPr>
        <w:t>（三）电子交易平台发现严重安全漏洞，有潜在泄密危险的；</w:t>
      </w:r>
    </w:p>
    <w:p>
      <w:pPr>
        <w:pStyle w:val="16"/>
        <w:ind w:firstLine="480" w:firstLineChars="200"/>
        <w:rPr>
          <w:rFonts w:ascii="宋体" w:hAnsi="宋体"/>
          <w:sz w:val="24"/>
        </w:rPr>
      </w:pPr>
      <w:r>
        <w:rPr>
          <w:rFonts w:hint="eastAsia" w:ascii="宋体" w:hAnsi="宋体"/>
          <w:sz w:val="24"/>
        </w:rPr>
        <w:t>（四）病毒发作导致不能进行正常操作的； </w:t>
      </w:r>
    </w:p>
    <w:p>
      <w:pPr>
        <w:pStyle w:val="16"/>
        <w:ind w:firstLine="480" w:firstLineChars="200"/>
        <w:rPr>
          <w:rFonts w:ascii="宋体" w:hAnsi="宋体"/>
          <w:sz w:val="24"/>
        </w:rPr>
      </w:pPr>
      <w:r>
        <w:rPr>
          <w:rFonts w:hint="eastAsia" w:ascii="宋体" w:hAnsi="宋体"/>
          <w:sz w:val="24"/>
        </w:rPr>
        <w:t>（五）其他无法保证电子交易的公平、公正和安全的情况。</w:t>
      </w:r>
    </w:p>
    <w:p>
      <w:pPr>
        <w:pStyle w:val="16"/>
        <w:ind w:firstLine="480" w:firstLineChars="200"/>
        <w:rPr>
          <w:rFonts w:ascii="宋体" w:hAnsi="宋体"/>
          <w:sz w:val="24"/>
        </w:rPr>
      </w:pPr>
      <w:r>
        <w:rPr>
          <w:rFonts w:hint="eastAsia" w:ascii="宋体" w:hAnsi="宋体"/>
          <w:sz w:val="24"/>
        </w:rPr>
        <w:t> 出现前款规定情形，不影响采购公平、公正性的，采购组织机构可以待上述情形消除后继续组织电子交易活动；影响或可能影响采购公平、公正性的，应当重新采购。</w:t>
      </w:r>
    </w:p>
    <w:p>
      <w:pPr>
        <w:jc w:val="center"/>
        <w:rPr>
          <w:b/>
          <w:sz w:val="28"/>
        </w:rPr>
      </w:pPr>
      <w:bookmarkStart w:id="32" w:name="_Toc125344508"/>
      <w:r>
        <w:rPr>
          <w:rFonts w:hint="eastAsia"/>
          <w:b/>
          <w:sz w:val="28"/>
        </w:rPr>
        <w:t xml:space="preserve"> 五、评　标</w:t>
      </w:r>
      <w:bookmarkEnd w:id="32"/>
    </w:p>
    <w:p>
      <w:pPr>
        <w:spacing w:line="360" w:lineRule="exact"/>
        <w:ind w:firstLine="482" w:firstLineChars="200"/>
        <w:rPr>
          <w:rFonts w:ascii="宋体" w:hAnsi="宋体"/>
          <w:b/>
          <w:bCs/>
          <w:sz w:val="24"/>
        </w:rPr>
      </w:pPr>
      <w:r>
        <w:rPr>
          <w:rFonts w:hint="eastAsia" w:ascii="宋体" w:hAnsi="宋体"/>
          <w:b/>
          <w:bCs/>
          <w:sz w:val="24"/>
        </w:rPr>
        <w:t>21. 组建评标委员会</w:t>
      </w:r>
    </w:p>
    <w:p>
      <w:pPr>
        <w:pStyle w:val="16"/>
        <w:ind w:firstLine="480" w:firstLineChars="200"/>
        <w:rPr>
          <w:rFonts w:ascii="宋体" w:hAnsi="宋体"/>
          <w:sz w:val="24"/>
        </w:rPr>
      </w:pPr>
      <w:r>
        <w:rPr>
          <w:rFonts w:hint="eastAsia" w:ascii="宋体" w:hAnsi="宋体"/>
          <w:sz w:val="24"/>
        </w:rPr>
        <w:t>评标委员会按照有关规定组建。</w:t>
      </w:r>
    </w:p>
    <w:p>
      <w:pPr>
        <w:spacing w:line="360" w:lineRule="exact"/>
        <w:ind w:firstLine="482" w:firstLineChars="200"/>
        <w:rPr>
          <w:rFonts w:ascii="宋体" w:hAnsi="宋体"/>
          <w:b/>
          <w:bCs/>
          <w:sz w:val="24"/>
        </w:rPr>
      </w:pPr>
      <w:r>
        <w:rPr>
          <w:rFonts w:hint="eastAsia" w:ascii="宋体" w:hAnsi="宋体"/>
          <w:b/>
          <w:bCs/>
          <w:sz w:val="24"/>
        </w:rPr>
        <w:t>22.评标原则</w:t>
      </w:r>
    </w:p>
    <w:p>
      <w:pPr>
        <w:pStyle w:val="16"/>
        <w:ind w:firstLine="480" w:firstLineChars="200"/>
        <w:rPr>
          <w:rFonts w:ascii="宋体" w:hAnsi="宋体"/>
          <w:sz w:val="24"/>
        </w:rPr>
      </w:pPr>
      <w:r>
        <w:rPr>
          <w:rFonts w:hint="eastAsia" w:ascii="宋体" w:hAnsi="宋体"/>
          <w:sz w:val="24"/>
        </w:rPr>
        <w:t>22.1评标委员会必须公平、公正、客观，不带任何倾向性和启发性；</w:t>
      </w:r>
    </w:p>
    <w:p>
      <w:pPr>
        <w:pStyle w:val="16"/>
        <w:ind w:firstLine="480" w:firstLineChars="200"/>
        <w:rPr>
          <w:rFonts w:ascii="宋体" w:hAnsi="宋体"/>
          <w:sz w:val="24"/>
        </w:rPr>
      </w:pPr>
      <w:r>
        <w:rPr>
          <w:rFonts w:hint="eastAsia" w:ascii="宋体" w:hAnsi="宋体"/>
          <w:sz w:val="24"/>
        </w:rPr>
        <w:t>22.2不得向外界透露任何与评标有关的内容；</w:t>
      </w:r>
    </w:p>
    <w:p>
      <w:pPr>
        <w:pStyle w:val="16"/>
        <w:ind w:firstLine="480" w:firstLineChars="200"/>
        <w:rPr>
          <w:rFonts w:ascii="宋体" w:hAnsi="宋体"/>
          <w:sz w:val="24"/>
        </w:rPr>
      </w:pPr>
      <w:r>
        <w:rPr>
          <w:rFonts w:hint="eastAsia" w:ascii="宋体" w:hAnsi="宋体"/>
          <w:sz w:val="24"/>
        </w:rPr>
        <w:t>22.3任何单位和个人不得干扰、影响评标的正常进行；</w:t>
      </w:r>
    </w:p>
    <w:p>
      <w:pPr>
        <w:pStyle w:val="16"/>
        <w:ind w:firstLine="480" w:firstLineChars="200"/>
        <w:rPr>
          <w:rFonts w:ascii="宋体" w:hAnsi="宋体"/>
          <w:sz w:val="24"/>
        </w:rPr>
      </w:pPr>
      <w:r>
        <w:rPr>
          <w:rFonts w:hint="eastAsia" w:ascii="宋体" w:hAnsi="宋体"/>
          <w:sz w:val="24"/>
        </w:rPr>
        <w:t>22.4评标委员会及有关工作人员不得私下与投标人接触。</w:t>
      </w:r>
    </w:p>
    <w:p>
      <w:pPr>
        <w:pStyle w:val="16"/>
        <w:ind w:firstLine="480" w:firstLineChars="200"/>
        <w:rPr>
          <w:rFonts w:ascii="宋体" w:hAnsi="宋体"/>
          <w:sz w:val="24"/>
        </w:rPr>
      </w:pPr>
      <w:r>
        <w:rPr>
          <w:rFonts w:hint="eastAsia" w:ascii="宋体" w:hAnsi="宋体"/>
          <w:sz w:val="24"/>
        </w:rPr>
        <w:t>22.5评审专家因回避、临时缺席或健康原因等特殊情况不能继续参加评审工作的，应按规定更换评审专家,被更换的评审人员之前所作出的评审意见不再予以采纳，由更换后的评审人员重新进行评审。无法及时更换专家的，要立即停止评审工作、封存评审资料，并告知投标人择期重新评审的时间和地点。</w:t>
      </w:r>
    </w:p>
    <w:p>
      <w:pPr>
        <w:snapToGrid w:val="0"/>
        <w:ind w:firstLine="482" w:firstLineChars="200"/>
        <w:jc w:val="left"/>
        <w:rPr>
          <w:rFonts w:ascii="宋体" w:hAnsi="宋体"/>
          <w:b/>
          <w:sz w:val="24"/>
        </w:rPr>
      </w:pPr>
      <w:r>
        <w:rPr>
          <w:rFonts w:hint="eastAsia" w:ascii="宋体" w:hAnsi="宋体"/>
          <w:b/>
          <w:sz w:val="24"/>
        </w:rPr>
        <w:t>22.6</w:t>
      </w:r>
      <w:r>
        <w:rPr>
          <w:rFonts w:ascii="宋体" w:hAnsi="宋体"/>
          <w:b/>
          <w:sz w:val="24"/>
        </w:rPr>
        <w:t>提供相同品牌产品且通过资格审查、符合性审查的不同投标人参加同一合同项下投标的，按一家投标人计算，评审后得分最高的同品牌投标人获得中标人推荐资格；评审得分相同的，由采购人或者采购人委托评标委员会按照招标文件规定的方式确定一个投标人获得中标人推荐资格，招标文件未规定的采取随机抽取方式确定，其他同品牌投标人不作为中标候选人。</w:t>
      </w:r>
    </w:p>
    <w:p>
      <w:pPr>
        <w:snapToGrid w:val="0"/>
        <w:ind w:firstLine="482" w:firstLineChars="200"/>
        <w:jc w:val="left"/>
        <w:rPr>
          <w:rFonts w:ascii="宋体" w:hAnsi="宋体"/>
          <w:b/>
          <w:sz w:val="24"/>
        </w:rPr>
      </w:pPr>
      <w:r>
        <w:rPr>
          <w:rFonts w:ascii="宋体" w:hAnsi="宋体"/>
          <w:b/>
          <w:sz w:val="24"/>
        </w:rPr>
        <w:t>非单一产品采购项目，采购人应当根据采购项目技术构成、产品价格比重等合理确定核心产品，并在招标文件中载明。多家投标人提供的核心产品品牌相同的，按前款规定处理。</w:t>
      </w:r>
    </w:p>
    <w:p>
      <w:pPr>
        <w:snapToGrid w:val="0"/>
        <w:ind w:firstLine="480" w:firstLineChars="200"/>
        <w:jc w:val="left"/>
        <w:rPr>
          <w:rFonts w:ascii="宋体" w:hAnsi="宋体"/>
          <w:bCs/>
          <w:sz w:val="24"/>
        </w:rPr>
      </w:pPr>
      <w:r>
        <w:rPr>
          <w:rFonts w:hint="eastAsia" w:ascii="宋体" w:hAnsi="宋体"/>
          <w:bCs/>
          <w:sz w:val="24"/>
        </w:rPr>
        <w:t>22.7以联合体形式参加政府采购活动的，联合体各方不得再单独参加或者与其他供应商另外组成联合体参加同一合同项下的政府采购活动。</w:t>
      </w:r>
    </w:p>
    <w:p>
      <w:pPr>
        <w:snapToGrid w:val="0"/>
        <w:ind w:firstLine="480" w:firstLineChars="200"/>
        <w:jc w:val="left"/>
        <w:rPr>
          <w:rFonts w:ascii="宋体" w:hAnsi="宋体"/>
          <w:bCs/>
          <w:sz w:val="24"/>
        </w:rPr>
      </w:pPr>
      <w:r>
        <w:rPr>
          <w:rFonts w:hint="eastAsia" w:ascii="宋体" w:hAnsi="宋体"/>
          <w:bCs/>
          <w:sz w:val="24"/>
        </w:rPr>
        <w:t>22.8除单一来源采购以外，为采购项目提供整体设计、规范编制或者项目管理、监理、检测等服务的供应商，不得参加本采购项目。</w:t>
      </w:r>
    </w:p>
    <w:p>
      <w:pPr>
        <w:snapToGrid w:val="0"/>
        <w:ind w:firstLine="480" w:firstLineChars="200"/>
        <w:jc w:val="left"/>
        <w:rPr>
          <w:rFonts w:ascii="宋体" w:hAnsi="宋体"/>
          <w:bCs/>
          <w:sz w:val="24"/>
        </w:rPr>
      </w:pPr>
      <w:r>
        <w:rPr>
          <w:rFonts w:hint="eastAsia" w:ascii="宋体" w:hAnsi="宋体"/>
          <w:bCs/>
          <w:sz w:val="24"/>
        </w:rPr>
        <w:t>22.9单位负责人为同一人或者存在直接控股、管理关系的不同供应商，不得参加同一合同项下的政府采购活动。</w:t>
      </w:r>
    </w:p>
    <w:p>
      <w:pPr>
        <w:pStyle w:val="11"/>
        <w:snapToGrid w:val="0"/>
        <w:ind w:left="2" w:leftChars="1" w:firstLine="480" w:firstLineChars="200"/>
        <w:rPr>
          <w:rFonts w:ascii="宋体" w:hAnsi="宋体"/>
          <w:b/>
        </w:rPr>
      </w:pPr>
      <w:r>
        <w:rPr>
          <w:rFonts w:hint="eastAsia" w:ascii="宋体" w:hAnsi="宋体"/>
          <w:bCs/>
        </w:rPr>
        <w:t>22.10本项目涉及提供的有关资质证书，若原有资质证书处于年审期间，投标人提供年审证明的可按原资质投标；若投标人正在申报上一级别资质，在未获批准之前，仍按原级别资质投标</w:t>
      </w:r>
      <w:r>
        <w:rPr>
          <w:rFonts w:hint="eastAsia" w:ascii="宋体" w:hAnsi="宋体"/>
          <w:b/>
        </w:rPr>
        <w:t>。</w:t>
      </w:r>
    </w:p>
    <w:p>
      <w:pPr>
        <w:spacing w:line="360" w:lineRule="exact"/>
        <w:ind w:firstLine="482" w:firstLineChars="200"/>
        <w:rPr>
          <w:rFonts w:ascii="宋体" w:hAnsi="宋体"/>
          <w:b/>
          <w:bCs/>
          <w:sz w:val="24"/>
        </w:rPr>
      </w:pPr>
      <w:r>
        <w:rPr>
          <w:rFonts w:hint="eastAsia" w:ascii="宋体" w:hAnsi="宋体"/>
          <w:b/>
          <w:bCs/>
          <w:sz w:val="24"/>
        </w:rPr>
        <w:t>23.评标程序</w:t>
      </w:r>
    </w:p>
    <w:p>
      <w:pPr>
        <w:snapToGrid w:val="0"/>
        <w:ind w:firstLine="472" w:firstLineChars="196"/>
        <w:rPr>
          <w:rFonts w:ascii="宋体" w:hAnsi="宋体"/>
          <w:b/>
          <w:bCs/>
          <w:sz w:val="24"/>
        </w:rPr>
      </w:pPr>
      <w:r>
        <w:rPr>
          <w:rFonts w:hint="eastAsia" w:ascii="宋体" w:hAnsi="宋体"/>
          <w:b/>
          <w:bCs/>
          <w:sz w:val="24"/>
        </w:rPr>
        <w:t>23.1在评审专家中推选评标委员会组长</w:t>
      </w:r>
    </w:p>
    <w:p>
      <w:pPr>
        <w:snapToGrid w:val="0"/>
        <w:ind w:firstLine="472" w:firstLineChars="196"/>
        <w:rPr>
          <w:rFonts w:ascii="宋体" w:hAnsi="宋体"/>
          <w:b/>
          <w:bCs/>
          <w:sz w:val="24"/>
        </w:rPr>
      </w:pPr>
      <w:r>
        <w:rPr>
          <w:rFonts w:hint="eastAsia" w:ascii="宋体" w:hAnsi="宋体"/>
          <w:b/>
          <w:bCs/>
          <w:sz w:val="24"/>
        </w:rPr>
        <w:t>23.2资格及形式审查</w:t>
      </w:r>
    </w:p>
    <w:p>
      <w:pPr>
        <w:ind w:firstLine="480" w:firstLineChars="200"/>
        <w:rPr>
          <w:rFonts w:ascii="宋体" w:hAnsi="宋体"/>
          <w:sz w:val="24"/>
        </w:rPr>
      </w:pPr>
      <w:r>
        <w:rPr>
          <w:rFonts w:hint="eastAsia" w:ascii="宋体" w:hAnsi="宋体"/>
          <w:color w:val="auto"/>
          <w:kern w:val="2"/>
          <w:sz w:val="24"/>
          <w:szCs w:val="24"/>
        </w:rPr>
        <w:t>评标委员会对投标人资格进行审查，并审查</w:t>
      </w:r>
      <w:r>
        <w:rPr>
          <w:rFonts w:ascii="宋体" w:hAnsi="宋体"/>
          <w:sz w:val="24"/>
        </w:rPr>
        <w:t>投标文件的</w:t>
      </w:r>
      <w:r>
        <w:rPr>
          <w:rFonts w:hint="eastAsia" w:ascii="宋体" w:hAnsi="宋体"/>
          <w:sz w:val="24"/>
        </w:rPr>
        <w:t>有效性、</w:t>
      </w:r>
      <w:r>
        <w:rPr>
          <w:rFonts w:ascii="宋体" w:hAnsi="宋体"/>
          <w:sz w:val="24"/>
        </w:rPr>
        <w:t>完整性、合法性等。</w:t>
      </w:r>
    </w:p>
    <w:p>
      <w:pPr>
        <w:snapToGrid w:val="0"/>
        <w:ind w:firstLine="472" w:firstLineChars="196"/>
        <w:rPr>
          <w:rFonts w:ascii="宋体" w:hAnsi="宋体"/>
          <w:b/>
          <w:bCs/>
          <w:sz w:val="24"/>
          <w:szCs w:val="20"/>
        </w:rPr>
      </w:pPr>
      <w:r>
        <w:rPr>
          <w:rFonts w:hint="eastAsia" w:ascii="宋体" w:hAnsi="宋体"/>
          <w:b/>
          <w:bCs/>
          <w:sz w:val="24"/>
        </w:rPr>
        <w:t>23.3</w:t>
      </w:r>
      <w:r>
        <w:rPr>
          <w:rFonts w:ascii="宋体" w:hAnsi="宋体"/>
          <w:b/>
          <w:bCs/>
          <w:sz w:val="24"/>
        </w:rPr>
        <w:t>实质审查与比较</w:t>
      </w:r>
    </w:p>
    <w:p>
      <w:pPr>
        <w:pStyle w:val="16"/>
        <w:ind w:firstLine="480" w:firstLineChars="200"/>
        <w:rPr>
          <w:rFonts w:ascii="宋体" w:hAnsi="宋体"/>
          <w:sz w:val="24"/>
        </w:rPr>
      </w:pPr>
      <w:r>
        <w:rPr>
          <w:rFonts w:hint="eastAsia" w:ascii="宋体" w:hAnsi="宋体"/>
          <w:sz w:val="24"/>
        </w:rPr>
        <w:t>23.3.1评标时，评标委员会将以招标文件为基本依据，首先评定每份投标文件是否在实质上响应了招标文件的要求。所谓实质上响应，是指投标文件应与招标文件的所有实质性条款、条件和要求相符，无显著差异或保留，或者对合同中约定的采购人的权利和投标人的义务方面造成重大的限制，纠正这些显著差异或保留将会对其他实质上响应招标文件要求的投标文件的投标人的竞争地位产生不公平的影响。</w:t>
      </w:r>
    </w:p>
    <w:p>
      <w:pPr>
        <w:pStyle w:val="16"/>
        <w:ind w:firstLine="480" w:firstLineChars="200"/>
        <w:rPr>
          <w:rFonts w:ascii="宋体" w:hAnsi="宋体"/>
          <w:sz w:val="24"/>
        </w:rPr>
      </w:pPr>
      <w:r>
        <w:rPr>
          <w:rFonts w:hint="eastAsia" w:ascii="宋体" w:hAnsi="宋体"/>
          <w:sz w:val="24"/>
        </w:rPr>
        <w:t>23.3.2</w:t>
      </w:r>
      <w:r>
        <w:rPr>
          <w:rFonts w:ascii="宋体" w:hAnsi="宋体"/>
          <w:sz w:val="24"/>
        </w:rPr>
        <w:t>评标委员会将根据投标人的投标文件进行审查、核对,如有疑问,将对投标人进行询标,投标人要向评标委员会澄清有关问题,并最终以</w:t>
      </w:r>
      <w:r>
        <w:rPr>
          <w:rFonts w:hint="eastAsia" w:ascii="宋体" w:hAnsi="宋体"/>
          <w:sz w:val="24"/>
        </w:rPr>
        <w:t>“政采云”在线询标或其他有效形式</w:t>
      </w:r>
      <w:r>
        <w:rPr>
          <w:rFonts w:ascii="宋体" w:hAnsi="宋体"/>
          <w:sz w:val="24"/>
        </w:rPr>
        <w:t>形式进行答复。</w:t>
      </w:r>
      <w:r>
        <w:rPr>
          <w:rFonts w:hint="eastAsia" w:ascii="宋体" w:hAnsi="宋体"/>
          <w:sz w:val="24"/>
        </w:rPr>
        <w:t>“政采云”在线询标时间由评标委员会根据项目实际情况决定，投标人代表拒绝澄清或者澄清的内容改变了投标文件的实质性内容的，评标委员会有权对该投标文件作出不利于投标人的评判。</w:t>
      </w:r>
    </w:p>
    <w:p>
      <w:pPr>
        <w:pStyle w:val="16"/>
        <w:ind w:firstLine="482" w:firstLineChars="200"/>
        <w:rPr>
          <w:rFonts w:ascii="宋体" w:hAnsi="宋体"/>
          <w:b/>
          <w:sz w:val="24"/>
        </w:rPr>
      </w:pPr>
      <w:r>
        <w:rPr>
          <w:rFonts w:hint="eastAsia" w:ascii="宋体" w:hAnsi="宋体"/>
          <w:b/>
          <w:sz w:val="24"/>
        </w:rPr>
        <w:t>23.3.3投标人应详细说明投标技术方案中产品的具体参数，不得照搬照抄招标文件的技术要求。否则，评标委员会有权认定为投标技术方案不合格响应，其相关分数予以扣减或作无效标处理。</w:t>
      </w:r>
    </w:p>
    <w:p>
      <w:pPr>
        <w:pStyle w:val="16"/>
        <w:ind w:firstLine="480" w:firstLineChars="200"/>
        <w:rPr>
          <w:rFonts w:ascii="宋体" w:hAnsi="宋体"/>
          <w:sz w:val="24"/>
        </w:rPr>
      </w:pPr>
      <w:r>
        <w:rPr>
          <w:rFonts w:hint="eastAsia" w:ascii="宋体" w:hAnsi="宋体"/>
          <w:sz w:val="24"/>
        </w:rPr>
        <w:t>23.3.4如果投标文件实质不响应招标文件的各项要求，评标委员会将予以拒绝，并且不允许投标人通过修改或撤销其不符合要求的差异或保留，使之成为具有响应性的投标。</w:t>
      </w:r>
    </w:p>
    <w:p>
      <w:pPr>
        <w:pStyle w:val="16"/>
        <w:ind w:firstLine="480" w:firstLineChars="200"/>
        <w:rPr>
          <w:rFonts w:ascii="宋体" w:hAnsi="宋体"/>
          <w:sz w:val="24"/>
        </w:rPr>
      </w:pPr>
      <w:r>
        <w:rPr>
          <w:rFonts w:hint="eastAsia" w:ascii="宋体" w:hAnsi="宋体"/>
          <w:sz w:val="24"/>
        </w:rPr>
        <w:t>23.3.5评标委员会根据评标原则推荐中标候选人，同时</w:t>
      </w:r>
      <w:r>
        <w:rPr>
          <w:rFonts w:ascii="宋体" w:hAnsi="宋体"/>
          <w:sz w:val="24"/>
        </w:rPr>
        <w:t>起草评标报</w:t>
      </w:r>
      <w:r>
        <w:rPr>
          <w:rFonts w:hint="eastAsia" w:ascii="宋体" w:hAnsi="宋体"/>
          <w:sz w:val="24"/>
        </w:rPr>
        <w:t>告</w:t>
      </w:r>
      <w:r>
        <w:rPr>
          <w:rFonts w:ascii="宋体" w:hAnsi="宋体"/>
          <w:sz w:val="24"/>
        </w:rPr>
        <w:t>。</w:t>
      </w:r>
    </w:p>
    <w:p>
      <w:pPr>
        <w:pStyle w:val="16"/>
        <w:ind w:firstLine="482" w:firstLineChars="200"/>
        <w:rPr>
          <w:rFonts w:ascii="宋体" w:hAnsi="宋体"/>
          <w:sz w:val="24"/>
        </w:rPr>
      </w:pPr>
      <w:r>
        <w:rPr>
          <w:rFonts w:hint="eastAsia" w:ascii="宋体" w:hAnsi="宋体"/>
          <w:b/>
          <w:sz w:val="24"/>
        </w:rPr>
        <w:t>23.3.6评标委员会对明显不合理的投标报价，有权要求投标人在规定时间内提交说明，投标人不能提供的或提供的材料不能说明问题的，评标委员会可以判定其投标无效。</w:t>
      </w:r>
    </w:p>
    <w:p>
      <w:pPr>
        <w:pStyle w:val="16"/>
        <w:ind w:firstLine="480" w:firstLineChars="200"/>
        <w:rPr>
          <w:rFonts w:ascii="宋体" w:hAnsi="宋体"/>
          <w:b/>
          <w:sz w:val="24"/>
        </w:rPr>
      </w:pPr>
      <w:r>
        <w:rPr>
          <w:rFonts w:hint="eastAsia" w:ascii="宋体" w:hAnsi="宋体"/>
          <w:sz w:val="24"/>
        </w:rPr>
        <w:t>23.3.7评审人员对有关招标文件、投标文件、解释、要求、标准存在不同意见的，持不同意见的评审人员及其意见或理由应予以完整记录，并在评审过程中按照少数服从多数的原则表决执行。评审人员拒绝在评审报告中签字又不说明其不同意见或理由的，由现场监督员记录在案后，可视为同意评审结果。</w:t>
      </w:r>
    </w:p>
    <w:p>
      <w:pPr>
        <w:pStyle w:val="16"/>
        <w:ind w:firstLine="480" w:firstLineChars="200"/>
        <w:rPr>
          <w:rFonts w:ascii="宋体" w:hAnsi="宋体"/>
          <w:sz w:val="24"/>
        </w:rPr>
      </w:pPr>
      <w:r>
        <w:rPr>
          <w:rFonts w:hint="eastAsia" w:ascii="宋体" w:hAnsi="宋体"/>
          <w:sz w:val="24"/>
        </w:rPr>
        <w:t>23.3.8</w:t>
      </w:r>
      <w:r>
        <w:rPr>
          <w:rFonts w:ascii="宋体" w:hAnsi="宋体"/>
          <w:sz w:val="24"/>
        </w:rPr>
        <w:t>评标委员会发现招标文件存在歧义、重大缺陷导致评标工作无法进行，或者招标文件内容违反国家有关强制性规定的，应当停止评标工作，与采购人或者采购代理机构沟通并作书面记录。采购人或者采购代理机构确认后，应当修改招标文件，重新组织采购活动。</w:t>
      </w:r>
    </w:p>
    <w:p>
      <w:pPr>
        <w:ind w:firstLine="479" w:firstLineChars="199"/>
        <w:rPr>
          <w:rFonts w:ascii="宋体" w:hAnsi="宋体"/>
          <w:sz w:val="24"/>
          <w:szCs w:val="24"/>
        </w:rPr>
      </w:pPr>
      <w:r>
        <w:rPr>
          <w:rFonts w:hint="eastAsia" w:ascii="宋体" w:hAnsi="宋体"/>
          <w:b/>
          <w:sz w:val="24"/>
          <w:szCs w:val="24"/>
        </w:rPr>
        <w:t>24.</w:t>
      </w:r>
      <w:r>
        <w:rPr>
          <w:rFonts w:hint="eastAsia" w:ascii="宋体" w:hAnsi="宋体"/>
          <w:sz w:val="24"/>
          <w:szCs w:val="24"/>
        </w:rPr>
        <w:t>如投标人或采购人有下列情形之一的，应按串通投标行为认定，禁止其一至三年内进入本市政府采购市场，情节严重的移送有关部门依法处理。</w:t>
      </w:r>
    </w:p>
    <w:p>
      <w:pPr>
        <w:ind w:firstLine="477" w:firstLineChars="199"/>
        <w:rPr>
          <w:rFonts w:ascii="宋体" w:hAnsi="宋体"/>
          <w:sz w:val="24"/>
          <w:szCs w:val="24"/>
        </w:rPr>
      </w:pPr>
      <w:r>
        <w:rPr>
          <w:rFonts w:hint="eastAsia" w:ascii="宋体" w:hAnsi="宋体"/>
          <w:sz w:val="24"/>
          <w:szCs w:val="24"/>
        </w:rPr>
        <w:t>24.1</w:t>
      </w:r>
      <w:r>
        <w:rPr>
          <w:rFonts w:ascii="宋体" w:hAnsi="宋体"/>
          <w:sz w:val="24"/>
          <w:szCs w:val="24"/>
        </w:rPr>
        <w:t>不同</w:t>
      </w:r>
      <w:r>
        <w:rPr>
          <w:rFonts w:hint="eastAsia" w:ascii="宋体" w:hAnsi="宋体"/>
          <w:sz w:val="24"/>
          <w:szCs w:val="24"/>
        </w:rPr>
        <w:t>投标人</w:t>
      </w:r>
      <w:r>
        <w:rPr>
          <w:rFonts w:ascii="宋体" w:hAnsi="宋体"/>
          <w:sz w:val="24"/>
          <w:szCs w:val="24"/>
        </w:rPr>
        <w:t>的</w:t>
      </w:r>
      <w:r>
        <w:rPr>
          <w:rFonts w:hint="eastAsia" w:ascii="宋体" w:hAnsi="宋体"/>
          <w:sz w:val="24"/>
          <w:szCs w:val="24"/>
        </w:rPr>
        <w:t>投标</w:t>
      </w:r>
      <w:r>
        <w:rPr>
          <w:rFonts w:ascii="宋体" w:hAnsi="宋体"/>
          <w:sz w:val="24"/>
          <w:szCs w:val="24"/>
        </w:rPr>
        <w:t xml:space="preserve">文件由同一单位或人员编制； </w:t>
      </w:r>
    </w:p>
    <w:p>
      <w:pPr>
        <w:ind w:firstLine="477" w:firstLineChars="199"/>
        <w:rPr>
          <w:rFonts w:ascii="宋体" w:hAnsi="宋体"/>
          <w:sz w:val="24"/>
          <w:szCs w:val="24"/>
        </w:rPr>
      </w:pPr>
      <w:r>
        <w:rPr>
          <w:rFonts w:hint="eastAsia" w:ascii="宋体" w:hAnsi="宋体"/>
          <w:sz w:val="24"/>
          <w:szCs w:val="24"/>
        </w:rPr>
        <w:t>24.2</w:t>
      </w:r>
      <w:r>
        <w:rPr>
          <w:rFonts w:ascii="宋体" w:hAnsi="宋体"/>
          <w:sz w:val="24"/>
          <w:szCs w:val="24"/>
        </w:rPr>
        <w:t>不同</w:t>
      </w:r>
      <w:r>
        <w:rPr>
          <w:rFonts w:hint="eastAsia" w:ascii="宋体" w:hAnsi="宋体"/>
          <w:sz w:val="24"/>
          <w:szCs w:val="24"/>
        </w:rPr>
        <w:t>投标人</w:t>
      </w:r>
      <w:r>
        <w:rPr>
          <w:rFonts w:ascii="宋体" w:hAnsi="宋体"/>
          <w:sz w:val="24"/>
          <w:szCs w:val="24"/>
        </w:rPr>
        <w:t>委托同一单位或</w:t>
      </w:r>
      <w:r>
        <w:rPr>
          <w:rFonts w:hint="eastAsia" w:ascii="宋体" w:hAnsi="宋体"/>
          <w:sz w:val="24"/>
          <w:szCs w:val="24"/>
        </w:rPr>
        <w:t>个人</w:t>
      </w:r>
      <w:r>
        <w:rPr>
          <w:rFonts w:ascii="宋体" w:hAnsi="宋体"/>
          <w:sz w:val="24"/>
          <w:szCs w:val="24"/>
        </w:rPr>
        <w:t>办理投标事宜；</w:t>
      </w:r>
    </w:p>
    <w:p>
      <w:pPr>
        <w:ind w:firstLine="477" w:firstLineChars="199"/>
        <w:rPr>
          <w:rFonts w:ascii="宋体" w:hAnsi="宋体"/>
          <w:sz w:val="24"/>
          <w:szCs w:val="24"/>
        </w:rPr>
      </w:pPr>
      <w:r>
        <w:rPr>
          <w:rFonts w:hint="eastAsia" w:ascii="宋体" w:hAnsi="宋体"/>
          <w:sz w:val="24"/>
          <w:szCs w:val="24"/>
        </w:rPr>
        <w:t>24.3</w:t>
      </w:r>
      <w:r>
        <w:rPr>
          <w:rFonts w:ascii="宋体" w:hAnsi="宋体"/>
          <w:sz w:val="24"/>
          <w:szCs w:val="24"/>
        </w:rPr>
        <w:t>不同</w:t>
      </w:r>
      <w:r>
        <w:rPr>
          <w:rFonts w:hint="eastAsia" w:ascii="宋体" w:hAnsi="宋体"/>
          <w:sz w:val="24"/>
          <w:szCs w:val="24"/>
        </w:rPr>
        <w:t>投标人</w:t>
      </w:r>
      <w:r>
        <w:rPr>
          <w:rFonts w:ascii="宋体" w:hAnsi="宋体"/>
          <w:sz w:val="24"/>
          <w:szCs w:val="24"/>
        </w:rPr>
        <w:t>的</w:t>
      </w:r>
      <w:r>
        <w:rPr>
          <w:rFonts w:hint="eastAsia" w:ascii="宋体" w:hAnsi="宋体"/>
          <w:sz w:val="24"/>
          <w:szCs w:val="24"/>
        </w:rPr>
        <w:t>投标</w:t>
      </w:r>
      <w:r>
        <w:rPr>
          <w:rFonts w:ascii="宋体" w:hAnsi="宋体"/>
          <w:sz w:val="24"/>
          <w:szCs w:val="24"/>
        </w:rPr>
        <w:t>文件载明的项目管理或</w:t>
      </w:r>
      <w:r>
        <w:rPr>
          <w:rFonts w:hint="eastAsia" w:ascii="宋体" w:hAnsi="宋体"/>
          <w:sz w:val="24"/>
          <w:szCs w:val="24"/>
        </w:rPr>
        <w:t>联系人员为</w:t>
      </w:r>
      <w:r>
        <w:rPr>
          <w:rFonts w:ascii="宋体" w:hAnsi="宋体"/>
          <w:sz w:val="24"/>
          <w:szCs w:val="24"/>
        </w:rPr>
        <w:t>同一人；</w:t>
      </w:r>
    </w:p>
    <w:p>
      <w:pPr>
        <w:ind w:firstLine="477" w:firstLineChars="199"/>
        <w:rPr>
          <w:rFonts w:ascii="宋体" w:hAnsi="宋体"/>
          <w:sz w:val="24"/>
          <w:szCs w:val="24"/>
        </w:rPr>
      </w:pPr>
      <w:r>
        <w:rPr>
          <w:rFonts w:hint="eastAsia" w:ascii="宋体" w:hAnsi="宋体"/>
          <w:sz w:val="24"/>
          <w:szCs w:val="24"/>
        </w:rPr>
        <w:t>24.4</w:t>
      </w:r>
      <w:r>
        <w:rPr>
          <w:rFonts w:ascii="宋体" w:hAnsi="宋体"/>
          <w:sz w:val="24"/>
          <w:szCs w:val="24"/>
        </w:rPr>
        <w:t>不同</w:t>
      </w:r>
      <w:r>
        <w:rPr>
          <w:rFonts w:hint="eastAsia" w:ascii="宋体" w:hAnsi="宋体"/>
          <w:sz w:val="24"/>
          <w:szCs w:val="24"/>
        </w:rPr>
        <w:t>投标人</w:t>
      </w:r>
      <w:r>
        <w:rPr>
          <w:rFonts w:ascii="宋体" w:hAnsi="宋体"/>
          <w:sz w:val="24"/>
          <w:szCs w:val="24"/>
        </w:rPr>
        <w:t>的</w:t>
      </w:r>
      <w:r>
        <w:rPr>
          <w:rFonts w:hint="eastAsia" w:ascii="宋体" w:hAnsi="宋体"/>
          <w:sz w:val="24"/>
          <w:szCs w:val="24"/>
        </w:rPr>
        <w:t>投标</w:t>
      </w:r>
      <w:r>
        <w:rPr>
          <w:rFonts w:ascii="宋体" w:hAnsi="宋体"/>
          <w:sz w:val="24"/>
          <w:szCs w:val="24"/>
        </w:rPr>
        <w:t>文件</w:t>
      </w:r>
      <w:r>
        <w:rPr>
          <w:rFonts w:hint="eastAsia" w:ascii="宋体" w:hAnsi="宋体"/>
          <w:sz w:val="24"/>
          <w:szCs w:val="24"/>
        </w:rPr>
        <w:t>异常一致</w:t>
      </w:r>
      <w:r>
        <w:rPr>
          <w:rFonts w:ascii="宋体" w:hAnsi="宋体"/>
          <w:sz w:val="24"/>
          <w:szCs w:val="24"/>
        </w:rPr>
        <w:t>或者</w:t>
      </w:r>
      <w:r>
        <w:rPr>
          <w:rFonts w:hint="eastAsia" w:ascii="宋体" w:hAnsi="宋体"/>
          <w:sz w:val="24"/>
          <w:szCs w:val="24"/>
        </w:rPr>
        <w:t>投标</w:t>
      </w:r>
      <w:r>
        <w:rPr>
          <w:rFonts w:ascii="宋体" w:hAnsi="宋体"/>
          <w:sz w:val="24"/>
          <w:szCs w:val="24"/>
        </w:rPr>
        <w:t>报价呈规律性</w:t>
      </w:r>
      <w:r>
        <w:rPr>
          <w:rFonts w:hint="eastAsia" w:ascii="宋体" w:hAnsi="宋体"/>
          <w:sz w:val="24"/>
          <w:szCs w:val="24"/>
        </w:rPr>
        <w:t>差异</w:t>
      </w:r>
      <w:r>
        <w:rPr>
          <w:rFonts w:ascii="宋体" w:hAnsi="宋体"/>
          <w:sz w:val="24"/>
          <w:szCs w:val="24"/>
        </w:rPr>
        <w:t xml:space="preserve">； </w:t>
      </w:r>
    </w:p>
    <w:p>
      <w:pPr>
        <w:ind w:firstLine="477" w:firstLineChars="199"/>
        <w:rPr>
          <w:rFonts w:ascii="宋体" w:hAnsi="宋体"/>
          <w:sz w:val="24"/>
          <w:szCs w:val="24"/>
        </w:rPr>
      </w:pPr>
      <w:r>
        <w:rPr>
          <w:rFonts w:hint="eastAsia" w:ascii="宋体" w:hAnsi="宋体"/>
          <w:sz w:val="24"/>
          <w:szCs w:val="24"/>
        </w:rPr>
        <w:t>24.5</w:t>
      </w:r>
      <w:r>
        <w:rPr>
          <w:rFonts w:ascii="宋体" w:hAnsi="宋体"/>
          <w:sz w:val="24"/>
          <w:szCs w:val="24"/>
        </w:rPr>
        <w:t>不同</w:t>
      </w:r>
      <w:r>
        <w:rPr>
          <w:rFonts w:hint="eastAsia" w:ascii="宋体" w:hAnsi="宋体"/>
          <w:sz w:val="24"/>
          <w:szCs w:val="24"/>
        </w:rPr>
        <w:t>投标人</w:t>
      </w:r>
      <w:r>
        <w:rPr>
          <w:rFonts w:ascii="宋体" w:hAnsi="宋体"/>
          <w:sz w:val="24"/>
          <w:szCs w:val="24"/>
        </w:rPr>
        <w:t>的</w:t>
      </w:r>
      <w:r>
        <w:rPr>
          <w:rFonts w:hint="eastAsia" w:ascii="宋体" w:hAnsi="宋体"/>
          <w:sz w:val="24"/>
          <w:szCs w:val="24"/>
        </w:rPr>
        <w:t>投标</w:t>
      </w:r>
      <w:r>
        <w:rPr>
          <w:rFonts w:ascii="宋体" w:hAnsi="宋体"/>
          <w:sz w:val="24"/>
          <w:szCs w:val="24"/>
        </w:rPr>
        <w:t>文件遗留其他</w:t>
      </w:r>
      <w:r>
        <w:rPr>
          <w:rFonts w:hint="eastAsia" w:ascii="宋体" w:hAnsi="宋体"/>
          <w:sz w:val="24"/>
          <w:szCs w:val="24"/>
        </w:rPr>
        <w:t>投标人</w:t>
      </w:r>
      <w:r>
        <w:rPr>
          <w:rFonts w:ascii="宋体" w:hAnsi="宋体"/>
          <w:sz w:val="24"/>
          <w:szCs w:val="24"/>
        </w:rPr>
        <w:t>不属于本</w:t>
      </w:r>
      <w:r>
        <w:rPr>
          <w:rFonts w:hint="eastAsia" w:ascii="宋体" w:hAnsi="宋体"/>
          <w:sz w:val="24"/>
          <w:szCs w:val="24"/>
        </w:rPr>
        <w:t>投标人</w:t>
      </w:r>
      <w:r>
        <w:rPr>
          <w:rFonts w:ascii="宋体" w:hAnsi="宋体"/>
          <w:sz w:val="24"/>
          <w:szCs w:val="24"/>
        </w:rPr>
        <w:t>参加政府采购必需的信息资料的；</w:t>
      </w:r>
    </w:p>
    <w:p>
      <w:pPr>
        <w:ind w:firstLine="477" w:firstLineChars="199"/>
        <w:rPr>
          <w:rFonts w:ascii="宋体" w:hAnsi="宋体"/>
          <w:sz w:val="24"/>
          <w:szCs w:val="24"/>
        </w:rPr>
      </w:pPr>
      <w:r>
        <w:rPr>
          <w:rFonts w:hint="eastAsia" w:ascii="宋体" w:hAnsi="宋体"/>
          <w:sz w:val="24"/>
          <w:szCs w:val="24"/>
        </w:rPr>
        <w:t>24.6</w:t>
      </w:r>
      <w:r>
        <w:rPr>
          <w:rFonts w:ascii="宋体" w:hAnsi="宋体"/>
          <w:sz w:val="24"/>
          <w:szCs w:val="24"/>
        </w:rPr>
        <w:t>不同</w:t>
      </w:r>
      <w:r>
        <w:rPr>
          <w:rFonts w:hint="eastAsia" w:ascii="宋体" w:hAnsi="宋体"/>
          <w:sz w:val="24"/>
          <w:szCs w:val="24"/>
        </w:rPr>
        <w:t>投标人</w:t>
      </w:r>
      <w:r>
        <w:rPr>
          <w:rFonts w:ascii="宋体" w:hAnsi="宋体"/>
          <w:sz w:val="24"/>
          <w:szCs w:val="24"/>
        </w:rPr>
        <w:t xml:space="preserve">的授权代表为同一单位的工作人员的； </w:t>
      </w:r>
      <w:r>
        <w:rPr>
          <w:rFonts w:hint="eastAsia" w:ascii="宋体" w:hAnsi="宋体"/>
          <w:sz w:val="24"/>
          <w:szCs w:val="24"/>
        </w:rPr>
        <w:t xml:space="preserve">  </w:t>
      </w:r>
    </w:p>
    <w:p>
      <w:pPr>
        <w:ind w:firstLine="477" w:firstLineChars="199"/>
        <w:rPr>
          <w:rFonts w:ascii="宋体" w:hAnsi="宋体"/>
          <w:sz w:val="24"/>
          <w:szCs w:val="24"/>
        </w:rPr>
      </w:pPr>
      <w:r>
        <w:rPr>
          <w:rFonts w:hint="eastAsia" w:ascii="宋体" w:hAnsi="宋体"/>
          <w:sz w:val="24"/>
          <w:szCs w:val="24"/>
        </w:rPr>
        <w:t>24.7</w:t>
      </w:r>
      <w:r>
        <w:rPr>
          <w:rFonts w:ascii="宋体" w:hAnsi="宋体"/>
          <w:sz w:val="24"/>
          <w:szCs w:val="24"/>
        </w:rPr>
        <w:t xml:space="preserve"> </w:t>
      </w:r>
      <w:r>
        <w:rPr>
          <w:rFonts w:hint="eastAsia" w:ascii="宋体" w:hAnsi="宋体"/>
          <w:sz w:val="24"/>
          <w:szCs w:val="24"/>
        </w:rPr>
        <w:t>不同投标人的投标文件相互混装，或在一个投标人的投标文件内遗留有其他供应商的签名、盖章等不属于本投标人参加政府采购必需的信息资料的；</w:t>
      </w:r>
    </w:p>
    <w:p>
      <w:pPr>
        <w:ind w:firstLine="477" w:firstLineChars="199"/>
        <w:rPr>
          <w:rFonts w:ascii="宋体" w:hAnsi="宋体"/>
          <w:sz w:val="24"/>
          <w:szCs w:val="24"/>
        </w:rPr>
      </w:pPr>
      <w:r>
        <w:rPr>
          <w:rFonts w:hint="eastAsia" w:ascii="宋体" w:hAnsi="宋体"/>
          <w:sz w:val="24"/>
          <w:szCs w:val="24"/>
        </w:rPr>
        <w:t>24.8</w:t>
      </w:r>
      <w:r>
        <w:rPr>
          <w:rFonts w:ascii="宋体" w:hAnsi="宋体"/>
          <w:sz w:val="24"/>
          <w:szCs w:val="24"/>
        </w:rPr>
        <w:t>采购响应截止时间后，</w:t>
      </w:r>
      <w:r>
        <w:rPr>
          <w:rFonts w:hint="eastAsia" w:ascii="宋体" w:hAnsi="宋体"/>
          <w:sz w:val="24"/>
          <w:szCs w:val="24"/>
        </w:rPr>
        <w:t>采购人</w:t>
      </w:r>
      <w:r>
        <w:rPr>
          <w:rFonts w:ascii="宋体" w:hAnsi="宋体"/>
          <w:sz w:val="24"/>
          <w:szCs w:val="24"/>
        </w:rPr>
        <w:t>协助</w:t>
      </w:r>
      <w:r>
        <w:rPr>
          <w:rFonts w:hint="eastAsia" w:ascii="宋体" w:hAnsi="宋体"/>
          <w:sz w:val="24"/>
          <w:szCs w:val="24"/>
        </w:rPr>
        <w:t>投标人</w:t>
      </w:r>
      <w:r>
        <w:rPr>
          <w:rFonts w:ascii="宋体" w:hAnsi="宋体"/>
          <w:sz w:val="24"/>
          <w:szCs w:val="24"/>
        </w:rPr>
        <w:t>撤换或更改</w:t>
      </w:r>
      <w:r>
        <w:rPr>
          <w:rFonts w:hint="eastAsia" w:ascii="宋体" w:hAnsi="宋体"/>
          <w:sz w:val="24"/>
          <w:szCs w:val="24"/>
        </w:rPr>
        <w:t>投标</w:t>
      </w:r>
      <w:r>
        <w:rPr>
          <w:rFonts w:ascii="宋体" w:hAnsi="宋体"/>
          <w:sz w:val="24"/>
          <w:szCs w:val="24"/>
        </w:rPr>
        <w:t>文件的；</w:t>
      </w:r>
    </w:p>
    <w:p>
      <w:pPr>
        <w:ind w:firstLine="477" w:firstLineChars="199"/>
        <w:rPr>
          <w:rFonts w:ascii="宋体" w:hAnsi="宋体"/>
          <w:sz w:val="24"/>
          <w:szCs w:val="24"/>
        </w:rPr>
      </w:pPr>
      <w:r>
        <w:rPr>
          <w:rFonts w:hint="eastAsia" w:ascii="宋体" w:hAnsi="宋体"/>
          <w:sz w:val="24"/>
          <w:szCs w:val="24"/>
        </w:rPr>
        <w:t>24.9采购人</w:t>
      </w:r>
      <w:r>
        <w:rPr>
          <w:rFonts w:ascii="宋体" w:hAnsi="宋体"/>
          <w:sz w:val="24"/>
          <w:szCs w:val="24"/>
        </w:rPr>
        <w:t>泄露有意向参加政府采购的</w:t>
      </w:r>
      <w:r>
        <w:rPr>
          <w:rFonts w:hint="eastAsia" w:ascii="宋体" w:hAnsi="宋体"/>
          <w:sz w:val="24"/>
          <w:szCs w:val="24"/>
        </w:rPr>
        <w:t>投标人</w:t>
      </w:r>
      <w:r>
        <w:rPr>
          <w:rFonts w:ascii="宋体" w:hAnsi="宋体"/>
          <w:sz w:val="24"/>
          <w:szCs w:val="24"/>
        </w:rPr>
        <w:t>名称、数量等应当保密的事项的；</w:t>
      </w:r>
    </w:p>
    <w:p>
      <w:pPr>
        <w:ind w:firstLine="477" w:firstLineChars="199"/>
        <w:rPr>
          <w:rFonts w:ascii="宋体" w:hAnsi="宋体"/>
          <w:sz w:val="24"/>
          <w:szCs w:val="24"/>
        </w:rPr>
      </w:pPr>
      <w:r>
        <w:rPr>
          <w:rFonts w:hint="eastAsia" w:ascii="宋体" w:hAnsi="宋体"/>
          <w:sz w:val="24"/>
          <w:szCs w:val="24"/>
        </w:rPr>
        <w:t>24.10</w:t>
      </w:r>
      <w:r>
        <w:rPr>
          <w:rFonts w:ascii="宋体" w:hAnsi="宋体"/>
          <w:sz w:val="24"/>
          <w:szCs w:val="24"/>
        </w:rPr>
        <w:t>不同</w:t>
      </w:r>
      <w:r>
        <w:rPr>
          <w:rFonts w:hint="eastAsia" w:ascii="宋体" w:hAnsi="宋体"/>
          <w:sz w:val="24"/>
          <w:szCs w:val="24"/>
        </w:rPr>
        <w:t>投标人</w:t>
      </w:r>
      <w:r>
        <w:rPr>
          <w:rFonts w:ascii="宋体" w:hAnsi="宋体"/>
          <w:sz w:val="24"/>
          <w:szCs w:val="24"/>
        </w:rPr>
        <w:t>之间私下达成书面或口头协议，指定一家</w:t>
      </w:r>
      <w:r>
        <w:rPr>
          <w:rFonts w:hint="eastAsia" w:ascii="宋体" w:hAnsi="宋体"/>
          <w:sz w:val="24"/>
          <w:szCs w:val="24"/>
        </w:rPr>
        <w:t>投标人</w:t>
      </w:r>
      <w:r>
        <w:rPr>
          <w:rFonts w:ascii="宋体" w:hAnsi="宋体"/>
          <w:sz w:val="24"/>
          <w:szCs w:val="24"/>
        </w:rPr>
        <w:t>中标或轮流中标的；</w:t>
      </w:r>
    </w:p>
    <w:p>
      <w:pPr>
        <w:ind w:firstLine="477" w:firstLineChars="199"/>
        <w:rPr>
          <w:rFonts w:ascii="宋体" w:hAnsi="宋体"/>
          <w:sz w:val="24"/>
          <w:szCs w:val="24"/>
        </w:rPr>
      </w:pPr>
      <w:r>
        <w:rPr>
          <w:rFonts w:hint="eastAsia" w:ascii="宋体" w:hAnsi="宋体"/>
          <w:sz w:val="24"/>
          <w:szCs w:val="24"/>
        </w:rPr>
        <w:t>24.11属于同一集团、协会、商会等组织成员的投标人按照该组织要求协同的投标；</w:t>
      </w:r>
    </w:p>
    <w:p>
      <w:pPr>
        <w:ind w:firstLine="477" w:firstLineChars="199"/>
        <w:rPr>
          <w:rFonts w:ascii="宋体" w:hAnsi="宋体"/>
          <w:sz w:val="24"/>
          <w:szCs w:val="24"/>
        </w:rPr>
      </w:pPr>
      <w:r>
        <w:rPr>
          <w:rFonts w:hint="eastAsia" w:ascii="宋体" w:hAnsi="宋体"/>
          <w:sz w:val="24"/>
          <w:szCs w:val="24"/>
        </w:rPr>
        <w:t>24.12投标人之间为谋取中标或者排斥特定投标人而采取的其他联合行动；</w:t>
      </w:r>
    </w:p>
    <w:p>
      <w:pPr>
        <w:ind w:firstLine="477" w:firstLineChars="199"/>
        <w:rPr>
          <w:rFonts w:ascii="宋体" w:hAnsi="宋体"/>
          <w:sz w:val="24"/>
          <w:szCs w:val="24"/>
        </w:rPr>
      </w:pPr>
      <w:r>
        <w:rPr>
          <w:rFonts w:hint="eastAsia" w:ascii="宋体" w:hAnsi="宋体"/>
          <w:sz w:val="24"/>
          <w:szCs w:val="24"/>
        </w:rPr>
        <w:t>24.13不同投标人与同一投标人联合投标的；</w:t>
      </w:r>
    </w:p>
    <w:p>
      <w:pPr>
        <w:ind w:firstLine="477" w:firstLineChars="199"/>
        <w:rPr>
          <w:rFonts w:ascii="宋体" w:hAnsi="宋体"/>
          <w:sz w:val="24"/>
          <w:szCs w:val="24"/>
        </w:rPr>
      </w:pPr>
      <w:r>
        <w:rPr>
          <w:rFonts w:hint="eastAsia" w:ascii="宋体" w:hAnsi="宋体"/>
          <w:sz w:val="24"/>
          <w:szCs w:val="24"/>
        </w:rPr>
        <w:t>24.14采购人（或采购代理机构）明示或者暗示投标人压低或者抬高投标报价；</w:t>
      </w:r>
    </w:p>
    <w:p>
      <w:pPr>
        <w:ind w:firstLine="477" w:firstLineChars="199"/>
        <w:rPr>
          <w:rFonts w:ascii="宋体" w:hAnsi="宋体"/>
          <w:sz w:val="24"/>
          <w:szCs w:val="24"/>
        </w:rPr>
      </w:pPr>
      <w:r>
        <w:rPr>
          <w:rFonts w:hint="eastAsia" w:ascii="宋体" w:hAnsi="宋体"/>
          <w:sz w:val="24"/>
          <w:szCs w:val="24"/>
        </w:rPr>
        <w:t>24.15采购人（或采购代理机构）明示或者暗示投标人为特定投标人中标提供方便；</w:t>
      </w:r>
    </w:p>
    <w:p>
      <w:pPr>
        <w:snapToGrid w:val="0"/>
        <w:ind w:firstLine="480" w:firstLineChars="200"/>
        <w:rPr>
          <w:rFonts w:ascii="宋体" w:hAnsi="宋体"/>
          <w:sz w:val="24"/>
          <w:szCs w:val="24"/>
        </w:rPr>
      </w:pPr>
      <w:r>
        <w:rPr>
          <w:rFonts w:hint="eastAsia" w:ascii="宋体" w:hAnsi="宋体"/>
          <w:sz w:val="24"/>
          <w:szCs w:val="24"/>
        </w:rPr>
        <w:t>24.16采购人（或采购代理机构）与投标人为谋求特定投标人中标而采取的其他串通行为；</w:t>
      </w:r>
    </w:p>
    <w:p>
      <w:pPr>
        <w:snapToGrid w:val="0"/>
        <w:ind w:firstLine="480" w:firstLineChars="200"/>
        <w:rPr>
          <w:rFonts w:ascii="宋体" w:hAnsi="宋体"/>
          <w:b/>
          <w:sz w:val="24"/>
          <w:szCs w:val="24"/>
        </w:rPr>
      </w:pPr>
      <w:r>
        <w:rPr>
          <w:rFonts w:hint="eastAsia" w:ascii="宋体" w:hAnsi="宋体"/>
          <w:sz w:val="24"/>
          <w:szCs w:val="24"/>
        </w:rPr>
        <w:t>24.17</w:t>
      </w:r>
      <w:r>
        <w:rPr>
          <w:rFonts w:ascii="宋体" w:hAnsi="宋体"/>
          <w:sz w:val="24"/>
          <w:szCs w:val="24"/>
        </w:rPr>
        <w:t>法律、法规或规章规定的其他串通行为。</w:t>
      </w:r>
    </w:p>
    <w:p>
      <w:pPr>
        <w:spacing w:line="360" w:lineRule="exact"/>
        <w:ind w:firstLine="482" w:firstLineChars="200"/>
        <w:rPr>
          <w:rFonts w:ascii="宋体" w:hAnsi="宋体"/>
          <w:b/>
          <w:bCs/>
          <w:color w:val="auto"/>
          <w:sz w:val="24"/>
        </w:rPr>
      </w:pPr>
      <w:r>
        <w:rPr>
          <w:rFonts w:hint="eastAsia" w:ascii="宋体" w:hAnsi="宋体"/>
          <w:b/>
          <w:bCs/>
          <w:color w:val="auto"/>
          <w:sz w:val="24"/>
        </w:rPr>
        <w:t>25.投标文件的澄清</w:t>
      </w:r>
    </w:p>
    <w:p>
      <w:pPr>
        <w:spacing w:line="360" w:lineRule="exact"/>
        <w:ind w:firstLine="480" w:firstLineChars="200"/>
        <w:rPr>
          <w:rFonts w:ascii="宋体" w:hAnsi="宋体"/>
          <w:color w:val="auto"/>
          <w:sz w:val="24"/>
        </w:rPr>
      </w:pPr>
      <w:r>
        <w:rPr>
          <w:rFonts w:hint="eastAsia" w:ascii="宋体" w:hAnsi="宋体"/>
          <w:color w:val="auto"/>
          <w:sz w:val="24"/>
        </w:rPr>
        <w:t>对投标文件中含义不明确、同类问题表述不一致或者有明显文字错误的内容，评标委员会可以在“政采云”平台在线询标或其他有效形式要求投标人对同一份投标文件含义不明确或同类问题表述不一致的内容（招标文件其它地方有规定处理方法的除外）作必要的澄清或说明，投标人应采用在线回复或其他有效形式在询标规定时间内进行澄清或说明（需盖电子签章或实体公章），但不得超出投标文件的范围或改变投标文件的实质性内容。凡属于评标小组在评标中发现的计算错误并进行核实的修改不在此列。投标人的澄清文件是其投标文件的组成部分。</w:t>
      </w:r>
    </w:p>
    <w:p>
      <w:pPr>
        <w:spacing w:line="360" w:lineRule="exact"/>
        <w:ind w:firstLine="482" w:firstLineChars="200"/>
        <w:rPr>
          <w:rFonts w:ascii="宋体" w:hAnsi="宋体"/>
          <w:b/>
          <w:bCs/>
          <w:sz w:val="24"/>
        </w:rPr>
      </w:pPr>
      <w:r>
        <w:rPr>
          <w:rFonts w:hint="eastAsia" w:ascii="宋体" w:hAnsi="宋体"/>
          <w:b/>
          <w:bCs/>
          <w:sz w:val="24"/>
        </w:rPr>
        <w:t>26.</w:t>
      </w:r>
      <w:r>
        <w:rPr>
          <w:rFonts w:ascii="宋体" w:hAnsi="宋体"/>
          <w:b/>
          <w:bCs/>
          <w:sz w:val="24"/>
        </w:rPr>
        <w:t>错误修正</w:t>
      </w:r>
    </w:p>
    <w:p>
      <w:pPr>
        <w:pStyle w:val="16"/>
        <w:ind w:firstLine="480" w:firstLineChars="200"/>
        <w:rPr>
          <w:rFonts w:ascii="宋体" w:hAnsi="宋体"/>
          <w:sz w:val="24"/>
        </w:rPr>
      </w:pPr>
      <w:r>
        <w:rPr>
          <w:rFonts w:hint="eastAsia" w:ascii="宋体" w:hAnsi="宋体"/>
          <w:sz w:val="24"/>
        </w:rPr>
        <w:t>投标文件报价出现前后不一致的，按照下列规定修正：</w:t>
      </w:r>
    </w:p>
    <w:p>
      <w:pPr>
        <w:pStyle w:val="16"/>
        <w:ind w:firstLine="480" w:firstLineChars="200"/>
        <w:rPr>
          <w:rFonts w:ascii="宋体" w:hAnsi="宋体"/>
          <w:sz w:val="24"/>
        </w:rPr>
      </w:pPr>
      <w:r>
        <w:rPr>
          <w:rFonts w:hint="eastAsia" w:ascii="宋体" w:hAnsi="宋体"/>
          <w:sz w:val="24"/>
        </w:rPr>
        <w:t>26.1投标文件中开标一览表（报价表）内容与投标文件中相应内容不一致的，以开标一览表（报价表）为准。</w:t>
      </w:r>
    </w:p>
    <w:p>
      <w:pPr>
        <w:pStyle w:val="16"/>
        <w:ind w:firstLine="480" w:firstLineChars="200"/>
        <w:rPr>
          <w:rFonts w:ascii="宋体" w:hAnsi="宋体"/>
          <w:sz w:val="24"/>
        </w:rPr>
      </w:pPr>
      <w:r>
        <w:rPr>
          <w:rFonts w:hint="eastAsia" w:ascii="宋体" w:hAnsi="宋体"/>
          <w:sz w:val="24"/>
        </w:rPr>
        <w:t>26.2大写金额和小写金额不一致的，以大写金额为准。</w:t>
      </w:r>
    </w:p>
    <w:p>
      <w:pPr>
        <w:pStyle w:val="16"/>
        <w:ind w:firstLine="480" w:firstLineChars="200"/>
        <w:rPr>
          <w:rFonts w:ascii="宋体" w:hAnsi="宋体"/>
          <w:sz w:val="24"/>
        </w:rPr>
      </w:pPr>
      <w:r>
        <w:rPr>
          <w:rFonts w:hint="eastAsia" w:ascii="宋体" w:hAnsi="宋体"/>
          <w:sz w:val="24"/>
        </w:rPr>
        <w:t>26.3单价金额小数点或者百分比有明显错位的，以开标一览表的总价为准，并修改单价。</w:t>
      </w:r>
    </w:p>
    <w:p>
      <w:pPr>
        <w:pStyle w:val="16"/>
        <w:ind w:firstLine="480" w:firstLineChars="200"/>
        <w:rPr>
          <w:rFonts w:ascii="宋体" w:hAnsi="宋体"/>
          <w:sz w:val="24"/>
        </w:rPr>
      </w:pPr>
      <w:r>
        <w:rPr>
          <w:rFonts w:hint="eastAsia" w:ascii="宋体" w:hAnsi="宋体"/>
          <w:sz w:val="24"/>
        </w:rPr>
        <w:t>26.4总价金额与按单价汇总金额不一致的，以单价金额计算结果为准。</w:t>
      </w:r>
    </w:p>
    <w:p>
      <w:pPr>
        <w:pStyle w:val="16"/>
        <w:ind w:firstLine="480" w:firstLineChars="200"/>
        <w:rPr>
          <w:rFonts w:ascii="宋体" w:hAnsi="宋体"/>
          <w:sz w:val="24"/>
        </w:rPr>
      </w:pPr>
      <w:r>
        <w:rPr>
          <w:rFonts w:hint="eastAsia" w:ascii="宋体" w:hAnsi="宋体"/>
          <w:sz w:val="24"/>
        </w:rPr>
        <w:t>同时出现两种以上不一致的，按照上述规定的顺序修正。</w:t>
      </w:r>
    </w:p>
    <w:p>
      <w:pPr>
        <w:pStyle w:val="16"/>
        <w:ind w:firstLine="480" w:firstLineChars="200"/>
        <w:rPr>
          <w:rFonts w:ascii="宋体" w:hAnsi="宋体"/>
          <w:sz w:val="24"/>
        </w:rPr>
      </w:pPr>
      <w:r>
        <w:rPr>
          <w:rFonts w:ascii="宋体" w:hAnsi="宋体"/>
          <w:sz w:val="24"/>
        </w:rPr>
        <w:t>按上述修正错误的原则及方法调整或修正投标文件的投标报价，投标人同意</w:t>
      </w:r>
      <w:r>
        <w:rPr>
          <w:rFonts w:hint="eastAsia" w:ascii="宋体" w:hAnsi="宋体"/>
          <w:sz w:val="24"/>
        </w:rPr>
        <w:t>并加盖公章确认</w:t>
      </w:r>
      <w:r>
        <w:rPr>
          <w:rFonts w:ascii="宋体" w:hAnsi="宋体"/>
          <w:sz w:val="24"/>
        </w:rPr>
        <w:t>，调整后的投标报价对投标人具有约束作用。如果投标人不接受修正后的报价，则其投标将</w:t>
      </w:r>
      <w:r>
        <w:rPr>
          <w:rFonts w:hint="eastAsia" w:ascii="宋体" w:hAnsi="宋体"/>
          <w:sz w:val="24"/>
        </w:rPr>
        <w:t>作为无效投标处理</w:t>
      </w:r>
      <w:r>
        <w:rPr>
          <w:rFonts w:ascii="宋体" w:hAnsi="宋体"/>
          <w:sz w:val="24"/>
        </w:rPr>
        <w:t>。</w:t>
      </w:r>
    </w:p>
    <w:p>
      <w:pPr>
        <w:spacing w:line="360" w:lineRule="exact"/>
        <w:ind w:firstLine="482" w:firstLineChars="200"/>
        <w:rPr>
          <w:rFonts w:ascii="宋体" w:hAnsi="宋体"/>
          <w:b/>
          <w:bCs/>
          <w:sz w:val="24"/>
        </w:rPr>
      </w:pPr>
      <w:r>
        <w:rPr>
          <w:rFonts w:hint="eastAsia" w:ascii="宋体" w:hAnsi="宋体"/>
          <w:b/>
          <w:bCs/>
          <w:sz w:val="24"/>
        </w:rPr>
        <w:t>27.评标办法。</w:t>
      </w:r>
    </w:p>
    <w:p>
      <w:pPr>
        <w:ind w:firstLine="480" w:firstLineChars="200"/>
        <w:rPr>
          <w:rFonts w:ascii="宋体" w:hAnsi="宋体"/>
          <w:sz w:val="24"/>
        </w:rPr>
      </w:pPr>
      <w:r>
        <w:rPr>
          <w:rFonts w:hint="eastAsia" w:ascii="宋体" w:hAnsi="宋体"/>
          <w:sz w:val="24"/>
        </w:rPr>
        <w:t>本项目评标办法是最低评标价法，即在符合采购文件要求的前提下，择定评标价格最低者为第一中标候选人，即中标供应商。</w:t>
      </w:r>
    </w:p>
    <w:p>
      <w:pPr>
        <w:spacing w:line="360" w:lineRule="exact"/>
        <w:ind w:firstLine="482" w:firstLineChars="200"/>
        <w:rPr>
          <w:rFonts w:ascii="宋体" w:hAnsi="宋体"/>
          <w:b/>
          <w:bCs/>
          <w:sz w:val="24"/>
        </w:rPr>
      </w:pPr>
      <w:r>
        <w:rPr>
          <w:rFonts w:hint="eastAsia" w:ascii="宋体" w:hAnsi="宋体"/>
          <w:b/>
          <w:bCs/>
          <w:sz w:val="24"/>
        </w:rPr>
        <w:t>28.评标过程的保密</w:t>
      </w:r>
    </w:p>
    <w:p>
      <w:pPr>
        <w:pStyle w:val="16"/>
        <w:ind w:firstLine="480" w:firstLineChars="200"/>
        <w:rPr>
          <w:rFonts w:ascii="宋体" w:hAnsi="宋体"/>
          <w:sz w:val="24"/>
        </w:rPr>
      </w:pPr>
      <w:r>
        <w:rPr>
          <w:rFonts w:hint="eastAsia" w:ascii="宋体" w:hAnsi="宋体"/>
          <w:sz w:val="24"/>
        </w:rPr>
        <w:t>28.1开标后，直到宣布授予中标人合同为止，凡属于审查、澄清、评价和比较投标文件的有关资料和授予合同的信息，采购人、评标委员会成员都不应向投标人或与该过程无关的其他人员泄露。</w:t>
      </w:r>
    </w:p>
    <w:p>
      <w:pPr>
        <w:pStyle w:val="16"/>
        <w:ind w:firstLine="480" w:firstLineChars="200"/>
        <w:rPr>
          <w:rFonts w:ascii="宋体" w:hAnsi="宋体"/>
          <w:sz w:val="24"/>
        </w:rPr>
      </w:pPr>
      <w:r>
        <w:rPr>
          <w:rFonts w:hint="eastAsia" w:ascii="宋体" w:hAnsi="宋体"/>
          <w:sz w:val="24"/>
        </w:rPr>
        <w:t>28.2任何单位和个人都不得干扰、影响评标活动的正常进行。投标人在评标过程中所进行的试图影响评标结果的一切不符合法律或招标规定的活动，都可能导致其被取消投标资格，并由其承担相应的法律责任。</w:t>
      </w:r>
    </w:p>
    <w:p>
      <w:pPr>
        <w:pStyle w:val="16"/>
        <w:ind w:firstLine="480" w:firstLineChars="200"/>
        <w:rPr>
          <w:rFonts w:ascii="宋体" w:hAnsi="宋体"/>
          <w:sz w:val="24"/>
        </w:rPr>
      </w:pPr>
      <w:r>
        <w:rPr>
          <w:rFonts w:hint="eastAsia" w:ascii="宋体" w:hAnsi="宋体"/>
          <w:sz w:val="24"/>
        </w:rPr>
        <w:t>28.3中标人确定后，采购人不对未中标人就评标过程以及未能中标原因作出任何解释。未中标人不得向评标委员会或其他有关人员索问评标过程的情况和材料。</w:t>
      </w:r>
    </w:p>
    <w:p>
      <w:pPr>
        <w:jc w:val="center"/>
        <w:rPr>
          <w:b/>
          <w:sz w:val="28"/>
        </w:rPr>
      </w:pPr>
      <w:bookmarkStart w:id="33" w:name="_Toc125344509"/>
      <w:r>
        <w:rPr>
          <w:rFonts w:hint="eastAsia"/>
          <w:b/>
          <w:sz w:val="28"/>
        </w:rPr>
        <w:t>六、</w:t>
      </w:r>
      <w:bookmarkEnd w:id="33"/>
      <w:r>
        <w:rPr>
          <w:rFonts w:hint="eastAsia"/>
          <w:b/>
          <w:sz w:val="28"/>
        </w:rPr>
        <w:t>定标</w:t>
      </w:r>
    </w:p>
    <w:p>
      <w:pPr>
        <w:spacing w:line="360" w:lineRule="exact"/>
        <w:ind w:firstLine="482" w:firstLineChars="200"/>
        <w:rPr>
          <w:rFonts w:ascii="宋体" w:hAnsi="宋体"/>
          <w:b/>
          <w:bCs/>
          <w:sz w:val="24"/>
        </w:rPr>
      </w:pPr>
      <w:r>
        <w:rPr>
          <w:rFonts w:hint="eastAsia" w:ascii="宋体" w:hAnsi="宋体"/>
          <w:b/>
          <w:bCs/>
          <w:sz w:val="24"/>
        </w:rPr>
        <w:t>29.确定中标人。本项目由采购人确定中标人。</w:t>
      </w:r>
    </w:p>
    <w:p>
      <w:pPr>
        <w:ind w:firstLine="480" w:firstLineChars="200"/>
        <w:rPr>
          <w:rFonts w:ascii="宋体" w:hAnsi="宋体"/>
          <w:sz w:val="24"/>
        </w:rPr>
      </w:pPr>
      <w:r>
        <w:rPr>
          <w:rFonts w:hint="eastAsia" w:ascii="宋体" w:hAnsi="宋体"/>
          <w:color w:val="auto"/>
          <w:sz w:val="24"/>
        </w:rPr>
        <w:t>29.1采购人应当自收到评标报告之日起5个工作日内，在评标报告确定的中标候选人名单中按顺序确定中标人。采购人在收到评标报告5个工作日内未按评标报告推荐的中标候选人顺序确定中标人，又不能说明合法理由的，视同按评标报告推荐的顺序确定</w:t>
      </w:r>
      <w:r>
        <w:rPr>
          <w:rFonts w:hint="eastAsia" w:ascii="宋体" w:hAnsi="宋体"/>
          <w:sz w:val="24"/>
        </w:rPr>
        <w:t>排名第一的中标候选人为中标人。</w:t>
      </w:r>
    </w:p>
    <w:p>
      <w:pPr>
        <w:ind w:firstLine="480" w:firstLineChars="200"/>
        <w:rPr>
          <w:rFonts w:ascii="宋体" w:hAnsi="宋体"/>
          <w:sz w:val="24"/>
        </w:rPr>
      </w:pPr>
      <w:r>
        <w:rPr>
          <w:rFonts w:hint="eastAsia" w:ascii="宋体" w:hAnsi="宋体"/>
          <w:sz w:val="24"/>
        </w:rPr>
        <w:t>29.2第一名中标候选人无正当理由放弃中标成交或被取消中标资格的，将上报诸暨市财政局，诸暨市财政局将按《中华人民共和国政府采购法》、《诸暨市招投标市场不良行为记录暂行规定》等有关法律、法规、制度进行处理。</w:t>
      </w:r>
      <w:r>
        <w:rPr>
          <w:rFonts w:hint="eastAsia" w:ascii="宋体" w:hAnsi="宋体"/>
          <w:b/>
          <w:sz w:val="24"/>
        </w:rPr>
        <w:t>此标的将另行组织采购</w:t>
      </w:r>
      <w:r>
        <w:rPr>
          <w:rFonts w:hint="eastAsia" w:ascii="宋体" w:hAnsi="宋体"/>
          <w:sz w:val="24"/>
        </w:rPr>
        <w:t>。</w:t>
      </w:r>
    </w:p>
    <w:p>
      <w:pPr>
        <w:spacing w:line="360" w:lineRule="exact"/>
        <w:ind w:firstLine="482" w:firstLineChars="200"/>
        <w:rPr>
          <w:rFonts w:ascii="宋体" w:hAnsi="宋体"/>
          <w:b/>
          <w:bCs/>
          <w:sz w:val="24"/>
        </w:rPr>
      </w:pPr>
      <w:r>
        <w:rPr>
          <w:rFonts w:hint="eastAsia" w:ascii="宋体" w:hAnsi="宋体"/>
          <w:b/>
          <w:bCs/>
          <w:sz w:val="24"/>
        </w:rPr>
        <w:t>30.中标通知与中标结果公告</w:t>
      </w:r>
    </w:p>
    <w:p>
      <w:pPr>
        <w:ind w:firstLine="480" w:firstLineChars="200"/>
        <w:rPr>
          <w:rFonts w:ascii="宋体" w:hAnsi="宋体"/>
          <w:sz w:val="24"/>
        </w:rPr>
      </w:pPr>
      <w:r>
        <w:rPr>
          <w:rFonts w:hint="eastAsia" w:ascii="宋体" w:hAnsi="宋体"/>
          <w:sz w:val="24"/>
        </w:rPr>
        <w:t>30.1采购结果经采购人确认后，采购代理机构将于2个工作日内在浙江省政府采购网上发布中标公告，由采购代理机构通过“政采云”平台确认并签发《中标通知书》。</w:t>
      </w:r>
      <w:r>
        <w:rPr>
          <w:rFonts w:ascii="宋体" w:hAnsi="宋体"/>
          <w:sz w:val="24"/>
        </w:rPr>
        <w:t>《中标通知书》一经发出即发生法律效力</w:t>
      </w:r>
      <w:r>
        <w:rPr>
          <w:rFonts w:hint="eastAsia" w:ascii="宋体" w:hAnsi="宋体"/>
          <w:sz w:val="24"/>
        </w:rPr>
        <w:t>。</w:t>
      </w:r>
    </w:p>
    <w:p>
      <w:pPr>
        <w:ind w:firstLine="480" w:firstLineChars="200"/>
        <w:rPr>
          <w:rFonts w:ascii="宋体" w:hAnsi="宋体"/>
          <w:sz w:val="24"/>
        </w:rPr>
      </w:pPr>
      <w:r>
        <w:rPr>
          <w:rFonts w:hint="eastAsia" w:ascii="宋体" w:hAnsi="宋体"/>
          <w:sz w:val="24"/>
        </w:rPr>
        <w:t>30.2</w:t>
      </w:r>
      <w:r>
        <w:rPr>
          <w:rFonts w:ascii="宋体" w:hAnsi="宋体"/>
          <w:sz w:val="24"/>
        </w:rPr>
        <w:t>中标结果公告内容包括采购人及其委托的采购</w:t>
      </w:r>
      <w:r>
        <w:rPr>
          <w:rFonts w:hint="eastAsia" w:ascii="宋体" w:hAnsi="宋体"/>
          <w:sz w:val="24"/>
        </w:rPr>
        <w:t>代理机构</w:t>
      </w:r>
      <w:r>
        <w:rPr>
          <w:rFonts w:ascii="宋体" w:hAnsi="宋体"/>
          <w:sz w:val="24"/>
        </w:rPr>
        <w:t>的名称、地址、联系方式，项目名称和项目编号，中标人名称、地址和中标金额，主要中标标的的名称、规格型号、数量、单价、服务要求，中标公告期限以及评审专家名单。</w:t>
      </w:r>
    </w:p>
    <w:p>
      <w:pPr>
        <w:spacing w:line="360" w:lineRule="exact"/>
        <w:ind w:firstLine="482" w:firstLineChars="200"/>
        <w:rPr>
          <w:rFonts w:ascii="宋体" w:hAnsi="宋体"/>
          <w:b/>
          <w:bCs/>
          <w:sz w:val="24"/>
        </w:rPr>
      </w:pPr>
      <w:r>
        <w:rPr>
          <w:rFonts w:hint="eastAsia" w:ascii="宋体" w:hAnsi="宋体"/>
          <w:b/>
          <w:bCs/>
          <w:sz w:val="24"/>
        </w:rPr>
        <w:t>31. 中标无效情形</w:t>
      </w:r>
    </w:p>
    <w:p>
      <w:pPr>
        <w:pStyle w:val="16"/>
        <w:ind w:firstLine="480" w:firstLineChars="200"/>
        <w:rPr>
          <w:rFonts w:ascii="宋体" w:hAnsi="宋体"/>
          <w:sz w:val="24"/>
        </w:rPr>
      </w:pPr>
      <w:r>
        <w:rPr>
          <w:rFonts w:hint="eastAsia" w:ascii="宋体" w:hAnsi="宋体"/>
          <w:sz w:val="24"/>
        </w:rPr>
        <w:t>中标人存在下列情形之一的，中标无效：</w:t>
      </w:r>
    </w:p>
    <w:p>
      <w:pPr>
        <w:pStyle w:val="16"/>
        <w:ind w:firstLine="480" w:firstLineChars="200"/>
        <w:rPr>
          <w:rFonts w:ascii="宋体" w:hAnsi="宋体"/>
          <w:sz w:val="24"/>
        </w:rPr>
      </w:pPr>
      <w:r>
        <w:rPr>
          <w:rFonts w:hint="eastAsia" w:ascii="宋体" w:hAnsi="宋体"/>
          <w:sz w:val="24"/>
        </w:rPr>
        <w:t>31.1提供虚假材料谋取中标的；</w:t>
      </w:r>
    </w:p>
    <w:p>
      <w:pPr>
        <w:pStyle w:val="16"/>
        <w:ind w:firstLine="480" w:firstLineChars="200"/>
        <w:rPr>
          <w:rFonts w:ascii="宋体" w:hAnsi="宋体"/>
          <w:sz w:val="24"/>
        </w:rPr>
      </w:pPr>
      <w:r>
        <w:rPr>
          <w:rFonts w:hint="eastAsia" w:ascii="宋体" w:hAnsi="宋体"/>
          <w:sz w:val="24"/>
        </w:rPr>
        <w:t>31.2采取不正当手段诋毁、排挤其他投标人的；</w:t>
      </w:r>
    </w:p>
    <w:p>
      <w:pPr>
        <w:pStyle w:val="16"/>
        <w:ind w:firstLine="480" w:firstLineChars="200"/>
        <w:rPr>
          <w:rFonts w:ascii="宋体" w:hAnsi="宋体"/>
          <w:sz w:val="24"/>
        </w:rPr>
      </w:pPr>
      <w:r>
        <w:rPr>
          <w:rFonts w:hint="eastAsia" w:ascii="宋体" w:hAnsi="宋体"/>
          <w:sz w:val="24"/>
        </w:rPr>
        <w:t>31.3与采购人、其他投标人恶意串通的；</w:t>
      </w:r>
    </w:p>
    <w:p>
      <w:pPr>
        <w:pStyle w:val="16"/>
        <w:ind w:firstLine="480" w:firstLineChars="200"/>
        <w:rPr>
          <w:rFonts w:ascii="宋体" w:hAnsi="宋体"/>
          <w:sz w:val="24"/>
        </w:rPr>
      </w:pPr>
      <w:r>
        <w:rPr>
          <w:rFonts w:hint="eastAsia" w:ascii="宋体" w:hAnsi="宋体"/>
          <w:sz w:val="24"/>
        </w:rPr>
        <w:t>31.4向采购人、采购代理机构行贿或者提供其他不正当利益的；</w:t>
      </w:r>
    </w:p>
    <w:p>
      <w:pPr>
        <w:pStyle w:val="16"/>
        <w:ind w:firstLine="480" w:firstLineChars="200"/>
        <w:rPr>
          <w:rFonts w:ascii="宋体" w:hAnsi="宋体"/>
          <w:sz w:val="24"/>
        </w:rPr>
      </w:pPr>
      <w:r>
        <w:rPr>
          <w:rFonts w:hint="eastAsia" w:ascii="宋体" w:hAnsi="宋体"/>
          <w:sz w:val="24"/>
        </w:rPr>
        <w:t>31.5在招标过程中与采购人进行协商谈判；不按照招标文件和投标文件订立合同或者与采购人另行背离合同实质性内容的协议的；</w:t>
      </w:r>
    </w:p>
    <w:p>
      <w:pPr>
        <w:pStyle w:val="16"/>
        <w:ind w:firstLine="480" w:firstLineChars="200"/>
        <w:rPr>
          <w:rFonts w:ascii="宋体" w:hAnsi="宋体"/>
          <w:sz w:val="24"/>
        </w:rPr>
      </w:pPr>
      <w:r>
        <w:rPr>
          <w:rFonts w:hint="eastAsia" w:ascii="宋体" w:hAnsi="宋体"/>
          <w:sz w:val="24"/>
        </w:rPr>
        <w:t>31.6拖延、拒签合同的；</w:t>
      </w:r>
    </w:p>
    <w:p>
      <w:pPr>
        <w:ind w:firstLine="480" w:firstLineChars="200"/>
        <w:rPr>
          <w:rFonts w:ascii="宋体" w:hAnsi="宋体"/>
          <w:sz w:val="24"/>
          <w:szCs w:val="24"/>
        </w:rPr>
      </w:pPr>
      <w:r>
        <w:rPr>
          <w:rFonts w:hint="eastAsia" w:ascii="宋体" w:hAnsi="宋体"/>
          <w:sz w:val="24"/>
        </w:rPr>
        <w:t>31.7存在法律、法规规定的其它损害采购人或采购单位利益或社会公共利益的情形的</w:t>
      </w:r>
      <w:r>
        <w:rPr>
          <w:rFonts w:hint="eastAsia" w:ascii="宋体" w:hAnsi="宋体"/>
          <w:sz w:val="24"/>
          <w:szCs w:val="24"/>
        </w:rPr>
        <w:t>。</w:t>
      </w:r>
    </w:p>
    <w:p>
      <w:pPr>
        <w:spacing w:line="360" w:lineRule="exact"/>
        <w:ind w:firstLine="482" w:firstLineChars="200"/>
        <w:rPr>
          <w:rFonts w:ascii="宋体" w:hAnsi="宋体"/>
          <w:b/>
          <w:bCs/>
          <w:sz w:val="24"/>
        </w:rPr>
      </w:pPr>
      <w:r>
        <w:rPr>
          <w:rFonts w:hint="eastAsia" w:ascii="宋体" w:hAnsi="宋体"/>
          <w:b/>
          <w:bCs/>
          <w:sz w:val="24"/>
        </w:rPr>
        <w:t>32.重新招标</w:t>
      </w:r>
    </w:p>
    <w:p>
      <w:pPr>
        <w:snapToGrid w:val="0"/>
        <w:ind w:firstLine="470" w:firstLineChars="196"/>
        <w:rPr>
          <w:rFonts w:ascii="宋体" w:hAnsi="宋体"/>
          <w:b/>
          <w:bCs/>
          <w:sz w:val="24"/>
        </w:rPr>
      </w:pPr>
      <w:r>
        <w:rPr>
          <w:rFonts w:hint="eastAsia" w:ascii="宋体" w:hAnsi="宋体"/>
          <w:sz w:val="24"/>
        </w:rPr>
        <w:t>投标截止时及评审期间，出现有效供应商不足3家的，本项目招标失败，重新组织采购</w:t>
      </w:r>
      <w:r>
        <w:rPr>
          <w:rFonts w:ascii="宋体" w:hAnsi="宋体"/>
          <w:sz w:val="24"/>
        </w:rPr>
        <w:t>。</w:t>
      </w:r>
    </w:p>
    <w:p>
      <w:pPr>
        <w:jc w:val="center"/>
        <w:rPr>
          <w:b/>
          <w:sz w:val="28"/>
        </w:rPr>
      </w:pPr>
      <w:r>
        <w:rPr>
          <w:rFonts w:hint="eastAsia"/>
          <w:b/>
          <w:sz w:val="28"/>
        </w:rPr>
        <w:t>七、授予合同</w:t>
      </w:r>
    </w:p>
    <w:p>
      <w:pPr>
        <w:spacing w:line="360" w:lineRule="exact"/>
        <w:ind w:firstLine="482" w:firstLineChars="200"/>
        <w:rPr>
          <w:rFonts w:ascii="宋体" w:hAnsi="宋体"/>
          <w:b/>
          <w:bCs/>
          <w:sz w:val="24"/>
        </w:rPr>
      </w:pPr>
      <w:r>
        <w:rPr>
          <w:rFonts w:hint="eastAsia" w:ascii="宋体" w:hAnsi="宋体"/>
          <w:b/>
          <w:bCs/>
          <w:sz w:val="24"/>
        </w:rPr>
        <w:t>33.签订合同</w:t>
      </w:r>
    </w:p>
    <w:p>
      <w:pPr>
        <w:ind w:firstLine="480" w:firstLineChars="200"/>
        <w:rPr>
          <w:rFonts w:ascii="宋体" w:hAnsi="宋体"/>
          <w:sz w:val="24"/>
        </w:rPr>
      </w:pPr>
      <w:r>
        <w:rPr>
          <w:rFonts w:hint="eastAsia" w:ascii="宋体" w:hAnsi="宋体"/>
          <w:sz w:val="24"/>
        </w:rPr>
        <w:t>33.1采购人与中标人应当在《中标通知书》发出之日起30日内签订政府采购合同。</w:t>
      </w:r>
    </w:p>
    <w:p>
      <w:pPr>
        <w:ind w:firstLine="480" w:firstLineChars="200"/>
        <w:rPr>
          <w:rFonts w:ascii="宋体" w:hAnsi="宋体"/>
          <w:sz w:val="24"/>
        </w:rPr>
      </w:pPr>
      <w:r>
        <w:rPr>
          <w:rFonts w:hint="eastAsia" w:ascii="宋体" w:hAnsi="宋体"/>
          <w:sz w:val="24"/>
        </w:rPr>
        <w:t>33.2招标文件、中标人的投标文件和评标过程中投标人的询标时作出的承诺及其澄清文件等作为合同签订的依据和主要附件。</w:t>
      </w:r>
    </w:p>
    <w:p>
      <w:pPr>
        <w:ind w:firstLine="482" w:firstLineChars="200"/>
        <w:rPr>
          <w:rFonts w:ascii="宋体" w:hAnsi="宋体"/>
          <w:b/>
          <w:sz w:val="24"/>
        </w:rPr>
      </w:pPr>
      <w:r>
        <w:rPr>
          <w:rFonts w:hint="eastAsia" w:ascii="宋体" w:hAnsi="宋体"/>
          <w:b/>
          <w:sz w:val="24"/>
        </w:rPr>
        <w:t>33.3采购人对合同内容负责。合同金额200万元及以上的必须由法律顾问根据《政府采购法》、《合同法》对合同条款进行审查，出具法律意见书后方可签订合同。对于合同金额200万元以下的项目，采购单位自行组织审查合同条款。</w:t>
      </w:r>
    </w:p>
    <w:p>
      <w:pPr>
        <w:ind w:firstLine="480" w:firstLineChars="200"/>
        <w:rPr>
          <w:rFonts w:ascii="宋体" w:hAnsi="宋体"/>
          <w:sz w:val="24"/>
        </w:rPr>
      </w:pPr>
      <w:r>
        <w:rPr>
          <w:rFonts w:hint="eastAsia" w:ascii="宋体" w:hAnsi="宋体"/>
          <w:sz w:val="24"/>
        </w:rPr>
        <w:t>33.4合同一式二份，采购单位和中标人各执一份。</w:t>
      </w:r>
    </w:p>
    <w:p>
      <w:pPr>
        <w:ind w:firstLine="480" w:firstLineChars="200"/>
        <w:rPr>
          <w:rFonts w:ascii="宋体" w:hAnsi="宋体"/>
          <w:sz w:val="24"/>
        </w:rPr>
      </w:pPr>
      <w:r>
        <w:rPr>
          <w:rFonts w:hint="eastAsia" w:ascii="宋体" w:hAnsi="宋体"/>
          <w:sz w:val="24"/>
        </w:rPr>
        <w:t>33.5中标人和采购单位不得擅自变更、中止或者终止合同，不得另外订立背离合同实质性内容的其它协议。</w:t>
      </w:r>
    </w:p>
    <w:p>
      <w:pPr>
        <w:spacing w:line="360" w:lineRule="exact"/>
        <w:ind w:firstLine="482" w:firstLineChars="200"/>
        <w:rPr>
          <w:rFonts w:ascii="宋体" w:hAnsi="宋体"/>
          <w:b/>
          <w:bCs/>
          <w:sz w:val="24"/>
        </w:rPr>
      </w:pPr>
      <w:r>
        <w:rPr>
          <w:rFonts w:hint="eastAsia" w:ascii="宋体" w:hAnsi="宋体"/>
          <w:b/>
          <w:bCs/>
          <w:sz w:val="24"/>
        </w:rPr>
        <w:t>34.</w:t>
      </w:r>
      <w:r>
        <w:rPr>
          <w:rFonts w:ascii="宋体" w:hAnsi="宋体"/>
          <w:b/>
          <w:bCs/>
          <w:sz w:val="24"/>
        </w:rPr>
        <w:t>履约保证金</w:t>
      </w:r>
    </w:p>
    <w:p>
      <w:pPr>
        <w:ind w:firstLine="480" w:firstLineChars="200"/>
        <w:rPr>
          <w:rFonts w:ascii="宋体" w:hAnsi="宋体"/>
          <w:sz w:val="24"/>
        </w:rPr>
      </w:pPr>
      <w:r>
        <w:rPr>
          <w:rFonts w:hint="eastAsia" w:ascii="宋体" w:hAnsi="宋体"/>
          <w:sz w:val="24"/>
        </w:rPr>
        <w:t>34.1</w:t>
      </w:r>
      <w:r>
        <w:rPr>
          <w:rFonts w:ascii="宋体" w:hAnsi="宋体"/>
          <w:sz w:val="24"/>
        </w:rPr>
        <w:t>中标人在签订</w:t>
      </w:r>
      <w:r>
        <w:rPr>
          <w:rFonts w:hint="eastAsia" w:ascii="宋体" w:hAnsi="宋体"/>
          <w:sz w:val="24"/>
        </w:rPr>
        <w:t>采购</w:t>
      </w:r>
      <w:r>
        <w:rPr>
          <w:rFonts w:ascii="宋体" w:hAnsi="宋体"/>
          <w:sz w:val="24"/>
        </w:rPr>
        <w:t>合同前，</w:t>
      </w:r>
      <w:r>
        <w:rPr>
          <w:rFonts w:hint="eastAsia" w:ascii="宋体" w:hAnsi="宋体"/>
          <w:sz w:val="24"/>
        </w:rPr>
        <w:t>应按招标文件要求向采购人</w:t>
      </w:r>
      <w:r>
        <w:rPr>
          <w:rFonts w:ascii="宋体" w:hAnsi="宋体"/>
          <w:sz w:val="24"/>
        </w:rPr>
        <w:t>提交履约保证金</w:t>
      </w:r>
      <w:r>
        <w:rPr>
          <w:rFonts w:hint="eastAsia" w:ascii="宋体" w:hAnsi="宋体"/>
          <w:sz w:val="24"/>
        </w:rPr>
        <w:t>，</w:t>
      </w:r>
      <w:r>
        <w:rPr>
          <w:rFonts w:ascii="宋体" w:hAnsi="宋体"/>
          <w:sz w:val="24"/>
        </w:rPr>
        <w:t>履约保证金</w:t>
      </w:r>
      <w:r>
        <w:rPr>
          <w:rFonts w:hint="eastAsia" w:ascii="宋体" w:hAnsi="宋体"/>
          <w:sz w:val="24"/>
        </w:rPr>
        <w:t>作为中标人在履行合同合服务承诺的保证。</w:t>
      </w:r>
    </w:p>
    <w:p>
      <w:pPr>
        <w:ind w:firstLine="480" w:firstLineChars="200"/>
        <w:rPr>
          <w:rFonts w:ascii="宋体" w:hAnsi="宋体"/>
          <w:sz w:val="24"/>
        </w:rPr>
      </w:pPr>
      <w:r>
        <w:rPr>
          <w:rFonts w:hint="eastAsia" w:ascii="宋体" w:hAnsi="宋体"/>
          <w:sz w:val="24"/>
        </w:rPr>
        <w:t>34.2中标人应当以支票、汇票、本票等非现金形式提交。中标人在履行完合同约定事项后，采购人应及时退还履约保证金。履约保证金不计息。</w:t>
      </w:r>
    </w:p>
    <w:p>
      <w:pPr>
        <w:ind w:firstLine="480" w:firstLineChars="200"/>
        <w:rPr>
          <w:rFonts w:ascii="宋体" w:hAnsi="宋体"/>
          <w:sz w:val="24"/>
        </w:rPr>
      </w:pPr>
      <w:r>
        <w:rPr>
          <w:rFonts w:hint="eastAsia" w:ascii="宋体" w:hAnsi="宋体"/>
          <w:sz w:val="24"/>
        </w:rPr>
        <w:t>34.3签订合同后，如中标人不按双方合同约定履约，则没收其全部履约保证金，履约保证金不足以赔偿损失的，按实际损失赔偿。</w:t>
      </w:r>
    </w:p>
    <w:p>
      <w:pPr>
        <w:spacing w:line="360" w:lineRule="exact"/>
        <w:ind w:firstLine="482" w:firstLineChars="200"/>
        <w:rPr>
          <w:rFonts w:ascii="宋体" w:hAnsi="宋体"/>
          <w:b/>
          <w:bCs/>
          <w:sz w:val="24"/>
        </w:rPr>
      </w:pPr>
      <w:r>
        <w:rPr>
          <w:rFonts w:hint="eastAsia" w:ascii="宋体" w:hAnsi="宋体"/>
          <w:b/>
          <w:bCs/>
          <w:sz w:val="24"/>
        </w:rPr>
        <w:t>35.合同备案</w:t>
      </w:r>
    </w:p>
    <w:p>
      <w:pPr>
        <w:ind w:firstLine="480" w:firstLineChars="200"/>
        <w:rPr>
          <w:sz w:val="24"/>
        </w:rPr>
      </w:pPr>
      <w:r>
        <w:rPr>
          <w:rFonts w:hint="eastAsia"/>
          <w:sz w:val="24"/>
        </w:rPr>
        <w:t>采购人应当自采购合同签订之日起七个工作日内，按照有关规定通过政采云系统将采购合同进行网上备案。</w:t>
      </w:r>
    </w:p>
    <w:p>
      <w:pPr>
        <w:jc w:val="center"/>
        <w:rPr>
          <w:b/>
          <w:sz w:val="28"/>
        </w:rPr>
      </w:pPr>
      <w:bookmarkStart w:id="34" w:name="_Toc352165696"/>
      <w:bookmarkStart w:id="35" w:name="_Toc339459646"/>
      <w:bookmarkStart w:id="36" w:name="_Toc125344511"/>
      <w:r>
        <w:rPr>
          <w:rFonts w:hint="eastAsia"/>
          <w:b/>
          <w:sz w:val="28"/>
        </w:rPr>
        <w:t>八、质疑和投诉</w:t>
      </w:r>
    </w:p>
    <w:p>
      <w:pPr>
        <w:ind w:firstLine="480" w:firstLineChars="200"/>
        <w:rPr>
          <w:rFonts w:ascii="宋体" w:hAnsi="宋体"/>
          <w:sz w:val="24"/>
        </w:rPr>
      </w:pPr>
      <w:r>
        <w:rPr>
          <w:rFonts w:hint="eastAsia" w:ascii="宋体" w:hAnsi="宋体"/>
          <w:sz w:val="24"/>
        </w:rPr>
        <w:t>36.1开标过程中，投标人对开标有异议的，应当在“政采云”平台上及时提出，评审委员应对异常情况制作相关记录。</w:t>
      </w:r>
    </w:p>
    <w:p>
      <w:pPr>
        <w:ind w:firstLine="480" w:firstLineChars="200"/>
        <w:rPr>
          <w:rFonts w:ascii="宋体" w:hAnsi="宋体"/>
          <w:sz w:val="24"/>
        </w:rPr>
      </w:pPr>
      <w:r>
        <w:rPr>
          <w:rFonts w:hint="eastAsia" w:ascii="宋体" w:hAnsi="宋体"/>
          <w:sz w:val="24"/>
        </w:rPr>
        <w:t>36.2开评标结束后，投标人或者其他利害关系人对依法必须进行招标的项目的评标结果有异议的，应在采购结果公告期限结束之日（公告发布之日起至第2日24小时止）起7个工作日内依据招投标相关法律法规向采购人、招标代理机构提出质疑。采购人或招标代理机构将在收到书面质疑后7个工作日内对质疑内容作出答复。若投标人对采购人或招标代理机构的答复、处理结果不满意，应在收到采购人或招标代理机构的书面答复后十五个工作日内到招标投标管理部门投诉。</w:t>
      </w:r>
    </w:p>
    <w:p>
      <w:pPr>
        <w:ind w:firstLine="480" w:firstLineChars="200"/>
        <w:rPr>
          <w:rFonts w:ascii="宋体" w:hAnsi="宋体"/>
          <w:sz w:val="24"/>
        </w:rPr>
      </w:pPr>
      <w:r>
        <w:rPr>
          <w:rFonts w:hint="eastAsia" w:ascii="宋体" w:hAnsi="宋体"/>
          <w:sz w:val="24"/>
        </w:rPr>
        <w:t>36.3质疑投诉的相关规定</w:t>
      </w:r>
    </w:p>
    <w:p>
      <w:pPr>
        <w:ind w:firstLine="480" w:firstLineChars="200"/>
        <w:rPr>
          <w:rFonts w:ascii="宋体" w:hAnsi="宋体"/>
          <w:sz w:val="24"/>
        </w:rPr>
      </w:pPr>
      <w:r>
        <w:rPr>
          <w:rFonts w:hint="eastAsia" w:ascii="宋体" w:hAnsi="宋体"/>
          <w:sz w:val="24"/>
        </w:rPr>
        <w:t>（一）质疑投诉递交的资料需为书面材料。质疑投诉书面材料需法人代表人（或负责人）或授权代表签字并加盖公章。</w:t>
      </w:r>
    </w:p>
    <w:p>
      <w:pPr>
        <w:ind w:firstLine="480" w:firstLineChars="200"/>
        <w:rPr>
          <w:rFonts w:ascii="宋体" w:hAnsi="宋体"/>
          <w:sz w:val="24"/>
        </w:rPr>
      </w:pPr>
      <w:r>
        <w:rPr>
          <w:rFonts w:hint="eastAsia" w:ascii="宋体" w:hAnsi="宋体"/>
          <w:sz w:val="24"/>
        </w:rPr>
        <w:t>（二）质疑投诉属于以下情况之一的，将不予受理：</w:t>
      </w:r>
    </w:p>
    <w:p>
      <w:pPr>
        <w:ind w:firstLine="480" w:firstLineChars="200"/>
        <w:rPr>
          <w:rFonts w:ascii="宋体" w:hAnsi="宋体"/>
          <w:sz w:val="24"/>
        </w:rPr>
      </w:pPr>
      <w:r>
        <w:rPr>
          <w:rFonts w:hint="eastAsia" w:ascii="宋体" w:hAnsi="宋体"/>
          <w:sz w:val="24"/>
        </w:rPr>
        <w:t>(1)质疑投诉人不是所投诉项目的参与者，或者与质疑投诉项目无任何利害关系。</w:t>
      </w:r>
    </w:p>
    <w:p>
      <w:pPr>
        <w:ind w:firstLine="480" w:firstLineChars="200"/>
        <w:rPr>
          <w:rFonts w:ascii="宋体" w:hAnsi="宋体"/>
          <w:sz w:val="24"/>
        </w:rPr>
      </w:pPr>
      <w:r>
        <w:rPr>
          <w:rFonts w:hint="eastAsia" w:ascii="宋体" w:hAnsi="宋体"/>
          <w:sz w:val="24"/>
        </w:rPr>
        <w:t>(2)质疑投诉事项不具体，且未提供有效线索，难以查证。</w:t>
      </w:r>
    </w:p>
    <w:p>
      <w:pPr>
        <w:ind w:firstLine="480" w:firstLineChars="200"/>
        <w:rPr>
          <w:rFonts w:ascii="宋体" w:hAnsi="宋体"/>
          <w:sz w:val="24"/>
        </w:rPr>
      </w:pPr>
      <w:r>
        <w:rPr>
          <w:rFonts w:hint="eastAsia" w:ascii="宋体" w:hAnsi="宋体"/>
          <w:sz w:val="24"/>
        </w:rPr>
        <w:t>(3)未提供书面质疑或者质疑未加盖公章的；投诉人为法人或者其他组织，其投诉书未经法定代表人或者主要负责人签字并加盖公章的。</w:t>
      </w:r>
    </w:p>
    <w:p>
      <w:pPr>
        <w:ind w:firstLine="480" w:firstLineChars="200"/>
        <w:rPr>
          <w:rFonts w:ascii="宋体" w:hAnsi="宋体"/>
          <w:sz w:val="24"/>
        </w:rPr>
      </w:pPr>
      <w:r>
        <w:rPr>
          <w:rFonts w:hint="eastAsia" w:ascii="宋体" w:hAnsi="宋体"/>
          <w:sz w:val="24"/>
        </w:rPr>
        <w:t>(4)已超过招标文件规定质疑投诉提出期限的事项。</w:t>
      </w:r>
    </w:p>
    <w:p>
      <w:pPr>
        <w:ind w:firstLine="480" w:firstLineChars="200"/>
        <w:rPr>
          <w:rFonts w:ascii="宋体" w:hAnsi="宋体"/>
          <w:sz w:val="24"/>
        </w:rPr>
      </w:pPr>
      <w:r>
        <w:rPr>
          <w:rFonts w:hint="eastAsia" w:ascii="宋体" w:hAnsi="宋体"/>
          <w:sz w:val="24"/>
        </w:rPr>
        <w:t>(5)投诉事项已作出处理决定，并且投诉人没有提出新的证据</w:t>
      </w:r>
    </w:p>
    <w:p>
      <w:pPr>
        <w:ind w:firstLine="480" w:firstLineChars="200"/>
        <w:rPr>
          <w:rFonts w:ascii="宋体" w:hAnsi="宋体"/>
          <w:sz w:val="24"/>
        </w:rPr>
      </w:pPr>
      <w:r>
        <w:rPr>
          <w:rFonts w:hint="eastAsia" w:ascii="宋体" w:hAnsi="宋体"/>
          <w:sz w:val="24"/>
        </w:rPr>
        <w:t>(6)质疑投诉的事项已经进入行政复议或者行政诉讼程序的；投诉事项应先提出质疑而没有提出质疑的。</w:t>
      </w:r>
    </w:p>
    <w:p>
      <w:pPr>
        <w:ind w:firstLine="480" w:firstLineChars="200"/>
        <w:rPr>
          <w:rFonts w:ascii="宋体" w:hAnsi="宋体"/>
          <w:sz w:val="24"/>
        </w:rPr>
      </w:pPr>
      <w:r>
        <w:rPr>
          <w:rFonts w:hint="eastAsia" w:ascii="宋体" w:hAnsi="宋体"/>
          <w:sz w:val="24"/>
        </w:rPr>
        <w:t>(7)不符合《政府采购质疑和投诉办法》（财政部令第94号）等有关规定的投诉。</w:t>
      </w:r>
    </w:p>
    <w:p>
      <w:pPr>
        <w:jc w:val="center"/>
        <w:rPr>
          <w:b/>
          <w:sz w:val="28"/>
        </w:rPr>
      </w:pPr>
      <w:r>
        <w:rPr>
          <w:rFonts w:hint="eastAsia"/>
          <w:b/>
          <w:sz w:val="28"/>
        </w:rPr>
        <w:t>九、良行为记录</w:t>
      </w:r>
      <w:bookmarkEnd w:id="34"/>
      <w:bookmarkEnd w:id="35"/>
    </w:p>
    <w:p>
      <w:pPr>
        <w:ind w:firstLine="480" w:firstLineChars="200"/>
        <w:rPr>
          <w:sz w:val="24"/>
        </w:rPr>
      </w:pPr>
      <w:r>
        <w:rPr>
          <w:rFonts w:hint="eastAsia"/>
          <w:sz w:val="24"/>
        </w:rPr>
        <w:t>投标人在采购活动中出现下列违规行为的将记入诸暨市政府采购不良行为记录，并在记录时限内暂停其诸暨市域范围内政府采购交易资格，同时不良行为在诸暨市公共资源交易中心网站公示。</w:t>
      </w:r>
    </w:p>
    <w:tbl>
      <w:tblPr>
        <w:tblStyle w:val="21"/>
        <w:tblW w:w="0" w:type="auto"/>
        <w:tblInd w:w="25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47"/>
        <w:gridCol w:w="6433"/>
        <w:gridCol w:w="132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5" w:hRule="atLeast"/>
        </w:trPr>
        <w:tc>
          <w:tcPr>
            <w:tcW w:w="947" w:type="dxa"/>
            <w:vAlign w:val="center"/>
          </w:tcPr>
          <w:p>
            <w:pPr>
              <w:jc w:val="center"/>
              <w:rPr>
                <w:rFonts w:ascii="宋体" w:hAnsi="宋体"/>
                <w:b/>
                <w:bCs/>
                <w:sz w:val="24"/>
              </w:rPr>
            </w:pPr>
            <w:r>
              <w:rPr>
                <w:rFonts w:hint="eastAsia" w:ascii="宋体" w:hAnsi="宋体"/>
                <w:b/>
                <w:bCs/>
                <w:sz w:val="24"/>
              </w:rPr>
              <w:t>序号</w:t>
            </w:r>
          </w:p>
        </w:tc>
        <w:tc>
          <w:tcPr>
            <w:tcW w:w="6433" w:type="dxa"/>
            <w:vAlign w:val="center"/>
          </w:tcPr>
          <w:p>
            <w:pPr>
              <w:jc w:val="center"/>
              <w:rPr>
                <w:rFonts w:ascii="宋体" w:hAnsi="宋体"/>
                <w:b/>
                <w:bCs/>
                <w:sz w:val="24"/>
              </w:rPr>
            </w:pPr>
            <w:r>
              <w:rPr>
                <w:rFonts w:hint="eastAsia" w:ascii="宋体" w:hAnsi="宋体"/>
                <w:b/>
                <w:bCs/>
                <w:sz w:val="24"/>
              </w:rPr>
              <w:t>不良行为</w:t>
            </w:r>
          </w:p>
        </w:tc>
        <w:tc>
          <w:tcPr>
            <w:tcW w:w="1326" w:type="dxa"/>
            <w:vAlign w:val="center"/>
          </w:tcPr>
          <w:p>
            <w:pPr>
              <w:jc w:val="center"/>
              <w:rPr>
                <w:rFonts w:ascii="宋体" w:hAnsi="宋体"/>
                <w:b/>
                <w:bCs/>
                <w:sz w:val="24"/>
              </w:rPr>
            </w:pPr>
            <w:r>
              <w:rPr>
                <w:rFonts w:hint="eastAsia" w:ascii="宋体" w:hAnsi="宋体"/>
                <w:b/>
                <w:bCs/>
                <w:sz w:val="24"/>
              </w:rPr>
              <w:t>记录时限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947" w:type="dxa"/>
            <w:vAlign w:val="center"/>
          </w:tcPr>
          <w:p>
            <w:pPr>
              <w:jc w:val="center"/>
              <w:rPr>
                <w:rFonts w:ascii="宋体" w:hAnsi="宋体"/>
                <w:sz w:val="24"/>
              </w:rPr>
            </w:pPr>
            <w:r>
              <w:rPr>
                <w:rFonts w:hint="eastAsia" w:ascii="宋体" w:hAnsi="宋体"/>
                <w:sz w:val="24"/>
              </w:rPr>
              <w:t>1</w:t>
            </w:r>
          </w:p>
        </w:tc>
        <w:tc>
          <w:tcPr>
            <w:tcW w:w="6433" w:type="dxa"/>
            <w:vAlign w:val="center"/>
          </w:tcPr>
          <w:p>
            <w:pPr>
              <w:autoSpaceDE/>
              <w:autoSpaceDN/>
              <w:adjustRightInd/>
              <w:rPr>
                <w:rFonts w:ascii="宋体" w:hAnsi="宋体"/>
                <w:sz w:val="24"/>
              </w:rPr>
            </w:pPr>
            <w:r>
              <w:rPr>
                <w:rFonts w:hint="eastAsia" w:ascii="宋体" w:hAnsi="宋体"/>
                <w:sz w:val="24"/>
              </w:rPr>
              <w:t>在招标采购过程中，与采购人进行协商谈判的</w:t>
            </w:r>
          </w:p>
        </w:tc>
        <w:tc>
          <w:tcPr>
            <w:tcW w:w="1326" w:type="dxa"/>
            <w:vAlign w:val="center"/>
          </w:tcPr>
          <w:p>
            <w:pPr>
              <w:jc w:val="center"/>
              <w:rPr>
                <w:rFonts w:ascii="宋体" w:hAnsi="宋体"/>
                <w:sz w:val="24"/>
              </w:rPr>
            </w:pPr>
            <w:r>
              <w:rPr>
                <w:rFonts w:hint="eastAsia" w:ascii="宋体" w:hAnsi="宋体"/>
                <w:sz w:val="24"/>
              </w:rPr>
              <w:t>6个月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285" w:hRule="atLeast"/>
        </w:trPr>
        <w:tc>
          <w:tcPr>
            <w:tcW w:w="947" w:type="dxa"/>
            <w:vAlign w:val="center"/>
          </w:tcPr>
          <w:p>
            <w:pPr>
              <w:jc w:val="center"/>
              <w:rPr>
                <w:rFonts w:ascii="宋体" w:hAnsi="宋体"/>
                <w:sz w:val="24"/>
              </w:rPr>
            </w:pPr>
            <w:r>
              <w:rPr>
                <w:rFonts w:hint="eastAsia" w:ascii="宋体" w:hAnsi="宋体"/>
                <w:sz w:val="24"/>
              </w:rPr>
              <w:t>2</w:t>
            </w:r>
          </w:p>
        </w:tc>
        <w:tc>
          <w:tcPr>
            <w:tcW w:w="6433" w:type="dxa"/>
            <w:vAlign w:val="center"/>
          </w:tcPr>
          <w:p>
            <w:pPr>
              <w:autoSpaceDE/>
              <w:autoSpaceDN/>
              <w:adjustRightInd/>
              <w:rPr>
                <w:rFonts w:ascii="宋体" w:hAnsi="宋体"/>
                <w:sz w:val="24"/>
              </w:rPr>
            </w:pPr>
            <w:r>
              <w:rPr>
                <w:rFonts w:hint="eastAsia" w:ascii="宋体" w:hAnsi="宋体"/>
                <w:sz w:val="24"/>
              </w:rPr>
              <w:t>投标有效期内撤回其投标文件的</w:t>
            </w:r>
          </w:p>
        </w:tc>
        <w:tc>
          <w:tcPr>
            <w:tcW w:w="1326" w:type="dxa"/>
            <w:vAlign w:val="center"/>
          </w:tcPr>
          <w:p>
            <w:pPr>
              <w:jc w:val="center"/>
              <w:rPr>
                <w:rFonts w:ascii="宋体" w:hAnsi="宋体"/>
                <w:sz w:val="24"/>
              </w:rPr>
            </w:pPr>
            <w:r>
              <w:rPr>
                <w:rFonts w:hint="eastAsia" w:ascii="宋体" w:hAnsi="宋体"/>
                <w:sz w:val="24"/>
              </w:rPr>
              <w:t>6个月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285" w:hRule="atLeast"/>
        </w:trPr>
        <w:tc>
          <w:tcPr>
            <w:tcW w:w="947" w:type="dxa"/>
            <w:vAlign w:val="center"/>
          </w:tcPr>
          <w:p>
            <w:pPr>
              <w:jc w:val="center"/>
              <w:rPr>
                <w:rFonts w:ascii="宋体" w:hAnsi="宋体"/>
                <w:sz w:val="24"/>
              </w:rPr>
            </w:pPr>
            <w:r>
              <w:rPr>
                <w:rFonts w:hint="eastAsia" w:ascii="宋体" w:hAnsi="宋体"/>
                <w:sz w:val="24"/>
              </w:rPr>
              <w:t>3</w:t>
            </w:r>
          </w:p>
        </w:tc>
        <w:tc>
          <w:tcPr>
            <w:tcW w:w="6433" w:type="dxa"/>
            <w:vAlign w:val="center"/>
          </w:tcPr>
          <w:p>
            <w:pPr>
              <w:autoSpaceDE/>
              <w:autoSpaceDN/>
              <w:adjustRightInd/>
              <w:rPr>
                <w:rFonts w:ascii="宋体" w:hAnsi="宋体"/>
                <w:sz w:val="24"/>
              </w:rPr>
            </w:pPr>
            <w:r>
              <w:rPr>
                <w:rFonts w:hint="eastAsia" w:ascii="宋体" w:hAnsi="宋体"/>
                <w:sz w:val="24"/>
              </w:rPr>
              <w:t>拒绝有关部门监督检查的</w:t>
            </w:r>
          </w:p>
        </w:tc>
        <w:tc>
          <w:tcPr>
            <w:tcW w:w="1326" w:type="dxa"/>
            <w:vAlign w:val="center"/>
          </w:tcPr>
          <w:p>
            <w:pPr>
              <w:jc w:val="center"/>
              <w:rPr>
                <w:rFonts w:ascii="宋体" w:hAnsi="宋体"/>
                <w:sz w:val="24"/>
              </w:rPr>
            </w:pPr>
            <w:r>
              <w:rPr>
                <w:rFonts w:hint="eastAsia" w:ascii="宋体" w:hAnsi="宋体"/>
                <w:sz w:val="24"/>
              </w:rPr>
              <w:t>6个月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285" w:hRule="atLeast"/>
        </w:trPr>
        <w:tc>
          <w:tcPr>
            <w:tcW w:w="947" w:type="dxa"/>
            <w:vAlign w:val="center"/>
          </w:tcPr>
          <w:p>
            <w:pPr>
              <w:jc w:val="center"/>
              <w:rPr>
                <w:rFonts w:ascii="宋体" w:hAnsi="宋体"/>
                <w:sz w:val="24"/>
              </w:rPr>
            </w:pPr>
            <w:r>
              <w:rPr>
                <w:rFonts w:hint="eastAsia" w:ascii="宋体" w:hAnsi="宋体"/>
                <w:sz w:val="24"/>
              </w:rPr>
              <w:t>4</w:t>
            </w:r>
          </w:p>
        </w:tc>
        <w:tc>
          <w:tcPr>
            <w:tcW w:w="6433" w:type="dxa"/>
            <w:vAlign w:val="center"/>
          </w:tcPr>
          <w:p>
            <w:pPr>
              <w:autoSpaceDE/>
              <w:autoSpaceDN/>
              <w:adjustRightInd/>
              <w:rPr>
                <w:rFonts w:ascii="宋体" w:hAnsi="宋体"/>
                <w:sz w:val="24"/>
              </w:rPr>
            </w:pPr>
            <w:r>
              <w:rPr>
                <w:rFonts w:hint="eastAsia" w:ascii="宋体" w:hAnsi="宋体"/>
                <w:sz w:val="24"/>
              </w:rPr>
              <w:t>不积极配合采购人做好标的验收工作的</w:t>
            </w:r>
          </w:p>
        </w:tc>
        <w:tc>
          <w:tcPr>
            <w:tcW w:w="1326" w:type="dxa"/>
            <w:vAlign w:val="center"/>
          </w:tcPr>
          <w:p>
            <w:pPr>
              <w:jc w:val="center"/>
              <w:rPr>
                <w:rFonts w:ascii="宋体" w:hAnsi="宋体"/>
                <w:sz w:val="24"/>
              </w:rPr>
            </w:pPr>
            <w:r>
              <w:rPr>
                <w:rFonts w:hint="eastAsia" w:ascii="宋体" w:hAnsi="宋体"/>
                <w:sz w:val="24"/>
              </w:rPr>
              <w:t>6个月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285" w:hRule="atLeast"/>
        </w:trPr>
        <w:tc>
          <w:tcPr>
            <w:tcW w:w="947" w:type="dxa"/>
            <w:vAlign w:val="center"/>
          </w:tcPr>
          <w:p>
            <w:pPr>
              <w:spacing w:line="400" w:lineRule="exact"/>
              <w:jc w:val="center"/>
              <w:rPr>
                <w:rFonts w:ascii="宋体" w:hAnsi="宋体"/>
                <w:sz w:val="24"/>
              </w:rPr>
            </w:pPr>
            <w:r>
              <w:rPr>
                <w:rFonts w:hint="eastAsia" w:ascii="宋体" w:hAnsi="宋体"/>
                <w:sz w:val="24"/>
              </w:rPr>
              <w:t>5</w:t>
            </w:r>
          </w:p>
        </w:tc>
        <w:tc>
          <w:tcPr>
            <w:tcW w:w="6433" w:type="dxa"/>
            <w:vAlign w:val="center"/>
          </w:tcPr>
          <w:p>
            <w:pPr>
              <w:autoSpaceDE/>
              <w:autoSpaceDN/>
              <w:adjustRightInd/>
              <w:rPr>
                <w:rFonts w:ascii="宋体" w:hAnsi="宋体"/>
                <w:sz w:val="24"/>
              </w:rPr>
            </w:pPr>
            <w:r>
              <w:rPr>
                <w:rFonts w:hint="eastAsia" w:ascii="宋体" w:hAnsi="宋体"/>
                <w:sz w:val="24"/>
              </w:rPr>
              <w:t>在有关部门的监督检查或考核中被通报批评或处以警告及以上处罚的</w:t>
            </w:r>
          </w:p>
        </w:tc>
        <w:tc>
          <w:tcPr>
            <w:tcW w:w="1326" w:type="dxa"/>
            <w:vAlign w:val="center"/>
          </w:tcPr>
          <w:p>
            <w:pPr>
              <w:jc w:val="center"/>
              <w:rPr>
                <w:rFonts w:ascii="宋体" w:hAnsi="宋体"/>
                <w:sz w:val="24"/>
              </w:rPr>
            </w:pPr>
            <w:r>
              <w:rPr>
                <w:rFonts w:hint="eastAsia" w:ascii="宋体" w:hAnsi="宋体"/>
                <w:sz w:val="24"/>
              </w:rPr>
              <w:t>6个月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285" w:hRule="atLeast"/>
        </w:trPr>
        <w:tc>
          <w:tcPr>
            <w:tcW w:w="947" w:type="dxa"/>
            <w:vAlign w:val="center"/>
          </w:tcPr>
          <w:p>
            <w:pPr>
              <w:spacing w:line="440" w:lineRule="exact"/>
              <w:jc w:val="center"/>
              <w:rPr>
                <w:rFonts w:ascii="宋体" w:hAnsi="宋体"/>
                <w:sz w:val="24"/>
              </w:rPr>
            </w:pPr>
            <w:r>
              <w:rPr>
                <w:rFonts w:hint="eastAsia" w:ascii="宋体" w:hAnsi="宋体"/>
                <w:sz w:val="24"/>
              </w:rPr>
              <w:t>6</w:t>
            </w:r>
          </w:p>
        </w:tc>
        <w:tc>
          <w:tcPr>
            <w:tcW w:w="6433" w:type="dxa"/>
            <w:vAlign w:val="center"/>
          </w:tcPr>
          <w:p>
            <w:pPr>
              <w:autoSpaceDE/>
              <w:autoSpaceDN/>
              <w:adjustRightInd/>
              <w:rPr>
                <w:rFonts w:ascii="宋体" w:hAnsi="宋体"/>
                <w:sz w:val="24"/>
              </w:rPr>
            </w:pPr>
            <w:r>
              <w:rPr>
                <w:rFonts w:hint="eastAsia" w:ascii="宋体" w:hAnsi="宋体"/>
                <w:sz w:val="24"/>
              </w:rPr>
              <w:t>不遵守投标会场纪律，无理取闹，扰乱交易秩序的</w:t>
            </w:r>
          </w:p>
        </w:tc>
        <w:tc>
          <w:tcPr>
            <w:tcW w:w="1326" w:type="dxa"/>
            <w:vAlign w:val="center"/>
          </w:tcPr>
          <w:p>
            <w:pPr>
              <w:jc w:val="center"/>
              <w:rPr>
                <w:rFonts w:ascii="宋体" w:hAnsi="宋体"/>
                <w:sz w:val="24"/>
              </w:rPr>
            </w:pPr>
            <w:r>
              <w:rPr>
                <w:rFonts w:hint="eastAsia" w:ascii="宋体" w:hAnsi="宋体"/>
                <w:sz w:val="24"/>
              </w:rPr>
              <w:t>1年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285" w:hRule="atLeast"/>
        </w:trPr>
        <w:tc>
          <w:tcPr>
            <w:tcW w:w="947" w:type="dxa"/>
            <w:vAlign w:val="center"/>
          </w:tcPr>
          <w:p>
            <w:pPr>
              <w:spacing w:line="440" w:lineRule="exact"/>
              <w:jc w:val="center"/>
              <w:rPr>
                <w:rFonts w:ascii="宋体" w:hAnsi="宋体"/>
                <w:sz w:val="24"/>
              </w:rPr>
            </w:pPr>
            <w:r>
              <w:rPr>
                <w:rFonts w:hint="eastAsia" w:ascii="宋体" w:hAnsi="宋体"/>
                <w:sz w:val="24"/>
              </w:rPr>
              <w:t>7</w:t>
            </w:r>
          </w:p>
        </w:tc>
        <w:tc>
          <w:tcPr>
            <w:tcW w:w="6433" w:type="dxa"/>
            <w:vAlign w:val="center"/>
          </w:tcPr>
          <w:p>
            <w:pPr>
              <w:autoSpaceDE/>
              <w:autoSpaceDN/>
              <w:adjustRightInd/>
              <w:rPr>
                <w:rFonts w:ascii="宋体" w:hAnsi="宋体"/>
                <w:sz w:val="24"/>
              </w:rPr>
            </w:pPr>
            <w:r>
              <w:rPr>
                <w:rFonts w:hint="eastAsia" w:ascii="宋体" w:hAnsi="宋体"/>
                <w:sz w:val="24"/>
              </w:rPr>
              <w:t>中标后无正当理由放弃中标，或在规定时间内不与采购人签订政府采购合同，或在签订合同时提出附加条件或更改合同实质性内容，或拒不提交所要求的履约保证金的</w:t>
            </w:r>
          </w:p>
        </w:tc>
        <w:tc>
          <w:tcPr>
            <w:tcW w:w="1326" w:type="dxa"/>
            <w:vAlign w:val="center"/>
          </w:tcPr>
          <w:p>
            <w:pPr>
              <w:jc w:val="center"/>
              <w:rPr>
                <w:rFonts w:ascii="宋体" w:hAnsi="宋体"/>
                <w:sz w:val="24"/>
              </w:rPr>
            </w:pPr>
            <w:r>
              <w:rPr>
                <w:rFonts w:hint="eastAsia" w:ascii="宋体" w:hAnsi="宋体"/>
                <w:sz w:val="24"/>
              </w:rPr>
              <w:t>1年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285" w:hRule="atLeast"/>
        </w:trPr>
        <w:tc>
          <w:tcPr>
            <w:tcW w:w="947" w:type="dxa"/>
            <w:vAlign w:val="center"/>
          </w:tcPr>
          <w:p>
            <w:pPr>
              <w:spacing w:line="440" w:lineRule="exact"/>
              <w:jc w:val="center"/>
              <w:rPr>
                <w:rFonts w:ascii="宋体" w:hAnsi="宋体"/>
                <w:sz w:val="24"/>
              </w:rPr>
            </w:pPr>
            <w:r>
              <w:rPr>
                <w:rFonts w:hint="eastAsia" w:ascii="宋体" w:hAnsi="宋体"/>
                <w:sz w:val="24"/>
              </w:rPr>
              <w:t>8</w:t>
            </w:r>
          </w:p>
        </w:tc>
        <w:tc>
          <w:tcPr>
            <w:tcW w:w="6433" w:type="dxa"/>
            <w:vAlign w:val="center"/>
          </w:tcPr>
          <w:p>
            <w:pPr>
              <w:autoSpaceDE/>
              <w:autoSpaceDN/>
              <w:adjustRightInd/>
              <w:rPr>
                <w:rFonts w:ascii="宋体" w:hAnsi="宋体"/>
                <w:sz w:val="24"/>
              </w:rPr>
            </w:pPr>
            <w:r>
              <w:rPr>
                <w:rFonts w:hint="eastAsia" w:ascii="宋体" w:hAnsi="宋体"/>
                <w:sz w:val="24"/>
              </w:rPr>
              <w:t>虚假投诉、恶意投诉和不按程序、规定时间进行质疑投诉而影响采购工作正常进行或造成不良影响的</w:t>
            </w:r>
          </w:p>
        </w:tc>
        <w:tc>
          <w:tcPr>
            <w:tcW w:w="1326" w:type="dxa"/>
            <w:vAlign w:val="center"/>
          </w:tcPr>
          <w:p>
            <w:pPr>
              <w:jc w:val="center"/>
              <w:rPr>
                <w:rFonts w:ascii="宋体" w:hAnsi="宋体"/>
                <w:sz w:val="24"/>
              </w:rPr>
            </w:pPr>
            <w:r>
              <w:rPr>
                <w:rFonts w:hint="eastAsia" w:ascii="宋体" w:hAnsi="宋体"/>
                <w:sz w:val="24"/>
              </w:rPr>
              <w:t>1年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285" w:hRule="atLeast"/>
        </w:trPr>
        <w:tc>
          <w:tcPr>
            <w:tcW w:w="947" w:type="dxa"/>
            <w:vAlign w:val="center"/>
          </w:tcPr>
          <w:p>
            <w:pPr>
              <w:spacing w:line="400" w:lineRule="exact"/>
              <w:jc w:val="center"/>
              <w:rPr>
                <w:rFonts w:ascii="宋体" w:hAnsi="宋体"/>
                <w:sz w:val="24"/>
              </w:rPr>
            </w:pPr>
            <w:r>
              <w:rPr>
                <w:rFonts w:hint="eastAsia" w:ascii="宋体" w:hAnsi="宋体"/>
                <w:sz w:val="24"/>
              </w:rPr>
              <w:t>9</w:t>
            </w:r>
          </w:p>
        </w:tc>
        <w:tc>
          <w:tcPr>
            <w:tcW w:w="6433" w:type="dxa"/>
            <w:vAlign w:val="center"/>
          </w:tcPr>
          <w:p>
            <w:pPr>
              <w:autoSpaceDE/>
              <w:autoSpaceDN/>
              <w:adjustRightInd/>
              <w:rPr>
                <w:rFonts w:ascii="宋体" w:hAnsi="宋体"/>
                <w:sz w:val="24"/>
              </w:rPr>
            </w:pPr>
            <w:r>
              <w:rPr>
                <w:rFonts w:hint="eastAsia" w:ascii="宋体" w:hAnsi="宋体"/>
                <w:sz w:val="24"/>
              </w:rPr>
              <w:t>不按照与采购人订立的合同履行义务（包括提供标的、售后服务、技术支持等），严重违反合同规定和廉政合同要求的</w:t>
            </w:r>
          </w:p>
        </w:tc>
        <w:tc>
          <w:tcPr>
            <w:tcW w:w="1326" w:type="dxa"/>
            <w:vAlign w:val="center"/>
          </w:tcPr>
          <w:p>
            <w:pPr>
              <w:jc w:val="center"/>
              <w:rPr>
                <w:rFonts w:ascii="宋体" w:hAnsi="宋体"/>
                <w:sz w:val="24"/>
              </w:rPr>
            </w:pPr>
            <w:r>
              <w:rPr>
                <w:rFonts w:hint="eastAsia" w:ascii="宋体" w:hAnsi="宋体"/>
                <w:sz w:val="24"/>
              </w:rPr>
              <w:t>1年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285" w:hRule="atLeast"/>
        </w:trPr>
        <w:tc>
          <w:tcPr>
            <w:tcW w:w="947" w:type="dxa"/>
            <w:vAlign w:val="center"/>
          </w:tcPr>
          <w:p>
            <w:pPr>
              <w:spacing w:line="400" w:lineRule="exact"/>
              <w:jc w:val="center"/>
              <w:rPr>
                <w:rFonts w:ascii="宋体" w:hAnsi="宋体"/>
                <w:sz w:val="24"/>
              </w:rPr>
            </w:pPr>
            <w:r>
              <w:rPr>
                <w:rFonts w:hint="eastAsia" w:ascii="宋体" w:hAnsi="宋体"/>
                <w:sz w:val="24"/>
              </w:rPr>
              <w:t>10</w:t>
            </w:r>
          </w:p>
        </w:tc>
        <w:tc>
          <w:tcPr>
            <w:tcW w:w="6433" w:type="dxa"/>
            <w:vAlign w:val="center"/>
          </w:tcPr>
          <w:p>
            <w:pPr>
              <w:autoSpaceDE/>
              <w:autoSpaceDN/>
              <w:adjustRightInd/>
              <w:rPr>
                <w:rFonts w:ascii="宋体" w:hAnsi="宋体"/>
                <w:sz w:val="24"/>
              </w:rPr>
            </w:pPr>
            <w:r>
              <w:rPr>
                <w:rFonts w:hint="eastAsia" w:ascii="宋体" w:hAnsi="宋体"/>
                <w:sz w:val="24"/>
              </w:rPr>
              <w:t>项目负责人不到位，或擅自变换项目负责人，或不认真履行职责造成采购人损失的</w:t>
            </w:r>
          </w:p>
        </w:tc>
        <w:tc>
          <w:tcPr>
            <w:tcW w:w="1326" w:type="dxa"/>
            <w:vAlign w:val="center"/>
          </w:tcPr>
          <w:p>
            <w:pPr>
              <w:jc w:val="center"/>
              <w:rPr>
                <w:rFonts w:ascii="宋体" w:hAnsi="宋体"/>
                <w:sz w:val="24"/>
              </w:rPr>
            </w:pPr>
            <w:r>
              <w:rPr>
                <w:rFonts w:hint="eastAsia" w:ascii="宋体" w:hAnsi="宋体"/>
                <w:sz w:val="24"/>
              </w:rPr>
              <w:t>1年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285" w:hRule="atLeast"/>
        </w:trPr>
        <w:tc>
          <w:tcPr>
            <w:tcW w:w="947" w:type="dxa"/>
            <w:vAlign w:val="center"/>
          </w:tcPr>
          <w:p>
            <w:pPr>
              <w:spacing w:line="400" w:lineRule="exact"/>
              <w:jc w:val="center"/>
              <w:rPr>
                <w:rFonts w:ascii="宋体" w:hAnsi="宋体"/>
                <w:sz w:val="24"/>
              </w:rPr>
            </w:pPr>
            <w:r>
              <w:rPr>
                <w:rFonts w:hint="eastAsia" w:ascii="宋体" w:hAnsi="宋体"/>
                <w:sz w:val="24"/>
              </w:rPr>
              <w:t>11</w:t>
            </w:r>
          </w:p>
        </w:tc>
        <w:tc>
          <w:tcPr>
            <w:tcW w:w="6433" w:type="dxa"/>
            <w:vAlign w:val="center"/>
          </w:tcPr>
          <w:p>
            <w:pPr>
              <w:autoSpaceDE/>
              <w:autoSpaceDN/>
              <w:adjustRightInd/>
              <w:rPr>
                <w:rFonts w:ascii="宋体" w:hAnsi="宋体"/>
                <w:sz w:val="24"/>
              </w:rPr>
            </w:pPr>
            <w:r>
              <w:rPr>
                <w:rFonts w:hint="eastAsia" w:ascii="宋体" w:hAnsi="宋体"/>
                <w:sz w:val="24"/>
              </w:rPr>
              <w:t>发生经营状况重大变化以及重要担保、重大合同纠纷或诉讼、信用等级和资质变化等可能影响履约能力的重大事项，未及时向市公共资源交易中心提供书面报告，因而造成采购人损失的</w:t>
            </w:r>
          </w:p>
        </w:tc>
        <w:tc>
          <w:tcPr>
            <w:tcW w:w="1326" w:type="dxa"/>
            <w:vAlign w:val="center"/>
          </w:tcPr>
          <w:p>
            <w:pPr>
              <w:jc w:val="center"/>
              <w:rPr>
                <w:rFonts w:ascii="宋体" w:hAnsi="宋体"/>
                <w:sz w:val="24"/>
              </w:rPr>
            </w:pPr>
            <w:r>
              <w:rPr>
                <w:rFonts w:hint="eastAsia" w:ascii="宋体" w:hAnsi="宋体"/>
                <w:sz w:val="24"/>
              </w:rPr>
              <w:t>1年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285" w:hRule="atLeast"/>
        </w:trPr>
        <w:tc>
          <w:tcPr>
            <w:tcW w:w="947" w:type="dxa"/>
            <w:vAlign w:val="center"/>
          </w:tcPr>
          <w:p>
            <w:pPr>
              <w:spacing w:line="440" w:lineRule="exact"/>
              <w:jc w:val="center"/>
              <w:rPr>
                <w:rFonts w:ascii="宋体" w:hAnsi="宋体"/>
                <w:sz w:val="24"/>
              </w:rPr>
            </w:pPr>
            <w:r>
              <w:rPr>
                <w:rFonts w:hint="eastAsia" w:ascii="宋体" w:hAnsi="宋体"/>
                <w:sz w:val="24"/>
              </w:rPr>
              <w:t>12</w:t>
            </w:r>
          </w:p>
        </w:tc>
        <w:tc>
          <w:tcPr>
            <w:tcW w:w="6433" w:type="dxa"/>
            <w:vAlign w:val="center"/>
          </w:tcPr>
          <w:p>
            <w:pPr>
              <w:autoSpaceDE/>
              <w:autoSpaceDN/>
              <w:adjustRightInd/>
              <w:rPr>
                <w:rFonts w:ascii="宋体" w:hAnsi="宋体"/>
                <w:sz w:val="24"/>
              </w:rPr>
            </w:pPr>
            <w:r>
              <w:rPr>
                <w:rFonts w:hint="eastAsia" w:ascii="宋体" w:hAnsi="宋体"/>
                <w:sz w:val="24"/>
              </w:rPr>
              <w:t>与采购人、其他供应商或者采购代理机构相互串通的</w:t>
            </w:r>
          </w:p>
        </w:tc>
        <w:tc>
          <w:tcPr>
            <w:tcW w:w="1326" w:type="dxa"/>
            <w:vAlign w:val="center"/>
          </w:tcPr>
          <w:p>
            <w:pPr>
              <w:jc w:val="center"/>
              <w:rPr>
                <w:rFonts w:ascii="宋体" w:hAnsi="宋体"/>
                <w:sz w:val="24"/>
              </w:rPr>
            </w:pPr>
            <w:r>
              <w:rPr>
                <w:rFonts w:hint="eastAsia" w:ascii="宋体" w:hAnsi="宋体"/>
                <w:sz w:val="24"/>
              </w:rPr>
              <w:t>2年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285" w:hRule="atLeast"/>
        </w:trPr>
        <w:tc>
          <w:tcPr>
            <w:tcW w:w="947" w:type="dxa"/>
            <w:vAlign w:val="center"/>
          </w:tcPr>
          <w:p>
            <w:pPr>
              <w:spacing w:line="440" w:lineRule="exact"/>
              <w:jc w:val="center"/>
              <w:rPr>
                <w:rFonts w:ascii="宋体" w:hAnsi="宋体"/>
                <w:sz w:val="24"/>
              </w:rPr>
            </w:pPr>
            <w:r>
              <w:rPr>
                <w:rFonts w:hint="eastAsia" w:ascii="宋体" w:hAnsi="宋体"/>
                <w:sz w:val="24"/>
              </w:rPr>
              <w:t>13</w:t>
            </w:r>
          </w:p>
        </w:tc>
        <w:tc>
          <w:tcPr>
            <w:tcW w:w="6433" w:type="dxa"/>
            <w:vAlign w:val="center"/>
          </w:tcPr>
          <w:p>
            <w:pPr>
              <w:autoSpaceDE/>
              <w:autoSpaceDN/>
              <w:adjustRightInd/>
              <w:rPr>
                <w:rFonts w:ascii="宋体" w:hAnsi="宋体"/>
                <w:sz w:val="24"/>
              </w:rPr>
            </w:pPr>
            <w:r>
              <w:rPr>
                <w:rFonts w:hint="eastAsia" w:ascii="宋体" w:hAnsi="宋体"/>
                <w:sz w:val="24"/>
              </w:rPr>
              <w:t>采取不正当手段排挤其他供应商，进行不公平竞争的</w:t>
            </w:r>
          </w:p>
        </w:tc>
        <w:tc>
          <w:tcPr>
            <w:tcW w:w="1326" w:type="dxa"/>
            <w:vAlign w:val="center"/>
          </w:tcPr>
          <w:p>
            <w:pPr>
              <w:jc w:val="center"/>
              <w:rPr>
                <w:rFonts w:ascii="宋体" w:hAnsi="宋体"/>
                <w:sz w:val="24"/>
              </w:rPr>
            </w:pPr>
            <w:r>
              <w:rPr>
                <w:rFonts w:hint="eastAsia" w:ascii="宋体" w:hAnsi="宋体"/>
                <w:sz w:val="24"/>
              </w:rPr>
              <w:t>2年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285" w:hRule="atLeast"/>
        </w:trPr>
        <w:tc>
          <w:tcPr>
            <w:tcW w:w="947" w:type="dxa"/>
            <w:vAlign w:val="center"/>
          </w:tcPr>
          <w:p>
            <w:pPr>
              <w:spacing w:line="440" w:lineRule="exact"/>
              <w:jc w:val="center"/>
              <w:rPr>
                <w:rFonts w:ascii="宋体" w:hAnsi="宋体"/>
                <w:sz w:val="24"/>
              </w:rPr>
            </w:pPr>
            <w:r>
              <w:rPr>
                <w:rFonts w:hint="eastAsia" w:ascii="宋体" w:hAnsi="宋体"/>
                <w:sz w:val="24"/>
              </w:rPr>
              <w:t>14</w:t>
            </w:r>
          </w:p>
        </w:tc>
        <w:tc>
          <w:tcPr>
            <w:tcW w:w="6433" w:type="dxa"/>
            <w:vAlign w:val="center"/>
          </w:tcPr>
          <w:p>
            <w:pPr>
              <w:autoSpaceDE/>
              <w:autoSpaceDN/>
              <w:adjustRightInd/>
              <w:rPr>
                <w:rFonts w:ascii="宋体" w:hAnsi="宋体"/>
                <w:sz w:val="24"/>
              </w:rPr>
            </w:pPr>
            <w:r>
              <w:rPr>
                <w:rFonts w:hint="eastAsia" w:ascii="宋体" w:hAnsi="宋体"/>
                <w:sz w:val="24"/>
              </w:rPr>
              <w:t>中标后与采购人另行订立背离合同实质内容的协议的</w:t>
            </w:r>
          </w:p>
        </w:tc>
        <w:tc>
          <w:tcPr>
            <w:tcW w:w="1326" w:type="dxa"/>
            <w:vAlign w:val="center"/>
          </w:tcPr>
          <w:p>
            <w:pPr>
              <w:jc w:val="center"/>
              <w:rPr>
                <w:rFonts w:ascii="宋体" w:hAnsi="宋体"/>
                <w:sz w:val="24"/>
              </w:rPr>
            </w:pPr>
            <w:r>
              <w:rPr>
                <w:rFonts w:hint="eastAsia" w:ascii="宋体" w:hAnsi="宋体"/>
                <w:sz w:val="24"/>
              </w:rPr>
              <w:t>2年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285" w:hRule="atLeast"/>
        </w:trPr>
        <w:tc>
          <w:tcPr>
            <w:tcW w:w="947" w:type="dxa"/>
            <w:vAlign w:val="center"/>
          </w:tcPr>
          <w:p>
            <w:pPr>
              <w:spacing w:line="400" w:lineRule="exact"/>
              <w:jc w:val="center"/>
              <w:rPr>
                <w:rFonts w:ascii="宋体" w:hAnsi="宋体"/>
                <w:sz w:val="24"/>
              </w:rPr>
            </w:pPr>
            <w:r>
              <w:rPr>
                <w:rFonts w:hint="eastAsia" w:ascii="宋体" w:hAnsi="宋体"/>
                <w:sz w:val="24"/>
              </w:rPr>
              <w:t>15</w:t>
            </w:r>
          </w:p>
        </w:tc>
        <w:tc>
          <w:tcPr>
            <w:tcW w:w="6433" w:type="dxa"/>
            <w:vAlign w:val="center"/>
          </w:tcPr>
          <w:p>
            <w:pPr>
              <w:autoSpaceDE/>
              <w:autoSpaceDN/>
              <w:adjustRightInd/>
              <w:rPr>
                <w:rFonts w:ascii="宋体" w:hAnsi="宋体"/>
                <w:sz w:val="24"/>
              </w:rPr>
            </w:pPr>
            <w:r>
              <w:rPr>
                <w:rFonts w:hint="eastAsia" w:ascii="宋体" w:hAnsi="宋体"/>
                <w:sz w:val="24"/>
              </w:rPr>
              <w:t>事先有承诺，而事后违反承诺内容的</w:t>
            </w:r>
          </w:p>
        </w:tc>
        <w:tc>
          <w:tcPr>
            <w:tcW w:w="1326" w:type="dxa"/>
            <w:vAlign w:val="center"/>
          </w:tcPr>
          <w:p>
            <w:pPr>
              <w:jc w:val="center"/>
              <w:rPr>
                <w:rFonts w:ascii="宋体" w:hAnsi="宋体"/>
                <w:sz w:val="24"/>
              </w:rPr>
            </w:pPr>
            <w:r>
              <w:rPr>
                <w:rFonts w:hint="eastAsia" w:ascii="宋体" w:hAnsi="宋体"/>
                <w:sz w:val="24"/>
              </w:rPr>
              <w:t>2年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285" w:hRule="atLeast"/>
        </w:trPr>
        <w:tc>
          <w:tcPr>
            <w:tcW w:w="947" w:type="dxa"/>
            <w:vAlign w:val="center"/>
          </w:tcPr>
          <w:p>
            <w:pPr>
              <w:spacing w:line="400" w:lineRule="exact"/>
              <w:jc w:val="center"/>
              <w:rPr>
                <w:rFonts w:ascii="宋体" w:hAnsi="宋体"/>
                <w:sz w:val="24"/>
              </w:rPr>
            </w:pPr>
            <w:r>
              <w:rPr>
                <w:rFonts w:hint="eastAsia" w:ascii="宋体" w:hAnsi="宋体"/>
                <w:sz w:val="24"/>
              </w:rPr>
              <w:t>16</w:t>
            </w:r>
          </w:p>
        </w:tc>
        <w:tc>
          <w:tcPr>
            <w:tcW w:w="6433" w:type="dxa"/>
            <w:vAlign w:val="center"/>
          </w:tcPr>
          <w:p>
            <w:pPr>
              <w:autoSpaceDE/>
              <w:autoSpaceDN/>
              <w:adjustRightInd/>
              <w:rPr>
                <w:rFonts w:ascii="宋体" w:hAnsi="宋体"/>
                <w:sz w:val="24"/>
              </w:rPr>
            </w:pPr>
            <w:r>
              <w:rPr>
                <w:rFonts w:hint="eastAsia" w:ascii="宋体" w:hAnsi="宋体"/>
                <w:sz w:val="24"/>
              </w:rPr>
              <w:t>将中标项目转包或违反规定进行分包的</w:t>
            </w:r>
          </w:p>
        </w:tc>
        <w:tc>
          <w:tcPr>
            <w:tcW w:w="1326" w:type="dxa"/>
            <w:vAlign w:val="center"/>
          </w:tcPr>
          <w:p>
            <w:pPr>
              <w:jc w:val="center"/>
              <w:rPr>
                <w:rFonts w:ascii="宋体" w:hAnsi="宋体"/>
                <w:sz w:val="24"/>
              </w:rPr>
            </w:pPr>
            <w:r>
              <w:rPr>
                <w:rFonts w:hint="eastAsia" w:ascii="宋体" w:hAnsi="宋体"/>
                <w:sz w:val="24"/>
              </w:rPr>
              <w:t>2年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285" w:hRule="atLeast"/>
        </w:trPr>
        <w:tc>
          <w:tcPr>
            <w:tcW w:w="947" w:type="dxa"/>
            <w:vAlign w:val="center"/>
          </w:tcPr>
          <w:p>
            <w:pPr>
              <w:spacing w:line="440" w:lineRule="exact"/>
              <w:jc w:val="center"/>
              <w:rPr>
                <w:rFonts w:ascii="宋体" w:hAnsi="宋体"/>
                <w:sz w:val="24"/>
              </w:rPr>
            </w:pPr>
            <w:r>
              <w:rPr>
                <w:rFonts w:hint="eastAsia" w:ascii="宋体" w:hAnsi="宋体"/>
                <w:sz w:val="24"/>
              </w:rPr>
              <w:t>17</w:t>
            </w:r>
          </w:p>
        </w:tc>
        <w:tc>
          <w:tcPr>
            <w:tcW w:w="6433" w:type="dxa"/>
            <w:vAlign w:val="center"/>
          </w:tcPr>
          <w:p>
            <w:pPr>
              <w:autoSpaceDE/>
              <w:autoSpaceDN/>
              <w:adjustRightInd/>
              <w:rPr>
                <w:rFonts w:ascii="宋体" w:hAnsi="宋体"/>
                <w:sz w:val="24"/>
              </w:rPr>
            </w:pPr>
            <w:r>
              <w:rPr>
                <w:rFonts w:hint="eastAsia" w:ascii="宋体" w:hAnsi="宋体"/>
                <w:sz w:val="24"/>
              </w:rPr>
              <w:t>提供虚假资料参加投标的</w:t>
            </w:r>
          </w:p>
        </w:tc>
        <w:tc>
          <w:tcPr>
            <w:tcW w:w="1326" w:type="dxa"/>
            <w:vAlign w:val="center"/>
          </w:tcPr>
          <w:p>
            <w:pPr>
              <w:jc w:val="center"/>
              <w:rPr>
                <w:rFonts w:ascii="宋体" w:hAnsi="宋体"/>
                <w:sz w:val="24"/>
              </w:rPr>
            </w:pPr>
            <w:r>
              <w:rPr>
                <w:rFonts w:hint="eastAsia" w:ascii="宋体" w:hAnsi="宋体"/>
                <w:sz w:val="24"/>
              </w:rPr>
              <w:t>3年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285" w:hRule="atLeast"/>
        </w:trPr>
        <w:tc>
          <w:tcPr>
            <w:tcW w:w="947" w:type="dxa"/>
            <w:vAlign w:val="center"/>
          </w:tcPr>
          <w:p>
            <w:pPr>
              <w:spacing w:line="400" w:lineRule="exact"/>
              <w:jc w:val="center"/>
              <w:rPr>
                <w:rFonts w:ascii="宋体" w:hAnsi="宋体"/>
                <w:sz w:val="24"/>
              </w:rPr>
            </w:pPr>
            <w:r>
              <w:rPr>
                <w:rFonts w:hint="eastAsia" w:ascii="宋体" w:hAnsi="宋体"/>
                <w:sz w:val="24"/>
              </w:rPr>
              <w:t>18</w:t>
            </w:r>
          </w:p>
        </w:tc>
        <w:tc>
          <w:tcPr>
            <w:tcW w:w="6433" w:type="dxa"/>
            <w:vAlign w:val="center"/>
          </w:tcPr>
          <w:p>
            <w:pPr>
              <w:autoSpaceDE/>
              <w:autoSpaceDN/>
              <w:adjustRightInd/>
              <w:rPr>
                <w:rFonts w:ascii="宋体" w:hAnsi="宋体"/>
                <w:sz w:val="24"/>
              </w:rPr>
            </w:pPr>
            <w:r>
              <w:rPr>
                <w:rFonts w:hint="eastAsia" w:ascii="宋体" w:hAnsi="宋体"/>
                <w:sz w:val="24"/>
              </w:rPr>
              <w:t>以他人名义投标或允许他人以自己名义投标，或者以其他方式弄虚作假的</w:t>
            </w:r>
          </w:p>
        </w:tc>
        <w:tc>
          <w:tcPr>
            <w:tcW w:w="1326" w:type="dxa"/>
            <w:vAlign w:val="center"/>
          </w:tcPr>
          <w:p>
            <w:pPr>
              <w:jc w:val="center"/>
              <w:rPr>
                <w:rFonts w:ascii="宋体" w:hAnsi="宋体"/>
                <w:sz w:val="24"/>
              </w:rPr>
            </w:pPr>
            <w:r>
              <w:rPr>
                <w:rFonts w:hint="eastAsia" w:ascii="宋体" w:hAnsi="宋体"/>
                <w:sz w:val="24"/>
              </w:rPr>
              <w:t>3年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135" w:hRule="atLeast"/>
        </w:trPr>
        <w:tc>
          <w:tcPr>
            <w:tcW w:w="947" w:type="dxa"/>
            <w:vAlign w:val="center"/>
          </w:tcPr>
          <w:p>
            <w:pPr>
              <w:spacing w:line="400" w:lineRule="exact"/>
              <w:jc w:val="center"/>
              <w:rPr>
                <w:rFonts w:ascii="宋体" w:hAnsi="宋体"/>
                <w:sz w:val="24"/>
              </w:rPr>
            </w:pPr>
            <w:r>
              <w:rPr>
                <w:rFonts w:hint="eastAsia" w:ascii="宋体" w:hAnsi="宋体"/>
                <w:sz w:val="24"/>
              </w:rPr>
              <w:t>19</w:t>
            </w:r>
          </w:p>
        </w:tc>
        <w:tc>
          <w:tcPr>
            <w:tcW w:w="6433" w:type="dxa"/>
            <w:vAlign w:val="center"/>
          </w:tcPr>
          <w:p>
            <w:pPr>
              <w:autoSpaceDE/>
              <w:autoSpaceDN/>
              <w:adjustRightInd/>
              <w:rPr>
                <w:rFonts w:ascii="宋体" w:hAnsi="宋体"/>
                <w:sz w:val="24"/>
              </w:rPr>
            </w:pPr>
            <w:r>
              <w:rPr>
                <w:rFonts w:hint="eastAsia" w:ascii="宋体" w:hAnsi="宋体"/>
                <w:sz w:val="24"/>
              </w:rPr>
              <w:t>未按照采购合同约定及时提供全部货物的，或无故拖延工期的</w:t>
            </w:r>
          </w:p>
        </w:tc>
        <w:tc>
          <w:tcPr>
            <w:tcW w:w="1326" w:type="dxa"/>
            <w:vAlign w:val="center"/>
          </w:tcPr>
          <w:p>
            <w:pPr>
              <w:jc w:val="center"/>
              <w:rPr>
                <w:rFonts w:ascii="宋体" w:hAnsi="宋体"/>
                <w:sz w:val="24"/>
              </w:rPr>
            </w:pPr>
            <w:r>
              <w:rPr>
                <w:rFonts w:hint="eastAsia" w:ascii="宋体" w:hAnsi="宋体"/>
                <w:sz w:val="24"/>
              </w:rPr>
              <w:t>3年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50" w:hRule="atLeast"/>
        </w:trPr>
        <w:tc>
          <w:tcPr>
            <w:tcW w:w="947" w:type="dxa"/>
            <w:vAlign w:val="center"/>
          </w:tcPr>
          <w:p>
            <w:pPr>
              <w:spacing w:line="400" w:lineRule="exact"/>
              <w:jc w:val="center"/>
              <w:rPr>
                <w:rFonts w:ascii="宋体" w:hAnsi="宋体"/>
                <w:sz w:val="24"/>
              </w:rPr>
            </w:pPr>
            <w:r>
              <w:rPr>
                <w:rFonts w:hint="eastAsia" w:ascii="宋体" w:hAnsi="宋体"/>
                <w:sz w:val="24"/>
              </w:rPr>
              <w:t>20</w:t>
            </w:r>
          </w:p>
        </w:tc>
        <w:tc>
          <w:tcPr>
            <w:tcW w:w="6433" w:type="dxa"/>
            <w:vAlign w:val="center"/>
          </w:tcPr>
          <w:p>
            <w:pPr>
              <w:autoSpaceDE/>
              <w:autoSpaceDN/>
              <w:adjustRightInd/>
              <w:rPr>
                <w:rFonts w:ascii="宋体" w:hAnsi="宋体"/>
                <w:sz w:val="24"/>
              </w:rPr>
            </w:pPr>
            <w:r>
              <w:rPr>
                <w:rFonts w:hint="eastAsia" w:ascii="宋体" w:hAnsi="宋体"/>
                <w:sz w:val="24"/>
              </w:rPr>
              <w:t>无故不提供中标要求的型号、配置等产品的，或有拆换、调换、截留产品零部件和备品备件的行为的</w:t>
            </w:r>
          </w:p>
        </w:tc>
        <w:tc>
          <w:tcPr>
            <w:tcW w:w="1326" w:type="dxa"/>
            <w:vAlign w:val="center"/>
          </w:tcPr>
          <w:p>
            <w:pPr>
              <w:jc w:val="center"/>
              <w:rPr>
                <w:rFonts w:ascii="宋体" w:hAnsi="宋体"/>
                <w:sz w:val="24"/>
              </w:rPr>
            </w:pPr>
            <w:r>
              <w:rPr>
                <w:rFonts w:hint="eastAsia" w:ascii="宋体" w:hAnsi="宋体"/>
                <w:sz w:val="24"/>
              </w:rPr>
              <w:t>3年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285" w:hRule="atLeast"/>
        </w:trPr>
        <w:tc>
          <w:tcPr>
            <w:tcW w:w="947" w:type="dxa"/>
            <w:vAlign w:val="center"/>
          </w:tcPr>
          <w:p>
            <w:pPr>
              <w:spacing w:line="400" w:lineRule="exact"/>
              <w:jc w:val="center"/>
              <w:rPr>
                <w:rFonts w:ascii="宋体" w:hAnsi="宋体"/>
                <w:sz w:val="24"/>
              </w:rPr>
            </w:pPr>
            <w:r>
              <w:rPr>
                <w:rFonts w:hint="eastAsia" w:ascii="宋体" w:hAnsi="宋体"/>
                <w:sz w:val="24"/>
              </w:rPr>
              <w:t>21</w:t>
            </w:r>
          </w:p>
        </w:tc>
        <w:tc>
          <w:tcPr>
            <w:tcW w:w="6433" w:type="dxa"/>
            <w:vAlign w:val="center"/>
          </w:tcPr>
          <w:p>
            <w:pPr>
              <w:autoSpaceDE/>
              <w:autoSpaceDN/>
              <w:adjustRightInd/>
              <w:rPr>
                <w:rFonts w:ascii="宋体" w:hAnsi="宋体"/>
                <w:sz w:val="24"/>
              </w:rPr>
            </w:pPr>
            <w:r>
              <w:rPr>
                <w:rFonts w:hint="eastAsia" w:ascii="宋体" w:hAnsi="宋体"/>
                <w:sz w:val="24"/>
              </w:rPr>
              <w:t>为获取自身利益，向采购人及其他有利害关系的单位或个人提供不正当利益的</w:t>
            </w:r>
          </w:p>
        </w:tc>
        <w:tc>
          <w:tcPr>
            <w:tcW w:w="1326" w:type="dxa"/>
            <w:vAlign w:val="center"/>
          </w:tcPr>
          <w:p>
            <w:pPr>
              <w:jc w:val="center"/>
              <w:rPr>
                <w:rFonts w:ascii="宋体" w:hAnsi="宋体"/>
                <w:sz w:val="24"/>
              </w:rPr>
            </w:pPr>
            <w:r>
              <w:rPr>
                <w:rFonts w:hint="eastAsia" w:ascii="宋体" w:hAnsi="宋体"/>
                <w:sz w:val="24"/>
              </w:rPr>
              <w:t>3年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285" w:hRule="atLeast"/>
        </w:trPr>
        <w:tc>
          <w:tcPr>
            <w:tcW w:w="947" w:type="dxa"/>
            <w:vAlign w:val="center"/>
          </w:tcPr>
          <w:p>
            <w:pPr>
              <w:spacing w:line="400" w:lineRule="exact"/>
              <w:jc w:val="center"/>
              <w:rPr>
                <w:rFonts w:ascii="宋体" w:hAnsi="宋体"/>
                <w:sz w:val="24"/>
              </w:rPr>
            </w:pPr>
            <w:r>
              <w:rPr>
                <w:rFonts w:hint="eastAsia" w:ascii="宋体" w:hAnsi="宋体"/>
                <w:sz w:val="24"/>
              </w:rPr>
              <w:t>22</w:t>
            </w:r>
          </w:p>
        </w:tc>
        <w:tc>
          <w:tcPr>
            <w:tcW w:w="6433" w:type="dxa"/>
            <w:vAlign w:val="center"/>
          </w:tcPr>
          <w:p>
            <w:pPr>
              <w:autoSpaceDE/>
              <w:autoSpaceDN/>
              <w:adjustRightInd/>
              <w:rPr>
                <w:rFonts w:ascii="宋体" w:hAnsi="宋体"/>
                <w:sz w:val="24"/>
              </w:rPr>
            </w:pPr>
            <w:r>
              <w:rPr>
                <w:rFonts w:hint="eastAsia" w:ascii="宋体" w:hAnsi="宋体"/>
                <w:sz w:val="24"/>
              </w:rPr>
              <w:t>提供假冒伪劣产品或走私物品的</w:t>
            </w:r>
          </w:p>
        </w:tc>
        <w:tc>
          <w:tcPr>
            <w:tcW w:w="1326" w:type="dxa"/>
            <w:vAlign w:val="center"/>
          </w:tcPr>
          <w:p>
            <w:pPr>
              <w:jc w:val="center"/>
              <w:rPr>
                <w:rFonts w:ascii="宋体" w:hAnsi="宋体"/>
                <w:sz w:val="24"/>
              </w:rPr>
            </w:pPr>
            <w:r>
              <w:rPr>
                <w:rFonts w:hint="eastAsia" w:ascii="宋体" w:hAnsi="宋体"/>
                <w:sz w:val="24"/>
              </w:rPr>
              <w:t>5年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285" w:hRule="atLeast"/>
        </w:trPr>
        <w:tc>
          <w:tcPr>
            <w:tcW w:w="947" w:type="dxa"/>
            <w:vAlign w:val="center"/>
          </w:tcPr>
          <w:p>
            <w:pPr>
              <w:spacing w:line="440" w:lineRule="exact"/>
              <w:jc w:val="center"/>
              <w:rPr>
                <w:rFonts w:ascii="宋体" w:hAnsi="宋体"/>
                <w:sz w:val="24"/>
              </w:rPr>
            </w:pPr>
            <w:r>
              <w:rPr>
                <w:rFonts w:hint="eastAsia" w:ascii="宋体" w:hAnsi="宋体"/>
                <w:sz w:val="24"/>
              </w:rPr>
              <w:t>23</w:t>
            </w:r>
          </w:p>
        </w:tc>
        <w:tc>
          <w:tcPr>
            <w:tcW w:w="6433" w:type="dxa"/>
            <w:vAlign w:val="center"/>
          </w:tcPr>
          <w:p>
            <w:pPr>
              <w:autoSpaceDE/>
              <w:autoSpaceDN/>
              <w:adjustRightInd/>
              <w:rPr>
                <w:rFonts w:ascii="宋体" w:hAnsi="宋体"/>
                <w:sz w:val="24"/>
              </w:rPr>
            </w:pPr>
            <w:r>
              <w:rPr>
                <w:rFonts w:hint="eastAsia" w:ascii="宋体" w:hAnsi="宋体"/>
                <w:sz w:val="24"/>
              </w:rPr>
              <w:t>擅自变更、中止、终止或解除政府采购合同的</w:t>
            </w:r>
          </w:p>
        </w:tc>
        <w:tc>
          <w:tcPr>
            <w:tcW w:w="1326" w:type="dxa"/>
            <w:vAlign w:val="center"/>
          </w:tcPr>
          <w:p>
            <w:pPr>
              <w:jc w:val="center"/>
              <w:rPr>
                <w:rFonts w:ascii="宋体" w:hAnsi="宋体"/>
                <w:sz w:val="24"/>
              </w:rPr>
            </w:pPr>
            <w:r>
              <w:rPr>
                <w:rFonts w:hint="eastAsia" w:ascii="宋体" w:hAnsi="宋体"/>
                <w:sz w:val="24"/>
              </w:rPr>
              <w:t>5年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285" w:hRule="atLeast"/>
        </w:trPr>
        <w:tc>
          <w:tcPr>
            <w:tcW w:w="947" w:type="dxa"/>
            <w:vAlign w:val="center"/>
          </w:tcPr>
          <w:p>
            <w:pPr>
              <w:spacing w:line="440" w:lineRule="exact"/>
              <w:jc w:val="center"/>
              <w:rPr>
                <w:rFonts w:ascii="宋体" w:hAnsi="宋体"/>
                <w:sz w:val="24"/>
              </w:rPr>
            </w:pPr>
            <w:r>
              <w:rPr>
                <w:rFonts w:hint="eastAsia" w:ascii="宋体" w:hAnsi="宋体"/>
                <w:sz w:val="24"/>
              </w:rPr>
              <w:t>24</w:t>
            </w:r>
          </w:p>
        </w:tc>
        <w:tc>
          <w:tcPr>
            <w:tcW w:w="6433" w:type="dxa"/>
            <w:vAlign w:val="center"/>
          </w:tcPr>
          <w:p>
            <w:pPr>
              <w:autoSpaceDE/>
              <w:autoSpaceDN/>
              <w:adjustRightInd/>
              <w:rPr>
                <w:rFonts w:ascii="宋体" w:hAnsi="宋体"/>
                <w:sz w:val="24"/>
              </w:rPr>
            </w:pPr>
            <w:r>
              <w:rPr>
                <w:rFonts w:hint="eastAsia" w:ascii="宋体" w:hAnsi="宋体"/>
                <w:sz w:val="24"/>
              </w:rPr>
              <w:t>向有关人员行贿或者提供不正当利益谋取中标的</w:t>
            </w:r>
          </w:p>
        </w:tc>
        <w:tc>
          <w:tcPr>
            <w:tcW w:w="1326" w:type="dxa"/>
            <w:vAlign w:val="center"/>
          </w:tcPr>
          <w:p>
            <w:pPr>
              <w:jc w:val="center"/>
              <w:rPr>
                <w:rFonts w:ascii="宋体" w:hAnsi="宋体"/>
                <w:sz w:val="24"/>
              </w:rPr>
            </w:pPr>
            <w:r>
              <w:rPr>
                <w:rFonts w:hint="eastAsia" w:ascii="宋体" w:hAnsi="宋体"/>
                <w:sz w:val="24"/>
              </w:rPr>
              <w:t>5年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285" w:hRule="atLeast"/>
        </w:trPr>
        <w:tc>
          <w:tcPr>
            <w:tcW w:w="947" w:type="dxa"/>
            <w:vAlign w:val="center"/>
          </w:tcPr>
          <w:p>
            <w:pPr>
              <w:spacing w:line="440" w:lineRule="exact"/>
              <w:jc w:val="center"/>
              <w:rPr>
                <w:rFonts w:ascii="宋体" w:hAnsi="宋体"/>
                <w:sz w:val="24"/>
              </w:rPr>
            </w:pPr>
            <w:r>
              <w:rPr>
                <w:rFonts w:hint="eastAsia" w:ascii="宋体" w:hAnsi="宋体"/>
                <w:sz w:val="24"/>
              </w:rPr>
              <w:t>25</w:t>
            </w:r>
          </w:p>
        </w:tc>
        <w:tc>
          <w:tcPr>
            <w:tcW w:w="6433" w:type="dxa"/>
            <w:vAlign w:val="center"/>
          </w:tcPr>
          <w:p>
            <w:pPr>
              <w:autoSpaceDE/>
              <w:autoSpaceDN/>
              <w:adjustRightInd/>
              <w:rPr>
                <w:rFonts w:ascii="宋体" w:hAnsi="宋体"/>
                <w:sz w:val="24"/>
              </w:rPr>
            </w:pPr>
            <w:r>
              <w:rPr>
                <w:rFonts w:hint="eastAsia" w:ascii="宋体" w:hAnsi="宋体"/>
                <w:sz w:val="24"/>
              </w:rPr>
              <w:t>在政府采购活动期间，对管理机构、采购人、其他投标人、评标专家、中介机构等政府采购相关机构和人员，采取诋毁、诽谤、胁迫、暴力等不正当手段的</w:t>
            </w:r>
          </w:p>
        </w:tc>
        <w:tc>
          <w:tcPr>
            <w:tcW w:w="1326" w:type="dxa"/>
            <w:vAlign w:val="center"/>
          </w:tcPr>
          <w:p>
            <w:pPr>
              <w:jc w:val="center"/>
              <w:rPr>
                <w:rFonts w:ascii="宋体" w:hAnsi="宋体"/>
                <w:sz w:val="24"/>
              </w:rPr>
            </w:pPr>
            <w:r>
              <w:rPr>
                <w:rFonts w:hint="eastAsia" w:ascii="宋体" w:hAnsi="宋体"/>
                <w:sz w:val="24"/>
              </w:rPr>
              <w:t>5年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285" w:hRule="atLeast"/>
        </w:trPr>
        <w:tc>
          <w:tcPr>
            <w:tcW w:w="947" w:type="dxa"/>
            <w:vAlign w:val="center"/>
          </w:tcPr>
          <w:p>
            <w:pPr>
              <w:spacing w:line="440" w:lineRule="exact"/>
              <w:jc w:val="center"/>
              <w:rPr>
                <w:rFonts w:ascii="宋体" w:hAnsi="宋体"/>
                <w:sz w:val="24"/>
              </w:rPr>
            </w:pPr>
            <w:r>
              <w:rPr>
                <w:rFonts w:hint="eastAsia" w:ascii="宋体" w:hAnsi="宋体"/>
                <w:sz w:val="24"/>
              </w:rPr>
              <w:t>26</w:t>
            </w:r>
          </w:p>
        </w:tc>
        <w:tc>
          <w:tcPr>
            <w:tcW w:w="6433" w:type="dxa"/>
            <w:vAlign w:val="center"/>
          </w:tcPr>
          <w:p>
            <w:pPr>
              <w:autoSpaceDE/>
              <w:autoSpaceDN/>
              <w:adjustRightInd/>
              <w:rPr>
                <w:rFonts w:ascii="宋体" w:hAnsi="宋体"/>
                <w:sz w:val="24"/>
              </w:rPr>
            </w:pPr>
            <w:r>
              <w:rPr>
                <w:rFonts w:hint="eastAsia" w:ascii="宋体" w:hAnsi="宋体"/>
                <w:sz w:val="24"/>
              </w:rPr>
              <w:t>诸暨市公共资源交易管理委员会办公室认定的其他违反政府采购管理的行为</w:t>
            </w:r>
          </w:p>
        </w:tc>
        <w:tc>
          <w:tcPr>
            <w:tcW w:w="1326" w:type="dxa"/>
            <w:vAlign w:val="center"/>
          </w:tcPr>
          <w:p>
            <w:pPr>
              <w:jc w:val="center"/>
              <w:rPr>
                <w:rFonts w:ascii="宋体" w:hAnsi="宋体"/>
                <w:sz w:val="24"/>
              </w:rPr>
            </w:pPr>
            <w:r>
              <w:rPr>
                <w:rFonts w:hint="eastAsia" w:ascii="宋体" w:hAnsi="宋体"/>
                <w:sz w:val="24"/>
              </w:rPr>
              <w:t>酌情处理</w:t>
            </w:r>
          </w:p>
        </w:tc>
      </w:tr>
    </w:tbl>
    <w:p>
      <w:pPr>
        <w:jc w:val="center"/>
        <w:rPr>
          <w:b/>
          <w:sz w:val="28"/>
        </w:rPr>
      </w:pPr>
      <w:r>
        <w:rPr>
          <w:rFonts w:hint="eastAsia"/>
          <w:b/>
          <w:sz w:val="28"/>
        </w:rPr>
        <w:t>十、监督和解释</w:t>
      </w:r>
      <w:bookmarkEnd w:id="36"/>
    </w:p>
    <w:p>
      <w:pPr>
        <w:ind w:firstLine="482" w:firstLineChars="200"/>
        <w:rPr>
          <w:rFonts w:ascii="宋体" w:hAnsi="宋体"/>
          <w:sz w:val="24"/>
        </w:rPr>
      </w:pPr>
      <w:r>
        <w:rPr>
          <w:rFonts w:hint="eastAsia" w:ascii="宋体" w:hAnsi="宋体"/>
          <w:b/>
          <w:bCs/>
          <w:sz w:val="24"/>
        </w:rPr>
        <w:t>37.</w:t>
      </w:r>
      <w:r>
        <w:rPr>
          <w:rFonts w:hint="eastAsia" w:ascii="宋体" w:hAnsi="宋体"/>
          <w:sz w:val="24"/>
        </w:rPr>
        <w:t>本次招标活动接受诸暨市财政局、诸暨市公共资源交易管理委员会办公室的监督。</w:t>
      </w:r>
    </w:p>
    <w:p>
      <w:pPr>
        <w:ind w:firstLine="482" w:firstLineChars="200"/>
        <w:rPr>
          <w:rFonts w:ascii="宋体" w:hAnsi="宋体"/>
          <w:sz w:val="24"/>
        </w:rPr>
      </w:pPr>
      <w:r>
        <w:rPr>
          <w:rFonts w:hint="eastAsia" w:ascii="宋体" w:hAnsi="宋体"/>
          <w:b/>
          <w:bCs/>
          <w:sz w:val="24"/>
        </w:rPr>
        <w:t>38.</w:t>
      </w:r>
      <w:r>
        <w:rPr>
          <w:rFonts w:hint="eastAsia" w:ascii="宋体" w:hAnsi="宋体"/>
          <w:sz w:val="24"/>
        </w:rPr>
        <w:t>本招标文件的解释权属于采购人和诸暨市公共资源交易中心。</w:t>
      </w:r>
    </w:p>
    <w:p>
      <w:pPr>
        <w:jc w:val="center"/>
        <w:rPr>
          <w:rFonts w:ascii="宋体" w:hAnsi="宋体"/>
          <w:b/>
          <w:sz w:val="36"/>
          <w:szCs w:val="36"/>
        </w:rPr>
      </w:pPr>
      <w:r>
        <w:rPr>
          <w:rFonts w:ascii="宋体" w:hAnsi="宋体"/>
          <w:b/>
          <w:sz w:val="36"/>
          <w:szCs w:val="36"/>
        </w:rPr>
        <w:br w:type="page"/>
      </w:r>
    </w:p>
    <w:p>
      <w:pPr>
        <w:jc w:val="center"/>
        <w:rPr>
          <w:rFonts w:ascii="宋体" w:hAnsi="宋体"/>
          <w:b/>
          <w:sz w:val="36"/>
          <w:szCs w:val="36"/>
        </w:rPr>
      </w:pPr>
    </w:p>
    <w:p>
      <w:pPr>
        <w:jc w:val="center"/>
        <w:rPr>
          <w:rFonts w:ascii="宋体" w:hAnsi="宋体"/>
          <w:b/>
          <w:sz w:val="36"/>
          <w:szCs w:val="36"/>
        </w:rPr>
      </w:pPr>
      <w:r>
        <w:rPr>
          <w:rFonts w:hint="eastAsia" w:ascii="宋体" w:hAnsi="宋体"/>
          <w:b/>
          <w:sz w:val="36"/>
          <w:szCs w:val="36"/>
        </w:rPr>
        <w:t>第三章   采购需求</w:t>
      </w:r>
      <w:bookmarkEnd w:id="28"/>
    </w:p>
    <w:p>
      <w:pPr>
        <w:spacing w:line="500" w:lineRule="exact"/>
        <w:ind w:firstLine="482" w:firstLineChars="200"/>
        <w:rPr>
          <w:rFonts w:ascii="新宋体" w:hAnsi="新宋体" w:eastAsia="新宋体"/>
          <w:b/>
          <w:sz w:val="24"/>
        </w:rPr>
      </w:pPr>
      <w:bookmarkStart w:id="37" w:name="_Toc370392249"/>
      <w:bookmarkStart w:id="38" w:name="_Toc355339510"/>
      <w:bookmarkStart w:id="39" w:name="_Toc24111694"/>
    </w:p>
    <w:bookmarkEnd w:id="37"/>
    <w:bookmarkEnd w:id="38"/>
    <w:bookmarkEnd w:id="39"/>
    <w:p>
      <w:pPr>
        <w:numPr>
          <w:ilvl w:val="0"/>
          <w:numId w:val="2"/>
        </w:numPr>
        <w:autoSpaceDE/>
        <w:autoSpaceDN/>
        <w:adjustRightInd/>
        <w:spacing w:line="500" w:lineRule="exact"/>
        <w:rPr>
          <w:rFonts w:ascii="宋体" w:hAnsi="宋体"/>
          <w:sz w:val="24"/>
        </w:rPr>
      </w:pPr>
      <w:bookmarkStart w:id="40" w:name="_Toc125344513"/>
      <w:r>
        <w:rPr>
          <w:rFonts w:hint="eastAsia" w:ascii="宋体" w:hAnsi="宋体"/>
          <w:sz w:val="24"/>
        </w:rPr>
        <w:t>采购内容及要求：</w:t>
      </w:r>
    </w:p>
    <w:p>
      <w:pPr>
        <w:spacing w:line="500" w:lineRule="exact"/>
        <w:ind w:left="360"/>
        <w:rPr>
          <w:rFonts w:ascii="宋体" w:hAnsi="宋体"/>
          <w:sz w:val="24"/>
        </w:rPr>
      </w:pPr>
      <w:r>
        <w:rPr>
          <w:rFonts w:hint="eastAsia" w:ascii="宋体" w:hAnsi="宋体"/>
          <w:sz w:val="24"/>
        </w:rPr>
        <w:t xml:space="preserve">  1、采购内容：《2021年高中招生考生指南》印刷服务。</w:t>
      </w:r>
    </w:p>
    <w:p>
      <w:pPr>
        <w:widowControl/>
        <w:spacing w:line="408" w:lineRule="auto"/>
        <w:ind w:firstLine="600"/>
        <w:jc w:val="left"/>
        <w:rPr>
          <w:rFonts w:ascii="宋体" w:hAnsi="宋体"/>
          <w:sz w:val="24"/>
        </w:rPr>
      </w:pPr>
      <w:r>
        <w:rPr>
          <w:rFonts w:hint="eastAsia" w:ascii="宋体" w:hAnsi="Calibri" w:cs="宋体"/>
          <w:lang w:val="zh-CN"/>
        </w:rPr>
        <w:t>★</w:t>
      </w:r>
      <w:r>
        <w:rPr>
          <w:rFonts w:hint="eastAsia" w:ascii="宋体" w:hAnsi="宋体"/>
          <w:sz w:val="24"/>
        </w:rPr>
        <w:t>2、要求：</w:t>
      </w:r>
      <w:r>
        <w:rPr>
          <w:rFonts w:ascii="宋体" w:hAnsi="宋体"/>
          <w:sz w:val="24"/>
        </w:rPr>
        <w:t xml:space="preserve"> </w:t>
      </w:r>
    </w:p>
    <w:p>
      <w:pPr>
        <w:spacing w:line="420" w:lineRule="exact"/>
        <w:ind w:firstLine="360" w:firstLineChars="150"/>
        <w:rPr>
          <w:rFonts w:ascii="宋体" w:hAnsi="宋体"/>
          <w:sz w:val="24"/>
        </w:rPr>
      </w:pPr>
      <w:r>
        <w:rPr>
          <w:rFonts w:ascii="宋体" w:hAnsi="宋体"/>
          <w:sz w:val="24"/>
        </w:rPr>
        <w:fldChar w:fldCharType="begin"/>
      </w:r>
      <w:r>
        <w:rPr>
          <w:rFonts w:ascii="宋体" w:hAnsi="宋体"/>
          <w:sz w:val="24"/>
        </w:rPr>
        <w:instrText xml:space="preserve"> </w:instrText>
      </w:r>
      <w:r>
        <w:rPr>
          <w:rFonts w:hint="eastAsia" w:ascii="宋体" w:hAnsi="宋体"/>
          <w:sz w:val="24"/>
        </w:rPr>
        <w:instrText xml:space="preserve">= 1 \* GB2</w:instrText>
      </w:r>
      <w:r>
        <w:rPr>
          <w:rFonts w:ascii="宋体" w:hAnsi="宋体"/>
          <w:sz w:val="24"/>
        </w:rPr>
        <w:instrText xml:space="preserve"> </w:instrText>
      </w:r>
      <w:r>
        <w:rPr>
          <w:rFonts w:ascii="宋体" w:hAnsi="宋体"/>
          <w:sz w:val="24"/>
        </w:rPr>
        <w:fldChar w:fldCharType="separate"/>
      </w:r>
      <w:r>
        <w:rPr>
          <w:rFonts w:hint="eastAsia" w:ascii="宋体" w:hAnsi="宋体"/>
          <w:sz w:val="24"/>
        </w:rPr>
        <w:t>⑴</w:t>
      </w:r>
      <w:r>
        <w:rPr>
          <w:rFonts w:ascii="宋体" w:hAnsi="宋体"/>
          <w:sz w:val="24"/>
        </w:rPr>
        <w:fldChar w:fldCharType="end"/>
      </w:r>
      <w:r>
        <w:rPr>
          <w:rFonts w:hint="eastAsia" w:ascii="宋体" w:hAnsi="宋体"/>
          <w:sz w:val="24"/>
        </w:rPr>
        <w:t>内芯约56页左右，封面封底双面彩色印刷。</w:t>
      </w:r>
    </w:p>
    <w:p>
      <w:pPr>
        <w:spacing w:line="420" w:lineRule="exact"/>
        <w:ind w:firstLine="360" w:firstLineChars="150"/>
        <w:rPr>
          <w:rFonts w:ascii="宋体" w:hAnsi="宋体"/>
          <w:sz w:val="24"/>
        </w:rPr>
      </w:pPr>
      <w:r>
        <w:rPr>
          <w:rFonts w:ascii="宋体" w:hAnsi="宋体"/>
          <w:sz w:val="24"/>
        </w:rPr>
        <w:fldChar w:fldCharType="begin"/>
      </w:r>
      <w:r>
        <w:rPr>
          <w:rFonts w:ascii="宋体" w:hAnsi="宋体"/>
          <w:sz w:val="24"/>
        </w:rPr>
        <w:instrText xml:space="preserve"> </w:instrText>
      </w:r>
      <w:r>
        <w:rPr>
          <w:rFonts w:hint="eastAsia" w:ascii="宋体" w:hAnsi="宋体"/>
          <w:sz w:val="24"/>
        </w:rPr>
        <w:instrText xml:space="preserve">= 2 \* GB2</w:instrText>
      </w:r>
      <w:r>
        <w:rPr>
          <w:rFonts w:ascii="宋体" w:hAnsi="宋体"/>
          <w:sz w:val="24"/>
        </w:rPr>
        <w:instrText xml:space="preserve"> </w:instrText>
      </w:r>
      <w:r>
        <w:rPr>
          <w:rFonts w:ascii="宋体" w:hAnsi="宋体"/>
          <w:sz w:val="24"/>
        </w:rPr>
        <w:fldChar w:fldCharType="separate"/>
      </w:r>
      <w:r>
        <w:rPr>
          <w:rFonts w:hint="eastAsia" w:ascii="宋体" w:hAnsi="宋体"/>
          <w:sz w:val="24"/>
        </w:rPr>
        <w:t>⑵</w:t>
      </w:r>
      <w:r>
        <w:rPr>
          <w:rFonts w:ascii="宋体" w:hAnsi="宋体"/>
          <w:sz w:val="24"/>
        </w:rPr>
        <w:fldChar w:fldCharType="end"/>
      </w:r>
      <w:r>
        <w:rPr>
          <w:rFonts w:hint="eastAsia" w:ascii="宋体" w:hAnsi="宋体"/>
          <w:sz w:val="24"/>
        </w:rPr>
        <w:t>A4大小，采用70克金东双胶纸，彩页为200克金东铜版纸。</w:t>
      </w:r>
    </w:p>
    <w:p>
      <w:pPr>
        <w:spacing w:line="420" w:lineRule="exact"/>
        <w:ind w:firstLine="360" w:firstLineChars="150"/>
        <w:rPr>
          <w:rFonts w:ascii="宋体" w:hAnsi="宋体"/>
          <w:sz w:val="24"/>
        </w:rPr>
      </w:pPr>
      <w:r>
        <w:rPr>
          <w:rFonts w:ascii="宋体" w:hAnsi="宋体"/>
          <w:sz w:val="24"/>
        </w:rPr>
        <w:fldChar w:fldCharType="begin"/>
      </w:r>
      <w:r>
        <w:rPr>
          <w:rFonts w:ascii="宋体" w:hAnsi="宋体"/>
          <w:sz w:val="24"/>
        </w:rPr>
        <w:instrText xml:space="preserve"> </w:instrText>
      </w:r>
      <w:r>
        <w:rPr>
          <w:rFonts w:hint="eastAsia" w:ascii="宋体" w:hAnsi="宋体"/>
          <w:sz w:val="24"/>
        </w:rPr>
        <w:instrText xml:space="preserve">= 3 \* GB2</w:instrText>
      </w:r>
      <w:r>
        <w:rPr>
          <w:rFonts w:ascii="宋体" w:hAnsi="宋体"/>
          <w:sz w:val="24"/>
        </w:rPr>
        <w:instrText xml:space="preserve"> </w:instrText>
      </w:r>
      <w:r>
        <w:rPr>
          <w:rFonts w:ascii="宋体" w:hAnsi="宋体"/>
          <w:sz w:val="24"/>
        </w:rPr>
        <w:fldChar w:fldCharType="separate"/>
      </w:r>
      <w:r>
        <w:rPr>
          <w:rFonts w:hint="eastAsia" w:ascii="宋体" w:hAnsi="宋体"/>
          <w:sz w:val="24"/>
        </w:rPr>
        <w:t>⑶</w:t>
      </w:r>
      <w:r>
        <w:rPr>
          <w:rFonts w:ascii="宋体" w:hAnsi="宋体"/>
          <w:sz w:val="24"/>
        </w:rPr>
        <w:fldChar w:fldCharType="end"/>
      </w:r>
      <w:r>
        <w:rPr>
          <w:rFonts w:hint="eastAsia" w:ascii="宋体" w:hAnsi="宋体"/>
          <w:sz w:val="24"/>
        </w:rPr>
        <w:t>印数：13700本。</w:t>
      </w:r>
    </w:p>
    <w:p>
      <w:pPr>
        <w:spacing w:line="420" w:lineRule="exact"/>
        <w:ind w:firstLine="360" w:firstLineChars="150"/>
        <w:rPr>
          <w:rFonts w:ascii="宋体" w:hAnsi="宋体"/>
          <w:sz w:val="24"/>
        </w:rPr>
      </w:pPr>
      <w:r>
        <w:rPr>
          <w:rFonts w:ascii="宋体" w:hAnsi="宋体"/>
          <w:sz w:val="24"/>
        </w:rPr>
        <w:fldChar w:fldCharType="begin"/>
      </w:r>
      <w:r>
        <w:rPr>
          <w:rFonts w:ascii="宋体" w:hAnsi="宋体"/>
          <w:sz w:val="24"/>
        </w:rPr>
        <w:instrText xml:space="preserve"> </w:instrText>
      </w:r>
      <w:r>
        <w:rPr>
          <w:rFonts w:hint="eastAsia" w:ascii="宋体" w:hAnsi="宋体"/>
          <w:sz w:val="24"/>
        </w:rPr>
        <w:instrText xml:space="preserve">= 4 \* GB2</w:instrText>
      </w:r>
      <w:r>
        <w:rPr>
          <w:rFonts w:ascii="宋体" w:hAnsi="宋体"/>
          <w:sz w:val="24"/>
        </w:rPr>
        <w:instrText xml:space="preserve"> </w:instrText>
      </w:r>
      <w:r>
        <w:rPr>
          <w:rFonts w:ascii="宋体" w:hAnsi="宋体"/>
          <w:sz w:val="24"/>
        </w:rPr>
        <w:fldChar w:fldCharType="separate"/>
      </w:r>
      <w:r>
        <w:rPr>
          <w:rFonts w:hint="eastAsia" w:ascii="宋体" w:hAnsi="宋体"/>
          <w:sz w:val="24"/>
        </w:rPr>
        <w:t>⑷</w:t>
      </w:r>
      <w:r>
        <w:rPr>
          <w:rFonts w:ascii="宋体" w:hAnsi="宋体"/>
          <w:sz w:val="24"/>
        </w:rPr>
        <w:fldChar w:fldCharType="end"/>
      </w:r>
      <w:r>
        <w:rPr>
          <w:rFonts w:hint="eastAsia" w:ascii="宋体" w:hAnsi="宋体"/>
          <w:sz w:val="24"/>
        </w:rPr>
        <w:t>教育考试中心提供电子文档。</w:t>
      </w:r>
    </w:p>
    <w:p>
      <w:pPr>
        <w:spacing w:line="420" w:lineRule="exact"/>
        <w:ind w:firstLine="360" w:firstLineChars="150"/>
        <w:rPr>
          <w:rFonts w:ascii="宋体" w:hAnsi="宋体"/>
          <w:sz w:val="24"/>
        </w:rPr>
      </w:pPr>
      <w:r>
        <w:rPr>
          <w:rFonts w:ascii="宋体" w:hAnsi="宋体"/>
          <w:sz w:val="24"/>
        </w:rPr>
        <w:fldChar w:fldCharType="begin"/>
      </w:r>
      <w:r>
        <w:rPr>
          <w:rFonts w:ascii="宋体" w:hAnsi="宋体"/>
          <w:sz w:val="24"/>
        </w:rPr>
        <w:instrText xml:space="preserve"> </w:instrText>
      </w:r>
      <w:r>
        <w:rPr>
          <w:rFonts w:hint="eastAsia" w:ascii="宋体" w:hAnsi="宋体"/>
          <w:sz w:val="24"/>
        </w:rPr>
        <w:instrText xml:space="preserve">= 5 \* GB2</w:instrText>
      </w:r>
      <w:r>
        <w:rPr>
          <w:rFonts w:ascii="宋体" w:hAnsi="宋体"/>
          <w:sz w:val="24"/>
        </w:rPr>
        <w:instrText xml:space="preserve"> </w:instrText>
      </w:r>
      <w:r>
        <w:rPr>
          <w:rFonts w:ascii="宋体" w:hAnsi="宋体"/>
          <w:sz w:val="24"/>
        </w:rPr>
        <w:fldChar w:fldCharType="separate"/>
      </w:r>
      <w:r>
        <w:rPr>
          <w:rFonts w:hint="eastAsia" w:ascii="宋体" w:hAnsi="宋体"/>
          <w:sz w:val="24"/>
        </w:rPr>
        <w:t>⑸</w:t>
      </w:r>
      <w:r>
        <w:rPr>
          <w:rFonts w:ascii="宋体" w:hAnsi="宋体"/>
          <w:sz w:val="24"/>
        </w:rPr>
        <w:fldChar w:fldCharType="end"/>
      </w:r>
      <w:r>
        <w:rPr>
          <w:rFonts w:hint="eastAsia" w:ascii="宋体" w:hAnsi="宋体"/>
          <w:sz w:val="24"/>
        </w:rPr>
        <w:t>按考点(共34个考点)包装。（清单由考试中心提供）</w:t>
      </w:r>
    </w:p>
    <w:p>
      <w:pPr>
        <w:spacing w:line="420" w:lineRule="exact"/>
        <w:ind w:firstLine="360" w:firstLineChars="150"/>
        <w:rPr>
          <w:rFonts w:ascii="宋体" w:hAnsi="宋体"/>
          <w:sz w:val="24"/>
        </w:rPr>
      </w:pPr>
      <w:r>
        <w:rPr>
          <w:rFonts w:ascii="宋体" w:hAnsi="宋体"/>
          <w:sz w:val="24"/>
        </w:rPr>
        <w:fldChar w:fldCharType="begin"/>
      </w:r>
      <w:r>
        <w:rPr>
          <w:rFonts w:ascii="宋体" w:hAnsi="宋体"/>
          <w:sz w:val="24"/>
        </w:rPr>
        <w:instrText xml:space="preserve"> </w:instrText>
      </w:r>
      <w:r>
        <w:rPr>
          <w:rFonts w:hint="eastAsia" w:ascii="宋体" w:hAnsi="宋体"/>
          <w:sz w:val="24"/>
        </w:rPr>
        <w:instrText xml:space="preserve">= 6 \* GB2</w:instrText>
      </w:r>
      <w:r>
        <w:rPr>
          <w:rFonts w:ascii="宋体" w:hAnsi="宋体"/>
          <w:sz w:val="24"/>
        </w:rPr>
        <w:instrText xml:space="preserve"> </w:instrText>
      </w:r>
      <w:r>
        <w:rPr>
          <w:rFonts w:ascii="宋体" w:hAnsi="宋体"/>
          <w:sz w:val="24"/>
        </w:rPr>
        <w:fldChar w:fldCharType="separate"/>
      </w:r>
      <w:r>
        <w:rPr>
          <w:rFonts w:hint="eastAsia" w:ascii="宋体" w:hAnsi="宋体"/>
          <w:sz w:val="24"/>
        </w:rPr>
        <w:t>⑹</w:t>
      </w:r>
      <w:r>
        <w:rPr>
          <w:rFonts w:ascii="宋体" w:hAnsi="宋体"/>
          <w:sz w:val="24"/>
        </w:rPr>
        <w:fldChar w:fldCharType="end"/>
      </w:r>
      <w:r>
        <w:rPr>
          <w:rFonts w:hint="eastAsia" w:ascii="宋体" w:hAnsi="宋体"/>
          <w:sz w:val="24"/>
        </w:rPr>
        <w:t xml:space="preserve">中标单位来校签合同时带上纸张样品，6月10日前送货到指定地点。（合同签订前，纸张样品需经采购单位确认合格。）                                   </w:t>
      </w:r>
    </w:p>
    <w:p>
      <w:pPr>
        <w:spacing w:line="420" w:lineRule="exact"/>
        <w:ind w:firstLine="360" w:firstLineChars="150"/>
        <w:rPr>
          <w:rFonts w:ascii="宋体" w:hAnsi="宋体"/>
          <w:sz w:val="24"/>
        </w:rPr>
      </w:pPr>
      <w:r>
        <w:rPr>
          <w:rFonts w:ascii="宋体" w:hAnsi="宋体"/>
          <w:sz w:val="24"/>
        </w:rPr>
        <w:fldChar w:fldCharType="begin"/>
      </w:r>
      <w:r>
        <w:rPr>
          <w:rFonts w:ascii="宋体" w:hAnsi="宋体"/>
          <w:sz w:val="24"/>
        </w:rPr>
        <w:instrText xml:space="preserve"> </w:instrText>
      </w:r>
      <w:r>
        <w:rPr>
          <w:rFonts w:hint="eastAsia" w:ascii="宋体" w:hAnsi="宋体"/>
          <w:sz w:val="24"/>
        </w:rPr>
        <w:instrText xml:space="preserve">= 7 \* GB2</w:instrText>
      </w:r>
      <w:r>
        <w:rPr>
          <w:rFonts w:ascii="宋体" w:hAnsi="宋体"/>
          <w:sz w:val="24"/>
        </w:rPr>
        <w:instrText xml:space="preserve"> </w:instrText>
      </w:r>
      <w:r>
        <w:rPr>
          <w:rFonts w:ascii="宋体" w:hAnsi="宋体"/>
          <w:sz w:val="24"/>
        </w:rPr>
        <w:fldChar w:fldCharType="separate"/>
      </w:r>
      <w:r>
        <w:rPr>
          <w:rFonts w:hint="eastAsia" w:ascii="宋体" w:hAnsi="宋体"/>
          <w:sz w:val="24"/>
        </w:rPr>
        <w:t>⑺</w:t>
      </w:r>
      <w:r>
        <w:rPr>
          <w:rFonts w:ascii="宋体" w:hAnsi="宋体"/>
          <w:sz w:val="24"/>
        </w:rPr>
        <w:fldChar w:fldCharType="end"/>
      </w:r>
      <w:r>
        <w:rPr>
          <w:rFonts w:hint="eastAsia" w:ascii="宋体" w:hAnsi="宋体"/>
          <w:sz w:val="24"/>
        </w:rPr>
        <w:t>中标单位单独派车送货，并负责装卸和运费。</w:t>
      </w:r>
    </w:p>
    <w:p>
      <w:pPr>
        <w:widowControl/>
        <w:jc w:val="left"/>
        <w:rPr>
          <w:rFonts w:ascii="仿宋_GB2312" w:cs="宋体"/>
          <w:b/>
          <w:sz w:val="24"/>
        </w:rPr>
      </w:pPr>
      <w:r>
        <w:rPr>
          <w:rFonts w:hint="eastAsia" w:ascii="仿宋_GB2312" w:cs="宋体"/>
          <w:b/>
          <w:sz w:val="24"/>
        </w:rPr>
        <w:t>（备注：★为实质性响应</w:t>
      </w:r>
      <w:r>
        <w:rPr>
          <w:rFonts w:ascii="仿宋_GB2312" w:cs="宋体"/>
          <w:b/>
          <w:sz w:val="24"/>
        </w:rPr>
        <w:t>,</w:t>
      </w:r>
      <w:r>
        <w:rPr>
          <w:rFonts w:hint="eastAsia" w:ascii="仿宋_GB2312" w:cs="宋体"/>
          <w:b/>
          <w:sz w:val="24"/>
        </w:rPr>
        <w:t>如不满足则视为无效投标）</w:t>
      </w:r>
    </w:p>
    <w:p>
      <w:pPr>
        <w:widowControl/>
        <w:spacing w:line="408" w:lineRule="auto"/>
        <w:rPr>
          <w:rFonts w:ascii="宋体" w:hAnsi="宋体"/>
          <w:sz w:val="24"/>
        </w:rPr>
      </w:pPr>
      <w:r>
        <w:rPr>
          <w:rFonts w:hint="eastAsia" w:ascii="宋体" w:hAnsi="宋体"/>
          <w:sz w:val="24"/>
        </w:rPr>
        <w:t>（二）付款方式：项目验收合格后一次性付款。</w:t>
      </w:r>
    </w:p>
    <w:p>
      <w:pPr>
        <w:rPr>
          <w:rFonts w:ascii="宋体" w:hAnsi="宋体"/>
          <w:sz w:val="24"/>
        </w:rPr>
      </w:pPr>
      <w:r>
        <w:rPr>
          <w:rFonts w:hint="eastAsia" w:ascii="宋体" w:hAnsi="宋体"/>
          <w:sz w:val="24"/>
        </w:rPr>
        <w:t>（三）最高限价：</w:t>
      </w:r>
    </w:p>
    <w:p>
      <w:pPr>
        <w:spacing w:line="440" w:lineRule="exact"/>
        <w:ind w:firstLine="480" w:firstLineChars="200"/>
        <w:rPr>
          <w:rFonts w:ascii="宋体" w:hAnsi="宋体"/>
          <w:sz w:val="24"/>
        </w:rPr>
      </w:pPr>
      <w:r>
        <w:rPr>
          <w:rFonts w:hint="eastAsia" w:ascii="宋体" w:hAnsi="宋体"/>
          <w:sz w:val="24"/>
        </w:rPr>
        <w:t>本次采购最高限价为人民币</w:t>
      </w:r>
      <w:r>
        <w:rPr>
          <w:rFonts w:hint="eastAsia" w:ascii="宋体" w:hAnsi="宋体"/>
          <w:b/>
          <w:sz w:val="24"/>
          <w:u w:val="single"/>
        </w:rPr>
        <w:t>叁万伍仟圆整（¥35000.00）</w:t>
      </w:r>
      <w:r>
        <w:rPr>
          <w:rFonts w:hint="eastAsia" w:ascii="宋体" w:hAnsi="宋体"/>
          <w:sz w:val="24"/>
        </w:rPr>
        <w:t>，任何超过最高限价的报价将被认定为无效报价。</w:t>
      </w:r>
    </w:p>
    <w:bookmarkEnd w:id="40"/>
    <w:p>
      <w:pPr>
        <w:ind w:firstLine="480" w:firstLineChars="200"/>
        <w:rPr>
          <w:rFonts w:ascii="宋体" w:hAnsi="宋体"/>
          <w:sz w:val="24"/>
        </w:rPr>
      </w:pPr>
    </w:p>
    <w:p>
      <w:pPr>
        <w:ind w:firstLine="482" w:firstLineChars="200"/>
        <w:jc w:val="left"/>
        <w:rPr>
          <w:rFonts w:ascii="宋体" w:hAnsi="宋体"/>
          <w:b/>
          <w:sz w:val="24"/>
        </w:rPr>
      </w:pPr>
    </w:p>
    <w:p>
      <w:pPr>
        <w:ind w:firstLine="562" w:firstLineChars="200"/>
        <w:rPr>
          <w:rFonts w:ascii="宋体" w:hAnsi="宋体"/>
          <w:b/>
          <w:sz w:val="28"/>
          <w:szCs w:val="28"/>
        </w:rPr>
      </w:pPr>
    </w:p>
    <w:p>
      <w:pPr>
        <w:jc w:val="center"/>
        <w:rPr>
          <w:rFonts w:ascii="黑体" w:hAnsi="宋体" w:eastAsia="黑体"/>
          <w:sz w:val="44"/>
          <w:szCs w:val="44"/>
        </w:rPr>
      </w:pPr>
    </w:p>
    <w:p>
      <w:pPr>
        <w:jc w:val="center"/>
        <w:rPr>
          <w:rFonts w:ascii="黑体" w:hAnsi="宋体" w:eastAsia="黑体"/>
          <w:sz w:val="44"/>
          <w:szCs w:val="44"/>
        </w:rPr>
      </w:pPr>
    </w:p>
    <w:p>
      <w:pPr>
        <w:jc w:val="center"/>
        <w:rPr>
          <w:rFonts w:ascii="黑体" w:hAnsi="宋体" w:eastAsia="黑体"/>
          <w:sz w:val="44"/>
          <w:szCs w:val="44"/>
        </w:rPr>
      </w:pPr>
    </w:p>
    <w:p>
      <w:pPr>
        <w:jc w:val="center"/>
        <w:rPr>
          <w:rFonts w:ascii="黑体" w:hAnsi="宋体" w:eastAsia="黑体"/>
          <w:sz w:val="44"/>
          <w:szCs w:val="44"/>
        </w:rPr>
      </w:pPr>
    </w:p>
    <w:p>
      <w:pPr>
        <w:jc w:val="center"/>
        <w:rPr>
          <w:rFonts w:ascii="黑体" w:hAnsi="宋体" w:eastAsia="黑体"/>
          <w:sz w:val="44"/>
          <w:szCs w:val="44"/>
        </w:rPr>
      </w:pPr>
    </w:p>
    <w:p>
      <w:pPr>
        <w:jc w:val="center"/>
        <w:rPr>
          <w:rFonts w:ascii="黑体" w:hAnsi="宋体" w:eastAsia="黑体"/>
          <w:sz w:val="44"/>
          <w:szCs w:val="44"/>
        </w:rPr>
      </w:pPr>
    </w:p>
    <w:p>
      <w:pPr>
        <w:jc w:val="center"/>
        <w:rPr>
          <w:rFonts w:ascii="黑体" w:hAnsi="宋体" w:eastAsia="黑体"/>
          <w:sz w:val="44"/>
          <w:szCs w:val="44"/>
        </w:rPr>
      </w:pPr>
    </w:p>
    <w:p>
      <w:pPr>
        <w:jc w:val="center"/>
        <w:rPr>
          <w:rFonts w:ascii="黑体" w:eastAsia="黑体"/>
          <w:sz w:val="44"/>
          <w:szCs w:val="44"/>
        </w:rPr>
      </w:pPr>
      <w:r>
        <w:rPr>
          <w:rFonts w:hint="eastAsia" w:ascii="黑体" w:hAnsi="宋体" w:eastAsia="黑体"/>
          <w:sz w:val="44"/>
          <w:szCs w:val="44"/>
        </w:rPr>
        <w:t xml:space="preserve">第四章  </w:t>
      </w:r>
      <w:r>
        <w:rPr>
          <w:rFonts w:hint="eastAsia" w:ascii="黑体" w:eastAsia="黑体"/>
          <w:sz w:val="44"/>
          <w:szCs w:val="44"/>
        </w:rPr>
        <w:t>诸暨市政府采购合同（通用条款）</w:t>
      </w:r>
    </w:p>
    <w:p>
      <w:pPr>
        <w:jc w:val="center"/>
      </w:pPr>
      <w:r>
        <w:rPr>
          <w:rFonts w:hint="eastAsia"/>
        </w:rPr>
        <w:t>合同编号：</w:t>
      </w:r>
    </w:p>
    <w:p>
      <w:pPr>
        <w:rPr>
          <w:u w:val="single"/>
        </w:rPr>
      </w:pPr>
      <w:r>
        <w:rPr>
          <w:rFonts w:hint="eastAsia"/>
        </w:rPr>
        <w:t>甲方（采购单位）：</w:t>
      </w:r>
      <w:r>
        <w:rPr>
          <w:rFonts w:hint="eastAsia"/>
          <w:u w:val="single"/>
        </w:rPr>
        <w:t xml:space="preserve">                            </w:t>
      </w:r>
      <w:r>
        <w:rPr>
          <w:rFonts w:hint="eastAsia"/>
        </w:rPr>
        <w:t>签订日期：</w:t>
      </w:r>
      <w:r>
        <w:rPr>
          <w:rFonts w:hint="eastAsia"/>
          <w:u w:val="single"/>
        </w:rPr>
        <w:t xml:space="preserve">         </w:t>
      </w:r>
      <w:r>
        <w:rPr>
          <w:rFonts w:hint="eastAsia"/>
        </w:rPr>
        <w:t>年</w:t>
      </w:r>
      <w:r>
        <w:rPr>
          <w:rFonts w:hint="eastAsia"/>
          <w:u w:val="single"/>
        </w:rPr>
        <w:t xml:space="preserve">    </w:t>
      </w:r>
      <w:r>
        <w:rPr>
          <w:rFonts w:hint="eastAsia"/>
        </w:rPr>
        <w:t>月</w:t>
      </w:r>
      <w:r>
        <w:rPr>
          <w:rFonts w:hint="eastAsia"/>
          <w:u w:val="single"/>
        </w:rPr>
        <w:t xml:space="preserve">    </w:t>
      </w:r>
      <w:r>
        <w:rPr>
          <w:rFonts w:hint="eastAsia"/>
        </w:rPr>
        <w:t>日</w:t>
      </w:r>
    </w:p>
    <w:p>
      <w:r>
        <w:rPr>
          <w:rFonts w:hint="eastAsia"/>
        </w:rPr>
        <w:t>乙方（供货单位）：</w:t>
      </w:r>
      <w:r>
        <w:rPr>
          <w:rFonts w:hint="eastAsia"/>
          <w:u w:val="single"/>
        </w:rPr>
        <w:t xml:space="preserve">                            </w:t>
      </w:r>
      <w:r>
        <w:rPr>
          <w:rFonts w:hint="eastAsia"/>
        </w:rPr>
        <w:t>签订地点：</w:t>
      </w:r>
      <w:r>
        <w:rPr>
          <w:rFonts w:hint="eastAsia"/>
          <w:u w:val="single"/>
        </w:rPr>
        <w:t xml:space="preserve">                      </w:t>
      </w:r>
      <w:r>
        <w:rPr>
          <w:rFonts w:hint="eastAsia"/>
        </w:rPr>
        <w:t xml:space="preserve">  </w:t>
      </w:r>
    </w:p>
    <w:p>
      <w:pPr>
        <w:ind w:firstLine="420" w:firstLineChars="200"/>
      </w:pPr>
      <w:r>
        <w:rPr>
          <w:rFonts w:hint="eastAsia"/>
        </w:rPr>
        <w:t>根据《中华人民共和国合同法》、《中华人民共和国政府采购法》等有关规定，以及诸暨市公共资源交易中心（编号：诸政采20</w:t>
      </w:r>
      <w:r>
        <w:rPr>
          <w:rFonts w:hint="eastAsia"/>
          <w:u w:val="single"/>
        </w:rPr>
        <w:t xml:space="preserve">    </w:t>
      </w:r>
      <w:r>
        <w:rPr>
          <w:rFonts w:hint="eastAsia"/>
        </w:rPr>
        <w:t>—</w:t>
      </w:r>
      <w:r>
        <w:rPr>
          <w:rFonts w:hint="eastAsia"/>
          <w:u w:val="single"/>
        </w:rPr>
        <w:t xml:space="preserve">    </w:t>
      </w:r>
      <w:r>
        <w:rPr>
          <w:rFonts w:hint="eastAsia"/>
        </w:rPr>
        <w:t>—</w:t>
      </w:r>
      <w:r>
        <w:rPr>
          <w:rFonts w:hint="eastAsia"/>
          <w:u w:val="single"/>
        </w:rPr>
        <w:t xml:space="preserve">    </w:t>
      </w:r>
      <w:r>
        <w:rPr>
          <w:rFonts w:hint="eastAsia"/>
        </w:rPr>
        <w:t>号）招标文件相关要求，经法定程序采购，双方同意签订以下合同条款，以便双方共同遵守、履行合同。</w:t>
      </w:r>
    </w:p>
    <w:p>
      <w:pPr>
        <w:rPr>
          <w:b/>
        </w:rPr>
      </w:pPr>
      <w:r>
        <w:rPr>
          <w:rFonts w:hint="eastAsia"/>
        </w:rPr>
        <w:t xml:space="preserve">   </w:t>
      </w:r>
      <w:r>
        <w:rPr>
          <w:rFonts w:hint="eastAsia"/>
          <w:b/>
        </w:rPr>
        <w:t xml:space="preserve"> 一、采购产品</w:t>
      </w:r>
    </w:p>
    <w:tbl>
      <w:tblPr>
        <w:tblStyle w:val="21"/>
        <w:tblW w:w="0" w:type="auto"/>
        <w:tblInd w:w="28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36"/>
        <w:gridCol w:w="3960"/>
        <w:gridCol w:w="1080"/>
        <w:gridCol w:w="1260"/>
        <w:gridCol w:w="144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trPr>
        <w:tc>
          <w:tcPr>
            <w:tcW w:w="1236" w:type="dxa"/>
            <w:vAlign w:val="center"/>
          </w:tcPr>
          <w:p>
            <w:pPr>
              <w:jc w:val="center"/>
            </w:pPr>
            <w:r>
              <w:rPr>
                <w:rFonts w:hint="eastAsia"/>
              </w:rPr>
              <w:t>产品名称</w:t>
            </w:r>
          </w:p>
        </w:tc>
        <w:tc>
          <w:tcPr>
            <w:tcW w:w="3960" w:type="dxa"/>
            <w:vAlign w:val="center"/>
          </w:tcPr>
          <w:p>
            <w:pPr>
              <w:jc w:val="center"/>
            </w:pPr>
            <w:r>
              <w:rPr>
                <w:rFonts w:hint="eastAsia"/>
              </w:rPr>
              <w:t>规格、型号</w:t>
            </w:r>
          </w:p>
        </w:tc>
        <w:tc>
          <w:tcPr>
            <w:tcW w:w="1080" w:type="dxa"/>
            <w:vAlign w:val="center"/>
          </w:tcPr>
          <w:p>
            <w:pPr>
              <w:jc w:val="center"/>
            </w:pPr>
            <w:r>
              <w:rPr>
                <w:rFonts w:hint="eastAsia"/>
              </w:rPr>
              <w:t>数量</w:t>
            </w:r>
          </w:p>
        </w:tc>
        <w:tc>
          <w:tcPr>
            <w:tcW w:w="1260" w:type="dxa"/>
            <w:vAlign w:val="center"/>
          </w:tcPr>
          <w:p>
            <w:pPr>
              <w:jc w:val="center"/>
            </w:pPr>
            <w:r>
              <w:rPr>
                <w:rFonts w:hint="eastAsia"/>
              </w:rPr>
              <w:t>单价（元）</w:t>
            </w:r>
          </w:p>
        </w:tc>
        <w:tc>
          <w:tcPr>
            <w:tcW w:w="1440" w:type="dxa"/>
            <w:vAlign w:val="center"/>
          </w:tcPr>
          <w:p>
            <w:pPr>
              <w:jc w:val="center"/>
            </w:pPr>
            <w:r>
              <w:rPr>
                <w:rFonts w:hint="eastAsia"/>
              </w:rPr>
              <w:t>合价（元）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trPr>
        <w:tc>
          <w:tcPr>
            <w:tcW w:w="1236" w:type="dxa"/>
          </w:tcPr>
          <w:p/>
        </w:tc>
        <w:tc>
          <w:tcPr>
            <w:tcW w:w="3960" w:type="dxa"/>
          </w:tcPr>
          <w:p/>
        </w:tc>
        <w:tc>
          <w:tcPr>
            <w:tcW w:w="1080" w:type="dxa"/>
          </w:tcPr>
          <w:p/>
        </w:tc>
        <w:tc>
          <w:tcPr>
            <w:tcW w:w="1260" w:type="dxa"/>
          </w:tcPr>
          <w:p/>
        </w:tc>
        <w:tc>
          <w:tcPr>
            <w:tcW w:w="1440" w:type="dxa"/>
          </w:tc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trPr>
        <w:tc>
          <w:tcPr>
            <w:tcW w:w="1236" w:type="dxa"/>
          </w:tcPr>
          <w:p/>
        </w:tc>
        <w:tc>
          <w:tcPr>
            <w:tcW w:w="3960" w:type="dxa"/>
          </w:tcPr>
          <w:p/>
        </w:tc>
        <w:tc>
          <w:tcPr>
            <w:tcW w:w="1080" w:type="dxa"/>
          </w:tcPr>
          <w:p/>
        </w:tc>
        <w:tc>
          <w:tcPr>
            <w:tcW w:w="1260" w:type="dxa"/>
          </w:tcPr>
          <w:p/>
        </w:tc>
        <w:tc>
          <w:tcPr>
            <w:tcW w:w="1440" w:type="dxa"/>
          </w:tc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615" w:hRule="atLeast"/>
        </w:trPr>
        <w:tc>
          <w:tcPr>
            <w:tcW w:w="1236" w:type="dxa"/>
          </w:tcPr>
          <w:p/>
        </w:tc>
        <w:tc>
          <w:tcPr>
            <w:tcW w:w="3960" w:type="dxa"/>
          </w:tcPr>
          <w:p/>
        </w:tc>
        <w:tc>
          <w:tcPr>
            <w:tcW w:w="1080" w:type="dxa"/>
          </w:tcPr>
          <w:p/>
        </w:tc>
        <w:tc>
          <w:tcPr>
            <w:tcW w:w="1260" w:type="dxa"/>
          </w:tcPr>
          <w:p/>
        </w:tc>
        <w:tc>
          <w:tcPr>
            <w:tcW w:w="1440" w:type="dxa"/>
          </w:tc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615" w:hRule="atLeast"/>
        </w:trPr>
        <w:tc>
          <w:tcPr>
            <w:tcW w:w="8976" w:type="dxa"/>
            <w:gridSpan w:val="5"/>
            <w:vAlign w:val="center"/>
          </w:tcPr>
          <w:p>
            <w:r>
              <w:rPr>
                <w:rFonts w:hint="eastAsia"/>
              </w:rPr>
              <w:t xml:space="preserve">合计人民币（大写）：  佰   拾   万   仟   佰   拾   元    角    分  </w:t>
            </w:r>
            <w:r>
              <w:rPr>
                <w:rFonts w:hint="eastAsia" w:ascii="宋体" w:hAnsi="宋体"/>
              </w:rPr>
              <w:t>￥：</w:t>
            </w:r>
          </w:p>
        </w:tc>
      </w:tr>
    </w:tbl>
    <w:p>
      <w:pPr>
        <w:rPr>
          <w:b/>
        </w:rPr>
      </w:pPr>
      <w:r>
        <w:rPr>
          <w:rFonts w:hint="eastAsia"/>
        </w:rPr>
        <w:t xml:space="preserve">    </w:t>
      </w:r>
      <w:r>
        <w:rPr>
          <w:rFonts w:hint="eastAsia"/>
          <w:b/>
        </w:rPr>
        <w:t>二、供货要求</w:t>
      </w:r>
    </w:p>
    <w:p>
      <w:pPr>
        <w:ind w:firstLine="420" w:firstLineChars="200"/>
      </w:pPr>
      <w:r>
        <w:rPr>
          <w:rFonts w:hint="eastAsia"/>
        </w:rPr>
        <w:t>1、乙方应在合同签订后</w:t>
      </w:r>
      <w:r>
        <w:rPr>
          <w:rFonts w:hint="eastAsia"/>
          <w:u w:val="single"/>
        </w:rPr>
        <w:t xml:space="preserve">   </w:t>
      </w:r>
      <w:r>
        <w:rPr>
          <w:rFonts w:hint="eastAsia"/>
        </w:rPr>
        <w:t>个工作日内，将产品免费送达甲方指定地点，并免费安装调试完毕后交付使用（除不可抗力因素外）。乙方必须在产品的右侧粘贴公司标签（标明公司名称、服务热线电话、供货时间：年月日等），乙方还需对甲方用户作使用培训。</w:t>
      </w:r>
    </w:p>
    <w:p>
      <w:pPr>
        <w:ind w:firstLine="420" w:firstLineChars="200"/>
      </w:pPr>
      <w:r>
        <w:rPr>
          <w:rFonts w:hint="eastAsia"/>
        </w:rPr>
        <w:t>2、乙方提供的产品必须是招标文件和合同规定的产品，其技术指标、型号须符合相关要求。供货时，乙方须向甲方提供产品说明书、保修卡、质量保证书等相关资料和原配的附件。</w:t>
      </w:r>
      <w:r>
        <w:rPr>
          <w:rFonts w:hint="eastAsia" w:ascii="宋体" w:hAnsi="宋体"/>
        </w:rPr>
        <w:t>原装进口产品（设备）交货时须提供中文产品说明书、保修卡、质量保证书、装箱单、商检证明等资料。制造编号与包装箱编号应一致。（注：所有采购的计算机办公设备必须预装正版操作系统软件）</w:t>
      </w:r>
    </w:p>
    <w:p>
      <w:pPr>
        <w:ind w:firstLine="420" w:firstLineChars="200"/>
      </w:pPr>
      <w:r>
        <w:rPr>
          <w:rFonts w:hint="eastAsia"/>
        </w:rPr>
        <w:t>3、乙方不得将采购产品转包给其他供应商，否则视为违约，并将追究其违约责任，甲方有权解除采购合同，所造成的损失由乙方承担。</w:t>
      </w:r>
    </w:p>
    <w:p>
      <w:pPr>
        <w:ind w:firstLine="420" w:firstLineChars="200"/>
      </w:pPr>
      <w:r>
        <w:rPr>
          <w:rFonts w:hint="eastAsia"/>
        </w:rPr>
        <w:t>4、如本合同采购产品在合同履约过程中出现产品更新或厂家停产等情况，须由乙方书现提出更换要求，并提供充分理由或依据，经甲方和诸暨市公共资源交易中心核实或认可，并报诸暨市公共资源交易管理委员会办公室审批同意后，方可更换替代性能参数指标比原原采购产品高的其他产品，但产品价格不变。</w:t>
      </w:r>
    </w:p>
    <w:p>
      <w:pPr>
        <w:ind w:firstLine="422" w:firstLineChars="200"/>
        <w:rPr>
          <w:b/>
        </w:rPr>
      </w:pPr>
      <w:r>
        <w:rPr>
          <w:rFonts w:hint="eastAsia"/>
          <w:b/>
        </w:rPr>
        <w:t>三、质量要求</w:t>
      </w:r>
    </w:p>
    <w:p>
      <w:pPr>
        <w:ind w:firstLine="420" w:firstLineChars="200"/>
        <w:rPr>
          <w:rFonts w:ascii="宋体" w:hAnsi="宋体"/>
        </w:rPr>
      </w:pPr>
      <w:r>
        <w:rPr>
          <w:rFonts w:hint="eastAsia"/>
        </w:rPr>
        <w:t>1、乙方应确保</w:t>
      </w:r>
      <w:r>
        <w:rPr>
          <w:rFonts w:hint="eastAsia" w:ascii="宋体" w:hAnsi="宋体"/>
        </w:rPr>
        <w:t>产品质量，所有产品均需符合国家产品的有关技术规范、质量标准和产品厂家的出厂标准，提供原厂质保书、合格证等有关文件资料，并保证产品是出厂原装合格产品。进口产品须是获得国家商检局颁布安全生产许可证的出厂原装合格产品。</w:t>
      </w:r>
    </w:p>
    <w:p>
      <w:pPr>
        <w:ind w:firstLine="420" w:firstLineChars="200"/>
      </w:pPr>
      <w:r>
        <w:rPr>
          <w:rFonts w:hint="eastAsia" w:ascii="宋体" w:hAnsi="宋体"/>
        </w:rPr>
        <w:t>2、乙方应保证设备经正确安装、正常运转和保养，保证在在其使用寿命内应具有满意的性能。</w:t>
      </w:r>
    </w:p>
    <w:p>
      <w:pPr>
        <w:ind w:firstLine="420" w:firstLineChars="200"/>
        <w:rPr>
          <w:rFonts w:ascii="宋体" w:hAnsi="宋体"/>
        </w:rPr>
      </w:pPr>
      <w:r>
        <w:rPr>
          <w:rFonts w:hint="eastAsia"/>
        </w:rPr>
        <w:t>3、如发</w:t>
      </w:r>
      <w:r>
        <w:rPr>
          <w:rFonts w:hint="eastAsia" w:ascii="宋体" w:hAnsi="宋体"/>
        </w:rPr>
        <w:t>生质量异议，甲方有权要求更换产品；若乙方拒绝，按《中华人民共和国产品质量法》等有关规定处理。</w:t>
      </w:r>
    </w:p>
    <w:p>
      <w:pPr>
        <w:ind w:firstLine="422" w:firstLineChars="200"/>
        <w:rPr>
          <w:rFonts w:ascii="宋体" w:hAnsi="宋体"/>
          <w:b/>
        </w:rPr>
      </w:pPr>
      <w:r>
        <w:rPr>
          <w:rFonts w:hint="eastAsia" w:ascii="宋体" w:hAnsi="宋体"/>
          <w:b/>
        </w:rPr>
        <w:t>四、产品验收</w:t>
      </w:r>
    </w:p>
    <w:p>
      <w:pPr>
        <w:ind w:firstLine="420" w:firstLineChars="200"/>
        <w:rPr>
          <w:rFonts w:ascii="宋体" w:hAnsi="宋体"/>
        </w:rPr>
      </w:pPr>
      <w:r>
        <w:rPr>
          <w:rFonts w:hint="eastAsia" w:ascii="宋体" w:hAnsi="宋体"/>
        </w:rPr>
        <w:t>产品由甲方单位组织验收，在货到后</w:t>
      </w:r>
      <w:r>
        <w:rPr>
          <w:rFonts w:hint="eastAsia" w:ascii="宋体" w:hAnsi="宋体"/>
          <w:u w:val="single"/>
        </w:rPr>
        <w:t xml:space="preserve">      </w:t>
      </w:r>
      <w:r>
        <w:rPr>
          <w:rFonts w:hint="eastAsia" w:ascii="宋体" w:hAnsi="宋体"/>
        </w:rPr>
        <w:t>天内验收完毕，</w:t>
      </w:r>
      <w:r>
        <w:rPr>
          <w:rFonts w:hint="eastAsia" w:ascii="宋体" w:hAnsi="宋体"/>
          <w:u w:val="single"/>
        </w:rPr>
        <w:t xml:space="preserve">       </w:t>
      </w:r>
      <w:r>
        <w:rPr>
          <w:rFonts w:hint="eastAsia" w:ascii="宋体" w:hAnsi="宋体"/>
        </w:rPr>
        <w:t>天内提出质量异议。具体按照《诸暨市政府采购合同履约和验收管理暂行规定》执行。</w:t>
      </w:r>
    </w:p>
    <w:p>
      <w:pPr>
        <w:ind w:firstLine="422" w:firstLineChars="200"/>
        <w:rPr>
          <w:rFonts w:ascii="宋体" w:hAnsi="宋体"/>
          <w:b/>
        </w:rPr>
      </w:pPr>
      <w:r>
        <w:rPr>
          <w:rFonts w:hint="eastAsia" w:ascii="宋体" w:hAnsi="宋体"/>
          <w:b/>
        </w:rPr>
        <w:t>五、付款方式</w:t>
      </w:r>
    </w:p>
    <w:p>
      <w:pPr>
        <w:ind w:firstLine="420" w:firstLineChars="200"/>
        <w:rPr>
          <w:rFonts w:ascii="宋体" w:hAnsi="宋体"/>
        </w:rPr>
      </w:pPr>
      <w:r>
        <w:rPr>
          <w:rFonts w:hint="eastAsia" w:ascii="宋体" w:hAnsi="宋体"/>
        </w:rPr>
        <w:t>1、中标产品经验收合格后，按照招标文件规定，甲方首次支付给乙方合同款的</w:t>
      </w:r>
      <w:r>
        <w:rPr>
          <w:rFonts w:hint="eastAsia" w:ascii="宋体" w:hAnsi="宋体"/>
          <w:u w:val="single"/>
        </w:rPr>
        <w:t xml:space="preserve">     </w:t>
      </w:r>
      <w:r>
        <w:rPr>
          <w:rFonts w:hint="eastAsia" w:ascii="宋体" w:hAnsi="宋体"/>
        </w:rPr>
        <w:t>%，即</w:t>
      </w:r>
    </w:p>
    <w:p>
      <w:pPr>
        <w:rPr>
          <w:rFonts w:ascii="宋体" w:hAnsi="宋体"/>
        </w:rPr>
      </w:pPr>
      <w:r>
        <w:rPr>
          <w:rFonts w:hint="eastAsia" w:ascii="宋体" w:hAnsi="宋体"/>
          <w:u w:val="single"/>
        </w:rPr>
        <w:t xml:space="preserve">        </w:t>
      </w:r>
      <w:r>
        <w:rPr>
          <w:rFonts w:hint="eastAsia" w:ascii="宋体" w:hAnsi="宋体"/>
        </w:rPr>
        <w:t>元；在正常运行</w:t>
      </w:r>
      <w:r>
        <w:rPr>
          <w:rFonts w:hint="eastAsia" w:ascii="宋体" w:hAnsi="宋体"/>
          <w:u w:val="single"/>
        </w:rPr>
        <w:t xml:space="preserve">        </w:t>
      </w:r>
      <w:r>
        <w:rPr>
          <w:rFonts w:hint="eastAsia" w:ascii="宋体" w:hAnsi="宋体"/>
        </w:rPr>
        <w:t>个月后的</w:t>
      </w:r>
      <w:r>
        <w:rPr>
          <w:rFonts w:hint="eastAsia" w:ascii="宋体" w:hAnsi="宋体"/>
          <w:u w:val="single"/>
        </w:rPr>
        <w:t xml:space="preserve">     </w:t>
      </w:r>
      <w:r>
        <w:rPr>
          <w:rFonts w:hint="eastAsia" w:ascii="宋体" w:hAnsi="宋体"/>
        </w:rPr>
        <w:t>天内再支付</w:t>
      </w:r>
      <w:r>
        <w:rPr>
          <w:rFonts w:hint="eastAsia" w:ascii="宋体" w:hAnsi="宋体"/>
          <w:u w:val="single"/>
        </w:rPr>
        <w:t xml:space="preserve">    </w:t>
      </w:r>
      <w:r>
        <w:rPr>
          <w:rFonts w:hint="eastAsia" w:ascii="宋体" w:hAnsi="宋体"/>
        </w:rPr>
        <w:t xml:space="preserve">%，即 </w:t>
      </w:r>
      <w:r>
        <w:rPr>
          <w:rFonts w:hint="eastAsia" w:ascii="宋体" w:hAnsi="宋体"/>
          <w:u w:val="single"/>
        </w:rPr>
        <w:t xml:space="preserve">      </w:t>
      </w:r>
      <w:r>
        <w:rPr>
          <w:rFonts w:hint="eastAsia" w:ascii="宋体" w:hAnsi="宋体"/>
        </w:rPr>
        <w:t>元；剩余的</w:t>
      </w:r>
      <w:r>
        <w:rPr>
          <w:rFonts w:hint="eastAsia" w:ascii="宋体" w:hAnsi="宋体"/>
          <w:u w:val="single"/>
        </w:rPr>
        <w:t xml:space="preserve">    %</w:t>
      </w:r>
      <w:r>
        <w:rPr>
          <w:rFonts w:hint="eastAsia" w:ascii="宋体" w:hAnsi="宋体"/>
        </w:rPr>
        <w:t>（可作为产品质保金），在</w:t>
      </w:r>
      <w:r>
        <w:rPr>
          <w:rFonts w:hint="eastAsia" w:ascii="宋体" w:hAnsi="宋体"/>
          <w:u w:val="single"/>
        </w:rPr>
        <w:t xml:space="preserve">    </w:t>
      </w:r>
      <w:r>
        <w:rPr>
          <w:rFonts w:hint="eastAsia" w:ascii="宋体" w:hAnsi="宋体"/>
        </w:rPr>
        <w:t>年</w:t>
      </w:r>
      <w:r>
        <w:rPr>
          <w:rFonts w:hint="eastAsia" w:ascii="宋体" w:hAnsi="宋体"/>
          <w:u w:val="single"/>
        </w:rPr>
        <w:t xml:space="preserve">  </w:t>
      </w:r>
      <w:r>
        <w:rPr>
          <w:rFonts w:hint="eastAsia" w:ascii="宋体" w:hAnsi="宋体"/>
        </w:rPr>
        <w:t>月</w:t>
      </w:r>
      <w:r>
        <w:rPr>
          <w:rFonts w:hint="eastAsia" w:ascii="宋体" w:hAnsi="宋体"/>
          <w:u w:val="single"/>
        </w:rPr>
        <w:t xml:space="preserve">  </w:t>
      </w:r>
      <w:r>
        <w:rPr>
          <w:rFonts w:hint="eastAsia" w:ascii="宋体" w:hAnsi="宋体"/>
        </w:rPr>
        <w:t>日前若无质量问题全部付清（无息）。</w:t>
      </w:r>
    </w:p>
    <w:p>
      <w:pPr>
        <w:ind w:firstLine="420" w:firstLineChars="200"/>
        <w:rPr>
          <w:rFonts w:ascii="宋体" w:hAnsi="宋体"/>
        </w:rPr>
      </w:pPr>
      <w:r>
        <w:rPr>
          <w:rFonts w:hint="eastAsia" w:ascii="宋体" w:hAnsi="宋体"/>
        </w:rPr>
        <w:t>2、甲方凭乙方提供的经诸暨市公共资源交易中心与诸暨市政府采购工作办公室（地址：诸暨市人民中路</w:t>
      </w:r>
      <w:r>
        <w:rPr>
          <w:rFonts w:ascii="宋体" w:hAnsi="宋体"/>
        </w:rPr>
        <w:t>356</w:t>
      </w:r>
      <w:r>
        <w:rPr>
          <w:rFonts w:hint="eastAsia" w:ascii="宋体" w:hAnsi="宋体"/>
        </w:rPr>
        <w:t>号）审核后的发票复印件（要求在复印件上加盖用户单位公章）、验收结算书、合同，将合同款直接拨入乙方开户银行。</w:t>
      </w:r>
    </w:p>
    <w:p>
      <w:pPr>
        <w:ind w:firstLine="422" w:firstLineChars="200"/>
        <w:rPr>
          <w:rFonts w:ascii="宋体" w:hAnsi="宋体"/>
          <w:b/>
        </w:rPr>
      </w:pPr>
      <w:r>
        <w:rPr>
          <w:rFonts w:hint="eastAsia" w:ascii="宋体" w:hAnsi="宋体"/>
          <w:b/>
        </w:rPr>
        <w:t>六、履约保证金</w:t>
      </w:r>
    </w:p>
    <w:p>
      <w:pPr>
        <w:ind w:firstLine="420" w:firstLineChars="200"/>
        <w:rPr>
          <w:rFonts w:ascii="宋体" w:hAnsi="宋体"/>
        </w:rPr>
      </w:pPr>
      <w:r>
        <w:rPr>
          <w:rFonts w:hint="eastAsia" w:ascii="宋体" w:hAnsi="宋体"/>
        </w:rPr>
        <w:t>1、乙方在签订合同之前，须向甲方缴纳合同款5%的履约保证金。</w:t>
      </w:r>
    </w:p>
    <w:p>
      <w:pPr>
        <w:ind w:firstLine="420" w:firstLineChars="200"/>
        <w:rPr>
          <w:rFonts w:ascii="宋体" w:hAnsi="宋体"/>
        </w:rPr>
      </w:pPr>
      <w:r>
        <w:rPr>
          <w:rFonts w:hint="eastAsia" w:ascii="宋体" w:hAnsi="宋体"/>
        </w:rPr>
        <w:t>2、履约保证金在甲方将货物验收合格后，无息退还给乙方。</w:t>
      </w:r>
    </w:p>
    <w:p>
      <w:pPr>
        <w:ind w:firstLine="420" w:firstLineChars="200"/>
        <w:rPr>
          <w:rFonts w:ascii="宋体" w:hAnsi="宋体"/>
        </w:rPr>
      </w:pPr>
      <w:r>
        <w:rPr>
          <w:rFonts w:hint="eastAsia" w:ascii="宋体" w:hAnsi="宋体"/>
        </w:rPr>
        <w:t>3、如乙方未能履行合同规定的义务，甲方有权在履约保证金中取得补偿。</w:t>
      </w:r>
    </w:p>
    <w:p>
      <w:pPr>
        <w:ind w:firstLine="422" w:firstLineChars="200"/>
        <w:rPr>
          <w:rFonts w:ascii="宋体" w:hAnsi="宋体"/>
          <w:b/>
        </w:rPr>
      </w:pPr>
      <w:r>
        <w:rPr>
          <w:rFonts w:hint="eastAsia" w:ascii="宋体" w:hAnsi="宋体"/>
          <w:b/>
        </w:rPr>
        <w:t>七、产品数量变更</w:t>
      </w:r>
    </w:p>
    <w:p>
      <w:pPr>
        <w:ind w:firstLine="420" w:firstLineChars="200"/>
        <w:rPr>
          <w:rFonts w:ascii="宋体" w:hAnsi="宋体"/>
        </w:rPr>
      </w:pPr>
      <w:r>
        <w:rPr>
          <w:rFonts w:hint="eastAsia" w:ascii="宋体" w:hAnsi="宋体"/>
        </w:rPr>
        <w:t>合同履行过程中，甲方根据实际情况，需要增减与合同标的相同的产品，在不改变合同其他条款的前提下，可以与乙方协商签订补充合同，但所有补充合同的采购金额不得超过原合同采购金额的10%，增减产品的价格为相应中标产品的价格，且事先须向诸暨市财政局、诸暨市公共资源交易管理委员会办公室审核备案。</w:t>
      </w:r>
    </w:p>
    <w:p>
      <w:pPr>
        <w:ind w:firstLine="422" w:firstLineChars="200"/>
        <w:rPr>
          <w:rFonts w:ascii="宋体" w:hAnsi="宋体"/>
          <w:b/>
        </w:rPr>
      </w:pPr>
      <w:r>
        <w:rPr>
          <w:rFonts w:hint="eastAsia" w:ascii="宋体" w:hAnsi="宋体"/>
          <w:b/>
        </w:rPr>
        <w:t>八、售后服务</w:t>
      </w:r>
    </w:p>
    <w:p>
      <w:pPr>
        <w:ind w:firstLine="420" w:firstLineChars="200"/>
        <w:rPr>
          <w:rFonts w:ascii="宋体" w:hAnsi="宋体"/>
        </w:rPr>
      </w:pPr>
      <w:r>
        <w:rPr>
          <w:rFonts w:hint="eastAsia" w:ascii="宋体" w:hAnsi="宋体"/>
        </w:rPr>
        <w:t>具体售后服务条款参照招标文件及乙方投标文件中的售后服务承诺。</w:t>
      </w:r>
    </w:p>
    <w:p>
      <w:pPr>
        <w:ind w:firstLine="422" w:firstLineChars="200"/>
        <w:rPr>
          <w:rFonts w:ascii="宋体" w:hAnsi="宋体"/>
          <w:b/>
        </w:rPr>
      </w:pPr>
      <w:r>
        <w:rPr>
          <w:rFonts w:hint="eastAsia" w:ascii="宋体" w:hAnsi="宋体"/>
          <w:b/>
        </w:rPr>
        <w:t>九、违约责任</w:t>
      </w:r>
    </w:p>
    <w:p>
      <w:pPr>
        <w:ind w:firstLine="420" w:firstLineChars="200"/>
        <w:rPr>
          <w:rFonts w:ascii="宋体" w:hAnsi="宋体"/>
        </w:rPr>
      </w:pPr>
      <w:r>
        <w:rPr>
          <w:rFonts w:hint="eastAsia" w:ascii="宋体" w:hAnsi="宋体"/>
        </w:rPr>
        <w:t>1、甲方无正当理由拒收货物，由甲方向乙方偿付合同总价的5%违约金。</w:t>
      </w:r>
    </w:p>
    <w:p>
      <w:pPr>
        <w:ind w:firstLine="420" w:firstLineChars="200"/>
        <w:rPr>
          <w:rFonts w:ascii="宋体" w:hAnsi="宋体"/>
        </w:rPr>
      </w:pPr>
      <w:r>
        <w:rPr>
          <w:rFonts w:hint="eastAsia" w:ascii="宋体" w:hAnsi="宋体"/>
        </w:rPr>
        <w:t>2、甲方未能在合同规定期限内验收完毕的，每超过一天，付合同价的</w:t>
      </w:r>
      <w:r>
        <w:rPr>
          <w:rFonts w:hint="eastAsia" w:ascii="宋体" w:hAnsi="宋体"/>
          <w:u w:val="single"/>
        </w:rPr>
        <w:t xml:space="preserve">   </w:t>
      </w:r>
      <w:r>
        <w:rPr>
          <w:rFonts w:hint="eastAsia" w:ascii="宋体" w:hAnsi="宋体"/>
        </w:rPr>
        <w:t>%的违约金给乙方。</w:t>
      </w:r>
    </w:p>
    <w:p>
      <w:pPr>
        <w:ind w:firstLine="420" w:firstLineChars="200"/>
        <w:rPr>
          <w:rFonts w:ascii="宋体" w:hAnsi="宋体"/>
        </w:rPr>
      </w:pPr>
      <w:r>
        <w:rPr>
          <w:rFonts w:hint="eastAsia" w:ascii="宋体" w:hAnsi="宋体"/>
        </w:rPr>
        <w:t>3、乙方不能交付货物，甲方有权扣留全部履约保证金；同时乙方向甲方支付合同款总价5%的违约金。</w:t>
      </w:r>
    </w:p>
    <w:p>
      <w:pPr>
        <w:ind w:firstLine="420" w:firstLineChars="200"/>
        <w:rPr>
          <w:rFonts w:ascii="宋体" w:hAnsi="宋体"/>
        </w:rPr>
      </w:pPr>
      <w:r>
        <w:rPr>
          <w:rFonts w:hint="eastAsia" w:ascii="宋体" w:hAnsi="宋体"/>
        </w:rPr>
        <w:t>4、乙方逾期交付货物的，每逾期1天，乙方向甲方偿付逾期交货部分货物货款的0.5%的滞纳金，如乙方逾期交货15天，甲方有权解除合同，解除合同的通知自到达乙方时生效。</w:t>
      </w:r>
    </w:p>
    <w:p>
      <w:pPr>
        <w:ind w:firstLine="422" w:firstLineChars="200"/>
        <w:rPr>
          <w:rFonts w:ascii="宋体" w:hAnsi="宋体"/>
          <w:b/>
        </w:rPr>
      </w:pPr>
      <w:r>
        <w:rPr>
          <w:rFonts w:hint="eastAsia" w:ascii="宋体" w:hAnsi="宋体"/>
          <w:b/>
        </w:rPr>
        <w:t>十、其他约定事项</w:t>
      </w:r>
    </w:p>
    <w:p>
      <w:pPr>
        <w:ind w:firstLine="420" w:firstLineChars="200"/>
        <w:rPr>
          <w:rFonts w:ascii="宋体" w:hAnsi="宋体"/>
          <w:u w:val="single"/>
        </w:rPr>
      </w:pPr>
      <w:r>
        <w:rPr>
          <w:rFonts w:hint="eastAsia" w:ascii="宋体" w:hAnsi="宋体"/>
          <w:u w:val="single"/>
        </w:rPr>
        <w:t xml:space="preserve">                                                                                         </w:t>
      </w:r>
    </w:p>
    <w:p>
      <w:pPr>
        <w:rPr>
          <w:rFonts w:ascii="宋体" w:hAnsi="宋体"/>
          <w:u w:val="single"/>
        </w:rPr>
      </w:pPr>
      <w:r>
        <w:rPr>
          <w:rFonts w:hint="eastAsia" w:ascii="宋体" w:hAnsi="宋体"/>
          <w:u w:val="single"/>
        </w:rPr>
        <w:t xml:space="preserve">                                                                                       </w:t>
      </w:r>
    </w:p>
    <w:p>
      <w:pPr>
        <w:ind w:firstLine="422" w:firstLineChars="200"/>
        <w:rPr>
          <w:rFonts w:ascii="宋体" w:hAnsi="宋体"/>
          <w:b/>
        </w:rPr>
      </w:pPr>
      <w:r>
        <w:rPr>
          <w:rFonts w:hint="eastAsia" w:ascii="宋体" w:hAnsi="宋体"/>
          <w:b/>
        </w:rPr>
        <w:t>十一、解决合同纠纷方式</w:t>
      </w:r>
    </w:p>
    <w:p>
      <w:pPr>
        <w:ind w:firstLine="420" w:firstLineChars="200"/>
        <w:rPr>
          <w:rFonts w:ascii="宋体" w:hAnsi="宋体"/>
        </w:rPr>
      </w:pPr>
      <w:r>
        <w:rPr>
          <w:rFonts w:hint="eastAsia" w:ascii="宋体" w:hAnsi="宋体"/>
        </w:rPr>
        <w:t>其它未尽事宜或履行时发生争议，由双方本着诚实信用的原则协商解决，协商不成功可选择：1）向绍兴市仲裁委员会申请仲裁；2）向</w:t>
      </w:r>
      <w:r>
        <w:rPr>
          <w:rFonts w:hint="eastAsia" w:ascii="宋体" w:hAnsi="宋体"/>
          <w:u w:val="single"/>
        </w:rPr>
        <w:t xml:space="preserve">                                </w:t>
      </w:r>
      <w:r>
        <w:rPr>
          <w:rFonts w:hint="eastAsia" w:ascii="宋体" w:hAnsi="宋体"/>
        </w:rPr>
        <w:t>人民法院起诉。</w:t>
      </w:r>
    </w:p>
    <w:p>
      <w:pPr>
        <w:ind w:firstLine="422" w:firstLineChars="200"/>
        <w:rPr>
          <w:rFonts w:ascii="宋体" w:hAnsi="宋体"/>
          <w:b/>
        </w:rPr>
      </w:pPr>
      <w:r>
        <w:rPr>
          <w:rFonts w:hint="eastAsia" w:ascii="宋体" w:hAnsi="宋体"/>
          <w:b/>
        </w:rPr>
        <w:t>十二、其它</w:t>
      </w:r>
    </w:p>
    <w:p>
      <w:pPr>
        <w:ind w:left="420"/>
        <w:rPr>
          <w:rFonts w:ascii="宋体" w:hAnsi="宋体"/>
        </w:rPr>
      </w:pPr>
      <w:r>
        <w:rPr>
          <w:rFonts w:hint="eastAsia" w:ascii="宋体" w:hAnsi="宋体"/>
        </w:rPr>
        <w:t>1、本项目的招标文件、投标文件、中标通知书作为合同的附件，具有同等法律效力。</w:t>
      </w:r>
    </w:p>
    <w:p>
      <w:pPr>
        <w:ind w:left="420"/>
        <w:rPr>
          <w:rFonts w:ascii="宋体" w:hAnsi="宋体"/>
        </w:rPr>
      </w:pPr>
      <w:r>
        <w:rPr>
          <w:rFonts w:hint="eastAsia" w:ascii="宋体" w:hAnsi="宋体"/>
        </w:rPr>
        <w:t>2、本合同自签订之日起生效。</w:t>
      </w:r>
    </w:p>
    <w:p>
      <w:pPr>
        <w:ind w:left="420"/>
        <w:rPr>
          <w:rFonts w:ascii="宋体" w:hAnsi="宋体"/>
        </w:rPr>
      </w:pPr>
      <w:r>
        <w:rPr>
          <w:rFonts w:hint="eastAsia" w:ascii="宋体" w:hAnsi="宋体"/>
        </w:rPr>
        <w:t>3、本合同一式四份，甲乙双方各执两份。</w:t>
      </w:r>
    </w:p>
    <w:tbl>
      <w:tblPr>
        <w:tblStyle w:val="21"/>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524"/>
        <w:gridCol w:w="423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5" w:hRule="atLeast"/>
        </w:trPr>
        <w:tc>
          <w:tcPr>
            <w:tcW w:w="4524" w:type="dxa"/>
            <w:vAlign w:val="center"/>
          </w:tcPr>
          <w:p>
            <w:pPr>
              <w:jc w:val="center"/>
            </w:pPr>
            <w:r>
              <w:rPr>
                <w:rFonts w:hint="eastAsia"/>
              </w:rPr>
              <w:t>采购单位</w:t>
            </w:r>
          </w:p>
        </w:tc>
        <w:tc>
          <w:tcPr>
            <w:tcW w:w="4234" w:type="dxa"/>
            <w:vAlign w:val="center"/>
          </w:tcPr>
          <w:p>
            <w:pPr>
              <w:jc w:val="center"/>
            </w:pPr>
            <w:r>
              <w:rPr>
                <w:rFonts w:hint="eastAsia"/>
              </w:rPr>
              <w:t>供货单位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00" w:hRule="atLeast"/>
        </w:trPr>
        <w:tc>
          <w:tcPr>
            <w:tcW w:w="4524" w:type="dxa"/>
          </w:tcPr>
          <w:p>
            <w:r>
              <w:rPr>
                <w:rFonts w:hint="eastAsia"/>
              </w:rPr>
              <w:t>单位名称（盖章）</w:t>
            </w:r>
          </w:p>
          <w:p>
            <w:r>
              <w:rPr>
                <w:rFonts w:hint="eastAsia"/>
              </w:rPr>
              <w:t>单位地址：</w:t>
            </w:r>
          </w:p>
          <w:p>
            <w:r>
              <w:rPr>
                <w:rFonts w:hint="eastAsia"/>
              </w:rPr>
              <w:t>法定代表人：</w:t>
            </w:r>
          </w:p>
          <w:p>
            <w:r>
              <w:rPr>
                <w:rFonts w:hint="eastAsia"/>
              </w:rPr>
              <w:t>委托代理人：</w:t>
            </w:r>
          </w:p>
          <w:p>
            <w:r>
              <w:rPr>
                <w:rFonts w:hint="eastAsia"/>
              </w:rPr>
              <w:t>联系电话：</w:t>
            </w:r>
          </w:p>
          <w:p>
            <w:r>
              <w:rPr>
                <w:rFonts w:hint="eastAsia"/>
              </w:rPr>
              <w:t>传真号码：</w:t>
            </w:r>
          </w:p>
          <w:p>
            <w:r>
              <w:rPr>
                <w:rFonts w:hint="eastAsia"/>
              </w:rPr>
              <w:t>邮政编码：</w:t>
            </w:r>
          </w:p>
        </w:tc>
        <w:tc>
          <w:tcPr>
            <w:tcW w:w="4234" w:type="dxa"/>
          </w:tcPr>
          <w:p>
            <w:r>
              <w:rPr>
                <w:rFonts w:hint="eastAsia"/>
              </w:rPr>
              <w:t>单位名称（盖章）</w:t>
            </w:r>
          </w:p>
          <w:p>
            <w:r>
              <w:rPr>
                <w:rFonts w:hint="eastAsia"/>
              </w:rPr>
              <w:t>单位地址：</w:t>
            </w:r>
          </w:p>
          <w:p>
            <w:r>
              <w:rPr>
                <w:rFonts w:hint="eastAsia"/>
              </w:rPr>
              <w:t>法定代表人：</w:t>
            </w:r>
          </w:p>
          <w:p>
            <w:r>
              <w:rPr>
                <w:rFonts w:hint="eastAsia"/>
              </w:rPr>
              <w:t>委托代理人：</w:t>
            </w:r>
          </w:p>
          <w:p>
            <w:r>
              <w:rPr>
                <w:rFonts w:hint="eastAsia"/>
              </w:rPr>
              <w:t>联系电话：</w:t>
            </w:r>
          </w:p>
          <w:p>
            <w:r>
              <w:rPr>
                <w:rFonts w:hint="eastAsia"/>
              </w:rPr>
              <w:t>传真号码：</w:t>
            </w:r>
          </w:p>
          <w:p>
            <w:r>
              <w:rPr>
                <w:rFonts w:hint="eastAsia"/>
              </w:rPr>
              <w:t>邮政编码：</w:t>
            </w:r>
          </w:p>
          <w:p>
            <w:r>
              <w:rPr>
                <w:rFonts w:hint="eastAsia"/>
              </w:rPr>
              <w:t>开户银行：</w:t>
            </w:r>
          </w:p>
          <w:p>
            <w:r>
              <w:rPr>
                <w:rFonts w:hint="eastAsia"/>
              </w:rPr>
              <w:t>账    号：</w:t>
            </w:r>
          </w:p>
        </w:tc>
      </w:tr>
    </w:tbl>
    <w:p/>
    <w:p>
      <w:pPr>
        <w:jc w:val="center"/>
        <w:rPr>
          <w:rFonts w:ascii="黑体" w:hAnsi="宋体" w:eastAsia="黑体"/>
          <w:sz w:val="44"/>
          <w:szCs w:val="44"/>
        </w:rPr>
      </w:pPr>
    </w:p>
    <w:p>
      <w:pPr>
        <w:jc w:val="center"/>
        <w:rPr>
          <w:rFonts w:ascii="黑体" w:hAnsi="宋体" w:eastAsia="黑体"/>
          <w:sz w:val="44"/>
          <w:szCs w:val="44"/>
        </w:rPr>
      </w:pPr>
      <w:r>
        <w:rPr>
          <w:rFonts w:hint="eastAsia" w:ascii="黑体" w:hAnsi="宋体" w:eastAsia="黑体"/>
          <w:sz w:val="44"/>
          <w:szCs w:val="44"/>
        </w:rPr>
        <w:t>第五章  应提交的有关格式范例</w:t>
      </w:r>
    </w:p>
    <w:p>
      <w:pPr>
        <w:widowControl/>
        <w:tabs>
          <w:tab w:val="left" w:pos="450"/>
          <w:tab w:val="left" w:pos="8280"/>
        </w:tabs>
        <w:spacing w:line="360" w:lineRule="auto"/>
        <w:ind w:firstLine="480"/>
        <w:jc w:val="center"/>
        <w:rPr>
          <w:rFonts w:ascii="黑体" w:hAnsi="黑体" w:eastAsia="黑体"/>
          <w:sz w:val="32"/>
          <w:szCs w:val="32"/>
        </w:rPr>
      </w:pPr>
    </w:p>
    <w:p>
      <w:pPr>
        <w:widowControl/>
        <w:tabs>
          <w:tab w:val="left" w:pos="450"/>
          <w:tab w:val="left" w:pos="2520"/>
          <w:tab w:val="left" w:pos="8280"/>
        </w:tabs>
        <w:spacing w:line="360" w:lineRule="auto"/>
        <w:ind w:firstLine="480"/>
        <w:jc w:val="center"/>
        <w:rPr>
          <w:rFonts w:ascii="黑体" w:hAnsi="宋体" w:eastAsia="黑体" w:cs="宋体"/>
          <w:sz w:val="32"/>
          <w:szCs w:val="32"/>
        </w:rPr>
      </w:pPr>
      <w:r>
        <w:rPr>
          <w:rFonts w:hint="eastAsia" w:ascii="黑体" w:hAnsi="黑体" w:eastAsia="黑体"/>
          <w:sz w:val="32"/>
          <w:szCs w:val="32"/>
        </w:rPr>
        <w:t>一、封面格式</w:t>
      </w:r>
    </w:p>
    <w:p>
      <w:pPr>
        <w:widowControl/>
        <w:tabs>
          <w:tab w:val="left" w:pos="8280"/>
        </w:tabs>
        <w:spacing w:line="360" w:lineRule="auto"/>
        <w:ind w:firstLine="480"/>
        <w:jc w:val="center"/>
        <w:rPr>
          <w:rFonts w:ascii="仿宋_GB2312" w:hAnsi="宋体" w:eastAsia="仿宋_GB2312" w:cs="宋体"/>
          <w:b/>
          <w:sz w:val="32"/>
          <w:szCs w:val="32"/>
        </w:rPr>
      </w:pPr>
    </w:p>
    <w:p>
      <w:pPr>
        <w:widowControl/>
        <w:tabs>
          <w:tab w:val="left" w:pos="8280"/>
        </w:tabs>
        <w:spacing w:line="360" w:lineRule="auto"/>
        <w:ind w:firstLine="480"/>
        <w:jc w:val="center"/>
        <w:rPr>
          <w:rFonts w:ascii="仿宋_GB2312" w:hAnsi="宋体" w:eastAsia="仿宋_GB2312" w:cs="宋体"/>
          <w:b/>
          <w:sz w:val="32"/>
          <w:szCs w:val="32"/>
        </w:rPr>
      </w:pPr>
      <w:r>
        <w:rPr>
          <w:rFonts w:hint="eastAsia" w:ascii="仿宋_GB2312" w:hAnsi="宋体" w:eastAsia="仿宋_GB2312" w:cs="宋体"/>
          <w:b/>
          <w:sz w:val="32"/>
          <w:szCs w:val="32"/>
        </w:rPr>
        <w:t>商务技术文件或报价文件</w:t>
      </w:r>
    </w:p>
    <w:p>
      <w:pPr>
        <w:widowControl/>
        <w:tabs>
          <w:tab w:val="left" w:pos="275"/>
          <w:tab w:val="left" w:pos="8280"/>
        </w:tabs>
        <w:spacing w:line="360" w:lineRule="auto"/>
        <w:ind w:firstLine="480"/>
        <w:jc w:val="left"/>
        <w:rPr>
          <w:rFonts w:ascii="仿宋_GB2312" w:hAnsi="宋体" w:eastAsia="仿宋_GB2312" w:cs="宋体"/>
          <w:b/>
          <w:sz w:val="36"/>
          <w:szCs w:val="36"/>
        </w:rPr>
      </w:pPr>
      <w:r>
        <w:rPr>
          <w:rFonts w:hint="eastAsia" w:ascii="仿宋_GB2312" w:hAnsi="宋体" w:eastAsia="仿宋_GB2312" w:cs="宋体"/>
          <w:b/>
          <w:sz w:val="36"/>
          <w:szCs w:val="36"/>
        </w:rPr>
        <w:tab/>
      </w:r>
    </w:p>
    <w:p>
      <w:pPr>
        <w:widowControl/>
        <w:tabs>
          <w:tab w:val="left" w:pos="275"/>
          <w:tab w:val="left" w:pos="8280"/>
        </w:tabs>
        <w:spacing w:line="360" w:lineRule="auto"/>
        <w:jc w:val="left"/>
        <w:rPr>
          <w:rFonts w:ascii="仿宋_GB2312" w:hAnsi="宋体" w:eastAsia="仿宋_GB2312" w:cs="宋体"/>
          <w:b/>
          <w:sz w:val="32"/>
          <w:szCs w:val="32"/>
          <w:u w:val="single"/>
        </w:rPr>
      </w:pPr>
      <w:r>
        <w:rPr>
          <w:rFonts w:hint="eastAsia" w:ascii="仿宋_GB2312" w:hAnsi="宋体" w:eastAsia="仿宋_GB2312" w:cs="宋体"/>
          <w:b/>
          <w:sz w:val="32"/>
          <w:szCs w:val="32"/>
        </w:rPr>
        <w:t>项目名称：</w:t>
      </w:r>
      <w:r>
        <w:rPr>
          <w:rFonts w:hint="eastAsia" w:ascii="仿宋_GB2312" w:hAnsi="宋体" w:eastAsia="仿宋_GB2312" w:cs="宋体"/>
          <w:b/>
          <w:sz w:val="32"/>
          <w:szCs w:val="32"/>
          <w:u w:val="single"/>
        </w:rPr>
        <w:t xml:space="preserve">                                      </w:t>
      </w:r>
    </w:p>
    <w:p>
      <w:pPr>
        <w:widowControl/>
        <w:tabs>
          <w:tab w:val="left" w:pos="275"/>
          <w:tab w:val="left" w:pos="8280"/>
        </w:tabs>
        <w:spacing w:line="360" w:lineRule="auto"/>
        <w:ind w:firstLine="472" w:firstLineChars="147"/>
        <w:jc w:val="left"/>
        <w:rPr>
          <w:rFonts w:ascii="仿宋_GB2312" w:hAnsi="宋体" w:eastAsia="仿宋_GB2312" w:cs="宋体"/>
          <w:b/>
          <w:sz w:val="32"/>
          <w:szCs w:val="32"/>
        </w:rPr>
      </w:pPr>
    </w:p>
    <w:p>
      <w:pPr>
        <w:widowControl/>
        <w:tabs>
          <w:tab w:val="left" w:pos="275"/>
          <w:tab w:val="left" w:pos="8280"/>
        </w:tabs>
        <w:spacing w:line="360" w:lineRule="auto"/>
        <w:jc w:val="left"/>
        <w:rPr>
          <w:rFonts w:ascii="仿宋_GB2312" w:hAnsi="宋体" w:eastAsia="仿宋_GB2312" w:cs="宋体"/>
          <w:b/>
          <w:sz w:val="36"/>
          <w:szCs w:val="36"/>
        </w:rPr>
      </w:pPr>
      <w:r>
        <w:rPr>
          <w:rFonts w:hint="eastAsia" w:ascii="仿宋_GB2312" w:hAnsi="宋体" w:eastAsia="仿宋_GB2312" w:cs="宋体"/>
          <w:b/>
          <w:sz w:val="32"/>
          <w:szCs w:val="32"/>
        </w:rPr>
        <w:t>项目编号：</w:t>
      </w:r>
      <w:r>
        <w:rPr>
          <w:rFonts w:hint="eastAsia" w:ascii="仿宋_GB2312" w:hAnsi="宋体" w:eastAsia="仿宋_GB2312" w:cs="宋体"/>
          <w:b/>
          <w:sz w:val="32"/>
          <w:szCs w:val="32"/>
          <w:u w:val="single"/>
        </w:rPr>
        <w:t xml:space="preserve">                                      </w:t>
      </w:r>
      <w:r>
        <w:rPr>
          <w:rFonts w:hint="eastAsia" w:ascii="仿宋_GB2312" w:hAnsi="宋体" w:eastAsia="仿宋_GB2312" w:cs="宋体"/>
          <w:b/>
          <w:sz w:val="32"/>
          <w:szCs w:val="32"/>
        </w:rPr>
        <w:t xml:space="preserve">   </w:t>
      </w:r>
    </w:p>
    <w:p>
      <w:pPr>
        <w:widowControl/>
        <w:tabs>
          <w:tab w:val="left" w:pos="765"/>
          <w:tab w:val="left" w:pos="8280"/>
        </w:tabs>
        <w:spacing w:line="360" w:lineRule="auto"/>
        <w:ind w:firstLine="480"/>
        <w:jc w:val="left"/>
        <w:rPr>
          <w:rFonts w:ascii="仿宋_GB2312" w:hAnsi="宋体" w:eastAsia="仿宋_GB2312" w:cs="宋体"/>
          <w:b/>
          <w:sz w:val="36"/>
          <w:szCs w:val="36"/>
        </w:rPr>
      </w:pPr>
      <w:r>
        <w:rPr>
          <w:rFonts w:hint="eastAsia" w:ascii="仿宋_GB2312" w:hAnsi="宋体" w:eastAsia="仿宋_GB2312" w:cs="宋体"/>
          <w:b/>
          <w:sz w:val="36"/>
          <w:szCs w:val="36"/>
        </w:rPr>
        <w:tab/>
      </w:r>
    </w:p>
    <w:p>
      <w:pPr>
        <w:widowControl/>
        <w:tabs>
          <w:tab w:val="left" w:pos="765"/>
          <w:tab w:val="left" w:pos="8280"/>
        </w:tabs>
        <w:spacing w:line="360" w:lineRule="auto"/>
        <w:jc w:val="left"/>
        <w:rPr>
          <w:rFonts w:ascii="仿宋_GB2312" w:hAnsi="宋体" w:eastAsia="仿宋_GB2312" w:cs="宋体"/>
          <w:b/>
          <w:sz w:val="36"/>
          <w:szCs w:val="36"/>
          <w:u w:val="single"/>
        </w:rPr>
      </w:pPr>
      <w:r>
        <w:rPr>
          <w:rFonts w:hint="eastAsia" w:ascii="仿宋_GB2312" w:hAnsi="宋体" w:eastAsia="仿宋_GB2312" w:cs="宋体"/>
          <w:b/>
          <w:sz w:val="32"/>
          <w:szCs w:val="32"/>
        </w:rPr>
        <w:t>投标人：</w:t>
      </w:r>
      <w:r>
        <w:rPr>
          <w:rFonts w:hint="eastAsia" w:ascii="仿宋_GB2312" w:hAnsi="宋体" w:eastAsia="仿宋_GB2312" w:cs="宋体"/>
          <w:b/>
          <w:sz w:val="32"/>
          <w:szCs w:val="32"/>
          <w:u w:val="single"/>
        </w:rPr>
        <w:t xml:space="preserve">           （盖章）              </w:t>
      </w:r>
    </w:p>
    <w:p>
      <w:pPr>
        <w:widowControl/>
        <w:tabs>
          <w:tab w:val="left" w:pos="8280"/>
        </w:tabs>
        <w:spacing w:line="360" w:lineRule="auto"/>
        <w:ind w:firstLine="480"/>
        <w:jc w:val="center"/>
        <w:rPr>
          <w:rFonts w:ascii="仿宋_GB2312" w:hAnsi="宋体" w:eastAsia="仿宋_GB2312" w:cs="宋体"/>
          <w:b/>
          <w:sz w:val="32"/>
          <w:szCs w:val="32"/>
        </w:rPr>
      </w:pPr>
    </w:p>
    <w:p>
      <w:pPr>
        <w:widowControl/>
        <w:tabs>
          <w:tab w:val="left" w:pos="8280"/>
        </w:tabs>
        <w:spacing w:line="360" w:lineRule="auto"/>
        <w:ind w:firstLine="480"/>
        <w:jc w:val="center"/>
        <w:rPr>
          <w:rFonts w:ascii="仿宋_GB2312" w:hAnsi="宋体" w:eastAsia="仿宋_GB2312" w:cs="宋体"/>
          <w:b/>
          <w:sz w:val="32"/>
          <w:szCs w:val="32"/>
        </w:rPr>
      </w:pPr>
    </w:p>
    <w:p>
      <w:pPr>
        <w:widowControl/>
        <w:tabs>
          <w:tab w:val="left" w:pos="350"/>
          <w:tab w:val="left" w:pos="8280"/>
        </w:tabs>
        <w:spacing w:line="360" w:lineRule="auto"/>
        <w:jc w:val="left"/>
        <w:rPr>
          <w:rFonts w:ascii="仿宋_GB2312" w:hAnsi="宋体" w:eastAsia="仿宋_GB2312" w:cs="宋体"/>
          <w:b/>
          <w:sz w:val="32"/>
          <w:szCs w:val="32"/>
        </w:rPr>
      </w:pPr>
      <w:r>
        <w:rPr>
          <w:rFonts w:hint="eastAsia" w:ascii="仿宋_GB2312" w:hAnsi="宋体" w:eastAsia="仿宋_GB2312" w:cs="宋体"/>
          <w:b/>
          <w:sz w:val="32"/>
          <w:szCs w:val="32"/>
        </w:rPr>
        <w:t xml:space="preserve">日期：      </w:t>
      </w:r>
      <w:r>
        <w:rPr>
          <w:rFonts w:hint="eastAsia" w:ascii="仿宋_GB2312" w:hAnsi="宋体" w:eastAsia="仿宋_GB2312" w:cs="宋体"/>
          <w:b/>
          <w:sz w:val="36"/>
          <w:szCs w:val="36"/>
        </w:rPr>
        <w:t xml:space="preserve"> </w:t>
      </w:r>
      <w:r>
        <w:rPr>
          <w:rFonts w:hint="eastAsia" w:ascii="仿宋_GB2312" w:hAnsi="宋体" w:eastAsia="仿宋_GB2312" w:cs="宋体"/>
          <w:b/>
          <w:sz w:val="32"/>
          <w:szCs w:val="32"/>
        </w:rPr>
        <w:t>年</w:t>
      </w:r>
      <w:r>
        <w:rPr>
          <w:rFonts w:hint="eastAsia" w:ascii="仿宋_GB2312" w:hAnsi="宋体" w:eastAsia="仿宋_GB2312" w:cs="宋体"/>
          <w:b/>
          <w:sz w:val="36"/>
          <w:szCs w:val="36"/>
        </w:rPr>
        <w:t xml:space="preserve">     </w:t>
      </w:r>
      <w:r>
        <w:rPr>
          <w:rFonts w:hint="eastAsia" w:ascii="仿宋_GB2312" w:hAnsi="宋体" w:eastAsia="仿宋_GB2312" w:cs="宋体"/>
          <w:b/>
          <w:sz w:val="32"/>
          <w:szCs w:val="32"/>
        </w:rPr>
        <w:t>月</w:t>
      </w:r>
      <w:r>
        <w:rPr>
          <w:rFonts w:hint="eastAsia" w:ascii="仿宋_GB2312" w:hAnsi="宋体" w:eastAsia="仿宋_GB2312" w:cs="宋体"/>
          <w:b/>
          <w:sz w:val="36"/>
          <w:szCs w:val="36"/>
        </w:rPr>
        <w:t xml:space="preserve">     </w:t>
      </w:r>
      <w:r>
        <w:rPr>
          <w:rFonts w:hint="eastAsia" w:ascii="仿宋_GB2312" w:hAnsi="宋体" w:eastAsia="仿宋_GB2312" w:cs="宋体"/>
          <w:b/>
          <w:sz w:val="32"/>
          <w:szCs w:val="32"/>
        </w:rPr>
        <w:t>日</w:t>
      </w:r>
    </w:p>
    <w:p>
      <w:pPr>
        <w:widowControl/>
        <w:tabs>
          <w:tab w:val="left" w:pos="350"/>
          <w:tab w:val="left" w:pos="8280"/>
        </w:tabs>
        <w:spacing w:line="360" w:lineRule="auto"/>
        <w:jc w:val="left"/>
        <w:rPr>
          <w:rFonts w:ascii="仿宋_GB2312" w:hAnsi="宋体" w:eastAsia="仿宋_GB2312" w:cs="宋体"/>
          <w:b/>
          <w:sz w:val="32"/>
          <w:szCs w:val="32"/>
        </w:rPr>
      </w:pPr>
    </w:p>
    <w:p>
      <w:pPr>
        <w:jc w:val="center"/>
        <w:rPr>
          <w:rFonts w:ascii="仿宋" w:hAnsi="仿宋" w:eastAsia="仿宋"/>
          <w:b/>
          <w:sz w:val="36"/>
          <w:szCs w:val="36"/>
        </w:rPr>
      </w:pPr>
      <w:r>
        <w:rPr>
          <w:rFonts w:ascii="仿宋" w:hAnsi="仿宋" w:eastAsia="仿宋"/>
          <w:b/>
          <w:sz w:val="36"/>
          <w:szCs w:val="36"/>
        </w:rPr>
        <w:br w:type="page"/>
      </w:r>
      <w:r>
        <w:rPr>
          <w:rFonts w:hint="eastAsia" w:ascii="仿宋" w:hAnsi="仿宋" w:eastAsia="仿宋"/>
          <w:b/>
          <w:sz w:val="36"/>
          <w:szCs w:val="36"/>
        </w:rPr>
        <w:t>二、投标函（格式）</w:t>
      </w:r>
    </w:p>
    <w:p>
      <w:pPr>
        <w:spacing w:line="660" w:lineRule="exact"/>
        <w:rPr>
          <w:rFonts w:ascii="宋体" w:hAnsi="宋体"/>
          <w:spacing w:val="8"/>
          <w:sz w:val="24"/>
          <w:szCs w:val="24"/>
        </w:rPr>
      </w:pPr>
      <w:r>
        <w:rPr>
          <w:rFonts w:hint="eastAsia" w:ascii="宋体" w:hAnsi="宋体"/>
          <w:spacing w:val="8"/>
          <w:sz w:val="24"/>
          <w:szCs w:val="24"/>
        </w:rPr>
        <w:t>致：诸暨市公共资源交易中心</w:t>
      </w:r>
    </w:p>
    <w:p>
      <w:pPr>
        <w:spacing w:line="360" w:lineRule="auto"/>
        <w:ind w:firstLine="384" w:firstLineChars="150"/>
        <w:rPr>
          <w:rFonts w:ascii="宋体" w:hAnsi="宋体"/>
          <w:sz w:val="24"/>
          <w:szCs w:val="24"/>
        </w:rPr>
      </w:pPr>
      <w:r>
        <w:rPr>
          <w:rFonts w:hint="eastAsia" w:ascii="宋体" w:hAnsi="宋体"/>
          <w:spacing w:val="8"/>
          <w:sz w:val="24"/>
          <w:szCs w:val="24"/>
        </w:rPr>
        <w:t>根据贵方</w:t>
      </w:r>
      <w:r>
        <w:rPr>
          <w:rFonts w:hint="eastAsia" w:ascii="宋体" w:hAnsi="宋体"/>
          <w:spacing w:val="8"/>
          <w:sz w:val="24"/>
          <w:szCs w:val="24"/>
          <w:u w:val="single"/>
        </w:rPr>
        <w:t xml:space="preserve">                           项目的</w:t>
      </w:r>
      <w:r>
        <w:rPr>
          <w:rFonts w:hint="eastAsia" w:ascii="宋体" w:hAnsi="宋体"/>
          <w:spacing w:val="8"/>
          <w:sz w:val="24"/>
          <w:szCs w:val="24"/>
        </w:rPr>
        <w:t>招标文件（编号：</w:t>
      </w:r>
      <w:r>
        <w:rPr>
          <w:rFonts w:ascii="宋体" w:hAnsi="宋体"/>
          <w:spacing w:val="8"/>
          <w:sz w:val="24"/>
          <w:szCs w:val="24"/>
        </w:rPr>
        <w:t>诸政采 202</w:t>
      </w:r>
      <w:r>
        <w:rPr>
          <w:rFonts w:hint="eastAsia" w:ascii="宋体" w:hAnsi="宋体"/>
          <w:spacing w:val="8"/>
          <w:sz w:val="24"/>
          <w:szCs w:val="24"/>
        </w:rPr>
        <w:t>*</w:t>
      </w:r>
      <w:r>
        <w:rPr>
          <w:rFonts w:ascii="宋体" w:hAnsi="宋体"/>
          <w:spacing w:val="8"/>
          <w:sz w:val="24"/>
          <w:szCs w:val="24"/>
        </w:rPr>
        <w:t xml:space="preserve"> -</w:t>
      </w:r>
      <w:r>
        <w:rPr>
          <w:rFonts w:hint="eastAsia" w:ascii="宋体" w:hAnsi="宋体"/>
          <w:spacing w:val="8"/>
          <w:sz w:val="24"/>
          <w:szCs w:val="24"/>
        </w:rPr>
        <w:t>**</w:t>
      </w:r>
      <w:r>
        <w:rPr>
          <w:rFonts w:ascii="宋体" w:hAnsi="宋体"/>
          <w:spacing w:val="8"/>
          <w:sz w:val="24"/>
          <w:szCs w:val="24"/>
        </w:rPr>
        <w:t>-</w:t>
      </w:r>
      <w:r>
        <w:rPr>
          <w:rFonts w:hint="eastAsia" w:ascii="宋体" w:hAnsi="宋体"/>
          <w:spacing w:val="8"/>
          <w:sz w:val="24"/>
          <w:szCs w:val="24"/>
        </w:rPr>
        <w:t xml:space="preserve">**）有关要求， </w:t>
      </w:r>
      <w:r>
        <w:rPr>
          <w:rFonts w:hint="eastAsia" w:ascii="宋体" w:hAnsi="宋体"/>
          <w:spacing w:val="8"/>
          <w:sz w:val="24"/>
          <w:szCs w:val="24"/>
          <w:u w:val="single"/>
        </w:rPr>
        <w:t xml:space="preserve">   　（投标人全称）      </w:t>
      </w:r>
      <w:r>
        <w:rPr>
          <w:rFonts w:hint="eastAsia" w:ascii="宋体" w:hAnsi="宋体"/>
          <w:spacing w:val="8"/>
          <w:sz w:val="24"/>
          <w:szCs w:val="24"/>
        </w:rPr>
        <w:t>授权</w:t>
      </w:r>
      <w:r>
        <w:rPr>
          <w:rFonts w:hint="eastAsia" w:ascii="宋体" w:hAnsi="宋体"/>
          <w:spacing w:val="8"/>
          <w:sz w:val="24"/>
          <w:szCs w:val="24"/>
          <w:u w:val="single"/>
        </w:rPr>
        <w:t xml:space="preserve">   （委托代理人姓名）   </w:t>
      </w:r>
      <w:r>
        <w:rPr>
          <w:rFonts w:hint="eastAsia" w:ascii="宋体" w:hAnsi="宋体"/>
          <w:sz w:val="24"/>
          <w:szCs w:val="24"/>
        </w:rPr>
        <w:t>为全权代表，参加贵方组织的招标采购活动，并进行投标。为此：</w:t>
      </w:r>
    </w:p>
    <w:p>
      <w:pPr>
        <w:snapToGrid w:val="0"/>
        <w:spacing w:line="360" w:lineRule="auto"/>
        <w:ind w:firstLine="480" w:firstLineChars="200"/>
        <w:rPr>
          <w:rFonts w:ascii="宋体" w:hAnsi="宋体"/>
          <w:bCs/>
          <w:sz w:val="24"/>
          <w:szCs w:val="24"/>
        </w:rPr>
      </w:pPr>
      <w:r>
        <w:rPr>
          <w:rFonts w:hint="eastAsia" w:ascii="宋体" w:hAnsi="宋体"/>
          <w:sz w:val="24"/>
          <w:szCs w:val="24"/>
        </w:rPr>
        <w:t>1、我方已详细研读了全部招标文件，包括修改文件（如有的话）以及全部参考资料和有关附件等，</w:t>
      </w:r>
      <w:r>
        <w:rPr>
          <w:rFonts w:hint="eastAsia" w:ascii="宋体" w:hAnsi="宋体"/>
          <w:bCs/>
          <w:sz w:val="24"/>
          <w:szCs w:val="24"/>
        </w:rPr>
        <w:t>完全理解并接受招标文件的各项规定和要求，对招标文件的合理性、合法性不再有异议。</w:t>
      </w:r>
    </w:p>
    <w:p>
      <w:pPr>
        <w:tabs>
          <w:tab w:val="left" w:pos="900"/>
        </w:tabs>
        <w:spacing w:line="360" w:lineRule="auto"/>
        <w:ind w:firstLine="480" w:firstLineChars="200"/>
        <w:rPr>
          <w:rFonts w:ascii="宋体" w:hAnsi="宋体"/>
          <w:sz w:val="24"/>
          <w:szCs w:val="24"/>
        </w:rPr>
      </w:pPr>
      <w:r>
        <w:rPr>
          <w:rFonts w:hint="eastAsia" w:ascii="宋体" w:hAnsi="宋体"/>
          <w:sz w:val="24"/>
          <w:szCs w:val="24"/>
        </w:rPr>
        <w:t>2、我方承诺本投标文件在开标之日起至投标有效期满均具有约束力，并严格遵守投标文件中的承诺。</w:t>
      </w:r>
    </w:p>
    <w:p>
      <w:pPr>
        <w:spacing w:line="360" w:lineRule="auto"/>
        <w:ind w:firstLine="480" w:firstLineChars="200"/>
        <w:rPr>
          <w:rFonts w:ascii="宋体" w:hAnsi="宋体"/>
          <w:sz w:val="24"/>
          <w:szCs w:val="24"/>
        </w:rPr>
      </w:pPr>
      <w:r>
        <w:rPr>
          <w:rFonts w:hint="eastAsia" w:ascii="宋体" w:hAnsi="宋体"/>
          <w:sz w:val="24"/>
          <w:szCs w:val="24"/>
        </w:rPr>
        <w:t>3、我方承诺已经具备《中华人民共和国政府采购法》及招标文件中规定的参加本项目的供应商资格条件。</w:t>
      </w:r>
    </w:p>
    <w:p>
      <w:pPr>
        <w:snapToGrid w:val="0"/>
        <w:spacing w:line="360" w:lineRule="auto"/>
        <w:ind w:firstLine="480" w:firstLineChars="200"/>
        <w:rPr>
          <w:rFonts w:ascii="宋体" w:hAnsi="宋体"/>
          <w:sz w:val="24"/>
          <w:szCs w:val="24"/>
        </w:rPr>
      </w:pPr>
      <w:r>
        <w:rPr>
          <w:rFonts w:hint="eastAsia" w:ascii="宋体" w:hAnsi="宋体"/>
          <w:sz w:val="24"/>
          <w:szCs w:val="24"/>
        </w:rPr>
        <w:t>4、我方严格按照招标文件的规定报价，并提供招标文件规定的全部投标文件。</w:t>
      </w:r>
    </w:p>
    <w:p>
      <w:pPr>
        <w:spacing w:line="360" w:lineRule="auto"/>
        <w:ind w:firstLine="480" w:firstLineChars="200"/>
        <w:rPr>
          <w:rFonts w:ascii="宋体" w:hAnsi="宋体"/>
          <w:sz w:val="24"/>
          <w:szCs w:val="24"/>
        </w:rPr>
      </w:pPr>
      <w:r>
        <w:rPr>
          <w:rFonts w:hint="eastAsia" w:ascii="宋体" w:hAnsi="宋体"/>
          <w:sz w:val="24"/>
          <w:szCs w:val="24"/>
        </w:rPr>
        <w:t>5、如我方中标，投标文件将作为本项目合同的组成部分，直到合同履行完毕均保持有效，我方将按招标文件及政府采购法律、法规的规定履行合同责任和义务。</w:t>
      </w:r>
    </w:p>
    <w:p>
      <w:pPr>
        <w:spacing w:line="360" w:lineRule="auto"/>
        <w:ind w:firstLine="480" w:firstLineChars="200"/>
        <w:rPr>
          <w:rFonts w:ascii="宋体" w:hAnsi="宋体"/>
          <w:sz w:val="24"/>
          <w:szCs w:val="24"/>
        </w:rPr>
      </w:pPr>
      <w:r>
        <w:rPr>
          <w:rFonts w:hint="eastAsia" w:ascii="宋体" w:hAnsi="宋体"/>
          <w:sz w:val="24"/>
          <w:szCs w:val="24"/>
        </w:rPr>
        <w:t>6、我方完全理解贵方不一定接受最低价的投标。</w:t>
      </w:r>
    </w:p>
    <w:p>
      <w:pPr>
        <w:spacing w:line="360" w:lineRule="auto"/>
        <w:ind w:firstLine="480" w:firstLineChars="200"/>
        <w:rPr>
          <w:rFonts w:ascii="宋体" w:hAnsi="宋体"/>
          <w:sz w:val="24"/>
          <w:szCs w:val="24"/>
        </w:rPr>
      </w:pPr>
      <w:r>
        <w:rPr>
          <w:rFonts w:hint="eastAsia" w:ascii="宋体" w:hAnsi="宋体"/>
          <w:sz w:val="24"/>
          <w:szCs w:val="24"/>
        </w:rPr>
        <w:t>7、我方同意向贵方提供任何与该项投标有关的一切数据或资料。若贵方需要，我方愿意提供我方作出的一切承诺的证明材料。</w:t>
      </w:r>
    </w:p>
    <w:p>
      <w:pPr>
        <w:spacing w:line="360" w:lineRule="auto"/>
        <w:ind w:firstLine="480" w:firstLineChars="200"/>
        <w:rPr>
          <w:rFonts w:ascii="宋体" w:hAnsi="宋体"/>
          <w:sz w:val="24"/>
          <w:szCs w:val="24"/>
        </w:rPr>
      </w:pPr>
    </w:p>
    <w:p>
      <w:pPr>
        <w:spacing w:line="360" w:lineRule="auto"/>
        <w:ind w:firstLine="480" w:firstLineChars="200"/>
        <w:rPr>
          <w:rFonts w:ascii="宋体" w:hAnsi="宋体"/>
          <w:sz w:val="24"/>
          <w:szCs w:val="24"/>
        </w:rPr>
      </w:pPr>
    </w:p>
    <w:p>
      <w:pPr>
        <w:spacing w:line="360" w:lineRule="auto"/>
        <w:ind w:firstLine="480" w:firstLineChars="200"/>
        <w:rPr>
          <w:rFonts w:ascii="宋体" w:hAnsi="宋体"/>
          <w:sz w:val="24"/>
          <w:szCs w:val="24"/>
          <w:u w:val="single"/>
        </w:rPr>
      </w:pPr>
      <w:r>
        <w:rPr>
          <w:rFonts w:hint="eastAsia" w:ascii="宋体" w:hAnsi="宋体"/>
          <w:sz w:val="24"/>
          <w:szCs w:val="24"/>
        </w:rPr>
        <w:t>地址：</w:t>
      </w:r>
      <w:r>
        <w:rPr>
          <w:rFonts w:hint="eastAsia" w:ascii="宋体" w:hAnsi="宋体"/>
          <w:sz w:val="24"/>
          <w:szCs w:val="24"/>
          <w:u w:val="single"/>
        </w:rPr>
        <w:t xml:space="preserve">                          </w:t>
      </w:r>
      <w:r>
        <w:rPr>
          <w:rFonts w:hint="eastAsia" w:ascii="宋体" w:hAnsi="宋体"/>
          <w:sz w:val="24"/>
          <w:szCs w:val="24"/>
        </w:rPr>
        <w:t>邮编：</w:t>
      </w:r>
      <w:r>
        <w:rPr>
          <w:rFonts w:hint="eastAsia" w:ascii="宋体" w:hAnsi="宋体"/>
          <w:sz w:val="24"/>
          <w:szCs w:val="24"/>
          <w:u w:val="single"/>
        </w:rPr>
        <w:t xml:space="preserve">                     </w:t>
      </w:r>
    </w:p>
    <w:p>
      <w:pPr>
        <w:spacing w:line="360" w:lineRule="auto"/>
        <w:ind w:firstLine="425"/>
        <w:rPr>
          <w:rFonts w:ascii="宋体" w:hAnsi="宋体"/>
          <w:sz w:val="24"/>
          <w:szCs w:val="24"/>
          <w:u w:val="single"/>
        </w:rPr>
      </w:pPr>
      <w:r>
        <w:rPr>
          <w:rFonts w:hint="eastAsia" w:ascii="宋体" w:hAnsi="宋体"/>
          <w:sz w:val="24"/>
          <w:szCs w:val="24"/>
        </w:rPr>
        <w:t xml:space="preserve"> 电话：</w:t>
      </w:r>
      <w:r>
        <w:rPr>
          <w:rFonts w:hint="eastAsia" w:ascii="宋体" w:hAnsi="宋体"/>
          <w:sz w:val="24"/>
          <w:szCs w:val="24"/>
          <w:u w:val="single"/>
        </w:rPr>
        <w:t xml:space="preserve">                          </w:t>
      </w:r>
      <w:r>
        <w:rPr>
          <w:rFonts w:hint="eastAsia" w:ascii="宋体" w:hAnsi="宋体"/>
          <w:sz w:val="24"/>
          <w:szCs w:val="24"/>
        </w:rPr>
        <w:t>传真：</w:t>
      </w:r>
      <w:r>
        <w:rPr>
          <w:rFonts w:hint="eastAsia" w:ascii="宋体" w:hAnsi="宋体"/>
          <w:sz w:val="24"/>
          <w:szCs w:val="24"/>
          <w:u w:val="single"/>
        </w:rPr>
        <w:t xml:space="preserve">                     </w:t>
      </w:r>
    </w:p>
    <w:p>
      <w:pPr>
        <w:spacing w:line="360" w:lineRule="auto"/>
        <w:ind w:firstLine="425"/>
        <w:rPr>
          <w:rFonts w:ascii="宋体" w:hAnsi="宋体"/>
          <w:sz w:val="24"/>
          <w:szCs w:val="24"/>
        </w:rPr>
      </w:pPr>
      <w:r>
        <w:rPr>
          <w:rFonts w:hint="eastAsia" w:ascii="宋体" w:hAnsi="宋体"/>
          <w:sz w:val="24"/>
          <w:szCs w:val="24"/>
        </w:rPr>
        <w:t xml:space="preserve"> 投标人名称：</w:t>
      </w:r>
      <w:r>
        <w:rPr>
          <w:rFonts w:hint="eastAsia" w:ascii="宋体" w:hAnsi="宋体"/>
          <w:sz w:val="24"/>
          <w:szCs w:val="24"/>
          <w:u w:val="single"/>
        </w:rPr>
        <w:t xml:space="preserve">             （公章）          </w:t>
      </w:r>
    </w:p>
    <w:p>
      <w:pPr>
        <w:spacing w:line="360" w:lineRule="auto"/>
        <w:ind w:firstLine="425"/>
        <w:rPr>
          <w:rFonts w:ascii="宋体" w:hAnsi="宋体"/>
          <w:sz w:val="24"/>
          <w:szCs w:val="24"/>
        </w:rPr>
      </w:pPr>
      <w:r>
        <w:rPr>
          <w:rFonts w:hint="eastAsia" w:ascii="宋体" w:hAnsi="宋体"/>
          <w:sz w:val="24"/>
          <w:szCs w:val="24"/>
        </w:rPr>
        <w:t xml:space="preserve"> 日期：</w:t>
      </w:r>
      <w:r>
        <w:rPr>
          <w:rFonts w:hint="eastAsia" w:ascii="宋体" w:hAnsi="宋体"/>
          <w:sz w:val="24"/>
          <w:szCs w:val="24"/>
          <w:u w:val="single"/>
        </w:rPr>
        <w:t xml:space="preserve">        </w:t>
      </w:r>
      <w:r>
        <w:rPr>
          <w:rFonts w:hint="eastAsia" w:ascii="宋体" w:hAnsi="宋体"/>
          <w:sz w:val="24"/>
          <w:szCs w:val="24"/>
        </w:rPr>
        <w:t>年</w:t>
      </w:r>
      <w:r>
        <w:rPr>
          <w:rFonts w:hint="eastAsia" w:ascii="宋体" w:hAnsi="宋体"/>
          <w:sz w:val="24"/>
          <w:szCs w:val="24"/>
          <w:u w:val="single"/>
        </w:rPr>
        <w:t xml:space="preserve">       </w:t>
      </w:r>
      <w:r>
        <w:rPr>
          <w:rFonts w:hint="eastAsia" w:ascii="宋体" w:hAnsi="宋体"/>
          <w:sz w:val="24"/>
          <w:szCs w:val="24"/>
        </w:rPr>
        <w:t>月</w:t>
      </w:r>
      <w:r>
        <w:rPr>
          <w:rFonts w:hint="eastAsia" w:ascii="宋体" w:hAnsi="宋体"/>
          <w:sz w:val="24"/>
          <w:szCs w:val="24"/>
          <w:u w:val="single"/>
        </w:rPr>
        <w:t xml:space="preserve">       </w:t>
      </w:r>
      <w:r>
        <w:rPr>
          <w:rFonts w:hint="eastAsia" w:ascii="宋体" w:hAnsi="宋体"/>
          <w:sz w:val="24"/>
          <w:szCs w:val="24"/>
        </w:rPr>
        <w:t>日</w:t>
      </w:r>
    </w:p>
    <w:p>
      <w:pPr>
        <w:spacing w:line="360" w:lineRule="auto"/>
        <w:ind w:firstLine="480" w:firstLineChars="200"/>
        <w:rPr>
          <w:rFonts w:ascii="宋体" w:hAnsi="宋体"/>
          <w:sz w:val="24"/>
          <w:szCs w:val="24"/>
        </w:rPr>
      </w:pPr>
    </w:p>
    <w:p>
      <w:pPr>
        <w:widowControl/>
        <w:tabs>
          <w:tab w:val="left" w:pos="450"/>
          <w:tab w:val="left" w:pos="2520"/>
          <w:tab w:val="left" w:pos="8280"/>
        </w:tabs>
        <w:spacing w:line="360" w:lineRule="auto"/>
        <w:ind w:firstLine="480"/>
        <w:jc w:val="center"/>
        <w:rPr>
          <w:rFonts w:ascii="黑体" w:hAnsi="黑体" w:eastAsia="黑体"/>
          <w:sz w:val="32"/>
          <w:szCs w:val="32"/>
        </w:rPr>
      </w:pPr>
    </w:p>
    <w:p>
      <w:pPr>
        <w:widowControl/>
        <w:tabs>
          <w:tab w:val="left" w:pos="450"/>
          <w:tab w:val="left" w:pos="2520"/>
          <w:tab w:val="left" w:pos="8280"/>
        </w:tabs>
        <w:spacing w:line="360" w:lineRule="auto"/>
        <w:ind w:firstLine="480"/>
        <w:jc w:val="center"/>
        <w:rPr>
          <w:rFonts w:ascii="黑体" w:hAnsi="黑体" w:eastAsia="黑体"/>
          <w:sz w:val="32"/>
          <w:szCs w:val="32"/>
        </w:rPr>
      </w:pPr>
    </w:p>
    <w:p>
      <w:pPr>
        <w:jc w:val="center"/>
        <w:rPr>
          <w:rFonts w:ascii="仿宋" w:hAnsi="仿宋" w:eastAsia="仿宋"/>
          <w:b/>
          <w:sz w:val="36"/>
          <w:szCs w:val="36"/>
        </w:rPr>
      </w:pPr>
      <w:r>
        <w:rPr>
          <w:rFonts w:ascii="仿宋" w:hAnsi="仿宋" w:eastAsia="仿宋"/>
          <w:b/>
          <w:sz w:val="36"/>
          <w:szCs w:val="36"/>
        </w:rPr>
        <w:br w:type="page"/>
      </w:r>
    </w:p>
    <w:p>
      <w:pPr>
        <w:jc w:val="center"/>
        <w:rPr>
          <w:rFonts w:ascii="仿宋" w:hAnsi="仿宋" w:eastAsia="仿宋"/>
          <w:b/>
          <w:sz w:val="36"/>
          <w:szCs w:val="36"/>
        </w:rPr>
      </w:pPr>
    </w:p>
    <w:p>
      <w:pPr>
        <w:jc w:val="center"/>
        <w:rPr>
          <w:rFonts w:ascii="仿宋" w:hAnsi="仿宋" w:eastAsia="仿宋"/>
          <w:b/>
          <w:sz w:val="36"/>
          <w:szCs w:val="36"/>
        </w:rPr>
      </w:pPr>
      <w:r>
        <w:rPr>
          <w:rFonts w:hint="eastAsia" w:ascii="仿宋" w:hAnsi="仿宋" w:eastAsia="仿宋"/>
          <w:b/>
          <w:sz w:val="36"/>
          <w:szCs w:val="36"/>
        </w:rPr>
        <w:t>三、授权委托书（格式）</w:t>
      </w:r>
    </w:p>
    <w:p>
      <w:pPr>
        <w:spacing w:line="360" w:lineRule="auto"/>
        <w:rPr>
          <w:rFonts w:ascii="宋体" w:hAnsi="宋体"/>
          <w:color w:val="auto"/>
          <w:sz w:val="24"/>
          <w:szCs w:val="24"/>
          <w:u w:val="single"/>
        </w:rPr>
      </w:pPr>
      <w:r>
        <w:rPr>
          <w:rFonts w:hint="eastAsia" w:ascii="宋体" w:hAnsi="宋体"/>
          <w:sz w:val="24"/>
          <w:szCs w:val="24"/>
        </w:rPr>
        <w:t>致：</w:t>
      </w:r>
      <w:r>
        <w:rPr>
          <w:rFonts w:hint="eastAsia" w:ascii="宋体" w:hAnsi="宋体"/>
          <w:color w:val="FF0000"/>
          <w:sz w:val="24"/>
          <w:szCs w:val="24"/>
          <w:u w:val="single"/>
        </w:rPr>
        <w:t>（采购人）</w:t>
      </w:r>
      <w:r>
        <w:rPr>
          <w:rFonts w:hint="eastAsia" w:ascii="宋体" w:hAnsi="宋体"/>
          <w:color w:val="auto"/>
          <w:sz w:val="24"/>
          <w:szCs w:val="24"/>
          <w:u w:val="single"/>
        </w:rPr>
        <w:t>、诸暨市公共资源交易中心</w:t>
      </w:r>
    </w:p>
    <w:p>
      <w:pPr>
        <w:spacing w:line="360" w:lineRule="auto"/>
        <w:ind w:firstLine="480" w:firstLineChars="200"/>
        <w:rPr>
          <w:rFonts w:ascii="宋体" w:hAnsi="宋体"/>
          <w:sz w:val="24"/>
          <w:szCs w:val="24"/>
        </w:rPr>
      </w:pPr>
      <w:r>
        <w:rPr>
          <w:rFonts w:hint="eastAsia" w:ascii="宋体" w:hAnsi="宋体"/>
          <w:sz w:val="24"/>
          <w:szCs w:val="24"/>
        </w:rPr>
        <w:t>我</w:t>
      </w:r>
      <w:r>
        <w:rPr>
          <w:rFonts w:ascii="宋体" w:hAnsi="宋体"/>
          <w:sz w:val="24"/>
          <w:szCs w:val="24"/>
          <w:u w:val="single"/>
        </w:rPr>
        <w:t xml:space="preserve">   (</w:t>
      </w:r>
      <w:r>
        <w:rPr>
          <w:rFonts w:hint="eastAsia" w:ascii="宋体" w:hAnsi="宋体"/>
          <w:sz w:val="24"/>
          <w:szCs w:val="24"/>
          <w:u w:val="single"/>
        </w:rPr>
        <w:t>姓名</w:t>
      </w:r>
      <w:r>
        <w:rPr>
          <w:rFonts w:ascii="宋体" w:hAnsi="宋体"/>
          <w:sz w:val="24"/>
          <w:szCs w:val="24"/>
          <w:u w:val="single"/>
        </w:rPr>
        <w:t>)</w:t>
      </w:r>
      <w:r>
        <w:rPr>
          <w:rFonts w:hint="eastAsia" w:ascii="宋体" w:hAnsi="宋体"/>
          <w:sz w:val="24"/>
          <w:szCs w:val="24"/>
          <w:u w:val="single"/>
        </w:rPr>
        <w:t xml:space="preserve">　 （职务：     身份证号码） </w:t>
      </w:r>
      <w:r>
        <w:rPr>
          <w:rFonts w:hint="eastAsia" w:ascii="宋体" w:hAnsi="宋体"/>
          <w:sz w:val="24"/>
          <w:szCs w:val="24"/>
        </w:rPr>
        <w:t>系</w:t>
      </w:r>
      <w:r>
        <w:rPr>
          <w:rFonts w:ascii="宋体" w:hAnsi="宋体"/>
          <w:sz w:val="24"/>
          <w:szCs w:val="24"/>
          <w:u w:val="single"/>
        </w:rPr>
        <w:t xml:space="preserve">        (</w:t>
      </w:r>
      <w:r>
        <w:rPr>
          <w:rFonts w:hint="eastAsia" w:ascii="宋体" w:hAnsi="宋体"/>
          <w:sz w:val="24"/>
          <w:szCs w:val="24"/>
          <w:u w:val="single"/>
        </w:rPr>
        <w:t>投标人名称</w:t>
      </w:r>
      <w:r>
        <w:rPr>
          <w:rFonts w:ascii="宋体" w:hAnsi="宋体"/>
          <w:sz w:val="24"/>
          <w:szCs w:val="24"/>
          <w:u w:val="single"/>
        </w:rPr>
        <w:t>)</w:t>
      </w:r>
      <w:r>
        <w:rPr>
          <w:rFonts w:hint="eastAsia" w:ascii="宋体" w:hAnsi="宋体"/>
          <w:sz w:val="24"/>
          <w:szCs w:val="24"/>
          <w:u w:val="single"/>
        </w:rPr>
        <w:t>　　　</w:t>
      </w:r>
      <w:r>
        <w:rPr>
          <w:rFonts w:hint="eastAsia" w:ascii="宋体" w:hAnsi="宋体"/>
          <w:sz w:val="24"/>
          <w:szCs w:val="24"/>
        </w:rPr>
        <w:t>的法定代表人，现授权委托本单位在职职工</w:t>
      </w:r>
      <w:r>
        <w:rPr>
          <w:rFonts w:ascii="宋体" w:hAnsi="宋体"/>
          <w:sz w:val="24"/>
          <w:szCs w:val="24"/>
          <w:u w:val="single"/>
        </w:rPr>
        <w:t xml:space="preserve">   (</w:t>
      </w:r>
      <w:r>
        <w:rPr>
          <w:rFonts w:hint="eastAsia" w:ascii="宋体" w:hAnsi="宋体"/>
          <w:sz w:val="24"/>
          <w:szCs w:val="24"/>
          <w:u w:val="single"/>
        </w:rPr>
        <w:t>姓名</w:t>
      </w:r>
      <w:r>
        <w:rPr>
          <w:rFonts w:ascii="宋体" w:hAnsi="宋体"/>
          <w:sz w:val="24"/>
          <w:szCs w:val="24"/>
          <w:u w:val="single"/>
        </w:rPr>
        <w:t>)</w:t>
      </w:r>
      <w:r>
        <w:rPr>
          <w:rFonts w:hint="eastAsia" w:ascii="宋体" w:hAnsi="宋体"/>
          <w:sz w:val="24"/>
          <w:szCs w:val="24"/>
          <w:u w:val="single"/>
        </w:rPr>
        <w:t xml:space="preserve">  　 （职务：    身份证号码：     ）</w:t>
      </w:r>
      <w:r>
        <w:rPr>
          <w:rFonts w:hint="eastAsia" w:ascii="宋体" w:hAnsi="宋体"/>
          <w:sz w:val="24"/>
          <w:szCs w:val="24"/>
        </w:rPr>
        <w:t>以我方的名义参加贵中心组织的</w:t>
      </w:r>
      <w:r>
        <w:rPr>
          <w:rFonts w:hint="eastAsia" w:ascii="宋体" w:hAnsi="宋体"/>
          <w:sz w:val="24"/>
          <w:szCs w:val="24"/>
          <w:u w:val="single"/>
        </w:rPr>
        <w:t>诸暨市</w:t>
      </w:r>
      <w:r>
        <w:rPr>
          <w:rFonts w:ascii="宋体" w:hAnsi="宋体"/>
          <w:sz w:val="24"/>
          <w:szCs w:val="24"/>
          <w:u w:val="single"/>
        </w:rPr>
        <w:t xml:space="preserve">    </w:t>
      </w:r>
      <w:r>
        <w:rPr>
          <w:rFonts w:hint="eastAsia" w:ascii="宋体" w:hAnsi="宋体"/>
          <w:sz w:val="24"/>
          <w:szCs w:val="24"/>
          <w:u w:val="single"/>
        </w:rPr>
        <w:t>　</w:t>
      </w:r>
      <w:r>
        <w:rPr>
          <w:rFonts w:ascii="宋体" w:hAnsi="宋体"/>
          <w:sz w:val="24"/>
          <w:szCs w:val="24"/>
          <w:u w:val="single"/>
        </w:rPr>
        <w:t>(</w:t>
      </w:r>
      <w:r>
        <w:rPr>
          <w:rFonts w:hint="eastAsia" w:ascii="宋体" w:hAnsi="宋体"/>
          <w:sz w:val="24"/>
          <w:szCs w:val="24"/>
          <w:u w:val="single"/>
        </w:rPr>
        <w:t>招标项目</w:t>
      </w:r>
      <w:r>
        <w:rPr>
          <w:rFonts w:ascii="宋体" w:hAnsi="宋体"/>
          <w:sz w:val="24"/>
          <w:szCs w:val="24"/>
          <w:u w:val="single"/>
        </w:rPr>
        <w:t xml:space="preserve">)        </w:t>
      </w:r>
      <w:r>
        <w:rPr>
          <w:rFonts w:hint="eastAsia" w:ascii="宋体" w:hAnsi="宋体"/>
          <w:sz w:val="24"/>
          <w:szCs w:val="24"/>
          <w:u w:val="single"/>
        </w:rPr>
        <w:t>项目</w:t>
      </w:r>
      <w:r>
        <w:rPr>
          <w:rFonts w:hint="eastAsia" w:ascii="宋体" w:hAnsi="宋体"/>
          <w:sz w:val="24"/>
          <w:szCs w:val="24"/>
        </w:rPr>
        <w:t>的投标活动，并代表我方全权办理针对上述项目的投标、开标、评标、签约等具体事务和签署相关文件。</w:t>
      </w:r>
    </w:p>
    <w:p>
      <w:pPr>
        <w:snapToGrid w:val="0"/>
        <w:spacing w:line="360" w:lineRule="auto"/>
        <w:rPr>
          <w:rFonts w:ascii="宋体" w:hAnsi="宋体"/>
          <w:sz w:val="24"/>
          <w:szCs w:val="24"/>
        </w:rPr>
      </w:pPr>
      <w:r>
        <w:rPr>
          <w:rFonts w:ascii="宋体" w:hAnsi="宋体"/>
          <w:sz w:val="24"/>
          <w:szCs w:val="24"/>
        </w:rPr>
        <w:t xml:space="preserve">    </w:t>
      </w:r>
      <w:r>
        <w:rPr>
          <w:rFonts w:hint="eastAsia" w:ascii="宋体" w:hAnsi="宋体"/>
          <w:sz w:val="24"/>
          <w:szCs w:val="24"/>
        </w:rPr>
        <w:t>我方对被授权人的签名事项负全部责任。</w:t>
      </w:r>
    </w:p>
    <w:p>
      <w:pPr>
        <w:snapToGrid w:val="0"/>
        <w:spacing w:line="360" w:lineRule="auto"/>
        <w:ind w:firstLine="480"/>
        <w:rPr>
          <w:rFonts w:ascii="宋体" w:hAnsi="宋体"/>
          <w:sz w:val="24"/>
          <w:szCs w:val="24"/>
        </w:rPr>
      </w:pPr>
      <w:r>
        <w:rPr>
          <w:rFonts w:hint="eastAsia" w:ascii="宋体" w:hAnsi="宋体"/>
          <w:sz w:val="24"/>
          <w:szCs w:val="24"/>
        </w:rPr>
        <w:t>在撤销授权的书面通知以前，本授权书一直有效。被授权人在授权书有效期内签署的所有文件不因授权的撤销而失效。</w:t>
      </w:r>
    </w:p>
    <w:p>
      <w:pPr>
        <w:snapToGrid w:val="0"/>
        <w:spacing w:line="360" w:lineRule="auto"/>
        <w:ind w:firstLine="480"/>
        <w:rPr>
          <w:rFonts w:ascii="宋体" w:hAnsi="宋体"/>
          <w:sz w:val="24"/>
          <w:szCs w:val="24"/>
        </w:rPr>
      </w:pPr>
      <w:r>
        <w:rPr>
          <w:rFonts w:hint="eastAsia" w:ascii="宋体" w:hAnsi="宋体"/>
          <w:sz w:val="24"/>
          <w:szCs w:val="24"/>
        </w:rPr>
        <w:t>被授权人无转委托权，特此委托。</w:t>
      </w:r>
    </w:p>
    <w:p>
      <w:pPr>
        <w:spacing w:line="360" w:lineRule="auto"/>
        <w:rPr>
          <w:rFonts w:ascii="宋体" w:hAnsi="宋体"/>
          <w:sz w:val="24"/>
          <w:szCs w:val="24"/>
        </w:rPr>
      </w:pPr>
    </w:p>
    <w:p>
      <w:pPr>
        <w:spacing w:line="360" w:lineRule="auto"/>
        <w:rPr>
          <w:rFonts w:ascii="宋体" w:hAnsi="宋体"/>
          <w:sz w:val="24"/>
          <w:szCs w:val="24"/>
        </w:rPr>
      </w:pPr>
    </w:p>
    <w:p>
      <w:pPr>
        <w:spacing w:line="360" w:lineRule="auto"/>
        <w:rPr>
          <w:rFonts w:ascii="宋体" w:hAnsi="宋体"/>
          <w:sz w:val="24"/>
          <w:szCs w:val="24"/>
        </w:rPr>
      </w:pPr>
      <w:r>
        <w:rPr>
          <w:rFonts w:hint="eastAsia" w:ascii="宋体" w:hAnsi="宋体"/>
          <w:sz w:val="24"/>
          <w:szCs w:val="24"/>
        </w:rPr>
        <w:t>1、法定代表人和被授权人身份证复印件。</w:t>
      </w:r>
    </w:p>
    <w:p>
      <w:pPr>
        <w:spacing w:line="360" w:lineRule="auto"/>
        <w:ind w:firstLine="4440" w:firstLineChars="1850"/>
        <w:rPr>
          <w:rFonts w:ascii="宋体" w:hAnsi="宋体"/>
          <w:sz w:val="24"/>
          <w:szCs w:val="24"/>
        </w:rPr>
      </w:pPr>
    </w:p>
    <w:p>
      <w:pPr>
        <w:spacing w:line="360" w:lineRule="auto"/>
        <w:ind w:firstLine="4440" w:firstLineChars="1850"/>
        <w:rPr>
          <w:rFonts w:ascii="宋体" w:hAnsi="宋体"/>
          <w:sz w:val="24"/>
          <w:szCs w:val="24"/>
        </w:rPr>
      </w:pPr>
    </w:p>
    <w:p>
      <w:pPr>
        <w:snapToGrid w:val="0"/>
        <w:spacing w:line="360" w:lineRule="auto"/>
        <w:rPr>
          <w:rFonts w:ascii="宋体" w:hAnsi="宋体"/>
          <w:color w:val="FF0000"/>
          <w:sz w:val="24"/>
          <w:szCs w:val="24"/>
        </w:rPr>
      </w:pPr>
      <w:r>
        <w:rPr>
          <w:rFonts w:hint="eastAsia" w:ascii="宋体" w:hAnsi="宋体"/>
          <w:color w:val="FF0000"/>
          <w:sz w:val="24"/>
          <w:szCs w:val="24"/>
        </w:rPr>
        <w:t>授权代表姓名：              联系电话：               传真：</w:t>
      </w:r>
    </w:p>
    <w:p>
      <w:pPr>
        <w:spacing w:line="360" w:lineRule="auto"/>
        <w:rPr>
          <w:rFonts w:ascii="宋体" w:hAnsi="宋体"/>
          <w:sz w:val="24"/>
          <w:szCs w:val="24"/>
        </w:rPr>
      </w:pPr>
    </w:p>
    <w:p>
      <w:pPr>
        <w:spacing w:line="360" w:lineRule="auto"/>
        <w:ind w:firstLine="4440" w:firstLineChars="1850"/>
        <w:rPr>
          <w:rFonts w:ascii="宋体" w:hAnsi="宋体"/>
          <w:sz w:val="24"/>
          <w:szCs w:val="24"/>
        </w:rPr>
      </w:pPr>
    </w:p>
    <w:p>
      <w:pPr>
        <w:spacing w:line="360" w:lineRule="auto"/>
        <w:ind w:firstLine="4440" w:firstLineChars="1850"/>
        <w:rPr>
          <w:rFonts w:ascii="宋体" w:hAnsi="宋体"/>
          <w:sz w:val="24"/>
          <w:szCs w:val="24"/>
        </w:rPr>
      </w:pPr>
    </w:p>
    <w:p>
      <w:pPr>
        <w:spacing w:line="360" w:lineRule="auto"/>
        <w:ind w:firstLine="4440" w:firstLineChars="1850"/>
        <w:rPr>
          <w:rFonts w:ascii="宋体" w:hAnsi="宋体"/>
          <w:sz w:val="24"/>
          <w:szCs w:val="24"/>
        </w:rPr>
      </w:pPr>
    </w:p>
    <w:p>
      <w:pPr>
        <w:ind w:firstLine="4080" w:firstLineChars="1700"/>
      </w:pPr>
      <w:r>
        <w:rPr>
          <w:rFonts w:hint="eastAsia" w:ascii="宋体" w:hAnsi="宋体"/>
          <w:sz w:val="24"/>
          <w:szCs w:val="24"/>
        </w:rPr>
        <w:t>法定代表人签字：</w:t>
      </w:r>
      <w:r>
        <w:rPr>
          <w:rFonts w:hint="eastAsia" w:ascii="宋体" w:hAnsi="宋体"/>
          <w:sz w:val="24"/>
          <w:szCs w:val="24"/>
          <w:u w:val="single"/>
        </w:rPr>
        <w:t xml:space="preserve">                   </w:t>
      </w:r>
    </w:p>
    <w:p>
      <w:pPr>
        <w:spacing w:line="360" w:lineRule="auto"/>
        <w:ind w:firstLine="4440" w:firstLineChars="1850"/>
        <w:rPr>
          <w:rFonts w:ascii="宋体" w:hAnsi="宋体"/>
          <w:sz w:val="24"/>
          <w:szCs w:val="24"/>
        </w:rPr>
      </w:pPr>
    </w:p>
    <w:p>
      <w:pPr>
        <w:spacing w:line="360" w:lineRule="auto"/>
        <w:ind w:firstLine="4440" w:firstLineChars="1850"/>
        <w:rPr>
          <w:rFonts w:ascii="宋体" w:hAnsi="宋体"/>
          <w:sz w:val="24"/>
          <w:szCs w:val="24"/>
        </w:rPr>
      </w:pPr>
      <w:r>
        <w:rPr>
          <w:rFonts w:hint="eastAsia" w:ascii="宋体" w:hAnsi="宋体"/>
          <w:sz w:val="24"/>
          <w:szCs w:val="24"/>
        </w:rPr>
        <w:t>投标人：</w:t>
      </w:r>
      <w:r>
        <w:rPr>
          <w:rFonts w:ascii="宋体" w:hAnsi="宋体"/>
          <w:sz w:val="24"/>
          <w:szCs w:val="24"/>
          <w:u w:val="single"/>
        </w:rPr>
        <w:t xml:space="preserve">           </w:t>
      </w:r>
      <w:r>
        <w:rPr>
          <w:rFonts w:hint="eastAsia" w:ascii="宋体" w:hAnsi="宋体"/>
          <w:sz w:val="24"/>
          <w:szCs w:val="24"/>
          <w:u w:val="single"/>
        </w:rPr>
        <w:t>　　　</w:t>
      </w:r>
      <w:r>
        <w:rPr>
          <w:rFonts w:ascii="宋体" w:hAnsi="宋体"/>
          <w:sz w:val="24"/>
          <w:szCs w:val="24"/>
          <w:u w:val="single"/>
        </w:rPr>
        <w:t xml:space="preserve"> (</w:t>
      </w:r>
      <w:r>
        <w:rPr>
          <w:rFonts w:hint="eastAsia" w:ascii="宋体" w:hAnsi="宋体"/>
          <w:sz w:val="24"/>
          <w:szCs w:val="24"/>
          <w:u w:val="single"/>
        </w:rPr>
        <w:t>盖章</w:t>
      </w:r>
      <w:r>
        <w:rPr>
          <w:rFonts w:ascii="宋体" w:hAnsi="宋体"/>
          <w:sz w:val="24"/>
          <w:szCs w:val="24"/>
          <w:u w:val="single"/>
        </w:rPr>
        <w:t>)</w:t>
      </w:r>
    </w:p>
    <w:p>
      <w:pPr>
        <w:spacing w:line="360" w:lineRule="auto"/>
        <w:rPr>
          <w:rFonts w:ascii="宋体" w:hAnsi="宋体"/>
          <w:sz w:val="24"/>
          <w:szCs w:val="24"/>
        </w:rPr>
      </w:pPr>
    </w:p>
    <w:p>
      <w:pPr>
        <w:spacing w:line="360" w:lineRule="auto"/>
        <w:rPr>
          <w:rFonts w:ascii="宋体" w:hAnsi="宋体"/>
          <w:sz w:val="24"/>
          <w:szCs w:val="24"/>
        </w:rPr>
      </w:pPr>
      <w:r>
        <w:rPr>
          <w:rFonts w:ascii="宋体" w:hAnsi="宋体"/>
          <w:sz w:val="24"/>
          <w:szCs w:val="24"/>
        </w:rPr>
        <w:t xml:space="preserve">                        </w:t>
      </w:r>
      <w:r>
        <w:rPr>
          <w:rFonts w:hint="eastAsia" w:ascii="宋体" w:hAnsi="宋体"/>
          <w:sz w:val="24"/>
          <w:szCs w:val="24"/>
        </w:rPr>
        <w:t xml:space="preserve">                         </w:t>
      </w:r>
      <w:r>
        <w:rPr>
          <w:rFonts w:ascii="宋体" w:hAnsi="宋体"/>
          <w:sz w:val="24"/>
          <w:szCs w:val="24"/>
          <w:u w:val="single"/>
        </w:rPr>
        <w:t xml:space="preserve">  </w:t>
      </w:r>
      <w:r>
        <w:rPr>
          <w:rFonts w:hint="eastAsia" w:ascii="宋体" w:hAnsi="宋体"/>
          <w:sz w:val="24"/>
          <w:szCs w:val="24"/>
          <w:u w:val="single"/>
        </w:rPr>
        <w:t xml:space="preserve">  </w:t>
      </w:r>
      <w:r>
        <w:rPr>
          <w:rFonts w:ascii="宋体" w:hAnsi="宋体"/>
          <w:sz w:val="24"/>
          <w:szCs w:val="24"/>
          <w:u w:val="single"/>
        </w:rPr>
        <w:t xml:space="preserve">  </w:t>
      </w:r>
      <w:r>
        <w:rPr>
          <w:rFonts w:hint="eastAsia" w:ascii="宋体" w:hAnsi="宋体"/>
          <w:sz w:val="24"/>
          <w:szCs w:val="24"/>
        </w:rPr>
        <w:t>年</w:t>
      </w:r>
      <w:r>
        <w:rPr>
          <w:rFonts w:ascii="宋体" w:hAnsi="宋体"/>
          <w:sz w:val="24"/>
          <w:szCs w:val="24"/>
          <w:u w:val="single"/>
        </w:rPr>
        <w:t xml:space="preserve">    </w:t>
      </w:r>
      <w:r>
        <w:rPr>
          <w:rFonts w:hint="eastAsia" w:ascii="宋体" w:hAnsi="宋体"/>
          <w:sz w:val="24"/>
          <w:szCs w:val="24"/>
        </w:rPr>
        <w:t>月</w:t>
      </w:r>
      <w:r>
        <w:rPr>
          <w:rFonts w:ascii="宋体" w:hAnsi="宋体"/>
          <w:sz w:val="24"/>
          <w:szCs w:val="24"/>
          <w:u w:val="single"/>
        </w:rPr>
        <w:t xml:space="preserve">   </w:t>
      </w:r>
      <w:r>
        <w:rPr>
          <w:rFonts w:hint="eastAsia" w:ascii="宋体" w:hAnsi="宋体"/>
          <w:sz w:val="24"/>
          <w:szCs w:val="24"/>
        </w:rPr>
        <w:t>日</w:t>
      </w:r>
    </w:p>
    <w:p>
      <w:pPr>
        <w:jc w:val="center"/>
        <w:rPr>
          <w:rFonts w:ascii="仿宋" w:hAnsi="仿宋" w:eastAsia="仿宋"/>
          <w:b/>
          <w:sz w:val="36"/>
          <w:szCs w:val="36"/>
        </w:rPr>
      </w:pPr>
    </w:p>
    <w:p>
      <w:pPr>
        <w:jc w:val="center"/>
        <w:rPr>
          <w:rFonts w:ascii="仿宋" w:hAnsi="仿宋" w:eastAsia="仿宋"/>
          <w:b/>
          <w:sz w:val="36"/>
          <w:szCs w:val="36"/>
        </w:rPr>
      </w:pPr>
    </w:p>
    <w:p>
      <w:pPr>
        <w:jc w:val="center"/>
        <w:rPr>
          <w:rFonts w:ascii="仿宋" w:hAnsi="仿宋" w:eastAsia="仿宋"/>
          <w:b/>
          <w:sz w:val="36"/>
          <w:szCs w:val="36"/>
        </w:rPr>
      </w:pPr>
    </w:p>
    <w:p>
      <w:pPr>
        <w:jc w:val="center"/>
        <w:rPr>
          <w:rFonts w:ascii="仿宋" w:hAnsi="仿宋" w:eastAsia="仿宋"/>
          <w:b/>
          <w:sz w:val="36"/>
          <w:szCs w:val="36"/>
        </w:rPr>
      </w:pPr>
    </w:p>
    <w:p>
      <w:pPr>
        <w:jc w:val="center"/>
        <w:rPr>
          <w:rFonts w:ascii="仿宋" w:hAnsi="仿宋" w:eastAsia="仿宋"/>
          <w:b/>
          <w:sz w:val="36"/>
          <w:szCs w:val="36"/>
        </w:rPr>
      </w:pPr>
    </w:p>
    <w:p>
      <w:pPr>
        <w:pStyle w:val="122"/>
        <w:spacing w:line="360" w:lineRule="auto"/>
        <w:ind w:left="0" w:firstLine="0" w:firstLineChars="0"/>
        <w:jc w:val="center"/>
        <w:rPr>
          <w:rFonts w:ascii="黑体" w:hAnsi="黑体" w:eastAsia="黑体"/>
          <w:sz w:val="36"/>
          <w:szCs w:val="32"/>
        </w:rPr>
      </w:pPr>
      <w:r>
        <w:rPr>
          <w:rFonts w:hint="eastAsia" w:ascii="黑体" w:hAnsi="黑体" w:eastAsia="黑体"/>
          <w:sz w:val="36"/>
          <w:szCs w:val="32"/>
        </w:rPr>
        <w:t>四、无重大违法记录的声明</w:t>
      </w:r>
    </w:p>
    <w:p>
      <w:pPr>
        <w:pStyle w:val="122"/>
        <w:spacing w:line="360" w:lineRule="auto"/>
        <w:ind w:left="0" w:firstLine="0" w:firstLineChars="0"/>
        <w:jc w:val="center"/>
        <w:rPr>
          <w:rFonts w:ascii="黑体" w:hAnsi="黑体" w:eastAsia="黑体"/>
          <w:sz w:val="36"/>
          <w:szCs w:val="32"/>
          <w:lang w:val="zh-CN"/>
        </w:rPr>
      </w:pPr>
    </w:p>
    <w:p>
      <w:pPr>
        <w:snapToGrid w:val="0"/>
        <w:spacing w:line="360" w:lineRule="auto"/>
        <w:rPr>
          <w:rFonts w:ascii="仿宋_GB2312" w:hAnsi="仿宋_GB2312" w:eastAsia="仿宋_GB2312" w:cs="仿宋_GB2312"/>
          <w:sz w:val="24"/>
        </w:rPr>
      </w:pPr>
      <w:r>
        <w:rPr>
          <w:rFonts w:hint="eastAsia" w:ascii="宋体" w:hAnsi="宋体"/>
          <w:color w:val="FF0000"/>
          <w:sz w:val="24"/>
          <w:szCs w:val="24"/>
          <w:u w:val="single"/>
        </w:rPr>
        <w:t>（采购人）、</w:t>
      </w:r>
      <w:r>
        <w:rPr>
          <w:rFonts w:hint="eastAsia" w:ascii="宋体" w:hAnsi="宋体"/>
          <w:sz w:val="24"/>
          <w:szCs w:val="24"/>
          <w:u w:val="single"/>
        </w:rPr>
        <w:t>诸暨市公共资源交易中心</w:t>
      </w:r>
      <w:r>
        <w:rPr>
          <w:rFonts w:hint="eastAsia" w:ascii="仿宋_GB2312" w:hAnsi="仿宋_GB2312" w:eastAsia="仿宋_GB2312" w:cs="仿宋_GB2312"/>
          <w:sz w:val="24"/>
          <w:lang w:val="zh-CN"/>
        </w:rPr>
        <w:t>：</w:t>
      </w:r>
    </w:p>
    <w:p>
      <w:pPr>
        <w:snapToGrid w:val="0"/>
        <w:spacing w:line="360" w:lineRule="auto"/>
        <w:ind w:firstLine="480"/>
        <w:rPr>
          <w:rFonts w:ascii="宋体" w:hAnsi="宋体"/>
          <w:sz w:val="24"/>
          <w:szCs w:val="24"/>
        </w:rPr>
      </w:pPr>
      <w:r>
        <w:rPr>
          <w:rFonts w:hint="eastAsia" w:ascii="宋体" w:hAnsi="宋体"/>
          <w:sz w:val="24"/>
          <w:szCs w:val="24"/>
          <w:lang w:val="zh-CN"/>
        </w:rPr>
        <w:t>我公司</w:t>
      </w:r>
      <w:r>
        <w:rPr>
          <w:rFonts w:hint="eastAsia" w:ascii="宋体" w:hAnsi="宋体"/>
          <w:sz w:val="24"/>
          <w:szCs w:val="24"/>
        </w:rPr>
        <w:t>声明参加本次政府采购活动前三年内，在经营活动中没有重大违法记录；也没有因违反《浙江省政府采购供应商注册及诚信管理暂行办法》被列入“黑名单”，正在处罚有效期”。我方通过“信用中国”网站（www.creditchina.gov.cn）、中国政府采购网（www.ccgp.gov.cn）查询，未被列入失信被执行人、重大税收违法案件当事人名单、政府采购严重违法失信行为记录名单。</w:t>
      </w:r>
    </w:p>
    <w:p>
      <w:pPr>
        <w:snapToGrid w:val="0"/>
        <w:spacing w:line="360" w:lineRule="auto"/>
        <w:ind w:firstLine="480"/>
        <w:rPr>
          <w:rFonts w:ascii="宋体" w:hAnsi="宋体"/>
          <w:b/>
          <w:bCs/>
          <w:sz w:val="24"/>
          <w:szCs w:val="24"/>
        </w:rPr>
      </w:pPr>
      <w:r>
        <w:rPr>
          <w:rFonts w:hint="eastAsia" w:ascii="宋体" w:hAnsi="宋体"/>
          <w:b/>
          <w:bCs/>
          <w:sz w:val="24"/>
          <w:szCs w:val="24"/>
        </w:rPr>
        <w:t>（另，提供自招标公告发布之日起至投标截止日内任意时间查询结果的网页截图）</w:t>
      </w:r>
    </w:p>
    <w:p>
      <w:pPr>
        <w:spacing w:line="360" w:lineRule="auto"/>
        <w:ind w:firstLine="480" w:firstLineChars="200"/>
        <w:rPr>
          <w:rFonts w:ascii="仿宋_GB2312" w:hAnsi="仿宋_GB2312" w:eastAsia="仿宋_GB2312" w:cs="仿宋_GB2312"/>
          <w:sz w:val="24"/>
          <w:szCs w:val="20"/>
        </w:rPr>
      </w:pPr>
    </w:p>
    <w:p>
      <w:pPr>
        <w:spacing w:line="360" w:lineRule="auto"/>
        <w:ind w:firstLine="480" w:firstLineChars="200"/>
        <w:rPr>
          <w:rFonts w:ascii="仿宋_GB2312" w:hAnsi="仿宋_GB2312" w:eastAsia="仿宋_GB2312" w:cs="仿宋_GB2312"/>
          <w:sz w:val="24"/>
          <w:szCs w:val="20"/>
        </w:rPr>
      </w:pPr>
    </w:p>
    <w:p>
      <w:pPr>
        <w:pStyle w:val="2"/>
        <w:rPr>
          <w:rFonts w:ascii="仿宋_GB2312" w:hAnsi="仿宋_GB2312" w:eastAsia="仿宋_GB2312" w:cs="仿宋_GB2312"/>
          <w:sz w:val="24"/>
          <w:szCs w:val="20"/>
        </w:rPr>
      </w:pPr>
    </w:p>
    <w:p/>
    <w:p>
      <w:pPr>
        <w:snapToGrid w:val="0"/>
        <w:spacing w:line="360" w:lineRule="auto"/>
        <w:ind w:firstLine="480"/>
        <w:rPr>
          <w:rFonts w:ascii="宋体" w:hAnsi="宋体"/>
          <w:sz w:val="24"/>
          <w:szCs w:val="24"/>
          <w:lang w:val="zh-CN"/>
        </w:rPr>
      </w:pPr>
      <w:r>
        <w:rPr>
          <w:rFonts w:hint="eastAsia" w:ascii="仿宋_GB2312" w:hAnsi="仿宋_GB2312" w:eastAsia="仿宋_GB2312" w:cs="仿宋_GB2312"/>
          <w:sz w:val="24"/>
          <w:lang w:val="zh-CN"/>
        </w:rPr>
        <w:t xml:space="preserve">                                  </w:t>
      </w:r>
      <w:r>
        <w:rPr>
          <w:rFonts w:hint="eastAsia" w:ascii="宋体" w:hAnsi="宋体"/>
          <w:sz w:val="24"/>
          <w:szCs w:val="24"/>
          <w:lang w:val="zh-CN"/>
        </w:rPr>
        <w:t xml:space="preserve">         投标人 (盖章)：</w:t>
      </w:r>
    </w:p>
    <w:p>
      <w:pPr>
        <w:snapToGrid w:val="0"/>
        <w:spacing w:line="360" w:lineRule="auto"/>
        <w:ind w:firstLine="480"/>
        <w:rPr>
          <w:rFonts w:ascii="宋体" w:hAnsi="宋体"/>
          <w:sz w:val="24"/>
          <w:szCs w:val="24"/>
          <w:lang w:val="zh-CN"/>
        </w:rPr>
      </w:pPr>
      <w:r>
        <w:rPr>
          <w:rFonts w:hint="eastAsia" w:ascii="宋体" w:hAnsi="宋体"/>
          <w:sz w:val="24"/>
          <w:szCs w:val="24"/>
          <w:lang w:val="zh-CN"/>
        </w:rPr>
        <w:t xml:space="preserve">                                  法定代表人或其授权代表(签字或盖章)：</w:t>
      </w:r>
    </w:p>
    <w:p>
      <w:pPr>
        <w:snapToGrid w:val="0"/>
        <w:spacing w:line="360" w:lineRule="auto"/>
        <w:ind w:firstLine="480"/>
        <w:jc w:val="right"/>
        <w:rPr>
          <w:rFonts w:ascii="宋体" w:hAnsi="宋体"/>
          <w:sz w:val="24"/>
          <w:szCs w:val="24"/>
          <w:lang w:val="zh-CN"/>
        </w:rPr>
      </w:pPr>
      <w:r>
        <w:rPr>
          <w:rFonts w:hint="eastAsia" w:ascii="宋体" w:hAnsi="宋体"/>
          <w:sz w:val="24"/>
          <w:szCs w:val="24"/>
          <w:lang w:val="zh-CN"/>
        </w:rPr>
        <w:t>日期：  年  月</w:t>
      </w:r>
      <w:r>
        <w:rPr>
          <w:rFonts w:hint="eastAsia" w:ascii="宋体" w:hAnsi="宋体"/>
          <w:sz w:val="24"/>
          <w:szCs w:val="24"/>
        </w:rPr>
        <w:t xml:space="preserve">   </w:t>
      </w:r>
      <w:r>
        <w:rPr>
          <w:rFonts w:hint="eastAsia" w:ascii="宋体" w:hAnsi="宋体"/>
          <w:sz w:val="24"/>
          <w:szCs w:val="24"/>
          <w:lang w:val="zh-CN"/>
        </w:rPr>
        <w:t>日</w:t>
      </w:r>
    </w:p>
    <w:p>
      <w:pPr>
        <w:widowControl/>
        <w:tabs>
          <w:tab w:val="left" w:pos="450"/>
          <w:tab w:val="left" w:pos="2520"/>
          <w:tab w:val="left" w:pos="8280"/>
        </w:tabs>
        <w:spacing w:line="360" w:lineRule="auto"/>
        <w:ind w:firstLine="480"/>
        <w:jc w:val="center"/>
        <w:rPr>
          <w:rFonts w:ascii="黑体" w:hAnsi="黑体" w:eastAsia="黑体"/>
          <w:sz w:val="36"/>
          <w:szCs w:val="32"/>
        </w:rPr>
      </w:pPr>
    </w:p>
    <w:p>
      <w:pPr>
        <w:jc w:val="center"/>
        <w:rPr>
          <w:rFonts w:ascii="仿宋" w:hAnsi="仿宋" w:eastAsia="仿宋"/>
          <w:b/>
          <w:sz w:val="36"/>
          <w:szCs w:val="36"/>
        </w:rPr>
      </w:pPr>
      <w:r>
        <w:rPr>
          <w:rFonts w:ascii="宋体" w:hAnsi="宋体"/>
          <w:sz w:val="24"/>
          <w:szCs w:val="24"/>
        </w:rPr>
        <w:br w:type="page"/>
      </w:r>
    </w:p>
    <w:p>
      <w:pPr>
        <w:rPr>
          <w:rFonts w:ascii="仿宋" w:hAnsi="仿宋" w:eastAsia="仿宋"/>
          <w:b/>
          <w:sz w:val="36"/>
          <w:szCs w:val="36"/>
        </w:rPr>
      </w:pPr>
    </w:p>
    <w:p>
      <w:pPr>
        <w:jc w:val="center"/>
        <w:rPr>
          <w:rFonts w:ascii="仿宋" w:hAnsi="仿宋" w:eastAsia="仿宋"/>
          <w:b/>
          <w:sz w:val="36"/>
          <w:szCs w:val="36"/>
        </w:rPr>
      </w:pPr>
      <w:bookmarkStart w:id="41" w:name="_Toc331876394"/>
      <w:bookmarkStart w:id="42" w:name="_Toc48672384"/>
      <w:r>
        <w:rPr>
          <w:rFonts w:hint="eastAsia" w:ascii="仿宋" w:hAnsi="仿宋" w:eastAsia="仿宋"/>
          <w:b/>
          <w:sz w:val="36"/>
          <w:szCs w:val="36"/>
        </w:rPr>
        <w:t>五、开标一览表（格式）</w:t>
      </w:r>
    </w:p>
    <w:p>
      <w:pPr>
        <w:rPr>
          <w:rFonts w:ascii="宋体" w:hAnsi="宋体"/>
          <w:sz w:val="24"/>
          <w:szCs w:val="24"/>
        </w:rPr>
      </w:pPr>
      <w:r>
        <w:rPr>
          <w:rFonts w:hint="eastAsia"/>
          <w:sz w:val="28"/>
        </w:rPr>
        <w:t xml:space="preserve">项目名称：                    </w:t>
      </w:r>
    </w:p>
    <w:p>
      <w:pPr>
        <w:rPr>
          <w:sz w:val="28"/>
        </w:rPr>
      </w:pPr>
      <w:r>
        <w:rPr>
          <w:rFonts w:hint="eastAsia"/>
          <w:sz w:val="28"/>
        </w:rPr>
        <w:t>项目名称：</w:t>
      </w:r>
    </w:p>
    <w:p>
      <w:pPr>
        <w:rPr>
          <w:rFonts w:ascii="宋体" w:hAnsi="宋体"/>
          <w:sz w:val="24"/>
          <w:szCs w:val="24"/>
        </w:rPr>
      </w:pPr>
      <w:r>
        <w:rPr>
          <w:rFonts w:hint="eastAsia"/>
          <w:sz w:val="28"/>
        </w:rPr>
        <w:t>项目编号：诸政采 2021-XX-XX</w:t>
      </w:r>
    </w:p>
    <w:tbl>
      <w:tblPr>
        <w:tblStyle w:val="21"/>
        <w:tblW w:w="10341" w:type="dxa"/>
        <w:jc w:val="center"/>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816"/>
        <w:gridCol w:w="1785"/>
        <w:gridCol w:w="915"/>
        <w:gridCol w:w="703"/>
        <w:gridCol w:w="1455"/>
        <w:gridCol w:w="1517"/>
        <w:gridCol w:w="1005"/>
        <w:gridCol w:w="990"/>
        <w:gridCol w:w="1155"/>
      </w:tblGrid>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jc w:val="center"/>
        </w:trPr>
        <w:tc>
          <w:tcPr>
            <w:tcW w:w="10341" w:type="dxa"/>
            <w:gridSpan w:val="9"/>
            <w:vAlign w:val="center"/>
          </w:tcPr>
          <w:p>
            <w:pPr>
              <w:pStyle w:val="11"/>
              <w:adjustRightInd w:val="0"/>
              <w:snapToGrid w:val="0"/>
              <w:spacing w:line="300" w:lineRule="auto"/>
              <w:jc w:val="center"/>
              <w:rPr>
                <w:kern w:val="0"/>
                <w:sz w:val="28"/>
              </w:rPr>
            </w:pPr>
            <w:r>
              <w:rPr>
                <w:rFonts w:hint="eastAsia"/>
                <w:b/>
                <w:bCs/>
                <w:kern w:val="0"/>
                <w:sz w:val="28"/>
              </w:rPr>
              <w:t>货物类</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jc w:val="center"/>
        </w:trPr>
        <w:tc>
          <w:tcPr>
            <w:tcW w:w="816" w:type="dxa"/>
            <w:vAlign w:val="center"/>
          </w:tcPr>
          <w:p>
            <w:pPr>
              <w:pStyle w:val="11"/>
              <w:adjustRightInd w:val="0"/>
              <w:snapToGrid w:val="0"/>
              <w:spacing w:line="300" w:lineRule="auto"/>
              <w:jc w:val="center"/>
              <w:rPr>
                <w:kern w:val="0"/>
                <w:sz w:val="28"/>
              </w:rPr>
            </w:pPr>
            <w:r>
              <w:rPr>
                <w:rFonts w:hint="eastAsia"/>
                <w:kern w:val="0"/>
                <w:sz w:val="28"/>
              </w:rPr>
              <w:t>序号</w:t>
            </w:r>
          </w:p>
        </w:tc>
        <w:tc>
          <w:tcPr>
            <w:tcW w:w="1785" w:type="dxa"/>
            <w:vAlign w:val="center"/>
          </w:tcPr>
          <w:p>
            <w:pPr>
              <w:pStyle w:val="11"/>
              <w:adjustRightInd w:val="0"/>
              <w:snapToGrid w:val="0"/>
              <w:spacing w:line="300" w:lineRule="auto"/>
              <w:jc w:val="center"/>
              <w:rPr>
                <w:kern w:val="0"/>
                <w:sz w:val="28"/>
              </w:rPr>
            </w:pPr>
            <w:r>
              <w:rPr>
                <w:rFonts w:hint="eastAsia"/>
                <w:kern w:val="0"/>
                <w:sz w:val="28"/>
              </w:rPr>
              <w:t>货物名称</w:t>
            </w:r>
          </w:p>
        </w:tc>
        <w:tc>
          <w:tcPr>
            <w:tcW w:w="915" w:type="dxa"/>
            <w:vAlign w:val="center"/>
          </w:tcPr>
          <w:p>
            <w:pPr>
              <w:pStyle w:val="11"/>
              <w:adjustRightInd w:val="0"/>
              <w:snapToGrid w:val="0"/>
              <w:spacing w:line="300" w:lineRule="auto"/>
              <w:jc w:val="center"/>
              <w:rPr>
                <w:kern w:val="0"/>
                <w:sz w:val="28"/>
              </w:rPr>
            </w:pPr>
            <w:r>
              <w:rPr>
                <w:rFonts w:hint="eastAsia"/>
                <w:kern w:val="0"/>
                <w:sz w:val="28"/>
              </w:rPr>
              <w:t>品牌</w:t>
            </w:r>
          </w:p>
        </w:tc>
        <w:tc>
          <w:tcPr>
            <w:tcW w:w="703" w:type="dxa"/>
            <w:vAlign w:val="center"/>
          </w:tcPr>
          <w:p>
            <w:pPr>
              <w:pStyle w:val="11"/>
              <w:adjustRightInd w:val="0"/>
              <w:snapToGrid w:val="0"/>
              <w:spacing w:line="300" w:lineRule="auto"/>
              <w:jc w:val="center"/>
              <w:rPr>
                <w:kern w:val="0"/>
                <w:sz w:val="28"/>
              </w:rPr>
            </w:pPr>
            <w:r>
              <w:rPr>
                <w:rFonts w:hint="eastAsia"/>
                <w:kern w:val="0"/>
                <w:sz w:val="28"/>
              </w:rPr>
              <w:t>产地</w:t>
            </w:r>
          </w:p>
        </w:tc>
        <w:tc>
          <w:tcPr>
            <w:tcW w:w="1455" w:type="dxa"/>
            <w:vAlign w:val="center"/>
          </w:tcPr>
          <w:p>
            <w:pPr>
              <w:pStyle w:val="11"/>
              <w:adjustRightInd w:val="0"/>
              <w:snapToGrid w:val="0"/>
              <w:spacing w:line="300" w:lineRule="auto"/>
              <w:jc w:val="center"/>
              <w:rPr>
                <w:kern w:val="0"/>
                <w:sz w:val="28"/>
              </w:rPr>
            </w:pPr>
            <w:r>
              <w:rPr>
                <w:rFonts w:hint="eastAsia"/>
                <w:kern w:val="0"/>
                <w:sz w:val="28"/>
              </w:rPr>
              <w:t>规格型号</w:t>
            </w:r>
          </w:p>
        </w:tc>
        <w:tc>
          <w:tcPr>
            <w:tcW w:w="1517" w:type="dxa"/>
            <w:vAlign w:val="center"/>
          </w:tcPr>
          <w:p>
            <w:pPr>
              <w:pStyle w:val="11"/>
              <w:adjustRightInd w:val="0"/>
              <w:snapToGrid w:val="0"/>
              <w:spacing w:line="300" w:lineRule="auto"/>
              <w:jc w:val="center"/>
              <w:rPr>
                <w:kern w:val="0"/>
                <w:sz w:val="28"/>
              </w:rPr>
            </w:pPr>
            <w:r>
              <w:rPr>
                <w:rFonts w:hint="eastAsia"/>
                <w:kern w:val="0"/>
                <w:sz w:val="28"/>
              </w:rPr>
              <w:t>数量</w:t>
            </w:r>
          </w:p>
        </w:tc>
        <w:tc>
          <w:tcPr>
            <w:tcW w:w="1005" w:type="dxa"/>
            <w:vAlign w:val="center"/>
          </w:tcPr>
          <w:p>
            <w:pPr>
              <w:pStyle w:val="11"/>
              <w:adjustRightInd w:val="0"/>
              <w:snapToGrid w:val="0"/>
              <w:spacing w:line="300" w:lineRule="auto"/>
              <w:jc w:val="center"/>
              <w:rPr>
                <w:kern w:val="0"/>
                <w:sz w:val="28"/>
              </w:rPr>
            </w:pPr>
            <w:r>
              <w:rPr>
                <w:rFonts w:hint="eastAsia"/>
                <w:kern w:val="0"/>
                <w:sz w:val="28"/>
              </w:rPr>
              <w:t>单价</w:t>
            </w:r>
          </w:p>
          <w:p>
            <w:pPr>
              <w:pStyle w:val="11"/>
              <w:adjustRightInd w:val="0"/>
              <w:snapToGrid w:val="0"/>
              <w:spacing w:line="300" w:lineRule="auto"/>
              <w:jc w:val="center"/>
              <w:rPr>
                <w:kern w:val="0"/>
                <w:sz w:val="28"/>
              </w:rPr>
            </w:pPr>
            <w:r>
              <w:rPr>
                <w:rFonts w:hint="eastAsia"/>
                <w:kern w:val="0"/>
                <w:sz w:val="28"/>
              </w:rPr>
              <w:t>（元）</w:t>
            </w:r>
          </w:p>
        </w:tc>
        <w:tc>
          <w:tcPr>
            <w:tcW w:w="990" w:type="dxa"/>
            <w:vAlign w:val="center"/>
          </w:tcPr>
          <w:p>
            <w:pPr>
              <w:pStyle w:val="11"/>
              <w:adjustRightInd w:val="0"/>
              <w:snapToGrid w:val="0"/>
              <w:spacing w:line="300" w:lineRule="auto"/>
              <w:jc w:val="center"/>
              <w:rPr>
                <w:kern w:val="0"/>
                <w:sz w:val="28"/>
              </w:rPr>
            </w:pPr>
            <w:r>
              <w:rPr>
                <w:rFonts w:hint="eastAsia"/>
                <w:kern w:val="0"/>
                <w:sz w:val="28"/>
              </w:rPr>
              <w:t>总价</w:t>
            </w:r>
          </w:p>
          <w:p>
            <w:pPr>
              <w:pStyle w:val="11"/>
              <w:adjustRightInd w:val="0"/>
              <w:snapToGrid w:val="0"/>
              <w:spacing w:line="300" w:lineRule="auto"/>
              <w:jc w:val="center"/>
              <w:rPr>
                <w:kern w:val="0"/>
                <w:sz w:val="28"/>
              </w:rPr>
            </w:pPr>
            <w:r>
              <w:rPr>
                <w:rFonts w:hint="eastAsia"/>
                <w:kern w:val="0"/>
                <w:sz w:val="28"/>
              </w:rPr>
              <w:t>（元）</w:t>
            </w:r>
          </w:p>
        </w:tc>
        <w:tc>
          <w:tcPr>
            <w:tcW w:w="1155" w:type="dxa"/>
            <w:vAlign w:val="center"/>
          </w:tcPr>
          <w:p>
            <w:pPr>
              <w:pStyle w:val="11"/>
              <w:adjustRightInd w:val="0"/>
              <w:snapToGrid w:val="0"/>
              <w:spacing w:line="300" w:lineRule="auto"/>
              <w:jc w:val="center"/>
              <w:rPr>
                <w:kern w:val="0"/>
                <w:sz w:val="28"/>
              </w:rPr>
            </w:pPr>
            <w:r>
              <w:rPr>
                <w:rFonts w:hint="eastAsia"/>
                <w:kern w:val="0"/>
                <w:sz w:val="28"/>
              </w:rPr>
              <w:t>备注</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PrEx>
        <w:trPr>
          <w:cantSplit/>
          <w:trHeight w:val="454" w:hRule="atLeast"/>
          <w:jc w:val="center"/>
        </w:trPr>
        <w:tc>
          <w:tcPr>
            <w:tcW w:w="816" w:type="dxa"/>
            <w:vAlign w:val="center"/>
          </w:tcPr>
          <w:p>
            <w:pPr>
              <w:pStyle w:val="11"/>
              <w:adjustRightInd w:val="0"/>
              <w:snapToGrid w:val="0"/>
              <w:spacing w:line="300" w:lineRule="auto"/>
              <w:jc w:val="center"/>
              <w:rPr>
                <w:kern w:val="0"/>
                <w:sz w:val="28"/>
              </w:rPr>
            </w:pPr>
            <w:r>
              <w:rPr>
                <w:rFonts w:hint="eastAsia"/>
                <w:kern w:val="0"/>
                <w:sz w:val="28"/>
              </w:rPr>
              <w:t>1</w:t>
            </w:r>
          </w:p>
        </w:tc>
        <w:tc>
          <w:tcPr>
            <w:tcW w:w="1785" w:type="dxa"/>
            <w:vAlign w:val="center"/>
          </w:tcPr>
          <w:p>
            <w:pPr>
              <w:pStyle w:val="11"/>
              <w:adjustRightInd w:val="0"/>
              <w:snapToGrid w:val="0"/>
              <w:spacing w:line="300" w:lineRule="auto"/>
              <w:jc w:val="center"/>
              <w:rPr>
                <w:kern w:val="0"/>
                <w:sz w:val="28"/>
              </w:rPr>
            </w:pPr>
            <w:r>
              <w:rPr>
                <w:rFonts w:hint="eastAsia" w:ascii="仿宋" w:hAnsi="仿宋" w:eastAsia="仿宋"/>
                <w:b/>
                <w:szCs w:val="24"/>
              </w:rPr>
              <w:t>…</w:t>
            </w:r>
          </w:p>
        </w:tc>
        <w:tc>
          <w:tcPr>
            <w:tcW w:w="915" w:type="dxa"/>
            <w:vAlign w:val="center"/>
          </w:tcPr>
          <w:p>
            <w:pPr>
              <w:pStyle w:val="11"/>
              <w:adjustRightInd w:val="0"/>
              <w:snapToGrid w:val="0"/>
              <w:spacing w:line="300" w:lineRule="auto"/>
              <w:jc w:val="center"/>
              <w:rPr>
                <w:kern w:val="0"/>
                <w:sz w:val="28"/>
              </w:rPr>
            </w:pPr>
          </w:p>
        </w:tc>
        <w:tc>
          <w:tcPr>
            <w:tcW w:w="703" w:type="dxa"/>
            <w:vAlign w:val="center"/>
          </w:tcPr>
          <w:p>
            <w:pPr>
              <w:pStyle w:val="11"/>
              <w:adjustRightInd w:val="0"/>
              <w:snapToGrid w:val="0"/>
              <w:spacing w:line="300" w:lineRule="auto"/>
              <w:jc w:val="center"/>
              <w:rPr>
                <w:kern w:val="0"/>
                <w:sz w:val="28"/>
              </w:rPr>
            </w:pPr>
          </w:p>
        </w:tc>
        <w:tc>
          <w:tcPr>
            <w:tcW w:w="1455" w:type="dxa"/>
            <w:vAlign w:val="center"/>
          </w:tcPr>
          <w:p>
            <w:pPr>
              <w:pStyle w:val="11"/>
              <w:adjustRightInd w:val="0"/>
              <w:snapToGrid w:val="0"/>
              <w:spacing w:line="300" w:lineRule="auto"/>
              <w:jc w:val="center"/>
              <w:rPr>
                <w:kern w:val="0"/>
                <w:sz w:val="28"/>
              </w:rPr>
            </w:pPr>
          </w:p>
        </w:tc>
        <w:tc>
          <w:tcPr>
            <w:tcW w:w="1517" w:type="dxa"/>
            <w:vAlign w:val="center"/>
          </w:tcPr>
          <w:p>
            <w:pPr>
              <w:pStyle w:val="11"/>
              <w:adjustRightInd w:val="0"/>
              <w:snapToGrid w:val="0"/>
              <w:spacing w:line="300" w:lineRule="auto"/>
              <w:jc w:val="center"/>
              <w:rPr>
                <w:kern w:val="0"/>
                <w:sz w:val="28"/>
              </w:rPr>
            </w:pPr>
          </w:p>
        </w:tc>
        <w:tc>
          <w:tcPr>
            <w:tcW w:w="1005" w:type="dxa"/>
            <w:vAlign w:val="center"/>
          </w:tcPr>
          <w:p>
            <w:pPr>
              <w:pStyle w:val="11"/>
              <w:adjustRightInd w:val="0"/>
              <w:snapToGrid w:val="0"/>
              <w:spacing w:line="300" w:lineRule="auto"/>
              <w:jc w:val="center"/>
              <w:rPr>
                <w:kern w:val="0"/>
                <w:sz w:val="28"/>
              </w:rPr>
            </w:pPr>
          </w:p>
        </w:tc>
        <w:tc>
          <w:tcPr>
            <w:tcW w:w="990" w:type="dxa"/>
            <w:vAlign w:val="center"/>
          </w:tcPr>
          <w:p>
            <w:pPr>
              <w:pStyle w:val="11"/>
              <w:adjustRightInd w:val="0"/>
              <w:snapToGrid w:val="0"/>
              <w:spacing w:line="300" w:lineRule="auto"/>
              <w:jc w:val="center"/>
              <w:rPr>
                <w:kern w:val="0"/>
                <w:sz w:val="28"/>
              </w:rPr>
            </w:pPr>
          </w:p>
        </w:tc>
        <w:tc>
          <w:tcPr>
            <w:tcW w:w="1155" w:type="dxa"/>
            <w:vAlign w:val="center"/>
          </w:tcPr>
          <w:p>
            <w:pPr>
              <w:pStyle w:val="11"/>
              <w:adjustRightInd w:val="0"/>
              <w:snapToGrid w:val="0"/>
              <w:spacing w:line="300" w:lineRule="auto"/>
              <w:jc w:val="center"/>
              <w:rPr>
                <w:kern w:val="0"/>
                <w:sz w:val="28"/>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jc w:val="center"/>
        </w:trPr>
        <w:tc>
          <w:tcPr>
            <w:tcW w:w="816" w:type="dxa"/>
            <w:vAlign w:val="center"/>
          </w:tcPr>
          <w:p>
            <w:pPr>
              <w:pStyle w:val="11"/>
              <w:adjustRightInd w:val="0"/>
              <w:snapToGrid w:val="0"/>
              <w:spacing w:line="300" w:lineRule="auto"/>
              <w:jc w:val="center"/>
              <w:rPr>
                <w:kern w:val="0"/>
                <w:sz w:val="28"/>
              </w:rPr>
            </w:pPr>
            <w:r>
              <w:rPr>
                <w:rFonts w:hint="eastAsia"/>
                <w:kern w:val="0"/>
                <w:sz w:val="28"/>
              </w:rPr>
              <w:t>2</w:t>
            </w:r>
          </w:p>
        </w:tc>
        <w:tc>
          <w:tcPr>
            <w:tcW w:w="1785" w:type="dxa"/>
            <w:vAlign w:val="center"/>
          </w:tcPr>
          <w:p>
            <w:pPr>
              <w:pStyle w:val="11"/>
              <w:adjustRightInd w:val="0"/>
              <w:snapToGrid w:val="0"/>
              <w:spacing w:line="300" w:lineRule="auto"/>
              <w:jc w:val="center"/>
              <w:rPr>
                <w:kern w:val="0"/>
                <w:sz w:val="28"/>
              </w:rPr>
            </w:pPr>
            <w:r>
              <w:rPr>
                <w:rFonts w:hint="eastAsia" w:ascii="仿宋" w:hAnsi="仿宋" w:eastAsia="仿宋"/>
                <w:b/>
                <w:szCs w:val="24"/>
              </w:rPr>
              <w:t>…</w:t>
            </w:r>
          </w:p>
        </w:tc>
        <w:tc>
          <w:tcPr>
            <w:tcW w:w="915" w:type="dxa"/>
            <w:vAlign w:val="center"/>
          </w:tcPr>
          <w:p>
            <w:pPr>
              <w:pStyle w:val="11"/>
              <w:adjustRightInd w:val="0"/>
              <w:snapToGrid w:val="0"/>
              <w:spacing w:line="300" w:lineRule="auto"/>
              <w:jc w:val="center"/>
              <w:rPr>
                <w:kern w:val="0"/>
                <w:sz w:val="28"/>
              </w:rPr>
            </w:pPr>
          </w:p>
        </w:tc>
        <w:tc>
          <w:tcPr>
            <w:tcW w:w="703" w:type="dxa"/>
            <w:vAlign w:val="center"/>
          </w:tcPr>
          <w:p>
            <w:pPr>
              <w:pStyle w:val="11"/>
              <w:adjustRightInd w:val="0"/>
              <w:snapToGrid w:val="0"/>
              <w:spacing w:line="300" w:lineRule="auto"/>
              <w:jc w:val="center"/>
              <w:rPr>
                <w:kern w:val="0"/>
                <w:sz w:val="28"/>
              </w:rPr>
            </w:pPr>
          </w:p>
        </w:tc>
        <w:tc>
          <w:tcPr>
            <w:tcW w:w="1455" w:type="dxa"/>
            <w:vAlign w:val="center"/>
          </w:tcPr>
          <w:p>
            <w:pPr>
              <w:pStyle w:val="11"/>
              <w:adjustRightInd w:val="0"/>
              <w:snapToGrid w:val="0"/>
              <w:spacing w:line="300" w:lineRule="auto"/>
              <w:jc w:val="center"/>
              <w:rPr>
                <w:kern w:val="0"/>
                <w:sz w:val="28"/>
              </w:rPr>
            </w:pPr>
          </w:p>
        </w:tc>
        <w:tc>
          <w:tcPr>
            <w:tcW w:w="1517" w:type="dxa"/>
            <w:vAlign w:val="center"/>
          </w:tcPr>
          <w:p>
            <w:pPr>
              <w:pStyle w:val="11"/>
              <w:adjustRightInd w:val="0"/>
              <w:snapToGrid w:val="0"/>
              <w:spacing w:line="300" w:lineRule="auto"/>
              <w:jc w:val="center"/>
              <w:rPr>
                <w:kern w:val="0"/>
                <w:sz w:val="28"/>
              </w:rPr>
            </w:pPr>
          </w:p>
        </w:tc>
        <w:tc>
          <w:tcPr>
            <w:tcW w:w="1005" w:type="dxa"/>
            <w:vAlign w:val="center"/>
          </w:tcPr>
          <w:p>
            <w:pPr>
              <w:pStyle w:val="11"/>
              <w:adjustRightInd w:val="0"/>
              <w:snapToGrid w:val="0"/>
              <w:spacing w:line="300" w:lineRule="auto"/>
              <w:jc w:val="center"/>
              <w:rPr>
                <w:kern w:val="0"/>
                <w:sz w:val="28"/>
              </w:rPr>
            </w:pPr>
          </w:p>
        </w:tc>
        <w:tc>
          <w:tcPr>
            <w:tcW w:w="990" w:type="dxa"/>
            <w:vAlign w:val="center"/>
          </w:tcPr>
          <w:p>
            <w:pPr>
              <w:pStyle w:val="11"/>
              <w:adjustRightInd w:val="0"/>
              <w:snapToGrid w:val="0"/>
              <w:spacing w:line="300" w:lineRule="auto"/>
              <w:jc w:val="center"/>
              <w:rPr>
                <w:kern w:val="0"/>
                <w:sz w:val="28"/>
              </w:rPr>
            </w:pPr>
          </w:p>
        </w:tc>
        <w:tc>
          <w:tcPr>
            <w:tcW w:w="1155" w:type="dxa"/>
            <w:vAlign w:val="center"/>
          </w:tcPr>
          <w:p>
            <w:pPr>
              <w:pStyle w:val="11"/>
              <w:adjustRightInd w:val="0"/>
              <w:snapToGrid w:val="0"/>
              <w:spacing w:line="300" w:lineRule="auto"/>
              <w:jc w:val="center"/>
              <w:rPr>
                <w:kern w:val="0"/>
                <w:sz w:val="28"/>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jc w:val="center"/>
        </w:trPr>
        <w:tc>
          <w:tcPr>
            <w:tcW w:w="10341" w:type="dxa"/>
            <w:gridSpan w:val="9"/>
            <w:vAlign w:val="center"/>
          </w:tcPr>
          <w:p>
            <w:pPr>
              <w:pStyle w:val="11"/>
              <w:adjustRightInd w:val="0"/>
              <w:snapToGrid w:val="0"/>
              <w:spacing w:line="300" w:lineRule="auto"/>
              <w:jc w:val="left"/>
              <w:rPr>
                <w:kern w:val="0"/>
                <w:sz w:val="28"/>
              </w:rPr>
            </w:pPr>
            <w:r>
              <w:rPr>
                <w:rFonts w:hint="eastAsia"/>
                <w:kern w:val="0"/>
                <w:sz w:val="28"/>
              </w:rPr>
              <w:t>投标总价金额大写：</w:t>
            </w:r>
            <w:r>
              <w:rPr>
                <w:rFonts w:hint="eastAsia" w:ascii="仿宋" w:hAnsi="仿宋" w:eastAsia="仿宋"/>
                <w:b/>
                <w:szCs w:val="24"/>
              </w:rPr>
              <w:t xml:space="preserve">                                      </w:t>
            </w:r>
            <w:r>
              <w:rPr>
                <w:rFonts w:hint="eastAsia"/>
                <w:kern w:val="0"/>
                <w:sz w:val="28"/>
              </w:rPr>
              <w:t>小写： ￥</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jc w:val="center"/>
        </w:trPr>
        <w:tc>
          <w:tcPr>
            <w:tcW w:w="10341" w:type="dxa"/>
            <w:gridSpan w:val="9"/>
            <w:vAlign w:val="center"/>
          </w:tcPr>
          <w:p>
            <w:pPr>
              <w:pStyle w:val="11"/>
              <w:adjustRightInd w:val="0"/>
              <w:snapToGrid w:val="0"/>
              <w:spacing w:line="300" w:lineRule="auto"/>
              <w:jc w:val="center"/>
              <w:rPr>
                <w:kern w:val="0"/>
                <w:sz w:val="28"/>
              </w:rPr>
            </w:pPr>
            <w:r>
              <w:rPr>
                <w:rFonts w:hint="eastAsia"/>
                <w:b/>
                <w:bCs/>
                <w:kern w:val="0"/>
                <w:sz w:val="28"/>
              </w:rPr>
              <w:t>服务类</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jc w:val="center"/>
        </w:trPr>
        <w:tc>
          <w:tcPr>
            <w:tcW w:w="816" w:type="dxa"/>
            <w:vAlign w:val="center"/>
          </w:tcPr>
          <w:p>
            <w:pPr>
              <w:pStyle w:val="11"/>
              <w:adjustRightInd w:val="0"/>
              <w:snapToGrid w:val="0"/>
              <w:spacing w:line="300" w:lineRule="auto"/>
              <w:jc w:val="center"/>
              <w:rPr>
                <w:kern w:val="0"/>
                <w:sz w:val="28"/>
              </w:rPr>
            </w:pPr>
            <w:r>
              <w:rPr>
                <w:rFonts w:hint="eastAsia"/>
                <w:kern w:val="0"/>
                <w:sz w:val="28"/>
              </w:rPr>
              <w:t>序号</w:t>
            </w:r>
          </w:p>
        </w:tc>
        <w:tc>
          <w:tcPr>
            <w:tcW w:w="1785" w:type="dxa"/>
            <w:vAlign w:val="center"/>
          </w:tcPr>
          <w:p>
            <w:pPr>
              <w:pStyle w:val="11"/>
              <w:adjustRightInd w:val="0"/>
              <w:snapToGrid w:val="0"/>
              <w:spacing w:line="300" w:lineRule="auto"/>
              <w:jc w:val="center"/>
              <w:rPr>
                <w:kern w:val="0"/>
                <w:sz w:val="28"/>
              </w:rPr>
            </w:pPr>
            <w:r>
              <w:rPr>
                <w:rFonts w:hint="eastAsia"/>
                <w:kern w:val="0"/>
                <w:sz w:val="28"/>
              </w:rPr>
              <w:t>服务内容</w:t>
            </w:r>
          </w:p>
        </w:tc>
        <w:tc>
          <w:tcPr>
            <w:tcW w:w="1618" w:type="dxa"/>
            <w:gridSpan w:val="2"/>
            <w:vAlign w:val="center"/>
          </w:tcPr>
          <w:p>
            <w:pPr>
              <w:pStyle w:val="11"/>
              <w:adjustRightInd w:val="0"/>
              <w:snapToGrid w:val="0"/>
              <w:spacing w:line="300" w:lineRule="auto"/>
              <w:jc w:val="center"/>
              <w:rPr>
                <w:kern w:val="0"/>
                <w:sz w:val="28"/>
              </w:rPr>
            </w:pPr>
            <w:r>
              <w:rPr>
                <w:rFonts w:hint="eastAsia"/>
                <w:kern w:val="0"/>
                <w:sz w:val="28"/>
              </w:rPr>
              <w:t>服务范围</w:t>
            </w:r>
          </w:p>
        </w:tc>
        <w:tc>
          <w:tcPr>
            <w:tcW w:w="1455" w:type="dxa"/>
            <w:vAlign w:val="center"/>
          </w:tcPr>
          <w:p>
            <w:pPr>
              <w:pStyle w:val="11"/>
              <w:adjustRightInd w:val="0"/>
              <w:snapToGrid w:val="0"/>
              <w:spacing w:line="300" w:lineRule="auto"/>
              <w:jc w:val="center"/>
              <w:rPr>
                <w:kern w:val="0"/>
                <w:sz w:val="28"/>
              </w:rPr>
            </w:pPr>
            <w:r>
              <w:rPr>
                <w:rFonts w:hint="eastAsia"/>
                <w:kern w:val="0"/>
                <w:sz w:val="28"/>
              </w:rPr>
              <w:t>服务时间</w:t>
            </w:r>
          </w:p>
        </w:tc>
        <w:tc>
          <w:tcPr>
            <w:tcW w:w="1517" w:type="dxa"/>
            <w:vAlign w:val="center"/>
          </w:tcPr>
          <w:p>
            <w:pPr>
              <w:pStyle w:val="11"/>
              <w:adjustRightInd w:val="0"/>
              <w:snapToGrid w:val="0"/>
              <w:spacing w:line="300" w:lineRule="auto"/>
              <w:jc w:val="center"/>
              <w:rPr>
                <w:kern w:val="0"/>
                <w:sz w:val="28"/>
              </w:rPr>
            </w:pPr>
            <w:r>
              <w:rPr>
                <w:rFonts w:hint="eastAsia"/>
                <w:kern w:val="0"/>
                <w:sz w:val="28"/>
              </w:rPr>
              <w:t>服务人员数量</w:t>
            </w:r>
          </w:p>
        </w:tc>
        <w:tc>
          <w:tcPr>
            <w:tcW w:w="1005" w:type="dxa"/>
            <w:vAlign w:val="center"/>
          </w:tcPr>
          <w:p>
            <w:pPr>
              <w:pStyle w:val="11"/>
              <w:adjustRightInd w:val="0"/>
              <w:snapToGrid w:val="0"/>
              <w:spacing w:line="300" w:lineRule="auto"/>
              <w:jc w:val="center"/>
              <w:rPr>
                <w:kern w:val="0"/>
                <w:sz w:val="28"/>
              </w:rPr>
            </w:pPr>
            <w:r>
              <w:rPr>
                <w:rFonts w:hint="eastAsia"/>
                <w:kern w:val="0"/>
                <w:sz w:val="28"/>
              </w:rPr>
              <w:t>单价</w:t>
            </w:r>
          </w:p>
          <w:p>
            <w:pPr>
              <w:pStyle w:val="11"/>
              <w:adjustRightInd w:val="0"/>
              <w:snapToGrid w:val="0"/>
              <w:spacing w:line="300" w:lineRule="auto"/>
              <w:jc w:val="center"/>
              <w:rPr>
                <w:kern w:val="0"/>
                <w:sz w:val="28"/>
              </w:rPr>
            </w:pPr>
            <w:r>
              <w:rPr>
                <w:rFonts w:hint="eastAsia"/>
                <w:kern w:val="0"/>
                <w:sz w:val="28"/>
              </w:rPr>
              <w:t>（元）</w:t>
            </w:r>
          </w:p>
        </w:tc>
        <w:tc>
          <w:tcPr>
            <w:tcW w:w="990" w:type="dxa"/>
            <w:vAlign w:val="center"/>
          </w:tcPr>
          <w:p>
            <w:pPr>
              <w:pStyle w:val="11"/>
              <w:adjustRightInd w:val="0"/>
              <w:snapToGrid w:val="0"/>
              <w:spacing w:line="300" w:lineRule="auto"/>
              <w:jc w:val="center"/>
              <w:rPr>
                <w:kern w:val="0"/>
                <w:sz w:val="28"/>
              </w:rPr>
            </w:pPr>
            <w:r>
              <w:rPr>
                <w:rFonts w:hint="eastAsia"/>
                <w:kern w:val="0"/>
                <w:sz w:val="28"/>
              </w:rPr>
              <w:t>总价</w:t>
            </w:r>
          </w:p>
          <w:p>
            <w:pPr>
              <w:pStyle w:val="11"/>
              <w:adjustRightInd w:val="0"/>
              <w:snapToGrid w:val="0"/>
              <w:spacing w:line="300" w:lineRule="auto"/>
              <w:jc w:val="center"/>
              <w:rPr>
                <w:kern w:val="0"/>
                <w:sz w:val="28"/>
              </w:rPr>
            </w:pPr>
            <w:r>
              <w:rPr>
                <w:rFonts w:hint="eastAsia"/>
                <w:kern w:val="0"/>
                <w:sz w:val="28"/>
              </w:rPr>
              <w:t>（元）</w:t>
            </w:r>
          </w:p>
        </w:tc>
        <w:tc>
          <w:tcPr>
            <w:tcW w:w="1155" w:type="dxa"/>
            <w:vAlign w:val="center"/>
          </w:tcPr>
          <w:p>
            <w:pPr>
              <w:pStyle w:val="11"/>
              <w:adjustRightInd w:val="0"/>
              <w:snapToGrid w:val="0"/>
              <w:spacing w:line="300" w:lineRule="auto"/>
              <w:jc w:val="center"/>
              <w:rPr>
                <w:kern w:val="0"/>
                <w:sz w:val="28"/>
              </w:rPr>
            </w:pPr>
            <w:r>
              <w:rPr>
                <w:rFonts w:hint="eastAsia"/>
                <w:kern w:val="0"/>
                <w:sz w:val="28"/>
              </w:rPr>
              <w:t>备注</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PrEx>
        <w:trPr>
          <w:cantSplit/>
          <w:trHeight w:val="454" w:hRule="atLeast"/>
          <w:jc w:val="center"/>
        </w:trPr>
        <w:tc>
          <w:tcPr>
            <w:tcW w:w="816" w:type="dxa"/>
            <w:vAlign w:val="center"/>
          </w:tcPr>
          <w:p>
            <w:pPr>
              <w:pStyle w:val="11"/>
              <w:adjustRightInd w:val="0"/>
              <w:snapToGrid w:val="0"/>
              <w:spacing w:line="300" w:lineRule="auto"/>
              <w:jc w:val="center"/>
              <w:rPr>
                <w:kern w:val="0"/>
                <w:sz w:val="28"/>
              </w:rPr>
            </w:pPr>
            <w:r>
              <w:rPr>
                <w:rFonts w:hint="eastAsia"/>
                <w:kern w:val="0"/>
                <w:sz w:val="28"/>
              </w:rPr>
              <w:t>1</w:t>
            </w:r>
          </w:p>
        </w:tc>
        <w:tc>
          <w:tcPr>
            <w:tcW w:w="1785" w:type="dxa"/>
            <w:vAlign w:val="center"/>
          </w:tcPr>
          <w:p>
            <w:pPr>
              <w:pStyle w:val="11"/>
              <w:adjustRightInd w:val="0"/>
              <w:snapToGrid w:val="0"/>
              <w:spacing w:line="300" w:lineRule="auto"/>
              <w:jc w:val="center"/>
              <w:rPr>
                <w:kern w:val="0"/>
                <w:sz w:val="28"/>
              </w:rPr>
            </w:pPr>
            <w:r>
              <w:rPr>
                <w:rFonts w:hint="eastAsia" w:ascii="仿宋" w:hAnsi="仿宋" w:eastAsia="仿宋"/>
                <w:b/>
                <w:szCs w:val="24"/>
              </w:rPr>
              <w:t>…</w:t>
            </w:r>
          </w:p>
        </w:tc>
        <w:tc>
          <w:tcPr>
            <w:tcW w:w="1618" w:type="dxa"/>
            <w:gridSpan w:val="2"/>
            <w:vAlign w:val="center"/>
          </w:tcPr>
          <w:p>
            <w:pPr>
              <w:pStyle w:val="11"/>
              <w:adjustRightInd w:val="0"/>
              <w:snapToGrid w:val="0"/>
              <w:spacing w:line="300" w:lineRule="auto"/>
              <w:jc w:val="center"/>
              <w:rPr>
                <w:kern w:val="0"/>
                <w:sz w:val="28"/>
              </w:rPr>
            </w:pPr>
          </w:p>
        </w:tc>
        <w:tc>
          <w:tcPr>
            <w:tcW w:w="1455" w:type="dxa"/>
            <w:vAlign w:val="center"/>
          </w:tcPr>
          <w:p>
            <w:pPr>
              <w:pStyle w:val="11"/>
              <w:adjustRightInd w:val="0"/>
              <w:snapToGrid w:val="0"/>
              <w:spacing w:line="300" w:lineRule="auto"/>
              <w:jc w:val="center"/>
              <w:rPr>
                <w:kern w:val="0"/>
                <w:sz w:val="28"/>
              </w:rPr>
            </w:pPr>
          </w:p>
        </w:tc>
        <w:tc>
          <w:tcPr>
            <w:tcW w:w="1517" w:type="dxa"/>
            <w:vAlign w:val="center"/>
          </w:tcPr>
          <w:p>
            <w:pPr>
              <w:pStyle w:val="11"/>
              <w:adjustRightInd w:val="0"/>
              <w:snapToGrid w:val="0"/>
              <w:spacing w:line="300" w:lineRule="auto"/>
              <w:jc w:val="center"/>
              <w:rPr>
                <w:kern w:val="0"/>
                <w:sz w:val="28"/>
              </w:rPr>
            </w:pPr>
          </w:p>
        </w:tc>
        <w:tc>
          <w:tcPr>
            <w:tcW w:w="1005" w:type="dxa"/>
            <w:vAlign w:val="center"/>
          </w:tcPr>
          <w:p>
            <w:pPr>
              <w:pStyle w:val="11"/>
              <w:adjustRightInd w:val="0"/>
              <w:snapToGrid w:val="0"/>
              <w:spacing w:line="300" w:lineRule="auto"/>
              <w:jc w:val="center"/>
              <w:rPr>
                <w:kern w:val="0"/>
                <w:sz w:val="28"/>
              </w:rPr>
            </w:pPr>
          </w:p>
        </w:tc>
        <w:tc>
          <w:tcPr>
            <w:tcW w:w="990" w:type="dxa"/>
            <w:vAlign w:val="center"/>
          </w:tcPr>
          <w:p>
            <w:pPr>
              <w:pStyle w:val="11"/>
              <w:adjustRightInd w:val="0"/>
              <w:snapToGrid w:val="0"/>
              <w:spacing w:line="300" w:lineRule="auto"/>
              <w:jc w:val="center"/>
              <w:rPr>
                <w:kern w:val="0"/>
                <w:sz w:val="28"/>
              </w:rPr>
            </w:pPr>
          </w:p>
        </w:tc>
        <w:tc>
          <w:tcPr>
            <w:tcW w:w="1155" w:type="dxa"/>
            <w:vAlign w:val="center"/>
          </w:tcPr>
          <w:p>
            <w:pPr>
              <w:pStyle w:val="11"/>
              <w:adjustRightInd w:val="0"/>
              <w:snapToGrid w:val="0"/>
              <w:spacing w:line="300" w:lineRule="auto"/>
              <w:jc w:val="center"/>
              <w:rPr>
                <w:kern w:val="0"/>
                <w:sz w:val="28"/>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jc w:val="center"/>
        </w:trPr>
        <w:tc>
          <w:tcPr>
            <w:tcW w:w="10341" w:type="dxa"/>
            <w:gridSpan w:val="9"/>
            <w:vAlign w:val="center"/>
          </w:tcPr>
          <w:p>
            <w:pPr>
              <w:pStyle w:val="11"/>
              <w:adjustRightInd w:val="0"/>
              <w:snapToGrid w:val="0"/>
              <w:spacing w:line="300" w:lineRule="auto"/>
              <w:jc w:val="left"/>
              <w:rPr>
                <w:kern w:val="0"/>
                <w:sz w:val="28"/>
              </w:rPr>
            </w:pPr>
            <w:r>
              <w:rPr>
                <w:rFonts w:hint="eastAsia"/>
                <w:kern w:val="0"/>
                <w:sz w:val="28"/>
              </w:rPr>
              <w:t>投标总价金额大写：</w:t>
            </w:r>
            <w:r>
              <w:rPr>
                <w:rFonts w:hint="eastAsia" w:ascii="仿宋" w:hAnsi="仿宋" w:eastAsia="仿宋"/>
                <w:b/>
                <w:szCs w:val="24"/>
              </w:rPr>
              <w:t xml:space="preserve">                                      </w:t>
            </w:r>
            <w:r>
              <w:rPr>
                <w:rFonts w:hint="eastAsia"/>
                <w:kern w:val="0"/>
                <w:sz w:val="28"/>
              </w:rPr>
              <w:t>小写： ￥</w:t>
            </w:r>
          </w:p>
        </w:tc>
      </w:tr>
    </w:tbl>
    <w:p>
      <w:pPr>
        <w:pStyle w:val="11"/>
        <w:adjustRightInd w:val="0"/>
        <w:snapToGrid w:val="0"/>
        <w:spacing w:line="300" w:lineRule="auto"/>
        <w:ind w:firstLine="480"/>
        <w:rPr>
          <w:kern w:val="0"/>
          <w:sz w:val="28"/>
        </w:rPr>
      </w:pPr>
    </w:p>
    <w:p>
      <w:pPr>
        <w:pStyle w:val="11"/>
        <w:adjustRightInd w:val="0"/>
        <w:snapToGrid w:val="0"/>
        <w:spacing w:line="300" w:lineRule="auto"/>
        <w:ind w:firstLine="480"/>
        <w:rPr>
          <w:color w:val="FF0000"/>
          <w:kern w:val="0"/>
          <w:sz w:val="28"/>
        </w:rPr>
      </w:pPr>
      <w:r>
        <w:rPr>
          <w:rFonts w:hint="eastAsia"/>
          <w:color w:val="FF0000"/>
          <w:kern w:val="0"/>
          <w:sz w:val="28"/>
        </w:rPr>
        <w:t>报价说明：</w:t>
      </w:r>
    </w:p>
    <w:p>
      <w:pPr>
        <w:pStyle w:val="11"/>
        <w:numPr>
          <w:ilvl w:val="0"/>
          <w:numId w:val="3"/>
        </w:numPr>
        <w:adjustRightInd w:val="0"/>
        <w:snapToGrid w:val="0"/>
        <w:spacing w:line="300" w:lineRule="auto"/>
        <w:ind w:firstLine="480"/>
        <w:rPr>
          <w:color w:val="FF0000"/>
          <w:kern w:val="0"/>
          <w:sz w:val="28"/>
        </w:rPr>
      </w:pPr>
      <w:r>
        <w:rPr>
          <w:rFonts w:hint="eastAsia"/>
          <w:color w:val="FF0000"/>
          <w:kern w:val="0"/>
          <w:sz w:val="28"/>
        </w:rPr>
        <w:t>表格可扩展。</w:t>
      </w:r>
    </w:p>
    <w:p>
      <w:pPr>
        <w:pStyle w:val="11"/>
        <w:numPr>
          <w:ilvl w:val="0"/>
          <w:numId w:val="3"/>
        </w:numPr>
        <w:adjustRightInd w:val="0"/>
        <w:snapToGrid w:val="0"/>
        <w:spacing w:line="300" w:lineRule="auto"/>
        <w:ind w:firstLine="480"/>
        <w:rPr>
          <w:color w:val="FF0000"/>
          <w:kern w:val="0"/>
          <w:sz w:val="28"/>
          <w:lang w:val="zh-CN"/>
        </w:rPr>
      </w:pPr>
      <w:r>
        <w:rPr>
          <w:rFonts w:hint="eastAsia"/>
          <w:color w:val="FF0000"/>
          <w:kern w:val="0"/>
          <w:sz w:val="28"/>
        </w:rPr>
        <w:t>投标人需按本表格式填写，如无对应内容，则填写：“无或/”</w:t>
      </w:r>
    </w:p>
    <w:p>
      <w:pPr>
        <w:pStyle w:val="11"/>
        <w:numPr>
          <w:ilvl w:val="0"/>
          <w:numId w:val="3"/>
        </w:numPr>
        <w:adjustRightInd w:val="0"/>
        <w:snapToGrid w:val="0"/>
        <w:spacing w:line="300" w:lineRule="auto"/>
        <w:ind w:firstLine="480"/>
        <w:rPr>
          <w:color w:val="FF0000"/>
          <w:kern w:val="0"/>
          <w:sz w:val="28"/>
          <w:lang w:val="zh-CN"/>
        </w:rPr>
      </w:pPr>
      <w:r>
        <w:rPr>
          <w:rFonts w:hint="eastAsia"/>
          <w:color w:val="FF0000"/>
          <w:kern w:val="0"/>
          <w:sz w:val="28"/>
          <w:lang w:val="zh-CN"/>
        </w:rPr>
        <w:t>有关本项目实施所涉及的一切费用均计入报价。</w:t>
      </w:r>
    </w:p>
    <w:p>
      <w:pPr>
        <w:pStyle w:val="11"/>
        <w:numPr>
          <w:ilvl w:val="0"/>
          <w:numId w:val="3"/>
        </w:numPr>
        <w:adjustRightInd w:val="0"/>
        <w:snapToGrid w:val="0"/>
        <w:spacing w:line="300" w:lineRule="auto"/>
        <w:ind w:firstLine="480"/>
        <w:rPr>
          <w:color w:val="FF0000"/>
          <w:kern w:val="0"/>
          <w:sz w:val="28"/>
          <w:lang w:val="zh-CN"/>
        </w:rPr>
      </w:pPr>
      <w:r>
        <w:rPr>
          <w:rFonts w:hint="eastAsia"/>
          <w:color w:val="FF0000"/>
          <w:kern w:val="0"/>
          <w:sz w:val="28"/>
          <w:lang w:val="zh-CN"/>
        </w:rPr>
        <w:t>备注中应填写包含但不限于交货期、质保期等内容。</w:t>
      </w:r>
    </w:p>
    <w:p>
      <w:pPr>
        <w:pStyle w:val="11"/>
        <w:numPr>
          <w:ilvl w:val="0"/>
          <w:numId w:val="3"/>
        </w:numPr>
        <w:adjustRightInd w:val="0"/>
        <w:snapToGrid w:val="0"/>
        <w:spacing w:line="300" w:lineRule="auto"/>
        <w:ind w:firstLine="480"/>
        <w:rPr>
          <w:color w:val="FF0000"/>
          <w:kern w:val="0"/>
          <w:sz w:val="28"/>
          <w:lang w:val="zh-CN"/>
        </w:rPr>
      </w:pPr>
      <w:r>
        <w:rPr>
          <w:rFonts w:hint="eastAsia"/>
          <w:color w:val="FF0000"/>
          <w:kern w:val="0"/>
          <w:sz w:val="28"/>
          <w:lang w:val="zh-CN"/>
        </w:rPr>
        <w:t>特别提示：采购机构将对</w:t>
      </w:r>
      <w:r>
        <w:rPr>
          <w:rFonts w:hint="eastAsia"/>
          <w:color w:val="FF0000"/>
          <w:kern w:val="0"/>
          <w:sz w:val="28"/>
        </w:rPr>
        <w:t>项目名称和项目编号，中标供应商名称、地址和中标金额，主要中标标的的名称、规格型号、数量、单价、服务要求等</w:t>
      </w:r>
      <w:r>
        <w:rPr>
          <w:rFonts w:hint="eastAsia"/>
          <w:color w:val="FF0000"/>
          <w:kern w:val="0"/>
          <w:sz w:val="28"/>
          <w:lang w:val="zh-CN"/>
        </w:rPr>
        <w:t>予以公示。请把上述涉及的内容完整填写在开标一览表中。</w:t>
      </w:r>
    </w:p>
    <w:p>
      <w:pPr>
        <w:rPr>
          <w:sz w:val="28"/>
          <w:u w:val="single"/>
        </w:rPr>
      </w:pPr>
      <w:r>
        <w:rPr>
          <w:rFonts w:hint="eastAsia"/>
          <w:sz w:val="28"/>
          <w:u w:val="single"/>
        </w:rPr>
        <w:t xml:space="preserve">法定代表人签字：                   </w:t>
      </w:r>
    </w:p>
    <w:p>
      <w:pPr>
        <w:rPr>
          <w:sz w:val="28"/>
          <w:u w:val="single"/>
        </w:rPr>
      </w:pPr>
      <w:r>
        <w:rPr>
          <w:rFonts w:hint="eastAsia"/>
          <w:sz w:val="28"/>
          <w:u w:val="single"/>
        </w:rPr>
        <w:t xml:space="preserve">投标人：                  （盖章） </w:t>
      </w:r>
    </w:p>
    <w:p>
      <w:pPr>
        <w:rPr>
          <w:sz w:val="28"/>
        </w:rPr>
      </w:pPr>
      <w:r>
        <w:rPr>
          <w:rFonts w:hint="eastAsia"/>
          <w:sz w:val="28"/>
        </w:rPr>
        <w:t>日      期：     年    月    日</w:t>
      </w:r>
    </w:p>
    <w:p>
      <w:pPr>
        <w:rPr>
          <w:rFonts w:ascii="仿宋" w:hAnsi="仿宋" w:eastAsia="仿宋"/>
          <w:b/>
          <w:sz w:val="36"/>
          <w:szCs w:val="36"/>
        </w:rPr>
      </w:pPr>
    </w:p>
    <w:p>
      <w:pPr>
        <w:jc w:val="center"/>
        <w:rPr>
          <w:rFonts w:ascii="仿宋" w:hAnsi="仿宋" w:eastAsia="仿宋"/>
          <w:b/>
          <w:sz w:val="36"/>
          <w:szCs w:val="36"/>
        </w:rPr>
      </w:pPr>
      <w:r>
        <w:rPr>
          <w:rFonts w:hint="eastAsia" w:ascii="仿宋" w:hAnsi="仿宋" w:eastAsia="仿宋"/>
          <w:b/>
          <w:sz w:val="36"/>
          <w:szCs w:val="36"/>
        </w:rPr>
        <w:t>六、</w:t>
      </w:r>
      <w:bookmarkEnd w:id="41"/>
      <w:bookmarkEnd w:id="42"/>
      <w:r>
        <w:rPr>
          <w:rFonts w:hint="eastAsia" w:ascii="仿宋" w:hAnsi="仿宋" w:eastAsia="仿宋"/>
          <w:b/>
          <w:sz w:val="36"/>
          <w:szCs w:val="36"/>
        </w:rPr>
        <w:t>投标承诺书（格式）</w:t>
      </w:r>
    </w:p>
    <w:p>
      <w:pPr>
        <w:spacing w:line="340" w:lineRule="exact"/>
        <w:ind w:firstLine="420" w:firstLineChars="200"/>
      </w:pPr>
      <w:r>
        <w:rPr>
          <w:rFonts w:hint="eastAsia"/>
        </w:rPr>
        <w:t>我公司已详细阅读了</w:t>
      </w:r>
      <w:r>
        <w:rPr>
          <w:rFonts w:hint="eastAsia"/>
          <w:u w:val="single"/>
        </w:rPr>
        <w:t xml:space="preserve">                     </w:t>
      </w:r>
      <w:r>
        <w:rPr>
          <w:rFonts w:hint="eastAsia"/>
        </w:rPr>
        <w:t>项目（项目编号：</w:t>
      </w:r>
      <w:r>
        <w:rPr>
          <w:rFonts w:hint="eastAsia"/>
          <w:u w:val="single"/>
        </w:rPr>
        <w:t xml:space="preserve">诸政采         </w:t>
      </w:r>
      <w:r>
        <w:rPr>
          <w:rFonts w:hint="eastAsia"/>
        </w:rPr>
        <w:t>）招标文件，现参加该项目投标，并就有关事项作出如下承诺：</w:t>
      </w:r>
    </w:p>
    <w:p>
      <w:pPr>
        <w:spacing w:line="340" w:lineRule="exact"/>
        <w:ind w:firstLine="420" w:firstLineChars="200"/>
      </w:pPr>
      <w:r>
        <w:rPr>
          <w:rFonts w:hint="eastAsia"/>
        </w:rPr>
        <w:t>一、我公司在该项目招投标及合同履约过程中，不会出现以下行为，否则我公司愿意接受该行为被记录为不良行为，并在不良行为记录时限内放弃在诸暨市公共资源交易中心投标的资格。</w:t>
      </w:r>
    </w:p>
    <w:p>
      <w:pPr>
        <w:spacing w:line="340" w:lineRule="exact"/>
        <w:ind w:firstLine="420" w:firstLineChars="200"/>
      </w:pPr>
      <w:r>
        <w:rPr>
          <w:rFonts w:hint="eastAsia"/>
        </w:rPr>
        <w:t>（</w:t>
      </w:r>
      <w:r>
        <w:t>1</w:t>
      </w:r>
      <w:r>
        <w:rPr>
          <w:rFonts w:hint="eastAsia"/>
        </w:rPr>
        <w:t>）已报名但无故放弃投标(开标前已有书面说明并证实的除外)一年内累计3次以上的；</w:t>
      </w:r>
    </w:p>
    <w:p>
      <w:pPr>
        <w:spacing w:line="340" w:lineRule="exact"/>
        <w:ind w:firstLine="420" w:firstLineChars="200"/>
      </w:pPr>
      <w:r>
        <w:rPr>
          <w:rFonts w:hint="eastAsia"/>
        </w:rPr>
        <w:t>（</w:t>
      </w:r>
      <w:r>
        <w:t>2</w:t>
      </w:r>
      <w:r>
        <w:rPr>
          <w:rFonts w:hint="eastAsia"/>
        </w:rPr>
        <w:t>）在招标采购过程中，与采购人进行协商谈判的；</w:t>
      </w:r>
    </w:p>
    <w:p>
      <w:pPr>
        <w:spacing w:line="340" w:lineRule="exact"/>
        <w:ind w:firstLine="420" w:firstLineChars="200"/>
      </w:pPr>
      <w:r>
        <w:rPr>
          <w:rFonts w:hint="eastAsia"/>
        </w:rPr>
        <w:t>（</w:t>
      </w:r>
      <w:r>
        <w:t>3</w:t>
      </w:r>
      <w:r>
        <w:rPr>
          <w:rFonts w:hint="eastAsia"/>
        </w:rPr>
        <w:t>）投标有效期内撤回其投标文件的；</w:t>
      </w:r>
    </w:p>
    <w:p>
      <w:pPr>
        <w:spacing w:line="340" w:lineRule="exact"/>
        <w:ind w:firstLine="420" w:firstLineChars="200"/>
      </w:pPr>
      <w:r>
        <w:rPr>
          <w:rFonts w:hint="eastAsia"/>
        </w:rPr>
        <w:t>（4）拒绝有关部门监督检查或提供虚假情况的；</w:t>
      </w:r>
    </w:p>
    <w:p>
      <w:pPr>
        <w:spacing w:line="340" w:lineRule="exact"/>
        <w:ind w:firstLine="420" w:firstLineChars="200"/>
      </w:pPr>
      <w:r>
        <w:rPr>
          <w:rFonts w:hint="eastAsia"/>
        </w:rPr>
        <w:t>（5）不积极配合采购人做好标的验收工作的；</w:t>
      </w:r>
    </w:p>
    <w:p>
      <w:pPr>
        <w:spacing w:line="340" w:lineRule="exact"/>
        <w:ind w:firstLine="420" w:firstLineChars="200"/>
      </w:pPr>
      <w:r>
        <w:rPr>
          <w:rFonts w:hint="eastAsia"/>
        </w:rPr>
        <w:t>（6）在有关部门的监督检查或考核中被通报批评或处以警告及以上处罚的；</w:t>
      </w:r>
    </w:p>
    <w:p>
      <w:pPr>
        <w:spacing w:line="340" w:lineRule="exact"/>
        <w:ind w:firstLine="420" w:firstLineChars="200"/>
      </w:pPr>
      <w:r>
        <w:rPr>
          <w:rFonts w:hint="eastAsia"/>
        </w:rPr>
        <w:t>（7）不遵守投标会场纪律，无理取闹，扰乱交易秩序的；</w:t>
      </w:r>
    </w:p>
    <w:p>
      <w:pPr>
        <w:spacing w:line="340" w:lineRule="exact"/>
        <w:ind w:firstLine="420" w:firstLineChars="200"/>
      </w:pPr>
      <w:r>
        <w:rPr>
          <w:rFonts w:hint="eastAsia"/>
        </w:rPr>
        <w:t>（8）中标后无正当理由放弃中标，或不与采购人签订政府采购合同，或在签订合同时提出附加条件或更改合同实质性内容，或拒不提交所要求的履约保证金的；</w:t>
      </w:r>
    </w:p>
    <w:p>
      <w:pPr>
        <w:spacing w:line="340" w:lineRule="exact"/>
        <w:ind w:firstLine="420" w:firstLineChars="200"/>
      </w:pPr>
      <w:r>
        <w:rPr>
          <w:rFonts w:hint="eastAsia"/>
        </w:rPr>
        <w:t>（</w:t>
      </w:r>
      <w:r>
        <w:t>9</w:t>
      </w:r>
      <w:r>
        <w:rPr>
          <w:rFonts w:hint="eastAsia"/>
        </w:rPr>
        <w:t>）虚假投诉、恶意投诉或未按层级和相关程序逐级质疑、投诉而影响采购工作正常进行或造成不良影响的；</w:t>
      </w:r>
    </w:p>
    <w:p>
      <w:pPr>
        <w:spacing w:line="340" w:lineRule="exact"/>
        <w:ind w:firstLine="420" w:firstLineChars="200"/>
      </w:pPr>
      <w:r>
        <w:rPr>
          <w:rFonts w:hint="eastAsia"/>
        </w:rPr>
        <w:t>（</w:t>
      </w:r>
      <w:r>
        <w:t>10</w:t>
      </w:r>
      <w:r>
        <w:rPr>
          <w:rFonts w:hint="eastAsia"/>
        </w:rPr>
        <w:t>）不按照与采购人订立的合同履行义务（包括提供标的、售后服务、技术支持等），严重违反合同规定和廉政合同要求的；</w:t>
      </w:r>
    </w:p>
    <w:p>
      <w:pPr>
        <w:spacing w:line="340" w:lineRule="exact"/>
        <w:ind w:firstLine="420" w:firstLineChars="200"/>
      </w:pPr>
      <w:r>
        <w:rPr>
          <w:rFonts w:hint="eastAsia"/>
        </w:rPr>
        <w:t>（11）项目负责人不到位，或擅自变换项目负责人，或不认真履行职责造成采购人损失的；</w:t>
      </w:r>
    </w:p>
    <w:p>
      <w:pPr>
        <w:spacing w:line="340" w:lineRule="exact"/>
        <w:ind w:firstLine="420" w:firstLineChars="200"/>
      </w:pPr>
      <w:r>
        <w:rPr>
          <w:rFonts w:hint="eastAsia"/>
        </w:rPr>
        <w:t>（12）发生经营状况重大变化以及重要担保、重大合同纠纷或诉讼、信用等级和资质变化等可能影响履约能力的重大事项，未及时向市公共资源交易中心提供书面报告，因而造成采购人损失的；</w:t>
      </w:r>
    </w:p>
    <w:p>
      <w:pPr>
        <w:spacing w:line="340" w:lineRule="exact"/>
        <w:ind w:firstLine="420" w:firstLineChars="200"/>
      </w:pPr>
      <w:r>
        <w:rPr>
          <w:rFonts w:hint="eastAsia"/>
        </w:rPr>
        <w:t>（13）与采购人、其他供应商或者采购代理机构相互串通的；</w:t>
      </w:r>
    </w:p>
    <w:p>
      <w:pPr>
        <w:spacing w:line="340" w:lineRule="exact"/>
        <w:ind w:firstLine="420" w:firstLineChars="200"/>
      </w:pPr>
      <w:r>
        <w:rPr>
          <w:rFonts w:hint="eastAsia"/>
        </w:rPr>
        <w:t>（14）采取不正当手段排挤其他供应商，进行不公平竞争的；</w:t>
      </w:r>
    </w:p>
    <w:p>
      <w:pPr>
        <w:spacing w:line="340" w:lineRule="exact"/>
        <w:ind w:firstLine="420" w:firstLineChars="200"/>
      </w:pPr>
      <w:r>
        <w:rPr>
          <w:rFonts w:hint="eastAsia"/>
        </w:rPr>
        <w:t>（15）中标后与采购人另行订立背离合同实质内容的协议的；</w:t>
      </w:r>
    </w:p>
    <w:p>
      <w:pPr>
        <w:spacing w:line="340" w:lineRule="exact"/>
        <w:ind w:firstLine="420" w:firstLineChars="200"/>
      </w:pPr>
      <w:r>
        <w:rPr>
          <w:rFonts w:hint="eastAsia"/>
        </w:rPr>
        <w:t>（</w:t>
      </w:r>
      <w:r>
        <w:t>1</w:t>
      </w:r>
      <w:r>
        <w:rPr>
          <w:rFonts w:hint="eastAsia"/>
        </w:rPr>
        <w:t>6）事先有承诺，而事后违反承诺内容的；</w:t>
      </w:r>
    </w:p>
    <w:p>
      <w:pPr>
        <w:spacing w:line="340" w:lineRule="exact"/>
        <w:ind w:firstLine="420" w:firstLineChars="200"/>
      </w:pPr>
      <w:r>
        <w:rPr>
          <w:rFonts w:hint="eastAsia"/>
        </w:rPr>
        <w:t>（17）将中标项目转包或违反规定进行分包的；</w:t>
      </w:r>
    </w:p>
    <w:p>
      <w:pPr>
        <w:spacing w:line="340" w:lineRule="exact"/>
        <w:ind w:firstLine="420" w:firstLineChars="200"/>
      </w:pPr>
      <w:r>
        <w:rPr>
          <w:rFonts w:hint="eastAsia"/>
        </w:rPr>
        <w:t>（18）以他人名义投标或允许他人以自己名义投标，或者以其他方式弄虚作假的；</w:t>
      </w:r>
    </w:p>
    <w:p>
      <w:pPr>
        <w:spacing w:line="340" w:lineRule="exact"/>
        <w:ind w:firstLine="420" w:firstLineChars="200"/>
      </w:pPr>
      <w:r>
        <w:rPr>
          <w:rFonts w:hint="eastAsia"/>
        </w:rPr>
        <w:t>（19）未按照采购合同约定及时提供全部货物的，或无故拖延工期的；</w:t>
      </w:r>
    </w:p>
    <w:p>
      <w:pPr>
        <w:spacing w:line="340" w:lineRule="exact"/>
        <w:ind w:firstLine="420" w:firstLineChars="200"/>
      </w:pPr>
      <w:r>
        <w:rPr>
          <w:rFonts w:hint="eastAsia"/>
        </w:rPr>
        <w:t>（20）无故不提供中标要求的型号、配置等产品的，或有拆换、调换、截留产品零部件和备品备件的行为的；</w:t>
      </w:r>
    </w:p>
    <w:p>
      <w:pPr>
        <w:spacing w:line="340" w:lineRule="exact"/>
        <w:ind w:firstLine="420" w:firstLineChars="200"/>
      </w:pPr>
      <w:r>
        <w:rPr>
          <w:rFonts w:hint="eastAsia"/>
        </w:rPr>
        <w:t>（21）为获取自身利益，向采购人及其他有利害关系的单位或个人提供不正当利益的；</w:t>
      </w:r>
    </w:p>
    <w:p>
      <w:pPr>
        <w:spacing w:line="340" w:lineRule="exact"/>
        <w:ind w:firstLine="420" w:firstLineChars="200"/>
      </w:pPr>
      <w:r>
        <w:rPr>
          <w:rFonts w:hint="eastAsia"/>
        </w:rPr>
        <w:t>（22）提供假冒伪劣产品或走私物品的；</w:t>
      </w:r>
    </w:p>
    <w:p>
      <w:pPr>
        <w:spacing w:line="340" w:lineRule="exact"/>
        <w:ind w:firstLine="420" w:firstLineChars="200"/>
      </w:pPr>
      <w:r>
        <w:rPr>
          <w:rFonts w:hint="eastAsia"/>
        </w:rPr>
        <w:t>（23）擅自变更、中止、终止或解除政府采购合同的；</w:t>
      </w:r>
    </w:p>
    <w:p>
      <w:pPr>
        <w:spacing w:line="340" w:lineRule="exact"/>
        <w:ind w:firstLine="420" w:firstLineChars="200"/>
      </w:pPr>
      <w:r>
        <w:rPr>
          <w:rFonts w:hint="eastAsia"/>
        </w:rPr>
        <w:t>（24）向有关人员行贿或者提供不正当利益谋取中标的；</w:t>
      </w:r>
    </w:p>
    <w:p>
      <w:pPr>
        <w:spacing w:line="340" w:lineRule="exact"/>
        <w:ind w:firstLine="420" w:firstLineChars="200"/>
      </w:pPr>
      <w:r>
        <w:rPr>
          <w:rFonts w:hint="eastAsia"/>
        </w:rPr>
        <w:t>（25）在政府采购活动期间，对管理机构、采购人、其他投标人、评标专家、中介机构等政府采购相关机构和人员，采取诋毁、诽谤、胁迫、暴力等不正当手段的；</w:t>
      </w:r>
    </w:p>
    <w:p>
      <w:pPr>
        <w:spacing w:line="340" w:lineRule="exact"/>
        <w:ind w:firstLine="420" w:firstLineChars="200"/>
      </w:pPr>
      <w:r>
        <w:rPr>
          <w:rFonts w:hint="eastAsia"/>
        </w:rPr>
        <w:t>（26）市公管办认定的其他违反政府采购管理的行为。</w:t>
      </w:r>
    </w:p>
    <w:p>
      <w:pPr>
        <w:spacing w:line="340" w:lineRule="exact"/>
        <w:ind w:firstLine="420" w:firstLineChars="200"/>
      </w:pPr>
      <w:r>
        <w:rPr>
          <w:rFonts w:hint="eastAsia"/>
        </w:rPr>
        <w:t>出现（</w:t>
      </w:r>
      <w:r>
        <w:t>1</w:t>
      </w:r>
      <w:r>
        <w:rPr>
          <w:rFonts w:hint="eastAsia"/>
        </w:rPr>
        <w:t>）</w:t>
      </w:r>
      <w:r>
        <w:t>~</w:t>
      </w:r>
      <w:r>
        <w:rPr>
          <w:rFonts w:hint="eastAsia"/>
        </w:rPr>
        <w:t>（6）行为之一，记录时限为6个月；出现（7）</w:t>
      </w:r>
      <w:r>
        <w:t>~</w:t>
      </w:r>
      <w:r>
        <w:rPr>
          <w:rFonts w:hint="eastAsia"/>
        </w:rPr>
        <w:t>（12）行为之一，记录时限为1年；出现（13）</w:t>
      </w:r>
      <w:r>
        <w:t>~</w:t>
      </w:r>
      <w:r>
        <w:rPr>
          <w:rFonts w:hint="eastAsia"/>
        </w:rPr>
        <w:t>（17）行为之一，记录时限为2年；出现（18）</w:t>
      </w:r>
      <w:r>
        <w:t>~</w:t>
      </w:r>
      <w:r>
        <w:rPr>
          <w:rFonts w:hint="eastAsia"/>
        </w:rPr>
        <w:t>（21）行为之一，记录时限为3年；出现（22）</w:t>
      </w:r>
      <w:r>
        <w:t>~</w:t>
      </w:r>
      <w:r>
        <w:rPr>
          <w:rFonts w:hint="eastAsia"/>
        </w:rPr>
        <w:t>（25）行为之一，记录时限为5年；出现（26）行为，酌情处理。时限以被记录为不良行为之日起算，在记录时限内再次被计为不良行为的，记录时限应从上次记录时限截止日起算。</w:t>
      </w:r>
    </w:p>
    <w:p>
      <w:pPr>
        <w:spacing w:line="340" w:lineRule="exact"/>
        <w:ind w:firstLine="420" w:firstLineChars="200"/>
      </w:pPr>
      <w:r>
        <w:rPr>
          <w:rFonts w:hint="eastAsia"/>
        </w:rPr>
        <w:t>二、我公司及其他利害关系人如对该项目的中标公示有异议，将在招标文件规定的公示期限内提出符合以下条件的有效质疑，否则我公司愿意接受相关部门不予受理的决定。</w:t>
      </w:r>
    </w:p>
    <w:p>
      <w:pPr>
        <w:spacing w:line="340" w:lineRule="exact"/>
        <w:ind w:firstLine="420" w:firstLineChars="200"/>
      </w:pPr>
      <w:r>
        <w:rPr>
          <w:rFonts w:hint="eastAsia"/>
        </w:rPr>
        <w:t>1、质疑人须为投标人和其他利害关系人；</w:t>
      </w:r>
    </w:p>
    <w:p>
      <w:pPr>
        <w:spacing w:line="340" w:lineRule="exact"/>
        <w:ind w:firstLine="420" w:firstLineChars="200"/>
      </w:pPr>
      <w:r>
        <w:rPr>
          <w:rFonts w:hint="eastAsia"/>
        </w:rPr>
        <w:t>2、投诉时，应当递交质疑书，质疑书应当包括下列内容：</w:t>
      </w:r>
    </w:p>
    <w:p>
      <w:pPr>
        <w:spacing w:line="340" w:lineRule="exact"/>
        <w:ind w:firstLine="420" w:firstLineChars="200"/>
      </w:pPr>
      <w:r>
        <w:rPr>
          <w:rFonts w:hint="eastAsia"/>
        </w:rPr>
        <w:t>（</w:t>
      </w:r>
      <w:r>
        <w:t>1</w:t>
      </w:r>
      <w:r>
        <w:rPr>
          <w:rFonts w:hint="eastAsia"/>
        </w:rPr>
        <w:t>）质疑人的名称、地址及有效联系方式；</w:t>
      </w:r>
    </w:p>
    <w:p>
      <w:pPr>
        <w:spacing w:line="340" w:lineRule="exact"/>
        <w:ind w:firstLine="420" w:firstLineChars="200"/>
      </w:pPr>
      <w:r>
        <w:rPr>
          <w:rFonts w:hint="eastAsia"/>
        </w:rPr>
        <w:t>（</w:t>
      </w:r>
      <w:r>
        <w:t>2</w:t>
      </w:r>
      <w:r>
        <w:rPr>
          <w:rFonts w:hint="eastAsia"/>
        </w:rPr>
        <w:t>）被质疑人的名称、地址及联系方式；</w:t>
      </w:r>
    </w:p>
    <w:p>
      <w:pPr>
        <w:spacing w:line="340" w:lineRule="exact"/>
        <w:ind w:firstLine="420" w:firstLineChars="200"/>
      </w:pPr>
      <w:r>
        <w:rPr>
          <w:rFonts w:hint="eastAsia"/>
        </w:rPr>
        <w:t>（</w:t>
      </w:r>
      <w:r>
        <w:t>3</w:t>
      </w:r>
      <w:r>
        <w:rPr>
          <w:rFonts w:hint="eastAsia"/>
        </w:rPr>
        <w:t>）质疑事项的基本事实；</w:t>
      </w:r>
    </w:p>
    <w:p>
      <w:pPr>
        <w:spacing w:line="340" w:lineRule="exact"/>
        <w:ind w:firstLine="420" w:firstLineChars="200"/>
      </w:pPr>
      <w:r>
        <w:rPr>
          <w:rFonts w:hint="eastAsia"/>
        </w:rPr>
        <w:t>（</w:t>
      </w:r>
      <w:r>
        <w:t>4</w:t>
      </w:r>
      <w:r>
        <w:rPr>
          <w:rFonts w:hint="eastAsia"/>
        </w:rPr>
        <w:t>）相关请求及主张；</w:t>
      </w:r>
    </w:p>
    <w:p>
      <w:pPr>
        <w:spacing w:line="340" w:lineRule="exact"/>
        <w:ind w:firstLine="420" w:firstLineChars="200"/>
      </w:pPr>
      <w:r>
        <w:rPr>
          <w:rFonts w:hint="eastAsia"/>
        </w:rPr>
        <w:t>（</w:t>
      </w:r>
      <w:r>
        <w:t>5</w:t>
      </w:r>
      <w:r>
        <w:rPr>
          <w:rFonts w:hint="eastAsia"/>
        </w:rPr>
        <w:t>）有效线索和相关证明材料；</w:t>
      </w:r>
    </w:p>
    <w:p>
      <w:pPr>
        <w:spacing w:line="340" w:lineRule="exact"/>
        <w:ind w:firstLine="420" w:firstLineChars="200"/>
      </w:pPr>
      <w:r>
        <w:rPr>
          <w:rFonts w:hint="eastAsia"/>
        </w:rPr>
        <w:t>（</w:t>
      </w:r>
      <w:r>
        <w:t>6</w:t>
      </w:r>
      <w:r>
        <w:rPr>
          <w:rFonts w:hint="eastAsia"/>
        </w:rPr>
        <w:t>）质疑人是法人的，质疑书必须由其法定代表人或者授权代表签字并加盖章；其他组织或者个人质疑的，质疑书必须由其主要负责人或者质疑人本人签字，并附有效身份证明复印件。</w:t>
      </w:r>
    </w:p>
    <w:p>
      <w:pPr>
        <w:spacing w:line="340" w:lineRule="exact"/>
        <w:ind w:firstLine="723" w:firstLineChars="400"/>
        <w:rPr>
          <w:b/>
          <w:sz w:val="18"/>
          <w:szCs w:val="18"/>
        </w:rPr>
      </w:pPr>
    </w:p>
    <w:p>
      <w:pPr>
        <w:spacing w:line="340" w:lineRule="exact"/>
        <w:ind w:firstLine="840" w:firstLineChars="400"/>
      </w:pPr>
    </w:p>
    <w:p>
      <w:pPr>
        <w:spacing w:line="340" w:lineRule="exact"/>
        <w:ind w:firstLine="840" w:firstLineChars="400"/>
      </w:pPr>
    </w:p>
    <w:p>
      <w:pPr>
        <w:rPr>
          <w:sz w:val="28"/>
        </w:rPr>
      </w:pPr>
      <w:r>
        <w:rPr>
          <w:rFonts w:hint="eastAsia"/>
          <w:sz w:val="28"/>
        </w:rPr>
        <w:t>投标人（盖章）：</w:t>
      </w:r>
      <w:r>
        <w:rPr>
          <w:sz w:val="28"/>
          <w:u w:val="single"/>
        </w:rPr>
        <w:t xml:space="preserve">                                      </w:t>
      </w:r>
      <w:r>
        <w:rPr>
          <w:sz w:val="28"/>
        </w:rPr>
        <w:t xml:space="preserve">      </w:t>
      </w:r>
    </w:p>
    <w:p>
      <w:pPr>
        <w:spacing w:line="340" w:lineRule="exact"/>
        <w:rPr>
          <w:sz w:val="28"/>
        </w:rPr>
      </w:pPr>
    </w:p>
    <w:p>
      <w:pPr>
        <w:spacing w:line="340" w:lineRule="exact"/>
        <w:rPr>
          <w:sz w:val="28"/>
        </w:rPr>
      </w:pPr>
    </w:p>
    <w:p>
      <w:pPr>
        <w:spacing w:line="340" w:lineRule="exact"/>
        <w:rPr>
          <w:sz w:val="28"/>
        </w:rPr>
      </w:pPr>
      <w:r>
        <w:rPr>
          <w:rFonts w:hint="eastAsia"/>
          <w:sz w:val="28"/>
        </w:rPr>
        <w:t>日      期：     年    月    日</w:t>
      </w:r>
    </w:p>
    <w:p>
      <w:pPr>
        <w:spacing w:line="560" w:lineRule="exact"/>
        <w:ind w:firstLine="560" w:firstLineChars="200"/>
        <w:rPr>
          <w:rFonts w:ascii="仿宋_GB2312" w:hAnsi="仿宋_GB2312" w:eastAsia="仿宋_GB2312"/>
          <w:sz w:val="28"/>
        </w:rPr>
      </w:pPr>
    </w:p>
    <w:p>
      <w:pPr>
        <w:snapToGrid w:val="0"/>
        <w:spacing w:before="50" w:after="50"/>
        <w:jc w:val="center"/>
        <w:rPr>
          <w:rFonts w:ascii="仿宋" w:hAnsi="仿宋" w:eastAsia="仿宋"/>
          <w:b/>
          <w:sz w:val="36"/>
          <w:szCs w:val="36"/>
        </w:rPr>
      </w:pPr>
      <w:r>
        <w:rPr>
          <w:rFonts w:ascii="仿宋" w:hAnsi="仿宋" w:eastAsia="仿宋"/>
          <w:b/>
          <w:sz w:val="36"/>
          <w:szCs w:val="36"/>
        </w:rPr>
        <w:br w:type="page"/>
      </w:r>
      <w:r>
        <w:rPr>
          <w:rFonts w:hint="eastAsia" w:ascii="仿宋" w:hAnsi="仿宋" w:eastAsia="仿宋"/>
          <w:b/>
          <w:sz w:val="36"/>
          <w:szCs w:val="36"/>
        </w:rPr>
        <w:t>七、技 术 偏 离 表</w:t>
      </w:r>
    </w:p>
    <w:tbl>
      <w:tblPr>
        <w:tblStyle w:val="21"/>
        <w:tblW w:w="0" w:type="auto"/>
        <w:tblInd w:w="-7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980"/>
        <w:gridCol w:w="2340"/>
        <w:gridCol w:w="2160"/>
        <w:gridCol w:w="216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0" w:hRule="atLeast"/>
        </w:trPr>
        <w:tc>
          <w:tcPr>
            <w:tcW w:w="1980" w:type="dxa"/>
            <w:vAlign w:val="center"/>
          </w:tcPr>
          <w:p>
            <w:pPr>
              <w:pStyle w:val="11"/>
              <w:spacing w:line="400" w:lineRule="atLeast"/>
              <w:jc w:val="center"/>
              <w:rPr>
                <w:rFonts w:ascii="仿宋_GB2312" w:eastAsia="仿宋_GB2312"/>
                <w:szCs w:val="24"/>
              </w:rPr>
            </w:pPr>
            <w:r>
              <w:rPr>
                <w:rFonts w:hint="eastAsia" w:ascii="仿宋_GB2312" w:eastAsia="仿宋_GB2312"/>
                <w:szCs w:val="24"/>
              </w:rPr>
              <w:t>内容</w:t>
            </w:r>
          </w:p>
        </w:tc>
        <w:tc>
          <w:tcPr>
            <w:tcW w:w="2340" w:type="dxa"/>
            <w:vAlign w:val="center"/>
          </w:tcPr>
          <w:p>
            <w:pPr>
              <w:pStyle w:val="11"/>
              <w:spacing w:line="400" w:lineRule="atLeast"/>
              <w:jc w:val="center"/>
              <w:rPr>
                <w:rFonts w:ascii="仿宋_GB2312" w:eastAsia="仿宋_GB2312"/>
                <w:szCs w:val="24"/>
              </w:rPr>
            </w:pPr>
            <w:r>
              <w:rPr>
                <w:rFonts w:hint="eastAsia" w:ascii="仿宋_GB2312" w:eastAsia="仿宋_GB2312"/>
                <w:szCs w:val="24"/>
              </w:rPr>
              <w:t>招标文件</w:t>
            </w:r>
          </w:p>
          <w:p>
            <w:pPr>
              <w:pStyle w:val="11"/>
              <w:spacing w:line="400" w:lineRule="atLeast"/>
              <w:jc w:val="center"/>
              <w:rPr>
                <w:rFonts w:ascii="仿宋_GB2312" w:eastAsia="仿宋_GB2312"/>
                <w:szCs w:val="24"/>
              </w:rPr>
            </w:pPr>
            <w:r>
              <w:rPr>
                <w:rFonts w:hint="eastAsia" w:ascii="仿宋_GB2312" w:eastAsia="仿宋_GB2312"/>
                <w:szCs w:val="24"/>
              </w:rPr>
              <w:t>规范要求</w:t>
            </w:r>
          </w:p>
        </w:tc>
        <w:tc>
          <w:tcPr>
            <w:tcW w:w="2160" w:type="dxa"/>
            <w:vAlign w:val="center"/>
          </w:tcPr>
          <w:p>
            <w:pPr>
              <w:pStyle w:val="11"/>
              <w:spacing w:line="400" w:lineRule="atLeast"/>
              <w:jc w:val="center"/>
              <w:rPr>
                <w:rFonts w:ascii="仿宋_GB2312" w:eastAsia="仿宋_GB2312"/>
                <w:szCs w:val="24"/>
              </w:rPr>
            </w:pPr>
            <w:r>
              <w:rPr>
                <w:rFonts w:hint="eastAsia" w:ascii="仿宋_GB2312" w:eastAsia="仿宋_GB2312"/>
                <w:szCs w:val="24"/>
              </w:rPr>
              <w:t>投标文件</w:t>
            </w:r>
          </w:p>
          <w:p>
            <w:pPr>
              <w:pStyle w:val="11"/>
              <w:spacing w:line="400" w:lineRule="atLeast"/>
              <w:jc w:val="center"/>
              <w:rPr>
                <w:rFonts w:ascii="仿宋_GB2312" w:eastAsia="仿宋_GB2312"/>
                <w:szCs w:val="24"/>
              </w:rPr>
            </w:pPr>
            <w:r>
              <w:rPr>
                <w:rFonts w:hint="eastAsia" w:ascii="仿宋_GB2312" w:eastAsia="仿宋_GB2312"/>
                <w:szCs w:val="24"/>
              </w:rPr>
              <w:t>对应规范</w:t>
            </w:r>
          </w:p>
        </w:tc>
        <w:tc>
          <w:tcPr>
            <w:tcW w:w="2160" w:type="dxa"/>
            <w:vAlign w:val="center"/>
          </w:tcPr>
          <w:p>
            <w:pPr>
              <w:pStyle w:val="11"/>
              <w:spacing w:line="400" w:lineRule="atLeast"/>
              <w:jc w:val="center"/>
              <w:rPr>
                <w:rFonts w:ascii="仿宋_GB2312" w:eastAsia="仿宋_GB2312"/>
                <w:szCs w:val="24"/>
              </w:rPr>
            </w:pPr>
            <w:r>
              <w:rPr>
                <w:rFonts w:hint="eastAsia" w:ascii="仿宋_GB2312" w:eastAsia="仿宋_GB2312"/>
                <w:szCs w:val="24"/>
              </w:rPr>
              <w:t xml:space="preserve"> 偏离情况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0" w:hRule="atLeast"/>
        </w:trPr>
        <w:tc>
          <w:tcPr>
            <w:tcW w:w="1980" w:type="dxa"/>
            <w:vAlign w:val="center"/>
          </w:tcPr>
          <w:p>
            <w:pPr>
              <w:pStyle w:val="11"/>
              <w:spacing w:line="400" w:lineRule="atLeast"/>
              <w:jc w:val="center"/>
              <w:rPr>
                <w:rFonts w:ascii="仿宋_GB2312" w:eastAsia="仿宋_GB2312"/>
                <w:szCs w:val="24"/>
              </w:rPr>
            </w:pPr>
          </w:p>
        </w:tc>
        <w:tc>
          <w:tcPr>
            <w:tcW w:w="2340" w:type="dxa"/>
            <w:vAlign w:val="center"/>
          </w:tcPr>
          <w:p>
            <w:pPr>
              <w:pStyle w:val="11"/>
              <w:spacing w:line="400" w:lineRule="atLeast"/>
              <w:jc w:val="center"/>
              <w:rPr>
                <w:rFonts w:ascii="仿宋_GB2312" w:eastAsia="仿宋_GB2312"/>
                <w:szCs w:val="24"/>
              </w:rPr>
            </w:pPr>
          </w:p>
        </w:tc>
        <w:tc>
          <w:tcPr>
            <w:tcW w:w="2160" w:type="dxa"/>
            <w:vAlign w:val="center"/>
          </w:tcPr>
          <w:p>
            <w:pPr>
              <w:pStyle w:val="11"/>
              <w:spacing w:line="400" w:lineRule="atLeast"/>
              <w:jc w:val="center"/>
              <w:rPr>
                <w:rFonts w:ascii="仿宋_GB2312" w:eastAsia="仿宋_GB2312"/>
                <w:szCs w:val="24"/>
              </w:rPr>
            </w:pPr>
          </w:p>
        </w:tc>
        <w:tc>
          <w:tcPr>
            <w:tcW w:w="2160" w:type="dxa"/>
            <w:vAlign w:val="center"/>
          </w:tcPr>
          <w:p>
            <w:pPr>
              <w:pStyle w:val="11"/>
              <w:spacing w:line="400" w:lineRule="atLeast"/>
              <w:jc w:val="center"/>
              <w:rPr>
                <w:rFonts w:ascii="仿宋_GB2312" w:eastAsia="仿宋_GB2312"/>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0" w:hRule="atLeast"/>
        </w:trPr>
        <w:tc>
          <w:tcPr>
            <w:tcW w:w="1980" w:type="dxa"/>
            <w:vAlign w:val="center"/>
          </w:tcPr>
          <w:p>
            <w:pPr>
              <w:pStyle w:val="11"/>
              <w:spacing w:line="400" w:lineRule="atLeast"/>
              <w:jc w:val="center"/>
              <w:rPr>
                <w:rFonts w:ascii="仿宋_GB2312" w:eastAsia="仿宋_GB2312"/>
                <w:szCs w:val="24"/>
              </w:rPr>
            </w:pPr>
          </w:p>
        </w:tc>
        <w:tc>
          <w:tcPr>
            <w:tcW w:w="2340" w:type="dxa"/>
            <w:vAlign w:val="center"/>
          </w:tcPr>
          <w:p>
            <w:pPr>
              <w:pStyle w:val="11"/>
              <w:spacing w:line="400" w:lineRule="atLeast"/>
              <w:jc w:val="center"/>
              <w:rPr>
                <w:rFonts w:ascii="仿宋_GB2312" w:eastAsia="仿宋_GB2312"/>
                <w:szCs w:val="24"/>
              </w:rPr>
            </w:pPr>
          </w:p>
        </w:tc>
        <w:tc>
          <w:tcPr>
            <w:tcW w:w="2160" w:type="dxa"/>
            <w:vAlign w:val="center"/>
          </w:tcPr>
          <w:p>
            <w:pPr>
              <w:pStyle w:val="11"/>
              <w:spacing w:line="400" w:lineRule="atLeast"/>
              <w:jc w:val="center"/>
              <w:rPr>
                <w:rFonts w:ascii="仿宋_GB2312" w:eastAsia="仿宋_GB2312"/>
                <w:szCs w:val="24"/>
              </w:rPr>
            </w:pPr>
          </w:p>
        </w:tc>
        <w:tc>
          <w:tcPr>
            <w:tcW w:w="2160" w:type="dxa"/>
            <w:vAlign w:val="center"/>
          </w:tcPr>
          <w:p>
            <w:pPr>
              <w:pStyle w:val="11"/>
              <w:spacing w:line="400" w:lineRule="atLeast"/>
              <w:jc w:val="center"/>
              <w:rPr>
                <w:rFonts w:ascii="仿宋_GB2312" w:eastAsia="仿宋_GB2312"/>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0" w:hRule="atLeast"/>
        </w:trPr>
        <w:tc>
          <w:tcPr>
            <w:tcW w:w="1980" w:type="dxa"/>
            <w:vAlign w:val="center"/>
          </w:tcPr>
          <w:p>
            <w:pPr>
              <w:pStyle w:val="11"/>
              <w:spacing w:line="400" w:lineRule="atLeast"/>
              <w:jc w:val="center"/>
              <w:rPr>
                <w:rFonts w:ascii="仿宋_GB2312" w:eastAsia="仿宋_GB2312"/>
                <w:szCs w:val="24"/>
              </w:rPr>
            </w:pPr>
          </w:p>
        </w:tc>
        <w:tc>
          <w:tcPr>
            <w:tcW w:w="2340" w:type="dxa"/>
            <w:vAlign w:val="center"/>
          </w:tcPr>
          <w:p>
            <w:pPr>
              <w:pStyle w:val="11"/>
              <w:spacing w:line="400" w:lineRule="atLeast"/>
              <w:jc w:val="center"/>
              <w:rPr>
                <w:rFonts w:ascii="仿宋_GB2312" w:eastAsia="仿宋_GB2312"/>
                <w:szCs w:val="24"/>
              </w:rPr>
            </w:pPr>
          </w:p>
        </w:tc>
        <w:tc>
          <w:tcPr>
            <w:tcW w:w="2160" w:type="dxa"/>
            <w:vAlign w:val="center"/>
          </w:tcPr>
          <w:p>
            <w:pPr>
              <w:pStyle w:val="11"/>
              <w:spacing w:line="400" w:lineRule="atLeast"/>
              <w:jc w:val="center"/>
              <w:rPr>
                <w:rFonts w:ascii="仿宋_GB2312" w:eastAsia="仿宋_GB2312"/>
                <w:szCs w:val="24"/>
              </w:rPr>
            </w:pPr>
          </w:p>
        </w:tc>
        <w:tc>
          <w:tcPr>
            <w:tcW w:w="2160" w:type="dxa"/>
            <w:vAlign w:val="center"/>
          </w:tcPr>
          <w:p>
            <w:pPr>
              <w:pStyle w:val="11"/>
              <w:spacing w:line="400" w:lineRule="atLeast"/>
              <w:jc w:val="center"/>
              <w:rPr>
                <w:rFonts w:ascii="仿宋_GB2312" w:eastAsia="仿宋_GB2312"/>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0" w:hRule="atLeast"/>
        </w:trPr>
        <w:tc>
          <w:tcPr>
            <w:tcW w:w="1980" w:type="dxa"/>
            <w:vAlign w:val="center"/>
          </w:tcPr>
          <w:p>
            <w:pPr>
              <w:pStyle w:val="11"/>
              <w:spacing w:line="400" w:lineRule="atLeast"/>
              <w:jc w:val="center"/>
              <w:rPr>
                <w:rFonts w:ascii="仿宋_GB2312" w:eastAsia="仿宋_GB2312"/>
                <w:szCs w:val="24"/>
              </w:rPr>
            </w:pPr>
          </w:p>
        </w:tc>
        <w:tc>
          <w:tcPr>
            <w:tcW w:w="2340" w:type="dxa"/>
            <w:vAlign w:val="center"/>
          </w:tcPr>
          <w:p>
            <w:pPr>
              <w:pStyle w:val="11"/>
              <w:spacing w:line="400" w:lineRule="atLeast"/>
              <w:jc w:val="center"/>
              <w:rPr>
                <w:rFonts w:ascii="仿宋_GB2312" w:eastAsia="仿宋_GB2312"/>
                <w:szCs w:val="24"/>
              </w:rPr>
            </w:pPr>
          </w:p>
        </w:tc>
        <w:tc>
          <w:tcPr>
            <w:tcW w:w="2160" w:type="dxa"/>
            <w:vAlign w:val="center"/>
          </w:tcPr>
          <w:p>
            <w:pPr>
              <w:pStyle w:val="11"/>
              <w:spacing w:line="400" w:lineRule="atLeast"/>
              <w:jc w:val="center"/>
              <w:rPr>
                <w:rFonts w:ascii="仿宋_GB2312" w:eastAsia="仿宋_GB2312"/>
                <w:szCs w:val="24"/>
              </w:rPr>
            </w:pPr>
          </w:p>
        </w:tc>
        <w:tc>
          <w:tcPr>
            <w:tcW w:w="2160" w:type="dxa"/>
            <w:vAlign w:val="center"/>
          </w:tcPr>
          <w:p>
            <w:pPr>
              <w:pStyle w:val="11"/>
              <w:spacing w:line="400" w:lineRule="atLeast"/>
              <w:jc w:val="center"/>
              <w:rPr>
                <w:rFonts w:ascii="仿宋_GB2312" w:eastAsia="仿宋_GB2312"/>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0" w:hRule="atLeast"/>
        </w:trPr>
        <w:tc>
          <w:tcPr>
            <w:tcW w:w="1980" w:type="dxa"/>
            <w:vAlign w:val="center"/>
          </w:tcPr>
          <w:p>
            <w:pPr>
              <w:pStyle w:val="11"/>
              <w:spacing w:line="400" w:lineRule="atLeast"/>
              <w:jc w:val="center"/>
              <w:rPr>
                <w:rFonts w:ascii="仿宋_GB2312" w:eastAsia="仿宋_GB2312"/>
                <w:szCs w:val="24"/>
              </w:rPr>
            </w:pPr>
          </w:p>
        </w:tc>
        <w:tc>
          <w:tcPr>
            <w:tcW w:w="2340" w:type="dxa"/>
            <w:vAlign w:val="center"/>
          </w:tcPr>
          <w:p>
            <w:pPr>
              <w:pStyle w:val="11"/>
              <w:spacing w:line="400" w:lineRule="atLeast"/>
              <w:jc w:val="center"/>
              <w:rPr>
                <w:rFonts w:ascii="仿宋_GB2312" w:eastAsia="仿宋_GB2312"/>
                <w:szCs w:val="24"/>
              </w:rPr>
            </w:pPr>
          </w:p>
        </w:tc>
        <w:tc>
          <w:tcPr>
            <w:tcW w:w="2160" w:type="dxa"/>
            <w:vAlign w:val="center"/>
          </w:tcPr>
          <w:p>
            <w:pPr>
              <w:pStyle w:val="11"/>
              <w:spacing w:line="400" w:lineRule="atLeast"/>
              <w:jc w:val="center"/>
              <w:rPr>
                <w:rFonts w:ascii="仿宋_GB2312" w:eastAsia="仿宋_GB2312"/>
                <w:szCs w:val="24"/>
              </w:rPr>
            </w:pPr>
          </w:p>
        </w:tc>
        <w:tc>
          <w:tcPr>
            <w:tcW w:w="2160" w:type="dxa"/>
            <w:vAlign w:val="center"/>
          </w:tcPr>
          <w:p>
            <w:pPr>
              <w:pStyle w:val="11"/>
              <w:spacing w:line="400" w:lineRule="atLeast"/>
              <w:jc w:val="center"/>
              <w:rPr>
                <w:rFonts w:ascii="仿宋_GB2312" w:eastAsia="仿宋_GB2312"/>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0" w:hRule="atLeast"/>
        </w:trPr>
        <w:tc>
          <w:tcPr>
            <w:tcW w:w="1980" w:type="dxa"/>
            <w:vAlign w:val="center"/>
          </w:tcPr>
          <w:p>
            <w:pPr>
              <w:pStyle w:val="11"/>
              <w:spacing w:line="400" w:lineRule="atLeast"/>
              <w:jc w:val="center"/>
              <w:rPr>
                <w:rFonts w:ascii="仿宋_GB2312" w:eastAsia="仿宋_GB2312"/>
                <w:szCs w:val="24"/>
              </w:rPr>
            </w:pPr>
          </w:p>
        </w:tc>
        <w:tc>
          <w:tcPr>
            <w:tcW w:w="2340" w:type="dxa"/>
            <w:vAlign w:val="center"/>
          </w:tcPr>
          <w:p>
            <w:pPr>
              <w:pStyle w:val="11"/>
              <w:spacing w:line="400" w:lineRule="atLeast"/>
              <w:jc w:val="center"/>
              <w:rPr>
                <w:rFonts w:ascii="仿宋_GB2312" w:eastAsia="仿宋_GB2312"/>
                <w:szCs w:val="24"/>
              </w:rPr>
            </w:pPr>
          </w:p>
        </w:tc>
        <w:tc>
          <w:tcPr>
            <w:tcW w:w="2160" w:type="dxa"/>
            <w:vAlign w:val="center"/>
          </w:tcPr>
          <w:p>
            <w:pPr>
              <w:pStyle w:val="11"/>
              <w:spacing w:line="400" w:lineRule="atLeast"/>
              <w:jc w:val="center"/>
              <w:rPr>
                <w:rFonts w:ascii="仿宋_GB2312" w:eastAsia="仿宋_GB2312"/>
                <w:szCs w:val="24"/>
              </w:rPr>
            </w:pPr>
          </w:p>
        </w:tc>
        <w:tc>
          <w:tcPr>
            <w:tcW w:w="2160" w:type="dxa"/>
            <w:vAlign w:val="center"/>
          </w:tcPr>
          <w:p>
            <w:pPr>
              <w:pStyle w:val="11"/>
              <w:spacing w:line="400" w:lineRule="atLeast"/>
              <w:jc w:val="center"/>
              <w:rPr>
                <w:rFonts w:ascii="仿宋_GB2312" w:eastAsia="仿宋_GB2312"/>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0" w:hRule="atLeast"/>
        </w:trPr>
        <w:tc>
          <w:tcPr>
            <w:tcW w:w="1980" w:type="dxa"/>
            <w:vAlign w:val="center"/>
          </w:tcPr>
          <w:p>
            <w:pPr>
              <w:pStyle w:val="11"/>
              <w:spacing w:line="400" w:lineRule="atLeast"/>
              <w:jc w:val="center"/>
              <w:rPr>
                <w:rFonts w:ascii="仿宋_GB2312" w:eastAsia="仿宋_GB2312"/>
                <w:szCs w:val="24"/>
              </w:rPr>
            </w:pPr>
          </w:p>
        </w:tc>
        <w:tc>
          <w:tcPr>
            <w:tcW w:w="2340" w:type="dxa"/>
            <w:vAlign w:val="center"/>
          </w:tcPr>
          <w:p>
            <w:pPr>
              <w:pStyle w:val="11"/>
              <w:spacing w:line="400" w:lineRule="atLeast"/>
              <w:jc w:val="center"/>
              <w:rPr>
                <w:rFonts w:ascii="仿宋_GB2312" w:eastAsia="仿宋_GB2312"/>
                <w:szCs w:val="24"/>
              </w:rPr>
            </w:pPr>
          </w:p>
        </w:tc>
        <w:tc>
          <w:tcPr>
            <w:tcW w:w="2160" w:type="dxa"/>
            <w:vAlign w:val="center"/>
          </w:tcPr>
          <w:p>
            <w:pPr>
              <w:pStyle w:val="11"/>
              <w:spacing w:line="400" w:lineRule="atLeast"/>
              <w:jc w:val="center"/>
              <w:rPr>
                <w:rFonts w:ascii="仿宋_GB2312" w:eastAsia="仿宋_GB2312"/>
                <w:szCs w:val="24"/>
              </w:rPr>
            </w:pPr>
          </w:p>
        </w:tc>
        <w:tc>
          <w:tcPr>
            <w:tcW w:w="2160" w:type="dxa"/>
            <w:vAlign w:val="center"/>
          </w:tcPr>
          <w:p>
            <w:pPr>
              <w:pStyle w:val="11"/>
              <w:spacing w:line="400" w:lineRule="atLeast"/>
              <w:jc w:val="center"/>
              <w:rPr>
                <w:rFonts w:ascii="仿宋_GB2312" w:eastAsia="仿宋_GB2312"/>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0" w:hRule="atLeast"/>
        </w:trPr>
        <w:tc>
          <w:tcPr>
            <w:tcW w:w="1980" w:type="dxa"/>
            <w:vAlign w:val="center"/>
          </w:tcPr>
          <w:p>
            <w:pPr>
              <w:pStyle w:val="11"/>
              <w:spacing w:line="400" w:lineRule="atLeast"/>
              <w:jc w:val="center"/>
              <w:rPr>
                <w:rFonts w:ascii="仿宋_GB2312" w:eastAsia="仿宋_GB2312"/>
                <w:szCs w:val="24"/>
              </w:rPr>
            </w:pPr>
          </w:p>
        </w:tc>
        <w:tc>
          <w:tcPr>
            <w:tcW w:w="2340" w:type="dxa"/>
            <w:vAlign w:val="center"/>
          </w:tcPr>
          <w:p>
            <w:pPr>
              <w:pStyle w:val="11"/>
              <w:spacing w:line="400" w:lineRule="atLeast"/>
              <w:jc w:val="center"/>
              <w:rPr>
                <w:rFonts w:ascii="仿宋_GB2312" w:eastAsia="仿宋_GB2312"/>
                <w:szCs w:val="24"/>
              </w:rPr>
            </w:pPr>
          </w:p>
        </w:tc>
        <w:tc>
          <w:tcPr>
            <w:tcW w:w="2160" w:type="dxa"/>
            <w:vAlign w:val="center"/>
          </w:tcPr>
          <w:p>
            <w:pPr>
              <w:pStyle w:val="11"/>
              <w:spacing w:line="400" w:lineRule="atLeast"/>
              <w:jc w:val="center"/>
              <w:rPr>
                <w:rFonts w:ascii="仿宋_GB2312" w:eastAsia="仿宋_GB2312"/>
                <w:szCs w:val="24"/>
              </w:rPr>
            </w:pPr>
          </w:p>
        </w:tc>
        <w:tc>
          <w:tcPr>
            <w:tcW w:w="2160" w:type="dxa"/>
            <w:vAlign w:val="center"/>
          </w:tcPr>
          <w:p>
            <w:pPr>
              <w:pStyle w:val="11"/>
              <w:spacing w:line="400" w:lineRule="atLeast"/>
              <w:jc w:val="center"/>
              <w:rPr>
                <w:rFonts w:ascii="仿宋_GB2312" w:eastAsia="仿宋_GB2312"/>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0" w:hRule="atLeast"/>
        </w:trPr>
        <w:tc>
          <w:tcPr>
            <w:tcW w:w="1980" w:type="dxa"/>
            <w:vAlign w:val="center"/>
          </w:tcPr>
          <w:p>
            <w:pPr>
              <w:pStyle w:val="11"/>
              <w:spacing w:line="400" w:lineRule="atLeast"/>
              <w:jc w:val="center"/>
              <w:rPr>
                <w:rFonts w:ascii="仿宋_GB2312" w:eastAsia="仿宋_GB2312"/>
                <w:szCs w:val="24"/>
              </w:rPr>
            </w:pPr>
          </w:p>
        </w:tc>
        <w:tc>
          <w:tcPr>
            <w:tcW w:w="2340" w:type="dxa"/>
            <w:vAlign w:val="center"/>
          </w:tcPr>
          <w:p>
            <w:pPr>
              <w:pStyle w:val="11"/>
              <w:spacing w:line="400" w:lineRule="atLeast"/>
              <w:jc w:val="center"/>
              <w:rPr>
                <w:rFonts w:ascii="仿宋_GB2312" w:eastAsia="仿宋_GB2312"/>
                <w:szCs w:val="24"/>
              </w:rPr>
            </w:pPr>
          </w:p>
        </w:tc>
        <w:tc>
          <w:tcPr>
            <w:tcW w:w="2160" w:type="dxa"/>
            <w:vAlign w:val="center"/>
          </w:tcPr>
          <w:p>
            <w:pPr>
              <w:pStyle w:val="11"/>
              <w:spacing w:line="400" w:lineRule="atLeast"/>
              <w:jc w:val="center"/>
              <w:rPr>
                <w:rFonts w:ascii="仿宋_GB2312" w:eastAsia="仿宋_GB2312"/>
                <w:szCs w:val="24"/>
              </w:rPr>
            </w:pPr>
          </w:p>
        </w:tc>
        <w:tc>
          <w:tcPr>
            <w:tcW w:w="2160" w:type="dxa"/>
            <w:vAlign w:val="center"/>
          </w:tcPr>
          <w:p>
            <w:pPr>
              <w:pStyle w:val="11"/>
              <w:spacing w:line="400" w:lineRule="atLeast"/>
              <w:jc w:val="center"/>
              <w:rPr>
                <w:rFonts w:ascii="仿宋_GB2312" w:eastAsia="仿宋_GB2312"/>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0" w:hRule="atLeast"/>
        </w:trPr>
        <w:tc>
          <w:tcPr>
            <w:tcW w:w="1980" w:type="dxa"/>
            <w:vAlign w:val="center"/>
          </w:tcPr>
          <w:p>
            <w:pPr>
              <w:pStyle w:val="11"/>
              <w:spacing w:line="400" w:lineRule="atLeast"/>
              <w:jc w:val="center"/>
              <w:rPr>
                <w:rFonts w:ascii="仿宋_GB2312" w:eastAsia="仿宋_GB2312"/>
                <w:szCs w:val="24"/>
              </w:rPr>
            </w:pPr>
          </w:p>
        </w:tc>
        <w:tc>
          <w:tcPr>
            <w:tcW w:w="2340" w:type="dxa"/>
            <w:vAlign w:val="center"/>
          </w:tcPr>
          <w:p>
            <w:pPr>
              <w:pStyle w:val="11"/>
              <w:spacing w:line="400" w:lineRule="atLeast"/>
              <w:jc w:val="center"/>
              <w:rPr>
                <w:rFonts w:ascii="仿宋_GB2312" w:eastAsia="仿宋_GB2312"/>
                <w:szCs w:val="24"/>
              </w:rPr>
            </w:pPr>
          </w:p>
        </w:tc>
        <w:tc>
          <w:tcPr>
            <w:tcW w:w="2160" w:type="dxa"/>
            <w:vAlign w:val="center"/>
          </w:tcPr>
          <w:p>
            <w:pPr>
              <w:pStyle w:val="11"/>
              <w:spacing w:line="400" w:lineRule="atLeast"/>
              <w:jc w:val="center"/>
              <w:rPr>
                <w:rFonts w:ascii="仿宋_GB2312" w:eastAsia="仿宋_GB2312"/>
                <w:szCs w:val="24"/>
              </w:rPr>
            </w:pPr>
          </w:p>
        </w:tc>
        <w:tc>
          <w:tcPr>
            <w:tcW w:w="2160" w:type="dxa"/>
            <w:vAlign w:val="center"/>
          </w:tcPr>
          <w:p>
            <w:pPr>
              <w:pStyle w:val="11"/>
              <w:spacing w:line="400" w:lineRule="atLeast"/>
              <w:jc w:val="center"/>
              <w:rPr>
                <w:rFonts w:ascii="仿宋_GB2312" w:eastAsia="仿宋_GB2312"/>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0" w:hRule="atLeast"/>
        </w:trPr>
        <w:tc>
          <w:tcPr>
            <w:tcW w:w="1980" w:type="dxa"/>
            <w:vAlign w:val="center"/>
          </w:tcPr>
          <w:p>
            <w:pPr>
              <w:pStyle w:val="11"/>
              <w:spacing w:line="400" w:lineRule="atLeast"/>
              <w:jc w:val="center"/>
              <w:rPr>
                <w:rFonts w:ascii="仿宋_GB2312" w:eastAsia="仿宋_GB2312"/>
                <w:szCs w:val="24"/>
              </w:rPr>
            </w:pPr>
          </w:p>
        </w:tc>
        <w:tc>
          <w:tcPr>
            <w:tcW w:w="2340" w:type="dxa"/>
            <w:vAlign w:val="center"/>
          </w:tcPr>
          <w:p>
            <w:pPr>
              <w:pStyle w:val="11"/>
              <w:spacing w:line="400" w:lineRule="atLeast"/>
              <w:jc w:val="center"/>
              <w:rPr>
                <w:rFonts w:ascii="仿宋_GB2312" w:eastAsia="仿宋_GB2312"/>
                <w:szCs w:val="24"/>
              </w:rPr>
            </w:pPr>
          </w:p>
        </w:tc>
        <w:tc>
          <w:tcPr>
            <w:tcW w:w="2160" w:type="dxa"/>
            <w:vAlign w:val="center"/>
          </w:tcPr>
          <w:p>
            <w:pPr>
              <w:pStyle w:val="11"/>
              <w:spacing w:line="400" w:lineRule="atLeast"/>
              <w:jc w:val="center"/>
              <w:rPr>
                <w:rFonts w:ascii="仿宋_GB2312" w:eastAsia="仿宋_GB2312"/>
                <w:szCs w:val="24"/>
              </w:rPr>
            </w:pPr>
          </w:p>
        </w:tc>
        <w:tc>
          <w:tcPr>
            <w:tcW w:w="2160" w:type="dxa"/>
            <w:vAlign w:val="center"/>
          </w:tcPr>
          <w:p>
            <w:pPr>
              <w:pStyle w:val="11"/>
              <w:spacing w:line="400" w:lineRule="atLeast"/>
              <w:jc w:val="center"/>
              <w:rPr>
                <w:rFonts w:ascii="仿宋_GB2312" w:eastAsia="仿宋_GB2312"/>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0" w:hRule="atLeast"/>
        </w:trPr>
        <w:tc>
          <w:tcPr>
            <w:tcW w:w="1980" w:type="dxa"/>
            <w:vAlign w:val="center"/>
          </w:tcPr>
          <w:p>
            <w:pPr>
              <w:pStyle w:val="11"/>
              <w:spacing w:line="400" w:lineRule="atLeast"/>
              <w:jc w:val="center"/>
              <w:rPr>
                <w:rFonts w:ascii="仿宋_GB2312" w:eastAsia="仿宋_GB2312"/>
                <w:szCs w:val="24"/>
              </w:rPr>
            </w:pPr>
          </w:p>
        </w:tc>
        <w:tc>
          <w:tcPr>
            <w:tcW w:w="2340" w:type="dxa"/>
            <w:vAlign w:val="center"/>
          </w:tcPr>
          <w:p>
            <w:pPr>
              <w:pStyle w:val="11"/>
              <w:spacing w:line="400" w:lineRule="atLeast"/>
              <w:jc w:val="center"/>
              <w:rPr>
                <w:rFonts w:ascii="仿宋_GB2312" w:eastAsia="仿宋_GB2312"/>
                <w:szCs w:val="24"/>
              </w:rPr>
            </w:pPr>
          </w:p>
        </w:tc>
        <w:tc>
          <w:tcPr>
            <w:tcW w:w="2160" w:type="dxa"/>
            <w:vAlign w:val="center"/>
          </w:tcPr>
          <w:p>
            <w:pPr>
              <w:pStyle w:val="11"/>
              <w:spacing w:line="400" w:lineRule="atLeast"/>
              <w:jc w:val="center"/>
              <w:rPr>
                <w:rFonts w:ascii="仿宋_GB2312" w:eastAsia="仿宋_GB2312"/>
                <w:szCs w:val="24"/>
              </w:rPr>
            </w:pPr>
          </w:p>
        </w:tc>
        <w:tc>
          <w:tcPr>
            <w:tcW w:w="2160" w:type="dxa"/>
            <w:vAlign w:val="center"/>
          </w:tcPr>
          <w:p>
            <w:pPr>
              <w:pStyle w:val="11"/>
              <w:spacing w:line="400" w:lineRule="atLeast"/>
              <w:jc w:val="center"/>
              <w:rPr>
                <w:rFonts w:ascii="仿宋_GB2312" w:eastAsia="仿宋_GB2312"/>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0" w:hRule="atLeast"/>
        </w:trPr>
        <w:tc>
          <w:tcPr>
            <w:tcW w:w="1980" w:type="dxa"/>
            <w:vAlign w:val="center"/>
          </w:tcPr>
          <w:p>
            <w:pPr>
              <w:pStyle w:val="11"/>
              <w:spacing w:line="400" w:lineRule="atLeast"/>
              <w:jc w:val="center"/>
              <w:rPr>
                <w:rFonts w:ascii="仿宋_GB2312" w:eastAsia="仿宋_GB2312"/>
                <w:szCs w:val="24"/>
              </w:rPr>
            </w:pPr>
          </w:p>
        </w:tc>
        <w:tc>
          <w:tcPr>
            <w:tcW w:w="2340" w:type="dxa"/>
            <w:vAlign w:val="center"/>
          </w:tcPr>
          <w:p>
            <w:pPr>
              <w:pStyle w:val="11"/>
              <w:spacing w:line="400" w:lineRule="atLeast"/>
              <w:jc w:val="center"/>
              <w:rPr>
                <w:rFonts w:ascii="仿宋_GB2312" w:eastAsia="仿宋_GB2312"/>
                <w:szCs w:val="24"/>
              </w:rPr>
            </w:pPr>
          </w:p>
        </w:tc>
        <w:tc>
          <w:tcPr>
            <w:tcW w:w="2160" w:type="dxa"/>
            <w:vAlign w:val="center"/>
          </w:tcPr>
          <w:p>
            <w:pPr>
              <w:pStyle w:val="11"/>
              <w:spacing w:line="400" w:lineRule="atLeast"/>
              <w:jc w:val="center"/>
              <w:rPr>
                <w:rFonts w:ascii="仿宋_GB2312" w:eastAsia="仿宋_GB2312"/>
                <w:szCs w:val="24"/>
              </w:rPr>
            </w:pPr>
          </w:p>
        </w:tc>
        <w:tc>
          <w:tcPr>
            <w:tcW w:w="2160" w:type="dxa"/>
            <w:vAlign w:val="center"/>
          </w:tcPr>
          <w:p>
            <w:pPr>
              <w:pStyle w:val="11"/>
              <w:spacing w:line="400" w:lineRule="atLeast"/>
              <w:jc w:val="center"/>
              <w:rPr>
                <w:rFonts w:ascii="仿宋_GB2312" w:eastAsia="仿宋_GB2312"/>
                <w:szCs w:val="24"/>
              </w:rPr>
            </w:pPr>
          </w:p>
        </w:tc>
      </w:tr>
    </w:tbl>
    <w:p>
      <w:pPr>
        <w:pStyle w:val="11"/>
        <w:spacing w:line="400" w:lineRule="atLeast"/>
        <w:rPr>
          <w:rFonts w:ascii="宋体" w:hAnsi="宋体"/>
          <w:szCs w:val="24"/>
        </w:rPr>
      </w:pPr>
      <w:r>
        <w:rPr>
          <w:rFonts w:hint="eastAsia" w:ascii="宋体" w:hAnsi="宋体"/>
          <w:szCs w:val="24"/>
        </w:rPr>
        <w:t>注：</w:t>
      </w:r>
    </w:p>
    <w:p>
      <w:pPr>
        <w:pStyle w:val="11"/>
        <w:spacing w:line="400" w:lineRule="atLeast"/>
        <w:rPr>
          <w:rFonts w:ascii="宋体" w:hAnsi="宋体"/>
          <w:szCs w:val="24"/>
        </w:rPr>
      </w:pPr>
      <w:r>
        <w:rPr>
          <w:rFonts w:hint="eastAsia" w:ascii="宋体" w:hAnsi="宋体"/>
          <w:szCs w:val="24"/>
        </w:rPr>
        <w:t>1、此表须与招标文件“采购需求”相应标项内的所有技术规格（含技术、功能、配置、附加必备条件、售后服务、安装、验收、付款方式等）相比较且一一对应真实逐条填列，并在“偏离情况”栏注明“正偏离”、“负偏离”或“无偏离”。</w:t>
      </w:r>
    </w:p>
    <w:p>
      <w:pPr>
        <w:pStyle w:val="11"/>
        <w:spacing w:line="400" w:lineRule="atLeast"/>
        <w:rPr>
          <w:rFonts w:ascii="宋体" w:hAnsi="宋体"/>
          <w:szCs w:val="24"/>
        </w:rPr>
      </w:pPr>
      <w:r>
        <w:rPr>
          <w:rFonts w:hint="eastAsia" w:ascii="宋体" w:hAnsi="宋体"/>
          <w:szCs w:val="24"/>
        </w:rPr>
        <w:t>2、投标人递交的技术规格书中必须真实逐条列明，否则由投标人自行承担相关风险。</w:t>
      </w:r>
    </w:p>
    <w:p>
      <w:pPr>
        <w:pStyle w:val="11"/>
        <w:spacing w:line="400" w:lineRule="atLeast"/>
        <w:rPr>
          <w:rFonts w:ascii="宋体" w:hAnsi="宋体"/>
          <w:szCs w:val="24"/>
        </w:rPr>
      </w:pPr>
      <w:r>
        <w:rPr>
          <w:rFonts w:hint="eastAsia" w:ascii="宋体" w:hAnsi="宋体"/>
          <w:szCs w:val="24"/>
        </w:rPr>
        <w:t>3、此表在不改变格式的情况下可自行制作。</w:t>
      </w:r>
    </w:p>
    <w:p>
      <w:pPr>
        <w:pStyle w:val="11"/>
        <w:spacing w:line="400" w:lineRule="atLeast"/>
        <w:rPr>
          <w:rFonts w:ascii="宋体" w:hAnsi="宋体"/>
          <w:szCs w:val="24"/>
        </w:rPr>
      </w:pPr>
      <w:r>
        <w:rPr>
          <w:rFonts w:hint="eastAsia" w:ascii="宋体" w:hAnsi="宋体"/>
          <w:szCs w:val="24"/>
        </w:rPr>
        <w:t>4、此表置于技术标书中。</w:t>
      </w:r>
    </w:p>
    <w:p>
      <w:pPr>
        <w:rPr>
          <w:sz w:val="28"/>
        </w:rPr>
      </w:pPr>
    </w:p>
    <w:p>
      <w:pPr>
        <w:rPr>
          <w:sz w:val="28"/>
        </w:rPr>
      </w:pPr>
      <w:r>
        <w:rPr>
          <w:rFonts w:hint="eastAsia"/>
          <w:sz w:val="28"/>
        </w:rPr>
        <w:t>投标人（盖章）：</w:t>
      </w:r>
      <w:r>
        <w:rPr>
          <w:sz w:val="28"/>
          <w:u w:val="single"/>
        </w:rPr>
        <w:t xml:space="preserve">                                      </w:t>
      </w:r>
      <w:r>
        <w:rPr>
          <w:sz w:val="28"/>
        </w:rPr>
        <w:t xml:space="preserve">      </w:t>
      </w:r>
    </w:p>
    <w:p>
      <w:pPr>
        <w:rPr>
          <w:sz w:val="28"/>
        </w:rPr>
      </w:pPr>
    </w:p>
    <w:p>
      <w:pPr>
        <w:spacing w:line="340" w:lineRule="exact"/>
        <w:rPr>
          <w:sz w:val="28"/>
        </w:rPr>
      </w:pPr>
    </w:p>
    <w:p>
      <w:pPr>
        <w:spacing w:line="340" w:lineRule="exact"/>
      </w:pPr>
    </w:p>
    <w:p>
      <w:pPr>
        <w:spacing w:line="340" w:lineRule="exact"/>
      </w:pPr>
      <w:r>
        <w:rPr>
          <w:rFonts w:hint="eastAsia"/>
          <w:sz w:val="28"/>
        </w:rPr>
        <w:t>日      期：     年    月    日</w:t>
      </w:r>
    </w:p>
    <w:p>
      <w:r>
        <w:rPr>
          <w:sz w:val="28"/>
        </w:rPr>
        <w:t xml:space="preserve">             </w:t>
      </w:r>
    </w:p>
    <w:p/>
    <w:p/>
    <w:p/>
    <w:p>
      <w:pPr>
        <w:snapToGrid w:val="0"/>
        <w:spacing w:before="50" w:after="50"/>
        <w:jc w:val="center"/>
        <w:rPr>
          <w:rFonts w:ascii="仿宋" w:hAnsi="仿宋" w:eastAsia="仿宋"/>
          <w:b/>
          <w:sz w:val="36"/>
          <w:szCs w:val="36"/>
        </w:rPr>
      </w:pPr>
      <w:r>
        <w:rPr>
          <w:rFonts w:ascii="仿宋" w:hAnsi="仿宋" w:eastAsia="仿宋"/>
          <w:b/>
          <w:sz w:val="36"/>
          <w:szCs w:val="36"/>
        </w:rPr>
        <w:br w:type="page"/>
      </w:r>
      <w:r>
        <w:rPr>
          <w:rFonts w:hint="eastAsia" w:ascii="仿宋" w:hAnsi="仿宋" w:eastAsia="仿宋"/>
          <w:b/>
          <w:sz w:val="36"/>
          <w:szCs w:val="36"/>
        </w:rPr>
        <w:t>八、</w:t>
      </w:r>
      <w:r>
        <w:rPr>
          <w:rFonts w:hint="eastAsia" w:ascii="黑体" w:hAnsi="黑体" w:eastAsia="黑体"/>
          <w:sz w:val="36"/>
          <w:szCs w:val="32"/>
        </w:rPr>
        <w:t>中小企业声明函</w:t>
      </w:r>
    </w:p>
    <w:p>
      <w:pPr>
        <w:jc w:val="center"/>
        <w:rPr>
          <w:rFonts w:ascii="仿宋_GB2312" w:hAnsi="仿宋_GB2312" w:eastAsia="仿宋_GB2312" w:cs="仿宋_GB2312"/>
          <w:b/>
          <w:color w:val="FF0000"/>
          <w:sz w:val="32"/>
        </w:rPr>
      </w:pPr>
      <w:r>
        <w:rPr>
          <w:rFonts w:hint="eastAsia" w:ascii="仿宋_GB2312" w:hAnsi="仿宋_GB2312" w:eastAsia="仿宋_GB2312" w:cs="仿宋_GB2312"/>
          <w:b/>
          <w:color w:val="FF0000"/>
          <w:sz w:val="32"/>
        </w:rPr>
        <w:t>中小企业声明函（货物）</w:t>
      </w:r>
    </w:p>
    <w:p>
      <w:pPr>
        <w:spacing w:line="340" w:lineRule="exact"/>
        <w:ind w:firstLine="560" w:firstLineChars="200"/>
        <w:jc w:val="left"/>
        <w:rPr>
          <w:rFonts w:ascii="仿宋_GB2312" w:hAnsi="仿宋_GB2312" w:eastAsia="仿宋_GB2312" w:cs="仿宋_GB2312"/>
          <w:color w:val="FF0000"/>
          <w:sz w:val="28"/>
          <w:szCs w:val="28"/>
        </w:rPr>
      </w:pPr>
      <w:r>
        <w:rPr>
          <w:rFonts w:hint="eastAsia" w:ascii="仿宋_GB2312" w:hAnsi="仿宋_GB2312" w:eastAsia="仿宋_GB2312" w:cs="仿宋_GB2312"/>
          <w:color w:val="FF0000"/>
          <w:sz w:val="28"/>
          <w:szCs w:val="28"/>
        </w:rPr>
        <w:t>本公司（联合体）郑重声明，根据《政府采购促进中小企业发展管理办法》 （财库﹝2020﹞46 号）的规定，本公司（联合体）参加</w:t>
      </w:r>
      <w:r>
        <w:rPr>
          <w:rFonts w:hint="eastAsia" w:ascii="仿宋_GB2312" w:hAnsi="仿宋_GB2312" w:eastAsia="仿宋_GB2312" w:cs="仿宋_GB2312"/>
          <w:color w:val="FF0000"/>
          <w:sz w:val="28"/>
          <w:szCs w:val="28"/>
          <w:u w:val="single"/>
        </w:rPr>
        <w:t xml:space="preserve"> （单位名称） </w:t>
      </w:r>
      <w:r>
        <w:rPr>
          <w:rFonts w:hint="eastAsia" w:ascii="仿宋_GB2312" w:hAnsi="仿宋_GB2312" w:eastAsia="仿宋_GB2312" w:cs="仿宋_GB2312"/>
          <w:color w:val="FF0000"/>
          <w:sz w:val="28"/>
          <w:szCs w:val="28"/>
        </w:rPr>
        <w:t>的</w:t>
      </w:r>
      <w:r>
        <w:rPr>
          <w:rFonts w:hint="eastAsia" w:ascii="仿宋_GB2312" w:hAnsi="仿宋_GB2312" w:eastAsia="仿宋_GB2312" w:cs="仿宋_GB2312"/>
          <w:color w:val="FF0000"/>
          <w:sz w:val="28"/>
          <w:szCs w:val="28"/>
          <w:u w:val="single"/>
        </w:rPr>
        <w:t>（项目名称）</w:t>
      </w:r>
      <w:r>
        <w:rPr>
          <w:rFonts w:hint="eastAsia" w:ascii="仿宋_GB2312" w:hAnsi="仿宋_GB2312" w:eastAsia="仿宋_GB2312" w:cs="仿宋_GB2312"/>
          <w:color w:val="FF0000"/>
          <w:sz w:val="28"/>
          <w:szCs w:val="28"/>
        </w:rPr>
        <w:t>采购活动，提供的货物全部由符合政策要求的中小企业制造。相关企业（含联合体中的中小企业、签订分包意向协议的中小企业）的具体情况如下：</w:t>
      </w:r>
    </w:p>
    <w:p>
      <w:pPr>
        <w:spacing w:line="340" w:lineRule="exact"/>
        <w:ind w:firstLine="560" w:firstLineChars="200"/>
        <w:jc w:val="left"/>
        <w:rPr>
          <w:rFonts w:ascii="仿宋_GB2312" w:hAnsi="仿宋_GB2312" w:eastAsia="仿宋_GB2312" w:cs="仿宋_GB2312"/>
          <w:color w:val="FF0000"/>
          <w:sz w:val="28"/>
          <w:szCs w:val="28"/>
        </w:rPr>
      </w:pPr>
      <w:r>
        <w:rPr>
          <w:rFonts w:hint="eastAsia" w:ascii="仿宋_GB2312" w:hAnsi="仿宋_GB2312" w:eastAsia="仿宋_GB2312" w:cs="仿宋_GB2312"/>
          <w:color w:val="FF0000"/>
          <w:sz w:val="28"/>
          <w:szCs w:val="28"/>
        </w:rPr>
        <w:t>1.</w:t>
      </w:r>
      <w:r>
        <w:rPr>
          <w:rFonts w:hint="eastAsia" w:ascii="仿宋_GB2312" w:hAnsi="仿宋_GB2312" w:eastAsia="仿宋_GB2312" w:cs="仿宋_GB2312"/>
          <w:color w:val="FF0000"/>
          <w:sz w:val="28"/>
          <w:szCs w:val="28"/>
          <w:u w:val="single"/>
        </w:rPr>
        <w:t>（标的名称）</w:t>
      </w:r>
      <w:r>
        <w:rPr>
          <w:rFonts w:hint="eastAsia" w:ascii="仿宋_GB2312" w:hAnsi="仿宋_GB2312" w:eastAsia="仿宋_GB2312" w:cs="仿宋_GB2312"/>
          <w:color w:val="FF0000"/>
          <w:sz w:val="28"/>
          <w:szCs w:val="28"/>
        </w:rPr>
        <w:t>，属于</w:t>
      </w:r>
      <w:r>
        <w:rPr>
          <w:rFonts w:hint="eastAsia" w:ascii="仿宋_GB2312" w:hAnsi="仿宋_GB2312" w:eastAsia="仿宋_GB2312" w:cs="仿宋_GB2312"/>
          <w:color w:val="FF0000"/>
          <w:sz w:val="28"/>
          <w:szCs w:val="28"/>
          <w:u w:val="single"/>
        </w:rPr>
        <w:t>（采购文件中明确的所属行业）</w:t>
      </w:r>
      <w:r>
        <w:rPr>
          <w:rFonts w:hint="eastAsia" w:ascii="仿宋_GB2312" w:hAnsi="仿宋_GB2312" w:eastAsia="仿宋_GB2312" w:cs="仿宋_GB2312"/>
          <w:color w:val="FF0000"/>
          <w:sz w:val="28"/>
          <w:szCs w:val="28"/>
        </w:rPr>
        <w:t>行业 ；制造商为</w:t>
      </w:r>
      <w:r>
        <w:rPr>
          <w:rFonts w:hint="eastAsia" w:ascii="仿宋_GB2312" w:hAnsi="仿宋_GB2312" w:eastAsia="仿宋_GB2312" w:cs="仿宋_GB2312"/>
          <w:color w:val="FF0000"/>
          <w:sz w:val="28"/>
          <w:szCs w:val="28"/>
          <w:u w:val="single"/>
        </w:rPr>
        <w:t xml:space="preserve">（企业名称） </w:t>
      </w:r>
      <w:r>
        <w:rPr>
          <w:rFonts w:hint="eastAsia" w:ascii="仿宋_GB2312" w:hAnsi="仿宋_GB2312" w:eastAsia="仿宋_GB2312" w:cs="仿宋_GB2312"/>
          <w:color w:val="FF0000"/>
          <w:sz w:val="28"/>
          <w:szCs w:val="28"/>
        </w:rPr>
        <w:t>，从业人员</w:t>
      </w:r>
      <w:r>
        <w:rPr>
          <w:rFonts w:hint="eastAsia" w:ascii="仿宋_GB2312" w:hAnsi="仿宋_GB2312" w:eastAsia="仿宋_GB2312" w:cs="仿宋_GB2312"/>
          <w:color w:val="FF0000"/>
          <w:sz w:val="28"/>
          <w:szCs w:val="28"/>
          <w:u w:val="single"/>
        </w:rPr>
        <w:t xml:space="preserve">   </w:t>
      </w:r>
      <w:r>
        <w:rPr>
          <w:rFonts w:hint="eastAsia" w:ascii="仿宋_GB2312" w:hAnsi="仿宋_GB2312" w:eastAsia="仿宋_GB2312" w:cs="仿宋_GB2312"/>
          <w:color w:val="FF0000"/>
          <w:sz w:val="28"/>
          <w:szCs w:val="28"/>
        </w:rPr>
        <w:t>人，营业收入为</w:t>
      </w:r>
      <w:r>
        <w:rPr>
          <w:rFonts w:hint="eastAsia" w:ascii="仿宋_GB2312" w:hAnsi="仿宋_GB2312" w:eastAsia="仿宋_GB2312" w:cs="仿宋_GB2312"/>
          <w:color w:val="FF0000"/>
          <w:sz w:val="28"/>
          <w:szCs w:val="28"/>
          <w:u w:val="single"/>
        </w:rPr>
        <w:t xml:space="preserve">  </w:t>
      </w:r>
      <w:r>
        <w:rPr>
          <w:rFonts w:hint="eastAsia" w:ascii="仿宋_GB2312" w:hAnsi="仿宋_GB2312" w:eastAsia="仿宋_GB2312" w:cs="仿宋_GB2312"/>
          <w:color w:val="FF0000"/>
          <w:sz w:val="28"/>
          <w:szCs w:val="28"/>
        </w:rPr>
        <w:t>万元，资产总额为</w:t>
      </w:r>
      <w:r>
        <w:rPr>
          <w:rFonts w:hint="eastAsia" w:ascii="仿宋_GB2312" w:hAnsi="仿宋_GB2312" w:eastAsia="仿宋_GB2312" w:cs="仿宋_GB2312"/>
          <w:color w:val="FF0000"/>
          <w:sz w:val="28"/>
          <w:szCs w:val="28"/>
          <w:u w:val="single"/>
        </w:rPr>
        <w:t xml:space="preserve">    </w:t>
      </w:r>
      <w:r>
        <w:rPr>
          <w:rFonts w:hint="eastAsia" w:ascii="仿宋_GB2312" w:hAnsi="仿宋_GB2312" w:eastAsia="仿宋_GB2312" w:cs="仿宋_GB2312"/>
          <w:color w:val="FF0000"/>
          <w:sz w:val="28"/>
          <w:szCs w:val="28"/>
        </w:rPr>
        <w:t>万元 ，属于</w:t>
      </w:r>
      <w:r>
        <w:rPr>
          <w:rFonts w:hint="eastAsia" w:ascii="仿宋_GB2312" w:hAnsi="仿宋_GB2312" w:eastAsia="仿宋_GB2312" w:cs="仿宋_GB2312"/>
          <w:color w:val="FF0000"/>
          <w:sz w:val="28"/>
          <w:szCs w:val="28"/>
          <w:u w:val="single"/>
        </w:rPr>
        <w:t xml:space="preserve"> （中型企业、小型企业、微型企业）</w:t>
      </w:r>
      <w:r>
        <w:rPr>
          <w:rFonts w:hint="eastAsia" w:ascii="仿宋_GB2312" w:hAnsi="仿宋_GB2312" w:eastAsia="仿宋_GB2312" w:cs="仿宋_GB2312"/>
          <w:color w:val="FF0000"/>
          <w:sz w:val="28"/>
          <w:szCs w:val="28"/>
        </w:rPr>
        <w:t xml:space="preserve"> ；</w:t>
      </w:r>
    </w:p>
    <w:p>
      <w:pPr>
        <w:spacing w:line="340" w:lineRule="exact"/>
        <w:ind w:firstLine="560" w:firstLineChars="200"/>
        <w:jc w:val="left"/>
        <w:rPr>
          <w:rFonts w:ascii="仿宋_GB2312" w:hAnsi="仿宋_GB2312" w:eastAsia="仿宋_GB2312" w:cs="仿宋_GB2312"/>
          <w:color w:val="FF0000"/>
          <w:sz w:val="28"/>
          <w:szCs w:val="28"/>
        </w:rPr>
      </w:pPr>
      <w:r>
        <w:rPr>
          <w:rFonts w:hint="eastAsia" w:ascii="仿宋_GB2312" w:hAnsi="仿宋_GB2312" w:eastAsia="仿宋_GB2312" w:cs="仿宋_GB2312"/>
          <w:color w:val="FF0000"/>
          <w:sz w:val="28"/>
          <w:szCs w:val="28"/>
        </w:rPr>
        <w:t>2.</w:t>
      </w:r>
      <w:r>
        <w:rPr>
          <w:rFonts w:hint="eastAsia" w:ascii="仿宋_GB2312" w:hAnsi="仿宋_GB2312" w:eastAsia="仿宋_GB2312" w:cs="仿宋_GB2312"/>
          <w:color w:val="FF0000"/>
          <w:sz w:val="28"/>
          <w:szCs w:val="28"/>
          <w:u w:val="single"/>
        </w:rPr>
        <w:t>（标的名称）</w:t>
      </w:r>
      <w:r>
        <w:rPr>
          <w:rFonts w:hint="eastAsia" w:ascii="仿宋_GB2312" w:hAnsi="仿宋_GB2312" w:eastAsia="仿宋_GB2312" w:cs="仿宋_GB2312"/>
          <w:color w:val="FF0000"/>
          <w:sz w:val="28"/>
          <w:szCs w:val="28"/>
        </w:rPr>
        <w:t>，属于</w:t>
      </w:r>
      <w:r>
        <w:rPr>
          <w:rFonts w:hint="eastAsia" w:ascii="仿宋_GB2312" w:hAnsi="仿宋_GB2312" w:eastAsia="仿宋_GB2312" w:cs="仿宋_GB2312"/>
          <w:color w:val="FF0000"/>
          <w:sz w:val="28"/>
          <w:szCs w:val="28"/>
          <w:u w:val="single"/>
        </w:rPr>
        <w:t>（采购文件中明确的所属行业）</w:t>
      </w:r>
      <w:r>
        <w:rPr>
          <w:rFonts w:hint="eastAsia" w:ascii="仿宋_GB2312" w:hAnsi="仿宋_GB2312" w:eastAsia="仿宋_GB2312" w:cs="仿宋_GB2312"/>
          <w:color w:val="FF0000"/>
          <w:sz w:val="28"/>
          <w:szCs w:val="28"/>
        </w:rPr>
        <w:t>行业 ；制造商为</w:t>
      </w:r>
      <w:r>
        <w:rPr>
          <w:rFonts w:hint="eastAsia" w:ascii="仿宋_GB2312" w:hAnsi="仿宋_GB2312" w:eastAsia="仿宋_GB2312" w:cs="仿宋_GB2312"/>
          <w:color w:val="FF0000"/>
          <w:sz w:val="28"/>
          <w:szCs w:val="28"/>
          <w:u w:val="single"/>
        </w:rPr>
        <w:t xml:space="preserve">（企业名称） </w:t>
      </w:r>
      <w:r>
        <w:rPr>
          <w:rFonts w:hint="eastAsia" w:ascii="仿宋_GB2312" w:hAnsi="仿宋_GB2312" w:eastAsia="仿宋_GB2312" w:cs="仿宋_GB2312"/>
          <w:color w:val="FF0000"/>
          <w:sz w:val="28"/>
          <w:szCs w:val="28"/>
        </w:rPr>
        <w:t>，从业人员</w:t>
      </w:r>
      <w:r>
        <w:rPr>
          <w:rFonts w:hint="eastAsia" w:ascii="仿宋_GB2312" w:hAnsi="仿宋_GB2312" w:eastAsia="仿宋_GB2312" w:cs="仿宋_GB2312"/>
          <w:color w:val="FF0000"/>
          <w:sz w:val="28"/>
          <w:szCs w:val="28"/>
          <w:u w:val="single"/>
        </w:rPr>
        <w:t xml:space="preserve">   </w:t>
      </w:r>
      <w:r>
        <w:rPr>
          <w:rFonts w:hint="eastAsia" w:ascii="仿宋_GB2312" w:hAnsi="仿宋_GB2312" w:eastAsia="仿宋_GB2312" w:cs="仿宋_GB2312"/>
          <w:color w:val="FF0000"/>
          <w:sz w:val="28"/>
          <w:szCs w:val="28"/>
        </w:rPr>
        <w:t>人，营业收入为</w:t>
      </w:r>
      <w:r>
        <w:rPr>
          <w:rFonts w:hint="eastAsia" w:ascii="仿宋_GB2312" w:hAnsi="仿宋_GB2312" w:eastAsia="仿宋_GB2312" w:cs="仿宋_GB2312"/>
          <w:color w:val="FF0000"/>
          <w:sz w:val="28"/>
          <w:szCs w:val="28"/>
          <w:u w:val="single"/>
        </w:rPr>
        <w:t xml:space="preserve">  </w:t>
      </w:r>
      <w:r>
        <w:rPr>
          <w:rFonts w:hint="eastAsia" w:ascii="仿宋_GB2312" w:hAnsi="仿宋_GB2312" w:eastAsia="仿宋_GB2312" w:cs="仿宋_GB2312"/>
          <w:color w:val="FF0000"/>
          <w:sz w:val="28"/>
          <w:szCs w:val="28"/>
        </w:rPr>
        <w:t>万元，资产总额为</w:t>
      </w:r>
      <w:r>
        <w:rPr>
          <w:rFonts w:hint="eastAsia" w:ascii="仿宋_GB2312" w:hAnsi="仿宋_GB2312" w:eastAsia="仿宋_GB2312" w:cs="仿宋_GB2312"/>
          <w:color w:val="FF0000"/>
          <w:sz w:val="28"/>
          <w:szCs w:val="28"/>
          <w:u w:val="single"/>
        </w:rPr>
        <w:t xml:space="preserve">    </w:t>
      </w:r>
      <w:r>
        <w:rPr>
          <w:rFonts w:hint="eastAsia" w:ascii="仿宋_GB2312" w:hAnsi="仿宋_GB2312" w:eastAsia="仿宋_GB2312" w:cs="仿宋_GB2312"/>
          <w:color w:val="FF0000"/>
          <w:sz w:val="28"/>
          <w:szCs w:val="28"/>
        </w:rPr>
        <w:t>万元 ，属于</w:t>
      </w:r>
      <w:r>
        <w:rPr>
          <w:rFonts w:hint="eastAsia" w:ascii="仿宋_GB2312" w:hAnsi="仿宋_GB2312" w:eastAsia="仿宋_GB2312" w:cs="仿宋_GB2312"/>
          <w:color w:val="FF0000"/>
          <w:sz w:val="28"/>
          <w:szCs w:val="28"/>
          <w:u w:val="single"/>
        </w:rPr>
        <w:t xml:space="preserve"> （中型企业、小型企业、微型企业）</w:t>
      </w:r>
      <w:r>
        <w:rPr>
          <w:rFonts w:hint="eastAsia" w:ascii="仿宋_GB2312" w:hAnsi="仿宋_GB2312" w:eastAsia="仿宋_GB2312" w:cs="仿宋_GB2312"/>
          <w:color w:val="FF0000"/>
          <w:sz w:val="28"/>
          <w:szCs w:val="28"/>
        </w:rPr>
        <w:t xml:space="preserve"> ；</w:t>
      </w:r>
    </w:p>
    <w:p>
      <w:pPr>
        <w:spacing w:line="340" w:lineRule="exact"/>
        <w:ind w:firstLine="560" w:firstLineChars="200"/>
        <w:jc w:val="left"/>
        <w:rPr>
          <w:rFonts w:ascii="仿宋_GB2312" w:hAnsi="仿宋_GB2312" w:eastAsia="仿宋_GB2312" w:cs="仿宋_GB2312"/>
          <w:color w:val="FF0000"/>
          <w:sz w:val="28"/>
          <w:szCs w:val="28"/>
        </w:rPr>
      </w:pPr>
      <w:r>
        <w:rPr>
          <w:rFonts w:hint="eastAsia" w:ascii="仿宋_GB2312" w:hAnsi="仿宋_GB2312" w:eastAsia="仿宋_GB2312" w:cs="仿宋_GB2312"/>
          <w:color w:val="FF0000"/>
          <w:sz w:val="28"/>
          <w:szCs w:val="28"/>
        </w:rPr>
        <w:t>……</w:t>
      </w:r>
    </w:p>
    <w:p>
      <w:pPr>
        <w:spacing w:line="340" w:lineRule="exact"/>
        <w:ind w:firstLine="560" w:firstLineChars="200"/>
        <w:jc w:val="left"/>
        <w:rPr>
          <w:rFonts w:ascii="仿宋_GB2312" w:hAnsi="仿宋_GB2312" w:eastAsia="仿宋_GB2312" w:cs="仿宋_GB2312"/>
          <w:color w:val="FF0000"/>
          <w:sz w:val="28"/>
          <w:szCs w:val="28"/>
        </w:rPr>
      </w:pPr>
      <w:r>
        <w:rPr>
          <w:rFonts w:hint="eastAsia" w:ascii="仿宋_GB2312" w:hAnsi="仿宋_GB2312" w:eastAsia="仿宋_GB2312" w:cs="仿宋_GB2312"/>
          <w:color w:val="FF0000"/>
          <w:sz w:val="28"/>
          <w:szCs w:val="28"/>
        </w:rPr>
        <w:t>以上企业，不属于大企业的分支机构，不存在控股股东为大企业的情形，也不存在与大企业的负责人为同一人的情形。</w:t>
      </w:r>
    </w:p>
    <w:p>
      <w:pPr>
        <w:spacing w:line="340" w:lineRule="exact"/>
        <w:ind w:firstLine="560" w:firstLineChars="200"/>
        <w:jc w:val="left"/>
        <w:rPr>
          <w:rFonts w:ascii="仿宋_GB2312" w:hAnsi="仿宋_GB2312" w:eastAsia="仿宋_GB2312" w:cs="仿宋_GB2312"/>
          <w:color w:val="FF0000"/>
          <w:sz w:val="28"/>
          <w:szCs w:val="28"/>
        </w:rPr>
      </w:pPr>
      <w:r>
        <w:rPr>
          <w:rFonts w:hint="eastAsia" w:ascii="仿宋_GB2312" w:hAnsi="仿宋_GB2312" w:eastAsia="仿宋_GB2312" w:cs="仿宋_GB2312"/>
          <w:color w:val="FF0000"/>
          <w:sz w:val="28"/>
          <w:szCs w:val="28"/>
        </w:rPr>
        <w:t>本企业对上述声明内容的真实性负责。如有虚假，将依法承担相应责任。</w:t>
      </w:r>
    </w:p>
    <w:p>
      <w:pPr>
        <w:ind w:right="420" w:firstLine="6860" w:firstLineChars="2450"/>
        <w:jc w:val="left"/>
        <w:rPr>
          <w:rFonts w:ascii="仿宋_GB2312" w:hAnsi="仿宋_GB2312" w:eastAsia="仿宋_GB2312" w:cs="仿宋_GB2312"/>
          <w:color w:val="FF0000"/>
          <w:sz w:val="28"/>
          <w:szCs w:val="28"/>
        </w:rPr>
      </w:pPr>
    </w:p>
    <w:p>
      <w:pPr>
        <w:ind w:right="420"/>
        <w:rPr>
          <w:rFonts w:ascii="仿宋_GB2312" w:hAnsi="仿宋_GB2312" w:eastAsia="仿宋_GB2312" w:cs="仿宋_GB2312"/>
          <w:color w:val="FF0000"/>
          <w:sz w:val="28"/>
          <w:szCs w:val="28"/>
        </w:rPr>
      </w:pPr>
      <w:r>
        <w:rPr>
          <w:rFonts w:hint="eastAsia" w:ascii="仿宋_GB2312" w:hAnsi="仿宋_GB2312" w:eastAsia="仿宋_GB2312" w:cs="仿宋_GB2312"/>
          <w:color w:val="FF0000"/>
          <w:sz w:val="28"/>
          <w:szCs w:val="28"/>
        </w:rPr>
        <w:t xml:space="preserve">企业名称（盖章）： </w:t>
      </w:r>
    </w:p>
    <w:p>
      <w:pPr>
        <w:ind w:right="420"/>
        <w:rPr>
          <w:rFonts w:ascii="仿宋_GB2312" w:hAnsi="仿宋_GB2312" w:eastAsia="仿宋_GB2312" w:cs="仿宋_GB2312"/>
          <w:color w:val="FF0000"/>
          <w:sz w:val="28"/>
          <w:szCs w:val="28"/>
        </w:rPr>
      </w:pPr>
      <w:r>
        <w:rPr>
          <w:rFonts w:hint="eastAsia" w:ascii="仿宋_GB2312" w:hAnsi="仿宋_GB2312" w:eastAsia="仿宋_GB2312" w:cs="仿宋_GB2312"/>
          <w:color w:val="FF0000"/>
          <w:sz w:val="28"/>
          <w:szCs w:val="28"/>
        </w:rPr>
        <w:t>日期：   年     月     日</w:t>
      </w:r>
    </w:p>
    <w:p>
      <w:pPr>
        <w:jc w:val="center"/>
        <w:rPr>
          <w:rFonts w:ascii="仿宋_GB2312" w:hAnsi="仿宋_GB2312" w:eastAsia="仿宋_GB2312" w:cs="仿宋_GB2312"/>
          <w:b/>
          <w:color w:val="FF0000"/>
          <w:sz w:val="28"/>
          <w:szCs w:val="28"/>
        </w:rPr>
      </w:pPr>
    </w:p>
    <w:p>
      <w:pPr>
        <w:jc w:val="center"/>
        <w:rPr>
          <w:rFonts w:ascii="仿宋_GB2312" w:hAnsi="仿宋_GB2312" w:eastAsia="仿宋_GB2312" w:cs="仿宋_GB2312"/>
          <w:b/>
          <w:color w:val="FF0000"/>
          <w:sz w:val="28"/>
          <w:szCs w:val="28"/>
        </w:rPr>
      </w:pPr>
      <w:r>
        <w:rPr>
          <w:rFonts w:hint="eastAsia" w:ascii="仿宋_GB2312" w:hAnsi="仿宋_GB2312" w:eastAsia="仿宋_GB2312" w:cs="仿宋_GB2312"/>
          <w:b/>
          <w:color w:val="FF0000"/>
          <w:sz w:val="28"/>
          <w:szCs w:val="28"/>
        </w:rPr>
        <w:t>中小企业声明函（工程、服务）</w:t>
      </w:r>
    </w:p>
    <w:p>
      <w:pPr>
        <w:spacing w:line="340" w:lineRule="exact"/>
        <w:ind w:firstLine="560" w:firstLineChars="200"/>
        <w:jc w:val="left"/>
        <w:rPr>
          <w:rFonts w:ascii="仿宋_GB2312" w:hAnsi="仿宋_GB2312" w:eastAsia="仿宋_GB2312" w:cs="仿宋_GB2312"/>
          <w:color w:val="FF0000"/>
          <w:sz w:val="28"/>
          <w:szCs w:val="28"/>
        </w:rPr>
      </w:pPr>
      <w:r>
        <w:rPr>
          <w:rFonts w:hint="eastAsia" w:ascii="仿宋_GB2312" w:hAnsi="仿宋_GB2312" w:eastAsia="仿宋_GB2312" w:cs="仿宋_GB2312"/>
          <w:color w:val="FF0000"/>
          <w:sz w:val="28"/>
          <w:szCs w:val="28"/>
        </w:rPr>
        <w:t>本公司（联合体）郑重声明，根据《政府采购促进中小企业发展管理办法》 （财库﹝2020﹞46 号）的规定，本公司（联合体）参加</w:t>
      </w:r>
      <w:r>
        <w:rPr>
          <w:rFonts w:hint="eastAsia" w:ascii="仿宋_GB2312" w:hAnsi="仿宋_GB2312" w:eastAsia="仿宋_GB2312" w:cs="仿宋_GB2312"/>
          <w:color w:val="FF0000"/>
          <w:sz w:val="28"/>
          <w:szCs w:val="28"/>
          <w:u w:val="single"/>
        </w:rPr>
        <w:t xml:space="preserve"> （单位名称）  </w:t>
      </w:r>
      <w:r>
        <w:rPr>
          <w:rFonts w:hint="eastAsia" w:ascii="仿宋_GB2312" w:hAnsi="仿宋_GB2312" w:eastAsia="仿宋_GB2312" w:cs="仿宋_GB2312"/>
          <w:color w:val="FF0000"/>
          <w:sz w:val="28"/>
          <w:szCs w:val="28"/>
        </w:rPr>
        <w:t>的</w:t>
      </w:r>
      <w:r>
        <w:rPr>
          <w:rFonts w:hint="eastAsia" w:ascii="仿宋_GB2312" w:hAnsi="仿宋_GB2312" w:eastAsia="仿宋_GB2312" w:cs="仿宋_GB2312"/>
          <w:color w:val="FF0000"/>
          <w:sz w:val="28"/>
          <w:szCs w:val="28"/>
          <w:u w:val="single"/>
        </w:rPr>
        <w:t>（项目名称）</w:t>
      </w:r>
      <w:r>
        <w:rPr>
          <w:rFonts w:hint="eastAsia" w:ascii="仿宋_GB2312" w:hAnsi="仿宋_GB2312" w:eastAsia="仿宋_GB2312" w:cs="仿宋_GB2312"/>
          <w:color w:val="FF0000"/>
          <w:sz w:val="28"/>
          <w:szCs w:val="28"/>
        </w:rPr>
        <w:t>采购活动，工程的施工单位全部为符合政策要求的中小企业（或者：服务全部由符合政策要求的中小企业承接） 。相关企业（含联合体中的中小企业、签订分包意向协议的中小企业）的具体情况如下：</w:t>
      </w:r>
    </w:p>
    <w:p>
      <w:pPr>
        <w:spacing w:line="340" w:lineRule="exact"/>
        <w:jc w:val="left"/>
        <w:rPr>
          <w:rFonts w:ascii="仿宋_GB2312" w:hAnsi="仿宋_GB2312" w:eastAsia="仿宋_GB2312" w:cs="仿宋_GB2312"/>
          <w:color w:val="FF0000"/>
          <w:sz w:val="28"/>
          <w:szCs w:val="28"/>
        </w:rPr>
      </w:pPr>
      <w:r>
        <w:rPr>
          <w:rFonts w:hint="eastAsia" w:ascii="仿宋_GB2312" w:hAnsi="仿宋_GB2312" w:eastAsia="仿宋_GB2312" w:cs="仿宋_GB2312"/>
          <w:color w:val="FF0000"/>
          <w:sz w:val="28"/>
          <w:szCs w:val="28"/>
        </w:rPr>
        <w:t>1.</w:t>
      </w:r>
      <w:r>
        <w:rPr>
          <w:rFonts w:hint="eastAsia" w:ascii="仿宋_GB2312" w:hAnsi="仿宋_GB2312" w:eastAsia="仿宋_GB2312" w:cs="仿宋_GB2312"/>
          <w:color w:val="FF0000"/>
          <w:sz w:val="28"/>
          <w:szCs w:val="28"/>
          <w:u w:val="single"/>
        </w:rPr>
        <w:t>（标的名称）</w:t>
      </w:r>
      <w:r>
        <w:rPr>
          <w:rFonts w:hint="eastAsia" w:ascii="仿宋_GB2312" w:hAnsi="仿宋_GB2312" w:eastAsia="仿宋_GB2312" w:cs="仿宋_GB2312"/>
          <w:color w:val="FF0000"/>
          <w:sz w:val="28"/>
          <w:szCs w:val="28"/>
        </w:rPr>
        <w:t>，属于</w:t>
      </w:r>
      <w:r>
        <w:rPr>
          <w:rFonts w:hint="eastAsia" w:ascii="仿宋_GB2312" w:hAnsi="仿宋_GB2312" w:eastAsia="仿宋_GB2312" w:cs="仿宋_GB2312"/>
          <w:color w:val="FF0000"/>
          <w:sz w:val="28"/>
          <w:szCs w:val="28"/>
          <w:u w:val="single"/>
        </w:rPr>
        <w:t>（采购文件中明确的所属行业）</w:t>
      </w:r>
      <w:r>
        <w:rPr>
          <w:rFonts w:hint="eastAsia" w:ascii="仿宋_GB2312" w:hAnsi="仿宋_GB2312" w:eastAsia="仿宋_GB2312" w:cs="仿宋_GB2312"/>
          <w:color w:val="FF0000"/>
          <w:sz w:val="28"/>
          <w:szCs w:val="28"/>
        </w:rPr>
        <w:t>；承建（承接）企业为</w:t>
      </w:r>
      <w:r>
        <w:rPr>
          <w:rFonts w:hint="eastAsia" w:ascii="仿宋_GB2312" w:hAnsi="仿宋_GB2312" w:eastAsia="仿宋_GB2312" w:cs="仿宋_GB2312"/>
          <w:color w:val="FF0000"/>
          <w:sz w:val="28"/>
          <w:szCs w:val="28"/>
          <w:u w:val="single"/>
        </w:rPr>
        <w:t xml:space="preserve">（企业名称） </w:t>
      </w:r>
      <w:r>
        <w:rPr>
          <w:rFonts w:hint="eastAsia" w:ascii="仿宋_GB2312" w:hAnsi="仿宋_GB2312" w:eastAsia="仿宋_GB2312" w:cs="仿宋_GB2312"/>
          <w:color w:val="FF0000"/>
          <w:sz w:val="28"/>
          <w:szCs w:val="28"/>
        </w:rPr>
        <w:t>，从业人员</w:t>
      </w:r>
      <w:r>
        <w:rPr>
          <w:rFonts w:hint="eastAsia" w:ascii="仿宋_GB2312" w:hAnsi="仿宋_GB2312" w:eastAsia="仿宋_GB2312" w:cs="仿宋_GB2312"/>
          <w:color w:val="FF0000"/>
          <w:sz w:val="28"/>
          <w:szCs w:val="28"/>
          <w:u w:val="single"/>
        </w:rPr>
        <w:t xml:space="preserve">   </w:t>
      </w:r>
      <w:r>
        <w:rPr>
          <w:rFonts w:hint="eastAsia" w:ascii="仿宋_GB2312" w:hAnsi="仿宋_GB2312" w:eastAsia="仿宋_GB2312" w:cs="仿宋_GB2312"/>
          <w:color w:val="FF0000"/>
          <w:sz w:val="28"/>
          <w:szCs w:val="28"/>
        </w:rPr>
        <w:t>人，营业收入为</w:t>
      </w:r>
      <w:r>
        <w:rPr>
          <w:rFonts w:hint="eastAsia" w:ascii="仿宋_GB2312" w:hAnsi="仿宋_GB2312" w:eastAsia="仿宋_GB2312" w:cs="仿宋_GB2312"/>
          <w:color w:val="FF0000"/>
          <w:sz w:val="28"/>
          <w:szCs w:val="28"/>
          <w:u w:val="single"/>
        </w:rPr>
        <w:t xml:space="preserve">  </w:t>
      </w:r>
      <w:r>
        <w:rPr>
          <w:rFonts w:hint="eastAsia" w:ascii="仿宋_GB2312" w:hAnsi="仿宋_GB2312" w:eastAsia="仿宋_GB2312" w:cs="仿宋_GB2312"/>
          <w:color w:val="FF0000"/>
          <w:sz w:val="28"/>
          <w:szCs w:val="28"/>
        </w:rPr>
        <w:t>万元，资产总额为</w:t>
      </w:r>
      <w:r>
        <w:rPr>
          <w:rFonts w:hint="eastAsia" w:ascii="仿宋_GB2312" w:hAnsi="仿宋_GB2312" w:eastAsia="仿宋_GB2312" w:cs="仿宋_GB2312"/>
          <w:color w:val="FF0000"/>
          <w:sz w:val="28"/>
          <w:szCs w:val="28"/>
          <w:u w:val="single"/>
        </w:rPr>
        <w:t xml:space="preserve">  </w:t>
      </w:r>
      <w:r>
        <w:rPr>
          <w:rFonts w:hint="eastAsia" w:ascii="仿宋_GB2312" w:hAnsi="仿宋_GB2312" w:eastAsia="仿宋_GB2312" w:cs="仿宋_GB2312"/>
          <w:color w:val="FF0000"/>
          <w:sz w:val="28"/>
          <w:szCs w:val="28"/>
        </w:rPr>
        <w:t>万元 ，属于</w:t>
      </w:r>
      <w:r>
        <w:rPr>
          <w:rFonts w:hint="eastAsia" w:ascii="仿宋_GB2312" w:hAnsi="仿宋_GB2312" w:eastAsia="仿宋_GB2312" w:cs="仿宋_GB2312"/>
          <w:color w:val="FF0000"/>
          <w:sz w:val="28"/>
          <w:szCs w:val="28"/>
          <w:u w:val="single"/>
        </w:rPr>
        <w:t>（中型企业、小型企业、微型企业）</w:t>
      </w:r>
      <w:r>
        <w:rPr>
          <w:rFonts w:hint="eastAsia" w:ascii="仿宋_GB2312" w:hAnsi="仿宋_GB2312" w:eastAsia="仿宋_GB2312" w:cs="仿宋_GB2312"/>
          <w:color w:val="FF0000"/>
          <w:sz w:val="28"/>
          <w:szCs w:val="28"/>
        </w:rPr>
        <w:t xml:space="preserve"> ；</w:t>
      </w:r>
    </w:p>
    <w:p>
      <w:pPr>
        <w:spacing w:line="340" w:lineRule="exact"/>
        <w:jc w:val="left"/>
        <w:rPr>
          <w:rFonts w:ascii="仿宋_GB2312" w:hAnsi="仿宋_GB2312" w:eastAsia="仿宋_GB2312" w:cs="仿宋_GB2312"/>
          <w:color w:val="FF0000"/>
          <w:sz w:val="28"/>
          <w:szCs w:val="28"/>
        </w:rPr>
      </w:pPr>
      <w:r>
        <w:rPr>
          <w:rFonts w:hint="eastAsia" w:ascii="仿宋_GB2312" w:hAnsi="仿宋_GB2312" w:eastAsia="仿宋_GB2312" w:cs="仿宋_GB2312"/>
          <w:color w:val="FF0000"/>
          <w:sz w:val="28"/>
          <w:szCs w:val="28"/>
        </w:rPr>
        <w:t>2.</w:t>
      </w:r>
      <w:r>
        <w:rPr>
          <w:rFonts w:hint="eastAsia" w:ascii="仿宋_GB2312" w:hAnsi="仿宋_GB2312" w:eastAsia="仿宋_GB2312" w:cs="仿宋_GB2312"/>
          <w:color w:val="FF0000"/>
          <w:sz w:val="28"/>
          <w:szCs w:val="28"/>
          <w:u w:val="single"/>
        </w:rPr>
        <w:t>（标的名称）</w:t>
      </w:r>
      <w:r>
        <w:rPr>
          <w:rFonts w:hint="eastAsia" w:ascii="仿宋_GB2312" w:hAnsi="仿宋_GB2312" w:eastAsia="仿宋_GB2312" w:cs="仿宋_GB2312"/>
          <w:color w:val="FF0000"/>
          <w:sz w:val="28"/>
          <w:szCs w:val="28"/>
        </w:rPr>
        <w:t>，属于</w:t>
      </w:r>
      <w:r>
        <w:rPr>
          <w:rFonts w:hint="eastAsia" w:ascii="仿宋_GB2312" w:hAnsi="仿宋_GB2312" w:eastAsia="仿宋_GB2312" w:cs="仿宋_GB2312"/>
          <w:color w:val="FF0000"/>
          <w:sz w:val="28"/>
          <w:szCs w:val="28"/>
          <w:u w:val="single"/>
        </w:rPr>
        <w:t>（采购文件中明确的所属行业）</w:t>
      </w:r>
      <w:r>
        <w:rPr>
          <w:rFonts w:hint="eastAsia" w:ascii="仿宋_GB2312" w:hAnsi="仿宋_GB2312" w:eastAsia="仿宋_GB2312" w:cs="仿宋_GB2312"/>
          <w:color w:val="FF0000"/>
          <w:sz w:val="28"/>
          <w:szCs w:val="28"/>
        </w:rPr>
        <w:t>；承建（承接）企业为</w:t>
      </w:r>
      <w:r>
        <w:rPr>
          <w:rFonts w:hint="eastAsia" w:ascii="仿宋_GB2312" w:hAnsi="仿宋_GB2312" w:eastAsia="仿宋_GB2312" w:cs="仿宋_GB2312"/>
          <w:color w:val="FF0000"/>
          <w:sz w:val="28"/>
          <w:szCs w:val="28"/>
          <w:u w:val="single"/>
        </w:rPr>
        <w:t xml:space="preserve">（企业名称） </w:t>
      </w:r>
      <w:r>
        <w:rPr>
          <w:rFonts w:hint="eastAsia" w:ascii="仿宋_GB2312" w:hAnsi="仿宋_GB2312" w:eastAsia="仿宋_GB2312" w:cs="仿宋_GB2312"/>
          <w:color w:val="FF0000"/>
          <w:sz w:val="28"/>
          <w:szCs w:val="28"/>
        </w:rPr>
        <w:t>，从业人员</w:t>
      </w:r>
      <w:r>
        <w:rPr>
          <w:rFonts w:hint="eastAsia" w:ascii="仿宋_GB2312" w:hAnsi="仿宋_GB2312" w:eastAsia="仿宋_GB2312" w:cs="仿宋_GB2312"/>
          <w:color w:val="FF0000"/>
          <w:sz w:val="28"/>
          <w:szCs w:val="28"/>
          <w:u w:val="single"/>
        </w:rPr>
        <w:t xml:space="preserve">   </w:t>
      </w:r>
      <w:r>
        <w:rPr>
          <w:rFonts w:hint="eastAsia" w:ascii="仿宋_GB2312" w:hAnsi="仿宋_GB2312" w:eastAsia="仿宋_GB2312" w:cs="仿宋_GB2312"/>
          <w:color w:val="FF0000"/>
          <w:sz w:val="28"/>
          <w:szCs w:val="28"/>
        </w:rPr>
        <w:t>人，营业收入为</w:t>
      </w:r>
      <w:r>
        <w:rPr>
          <w:rFonts w:hint="eastAsia" w:ascii="仿宋_GB2312" w:hAnsi="仿宋_GB2312" w:eastAsia="仿宋_GB2312" w:cs="仿宋_GB2312"/>
          <w:color w:val="FF0000"/>
          <w:sz w:val="28"/>
          <w:szCs w:val="28"/>
          <w:u w:val="single"/>
        </w:rPr>
        <w:t xml:space="preserve">  </w:t>
      </w:r>
      <w:r>
        <w:rPr>
          <w:rFonts w:hint="eastAsia" w:ascii="仿宋_GB2312" w:hAnsi="仿宋_GB2312" w:eastAsia="仿宋_GB2312" w:cs="仿宋_GB2312"/>
          <w:color w:val="FF0000"/>
          <w:sz w:val="28"/>
          <w:szCs w:val="28"/>
        </w:rPr>
        <w:t>万元，资产总额为</w:t>
      </w:r>
      <w:r>
        <w:rPr>
          <w:rFonts w:hint="eastAsia" w:ascii="仿宋_GB2312" w:hAnsi="仿宋_GB2312" w:eastAsia="仿宋_GB2312" w:cs="仿宋_GB2312"/>
          <w:color w:val="FF0000"/>
          <w:sz w:val="28"/>
          <w:szCs w:val="28"/>
          <w:u w:val="single"/>
        </w:rPr>
        <w:t xml:space="preserve">  </w:t>
      </w:r>
      <w:r>
        <w:rPr>
          <w:rFonts w:hint="eastAsia" w:ascii="仿宋_GB2312" w:hAnsi="仿宋_GB2312" w:eastAsia="仿宋_GB2312" w:cs="仿宋_GB2312"/>
          <w:color w:val="FF0000"/>
          <w:sz w:val="28"/>
          <w:szCs w:val="28"/>
        </w:rPr>
        <w:t>万元 ，属于</w:t>
      </w:r>
      <w:r>
        <w:rPr>
          <w:rFonts w:hint="eastAsia" w:ascii="仿宋_GB2312" w:hAnsi="仿宋_GB2312" w:eastAsia="仿宋_GB2312" w:cs="仿宋_GB2312"/>
          <w:color w:val="FF0000"/>
          <w:sz w:val="28"/>
          <w:szCs w:val="28"/>
          <w:u w:val="single"/>
        </w:rPr>
        <w:t>（中型企业、小型企业、微型企业）</w:t>
      </w:r>
      <w:r>
        <w:rPr>
          <w:rFonts w:hint="eastAsia" w:ascii="仿宋_GB2312" w:hAnsi="仿宋_GB2312" w:eastAsia="仿宋_GB2312" w:cs="仿宋_GB2312"/>
          <w:color w:val="FF0000"/>
          <w:sz w:val="28"/>
          <w:szCs w:val="28"/>
        </w:rPr>
        <w:t xml:space="preserve"> ；</w:t>
      </w:r>
    </w:p>
    <w:p>
      <w:pPr>
        <w:spacing w:line="340" w:lineRule="exact"/>
        <w:ind w:firstLine="560" w:firstLineChars="200"/>
        <w:jc w:val="left"/>
        <w:rPr>
          <w:rFonts w:ascii="仿宋_GB2312" w:hAnsi="仿宋_GB2312" w:eastAsia="仿宋_GB2312" w:cs="仿宋_GB2312"/>
          <w:color w:val="FF0000"/>
          <w:sz w:val="28"/>
          <w:szCs w:val="28"/>
        </w:rPr>
      </w:pPr>
      <w:r>
        <w:rPr>
          <w:rFonts w:hint="eastAsia" w:ascii="仿宋_GB2312" w:hAnsi="仿宋_GB2312" w:eastAsia="仿宋_GB2312" w:cs="仿宋_GB2312"/>
          <w:color w:val="FF0000"/>
          <w:sz w:val="28"/>
          <w:szCs w:val="28"/>
        </w:rPr>
        <w:t>……</w:t>
      </w:r>
    </w:p>
    <w:p>
      <w:pPr>
        <w:spacing w:line="340" w:lineRule="exact"/>
        <w:ind w:firstLine="560" w:firstLineChars="200"/>
        <w:jc w:val="left"/>
        <w:rPr>
          <w:rFonts w:ascii="仿宋_GB2312" w:hAnsi="仿宋_GB2312" w:eastAsia="仿宋_GB2312" w:cs="仿宋_GB2312"/>
          <w:color w:val="FF0000"/>
          <w:sz w:val="28"/>
          <w:szCs w:val="28"/>
        </w:rPr>
      </w:pPr>
      <w:r>
        <w:rPr>
          <w:rFonts w:hint="eastAsia" w:ascii="仿宋_GB2312" w:hAnsi="仿宋_GB2312" w:eastAsia="仿宋_GB2312" w:cs="仿宋_GB2312"/>
          <w:color w:val="FF0000"/>
          <w:sz w:val="28"/>
          <w:szCs w:val="28"/>
        </w:rPr>
        <w:t>以上企业，不属于大企业的分支机构，不存在控股股东为大企业的情形，也不存在与大企业的负责人为同一人的情形。</w:t>
      </w:r>
    </w:p>
    <w:p>
      <w:pPr>
        <w:spacing w:line="340" w:lineRule="exact"/>
        <w:ind w:firstLine="560" w:firstLineChars="200"/>
        <w:jc w:val="left"/>
        <w:rPr>
          <w:rFonts w:ascii="仿宋_GB2312" w:hAnsi="仿宋_GB2312" w:eastAsia="仿宋_GB2312" w:cs="仿宋_GB2312"/>
          <w:color w:val="FF0000"/>
          <w:sz w:val="28"/>
          <w:szCs w:val="28"/>
        </w:rPr>
      </w:pPr>
      <w:r>
        <w:rPr>
          <w:rFonts w:hint="eastAsia" w:ascii="仿宋_GB2312" w:hAnsi="仿宋_GB2312" w:eastAsia="仿宋_GB2312" w:cs="仿宋_GB2312"/>
          <w:color w:val="FF0000"/>
          <w:sz w:val="28"/>
          <w:szCs w:val="28"/>
        </w:rPr>
        <w:t>本企业对上述声明内容的真实性负责。如有虚假，将依法承担相应责任。</w:t>
      </w:r>
    </w:p>
    <w:p>
      <w:pPr>
        <w:ind w:right="420" w:firstLine="6860" w:firstLineChars="2450"/>
        <w:jc w:val="left"/>
        <w:rPr>
          <w:rFonts w:ascii="仿宋_GB2312" w:hAnsi="仿宋_GB2312" w:eastAsia="仿宋_GB2312" w:cs="仿宋_GB2312"/>
          <w:color w:val="FF0000"/>
          <w:sz w:val="28"/>
          <w:szCs w:val="28"/>
        </w:rPr>
      </w:pPr>
    </w:p>
    <w:p>
      <w:pPr>
        <w:ind w:right="420"/>
        <w:rPr>
          <w:rFonts w:ascii="仿宋_GB2312" w:hAnsi="仿宋_GB2312" w:eastAsia="仿宋_GB2312" w:cs="仿宋_GB2312"/>
          <w:color w:val="FF0000"/>
          <w:sz w:val="28"/>
          <w:szCs w:val="28"/>
        </w:rPr>
      </w:pPr>
      <w:r>
        <w:rPr>
          <w:rFonts w:hint="eastAsia" w:ascii="仿宋_GB2312" w:hAnsi="仿宋_GB2312" w:eastAsia="仿宋_GB2312" w:cs="仿宋_GB2312"/>
          <w:color w:val="FF0000"/>
          <w:sz w:val="28"/>
          <w:szCs w:val="28"/>
        </w:rPr>
        <w:t xml:space="preserve">企业名称（盖章）： </w:t>
      </w:r>
    </w:p>
    <w:p>
      <w:pPr>
        <w:ind w:right="420"/>
        <w:rPr>
          <w:rFonts w:ascii="仿宋_GB2312" w:hAnsi="仿宋_GB2312" w:eastAsia="仿宋_GB2312" w:cs="仿宋_GB2312"/>
          <w:color w:val="FF0000"/>
          <w:sz w:val="28"/>
          <w:szCs w:val="28"/>
        </w:rPr>
      </w:pPr>
      <w:r>
        <w:rPr>
          <w:rFonts w:hint="eastAsia" w:ascii="仿宋_GB2312" w:hAnsi="仿宋_GB2312" w:eastAsia="仿宋_GB2312" w:cs="仿宋_GB2312"/>
          <w:color w:val="FF0000"/>
          <w:sz w:val="28"/>
          <w:szCs w:val="28"/>
        </w:rPr>
        <w:t>日期：   年     月     日</w:t>
      </w:r>
    </w:p>
    <w:p>
      <w:pPr>
        <w:spacing w:line="340" w:lineRule="exact"/>
        <w:jc w:val="left"/>
        <w:rPr>
          <w:rFonts w:ascii="仿宋_GB2312" w:hAnsi="仿宋_GB2312" w:eastAsia="仿宋_GB2312" w:cs="仿宋_GB2312"/>
          <w:color w:val="FF0000"/>
          <w:sz w:val="28"/>
          <w:szCs w:val="28"/>
        </w:rPr>
      </w:pPr>
    </w:p>
    <w:p>
      <w:pPr>
        <w:spacing w:line="340" w:lineRule="exact"/>
        <w:jc w:val="left"/>
        <w:rPr>
          <w:rFonts w:ascii="仿宋_GB2312" w:hAnsi="仿宋_GB2312" w:eastAsia="仿宋_GB2312" w:cs="仿宋_GB2312"/>
          <w:color w:val="FF0000"/>
          <w:sz w:val="28"/>
          <w:szCs w:val="28"/>
        </w:rPr>
      </w:pPr>
    </w:p>
    <w:p>
      <w:pPr>
        <w:spacing w:line="340" w:lineRule="exact"/>
        <w:jc w:val="left"/>
        <w:rPr>
          <w:rFonts w:ascii="仿宋_GB2312" w:hAnsi="仿宋_GB2312" w:eastAsia="仿宋_GB2312" w:cs="仿宋_GB2312"/>
          <w:color w:val="FF0000"/>
          <w:sz w:val="28"/>
          <w:szCs w:val="28"/>
        </w:rPr>
      </w:pPr>
    </w:p>
    <w:p>
      <w:pPr>
        <w:spacing w:line="340" w:lineRule="exact"/>
        <w:jc w:val="left"/>
        <w:rPr>
          <w:rFonts w:ascii="仿宋_GB2312" w:hAnsi="仿宋_GB2312" w:eastAsia="仿宋_GB2312" w:cs="仿宋_GB2312"/>
          <w:color w:val="FF0000"/>
          <w:sz w:val="28"/>
          <w:szCs w:val="28"/>
        </w:rPr>
      </w:pPr>
    </w:p>
    <w:p>
      <w:pPr>
        <w:spacing w:line="340" w:lineRule="exact"/>
        <w:jc w:val="left"/>
        <w:rPr>
          <w:rFonts w:ascii="仿宋_GB2312" w:hAnsi="仿宋_GB2312" w:eastAsia="仿宋_GB2312" w:cs="仿宋_GB2312"/>
          <w:color w:val="FF0000"/>
          <w:sz w:val="28"/>
          <w:szCs w:val="28"/>
        </w:rPr>
      </w:pPr>
    </w:p>
    <w:p>
      <w:pPr>
        <w:spacing w:line="340" w:lineRule="exact"/>
        <w:jc w:val="left"/>
        <w:rPr>
          <w:rFonts w:ascii="仿宋_GB2312" w:hAnsi="仿宋_GB2312" w:eastAsia="仿宋_GB2312" w:cs="仿宋_GB2312"/>
          <w:color w:val="FF0000"/>
          <w:sz w:val="28"/>
          <w:szCs w:val="28"/>
        </w:rPr>
      </w:pPr>
      <w:r>
        <w:rPr>
          <w:rFonts w:hint="eastAsia" w:ascii="仿宋_GB2312" w:hAnsi="仿宋_GB2312" w:eastAsia="仿宋_GB2312" w:cs="仿宋_GB2312"/>
          <w:color w:val="FF0000"/>
          <w:sz w:val="28"/>
          <w:szCs w:val="28"/>
        </w:rPr>
        <w:t>注：</w:t>
      </w:r>
    </w:p>
    <w:p>
      <w:pPr>
        <w:numPr>
          <w:ilvl w:val="0"/>
          <w:numId w:val="4"/>
        </w:numPr>
        <w:spacing w:line="340" w:lineRule="exact"/>
        <w:ind w:firstLine="560" w:firstLineChars="200"/>
        <w:jc w:val="left"/>
        <w:rPr>
          <w:rFonts w:ascii="仿宋_GB2312" w:hAnsi="仿宋_GB2312" w:eastAsia="仿宋_GB2312" w:cs="仿宋_GB2312"/>
          <w:color w:val="FF0000"/>
          <w:sz w:val="28"/>
          <w:szCs w:val="28"/>
        </w:rPr>
      </w:pPr>
      <w:r>
        <w:rPr>
          <w:rFonts w:hint="eastAsia" w:ascii="仿宋_GB2312" w:hAnsi="仿宋_GB2312" w:eastAsia="仿宋_GB2312" w:cs="仿宋_GB2312"/>
          <w:color w:val="FF0000"/>
          <w:sz w:val="28"/>
          <w:szCs w:val="28"/>
        </w:rPr>
        <w:t>投标人提供的中小企业声明函与实际情况不符的，视为投标人提供虚假材料投标，投标无效。</w:t>
      </w:r>
    </w:p>
    <w:p>
      <w:pPr>
        <w:numPr>
          <w:ilvl w:val="0"/>
          <w:numId w:val="4"/>
        </w:numPr>
        <w:spacing w:line="340" w:lineRule="exact"/>
        <w:ind w:firstLine="560" w:firstLineChars="200"/>
        <w:jc w:val="left"/>
        <w:rPr>
          <w:rFonts w:ascii="仿宋_GB2312" w:hAnsi="仿宋_GB2312" w:eastAsia="仿宋_GB2312" w:cs="仿宋_GB2312"/>
          <w:color w:val="FF0000"/>
          <w:sz w:val="28"/>
          <w:szCs w:val="28"/>
        </w:rPr>
      </w:pPr>
      <w:r>
        <w:rPr>
          <w:rFonts w:hint="eastAsia" w:ascii="仿宋_GB2312" w:hAnsi="仿宋_GB2312" w:eastAsia="仿宋_GB2312" w:cs="仿宋_GB2312"/>
          <w:color w:val="FF0000"/>
          <w:sz w:val="28"/>
          <w:szCs w:val="28"/>
        </w:rPr>
        <w:t>从业人员、营业收入、资产总额填报上一年度数据，无上一年度数据的新成立企业可不填报。</w:t>
      </w:r>
    </w:p>
    <w:p>
      <w:pPr>
        <w:numPr>
          <w:ilvl w:val="0"/>
          <w:numId w:val="4"/>
        </w:numPr>
        <w:spacing w:line="340" w:lineRule="exact"/>
        <w:ind w:firstLine="560" w:firstLineChars="200"/>
        <w:jc w:val="left"/>
        <w:rPr>
          <w:rFonts w:ascii="仿宋_GB2312" w:hAnsi="仿宋_GB2312" w:eastAsia="仿宋_GB2312" w:cs="仿宋_GB2312"/>
          <w:color w:val="FF0000"/>
          <w:sz w:val="28"/>
          <w:szCs w:val="28"/>
        </w:rPr>
      </w:pPr>
      <w:r>
        <w:rPr>
          <w:rFonts w:hint="eastAsia" w:ascii="仿宋_GB2312" w:hAnsi="仿宋_GB2312" w:eastAsia="仿宋_GB2312" w:cs="仿宋_GB2312"/>
          <w:color w:val="FF0000"/>
          <w:sz w:val="28"/>
          <w:szCs w:val="28"/>
        </w:rPr>
        <w:t>根据《政府采购促进中小企业发展管理办法》的通知（财库〔2020〕46号）规定，中标、成交供应商享受中小企业扶持政策的，采购代理机构将随中标、成交结果公开中标、成交供应商的《中小企业声明函》。</w:t>
      </w:r>
    </w:p>
    <w:p>
      <w:pPr>
        <w:spacing w:line="340" w:lineRule="exact"/>
        <w:ind w:firstLine="560" w:firstLineChars="200"/>
        <w:jc w:val="left"/>
        <w:rPr>
          <w:rFonts w:ascii="仿宋_GB2312" w:hAnsi="仿宋_GB2312" w:eastAsia="仿宋_GB2312" w:cs="仿宋_GB2312"/>
          <w:color w:val="FF0000"/>
          <w:sz w:val="28"/>
          <w:szCs w:val="28"/>
        </w:rPr>
      </w:pPr>
      <w:r>
        <w:rPr>
          <w:rFonts w:hint="eastAsia" w:ascii="仿宋_GB2312" w:hAnsi="仿宋_GB2312" w:eastAsia="仿宋_GB2312" w:cs="仿宋_GB2312"/>
          <w:color w:val="FF0000"/>
          <w:sz w:val="28"/>
          <w:szCs w:val="28"/>
        </w:rPr>
        <w:t>3、符合《关于促进残疾人就业政府采购政策的通知》（财库〔2017〕141号）规定的条件并提供提供《残疾人福利性单位声明函》（附件4）的残疾人福利性单位视同小微企业；根据《关于政府采购支持监狱企业发展有关问题的通知》（财库[2014]68号）的规定，投标人提供由省级以上监狱管理局、戒毒管理局（含新疆生产建设兵团）出具的属于监狱企业证明文件的，视同为小微企业。</w:t>
      </w:r>
    </w:p>
    <w:p>
      <w:pPr>
        <w:widowControl/>
        <w:tabs>
          <w:tab w:val="left" w:pos="450"/>
          <w:tab w:val="left" w:pos="2520"/>
          <w:tab w:val="left" w:pos="8280"/>
        </w:tabs>
        <w:spacing w:line="360" w:lineRule="auto"/>
        <w:ind w:firstLine="480"/>
        <w:jc w:val="center"/>
        <w:rPr>
          <w:rFonts w:ascii="黑体" w:hAnsi="黑体" w:eastAsia="黑体"/>
          <w:sz w:val="36"/>
          <w:szCs w:val="32"/>
        </w:rPr>
      </w:pPr>
    </w:p>
    <w:p>
      <w:pPr>
        <w:widowControl/>
        <w:tabs>
          <w:tab w:val="left" w:pos="450"/>
          <w:tab w:val="left" w:pos="2520"/>
          <w:tab w:val="left" w:pos="8280"/>
        </w:tabs>
        <w:spacing w:line="360" w:lineRule="auto"/>
        <w:ind w:firstLine="480"/>
        <w:jc w:val="center"/>
        <w:rPr>
          <w:rFonts w:ascii="黑体" w:hAnsi="黑体" w:eastAsia="黑体"/>
          <w:sz w:val="36"/>
          <w:szCs w:val="32"/>
        </w:rPr>
      </w:pPr>
    </w:p>
    <w:p>
      <w:pPr>
        <w:widowControl/>
        <w:tabs>
          <w:tab w:val="left" w:pos="450"/>
          <w:tab w:val="left" w:pos="2520"/>
          <w:tab w:val="left" w:pos="8280"/>
        </w:tabs>
        <w:spacing w:line="360" w:lineRule="auto"/>
        <w:ind w:firstLine="480"/>
        <w:jc w:val="center"/>
        <w:rPr>
          <w:rFonts w:ascii="黑体" w:hAnsi="黑体" w:eastAsia="黑体"/>
          <w:sz w:val="36"/>
          <w:szCs w:val="32"/>
        </w:rPr>
      </w:pPr>
    </w:p>
    <w:p>
      <w:pPr>
        <w:snapToGrid w:val="0"/>
        <w:spacing w:before="50" w:after="50"/>
        <w:jc w:val="center"/>
        <w:rPr>
          <w:rFonts w:ascii="仿宋_GB2312" w:eastAsia="仿宋_GB2312"/>
          <w:b/>
          <w:spacing w:val="6"/>
          <w:sz w:val="32"/>
          <w:szCs w:val="32"/>
        </w:rPr>
      </w:pPr>
    </w:p>
    <w:p>
      <w:pPr>
        <w:snapToGrid w:val="0"/>
        <w:spacing w:before="50" w:after="50"/>
        <w:jc w:val="center"/>
        <w:rPr>
          <w:rFonts w:ascii="仿宋_GB2312" w:eastAsia="仿宋_GB2312"/>
          <w:b/>
          <w:spacing w:val="6"/>
          <w:sz w:val="32"/>
          <w:szCs w:val="32"/>
        </w:rPr>
      </w:pPr>
    </w:p>
    <w:p>
      <w:pPr>
        <w:snapToGrid w:val="0"/>
        <w:spacing w:before="50" w:after="50"/>
        <w:jc w:val="center"/>
        <w:rPr>
          <w:rFonts w:ascii="仿宋_GB2312" w:eastAsia="仿宋_GB2312"/>
          <w:b/>
          <w:spacing w:val="6"/>
          <w:sz w:val="32"/>
          <w:szCs w:val="32"/>
        </w:rPr>
      </w:pPr>
    </w:p>
    <w:p>
      <w:pPr>
        <w:snapToGrid w:val="0"/>
        <w:spacing w:before="50" w:after="50"/>
        <w:jc w:val="center"/>
        <w:rPr>
          <w:rFonts w:ascii="仿宋_GB2312" w:eastAsia="仿宋_GB2312"/>
          <w:b/>
          <w:spacing w:val="6"/>
          <w:sz w:val="32"/>
          <w:szCs w:val="32"/>
        </w:rPr>
      </w:pPr>
    </w:p>
    <w:p>
      <w:pPr>
        <w:snapToGrid w:val="0"/>
        <w:spacing w:before="50" w:after="50"/>
        <w:jc w:val="center"/>
        <w:rPr>
          <w:rFonts w:ascii="仿宋_GB2312" w:eastAsia="仿宋_GB2312"/>
          <w:b/>
          <w:spacing w:val="6"/>
          <w:sz w:val="32"/>
          <w:szCs w:val="32"/>
        </w:rPr>
      </w:pPr>
    </w:p>
    <w:p>
      <w:pPr>
        <w:snapToGrid w:val="0"/>
        <w:spacing w:before="50" w:after="50"/>
        <w:jc w:val="center"/>
        <w:rPr>
          <w:rFonts w:ascii="仿宋_GB2312" w:eastAsia="仿宋_GB2312"/>
          <w:b/>
          <w:spacing w:val="6"/>
          <w:sz w:val="32"/>
          <w:szCs w:val="32"/>
        </w:rPr>
      </w:pPr>
    </w:p>
    <w:p>
      <w:pPr>
        <w:snapToGrid w:val="0"/>
        <w:spacing w:before="50" w:after="50"/>
        <w:jc w:val="center"/>
        <w:rPr>
          <w:rFonts w:ascii="仿宋_GB2312" w:eastAsia="仿宋_GB2312"/>
          <w:b/>
          <w:spacing w:val="6"/>
          <w:sz w:val="32"/>
          <w:szCs w:val="32"/>
        </w:rPr>
      </w:pPr>
      <w:r>
        <w:rPr>
          <w:rFonts w:hint="eastAsia" w:ascii="仿宋_GB2312" w:eastAsia="仿宋_GB2312"/>
          <w:b/>
          <w:spacing w:val="6"/>
          <w:sz w:val="32"/>
          <w:szCs w:val="32"/>
        </w:rPr>
        <w:t>九、残疾人福利性单位声明函</w:t>
      </w:r>
    </w:p>
    <w:p>
      <w:pPr>
        <w:snapToGrid w:val="0"/>
        <w:spacing w:line="360" w:lineRule="auto"/>
        <w:ind w:firstLine="560" w:firstLineChars="200"/>
        <w:rPr>
          <w:rFonts w:ascii="仿宋" w:hAnsi="仿宋" w:eastAsia="仿宋"/>
          <w:sz w:val="28"/>
          <w:szCs w:val="28"/>
        </w:rPr>
      </w:pPr>
      <w:r>
        <w:rPr>
          <w:rFonts w:hint="eastAsia" w:ascii="仿宋" w:hAnsi="仿宋" w:eastAsia="仿宋"/>
          <w:sz w:val="28"/>
          <w:szCs w:val="28"/>
        </w:rPr>
        <w:t>本单位郑重声明，根据《财政部 民政部 中国残疾人联合会关于促进残疾人就业政府采购政策的通知》（财库〔2017〕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pPr>
        <w:snapToGrid w:val="0"/>
        <w:spacing w:line="360" w:lineRule="auto"/>
        <w:ind w:firstLine="560" w:firstLineChars="200"/>
        <w:rPr>
          <w:rFonts w:ascii="仿宋" w:hAnsi="仿宋" w:eastAsia="仿宋"/>
          <w:sz w:val="28"/>
          <w:szCs w:val="28"/>
        </w:rPr>
      </w:pPr>
      <w:r>
        <w:rPr>
          <w:rFonts w:hint="eastAsia" w:ascii="仿宋" w:hAnsi="仿宋" w:eastAsia="仿宋"/>
          <w:sz w:val="28"/>
          <w:szCs w:val="28"/>
        </w:rPr>
        <w:t>本单位对上述声明的真实性负责。如有虚假，将依法承担相应责任。</w:t>
      </w:r>
    </w:p>
    <w:p>
      <w:pPr>
        <w:snapToGrid w:val="0"/>
        <w:spacing w:line="360" w:lineRule="auto"/>
        <w:ind w:firstLine="624" w:firstLineChars="200"/>
        <w:jc w:val="right"/>
        <w:rPr>
          <w:rFonts w:ascii="仿宋" w:hAnsi="仿宋" w:eastAsia="仿宋"/>
          <w:sz w:val="28"/>
          <w:szCs w:val="28"/>
        </w:rPr>
      </w:pPr>
      <w:r>
        <w:rPr>
          <w:rFonts w:hint="eastAsia" w:ascii="仿宋_GB2312" w:eastAsia="仿宋_GB2312"/>
          <w:spacing w:val="6"/>
          <w:sz w:val="30"/>
          <w:szCs w:val="30"/>
        </w:rPr>
        <w:t xml:space="preserve">         </w:t>
      </w:r>
      <w:r>
        <w:rPr>
          <w:rFonts w:hint="eastAsia" w:ascii="仿宋" w:hAnsi="仿宋" w:eastAsia="仿宋"/>
          <w:sz w:val="28"/>
          <w:szCs w:val="28"/>
        </w:rPr>
        <w:t xml:space="preserve">      单位名称（盖章）：</w:t>
      </w:r>
    </w:p>
    <w:p>
      <w:pPr>
        <w:snapToGrid w:val="0"/>
        <w:spacing w:line="360" w:lineRule="auto"/>
        <w:ind w:right="1120" w:firstLine="560" w:firstLineChars="200"/>
        <w:jc w:val="center"/>
        <w:rPr>
          <w:rFonts w:ascii="仿宋" w:hAnsi="仿宋" w:eastAsia="仿宋"/>
          <w:sz w:val="28"/>
          <w:szCs w:val="28"/>
        </w:rPr>
      </w:pPr>
      <w:r>
        <w:rPr>
          <w:rFonts w:hint="eastAsia" w:ascii="仿宋" w:hAnsi="仿宋" w:eastAsia="仿宋"/>
          <w:sz w:val="28"/>
          <w:szCs w:val="28"/>
        </w:rPr>
        <w:t>　　　　　　　　　　　　　　　　　　　日  期：</w:t>
      </w:r>
    </w:p>
    <w:p>
      <w:pPr>
        <w:snapToGrid w:val="0"/>
        <w:rPr>
          <w:rFonts w:ascii="仿宋" w:hAnsi="仿宋" w:eastAsia="仿宋"/>
          <w:b/>
          <w:sz w:val="28"/>
          <w:szCs w:val="28"/>
        </w:rPr>
      </w:pPr>
      <w:r>
        <w:rPr>
          <w:rFonts w:hint="eastAsia" w:ascii="仿宋" w:hAnsi="仿宋" w:eastAsia="仿宋"/>
          <w:sz w:val="28"/>
          <w:szCs w:val="28"/>
        </w:rPr>
        <w:t>注：</w:t>
      </w:r>
      <w:r>
        <w:rPr>
          <w:rFonts w:hint="eastAsia" w:ascii="仿宋" w:hAnsi="仿宋" w:eastAsia="仿宋"/>
          <w:b/>
          <w:sz w:val="28"/>
          <w:szCs w:val="28"/>
        </w:rPr>
        <w:t>１、残疾人福利性单位视同小型、微型企业，享受价格扣除。</w:t>
      </w:r>
    </w:p>
    <w:p>
      <w:pPr>
        <w:snapToGrid w:val="0"/>
        <w:ind w:firstLine="562" w:firstLineChars="200"/>
        <w:rPr>
          <w:rFonts w:ascii="仿宋" w:hAnsi="仿宋" w:eastAsia="仿宋"/>
          <w:b/>
          <w:sz w:val="28"/>
          <w:szCs w:val="28"/>
        </w:rPr>
      </w:pPr>
      <w:r>
        <w:rPr>
          <w:rFonts w:hint="eastAsia" w:ascii="仿宋" w:hAnsi="仿宋" w:eastAsia="仿宋"/>
          <w:b/>
          <w:sz w:val="28"/>
          <w:szCs w:val="28"/>
        </w:rPr>
        <w:t>２、残疾人福利性单位属于小型、微型企业的，不重复享受政策。</w:t>
      </w:r>
    </w:p>
    <w:p>
      <w:pPr>
        <w:snapToGrid w:val="0"/>
        <w:ind w:firstLine="562" w:firstLineChars="200"/>
        <w:rPr>
          <w:rFonts w:ascii="仿宋" w:hAnsi="仿宋" w:eastAsia="仿宋"/>
          <w:b/>
          <w:sz w:val="28"/>
          <w:szCs w:val="28"/>
        </w:rPr>
      </w:pPr>
      <w:r>
        <w:rPr>
          <w:rFonts w:hint="eastAsia" w:ascii="仿宋" w:hAnsi="仿宋" w:eastAsia="仿宋"/>
          <w:b/>
          <w:sz w:val="28"/>
          <w:szCs w:val="28"/>
        </w:rPr>
        <w:t>３、如中标人声明为残疾人福利性单位，本声明函将随中标结果同时公告，接受社会监督。</w:t>
      </w:r>
    </w:p>
    <w:p>
      <w:pPr>
        <w:snapToGrid w:val="0"/>
        <w:ind w:firstLine="562" w:firstLineChars="200"/>
        <w:rPr>
          <w:rFonts w:ascii="仿宋" w:hAnsi="仿宋" w:eastAsia="仿宋"/>
          <w:b/>
          <w:sz w:val="28"/>
          <w:szCs w:val="28"/>
        </w:rPr>
      </w:pPr>
      <w:r>
        <w:rPr>
          <w:rFonts w:hint="eastAsia" w:ascii="仿宋" w:hAnsi="仿宋" w:eastAsia="仿宋"/>
          <w:b/>
          <w:sz w:val="28"/>
          <w:szCs w:val="28"/>
        </w:rPr>
        <w:t>4、享受政府采购支持政策的残疾人福利性单位应当同时满足以下条件：</w:t>
      </w:r>
    </w:p>
    <w:p>
      <w:pPr>
        <w:snapToGrid w:val="0"/>
        <w:rPr>
          <w:rFonts w:ascii="仿宋" w:hAnsi="仿宋" w:eastAsia="仿宋"/>
          <w:b/>
          <w:sz w:val="28"/>
          <w:szCs w:val="28"/>
        </w:rPr>
      </w:pPr>
      <w:r>
        <w:rPr>
          <w:rFonts w:hint="eastAsia" w:ascii="仿宋" w:hAnsi="仿宋" w:eastAsia="仿宋"/>
          <w:b/>
          <w:sz w:val="28"/>
          <w:szCs w:val="28"/>
        </w:rPr>
        <w:t>（一）安置的残疾人占本单位在职职工人数的比例不低于25%（含25%），并且安置的残疾人人数不少于10人（含10人）；</w:t>
      </w:r>
    </w:p>
    <w:p>
      <w:pPr>
        <w:snapToGrid w:val="0"/>
        <w:rPr>
          <w:rFonts w:ascii="仿宋" w:hAnsi="仿宋" w:eastAsia="仿宋"/>
          <w:b/>
          <w:sz w:val="28"/>
          <w:szCs w:val="28"/>
        </w:rPr>
      </w:pPr>
      <w:r>
        <w:rPr>
          <w:rFonts w:hint="eastAsia" w:ascii="仿宋" w:hAnsi="仿宋" w:eastAsia="仿宋"/>
          <w:b/>
          <w:sz w:val="28"/>
          <w:szCs w:val="28"/>
        </w:rPr>
        <w:t>（二）依法与安置的每位残疾人签订了一年以上（含一年）的劳动合同或服务协议；</w:t>
      </w:r>
    </w:p>
    <w:p>
      <w:pPr>
        <w:snapToGrid w:val="0"/>
        <w:rPr>
          <w:rFonts w:ascii="仿宋" w:hAnsi="仿宋" w:eastAsia="仿宋"/>
          <w:b/>
          <w:sz w:val="28"/>
          <w:szCs w:val="28"/>
        </w:rPr>
      </w:pPr>
      <w:r>
        <w:rPr>
          <w:rFonts w:hint="eastAsia" w:ascii="仿宋" w:hAnsi="仿宋" w:eastAsia="仿宋"/>
          <w:b/>
          <w:sz w:val="28"/>
          <w:szCs w:val="28"/>
        </w:rPr>
        <w:t>（三）为安置的每位残疾人按月足额缴纳了基本养老保险、基本医疗保险、失业保险、工伤保险和生育保险等社会保险费；</w:t>
      </w:r>
    </w:p>
    <w:p>
      <w:pPr>
        <w:snapToGrid w:val="0"/>
        <w:rPr>
          <w:rFonts w:ascii="仿宋" w:hAnsi="仿宋" w:eastAsia="仿宋"/>
          <w:b/>
          <w:sz w:val="28"/>
          <w:szCs w:val="28"/>
        </w:rPr>
      </w:pPr>
      <w:r>
        <w:rPr>
          <w:rFonts w:hint="eastAsia" w:ascii="仿宋" w:hAnsi="仿宋" w:eastAsia="仿宋"/>
          <w:b/>
          <w:sz w:val="28"/>
          <w:szCs w:val="28"/>
        </w:rPr>
        <w:t>（四）通过银行等金融机构向安置的每位残疾人，按月支付了不低于单位所在区县适用的经省级人民政府批准的月最低工资标准的工资；</w:t>
      </w:r>
    </w:p>
    <w:p>
      <w:pPr>
        <w:snapToGrid w:val="0"/>
        <w:rPr>
          <w:rFonts w:ascii="仿宋" w:hAnsi="仿宋" w:eastAsia="仿宋"/>
          <w:b/>
          <w:sz w:val="28"/>
          <w:szCs w:val="28"/>
        </w:rPr>
      </w:pPr>
      <w:r>
        <w:rPr>
          <w:rFonts w:hint="eastAsia" w:ascii="仿宋" w:hAnsi="仿宋" w:eastAsia="仿宋"/>
          <w:b/>
          <w:sz w:val="28"/>
          <w:szCs w:val="28"/>
        </w:rPr>
        <w:t>（五）提供本单位制造的货物、承担的工程或者服务（以下简称产品），或者提供其他残疾人福利性单位制造的货物（不包括使用非残疾人福利性单位注册商标的货物）。</w:t>
      </w:r>
    </w:p>
    <w:p/>
    <w:p/>
    <w:p/>
    <w:p/>
    <w:p/>
    <w:p/>
    <w:p/>
    <w:p/>
    <w:p>
      <w:pPr>
        <w:snapToGrid w:val="0"/>
        <w:spacing w:before="50" w:after="50"/>
        <w:jc w:val="center"/>
        <w:rPr>
          <w:rFonts w:ascii="仿宋" w:hAnsi="仿宋" w:eastAsia="仿宋"/>
          <w:b/>
          <w:sz w:val="36"/>
          <w:szCs w:val="36"/>
        </w:rPr>
      </w:pPr>
      <w:bookmarkStart w:id="43" w:name="_Toc23409"/>
      <w:r>
        <w:rPr>
          <w:rFonts w:hint="eastAsia" w:ascii="仿宋" w:hAnsi="仿宋" w:eastAsia="仿宋"/>
          <w:b/>
          <w:sz w:val="36"/>
          <w:szCs w:val="36"/>
        </w:rPr>
        <w:t xml:space="preserve">十、  </w:t>
      </w:r>
      <w:r>
        <w:rPr>
          <w:rFonts w:ascii="仿宋" w:hAnsi="仿宋" w:eastAsia="仿宋"/>
          <w:b/>
          <w:sz w:val="36"/>
          <w:szCs w:val="36"/>
        </w:rPr>
        <w:t>政府采购政策情况表</w:t>
      </w:r>
      <w:bookmarkEnd w:id="43"/>
    </w:p>
    <w:p>
      <w:pPr>
        <w:pStyle w:val="11"/>
        <w:spacing w:before="156" w:after="156" w:line="360" w:lineRule="auto"/>
        <w:rPr>
          <w:b/>
          <w:sz w:val="28"/>
          <w:szCs w:val="28"/>
        </w:rPr>
      </w:pPr>
      <w:r>
        <w:rPr>
          <w:rFonts w:hAnsi="宋体"/>
          <w:b/>
          <w:kern w:val="0"/>
        </w:rPr>
        <w:t>项目</w:t>
      </w:r>
      <w:r>
        <w:rPr>
          <w:rFonts w:hint="eastAsia" w:hAnsi="宋体"/>
          <w:b/>
          <w:kern w:val="0"/>
        </w:rPr>
        <w:t>编号</w:t>
      </w:r>
      <w:r>
        <w:rPr>
          <w:rFonts w:hAnsi="宋体"/>
          <w:b/>
          <w:kern w:val="0"/>
        </w:rPr>
        <w:t>：</w:t>
      </w:r>
    </w:p>
    <w:tbl>
      <w:tblPr>
        <w:tblStyle w:val="21"/>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19"/>
        <w:gridCol w:w="1366"/>
        <w:gridCol w:w="2130"/>
        <w:gridCol w:w="1965"/>
        <w:gridCol w:w="1611"/>
        <w:gridCol w:w="162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9" w:hRule="atLeast"/>
          <w:jc w:val="center"/>
        </w:trPr>
        <w:tc>
          <w:tcPr>
            <w:tcW w:w="1019" w:type="dxa"/>
            <w:vMerge w:val="restart"/>
            <w:vAlign w:val="center"/>
          </w:tcPr>
          <w:p>
            <w:pPr>
              <w:pStyle w:val="119"/>
              <w:tabs>
                <w:tab w:val="left" w:pos="1260"/>
              </w:tabs>
              <w:snapToGrid w:val="0"/>
              <w:spacing w:line="360" w:lineRule="auto"/>
              <w:jc w:val="center"/>
              <w:rPr>
                <w:szCs w:val="21"/>
                <w:lang w:val="en-GB"/>
              </w:rPr>
            </w:pPr>
            <w:r>
              <w:rPr>
                <w:rFonts w:hAnsi="宋体"/>
                <w:szCs w:val="21"/>
                <w:lang w:val="en-GB"/>
              </w:rPr>
              <w:t>中小企业</w:t>
            </w:r>
            <w:r>
              <w:rPr>
                <w:rFonts w:hint="eastAsia" w:hAnsi="宋体"/>
                <w:szCs w:val="21"/>
                <w:lang w:val="en-GB"/>
              </w:rPr>
              <w:t>、监狱企业及残疾人福利性单位</w:t>
            </w:r>
            <w:r>
              <w:rPr>
                <w:rFonts w:hAnsi="宋体"/>
                <w:szCs w:val="21"/>
                <w:lang w:val="en-GB"/>
              </w:rPr>
              <w:t>扶持政策</w:t>
            </w:r>
          </w:p>
        </w:tc>
        <w:tc>
          <w:tcPr>
            <w:tcW w:w="8700" w:type="dxa"/>
            <w:gridSpan w:val="5"/>
            <w:vAlign w:val="center"/>
          </w:tcPr>
          <w:p>
            <w:pPr>
              <w:pStyle w:val="119"/>
              <w:tabs>
                <w:tab w:val="left" w:pos="1260"/>
              </w:tabs>
              <w:snapToGrid w:val="0"/>
              <w:spacing w:line="360" w:lineRule="auto"/>
              <w:rPr>
                <w:szCs w:val="21"/>
                <w:lang w:val="en-GB"/>
              </w:rPr>
            </w:pPr>
            <w:r>
              <w:rPr>
                <w:rFonts w:hAnsi="宋体"/>
                <w:szCs w:val="21"/>
                <w:lang w:val="en-GB"/>
              </w:rPr>
              <w:t>如属所列情形的，请在括号内打</w:t>
            </w:r>
            <w:r>
              <w:rPr>
                <w:szCs w:val="21"/>
                <w:lang w:val="en-GB"/>
              </w:rPr>
              <w:t>“√”</w:t>
            </w:r>
            <w:r>
              <w:rPr>
                <w:rFonts w:hint="eastAsia"/>
                <w:szCs w:val="21"/>
                <w:lang w:val="en-GB"/>
              </w:rPr>
              <w:t>，并</w:t>
            </w:r>
            <w:r>
              <w:rPr>
                <w:rFonts w:hAnsi="宋体"/>
                <w:szCs w:val="21"/>
              </w:rPr>
              <w:t>请填写下表内容：</w:t>
            </w:r>
          </w:p>
          <w:p>
            <w:pPr>
              <w:pStyle w:val="119"/>
              <w:tabs>
                <w:tab w:val="left" w:pos="1260"/>
              </w:tabs>
              <w:snapToGrid w:val="0"/>
              <w:spacing w:line="360" w:lineRule="auto"/>
              <w:rPr>
                <w:rFonts w:hAnsi="宋体"/>
                <w:szCs w:val="21"/>
              </w:rPr>
            </w:pPr>
            <w:r>
              <w:rPr>
                <w:rFonts w:hAnsi="宋体"/>
                <w:szCs w:val="21"/>
              </w:rPr>
              <w:t>（</w:t>
            </w:r>
            <w:r>
              <w:rPr>
                <w:szCs w:val="21"/>
              </w:rPr>
              <w:t xml:space="preserve">  </w:t>
            </w:r>
            <w:r>
              <w:rPr>
                <w:rFonts w:hAnsi="宋体"/>
                <w:szCs w:val="21"/>
              </w:rPr>
              <w:t>）小型、微型企业投标且提供本企业制造的产品。</w:t>
            </w:r>
          </w:p>
          <w:p>
            <w:pPr>
              <w:pStyle w:val="119"/>
              <w:tabs>
                <w:tab w:val="left" w:pos="1260"/>
              </w:tabs>
              <w:snapToGrid w:val="0"/>
              <w:spacing w:line="360" w:lineRule="auto"/>
              <w:rPr>
                <w:szCs w:val="21"/>
              </w:rPr>
            </w:pPr>
            <w:r>
              <w:rPr>
                <w:rFonts w:hint="eastAsia" w:hAnsi="宋体"/>
                <w:szCs w:val="21"/>
              </w:rPr>
              <w:t>（  ）监狱企业投标</w:t>
            </w:r>
            <w:r>
              <w:rPr>
                <w:rFonts w:hAnsi="宋体"/>
                <w:szCs w:val="21"/>
              </w:rPr>
              <w:t>且提供本企业制造的产品。</w:t>
            </w:r>
          </w:p>
          <w:p>
            <w:pPr>
              <w:pStyle w:val="119"/>
              <w:tabs>
                <w:tab w:val="left" w:pos="1260"/>
              </w:tabs>
              <w:snapToGrid w:val="0"/>
              <w:spacing w:line="360" w:lineRule="auto"/>
              <w:rPr>
                <w:rFonts w:hAnsi="宋体"/>
                <w:szCs w:val="21"/>
              </w:rPr>
            </w:pPr>
            <w:r>
              <w:rPr>
                <w:rFonts w:hAnsi="宋体"/>
                <w:szCs w:val="21"/>
              </w:rPr>
              <w:t>（</w:t>
            </w:r>
            <w:r>
              <w:rPr>
                <w:szCs w:val="21"/>
              </w:rPr>
              <w:t xml:space="preserve">  </w:t>
            </w:r>
            <w:r>
              <w:rPr>
                <w:rFonts w:hAnsi="宋体"/>
                <w:szCs w:val="21"/>
              </w:rPr>
              <w:t>）小微企业投标且提供其它小型、微型企业产品</w:t>
            </w:r>
            <w:r>
              <w:rPr>
                <w:rFonts w:hint="eastAsia" w:hAnsi="宋体"/>
                <w:szCs w:val="21"/>
              </w:rPr>
              <w:t>。</w:t>
            </w:r>
          </w:p>
          <w:p>
            <w:pPr>
              <w:pStyle w:val="119"/>
              <w:tabs>
                <w:tab w:val="left" w:pos="1260"/>
              </w:tabs>
              <w:snapToGrid w:val="0"/>
              <w:spacing w:line="360" w:lineRule="auto"/>
              <w:rPr>
                <w:rFonts w:hAnsi="宋体"/>
                <w:szCs w:val="21"/>
              </w:rPr>
            </w:pPr>
            <w:r>
              <w:rPr>
                <w:rFonts w:hAnsi="宋体"/>
                <w:szCs w:val="21"/>
              </w:rPr>
              <w:t>（</w:t>
            </w:r>
            <w:r>
              <w:rPr>
                <w:szCs w:val="21"/>
              </w:rPr>
              <w:t xml:space="preserve">  </w:t>
            </w:r>
            <w:r>
              <w:rPr>
                <w:rFonts w:hAnsi="宋体"/>
                <w:szCs w:val="21"/>
              </w:rPr>
              <w:t>）</w:t>
            </w:r>
            <w:r>
              <w:rPr>
                <w:rFonts w:hint="eastAsia" w:ascii="宋体" w:hAnsi="宋体"/>
                <w:color w:val="000000"/>
                <w:szCs w:val="20"/>
              </w:rPr>
              <w:t>残疾人福利性单位投标</w:t>
            </w:r>
            <w:r>
              <w:rPr>
                <w:rFonts w:hAnsi="宋体"/>
                <w:szCs w:val="21"/>
              </w:rPr>
              <w:t>且提供本企业制造的产品</w:t>
            </w:r>
            <w:r>
              <w:rPr>
                <w:rFonts w:hint="eastAsia" w:hAnsi="宋体"/>
                <w:szCs w:val="21"/>
              </w:rPr>
              <w:t>。</w:t>
            </w:r>
          </w:p>
          <w:p>
            <w:pPr>
              <w:pStyle w:val="119"/>
              <w:tabs>
                <w:tab w:val="left" w:pos="1260"/>
              </w:tabs>
              <w:snapToGrid w:val="0"/>
              <w:spacing w:line="360" w:lineRule="auto"/>
              <w:rPr>
                <w:rFonts w:hAnsi="宋体"/>
                <w:szCs w:val="21"/>
              </w:rPr>
            </w:pPr>
            <w:r>
              <w:rPr>
                <w:rFonts w:hAnsi="宋体"/>
                <w:szCs w:val="21"/>
              </w:rPr>
              <w:t>（</w:t>
            </w:r>
            <w:r>
              <w:rPr>
                <w:szCs w:val="21"/>
              </w:rPr>
              <w:t xml:space="preserve">  </w:t>
            </w:r>
            <w:r>
              <w:rPr>
                <w:rFonts w:hAnsi="宋体"/>
                <w:szCs w:val="21"/>
              </w:rPr>
              <w:t>）</w:t>
            </w:r>
            <w:r>
              <w:rPr>
                <w:rFonts w:hint="eastAsia" w:ascii="宋体" w:hAnsi="宋体"/>
                <w:color w:val="000000"/>
                <w:szCs w:val="20"/>
              </w:rPr>
              <w:t>残疾人福利性单位投标</w:t>
            </w:r>
            <w:r>
              <w:rPr>
                <w:rFonts w:hAnsi="宋体"/>
                <w:szCs w:val="21"/>
              </w:rPr>
              <w:t>且提供其它</w:t>
            </w:r>
            <w:r>
              <w:rPr>
                <w:rFonts w:hint="eastAsia" w:ascii="宋体" w:hAnsi="宋体"/>
                <w:color w:val="000000"/>
                <w:szCs w:val="20"/>
              </w:rPr>
              <w:t>残疾人福利性单位制造的</w:t>
            </w:r>
            <w:r>
              <w:rPr>
                <w:rFonts w:hint="eastAsia" w:hAnsi="宋体"/>
                <w:szCs w:val="21"/>
              </w:rPr>
              <w:t>货物</w:t>
            </w:r>
            <w:r>
              <w:rPr>
                <w:rFonts w:hint="eastAsia" w:ascii="宋体" w:hAnsi="宋体"/>
                <w:color w:val="000000"/>
                <w:szCs w:val="20"/>
              </w:rPr>
              <w:t>（不包括使用非残疾人福利性单位注册商标的货物）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3" w:hRule="atLeast"/>
          <w:jc w:val="center"/>
        </w:trPr>
        <w:tc>
          <w:tcPr>
            <w:tcW w:w="1019" w:type="dxa"/>
            <w:vMerge w:val="continue"/>
            <w:vAlign w:val="center"/>
          </w:tcPr>
          <w:p>
            <w:pPr>
              <w:pStyle w:val="119"/>
              <w:tabs>
                <w:tab w:val="left" w:pos="1260"/>
              </w:tabs>
              <w:snapToGrid w:val="0"/>
              <w:spacing w:line="360" w:lineRule="auto"/>
              <w:jc w:val="center"/>
              <w:rPr>
                <w:szCs w:val="21"/>
                <w:lang w:val="en-GB"/>
              </w:rPr>
            </w:pPr>
          </w:p>
        </w:tc>
        <w:tc>
          <w:tcPr>
            <w:tcW w:w="1366" w:type="dxa"/>
            <w:vAlign w:val="center"/>
          </w:tcPr>
          <w:p>
            <w:pPr>
              <w:pStyle w:val="119"/>
              <w:tabs>
                <w:tab w:val="left" w:pos="1260"/>
              </w:tabs>
              <w:snapToGrid w:val="0"/>
              <w:spacing w:line="360" w:lineRule="auto"/>
              <w:jc w:val="center"/>
              <w:rPr>
                <w:szCs w:val="21"/>
                <w:lang w:val="en-GB"/>
              </w:rPr>
            </w:pPr>
            <w:r>
              <w:rPr>
                <w:rFonts w:hint="eastAsia" w:hAnsi="宋体"/>
                <w:szCs w:val="21"/>
                <w:lang w:val="en-GB"/>
              </w:rPr>
              <w:t>货物</w:t>
            </w:r>
            <w:r>
              <w:rPr>
                <w:rFonts w:hAnsi="宋体"/>
                <w:szCs w:val="21"/>
                <w:lang w:val="en-GB"/>
              </w:rPr>
              <w:t>名称</w:t>
            </w:r>
          </w:p>
        </w:tc>
        <w:tc>
          <w:tcPr>
            <w:tcW w:w="2130" w:type="dxa"/>
            <w:vAlign w:val="center"/>
          </w:tcPr>
          <w:p>
            <w:pPr>
              <w:pStyle w:val="119"/>
              <w:tabs>
                <w:tab w:val="left" w:pos="1260"/>
              </w:tabs>
              <w:snapToGrid w:val="0"/>
              <w:spacing w:line="360" w:lineRule="auto"/>
              <w:jc w:val="center"/>
              <w:rPr>
                <w:szCs w:val="21"/>
                <w:lang w:val="en-GB"/>
              </w:rPr>
            </w:pPr>
            <w:r>
              <w:rPr>
                <w:rFonts w:hAnsi="宋体"/>
                <w:szCs w:val="21"/>
                <w:lang w:val="en-GB"/>
              </w:rPr>
              <w:t>品牌</w:t>
            </w:r>
            <w:r>
              <w:rPr>
                <w:rFonts w:hint="eastAsia" w:ascii="宋体" w:hAnsi="宋体"/>
                <w:color w:val="000000"/>
                <w:szCs w:val="21"/>
              </w:rPr>
              <w:t>规格型号</w:t>
            </w:r>
          </w:p>
        </w:tc>
        <w:tc>
          <w:tcPr>
            <w:tcW w:w="1965" w:type="dxa"/>
            <w:vAlign w:val="center"/>
          </w:tcPr>
          <w:p>
            <w:pPr>
              <w:pStyle w:val="119"/>
              <w:tabs>
                <w:tab w:val="left" w:pos="1260"/>
              </w:tabs>
              <w:snapToGrid w:val="0"/>
              <w:spacing w:line="360" w:lineRule="auto"/>
              <w:jc w:val="center"/>
              <w:rPr>
                <w:szCs w:val="21"/>
                <w:lang w:val="en-GB"/>
              </w:rPr>
            </w:pPr>
            <w:r>
              <w:rPr>
                <w:rFonts w:hAnsi="宋体"/>
                <w:szCs w:val="21"/>
                <w:lang w:val="en-GB"/>
              </w:rPr>
              <w:t>制造商</w:t>
            </w:r>
          </w:p>
        </w:tc>
        <w:tc>
          <w:tcPr>
            <w:tcW w:w="1611" w:type="dxa"/>
            <w:vAlign w:val="center"/>
          </w:tcPr>
          <w:p>
            <w:pPr>
              <w:pStyle w:val="119"/>
              <w:tabs>
                <w:tab w:val="left" w:pos="1260"/>
              </w:tabs>
              <w:snapToGrid w:val="0"/>
              <w:spacing w:line="360" w:lineRule="auto"/>
              <w:jc w:val="center"/>
              <w:rPr>
                <w:szCs w:val="21"/>
                <w:lang w:val="en-GB"/>
              </w:rPr>
            </w:pPr>
            <w:r>
              <w:rPr>
                <w:rFonts w:hAnsi="宋体"/>
                <w:szCs w:val="21"/>
                <w:lang w:val="en-GB"/>
              </w:rPr>
              <w:t>制造商</w:t>
            </w:r>
          </w:p>
          <w:p>
            <w:pPr>
              <w:pStyle w:val="119"/>
              <w:tabs>
                <w:tab w:val="left" w:pos="1260"/>
              </w:tabs>
              <w:snapToGrid w:val="0"/>
              <w:spacing w:line="360" w:lineRule="auto"/>
              <w:jc w:val="center"/>
              <w:rPr>
                <w:szCs w:val="21"/>
                <w:lang w:val="en-GB"/>
              </w:rPr>
            </w:pPr>
            <w:r>
              <w:rPr>
                <w:rFonts w:hAnsi="宋体"/>
                <w:szCs w:val="21"/>
                <w:lang w:val="en-GB"/>
              </w:rPr>
              <w:t>企业类型</w:t>
            </w:r>
          </w:p>
        </w:tc>
        <w:tc>
          <w:tcPr>
            <w:tcW w:w="1628" w:type="dxa"/>
            <w:vAlign w:val="center"/>
          </w:tcPr>
          <w:p>
            <w:pPr>
              <w:pStyle w:val="119"/>
              <w:tabs>
                <w:tab w:val="left" w:pos="1260"/>
              </w:tabs>
              <w:snapToGrid w:val="0"/>
              <w:spacing w:line="360" w:lineRule="auto"/>
              <w:jc w:val="center"/>
              <w:rPr>
                <w:szCs w:val="21"/>
                <w:lang w:val="en-GB"/>
              </w:rPr>
            </w:pPr>
            <w:r>
              <w:rPr>
                <w:rFonts w:hAnsi="宋体"/>
                <w:szCs w:val="21"/>
                <w:lang w:val="en-GB"/>
              </w:rPr>
              <w:t>金额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9" w:hRule="atLeast"/>
          <w:jc w:val="center"/>
        </w:trPr>
        <w:tc>
          <w:tcPr>
            <w:tcW w:w="1019" w:type="dxa"/>
            <w:vMerge w:val="continue"/>
            <w:vAlign w:val="center"/>
          </w:tcPr>
          <w:p>
            <w:pPr>
              <w:pStyle w:val="119"/>
              <w:tabs>
                <w:tab w:val="left" w:pos="1260"/>
              </w:tabs>
              <w:snapToGrid w:val="0"/>
              <w:spacing w:line="360" w:lineRule="auto"/>
              <w:jc w:val="center"/>
              <w:rPr>
                <w:szCs w:val="21"/>
                <w:lang w:val="en-GB"/>
              </w:rPr>
            </w:pPr>
          </w:p>
        </w:tc>
        <w:tc>
          <w:tcPr>
            <w:tcW w:w="1366" w:type="dxa"/>
            <w:vAlign w:val="center"/>
          </w:tcPr>
          <w:p>
            <w:pPr>
              <w:pStyle w:val="119"/>
              <w:tabs>
                <w:tab w:val="left" w:pos="1260"/>
              </w:tabs>
              <w:snapToGrid w:val="0"/>
              <w:spacing w:line="360" w:lineRule="auto"/>
              <w:jc w:val="center"/>
              <w:rPr>
                <w:szCs w:val="21"/>
                <w:lang w:val="en-GB"/>
              </w:rPr>
            </w:pPr>
          </w:p>
        </w:tc>
        <w:tc>
          <w:tcPr>
            <w:tcW w:w="2130" w:type="dxa"/>
            <w:vAlign w:val="center"/>
          </w:tcPr>
          <w:p>
            <w:pPr>
              <w:pStyle w:val="119"/>
              <w:tabs>
                <w:tab w:val="left" w:pos="1260"/>
              </w:tabs>
              <w:snapToGrid w:val="0"/>
              <w:spacing w:line="360" w:lineRule="auto"/>
              <w:jc w:val="center"/>
              <w:rPr>
                <w:szCs w:val="21"/>
                <w:lang w:val="en-GB"/>
              </w:rPr>
            </w:pPr>
          </w:p>
        </w:tc>
        <w:tc>
          <w:tcPr>
            <w:tcW w:w="1965" w:type="dxa"/>
            <w:vAlign w:val="center"/>
          </w:tcPr>
          <w:p>
            <w:pPr>
              <w:pStyle w:val="119"/>
              <w:tabs>
                <w:tab w:val="left" w:pos="1260"/>
              </w:tabs>
              <w:snapToGrid w:val="0"/>
              <w:spacing w:line="360" w:lineRule="auto"/>
              <w:jc w:val="center"/>
              <w:rPr>
                <w:szCs w:val="21"/>
                <w:lang w:val="en-GB"/>
              </w:rPr>
            </w:pPr>
          </w:p>
        </w:tc>
        <w:tc>
          <w:tcPr>
            <w:tcW w:w="1611" w:type="dxa"/>
            <w:vAlign w:val="center"/>
          </w:tcPr>
          <w:p>
            <w:pPr>
              <w:pStyle w:val="119"/>
              <w:tabs>
                <w:tab w:val="left" w:pos="1260"/>
              </w:tabs>
              <w:snapToGrid w:val="0"/>
              <w:spacing w:line="360" w:lineRule="auto"/>
              <w:jc w:val="center"/>
              <w:rPr>
                <w:szCs w:val="21"/>
                <w:lang w:val="en-GB"/>
              </w:rPr>
            </w:pPr>
          </w:p>
        </w:tc>
        <w:tc>
          <w:tcPr>
            <w:tcW w:w="1628" w:type="dxa"/>
            <w:vAlign w:val="center"/>
          </w:tcPr>
          <w:p>
            <w:pPr>
              <w:pStyle w:val="119"/>
              <w:tabs>
                <w:tab w:val="left" w:pos="1260"/>
              </w:tabs>
              <w:snapToGrid w:val="0"/>
              <w:spacing w:line="360" w:lineRule="auto"/>
              <w:jc w:val="center"/>
              <w:rPr>
                <w:szCs w:val="21"/>
                <w:lang w:val="en-GB"/>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1" w:hRule="atLeast"/>
          <w:jc w:val="center"/>
        </w:trPr>
        <w:tc>
          <w:tcPr>
            <w:tcW w:w="1019" w:type="dxa"/>
            <w:vMerge w:val="continue"/>
            <w:vAlign w:val="center"/>
          </w:tcPr>
          <w:p>
            <w:pPr>
              <w:pStyle w:val="119"/>
              <w:tabs>
                <w:tab w:val="left" w:pos="1260"/>
              </w:tabs>
              <w:snapToGrid w:val="0"/>
              <w:spacing w:line="360" w:lineRule="auto"/>
              <w:jc w:val="center"/>
              <w:rPr>
                <w:szCs w:val="21"/>
                <w:lang w:val="en-GB"/>
              </w:rPr>
            </w:pPr>
          </w:p>
        </w:tc>
        <w:tc>
          <w:tcPr>
            <w:tcW w:w="1366" w:type="dxa"/>
            <w:vAlign w:val="center"/>
          </w:tcPr>
          <w:p>
            <w:pPr>
              <w:pStyle w:val="119"/>
              <w:tabs>
                <w:tab w:val="left" w:pos="1260"/>
              </w:tabs>
              <w:snapToGrid w:val="0"/>
              <w:spacing w:line="360" w:lineRule="auto"/>
              <w:jc w:val="center"/>
              <w:rPr>
                <w:szCs w:val="21"/>
                <w:lang w:val="en-GB"/>
              </w:rPr>
            </w:pPr>
          </w:p>
        </w:tc>
        <w:tc>
          <w:tcPr>
            <w:tcW w:w="2130" w:type="dxa"/>
            <w:vAlign w:val="center"/>
          </w:tcPr>
          <w:p>
            <w:pPr>
              <w:pStyle w:val="119"/>
              <w:tabs>
                <w:tab w:val="left" w:pos="1260"/>
              </w:tabs>
              <w:snapToGrid w:val="0"/>
              <w:spacing w:line="360" w:lineRule="auto"/>
              <w:jc w:val="center"/>
              <w:rPr>
                <w:szCs w:val="21"/>
                <w:lang w:val="en-GB"/>
              </w:rPr>
            </w:pPr>
          </w:p>
        </w:tc>
        <w:tc>
          <w:tcPr>
            <w:tcW w:w="1965" w:type="dxa"/>
            <w:vAlign w:val="center"/>
          </w:tcPr>
          <w:p>
            <w:pPr>
              <w:pStyle w:val="119"/>
              <w:tabs>
                <w:tab w:val="left" w:pos="1260"/>
              </w:tabs>
              <w:snapToGrid w:val="0"/>
              <w:spacing w:line="360" w:lineRule="auto"/>
              <w:jc w:val="center"/>
              <w:rPr>
                <w:szCs w:val="21"/>
                <w:lang w:val="en-GB"/>
              </w:rPr>
            </w:pPr>
          </w:p>
        </w:tc>
        <w:tc>
          <w:tcPr>
            <w:tcW w:w="1611" w:type="dxa"/>
            <w:vAlign w:val="center"/>
          </w:tcPr>
          <w:p>
            <w:pPr>
              <w:pStyle w:val="119"/>
              <w:tabs>
                <w:tab w:val="left" w:pos="1260"/>
              </w:tabs>
              <w:snapToGrid w:val="0"/>
              <w:spacing w:line="360" w:lineRule="auto"/>
              <w:jc w:val="center"/>
              <w:rPr>
                <w:szCs w:val="21"/>
                <w:lang w:val="en-GB"/>
              </w:rPr>
            </w:pPr>
          </w:p>
        </w:tc>
        <w:tc>
          <w:tcPr>
            <w:tcW w:w="1628" w:type="dxa"/>
            <w:vAlign w:val="center"/>
          </w:tcPr>
          <w:p>
            <w:pPr>
              <w:pStyle w:val="119"/>
              <w:tabs>
                <w:tab w:val="left" w:pos="1260"/>
              </w:tabs>
              <w:snapToGrid w:val="0"/>
              <w:spacing w:line="360" w:lineRule="auto"/>
              <w:jc w:val="center"/>
              <w:rPr>
                <w:szCs w:val="21"/>
                <w:lang w:val="en-GB"/>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 w:hRule="atLeast"/>
          <w:jc w:val="center"/>
        </w:trPr>
        <w:tc>
          <w:tcPr>
            <w:tcW w:w="1019" w:type="dxa"/>
            <w:vMerge w:val="continue"/>
            <w:vAlign w:val="center"/>
          </w:tcPr>
          <w:p>
            <w:pPr>
              <w:pStyle w:val="119"/>
              <w:tabs>
                <w:tab w:val="left" w:pos="1260"/>
              </w:tabs>
              <w:snapToGrid w:val="0"/>
              <w:spacing w:line="360" w:lineRule="auto"/>
              <w:jc w:val="center"/>
              <w:rPr>
                <w:szCs w:val="21"/>
                <w:lang w:val="en-GB"/>
              </w:rPr>
            </w:pPr>
          </w:p>
        </w:tc>
        <w:tc>
          <w:tcPr>
            <w:tcW w:w="1366" w:type="dxa"/>
            <w:vAlign w:val="center"/>
          </w:tcPr>
          <w:p>
            <w:pPr>
              <w:pStyle w:val="119"/>
              <w:tabs>
                <w:tab w:val="left" w:pos="1260"/>
              </w:tabs>
              <w:snapToGrid w:val="0"/>
              <w:spacing w:line="360" w:lineRule="auto"/>
              <w:jc w:val="center"/>
              <w:rPr>
                <w:szCs w:val="21"/>
                <w:lang w:val="en-GB"/>
              </w:rPr>
            </w:pPr>
          </w:p>
        </w:tc>
        <w:tc>
          <w:tcPr>
            <w:tcW w:w="2130" w:type="dxa"/>
            <w:vAlign w:val="center"/>
          </w:tcPr>
          <w:p>
            <w:pPr>
              <w:pStyle w:val="119"/>
              <w:tabs>
                <w:tab w:val="left" w:pos="1260"/>
              </w:tabs>
              <w:snapToGrid w:val="0"/>
              <w:spacing w:line="360" w:lineRule="auto"/>
              <w:jc w:val="center"/>
              <w:rPr>
                <w:szCs w:val="21"/>
                <w:lang w:val="en-GB"/>
              </w:rPr>
            </w:pPr>
          </w:p>
        </w:tc>
        <w:tc>
          <w:tcPr>
            <w:tcW w:w="1965" w:type="dxa"/>
            <w:vAlign w:val="center"/>
          </w:tcPr>
          <w:p>
            <w:pPr>
              <w:pStyle w:val="119"/>
              <w:tabs>
                <w:tab w:val="left" w:pos="1260"/>
              </w:tabs>
              <w:snapToGrid w:val="0"/>
              <w:spacing w:line="360" w:lineRule="auto"/>
              <w:jc w:val="center"/>
              <w:rPr>
                <w:szCs w:val="21"/>
                <w:lang w:val="en-GB"/>
              </w:rPr>
            </w:pPr>
          </w:p>
        </w:tc>
        <w:tc>
          <w:tcPr>
            <w:tcW w:w="1611" w:type="dxa"/>
            <w:vAlign w:val="center"/>
          </w:tcPr>
          <w:p>
            <w:pPr>
              <w:pStyle w:val="119"/>
              <w:tabs>
                <w:tab w:val="left" w:pos="1260"/>
              </w:tabs>
              <w:snapToGrid w:val="0"/>
              <w:spacing w:line="360" w:lineRule="auto"/>
              <w:jc w:val="center"/>
              <w:rPr>
                <w:szCs w:val="21"/>
                <w:lang w:val="en-GB"/>
              </w:rPr>
            </w:pPr>
          </w:p>
        </w:tc>
        <w:tc>
          <w:tcPr>
            <w:tcW w:w="1628" w:type="dxa"/>
            <w:vAlign w:val="center"/>
          </w:tcPr>
          <w:p>
            <w:pPr>
              <w:pStyle w:val="119"/>
              <w:tabs>
                <w:tab w:val="left" w:pos="1260"/>
              </w:tabs>
              <w:snapToGrid w:val="0"/>
              <w:spacing w:line="360" w:lineRule="auto"/>
              <w:jc w:val="center"/>
              <w:rPr>
                <w:szCs w:val="21"/>
                <w:lang w:val="en-GB"/>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 w:hRule="atLeast"/>
          <w:jc w:val="center"/>
        </w:trPr>
        <w:tc>
          <w:tcPr>
            <w:tcW w:w="1019" w:type="dxa"/>
            <w:vMerge w:val="continue"/>
            <w:vAlign w:val="center"/>
          </w:tcPr>
          <w:p>
            <w:pPr>
              <w:pStyle w:val="119"/>
              <w:tabs>
                <w:tab w:val="left" w:pos="1260"/>
              </w:tabs>
              <w:snapToGrid w:val="0"/>
              <w:spacing w:line="360" w:lineRule="auto"/>
              <w:jc w:val="center"/>
              <w:rPr>
                <w:szCs w:val="21"/>
                <w:lang w:val="en-GB"/>
              </w:rPr>
            </w:pPr>
          </w:p>
        </w:tc>
        <w:tc>
          <w:tcPr>
            <w:tcW w:w="1366" w:type="dxa"/>
            <w:vAlign w:val="center"/>
          </w:tcPr>
          <w:p>
            <w:pPr>
              <w:pStyle w:val="119"/>
              <w:tabs>
                <w:tab w:val="left" w:pos="1260"/>
              </w:tabs>
              <w:snapToGrid w:val="0"/>
              <w:spacing w:line="360" w:lineRule="auto"/>
              <w:jc w:val="center"/>
              <w:rPr>
                <w:szCs w:val="21"/>
                <w:lang w:val="en-GB"/>
              </w:rPr>
            </w:pPr>
          </w:p>
        </w:tc>
        <w:tc>
          <w:tcPr>
            <w:tcW w:w="2130" w:type="dxa"/>
            <w:vAlign w:val="center"/>
          </w:tcPr>
          <w:p>
            <w:pPr>
              <w:pStyle w:val="119"/>
              <w:tabs>
                <w:tab w:val="left" w:pos="1260"/>
              </w:tabs>
              <w:snapToGrid w:val="0"/>
              <w:spacing w:line="360" w:lineRule="auto"/>
              <w:jc w:val="center"/>
              <w:rPr>
                <w:szCs w:val="21"/>
                <w:lang w:val="en-GB"/>
              </w:rPr>
            </w:pPr>
          </w:p>
        </w:tc>
        <w:tc>
          <w:tcPr>
            <w:tcW w:w="1965" w:type="dxa"/>
            <w:vAlign w:val="center"/>
          </w:tcPr>
          <w:p>
            <w:pPr>
              <w:pStyle w:val="119"/>
              <w:tabs>
                <w:tab w:val="left" w:pos="1260"/>
              </w:tabs>
              <w:snapToGrid w:val="0"/>
              <w:spacing w:line="360" w:lineRule="auto"/>
              <w:jc w:val="center"/>
              <w:rPr>
                <w:szCs w:val="21"/>
                <w:lang w:val="en-GB"/>
              </w:rPr>
            </w:pPr>
          </w:p>
        </w:tc>
        <w:tc>
          <w:tcPr>
            <w:tcW w:w="1611" w:type="dxa"/>
            <w:vAlign w:val="center"/>
          </w:tcPr>
          <w:p>
            <w:pPr>
              <w:pStyle w:val="119"/>
              <w:tabs>
                <w:tab w:val="left" w:pos="1260"/>
              </w:tabs>
              <w:snapToGrid w:val="0"/>
              <w:spacing w:line="360" w:lineRule="auto"/>
              <w:jc w:val="center"/>
              <w:rPr>
                <w:szCs w:val="21"/>
                <w:lang w:val="en-GB"/>
              </w:rPr>
            </w:pPr>
          </w:p>
        </w:tc>
        <w:tc>
          <w:tcPr>
            <w:tcW w:w="1628" w:type="dxa"/>
            <w:vAlign w:val="center"/>
          </w:tcPr>
          <w:p>
            <w:pPr>
              <w:pStyle w:val="119"/>
              <w:tabs>
                <w:tab w:val="left" w:pos="1260"/>
              </w:tabs>
              <w:snapToGrid w:val="0"/>
              <w:spacing w:line="360" w:lineRule="auto"/>
              <w:jc w:val="center"/>
              <w:rPr>
                <w:szCs w:val="21"/>
                <w:lang w:val="en-GB"/>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5" w:hRule="atLeast"/>
          <w:jc w:val="center"/>
        </w:trPr>
        <w:tc>
          <w:tcPr>
            <w:tcW w:w="1019" w:type="dxa"/>
            <w:vMerge w:val="continue"/>
            <w:vAlign w:val="center"/>
          </w:tcPr>
          <w:p>
            <w:pPr>
              <w:pStyle w:val="119"/>
              <w:tabs>
                <w:tab w:val="left" w:pos="1260"/>
              </w:tabs>
              <w:snapToGrid w:val="0"/>
              <w:spacing w:line="360" w:lineRule="auto"/>
              <w:jc w:val="center"/>
              <w:rPr>
                <w:szCs w:val="21"/>
                <w:lang w:val="en-GB"/>
              </w:rPr>
            </w:pPr>
          </w:p>
        </w:tc>
        <w:tc>
          <w:tcPr>
            <w:tcW w:w="7072" w:type="dxa"/>
            <w:gridSpan w:val="4"/>
            <w:vAlign w:val="center"/>
          </w:tcPr>
          <w:p>
            <w:pPr>
              <w:pStyle w:val="119"/>
              <w:tabs>
                <w:tab w:val="left" w:pos="1260"/>
              </w:tabs>
              <w:snapToGrid w:val="0"/>
              <w:spacing w:line="360" w:lineRule="auto"/>
              <w:jc w:val="center"/>
              <w:rPr>
                <w:szCs w:val="21"/>
                <w:lang w:val="en-GB"/>
              </w:rPr>
            </w:pPr>
            <w:r>
              <w:rPr>
                <w:rFonts w:hAnsi="宋体"/>
                <w:szCs w:val="21"/>
              </w:rPr>
              <w:t>小型、微型企业产品</w:t>
            </w:r>
            <w:r>
              <w:rPr>
                <w:rFonts w:hAnsi="宋体"/>
                <w:szCs w:val="21"/>
                <w:lang w:val="en-GB"/>
              </w:rPr>
              <w:t>金额合计</w:t>
            </w:r>
          </w:p>
        </w:tc>
        <w:tc>
          <w:tcPr>
            <w:tcW w:w="1628" w:type="dxa"/>
            <w:vAlign w:val="center"/>
          </w:tcPr>
          <w:p>
            <w:pPr>
              <w:pStyle w:val="119"/>
              <w:tabs>
                <w:tab w:val="left" w:pos="1260"/>
              </w:tabs>
              <w:snapToGrid w:val="0"/>
              <w:spacing w:line="360" w:lineRule="auto"/>
              <w:jc w:val="center"/>
              <w:rPr>
                <w:szCs w:val="21"/>
                <w:lang w:val="en-GB"/>
              </w:rPr>
            </w:pPr>
          </w:p>
        </w:tc>
      </w:tr>
    </w:tbl>
    <w:p>
      <w:pPr>
        <w:pStyle w:val="119"/>
        <w:tabs>
          <w:tab w:val="left" w:pos="1260"/>
        </w:tabs>
        <w:snapToGrid w:val="0"/>
        <w:spacing w:line="360" w:lineRule="auto"/>
        <w:rPr>
          <w:rFonts w:hAnsi="宋体"/>
          <w:szCs w:val="21"/>
        </w:rPr>
      </w:pPr>
      <w:bookmarkStart w:id="44" w:name="_Toc6057"/>
      <w:bookmarkStart w:id="45" w:name="_Toc514420711"/>
      <w:bookmarkStart w:id="46" w:name="_Toc514337540"/>
      <w:bookmarkStart w:id="47" w:name="_Toc518478272"/>
      <w:bookmarkStart w:id="48" w:name="_Toc18384"/>
      <w:bookmarkStart w:id="49" w:name="_Toc515011017"/>
      <w:bookmarkStart w:id="50" w:name="_Toc508709359"/>
      <w:bookmarkStart w:id="51" w:name="_Toc513560346"/>
      <w:bookmarkStart w:id="52" w:name="_Toc16182"/>
      <w:bookmarkStart w:id="53" w:name="_Toc509218976"/>
      <w:bookmarkStart w:id="54" w:name="_Toc515011118"/>
      <w:r>
        <w:rPr>
          <w:rFonts w:hAnsi="宋体"/>
          <w:szCs w:val="21"/>
        </w:rPr>
        <w:t>填报要求：</w:t>
      </w:r>
      <w:bookmarkEnd w:id="44"/>
      <w:bookmarkEnd w:id="45"/>
      <w:bookmarkEnd w:id="46"/>
      <w:bookmarkEnd w:id="47"/>
      <w:bookmarkEnd w:id="48"/>
      <w:bookmarkEnd w:id="49"/>
      <w:bookmarkEnd w:id="50"/>
      <w:bookmarkEnd w:id="51"/>
      <w:bookmarkEnd w:id="52"/>
      <w:bookmarkEnd w:id="53"/>
      <w:bookmarkEnd w:id="54"/>
    </w:p>
    <w:p>
      <w:pPr>
        <w:pStyle w:val="119"/>
        <w:tabs>
          <w:tab w:val="left" w:pos="1260"/>
        </w:tabs>
        <w:snapToGrid w:val="0"/>
        <w:spacing w:line="360" w:lineRule="auto"/>
        <w:rPr>
          <w:rFonts w:hAnsi="宋体"/>
          <w:szCs w:val="21"/>
        </w:rPr>
      </w:pPr>
      <w:bookmarkStart w:id="55" w:name="_Toc18997"/>
      <w:bookmarkStart w:id="56" w:name="_Toc27763"/>
      <w:bookmarkStart w:id="57" w:name="_Toc21278"/>
      <w:bookmarkStart w:id="58" w:name="_Toc508709360"/>
      <w:bookmarkStart w:id="59" w:name="_Toc513560347"/>
      <w:bookmarkStart w:id="60" w:name="_Toc515011119"/>
      <w:bookmarkStart w:id="61" w:name="_Toc514337541"/>
      <w:bookmarkStart w:id="62" w:name="_Toc515011018"/>
      <w:bookmarkStart w:id="63" w:name="_Toc514420712"/>
      <w:bookmarkStart w:id="64" w:name="_Toc509218977"/>
      <w:bookmarkStart w:id="65" w:name="_Toc518478273"/>
      <w:r>
        <w:rPr>
          <w:rFonts w:hAnsi="宋体"/>
          <w:szCs w:val="21"/>
        </w:rPr>
        <w:t>1. 本表的</w:t>
      </w:r>
      <w:r>
        <w:rPr>
          <w:rFonts w:hint="eastAsia" w:hAnsi="宋体"/>
          <w:szCs w:val="21"/>
        </w:rPr>
        <w:t>“货物</w:t>
      </w:r>
      <w:r>
        <w:rPr>
          <w:rFonts w:hAnsi="宋体"/>
          <w:szCs w:val="21"/>
        </w:rPr>
        <w:t>名称</w:t>
      </w:r>
      <w:r>
        <w:rPr>
          <w:rFonts w:hint="eastAsia" w:hAnsi="宋体"/>
          <w:szCs w:val="21"/>
        </w:rPr>
        <w:t>”</w:t>
      </w:r>
      <w:r>
        <w:rPr>
          <w:rFonts w:hAnsi="宋体"/>
          <w:szCs w:val="21"/>
        </w:rPr>
        <w:t>、</w:t>
      </w:r>
      <w:r>
        <w:rPr>
          <w:rFonts w:hint="eastAsia" w:hAnsi="宋体"/>
          <w:szCs w:val="21"/>
        </w:rPr>
        <w:t>“</w:t>
      </w:r>
      <w:r>
        <w:rPr>
          <w:rFonts w:hAnsi="宋体"/>
          <w:szCs w:val="21"/>
        </w:rPr>
        <w:t>品牌</w:t>
      </w:r>
      <w:r>
        <w:rPr>
          <w:rFonts w:hint="eastAsia" w:hAnsi="宋体"/>
          <w:szCs w:val="21"/>
        </w:rPr>
        <w:t>规格型号”、“金额”</w:t>
      </w:r>
      <w:r>
        <w:rPr>
          <w:rFonts w:hAnsi="宋体"/>
          <w:szCs w:val="21"/>
        </w:rPr>
        <w:t>应与《</w:t>
      </w:r>
      <w:r>
        <w:rPr>
          <w:rFonts w:hint="eastAsia" w:hAnsi="宋体"/>
          <w:szCs w:val="21"/>
        </w:rPr>
        <w:t>开标一览表</w:t>
      </w:r>
      <w:r>
        <w:rPr>
          <w:rFonts w:hAnsi="宋体"/>
          <w:szCs w:val="21"/>
        </w:rPr>
        <w:t>》</w:t>
      </w:r>
      <w:r>
        <w:rPr>
          <w:rFonts w:hint="eastAsia" w:hAnsi="宋体"/>
          <w:szCs w:val="21"/>
        </w:rPr>
        <w:t>的“货物名称”、“</w:t>
      </w:r>
      <w:r>
        <w:rPr>
          <w:rFonts w:hAnsi="宋体"/>
          <w:szCs w:val="21"/>
        </w:rPr>
        <w:t>品牌</w:t>
      </w:r>
      <w:r>
        <w:rPr>
          <w:rFonts w:hint="eastAsia" w:hAnsi="宋体"/>
          <w:szCs w:val="21"/>
        </w:rPr>
        <w:t>规格型号”、“投标单价”</w:t>
      </w:r>
      <w:r>
        <w:rPr>
          <w:rFonts w:hAnsi="宋体"/>
          <w:szCs w:val="21"/>
        </w:rPr>
        <w:t>一致</w:t>
      </w:r>
      <w:r>
        <w:rPr>
          <w:rFonts w:hint="eastAsia" w:hAnsi="宋体"/>
          <w:szCs w:val="21"/>
        </w:rPr>
        <w:t>。</w:t>
      </w:r>
      <w:bookmarkEnd w:id="55"/>
      <w:bookmarkEnd w:id="56"/>
      <w:bookmarkEnd w:id="57"/>
      <w:bookmarkEnd w:id="58"/>
      <w:bookmarkEnd w:id="59"/>
      <w:bookmarkEnd w:id="60"/>
      <w:bookmarkEnd w:id="61"/>
      <w:bookmarkEnd w:id="62"/>
      <w:bookmarkEnd w:id="63"/>
      <w:bookmarkEnd w:id="64"/>
      <w:bookmarkEnd w:id="65"/>
    </w:p>
    <w:p>
      <w:pPr>
        <w:pStyle w:val="119"/>
        <w:tabs>
          <w:tab w:val="left" w:pos="1260"/>
        </w:tabs>
        <w:snapToGrid w:val="0"/>
        <w:spacing w:line="360" w:lineRule="auto"/>
        <w:rPr>
          <w:rFonts w:hAnsi="宋体"/>
          <w:szCs w:val="21"/>
        </w:rPr>
      </w:pPr>
      <w:bookmarkStart w:id="66" w:name="_Toc508709361"/>
      <w:bookmarkStart w:id="67" w:name="_Toc4592"/>
      <w:bookmarkStart w:id="68" w:name="_Toc27098"/>
      <w:bookmarkStart w:id="69" w:name="_Toc18212"/>
      <w:bookmarkStart w:id="70" w:name="_Toc514420713"/>
      <w:bookmarkStart w:id="71" w:name="_Toc518478274"/>
      <w:bookmarkStart w:id="72" w:name="_Toc515011120"/>
      <w:bookmarkStart w:id="73" w:name="_Toc513560348"/>
      <w:bookmarkStart w:id="74" w:name="_Toc515011019"/>
      <w:bookmarkStart w:id="75" w:name="_Toc509218978"/>
      <w:bookmarkStart w:id="76" w:name="_Toc514337542"/>
      <w:r>
        <w:rPr>
          <w:rFonts w:hAnsi="宋体"/>
          <w:szCs w:val="21"/>
        </w:rPr>
        <w:t>2. “制造商企业类型”栏填写内容</w:t>
      </w:r>
      <w:r>
        <w:rPr>
          <w:rFonts w:hint="eastAsia" w:hAnsi="宋体"/>
          <w:szCs w:val="21"/>
        </w:rPr>
        <w:t>应</w:t>
      </w:r>
      <w:r>
        <w:rPr>
          <w:rFonts w:hAnsi="宋体"/>
          <w:szCs w:val="21"/>
        </w:rPr>
        <w:t>为“小型”</w:t>
      </w:r>
      <w:r>
        <w:rPr>
          <w:rFonts w:hint="eastAsia" w:hAnsi="宋体"/>
          <w:szCs w:val="21"/>
        </w:rPr>
        <w:t>、</w:t>
      </w:r>
      <w:r>
        <w:rPr>
          <w:rFonts w:hAnsi="宋体"/>
          <w:szCs w:val="21"/>
        </w:rPr>
        <w:t>“微型”</w:t>
      </w:r>
      <w:r>
        <w:rPr>
          <w:rFonts w:hint="eastAsia" w:hAnsi="宋体"/>
          <w:szCs w:val="21"/>
        </w:rPr>
        <w:t>、“监狱企业”或“残疾人福利性单位”</w:t>
      </w:r>
      <w:r>
        <w:rPr>
          <w:rFonts w:hAnsi="宋体"/>
          <w:szCs w:val="21"/>
        </w:rPr>
        <w:t>。</w:t>
      </w:r>
      <w:bookmarkEnd w:id="66"/>
      <w:bookmarkEnd w:id="67"/>
      <w:bookmarkEnd w:id="68"/>
      <w:bookmarkEnd w:id="69"/>
      <w:bookmarkEnd w:id="70"/>
      <w:bookmarkEnd w:id="71"/>
      <w:bookmarkEnd w:id="72"/>
      <w:bookmarkEnd w:id="73"/>
      <w:bookmarkEnd w:id="74"/>
      <w:bookmarkEnd w:id="75"/>
      <w:bookmarkEnd w:id="76"/>
    </w:p>
    <w:p>
      <w:pPr>
        <w:pStyle w:val="119"/>
        <w:tabs>
          <w:tab w:val="left" w:pos="1260"/>
        </w:tabs>
        <w:snapToGrid w:val="0"/>
        <w:spacing w:line="360" w:lineRule="auto"/>
        <w:rPr>
          <w:rFonts w:hAnsi="宋体"/>
          <w:szCs w:val="21"/>
        </w:rPr>
      </w:pPr>
      <w:bookmarkStart w:id="77" w:name="_Toc32452"/>
      <w:bookmarkStart w:id="78" w:name="_Toc508709362"/>
      <w:bookmarkStart w:id="79" w:name="_Toc515011020"/>
      <w:bookmarkStart w:id="80" w:name="_Toc513560349"/>
      <w:bookmarkStart w:id="81" w:name="_Toc11702"/>
      <w:bookmarkStart w:id="82" w:name="_Toc26567"/>
      <w:bookmarkStart w:id="83" w:name="_Toc509218979"/>
      <w:bookmarkStart w:id="84" w:name="_Toc514337543"/>
      <w:bookmarkStart w:id="85" w:name="_Toc514420714"/>
      <w:bookmarkStart w:id="86" w:name="_Toc515011121"/>
      <w:bookmarkStart w:id="87" w:name="_Toc518478275"/>
      <w:r>
        <w:rPr>
          <w:rFonts w:hint="eastAsia" w:hAnsi="宋体"/>
          <w:szCs w:val="21"/>
        </w:rPr>
        <w:t>3</w:t>
      </w:r>
      <w:r>
        <w:rPr>
          <w:rFonts w:hAnsi="宋体"/>
          <w:szCs w:val="21"/>
        </w:rPr>
        <w:t>. 请投标人正确填写本表，所填内容将作为</w:t>
      </w:r>
      <w:r>
        <w:rPr>
          <w:rFonts w:hint="eastAsia" w:hAnsi="宋体"/>
          <w:szCs w:val="21"/>
        </w:rPr>
        <w:t>报价的</w:t>
      </w:r>
      <w:r>
        <w:rPr>
          <w:rFonts w:hAnsi="宋体"/>
          <w:szCs w:val="21"/>
        </w:rPr>
        <w:t>评分依据。如果填写不完整或有误，不再享受上述政策优惠。</w:t>
      </w:r>
      <w:bookmarkEnd w:id="77"/>
      <w:bookmarkEnd w:id="78"/>
      <w:bookmarkEnd w:id="79"/>
      <w:bookmarkEnd w:id="80"/>
      <w:bookmarkEnd w:id="81"/>
      <w:bookmarkEnd w:id="82"/>
      <w:bookmarkEnd w:id="83"/>
      <w:bookmarkEnd w:id="84"/>
      <w:bookmarkEnd w:id="85"/>
      <w:bookmarkEnd w:id="86"/>
      <w:bookmarkEnd w:id="87"/>
    </w:p>
    <w:p>
      <w:pPr>
        <w:pStyle w:val="119"/>
        <w:tabs>
          <w:tab w:val="left" w:pos="1260"/>
        </w:tabs>
        <w:snapToGrid w:val="0"/>
        <w:spacing w:line="360" w:lineRule="auto"/>
        <w:rPr>
          <w:rFonts w:hAnsi="宋体"/>
          <w:b/>
          <w:szCs w:val="21"/>
        </w:rPr>
      </w:pPr>
      <w:r>
        <w:rPr>
          <w:rFonts w:hint="eastAsia" w:hAnsi="宋体"/>
          <w:b/>
          <w:szCs w:val="21"/>
        </w:rPr>
        <w:t>４．该表格只针对货物类招标项目。</w:t>
      </w:r>
    </w:p>
    <w:p>
      <w:pPr>
        <w:spacing w:line="360" w:lineRule="auto"/>
        <w:ind w:firstLine="420" w:firstLineChars="200"/>
        <w:outlineLvl w:val="0"/>
      </w:pPr>
    </w:p>
    <w:p>
      <w:pPr>
        <w:spacing w:line="360" w:lineRule="auto"/>
        <w:ind w:firstLine="420" w:firstLineChars="200"/>
        <w:outlineLvl w:val="0"/>
      </w:pPr>
    </w:p>
    <w:p>
      <w:pPr>
        <w:spacing w:beforeLines="50" w:line="360" w:lineRule="auto"/>
        <w:ind w:left="3969" w:leftChars="1890" w:right="-21" w:rightChars="-10" w:firstLine="945" w:firstLineChars="450"/>
        <w:rPr>
          <w:rFonts w:ascii="仿宋_GB2312" w:hAnsi="宋体"/>
        </w:rPr>
      </w:pPr>
      <w:r>
        <w:rPr>
          <w:rFonts w:hint="eastAsia" w:ascii="仿宋_GB2312" w:hAnsi="宋体"/>
        </w:rPr>
        <w:t>投标人（盖章）：</w:t>
      </w:r>
    </w:p>
    <w:p>
      <w:pPr>
        <w:spacing w:beforeLines="50" w:line="360" w:lineRule="auto"/>
        <w:ind w:left="3969" w:leftChars="1890" w:right="-21" w:rightChars="-10" w:firstLine="945" w:firstLineChars="450"/>
        <w:rPr>
          <w:rFonts w:ascii="仿宋_GB2312" w:hAnsi="宋体"/>
        </w:rPr>
      </w:pPr>
      <w:r>
        <w:rPr>
          <w:rFonts w:hint="eastAsia" w:ascii="仿宋_GB2312" w:hAnsi="宋体"/>
        </w:rPr>
        <w:t>日期：</w:t>
      </w:r>
    </w:p>
    <w:p/>
    <w:p/>
    <w:p/>
    <w:p/>
    <w:p/>
    <w:p>
      <w:pPr>
        <w:snapToGrid w:val="0"/>
        <w:spacing w:before="50" w:after="50"/>
        <w:jc w:val="center"/>
        <w:rPr>
          <w:rFonts w:ascii="仿宋" w:hAnsi="仿宋" w:eastAsia="仿宋"/>
          <w:b/>
          <w:sz w:val="36"/>
          <w:szCs w:val="36"/>
        </w:rPr>
      </w:pPr>
      <w:r>
        <w:rPr>
          <w:rFonts w:hint="eastAsia" w:ascii="仿宋" w:hAnsi="仿宋" w:eastAsia="仿宋"/>
          <w:b/>
          <w:sz w:val="36"/>
          <w:szCs w:val="36"/>
        </w:rPr>
        <w:t>十一、质 疑 函 范 本（供参考）</w:t>
      </w:r>
    </w:p>
    <w:p>
      <w:pPr>
        <w:snapToGrid w:val="0"/>
        <w:spacing w:beforeLines="100"/>
        <w:rPr>
          <w:rFonts w:ascii="宋体" w:hAnsi="宋体" w:cs="仿宋"/>
          <w:bCs/>
        </w:rPr>
      </w:pPr>
      <w:r>
        <w:rPr>
          <w:rFonts w:hint="eastAsia" w:ascii="宋体" w:hAnsi="宋体" w:cs="仿宋"/>
          <w:bCs/>
        </w:rPr>
        <w:t>一、质疑供应商基本信息</w:t>
      </w:r>
    </w:p>
    <w:p>
      <w:pPr>
        <w:snapToGrid w:val="0"/>
        <w:rPr>
          <w:rFonts w:ascii="宋体" w:hAnsi="宋体" w:cs="仿宋"/>
          <w:u w:val="dotted"/>
        </w:rPr>
      </w:pPr>
      <w:r>
        <w:rPr>
          <w:rFonts w:hint="eastAsia" w:ascii="宋体" w:hAnsi="宋体" w:cs="仿宋"/>
        </w:rPr>
        <w:t>质疑供应商：</w:t>
      </w:r>
      <w:r>
        <w:rPr>
          <w:rFonts w:hint="eastAsia" w:ascii="宋体" w:hAnsi="宋体" w:cs="仿宋"/>
          <w:u w:val="dotted"/>
        </w:rPr>
        <w:t xml:space="preserve">                                        </w:t>
      </w:r>
    </w:p>
    <w:p>
      <w:pPr>
        <w:snapToGrid w:val="0"/>
        <w:rPr>
          <w:rFonts w:ascii="宋体" w:hAnsi="宋体" w:cs="仿宋"/>
        </w:rPr>
      </w:pPr>
      <w:r>
        <w:rPr>
          <w:rFonts w:hint="eastAsia" w:ascii="宋体" w:hAnsi="宋体" w:cs="仿宋"/>
        </w:rPr>
        <w:t>地址：</w:t>
      </w:r>
      <w:r>
        <w:rPr>
          <w:rFonts w:hint="eastAsia" w:ascii="宋体" w:hAnsi="宋体" w:cs="仿宋"/>
          <w:u w:val="dotted"/>
        </w:rPr>
        <w:t xml:space="preserve">                          </w:t>
      </w:r>
      <w:r>
        <w:rPr>
          <w:rFonts w:hint="eastAsia" w:ascii="宋体" w:hAnsi="宋体" w:cs="仿宋"/>
        </w:rPr>
        <w:t>邮编：</w:t>
      </w:r>
      <w:r>
        <w:rPr>
          <w:rFonts w:hint="eastAsia" w:ascii="宋体" w:hAnsi="宋体" w:cs="仿宋"/>
          <w:u w:val="dotted"/>
        </w:rPr>
        <w:t xml:space="preserve">                                                   </w:t>
      </w:r>
    </w:p>
    <w:p>
      <w:pPr>
        <w:snapToGrid w:val="0"/>
        <w:rPr>
          <w:rFonts w:ascii="宋体" w:hAnsi="宋体" w:cs="仿宋"/>
        </w:rPr>
      </w:pPr>
      <w:r>
        <w:rPr>
          <w:rFonts w:hint="eastAsia" w:ascii="宋体" w:hAnsi="宋体" w:cs="仿宋"/>
        </w:rPr>
        <w:t>联系人：</w:t>
      </w:r>
      <w:r>
        <w:rPr>
          <w:rFonts w:hint="eastAsia" w:ascii="宋体" w:hAnsi="宋体" w:cs="仿宋"/>
          <w:u w:val="dotted"/>
        </w:rPr>
        <w:t xml:space="preserve">                      </w:t>
      </w:r>
      <w:r>
        <w:rPr>
          <w:rFonts w:hint="eastAsia" w:ascii="宋体" w:hAnsi="宋体" w:cs="仿宋"/>
        </w:rPr>
        <w:t>联系电话：</w:t>
      </w:r>
      <w:r>
        <w:rPr>
          <w:rFonts w:hint="eastAsia" w:ascii="宋体" w:hAnsi="宋体" w:cs="仿宋"/>
          <w:u w:val="dotted"/>
        </w:rPr>
        <w:t xml:space="preserve">                              </w:t>
      </w:r>
    </w:p>
    <w:p>
      <w:pPr>
        <w:snapToGrid w:val="0"/>
        <w:rPr>
          <w:rFonts w:ascii="宋体" w:hAnsi="宋体" w:cs="仿宋"/>
          <w:u w:val="dotted"/>
        </w:rPr>
      </w:pPr>
      <w:r>
        <w:rPr>
          <w:rFonts w:hint="eastAsia" w:ascii="宋体" w:hAnsi="宋体" w:cs="仿宋"/>
        </w:rPr>
        <w:t>授权代表：</w:t>
      </w:r>
      <w:r>
        <w:rPr>
          <w:rFonts w:hint="eastAsia" w:ascii="宋体" w:hAnsi="宋体" w:cs="仿宋"/>
          <w:u w:val="dotted"/>
        </w:rPr>
        <w:t xml:space="preserve">                                          </w:t>
      </w:r>
    </w:p>
    <w:p>
      <w:pPr>
        <w:snapToGrid w:val="0"/>
        <w:rPr>
          <w:rFonts w:ascii="宋体" w:hAnsi="宋体" w:cs="仿宋"/>
        </w:rPr>
      </w:pPr>
      <w:r>
        <w:rPr>
          <w:rFonts w:hint="eastAsia" w:ascii="宋体" w:hAnsi="宋体" w:cs="仿宋"/>
        </w:rPr>
        <w:t>联系电话：</w:t>
      </w:r>
      <w:r>
        <w:rPr>
          <w:rFonts w:hint="eastAsia" w:ascii="宋体" w:hAnsi="宋体" w:cs="仿宋"/>
          <w:u w:val="dotted"/>
        </w:rPr>
        <w:t xml:space="preserve">                                           </w:t>
      </w:r>
      <w:r>
        <w:rPr>
          <w:rFonts w:hint="eastAsia" w:ascii="宋体" w:hAnsi="宋体" w:cs="仿宋"/>
        </w:rPr>
        <w:t xml:space="preserve"> </w:t>
      </w:r>
    </w:p>
    <w:p>
      <w:pPr>
        <w:snapToGrid w:val="0"/>
        <w:rPr>
          <w:rFonts w:ascii="宋体" w:hAnsi="宋体" w:cs="仿宋"/>
        </w:rPr>
      </w:pPr>
      <w:r>
        <w:rPr>
          <w:rFonts w:hint="eastAsia" w:ascii="宋体" w:hAnsi="宋体" w:cs="仿宋"/>
        </w:rPr>
        <w:t xml:space="preserve">地址： </w:t>
      </w:r>
      <w:r>
        <w:rPr>
          <w:rFonts w:hint="eastAsia" w:ascii="宋体" w:hAnsi="宋体" w:cs="仿宋"/>
          <w:u w:val="dotted"/>
        </w:rPr>
        <w:t xml:space="preserve">                        </w:t>
      </w:r>
      <w:r>
        <w:rPr>
          <w:rFonts w:hint="eastAsia" w:ascii="宋体" w:hAnsi="宋体" w:cs="仿宋"/>
        </w:rPr>
        <w:t>邮编：</w:t>
      </w:r>
      <w:r>
        <w:rPr>
          <w:rFonts w:hint="eastAsia" w:ascii="宋体" w:hAnsi="宋体" w:cs="仿宋"/>
          <w:u w:val="dotted"/>
        </w:rPr>
        <w:t xml:space="preserve">                                                </w:t>
      </w:r>
    </w:p>
    <w:p>
      <w:pPr>
        <w:snapToGrid w:val="0"/>
        <w:rPr>
          <w:rFonts w:ascii="宋体" w:hAnsi="宋体" w:cs="仿宋"/>
          <w:bCs/>
        </w:rPr>
      </w:pPr>
      <w:r>
        <w:rPr>
          <w:rFonts w:hint="eastAsia" w:ascii="宋体" w:hAnsi="宋体" w:cs="仿宋"/>
          <w:bCs/>
        </w:rPr>
        <w:t>二、质疑项目基本情况</w:t>
      </w:r>
    </w:p>
    <w:p>
      <w:pPr>
        <w:snapToGrid w:val="0"/>
        <w:rPr>
          <w:rFonts w:ascii="宋体" w:hAnsi="宋体" w:cs="仿宋"/>
        </w:rPr>
      </w:pPr>
      <w:r>
        <w:rPr>
          <w:rFonts w:hint="eastAsia" w:ascii="宋体" w:hAnsi="宋体" w:cs="仿宋"/>
        </w:rPr>
        <w:t>质疑项目的名称：</w:t>
      </w:r>
      <w:r>
        <w:rPr>
          <w:rFonts w:hint="eastAsia" w:ascii="宋体" w:hAnsi="宋体" w:cs="仿宋"/>
          <w:u w:val="dotted"/>
        </w:rPr>
        <w:t xml:space="preserve">                                      </w:t>
      </w:r>
    </w:p>
    <w:p>
      <w:pPr>
        <w:snapToGrid w:val="0"/>
        <w:rPr>
          <w:rFonts w:ascii="宋体" w:hAnsi="宋体" w:cs="仿宋"/>
        </w:rPr>
      </w:pPr>
      <w:r>
        <w:rPr>
          <w:rFonts w:hint="eastAsia" w:ascii="宋体" w:hAnsi="宋体" w:cs="仿宋"/>
        </w:rPr>
        <w:t>质疑项目的编号：</w:t>
      </w:r>
      <w:r>
        <w:rPr>
          <w:rFonts w:hint="eastAsia" w:ascii="宋体" w:hAnsi="宋体" w:cs="仿宋"/>
          <w:u w:val="dotted"/>
        </w:rPr>
        <w:t xml:space="preserve">               </w:t>
      </w:r>
      <w:r>
        <w:rPr>
          <w:rFonts w:hint="eastAsia" w:ascii="宋体" w:hAnsi="宋体" w:cs="仿宋"/>
        </w:rPr>
        <w:t>包号（如有请填写）：</w:t>
      </w:r>
      <w:r>
        <w:rPr>
          <w:rFonts w:hint="eastAsia" w:ascii="宋体" w:hAnsi="宋体" w:cs="仿宋"/>
          <w:u w:val="dotted"/>
        </w:rPr>
        <w:t xml:space="preserve">                 </w:t>
      </w:r>
    </w:p>
    <w:p>
      <w:pPr>
        <w:snapToGrid w:val="0"/>
        <w:rPr>
          <w:rFonts w:ascii="宋体" w:hAnsi="宋体" w:cs="仿宋"/>
          <w:u w:val="dotted"/>
        </w:rPr>
      </w:pPr>
      <w:r>
        <w:rPr>
          <w:rFonts w:hint="eastAsia" w:ascii="宋体" w:hAnsi="宋体" w:cs="仿宋"/>
        </w:rPr>
        <w:t>采购人名称：</w:t>
      </w:r>
      <w:r>
        <w:rPr>
          <w:rFonts w:hint="eastAsia" w:ascii="宋体" w:hAnsi="宋体" w:cs="仿宋"/>
          <w:u w:val="dotted"/>
        </w:rPr>
        <w:t xml:space="preserve">                                         </w:t>
      </w:r>
    </w:p>
    <w:p>
      <w:pPr>
        <w:snapToGrid w:val="0"/>
        <w:rPr>
          <w:rFonts w:ascii="宋体" w:hAnsi="宋体" w:cs="仿宋"/>
        </w:rPr>
      </w:pPr>
      <w:r>
        <w:rPr>
          <w:rFonts w:hint="eastAsia" w:ascii="宋体" w:hAnsi="宋体" w:cs="仿宋"/>
        </w:rPr>
        <w:t>招标文件获取日期：</w:t>
      </w:r>
      <w:r>
        <w:rPr>
          <w:rFonts w:hint="eastAsia" w:ascii="宋体" w:hAnsi="宋体" w:cs="仿宋"/>
          <w:u w:val="dotted"/>
        </w:rPr>
        <w:t xml:space="preserve">                                           </w:t>
      </w:r>
    </w:p>
    <w:p>
      <w:pPr>
        <w:snapToGrid w:val="0"/>
        <w:rPr>
          <w:rFonts w:ascii="宋体" w:hAnsi="宋体" w:cs="仿宋"/>
          <w:bCs/>
        </w:rPr>
      </w:pPr>
      <w:r>
        <w:rPr>
          <w:rFonts w:hint="eastAsia" w:ascii="宋体" w:hAnsi="宋体" w:cs="仿宋"/>
          <w:bCs/>
        </w:rPr>
        <w:t>三、质疑事项具体内容</w:t>
      </w:r>
    </w:p>
    <w:p>
      <w:pPr>
        <w:snapToGrid w:val="0"/>
        <w:rPr>
          <w:rFonts w:ascii="宋体" w:hAnsi="宋体" w:cs="仿宋"/>
          <w:u w:val="dotted"/>
        </w:rPr>
      </w:pPr>
      <w:r>
        <w:rPr>
          <w:rFonts w:hint="eastAsia" w:ascii="宋体" w:hAnsi="宋体" w:cs="仿宋"/>
        </w:rPr>
        <w:t>质疑事项1：</w:t>
      </w:r>
      <w:r>
        <w:rPr>
          <w:rFonts w:hint="eastAsia" w:ascii="宋体" w:hAnsi="宋体" w:cs="仿宋"/>
          <w:u w:val="dotted"/>
        </w:rPr>
        <w:t xml:space="preserve">                                         </w:t>
      </w:r>
    </w:p>
    <w:p>
      <w:pPr>
        <w:snapToGrid w:val="0"/>
        <w:rPr>
          <w:rFonts w:ascii="宋体" w:hAnsi="宋体" w:cs="仿宋"/>
          <w:u w:val="dotted"/>
        </w:rPr>
      </w:pPr>
      <w:r>
        <w:rPr>
          <w:rFonts w:hint="eastAsia" w:ascii="宋体" w:hAnsi="宋体" w:cs="仿宋"/>
        </w:rPr>
        <w:t>事实依据：</w:t>
      </w:r>
      <w:r>
        <w:rPr>
          <w:rFonts w:hint="eastAsia" w:ascii="宋体" w:hAnsi="宋体" w:cs="仿宋"/>
          <w:u w:val="dotted"/>
        </w:rPr>
        <w:t xml:space="preserve">                                          </w:t>
      </w:r>
    </w:p>
    <w:p>
      <w:pPr>
        <w:snapToGrid w:val="0"/>
        <w:rPr>
          <w:rFonts w:ascii="宋体" w:hAnsi="宋体" w:cs="仿宋"/>
        </w:rPr>
      </w:pPr>
      <w:r>
        <w:rPr>
          <w:rFonts w:hint="eastAsia" w:ascii="宋体" w:hAnsi="宋体" w:cs="仿宋"/>
          <w:u w:val="dotted"/>
        </w:rPr>
        <w:t xml:space="preserve">                                                       </w:t>
      </w:r>
    </w:p>
    <w:p>
      <w:pPr>
        <w:snapToGrid w:val="0"/>
        <w:rPr>
          <w:rFonts w:ascii="宋体" w:hAnsi="宋体" w:cs="仿宋"/>
          <w:u w:val="dotted"/>
        </w:rPr>
      </w:pPr>
      <w:r>
        <w:rPr>
          <w:rFonts w:hint="eastAsia" w:ascii="宋体" w:hAnsi="宋体" w:cs="仿宋"/>
        </w:rPr>
        <w:t>法律依据：</w:t>
      </w:r>
      <w:r>
        <w:rPr>
          <w:rFonts w:hint="eastAsia" w:ascii="宋体" w:hAnsi="宋体" w:cs="仿宋"/>
          <w:u w:val="dotted"/>
        </w:rPr>
        <w:t xml:space="preserve">                                          </w:t>
      </w:r>
    </w:p>
    <w:p>
      <w:pPr>
        <w:snapToGrid w:val="0"/>
        <w:rPr>
          <w:rFonts w:ascii="宋体" w:hAnsi="宋体" w:cs="仿宋"/>
          <w:u w:val="dotted"/>
        </w:rPr>
      </w:pPr>
      <w:r>
        <w:rPr>
          <w:rFonts w:hint="eastAsia" w:ascii="宋体" w:hAnsi="宋体" w:cs="仿宋"/>
          <w:u w:val="dotted"/>
        </w:rPr>
        <w:t xml:space="preserve">                                                     </w:t>
      </w:r>
    </w:p>
    <w:p>
      <w:pPr>
        <w:snapToGrid w:val="0"/>
        <w:rPr>
          <w:rFonts w:ascii="宋体" w:hAnsi="宋体" w:cs="仿宋"/>
          <w:u w:val="dotted"/>
        </w:rPr>
      </w:pPr>
      <w:r>
        <w:rPr>
          <w:rFonts w:hint="eastAsia" w:ascii="宋体" w:hAnsi="宋体" w:cs="仿宋"/>
        </w:rPr>
        <w:t>质疑事项2</w:t>
      </w:r>
    </w:p>
    <w:p>
      <w:pPr>
        <w:snapToGrid w:val="0"/>
        <w:rPr>
          <w:rFonts w:ascii="宋体" w:hAnsi="宋体" w:cs="仿宋"/>
        </w:rPr>
      </w:pPr>
      <w:r>
        <w:rPr>
          <w:rFonts w:hint="eastAsia" w:ascii="宋体" w:hAnsi="宋体" w:cs="仿宋"/>
        </w:rPr>
        <w:t>……</w:t>
      </w:r>
    </w:p>
    <w:p>
      <w:pPr>
        <w:snapToGrid w:val="0"/>
        <w:rPr>
          <w:rFonts w:ascii="宋体" w:hAnsi="宋体" w:cs="仿宋"/>
          <w:bCs/>
        </w:rPr>
      </w:pPr>
      <w:r>
        <w:rPr>
          <w:rFonts w:hint="eastAsia" w:ascii="宋体" w:hAnsi="宋体" w:cs="仿宋"/>
          <w:bCs/>
        </w:rPr>
        <w:t>四、与质疑事项相关的质疑请求</w:t>
      </w:r>
    </w:p>
    <w:p>
      <w:pPr>
        <w:snapToGrid w:val="0"/>
        <w:rPr>
          <w:rFonts w:ascii="宋体" w:hAnsi="宋体" w:cs="仿宋"/>
          <w:u w:val="dotted"/>
        </w:rPr>
      </w:pPr>
      <w:r>
        <w:rPr>
          <w:rFonts w:hint="eastAsia" w:ascii="宋体" w:hAnsi="宋体" w:cs="仿宋"/>
        </w:rPr>
        <w:t>请求：</w:t>
      </w:r>
      <w:r>
        <w:rPr>
          <w:rFonts w:hint="eastAsia" w:ascii="宋体" w:hAnsi="宋体" w:cs="仿宋"/>
          <w:u w:val="dotted"/>
        </w:rPr>
        <w:t xml:space="preserve">                                               </w:t>
      </w:r>
    </w:p>
    <w:p>
      <w:pPr>
        <w:rPr>
          <w:rFonts w:ascii="宋体" w:hAnsi="宋体"/>
        </w:rPr>
      </w:pPr>
      <w:r>
        <w:rPr>
          <w:rFonts w:hint="eastAsia" w:ascii="宋体" w:hAnsi="宋体"/>
        </w:rPr>
        <w:t xml:space="preserve">签字(签章)：                   公章：                      </w:t>
      </w:r>
    </w:p>
    <w:p>
      <w:pPr>
        <w:rPr>
          <w:rFonts w:ascii="宋体" w:hAnsi="宋体"/>
        </w:rPr>
      </w:pPr>
      <w:r>
        <w:rPr>
          <w:rFonts w:hint="eastAsia" w:ascii="宋体" w:hAnsi="宋体"/>
        </w:rPr>
        <w:t xml:space="preserve">日期：    </w:t>
      </w:r>
    </w:p>
    <w:p>
      <w:pPr>
        <w:rPr>
          <w:rFonts w:ascii="宋体" w:hAnsi="宋体" w:cs="仿宋"/>
        </w:rPr>
      </w:pPr>
    </w:p>
    <w:p>
      <w:pPr>
        <w:rPr>
          <w:rFonts w:ascii="宋体" w:hAnsi="宋体"/>
          <w:b/>
        </w:rPr>
      </w:pPr>
      <w:r>
        <w:rPr>
          <w:rFonts w:hint="eastAsia" w:ascii="宋体" w:hAnsi="宋体"/>
          <w:b/>
        </w:rPr>
        <w:t>质疑函制作说明：</w:t>
      </w:r>
    </w:p>
    <w:p>
      <w:pPr>
        <w:ind w:firstLine="420" w:firstLineChars="200"/>
        <w:rPr>
          <w:rFonts w:ascii="宋体" w:hAnsi="宋体"/>
        </w:rPr>
      </w:pPr>
      <w:r>
        <w:rPr>
          <w:rFonts w:hint="eastAsia" w:ascii="宋体" w:hAnsi="宋体"/>
        </w:rPr>
        <w:t>1.供应商提出质疑时，应提交质疑函和必要的证明材料。</w:t>
      </w:r>
    </w:p>
    <w:p>
      <w:pPr>
        <w:ind w:firstLine="420" w:firstLineChars="200"/>
        <w:rPr>
          <w:rFonts w:ascii="宋体" w:hAnsi="宋体"/>
        </w:rPr>
      </w:pPr>
      <w:r>
        <w:rPr>
          <w:rFonts w:hint="eastAsia" w:ascii="宋体" w:hAnsi="宋体"/>
        </w:rPr>
        <w:t>2.质疑供应商若委托代理人进行质疑的，质疑函应按要求列明“授权代表”的有关内容，并在附件中提交由质疑</w:t>
      </w:r>
      <w:r>
        <w:rPr>
          <w:rFonts w:hint="eastAsia" w:ascii="宋体" w:hAnsi="宋体" w:cs="宋体"/>
        </w:rPr>
        <w:t>供应商签署的授权委托书。授权委托书应载明代理人的姓名或者名称、代理事项、具体权限、期限和相关事项。</w:t>
      </w:r>
    </w:p>
    <w:p>
      <w:pPr>
        <w:ind w:firstLine="420" w:firstLineChars="200"/>
        <w:rPr>
          <w:rFonts w:ascii="宋体" w:hAnsi="宋体"/>
        </w:rPr>
      </w:pPr>
      <w:r>
        <w:rPr>
          <w:rFonts w:hint="eastAsia" w:ascii="宋体" w:hAnsi="宋体"/>
        </w:rPr>
        <w:t>3.质疑供应商若对项目的某一分包进行质疑，质疑函中应列明具体分包号。</w:t>
      </w:r>
    </w:p>
    <w:p>
      <w:pPr>
        <w:ind w:firstLine="420" w:firstLineChars="200"/>
        <w:rPr>
          <w:rFonts w:ascii="宋体" w:hAnsi="宋体"/>
        </w:rPr>
      </w:pPr>
      <w:r>
        <w:rPr>
          <w:rFonts w:hint="eastAsia" w:ascii="宋体" w:hAnsi="宋体"/>
        </w:rPr>
        <w:t>4.质疑函的质疑事项应具体、明确，并有必要的事实依据和法律依据。</w:t>
      </w:r>
    </w:p>
    <w:p>
      <w:pPr>
        <w:ind w:firstLine="420" w:firstLineChars="200"/>
        <w:rPr>
          <w:rFonts w:ascii="宋体" w:hAnsi="宋体"/>
        </w:rPr>
      </w:pPr>
      <w:r>
        <w:rPr>
          <w:rFonts w:hint="eastAsia" w:ascii="宋体" w:hAnsi="宋体"/>
        </w:rPr>
        <w:t>5.质疑函的质疑请求应与质疑事项相关。</w:t>
      </w:r>
    </w:p>
    <w:p>
      <w:pPr>
        <w:ind w:firstLine="420" w:firstLineChars="200"/>
        <w:rPr>
          <w:rFonts w:ascii="宋体" w:hAnsi="宋体"/>
        </w:rPr>
      </w:pPr>
      <w:r>
        <w:rPr>
          <w:rFonts w:hint="eastAsia" w:ascii="宋体" w:hAnsi="宋体"/>
        </w:rPr>
        <w:t>6.质疑供应商为自然人的，质疑函应由本人签字；质疑供应商为法人或者其他组织的，质疑函应由法定代表人、主要负责人，或者其授权代表签字或者盖章，并加盖公章。</w:t>
      </w:r>
    </w:p>
    <w:p>
      <w:pPr>
        <w:snapToGrid w:val="0"/>
        <w:spacing w:before="50" w:after="50"/>
        <w:jc w:val="center"/>
        <w:rPr>
          <w:rFonts w:ascii="仿宋" w:hAnsi="仿宋" w:eastAsia="仿宋"/>
          <w:b/>
          <w:sz w:val="36"/>
          <w:szCs w:val="36"/>
        </w:rPr>
      </w:pPr>
      <w:r>
        <w:rPr>
          <w:rFonts w:ascii="仿宋" w:hAnsi="仿宋" w:eastAsia="仿宋"/>
          <w:b/>
          <w:sz w:val="36"/>
          <w:szCs w:val="36"/>
        </w:rPr>
        <w:br w:type="page"/>
      </w:r>
      <w:r>
        <w:rPr>
          <w:rFonts w:hint="eastAsia" w:ascii="仿宋" w:hAnsi="仿宋" w:eastAsia="仿宋"/>
          <w:b/>
          <w:sz w:val="36"/>
          <w:szCs w:val="36"/>
        </w:rPr>
        <w:t>十二、投 诉 书 范 本（供参考）</w:t>
      </w:r>
    </w:p>
    <w:p>
      <w:pPr>
        <w:rPr>
          <w:rFonts w:ascii="宋体" w:hAnsi="宋体"/>
        </w:rPr>
      </w:pPr>
      <w:r>
        <w:rPr>
          <w:rFonts w:hint="eastAsia" w:ascii="宋体" w:hAnsi="宋体"/>
        </w:rPr>
        <w:t>一、投诉相关主体基本情况</w:t>
      </w:r>
    </w:p>
    <w:p>
      <w:pPr>
        <w:snapToGrid w:val="0"/>
        <w:rPr>
          <w:rFonts w:ascii="宋体" w:hAnsi="宋体" w:cs="仿宋"/>
          <w:u w:val="dotted"/>
        </w:rPr>
      </w:pPr>
      <w:r>
        <w:rPr>
          <w:rFonts w:hint="eastAsia" w:ascii="宋体" w:hAnsi="宋体" w:cs="仿宋"/>
        </w:rPr>
        <w:t>投诉人：</w:t>
      </w:r>
      <w:r>
        <w:rPr>
          <w:rFonts w:hint="eastAsia" w:ascii="宋体" w:hAnsi="宋体" w:cs="仿宋"/>
          <w:u w:val="dotted"/>
        </w:rPr>
        <w:t xml:space="preserve">                                               </w:t>
      </w:r>
    </w:p>
    <w:p>
      <w:pPr>
        <w:rPr>
          <w:rFonts w:ascii="宋体" w:hAnsi="宋体"/>
          <w:u w:val="single"/>
        </w:rPr>
      </w:pPr>
      <w:r>
        <w:rPr>
          <w:rFonts w:hint="eastAsia" w:ascii="宋体" w:hAnsi="宋体" w:cs="仿宋"/>
        </w:rPr>
        <w:t>地     址：</w:t>
      </w:r>
      <w:r>
        <w:rPr>
          <w:rFonts w:hint="eastAsia" w:ascii="宋体" w:hAnsi="宋体" w:cs="仿宋"/>
          <w:u w:val="dotted"/>
        </w:rPr>
        <w:t xml:space="preserve">                             </w:t>
      </w:r>
      <w:r>
        <w:rPr>
          <w:rFonts w:hint="eastAsia" w:ascii="宋体" w:hAnsi="宋体"/>
        </w:rPr>
        <w:t>邮编：</w:t>
      </w:r>
      <w:r>
        <w:rPr>
          <w:rFonts w:hint="eastAsia" w:ascii="宋体" w:hAnsi="宋体"/>
          <w:u w:val="dotted"/>
        </w:rPr>
        <w:t xml:space="preserve">         </w:t>
      </w:r>
      <w:r>
        <w:rPr>
          <w:rFonts w:hint="eastAsia" w:ascii="宋体" w:hAnsi="宋体"/>
          <w:u w:val="single"/>
        </w:rPr>
        <w:t xml:space="preserve">   </w:t>
      </w:r>
    </w:p>
    <w:p>
      <w:pPr>
        <w:tabs>
          <w:tab w:val="left" w:pos="6510"/>
        </w:tabs>
        <w:rPr>
          <w:rFonts w:ascii="宋体" w:hAnsi="宋体"/>
        </w:rPr>
      </w:pPr>
      <w:r>
        <w:rPr>
          <w:rFonts w:hint="eastAsia" w:ascii="宋体" w:hAnsi="宋体"/>
        </w:rPr>
        <w:t>法定代表人/主要负责人：</w:t>
      </w:r>
      <w:r>
        <w:rPr>
          <w:rFonts w:hint="eastAsia" w:ascii="宋体" w:hAnsi="宋体"/>
          <w:u w:val="dotted"/>
        </w:rPr>
        <w:t xml:space="preserve">                                   </w:t>
      </w:r>
      <w:r>
        <w:rPr>
          <w:rFonts w:hint="eastAsia" w:ascii="宋体" w:hAnsi="宋体"/>
        </w:rPr>
        <w:t xml:space="preserve">  </w:t>
      </w:r>
    </w:p>
    <w:p>
      <w:pPr>
        <w:tabs>
          <w:tab w:val="left" w:pos="6510"/>
        </w:tabs>
        <w:rPr>
          <w:rFonts w:ascii="宋体" w:hAnsi="宋体"/>
          <w:u w:val="dotted"/>
        </w:rPr>
      </w:pPr>
      <w:r>
        <w:rPr>
          <w:rFonts w:hint="eastAsia" w:ascii="宋体" w:hAnsi="宋体"/>
        </w:rPr>
        <w:t>联系电话：</w:t>
      </w:r>
      <w:r>
        <w:rPr>
          <w:rFonts w:hint="eastAsia" w:ascii="宋体" w:hAnsi="宋体"/>
          <w:u w:val="dotted"/>
        </w:rPr>
        <w:t xml:space="preserve">                                             </w:t>
      </w:r>
    </w:p>
    <w:p>
      <w:pPr>
        <w:rPr>
          <w:rFonts w:ascii="宋体" w:hAnsi="宋体"/>
          <w:u w:val="dotted"/>
        </w:rPr>
      </w:pPr>
      <w:r>
        <w:rPr>
          <w:rFonts w:hint="eastAsia" w:ascii="宋体" w:hAnsi="宋体"/>
        </w:rPr>
        <w:t>授权代表：</w:t>
      </w:r>
      <w:r>
        <w:rPr>
          <w:rFonts w:hint="eastAsia" w:ascii="宋体" w:hAnsi="宋体"/>
          <w:u w:val="dotted"/>
        </w:rPr>
        <w:t xml:space="preserve">             </w:t>
      </w:r>
      <w:r>
        <w:rPr>
          <w:rFonts w:hint="eastAsia" w:ascii="宋体" w:hAnsi="宋体"/>
        </w:rPr>
        <w:t>联系电话</w:t>
      </w:r>
      <w:r>
        <w:rPr>
          <w:rFonts w:hint="eastAsia" w:ascii="宋体" w:hAnsi="宋体"/>
          <w:u w:val="dotted"/>
        </w:rPr>
        <w:t xml:space="preserve">：                  </w:t>
      </w:r>
    </w:p>
    <w:p>
      <w:pPr>
        <w:rPr>
          <w:rFonts w:ascii="宋体" w:hAnsi="宋体"/>
          <w:u w:val="dotted"/>
        </w:rPr>
      </w:pPr>
      <w:r>
        <w:rPr>
          <w:rFonts w:hint="eastAsia" w:ascii="宋体" w:hAnsi="宋体"/>
        </w:rPr>
        <w:t>地     址：</w:t>
      </w:r>
      <w:r>
        <w:rPr>
          <w:rFonts w:hint="eastAsia" w:ascii="宋体" w:hAnsi="宋体"/>
          <w:u w:val="dotted"/>
        </w:rPr>
        <w:t xml:space="preserve">                             </w:t>
      </w:r>
      <w:r>
        <w:rPr>
          <w:rFonts w:hint="eastAsia" w:ascii="宋体" w:hAnsi="宋体"/>
        </w:rPr>
        <w:t>邮编：</w:t>
      </w:r>
      <w:r>
        <w:rPr>
          <w:rFonts w:hint="eastAsia" w:ascii="宋体" w:hAnsi="宋体"/>
          <w:u w:val="dotted"/>
        </w:rPr>
        <w:t xml:space="preserve">         </w:t>
      </w:r>
      <w:r>
        <w:rPr>
          <w:rFonts w:hint="eastAsia" w:ascii="宋体" w:hAnsi="宋体"/>
          <w:u w:val="single"/>
        </w:rPr>
        <w:t xml:space="preserve"> </w:t>
      </w:r>
      <w:r>
        <w:rPr>
          <w:rFonts w:hint="eastAsia" w:ascii="宋体" w:hAnsi="宋体"/>
          <w:u w:val="dotted"/>
        </w:rPr>
        <w:t xml:space="preserve">                   </w:t>
      </w:r>
    </w:p>
    <w:p>
      <w:pPr>
        <w:rPr>
          <w:rFonts w:ascii="宋体" w:hAnsi="宋体"/>
          <w:u w:val="single"/>
        </w:rPr>
      </w:pPr>
      <w:r>
        <w:rPr>
          <w:rFonts w:hint="eastAsia" w:ascii="宋体" w:hAnsi="宋体"/>
        </w:rPr>
        <w:t>被投诉人1：</w:t>
      </w:r>
      <w:r>
        <w:rPr>
          <w:rFonts w:hint="eastAsia" w:ascii="宋体" w:hAnsi="宋体"/>
          <w:u w:val="dotted"/>
        </w:rPr>
        <w:t xml:space="preserve">                                           </w:t>
      </w:r>
      <w:r>
        <w:rPr>
          <w:rFonts w:hint="eastAsia" w:ascii="宋体" w:hAnsi="宋体"/>
          <w:u w:val="single"/>
        </w:rPr>
        <w:t xml:space="preserve">  </w:t>
      </w:r>
    </w:p>
    <w:p>
      <w:pPr>
        <w:rPr>
          <w:rFonts w:ascii="宋体" w:hAnsi="宋体"/>
          <w:u w:val="single"/>
        </w:rPr>
      </w:pPr>
      <w:r>
        <w:rPr>
          <w:rFonts w:hint="eastAsia" w:ascii="宋体" w:hAnsi="宋体"/>
        </w:rPr>
        <w:t>地     址：</w:t>
      </w:r>
      <w:r>
        <w:rPr>
          <w:rFonts w:hint="eastAsia" w:ascii="宋体" w:hAnsi="宋体"/>
          <w:u w:val="dotted"/>
        </w:rPr>
        <w:t xml:space="preserve">                             </w:t>
      </w:r>
      <w:r>
        <w:rPr>
          <w:rFonts w:hint="eastAsia" w:ascii="宋体" w:hAnsi="宋体"/>
        </w:rPr>
        <w:t>邮编：</w:t>
      </w:r>
      <w:r>
        <w:rPr>
          <w:rFonts w:hint="eastAsia" w:ascii="宋体" w:hAnsi="宋体"/>
          <w:u w:val="dotted"/>
        </w:rPr>
        <w:t xml:space="preserve">          </w:t>
      </w:r>
      <w:r>
        <w:rPr>
          <w:rFonts w:hint="eastAsia" w:ascii="宋体" w:hAnsi="宋体"/>
          <w:u w:val="single"/>
        </w:rPr>
        <w:t xml:space="preserve"> </w:t>
      </w:r>
    </w:p>
    <w:p>
      <w:pPr>
        <w:rPr>
          <w:rFonts w:ascii="宋体" w:hAnsi="宋体"/>
          <w:u w:val="single"/>
        </w:rPr>
      </w:pPr>
      <w:r>
        <w:rPr>
          <w:rFonts w:hint="eastAsia" w:ascii="宋体" w:hAnsi="宋体"/>
        </w:rPr>
        <w:t>联系人：</w:t>
      </w:r>
      <w:r>
        <w:rPr>
          <w:rFonts w:hint="eastAsia" w:ascii="宋体" w:hAnsi="宋体"/>
          <w:u w:val="dotted"/>
        </w:rPr>
        <w:t xml:space="preserve">               </w:t>
      </w:r>
      <w:r>
        <w:rPr>
          <w:rFonts w:hint="eastAsia" w:ascii="宋体" w:hAnsi="宋体"/>
        </w:rPr>
        <w:t>联系电话：</w:t>
      </w:r>
      <w:r>
        <w:rPr>
          <w:rFonts w:hint="eastAsia" w:ascii="宋体" w:hAnsi="宋体"/>
          <w:u w:val="dotted"/>
        </w:rPr>
        <w:t xml:space="preserve">                      </w:t>
      </w:r>
      <w:r>
        <w:rPr>
          <w:rFonts w:hint="eastAsia" w:ascii="宋体" w:hAnsi="宋体"/>
          <w:u w:val="single"/>
        </w:rPr>
        <w:t xml:space="preserve"> </w:t>
      </w:r>
    </w:p>
    <w:p>
      <w:pPr>
        <w:rPr>
          <w:rFonts w:ascii="宋体" w:hAnsi="宋体"/>
        </w:rPr>
      </w:pPr>
      <w:r>
        <w:rPr>
          <w:rFonts w:hint="eastAsia" w:ascii="宋体" w:hAnsi="宋体"/>
        </w:rPr>
        <w:t>被投诉人2</w:t>
      </w:r>
    </w:p>
    <w:p>
      <w:pPr>
        <w:rPr>
          <w:rFonts w:ascii="宋体" w:hAnsi="宋体"/>
          <w:u w:val="dotted"/>
        </w:rPr>
      </w:pPr>
      <w:r>
        <w:rPr>
          <w:rFonts w:hint="eastAsia" w:ascii="宋体" w:hAnsi="宋体"/>
        </w:rPr>
        <w:t>……</w:t>
      </w:r>
    </w:p>
    <w:p>
      <w:pPr>
        <w:rPr>
          <w:rFonts w:ascii="宋体" w:hAnsi="宋体"/>
          <w:u w:val="single"/>
        </w:rPr>
      </w:pPr>
      <w:r>
        <w:rPr>
          <w:rFonts w:hint="eastAsia" w:ascii="宋体" w:hAnsi="宋体"/>
        </w:rPr>
        <w:t>相关供应商：</w:t>
      </w:r>
      <w:r>
        <w:rPr>
          <w:rFonts w:hint="eastAsia" w:ascii="宋体" w:hAnsi="宋体"/>
          <w:u w:val="dotted"/>
        </w:rPr>
        <w:t xml:space="preserve">                                           </w:t>
      </w:r>
      <w:r>
        <w:rPr>
          <w:rFonts w:hint="eastAsia" w:ascii="宋体" w:hAnsi="宋体"/>
          <w:u w:val="single"/>
        </w:rPr>
        <w:t xml:space="preserve">    </w:t>
      </w:r>
    </w:p>
    <w:p>
      <w:pPr>
        <w:rPr>
          <w:rFonts w:ascii="宋体" w:hAnsi="宋体"/>
          <w:u w:val="single"/>
        </w:rPr>
      </w:pPr>
      <w:r>
        <w:rPr>
          <w:rFonts w:hint="eastAsia" w:ascii="宋体" w:hAnsi="宋体"/>
        </w:rPr>
        <w:t>地     址：</w:t>
      </w:r>
      <w:r>
        <w:rPr>
          <w:rFonts w:hint="eastAsia" w:ascii="宋体" w:hAnsi="宋体"/>
          <w:u w:val="dotted"/>
        </w:rPr>
        <w:t xml:space="preserve">                             </w:t>
      </w:r>
      <w:r>
        <w:rPr>
          <w:rFonts w:hint="eastAsia" w:ascii="宋体" w:hAnsi="宋体"/>
        </w:rPr>
        <w:t>邮编：</w:t>
      </w:r>
      <w:r>
        <w:rPr>
          <w:rFonts w:hint="eastAsia" w:ascii="宋体" w:hAnsi="宋体"/>
          <w:u w:val="dotted"/>
        </w:rPr>
        <w:t xml:space="preserve">          </w:t>
      </w:r>
      <w:r>
        <w:rPr>
          <w:rFonts w:hint="eastAsia" w:ascii="宋体" w:hAnsi="宋体"/>
          <w:u w:val="single"/>
        </w:rPr>
        <w:t xml:space="preserve"> </w:t>
      </w:r>
    </w:p>
    <w:p>
      <w:pPr>
        <w:rPr>
          <w:rFonts w:ascii="宋体" w:hAnsi="宋体"/>
          <w:u w:val="single"/>
        </w:rPr>
      </w:pPr>
      <w:r>
        <w:rPr>
          <w:rFonts w:hint="eastAsia" w:ascii="宋体" w:hAnsi="宋体"/>
        </w:rPr>
        <w:t>联系人：</w:t>
      </w:r>
      <w:r>
        <w:rPr>
          <w:rFonts w:hint="eastAsia" w:ascii="宋体" w:hAnsi="宋体"/>
          <w:u w:val="dotted"/>
        </w:rPr>
        <w:t xml:space="preserve">               </w:t>
      </w:r>
      <w:r>
        <w:rPr>
          <w:rFonts w:hint="eastAsia" w:ascii="宋体" w:hAnsi="宋体"/>
        </w:rPr>
        <w:t>联系电话：</w:t>
      </w:r>
      <w:r>
        <w:rPr>
          <w:rFonts w:hint="eastAsia" w:ascii="宋体" w:hAnsi="宋体"/>
          <w:u w:val="dotted"/>
        </w:rPr>
        <w:t xml:space="preserve">                      </w:t>
      </w:r>
      <w:r>
        <w:rPr>
          <w:rFonts w:hint="eastAsia" w:ascii="宋体" w:hAnsi="宋体"/>
          <w:u w:val="single"/>
        </w:rPr>
        <w:t xml:space="preserve">      </w:t>
      </w:r>
    </w:p>
    <w:p>
      <w:pPr>
        <w:rPr>
          <w:rFonts w:ascii="宋体" w:hAnsi="宋体"/>
        </w:rPr>
      </w:pPr>
      <w:r>
        <w:rPr>
          <w:rFonts w:hint="eastAsia" w:ascii="宋体" w:hAnsi="宋体"/>
        </w:rPr>
        <w:t>二、投诉项目基本情况</w:t>
      </w:r>
    </w:p>
    <w:p>
      <w:pPr>
        <w:rPr>
          <w:rFonts w:ascii="宋体" w:hAnsi="宋体"/>
          <w:u w:val="dotted"/>
        </w:rPr>
      </w:pPr>
      <w:r>
        <w:rPr>
          <w:rFonts w:hint="eastAsia" w:ascii="宋体" w:hAnsi="宋体"/>
        </w:rPr>
        <w:t>采购项目名称：</w:t>
      </w:r>
      <w:r>
        <w:rPr>
          <w:rFonts w:hint="eastAsia" w:ascii="宋体" w:hAnsi="宋体"/>
          <w:u w:val="dotted"/>
        </w:rPr>
        <w:t xml:space="preserve">                                        </w:t>
      </w:r>
    </w:p>
    <w:p>
      <w:pPr>
        <w:rPr>
          <w:rFonts w:ascii="宋体" w:hAnsi="宋体"/>
          <w:u w:val="single"/>
        </w:rPr>
      </w:pPr>
      <w:r>
        <w:rPr>
          <w:rFonts w:hint="eastAsia" w:ascii="宋体" w:hAnsi="宋体"/>
        </w:rPr>
        <w:t>采购项目编号：</w:t>
      </w:r>
      <w:r>
        <w:rPr>
          <w:rFonts w:hint="eastAsia" w:ascii="宋体" w:hAnsi="宋体"/>
          <w:u w:val="dotted"/>
        </w:rPr>
        <w:t xml:space="preserve">                 </w:t>
      </w:r>
      <w:r>
        <w:rPr>
          <w:rFonts w:hint="eastAsia" w:ascii="宋体" w:hAnsi="宋体"/>
        </w:rPr>
        <w:t>包号：</w:t>
      </w:r>
      <w:r>
        <w:rPr>
          <w:rFonts w:hint="eastAsia" w:ascii="宋体" w:hAnsi="宋体"/>
          <w:u w:val="dotted"/>
        </w:rPr>
        <w:t xml:space="preserve">              </w:t>
      </w:r>
    </w:p>
    <w:p>
      <w:pPr>
        <w:rPr>
          <w:rFonts w:ascii="宋体" w:hAnsi="宋体"/>
        </w:rPr>
      </w:pPr>
      <w:r>
        <w:rPr>
          <w:rFonts w:hint="eastAsia" w:ascii="宋体" w:hAnsi="宋体"/>
        </w:rPr>
        <w:t>采购人名称：</w:t>
      </w:r>
      <w:r>
        <w:rPr>
          <w:rFonts w:hint="eastAsia" w:ascii="宋体" w:hAnsi="宋体"/>
          <w:u w:val="dotted"/>
        </w:rPr>
        <w:t xml:space="preserve">                                           </w:t>
      </w:r>
      <w:r>
        <w:rPr>
          <w:rFonts w:hint="eastAsia" w:ascii="宋体" w:hAnsi="宋体"/>
          <w:u w:val="single"/>
        </w:rPr>
        <w:t xml:space="preserve">  </w:t>
      </w:r>
    </w:p>
    <w:p>
      <w:pPr>
        <w:rPr>
          <w:rFonts w:ascii="宋体" w:hAnsi="宋体"/>
          <w:u w:val="single"/>
        </w:rPr>
      </w:pPr>
      <w:r>
        <w:rPr>
          <w:rFonts w:hint="eastAsia" w:ascii="宋体" w:hAnsi="宋体"/>
        </w:rPr>
        <w:t>代理机构名称：</w:t>
      </w:r>
      <w:r>
        <w:rPr>
          <w:rFonts w:hint="eastAsia" w:ascii="宋体" w:hAnsi="宋体"/>
          <w:u w:val="dotted"/>
        </w:rPr>
        <w:t xml:space="preserve">                                         </w:t>
      </w:r>
    </w:p>
    <w:p>
      <w:pPr>
        <w:rPr>
          <w:rFonts w:ascii="宋体" w:hAnsi="宋体"/>
          <w:u w:val="dotted"/>
        </w:rPr>
      </w:pPr>
      <w:r>
        <w:rPr>
          <w:rFonts w:hint="eastAsia" w:ascii="宋体" w:hAnsi="宋体"/>
        </w:rPr>
        <w:t>招标文件公告:</w:t>
      </w:r>
      <w:r>
        <w:rPr>
          <w:rFonts w:hint="eastAsia" w:ascii="宋体" w:hAnsi="宋体"/>
          <w:u w:val="dotted"/>
        </w:rPr>
        <w:t xml:space="preserve">是/否 </w:t>
      </w:r>
      <w:r>
        <w:rPr>
          <w:rFonts w:hint="eastAsia" w:ascii="宋体" w:hAnsi="宋体"/>
        </w:rPr>
        <w:t>公告期限：</w:t>
      </w:r>
      <w:r>
        <w:rPr>
          <w:rFonts w:hint="eastAsia" w:ascii="宋体" w:hAnsi="宋体"/>
          <w:u w:val="dotted"/>
        </w:rPr>
        <w:t xml:space="preserve">                                 </w:t>
      </w:r>
    </w:p>
    <w:p>
      <w:pPr>
        <w:rPr>
          <w:rFonts w:ascii="宋体" w:hAnsi="宋体"/>
          <w:u w:val="single"/>
        </w:rPr>
      </w:pPr>
      <w:r>
        <w:rPr>
          <w:rFonts w:hint="eastAsia" w:ascii="宋体" w:hAnsi="宋体"/>
        </w:rPr>
        <w:t>采购结果公告:</w:t>
      </w:r>
      <w:r>
        <w:rPr>
          <w:rFonts w:hint="eastAsia" w:ascii="宋体" w:hAnsi="宋体"/>
          <w:u w:val="dotted"/>
        </w:rPr>
        <w:t xml:space="preserve">是/否 </w:t>
      </w:r>
      <w:r>
        <w:rPr>
          <w:rFonts w:hint="eastAsia" w:ascii="宋体" w:hAnsi="宋体"/>
        </w:rPr>
        <w:t>公告期限：</w:t>
      </w:r>
      <w:r>
        <w:rPr>
          <w:rFonts w:hint="eastAsia" w:ascii="宋体" w:hAnsi="宋体"/>
          <w:u w:val="dotted"/>
        </w:rPr>
        <w:t xml:space="preserve">                        </w:t>
      </w:r>
    </w:p>
    <w:p>
      <w:pPr>
        <w:rPr>
          <w:rFonts w:ascii="宋体" w:hAnsi="宋体"/>
        </w:rPr>
      </w:pPr>
      <w:r>
        <w:rPr>
          <w:rFonts w:hint="eastAsia" w:ascii="宋体" w:hAnsi="宋体"/>
        </w:rPr>
        <w:t>三、质疑基本情况</w:t>
      </w:r>
    </w:p>
    <w:p>
      <w:pPr>
        <w:ind w:firstLine="420" w:firstLineChars="200"/>
        <w:rPr>
          <w:rFonts w:ascii="宋体" w:hAnsi="宋体"/>
          <w:u w:val="dotted"/>
        </w:rPr>
      </w:pPr>
      <w:r>
        <w:rPr>
          <w:rFonts w:hint="eastAsia" w:ascii="宋体" w:hAnsi="宋体"/>
        </w:rPr>
        <w:t>投诉人于</w:t>
      </w:r>
      <w:r>
        <w:rPr>
          <w:rFonts w:hint="eastAsia" w:ascii="宋体" w:hAnsi="宋体"/>
          <w:u w:val="dotted"/>
        </w:rPr>
        <w:t xml:space="preserve">   </w:t>
      </w:r>
      <w:r>
        <w:rPr>
          <w:rFonts w:hint="eastAsia" w:ascii="宋体" w:hAnsi="宋体"/>
        </w:rPr>
        <w:t>年</w:t>
      </w:r>
      <w:r>
        <w:rPr>
          <w:rFonts w:hint="eastAsia" w:ascii="宋体" w:hAnsi="宋体"/>
          <w:u w:val="dotted"/>
        </w:rPr>
        <w:t xml:space="preserve">   </w:t>
      </w:r>
      <w:r>
        <w:rPr>
          <w:rFonts w:hint="eastAsia" w:ascii="宋体" w:hAnsi="宋体"/>
        </w:rPr>
        <w:t>月</w:t>
      </w:r>
      <w:r>
        <w:rPr>
          <w:rFonts w:hint="eastAsia" w:ascii="宋体" w:hAnsi="宋体"/>
          <w:u w:val="dotted"/>
        </w:rPr>
        <w:t xml:space="preserve">  </w:t>
      </w:r>
      <w:r>
        <w:rPr>
          <w:rFonts w:hint="eastAsia" w:ascii="宋体" w:hAnsi="宋体"/>
        </w:rPr>
        <w:t>日,向</w:t>
      </w:r>
      <w:r>
        <w:rPr>
          <w:rFonts w:hint="eastAsia" w:ascii="宋体" w:hAnsi="宋体"/>
          <w:u w:val="dotted"/>
        </w:rPr>
        <w:t xml:space="preserve">                   </w:t>
      </w:r>
      <w:r>
        <w:rPr>
          <w:rFonts w:hint="eastAsia" w:ascii="宋体" w:hAnsi="宋体"/>
        </w:rPr>
        <w:t>提出质疑，质疑事项为：</w:t>
      </w:r>
      <w:r>
        <w:rPr>
          <w:rFonts w:hint="eastAsia" w:ascii="宋体" w:hAnsi="宋体"/>
          <w:u w:val="dotted"/>
        </w:rPr>
        <w:t xml:space="preserve">                                </w:t>
      </w:r>
    </w:p>
    <w:p>
      <w:pPr>
        <w:rPr>
          <w:rFonts w:ascii="宋体" w:hAnsi="宋体"/>
          <w:u w:val="dotted"/>
        </w:rPr>
      </w:pPr>
      <w:r>
        <w:rPr>
          <w:rFonts w:hint="eastAsia" w:ascii="宋体" w:hAnsi="宋体"/>
          <w:u w:val="dotted"/>
        </w:rPr>
        <w:t xml:space="preserve">                                                     </w:t>
      </w:r>
      <w:r>
        <w:rPr>
          <w:rFonts w:hint="eastAsia" w:ascii="宋体" w:hAnsi="宋体"/>
        </w:rPr>
        <w:t xml:space="preserve">  </w:t>
      </w:r>
    </w:p>
    <w:p>
      <w:pPr>
        <w:ind w:firstLine="315" w:firstLineChars="150"/>
        <w:rPr>
          <w:rFonts w:ascii="宋体" w:hAnsi="宋体"/>
        </w:rPr>
      </w:pPr>
      <w:r>
        <w:rPr>
          <w:rFonts w:hint="eastAsia" w:ascii="宋体" w:hAnsi="宋体"/>
          <w:u w:val="dotted"/>
        </w:rPr>
        <w:t>采购人/代理机构</w:t>
      </w:r>
      <w:r>
        <w:rPr>
          <w:rFonts w:hint="eastAsia" w:ascii="宋体" w:hAnsi="宋体"/>
        </w:rPr>
        <w:t>于</w:t>
      </w:r>
      <w:r>
        <w:rPr>
          <w:rFonts w:hint="eastAsia" w:ascii="宋体" w:hAnsi="宋体"/>
          <w:u w:val="dotted"/>
        </w:rPr>
        <w:t xml:space="preserve">   </w:t>
      </w:r>
      <w:r>
        <w:rPr>
          <w:rFonts w:hint="eastAsia" w:ascii="宋体" w:hAnsi="宋体"/>
        </w:rPr>
        <w:t>年</w:t>
      </w:r>
      <w:r>
        <w:rPr>
          <w:rFonts w:hint="eastAsia" w:ascii="宋体" w:hAnsi="宋体"/>
          <w:u w:val="dotted"/>
        </w:rPr>
        <w:t xml:space="preserve">   </w:t>
      </w:r>
      <w:r>
        <w:rPr>
          <w:rFonts w:hint="eastAsia" w:ascii="宋体" w:hAnsi="宋体"/>
        </w:rPr>
        <w:t>月</w:t>
      </w:r>
      <w:r>
        <w:rPr>
          <w:rFonts w:hint="eastAsia" w:ascii="宋体" w:hAnsi="宋体"/>
          <w:u w:val="dotted"/>
        </w:rPr>
        <w:t xml:space="preserve">   </w:t>
      </w:r>
      <w:r>
        <w:rPr>
          <w:rFonts w:hint="eastAsia" w:ascii="宋体" w:hAnsi="宋体"/>
        </w:rPr>
        <w:t>日,就质疑事项作出了答复/没有在法定期限内作出答复。</w:t>
      </w:r>
    </w:p>
    <w:p>
      <w:pPr>
        <w:rPr>
          <w:rFonts w:ascii="宋体" w:hAnsi="宋体"/>
        </w:rPr>
      </w:pPr>
      <w:r>
        <w:rPr>
          <w:rFonts w:hint="eastAsia" w:ascii="宋体" w:hAnsi="宋体"/>
        </w:rPr>
        <w:t>四、投诉事项具体内容</w:t>
      </w:r>
    </w:p>
    <w:p>
      <w:pPr>
        <w:rPr>
          <w:rFonts w:ascii="宋体" w:hAnsi="宋体"/>
          <w:u w:val="single"/>
        </w:rPr>
      </w:pPr>
      <w:r>
        <w:rPr>
          <w:rFonts w:hint="eastAsia" w:ascii="宋体" w:hAnsi="宋体"/>
        </w:rPr>
        <w:t>投诉事项 1：</w:t>
      </w:r>
      <w:r>
        <w:rPr>
          <w:rFonts w:hint="eastAsia" w:ascii="宋体" w:hAnsi="宋体"/>
          <w:u w:val="dotted"/>
        </w:rPr>
        <w:t xml:space="preserve">                                       </w:t>
      </w:r>
    </w:p>
    <w:p>
      <w:pPr>
        <w:rPr>
          <w:rFonts w:ascii="宋体" w:hAnsi="宋体"/>
        </w:rPr>
      </w:pPr>
      <w:r>
        <w:rPr>
          <w:rFonts w:hint="eastAsia" w:ascii="宋体" w:hAnsi="宋体"/>
        </w:rPr>
        <w:t>事实依据：</w:t>
      </w:r>
      <w:r>
        <w:rPr>
          <w:rFonts w:hint="eastAsia" w:ascii="宋体" w:hAnsi="宋体"/>
          <w:u w:val="dotted"/>
        </w:rPr>
        <w:t xml:space="preserve">                                         </w:t>
      </w:r>
    </w:p>
    <w:p>
      <w:pPr>
        <w:rPr>
          <w:rFonts w:ascii="宋体" w:hAnsi="宋体"/>
          <w:u w:val="dotted"/>
        </w:rPr>
      </w:pPr>
      <w:r>
        <w:rPr>
          <w:rFonts w:hint="eastAsia" w:ascii="宋体" w:hAnsi="宋体"/>
          <w:u w:val="dotted"/>
        </w:rPr>
        <w:t xml:space="preserve">                                                      </w:t>
      </w:r>
    </w:p>
    <w:p>
      <w:pPr>
        <w:rPr>
          <w:rFonts w:ascii="宋体" w:hAnsi="宋体"/>
          <w:u w:val="single"/>
        </w:rPr>
      </w:pPr>
      <w:r>
        <w:rPr>
          <w:rFonts w:hint="eastAsia" w:ascii="宋体" w:hAnsi="宋体"/>
        </w:rPr>
        <w:t>法律依据：</w:t>
      </w:r>
      <w:r>
        <w:rPr>
          <w:rFonts w:hint="eastAsia" w:ascii="宋体" w:hAnsi="宋体"/>
          <w:u w:val="dotted"/>
        </w:rPr>
        <w:t xml:space="preserve">                                          </w:t>
      </w:r>
    </w:p>
    <w:p>
      <w:pPr>
        <w:rPr>
          <w:rFonts w:ascii="宋体" w:hAnsi="宋体"/>
          <w:u w:val="dotted"/>
        </w:rPr>
      </w:pPr>
      <w:r>
        <w:rPr>
          <w:rFonts w:hint="eastAsia" w:ascii="宋体" w:hAnsi="宋体"/>
          <w:u w:val="dotted"/>
        </w:rPr>
        <w:t xml:space="preserve">                                                      </w:t>
      </w:r>
    </w:p>
    <w:p>
      <w:pPr>
        <w:rPr>
          <w:rFonts w:ascii="宋体" w:hAnsi="宋体"/>
        </w:rPr>
      </w:pPr>
      <w:r>
        <w:rPr>
          <w:rFonts w:hint="eastAsia" w:ascii="宋体" w:hAnsi="宋体"/>
        </w:rPr>
        <w:t>投诉事项2</w:t>
      </w:r>
    </w:p>
    <w:p>
      <w:pPr>
        <w:rPr>
          <w:rFonts w:ascii="宋体" w:hAnsi="宋体"/>
          <w:u w:val="dotted"/>
        </w:rPr>
      </w:pPr>
      <w:r>
        <w:rPr>
          <w:rFonts w:hint="eastAsia" w:ascii="宋体" w:hAnsi="宋体"/>
        </w:rPr>
        <w:t>……</w:t>
      </w:r>
    </w:p>
    <w:p>
      <w:pPr>
        <w:rPr>
          <w:rFonts w:ascii="宋体" w:hAnsi="宋体"/>
        </w:rPr>
      </w:pPr>
      <w:r>
        <w:rPr>
          <w:rFonts w:hint="eastAsia" w:ascii="宋体" w:hAnsi="宋体"/>
        </w:rPr>
        <w:t>五、与投诉事项相关的投诉请求</w:t>
      </w:r>
    </w:p>
    <w:p>
      <w:pPr>
        <w:rPr>
          <w:rFonts w:ascii="宋体" w:hAnsi="宋体"/>
        </w:rPr>
      </w:pPr>
      <w:r>
        <w:rPr>
          <w:rFonts w:hint="eastAsia" w:ascii="宋体" w:hAnsi="宋体"/>
        </w:rPr>
        <w:t>请求：</w:t>
      </w:r>
      <w:r>
        <w:rPr>
          <w:rFonts w:hint="eastAsia" w:ascii="宋体" w:hAnsi="宋体"/>
          <w:u w:val="dotted"/>
        </w:rPr>
        <w:t xml:space="preserve">                                              </w:t>
      </w:r>
      <w:r>
        <w:rPr>
          <w:rFonts w:hint="eastAsia" w:ascii="宋体" w:hAnsi="宋体"/>
        </w:rPr>
        <w:t xml:space="preserve"> </w:t>
      </w:r>
    </w:p>
    <w:p>
      <w:pPr>
        <w:rPr>
          <w:rFonts w:ascii="宋体" w:hAnsi="宋体"/>
          <w:u w:val="single"/>
        </w:rPr>
      </w:pPr>
      <w:r>
        <w:rPr>
          <w:rFonts w:hint="eastAsia" w:ascii="宋体" w:hAnsi="宋体"/>
        </w:rPr>
        <w:t xml:space="preserve">                                                                                                    </w:t>
      </w:r>
    </w:p>
    <w:p>
      <w:pPr>
        <w:rPr>
          <w:rFonts w:ascii="宋体" w:hAnsi="宋体"/>
        </w:rPr>
      </w:pPr>
      <w:r>
        <w:rPr>
          <w:rFonts w:hint="eastAsia" w:ascii="宋体" w:hAnsi="宋体"/>
        </w:rPr>
        <w:t xml:space="preserve">签字(签章)：                   公章：                      </w:t>
      </w:r>
    </w:p>
    <w:p>
      <w:pPr>
        <w:rPr>
          <w:rFonts w:ascii="宋体" w:hAnsi="宋体"/>
        </w:rPr>
      </w:pPr>
      <w:r>
        <w:rPr>
          <w:rFonts w:hint="eastAsia" w:ascii="宋体" w:hAnsi="宋体"/>
        </w:rPr>
        <w:t xml:space="preserve">日期：    </w:t>
      </w:r>
    </w:p>
    <w:p>
      <w:pPr>
        <w:rPr>
          <w:rFonts w:ascii="宋体" w:hAnsi="宋体"/>
          <w:b/>
        </w:rPr>
      </w:pPr>
    </w:p>
    <w:p>
      <w:pPr>
        <w:rPr>
          <w:rFonts w:ascii="宋体" w:hAnsi="宋体"/>
          <w:b/>
        </w:rPr>
      </w:pPr>
      <w:r>
        <w:rPr>
          <w:rFonts w:hint="eastAsia" w:ascii="宋体" w:hAnsi="宋体"/>
          <w:b/>
        </w:rPr>
        <w:t>投诉书制作说明：</w:t>
      </w:r>
    </w:p>
    <w:p>
      <w:pPr>
        <w:ind w:firstLine="420" w:firstLineChars="200"/>
        <w:rPr>
          <w:rFonts w:ascii="宋体" w:hAnsi="宋体"/>
        </w:rPr>
      </w:pPr>
      <w:r>
        <w:rPr>
          <w:rFonts w:hint="eastAsia" w:ascii="宋体" w:hAnsi="宋体"/>
        </w:rPr>
        <w:t>1.投诉人提起投诉时，应当提交投诉书和必要的证明材料，并按照被投诉人和与投诉事项有关的供应商数量提供投诉书副本。</w:t>
      </w:r>
    </w:p>
    <w:p>
      <w:pPr>
        <w:ind w:firstLine="420" w:firstLineChars="200"/>
        <w:rPr>
          <w:rFonts w:ascii="宋体" w:hAnsi="宋体"/>
        </w:rPr>
      </w:pPr>
      <w:r>
        <w:rPr>
          <w:rFonts w:hint="eastAsia" w:ascii="宋体" w:hAnsi="宋体"/>
        </w:rPr>
        <w:t>2.投诉人若委托代理人进行投诉的，投诉书应按照要求列明“授权代表”的有关内容，并在附件中提交由投诉人签署的授权委托书。授权委托书应当载明代理人的姓名或者名称、代理事项、具体权限、期限和相关事项。</w:t>
      </w:r>
    </w:p>
    <w:p>
      <w:pPr>
        <w:ind w:firstLine="420" w:firstLineChars="200"/>
        <w:rPr>
          <w:rFonts w:ascii="宋体" w:hAnsi="宋体"/>
        </w:rPr>
      </w:pPr>
      <w:r>
        <w:rPr>
          <w:rFonts w:hint="eastAsia" w:ascii="宋体" w:hAnsi="宋体"/>
        </w:rPr>
        <w:t>3.投诉人若对项目的某一分包进行投诉，投诉书应列明具体分包号。</w:t>
      </w:r>
    </w:p>
    <w:p>
      <w:pPr>
        <w:ind w:firstLine="420" w:firstLineChars="200"/>
        <w:rPr>
          <w:rFonts w:ascii="宋体" w:hAnsi="宋体"/>
        </w:rPr>
      </w:pPr>
      <w:r>
        <w:rPr>
          <w:rFonts w:hint="eastAsia" w:ascii="宋体" w:hAnsi="宋体"/>
        </w:rPr>
        <w:t>4.投诉书应简要列明质疑事项，质疑函、质疑答复等作为附件材料提供。</w:t>
      </w:r>
    </w:p>
    <w:p>
      <w:pPr>
        <w:ind w:firstLine="420" w:firstLineChars="200"/>
        <w:rPr>
          <w:rFonts w:ascii="宋体" w:hAnsi="宋体"/>
        </w:rPr>
      </w:pPr>
      <w:r>
        <w:rPr>
          <w:rFonts w:hint="eastAsia" w:ascii="宋体" w:hAnsi="宋体"/>
        </w:rPr>
        <w:t>5.投诉书的投诉事项应具体、明确，并有必要的事实依据和法律依据。</w:t>
      </w:r>
    </w:p>
    <w:p>
      <w:pPr>
        <w:ind w:firstLine="420" w:firstLineChars="200"/>
        <w:rPr>
          <w:rFonts w:ascii="宋体" w:hAnsi="宋体"/>
        </w:rPr>
      </w:pPr>
      <w:r>
        <w:rPr>
          <w:rFonts w:hint="eastAsia" w:ascii="宋体" w:hAnsi="宋体"/>
        </w:rPr>
        <w:t>6.投诉书的投诉请求应与投诉事项相关。</w:t>
      </w:r>
    </w:p>
    <w:p>
      <w:pPr>
        <w:ind w:firstLine="420" w:firstLineChars="200"/>
        <w:rPr>
          <w:rFonts w:ascii="宋体" w:hAnsi="宋体"/>
        </w:rPr>
      </w:pPr>
      <w:r>
        <w:rPr>
          <w:rFonts w:hint="eastAsia" w:ascii="宋体" w:hAnsi="宋体"/>
        </w:rPr>
        <w:t>7.投诉人为自然人的，投诉书应当由本人签字；投诉人为法人或者其他组织的，投诉书应当由法定代表人、主要负责人，或者其授权代表签字或者盖章，并加盖公章。</w:t>
      </w:r>
    </w:p>
    <w:p>
      <w:pPr>
        <w:jc w:val="center"/>
        <w:rPr>
          <w:rFonts w:ascii="宋体" w:hAnsi="宋体"/>
          <w:sz w:val="24"/>
          <w:szCs w:val="24"/>
        </w:rPr>
      </w:pPr>
    </w:p>
    <w:sectPr>
      <w:headerReference r:id="rId7" w:type="first"/>
      <w:headerReference r:id="rId6" w:type="default"/>
      <w:footerReference r:id="rId8" w:type="default"/>
      <w:pgSz w:w="11906" w:h="16838"/>
      <w:pgMar w:top="1247" w:right="1418" w:bottom="1247" w:left="1418" w:header="851" w:footer="907" w:gutter="0"/>
      <w:pgNumType w:start="1"/>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Arial">
    <w:panose1 w:val="020B0604020202020204"/>
    <w:charset w:val="00"/>
    <w:family w:val="swiss"/>
    <w:pitch w:val="default"/>
    <w:sig w:usb0="E0002AFF" w:usb1="C0007843" w:usb2="00000009" w:usb3="00000000" w:csb0="400001FF" w:csb1="FFFF0000"/>
  </w:font>
  <w:font w:name="Cambria">
    <w:panose1 w:val="02040503050406030204"/>
    <w:charset w:val="00"/>
    <w:family w:val="roman"/>
    <w:pitch w:val="default"/>
    <w:sig w:usb0="E00002FF" w:usb1="400004FF" w:usb2="00000000" w:usb3="00000000" w:csb0="2000019F" w:csb1="00000000"/>
  </w:font>
  <w:font w:name="Tahoma">
    <w:panose1 w:val="020B0604030504040204"/>
    <w:charset w:val="00"/>
    <w:family w:val="swiss"/>
    <w:pitch w:val="default"/>
    <w:sig w:usb0="E1002EFF" w:usb1="C000605B" w:usb2="00000029" w:usb3="00000000" w:csb0="200101FF" w:csb1="20280000"/>
  </w:font>
  <w:font w:name="Calibri Light">
    <w:panose1 w:val="020F0302020204030204"/>
    <w:charset w:val="00"/>
    <w:family w:val="swiss"/>
    <w:pitch w:val="default"/>
    <w:sig w:usb0="A00002EF" w:usb1="4000207B" w:usb2="00000000" w:usb3="00000000" w:csb0="2000019F" w:csb1="0000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 w:name="隶书">
    <w:panose1 w:val="02010509060101010101"/>
    <w:charset w:val="86"/>
    <w:family w:val="modern"/>
    <w:pitch w:val="default"/>
    <w:sig w:usb0="00000001" w:usb1="080E0000" w:usb2="00000000" w:usb3="00000000" w:csb0="00040000" w:csb1="00000000"/>
  </w:font>
  <w:font w:name="Arial Narrow">
    <w:panose1 w:val="020B0606020202030204"/>
    <w:charset w:val="00"/>
    <w:family w:val="swiss"/>
    <w:pitch w:val="default"/>
    <w:sig w:usb0="00000287" w:usb1="00000800" w:usb2="00000000" w:usb3="00000000" w:csb0="2000009F" w:csb1="DFD70000"/>
  </w:font>
  <w:font w:name="楷体_GB2312">
    <w:altName w:val="楷体"/>
    <w:panose1 w:val="00000000000000000000"/>
    <w:charset w:val="86"/>
    <w:family w:val="modern"/>
    <w:pitch w:val="default"/>
    <w:sig w:usb0="00000000" w:usb1="00000000" w:usb2="00000010" w:usb3="00000000" w:csb0="00040000" w:csb1="00000000"/>
  </w:font>
  <w:font w:name="新宋体">
    <w:panose1 w:val="02010609030101010101"/>
    <w:charset w:val="86"/>
    <w:family w:val="modern"/>
    <w:pitch w:val="default"/>
    <w:sig w:usb0="00000003" w:usb1="288F0000" w:usb2="00000006" w:usb3="00000000" w:csb0="00040001"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jc w:val="center"/>
    </w:pPr>
  </w:p>
  <w:p>
    <w:pPr>
      <w:pStyle w:val="1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framePr w:wrap="around" w:vAnchor="text" w:hAnchor="margin" w:xAlign="center" w:y="1"/>
      <w:rPr>
        <w:rStyle w:val="26"/>
      </w:rPr>
    </w:pPr>
    <w:r>
      <w:fldChar w:fldCharType="begin"/>
    </w:r>
    <w:r>
      <w:rPr>
        <w:rStyle w:val="26"/>
      </w:rPr>
      <w:instrText xml:space="preserve">PAGE  </w:instrText>
    </w:r>
    <w:r>
      <w:fldChar w:fldCharType="end"/>
    </w:r>
  </w:p>
  <w:p>
    <w:pPr>
      <w:pStyle w:val="13"/>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jc w:val="center"/>
    </w:pPr>
    <w:r>
      <w:fldChar w:fldCharType="begin"/>
    </w:r>
    <w:r>
      <w:instrText xml:space="preserve"> PAGE   \* MERGEFORMAT </w:instrText>
    </w:r>
    <w:r>
      <w:fldChar w:fldCharType="separate"/>
    </w:r>
    <w:r>
      <w:rPr>
        <w:lang w:val="zh-CN"/>
      </w:rPr>
      <w:t>4</w:t>
    </w:r>
    <w:r>
      <w:rPr>
        <w:lang w:val="zh-CN"/>
      </w:rPr>
      <w:fldChar w:fldCharType="end"/>
    </w:r>
  </w:p>
  <w:p>
    <w:pPr>
      <w:pStyle w:val="13"/>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jc w:val="both"/>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pPr>
    <w:r>
      <w:rPr>
        <w:rFonts w:hint="eastAsia"/>
      </w:rPr>
      <w:t>诸暨市公共资源交易中心政府招标文件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ind w:firstLine="3060" w:firstLineChars="1700"/>
      <w:jc w:val="both"/>
    </w:pPr>
    <w:r>
      <w:rPr>
        <w:rFonts w:hint="eastAsia"/>
      </w:rPr>
      <w:t>诸暨市公共资源交易中心政府招标文件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CCFED00"/>
    <w:multiLevelType w:val="singleLevel"/>
    <w:tmpl w:val="BCCFED00"/>
    <w:lvl w:ilvl="0" w:tentative="0">
      <w:start w:val="1"/>
      <w:numFmt w:val="decimal"/>
      <w:suff w:val="nothing"/>
      <w:lvlText w:val="%1、"/>
      <w:lvlJc w:val="left"/>
    </w:lvl>
  </w:abstractNum>
  <w:abstractNum w:abstractNumId="1">
    <w:nsid w:val="0000000F"/>
    <w:multiLevelType w:val="multilevel"/>
    <w:tmpl w:val="0000000F"/>
    <w:lvl w:ilvl="0" w:tentative="0">
      <w:start w:val="1"/>
      <w:numFmt w:val="decimal"/>
      <w:pStyle w:val="4"/>
      <w:lvlText w:val="%1、"/>
      <w:lvlJc w:val="left"/>
      <w:pPr>
        <w:tabs>
          <w:tab w:val="left" w:pos="360"/>
        </w:tabs>
        <w:ind w:left="360" w:hanging="360"/>
      </w:pPr>
      <w:rPr>
        <w:rFonts w:ascii="Times New Roman" w:hAnsi="Times New Roman" w:eastAsia="黑体" w:cs="Times New Roman"/>
      </w:rPr>
    </w:lvl>
    <w:lvl w:ilvl="1" w:tentative="0">
      <w:start w:val="2005"/>
      <w:numFmt w:val="decimal"/>
      <w:lvlText w:val="%2年"/>
      <w:lvlJc w:val="left"/>
      <w:pPr>
        <w:tabs>
          <w:tab w:val="left" w:pos="1620"/>
        </w:tabs>
        <w:ind w:left="1620" w:hanging="1200"/>
      </w:pPr>
      <w:rPr>
        <w:rFonts w:hint="eastAsia"/>
      </w:rPr>
    </w:lvl>
    <w:lvl w:ilvl="2" w:tentative="0">
      <w:start w:val="1"/>
      <w:numFmt w:val="decimal"/>
      <w:lvlText w:val="（%3）"/>
      <w:lvlJc w:val="left"/>
      <w:pPr>
        <w:tabs>
          <w:tab w:val="left" w:pos="1560"/>
        </w:tabs>
        <w:ind w:left="1560" w:hanging="720"/>
      </w:pPr>
      <w:rPr>
        <w:rFonts w:hint="eastAsia"/>
      </w:r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2">
    <w:nsid w:val="1A18900B"/>
    <w:multiLevelType w:val="singleLevel"/>
    <w:tmpl w:val="1A18900B"/>
    <w:lvl w:ilvl="0" w:tentative="0">
      <w:start w:val="1"/>
      <w:numFmt w:val="decimal"/>
      <w:suff w:val="nothing"/>
      <w:lvlText w:val="%1、"/>
      <w:lvlJc w:val="left"/>
    </w:lvl>
  </w:abstractNum>
  <w:abstractNum w:abstractNumId="3">
    <w:nsid w:val="348F1D28"/>
    <w:multiLevelType w:val="multilevel"/>
    <w:tmpl w:val="348F1D28"/>
    <w:lvl w:ilvl="0" w:tentative="0">
      <w:start w:val="1"/>
      <w:numFmt w:val="japaneseCounting"/>
      <w:lvlText w:val="（%1）"/>
      <w:lvlJc w:val="left"/>
      <w:pPr>
        <w:ind w:left="1080" w:hanging="720"/>
      </w:pPr>
      <w:rPr>
        <w:rFonts w:hint="default"/>
      </w:rPr>
    </w:lvl>
    <w:lvl w:ilvl="1" w:tentative="0">
      <w:start w:val="1"/>
      <w:numFmt w:val="lowerLetter"/>
      <w:lvlText w:val="%2)"/>
      <w:lvlJc w:val="left"/>
      <w:pPr>
        <w:ind w:left="1200" w:hanging="420"/>
      </w:pPr>
    </w:lvl>
    <w:lvl w:ilvl="2" w:tentative="0">
      <w:start w:val="1"/>
      <w:numFmt w:val="lowerRoman"/>
      <w:lvlText w:val="%3."/>
      <w:lvlJc w:val="right"/>
      <w:pPr>
        <w:ind w:left="1620" w:hanging="420"/>
      </w:pPr>
    </w:lvl>
    <w:lvl w:ilvl="3" w:tentative="0">
      <w:start w:val="1"/>
      <w:numFmt w:val="decimal"/>
      <w:lvlText w:val="%4."/>
      <w:lvlJc w:val="left"/>
      <w:pPr>
        <w:ind w:left="2040" w:hanging="420"/>
      </w:pPr>
    </w:lvl>
    <w:lvl w:ilvl="4" w:tentative="0">
      <w:start w:val="1"/>
      <w:numFmt w:val="lowerLetter"/>
      <w:lvlText w:val="%5)"/>
      <w:lvlJc w:val="left"/>
      <w:pPr>
        <w:ind w:left="2460" w:hanging="420"/>
      </w:pPr>
    </w:lvl>
    <w:lvl w:ilvl="5" w:tentative="0">
      <w:start w:val="1"/>
      <w:numFmt w:val="lowerRoman"/>
      <w:lvlText w:val="%6."/>
      <w:lvlJc w:val="right"/>
      <w:pPr>
        <w:ind w:left="2880" w:hanging="420"/>
      </w:pPr>
    </w:lvl>
    <w:lvl w:ilvl="6" w:tentative="0">
      <w:start w:val="1"/>
      <w:numFmt w:val="decimal"/>
      <w:lvlText w:val="%7."/>
      <w:lvlJc w:val="left"/>
      <w:pPr>
        <w:ind w:left="3300" w:hanging="420"/>
      </w:pPr>
    </w:lvl>
    <w:lvl w:ilvl="7" w:tentative="0">
      <w:start w:val="1"/>
      <w:numFmt w:val="lowerLetter"/>
      <w:lvlText w:val="%8)"/>
      <w:lvlJc w:val="left"/>
      <w:pPr>
        <w:ind w:left="3720" w:hanging="420"/>
      </w:pPr>
    </w:lvl>
    <w:lvl w:ilvl="8" w:tentative="0">
      <w:start w:val="1"/>
      <w:numFmt w:val="lowerRoman"/>
      <w:lvlText w:val="%9."/>
      <w:lvlJc w:val="right"/>
      <w:pPr>
        <w:ind w:left="4140" w:hanging="420"/>
      </w:pPr>
    </w:lvl>
  </w:abstractNum>
  <w:num w:numId="1">
    <w:abstractNumId w:val="1"/>
  </w:num>
  <w:num w:numId="2">
    <w:abstractNumId w:val="3"/>
  </w:num>
  <w:num w:numId="3">
    <w:abstractNumId w:val="2"/>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hideSpellingErrors/>
  <w:documentProtection w:enforcement="0"/>
  <w:defaultTabStop w:val="420"/>
  <w:drawingGridHorizontalSpacing w:val="105"/>
  <w:drawingGridVerticalSpacing w:val="156"/>
  <w:displayHorizontalDrawingGridEvery w:val="0"/>
  <w:displayVerticalDrawingGridEvery w:val="2"/>
  <w:characterSpacingControl w:val="compressPunctuation"/>
  <w:doNotValidateAgainstSchema/>
  <w:doNotDemarcateInvalidXml/>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72A27"/>
    <w:rsid w:val="000028CE"/>
    <w:rsid w:val="000152C8"/>
    <w:rsid w:val="00023566"/>
    <w:rsid w:val="000274B8"/>
    <w:rsid w:val="00044084"/>
    <w:rsid w:val="00046F76"/>
    <w:rsid w:val="000523CD"/>
    <w:rsid w:val="00052AF2"/>
    <w:rsid w:val="00055FCE"/>
    <w:rsid w:val="00057EEC"/>
    <w:rsid w:val="00064B79"/>
    <w:rsid w:val="00075B98"/>
    <w:rsid w:val="00077649"/>
    <w:rsid w:val="0008606F"/>
    <w:rsid w:val="000A50B4"/>
    <w:rsid w:val="000A52B3"/>
    <w:rsid w:val="000B15B6"/>
    <w:rsid w:val="000B1D09"/>
    <w:rsid w:val="000B30EC"/>
    <w:rsid w:val="000C7B04"/>
    <w:rsid w:val="000F6AB6"/>
    <w:rsid w:val="000F7BA4"/>
    <w:rsid w:val="00106DD7"/>
    <w:rsid w:val="001110A3"/>
    <w:rsid w:val="0011468F"/>
    <w:rsid w:val="00115993"/>
    <w:rsid w:val="0012272E"/>
    <w:rsid w:val="0013015B"/>
    <w:rsid w:val="001308B5"/>
    <w:rsid w:val="00133535"/>
    <w:rsid w:val="00134FB6"/>
    <w:rsid w:val="00150E45"/>
    <w:rsid w:val="001534C2"/>
    <w:rsid w:val="00155C60"/>
    <w:rsid w:val="0016649F"/>
    <w:rsid w:val="00172A27"/>
    <w:rsid w:val="00173380"/>
    <w:rsid w:val="00186DFF"/>
    <w:rsid w:val="00187CC0"/>
    <w:rsid w:val="00191E2F"/>
    <w:rsid w:val="00193575"/>
    <w:rsid w:val="001C34F3"/>
    <w:rsid w:val="001C7441"/>
    <w:rsid w:val="001D0062"/>
    <w:rsid w:val="001E1271"/>
    <w:rsid w:val="00211203"/>
    <w:rsid w:val="00213618"/>
    <w:rsid w:val="0021463F"/>
    <w:rsid w:val="00215FD1"/>
    <w:rsid w:val="00221977"/>
    <w:rsid w:val="0023140E"/>
    <w:rsid w:val="00242E37"/>
    <w:rsid w:val="0024504F"/>
    <w:rsid w:val="00252990"/>
    <w:rsid w:val="00262946"/>
    <w:rsid w:val="00264FF8"/>
    <w:rsid w:val="00271143"/>
    <w:rsid w:val="002716CE"/>
    <w:rsid w:val="00276983"/>
    <w:rsid w:val="0027710F"/>
    <w:rsid w:val="002822D8"/>
    <w:rsid w:val="00284BC2"/>
    <w:rsid w:val="00290B7B"/>
    <w:rsid w:val="002979B3"/>
    <w:rsid w:val="00297DF4"/>
    <w:rsid w:val="002A31B5"/>
    <w:rsid w:val="002C2CA8"/>
    <w:rsid w:val="002C2D03"/>
    <w:rsid w:val="002D5A4B"/>
    <w:rsid w:val="002D6E16"/>
    <w:rsid w:val="002E73F8"/>
    <w:rsid w:val="002E7835"/>
    <w:rsid w:val="0030045F"/>
    <w:rsid w:val="00303CD0"/>
    <w:rsid w:val="00304273"/>
    <w:rsid w:val="00306679"/>
    <w:rsid w:val="00307ED8"/>
    <w:rsid w:val="003140C9"/>
    <w:rsid w:val="003247EE"/>
    <w:rsid w:val="003257C1"/>
    <w:rsid w:val="00332C3D"/>
    <w:rsid w:val="00334E5F"/>
    <w:rsid w:val="00335D87"/>
    <w:rsid w:val="0034174B"/>
    <w:rsid w:val="00343149"/>
    <w:rsid w:val="003444E5"/>
    <w:rsid w:val="0034587C"/>
    <w:rsid w:val="00347801"/>
    <w:rsid w:val="00350078"/>
    <w:rsid w:val="00363554"/>
    <w:rsid w:val="00370496"/>
    <w:rsid w:val="00370B16"/>
    <w:rsid w:val="003776CB"/>
    <w:rsid w:val="0038090F"/>
    <w:rsid w:val="0039414F"/>
    <w:rsid w:val="0039795C"/>
    <w:rsid w:val="003A21D5"/>
    <w:rsid w:val="003A3E69"/>
    <w:rsid w:val="003B4A95"/>
    <w:rsid w:val="003C1DAA"/>
    <w:rsid w:val="003C4D8D"/>
    <w:rsid w:val="003D0A26"/>
    <w:rsid w:val="003D437E"/>
    <w:rsid w:val="003D6A13"/>
    <w:rsid w:val="003E0C51"/>
    <w:rsid w:val="003E3A23"/>
    <w:rsid w:val="003F29CB"/>
    <w:rsid w:val="003F39C0"/>
    <w:rsid w:val="00413CBA"/>
    <w:rsid w:val="00427FCD"/>
    <w:rsid w:val="00432523"/>
    <w:rsid w:val="00447769"/>
    <w:rsid w:val="004707A2"/>
    <w:rsid w:val="00470B5F"/>
    <w:rsid w:val="0047295C"/>
    <w:rsid w:val="00482DD1"/>
    <w:rsid w:val="0048405D"/>
    <w:rsid w:val="0049044E"/>
    <w:rsid w:val="00494A03"/>
    <w:rsid w:val="004A1123"/>
    <w:rsid w:val="004A4033"/>
    <w:rsid w:val="004C13C6"/>
    <w:rsid w:val="004C32C1"/>
    <w:rsid w:val="004E6F8E"/>
    <w:rsid w:val="004F05D6"/>
    <w:rsid w:val="00507A89"/>
    <w:rsid w:val="00516970"/>
    <w:rsid w:val="005441A5"/>
    <w:rsid w:val="00544480"/>
    <w:rsid w:val="00544E5D"/>
    <w:rsid w:val="00547F97"/>
    <w:rsid w:val="00551BD6"/>
    <w:rsid w:val="0055389A"/>
    <w:rsid w:val="0055473F"/>
    <w:rsid w:val="00555A4D"/>
    <w:rsid w:val="00561191"/>
    <w:rsid w:val="00580611"/>
    <w:rsid w:val="00581BCC"/>
    <w:rsid w:val="005836C4"/>
    <w:rsid w:val="00584F02"/>
    <w:rsid w:val="00593A96"/>
    <w:rsid w:val="005942B8"/>
    <w:rsid w:val="00595D6C"/>
    <w:rsid w:val="005964D1"/>
    <w:rsid w:val="005A13A0"/>
    <w:rsid w:val="005A578B"/>
    <w:rsid w:val="005B5788"/>
    <w:rsid w:val="005B7947"/>
    <w:rsid w:val="005C74A9"/>
    <w:rsid w:val="005E0DCA"/>
    <w:rsid w:val="005E57F3"/>
    <w:rsid w:val="005E7581"/>
    <w:rsid w:val="005F475B"/>
    <w:rsid w:val="00601186"/>
    <w:rsid w:val="00604DB6"/>
    <w:rsid w:val="00605314"/>
    <w:rsid w:val="00606949"/>
    <w:rsid w:val="006106A8"/>
    <w:rsid w:val="00616E9C"/>
    <w:rsid w:val="00630FF1"/>
    <w:rsid w:val="00636B18"/>
    <w:rsid w:val="00637917"/>
    <w:rsid w:val="00644029"/>
    <w:rsid w:val="0065020C"/>
    <w:rsid w:val="0066204C"/>
    <w:rsid w:val="00662DD3"/>
    <w:rsid w:val="0067117F"/>
    <w:rsid w:val="00682905"/>
    <w:rsid w:val="006A44C8"/>
    <w:rsid w:val="006B287E"/>
    <w:rsid w:val="006C0392"/>
    <w:rsid w:val="006C1CFD"/>
    <w:rsid w:val="006C5997"/>
    <w:rsid w:val="006D4D55"/>
    <w:rsid w:val="006F2F61"/>
    <w:rsid w:val="006F4ABD"/>
    <w:rsid w:val="006F616C"/>
    <w:rsid w:val="00700C30"/>
    <w:rsid w:val="00712E38"/>
    <w:rsid w:val="00724884"/>
    <w:rsid w:val="007308B7"/>
    <w:rsid w:val="00733F8A"/>
    <w:rsid w:val="007460A4"/>
    <w:rsid w:val="00750A11"/>
    <w:rsid w:val="00761B31"/>
    <w:rsid w:val="00762959"/>
    <w:rsid w:val="00765A67"/>
    <w:rsid w:val="00766700"/>
    <w:rsid w:val="007721DF"/>
    <w:rsid w:val="0077316E"/>
    <w:rsid w:val="007734E5"/>
    <w:rsid w:val="007750B7"/>
    <w:rsid w:val="00776E97"/>
    <w:rsid w:val="00783ABB"/>
    <w:rsid w:val="00790027"/>
    <w:rsid w:val="00795E2F"/>
    <w:rsid w:val="007A5541"/>
    <w:rsid w:val="007B7FF7"/>
    <w:rsid w:val="007C3E1A"/>
    <w:rsid w:val="007C3F83"/>
    <w:rsid w:val="007D3E1C"/>
    <w:rsid w:val="007D4C48"/>
    <w:rsid w:val="007E416F"/>
    <w:rsid w:val="007E42F4"/>
    <w:rsid w:val="007E5238"/>
    <w:rsid w:val="00802A0F"/>
    <w:rsid w:val="00812EF3"/>
    <w:rsid w:val="00824112"/>
    <w:rsid w:val="00824456"/>
    <w:rsid w:val="00826548"/>
    <w:rsid w:val="00836F76"/>
    <w:rsid w:val="0084072D"/>
    <w:rsid w:val="00840816"/>
    <w:rsid w:val="00841D5A"/>
    <w:rsid w:val="0085414A"/>
    <w:rsid w:val="008545B9"/>
    <w:rsid w:val="00867651"/>
    <w:rsid w:val="00874DC1"/>
    <w:rsid w:val="00876335"/>
    <w:rsid w:val="00885357"/>
    <w:rsid w:val="00891D01"/>
    <w:rsid w:val="008978B7"/>
    <w:rsid w:val="008A3E96"/>
    <w:rsid w:val="008A47FE"/>
    <w:rsid w:val="008B1834"/>
    <w:rsid w:val="008C2CD9"/>
    <w:rsid w:val="008D1563"/>
    <w:rsid w:val="008D2883"/>
    <w:rsid w:val="00912DD2"/>
    <w:rsid w:val="009167C9"/>
    <w:rsid w:val="0092536D"/>
    <w:rsid w:val="0093429F"/>
    <w:rsid w:val="00935D5F"/>
    <w:rsid w:val="00942A9B"/>
    <w:rsid w:val="009465B3"/>
    <w:rsid w:val="00946BDA"/>
    <w:rsid w:val="00950B0B"/>
    <w:rsid w:val="00950DEA"/>
    <w:rsid w:val="00951007"/>
    <w:rsid w:val="009570E2"/>
    <w:rsid w:val="00974596"/>
    <w:rsid w:val="009760D4"/>
    <w:rsid w:val="00976E86"/>
    <w:rsid w:val="0099122E"/>
    <w:rsid w:val="009B55A0"/>
    <w:rsid w:val="009C03B0"/>
    <w:rsid w:val="009C1CDF"/>
    <w:rsid w:val="009D00EB"/>
    <w:rsid w:val="009D103A"/>
    <w:rsid w:val="009D7F1F"/>
    <w:rsid w:val="009E2B43"/>
    <w:rsid w:val="009F73D3"/>
    <w:rsid w:val="00A068FE"/>
    <w:rsid w:val="00A160D8"/>
    <w:rsid w:val="00A177CD"/>
    <w:rsid w:val="00A215E7"/>
    <w:rsid w:val="00A41E80"/>
    <w:rsid w:val="00A505BD"/>
    <w:rsid w:val="00A5319D"/>
    <w:rsid w:val="00A542B0"/>
    <w:rsid w:val="00A55000"/>
    <w:rsid w:val="00A61BE8"/>
    <w:rsid w:val="00A72F14"/>
    <w:rsid w:val="00A926B3"/>
    <w:rsid w:val="00A93561"/>
    <w:rsid w:val="00AA2B7B"/>
    <w:rsid w:val="00AA37DB"/>
    <w:rsid w:val="00AA75C2"/>
    <w:rsid w:val="00AB5B1B"/>
    <w:rsid w:val="00AC7D64"/>
    <w:rsid w:val="00AE4C0B"/>
    <w:rsid w:val="00AE59EB"/>
    <w:rsid w:val="00AF051C"/>
    <w:rsid w:val="00AF4733"/>
    <w:rsid w:val="00AF661D"/>
    <w:rsid w:val="00B060DA"/>
    <w:rsid w:val="00B1400E"/>
    <w:rsid w:val="00B20DC7"/>
    <w:rsid w:val="00B226AF"/>
    <w:rsid w:val="00B31C8D"/>
    <w:rsid w:val="00B33F00"/>
    <w:rsid w:val="00B42EA9"/>
    <w:rsid w:val="00B47B2E"/>
    <w:rsid w:val="00B556F2"/>
    <w:rsid w:val="00B61211"/>
    <w:rsid w:val="00B62E64"/>
    <w:rsid w:val="00B73903"/>
    <w:rsid w:val="00B85432"/>
    <w:rsid w:val="00B94215"/>
    <w:rsid w:val="00B959D8"/>
    <w:rsid w:val="00BA7A57"/>
    <w:rsid w:val="00BB3EC9"/>
    <w:rsid w:val="00BB4248"/>
    <w:rsid w:val="00BB65FC"/>
    <w:rsid w:val="00BD2E36"/>
    <w:rsid w:val="00BD4AC7"/>
    <w:rsid w:val="00BD5735"/>
    <w:rsid w:val="00BE118D"/>
    <w:rsid w:val="00C02745"/>
    <w:rsid w:val="00C06991"/>
    <w:rsid w:val="00C165D6"/>
    <w:rsid w:val="00C2235D"/>
    <w:rsid w:val="00C25FD1"/>
    <w:rsid w:val="00C268F1"/>
    <w:rsid w:val="00C44FAA"/>
    <w:rsid w:val="00C46162"/>
    <w:rsid w:val="00C71FD8"/>
    <w:rsid w:val="00C8366E"/>
    <w:rsid w:val="00C85D3A"/>
    <w:rsid w:val="00CA521B"/>
    <w:rsid w:val="00CB43D3"/>
    <w:rsid w:val="00CB5B9F"/>
    <w:rsid w:val="00CB656D"/>
    <w:rsid w:val="00CC09E1"/>
    <w:rsid w:val="00CC0B18"/>
    <w:rsid w:val="00CC3C5A"/>
    <w:rsid w:val="00CE027C"/>
    <w:rsid w:val="00CE3E2E"/>
    <w:rsid w:val="00CE798F"/>
    <w:rsid w:val="00CF1340"/>
    <w:rsid w:val="00D0540E"/>
    <w:rsid w:val="00D11DCC"/>
    <w:rsid w:val="00D124CE"/>
    <w:rsid w:val="00D141FA"/>
    <w:rsid w:val="00D357A7"/>
    <w:rsid w:val="00D4068D"/>
    <w:rsid w:val="00D44CAC"/>
    <w:rsid w:val="00D5603F"/>
    <w:rsid w:val="00D71131"/>
    <w:rsid w:val="00D72395"/>
    <w:rsid w:val="00D7434E"/>
    <w:rsid w:val="00D80BFA"/>
    <w:rsid w:val="00D87422"/>
    <w:rsid w:val="00DA3425"/>
    <w:rsid w:val="00DB2C21"/>
    <w:rsid w:val="00DB2E10"/>
    <w:rsid w:val="00DB7AAD"/>
    <w:rsid w:val="00DC1C6D"/>
    <w:rsid w:val="00DC5E4E"/>
    <w:rsid w:val="00DD0D72"/>
    <w:rsid w:val="00DD2800"/>
    <w:rsid w:val="00DD650E"/>
    <w:rsid w:val="00DD7DB0"/>
    <w:rsid w:val="00DF0F7A"/>
    <w:rsid w:val="00DF47A6"/>
    <w:rsid w:val="00DF5F6F"/>
    <w:rsid w:val="00E004C4"/>
    <w:rsid w:val="00E111CC"/>
    <w:rsid w:val="00E139F4"/>
    <w:rsid w:val="00E13F96"/>
    <w:rsid w:val="00E169BD"/>
    <w:rsid w:val="00E175F5"/>
    <w:rsid w:val="00E216B5"/>
    <w:rsid w:val="00E22775"/>
    <w:rsid w:val="00E273C2"/>
    <w:rsid w:val="00E27EE7"/>
    <w:rsid w:val="00E351D2"/>
    <w:rsid w:val="00E36B92"/>
    <w:rsid w:val="00E6462C"/>
    <w:rsid w:val="00E65D6D"/>
    <w:rsid w:val="00E71354"/>
    <w:rsid w:val="00E72BC5"/>
    <w:rsid w:val="00E73797"/>
    <w:rsid w:val="00E76C97"/>
    <w:rsid w:val="00E84273"/>
    <w:rsid w:val="00E846A7"/>
    <w:rsid w:val="00EB3155"/>
    <w:rsid w:val="00EB465C"/>
    <w:rsid w:val="00EB7CFF"/>
    <w:rsid w:val="00EC1ED7"/>
    <w:rsid w:val="00EC3B8C"/>
    <w:rsid w:val="00ED432F"/>
    <w:rsid w:val="00ED52BF"/>
    <w:rsid w:val="00EE526F"/>
    <w:rsid w:val="00EE72B2"/>
    <w:rsid w:val="00EF312D"/>
    <w:rsid w:val="00EF4E71"/>
    <w:rsid w:val="00EF5174"/>
    <w:rsid w:val="00EF7AD3"/>
    <w:rsid w:val="00F02479"/>
    <w:rsid w:val="00F15EA9"/>
    <w:rsid w:val="00F2027F"/>
    <w:rsid w:val="00F26046"/>
    <w:rsid w:val="00F26449"/>
    <w:rsid w:val="00F31DAF"/>
    <w:rsid w:val="00F32D11"/>
    <w:rsid w:val="00F40533"/>
    <w:rsid w:val="00F44B9A"/>
    <w:rsid w:val="00F61ED3"/>
    <w:rsid w:val="00F62257"/>
    <w:rsid w:val="00F7190B"/>
    <w:rsid w:val="00F75D69"/>
    <w:rsid w:val="00F82259"/>
    <w:rsid w:val="00F82EB7"/>
    <w:rsid w:val="00F95253"/>
    <w:rsid w:val="00F95940"/>
    <w:rsid w:val="00F9602D"/>
    <w:rsid w:val="00FA151D"/>
    <w:rsid w:val="00FA32A6"/>
    <w:rsid w:val="00FA352E"/>
    <w:rsid w:val="00FA4AB5"/>
    <w:rsid w:val="00FA5D92"/>
    <w:rsid w:val="00FC1C3C"/>
    <w:rsid w:val="00FC3458"/>
    <w:rsid w:val="00FC534F"/>
    <w:rsid w:val="00FE32E3"/>
    <w:rsid w:val="00FE5BDB"/>
    <w:rsid w:val="00FF2E97"/>
    <w:rsid w:val="00FF466F"/>
    <w:rsid w:val="00FF4FA8"/>
    <w:rsid w:val="1FD765F1"/>
    <w:rsid w:val="2C802EB8"/>
    <w:rsid w:val="3200698C"/>
    <w:rsid w:val="37D61661"/>
    <w:rsid w:val="3D3E2B57"/>
    <w:rsid w:val="3DDD5D82"/>
    <w:rsid w:val="56157803"/>
    <w:rsid w:val="6C163AB2"/>
    <w:rsid w:val="7BAA452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qFormat="1" w:unhideWhenUsed="0" w:uiPriority="0" w:semiHidden="0" w:name="index 6"/>
    <w:lsdException w:qFormat="1" w:unhideWhenUsed="0" w:uiPriority="0" w:semiHidden="0" w:name="index 7"/>
    <w:lsdException w:uiPriority="99" w:name="index 8"/>
    <w:lsdException w:uiPriority="99" w:name="index 9"/>
    <w:lsdException w:qFormat="1" w:unhideWhenUsed="0" w:uiPriority="0" w:semiHidden="0"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qFormat="1" w:unhideWhenUsed="0" w:uiPriority="0" w:semiHidden="0" w:name="Normal Indent"/>
    <w:lsdException w:uiPriority="99" w:name="footnote text"/>
    <w:lsdException w:uiPriority="99" w:name="annotation text"/>
    <w:lsdException w:qFormat="1" w:unhideWhenUsed="0" w:uiPriority="99" w:semiHidden="0" w:name="header"/>
    <w:lsdException w:qFormat="1" w:unhideWhenUsed="0" w:uiPriority="99" w:semiHidden="0" w:name="footer"/>
    <w:lsdException w:uiPriority="99" w:name="index heading"/>
    <w:lsdException w:qFormat="1" w:uiPriority="0" w:name="caption"/>
    <w:lsdException w:uiPriority="99" w:name="table of figures"/>
    <w:lsdException w:uiPriority="99" w:name="envelope address"/>
    <w:lsdException w:uiPriority="99" w:name="envelope return"/>
    <w:lsdException w:uiPriority="99" w:name="footnote reference"/>
    <w:lsdException w:unhideWhenUsed="0" w:uiPriority="0" w:semiHidden="0"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qFormat="1" w:unhideWhenUsed="0" w:uiPriority="0" w:semiHidden="0"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uiPriority="1" w:name="Default Paragraph Font"/>
    <w:lsdException w:qFormat="1" w:unhideWhenUsed="0" w:uiPriority="1"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qFormat="1" w:uiPriority="99" w:semiHidden="0" w:name="Body Text First Indent 2"/>
    <w:lsdException w:uiPriority="99" w:name="Note Heading"/>
    <w:lsdException w:uiPriority="99" w:name="Body Text 2"/>
    <w:lsdException w:uiPriority="99" w:name="Body Text 3"/>
    <w:lsdException w:uiPriority="99" w:name="Body Text Indent 2"/>
    <w:lsdException w:qFormat="1" w:unhideWhenUsed="0" w:uiPriority="0" w:semiHidden="0" w:name="Body Text Indent 3"/>
    <w:lsdException w:uiPriority="99" w:name="Block Text"/>
    <w:lsdException w:qFormat="1" w:unhideWhenUsed="0" w:uiPriority="0" w:semiHidden="0" w:name="Hyperlink"/>
    <w:lsdException w:uiPriority="99"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99" w:semiHidden="0" w:name="Balloon Text"/>
    <w:lsdException w:qFormat="1" w:unhideWhenUsed="0" w:uiPriority="59" w:semiHidden="0" w:name="Table Grid"/>
    <w:lsdException w:uiPriority="99"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autoSpaceDE w:val="0"/>
      <w:autoSpaceDN w:val="0"/>
      <w:adjustRightInd w:val="0"/>
      <w:jc w:val="both"/>
    </w:pPr>
    <w:rPr>
      <w:rFonts w:ascii="Times New Roman" w:hAnsi="Times New Roman" w:eastAsia="宋体" w:cs="Times New Roman"/>
      <w:color w:val="000000"/>
      <w:sz w:val="21"/>
      <w:szCs w:val="21"/>
      <w:lang w:val="en-US" w:eastAsia="zh-CN" w:bidi="ar-SA"/>
    </w:rPr>
  </w:style>
  <w:style w:type="paragraph" w:styleId="2">
    <w:name w:val="heading 1"/>
    <w:basedOn w:val="1"/>
    <w:next w:val="1"/>
    <w:link w:val="31"/>
    <w:qFormat/>
    <w:uiPriority w:val="0"/>
    <w:pPr>
      <w:keepNext/>
      <w:keepLines/>
      <w:spacing w:before="340" w:after="330" w:line="576" w:lineRule="auto"/>
      <w:outlineLvl w:val="0"/>
    </w:pPr>
    <w:rPr>
      <w:b/>
      <w:kern w:val="44"/>
      <w:sz w:val="44"/>
    </w:rPr>
  </w:style>
  <w:style w:type="paragraph" w:styleId="3">
    <w:name w:val="heading 2"/>
    <w:basedOn w:val="1"/>
    <w:next w:val="1"/>
    <w:link w:val="32"/>
    <w:qFormat/>
    <w:uiPriority w:val="0"/>
    <w:pPr>
      <w:keepNext/>
      <w:keepLines/>
      <w:autoSpaceDE/>
      <w:autoSpaceDN/>
      <w:adjustRightInd/>
      <w:spacing w:before="260" w:after="260" w:line="415" w:lineRule="auto"/>
      <w:outlineLvl w:val="1"/>
    </w:pPr>
    <w:rPr>
      <w:rFonts w:ascii="Arial" w:hAnsi="Arial" w:eastAsia="黑体"/>
      <w:b/>
      <w:bCs/>
      <w:kern w:val="2"/>
      <w:sz w:val="32"/>
      <w:szCs w:val="32"/>
    </w:rPr>
  </w:style>
  <w:style w:type="character" w:default="1" w:styleId="24">
    <w:name w:val="Default Paragraph Font"/>
    <w:semiHidden/>
    <w:unhideWhenUsed/>
    <w:uiPriority w:val="1"/>
  </w:style>
  <w:style w:type="table" w:default="1" w:styleId="21">
    <w:name w:val="Normal Table"/>
    <w:semiHidden/>
    <w:unhideWhenUsed/>
    <w:qFormat/>
    <w:uiPriority w:val="99"/>
    <w:tblPr>
      <w:tblCellMar>
        <w:top w:w="0" w:type="dxa"/>
        <w:left w:w="108" w:type="dxa"/>
        <w:bottom w:w="0" w:type="dxa"/>
        <w:right w:w="108" w:type="dxa"/>
      </w:tblCellMar>
    </w:tblPr>
  </w:style>
  <w:style w:type="paragraph" w:styleId="4">
    <w:name w:val="List Number"/>
    <w:basedOn w:val="1"/>
    <w:qFormat/>
    <w:uiPriority w:val="0"/>
    <w:pPr>
      <w:widowControl/>
      <w:numPr>
        <w:ilvl w:val="0"/>
        <w:numId w:val="1"/>
      </w:numPr>
      <w:tabs>
        <w:tab w:val="left" w:pos="720"/>
      </w:tabs>
      <w:autoSpaceDE/>
      <w:autoSpaceDN/>
      <w:adjustRightInd/>
      <w:spacing w:afterLines="50"/>
      <w:jc w:val="left"/>
    </w:pPr>
    <w:rPr>
      <w:color w:val="auto"/>
      <w:sz w:val="24"/>
      <w:szCs w:val="20"/>
    </w:rPr>
  </w:style>
  <w:style w:type="paragraph" w:styleId="5">
    <w:name w:val="Normal Indent"/>
    <w:basedOn w:val="1"/>
    <w:link w:val="44"/>
    <w:qFormat/>
    <w:uiPriority w:val="0"/>
    <w:pPr>
      <w:autoSpaceDE/>
      <w:autoSpaceDN/>
      <w:adjustRightInd/>
      <w:ind w:firstLine="420"/>
    </w:pPr>
    <w:rPr>
      <w:kern w:val="2"/>
    </w:rPr>
  </w:style>
  <w:style w:type="paragraph" w:styleId="6">
    <w:name w:val="caption"/>
    <w:basedOn w:val="1"/>
    <w:next w:val="1"/>
    <w:semiHidden/>
    <w:unhideWhenUsed/>
    <w:qFormat/>
    <w:uiPriority w:val="0"/>
    <w:pPr>
      <w:autoSpaceDE/>
      <w:autoSpaceDN/>
      <w:adjustRightInd/>
    </w:pPr>
    <w:rPr>
      <w:rFonts w:ascii="Cambria" w:hAnsi="Cambria" w:eastAsia="黑体"/>
      <w:color w:val="auto"/>
      <w:kern w:val="2"/>
      <w:sz w:val="20"/>
      <w:szCs w:val="20"/>
    </w:rPr>
  </w:style>
  <w:style w:type="paragraph" w:styleId="7">
    <w:name w:val="Document Map"/>
    <w:basedOn w:val="1"/>
    <w:link w:val="43"/>
    <w:qFormat/>
    <w:uiPriority w:val="0"/>
    <w:pPr>
      <w:shd w:val="clear" w:color="auto" w:fill="000080"/>
      <w:autoSpaceDE/>
      <w:autoSpaceDN/>
      <w:adjustRightInd/>
    </w:pPr>
    <w:rPr>
      <w:kern w:val="2"/>
      <w:szCs w:val="24"/>
      <w:shd w:val="clear" w:color="auto" w:fill="000080"/>
    </w:rPr>
  </w:style>
  <w:style w:type="paragraph" w:styleId="8">
    <w:name w:val="index 6"/>
    <w:next w:val="1"/>
    <w:qFormat/>
    <w:uiPriority w:val="0"/>
    <w:pPr>
      <w:jc w:val="both"/>
    </w:pPr>
    <w:rPr>
      <w:rFonts w:ascii="Times New Roman" w:hAnsi="Times New Roman" w:eastAsia="宋体" w:cs="Times New Roman"/>
      <w:sz w:val="21"/>
      <w:szCs w:val="24"/>
      <w:lang w:val="en-US" w:eastAsia="zh-CN" w:bidi="ar-SA"/>
    </w:rPr>
  </w:style>
  <w:style w:type="paragraph" w:styleId="9">
    <w:name w:val="Body Text"/>
    <w:basedOn w:val="1"/>
    <w:link w:val="36"/>
    <w:qFormat/>
    <w:uiPriority w:val="1"/>
    <w:pPr>
      <w:spacing w:after="120"/>
    </w:pPr>
  </w:style>
  <w:style w:type="paragraph" w:styleId="10">
    <w:name w:val="Body Text Indent"/>
    <w:basedOn w:val="1"/>
    <w:link w:val="56"/>
    <w:qFormat/>
    <w:uiPriority w:val="0"/>
    <w:pPr>
      <w:spacing w:after="120"/>
      <w:ind w:left="420" w:leftChars="200"/>
    </w:pPr>
  </w:style>
  <w:style w:type="paragraph" w:styleId="11">
    <w:name w:val="Plain Text"/>
    <w:basedOn w:val="1"/>
    <w:link w:val="33"/>
    <w:qFormat/>
    <w:uiPriority w:val="0"/>
    <w:pPr>
      <w:autoSpaceDE/>
      <w:autoSpaceDN/>
      <w:adjustRightInd/>
    </w:pPr>
    <w:rPr>
      <w:kern w:val="2"/>
      <w:sz w:val="24"/>
    </w:rPr>
  </w:style>
  <w:style w:type="paragraph" w:styleId="12">
    <w:name w:val="Balloon Text"/>
    <w:basedOn w:val="1"/>
    <w:link w:val="57"/>
    <w:qFormat/>
    <w:uiPriority w:val="99"/>
    <w:rPr>
      <w:sz w:val="18"/>
      <w:szCs w:val="18"/>
    </w:rPr>
  </w:style>
  <w:style w:type="paragraph" w:styleId="13">
    <w:name w:val="footer"/>
    <w:basedOn w:val="1"/>
    <w:link w:val="39"/>
    <w:qFormat/>
    <w:uiPriority w:val="99"/>
    <w:pPr>
      <w:tabs>
        <w:tab w:val="center" w:pos="4153"/>
        <w:tab w:val="right" w:pos="8306"/>
      </w:tabs>
      <w:snapToGrid w:val="0"/>
      <w:jc w:val="left"/>
    </w:pPr>
    <w:rPr>
      <w:sz w:val="18"/>
      <w:szCs w:val="18"/>
    </w:rPr>
  </w:style>
  <w:style w:type="paragraph" w:styleId="14">
    <w:name w:val="header"/>
    <w:basedOn w:val="1"/>
    <w:link w:val="47"/>
    <w:qFormat/>
    <w:uiPriority w:val="99"/>
    <w:pPr>
      <w:pBdr>
        <w:bottom w:val="single" w:color="auto" w:sz="6" w:space="1"/>
      </w:pBdr>
      <w:tabs>
        <w:tab w:val="center" w:pos="4153"/>
        <w:tab w:val="right" w:pos="8306"/>
      </w:tabs>
      <w:snapToGrid w:val="0"/>
      <w:jc w:val="center"/>
    </w:pPr>
    <w:rPr>
      <w:sz w:val="18"/>
      <w:szCs w:val="18"/>
    </w:rPr>
  </w:style>
  <w:style w:type="paragraph" w:styleId="15">
    <w:name w:val="toc 1"/>
    <w:basedOn w:val="1"/>
    <w:next w:val="1"/>
    <w:qFormat/>
    <w:uiPriority w:val="0"/>
    <w:pPr>
      <w:spacing w:line="360" w:lineRule="auto"/>
    </w:pPr>
    <w:rPr>
      <w:rFonts w:eastAsia="黑体"/>
      <w:sz w:val="24"/>
    </w:rPr>
  </w:style>
  <w:style w:type="paragraph" w:styleId="16">
    <w:name w:val="Body Text Indent 3"/>
    <w:basedOn w:val="1"/>
    <w:link w:val="58"/>
    <w:qFormat/>
    <w:uiPriority w:val="0"/>
    <w:pPr>
      <w:autoSpaceDE/>
      <w:autoSpaceDN/>
      <w:adjustRightInd/>
      <w:ind w:firstLine="435"/>
    </w:pPr>
    <w:rPr>
      <w:color w:val="auto"/>
      <w:kern w:val="2"/>
      <w:szCs w:val="24"/>
    </w:rPr>
  </w:style>
  <w:style w:type="paragraph" w:styleId="17">
    <w:name w:val="index 7"/>
    <w:basedOn w:val="1"/>
    <w:next w:val="1"/>
    <w:qFormat/>
    <w:uiPriority w:val="0"/>
    <w:pPr>
      <w:ind w:left="1200" w:leftChars="1200"/>
    </w:pPr>
  </w:style>
  <w:style w:type="paragraph" w:styleId="18">
    <w:name w:val="Normal (Web)"/>
    <w:basedOn w:val="1"/>
    <w:qFormat/>
    <w:uiPriority w:val="99"/>
    <w:pPr>
      <w:autoSpaceDE/>
      <w:autoSpaceDN/>
      <w:adjustRightInd/>
    </w:pPr>
    <w:rPr>
      <w:rFonts w:ascii="Calibri" w:hAnsi="Calibri"/>
      <w:color w:val="auto"/>
      <w:kern w:val="2"/>
      <w:sz w:val="24"/>
      <w:szCs w:val="24"/>
    </w:rPr>
  </w:style>
  <w:style w:type="paragraph" w:styleId="19">
    <w:name w:val="Title"/>
    <w:basedOn w:val="1"/>
    <w:next w:val="1"/>
    <w:link w:val="104"/>
    <w:qFormat/>
    <w:uiPriority w:val="0"/>
    <w:pPr>
      <w:autoSpaceDE/>
      <w:autoSpaceDN/>
      <w:adjustRightInd/>
      <w:spacing w:before="240" w:after="60"/>
      <w:jc w:val="center"/>
      <w:outlineLvl w:val="0"/>
    </w:pPr>
    <w:rPr>
      <w:rFonts w:ascii="Cambria" w:hAnsi="Cambria"/>
      <w:b/>
      <w:bCs/>
      <w:color w:val="auto"/>
      <w:kern w:val="2"/>
      <w:sz w:val="32"/>
      <w:szCs w:val="32"/>
    </w:rPr>
  </w:style>
  <w:style w:type="paragraph" w:styleId="20">
    <w:name w:val="Body Text First Indent 2"/>
    <w:basedOn w:val="10"/>
    <w:link w:val="118"/>
    <w:unhideWhenUsed/>
    <w:qFormat/>
    <w:uiPriority w:val="99"/>
    <w:pPr>
      <w:ind w:firstLine="420" w:firstLineChars="200"/>
    </w:pPr>
  </w:style>
  <w:style w:type="table" w:styleId="22">
    <w:name w:val="Table Grid"/>
    <w:basedOn w:val="21"/>
    <w:qFormat/>
    <w:uiPriority w:val="5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23">
    <w:name w:val="Table Elegant"/>
    <w:basedOn w:val="21"/>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aps/>
        <w:color w:val="auto"/>
      </w:rPr>
      <w:tblPr/>
      <w:tcPr>
        <w:tcBorders>
          <w:tl2br w:val="nil"/>
          <w:tr2bl w:val="nil"/>
        </w:tcBorders>
      </w:tcPr>
    </w:tblStylePr>
  </w:style>
  <w:style w:type="character" w:styleId="25">
    <w:name w:val="Strong"/>
    <w:qFormat/>
    <w:uiPriority w:val="0"/>
    <w:rPr>
      <w:b/>
      <w:bCs/>
    </w:rPr>
  </w:style>
  <w:style w:type="character" w:styleId="26">
    <w:name w:val="page number"/>
    <w:basedOn w:val="24"/>
    <w:qFormat/>
    <w:uiPriority w:val="0"/>
  </w:style>
  <w:style w:type="character" w:styleId="27">
    <w:name w:val="FollowedHyperlink"/>
    <w:basedOn w:val="24"/>
    <w:semiHidden/>
    <w:unhideWhenUsed/>
    <w:uiPriority w:val="99"/>
    <w:rPr>
      <w:color w:val="800080"/>
      <w:u w:val="single"/>
    </w:rPr>
  </w:style>
  <w:style w:type="character" w:styleId="28">
    <w:name w:val="Emphasis"/>
    <w:basedOn w:val="24"/>
    <w:qFormat/>
    <w:uiPriority w:val="0"/>
    <w:rPr>
      <w:i/>
      <w:iCs/>
    </w:rPr>
  </w:style>
  <w:style w:type="character" w:styleId="29">
    <w:name w:val="Hyperlink"/>
    <w:basedOn w:val="24"/>
    <w:qFormat/>
    <w:uiPriority w:val="0"/>
    <w:rPr>
      <w:color w:val="0000FF"/>
      <w:u w:val="single"/>
    </w:rPr>
  </w:style>
  <w:style w:type="character" w:styleId="30">
    <w:name w:val="annotation reference"/>
    <w:uiPriority w:val="0"/>
    <w:rPr>
      <w:sz w:val="21"/>
      <w:szCs w:val="21"/>
    </w:rPr>
  </w:style>
  <w:style w:type="character" w:customStyle="1" w:styleId="31">
    <w:name w:val="标题 1 Char"/>
    <w:basedOn w:val="24"/>
    <w:link w:val="2"/>
    <w:qFormat/>
    <w:uiPriority w:val="0"/>
    <w:rPr>
      <w:b/>
      <w:color w:val="000000"/>
      <w:kern w:val="44"/>
      <w:sz w:val="44"/>
      <w:szCs w:val="21"/>
    </w:rPr>
  </w:style>
  <w:style w:type="character" w:customStyle="1" w:styleId="32">
    <w:name w:val="标题 2 Char"/>
    <w:basedOn w:val="24"/>
    <w:link w:val="3"/>
    <w:uiPriority w:val="0"/>
    <w:rPr>
      <w:rFonts w:ascii="Arial" w:hAnsi="Arial" w:eastAsia="黑体"/>
      <w:b/>
      <w:bCs/>
      <w:kern w:val="2"/>
      <w:sz w:val="32"/>
      <w:szCs w:val="32"/>
    </w:rPr>
  </w:style>
  <w:style w:type="character" w:customStyle="1" w:styleId="33">
    <w:name w:val="纯文本 Char"/>
    <w:basedOn w:val="24"/>
    <w:link w:val="11"/>
    <w:qFormat/>
    <w:uiPriority w:val="0"/>
    <w:rPr>
      <w:rFonts w:eastAsia="宋体"/>
      <w:kern w:val="2"/>
      <w:sz w:val="24"/>
      <w:lang w:val="en-US" w:eastAsia="zh-CN" w:bidi="ar-SA"/>
    </w:rPr>
  </w:style>
  <w:style w:type="character" w:customStyle="1" w:styleId="34">
    <w:name w:val="正文文字2 Char"/>
    <w:link w:val="35"/>
    <w:qFormat/>
    <w:uiPriority w:val="0"/>
    <w:rPr>
      <w:rFonts w:ascii="Arial" w:eastAsia="黑体"/>
      <w:sz w:val="21"/>
      <w:lang w:val="en-US" w:eastAsia="zh-CN" w:bidi="ar-SA"/>
    </w:rPr>
  </w:style>
  <w:style w:type="paragraph" w:customStyle="1" w:styleId="35">
    <w:name w:val="正文文字2"/>
    <w:basedOn w:val="9"/>
    <w:link w:val="34"/>
    <w:qFormat/>
    <w:uiPriority w:val="0"/>
    <w:pPr>
      <w:autoSpaceDE/>
      <w:autoSpaceDN/>
      <w:spacing w:after="60" w:line="360" w:lineRule="atLeast"/>
      <w:ind w:left="72" w:right="72"/>
      <w:jc w:val="center"/>
      <w:textAlignment w:val="baseline"/>
    </w:pPr>
    <w:rPr>
      <w:rFonts w:ascii="Arial" w:eastAsia="黑体"/>
      <w:color w:val="auto"/>
      <w:szCs w:val="20"/>
    </w:rPr>
  </w:style>
  <w:style w:type="character" w:customStyle="1" w:styleId="36">
    <w:name w:val="正文文本 Char"/>
    <w:basedOn w:val="24"/>
    <w:link w:val="9"/>
    <w:qFormat/>
    <w:uiPriority w:val="1"/>
    <w:rPr>
      <w:color w:val="000000"/>
      <w:sz w:val="21"/>
      <w:szCs w:val="21"/>
    </w:rPr>
  </w:style>
  <w:style w:type="character" w:customStyle="1" w:styleId="37">
    <w:name w:val="ca-32"/>
    <w:basedOn w:val="24"/>
    <w:uiPriority w:val="0"/>
  </w:style>
  <w:style w:type="character" w:customStyle="1" w:styleId="38">
    <w:name w:val="ca-72"/>
    <w:basedOn w:val="24"/>
    <w:qFormat/>
    <w:uiPriority w:val="0"/>
  </w:style>
  <w:style w:type="character" w:customStyle="1" w:styleId="39">
    <w:name w:val="页脚 Char"/>
    <w:basedOn w:val="24"/>
    <w:link w:val="13"/>
    <w:qFormat/>
    <w:uiPriority w:val="99"/>
    <w:rPr>
      <w:color w:val="000000"/>
      <w:sz w:val="18"/>
      <w:szCs w:val="18"/>
    </w:rPr>
  </w:style>
  <w:style w:type="character" w:customStyle="1" w:styleId="40">
    <w:name w:val="大纲 Char"/>
    <w:basedOn w:val="24"/>
    <w:link w:val="41"/>
    <w:qFormat/>
    <w:uiPriority w:val="0"/>
    <w:rPr>
      <w:rFonts w:ascii="宋体" w:hAnsi="宋体"/>
      <w:b/>
      <w:kern w:val="2"/>
      <w:sz w:val="28"/>
      <w:szCs w:val="28"/>
      <w:lang w:bidi="ar-SA"/>
    </w:rPr>
  </w:style>
  <w:style w:type="paragraph" w:customStyle="1" w:styleId="41">
    <w:name w:val="大纲"/>
    <w:basedOn w:val="1"/>
    <w:link w:val="40"/>
    <w:qFormat/>
    <w:uiPriority w:val="0"/>
    <w:pPr>
      <w:autoSpaceDE/>
      <w:autoSpaceDN/>
      <w:adjustRightInd/>
      <w:spacing w:line="500" w:lineRule="exact"/>
      <w:jc w:val="left"/>
      <w:outlineLvl w:val="0"/>
    </w:pPr>
    <w:rPr>
      <w:rFonts w:ascii="宋体" w:hAnsi="宋体"/>
      <w:b/>
      <w:kern w:val="2"/>
      <w:sz w:val="28"/>
      <w:szCs w:val="28"/>
    </w:rPr>
  </w:style>
  <w:style w:type="character" w:customStyle="1" w:styleId="42">
    <w:name w:val="ca-42"/>
    <w:basedOn w:val="24"/>
    <w:uiPriority w:val="0"/>
  </w:style>
  <w:style w:type="character" w:customStyle="1" w:styleId="43">
    <w:name w:val="文档结构图 Char"/>
    <w:basedOn w:val="24"/>
    <w:link w:val="7"/>
    <w:qFormat/>
    <w:uiPriority w:val="0"/>
    <w:rPr>
      <w:kern w:val="2"/>
      <w:sz w:val="21"/>
      <w:szCs w:val="24"/>
      <w:shd w:val="clear" w:color="auto" w:fill="000080"/>
    </w:rPr>
  </w:style>
  <w:style w:type="character" w:customStyle="1" w:styleId="44">
    <w:name w:val="正文缩进 Char"/>
    <w:basedOn w:val="24"/>
    <w:link w:val="5"/>
    <w:qFormat/>
    <w:uiPriority w:val="0"/>
    <w:rPr>
      <w:rFonts w:eastAsia="宋体"/>
      <w:kern w:val="2"/>
      <w:sz w:val="21"/>
      <w:lang w:val="en-US" w:eastAsia="zh-CN" w:bidi="ar-SA"/>
    </w:rPr>
  </w:style>
  <w:style w:type="character" w:customStyle="1" w:styleId="45">
    <w:name w:val="ca-52"/>
    <w:basedOn w:val="24"/>
    <w:uiPriority w:val="0"/>
  </w:style>
  <w:style w:type="character" w:customStyle="1" w:styleId="46">
    <w:name w:val="so-ask-best"/>
    <w:basedOn w:val="24"/>
    <w:qFormat/>
    <w:uiPriority w:val="0"/>
  </w:style>
  <w:style w:type="character" w:customStyle="1" w:styleId="47">
    <w:name w:val="页眉 Char"/>
    <w:basedOn w:val="24"/>
    <w:link w:val="14"/>
    <w:qFormat/>
    <w:uiPriority w:val="99"/>
    <w:rPr>
      <w:color w:val="000000"/>
      <w:sz w:val="18"/>
      <w:szCs w:val="18"/>
    </w:rPr>
  </w:style>
  <w:style w:type="character" w:customStyle="1" w:styleId="48">
    <w:name w:val="ca-12"/>
    <w:basedOn w:val="24"/>
    <w:uiPriority w:val="0"/>
  </w:style>
  <w:style w:type="character" w:customStyle="1" w:styleId="49">
    <w:name w:val="ca-22"/>
    <w:basedOn w:val="24"/>
    <w:qFormat/>
    <w:uiPriority w:val="0"/>
  </w:style>
  <w:style w:type="character" w:customStyle="1" w:styleId="50">
    <w:name w:val="ca-62"/>
    <w:basedOn w:val="24"/>
    <w:qFormat/>
    <w:uiPriority w:val="0"/>
  </w:style>
  <w:style w:type="character" w:customStyle="1" w:styleId="51">
    <w:name w:val="无间隔 Char"/>
    <w:link w:val="52"/>
    <w:locked/>
    <w:uiPriority w:val="0"/>
    <w:rPr>
      <w:rFonts w:ascii="Calibri" w:hAnsi="Calibri"/>
      <w:sz w:val="22"/>
      <w:szCs w:val="22"/>
      <w:lang w:val="en-US" w:eastAsia="zh-CN" w:bidi="ar-SA"/>
    </w:rPr>
  </w:style>
  <w:style w:type="paragraph" w:styleId="52">
    <w:name w:val="No Spacing"/>
    <w:link w:val="51"/>
    <w:qFormat/>
    <w:uiPriority w:val="0"/>
    <w:rPr>
      <w:rFonts w:ascii="Calibri" w:hAnsi="Calibri" w:eastAsia="宋体" w:cs="Times New Roman"/>
      <w:sz w:val="22"/>
      <w:szCs w:val="22"/>
      <w:lang w:val="en-US" w:eastAsia="zh-CN" w:bidi="ar-SA"/>
    </w:rPr>
  </w:style>
  <w:style w:type="character" w:customStyle="1" w:styleId="53">
    <w:name w:val="纯文本 Char1"/>
    <w:basedOn w:val="24"/>
    <w:qFormat/>
    <w:locked/>
    <w:uiPriority w:val="0"/>
    <w:rPr>
      <w:rFonts w:eastAsia="宋体"/>
      <w:kern w:val="2"/>
      <w:sz w:val="24"/>
      <w:lang w:val="en-US" w:eastAsia="zh-CN" w:bidi="ar-SA"/>
    </w:rPr>
  </w:style>
  <w:style w:type="character" w:customStyle="1" w:styleId="54">
    <w:name w:val="apple-converted-space"/>
    <w:basedOn w:val="24"/>
    <w:uiPriority w:val="0"/>
  </w:style>
  <w:style w:type="character" w:customStyle="1" w:styleId="55">
    <w:name w:val="font01"/>
    <w:basedOn w:val="24"/>
    <w:qFormat/>
    <w:uiPriority w:val="0"/>
    <w:rPr>
      <w:rFonts w:hint="eastAsia" w:ascii="宋体" w:hAnsi="宋体" w:eastAsia="宋体" w:cs="宋体"/>
      <w:color w:val="000000"/>
      <w:sz w:val="22"/>
      <w:szCs w:val="22"/>
      <w:u w:val="none"/>
    </w:rPr>
  </w:style>
  <w:style w:type="character" w:customStyle="1" w:styleId="56">
    <w:name w:val="正文文本缩进 Char"/>
    <w:basedOn w:val="24"/>
    <w:link w:val="10"/>
    <w:qFormat/>
    <w:uiPriority w:val="0"/>
    <w:rPr>
      <w:color w:val="000000"/>
      <w:sz w:val="21"/>
      <w:szCs w:val="21"/>
    </w:rPr>
  </w:style>
  <w:style w:type="character" w:customStyle="1" w:styleId="57">
    <w:name w:val="批注框文本 Char"/>
    <w:basedOn w:val="24"/>
    <w:link w:val="12"/>
    <w:qFormat/>
    <w:uiPriority w:val="99"/>
    <w:rPr>
      <w:color w:val="000000"/>
      <w:sz w:val="18"/>
      <w:szCs w:val="18"/>
    </w:rPr>
  </w:style>
  <w:style w:type="character" w:customStyle="1" w:styleId="58">
    <w:name w:val="正文文本缩进 3 Char"/>
    <w:basedOn w:val="24"/>
    <w:link w:val="16"/>
    <w:qFormat/>
    <w:uiPriority w:val="0"/>
    <w:rPr>
      <w:kern w:val="2"/>
      <w:sz w:val="21"/>
      <w:szCs w:val="24"/>
    </w:rPr>
  </w:style>
  <w:style w:type="paragraph" w:customStyle="1" w:styleId="59">
    <w:name w:val="列出段落1"/>
    <w:basedOn w:val="1"/>
    <w:qFormat/>
    <w:uiPriority w:val="34"/>
    <w:pPr>
      <w:autoSpaceDE/>
      <w:autoSpaceDN/>
      <w:adjustRightInd/>
      <w:ind w:firstLine="420" w:firstLineChars="200"/>
    </w:pPr>
    <w:rPr>
      <w:color w:val="auto"/>
      <w:kern w:val="2"/>
      <w:szCs w:val="20"/>
    </w:rPr>
  </w:style>
  <w:style w:type="paragraph" w:customStyle="1" w:styleId="60">
    <w:name w:val="pa-21"/>
    <w:basedOn w:val="1"/>
    <w:qFormat/>
    <w:uiPriority w:val="0"/>
    <w:pPr>
      <w:widowControl/>
      <w:autoSpaceDE/>
      <w:autoSpaceDN/>
      <w:adjustRightInd/>
      <w:spacing w:before="100" w:beforeAutospacing="1" w:after="100" w:afterAutospacing="1"/>
      <w:jc w:val="left"/>
    </w:pPr>
    <w:rPr>
      <w:rFonts w:ascii="宋体" w:hAnsi="宋体" w:cs="宋体"/>
      <w:color w:val="auto"/>
      <w:sz w:val="24"/>
      <w:szCs w:val="24"/>
    </w:rPr>
  </w:style>
  <w:style w:type="paragraph" w:customStyle="1" w:styleId="61">
    <w:name w:val="pa-5"/>
    <w:basedOn w:val="1"/>
    <w:qFormat/>
    <w:uiPriority w:val="0"/>
    <w:pPr>
      <w:widowControl/>
      <w:autoSpaceDE/>
      <w:autoSpaceDN/>
      <w:adjustRightInd/>
      <w:spacing w:before="100" w:beforeAutospacing="1" w:after="100" w:afterAutospacing="1"/>
      <w:jc w:val="left"/>
    </w:pPr>
    <w:rPr>
      <w:rFonts w:ascii="宋体" w:hAnsi="宋体" w:cs="宋体"/>
      <w:color w:val="auto"/>
      <w:sz w:val="24"/>
      <w:szCs w:val="24"/>
    </w:rPr>
  </w:style>
  <w:style w:type="paragraph" w:customStyle="1" w:styleId="62">
    <w:name w:val="小节标题"/>
    <w:basedOn w:val="1"/>
    <w:qFormat/>
    <w:uiPriority w:val="0"/>
    <w:pPr>
      <w:widowControl/>
      <w:autoSpaceDE/>
      <w:autoSpaceDN/>
      <w:adjustRightInd/>
      <w:spacing w:before="175" w:after="102" w:line="351" w:lineRule="atLeast"/>
      <w:textAlignment w:val="baseline"/>
    </w:pPr>
    <w:rPr>
      <w:rFonts w:eastAsia="黑体"/>
      <w:szCs w:val="20"/>
      <w:u w:color="000000"/>
    </w:rPr>
  </w:style>
  <w:style w:type="paragraph" w:customStyle="1" w:styleId="63">
    <w:name w:val="pa-20"/>
    <w:basedOn w:val="1"/>
    <w:qFormat/>
    <w:uiPriority w:val="0"/>
    <w:pPr>
      <w:widowControl/>
      <w:autoSpaceDE/>
      <w:autoSpaceDN/>
      <w:adjustRightInd/>
      <w:spacing w:before="100" w:beforeAutospacing="1" w:after="100" w:afterAutospacing="1"/>
      <w:jc w:val="left"/>
    </w:pPr>
    <w:rPr>
      <w:rFonts w:ascii="宋体" w:hAnsi="宋体" w:cs="宋体"/>
      <w:color w:val="auto"/>
      <w:sz w:val="24"/>
      <w:szCs w:val="24"/>
    </w:rPr>
  </w:style>
  <w:style w:type="paragraph" w:customStyle="1" w:styleId="64">
    <w:name w:val="默认段落字体 Para Char Char Char"/>
    <w:basedOn w:val="1"/>
    <w:qFormat/>
    <w:uiPriority w:val="0"/>
    <w:pPr>
      <w:autoSpaceDE/>
      <w:autoSpaceDN/>
      <w:adjustRightInd/>
    </w:pPr>
    <w:rPr>
      <w:color w:val="auto"/>
      <w:kern w:val="2"/>
      <w:szCs w:val="24"/>
    </w:rPr>
  </w:style>
  <w:style w:type="paragraph" w:customStyle="1" w:styleId="65">
    <w:name w:val="pa-4"/>
    <w:basedOn w:val="1"/>
    <w:qFormat/>
    <w:uiPriority w:val="0"/>
    <w:pPr>
      <w:widowControl/>
      <w:autoSpaceDE/>
      <w:autoSpaceDN/>
      <w:adjustRightInd/>
      <w:spacing w:before="100" w:beforeAutospacing="1" w:after="100" w:afterAutospacing="1"/>
      <w:jc w:val="left"/>
    </w:pPr>
    <w:rPr>
      <w:rFonts w:ascii="宋体" w:hAnsi="宋体" w:cs="宋体"/>
      <w:color w:val="auto"/>
      <w:sz w:val="24"/>
      <w:szCs w:val="24"/>
    </w:rPr>
  </w:style>
  <w:style w:type="paragraph" w:customStyle="1" w:styleId="66">
    <w:name w:val="pa-15"/>
    <w:basedOn w:val="1"/>
    <w:qFormat/>
    <w:uiPriority w:val="0"/>
    <w:pPr>
      <w:widowControl/>
      <w:autoSpaceDE/>
      <w:autoSpaceDN/>
      <w:adjustRightInd/>
      <w:spacing w:before="100" w:beforeAutospacing="1" w:after="100" w:afterAutospacing="1"/>
      <w:jc w:val="left"/>
    </w:pPr>
    <w:rPr>
      <w:rFonts w:ascii="宋体" w:hAnsi="宋体" w:cs="宋体"/>
      <w:color w:val="auto"/>
      <w:sz w:val="24"/>
      <w:szCs w:val="24"/>
    </w:rPr>
  </w:style>
  <w:style w:type="paragraph" w:customStyle="1" w:styleId="67">
    <w:name w:val="SS正文首行缩进 +"/>
    <w:next w:val="1"/>
    <w:qFormat/>
    <w:uiPriority w:val="0"/>
    <w:pPr>
      <w:widowControl w:val="0"/>
      <w:spacing w:beforeLines="50" w:afterLines="50" w:line="360" w:lineRule="auto"/>
      <w:ind w:firstLine="200" w:firstLineChars="200"/>
      <w:jc w:val="both"/>
    </w:pPr>
    <w:rPr>
      <w:rFonts w:ascii="Times New Roman" w:hAnsi="Times New Roman" w:eastAsia="宋体" w:cs="Times New Roman"/>
      <w:kern w:val="2"/>
      <w:sz w:val="24"/>
      <w:lang w:val="en-US" w:eastAsia="zh-CN" w:bidi="ar-SA"/>
    </w:rPr>
  </w:style>
  <w:style w:type="paragraph" w:customStyle="1" w:styleId="68">
    <w:name w:val="无间隔1"/>
    <w:qFormat/>
    <w:uiPriority w:val="1"/>
    <w:rPr>
      <w:rFonts w:ascii="Calibri" w:hAnsi="Calibri" w:eastAsia="宋体" w:cs="Times New Roman"/>
      <w:sz w:val="22"/>
      <w:szCs w:val="22"/>
      <w:lang w:val="en-US" w:eastAsia="zh-CN" w:bidi="ar-SA"/>
    </w:rPr>
  </w:style>
  <w:style w:type="paragraph" w:customStyle="1" w:styleId="69">
    <w:name w:val="pa-8"/>
    <w:basedOn w:val="1"/>
    <w:qFormat/>
    <w:uiPriority w:val="0"/>
    <w:pPr>
      <w:widowControl/>
      <w:autoSpaceDE/>
      <w:autoSpaceDN/>
      <w:adjustRightInd/>
      <w:spacing w:before="100" w:beforeAutospacing="1" w:after="100" w:afterAutospacing="1"/>
      <w:jc w:val="left"/>
    </w:pPr>
    <w:rPr>
      <w:rFonts w:ascii="宋体" w:hAnsi="宋体" w:cs="宋体"/>
      <w:color w:val="auto"/>
      <w:sz w:val="24"/>
      <w:szCs w:val="24"/>
    </w:rPr>
  </w:style>
  <w:style w:type="paragraph" w:customStyle="1" w:styleId="70">
    <w:name w:val="pa-19"/>
    <w:basedOn w:val="1"/>
    <w:uiPriority w:val="0"/>
    <w:pPr>
      <w:widowControl/>
      <w:autoSpaceDE/>
      <w:autoSpaceDN/>
      <w:adjustRightInd/>
      <w:spacing w:before="100" w:beforeAutospacing="1" w:after="100" w:afterAutospacing="1"/>
      <w:jc w:val="left"/>
    </w:pPr>
    <w:rPr>
      <w:rFonts w:ascii="宋体" w:hAnsi="宋体" w:cs="宋体"/>
      <w:color w:val="auto"/>
      <w:sz w:val="24"/>
      <w:szCs w:val="24"/>
    </w:rPr>
  </w:style>
  <w:style w:type="paragraph" w:customStyle="1" w:styleId="71">
    <w:name w:val="pa-12"/>
    <w:basedOn w:val="1"/>
    <w:qFormat/>
    <w:uiPriority w:val="0"/>
    <w:pPr>
      <w:widowControl/>
      <w:autoSpaceDE/>
      <w:autoSpaceDN/>
      <w:adjustRightInd/>
      <w:spacing w:before="100" w:beforeAutospacing="1" w:after="100" w:afterAutospacing="1"/>
      <w:jc w:val="left"/>
    </w:pPr>
    <w:rPr>
      <w:rFonts w:ascii="宋体" w:hAnsi="宋体" w:cs="宋体"/>
      <w:color w:val="auto"/>
      <w:sz w:val="24"/>
      <w:szCs w:val="24"/>
    </w:rPr>
  </w:style>
  <w:style w:type="paragraph" w:styleId="72">
    <w:name w:val="List Paragraph"/>
    <w:basedOn w:val="1"/>
    <w:link w:val="73"/>
    <w:qFormat/>
    <w:uiPriority w:val="34"/>
    <w:pPr>
      <w:autoSpaceDE/>
      <w:autoSpaceDN/>
      <w:adjustRightInd/>
      <w:ind w:firstLine="420" w:firstLineChars="200"/>
    </w:pPr>
    <w:rPr>
      <w:rFonts w:ascii="Calibri" w:hAnsi="Calibri"/>
      <w:color w:val="auto"/>
      <w:kern w:val="2"/>
      <w:szCs w:val="22"/>
    </w:rPr>
  </w:style>
  <w:style w:type="character" w:customStyle="1" w:styleId="73">
    <w:name w:val="列出段落 Char"/>
    <w:link w:val="72"/>
    <w:qFormat/>
    <w:uiPriority w:val="34"/>
    <w:rPr>
      <w:rFonts w:ascii="Calibri" w:hAnsi="Calibri"/>
      <w:kern w:val="2"/>
      <w:sz w:val="21"/>
      <w:szCs w:val="22"/>
    </w:rPr>
  </w:style>
  <w:style w:type="paragraph" w:customStyle="1" w:styleId="74">
    <w:name w:val="pa-16"/>
    <w:basedOn w:val="1"/>
    <w:qFormat/>
    <w:uiPriority w:val="0"/>
    <w:pPr>
      <w:widowControl/>
      <w:autoSpaceDE/>
      <w:autoSpaceDN/>
      <w:adjustRightInd/>
      <w:spacing w:before="100" w:beforeAutospacing="1" w:after="100" w:afterAutospacing="1"/>
      <w:jc w:val="left"/>
    </w:pPr>
    <w:rPr>
      <w:rFonts w:ascii="宋体" w:hAnsi="宋体" w:cs="宋体"/>
      <w:color w:val="auto"/>
      <w:sz w:val="24"/>
      <w:szCs w:val="24"/>
    </w:rPr>
  </w:style>
  <w:style w:type="paragraph" w:customStyle="1" w:styleId="75">
    <w:name w:val="xl83"/>
    <w:basedOn w:val="1"/>
    <w:qFormat/>
    <w:uiPriority w:val="0"/>
    <w:pPr>
      <w:widowControl/>
      <w:pBdr>
        <w:top w:val="single" w:color="auto" w:sz="4" w:space="0"/>
        <w:left w:val="single" w:color="auto" w:sz="4" w:space="0"/>
        <w:bottom w:val="single" w:color="auto" w:sz="4" w:space="0"/>
        <w:right w:val="single" w:color="auto" w:sz="4" w:space="0"/>
      </w:pBdr>
      <w:autoSpaceDE/>
      <w:autoSpaceDN/>
      <w:adjustRightInd/>
      <w:spacing w:before="100" w:beforeAutospacing="1" w:after="100" w:afterAutospacing="1"/>
      <w:jc w:val="left"/>
    </w:pPr>
    <w:rPr>
      <w:color w:val="auto"/>
      <w:sz w:val="24"/>
      <w:szCs w:val="24"/>
    </w:rPr>
  </w:style>
  <w:style w:type="paragraph" w:customStyle="1" w:styleId="76">
    <w:name w:val="H-TextFormat"/>
    <w:qFormat/>
    <w:uiPriority w:val="0"/>
    <w:pPr>
      <w:autoSpaceDE w:val="0"/>
      <w:autoSpaceDN w:val="0"/>
      <w:adjustRightInd w:val="0"/>
    </w:pPr>
    <w:rPr>
      <w:rFonts w:ascii="Arial" w:hAnsi="Arial" w:eastAsia="宋体" w:cs="Arial"/>
      <w:sz w:val="22"/>
      <w:szCs w:val="22"/>
      <w:lang w:val="en-US" w:eastAsia="zh-CN" w:bidi="ar-SA"/>
    </w:rPr>
  </w:style>
  <w:style w:type="paragraph" w:customStyle="1" w:styleId="77">
    <w:name w:val="pa-17"/>
    <w:basedOn w:val="1"/>
    <w:qFormat/>
    <w:uiPriority w:val="0"/>
    <w:pPr>
      <w:widowControl/>
      <w:autoSpaceDE/>
      <w:autoSpaceDN/>
      <w:adjustRightInd/>
      <w:spacing w:before="100" w:beforeAutospacing="1" w:after="100" w:afterAutospacing="1"/>
      <w:jc w:val="left"/>
    </w:pPr>
    <w:rPr>
      <w:rFonts w:ascii="宋体" w:hAnsi="宋体" w:cs="宋体"/>
      <w:color w:val="auto"/>
      <w:sz w:val="24"/>
      <w:szCs w:val="24"/>
    </w:rPr>
  </w:style>
  <w:style w:type="paragraph" w:customStyle="1" w:styleId="78">
    <w:name w:val="font5"/>
    <w:basedOn w:val="1"/>
    <w:qFormat/>
    <w:uiPriority w:val="0"/>
    <w:pPr>
      <w:widowControl/>
      <w:autoSpaceDE/>
      <w:autoSpaceDN/>
      <w:adjustRightInd/>
      <w:spacing w:before="100" w:beforeAutospacing="1" w:after="100" w:afterAutospacing="1"/>
      <w:jc w:val="left"/>
    </w:pPr>
    <w:rPr>
      <w:rFonts w:hint="eastAsia" w:ascii="宋体" w:hAnsi="宋体"/>
      <w:color w:val="auto"/>
      <w:sz w:val="18"/>
      <w:szCs w:val="20"/>
    </w:rPr>
  </w:style>
  <w:style w:type="paragraph" w:customStyle="1" w:styleId="79">
    <w:name w:val="pa-9"/>
    <w:basedOn w:val="1"/>
    <w:qFormat/>
    <w:uiPriority w:val="0"/>
    <w:pPr>
      <w:widowControl/>
      <w:autoSpaceDE/>
      <w:autoSpaceDN/>
      <w:adjustRightInd/>
      <w:spacing w:before="100" w:beforeAutospacing="1" w:after="100" w:afterAutospacing="1"/>
      <w:jc w:val="left"/>
    </w:pPr>
    <w:rPr>
      <w:rFonts w:ascii="宋体" w:hAnsi="宋体" w:cs="宋体"/>
      <w:color w:val="auto"/>
      <w:sz w:val="24"/>
      <w:szCs w:val="24"/>
    </w:rPr>
  </w:style>
  <w:style w:type="paragraph" w:customStyle="1" w:styleId="80">
    <w:name w:val="pa-13"/>
    <w:basedOn w:val="1"/>
    <w:qFormat/>
    <w:uiPriority w:val="0"/>
    <w:pPr>
      <w:widowControl/>
      <w:autoSpaceDE/>
      <w:autoSpaceDN/>
      <w:adjustRightInd/>
      <w:spacing w:before="100" w:beforeAutospacing="1" w:after="100" w:afterAutospacing="1"/>
      <w:jc w:val="left"/>
    </w:pPr>
    <w:rPr>
      <w:rFonts w:ascii="宋体" w:hAnsi="宋体" w:cs="宋体"/>
      <w:color w:val="auto"/>
      <w:sz w:val="24"/>
      <w:szCs w:val="24"/>
    </w:rPr>
  </w:style>
  <w:style w:type="paragraph" w:customStyle="1" w:styleId="81">
    <w:name w:val="pa-14"/>
    <w:basedOn w:val="1"/>
    <w:qFormat/>
    <w:uiPriority w:val="0"/>
    <w:pPr>
      <w:widowControl/>
      <w:autoSpaceDE/>
      <w:autoSpaceDN/>
      <w:adjustRightInd/>
      <w:spacing w:before="100" w:beforeAutospacing="1" w:after="100" w:afterAutospacing="1"/>
      <w:jc w:val="left"/>
    </w:pPr>
    <w:rPr>
      <w:rFonts w:ascii="宋体" w:hAnsi="宋体" w:cs="宋体"/>
      <w:color w:val="auto"/>
      <w:sz w:val="24"/>
      <w:szCs w:val="24"/>
    </w:rPr>
  </w:style>
  <w:style w:type="paragraph" w:customStyle="1" w:styleId="82">
    <w:name w:val="p15"/>
    <w:basedOn w:val="1"/>
    <w:qFormat/>
    <w:uiPriority w:val="0"/>
    <w:pPr>
      <w:widowControl/>
      <w:autoSpaceDE/>
      <w:autoSpaceDN/>
      <w:adjustRightInd/>
      <w:snapToGrid w:val="0"/>
    </w:pPr>
  </w:style>
  <w:style w:type="paragraph" w:customStyle="1" w:styleId="83">
    <w:name w:val="pa-18"/>
    <w:basedOn w:val="1"/>
    <w:qFormat/>
    <w:uiPriority w:val="0"/>
    <w:pPr>
      <w:widowControl/>
      <w:autoSpaceDE/>
      <w:autoSpaceDN/>
      <w:adjustRightInd/>
      <w:spacing w:before="100" w:beforeAutospacing="1" w:after="100" w:afterAutospacing="1"/>
      <w:jc w:val="left"/>
    </w:pPr>
    <w:rPr>
      <w:rFonts w:ascii="宋体" w:hAnsi="宋体" w:cs="宋体"/>
      <w:color w:val="auto"/>
      <w:sz w:val="24"/>
      <w:szCs w:val="24"/>
    </w:rPr>
  </w:style>
  <w:style w:type="paragraph" w:customStyle="1" w:styleId="84">
    <w:name w:val="pa-3"/>
    <w:basedOn w:val="1"/>
    <w:qFormat/>
    <w:uiPriority w:val="0"/>
    <w:pPr>
      <w:widowControl/>
      <w:autoSpaceDE/>
      <w:autoSpaceDN/>
      <w:adjustRightInd/>
      <w:spacing w:before="100" w:beforeAutospacing="1" w:after="100" w:afterAutospacing="1"/>
      <w:jc w:val="left"/>
    </w:pPr>
    <w:rPr>
      <w:rFonts w:ascii="宋体" w:hAnsi="宋体" w:cs="宋体"/>
      <w:color w:val="auto"/>
      <w:sz w:val="24"/>
      <w:szCs w:val="24"/>
    </w:rPr>
  </w:style>
  <w:style w:type="paragraph" w:customStyle="1" w:styleId="85">
    <w:name w:val="pa-6"/>
    <w:basedOn w:val="1"/>
    <w:qFormat/>
    <w:uiPriority w:val="0"/>
    <w:pPr>
      <w:widowControl/>
      <w:autoSpaceDE/>
      <w:autoSpaceDN/>
      <w:adjustRightInd/>
      <w:spacing w:before="100" w:beforeAutospacing="1" w:after="100" w:afterAutospacing="1"/>
      <w:jc w:val="left"/>
    </w:pPr>
    <w:rPr>
      <w:rFonts w:ascii="宋体" w:hAnsi="宋体" w:cs="宋体"/>
      <w:color w:val="auto"/>
      <w:sz w:val="24"/>
      <w:szCs w:val="24"/>
    </w:rPr>
  </w:style>
  <w:style w:type="paragraph" w:customStyle="1" w:styleId="86">
    <w:name w:val="pa-10"/>
    <w:basedOn w:val="1"/>
    <w:qFormat/>
    <w:uiPriority w:val="0"/>
    <w:pPr>
      <w:widowControl/>
      <w:autoSpaceDE/>
      <w:autoSpaceDN/>
      <w:adjustRightInd/>
      <w:spacing w:before="100" w:beforeAutospacing="1" w:after="100" w:afterAutospacing="1"/>
      <w:jc w:val="left"/>
    </w:pPr>
    <w:rPr>
      <w:rFonts w:ascii="宋体" w:hAnsi="宋体" w:cs="宋体"/>
      <w:color w:val="auto"/>
      <w:sz w:val="24"/>
      <w:szCs w:val="24"/>
    </w:rPr>
  </w:style>
  <w:style w:type="paragraph" w:customStyle="1" w:styleId="87">
    <w:name w:val="pa-2"/>
    <w:basedOn w:val="1"/>
    <w:qFormat/>
    <w:uiPriority w:val="0"/>
    <w:pPr>
      <w:widowControl/>
      <w:autoSpaceDE/>
      <w:autoSpaceDN/>
      <w:adjustRightInd/>
      <w:spacing w:before="100" w:beforeAutospacing="1" w:after="100" w:afterAutospacing="1"/>
      <w:jc w:val="left"/>
    </w:pPr>
    <w:rPr>
      <w:rFonts w:ascii="宋体" w:hAnsi="宋体" w:cs="宋体"/>
      <w:color w:val="auto"/>
      <w:sz w:val="24"/>
      <w:szCs w:val="24"/>
    </w:rPr>
  </w:style>
  <w:style w:type="paragraph" w:customStyle="1" w:styleId="88">
    <w:name w:val="Char Char Char Char1 Char Char Char Char Char"/>
    <w:basedOn w:val="7"/>
    <w:qFormat/>
    <w:uiPriority w:val="0"/>
  </w:style>
  <w:style w:type="paragraph" w:customStyle="1" w:styleId="89">
    <w:name w:val="pa-7"/>
    <w:basedOn w:val="1"/>
    <w:qFormat/>
    <w:uiPriority w:val="0"/>
    <w:pPr>
      <w:widowControl/>
      <w:autoSpaceDE/>
      <w:autoSpaceDN/>
      <w:adjustRightInd/>
      <w:spacing w:before="100" w:beforeAutospacing="1" w:after="100" w:afterAutospacing="1"/>
      <w:jc w:val="left"/>
    </w:pPr>
    <w:rPr>
      <w:rFonts w:ascii="宋体" w:hAnsi="宋体" w:cs="宋体"/>
      <w:color w:val="auto"/>
      <w:sz w:val="24"/>
      <w:szCs w:val="24"/>
    </w:rPr>
  </w:style>
  <w:style w:type="paragraph" w:customStyle="1" w:styleId="90">
    <w:name w:val="正文段"/>
    <w:basedOn w:val="1"/>
    <w:qFormat/>
    <w:uiPriority w:val="0"/>
    <w:pPr>
      <w:widowControl/>
      <w:autoSpaceDE/>
      <w:autoSpaceDN/>
      <w:adjustRightInd/>
      <w:snapToGrid w:val="0"/>
      <w:spacing w:afterLines="50"/>
      <w:ind w:firstLine="200" w:firstLineChars="200"/>
    </w:pPr>
    <w:rPr>
      <w:color w:val="auto"/>
      <w:sz w:val="24"/>
      <w:szCs w:val="20"/>
    </w:rPr>
  </w:style>
  <w:style w:type="paragraph" w:customStyle="1" w:styleId="91">
    <w:name w:val="pa-11"/>
    <w:basedOn w:val="1"/>
    <w:qFormat/>
    <w:uiPriority w:val="0"/>
    <w:pPr>
      <w:widowControl/>
      <w:autoSpaceDE/>
      <w:autoSpaceDN/>
      <w:adjustRightInd/>
      <w:spacing w:before="100" w:beforeAutospacing="1" w:after="100" w:afterAutospacing="1"/>
      <w:jc w:val="left"/>
    </w:pPr>
    <w:rPr>
      <w:rFonts w:ascii="宋体" w:hAnsi="宋体" w:cs="宋体"/>
      <w:color w:val="auto"/>
      <w:sz w:val="24"/>
      <w:szCs w:val="24"/>
    </w:rPr>
  </w:style>
  <w:style w:type="paragraph" w:customStyle="1" w:styleId="92">
    <w:name w:val="p0"/>
    <w:next w:val="17"/>
    <w:qFormat/>
    <w:uiPriority w:val="0"/>
    <w:pPr>
      <w:snapToGrid w:val="0"/>
    </w:pPr>
    <w:rPr>
      <w:rFonts w:ascii="Times New Roman" w:hAnsi="Times New Roman" w:eastAsia="宋体" w:cs="Times New Roman"/>
      <w:sz w:val="21"/>
      <w:szCs w:val="21"/>
      <w:lang w:val="en-US" w:eastAsia="zh-CN" w:bidi="ar-SA"/>
    </w:rPr>
  </w:style>
  <w:style w:type="paragraph" w:customStyle="1" w:styleId="93">
    <w:name w:val="Char"/>
    <w:basedOn w:val="1"/>
    <w:qFormat/>
    <w:uiPriority w:val="0"/>
    <w:pPr>
      <w:autoSpaceDE/>
      <w:autoSpaceDN/>
      <w:adjustRightInd/>
      <w:ind w:firstLine="200" w:firstLineChars="200"/>
    </w:pPr>
    <w:rPr>
      <w:rFonts w:ascii="Tahoma" w:hAnsi="Tahoma"/>
      <w:color w:val="auto"/>
      <w:kern w:val="2"/>
      <w:sz w:val="24"/>
      <w:szCs w:val="20"/>
    </w:rPr>
  </w:style>
  <w:style w:type="paragraph" w:customStyle="1" w:styleId="94">
    <w:name w:val="Char Char Char"/>
    <w:basedOn w:val="1"/>
    <w:qFormat/>
    <w:uiPriority w:val="0"/>
    <w:pPr>
      <w:widowControl/>
      <w:autoSpaceDE/>
      <w:autoSpaceDN/>
      <w:adjustRightInd/>
      <w:jc w:val="left"/>
    </w:pPr>
    <w:rPr>
      <w:color w:val="auto"/>
      <w:sz w:val="20"/>
      <w:szCs w:val="20"/>
    </w:rPr>
  </w:style>
  <w:style w:type="paragraph" w:customStyle="1" w:styleId="95">
    <w:name w:val="_Style 2"/>
    <w:qFormat/>
    <w:uiPriority w:val="99"/>
    <w:rPr>
      <w:rFonts w:ascii="Calibri" w:hAnsi="Calibri" w:eastAsia="宋体" w:cs="Times New Roman"/>
      <w:sz w:val="22"/>
      <w:szCs w:val="22"/>
      <w:lang w:val="en-US" w:eastAsia="zh-CN" w:bidi="ar-SA"/>
    </w:rPr>
  </w:style>
  <w:style w:type="paragraph" w:customStyle="1" w:styleId="96">
    <w:name w:val="列出段落11"/>
    <w:basedOn w:val="1"/>
    <w:qFormat/>
    <w:uiPriority w:val="34"/>
    <w:pPr>
      <w:autoSpaceDE/>
      <w:autoSpaceDN/>
      <w:adjustRightInd/>
      <w:ind w:firstLine="420" w:firstLineChars="200"/>
    </w:pPr>
    <w:rPr>
      <w:rFonts w:ascii="Calibri" w:hAnsi="Calibri"/>
      <w:color w:val="auto"/>
      <w:kern w:val="2"/>
      <w:szCs w:val="24"/>
    </w:rPr>
  </w:style>
  <w:style w:type="character" w:customStyle="1" w:styleId="97">
    <w:name w:val="15"/>
    <w:basedOn w:val="24"/>
    <w:qFormat/>
    <w:uiPriority w:val="0"/>
    <w:rPr>
      <w:rFonts w:hint="eastAsia" w:ascii="宋体" w:hAnsi="宋体" w:eastAsia="宋体"/>
      <w:color w:val="000000"/>
      <w:sz w:val="20"/>
      <w:szCs w:val="20"/>
    </w:rPr>
  </w:style>
  <w:style w:type="character" w:customStyle="1" w:styleId="98">
    <w:name w:val="16"/>
    <w:basedOn w:val="24"/>
    <w:qFormat/>
    <w:uiPriority w:val="0"/>
    <w:rPr>
      <w:rFonts w:hint="default" w:ascii="Arial" w:hAnsi="Arial" w:cs="Arial"/>
      <w:color w:val="000000"/>
      <w:sz w:val="20"/>
      <w:szCs w:val="20"/>
    </w:rPr>
  </w:style>
  <w:style w:type="character" w:customStyle="1" w:styleId="99">
    <w:name w:val="17"/>
    <w:basedOn w:val="24"/>
    <w:qFormat/>
    <w:uiPriority w:val="0"/>
    <w:rPr>
      <w:rFonts w:hint="default" w:ascii="Arial" w:hAnsi="Arial" w:cs="Arial"/>
      <w:color w:val="FF0000"/>
      <w:sz w:val="20"/>
      <w:szCs w:val="20"/>
    </w:rPr>
  </w:style>
  <w:style w:type="character" w:customStyle="1" w:styleId="100">
    <w:name w:val="18"/>
    <w:basedOn w:val="24"/>
    <w:qFormat/>
    <w:uiPriority w:val="0"/>
    <w:rPr>
      <w:rFonts w:hint="eastAsia" w:ascii="宋体" w:hAnsi="宋体" w:eastAsia="宋体"/>
      <w:color w:val="FF0000"/>
      <w:sz w:val="20"/>
      <w:szCs w:val="20"/>
    </w:rPr>
  </w:style>
  <w:style w:type="character" w:customStyle="1" w:styleId="101">
    <w:name w:val="19"/>
    <w:basedOn w:val="24"/>
    <w:qFormat/>
    <w:uiPriority w:val="0"/>
    <w:rPr>
      <w:rFonts w:hint="eastAsia" w:ascii="宋体" w:hAnsi="宋体" w:eastAsia="宋体"/>
      <w:color w:val="000000"/>
      <w:sz w:val="20"/>
      <w:szCs w:val="20"/>
    </w:rPr>
  </w:style>
  <w:style w:type="character" w:customStyle="1" w:styleId="102">
    <w:name w:val="20"/>
    <w:basedOn w:val="24"/>
    <w:qFormat/>
    <w:uiPriority w:val="0"/>
    <w:rPr>
      <w:rFonts w:hint="default" w:ascii="Arial" w:hAnsi="Arial" w:cs="Arial"/>
      <w:color w:val="000000"/>
      <w:sz w:val="20"/>
      <w:szCs w:val="20"/>
    </w:rPr>
  </w:style>
  <w:style w:type="paragraph" w:customStyle="1" w:styleId="103">
    <w:name w:val="List Paragraph1"/>
    <w:basedOn w:val="1"/>
    <w:qFormat/>
    <w:uiPriority w:val="0"/>
    <w:pPr>
      <w:autoSpaceDE/>
      <w:autoSpaceDN/>
      <w:adjustRightInd/>
      <w:ind w:firstLine="420" w:firstLineChars="200"/>
    </w:pPr>
    <w:rPr>
      <w:rFonts w:ascii="Calibri" w:hAnsi="Calibri" w:cs="黑体"/>
      <w:color w:val="auto"/>
      <w:kern w:val="2"/>
    </w:rPr>
  </w:style>
  <w:style w:type="character" w:customStyle="1" w:styleId="104">
    <w:name w:val="标题 Char"/>
    <w:basedOn w:val="24"/>
    <w:link w:val="19"/>
    <w:uiPriority w:val="0"/>
    <w:rPr>
      <w:rFonts w:ascii="Cambria" w:hAnsi="Cambria"/>
      <w:b/>
      <w:bCs/>
      <w:kern w:val="2"/>
      <w:sz w:val="32"/>
      <w:szCs w:val="32"/>
    </w:rPr>
  </w:style>
  <w:style w:type="paragraph" w:customStyle="1" w:styleId="105">
    <w:name w:val="TOC 标题1"/>
    <w:basedOn w:val="2"/>
    <w:next w:val="1"/>
    <w:unhideWhenUsed/>
    <w:qFormat/>
    <w:uiPriority w:val="39"/>
    <w:pPr>
      <w:widowControl/>
      <w:autoSpaceDE/>
      <w:autoSpaceDN/>
      <w:adjustRightInd/>
      <w:spacing w:before="240" w:after="0" w:line="259" w:lineRule="auto"/>
      <w:jc w:val="left"/>
      <w:outlineLvl w:val="9"/>
    </w:pPr>
    <w:rPr>
      <w:rFonts w:ascii="Calibri Light" w:hAnsi="Calibri Light"/>
      <w:b w:val="0"/>
      <w:color w:val="2E74B5"/>
      <w:kern w:val="0"/>
      <w:sz w:val="32"/>
      <w:szCs w:val="32"/>
    </w:rPr>
  </w:style>
  <w:style w:type="paragraph" w:customStyle="1" w:styleId="106">
    <w:name w:val="Table Paragraph"/>
    <w:basedOn w:val="1"/>
    <w:qFormat/>
    <w:uiPriority w:val="1"/>
    <w:pPr>
      <w:adjustRightInd/>
      <w:spacing w:line="287" w:lineRule="exact"/>
      <w:ind w:left="301" w:right="287"/>
      <w:jc w:val="center"/>
    </w:pPr>
    <w:rPr>
      <w:rFonts w:ascii="宋体" w:hAnsi="宋体" w:cs="宋体"/>
      <w:color w:val="auto"/>
      <w:sz w:val="22"/>
      <w:szCs w:val="22"/>
      <w:lang w:val="zh-CN" w:bidi="zh-CN"/>
    </w:rPr>
  </w:style>
  <w:style w:type="paragraph" w:customStyle="1" w:styleId="107">
    <w:name w:val="正文缩进1"/>
    <w:basedOn w:val="1"/>
    <w:uiPriority w:val="0"/>
    <w:pPr>
      <w:ind w:firstLine="420"/>
      <w:jc w:val="left"/>
    </w:pPr>
    <w:rPr>
      <w:rFonts w:ascii="宋体"/>
      <w:color w:val="auto"/>
      <w:sz w:val="24"/>
      <w:szCs w:val="20"/>
    </w:rPr>
  </w:style>
  <w:style w:type="paragraph" w:customStyle="1" w:styleId="108">
    <w:name w:val="Char1"/>
    <w:basedOn w:val="1"/>
    <w:uiPriority w:val="0"/>
    <w:pPr>
      <w:autoSpaceDE/>
      <w:autoSpaceDN/>
      <w:adjustRightInd/>
    </w:pPr>
    <w:rPr>
      <w:rFonts w:ascii="仿宋_GB2312" w:eastAsia="仿宋_GB2312"/>
      <w:b/>
      <w:color w:val="auto"/>
      <w:kern w:val="2"/>
      <w:sz w:val="32"/>
      <w:szCs w:val="32"/>
    </w:rPr>
  </w:style>
  <w:style w:type="character" w:customStyle="1" w:styleId="109">
    <w:name w:val="font61"/>
    <w:basedOn w:val="24"/>
    <w:uiPriority w:val="0"/>
    <w:rPr>
      <w:rFonts w:ascii="Arial" w:hAnsi="Arial" w:cs="Arial"/>
      <w:color w:val="000000"/>
      <w:sz w:val="20"/>
      <w:szCs w:val="20"/>
      <w:u w:val="none"/>
    </w:rPr>
  </w:style>
  <w:style w:type="character" w:customStyle="1" w:styleId="110">
    <w:name w:val="font51"/>
    <w:basedOn w:val="24"/>
    <w:qFormat/>
    <w:uiPriority w:val="0"/>
    <w:rPr>
      <w:rFonts w:hint="eastAsia" w:ascii="宋体" w:hAnsi="宋体" w:eastAsia="宋体" w:cs="宋体"/>
      <w:color w:val="FF0000"/>
      <w:sz w:val="20"/>
      <w:szCs w:val="20"/>
      <w:u w:val="none"/>
    </w:rPr>
  </w:style>
  <w:style w:type="character" w:customStyle="1" w:styleId="111">
    <w:name w:val="font31"/>
    <w:basedOn w:val="24"/>
    <w:uiPriority w:val="0"/>
    <w:rPr>
      <w:rFonts w:hint="default" w:ascii="Arial" w:hAnsi="Arial" w:cs="Arial"/>
      <w:color w:val="FF0000"/>
      <w:sz w:val="20"/>
      <w:szCs w:val="20"/>
      <w:u w:val="none"/>
    </w:rPr>
  </w:style>
  <w:style w:type="character" w:customStyle="1" w:styleId="112">
    <w:name w:val="font41"/>
    <w:basedOn w:val="24"/>
    <w:uiPriority w:val="0"/>
    <w:rPr>
      <w:rFonts w:hint="default" w:ascii="Arial" w:hAnsi="Arial" w:cs="Arial"/>
      <w:color w:val="000000"/>
      <w:sz w:val="20"/>
      <w:szCs w:val="20"/>
      <w:u w:val="none"/>
    </w:rPr>
  </w:style>
  <w:style w:type="character" w:customStyle="1" w:styleId="113">
    <w:name w:val="font11"/>
    <w:basedOn w:val="24"/>
    <w:uiPriority w:val="0"/>
    <w:rPr>
      <w:rFonts w:hint="eastAsia" w:ascii="宋体" w:hAnsi="宋体" w:eastAsia="宋体" w:cs="宋体"/>
      <w:color w:val="000000"/>
      <w:sz w:val="20"/>
      <w:szCs w:val="20"/>
      <w:u w:val="none"/>
    </w:rPr>
  </w:style>
  <w:style w:type="paragraph" w:customStyle="1" w:styleId="114">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character" w:customStyle="1" w:styleId="115">
    <w:name w:val="top_title1"/>
    <w:basedOn w:val="24"/>
    <w:qFormat/>
    <w:uiPriority w:val="0"/>
    <w:rPr>
      <w:b/>
      <w:bCs/>
      <w:color w:val="333333"/>
      <w:sz w:val="24"/>
      <w:szCs w:val="24"/>
    </w:rPr>
  </w:style>
  <w:style w:type="paragraph" w:customStyle="1" w:styleId="116">
    <w:name w:val="Heading1"/>
    <w:basedOn w:val="1"/>
    <w:next w:val="1"/>
    <w:qFormat/>
    <w:uiPriority w:val="0"/>
    <w:pPr>
      <w:keepNext/>
      <w:keepLines/>
      <w:widowControl/>
      <w:autoSpaceDE/>
      <w:autoSpaceDN/>
      <w:adjustRightInd/>
      <w:spacing w:line="360" w:lineRule="auto"/>
      <w:jc w:val="left"/>
    </w:pPr>
    <w:rPr>
      <w:rFonts w:ascii="宋体" w:hAnsi="宋体" w:cs="宋体"/>
      <w:b/>
      <w:bCs/>
      <w:color w:val="auto"/>
      <w:kern w:val="44"/>
      <w:sz w:val="28"/>
      <w:szCs w:val="28"/>
    </w:rPr>
  </w:style>
  <w:style w:type="character" w:customStyle="1" w:styleId="117">
    <w:name w:val="NormalCharacter"/>
    <w:semiHidden/>
    <w:qFormat/>
    <w:uiPriority w:val="0"/>
    <w:rPr>
      <w:sz w:val="24"/>
    </w:rPr>
  </w:style>
  <w:style w:type="character" w:customStyle="1" w:styleId="118">
    <w:name w:val="正文首行缩进 2 Char"/>
    <w:basedOn w:val="56"/>
    <w:link w:val="20"/>
    <w:qFormat/>
    <w:uiPriority w:val="99"/>
  </w:style>
  <w:style w:type="paragraph" w:customStyle="1" w:styleId="119">
    <w:name w:val="正文_13"/>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20">
    <w:name w:val="Default"/>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paragraph" w:customStyle="1" w:styleId="121">
    <w:name w:val="_Style 14"/>
    <w:next w:val="6"/>
    <w:qFormat/>
    <w:uiPriority w:val="0"/>
    <w:pPr>
      <w:widowControl w:val="0"/>
      <w:jc w:val="both"/>
    </w:pPr>
    <w:rPr>
      <w:rFonts w:ascii="宋体" w:hAnsi="Times New Roman" w:eastAsia="宋体" w:cs="Times New Roman"/>
      <w:kern w:val="2"/>
      <w:sz w:val="21"/>
      <w:lang w:val="en-US" w:eastAsia="zh-CN" w:bidi="ar-SA"/>
    </w:rPr>
  </w:style>
  <w:style w:type="paragraph" w:customStyle="1" w:styleId="122">
    <w:name w:val="样式5"/>
    <w:basedOn w:val="1"/>
    <w:qFormat/>
    <w:uiPriority w:val="0"/>
    <w:pPr>
      <w:spacing w:line="440" w:lineRule="exact"/>
      <w:ind w:left="2" w:firstLine="480" w:firstLineChars="200"/>
    </w:pPr>
    <w:rPr>
      <w:rFonts w:ascii="仿宋_GB2312" w:hAnsi="仿宋" w:eastAsia="仿宋_GB2312"/>
      <w:sz w:val="24"/>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3.xml"/><Relationship Id="rId7" Type="http://schemas.openxmlformats.org/officeDocument/2006/relationships/header" Target="header3.xml"/><Relationship Id="rId6" Type="http://schemas.openxmlformats.org/officeDocument/2006/relationships/header" Target="header2.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customXml" Target="../customXml/item2.xml"/><Relationship Id="rId11" Type="http://schemas.openxmlformats.org/officeDocument/2006/relationships/numbering" Target="numbering.xml"/><Relationship Id="rId10" Type="http://schemas.openxmlformats.org/officeDocument/2006/relationships/customXml" Target="../customXml/item1.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ops>
</s:customData>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182C82D3-35CC-4D6F-BEFC-C75C29F9A3EB}">
  <ds:schemaRefs/>
</ds:datastoreItem>
</file>

<file path=docProps/app.xml><?xml version="1.0" encoding="utf-8"?>
<Properties xmlns="http://schemas.openxmlformats.org/officeDocument/2006/extended-properties" xmlns:vt="http://schemas.openxmlformats.org/officeDocument/2006/docPropsVTypes">
  <Template>Normal</Template>
  <Company>微软用户</Company>
  <Pages>38</Pages>
  <Words>4820</Words>
  <Characters>27479</Characters>
  <Lines>228</Lines>
  <Paragraphs>64</Paragraphs>
  <TotalTime>1915</TotalTime>
  <ScaleCrop>false</ScaleCrop>
  <LinksUpToDate>false</LinksUpToDate>
  <CharactersWithSpaces>32235</CharactersWithSpaces>
  <Application>WPS Office_11.1.0.10356_F1E327BC-269C-435d-A152-05C5408002CA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2020-07-16T08:44:00Z</dcterms:created>
  <dc:creator>微软中国</dc:creator>
  <cp:lastModifiedBy>愿你年少有为不自卑</cp:lastModifiedBy>
  <cp:lastPrinted>2021-02-22T07:00:00Z</cp:lastPrinted>
  <dcterms:modified xsi:type="dcterms:W3CDTF">2021-04-28T06:24:53Z</dcterms:modified>
  <dc:title>诸暨市　　　　　　项目</dc:title>
  <cp:revision>72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2052-11.1.0.10356</vt:lpwstr>
  </property>
  <property fmtid="{D5CDD505-2E9C-101B-9397-08002B2CF9AE}" pid="3" name="ICV">
    <vt:lpwstr>F286B70A6B894F5BA2B0AB1F0D35715D</vt:lpwstr>
  </property>
</Properties>
</file>