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宋体" w:hAnsi="宋体" w:cs="宋体"/>
          <w:b/>
          <w:bCs/>
          <w:sz w:val="36"/>
          <w:szCs w:val="36"/>
        </w:rPr>
      </w:pPr>
      <w:bookmarkStart w:id="46" w:name="_GoBack"/>
      <w:bookmarkEnd w:id="46"/>
      <w:r>
        <w:rPr>
          <w:rFonts w:hint="eastAsia" w:ascii="宋体" w:hAnsi="宋体" w:cs="宋体"/>
          <w:b/>
          <w:bCs/>
          <w:sz w:val="36"/>
          <w:szCs w:val="36"/>
        </w:rPr>
        <w:t>诸暨市中医医院保安服务采购项目</w:t>
      </w:r>
    </w:p>
    <w:p>
      <w:pPr>
        <w:autoSpaceDE/>
        <w:autoSpaceDN/>
        <w:jc w:val="center"/>
        <w:rPr>
          <w:rFonts w:hint="eastAsia" w:ascii="黑体" w:eastAsia="黑体" w:cs="黑体"/>
          <w:color w:val="auto"/>
          <w:sz w:val="32"/>
          <w:szCs w:val="32"/>
        </w:rPr>
      </w:pPr>
      <w:r>
        <w:rPr>
          <w:rFonts w:hint="eastAsia" w:ascii="黑体" w:eastAsia="黑体" w:cs="黑体"/>
          <w:color w:val="auto"/>
          <w:sz w:val="32"/>
          <w:szCs w:val="32"/>
        </w:rPr>
        <w:t>（编号：诸政采2021-03-06）</w:t>
      </w:r>
    </w:p>
    <w:p>
      <w:pPr>
        <w:autoSpaceDE/>
        <w:autoSpaceDN/>
        <w:jc w:val="center"/>
        <w:rPr>
          <w:rFonts w:hint="eastAsia"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7"/>
        <w:snapToGrid w:val="0"/>
        <w:spacing w:before="120" w:after="120" w:line="360" w:lineRule="auto"/>
        <w:rPr>
          <w:rFonts w:ascii="隶书" w:hAnsi="Arial Narrow" w:eastAsia="隶书"/>
          <w:b/>
          <w:sz w:val="30"/>
          <w:szCs w:val="48"/>
        </w:rPr>
      </w:pPr>
      <w:r>
        <w:rPr>
          <w:rFonts w:ascii="楷体_GB2312" w:hAnsi="楷体_GB2312" w:eastAsia="楷体_GB2312" w:cs="楷体_GB2312"/>
          <w:b/>
          <w:bCs/>
          <w:w w:val="95"/>
          <w:kern w:val="0"/>
          <w:sz w:val="30"/>
          <w:szCs w:val="30"/>
        </w:rPr>
        <w:t>采</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购</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单</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位：</w:t>
      </w:r>
      <w:r>
        <w:rPr>
          <w:rFonts w:ascii="隶书" w:hAnsi="Arial Narrow" w:eastAsia="隶书"/>
          <w:b/>
          <w:sz w:val="30"/>
          <w:szCs w:val="48"/>
        </w:rPr>
        <w:t>诸暨市</w:t>
      </w:r>
      <w:r>
        <w:rPr>
          <w:rFonts w:hint="eastAsia" w:ascii="隶书" w:hAnsi="Arial Narrow" w:eastAsia="隶书"/>
          <w:b/>
          <w:sz w:val="30"/>
          <w:szCs w:val="48"/>
        </w:rPr>
        <w:t>中医医院</w:t>
      </w:r>
    </w:p>
    <w:p>
      <w:pPr>
        <w:pStyle w:val="27"/>
        <w:snapToGrid w:val="0"/>
        <w:spacing w:before="120" w:after="120" w:line="360" w:lineRule="auto"/>
        <w:rPr>
          <w:rFonts w:hint="eastAsia"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27"/>
        <w:snapToGrid w:val="0"/>
        <w:spacing w:before="120" w:after="120" w:line="360" w:lineRule="auto"/>
        <w:rPr>
          <w:rFonts w:hint="eastAsia"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27"/>
        <w:snapToGrid w:val="0"/>
        <w:spacing w:before="120" w:after="120" w:line="360" w:lineRule="auto"/>
        <w:rPr>
          <w:rFonts w:hint="eastAsia"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rPr>
          <w:rFonts w:hint="eastAsia" w:ascii="楷体_GB2312" w:hAnsi="楷体_GB2312" w:eastAsia="楷体_GB2312" w:cs="楷体_GB2312"/>
          <w:b/>
          <w:bCs/>
          <w:color w:val="auto"/>
          <w:w w:val="95"/>
          <w:sz w:val="30"/>
          <w:szCs w:val="30"/>
        </w:rPr>
      </w:pPr>
      <w:r>
        <w:rPr>
          <w:rFonts w:hint="eastAsia" w:ascii="楷体_GB2312" w:hAnsi="楷体_GB2312" w:eastAsia="楷体_GB2312" w:cs="楷体_GB2312"/>
          <w:b/>
          <w:bCs/>
          <w:color w:val="auto"/>
          <w:w w:val="95"/>
          <w:sz w:val="30"/>
          <w:szCs w:val="30"/>
        </w:rPr>
        <w:t>二〇二一年三月</w:t>
      </w:r>
    </w:p>
    <w:p>
      <w:pPr>
        <w:jc w:val="center"/>
        <w:rPr>
          <w:rFonts w:hint="eastAsia" w:ascii="隶书" w:eastAsia="隶书"/>
          <w:b/>
          <w:color w:val="auto"/>
          <w:sz w:val="44"/>
          <w:szCs w:val="44"/>
        </w:rPr>
      </w:pPr>
    </w:p>
    <w:p>
      <w:pPr>
        <w:jc w:val="center"/>
        <w:rPr>
          <w:rFonts w:hint="eastAsia" w:ascii="隶书" w:eastAsia="隶书"/>
          <w:b/>
          <w:color w:val="auto"/>
          <w:sz w:val="44"/>
          <w:szCs w:val="44"/>
        </w:rPr>
      </w:pPr>
    </w:p>
    <w:p>
      <w:pPr>
        <w:jc w:val="center"/>
        <w:rPr>
          <w:rFonts w:hint="eastAsia" w:ascii="隶书" w:eastAsia="隶书"/>
          <w:b/>
          <w:color w:val="auto"/>
          <w:sz w:val="44"/>
          <w:szCs w:val="44"/>
        </w:rPr>
      </w:pPr>
    </w:p>
    <w:p>
      <w:pPr>
        <w:jc w:val="center"/>
        <w:rPr>
          <w:rFonts w:hint="eastAsia" w:ascii="仿宋_GB2312" w:eastAsia="仿宋_GB2312"/>
          <w:b/>
          <w:color w:val="auto"/>
          <w:sz w:val="44"/>
          <w:szCs w:val="44"/>
        </w:rPr>
      </w:pPr>
      <w:bookmarkStart w:id="0" w:name="_Toc125344501"/>
      <w:r>
        <w:rPr>
          <w:rFonts w:hint="eastAsia" w:ascii="仿宋_GB2312" w:eastAsia="仿宋_GB2312"/>
          <w:b/>
          <w:color w:val="auto"/>
          <w:sz w:val="44"/>
          <w:szCs w:val="44"/>
        </w:rPr>
        <w:t>目录</w:t>
      </w:r>
    </w:p>
    <w:p>
      <w:pPr>
        <w:jc w:val="center"/>
        <w:rPr>
          <w:rFonts w:hint="eastAsia" w:ascii="隶书" w:eastAsia="隶书"/>
          <w:b/>
          <w:color w:val="auto"/>
          <w:sz w:val="44"/>
          <w:szCs w:val="44"/>
        </w:rPr>
      </w:pPr>
    </w:p>
    <w:p>
      <w:pPr>
        <w:jc w:val="center"/>
        <w:rPr>
          <w:rFonts w:hint="eastAsia" w:ascii="隶书" w:eastAsia="隶书"/>
          <w:color w:val="auto"/>
        </w:rPr>
      </w:pP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第一章    招标公告</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第二章    投标须知</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第三章    评标办法及评分标准</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第四章    采购需求</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第五章    诸暨市政府采购合同</w:t>
      </w:r>
    </w:p>
    <w:p>
      <w:pPr>
        <w:snapToGrid w:val="0"/>
        <w:spacing w:line="480" w:lineRule="auto"/>
        <w:ind w:firstLine="1807" w:firstLineChars="500"/>
        <w:jc w:val="left"/>
        <w:rPr>
          <w:rFonts w:ascii="宋体" w:hAnsi="宋体"/>
          <w:b/>
          <w:color w:val="auto"/>
          <w:sz w:val="36"/>
          <w:szCs w:val="36"/>
        </w:rPr>
        <w:sectPr>
          <w:headerReference r:id="rId3" w:type="first"/>
          <w:footerReference r:id="rId4" w:type="default"/>
          <w:pgSz w:w="11906" w:h="16838"/>
          <w:pgMar w:top="1247" w:right="1418" w:bottom="1247" w:left="1418" w:header="851" w:footer="907" w:gutter="0"/>
          <w:pgNumType w:start="1"/>
          <w:cols w:space="720" w:num="1"/>
          <w:docGrid w:type="lines" w:linePitch="312" w:charSpace="0"/>
        </w:sectPr>
      </w:pPr>
      <w:r>
        <w:rPr>
          <w:rFonts w:hint="eastAsia" w:ascii="仿宋_GB2312" w:hAnsi="宋体" w:eastAsia="仿宋_GB2312"/>
          <w:b/>
          <w:color w:val="auto"/>
          <w:sz w:val="36"/>
          <w:szCs w:val="36"/>
        </w:rPr>
        <w:t>第六章    应提交的有关格式范例</w:t>
      </w:r>
    </w:p>
    <w:p>
      <w:pPr>
        <w:jc w:val="center"/>
        <w:rPr>
          <w:rFonts w:hint="eastAsia" w:ascii="宋体" w:hAnsi="宋体"/>
          <w:b/>
          <w:color w:val="auto"/>
          <w:sz w:val="36"/>
          <w:szCs w:val="36"/>
        </w:rPr>
      </w:pPr>
      <w:r>
        <w:rPr>
          <w:rFonts w:hint="eastAsia" w:ascii="宋体" w:hAnsi="宋体"/>
          <w:b/>
          <w:color w:val="auto"/>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仿宋" w:hAnsi="仿宋" w:eastAsia="仿宋"/>
          <w:sz w:val="28"/>
          <w:szCs w:val="28"/>
        </w:rPr>
      </w:pPr>
      <w:r>
        <w:rPr>
          <w:rFonts w:hint="eastAsia" w:ascii="宋体" w:hAnsi="宋体"/>
          <w:b/>
          <w:color w:val="FFFFFF"/>
          <w:sz w:val="24"/>
          <w:szCs w:val="24"/>
          <w:u w:val="single"/>
        </w:rPr>
        <w:t>.</w:t>
      </w:r>
      <w:r>
        <w:rPr>
          <w:rFonts w:hint="eastAsia" w:ascii="宋体" w:hAnsi="宋体"/>
          <w:b/>
          <w:sz w:val="24"/>
          <w:szCs w:val="24"/>
        </w:rPr>
        <w:t xml:space="preserve"> </w:t>
      </w:r>
      <w:r>
        <w:rPr>
          <w:rFonts w:hint="eastAsia" w:ascii="宋体" w:hAnsi="宋体"/>
          <w:sz w:val="24"/>
          <w:szCs w:val="24"/>
          <w:u w:val="single"/>
        </w:rPr>
        <w:t>诸暨市中医医院保安服务采购项目</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021 年 4 月13日 9 时 00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宋体" w:hAnsi="宋体"/>
          <w:b/>
          <w:sz w:val="28"/>
          <w:szCs w:val="28"/>
        </w:rPr>
      </w:pPr>
      <w:bookmarkStart w:id="2" w:name="_Toc35393621"/>
      <w:bookmarkStart w:id="3" w:name="_Toc28359002"/>
      <w:bookmarkStart w:id="4" w:name="_Toc28359079"/>
      <w:bookmarkStart w:id="5" w:name="_Toc35393790"/>
      <w:r>
        <w:rPr>
          <w:rFonts w:hint="eastAsia" w:ascii="宋体" w:hAnsi="宋体"/>
          <w:b/>
          <w:sz w:val="28"/>
          <w:szCs w:val="28"/>
        </w:rPr>
        <w:t>一、项目基本情况</w:t>
      </w:r>
      <w:bookmarkEnd w:id="2"/>
      <w:bookmarkEnd w:id="3"/>
      <w:bookmarkEnd w:id="4"/>
      <w:bookmarkEnd w:id="5"/>
    </w:p>
    <w:p>
      <w:pPr>
        <w:pStyle w:val="27"/>
        <w:ind w:firstLine="480" w:firstLineChars="200"/>
        <w:rPr>
          <w:rFonts w:ascii="宋体" w:hAnsi="宋体"/>
          <w:szCs w:val="24"/>
        </w:rPr>
      </w:pPr>
      <w:r>
        <w:rPr>
          <w:rFonts w:hint="eastAsia" w:ascii="宋体" w:hAnsi="宋体"/>
          <w:szCs w:val="24"/>
        </w:rPr>
        <w:t>项目编号：</w:t>
      </w:r>
      <w:r>
        <w:rPr>
          <w:rFonts w:hint="eastAsia" w:ascii="宋体" w:hAnsi="宋体"/>
          <w:szCs w:val="24"/>
          <w:u w:val="single"/>
        </w:rPr>
        <w:t>诸政采2021-03-06</w:t>
      </w:r>
    </w:p>
    <w:p>
      <w:pPr>
        <w:pStyle w:val="27"/>
        <w:ind w:firstLine="480" w:firstLineChars="200"/>
        <w:rPr>
          <w:rFonts w:ascii="宋体" w:hAnsi="宋体"/>
          <w:szCs w:val="24"/>
        </w:rPr>
      </w:pPr>
      <w:r>
        <w:rPr>
          <w:rFonts w:hint="eastAsia" w:ascii="宋体" w:hAnsi="宋体"/>
          <w:szCs w:val="24"/>
        </w:rPr>
        <w:t>项目名称：</w:t>
      </w:r>
      <w:r>
        <w:rPr>
          <w:rFonts w:hint="eastAsia" w:ascii="宋体" w:hAnsi="宋体"/>
          <w:szCs w:val="24"/>
          <w:u w:val="single"/>
        </w:rPr>
        <w:t>诸暨市中医医院保安服务采购项目</w:t>
      </w:r>
    </w:p>
    <w:p>
      <w:pPr>
        <w:pStyle w:val="27"/>
        <w:ind w:firstLine="480" w:firstLineChars="200"/>
        <w:rPr>
          <w:rFonts w:ascii="宋体" w:hAnsi="宋体"/>
          <w:szCs w:val="24"/>
        </w:rPr>
      </w:pPr>
      <w:r>
        <w:rPr>
          <w:rFonts w:hint="eastAsia" w:ascii="宋体" w:hAnsi="宋体"/>
          <w:szCs w:val="24"/>
        </w:rPr>
        <w:t>预算金额：</w:t>
      </w:r>
      <w:r>
        <w:rPr>
          <w:rFonts w:hint="eastAsia" w:ascii="宋体" w:hAnsi="宋体"/>
        </w:rPr>
        <w:t>800</w:t>
      </w:r>
      <w:r>
        <w:rPr>
          <w:rFonts w:hint="eastAsia" w:ascii="宋体" w:hAnsi="宋体"/>
          <w:szCs w:val="24"/>
        </w:rPr>
        <w:t>万元</w:t>
      </w:r>
    </w:p>
    <w:p>
      <w:pPr>
        <w:pStyle w:val="27"/>
        <w:ind w:firstLine="480" w:firstLineChars="200"/>
        <w:rPr>
          <w:rFonts w:hint="eastAsia" w:ascii="宋体" w:hAnsi="宋体"/>
          <w:szCs w:val="24"/>
        </w:rPr>
      </w:pPr>
      <w:r>
        <w:rPr>
          <w:rFonts w:hint="eastAsia" w:ascii="宋体" w:hAnsi="宋体"/>
          <w:szCs w:val="24"/>
        </w:rPr>
        <w:t>最高限价：</w:t>
      </w:r>
      <w:r>
        <w:rPr>
          <w:rFonts w:hint="eastAsia" w:ascii="宋体" w:hAnsi="宋体"/>
        </w:rPr>
        <w:t>800</w:t>
      </w:r>
      <w:r>
        <w:rPr>
          <w:rFonts w:hint="eastAsia" w:ascii="宋体" w:hAnsi="宋体"/>
          <w:szCs w:val="24"/>
        </w:rPr>
        <w:t>万元</w:t>
      </w:r>
    </w:p>
    <w:p>
      <w:pPr>
        <w:pStyle w:val="27"/>
        <w:ind w:firstLine="480" w:firstLineChars="200"/>
        <w:rPr>
          <w:rFonts w:ascii="宋体" w:hAnsi="宋体"/>
          <w:szCs w:val="24"/>
        </w:rPr>
      </w:pPr>
      <w:r>
        <w:rPr>
          <w:rFonts w:ascii="宋体" w:hAnsi="宋体"/>
          <w:szCs w:val="24"/>
        </w:rPr>
        <w:t>本项目</w:t>
      </w:r>
      <w:r>
        <w:rPr>
          <w:rFonts w:hint="eastAsia" w:ascii="宋体" w:hAnsi="宋体"/>
          <w:szCs w:val="24"/>
        </w:rPr>
        <w:t>服务：老院区暨阳院区及新院区浣东院区保安服务工作，详见“第四章 采购需求”。</w:t>
      </w:r>
    </w:p>
    <w:p>
      <w:pPr>
        <w:pStyle w:val="27"/>
        <w:ind w:firstLine="480" w:firstLineChars="200"/>
        <w:rPr>
          <w:rFonts w:ascii="宋体" w:hAnsi="宋体"/>
          <w:szCs w:val="24"/>
        </w:rPr>
      </w:pPr>
      <w:r>
        <w:rPr>
          <w:rFonts w:hint="eastAsia" w:ascii="宋体" w:hAnsi="宋体"/>
          <w:szCs w:val="24"/>
        </w:rPr>
        <w:t>合同履行期限</w:t>
      </w:r>
      <w:r>
        <w:rPr>
          <w:rFonts w:ascii="宋体" w:hAnsi="宋体"/>
          <w:szCs w:val="24"/>
        </w:rPr>
        <w:t>：</w:t>
      </w:r>
      <w:r>
        <w:rPr>
          <w:rFonts w:hint="eastAsia" w:ascii="宋体" w:hAnsi="宋体"/>
          <w:szCs w:val="24"/>
        </w:rPr>
        <w:t>自合同签订之日</w:t>
      </w:r>
      <w:r>
        <w:rPr>
          <w:rFonts w:ascii="宋体" w:hAnsi="宋体"/>
          <w:szCs w:val="24"/>
        </w:rPr>
        <w:t>起</w:t>
      </w:r>
      <w:r>
        <w:rPr>
          <w:rFonts w:hint="eastAsia" w:ascii="宋体" w:hAnsi="宋体"/>
          <w:szCs w:val="24"/>
        </w:rPr>
        <w:t>2年</w:t>
      </w:r>
      <w:r>
        <w:rPr>
          <w:rFonts w:ascii="宋体" w:hAnsi="宋体"/>
          <w:szCs w:val="24"/>
        </w:rPr>
        <w:t>。</w:t>
      </w:r>
    </w:p>
    <w:p>
      <w:pPr>
        <w:pStyle w:val="27"/>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28359080"/>
      <w:bookmarkStart w:id="8" w:name="_Toc35393791"/>
      <w:bookmarkStart w:id="9" w:name="_Toc35393622"/>
    </w:p>
    <w:p>
      <w:pPr>
        <w:rPr>
          <w:rFonts w:ascii="宋体" w:hAnsi="宋体"/>
          <w:b/>
          <w:sz w:val="28"/>
          <w:szCs w:val="28"/>
        </w:rPr>
      </w:pPr>
      <w:r>
        <w:rPr>
          <w:rFonts w:hint="eastAsia" w:ascii="宋体" w:hAnsi="宋体"/>
          <w:b/>
          <w:sz w:val="28"/>
          <w:szCs w:val="28"/>
        </w:rPr>
        <w:t>二、申请人的资格要求：</w:t>
      </w:r>
      <w:bookmarkEnd w:id="6"/>
      <w:bookmarkEnd w:id="7"/>
      <w:bookmarkEnd w:id="8"/>
      <w:bookmarkEnd w:id="9"/>
    </w:p>
    <w:p>
      <w:pPr>
        <w:pStyle w:val="27"/>
        <w:ind w:firstLine="480" w:firstLineChars="200"/>
        <w:rPr>
          <w:rFonts w:ascii="宋体" w:hAnsi="宋体"/>
          <w:szCs w:val="24"/>
        </w:rPr>
      </w:pPr>
      <w:r>
        <w:rPr>
          <w:rFonts w:hint="eastAsia" w:ascii="宋体" w:hAnsi="宋体"/>
          <w:szCs w:val="24"/>
        </w:rPr>
        <w:t>1、</w:t>
      </w:r>
      <w:r>
        <w:rPr>
          <w:rFonts w:ascii="宋体" w:hAnsi="宋体"/>
          <w:szCs w:val="24"/>
        </w:rPr>
        <w:t>符合《中华人民共和国政府采购法》第二十二条之供货商资格规定；</w:t>
      </w:r>
    </w:p>
    <w:p>
      <w:pPr>
        <w:pStyle w:val="27"/>
        <w:ind w:firstLine="480" w:firstLineChars="200"/>
        <w:rPr>
          <w:rFonts w:hint="eastAsia" w:ascii="宋体" w:hAnsi="宋体"/>
          <w:szCs w:val="24"/>
        </w:rPr>
      </w:pPr>
      <w:r>
        <w:rPr>
          <w:rFonts w:hint="eastAsia" w:ascii="宋体" w:hAnsi="宋体"/>
          <w:szCs w:val="24"/>
        </w:rPr>
        <w:t>2、未被“信用中国”（www.creditchina.gov.cn）、中国政府采购网（www.ccgp.gov.cn）列入失信被执行人、重大税收违法案件当事人、政府采购严重违法失信行为记录名单。</w:t>
      </w:r>
    </w:p>
    <w:p>
      <w:pPr>
        <w:pStyle w:val="27"/>
        <w:ind w:firstLine="480" w:firstLineChars="200"/>
        <w:rPr>
          <w:rFonts w:ascii="宋体" w:hAnsi="宋体"/>
          <w:szCs w:val="24"/>
        </w:rPr>
      </w:pPr>
      <w:r>
        <w:rPr>
          <w:rFonts w:hint="eastAsia" w:ascii="宋体" w:hAnsi="宋体"/>
          <w:szCs w:val="24"/>
        </w:rPr>
        <w:t>3、具有省级公安厅颁发的保安服务许可证资质证书；</w:t>
      </w:r>
    </w:p>
    <w:p>
      <w:pPr>
        <w:pStyle w:val="27"/>
        <w:ind w:firstLine="480" w:firstLineChars="200"/>
        <w:rPr>
          <w:rFonts w:ascii="宋体" w:hAnsi="宋体"/>
          <w:szCs w:val="24"/>
        </w:rPr>
      </w:pPr>
      <w:r>
        <w:rPr>
          <w:rFonts w:hint="eastAsia" w:ascii="宋体" w:hAnsi="宋体"/>
          <w:szCs w:val="24"/>
        </w:rPr>
        <w:t>4、注册地在绍兴地区以外的投标人必须已完成绍兴市公安部门的备案登记。</w:t>
      </w:r>
    </w:p>
    <w:p>
      <w:pPr>
        <w:pStyle w:val="27"/>
        <w:ind w:firstLine="480" w:firstLineChars="200"/>
        <w:rPr>
          <w:rFonts w:hint="eastAsia" w:ascii="宋体" w:hAnsi="宋体"/>
          <w:szCs w:val="24"/>
        </w:rPr>
      </w:pPr>
    </w:p>
    <w:p>
      <w:pPr>
        <w:rPr>
          <w:rFonts w:ascii="宋体" w:hAnsi="宋体"/>
          <w:b/>
          <w:sz w:val="28"/>
          <w:szCs w:val="28"/>
        </w:rPr>
      </w:pPr>
      <w:bookmarkStart w:id="10" w:name="_Toc35393792"/>
      <w:bookmarkStart w:id="11" w:name="_Toc35393623"/>
      <w:r>
        <w:rPr>
          <w:rFonts w:hint="eastAsia" w:ascii="宋体" w:hAnsi="宋体"/>
          <w:b/>
          <w:sz w:val="28"/>
          <w:szCs w:val="28"/>
        </w:rPr>
        <w:t>三、获取招标文件</w:t>
      </w:r>
      <w:bookmarkEnd w:id="10"/>
      <w:bookmarkEnd w:id="11"/>
    </w:p>
    <w:p>
      <w:pPr>
        <w:pStyle w:val="27"/>
        <w:ind w:firstLine="480" w:firstLineChars="200"/>
        <w:rPr>
          <w:rFonts w:ascii="宋体" w:hAnsi="宋体"/>
          <w:szCs w:val="24"/>
        </w:rPr>
      </w:pPr>
      <w:r>
        <w:rPr>
          <w:rFonts w:hint="eastAsia" w:ascii="宋体" w:hAnsi="宋体"/>
          <w:szCs w:val="24"/>
        </w:rPr>
        <w:t>时间：</w:t>
      </w:r>
      <w:r>
        <w:rPr>
          <w:rFonts w:hint="eastAsia" w:ascii="宋体" w:hAnsi="宋体"/>
          <w:szCs w:val="24"/>
          <w:u w:val="single"/>
        </w:rPr>
        <w:t>2021年 3月 23 日至 2021 年</w:t>
      </w:r>
      <w:r>
        <w:rPr>
          <w:rFonts w:hint="eastAsia" w:ascii="宋体" w:hAnsi="宋体"/>
          <w:szCs w:val="24"/>
          <w:u w:val="single"/>
          <w:lang w:val="en-US" w:eastAsia="zh-CN"/>
        </w:rPr>
        <w:t>3</w:t>
      </w:r>
      <w:r>
        <w:rPr>
          <w:rFonts w:hint="eastAsia" w:ascii="宋体" w:hAnsi="宋体"/>
          <w:szCs w:val="24"/>
          <w:u w:val="single"/>
        </w:rPr>
        <w:t xml:space="preserve">月 </w:t>
      </w:r>
      <w:r>
        <w:rPr>
          <w:rFonts w:hint="eastAsia" w:ascii="宋体" w:hAnsi="宋体"/>
          <w:szCs w:val="24"/>
          <w:u w:val="single"/>
          <w:lang w:val="en-US" w:eastAsia="zh-CN"/>
        </w:rPr>
        <w:t>30</w:t>
      </w:r>
      <w:r>
        <w:rPr>
          <w:rFonts w:hint="eastAsia" w:ascii="宋体" w:hAnsi="宋体"/>
          <w:szCs w:val="24"/>
          <w:u w:val="single"/>
        </w:rPr>
        <w:t>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27"/>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27"/>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方式：本项目招标文件采用网上下载方式发布，不提供招标文件纸质版。符合投标人资格条件的供应商请在上述网站采购公告栏目中下载招标文件。本项目无须报名，直接在政采云上参与电子投标。</w:t>
      </w:r>
      <w:r>
        <w:rPr>
          <w:rFonts w:ascii="宋体" w:hAnsi="宋体"/>
          <w:szCs w:val="24"/>
        </w:rPr>
        <w:t xml:space="preserve"> </w:t>
      </w:r>
    </w:p>
    <w:p>
      <w:pPr>
        <w:pStyle w:val="27"/>
        <w:ind w:firstLine="480" w:firstLineChars="200"/>
        <w:rPr>
          <w:rFonts w:ascii="宋体" w:hAnsi="宋体"/>
          <w:szCs w:val="24"/>
        </w:rPr>
      </w:pPr>
      <w:r>
        <w:rPr>
          <w:rFonts w:hint="eastAsia" w:ascii="宋体" w:hAnsi="宋体"/>
          <w:szCs w:val="24"/>
        </w:rPr>
        <w:t>售价：本项目招标文件免费网上下载。</w:t>
      </w:r>
    </w:p>
    <w:p>
      <w:pPr>
        <w:rPr>
          <w:rFonts w:ascii="宋体" w:hAnsi="宋体"/>
          <w:b/>
          <w:sz w:val="28"/>
          <w:szCs w:val="28"/>
        </w:rPr>
      </w:pPr>
      <w:bookmarkStart w:id="12" w:name="_Toc28359005"/>
      <w:bookmarkStart w:id="13" w:name="_Toc28359082"/>
      <w:bookmarkStart w:id="14" w:name="_Toc35393624"/>
      <w:bookmarkStart w:id="15" w:name="_Toc35393793"/>
      <w:r>
        <w:rPr>
          <w:rFonts w:hint="eastAsia" w:ascii="宋体" w:hAnsi="宋体"/>
          <w:b/>
          <w:sz w:val="28"/>
          <w:szCs w:val="28"/>
        </w:rPr>
        <w:t>四、提交投标文件</w:t>
      </w:r>
      <w:bookmarkEnd w:id="12"/>
      <w:bookmarkEnd w:id="13"/>
      <w:r>
        <w:rPr>
          <w:rFonts w:hint="eastAsia" w:ascii="宋体" w:hAnsi="宋体"/>
          <w:b/>
          <w:sz w:val="28"/>
          <w:szCs w:val="28"/>
        </w:rPr>
        <w:t>截止时间、开标时间和地点</w:t>
      </w:r>
      <w:bookmarkEnd w:id="14"/>
      <w:bookmarkEnd w:id="15"/>
    </w:p>
    <w:p>
      <w:pPr>
        <w:pStyle w:val="27"/>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szCs w:val="24"/>
          <w:u w:val="single"/>
        </w:rPr>
        <w:t>2021 年4月13日9时00分</w:t>
      </w:r>
      <w:r>
        <w:rPr>
          <w:rFonts w:hint="eastAsia" w:ascii="宋体" w:hAnsi="宋体"/>
          <w:szCs w:val="24"/>
        </w:rPr>
        <w:t>（北京时间）前按照电子投标要求将电子加密标书上传到“政采云”平台，逾期或未上传成功的将导致无法投标或投标无效。</w:t>
      </w:r>
    </w:p>
    <w:p>
      <w:pPr>
        <w:pStyle w:val="27"/>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07"/>
      <w:bookmarkStart w:id="18" w:name="_Toc28359084"/>
      <w:bookmarkStart w:id="19" w:name="_Toc35393625"/>
      <w:r>
        <w:rPr>
          <w:rFonts w:hint="eastAsia" w:ascii="宋体" w:hAnsi="宋体"/>
          <w:szCs w:val="24"/>
        </w:rPr>
        <w:t>。</w:t>
      </w:r>
    </w:p>
    <w:p>
      <w:pPr>
        <w:rPr>
          <w:rFonts w:ascii="宋体" w:hAnsi="宋体"/>
          <w:b/>
          <w:sz w:val="28"/>
          <w:szCs w:val="28"/>
        </w:rPr>
      </w:pPr>
      <w:r>
        <w:rPr>
          <w:rFonts w:hint="eastAsia" w:ascii="宋体" w:hAnsi="宋体"/>
          <w:b/>
          <w:sz w:val="28"/>
          <w:szCs w:val="28"/>
        </w:rPr>
        <w:t>五、公告期限</w:t>
      </w:r>
      <w:bookmarkEnd w:id="16"/>
      <w:bookmarkEnd w:id="17"/>
      <w:bookmarkEnd w:id="18"/>
      <w:bookmarkEnd w:id="19"/>
    </w:p>
    <w:p>
      <w:pPr>
        <w:pStyle w:val="27"/>
        <w:ind w:firstLine="480" w:firstLineChars="200"/>
        <w:rPr>
          <w:rFonts w:ascii="宋体" w:hAnsi="宋体"/>
          <w:szCs w:val="24"/>
        </w:rPr>
      </w:pPr>
      <w:r>
        <w:rPr>
          <w:rFonts w:hint="eastAsia" w:ascii="宋体" w:hAnsi="宋体"/>
          <w:szCs w:val="24"/>
        </w:rPr>
        <w:t>自本公告发布之日起5个工作日。</w:t>
      </w:r>
    </w:p>
    <w:p>
      <w:pPr>
        <w:rPr>
          <w:rFonts w:ascii="宋体" w:hAnsi="宋体"/>
          <w:b/>
          <w:sz w:val="28"/>
          <w:szCs w:val="28"/>
        </w:rPr>
      </w:pPr>
      <w:bookmarkStart w:id="20" w:name="_Toc35393795"/>
      <w:bookmarkStart w:id="21" w:name="_Toc35393626"/>
      <w:r>
        <w:rPr>
          <w:rFonts w:hint="eastAsia" w:ascii="宋体" w:hAnsi="宋体"/>
          <w:b/>
          <w:sz w:val="28"/>
          <w:szCs w:val="28"/>
        </w:rPr>
        <w:t>六、其他补充事宜</w:t>
      </w:r>
      <w:bookmarkEnd w:id="20"/>
      <w:bookmarkEnd w:id="21"/>
    </w:p>
    <w:p>
      <w:pPr>
        <w:pStyle w:val="27"/>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27"/>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7"/>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7"/>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7"/>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w:t>
      </w:r>
      <w:r>
        <w:rPr>
          <w:rFonts w:ascii="宋体" w:hAnsi="宋体"/>
          <w:b/>
          <w:szCs w:val="24"/>
        </w:rPr>
        <w:t>一个小时内</w:t>
      </w:r>
      <w:r>
        <w:rPr>
          <w:rFonts w:ascii="宋体" w:hAnsi="宋体"/>
          <w:szCs w:val="24"/>
        </w:rPr>
        <w:t>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7"/>
        <w:ind w:firstLine="480" w:firstLineChars="200"/>
        <w:rPr>
          <w:rFonts w:ascii="宋体" w:hAnsi="宋体"/>
          <w:szCs w:val="24"/>
        </w:rPr>
      </w:pPr>
      <w:r>
        <w:rPr>
          <w:rFonts w:hint="eastAsia" w:ascii="宋体" w:hAnsi="宋体"/>
          <w:szCs w:val="24"/>
        </w:rPr>
        <w:t>6、本项目不收取投标保证金。</w:t>
      </w:r>
    </w:p>
    <w:p>
      <w:pPr>
        <w:rPr>
          <w:rFonts w:ascii="宋体" w:hAnsi="宋体"/>
          <w:b/>
          <w:sz w:val="28"/>
          <w:szCs w:val="28"/>
        </w:rPr>
      </w:pPr>
      <w:bookmarkStart w:id="22" w:name="_Toc28359008"/>
      <w:bookmarkStart w:id="23" w:name="_Toc35393627"/>
      <w:bookmarkStart w:id="24" w:name="_Toc35393796"/>
      <w:bookmarkStart w:id="25" w:name="_Toc28359085"/>
      <w:r>
        <w:rPr>
          <w:rFonts w:hint="eastAsia" w:ascii="宋体" w:hAnsi="宋体"/>
          <w:b/>
          <w:sz w:val="28"/>
          <w:szCs w:val="28"/>
        </w:rPr>
        <w:t>七、对本次招标提出询问，请按</w:t>
      </w:r>
      <w:r>
        <w:rPr>
          <w:rFonts w:ascii="宋体" w:hAnsi="宋体"/>
          <w:b/>
          <w:sz w:val="28"/>
          <w:szCs w:val="28"/>
        </w:rPr>
        <w:t>以下方式</w:t>
      </w:r>
      <w:r>
        <w:rPr>
          <w:rFonts w:hint="eastAsia" w:ascii="宋体" w:hAnsi="宋体"/>
          <w:b/>
          <w:sz w:val="28"/>
          <w:szCs w:val="28"/>
        </w:rPr>
        <w:t>联系。</w:t>
      </w:r>
      <w:bookmarkEnd w:id="22"/>
      <w:bookmarkEnd w:id="23"/>
      <w:bookmarkEnd w:id="24"/>
      <w:bookmarkEnd w:id="25"/>
    </w:p>
    <w:p>
      <w:pPr>
        <w:pStyle w:val="27"/>
        <w:ind w:firstLine="480" w:firstLineChars="200"/>
        <w:rPr>
          <w:rFonts w:ascii="宋体" w:hAnsi="宋体"/>
          <w:b/>
          <w:szCs w:val="24"/>
        </w:rPr>
      </w:pPr>
      <w:r>
        <w:rPr>
          <w:rFonts w:hint="eastAsia" w:ascii="宋体" w:hAnsi="宋体"/>
          <w:b/>
          <w:szCs w:val="24"/>
        </w:rPr>
        <w:t>1.采购人信息</w:t>
      </w:r>
    </w:p>
    <w:p>
      <w:pPr>
        <w:pStyle w:val="27"/>
        <w:ind w:firstLine="480" w:firstLineChars="200"/>
        <w:rPr>
          <w:rFonts w:ascii="宋体" w:hAnsi="宋体"/>
          <w:szCs w:val="24"/>
        </w:rPr>
      </w:pPr>
      <w:r>
        <w:rPr>
          <w:rFonts w:hint="eastAsia" w:ascii="宋体" w:hAnsi="宋体"/>
          <w:szCs w:val="24"/>
        </w:rPr>
        <w:t>名      称：</w:t>
      </w:r>
      <w:r>
        <w:rPr>
          <w:rFonts w:ascii="宋体" w:hAnsi="宋体"/>
          <w:szCs w:val="24"/>
        </w:rPr>
        <w:t>诸暨市</w:t>
      </w:r>
      <w:r>
        <w:rPr>
          <w:rFonts w:hint="eastAsia" w:ascii="宋体" w:hAnsi="宋体"/>
          <w:szCs w:val="24"/>
        </w:rPr>
        <w:t>中医医院</w:t>
      </w:r>
    </w:p>
    <w:p>
      <w:pPr>
        <w:pStyle w:val="27"/>
        <w:ind w:firstLine="480" w:firstLineChars="200"/>
        <w:rPr>
          <w:rFonts w:ascii="宋体" w:hAnsi="宋体"/>
          <w:szCs w:val="24"/>
        </w:rPr>
      </w:pPr>
      <w:r>
        <w:rPr>
          <w:rFonts w:hint="eastAsia" w:ascii="宋体" w:hAnsi="宋体"/>
          <w:szCs w:val="24"/>
        </w:rPr>
        <w:t>地      址：</w:t>
      </w:r>
      <w:r>
        <w:rPr>
          <w:rFonts w:ascii="宋体" w:hAnsi="宋体"/>
          <w:szCs w:val="24"/>
        </w:rPr>
        <w:t>诸暨市暨阳街道东二路</w:t>
      </w:r>
      <w:r>
        <w:rPr>
          <w:rFonts w:hint="eastAsia" w:ascii="宋体" w:hAnsi="宋体"/>
          <w:szCs w:val="24"/>
        </w:rPr>
        <w:t>521</w:t>
      </w:r>
      <w:r>
        <w:rPr>
          <w:rFonts w:ascii="宋体" w:hAnsi="宋体"/>
          <w:szCs w:val="24"/>
        </w:rPr>
        <w:t>号</w:t>
      </w:r>
    </w:p>
    <w:p>
      <w:pPr>
        <w:pStyle w:val="27"/>
        <w:ind w:firstLine="480" w:firstLineChars="200"/>
        <w:rPr>
          <w:rFonts w:ascii="宋体" w:hAnsi="宋体"/>
          <w:szCs w:val="24"/>
        </w:rPr>
      </w:pPr>
      <w:r>
        <w:rPr>
          <w:rFonts w:hint="eastAsia" w:ascii="宋体" w:hAnsi="宋体"/>
          <w:szCs w:val="24"/>
        </w:rPr>
        <w:t xml:space="preserve">项目联系人：胡铁民 </w:t>
      </w:r>
    </w:p>
    <w:p>
      <w:pPr>
        <w:pStyle w:val="27"/>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ascii="宋体" w:hAnsi="宋体"/>
          <w:szCs w:val="24"/>
        </w:rPr>
        <w:t>13706857313</w:t>
      </w:r>
    </w:p>
    <w:p>
      <w:pPr>
        <w:pStyle w:val="27"/>
        <w:ind w:firstLine="480" w:firstLineChars="200"/>
        <w:rPr>
          <w:rFonts w:ascii="宋体" w:hAnsi="宋体"/>
          <w:szCs w:val="24"/>
        </w:rPr>
      </w:pPr>
    </w:p>
    <w:p>
      <w:pPr>
        <w:pStyle w:val="27"/>
        <w:ind w:firstLine="480" w:firstLineChars="200"/>
        <w:rPr>
          <w:rFonts w:ascii="宋体" w:hAnsi="宋体"/>
          <w:b/>
          <w:szCs w:val="24"/>
        </w:rPr>
      </w:pPr>
      <w:r>
        <w:rPr>
          <w:rFonts w:hint="eastAsia" w:ascii="宋体" w:hAnsi="宋体"/>
          <w:b/>
          <w:szCs w:val="24"/>
        </w:rPr>
        <w:t>2.采购代理机构信息</w:t>
      </w:r>
      <w:bookmarkEnd w:id="26"/>
      <w:bookmarkEnd w:id="27"/>
    </w:p>
    <w:p>
      <w:pPr>
        <w:pStyle w:val="27"/>
        <w:ind w:firstLine="480" w:firstLineChars="200"/>
        <w:rPr>
          <w:rFonts w:ascii="宋体" w:hAnsi="宋体"/>
          <w:szCs w:val="24"/>
        </w:rPr>
      </w:pPr>
      <w:r>
        <w:rPr>
          <w:rFonts w:hint="eastAsia" w:ascii="宋体" w:hAnsi="宋体"/>
          <w:szCs w:val="24"/>
        </w:rPr>
        <w:t>名      称：诸暨市公共资源交易中心</w:t>
      </w:r>
    </w:p>
    <w:p>
      <w:pPr>
        <w:pStyle w:val="27"/>
        <w:ind w:firstLine="480" w:firstLineChars="200"/>
        <w:rPr>
          <w:rFonts w:ascii="宋体" w:hAnsi="宋体"/>
          <w:szCs w:val="24"/>
        </w:rPr>
      </w:pPr>
      <w:r>
        <w:rPr>
          <w:rFonts w:hint="eastAsia" w:ascii="宋体" w:hAnsi="宋体"/>
          <w:szCs w:val="24"/>
        </w:rPr>
        <w:t>地　    址：诸暨市暨东路58号6楼北602办公室</w:t>
      </w:r>
    </w:p>
    <w:p>
      <w:pPr>
        <w:pStyle w:val="27"/>
        <w:ind w:firstLine="480" w:firstLineChars="200"/>
        <w:rPr>
          <w:rFonts w:ascii="宋体" w:hAnsi="宋体"/>
          <w:szCs w:val="24"/>
        </w:rPr>
      </w:pPr>
      <w:r>
        <w:rPr>
          <w:rFonts w:hint="eastAsia" w:ascii="宋体" w:hAnsi="宋体"/>
          <w:szCs w:val="24"/>
        </w:rPr>
        <w:t>项目联系人：王小林</w:t>
      </w:r>
    </w:p>
    <w:p>
      <w:pPr>
        <w:pStyle w:val="27"/>
        <w:ind w:firstLine="480" w:firstLineChars="200"/>
        <w:rPr>
          <w:rFonts w:ascii="宋体" w:hAnsi="宋体"/>
          <w:szCs w:val="24"/>
        </w:rPr>
      </w:pPr>
      <w:r>
        <w:rPr>
          <w:rFonts w:hint="eastAsia" w:ascii="宋体" w:hAnsi="宋体"/>
          <w:szCs w:val="24"/>
        </w:rPr>
        <w:t xml:space="preserve">联系  方式：0575-87253016   </w:t>
      </w:r>
      <w:r>
        <w:rPr>
          <w:rFonts w:hint="eastAsia" w:ascii="宋体"/>
          <w:szCs w:val="24"/>
        </w:rPr>
        <w:t>传真：</w:t>
      </w:r>
      <w:r>
        <w:rPr>
          <w:rFonts w:hint="eastAsia" w:ascii="宋体" w:hAnsi="宋体"/>
          <w:szCs w:val="24"/>
        </w:rPr>
        <w:t>0575-</w:t>
      </w:r>
      <w:r>
        <w:rPr>
          <w:rFonts w:hint="eastAsia" w:ascii="宋体"/>
          <w:szCs w:val="24"/>
        </w:rPr>
        <w:t>87221107</w:t>
      </w:r>
    </w:p>
    <w:p>
      <w:pPr>
        <w:pStyle w:val="27"/>
        <w:ind w:firstLine="480" w:firstLineChars="200"/>
        <w:rPr>
          <w:rFonts w:ascii="宋体" w:hAnsi="宋体"/>
          <w:szCs w:val="24"/>
        </w:rPr>
      </w:pPr>
    </w:p>
    <w:p>
      <w:pPr>
        <w:pStyle w:val="27"/>
        <w:ind w:firstLine="480" w:firstLineChars="200"/>
        <w:rPr>
          <w:rFonts w:ascii="宋体" w:hAnsi="宋体"/>
          <w:b/>
          <w:szCs w:val="24"/>
        </w:rPr>
      </w:pPr>
      <w:r>
        <w:rPr>
          <w:rFonts w:hint="eastAsia" w:ascii="宋体" w:hAnsi="宋体"/>
          <w:b/>
          <w:szCs w:val="24"/>
        </w:rPr>
        <w:t>3.同级政府采购监督管理部门</w:t>
      </w:r>
    </w:p>
    <w:p>
      <w:pPr>
        <w:pStyle w:val="27"/>
        <w:ind w:firstLine="480" w:firstLineChars="200"/>
        <w:rPr>
          <w:rFonts w:ascii="宋体" w:hAnsi="宋体"/>
          <w:szCs w:val="24"/>
        </w:rPr>
      </w:pPr>
      <w:r>
        <w:rPr>
          <w:rFonts w:hint="eastAsia" w:ascii="宋体" w:hAnsi="宋体"/>
          <w:szCs w:val="24"/>
        </w:rPr>
        <w:t>名      称：诸暨市财政局政府采购监管科</w:t>
      </w:r>
    </w:p>
    <w:p>
      <w:pPr>
        <w:pStyle w:val="27"/>
        <w:ind w:firstLine="480" w:firstLineChars="200"/>
        <w:rPr>
          <w:rFonts w:ascii="宋体" w:hAnsi="宋体"/>
          <w:szCs w:val="24"/>
        </w:rPr>
      </w:pPr>
      <w:r>
        <w:rPr>
          <w:rFonts w:hint="eastAsia" w:ascii="宋体" w:hAnsi="宋体"/>
          <w:szCs w:val="24"/>
        </w:rPr>
        <w:t>地      址：诸暨市人民中路356号</w:t>
      </w:r>
    </w:p>
    <w:p>
      <w:pPr>
        <w:pStyle w:val="27"/>
        <w:ind w:firstLine="480" w:firstLineChars="200"/>
        <w:rPr>
          <w:rFonts w:ascii="宋体" w:hAnsi="宋体"/>
          <w:szCs w:val="24"/>
        </w:rPr>
      </w:pPr>
      <w:r>
        <w:rPr>
          <w:rFonts w:hint="eastAsia" w:ascii="宋体" w:hAnsi="宋体"/>
          <w:szCs w:val="24"/>
        </w:rPr>
        <w:t>联  系  人：金永康</w:t>
      </w:r>
    </w:p>
    <w:p>
      <w:pPr>
        <w:pStyle w:val="27"/>
        <w:ind w:firstLine="480" w:firstLineChars="200"/>
        <w:rPr>
          <w:rFonts w:ascii="宋体" w:hAnsi="宋体"/>
          <w:szCs w:val="24"/>
        </w:rPr>
      </w:pPr>
      <w:r>
        <w:rPr>
          <w:rFonts w:hint="eastAsia" w:ascii="宋体" w:hAnsi="宋体"/>
          <w:szCs w:val="24"/>
        </w:rPr>
        <w:t>监督投诉电话：0575-87113458</w:t>
      </w:r>
    </w:p>
    <w:p>
      <w:pPr>
        <w:pStyle w:val="27"/>
        <w:ind w:firstLine="480" w:firstLineChars="200"/>
        <w:rPr>
          <w:rFonts w:ascii="宋体" w:hAnsi="宋体"/>
          <w:szCs w:val="24"/>
        </w:rPr>
      </w:pPr>
    </w:p>
    <w:p>
      <w:pPr>
        <w:pStyle w:val="27"/>
        <w:ind w:firstLine="480"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jc w:val="center"/>
        <w:rPr>
          <w:rFonts w:hint="eastAsia" w:ascii="宋体" w:hAnsi="宋体"/>
          <w:sz w:val="24"/>
          <w:szCs w:val="24"/>
        </w:rPr>
      </w:pPr>
      <w:r>
        <w:rPr>
          <w:rFonts w:hint="eastAsia" w:ascii="宋体" w:hAnsi="宋体"/>
          <w:szCs w:val="24"/>
        </w:rPr>
        <w:t xml:space="preserve">                                    </w:t>
      </w:r>
      <w:r>
        <w:rPr>
          <w:rFonts w:hint="eastAsia" w:ascii="宋体" w:hAnsi="宋体"/>
          <w:sz w:val="24"/>
          <w:szCs w:val="24"/>
        </w:rPr>
        <w:t xml:space="preserve"> </w:t>
      </w:r>
      <w:r>
        <w:rPr>
          <w:rFonts w:ascii="宋体" w:hAnsi="宋体"/>
          <w:sz w:val="24"/>
          <w:szCs w:val="24"/>
        </w:rPr>
        <w:t>诸暨市</w:t>
      </w:r>
      <w:r>
        <w:rPr>
          <w:rFonts w:hint="eastAsia" w:ascii="宋体" w:hAnsi="宋体"/>
          <w:sz w:val="24"/>
          <w:szCs w:val="24"/>
        </w:rPr>
        <w:t>中医医院</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2020年3</w:t>
      </w:r>
      <w:r>
        <w:rPr>
          <w:rFonts w:hint="eastAsia" w:ascii="宋体" w:hAnsi="宋体" w:cs="Arial"/>
          <w:sz w:val="24"/>
        </w:rPr>
        <w:t>月23日</w:t>
      </w:r>
    </w:p>
    <w:p>
      <w:pPr>
        <w:jc w:val="center"/>
        <w:rPr>
          <w:rFonts w:hint="eastAsia" w:ascii="宋体" w:hAnsi="宋体"/>
          <w:color w:val="auto"/>
          <w:sz w:val="24"/>
          <w:szCs w:val="24"/>
        </w:rPr>
      </w:pPr>
    </w:p>
    <w:p>
      <w:pPr>
        <w:jc w:val="center"/>
        <w:rPr>
          <w:rFonts w:hint="eastAsia" w:ascii="宋体" w:hAnsi="宋体"/>
          <w:b/>
          <w:color w:val="auto"/>
          <w:sz w:val="36"/>
          <w:szCs w:val="36"/>
        </w:rPr>
      </w:pPr>
      <w:r>
        <w:rPr>
          <w:rFonts w:ascii="宋体" w:hAnsi="宋体"/>
          <w:color w:val="auto"/>
          <w:sz w:val="36"/>
          <w:szCs w:val="36"/>
        </w:rPr>
        <w:br w:type="page"/>
      </w:r>
      <w:bookmarkEnd w:id="1"/>
      <w:r>
        <w:rPr>
          <w:rFonts w:hint="eastAsia" w:ascii="宋体" w:hAnsi="宋体"/>
          <w:b/>
          <w:color w:val="auto"/>
          <w:sz w:val="36"/>
          <w:szCs w:val="36"/>
        </w:rPr>
        <w:t>第二章   投标须知</w:t>
      </w:r>
    </w:p>
    <w:p>
      <w:pPr>
        <w:jc w:val="center"/>
        <w:rPr>
          <w:rFonts w:hint="eastAsia" w:ascii="宋体" w:hAnsi="宋体"/>
          <w:bCs/>
          <w:color w:val="auto"/>
          <w:sz w:val="28"/>
          <w:szCs w:val="28"/>
        </w:rPr>
      </w:pPr>
      <w:r>
        <w:rPr>
          <w:rFonts w:hint="eastAsia" w:ascii="宋体" w:hAnsi="宋体"/>
          <w:bCs/>
          <w:color w:val="auto"/>
          <w:sz w:val="28"/>
          <w:szCs w:val="28"/>
        </w:rPr>
        <w:t>前  附  表</w:t>
      </w:r>
    </w:p>
    <w:tbl>
      <w:tblPr>
        <w:tblStyle w:val="51"/>
        <w:tblW w:w="10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620"/>
        <w:gridCol w:w="7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ascii="宋体" w:hAnsi="宋体"/>
                <w:b/>
                <w:szCs w:val="24"/>
              </w:rPr>
            </w:pPr>
            <w:r>
              <w:rPr>
                <w:rFonts w:hint="eastAsia" w:ascii="宋体" w:hAnsi="宋体"/>
                <w:b/>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内容</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szCs w:val="24"/>
              </w:rPr>
              <w:t>项目名称</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outlineLvl w:val="0"/>
              <w:rPr>
                <w:rFonts w:hint="eastAsia" w:ascii="宋体" w:hAnsi="宋体"/>
                <w:color w:val="auto"/>
                <w:kern w:val="2"/>
                <w:sz w:val="24"/>
                <w:szCs w:val="24"/>
              </w:rPr>
            </w:pPr>
            <w:r>
              <w:rPr>
                <w:rFonts w:hint="eastAsia" w:ascii="宋体" w:hAnsi="宋体"/>
                <w:sz w:val="24"/>
                <w:szCs w:val="24"/>
                <w:u w:val="single"/>
              </w:rPr>
              <w:t>诸暨市中医医院保安服务采购项目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szCs w:val="24"/>
              </w:rPr>
              <w:t>采购方式</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ind w:right="-107" w:rightChars="-51"/>
              <w:rPr>
                <w:rFonts w:hint="eastAsia"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szCs w:val="24"/>
              </w:rPr>
              <w:t>评标办法</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ind w:right="-107" w:rightChars="-51"/>
              <w:rPr>
                <w:rFonts w:hint="eastAsia"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最高限价</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cs="宋体"/>
                <w:bCs/>
                <w:szCs w:val="24"/>
                <w:u w:val="single"/>
              </w:rPr>
              <w:t>详见招标公告，任何超过最高限价的报价将被认定为无效报价。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投标人(供应商)资格要求</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tabs>
                <w:tab w:val="left" w:pos="902"/>
                <w:tab w:val="left" w:pos="1180"/>
              </w:tabs>
              <w:ind w:firstLine="0"/>
              <w:rPr>
                <w:rFonts w:hint="eastAsia"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szCs w:val="24"/>
              </w:rPr>
              <w:t>是否接受联合体投标</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标的划分</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sz w:val="24"/>
                <w:szCs w:val="24"/>
              </w:rPr>
            </w:pPr>
            <w:r>
              <w:rPr>
                <w:rFonts w:hint="eastAsia" w:ascii="宋体" w:hAnsi="宋体"/>
                <w:color w:val="auto"/>
                <w:sz w:val="24"/>
                <w:szCs w:val="24"/>
              </w:rPr>
              <w:t>本次招标共</w:t>
            </w:r>
            <w:r>
              <w:rPr>
                <w:rFonts w:hint="eastAsia" w:ascii="宋体" w:hAnsi="宋体"/>
                <w:b/>
                <w:bCs/>
                <w:color w:val="auto"/>
                <w:sz w:val="24"/>
                <w:szCs w:val="24"/>
                <w:u w:val="single"/>
              </w:rPr>
              <w:t>1</w:t>
            </w:r>
            <w:r>
              <w:rPr>
                <w:rFonts w:hint="eastAsia" w:ascii="宋体" w:hAnsi="宋体"/>
                <w:color w:val="auto"/>
                <w:sz w:val="24"/>
                <w:szCs w:val="24"/>
              </w:rPr>
              <w:t>个标的，整体择定中标人。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招标文件的</w:t>
            </w:r>
          </w:p>
          <w:p>
            <w:pPr>
              <w:pStyle w:val="27"/>
              <w:spacing w:line="320" w:lineRule="exact"/>
              <w:jc w:val="center"/>
              <w:rPr>
                <w:rFonts w:hint="eastAsia" w:ascii="宋体" w:hAnsi="宋体"/>
                <w:b/>
                <w:szCs w:val="24"/>
              </w:rPr>
            </w:pPr>
            <w:r>
              <w:rPr>
                <w:rFonts w:hint="eastAsia" w:ascii="宋体" w:hAnsi="宋体"/>
                <w:szCs w:val="24"/>
              </w:rPr>
              <w:t>获取</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321"/>
              <w:widowControl w:val="0"/>
              <w:spacing w:afterLines="0" w:line="320" w:lineRule="exact"/>
              <w:ind w:firstLine="0" w:firstLineChars="0"/>
              <w:rPr>
                <w:rFonts w:hint="eastAsia" w:ascii="宋体" w:hAnsi="宋体"/>
              </w:rPr>
            </w:pPr>
            <w:r>
              <w:rPr>
                <w:rFonts w:hint="eastAsia" w:ascii="宋体" w:hAnsi="宋体"/>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投标保证金</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704" w:type="dxa"/>
            <w:tcBorders>
              <w:top w:val="single" w:color="auto" w:sz="4" w:space="0"/>
              <w:left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10</w:t>
            </w:r>
          </w:p>
        </w:tc>
        <w:tc>
          <w:tcPr>
            <w:tcW w:w="1620" w:type="dxa"/>
            <w:tcBorders>
              <w:top w:val="single" w:color="auto" w:sz="4" w:space="0"/>
              <w:left w:val="single" w:color="auto" w:sz="4" w:space="0"/>
              <w:right w:val="single" w:color="auto" w:sz="4" w:space="0"/>
            </w:tcBorders>
            <w:noWrap w:val="0"/>
            <w:vAlign w:val="center"/>
          </w:tcPr>
          <w:p>
            <w:pPr>
              <w:pStyle w:val="27"/>
              <w:jc w:val="center"/>
              <w:rPr>
                <w:rFonts w:ascii="宋体" w:hAnsi="宋体"/>
                <w:szCs w:val="24"/>
              </w:rPr>
            </w:pPr>
            <w:r>
              <w:rPr>
                <w:rFonts w:hint="eastAsia" w:ascii="宋体" w:hAnsi="宋体"/>
                <w:szCs w:val="24"/>
              </w:rPr>
              <w:t>资格审查</w:t>
            </w:r>
          </w:p>
        </w:tc>
        <w:tc>
          <w:tcPr>
            <w:tcW w:w="7708" w:type="dxa"/>
            <w:tcBorders>
              <w:top w:val="single" w:color="auto" w:sz="4" w:space="0"/>
              <w:left w:val="single" w:color="auto" w:sz="4" w:space="0"/>
              <w:right w:val="single" w:color="auto" w:sz="4" w:space="0"/>
            </w:tcBorders>
            <w:noWrap w:val="0"/>
            <w:vAlign w:val="center"/>
          </w:tcPr>
          <w:p>
            <w:pPr>
              <w:rPr>
                <w:rFonts w:ascii="宋体" w:hAnsi="宋体"/>
                <w:color w:val="auto"/>
                <w:kern w:val="2"/>
                <w:sz w:val="24"/>
                <w:szCs w:val="24"/>
              </w:rPr>
            </w:pPr>
            <w:r>
              <w:rPr>
                <w:rFonts w:hint="eastAsia" w:ascii="宋体" w:hAnsi="宋体"/>
                <w:color w:val="auto"/>
                <w:kern w:val="2"/>
                <w:sz w:val="24"/>
                <w:szCs w:val="24"/>
              </w:rPr>
              <w:t>采购人或委托采购代理机构对投标人进行资格审查。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ascii="宋体" w:hAnsi="宋体"/>
                <w:szCs w:val="24"/>
              </w:rPr>
            </w:pPr>
            <w:r>
              <w:rPr>
                <w:rFonts w:hint="eastAsia" w:ascii="宋体" w:hAnsi="宋体"/>
                <w:szCs w:val="24"/>
              </w:rPr>
              <w:t>资格文件</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ascii="宋体" w:hAnsi="宋体"/>
                <w:color w:val="auto"/>
                <w:kern w:val="2"/>
                <w:sz w:val="24"/>
                <w:szCs w:val="24"/>
              </w:rPr>
            </w:pPr>
            <w:r>
              <w:rPr>
                <w:rFonts w:hint="eastAsia" w:ascii="宋体" w:hAnsi="宋体"/>
                <w:color w:val="auto"/>
                <w:kern w:val="2"/>
                <w:sz w:val="24"/>
                <w:szCs w:val="24"/>
              </w:rPr>
              <w:t>（3）参加本次政府采购活动前三年内，在经营活动中没有重大违法记录的声明（详见第六章格式范例）。</w:t>
            </w:r>
          </w:p>
          <w:p>
            <w:pPr>
              <w:snapToGrid w:val="0"/>
              <w:jc w:val="left"/>
              <w:rPr>
                <w:rFonts w:ascii="宋体" w:hAnsi="宋体"/>
                <w:color w:val="auto"/>
                <w:kern w:val="2"/>
                <w:sz w:val="24"/>
                <w:szCs w:val="24"/>
              </w:rPr>
            </w:pPr>
            <w:r>
              <w:rPr>
                <w:rFonts w:hint="eastAsia" w:ascii="宋体" w:hAnsi="宋体"/>
                <w:color w:val="auto"/>
                <w:kern w:val="2"/>
                <w:sz w:val="24"/>
                <w:szCs w:val="24"/>
              </w:rPr>
              <w:t>（4）其他资格证书（详见招标公告，提供相应资格文件证书复印件）。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商务技术文件</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负责</w:t>
            </w:r>
            <w:r>
              <w:rPr>
                <w:rFonts w:ascii="宋体" w:hAnsi="宋体"/>
                <w:color w:val="auto"/>
                <w:sz w:val="24"/>
                <w:szCs w:val="24"/>
              </w:rPr>
              <w:t>人授权委托书</w:t>
            </w:r>
            <w:r>
              <w:rPr>
                <w:rFonts w:hint="eastAsia" w:ascii="宋体" w:hAnsi="宋体"/>
                <w:color w:val="auto"/>
                <w:sz w:val="24"/>
                <w:szCs w:val="24"/>
              </w:rPr>
              <w:t>（除负责人亲自参加外，</w:t>
            </w:r>
            <w:r>
              <w:rPr>
                <w:rFonts w:ascii="宋体" w:hAnsi="宋体"/>
                <w:color w:val="auto"/>
                <w:sz w:val="24"/>
                <w:szCs w:val="24"/>
              </w:rPr>
              <w:t>格式见附件)；</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w:t>
            </w:r>
            <w:r>
              <w:rPr>
                <w:rFonts w:hint="eastAsia" w:ascii="宋体" w:hAnsi="宋体"/>
                <w:color w:val="auto"/>
                <w:kern w:val="2"/>
                <w:sz w:val="24"/>
                <w:szCs w:val="24"/>
              </w:rPr>
              <w:t>营业执照</w:t>
            </w:r>
            <w:r>
              <w:rPr>
                <w:rFonts w:hint="eastAsia" w:ascii="宋体" w:hAnsi="宋体"/>
                <w:color w:val="auto"/>
                <w:sz w:val="24"/>
                <w:szCs w:val="24"/>
              </w:rPr>
              <w:t>复印件（加盖单位公章）；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5）对本项目总体要求的理解</w:t>
            </w:r>
            <w:r>
              <w:rPr>
                <w:rFonts w:hint="eastAsia" w:ascii="宋体" w:hAnsi="宋体"/>
                <w:color w:val="auto"/>
                <w:sz w:val="24"/>
                <w:szCs w:val="24"/>
              </w:rPr>
              <w:t xml:space="preserve">及投标方案描述，包括：功能说明、性能指标、设备选型或提供服务方案说明；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投标设备详细配置清单或提供服务描述和技术(服务)偏离表；</w:t>
            </w:r>
            <w:r>
              <w:rPr>
                <w:rFonts w:ascii="宋体" w:hAnsi="宋体"/>
                <w:color w:val="auto"/>
                <w:sz w:val="24"/>
                <w:szCs w:val="24"/>
              </w:rPr>
              <w:t xml:space="preserve"> </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成功案例和业绩证明（如有）；</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主要设备材料的对本项目的售后服务承诺，本地化服务能力证明）；</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（如需要）。</w:t>
            </w:r>
          </w:p>
          <w:p>
            <w:pPr>
              <w:pStyle w:val="27"/>
              <w:spacing w:line="320" w:lineRule="exact"/>
              <w:rPr>
                <w:rFonts w:hint="eastAsia"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报价</w:t>
            </w:r>
            <w:r>
              <w:rPr>
                <w:rFonts w:ascii="宋体" w:hAnsi="宋体"/>
                <w:szCs w:val="24"/>
              </w:rPr>
              <w:t>文件</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snapToGrid w:val="0"/>
              <w:spacing w:line="320" w:lineRule="exact"/>
              <w:jc w:val="left"/>
              <w:rPr>
                <w:rFonts w:hint="eastAsia" w:ascii="宋体" w:hAnsi="宋体"/>
                <w:b/>
                <w:color w:val="auto"/>
                <w:sz w:val="24"/>
                <w:szCs w:val="24"/>
              </w:rPr>
            </w:pPr>
            <w:r>
              <w:rPr>
                <w:rFonts w:ascii="宋体" w:hAnsi="宋体"/>
                <w:color w:val="auto"/>
                <w:sz w:val="24"/>
                <w:szCs w:val="24"/>
              </w:rPr>
              <w:t>注：投标函、开标一览表必须由</w:t>
            </w:r>
            <w:r>
              <w:rPr>
                <w:rFonts w:hint="eastAsia" w:ascii="宋体" w:hAnsi="宋体"/>
                <w:color w:val="auto"/>
                <w:sz w:val="24"/>
                <w:szCs w:val="24"/>
              </w:rPr>
              <w:t>负责</w:t>
            </w:r>
            <w:r>
              <w:rPr>
                <w:rFonts w:ascii="宋体" w:hAnsi="宋体"/>
                <w:color w:val="auto"/>
                <w:sz w:val="24"/>
                <w:szCs w:val="24"/>
              </w:rPr>
              <w:t>人</w:t>
            </w:r>
            <w:r>
              <w:rPr>
                <w:rFonts w:hint="eastAsia" w:ascii="宋体" w:hAnsi="宋体"/>
                <w:color w:val="auto"/>
                <w:sz w:val="24"/>
                <w:szCs w:val="24"/>
              </w:rPr>
              <w:t>或委托代理人</w:t>
            </w:r>
            <w:r>
              <w:rPr>
                <w:rFonts w:ascii="宋体" w:hAnsi="宋体"/>
                <w:color w:val="auto"/>
                <w:sz w:val="24"/>
                <w:szCs w:val="24"/>
              </w:rPr>
              <w:t>签名</w:t>
            </w:r>
            <w:r>
              <w:rPr>
                <w:rFonts w:hint="eastAsia" w:ascii="宋体" w:hAnsi="宋体"/>
                <w:color w:val="auto"/>
                <w:sz w:val="24"/>
                <w:szCs w:val="24"/>
              </w:rPr>
              <w:t>（签字或盖章）</w:t>
            </w:r>
            <w:r>
              <w:rPr>
                <w:rFonts w:ascii="宋体" w:hAnsi="宋体"/>
                <w:color w:val="auto"/>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现场演示</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投标样品</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上传电子投标文件时间</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 w:val="24"/>
                <w:szCs w:val="24"/>
              </w:rPr>
            </w:pPr>
            <w:r>
              <w:rPr>
                <w:rFonts w:hint="eastAsia" w:ascii="宋体" w:hAnsi="宋体"/>
                <w:color w:val="auto"/>
                <w:sz w:val="24"/>
                <w:szCs w:val="24"/>
              </w:rPr>
              <w:t>供应商应于投标截止时间前在“政采云”上自行加密上传电子投标文件，逾期上传或未按要求上传的投标文件将予以拒收。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投标有效期</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签订合同时间</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19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szCs w:val="24"/>
              </w:rPr>
              <w:t>转包与分包</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20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履约保证金</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rPr>
                <w:rFonts w:hint="eastAsia" w:ascii="宋体" w:hAnsi="宋体"/>
                <w:szCs w:val="24"/>
              </w:rPr>
            </w:pPr>
            <w:r>
              <w:rPr>
                <w:rFonts w:hint="eastAsia" w:ascii="宋体" w:hAnsi="宋体"/>
                <w:szCs w:val="24"/>
              </w:rPr>
              <w:t>签订合同时，中标人须向采购单位交入中标价5%的履</w:t>
            </w:r>
            <w:r>
              <w:rPr>
                <w:rFonts w:hint="eastAsia" w:ascii="宋体" w:hAnsi="宋体"/>
              </w:rPr>
              <w:t>约保证金(招标文件另有规定的从其规定)。履约保证金在采购单位将货物（服务、工程）验收合格后5日内无息退还。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21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投标文件上传截止时间</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22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开标时间</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b/>
                <w:szCs w:val="24"/>
              </w:rPr>
            </w:pPr>
            <w:r>
              <w:rPr>
                <w:rFonts w:hint="eastAsia" w:ascii="宋体" w:hAnsi="宋体"/>
                <w:b/>
                <w:szCs w:val="24"/>
              </w:rPr>
              <w:t>23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7"/>
              <w:spacing w:line="320" w:lineRule="exact"/>
              <w:jc w:val="center"/>
              <w:rPr>
                <w:rFonts w:hint="eastAsia" w:ascii="宋体" w:hAnsi="宋体"/>
                <w:szCs w:val="24"/>
              </w:rPr>
            </w:pPr>
            <w:r>
              <w:rPr>
                <w:rFonts w:hint="eastAsia" w:ascii="宋体" w:hAnsi="宋体"/>
                <w:szCs w:val="24"/>
              </w:rPr>
              <w:t>开标地点</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0"/>
              </w:rPr>
            </w:pPr>
            <w:r>
              <w:rPr>
                <w:rFonts w:hint="eastAsia" w:ascii="宋体" w:hAnsi="宋体"/>
                <w:color w:val="auto"/>
                <w:kern w:val="2"/>
                <w:sz w:val="24"/>
                <w:szCs w:val="24"/>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440" w:lineRule="exact"/>
              <w:jc w:val="center"/>
              <w:rPr>
                <w:rFonts w:ascii="宋体" w:hAnsi="宋体"/>
                <w:b/>
                <w:szCs w:val="24"/>
              </w:rPr>
            </w:pPr>
            <w:r>
              <w:rPr>
                <w:rFonts w:hint="eastAsia" w:ascii="宋体" w:hAnsi="宋体"/>
                <w:b/>
                <w:szCs w:val="24"/>
              </w:rPr>
              <w:t>24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pStyle w:val="27"/>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440" w:lineRule="exact"/>
              <w:jc w:val="center"/>
              <w:rPr>
                <w:rFonts w:ascii="宋体" w:hAnsi="宋体"/>
                <w:b/>
                <w:szCs w:val="24"/>
              </w:rPr>
            </w:pPr>
            <w:r>
              <w:rPr>
                <w:rFonts w:hint="eastAsia" w:ascii="宋体" w:hAnsi="宋体"/>
                <w:b/>
                <w:szCs w:val="24"/>
              </w:rPr>
              <w:t>25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olor w:val="auto"/>
                <w:kern w:val="2"/>
                <w:sz w:val="24"/>
                <w:szCs w:val="24"/>
              </w:rPr>
            </w:pPr>
            <w:r>
              <w:rPr>
                <w:rFonts w:hint="eastAsia" w:ascii="宋体" w:hAnsi="宋体"/>
                <w:color w:val="auto"/>
                <w:kern w:val="2"/>
                <w:sz w:val="24"/>
                <w:szCs w:val="24"/>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宋体" w:hAnsi="宋体"/>
                <w:color w:val="auto"/>
                <w:kern w:val="2"/>
                <w:sz w:val="24"/>
                <w:szCs w:val="24"/>
              </w:rPr>
            </w:pPr>
            <w:r>
              <w:rPr>
                <w:rFonts w:hint="eastAsia" w:ascii="宋体" w:hAnsi="宋体"/>
                <w:color w:val="auto"/>
                <w:kern w:val="2"/>
                <w:sz w:val="24"/>
                <w:szCs w:val="24"/>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27"/>
              <w:spacing w:line="440" w:lineRule="exact"/>
              <w:jc w:val="center"/>
              <w:rPr>
                <w:rFonts w:ascii="宋体" w:hAnsi="宋体"/>
                <w:b/>
                <w:szCs w:val="24"/>
              </w:rPr>
            </w:pPr>
            <w:r>
              <w:rPr>
                <w:rFonts w:hint="eastAsia" w:ascii="宋体" w:hAnsi="宋体"/>
                <w:b/>
                <w:szCs w:val="24"/>
              </w:rPr>
              <w:t>26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供应商提供的货物或服务符合下列情形，享受中小企业扶持政策：</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1、在货物采购项目中，货物由小微企业制造，即货物由小微企业生产且使用该小微企业商号或者注册商标。供应商提供的货物既有中小企业制造货物，也有大型企业制造货物的，不享受中小企业扶持政策。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2、在服务采购项目中，服务由小微企业承接，即提供服务的人员为小微企业依照《中华人民共和国劳动合同法》订立劳动合同的从业人员。</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小微企业应按照招标文件格式要求提供《中小企业声明函》。</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以联合体形式参加政府采购活动， 联合体各方均为中小企业的，联合体视同中小企业。其中，联合体各方均为小微企业的，联合体视同小微企业。</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符合《关于促进残疾人就业政府采购政策的通知》（财库〔2017〕141号）规定的条件并提供《残疾人福利性单位声明函》（附件1）的残疾人福利性单位视同小微企业。</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贯彻落实《保障中小企业款项支付条例》，严格按照条例规定向中小企业支付款项。</w:t>
            </w:r>
          </w:p>
        </w:tc>
      </w:tr>
    </w:tbl>
    <w:p>
      <w:pPr>
        <w:jc w:val="cente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一、总   则</w:t>
      </w:r>
    </w:p>
    <w:p>
      <w:pPr>
        <w:spacing w:line="360" w:lineRule="exact"/>
        <w:rPr>
          <w:rFonts w:ascii="宋体" w:hAnsi="宋体"/>
        </w:rPr>
      </w:pPr>
      <w:bookmarkStart w:id="28" w:name="_Toc125344511"/>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jc w:val="left"/>
        <w:rPr>
          <w:rFonts w:ascii="宋体" w:hAnsi="宋体"/>
          <w:b/>
          <w:sz w:val="24"/>
        </w:rPr>
      </w:pPr>
      <w:r>
        <w:rPr>
          <w:rFonts w:hint="eastAsia" w:ascii="宋体" w:hAnsi="宋体"/>
          <w:b/>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napToGrid w:val="0"/>
        <w:jc w:val="left"/>
        <w:outlineLvl w:val="1"/>
        <w:rPr>
          <w:rFonts w:ascii="宋体" w:hAnsi="宋体"/>
          <w:b/>
          <w:sz w:val="24"/>
        </w:rPr>
      </w:pPr>
      <w:r>
        <w:rPr>
          <w:rFonts w:hint="eastAsia" w:ascii="宋体" w:hAnsi="宋体"/>
          <w:b/>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napToGrid w:val="0"/>
        <w:jc w:val="left"/>
        <w:outlineLvl w:val="1"/>
        <w:rPr>
          <w:rFonts w:ascii="宋体" w:hAnsi="宋体"/>
          <w:b/>
          <w:sz w:val="24"/>
        </w:rPr>
      </w:pPr>
      <w:r>
        <w:rPr>
          <w:rFonts w:hint="eastAsia" w:ascii="宋体" w:hAnsi="宋体"/>
          <w:b/>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napToGrid w:val="0"/>
        <w:jc w:val="left"/>
        <w:outlineLvl w:val="1"/>
        <w:rPr>
          <w:rFonts w:ascii="宋体" w:hAnsi="宋体"/>
          <w:b/>
          <w:sz w:val="24"/>
        </w:rPr>
      </w:pPr>
      <w:r>
        <w:rPr>
          <w:rFonts w:hint="eastAsia" w:ascii="宋体" w:hAnsi="宋体"/>
          <w:b/>
          <w:sz w:val="24"/>
        </w:rPr>
        <w:t>6.特别说明：</w:t>
      </w:r>
    </w:p>
    <w:p>
      <w:pPr>
        <w:pStyle w:val="27"/>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27"/>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7"/>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27"/>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27"/>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27"/>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jc w:val="left"/>
        <w:outlineLvl w:val="1"/>
        <w:rPr>
          <w:rFonts w:ascii="宋体" w:hAnsi="宋体"/>
          <w:b/>
          <w:sz w:val="24"/>
        </w:rPr>
      </w:pPr>
      <w:r>
        <w:rPr>
          <w:rFonts w:hint="eastAsia" w:ascii="宋体" w:hAnsi="宋体"/>
          <w:b/>
          <w:sz w:val="24"/>
        </w:rPr>
        <w:t>7.询问、</w:t>
      </w:r>
      <w:r>
        <w:rPr>
          <w:rFonts w:ascii="宋体" w:hAnsi="宋体"/>
          <w:b/>
          <w:sz w:val="24"/>
        </w:rPr>
        <w:t>质疑和投诉</w:t>
      </w:r>
    </w:p>
    <w:p>
      <w:pPr>
        <w:pStyle w:val="27"/>
        <w:snapToGrid w:val="0"/>
        <w:ind w:left="1" w:firstLine="480" w:firstLineChars="200"/>
        <w:rPr>
          <w:rFonts w:ascii="宋体" w:hAnsi="宋体"/>
          <w:bCs/>
        </w:rPr>
      </w:pPr>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27"/>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27"/>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27"/>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27"/>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27"/>
        <w:snapToGrid w:val="0"/>
        <w:ind w:left="1" w:firstLine="480" w:firstLineChars="200"/>
        <w:rPr>
          <w:rFonts w:ascii="宋体" w:hAnsi="宋体"/>
        </w:rPr>
      </w:pPr>
      <w:r>
        <w:rPr>
          <w:rFonts w:hint="eastAsia" w:ascii="宋体" w:hAnsi="宋体"/>
        </w:rPr>
        <w:t>7.6供应商</w:t>
      </w:r>
      <w:r>
        <w:rPr>
          <w:rFonts w:ascii="宋体" w:hAnsi="宋体"/>
        </w:rPr>
        <w:t>对采购人</w:t>
      </w:r>
      <w:r>
        <w:rPr>
          <w:rFonts w:hint="eastAsia" w:ascii="宋体" w:hAnsi="宋体"/>
        </w:rPr>
        <w:t>和采购代理机构</w:t>
      </w:r>
      <w:r>
        <w:rPr>
          <w:rFonts w:ascii="宋体" w:hAnsi="宋体"/>
        </w:rPr>
        <w:t>的质疑答复不满意或者采购人未在规定时间内作出答复的，可以在答复期满后十五个工作日内向同级采购监管部门投诉。</w:t>
      </w:r>
    </w:p>
    <w:p>
      <w:pPr>
        <w:pStyle w:val="27"/>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rFonts w:ascii="宋体" w:hAnsi="宋体"/>
          <w:b/>
          <w:color w:val="auto"/>
          <w:sz w:val="28"/>
          <w:szCs w:val="28"/>
        </w:rPr>
      </w:pPr>
      <w:bookmarkStart w:id="29" w:name="_Toc125344504"/>
      <w:r>
        <w:rPr>
          <w:rFonts w:hint="eastAsia" w:ascii="宋体" w:hAnsi="宋体"/>
          <w:b/>
          <w:color w:val="auto"/>
          <w:sz w:val="28"/>
          <w:szCs w:val="28"/>
        </w:rPr>
        <w:t>二、招标文件</w:t>
      </w:r>
      <w:bookmarkEnd w:id="29"/>
    </w:p>
    <w:p>
      <w:pPr>
        <w:snapToGrid w:val="0"/>
        <w:jc w:val="left"/>
        <w:rPr>
          <w:rFonts w:ascii="宋体" w:hAnsi="宋体"/>
          <w:b/>
          <w:sz w:val="24"/>
        </w:rPr>
      </w:pPr>
      <w:r>
        <w:rPr>
          <w:rFonts w:hint="eastAsia" w:ascii="宋体" w:hAnsi="宋体"/>
          <w:b/>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8.6与本项目有关的澄清或者修改的内容为招标文件的组成部分</w:t>
      </w:r>
    </w:p>
    <w:p>
      <w:pPr>
        <w:snapToGrid w:val="0"/>
        <w:jc w:val="left"/>
        <w:outlineLvl w:val="1"/>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jc w:val="left"/>
        <w:outlineLvl w:val="1"/>
        <w:rPr>
          <w:rFonts w:ascii="宋体" w:hAnsi="宋体"/>
          <w:b/>
          <w:sz w:val="24"/>
        </w:rPr>
      </w:pPr>
      <w:r>
        <w:rPr>
          <w:rFonts w:hint="eastAsia" w:ascii="宋体" w:hAnsi="宋体"/>
          <w:b/>
          <w:sz w:val="24"/>
        </w:rPr>
        <w:t>10.招标文件的澄清与修改</w:t>
      </w:r>
      <w:r>
        <w:rPr>
          <w:rFonts w:ascii="宋体" w:hAnsi="宋体"/>
          <w:b/>
          <w:sz w:val="24"/>
        </w:rPr>
        <w:t xml:space="preserve"> </w:t>
      </w:r>
    </w:p>
    <w:p>
      <w:pPr>
        <w:pStyle w:val="27"/>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w:t>
      </w:r>
    </w:p>
    <w:p>
      <w:pPr>
        <w:pStyle w:val="27"/>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27"/>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27"/>
        <w:snapToGrid w:val="0"/>
        <w:ind w:firstLine="480" w:firstLineChars="200"/>
        <w:rPr>
          <w:rFonts w:ascii="宋体" w:hAnsi="宋体"/>
        </w:rPr>
      </w:pPr>
      <w:r>
        <w:rPr>
          <w:rFonts w:hint="eastAsia" w:ascii="宋体" w:hAnsi="宋体"/>
        </w:rPr>
        <w:t>10.4为使投标人在编制投标文件时，把补充公告内容进行研究，采购代理机构可以视情况延长投标截止时间和开标时间。</w:t>
      </w:r>
    </w:p>
    <w:p>
      <w:pPr>
        <w:pStyle w:val="27"/>
        <w:snapToGrid w:val="0"/>
        <w:ind w:firstLine="480" w:firstLineChars="200"/>
        <w:rPr>
          <w:rFonts w:ascii="宋体" w:hAnsi="宋体"/>
        </w:rPr>
      </w:pPr>
      <w:r>
        <w:rPr>
          <w:rFonts w:hint="eastAsia" w:ascii="宋体" w:hAnsi="宋体"/>
        </w:rPr>
        <w:t>10.5</w:t>
      </w:r>
      <w:r>
        <w:rPr>
          <w:rFonts w:hint="eastAsia" w:ascii="宋体" w:hAnsi="宋体"/>
          <w:b/>
          <w:bCs/>
          <w:u w:val="single"/>
        </w:rPr>
        <w:t>投标文件未按招标文件的澄清、修改的内容编制，又不符合实质性要求的，投标无效。</w:t>
      </w:r>
    </w:p>
    <w:p>
      <w:pPr>
        <w:pStyle w:val="27"/>
        <w:snapToGrid w:val="0"/>
        <w:ind w:firstLine="480" w:firstLineChars="200"/>
        <w:rPr>
          <w:rFonts w:ascii="宋体" w:hAnsi="宋体"/>
        </w:rPr>
      </w:pPr>
      <w:r>
        <w:rPr>
          <w:rFonts w:hint="eastAsia" w:ascii="宋体" w:hAnsi="宋体"/>
        </w:rPr>
        <w:t>10.6投标人一旦参与本次招标活动，即被视为接受了本招标文件的所有内容，如有任何异议，均须在答疑截止时间前提出。</w:t>
      </w:r>
    </w:p>
    <w:p>
      <w:pPr>
        <w:jc w:val="center"/>
        <w:rPr>
          <w:rFonts w:ascii="宋体" w:hAnsi="宋体"/>
          <w:b/>
          <w:color w:val="auto"/>
          <w:sz w:val="28"/>
          <w:szCs w:val="28"/>
        </w:rPr>
      </w:pPr>
      <w:bookmarkStart w:id="30" w:name="_Toc125344505"/>
      <w:r>
        <w:rPr>
          <w:rFonts w:hint="eastAsia" w:ascii="宋体" w:hAnsi="宋体"/>
          <w:b/>
          <w:color w:val="auto"/>
          <w:sz w:val="28"/>
          <w:szCs w:val="28"/>
        </w:rPr>
        <w:t>三、投标文件编制</w:t>
      </w:r>
      <w:bookmarkEnd w:id="30"/>
      <w:r>
        <w:rPr>
          <w:rFonts w:hint="eastAsia" w:ascii="宋体" w:hAnsi="宋体"/>
          <w:b/>
          <w:color w:val="auto"/>
          <w:sz w:val="28"/>
          <w:szCs w:val="28"/>
        </w:rPr>
        <w:t>和提交</w:t>
      </w:r>
    </w:p>
    <w:p>
      <w:pPr>
        <w:snapToGrid w:val="0"/>
        <w:jc w:val="left"/>
        <w:outlineLvl w:val="0"/>
        <w:rPr>
          <w:rFonts w:ascii="宋体" w:hAnsi="宋体"/>
          <w:b/>
          <w:sz w:val="24"/>
        </w:rPr>
      </w:pPr>
      <w:r>
        <w:rPr>
          <w:rFonts w:hint="eastAsia" w:ascii="宋体" w:hAnsi="宋体"/>
          <w:b/>
          <w:sz w:val="24"/>
        </w:rPr>
        <w:t>11.投标文件的组成</w:t>
      </w:r>
    </w:p>
    <w:p>
      <w:pPr>
        <w:snapToGrid w:val="0"/>
        <w:ind w:firstLine="360" w:firstLineChars="150"/>
        <w:jc w:val="left"/>
        <w:rPr>
          <w:rFonts w:ascii="宋体" w:hAnsi="宋体"/>
          <w:sz w:val="24"/>
        </w:rPr>
      </w:pPr>
      <w:r>
        <w:rPr>
          <w:rFonts w:hint="eastAsia" w:ascii="宋体" w:hAnsi="宋体"/>
          <w:sz w:val="24"/>
        </w:rPr>
        <w:t xml:space="preserve"> 投标文件由资格文件、商务技术文件、报价文件三部分组成。投标文件应当对招标文件提出的要求和条件作出明确响应。</w:t>
      </w:r>
    </w:p>
    <w:p>
      <w:pPr>
        <w:snapToGrid w:val="0"/>
        <w:jc w:val="left"/>
        <w:outlineLvl w:val="0"/>
        <w:rPr>
          <w:rFonts w:ascii="宋体" w:hAnsi="宋体"/>
          <w:b/>
          <w:sz w:val="24"/>
        </w:rPr>
      </w:pPr>
      <w:r>
        <w:rPr>
          <w:rFonts w:hint="eastAsia" w:ascii="宋体" w:hAnsi="宋体"/>
          <w:b/>
          <w:sz w:val="24"/>
        </w:rPr>
        <w:t>12.投标文件的语言及计量</w:t>
      </w:r>
    </w:p>
    <w:p>
      <w:pPr>
        <w:pStyle w:val="27"/>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27"/>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jc w:val="left"/>
        <w:outlineLvl w:val="0"/>
        <w:rPr>
          <w:rFonts w:ascii="宋体" w:hAnsi="宋体"/>
          <w:b/>
          <w:sz w:val="24"/>
        </w:rPr>
      </w:pPr>
      <w:r>
        <w:rPr>
          <w:rFonts w:hint="eastAsia" w:ascii="宋体" w:hAnsi="宋体"/>
          <w:b/>
          <w:sz w:val="24"/>
        </w:rPr>
        <w:t>13.投标报价</w:t>
      </w:r>
    </w:p>
    <w:p>
      <w:pPr>
        <w:pStyle w:val="27"/>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27"/>
        <w:spacing w:line="400" w:lineRule="exact"/>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27"/>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27"/>
        <w:snapToGrid w:val="0"/>
        <w:ind w:firstLine="480" w:firstLineChars="200"/>
        <w:rPr>
          <w:rFonts w:ascii="宋体" w:hAnsi="宋体"/>
        </w:rPr>
      </w:pPr>
      <w:r>
        <w:rPr>
          <w:rFonts w:hint="eastAsia" w:ascii="宋体" w:hAnsi="宋体"/>
        </w:rPr>
        <w:t>13.4招标文件未列明，而投标人认为必需的费用也需列入报价。</w:t>
      </w:r>
    </w:p>
    <w:p>
      <w:pPr>
        <w:pStyle w:val="27"/>
        <w:spacing w:line="400" w:lineRule="exact"/>
        <w:ind w:firstLine="480" w:firstLineChars="200"/>
        <w:rPr>
          <w:rFonts w:hAnsi="宋体"/>
          <w:szCs w:val="24"/>
        </w:rPr>
      </w:pPr>
      <w:r>
        <w:rPr>
          <w:rFonts w:hint="eastAsia" w:ascii="宋体" w:hAnsi="宋体"/>
        </w:rPr>
        <w:t>13.5</w:t>
      </w:r>
      <w:r>
        <w:rPr>
          <w:rFonts w:hint="eastAsia" w:hAnsi="宋体"/>
          <w:szCs w:val="24"/>
        </w:rPr>
        <w:t>中标后，中标人所填写的单价在合同实施期间不因市场变化因素而变动，投标人在计算报价时应考虑一定的风险系数。</w:t>
      </w:r>
    </w:p>
    <w:p>
      <w:pPr>
        <w:pStyle w:val="14"/>
        <w:widowControl w:val="0"/>
        <w:numPr>
          <w:ilvl w:val="0"/>
          <w:numId w:val="0"/>
        </w:numPr>
        <w:snapToGrid w:val="0"/>
        <w:spacing w:afterLines="0"/>
        <w:ind w:left="360" w:hanging="360"/>
        <w:rPr>
          <w:rFonts w:ascii="宋体" w:hAnsi="宋体"/>
          <w:b/>
          <w:color w:val="000000"/>
          <w:szCs w:val="24"/>
        </w:rPr>
      </w:pPr>
      <w:r>
        <w:rPr>
          <w:rFonts w:hint="eastAsia" w:ascii="宋体" w:hAnsi="宋体"/>
          <w:b/>
          <w:color w:val="000000"/>
          <w:szCs w:val="24"/>
        </w:rPr>
        <w:t>14.投标文件的有效期</w:t>
      </w:r>
    </w:p>
    <w:p>
      <w:pPr>
        <w:pStyle w:val="27"/>
        <w:snapToGrid w:val="0"/>
        <w:ind w:firstLine="480" w:firstLineChars="200"/>
        <w:rPr>
          <w:rFonts w:ascii="宋体" w:hAnsi="宋体"/>
        </w:rPr>
      </w:pPr>
      <w:r>
        <w:rPr>
          <w:rFonts w:hint="eastAsia" w:ascii="宋体" w:hAnsi="宋体"/>
        </w:rPr>
        <w:t>14.1</w:t>
      </w:r>
      <w:r>
        <w:rPr>
          <w:rFonts w:hint="eastAsia" w:ascii="宋体" w:hAnsi="宋体"/>
          <w:szCs w:val="21"/>
        </w:rPr>
        <w:t>投标有效期为</w:t>
      </w:r>
      <w:r>
        <w:rPr>
          <w:rFonts w:hint="eastAsia" w:ascii="Arial" w:hAnsi="Arial" w:cs="Arial"/>
          <w:szCs w:val="21"/>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7"/>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7"/>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27"/>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napToGrid w:val="0"/>
        <w:jc w:val="left"/>
        <w:outlineLvl w:val="0"/>
        <w:rPr>
          <w:rFonts w:ascii="宋体" w:hAnsi="宋体"/>
          <w:b/>
          <w:sz w:val="24"/>
        </w:rPr>
      </w:pPr>
      <w:r>
        <w:rPr>
          <w:rFonts w:hint="eastAsia" w:ascii="宋体" w:hAnsi="宋体"/>
          <w:b/>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0" w:firstLineChars="200"/>
        <w:jc w:val="left"/>
        <w:rPr>
          <w:rFonts w:ascii="宋体" w:hAnsi="宋体"/>
          <w:color w:val="auto"/>
          <w:sz w:val="24"/>
          <w:szCs w:val="24"/>
        </w:rPr>
      </w:pPr>
      <w:r>
        <w:rPr>
          <w:rFonts w:hint="eastAsia" w:ascii="宋体" w:hAnsi="宋体"/>
          <w:bCs/>
          <w:color w:val="auto"/>
          <w:sz w:val="24"/>
          <w:szCs w:val="24"/>
        </w:rPr>
        <w:t>16.5投标人应认真阅读招标文件中所有的内容。</w:t>
      </w:r>
      <w:r>
        <w:rPr>
          <w:rFonts w:hint="eastAsia" w:ascii="宋体" w:hAnsi="宋体"/>
          <w:b/>
          <w:color w:val="auto"/>
          <w:sz w:val="24"/>
          <w:szCs w:val="24"/>
        </w:rPr>
        <w:t>如果投标人编制的投标文件实质上不响应招标文件的要求，其投标文件将作无效标处理。</w:t>
      </w:r>
    </w:p>
    <w:p>
      <w:pPr>
        <w:snapToGrid w:val="0"/>
        <w:jc w:val="left"/>
        <w:rPr>
          <w:rFonts w:ascii="宋体" w:hAnsi="宋体"/>
          <w:b/>
          <w:sz w:val="24"/>
          <w:szCs w:val="24"/>
        </w:rPr>
      </w:pPr>
      <w:r>
        <w:rPr>
          <w:rFonts w:hint="eastAsia" w:ascii="宋体" w:hAnsi="宋体"/>
          <w:b/>
          <w:sz w:val="24"/>
          <w:szCs w:val="24"/>
        </w:rPr>
        <w:t>17.投标文件的递交、补充、修改和撤回</w:t>
      </w:r>
    </w:p>
    <w:p>
      <w:pPr>
        <w:snapToGrid w:val="0"/>
        <w:ind w:firstLine="480" w:firstLineChars="200"/>
        <w:rPr>
          <w:rFonts w:ascii="宋体" w:hAnsi="宋体"/>
          <w:b/>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如投标文件的资格文件、商务技术文件内容含有报价的内容，将被视作无效标处理。</w:t>
      </w:r>
    </w:p>
    <w:p>
      <w:pPr>
        <w:snapToGrid w:val="0"/>
        <w:ind w:firstLine="480"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snapToGrid w:val="0"/>
        <w:ind w:firstLine="480" w:firstLineChars="200"/>
        <w:rPr>
          <w:rFonts w:ascii="宋体" w:hAnsi="宋体"/>
          <w:b/>
          <w:sz w:val="24"/>
          <w:szCs w:val="24"/>
        </w:rPr>
      </w:pPr>
      <w:r>
        <w:rPr>
          <w:rFonts w:hint="eastAsia" w:ascii="宋体" w:hAnsi="宋体"/>
          <w:bCs/>
          <w:sz w:val="24"/>
          <w:szCs w:val="24"/>
        </w:rPr>
        <w:t>17.3</w:t>
      </w:r>
      <w:r>
        <w:rPr>
          <w:rFonts w:hint="eastAsia" w:ascii="宋体" w:hAnsi="宋体"/>
          <w:sz w:val="24"/>
          <w:szCs w:val="24"/>
        </w:rPr>
        <w:t>投标人在投标截止时间之前，可以对已提交的投标文件进行修改或撤回，补充、修改的内容为投标文件的组成部分。补充或者修改投标文件的，应当先行撤回原文件，补充、修改后重新传输递交。</w:t>
      </w:r>
    </w:p>
    <w:p>
      <w:pPr>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snapToGrid w:val="0"/>
        <w:ind w:firstLine="480" w:firstLineChars="200"/>
        <w:rPr>
          <w:rFonts w:ascii="宋体" w:hAnsi="宋体"/>
          <w:b/>
          <w:sz w:val="24"/>
          <w:szCs w:val="24"/>
        </w:rPr>
      </w:pPr>
      <w:r>
        <w:rPr>
          <w:rFonts w:hint="eastAsia" w:ascii="宋体" w:hAnsi="宋体"/>
          <w:b/>
          <w:sz w:val="24"/>
          <w:szCs w:val="24"/>
        </w:rPr>
        <w:t>17.6未按时解密的，视为投标文件撤回。</w:t>
      </w:r>
    </w:p>
    <w:p>
      <w:pPr>
        <w:snapToGrid w:val="0"/>
        <w:jc w:val="left"/>
        <w:rPr>
          <w:rFonts w:ascii="宋体" w:hAnsi="宋体"/>
          <w:b/>
          <w:sz w:val="24"/>
          <w:szCs w:val="24"/>
        </w:rPr>
      </w:pPr>
      <w:r>
        <w:rPr>
          <w:rFonts w:hint="eastAsia" w:ascii="宋体" w:hAnsi="宋体"/>
          <w:b/>
          <w:sz w:val="24"/>
          <w:szCs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21"/>
        <w:snapToGrid w:val="0"/>
        <w:spacing w:after="0"/>
        <w:ind w:left="0" w:leftChars="0" w:firstLine="470"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18.1.6投标文件的资格文件、商务技术文件内容含有报价的内容；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2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2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2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pStyle w:val="3"/>
        <w:spacing w:line="360" w:lineRule="exact"/>
        <w:jc w:val="center"/>
        <w:rPr>
          <w:rFonts w:ascii="宋体" w:hAnsi="宋体" w:eastAsia="宋体"/>
          <w:sz w:val="28"/>
          <w:szCs w:val="28"/>
        </w:rPr>
      </w:pPr>
      <w:bookmarkStart w:id="31" w:name="_Toc125344507"/>
      <w:r>
        <w:rPr>
          <w:rFonts w:hint="eastAsia" w:ascii="宋体" w:hAnsi="宋体" w:eastAsia="宋体"/>
          <w:sz w:val="28"/>
          <w:szCs w:val="28"/>
        </w:rPr>
        <w:t>四、开  标</w:t>
      </w:r>
      <w:bookmarkEnd w:id="31"/>
    </w:p>
    <w:p>
      <w:pPr>
        <w:rPr>
          <w:rFonts w:ascii="宋体" w:hAnsi="宋体"/>
          <w:b/>
          <w:sz w:val="24"/>
        </w:rPr>
      </w:pPr>
      <w:r>
        <w:rPr>
          <w:rFonts w:hint="eastAsia" w:ascii="宋体" w:hAnsi="宋体"/>
          <w:b/>
          <w:bCs/>
          <w:sz w:val="24"/>
        </w:rPr>
        <w:t>19.</w:t>
      </w:r>
      <w:r>
        <w:rPr>
          <w:rFonts w:hint="eastAsia" w:ascii="宋体" w:hAnsi="宋体"/>
          <w:b/>
          <w:sz w:val="24"/>
        </w:rPr>
        <w:t>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rPr>
          <w:rFonts w:ascii="宋体" w:hAnsi="宋体"/>
          <w:b/>
          <w:sz w:val="24"/>
        </w:rPr>
      </w:pPr>
      <w:r>
        <w:rPr>
          <w:rFonts w:hint="eastAsia" w:ascii="宋体" w:hAnsi="宋体"/>
          <w:b/>
          <w:sz w:val="24"/>
        </w:rPr>
        <w:t>20.开标程序</w:t>
      </w:r>
    </w:p>
    <w:p>
      <w:pPr>
        <w:ind w:firstLine="480"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w:t>
      </w:r>
      <w:r>
        <w:rPr>
          <w:rFonts w:hint="eastAsia" w:ascii="宋体" w:hAnsi="宋体"/>
          <w:color w:val="auto"/>
          <w:kern w:val="2"/>
          <w:sz w:val="24"/>
          <w:szCs w:val="24"/>
        </w:rPr>
        <w:t>采购人或委托采购代理机构</w:t>
      </w:r>
      <w:r>
        <w:rPr>
          <w:rFonts w:hint="eastAsia" w:ascii="宋体" w:hAnsi="宋体"/>
          <w:sz w:val="24"/>
        </w:rPr>
        <w:t>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20.4评标委员会将根据招标文件和有关规定，履行评标工作职责，并按照评标方法及评分标准，对投标人技术响应文件进行评审；</w:t>
      </w:r>
    </w:p>
    <w:p>
      <w:pPr>
        <w:ind w:firstLine="480" w:firstLineChars="200"/>
        <w:rPr>
          <w:rFonts w:ascii="宋体" w:hAnsi="宋体"/>
          <w:sz w:val="24"/>
        </w:rPr>
      </w:pPr>
      <w:r>
        <w:rPr>
          <w:rFonts w:hint="eastAsia" w:ascii="宋体" w:hAnsi="宋体"/>
          <w:sz w:val="24"/>
        </w:rPr>
        <w:t>20.5对技术标有效的投标单位的投标报价在“政采云”平台上予以公开；</w:t>
      </w:r>
    </w:p>
    <w:p>
      <w:pPr>
        <w:ind w:firstLine="480" w:firstLineChars="200"/>
        <w:rPr>
          <w:rFonts w:ascii="宋体" w:hAnsi="宋体"/>
          <w:sz w:val="24"/>
        </w:rPr>
      </w:pPr>
      <w:r>
        <w:rPr>
          <w:rFonts w:hint="eastAsia" w:ascii="宋体" w:hAnsi="宋体"/>
          <w:sz w:val="24"/>
        </w:rPr>
        <w:t>20.6评标委员会对技术标有效的投标单位进行投标报价评审，确定投标报价评审有效投标单位；</w:t>
      </w:r>
    </w:p>
    <w:p>
      <w:pPr>
        <w:ind w:firstLine="480" w:firstLineChars="200"/>
        <w:rPr>
          <w:rFonts w:ascii="宋体" w:hAnsi="宋体"/>
          <w:sz w:val="24"/>
        </w:rPr>
      </w:pPr>
      <w:r>
        <w:rPr>
          <w:rFonts w:hint="eastAsia" w:ascii="宋体" w:hAnsi="宋体"/>
          <w:sz w:val="24"/>
        </w:rPr>
        <w:t>20.7对投标报价评审后有效的投标单位计算投标报价分和综合得分；</w:t>
      </w:r>
    </w:p>
    <w:p>
      <w:pPr>
        <w:ind w:firstLine="480" w:firstLineChars="200"/>
        <w:rPr>
          <w:rFonts w:ascii="宋体" w:hAnsi="宋体"/>
          <w:sz w:val="24"/>
        </w:rPr>
      </w:pPr>
      <w:r>
        <w:rPr>
          <w:rFonts w:hint="eastAsia" w:ascii="宋体" w:hAnsi="宋体"/>
          <w:sz w:val="24"/>
        </w:rPr>
        <w:t>20.8确定预中标人。</w:t>
      </w:r>
    </w:p>
    <w:p>
      <w:pPr>
        <w:ind w:firstLine="480" w:firstLineChars="200"/>
        <w:rPr>
          <w:rFonts w:ascii="宋体" w:hAnsi="宋体"/>
          <w:b/>
          <w:sz w:val="24"/>
        </w:rPr>
      </w:pPr>
      <w:r>
        <w:rPr>
          <w:rFonts w:hint="eastAsia" w:ascii="宋体" w:hAnsi="宋体"/>
          <w:b/>
          <w:sz w:val="24"/>
        </w:rPr>
        <w:t>特别说明：</w:t>
      </w:r>
    </w:p>
    <w:p>
      <w:pPr>
        <w:ind w:firstLine="480"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0"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0"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40"/>
        <w:ind w:firstLine="480" w:firstLineChars="200"/>
        <w:rPr>
          <w:rFonts w:ascii="宋体" w:hAnsi="宋体"/>
          <w:sz w:val="24"/>
        </w:rPr>
      </w:pPr>
      <w:r>
        <w:rPr>
          <w:rFonts w:hint="eastAsia" w:ascii="宋体" w:hAnsi="宋体"/>
          <w:sz w:val="24"/>
        </w:rPr>
        <w:t>（一）电子交易平台发生故障而无法登录访问的； </w:t>
      </w:r>
    </w:p>
    <w:p>
      <w:pPr>
        <w:pStyle w:val="4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40"/>
        <w:ind w:firstLine="480" w:firstLineChars="200"/>
        <w:rPr>
          <w:rFonts w:ascii="宋体" w:hAnsi="宋体"/>
          <w:sz w:val="24"/>
        </w:rPr>
      </w:pPr>
      <w:r>
        <w:rPr>
          <w:rFonts w:hint="eastAsia" w:ascii="宋体" w:hAnsi="宋体"/>
          <w:sz w:val="24"/>
        </w:rPr>
        <w:t>（三）电子交易平台发现严重安全漏洞，有潜在泄密危险的；</w:t>
      </w:r>
    </w:p>
    <w:p>
      <w:pPr>
        <w:pStyle w:val="40"/>
        <w:ind w:firstLine="480" w:firstLineChars="200"/>
        <w:rPr>
          <w:rFonts w:ascii="宋体" w:hAnsi="宋体"/>
          <w:sz w:val="24"/>
        </w:rPr>
      </w:pPr>
      <w:r>
        <w:rPr>
          <w:rFonts w:hint="eastAsia" w:ascii="宋体" w:hAnsi="宋体"/>
          <w:sz w:val="24"/>
        </w:rPr>
        <w:t>（四）病毒发作导致不能进行正常操作的； </w:t>
      </w:r>
    </w:p>
    <w:p>
      <w:pPr>
        <w:pStyle w:val="40"/>
        <w:ind w:firstLine="480" w:firstLineChars="200"/>
        <w:rPr>
          <w:rFonts w:ascii="宋体" w:hAnsi="宋体"/>
          <w:sz w:val="24"/>
        </w:rPr>
      </w:pPr>
      <w:r>
        <w:rPr>
          <w:rFonts w:hint="eastAsia" w:ascii="宋体" w:hAnsi="宋体"/>
          <w:sz w:val="24"/>
        </w:rPr>
        <w:t>（五）其他无法保证电子交易的公平、公正和安全的情况。</w:t>
      </w:r>
    </w:p>
    <w:p>
      <w:pPr>
        <w:pStyle w:val="4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pStyle w:val="3"/>
        <w:spacing w:line="360" w:lineRule="exact"/>
        <w:jc w:val="center"/>
        <w:rPr>
          <w:rFonts w:ascii="宋体" w:hAnsi="宋体" w:eastAsia="宋体"/>
          <w:sz w:val="28"/>
          <w:szCs w:val="28"/>
        </w:rPr>
      </w:pPr>
      <w:bookmarkStart w:id="32" w:name="_Toc125344508"/>
      <w:r>
        <w:rPr>
          <w:rFonts w:hint="eastAsia" w:ascii="宋体" w:hAnsi="宋体" w:eastAsia="宋体"/>
          <w:sz w:val="28"/>
          <w:szCs w:val="28"/>
        </w:rPr>
        <w:t xml:space="preserve"> 五、评　标</w:t>
      </w:r>
      <w:bookmarkEnd w:id="32"/>
    </w:p>
    <w:p>
      <w:pPr>
        <w:rPr>
          <w:rFonts w:ascii="宋体" w:hAnsi="宋体"/>
          <w:b/>
          <w:sz w:val="24"/>
        </w:rPr>
      </w:pPr>
      <w:r>
        <w:rPr>
          <w:rFonts w:hint="eastAsia" w:ascii="宋体" w:hAnsi="宋体"/>
          <w:b/>
          <w:sz w:val="24"/>
        </w:rPr>
        <w:t>21. 组建评标委员会</w:t>
      </w:r>
    </w:p>
    <w:p>
      <w:pPr>
        <w:pStyle w:val="40"/>
        <w:ind w:firstLine="480" w:firstLineChars="200"/>
        <w:rPr>
          <w:rFonts w:ascii="宋体" w:hAnsi="宋体"/>
          <w:sz w:val="24"/>
        </w:rPr>
      </w:pPr>
      <w:r>
        <w:rPr>
          <w:rFonts w:hint="eastAsia" w:ascii="宋体" w:hAnsi="宋体"/>
          <w:sz w:val="24"/>
        </w:rPr>
        <w:t>评标委员会按照有关规定组建。</w:t>
      </w:r>
    </w:p>
    <w:p>
      <w:pPr>
        <w:rPr>
          <w:rFonts w:ascii="宋体" w:hAnsi="宋体"/>
          <w:b/>
          <w:sz w:val="24"/>
        </w:rPr>
      </w:pPr>
      <w:r>
        <w:rPr>
          <w:rFonts w:hint="eastAsia" w:ascii="宋体" w:hAnsi="宋体"/>
          <w:b/>
          <w:sz w:val="24"/>
        </w:rPr>
        <w:t>22.评标原则</w:t>
      </w:r>
    </w:p>
    <w:p>
      <w:pPr>
        <w:pStyle w:val="40"/>
        <w:ind w:firstLine="480" w:firstLineChars="200"/>
        <w:rPr>
          <w:rFonts w:ascii="宋体" w:hAnsi="宋体"/>
          <w:sz w:val="24"/>
        </w:rPr>
      </w:pPr>
      <w:r>
        <w:rPr>
          <w:rFonts w:hint="eastAsia" w:ascii="宋体" w:hAnsi="宋体"/>
          <w:sz w:val="24"/>
        </w:rPr>
        <w:t>22.1评标委员会必须公平、公正、客观，不带任何倾向性和启发性；</w:t>
      </w:r>
    </w:p>
    <w:p>
      <w:pPr>
        <w:pStyle w:val="40"/>
        <w:ind w:firstLine="480" w:firstLineChars="200"/>
        <w:rPr>
          <w:rFonts w:ascii="宋体" w:hAnsi="宋体"/>
          <w:sz w:val="24"/>
        </w:rPr>
      </w:pPr>
      <w:r>
        <w:rPr>
          <w:rFonts w:hint="eastAsia" w:ascii="宋体" w:hAnsi="宋体"/>
          <w:sz w:val="24"/>
        </w:rPr>
        <w:t>22.2不得向外界透露任何与评标有关的内容；</w:t>
      </w:r>
    </w:p>
    <w:p>
      <w:pPr>
        <w:pStyle w:val="40"/>
        <w:ind w:firstLine="480" w:firstLineChars="200"/>
        <w:rPr>
          <w:rFonts w:ascii="宋体" w:hAnsi="宋体"/>
          <w:sz w:val="24"/>
        </w:rPr>
      </w:pPr>
      <w:r>
        <w:rPr>
          <w:rFonts w:hint="eastAsia" w:ascii="宋体" w:hAnsi="宋体"/>
          <w:sz w:val="24"/>
        </w:rPr>
        <w:t>22.3任何单位和个人不得干扰、影响评标的正常进行；</w:t>
      </w:r>
    </w:p>
    <w:p>
      <w:pPr>
        <w:pStyle w:val="40"/>
        <w:ind w:firstLine="480" w:firstLineChars="200"/>
        <w:rPr>
          <w:rFonts w:ascii="宋体" w:hAnsi="宋体"/>
          <w:sz w:val="24"/>
        </w:rPr>
      </w:pPr>
      <w:r>
        <w:rPr>
          <w:rFonts w:hint="eastAsia" w:ascii="宋体" w:hAnsi="宋体"/>
          <w:sz w:val="24"/>
        </w:rPr>
        <w:t>22.4评标委员会及有关工作人员不得私下与投标人接触。</w:t>
      </w:r>
    </w:p>
    <w:p>
      <w:pPr>
        <w:pStyle w:val="40"/>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0"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0"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sz w:val="24"/>
        </w:rPr>
      </w:pPr>
      <w:r>
        <w:rPr>
          <w:rFonts w:hint="eastAsia" w:ascii="宋体" w:hAnsi="宋体"/>
          <w:bCs/>
          <w:sz w:val="24"/>
        </w:rPr>
        <w:t>22.7</w:t>
      </w:r>
      <w:r>
        <w:rPr>
          <w:rFonts w:hint="eastAsia" w:ascii="宋体" w:hAnsi="宋体"/>
          <w:sz w:val="24"/>
        </w:rPr>
        <w:t>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27"/>
        <w:snapToGrid w:val="0"/>
        <w:ind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numPr>
          <w:ilvl w:val="0"/>
          <w:numId w:val="6"/>
        </w:numPr>
        <w:rPr>
          <w:rFonts w:ascii="宋体" w:hAnsi="宋体"/>
          <w:b/>
          <w:sz w:val="24"/>
        </w:rPr>
      </w:pPr>
      <w:r>
        <w:rPr>
          <w:rFonts w:hint="eastAsia" w:ascii="宋体" w:hAnsi="宋体"/>
          <w:b/>
          <w:sz w:val="24"/>
        </w:rPr>
        <w:t>评标程序</w:t>
      </w:r>
    </w:p>
    <w:p>
      <w:pPr>
        <w:pStyle w:val="2"/>
        <w:spacing w:before="0" w:after="0" w:line="240" w:lineRule="auto"/>
        <w:ind w:firstLine="480" w:firstLineChars="200"/>
        <w:rPr>
          <w:rFonts w:ascii="宋体" w:hAnsi="宋体"/>
          <w:b w:val="0"/>
          <w:kern w:val="0"/>
          <w:sz w:val="24"/>
        </w:rPr>
      </w:pPr>
      <w:r>
        <w:rPr>
          <w:rFonts w:hint="eastAsia" w:ascii="宋体" w:hAnsi="宋体"/>
          <w:bCs/>
          <w:sz w:val="24"/>
        </w:rPr>
        <w:t>23.1</w:t>
      </w:r>
      <w:r>
        <w:rPr>
          <w:rFonts w:hint="eastAsia" w:ascii="宋体" w:hAnsi="宋体"/>
          <w:bCs/>
          <w:kern w:val="0"/>
          <w:sz w:val="24"/>
        </w:rPr>
        <w:t>资格及形式审查</w:t>
      </w:r>
    </w:p>
    <w:p>
      <w:pPr>
        <w:ind w:firstLine="480" w:firstLineChars="200"/>
        <w:rPr>
          <w:rFonts w:ascii="宋体" w:hAnsi="宋体"/>
          <w:sz w:val="24"/>
        </w:rPr>
      </w:pPr>
      <w:r>
        <w:rPr>
          <w:rFonts w:hint="eastAsia" w:ascii="宋体" w:hAnsi="宋体"/>
          <w:color w:val="auto"/>
          <w:kern w:val="2"/>
          <w:sz w:val="24"/>
          <w:szCs w:val="24"/>
        </w:rPr>
        <w:t>采购人或委托采购代理机构对投标人资格进行审查</w:t>
      </w:r>
      <w:r>
        <w:rPr>
          <w:rFonts w:ascii="宋体" w:hAnsi="宋体"/>
          <w:sz w:val="24"/>
        </w:rPr>
        <w:t>。</w:t>
      </w:r>
    </w:p>
    <w:p>
      <w:pPr>
        <w:pStyle w:val="2"/>
        <w:spacing w:before="0" w:after="0" w:line="240" w:lineRule="auto"/>
        <w:ind w:firstLine="480" w:firstLineChars="200"/>
        <w:rPr>
          <w:rFonts w:hint="eastAsia" w:ascii="宋体" w:hAnsi="宋体"/>
          <w:b w:val="0"/>
          <w:kern w:val="0"/>
          <w:sz w:val="24"/>
        </w:rPr>
      </w:pPr>
      <w:r>
        <w:rPr>
          <w:rFonts w:hint="eastAsia" w:ascii="宋体" w:hAnsi="宋体"/>
          <w:bCs/>
          <w:sz w:val="24"/>
        </w:rPr>
        <w:t>23.2</w:t>
      </w:r>
      <w:r>
        <w:rPr>
          <w:rFonts w:hint="eastAsia" w:ascii="宋体" w:hAnsi="宋体"/>
          <w:bCs/>
          <w:kern w:val="0"/>
          <w:sz w:val="24"/>
        </w:rPr>
        <w:t>在评审专家中推选评标委员会组长</w:t>
      </w:r>
    </w:p>
    <w:p>
      <w:pPr>
        <w:snapToGrid w:val="0"/>
        <w:ind w:firstLine="470"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40"/>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40"/>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40"/>
        <w:ind w:firstLine="480"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40"/>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40"/>
        <w:ind w:firstLine="480" w:firstLineChars="200"/>
        <w:rPr>
          <w:rFonts w:ascii="宋体" w:hAnsi="宋体"/>
          <w:sz w:val="24"/>
        </w:rPr>
      </w:pPr>
      <w:r>
        <w:rPr>
          <w:rFonts w:hint="eastAsia" w:ascii="宋体" w:hAnsi="宋体"/>
          <w:sz w:val="24"/>
        </w:rPr>
        <w:t>23.3.5</w:t>
      </w:r>
      <w:r>
        <w:rPr>
          <w:rFonts w:ascii="宋体" w:hAnsi="宋体"/>
          <w:sz w:val="24"/>
        </w:rPr>
        <w:t>各投标人的技术得分为</w:t>
      </w:r>
      <w:r>
        <w:rPr>
          <w:rFonts w:hint="eastAsia" w:ascii="宋体" w:hAnsi="宋体"/>
          <w:sz w:val="24"/>
        </w:rPr>
        <w:t>所有</w:t>
      </w:r>
      <w:r>
        <w:rPr>
          <w:rFonts w:ascii="宋体" w:hAnsi="宋体"/>
          <w:sz w:val="24"/>
        </w:rPr>
        <w:t>评委的有效评分的算术平均数。</w:t>
      </w:r>
    </w:p>
    <w:p>
      <w:pPr>
        <w:pStyle w:val="40"/>
        <w:ind w:firstLine="480" w:firstLineChars="200"/>
        <w:rPr>
          <w:rFonts w:ascii="宋体" w:hAnsi="宋体"/>
          <w:sz w:val="24"/>
        </w:rPr>
      </w:pPr>
      <w:r>
        <w:rPr>
          <w:rFonts w:hint="eastAsia" w:ascii="宋体" w:hAnsi="宋体"/>
          <w:sz w:val="24"/>
        </w:rPr>
        <w:t>23.3.6</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40"/>
        <w:ind w:firstLine="480" w:firstLineChars="200"/>
        <w:rPr>
          <w:rFonts w:ascii="宋体" w:hAnsi="宋体"/>
          <w:b/>
          <w:sz w:val="24"/>
        </w:rPr>
      </w:pPr>
      <w:r>
        <w:rPr>
          <w:rFonts w:hint="eastAsia" w:ascii="宋体" w:hAnsi="宋体"/>
          <w:b/>
          <w:sz w:val="24"/>
        </w:rPr>
        <w:t>23.3.7评标委员会对明显不合理的投标报价，有权要求投标人在规定时间内提交说明，投标人不能提供的或提供的材料不能说明问题的，评标委员会可以判定其投标无效。</w:t>
      </w:r>
    </w:p>
    <w:p>
      <w:pPr>
        <w:pStyle w:val="40"/>
        <w:ind w:firstLine="480" w:firstLineChars="200"/>
        <w:rPr>
          <w:rFonts w:ascii="宋体" w:hAnsi="宋体"/>
          <w:sz w:val="24"/>
        </w:rPr>
      </w:pPr>
      <w:r>
        <w:rPr>
          <w:rFonts w:hint="eastAsia" w:ascii="宋体" w:hAnsi="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40"/>
        <w:ind w:firstLine="480" w:firstLineChars="200"/>
        <w:rPr>
          <w:rFonts w:ascii="宋体" w:hAnsi="宋体"/>
          <w:sz w:val="24"/>
        </w:rPr>
      </w:pPr>
      <w:r>
        <w:rPr>
          <w:rFonts w:hint="eastAsia" w:ascii="宋体" w:hAnsi="宋体"/>
          <w:sz w:val="24"/>
        </w:rPr>
        <w:t>23.3.9</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firstLineChars="200"/>
        <w:rPr>
          <w:rFonts w:ascii="宋体" w:hAnsi="宋体"/>
          <w:sz w:val="24"/>
          <w:szCs w:val="24"/>
        </w:rPr>
      </w:pPr>
      <w:r>
        <w:rPr>
          <w:rFonts w:hint="eastAsia" w:ascii="宋体" w:hAnsi="宋体"/>
          <w:bCs/>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rPr>
          <w:rFonts w:ascii="宋体" w:hAnsi="宋体"/>
          <w:b/>
          <w:sz w:val="24"/>
          <w:szCs w:val="24"/>
        </w:rPr>
      </w:pPr>
      <w:r>
        <w:rPr>
          <w:rFonts w:hint="eastAsia" w:ascii="宋体" w:hAnsi="宋体"/>
          <w:b/>
          <w:sz w:val="24"/>
          <w:szCs w:val="24"/>
        </w:rPr>
        <w:t>25.投标文件的澄清</w:t>
      </w:r>
    </w:p>
    <w:p>
      <w:pPr>
        <w:spacing w:line="360" w:lineRule="exact"/>
        <w:ind w:firstLine="480" w:firstLineChars="200"/>
        <w:rPr>
          <w:rFonts w:ascii="宋体" w:hAnsi="宋体"/>
          <w:sz w:val="24"/>
        </w:rPr>
      </w:pPr>
      <w:r>
        <w:rPr>
          <w:rFonts w:hint="eastAsia" w:ascii="宋体" w:hAnsi="宋体"/>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27"/>
        <w:snapToGrid w:val="0"/>
        <w:ind w:left="718" w:leftChars="228" w:hanging="240" w:hangingChars="100"/>
        <w:rPr>
          <w:rFonts w:ascii="宋体" w:hAnsi="宋体"/>
          <w:b/>
        </w:rPr>
      </w:pPr>
      <w:r>
        <w:rPr>
          <w:rFonts w:hint="eastAsia" w:ascii="宋体" w:hAnsi="宋体"/>
          <w:b/>
        </w:rPr>
        <w:t>26.</w:t>
      </w:r>
      <w:r>
        <w:rPr>
          <w:rFonts w:ascii="宋体" w:hAnsi="宋体"/>
          <w:b/>
        </w:rPr>
        <w:t>错误修正</w:t>
      </w:r>
    </w:p>
    <w:p>
      <w:pPr>
        <w:pStyle w:val="40"/>
        <w:ind w:firstLine="480" w:firstLineChars="200"/>
        <w:rPr>
          <w:rFonts w:ascii="宋体" w:hAnsi="宋体"/>
          <w:sz w:val="24"/>
        </w:rPr>
      </w:pPr>
      <w:r>
        <w:rPr>
          <w:rFonts w:hint="eastAsia" w:ascii="宋体" w:hAnsi="宋体"/>
          <w:sz w:val="24"/>
        </w:rPr>
        <w:t>投标文件报价出现前后不一致的，按照下列规定修正：</w:t>
      </w:r>
    </w:p>
    <w:p>
      <w:pPr>
        <w:pStyle w:val="40"/>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40"/>
        <w:ind w:firstLine="480" w:firstLineChars="200"/>
        <w:rPr>
          <w:rFonts w:ascii="宋体" w:hAnsi="宋体"/>
          <w:sz w:val="24"/>
        </w:rPr>
      </w:pPr>
      <w:r>
        <w:rPr>
          <w:rFonts w:hint="eastAsia" w:ascii="宋体" w:hAnsi="宋体"/>
          <w:sz w:val="24"/>
        </w:rPr>
        <w:t>26.2大写金额和小写金额不一致的，以大写金额为准。</w:t>
      </w:r>
    </w:p>
    <w:p>
      <w:pPr>
        <w:pStyle w:val="40"/>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40"/>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40"/>
        <w:ind w:firstLine="480" w:firstLineChars="200"/>
        <w:rPr>
          <w:rFonts w:ascii="宋体" w:hAnsi="宋体"/>
          <w:sz w:val="24"/>
        </w:rPr>
      </w:pPr>
      <w:r>
        <w:rPr>
          <w:rFonts w:hint="eastAsia" w:ascii="宋体" w:hAnsi="宋体"/>
          <w:sz w:val="24"/>
        </w:rPr>
        <w:t>同时出现两种以上不一致的，按照上述规定的顺序修正。</w:t>
      </w:r>
    </w:p>
    <w:p>
      <w:pPr>
        <w:pStyle w:val="40"/>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pStyle w:val="40"/>
        <w:ind w:firstLine="480" w:firstLineChars="200"/>
        <w:rPr>
          <w:rFonts w:ascii="宋体" w:hAnsi="宋体"/>
          <w:b/>
          <w:sz w:val="24"/>
        </w:rPr>
      </w:pPr>
      <w:r>
        <w:rPr>
          <w:rFonts w:hint="eastAsia" w:ascii="宋体" w:hAnsi="宋体"/>
          <w:b/>
          <w:sz w:val="24"/>
        </w:rPr>
        <w:t>27.评标办法。</w:t>
      </w:r>
    </w:p>
    <w:p>
      <w:pPr>
        <w:pStyle w:val="40"/>
        <w:ind w:firstLine="480" w:firstLineChars="200"/>
        <w:rPr>
          <w:rFonts w:ascii="宋体" w:hAnsi="宋体"/>
          <w:sz w:val="24"/>
          <w:u w:val="single"/>
        </w:rPr>
      </w:pPr>
      <w:r>
        <w:rPr>
          <w:rFonts w:hint="eastAsia" w:ascii="宋体" w:hAnsi="宋体"/>
          <w:sz w:val="24"/>
        </w:rPr>
        <w:t>本项目评标办法是综合评分法，具体评标内容及评分标准等详见《第三章：评标办法及评分标准》。</w:t>
      </w:r>
    </w:p>
    <w:p>
      <w:pPr>
        <w:ind w:firstLine="480" w:firstLineChars="200"/>
        <w:rPr>
          <w:rFonts w:ascii="宋体" w:hAnsi="宋体"/>
          <w:b/>
          <w:sz w:val="24"/>
        </w:rPr>
      </w:pPr>
      <w:r>
        <w:rPr>
          <w:rFonts w:hint="eastAsia" w:ascii="宋体" w:hAnsi="宋体"/>
          <w:b/>
          <w:sz w:val="24"/>
        </w:rPr>
        <w:t>28.</w:t>
      </w:r>
      <w:r>
        <w:rPr>
          <w:rFonts w:hint="eastAsia" w:ascii="宋体" w:hAnsi="宋体"/>
          <w:b/>
          <w:bCs/>
          <w:sz w:val="24"/>
        </w:rPr>
        <w:t>评标过程的保密</w:t>
      </w:r>
    </w:p>
    <w:p>
      <w:pPr>
        <w:pStyle w:val="40"/>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40"/>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40"/>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pStyle w:val="3"/>
        <w:spacing w:line="360" w:lineRule="exact"/>
        <w:jc w:val="center"/>
        <w:rPr>
          <w:rFonts w:ascii="宋体" w:hAnsi="宋体" w:eastAsia="宋体"/>
          <w:sz w:val="28"/>
          <w:szCs w:val="28"/>
        </w:rPr>
      </w:pPr>
      <w:bookmarkStart w:id="33" w:name="_Toc125344509"/>
      <w:r>
        <w:rPr>
          <w:rFonts w:hint="eastAsia" w:ascii="宋体" w:hAnsi="宋体" w:eastAsia="宋体"/>
          <w:sz w:val="28"/>
          <w:szCs w:val="28"/>
        </w:rPr>
        <w:t>六、</w:t>
      </w:r>
      <w:bookmarkEnd w:id="33"/>
      <w:r>
        <w:rPr>
          <w:rFonts w:hint="eastAsia" w:ascii="宋体" w:hAnsi="宋体" w:eastAsia="宋体"/>
          <w:sz w:val="28"/>
          <w:szCs w:val="28"/>
        </w:rPr>
        <w:t>定标</w:t>
      </w:r>
    </w:p>
    <w:p>
      <w:pPr>
        <w:pStyle w:val="40"/>
        <w:ind w:firstLine="480" w:firstLineChars="200"/>
        <w:rPr>
          <w:rFonts w:ascii="宋体" w:hAnsi="宋体"/>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40"/>
        <w:ind w:firstLine="480"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napToGrid w:val="0"/>
        <w:ind w:firstLine="470" w:firstLineChars="196"/>
        <w:rPr>
          <w:rFonts w:ascii="宋体" w:hAnsi="宋体"/>
          <w:b/>
          <w:bCs/>
          <w:sz w:val="24"/>
        </w:rPr>
      </w:pPr>
      <w:r>
        <w:rPr>
          <w:rFonts w:hint="eastAsia" w:ascii="宋体" w:hAnsi="宋体"/>
          <w:b/>
          <w:bCs/>
          <w:sz w:val="24"/>
        </w:rPr>
        <w:t>31. 中标无效情形</w:t>
      </w:r>
    </w:p>
    <w:p>
      <w:pPr>
        <w:pStyle w:val="40"/>
        <w:ind w:firstLine="480" w:firstLineChars="200"/>
        <w:rPr>
          <w:rFonts w:ascii="宋体" w:hAnsi="宋体"/>
          <w:sz w:val="24"/>
        </w:rPr>
      </w:pPr>
      <w:r>
        <w:rPr>
          <w:rFonts w:hint="eastAsia" w:ascii="宋体" w:hAnsi="宋体"/>
          <w:sz w:val="24"/>
        </w:rPr>
        <w:t>中标人存在下列情形之一的，中标无效：</w:t>
      </w:r>
    </w:p>
    <w:p>
      <w:pPr>
        <w:pStyle w:val="40"/>
        <w:ind w:firstLine="480" w:firstLineChars="200"/>
        <w:rPr>
          <w:rFonts w:ascii="宋体" w:hAnsi="宋体"/>
          <w:sz w:val="24"/>
        </w:rPr>
      </w:pPr>
      <w:r>
        <w:rPr>
          <w:rFonts w:hint="eastAsia" w:ascii="宋体" w:hAnsi="宋体"/>
          <w:sz w:val="24"/>
        </w:rPr>
        <w:t>31.1提供虚假材料谋取中标的；</w:t>
      </w:r>
    </w:p>
    <w:p>
      <w:pPr>
        <w:pStyle w:val="40"/>
        <w:ind w:firstLine="480" w:firstLineChars="200"/>
        <w:rPr>
          <w:rFonts w:ascii="宋体" w:hAnsi="宋体"/>
          <w:sz w:val="24"/>
        </w:rPr>
      </w:pPr>
      <w:r>
        <w:rPr>
          <w:rFonts w:hint="eastAsia" w:ascii="宋体" w:hAnsi="宋体"/>
          <w:sz w:val="24"/>
        </w:rPr>
        <w:t>31.2采取不正当手段诋毁、排挤其他投标人的；</w:t>
      </w:r>
    </w:p>
    <w:p>
      <w:pPr>
        <w:pStyle w:val="40"/>
        <w:ind w:firstLine="480" w:firstLineChars="200"/>
        <w:rPr>
          <w:rFonts w:ascii="宋体" w:hAnsi="宋体"/>
          <w:sz w:val="24"/>
        </w:rPr>
      </w:pPr>
      <w:r>
        <w:rPr>
          <w:rFonts w:hint="eastAsia" w:ascii="宋体" w:hAnsi="宋体"/>
          <w:sz w:val="24"/>
        </w:rPr>
        <w:t>31.3与采购人、其他投标人恶意串通的；</w:t>
      </w:r>
    </w:p>
    <w:p>
      <w:pPr>
        <w:pStyle w:val="40"/>
        <w:ind w:firstLine="480" w:firstLineChars="200"/>
        <w:rPr>
          <w:rFonts w:ascii="宋体" w:hAnsi="宋体"/>
          <w:sz w:val="24"/>
        </w:rPr>
      </w:pPr>
      <w:r>
        <w:rPr>
          <w:rFonts w:hint="eastAsia" w:ascii="宋体" w:hAnsi="宋体"/>
          <w:sz w:val="24"/>
        </w:rPr>
        <w:t>31.4向采购人、采购代理机构行贿或者提供其他不正当利益的；</w:t>
      </w:r>
    </w:p>
    <w:p>
      <w:pPr>
        <w:pStyle w:val="40"/>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40"/>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napToGrid w:val="0"/>
        <w:ind w:firstLine="470" w:firstLineChars="196"/>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投标截止时间及评审期间，出现有效供应商不足3家的，本项目流标，重新组织采购</w:t>
      </w:r>
      <w:r>
        <w:rPr>
          <w:rFonts w:ascii="宋体" w:hAnsi="宋体"/>
          <w:sz w:val="24"/>
        </w:rPr>
        <w:t>。</w:t>
      </w:r>
    </w:p>
    <w:p>
      <w:pPr>
        <w:pStyle w:val="3"/>
        <w:spacing w:line="360" w:lineRule="exact"/>
        <w:jc w:val="center"/>
        <w:rPr>
          <w:rFonts w:ascii="宋体" w:hAnsi="宋体" w:eastAsia="宋体"/>
          <w:sz w:val="28"/>
          <w:szCs w:val="28"/>
        </w:rPr>
      </w:pPr>
      <w:r>
        <w:rPr>
          <w:rFonts w:hint="eastAsia" w:ascii="宋体" w:hAnsi="宋体" w:eastAsia="宋体"/>
          <w:sz w:val="28"/>
          <w:szCs w:val="28"/>
        </w:rPr>
        <w:t>七、授予合同</w:t>
      </w:r>
    </w:p>
    <w:p>
      <w:pPr>
        <w:snapToGrid w:val="0"/>
        <w:ind w:firstLine="470" w:firstLineChars="196"/>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0"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napToGrid w:val="0"/>
        <w:ind w:firstLine="470" w:firstLineChars="196"/>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napToGrid w:val="0"/>
        <w:ind w:firstLine="470" w:firstLineChars="196"/>
        <w:rPr>
          <w:rFonts w:ascii="宋体" w:hAnsi="宋体"/>
          <w:b/>
          <w:bCs/>
          <w:sz w:val="24"/>
        </w:rPr>
      </w:pPr>
      <w:r>
        <w:rPr>
          <w:rFonts w:hint="eastAsia" w:ascii="宋体" w:hAnsi="宋体"/>
          <w:b/>
          <w:bCs/>
          <w:sz w:val="24"/>
        </w:rPr>
        <w:t>35.合同备案</w:t>
      </w:r>
    </w:p>
    <w:p>
      <w:pPr>
        <w:ind w:firstLine="480" w:firstLineChars="200"/>
        <w:rPr>
          <w:rFonts w:hint="eastAsia"/>
          <w:sz w:val="24"/>
        </w:rPr>
      </w:pPr>
      <w:r>
        <w:rPr>
          <w:rFonts w:hint="eastAsia"/>
          <w:sz w:val="24"/>
        </w:rPr>
        <w:t>采购人应当自采购合同签订之日起七个工作日内，按照有关规定通过政采云系统将采购合同进行网上备案。</w:t>
      </w:r>
    </w:p>
    <w:p>
      <w:pPr>
        <w:ind w:firstLine="480" w:firstLineChars="200"/>
        <w:rPr>
          <w:rFonts w:hint="eastAsia"/>
          <w:sz w:val="24"/>
        </w:rPr>
      </w:pPr>
      <w:r>
        <w:rPr>
          <w:rFonts w:hint="eastAsia"/>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ind w:firstLine="480" w:firstLineChars="200"/>
        <w:rPr>
          <w:sz w:val="24"/>
        </w:rPr>
      </w:pPr>
    </w:p>
    <w:p>
      <w:pPr>
        <w:pStyle w:val="27"/>
        <w:tabs>
          <w:tab w:val="left" w:pos="900"/>
        </w:tabs>
        <w:spacing w:line="360" w:lineRule="exact"/>
        <w:jc w:val="center"/>
        <w:rPr>
          <w:rFonts w:hAnsi="宋体"/>
          <w:b/>
          <w:szCs w:val="24"/>
        </w:rPr>
      </w:pPr>
      <w:bookmarkStart w:id="34" w:name="_Toc352165696"/>
      <w:bookmarkStart w:id="35" w:name="_Toc339459646"/>
      <w:r>
        <w:rPr>
          <w:rFonts w:hint="eastAsia" w:hAnsi="宋体"/>
          <w:b/>
          <w:szCs w:val="24"/>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pStyle w:val="3"/>
        <w:spacing w:before="0" w:after="0" w:line="240" w:lineRule="auto"/>
        <w:ind w:firstLine="560" w:firstLineChars="200"/>
        <w:jc w:val="center"/>
        <w:rPr>
          <w:rFonts w:ascii="宋体" w:hAnsi="宋体" w:eastAsia="宋体"/>
          <w:sz w:val="28"/>
          <w:szCs w:val="28"/>
        </w:rPr>
      </w:pPr>
      <w:r>
        <w:rPr>
          <w:rFonts w:hint="eastAsia" w:ascii="宋体" w:hAnsi="宋体" w:eastAsia="宋体"/>
          <w:sz w:val="28"/>
          <w:szCs w:val="28"/>
        </w:rPr>
        <w:t>九、不良行为记录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5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pPr>
              <w:jc w:val="center"/>
              <w:rPr>
                <w:rFonts w:ascii="宋体" w:hAnsi="宋体"/>
                <w:b/>
                <w:bCs/>
                <w:sz w:val="24"/>
              </w:rPr>
            </w:pPr>
            <w:r>
              <w:rPr>
                <w:rFonts w:hint="eastAsia" w:ascii="宋体" w:hAnsi="宋体"/>
                <w:b/>
                <w:bCs/>
                <w:sz w:val="24"/>
              </w:rPr>
              <w:t>序号</w:t>
            </w:r>
          </w:p>
        </w:tc>
        <w:tc>
          <w:tcPr>
            <w:tcW w:w="6433" w:type="dxa"/>
            <w:noWrap w:val="0"/>
            <w:vAlign w:val="center"/>
          </w:tcPr>
          <w:p>
            <w:pPr>
              <w:jc w:val="center"/>
              <w:rPr>
                <w:rFonts w:ascii="宋体" w:hAnsi="宋体"/>
                <w:b/>
                <w:bCs/>
                <w:sz w:val="24"/>
              </w:rPr>
            </w:pPr>
            <w:r>
              <w:rPr>
                <w:rFonts w:hint="eastAsia" w:ascii="宋体" w:hAnsi="宋体"/>
                <w:b/>
                <w:bCs/>
                <w:sz w:val="24"/>
              </w:rPr>
              <w:t>不良行为</w:t>
            </w:r>
          </w:p>
        </w:tc>
        <w:tc>
          <w:tcPr>
            <w:tcW w:w="1326" w:type="dxa"/>
            <w:noWrap w:val="0"/>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1</w:t>
            </w:r>
          </w:p>
        </w:tc>
        <w:tc>
          <w:tcPr>
            <w:tcW w:w="6433" w:type="dxa"/>
            <w:noWrap w:val="0"/>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2</w:t>
            </w:r>
          </w:p>
        </w:tc>
        <w:tc>
          <w:tcPr>
            <w:tcW w:w="6433" w:type="dxa"/>
            <w:noWrap w:val="0"/>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3</w:t>
            </w:r>
          </w:p>
        </w:tc>
        <w:tc>
          <w:tcPr>
            <w:tcW w:w="6433" w:type="dxa"/>
            <w:noWrap w:val="0"/>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4</w:t>
            </w:r>
          </w:p>
        </w:tc>
        <w:tc>
          <w:tcPr>
            <w:tcW w:w="6433" w:type="dxa"/>
            <w:noWrap w:val="0"/>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5</w:t>
            </w:r>
          </w:p>
        </w:tc>
        <w:tc>
          <w:tcPr>
            <w:tcW w:w="6433" w:type="dxa"/>
            <w:noWrap w:val="0"/>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6</w:t>
            </w:r>
          </w:p>
        </w:tc>
        <w:tc>
          <w:tcPr>
            <w:tcW w:w="6433" w:type="dxa"/>
            <w:noWrap w:val="0"/>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7</w:t>
            </w:r>
          </w:p>
        </w:tc>
        <w:tc>
          <w:tcPr>
            <w:tcW w:w="6433" w:type="dxa"/>
            <w:noWrap w:val="0"/>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8</w:t>
            </w:r>
          </w:p>
        </w:tc>
        <w:tc>
          <w:tcPr>
            <w:tcW w:w="6433" w:type="dxa"/>
            <w:noWrap w:val="0"/>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9</w:t>
            </w:r>
          </w:p>
        </w:tc>
        <w:tc>
          <w:tcPr>
            <w:tcW w:w="6433" w:type="dxa"/>
            <w:noWrap w:val="0"/>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10</w:t>
            </w:r>
          </w:p>
        </w:tc>
        <w:tc>
          <w:tcPr>
            <w:tcW w:w="6433" w:type="dxa"/>
            <w:noWrap w:val="0"/>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11</w:t>
            </w:r>
          </w:p>
        </w:tc>
        <w:tc>
          <w:tcPr>
            <w:tcW w:w="6433" w:type="dxa"/>
            <w:noWrap w:val="0"/>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12</w:t>
            </w:r>
          </w:p>
        </w:tc>
        <w:tc>
          <w:tcPr>
            <w:tcW w:w="6433" w:type="dxa"/>
            <w:noWrap w:val="0"/>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13</w:t>
            </w:r>
          </w:p>
        </w:tc>
        <w:tc>
          <w:tcPr>
            <w:tcW w:w="6433" w:type="dxa"/>
            <w:noWrap w:val="0"/>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14</w:t>
            </w:r>
          </w:p>
        </w:tc>
        <w:tc>
          <w:tcPr>
            <w:tcW w:w="6433" w:type="dxa"/>
            <w:noWrap w:val="0"/>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15</w:t>
            </w:r>
          </w:p>
        </w:tc>
        <w:tc>
          <w:tcPr>
            <w:tcW w:w="6433" w:type="dxa"/>
            <w:noWrap w:val="0"/>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16</w:t>
            </w:r>
          </w:p>
        </w:tc>
        <w:tc>
          <w:tcPr>
            <w:tcW w:w="6433" w:type="dxa"/>
            <w:noWrap w:val="0"/>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17</w:t>
            </w:r>
          </w:p>
        </w:tc>
        <w:tc>
          <w:tcPr>
            <w:tcW w:w="6433" w:type="dxa"/>
            <w:noWrap w:val="0"/>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18</w:t>
            </w:r>
          </w:p>
        </w:tc>
        <w:tc>
          <w:tcPr>
            <w:tcW w:w="6433" w:type="dxa"/>
            <w:noWrap w:val="0"/>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19</w:t>
            </w:r>
          </w:p>
        </w:tc>
        <w:tc>
          <w:tcPr>
            <w:tcW w:w="6433" w:type="dxa"/>
            <w:noWrap w:val="0"/>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20</w:t>
            </w:r>
          </w:p>
        </w:tc>
        <w:tc>
          <w:tcPr>
            <w:tcW w:w="6433" w:type="dxa"/>
            <w:noWrap w:val="0"/>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21</w:t>
            </w:r>
          </w:p>
        </w:tc>
        <w:tc>
          <w:tcPr>
            <w:tcW w:w="6433" w:type="dxa"/>
            <w:noWrap w:val="0"/>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22</w:t>
            </w:r>
          </w:p>
        </w:tc>
        <w:tc>
          <w:tcPr>
            <w:tcW w:w="6433" w:type="dxa"/>
            <w:noWrap w:val="0"/>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23</w:t>
            </w:r>
          </w:p>
        </w:tc>
        <w:tc>
          <w:tcPr>
            <w:tcW w:w="6433" w:type="dxa"/>
            <w:noWrap w:val="0"/>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24</w:t>
            </w:r>
          </w:p>
        </w:tc>
        <w:tc>
          <w:tcPr>
            <w:tcW w:w="6433" w:type="dxa"/>
            <w:noWrap w:val="0"/>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25</w:t>
            </w:r>
          </w:p>
        </w:tc>
        <w:tc>
          <w:tcPr>
            <w:tcW w:w="6433" w:type="dxa"/>
            <w:noWrap w:val="0"/>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26</w:t>
            </w:r>
          </w:p>
        </w:tc>
        <w:tc>
          <w:tcPr>
            <w:tcW w:w="6433" w:type="dxa"/>
            <w:noWrap w:val="0"/>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noWrap w:val="0"/>
            <w:vAlign w:val="center"/>
          </w:tcPr>
          <w:p>
            <w:pPr>
              <w:jc w:val="center"/>
              <w:rPr>
                <w:rFonts w:ascii="宋体" w:hAnsi="宋体"/>
                <w:sz w:val="24"/>
              </w:rPr>
            </w:pPr>
            <w:r>
              <w:rPr>
                <w:rFonts w:hint="eastAsia" w:ascii="宋体" w:hAnsi="宋体"/>
                <w:sz w:val="24"/>
              </w:rPr>
              <w:t>酌情处理</w:t>
            </w:r>
          </w:p>
        </w:tc>
      </w:tr>
    </w:tbl>
    <w:p>
      <w:pPr>
        <w:jc w:val="center"/>
        <w:rPr>
          <w:rFonts w:hint="eastAsia" w:ascii="宋体" w:hAnsi="宋体"/>
          <w:b/>
          <w:color w:val="auto"/>
          <w:sz w:val="28"/>
          <w:szCs w:val="28"/>
        </w:rPr>
      </w:pPr>
      <w:r>
        <w:rPr>
          <w:rFonts w:hint="eastAsia" w:ascii="宋体" w:hAnsi="宋体"/>
          <w:b/>
          <w:color w:val="auto"/>
          <w:sz w:val="28"/>
          <w:szCs w:val="28"/>
        </w:rPr>
        <w:t>十、监督和解释</w:t>
      </w:r>
      <w:bookmarkEnd w:id="28"/>
    </w:p>
    <w:p>
      <w:pPr>
        <w:ind w:firstLine="480"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0"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hint="eastAsia"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第三章   评标办法及评分标准</w:t>
      </w:r>
    </w:p>
    <w:p>
      <w:pPr>
        <w:ind w:firstLine="480" w:firstLineChars="200"/>
        <w:rPr>
          <w:rFonts w:hint="eastAsia" w:ascii="宋体" w:hAnsi="宋体"/>
          <w:color w:val="auto"/>
          <w:sz w:val="24"/>
          <w:u w:val="single"/>
        </w:rPr>
      </w:pPr>
      <w:r>
        <w:rPr>
          <w:rFonts w:hint="eastAsia" w:ascii="宋体" w:hAnsi="宋体"/>
          <w:color w:val="auto"/>
          <w:sz w:val="24"/>
        </w:rPr>
        <w:t>1、采用</w:t>
      </w:r>
      <w:r>
        <w:rPr>
          <w:rFonts w:hint="eastAsia" w:ascii="宋体" w:hAnsi="宋体"/>
          <w:color w:val="auto"/>
          <w:sz w:val="24"/>
          <w:u w:val="single"/>
        </w:rPr>
        <w:t>　综合评分法　</w:t>
      </w:r>
      <w:r>
        <w:rPr>
          <w:rFonts w:hint="eastAsia" w:ascii="宋体" w:hAnsi="宋体"/>
          <w:color w:val="auto"/>
          <w:sz w:val="24"/>
        </w:rPr>
        <w:t>。即在符合招标文件要求的前提下，择定最高得分者为第一中标候选人，即预中标人。</w:t>
      </w:r>
    </w:p>
    <w:p>
      <w:pPr>
        <w:ind w:firstLine="480" w:firstLineChars="200"/>
        <w:rPr>
          <w:rFonts w:hint="eastAsia" w:ascii="宋体" w:hAnsi="宋体"/>
          <w:color w:val="auto"/>
          <w:sz w:val="24"/>
        </w:rPr>
      </w:pPr>
      <w:r>
        <w:rPr>
          <w:rFonts w:hint="eastAsia" w:ascii="宋体" w:hAnsi="宋体"/>
          <w:color w:val="auto"/>
          <w:sz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bCs/>
          <w:color w:val="auto"/>
          <w:sz w:val="24"/>
        </w:rPr>
        <w:t>评分过程中采用四舍五入</w:t>
      </w:r>
      <w:r>
        <w:rPr>
          <w:rFonts w:hint="eastAsia" w:ascii="宋体" w:hAnsi="宋体"/>
          <w:color w:val="auto"/>
          <w:sz w:val="24"/>
        </w:rPr>
        <w:t>法，并保留小数2位。</w:t>
      </w:r>
    </w:p>
    <w:p>
      <w:pPr>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评分办法</w:t>
      </w:r>
    </w:p>
    <w:p>
      <w:pPr>
        <w:spacing w:line="400" w:lineRule="exact"/>
        <w:ind w:firstLine="480" w:firstLineChars="200"/>
        <w:rPr>
          <w:rFonts w:ascii="宋体" w:hAnsi="宋体"/>
          <w:color w:val="auto"/>
          <w:sz w:val="24"/>
        </w:rPr>
      </w:pPr>
      <w:bookmarkStart w:id="36" w:name="_Toc125344512"/>
      <w:r>
        <w:rPr>
          <w:rFonts w:hint="eastAsia" w:ascii="宋体" w:hAnsi="宋体"/>
          <w:color w:val="auto"/>
          <w:sz w:val="24"/>
        </w:rPr>
        <w:t>（1）满分为100分。总得分=商务技术得分+报价得分；</w:t>
      </w:r>
    </w:p>
    <w:p>
      <w:pPr>
        <w:spacing w:line="400" w:lineRule="exact"/>
        <w:ind w:firstLine="480" w:firstLineChars="200"/>
        <w:rPr>
          <w:rFonts w:ascii="宋体" w:hAnsi="宋体"/>
          <w:color w:val="auto"/>
          <w:sz w:val="24"/>
        </w:rPr>
      </w:pPr>
      <w:r>
        <w:rPr>
          <w:rFonts w:hint="eastAsia" w:ascii="宋体" w:hAnsi="宋体"/>
          <w:color w:val="auto"/>
          <w:sz w:val="24"/>
        </w:rPr>
        <w:t>（2）商务</w:t>
      </w:r>
      <w:r>
        <w:rPr>
          <w:rFonts w:ascii="宋体" w:hAnsi="宋体"/>
          <w:color w:val="auto"/>
          <w:sz w:val="24"/>
        </w:rPr>
        <w:t>技术得分=</w:t>
      </w:r>
      <w:r>
        <w:rPr>
          <w:rFonts w:hint="eastAsia" w:ascii="宋体" w:hAnsi="宋体"/>
          <w:color w:val="auto"/>
          <w:sz w:val="24"/>
        </w:rPr>
        <w:t>商务</w:t>
      </w:r>
      <w:r>
        <w:rPr>
          <w:rFonts w:ascii="宋体" w:hAnsi="宋体"/>
          <w:color w:val="auto"/>
          <w:sz w:val="24"/>
        </w:rPr>
        <w:t>技术评分</w:t>
      </w:r>
      <w:r>
        <w:rPr>
          <w:rFonts w:hint="eastAsia" w:ascii="宋体" w:hAnsi="宋体"/>
          <w:color w:val="auto"/>
          <w:sz w:val="24"/>
        </w:rPr>
        <w:t>，商务</w:t>
      </w:r>
      <w:r>
        <w:rPr>
          <w:rFonts w:ascii="宋体" w:hAnsi="宋体"/>
          <w:color w:val="auto"/>
          <w:sz w:val="24"/>
        </w:rPr>
        <w:t>技术评分=</w:t>
      </w:r>
      <w:r>
        <w:rPr>
          <w:rFonts w:hint="eastAsia" w:ascii="宋体" w:hAnsi="宋体"/>
          <w:color w:val="auto"/>
          <w:sz w:val="24"/>
        </w:rPr>
        <w:t>所有</w:t>
      </w:r>
      <w:r>
        <w:rPr>
          <w:rFonts w:ascii="宋体" w:hAnsi="宋体"/>
          <w:color w:val="auto"/>
          <w:sz w:val="24"/>
        </w:rPr>
        <w:t>评委有效评分算术平均数。</w:t>
      </w:r>
    </w:p>
    <w:p>
      <w:pPr>
        <w:spacing w:line="400" w:lineRule="exact"/>
        <w:ind w:firstLine="480" w:firstLineChars="200"/>
        <w:outlineLvl w:val="0"/>
        <w:rPr>
          <w:rFonts w:ascii="宋体" w:hAnsi="宋体" w:cs="宋体"/>
          <w:sz w:val="24"/>
        </w:rPr>
      </w:pPr>
      <w:r>
        <w:rPr>
          <w:rFonts w:hint="eastAsia" w:ascii="宋体" w:hAnsi="宋体"/>
          <w:color w:val="auto"/>
          <w:sz w:val="24"/>
        </w:rPr>
        <w:t>（3）报价得分=</w:t>
      </w:r>
      <w:r>
        <w:rPr>
          <w:rFonts w:hint="eastAsia" w:ascii="宋体" w:hAnsi="宋体" w:cs="宋体"/>
          <w:sz w:val="24"/>
        </w:rPr>
        <w:t>（评标基准价/投标报价）*价格权值*100，评标基准价=最低有效投标报价，价格权值=30%。</w:t>
      </w:r>
    </w:p>
    <w:p>
      <w:pPr>
        <w:spacing w:line="300" w:lineRule="exact"/>
        <w:ind w:firstLine="480" w:firstLineChars="200"/>
        <w:rPr>
          <w:rFonts w:hint="eastAsia" w:ascii="宋体" w:hAnsi="宋体"/>
          <w:sz w:val="24"/>
        </w:rPr>
      </w:pPr>
      <w:r>
        <w:rPr>
          <w:rFonts w:hint="eastAsia" w:ascii="宋体" w:hAnsi="宋体"/>
          <w:sz w:val="24"/>
        </w:rPr>
        <w:t>4、技术分评分细则（70分）</w:t>
      </w:r>
    </w:p>
    <w:tbl>
      <w:tblPr>
        <w:tblStyle w:val="51"/>
        <w:tblW w:w="0" w:type="auto"/>
        <w:tblInd w:w="108" w:type="dxa"/>
        <w:tblLayout w:type="fixed"/>
        <w:tblCellMar>
          <w:top w:w="0" w:type="dxa"/>
          <w:left w:w="108" w:type="dxa"/>
          <w:bottom w:w="0" w:type="dxa"/>
          <w:right w:w="108" w:type="dxa"/>
        </w:tblCellMar>
      </w:tblPr>
      <w:tblGrid>
        <w:gridCol w:w="548"/>
        <w:gridCol w:w="1372"/>
        <w:gridCol w:w="6930"/>
      </w:tblGrid>
      <w:tr>
        <w:tblPrEx>
          <w:tblCellMar>
            <w:top w:w="0" w:type="dxa"/>
            <w:left w:w="108" w:type="dxa"/>
            <w:bottom w:w="0" w:type="dxa"/>
            <w:right w:w="108" w:type="dxa"/>
          </w:tblCellMar>
        </w:tblPrEx>
        <w:trPr>
          <w:trHeight w:val="7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7" w:rightChars="-56"/>
              <w:rPr>
                <w:rFonts w:ascii="仿宋" w:hAnsi="仿宋" w:eastAsia="仿宋"/>
                <w:sz w:val="24"/>
                <w:szCs w:val="24"/>
              </w:rPr>
            </w:pPr>
            <w:r>
              <w:rPr>
                <w:rFonts w:hint="eastAsia" w:ascii="仿宋" w:hAnsi="仿宋" w:eastAsia="仿宋"/>
                <w:sz w:val="24"/>
                <w:szCs w:val="24"/>
              </w:rPr>
              <w:t>序号</w:t>
            </w:r>
          </w:p>
        </w:tc>
        <w:tc>
          <w:tcPr>
            <w:tcW w:w="1372"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评分项目</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评分标准</w:t>
            </w:r>
          </w:p>
        </w:tc>
      </w:tr>
      <w:tr>
        <w:tblPrEx>
          <w:tblCellMar>
            <w:top w:w="0" w:type="dxa"/>
            <w:left w:w="108" w:type="dxa"/>
            <w:bottom w:w="0" w:type="dxa"/>
            <w:right w:w="108" w:type="dxa"/>
          </w:tblCellMar>
        </w:tblPrEx>
        <w:trPr>
          <w:trHeight w:val="593"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1</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公司规模</w:t>
            </w:r>
          </w:p>
          <w:p>
            <w:pPr>
              <w:rPr>
                <w:rFonts w:ascii="仿宋" w:hAnsi="仿宋" w:eastAsia="仿宋"/>
                <w:sz w:val="24"/>
                <w:szCs w:val="24"/>
              </w:rPr>
            </w:pPr>
            <w:r>
              <w:rPr>
                <w:rFonts w:hint="eastAsia" w:ascii="仿宋" w:hAnsi="仿宋" w:eastAsia="仿宋"/>
                <w:sz w:val="24"/>
                <w:szCs w:val="24"/>
              </w:rPr>
              <w:t>（6分）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1、公司具有ISO三项认证（质量管理体系、环境管理体系、职业健康安全管理体系）每个得2分；最高得6分。须提供复印件加盖公章，否则不得分。</w:t>
            </w:r>
          </w:p>
        </w:tc>
      </w:tr>
      <w:tr>
        <w:tblPrEx>
          <w:tblCellMar>
            <w:top w:w="0" w:type="dxa"/>
            <w:left w:w="108" w:type="dxa"/>
            <w:bottom w:w="0" w:type="dxa"/>
            <w:right w:w="108" w:type="dxa"/>
          </w:tblCellMar>
        </w:tblPrEx>
        <w:trPr>
          <w:trHeight w:val="70"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2</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案例业绩</w:t>
            </w:r>
          </w:p>
          <w:p>
            <w:pPr>
              <w:rPr>
                <w:rFonts w:ascii="仿宋" w:hAnsi="仿宋" w:eastAsia="仿宋"/>
                <w:sz w:val="24"/>
                <w:szCs w:val="24"/>
              </w:rPr>
            </w:pPr>
            <w:r>
              <w:rPr>
                <w:rFonts w:hint="eastAsia" w:ascii="仿宋" w:hAnsi="仿宋" w:eastAsia="仿宋"/>
                <w:sz w:val="24"/>
                <w:szCs w:val="24"/>
              </w:rPr>
              <w:t>（12分）</w:t>
            </w:r>
          </w:p>
        </w:tc>
        <w:tc>
          <w:tcPr>
            <w:tcW w:w="6930" w:type="dxa"/>
            <w:tcBorders>
              <w:top w:val="single" w:color="auto" w:sz="4" w:space="0"/>
              <w:left w:val="nil"/>
              <w:bottom w:val="single" w:color="auto" w:sz="4" w:space="0"/>
              <w:right w:val="single" w:color="auto" w:sz="4" w:space="0"/>
            </w:tcBorders>
            <w:noWrap w:val="0"/>
            <w:vAlign w:val="center"/>
          </w:tcPr>
          <w:p>
            <w:pPr>
              <w:pStyle w:val="18"/>
              <w:spacing w:before="156" w:after="120"/>
              <w:rPr>
                <w:rFonts w:ascii="仿宋" w:hAnsi="仿宋" w:eastAsia="仿宋"/>
              </w:rPr>
            </w:pPr>
            <w:r>
              <w:rPr>
                <w:rFonts w:hint="eastAsia" w:ascii="仿宋" w:hAnsi="仿宋" w:eastAsia="仿宋"/>
              </w:rPr>
              <w:t>2017年1月1日以来，保安服务项目案例（整年），每有一份得2分，最高12分。须提供合同或中标通知书复印件加盖公章，否则不得分。</w:t>
            </w:r>
          </w:p>
        </w:tc>
      </w:tr>
      <w:tr>
        <w:tblPrEx>
          <w:tblCellMar>
            <w:top w:w="0" w:type="dxa"/>
            <w:left w:w="108" w:type="dxa"/>
            <w:bottom w:w="0" w:type="dxa"/>
            <w:right w:w="108" w:type="dxa"/>
          </w:tblCellMar>
        </w:tblPrEx>
        <w:trPr>
          <w:trHeight w:val="832"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3</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整体规划</w:t>
            </w:r>
          </w:p>
          <w:p>
            <w:pPr>
              <w:rPr>
                <w:rFonts w:ascii="仿宋" w:hAnsi="仿宋" w:eastAsia="仿宋"/>
                <w:sz w:val="24"/>
                <w:szCs w:val="24"/>
              </w:rPr>
            </w:pPr>
            <w:r>
              <w:rPr>
                <w:rFonts w:hint="eastAsia" w:ascii="仿宋" w:hAnsi="仿宋" w:eastAsia="仿宋"/>
                <w:sz w:val="24"/>
                <w:szCs w:val="24"/>
              </w:rPr>
              <w:t>（6分）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根据公司的管理理念，对医院安保有针对性的设计方案，内容完整、具可操作性，完善的得6分，有欠缺的每项扣1分，扣完为止。</w:t>
            </w:r>
          </w:p>
        </w:tc>
      </w:tr>
      <w:tr>
        <w:tblPrEx>
          <w:tblCellMar>
            <w:top w:w="0" w:type="dxa"/>
            <w:left w:w="108" w:type="dxa"/>
            <w:bottom w:w="0" w:type="dxa"/>
            <w:right w:w="108" w:type="dxa"/>
          </w:tblCellMar>
        </w:tblPrEx>
        <w:trPr>
          <w:trHeight w:val="70"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4</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内部管理</w:t>
            </w:r>
          </w:p>
          <w:p>
            <w:pPr>
              <w:rPr>
                <w:rFonts w:ascii="仿宋" w:hAnsi="仿宋" w:eastAsia="仿宋"/>
                <w:sz w:val="24"/>
                <w:szCs w:val="24"/>
              </w:rPr>
            </w:pPr>
            <w:r>
              <w:rPr>
                <w:rFonts w:hint="eastAsia" w:ascii="仿宋" w:hAnsi="仿宋" w:eastAsia="仿宋"/>
                <w:sz w:val="24"/>
                <w:szCs w:val="24"/>
              </w:rPr>
              <w:t>（5分）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制度完整，有详细的工作职责，巡视及记录要求，完善的得5分，有欠缺的每项扣1分，扣完为止。</w:t>
            </w:r>
          </w:p>
        </w:tc>
      </w:tr>
      <w:tr>
        <w:tblPrEx>
          <w:tblCellMar>
            <w:top w:w="0" w:type="dxa"/>
            <w:left w:w="108" w:type="dxa"/>
            <w:bottom w:w="0" w:type="dxa"/>
            <w:right w:w="108" w:type="dxa"/>
          </w:tblCellMar>
        </w:tblPrEx>
        <w:trPr>
          <w:trHeight w:val="807"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5</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人员后备</w:t>
            </w:r>
          </w:p>
          <w:p>
            <w:pPr>
              <w:rPr>
                <w:rFonts w:ascii="仿宋" w:hAnsi="仿宋" w:eastAsia="仿宋"/>
                <w:sz w:val="24"/>
                <w:szCs w:val="24"/>
              </w:rPr>
            </w:pPr>
            <w:r>
              <w:rPr>
                <w:rFonts w:hint="eastAsia" w:ascii="仿宋" w:hAnsi="仿宋" w:eastAsia="仿宋"/>
                <w:sz w:val="24"/>
                <w:szCs w:val="24"/>
              </w:rPr>
              <w:t>（14分）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根据保安公司持证情况，给予评分：</w:t>
            </w:r>
          </w:p>
          <w:p>
            <w:pPr>
              <w:rPr>
                <w:rFonts w:ascii="仿宋" w:hAnsi="仿宋" w:eastAsia="仿宋"/>
                <w:sz w:val="24"/>
                <w:szCs w:val="24"/>
              </w:rPr>
            </w:pPr>
            <w:r>
              <w:rPr>
                <w:rFonts w:hint="eastAsia" w:ascii="仿宋" w:hAnsi="仿宋" w:eastAsia="仿宋"/>
                <w:sz w:val="24"/>
                <w:szCs w:val="24"/>
              </w:rPr>
              <w:t>1、具备保安师证书每3名得3分，最高得9分；</w:t>
            </w:r>
          </w:p>
          <w:p>
            <w:pPr>
              <w:rPr>
                <w:rFonts w:ascii="仿宋" w:hAnsi="仿宋" w:eastAsia="仿宋"/>
                <w:sz w:val="24"/>
                <w:szCs w:val="24"/>
              </w:rPr>
            </w:pPr>
            <w:r>
              <w:rPr>
                <w:rFonts w:hint="eastAsia" w:ascii="仿宋" w:hAnsi="仿宋" w:eastAsia="仿宋"/>
                <w:sz w:val="24"/>
                <w:szCs w:val="24"/>
              </w:rPr>
              <w:t>2、具备消控员上岗证10名，得5分。</w:t>
            </w:r>
          </w:p>
          <w:p>
            <w:pPr>
              <w:rPr>
                <w:rFonts w:ascii="仿宋" w:hAnsi="仿宋" w:eastAsia="仿宋"/>
                <w:sz w:val="24"/>
                <w:szCs w:val="24"/>
              </w:rPr>
            </w:pPr>
            <w:r>
              <w:rPr>
                <w:rFonts w:hint="eastAsia" w:ascii="仿宋" w:hAnsi="仿宋" w:eastAsia="仿宋"/>
                <w:sz w:val="24"/>
                <w:szCs w:val="24"/>
              </w:rPr>
              <w:t>以上人员需提供本单位3个月社保证明和证件</w:t>
            </w:r>
            <w:r>
              <w:rPr>
                <w:rFonts w:hint="eastAsia" w:ascii="仿宋" w:hAnsi="仿宋" w:eastAsia="仿宋"/>
                <w:sz w:val="24"/>
              </w:rPr>
              <w:t>复印件加盖公章</w:t>
            </w:r>
            <w:r>
              <w:rPr>
                <w:rFonts w:hint="eastAsia" w:ascii="仿宋" w:hAnsi="仿宋" w:eastAsia="仿宋"/>
                <w:sz w:val="24"/>
                <w:szCs w:val="24"/>
              </w:rPr>
              <w:t>，否则不得分</w:t>
            </w:r>
            <w:r>
              <w:rPr>
                <w:rFonts w:hint="eastAsia" w:ascii="仿宋" w:hAnsi="仿宋" w:eastAsia="仿宋"/>
                <w:sz w:val="24"/>
              </w:rPr>
              <w:t>。</w:t>
            </w:r>
          </w:p>
        </w:tc>
      </w:tr>
      <w:tr>
        <w:tblPrEx>
          <w:tblCellMar>
            <w:top w:w="0" w:type="dxa"/>
            <w:left w:w="108" w:type="dxa"/>
            <w:bottom w:w="0" w:type="dxa"/>
            <w:right w:w="108" w:type="dxa"/>
          </w:tblCellMar>
        </w:tblPrEx>
        <w:trPr>
          <w:trHeight w:val="801"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6</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设施设备</w:t>
            </w:r>
          </w:p>
          <w:p>
            <w:pPr>
              <w:rPr>
                <w:rFonts w:ascii="仿宋" w:hAnsi="仿宋" w:eastAsia="仿宋"/>
                <w:sz w:val="24"/>
                <w:szCs w:val="24"/>
              </w:rPr>
            </w:pPr>
            <w:r>
              <w:rPr>
                <w:rFonts w:hint="eastAsia" w:ascii="仿宋" w:hAnsi="仿宋" w:eastAsia="仿宋"/>
                <w:sz w:val="24"/>
                <w:szCs w:val="24"/>
              </w:rPr>
              <w:t>（5分）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根据医院安保需要配置必须的设施设备、护器等，完善的得5分，有欠缺的每项扣1分，扣完为止，附清单。</w:t>
            </w:r>
          </w:p>
        </w:tc>
      </w:tr>
      <w:tr>
        <w:tblPrEx>
          <w:tblCellMar>
            <w:top w:w="0" w:type="dxa"/>
            <w:left w:w="108" w:type="dxa"/>
            <w:bottom w:w="0" w:type="dxa"/>
            <w:right w:w="108" w:type="dxa"/>
          </w:tblCellMar>
        </w:tblPrEx>
        <w:trPr>
          <w:trHeight w:val="70"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7</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环境卫生</w:t>
            </w:r>
          </w:p>
          <w:p>
            <w:pPr>
              <w:rPr>
                <w:rFonts w:ascii="仿宋" w:hAnsi="仿宋" w:eastAsia="仿宋"/>
                <w:sz w:val="24"/>
                <w:szCs w:val="24"/>
              </w:rPr>
            </w:pPr>
            <w:r>
              <w:rPr>
                <w:rFonts w:hint="eastAsia" w:ascii="仿宋" w:hAnsi="仿宋" w:eastAsia="仿宋"/>
                <w:sz w:val="24"/>
                <w:szCs w:val="24"/>
              </w:rPr>
              <w:t>（4分）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制定环境卫生管理方案（含禁烟、劝烟内容），完善的得4分，有欠缺的每项扣1分，扣完为止。</w:t>
            </w:r>
          </w:p>
        </w:tc>
      </w:tr>
      <w:tr>
        <w:tblPrEx>
          <w:tblCellMar>
            <w:top w:w="0" w:type="dxa"/>
            <w:left w:w="108" w:type="dxa"/>
            <w:bottom w:w="0" w:type="dxa"/>
            <w:right w:w="108" w:type="dxa"/>
          </w:tblCellMar>
        </w:tblPrEx>
        <w:trPr>
          <w:trHeight w:val="779"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8</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安全管理</w:t>
            </w:r>
          </w:p>
          <w:p>
            <w:pPr>
              <w:rPr>
                <w:rFonts w:ascii="仿宋" w:hAnsi="仿宋" w:eastAsia="仿宋"/>
                <w:sz w:val="24"/>
                <w:szCs w:val="24"/>
              </w:rPr>
            </w:pPr>
            <w:r>
              <w:rPr>
                <w:rFonts w:hint="eastAsia" w:ascii="仿宋" w:hAnsi="仿宋" w:eastAsia="仿宋"/>
                <w:sz w:val="24"/>
                <w:szCs w:val="24"/>
              </w:rPr>
              <w:t>（6分）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根据医院消防安全、**安全、防疫等要求，制定完善的应急预案，完善的得6分，有欠缺的每项扣1分，扣完为止。</w:t>
            </w:r>
          </w:p>
        </w:tc>
      </w:tr>
      <w:tr>
        <w:tblPrEx>
          <w:tblCellMar>
            <w:top w:w="0" w:type="dxa"/>
            <w:left w:w="108" w:type="dxa"/>
            <w:bottom w:w="0" w:type="dxa"/>
            <w:right w:w="108" w:type="dxa"/>
          </w:tblCellMar>
        </w:tblPrEx>
        <w:trPr>
          <w:trHeight w:val="779"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9</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培训管理</w:t>
            </w:r>
          </w:p>
          <w:p>
            <w:pPr>
              <w:rPr>
                <w:rFonts w:ascii="仿宋" w:hAnsi="仿宋" w:eastAsia="仿宋"/>
                <w:sz w:val="24"/>
                <w:szCs w:val="24"/>
              </w:rPr>
            </w:pPr>
            <w:r>
              <w:rPr>
                <w:rFonts w:hint="eastAsia" w:ascii="仿宋" w:hAnsi="仿宋" w:eastAsia="仿宋"/>
                <w:sz w:val="24"/>
                <w:szCs w:val="24"/>
              </w:rPr>
              <w:t>（6分）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具备保安培训资质的得3分，有切实可行的保安定期制度和针对医院保安的安保培训计划，完善的得3分，有欠缺的每项扣1分，扣完为止。</w:t>
            </w:r>
          </w:p>
        </w:tc>
      </w:tr>
      <w:tr>
        <w:tblPrEx>
          <w:tblCellMar>
            <w:top w:w="0" w:type="dxa"/>
            <w:left w:w="108" w:type="dxa"/>
            <w:bottom w:w="0" w:type="dxa"/>
            <w:right w:w="108" w:type="dxa"/>
          </w:tblCellMar>
        </w:tblPrEx>
        <w:trPr>
          <w:trHeight w:val="837"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10</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服务承诺</w:t>
            </w:r>
          </w:p>
          <w:p>
            <w:pPr>
              <w:rPr>
                <w:rFonts w:ascii="仿宋" w:hAnsi="仿宋" w:eastAsia="仿宋"/>
                <w:sz w:val="24"/>
                <w:szCs w:val="24"/>
              </w:rPr>
            </w:pPr>
            <w:r>
              <w:rPr>
                <w:rFonts w:hint="eastAsia" w:ascii="仿宋" w:hAnsi="仿宋" w:eastAsia="仿宋"/>
                <w:sz w:val="24"/>
                <w:szCs w:val="24"/>
              </w:rPr>
              <w:t>（2分）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根据公司对诚信、质量、管理及服从医院安排等的服务承诺，完善的得2分，有欠缺的每项扣1分，扣完为止。</w:t>
            </w:r>
          </w:p>
        </w:tc>
      </w:tr>
      <w:tr>
        <w:tblPrEx>
          <w:tblCellMar>
            <w:top w:w="0" w:type="dxa"/>
            <w:left w:w="108" w:type="dxa"/>
            <w:bottom w:w="0" w:type="dxa"/>
            <w:right w:w="108" w:type="dxa"/>
          </w:tblCellMar>
        </w:tblPrEx>
        <w:trPr>
          <w:trHeight w:val="831" w:hRule="atLeast"/>
        </w:trPr>
        <w:tc>
          <w:tcPr>
            <w:tcW w:w="548"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11</w:t>
            </w:r>
          </w:p>
        </w:tc>
        <w:tc>
          <w:tcPr>
            <w:tcW w:w="1372" w:type="dxa"/>
            <w:tcBorders>
              <w:top w:val="nil"/>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赔偿承诺</w:t>
            </w:r>
          </w:p>
          <w:p>
            <w:pPr>
              <w:rPr>
                <w:rFonts w:ascii="仿宋" w:hAnsi="仿宋" w:eastAsia="仿宋"/>
                <w:sz w:val="24"/>
                <w:szCs w:val="24"/>
              </w:rPr>
            </w:pPr>
            <w:r>
              <w:rPr>
                <w:rFonts w:hint="eastAsia" w:ascii="仿宋" w:hAnsi="仿宋" w:eastAsia="仿宋"/>
                <w:sz w:val="24"/>
                <w:szCs w:val="24"/>
              </w:rPr>
              <w:t>（4分）</w:t>
            </w:r>
          </w:p>
        </w:tc>
        <w:tc>
          <w:tcPr>
            <w:tcW w:w="6930"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szCs w:val="24"/>
              </w:rPr>
            </w:pPr>
            <w:r>
              <w:rPr>
                <w:rFonts w:hint="eastAsia" w:ascii="仿宋" w:hAnsi="仿宋" w:eastAsia="仿宋"/>
                <w:sz w:val="24"/>
                <w:szCs w:val="24"/>
              </w:rPr>
              <w:t>参考公司管理要求对医院相关损失赔偿，有制度、有赔偿细则、有专人落实等，完善的得4分，有欠缺的每项扣1分，扣完为止。</w:t>
            </w:r>
          </w:p>
        </w:tc>
      </w:tr>
    </w:tbl>
    <w:p>
      <w:pPr>
        <w:spacing w:line="300" w:lineRule="exact"/>
        <w:ind w:firstLine="480" w:firstLineChars="200"/>
        <w:rPr>
          <w:rFonts w:hint="eastAsia" w:ascii="宋体" w:hAnsi="宋体"/>
          <w:sz w:val="24"/>
        </w:rPr>
      </w:pPr>
    </w:p>
    <w:p>
      <w:pPr>
        <w:spacing w:line="300" w:lineRule="exact"/>
        <w:ind w:firstLine="420" w:firstLineChars="200"/>
        <w:rPr>
          <w:rFonts w:hint="eastAsia" w:ascii="宋体" w:hAnsi="宋体"/>
          <w:sz w:val="24"/>
        </w:rPr>
      </w:pPr>
      <w:r>
        <w:rPr>
          <w:rFonts w:hint="eastAsia"/>
        </w:rPr>
        <w:t>注：所涉及的评分用的证书、证件、证明、合同等须提供复印件。</w:t>
      </w:r>
    </w:p>
    <w:p>
      <w:pPr>
        <w:spacing w:line="300" w:lineRule="exact"/>
        <w:ind w:firstLine="480" w:firstLineChars="200"/>
        <w:rPr>
          <w:rFonts w:hint="eastAsia" w:ascii="宋体" w:hAnsi="宋体"/>
          <w:sz w:val="24"/>
        </w:rPr>
      </w:pPr>
    </w:p>
    <w:p>
      <w:pPr>
        <w:spacing w:line="400" w:lineRule="exact"/>
        <w:jc w:val="center"/>
        <w:rPr>
          <w:rFonts w:hint="eastAsia"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第四章   采购需求</w:t>
      </w:r>
      <w:bookmarkEnd w:id="36"/>
    </w:p>
    <w:p>
      <w:pPr>
        <w:spacing w:line="360" w:lineRule="auto"/>
        <w:ind w:firstLine="420"/>
        <w:rPr>
          <w:rFonts w:ascii="黑体" w:hAnsi="黑体" w:eastAsia="黑体"/>
          <w:b/>
          <w:bCs/>
          <w:sz w:val="30"/>
          <w:szCs w:val="30"/>
          <w:u w:val="single"/>
        </w:rPr>
      </w:pPr>
      <w:r>
        <w:rPr>
          <w:rFonts w:hint="eastAsia" w:ascii="黑体" w:hAnsi="黑体" w:eastAsia="黑体"/>
          <w:b/>
          <w:bCs/>
          <w:sz w:val="30"/>
          <w:szCs w:val="30"/>
          <w:u w:val="single"/>
        </w:rPr>
        <w:t>产品要求中有参考品牌、型号的仅作为投标方案参考，但投标产品品牌、型号至少应与参考品牌、型号相当。</w:t>
      </w:r>
    </w:p>
    <w:p>
      <w:pPr>
        <w:rPr>
          <w:rFonts w:hint="eastAsia" w:ascii="黑体" w:hAnsi="黑体" w:eastAsia="黑体"/>
          <w:bCs/>
          <w:color w:val="auto"/>
          <w:sz w:val="24"/>
          <w:szCs w:val="30"/>
          <w:u w:val="single"/>
        </w:rPr>
      </w:pPr>
      <w:r>
        <w:rPr>
          <w:rFonts w:hint="eastAsia" w:ascii="黑体" w:hAnsi="黑体" w:eastAsia="黑体"/>
          <w:b/>
          <w:bCs/>
          <w:sz w:val="30"/>
          <w:szCs w:val="30"/>
          <w:u w:val="single"/>
        </w:rPr>
        <w:t>除参考品牌、型号以外，欢迎其它能满足本项目技术需求且性能与参考品牌、型号相当的产品参加。</w:t>
      </w:r>
    </w:p>
    <w:p>
      <w:pPr>
        <w:jc w:val="left"/>
        <w:rPr>
          <w:rFonts w:hint="eastAsia"/>
          <w:b/>
          <w:bCs/>
          <w:sz w:val="24"/>
          <w:szCs w:val="24"/>
        </w:rPr>
      </w:pPr>
    </w:p>
    <w:p>
      <w:pPr>
        <w:spacing w:line="380" w:lineRule="exact"/>
        <w:ind w:firstLine="235" w:firstLineChars="98"/>
        <w:jc w:val="left"/>
        <w:rPr>
          <w:rFonts w:ascii="仿宋" w:hAnsi="仿宋" w:eastAsia="仿宋" w:cs="宋体"/>
          <w:b/>
          <w:sz w:val="24"/>
          <w:szCs w:val="24"/>
        </w:rPr>
      </w:pPr>
      <w:r>
        <w:rPr>
          <w:rFonts w:hint="eastAsia" w:ascii="仿宋" w:hAnsi="仿宋" w:eastAsia="仿宋" w:cs="宋体"/>
          <w:b/>
          <w:sz w:val="24"/>
          <w:szCs w:val="24"/>
        </w:rPr>
        <w:t>(一)</w:t>
      </w:r>
      <w:r>
        <w:rPr>
          <w:rFonts w:ascii="仿宋" w:hAnsi="仿宋" w:eastAsia="仿宋" w:cs="宋体"/>
          <w:b/>
          <w:sz w:val="24"/>
          <w:szCs w:val="24"/>
        </w:rPr>
        <w:t>项目简介</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 xml:space="preserve">     诸暨市中医医院创建于</w:t>
      </w:r>
      <w:r>
        <w:rPr>
          <w:rFonts w:ascii="仿宋" w:hAnsi="仿宋" w:eastAsia="仿宋" w:cs="宋体"/>
          <w:sz w:val="24"/>
          <w:szCs w:val="24"/>
        </w:rPr>
        <w:t>1983</w:t>
      </w:r>
      <w:r>
        <w:rPr>
          <w:rFonts w:hint="eastAsia" w:ascii="仿宋" w:hAnsi="仿宋" w:eastAsia="仿宋" w:cs="宋体"/>
          <w:sz w:val="24"/>
          <w:szCs w:val="24"/>
        </w:rPr>
        <w:t>年，是一所集医疗、科研、教学、预防、保健、康复为一体，临床科室门类齐全，具有鲜明中医特色和中西医诊疗优势的三级甲等中医医院，是浙江省首批中医“名院”建设单位，浙江中医药大学教学医院，国家级中医住院医师、全科医生规范化培训基地，诸暨市医保、工伤（伤残）鉴定定点医院，也是诸暨市惠民医院。</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医院占地</w:t>
      </w:r>
      <w:r>
        <w:rPr>
          <w:rFonts w:ascii="仿宋" w:hAnsi="仿宋" w:eastAsia="仿宋" w:cs="宋体"/>
          <w:sz w:val="24"/>
          <w:szCs w:val="24"/>
        </w:rPr>
        <w:t>1</w:t>
      </w:r>
      <w:r>
        <w:rPr>
          <w:rFonts w:hint="eastAsia" w:ascii="仿宋" w:hAnsi="仿宋" w:eastAsia="仿宋" w:cs="宋体"/>
          <w:sz w:val="24"/>
          <w:szCs w:val="24"/>
        </w:rPr>
        <w:t>20亩，分浣东和暨阳两个院区，核定床位</w:t>
      </w:r>
      <w:r>
        <w:rPr>
          <w:rFonts w:ascii="仿宋" w:hAnsi="仿宋" w:eastAsia="仿宋" w:cs="宋体"/>
          <w:sz w:val="24"/>
          <w:szCs w:val="24"/>
        </w:rPr>
        <w:t>700</w:t>
      </w:r>
      <w:r>
        <w:rPr>
          <w:rFonts w:hint="eastAsia" w:ascii="仿宋" w:hAnsi="仿宋" w:eastAsia="仿宋" w:cs="宋体"/>
          <w:sz w:val="24"/>
          <w:szCs w:val="24"/>
        </w:rPr>
        <w:t>张。浣东新院建筑面积</w:t>
      </w:r>
      <w:r>
        <w:rPr>
          <w:rFonts w:ascii="仿宋" w:hAnsi="仿宋" w:eastAsia="仿宋" w:cs="宋体"/>
          <w:sz w:val="24"/>
          <w:szCs w:val="24"/>
        </w:rPr>
        <w:t>10.4</w:t>
      </w:r>
      <w:r>
        <w:rPr>
          <w:rFonts w:hint="eastAsia" w:ascii="仿宋" w:hAnsi="仿宋" w:eastAsia="仿宋" w:cs="宋体"/>
          <w:sz w:val="24"/>
          <w:szCs w:val="24"/>
        </w:rPr>
        <w:t>万平方米，开设</w:t>
      </w:r>
      <w:r>
        <w:rPr>
          <w:rFonts w:ascii="仿宋" w:hAnsi="仿宋" w:eastAsia="仿宋" w:cs="宋体"/>
          <w:sz w:val="24"/>
          <w:szCs w:val="24"/>
        </w:rPr>
        <w:t>23</w:t>
      </w:r>
      <w:r>
        <w:rPr>
          <w:rFonts w:hint="eastAsia" w:ascii="仿宋" w:hAnsi="仿宋" w:eastAsia="仿宋" w:cs="宋体"/>
          <w:sz w:val="24"/>
          <w:szCs w:val="24"/>
        </w:rPr>
        <w:t>个临床科室、</w:t>
      </w:r>
      <w:r>
        <w:rPr>
          <w:rFonts w:ascii="仿宋" w:hAnsi="仿宋" w:eastAsia="仿宋" w:cs="宋体"/>
          <w:sz w:val="24"/>
          <w:szCs w:val="24"/>
        </w:rPr>
        <w:t>14</w:t>
      </w:r>
      <w:r>
        <w:rPr>
          <w:rFonts w:hint="eastAsia" w:ascii="仿宋" w:hAnsi="仿宋" w:eastAsia="仿宋" w:cs="宋体"/>
          <w:sz w:val="24"/>
          <w:szCs w:val="24"/>
        </w:rPr>
        <w:t>个医技科室、</w:t>
      </w:r>
      <w:r>
        <w:rPr>
          <w:rFonts w:ascii="仿宋" w:hAnsi="仿宋" w:eastAsia="仿宋" w:cs="宋体"/>
          <w:sz w:val="24"/>
          <w:szCs w:val="24"/>
        </w:rPr>
        <w:t>16</w:t>
      </w:r>
      <w:r>
        <w:rPr>
          <w:rFonts w:hint="eastAsia" w:ascii="仿宋" w:hAnsi="仿宋" w:eastAsia="仿宋" w:cs="宋体"/>
          <w:sz w:val="24"/>
          <w:szCs w:val="24"/>
        </w:rPr>
        <w:t xml:space="preserve">个病区。 </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主要建筑及分布情况如下：</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 xml:space="preserve"> (1).老院区暨阳院区占地面积约30亩，主要建筑由一幢13层住院楼[地上12层，地下1层]、门诊楼、食堂楼、配电房及其他辅房等建筑组成，目前处于停诊阶段。</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(2).新院区浣东院区占地面积约90亩，主要建筑由一幢12层门急诊楼[1号楼，地上12层、地下1层]、一幢18层住楼[2号楼，地上17层、地下1层]、辅房[3号楼，4层]、食堂楼[5号楼，6层]等组成。</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具体以现场实际情况为准，请投标人自行踏勘现场。</w:t>
      </w:r>
    </w:p>
    <w:p>
      <w:pPr>
        <w:spacing w:line="380" w:lineRule="exact"/>
        <w:ind w:firstLine="235" w:firstLineChars="98"/>
        <w:jc w:val="left"/>
        <w:rPr>
          <w:rFonts w:ascii="仿宋" w:hAnsi="仿宋" w:eastAsia="仿宋" w:cs="宋体"/>
          <w:b/>
          <w:sz w:val="24"/>
          <w:szCs w:val="24"/>
        </w:rPr>
      </w:pPr>
      <w:bookmarkStart w:id="37" w:name="_Toc369095829"/>
      <w:r>
        <w:rPr>
          <w:rFonts w:hint="eastAsia" w:ascii="仿宋" w:hAnsi="仿宋" w:eastAsia="仿宋" w:cs="宋体"/>
          <w:b/>
          <w:sz w:val="24"/>
          <w:szCs w:val="24"/>
        </w:rPr>
        <w:t>（二）招标范围</w:t>
      </w:r>
      <w:bookmarkEnd w:id="37"/>
    </w:p>
    <w:p>
      <w:pPr>
        <w:spacing w:line="380" w:lineRule="exact"/>
        <w:ind w:firstLine="470" w:firstLineChars="196"/>
        <w:jc w:val="left"/>
        <w:rPr>
          <w:rFonts w:ascii="仿宋" w:hAnsi="仿宋" w:eastAsia="仿宋" w:cs="宋体"/>
          <w:b/>
          <w:sz w:val="24"/>
          <w:szCs w:val="24"/>
        </w:rPr>
      </w:pPr>
      <w:r>
        <w:rPr>
          <w:rFonts w:hint="eastAsia" w:ascii="仿宋" w:hAnsi="仿宋" w:eastAsia="仿宋" w:cs="宋体"/>
          <w:sz w:val="24"/>
          <w:szCs w:val="24"/>
        </w:rPr>
        <w:t>1、为打造安全、清洁、有序的办公、就诊环境，应对医院突发事件的处置，保证浙江省诸暨市中医医院各项配套设施能正常的运行，需配备一定的保安力量维护秩序。本次招标的范围为浙江省诸暨市中医医院暨阳院区、浣东院区二个院区的保安服务项目（三期工程启动后保安及消防监控中心队员会适当增加，具体按需结算，但不超过项目总金额10%），承担本院中标期内的保安服务职能。</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B、人员基本配置：</w:t>
      </w:r>
    </w:p>
    <w:tbl>
      <w:tblPr>
        <w:tblStyle w:val="51"/>
        <w:tblW w:w="8750" w:type="dxa"/>
        <w:tblInd w:w="0" w:type="dxa"/>
        <w:tblLayout w:type="autofit"/>
        <w:tblCellMar>
          <w:top w:w="0" w:type="dxa"/>
          <w:left w:w="0" w:type="dxa"/>
          <w:bottom w:w="0" w:type="dxa"/>
          <w:right w:w="0" w:type="dxa"/>
        </w:tblCellMar>
      </w:tblPr>
      <w:tblGrid>
        <w:gridCol w:w="2522"/>
        <w:gridCol w:w="4110"/>
        <w:gridCol w:w="2118"/>
      </w:tblGrid>
      <w:tr>
        <w:tblPrEx>
          <w:tblCellMar>
            <w:top w:w="0" w:type="dxa"/>
            <w:left w:w="0" w:type="dxa"/>
            <w:bottom w:w="0" w:type="dxa"/>
            <w:right w:w="0" w:type="dxa"/>
          </w:tblCellMar>
        </w:tblPrEx>
        <w:tc>
          <w:tcPr>
            <w:tcW w:w="25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工作区域</w:t>
            </w: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工作岗位</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配备人数</w:t>
            </w:r>
          </w:p>
        </w:tc>
      </w:tr>
      <w:tr>
        <w:tblPrEx>
          <w:tblCellMar>
            <w:top w:w="0" w:type="dxa"/>
            <w:left w:w="0" w:type="dxa"/>
            <w:bottom w:w="0" w:type="dxa"/>
            <w:right w:w="0" w:type="dxa"/>
          </w:tblCellMar>
        </w:tblPrEx>
        <w:tc>
          <w:tcPr>
            <w:tcW w:w="2522"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诸暨市中医医院</w:t>
            </w: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保安队长</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ascii="仿宋" w:hAnsi="仿宋" w:eastAsia="仿宋" w:cs="_5b8b_4f53"/>
                <w:sz w:val="24"/>
                <w:szCs w:val="24"/>
              </w:rPr>
              <w:t>1</w:t>
            </w:r>
          </w:p>
        </w:tc>
      </w:tr>
      <w:tr>
        <w:tblPrEx>
          <w:tblCellMar>
            <w:top w:w="0" w:type="dxa"/>
            <w:left w:w="0" w:type="dxa"/>
            <w:bottom w:w="0" w:type="dxa"/>
            <w:right w:w="0" w:type="dxa"/>
          </w:tblCellMar>
        </w:tblPrEx>
        <w:tc>
          <w:tcPr>
            <w:tcW w:w="2522" w:type="dxa"/>
            <w:vMerge w:val="continue"/>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宋体"/>
                <w:sz w:val="24"/>
                <w:szCs w:val="24"/>
              </w:rPr>
            </w:pP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宋体"/>
                <w:sz w:val="24"/>
                <w:szCs w:val="24"/>
              </w:rPr>
            </w:pPr>
            <w:r>
              <w:rPr>
                <w:rFonts w:hint="eastAsia" w:ascii="仿宋" w:hAnsi="仿宋" w:eastAsia="仿宋" w:cs="宋体"/>
                <w:sz w:val="24"/>
                <w:szCs w:val="24"/>
              </w:rPr>
              <w:t>班组长</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_5b8b_4f53"/>
                <w:sz w:val="24"/>
                <w:szCs w:val="24"/>
              </w:rPr>
            </w:pPr>
            <w:r>
              <w:rPr>
                <w:rFonts w:hint="eastAsia" w:ascii="仿宋" w:hAnsi="仿宋" w:eastAsia="仿宋" w:cs="_5b8b_4f53"/>
                <w:sz w:val="24"/>
                <w:szCs w:val="24"/>
              </w:rPr>
              <w:t>3</w:t>
            </w:r>
          </w:p>
        </w:tc>
      </w:tr>
      <w:tr>
        <w:tblPrEx>
          <w:tblCellMar>
            <w:top w:w="0" w:type="dxa"/>
            <w:left w:w="0" w:type="dxa"/>
            <w:bottom w:w="0" w:type="dxa"/>
            <w:right w:w="0" w:type="dxa"/>
          </w:tblCellMar>
        </w:tblPrEx>
        <w:tc>
          <w:tcPr>
            <w:tcW w:w="0" w:type="auto"/>
            <w:vMerge w:val="continue"/>
            <w:tcBorders>
              <w:left w:val="single" w:color="auto" w:sz="8" w:space="0"/>
              <w:right w:val="single" w:color="auto" w:sz="8" w:space="0"/>
            </w:tcBorders>
            <w:shd w:val="clear" w:color="auto" w:fill="FFFFFF"/>
            <w:noWrap w:val="0"/>
            <w:vAlign w:val="center"/>
          </w:tcPr>
          <w:p>
            <w:pPr>
              <w:spacing w:before="100" w:beforeAutospacing="1" w:after="100" w:afterAutospacing="1" w:line="400" w:lineRule="atLeast"/>
              <w:jc w:val="center"/>
              <w:rPr>
                <w:rFonts w:ascii="仿宋" w:hAnsi="仿宋" w:eastAsia="仿宋"/>
                <w:sz w:val="24"/>
                <w:szCs w:val="24"/>
              </w:rPr>
            </w:pP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消防监控中心队员</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ascii="仿宋" w:hAnsi="仿宋" w:eastAsia="仿宋" w:cs="_5b8b_4f53"/>
                <w:sz w:val="24"/>
                <w:szCs w:val="24"/>
              </w:rPr>
              <w:t>7</w:t>
            </w:r>
          </w:p>
        </w:tc>
      </w:tr>
      <w:tr>
        <w:tblPrEx>
          <w:tblCellMar>
            <w:top w:w="0" w:type="dxa"/>
            <w:left w:w="0" w:type="dxa"/>
            <w:bottom w:w="0" w:type="dxa"/>
            <w:right w:w="0" w:type="dxa"/>
          </w:tblCellMar>
        </w:tblPrEx>
        <w:tc>
          <w:tcPr>
            <w:tcW w:w="0" w:type="auto"/>
            <w:vMerge w:val="continue"/>
            <w:tcBorders>
              <w:left w:val="single" w:color="auto" w:sz="8" w:space="0"/>
              <w:right w:val="single" w:color="auto" w:sz="8" w:space="0"/>
            </w:tcBorders>
            <w:shd w:val="clear" w:color="auto" w:fill="FFFFFF"/>
            <w:noWrap w:val="0"/>
            <w:vAlign w:val="center"/>
          </w:tcPr>
          <w:p>
            <w:pPr>
              <w:spacing w:before="100" w:beforeAutospacing="1" w:after="100" w:afterAutospacing="1" w:line="400" w:lineRule="atLeast"/>
              <w:jc w:val="center"/>
              <w:rPr>
                <w:rFonts w:ascii="仿宋" w:hAnsi="仿宋" w:eastAsia="仿宋"/>
                <w:sz w:val="24"/>
                <w:szCs w:val="24"/>
              </w:rPr>
            </w:pP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保安突发事件的处置、安全巡逻</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_5b8b_4f53"/>
                <w:sz w:val="24"/>
                <w:szCs w:val="24"/>
              </w:rPr>
            </w:pPr>
            <w:r>
              <w:rPr>
                <w:rFonts w:ascii="仿宋" w:hAnsi="仿宋" w:eastAsia="仿宋" w:cs="_5b8b_4f53"/>
                <w:sz w:val="24"/>
                <w:szCs w:val="24"/>
              </w:rPr>
              <w:t>54</w:t>
            </w:r>
          </w:p>
        </w:tc>
      </w:tr>
      <w:tr>
        <w:tblPrEx>
          <w:tblCellMar>
            <w:top w:w="0" w:type="dxa"/>
            <w:left w:w="0" w:type="dxa"/>
            <w:bottom w:w="0" w:type="dxa"/>
            <w:right w:w="0" w:type="dxa"/>
          </w:tblCellMar>
        </w:tblPrEx>
        <w:tc>
          <w:tcPr>
            <w:tcW w:w="0" w:type="auto"/>
            <w:vMerge w:val="continue"/>
            <w:tcBorders>
              <w:left w:val="single" w:color="auto" w:sz="8" w:space="0"/>
              <w:right w:val="single" w:color="auto" w:sz="8" w:space="0"/>
            </w:tcBorders>
            <w:shd w:val="clear" w:color="auto" w:fill="FFFFFF"/>
            <w:noWrap w:val="0"/>
            <w:vAlign w:val="center"/>
          </w:tcPr>
          <w:p>
            <w:pPr>
              <w:spacing w:before="100" w:beforeAutospacing="1" w:after="100" w:afterAutospacing="1" w:line="400" w:lineRule="atLeast"/>
              <w:jc w:val="center"/>
              <w:rPr>
                <w:rFonts w:ascii="仿宋" w:hAnsi="仿宋" w:eastAsia="仿宋"/>
                <w:sz w:val="24"/>
                <w:szCs w:val="24"/>
              </w:rPr>
            </w:pP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sz w:val="24"/>
                <w:szCs w:val="24"/>
              </w:rPr>
              <w:t>车辆引导、门禁系统管理</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ascii="仿宋" w:hAnsi="仿宋" w:eastAsia="仿宋" w:cs="_5b8b_4f53"/>
                <w:sz w:val="24"/>
                <w:szCs w:val="24"/>
              </w:rPr>
              <w:t>10</w:t>
            </w:r>
          </w:p>
        </w:tc>
      </w:tr>
      <w:tr>
        <w:tblPrEx>
          <w:tblCellMar>
            <w:top w:w="0" w:type="dxa"/>
            <w:left w:w="0" w:type="dxa"/>
            <w:bottom w:w="0" w:type="dxa"/>
            <w:right w:w="0" w:type="dxa"/>
          </w:tblCellMar>
        </w:tblPrEx>
        <w:tc>
          <w:tcPr>
            <w:tcW w:w="0" w:type="auto"/>
            <w:tcBorders>
              <w:left w:val="single" w:color="auto" w:sz="8" w:space="0"/>
              <w:right w:val="single" w:color="auto" w:sz="8" w:space="0"/>
            </w:tcBorders>
            <w:shd w:val="clear" w:color="auto" w:fill="FFFFFF"/>
            <w:noWrap w:val="0"/>
            <w:vAlign w:val="center"/>
          </w:tcPr>
          <w:p>
            <w:pPr>
              <w:spacing w:before="100" w:beforeAutospacing="1" w:after="100" w:afterAutospacing="1" w:line="400" w:lineRule="atLeast"/>
              <w:jc w:val="center"/>
              <w:rPr>
                <w:rFonts w:ascii="仿宋" w:hAnsi="仿宋" w:eastAsia="仿宋"/>
                <w:sz w:val="24"/>
                <w:szCs w:val="24"/>
              </w:rPr>
            </w:pPr>
          </w:p>
        </w:tc>
        <w:tc>
          <w:tcPr>
            <w:tcW w:w="41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宋体"/>
                <w:sz w:val="24"/>
                <w:szCs w:val="24"/>
              </w:rPr>
            </w:pPr>
            <w:r>
              <w:rPr>
                <w:rFonts w:hint="eastAsia" w:ascii="仿宋" w:hAnsi="仿宋" w:eastAsia="仿宋" w:cs="宋体"/>
                <w:sz w:val="24"/>
                <w:szCs w:val="24"/>
              </w:rPr>
              <w:t>停车收费</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cs="_5b8b_4f53"/>
                <w:sz w:val="24"/>
                <w:szCs w:val="24"/>
              </w:rPr>
            </w:pPr>
            <w:r>
              <w:rPr>
                <w:rFonts w:hint="eastAsia" w:ascii="仿宋" w:hAnsi="仿宋" w:eastAsia="仿宋" w:cs="_5b8b_4f53"/>
                <w:sz w:val="24"/>
                <w:szCs w:val="24"/>
              </w:rPr>
              <w:t>5</w:t>
            </w:r>
          </w:p>
        </w:tc>
      </w:tr>
      <w:tr>
        <w:tblPrEx>
          <w:tblCellMar>
            <w:top w:w="0" w:type="dxa"/>
            <w:left w:w="0" w:type="dxa"/>
            <w:bottom w:w="0" w:type="dxa"/>
            <w:right w:w="0" w:type="dxa"/>
          </w:tblCellMar>
        </w:tblPrEx>
        <w:tc>
          <w:tcPr>
            <w:tcW w:w="663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hint="eastAsia" w:ascii="仿宋" w:hAnsi="仿宋" w:eastAsia="仿宋" w:cs="宋体"/>
                <w:b/>
                <w:bCs/>
                <w:sz w:val="24"/>
                <w:szCs w:val="24"/>
              </w:rPr>
              <w:t>合</w:t>
            </w:r>
            <w:r>
              <w:rPr>
                <w:rFonts w:ascii="_5b8b_4f53" w:hAnsi="_5b8b_4f53" w:eastAsia="仿宋" w:cs="_5b8b_4f53"/>
                <w:b/>
                <w:bCs/>
                <w:sz w:val="24"/>
                <w:szCs w:val="24"/>
              </w:rPr>
              <w:t> </w:t>
            </w:r>
            <w:r>
              <w:rPr>
                <w:rFonts w:ascii="仿宋" w:hAnsi="仿宋" w:eastAsia="仿宋" w:cs="_5b8b_4f53"/>
                <w:b/>
                <w:bCs/>
                <w:sz w:val="24"/>
                <w:szCs w:val="24"/>
              </w:rPr>
              <w:t xml:space="preserve">        </w:t>
            </w:r>
            <w:r>
              <w:rPr>
                <w:rFonts w:ascii="_5b8b_4f53" w:hAnsi="_5b8b_4f53" w:eastAsia="仿宋" w:cs="_5b8b_4f53"/>
                <w:b/>
                <w:bCs/>
                <w:sz w:val="24"/>
                <w:szCs w:val="24"/>
              </w:rPr>
              <w:t>  </w:t>
            </w:r>
            <w:r>
              <w:rPr>
                <w:rFonts w:hint="eastAsia" w:ascii="仿宋" w:hAnsi="仿宋" w:eastAsia="仿宋" w:cs="宋体"/>
                <w:b/>
                <w:bCs/>
                <w:sz w:val="24"/>
                <w:szCs w:val="24"/>
              </w:rPr>
              <w:t>计</w:t>
            </w:r>
          </w:p>
        </w:tc>
        <w:tc>
          <w:tcPr>
            <w:tcW w:w="21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400" w:lineRule="atLeast"/>
              <w:jc w:val="center"/>
              <w:rPr>
                <w:rFonts w:ascii="仿宋" w:hAnsi="仿宋" w:eastAsia="仿宋"/>
                <w:sz w:val="24"/>
                <w:szCs w:val="24"/>
              </w:rPr>
            </w:pPr>
            <w:r>
              <w:rPr>
                <w:rFonts w:ascii="仿宋" w:hAnsi="仿宋" w:eastAsia="仿宋" w:cs="宋体"/>
                <w:sz w:val="24"/>
                <w:szCs w:val="24"/>
              </w:rPr>
              <w:t>80</w:t>
            </w:r>
          </w:p>
        </w:tc>
      </w:tr>
    </w:tbl>
    <w:p>
      <w:pPr>
        <w:spacing w:line="380" w:lineRule="exact"/>
        <w:ind w:firstLine="360" w:firstLineChars="150"/>
        <w:jc w:val="left"/>
        <w:rPr>
          <w:rFonts w:ascii="仿宋" w:hAnsi="仿宋" w:eastAsia="仿宋" w:cs="宋体"/>
          <w:b/>
          <w:sz w:val="24"/>
          <w:szCs w:val="24"/>
        </w:rPr>
      </w:pPr>
      <w:r>
        <w:rPr>
          <w:rFonts w:hint="eastAsia" w:ascii="仿宋" w:hAnsi="仿宋" w:eastAsia="仿宋" w:cs="宋体"/>
          <w:b/>
          <w:sz w:val="24"/>
          <w:szCs w:val="24"/>
        </w:rPr>
        <w:t>★注：</w:t>
      </w:r>
      <w:r>
        <w:rPr>
          <w:rFonts w:hint="eastAsia" w:ascii="仿宋" w:hAnsi="仿宋" w:eastAsia="仿宋" w:cs="宋体"/>
          <w:b/>
          <w:sz w:val="24"/>
          <w:szCs w:val="24"/>
          <w:u w:val="single"/>
        </w:rPr>
        <w:t>上述人员配置是采购人的基本要求，投标人根据所列部门及实际现场踏勘后，为本项目承包区域内服务工作自行编制方案配备足够人员，但投入的服务人员及管理人员不得少于8</w:t>
      </w:r>
      <w:r>
        <w:rPr>
          <w:rFonts w:ascii="仿宋" w:hAnsi="仿宋" w:eastAsia="仿宋" w:cs="宋体"/>
          <w:b/>
          <w:sz w:val="24"/>
          <w:szCs w:val="24"/>
          <w:u w:val="single"/>
        </w:rPr>
        <w:t>0</w:t>
      </w:r>
      <w:r>
        <w:rPr>
          <w:rFonts w:hint="eastAsia" w:ascii="仿宋" w:hAnsi="仿宋" w:eastAsia="仿宋" w:cs="宋体"/>
          <w:b/>
          <w:sz w:val="24"/>
          <w:szCs w:val="24"/>
          <w:u w:val="single"/>
        </w:rPr>
        <w:t>人，否则投标无效。</w:t>
      </w:r>
    </w:p>
    <w:p>
      <w:pPr>
        <w:spacing w:line="380" w:lineRule="exact"/>
        <w:ind w:firstLine="470" w:firstLineChars="196"/>
        <w:jc w:val="left"/>
        <w:rPr>
          <w:rFonts w:ascii="仿宋" w:hAnsi="仿宋" w:eastAsia="仿宋" w:cs="宋体"/>
          <w:b/>
          <w:bCs/>
          <w:sz w:val="24"/>
          <w:szCs w:val="24"/>
        </w:rPr>
      </w:pPr>
      <w:bookmarkStart w:id="38" w:name="_Toc369095830"/>
      <w:r>
        <w:rPr>
          <w:rFonts w:hint="eastAsia" w:ascii="仿宋" w:hAnsi="仿宋" w:eastAsia="仿宋" w:cs="宋体"/>
          <w:b/>
          <w:bCs/>
          <w:sz w:val="24"/>
          <w:szCs w:val="24"/>
        </w:rPr>
        <w:t>（三）一般要求</w:t>
      </w:r>
      <w:bookmarkEnd w:id="38"/>
    </w:p>
    <w:p>
      <w:pPr>
        <w:spacing w:line="380" w:lineRule="exact"/>
        <w:ind w:firstLine="470" w:firstLineChars="196"/>
        <w:jc w:val="left"/>
        <w:rPr>
          <w:rFonts w:ascii="仿宋" w:hAnsi="仿宋" w:eastAsia="仿宋" w:cs="宋体"/>
          <w:b/>
          <w:sz w:val="24"/>
          <w:szCs w:val="24"/>
        </w:rPr>
      </w:pPr>
      <w:r>
        <w:rPr>
          <w:rFonts w:hint="eastAsia" w:ascii="仿宋" w:hAnsi="仿宋" w:eastAsia="仿宋" w:cs="宋体"/>
          <w:b/>
          <w:sz w:val="24"/>
          <w:szCs w:val="24"/>
        </w:rPr>
        <w:t>（1）主要工作内容：</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消防控制中心（微型消防站）、监控室值班；**室值班；VIP门禁管理、地面停车场车辆秩序；门诊楼巡逻；外来及职工自行车停放管理；急诊巡逻；住院部值勤巡逻；院区综合巡逻；院内突发性事件、**和治安、纠纷等应急任务。</w:t>
      </w:r>
    </w:p>
    <w:p>
      <w:pPr>
        <w:spacing w:line="380" w:lineRule="exact"/>
        <w:ind w:firstLine="470" w:firstLineChars="196"/>
        <w:jc w:val="left"/>
        <w:rPr>
          <w:rFonts w:ascii="仿宋" w:hAnsi="仿宋" w:eastAsia="仿宋" w:cs="宋体"/>
          <w:b/>
          <w:sz w:val="24"/>
          <w:szCs w:val="24"/>
        </w:rPr>
      </w:pPr>
      <w:r>
        <w:rPr>
          <w:rFonts w:hint="eastAsia" w:ascii="仿宋" w:hAnsi="仿宋" w:eastAsia="仿宋" w:cs="宋体"/>
          <w:b/>
          <w:sz w:val="24"/>
          <w:szCs w:val="24"/>
        </w:rPr>
        <w:t>（2）人员素质要求：</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1、品行端正，无任何不良社会记录，热爱警卫工作;</w:t>
      </w:r>
      <w:r>
        <w:rPr>
          <w:rFonts w:hint="eastAsia" w:ascii="仿宋" w:hAnsi="仿宋" w:eastAsia="仿宋" w:cs="宋体"/>
          <w:sz w:val="24"/>
          <w:szCs w:val="24"/>
        </w:rPr>
        <w:t>有保安证；</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2、身体健康，五官端正，无纹身</w:t>
      </w:r>
      <w:r>
        <w:rPr>
          <w:rFonts w:hint="eastAsia" w:ascii="仿宋" w:hAnsi="仿宋" w:eastAsia="仿宋" w:cs="宋体"/>
          <w:sz w:val="24"/>
          <w:szCs w:val="24"/>
        </w:rPr>
        <w:t>，无染发</w:t>
      </w:r>
      <w:r>
        <w:rPr>
          <w:rFonts w:ascii="仿宋" w:hAnsi="仿宋" w:eastAsia="仿宋" w:cs="宋体"/>
          <w:sz w:val="24"/>
          <w:szCs w:val="24"/>
        </w:rPr>
        <w:t>，裸眼视力在</w:t>
      </w:r>
      <w:r>
        <w:rPr>
          <w:rFonts w:hint="eastAsia" w:ascii="仿宋" w:hAnsi="仿宋" w:eastAsia="仿宋" w:cs="宋体"/>
          <w:sz w:val="24"/>
          <w:szCs w:val="24"/>
        </w:rPr>
        <w:t>1.0</w:t>
      </w:r>
      <w:r>
        <w:rPr>
          <w:rFonts w:ascii="仿宋" w:hAnsi="仿宋" w:eastAsia="仿宋" w:cs="宋体"/>
          <w:sz w:val="24"/>
          <w:szCs w:val="24"/>
        </w:rPr>
        <w:t>以上;</w:t>
      </w:r>
      <w:r>
        <w:rPr>
          <w:rFonts w:hint="eastAsia" w:ascii="仿宋" w:hAnsi="仿宋" w:eastAsia="仿宋" w:cs="宋体"/>
          <w:sz w:val="24"/>
          <w:szCs w:val="24"/>
        </w:rPr>
        <w:t>(市级以上医院出具的健康体检报告）；</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3、男：</w:t>
      </w:r>
      <w:r>
        <w:rPr>
          <w:rFonts w:hint="eastAsia" w:ascii="仿宋" w:hAnsi="仿宋" w:eastAsia="仿宋" w:cs="宋体"/>
          <w:sz w:val="24"/>
          <w:szCs w:val="24"/>
        </w:rPr>
        <w:t>55</w:t>
      </w:r>
      <w:r>
        <w:rPr>
          <w:rFonts w:ascii="仿宋" w:hAnsi="仿宋" w:eastAsia="仿宋" w:cs="宋体"/>
          <w:sz w:val="24"/>
          <w:szCs w:val="24"/>
        </w:rPr>
        <w:t>周岁</w:t>
      </w:r>
      <w:r>
        <w:rPr>
          <w:rFonts w:hint="eastAsia" w:ascii="仿宋" w:hAnsi="仿宋" w:eastAsia="仿宋" w:cs="宋体"/>
          <w:sz w:val="24"/>
          <w:szCs w:val="24"/>
        </w:rPr>
        <w:t>以下</w:t>
      </w:r>
      <w:r>
        <w:rPr>
          <w:rFonts w:ascii="仿宋" w:hAnsi="仿宋" w:eastAsia="仿宋" w:cs="宋体"/>
          <w:sz w:val="24"/>
          <w:szCs w:val="24"/>
        </w:rPr>
        <w:t>，身高1.70m以上；</w:t>
      </w:r>
      <w:r>
        <w:rPr>
          <w:rFonts w:hint="eastAsia" w:ascii="仿宋" w:hAnsi="仿宋" w:eastAsia="仿宋" w:cs="宋体"/>
          <w:sz w:val="24"/>
          <w:szCs w:val="24"/>
        </w:rPr>
        <w:t>女：35周岁以下（会电脑操作）。</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4、反应灵敏，具有一定的应变和说服能力，会讲普通话；</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5、初中以上文化程度；</w:t>
      </w:r>
    </w:p>
    <w:p>
      <w:pPr>
        <w:spacing w:line="380" w:lineRule="exact"/>
        <w:ind w:firstLine="480" w:firstLineChars="200"/>
        <w:jc w:val="left"/>
        <w:rPr>
          <w:rFonts w:ascii="仿宋" w:hAnsi="仿宋" w:eastAsia="仿宋" w:cs="宋体"/>
          <w:sz w:val="24"/>
          <w:szCs w:val="24"/>
        </w:rPr>
      </w:pPr>
      <w:r>
        <w:rPr>
          <w:rFonts w:ascii="仿宋" w:hAnsi="仿宋" w:eastAsia="仿宋" w:cs="宋体"/>
          <w:sz w:val="24"/>
          <w:szCs w:val="24"/>
        </w:rPr>
        <w:t>6、党员、退伍军人、武校毕业人员、有保安工作经验者</w:t>
      </w:r>
      <w:r>
        <w:rPr>
          <w:rFonts w:hint="eastAsia" w:ascii="仿宋" w:hAnsi="仿宋" w:eastAsia="仿宋" w:cs="宋体"/>
          <w:sz w:val="24"/>
          <w:szCs w:val="24"/>
        </w:rPr>
        <w:t>、</w:t>
      </w:r>
      <w:r>
        <w:rPr>
          <w:rFonts w:ascii="仿宋" w:hAnsi="仿宋" w:eastAsia="仿宋" w:cs="宋体"/>
          <w:sz w:val="24"/>
          <w:szCs w:val="24"/>
        </w:rPr>
        <w:t>身高1.78m以上和有技术专长者优先录用；</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7、招收的队员须先经保安公司岗前培训合格，再</w:t>
      </w:r>
      <w:r>
        <w:rPr>
          <w:rFonts w:ascii="仿宋" w:hAnsi="仿宋" w:eastAsia="仿宋" w:cs="宋体"/>
          <w:sz w:val="24"/>
          <w:szCs w:val="24"/>
        </w:rPr>
        <w:t>经</w:t>
      </w:r>
      <w:r>
        <w:rPr>
          <w:rFonts w:hint="eastAsia" w:ascii="仿宋" w:hAnsi="仿宋" w:eastAsia="仿宋" w:cs="宋体"/>
          <w:sz w:val="24"/>
          <w:szCs w:val="24"/>
        </w:rPr>
        <w:t>医院保卫科</w:t>
      </w:r>
      <w:r>
        <w:rPr>
          <w:rFonts w:ascii="仿宋" w:hAnsi="仿宋" w:eastAsia="仿宋" w:cs="宋体"/>
          <w:sz w:val="24"/>
          <w:szCs w:val="24"/>
        </w:rPr>
        <w:t>面试、</w:t>
      </w:r>
      <w:r>
        <w:rPr>
          <w:rFonts w:hint="eastAsia" w:ascii="仿宋" w:hAnsi="仿宋" w:eastAsia="仿宋" w:cs="宋体"/>
          <w:sz w:val="24"/>
          <w:szCs w:val="24"/>
        </w:rPr>
        <w:t>审查通过</w:t>
      </w:r>
      <w:r>
        <w:rPr>
          <w:rFonts w:ascii="仿宋" w:hAnsi="仿宋" w:eastAsia="仿宋" w:cs="宋体"/>
          <w:sz w:val="24"/>
          <w:szCs w:val="24"/>
        </w:rPr>
        <w:t>后，</w:t>
      </w:r>
      <w:r>
        <w:rPr>
          <w:rFonts w:hint="eastAsia" w:ascii="仿宋" w:hAnsi="仿宋" w:eastAsia="仿宋" w:cs="宋体"/>
          <w:sz w:val="24"/>
          <w:szCs w:val="24"/>
        </w:rPr>
        <w:t>方可录用</w:t>
      </w:r>
      <w:r>
        <w:rPr>
          <w:rFonts w:ascii="仿宋" w:hAnsi="仿宋" w:eastAsia="仿宋" w:cs="宋体"/>
          <w:sz w:val="24"/>
          <w:szCs w:val="24"/>
        </w:rPr>
        <w:t>。</w:t>
      </w:r>
    </w:p>
    <w:p>
      <w:pPr>
        <w:spacing w:line="380" w:lineRule="exact"/>
        <w:ind w:firstLine="352" w:firstLineChars="147"/>
        <w:jc w:val="left"/>
        <w:rPr>
          <w:rFonts w:ascii="仿宋" w:hAnsi="仿宋" w:eastAsia="仿宋" w:cs="宋体"/>
          <w:b/>
          <w:sz w:val="24"/>
          <w:szCs w:val="24"/>
        </w:rPr>
      </w:pPr>
      <w:r>
        <w:rPr>
          <w:rFonts w:hint="eastAsia" w:ascii="仿宋" w:hAnsi="仿宋" w:eastAsia="仿宋" w:cs="宋体"/>
          <w:b/>
          <w:sz w:val="24"/>
          <w:szCs w:val="24"/>
        </w:rPr>
        <w:t>（3）保安装备配备要求：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（物权归属保安公司，装备数量由投标人在投标时提供具体方案，表格可扩展）：</w:t>
      </w:r>
    </w:p>
    <w:tbl>
      <w:tblPr>
        <w:tblStyle w:val="51"/>
        <w:tblW w:w="0" w:type="auto"/>
        <w:tblInd w:w="533" w:type="dxa"/>
        <w:tblLayout w:type="fixed"/>
        <w:tblCellMar>
          <w:top w:w="0" w:type="dxa"/>
          <w:left w:w="108" w:type="dxa"/>
          <w:bottom w:w="0" w:type="dxa"/>
          <w:right w:w="108" w:type="dxa"/>
        </w:tblCellMar>
      </w:tblPr>
      <w:tblGrid>
        <w:gridCol w:w="1384"/>
        <w:gridCol w:w="2302"/>
        <w:gridCol w:w="1276"/>
        <w:gridCol w:w="1559"/>
        <w:gridCol w:w="1984"/>
      </w:tblGrid>
      <w:tr>
        <w:tblPrEx>
          <w:tblCellMar>
            <w:top w:w="0" w:type="dxa"/>
            <w:left w:w="108" w:type="dxa"/>
            <w:bottom w:w="0" w:type="dxa"/>
            <w:right w:w="108" w:type="dxa"/>
          </w:tblCellMar>
        </w:tblPrEx>
        <w:trPr>
          <w:trHeight w:val="77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b/>
                <w:sz w:val="24"/>
                <w:szCs w:val="24"/>
              </w:rPr>
            </w:pPr>
            <w:r>
              <w:rPr>
                <w:rFonts w:hint="eastAsia" w:ascii="仿宋" w:hAnsi="仿宋" w:eastAsia="仿宋" w:cs="宋体"/>
                <w:b/>
                <w:sz w:val="24"/>
                <w:szCs w:val="24"/>
              </w:rPr>
              <w:t>序号</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b/>
                <w:sz w:val="24"/>
                <w:szCs w:val="24"/>
              </w:rPr>
            </w:pPr>
            <w:r>
              <w:rPr>
                <w:rFonts w:hint="eastAsia" w:ascii="仿宋" w:hAnsi="仿宋" w:eastAsia="仿宋" w:cs="宋体"/>
                <w:b/>
                <w:sz w:val="24"/>
                <w:szCs w:val="24"/>
              </w:rPr>
              <w:t>名  称</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b/>
                <w:sz w:val="24"/>
                <w:szCs w:val="24"/>
              </w:rPr>
            </w:pPr>
            <w:r>
              <w:rPr>
                <w:rFonts w:hint="eastAsia" w:ascii="仿宋" w:hAnsi="仿宋" w:eastAsia="仿宋" w:cs="宋体"/>
                <w:b/>
                <w:sz w:val="24"/>
                <w:szCs w:val="24"/>
              </w:rPr>
              <w:t>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b/>
                <w:sz w:val="24"/>
                <w:szCs w:val="24"/>
              </w:rPr>
            </w:pPr>
            <w:r>
              <w:rPr>
                <w:rFonts w:hint="eastAsia" w:ascii="仿宋" w:hAnsi="仿宋" w:eastAsia="仿宋" w:cs="宋体"/>
                <w:b/>
                <w:sz w:val="24"/>
                <w:szCs w:val="24"/>
              </w:rPr>
              <w:t>数量</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b/>
                <w:sz w:val="24"/>
                <w:szCs w:val="24"/>
              </w:rPr>
            </w:pPr>
            <w:r>
              <w:rPr>
                <w:rFonts w:hint="eastAsia" w:ascii="仿宋" w:hAnsi="仿宋" w:eastAsia="仿宋" w:cs="宋体"/>
                <w:b/>
                <w:sz w:val="24"/>
                <w:szCs w:val="24"/>
              </w:rPr>
              <w:t>备注</w:t>
            </w:r>
          </w:p>
        </w:tc>
      </w:tr>
      <w:tr>
        <w:tblPrEx>
          <w:tblCellMar>
            <w:top w:w="0" w:type="dxa"/>
            <w:left w:w="108" w:type="dxa"/>
            <w:bottom w:w="0" w:type="dxa"/>
            <w:right w:w="108" w:type="dxa"/>
          </w:tblCellMar>
        </w:tblPrEx>
        <w:trPr>
          <w:trHeight w:val="563"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防暴头盔</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顶</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restart"/>
            <w:tcBorders>
              <w:top w:val="single" w:color="auto" w:sz="4" w:space="0"/>
              <w:left w:val="nil"/>
              <w:bottom w:val="single" w:color="auto" w:sz="4" w:space="0"/>
              <w:right w:val="single" w:color="auto" w:sz="4" w:space="0"/>
            </w:tcBorders>
            <w:noWrap w:val="0"/>
            <w:vAlign w:val="center"/>
          </w:tcPr>
          <w:p>
            <w:pPr>
              <w:spacing w:line="380" w:lineRule="exact"/>
              <w:jc w:val="center"/>
              <w:rPr>
                <w:rFonts w:ascii="仿宋" w:hAnsi="仿宋" w:eastAsia="仿宋" w:cs="宋体"/>
                <w:sz w:val="24"/>
                <w:szCs w:val="24"/>
              </w:rPr>
            </w:pPr>
            <w:r>
              <w:rPr>
                <w:rFonts w:hint="eastAsia" w:ascii="仿宋" w:hAnsi="仿宋" w:eastAsia="仿宋" w:cs="宋体"/>
                <w:sz w:val="24"/>
                <w:szCs w:val="24"/>
              </w:rPr>
              <w:t>防护应对</w:t>
            </w:r>
          </w:p>
        </w:tc>
      </w:tr>
      <w:tr>
        <w:tblPrEx>
          <w:tblCellMar>
            <w:top w:w="0" w:type="dxa"/>
            <w:left w:w="108" w:type="dxa"/>
            <w:bottom w:w="0" w:type="dxa"/>
            <w:right w:w="108" w:type="dxa"/>
          </w:tblCellMar>
        </w:tblPrEx>
        <w:trPr>
          <w:trHeight w:val="557"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防刺背心</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3</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防护盾牌</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块</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545"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4</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防割手套</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双</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21"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5</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防护盾牌</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块</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6</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腰叉</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7</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橡胶棒</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restart"/>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日常应对</w:t>
            </w: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8</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约束带</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9</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多功能腰带</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10</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反光背心</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11</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强光手电</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支</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12</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伸缩棍</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13</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春秋套装</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restart"/>
            <w:tcBorders>
              <w:top w:val="nil"/>
              <w:left w:val="nil"/>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统一形象</w:t>
            </w:r>
          </w:p>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14</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长裤（厚）</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条</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15</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蓝色长袖衬衫</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16</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软帽</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17</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硬帽</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18</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棉夹克（冬季执勤服）</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right w:val="single" w:color="auto" w:sz="4" w:space="0"/>
            </w:tcBorders>
            <w:noWrap w:val="0"/>
            <w:vAlign w:val="center"/>
          </w:tcPr>
          <w:p>
            <w:pPr>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19</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白手套</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双</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20</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蓝色短袖衬衣</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21</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雨衣</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件</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restart"/>
            <w:tcBorders>
              <w:top w:val="nil"/>
              <w:left w:val="nil"/>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雨雪天巡逻</w:t>
            </w: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22</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雨鞋</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双</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vMerge w:val="continue"/>
            <w:tcBorders>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r>
        <w:tblPrEx>
          <w:tblCellMar>
            <w:top w:w="0" w:type="dxa"/>
            <w:left w:w="108" w:type="dxa"/>
            <w:bottom w:w="0" w:type="dxa"/>
            <w:right w:w="108" w:type="dxa"/>
          </w:tblCellMar>
        </w:tblPrEx>
        <w:trPr>
          <w:trHeight w:val="499" w:hRule="atLeast"/>
        </w:trPr>
        <w:tc>
          <w:tcPr>
            <w:tcW w:w="1384"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23</w:t>
            </w:r>
          </w:p>
        </w:tc>
        <w:tc>
          <w:tcPr>
            <w:tcW w:w="2302" w:type="dxa"/>
            <w:tcBorders>
              <w:top w:val="nil"/>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ascii="仿宋" w:hAnsi="仿宋" w:eastAsia="仿宋" w:cs="宋体"/>
                <w:sz w:val="24"/>
                <w:szCs w:val="24"/>
              </w:rPr>
              <w:t>无线对讲机</w:t>
            </w:r>
          </w:p>
        </w:tc>
        <w:tc>
          <w:tcPr>
            <w:tcW w:w="1276" w:type="dxa"/>
            <w:tcBorders>
              <w:top w:val="nil"/>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只</w:t>
            </w:r>
          </w:p>
        </w:tc>
        <w:tc>
          <w:tcPr>
            <w:tcW w:w="155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tcBorders>
              <w:top w:val="nil"/>
              <w:left w:val="nil"/>
              <w:bottom w:val="single" w:color="auto" w:sz="4" w:space="0"/>
              <w:right w:val="single" w:color="auto" w:sz="4" w:space="0"/>
            </w:tcBorders>
            <w:noWrap w:val="0"/>
            <w:vAlign w:val="center"/>
          </w:tcPr>
          <w:p>
            <w:pPr>
              <w:widowControl/>
              <w:spacing w:line="380" w:lineRule="exact"/>
              <w:ind w:firstLine="360" w:firstLineChars="150"/>
              <w:rPr>
                <w:rFonts w:ascii="仿宋" w:hAnsi="仿宋" w:eastAsia="仿宋" w:cs="宋体"/>
                <w:sz w:val="24"/>
                <w:szCs w:val="24"/>
              </w:rPr>
            </w:pPr>
            <w:r>
              <w:rPr>
                <w:rFonts w:hint="eastAsia" w:ascii="仿宋" w:hAnsi="仿宋" w:eastAsia="仿宋" w:cs="宋体"/>
                <w:sz w:val="24"/>
                <w:szCs w:val="24"/>
              </w:rPr>
              <w:t>执勤联络</w:t>
            </w:r>
          </w:p>
        </w:tc>
      </w:tr>
      <w:tr>
        <w:tblPrEx>
          <w:tblCellMar>
            <w:top w:w="0" w:type="dxa"/>
            <w:left w:w="108" w:type="dxa"/>
            <w:bottom w:w="0" w:type="dxa"/>
            <w:right w:w="108" w:type="dxa"/>
          </w:tblCellMar>
        </w:tblPrEx>
        <w:trPr>
          <w:trHeight w:val="499"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24</w:t>
            </w:r>
          </w:p>
        </w:tc>
        <w:tc>
          <w:tcPr>
            <w:tcW w:w="230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投标单位认为需要的其他物品或设备</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仿宋" w:hAnsi="仿宋" w:eastAsia="仿宋" w:cs="宋体"/>
                <w:sz w:val="24"/>
                <w:szCs w:val="24"/>
              </w:rPr>
            </w:pPr>
            <w:r>
              <w:rPr>
                <w:rFonts w:hint="eastAsia" w:ascii="仿宋" w:hAnsi="仿宋" w:eastAsia="仿宋" w:cs="宋体"/>
                <w:sz w:val="24"/>
                <w:szCs w:val="24"/>
              </w:rPr>
              <w:t>若干</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z w:val="24"/>
                <w:szCs w:val="24"/>
              </w:rPr>
            </w:pPr>
          </w:p>
        </w:tc>
      </w:tr>
    </w:tbl>
    <w:p>
      <w:pPr>
        <w:spacing w:line="380" w:lineRule="exact"/>
        <w:ind w:firstLine="470" w:firstLineChars="196"/>
        <w:jc w:val="left"/>
        <w:rPr>
          <w:rFonts w:ascii="仿宋" w:hAnsi="仿宋" w:eastAsia="仿宋" w:cs="宋体"/>
          <w:b/>
          <w:sz w:val="24"/>
          <w:szCs w:val="24"/>
        </w:rPr>
      </w:pPr>
      <w:r>
        <w:rPr>
          <w:rFonts w:hint="eastAsia" w:ascii="仿宋" w:hAnsi="仿宋" w:eastAsia="仿宋" w:cs="宋体"/>
          <w:sz w:val="24"/>
          <w:szCs w:val="24"/>
        </w:rPr>
        <w:t>备注：以上装备具体数量按照人员数量配备，更换要及时，使用管理要到位</w:t>
      </w:r>
      <w:r>
        <w:rPr>
          <w:rFonts w:hint="eastAsia" w:ascii="仿宋" w:hAnsi="仿宋" w:eastAsia="仿宋" w:cs="宋体"/>
          <w:b/>
          <w:sz w:val="24"/>
          <w:szCs w:val="24"/>
        </w:rPr>
        <w:t>。</w:t>
      </w:r>
    </w:p>
    <w:p>
      <w:pPr>
        <w:spacing w:line="380" w:lineRule="exact"/>
        <w:ind w:firstLine="470" w:firstLineChars="196"/>
        <w:jc w:val="left"/>
        <w:rPr>
          <w:rFonts w:ascii="仿宋" w:hAnsi="仿宋" w:eastAsia="仿宋" w:cs="宋体"/>
          <w:b/>
          <w:sz w:val="24"/>
          <w:szCs w:val="24"/>
        </w:rPr>
      </w:pPr>
      <w:r>
        <w:rPr>
          <w:rFonts w:hint="eastAsia" w:ascii="仿宋" w:hAnsi="仿宋" w:eastAsia="仿宋" w:cs="宋体"/>
          <w:b/>
          <w:sz w:val="24"/>
          <w:szCs w:val="24"/>
        </w:rPr>
        <w:t>（4）其他要求：</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1、须有1名以上人员执消控操作员上岗证并给予相应的工资待遇，保安队长同队员的待遇比例为 1.2（队长）:1.0（队员），（该资金来源于中标金额中）；</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2、对于保安的节假日加班费、高温补贴、临时应急加班等，应按照政府相关规定予以保障（该资金来源于中标金额中）；</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3、随着形势发展的要求，门诊、急诊、病房巡逻保安要求佩戴武装巡逻器械，以应对突发事件；保安公司对相关保安服装应按照医院保卫科要求予以配备；</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4、保安公司应设立保安岗前培训考核制度，培训合格后再交业主单位审核、达标后予以正式录用；</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对于保安的工作质量考核，奖勤罚懒，具体考核细则由业主单位与本项目中标单位共同制定，每月由医院保卫科考核打分，按分值分发奖金（该资金来源于中标金额中，由业主按300元/人/月先行提取，考核后发放）；</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6、保安执勤为每班8小时，值班人员为24小时（补休1天）；</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 xml:space="preserve"> 7、保安必须保持24小时通讯畅通，遇到应急事件，无论值班、休息，保安必须无条件赶赴事发地的时间为5—15分钟。</w:t>
      </w:r>
    </w:p>
    <w:p>
      <w:pPr>
        <w:spacing w:line="380" w:lineRule="exact"/>
        <w:jc w:val="left"/>
        <w:rPr>
          <w:rFonts w:ascii="仿宋" w:hAnsi="仿宋" w:eastAsia="仿宋" w:cs="宋体"/>
          <w:b/>
          <w:bCs/>
          <w:sz w:val="24"/>
          <w:szCs w:val="24"/>
        </w:rPr>
      </w:pPr>
      <w:bookmarkStart w:id="39" w:name="_Toc369095831"/>
      <w:r>
        <w:rPr>
          <w:rFonts w:hint="eastAsia" w:ascii="仿宋" w:hAnsi="仿宋" w:eastAsia="仿宋" w:cs="宋体"/>
          <w:b/>
          <w:bCs/>
          <w:sz w:val="24"/>
          <w:szCs w:val="24"/>
        </w:rPr>
        <w:t>（四）具体服务要求</w:t>
      </w:r>
      <w:bookmarkEnd w:id="39"/>
    </w:p>
    <w:p>
      <w:pPr>
        <w:spacing w:line="380" w:lineRule="exact"/>
        <w:ind w:firstLine="352" w:firstLineChars="147"/>
        <w:jc w:val="left"/>
        <w:rPr>
          <w:rFonts w:ascii="仿宋" w:hAnsi="仿宋" w:eastAsia="仿宋" w:cs="宋体"/>
          <w:b/>
          <w:sz w:val="24"/>
          <w:szCs w:val="24"/>
        </w:rPr>
      </w:pPr>
      <w:r>
        <w:rPr>
          <w:rFonts w:hint="eastAsia" w:ascii="仿宋" w:hAnsi="仿宋" w:eastAsia="仿宋" w:cs="宋体"/>
          <w:b/>
          <w:sz w:val="24"/>
          <w:szCs w:val="24"/>
        </w:rPr>
        <w:t>总体要求：</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1、严格按照相关岗位职责及操作规范执行；</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2、各岗位人员均应经过专业培训，熟练掌握消防、治安专业知识，树立防盗、防火、防破坏、防灾害事故意识，热爱本职工作；</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3、按标准着装、佩证上岗，配备相应保安器材，做到言行有礼，文明执勤；</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4、坚守工作岗位，保持值勤岗位整洁，维护好医院正常治安秩序；根据疫情防控要求，协助做好疫情防控的各项工作；</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5、严格执行24小时值班巡逻制度，对巡逻中发现的不安全因素和隐患，应及时向保卫科汇报；若遇突发性案件、事故，应立即报告相关部门，并协助处理；每季度组织一次应对突发事件处置的预演和消防演练；</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6、严格保密制度，严禁向外人泄露医院内部机密，不得擅自把亲友带到值勤点留宿；</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7、不得擅自挪动和私自使用存放在保安责任范围内的车辆、设备、产品、原材料、生活用品和报刊信件等；</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8、认真做好交接班工作，写好值勤记录和台帐，严格请假销假制度；</w:t>
      </w:r>
    </w:p>
    <w:p>
      <w:pPr>
        <w:spacing w:line="380" w:lineRule="exact"/>
        <w:ind w:firstLine="480" w:firstLineChars="200"/>
        <w:jc w:val="left"/>
        <w:rPr>
          <w:rFonts w:ascii="仿宋" w:hAnsi="仿宋" w:eastAsia="仿宋" w:cs="宋体"/>
          <w:b/>
          <w:sz w:val="24"/>
          <w:szCs w:val="24"/>
        </w:rPr>
      </w:pPr>
      <w:r>
        <w:rPr>
          <w:rFonts w:hint="eastAsia" w:ascii="仿宋" w:hAnsi="仿宋" w:eastAsia="仿宋" w:cs="宋体"/>
          <w:sz w:val="24"/>
          <w:szCs w:val="24"/>
        </w:rPr>
        <w:t>9、自觉遵守医院规章制度，维护保养好仪器设备，爱护公共财务，维护保安人员的良好形象。</w:t>
      </w:r>
    </w:p>
    <w:p>
      <w:pPr>
        <w:spacing w:line="380" w:lineRule="exact"/>
        <w:ind w:firstLine="352" w:firstLineChars="147"/>
        <w:jc w:val="left"/>
        <w:rPr>
          <w:rFonts w:ascii="仿宋" w:hAnsi="仿宋" w:eastAsia="仿宋" w:cs="宋体"/>
          <w:b/>
          <w:sz w:val="24"/>
          <w:szCs w:val="24"/>
        </w:rPr>
      </w:pPr>
      <w:r>
        <w:rPr>
          <w:rFonts w:hint="eastAsia" w:ascii="仿宋" w:hAnsi="仿宋" w:eastAsia="仿宋" w:cs="宋体"/>
          <w:b/>
          <w:sz w:val="24"/>
          <w:szCs w:val="24"/>
        </w:rPr>
        <w:t>具体要求：</w:t>
      </w:r>
    </w:p>
    <w:p>
      <w:pPr>
        <w:spacing w:line="380" w:lineRule="exact"/>
        <w:ind w:firstLine="360" w:firstLineChars="150"/>
        <w:jc w:val="left"/>
        <w:rPr>
          <w:rFonts w:ascii="仿宋" w:hAnsi="仿宋" w:eastAsia="仿宋" w:cs="宋体"/>
          <w:sz w:val="24"/>
          <w:szCs w:val="24"/>
        </w:rPr>
      </w:pPr>
      <w:r>
        <w:rPr>
          <w:rFonts w:ascii="仿宋" w:hAnsi="仿宋" w:eastAsia="仿宋" w:cs="宋体"/>
          <w:sz w:val="24"/>
          <w:szCs w:val="24"/>
        </w:rPr>
        <w:t>A</w:t>
      </w:r>
      <w:r>
        <w:rPr>
          <w:rFonts w:hint="eastAsia" w:ascii="仿宋" w:hAnsi="仿宋" w:eastAsia="仿宋" w:cs="宋体"/>
          <w:sz w:val="24"/>
          <w:szCs w:val="24"/>
        </w:rPr>
        <w:t>、消控中心（微型消防站）、**室值班人员工作要求：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1、实行24小时专人值班，负责对各种消防控制设备的监视和运用；</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2、对消防控制室（微型消防站）设备、通信器材和消防器材等要经常性检查，定期做好各系统功能实验，以确保消防设施各系统状况良好；</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3、积极参加消防专业培训，未经公安消防机构培训合格的人员，不得上岗；</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4、值班时间严格遵守规章制度；</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5、操作人员需具有初中以上文化程度，年龄在55周岁以下，身体健康，无不良嗜好；</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6、详细做好消控室（微型消防站）值班记录。</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B、监控室工作人员工作要求：</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1、监控室工作员应按时上下班，不得擅离岗位。</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2、监控室工作员必须严格按照规定时间、范围，集中精力严密观察，对异常可疑情况作好记录并录像。</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3、监控员应根据他人提供的情况及从屏幕中观察到的可疑情况，进行定时、定位、定人及时录像，并做好记录。对电话报案及发现刑案、治安案件、火灾、事故等应迅速按照程序上报处理。</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4、监控员在当班时不准做与工作无关的事，严守工作纪律。监控室禁止无关人员入内，其他部门确因工作需要来监控室的人员也应作好登记。</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5、监控员应爱护使用的设备，以延长机器的使用寿命，不得擅自拆装设备。</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6、在当班时主动做好监控室的清洁卫生工作，保持整洁。禁止在监控中心吸烟。</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7、监控室所监控范围及摄像监视头的开关时间均属保密，不传播监控中发现的各种情况特别是他人隐私；不损害他人声誉；不在院内及院外和非值班场合谈论监控过程；不泄露监控录像内容；无公安机关出具的破案需要证明或非经院领导批准，不外借录像资料或为保卫科以外的人员翻看、检索监控资料。因不遵守保密制度而造成严重不良后果的，由泄密人员承担法律责任。</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8、保持通信联络畅通。保证有线电话、无线对讲机等通信设备始终处于良好的工作状态；发生故障及时报修；不占用监控室电话处理与监控、报警、指挥无关的事情。</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9、严格遵守监控设备操作程序，禁止调整改动工控计算机系统。</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10、协助保卫科长做好安全生产资料和资料报送工作。</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11、年龄： 35周岁以下，身体健康，无不良嗜好；</w:t>
      </w:r>
    </w:p>
    <w:p>
      <w:pPr>
        <w:spacing w:line="380" w:lineRule="exact"/>
        <w:ind w:firstLine="480" w:firstLineChars="200"/>
        <w:rPr>
          <w:rFonts w:ascii="仿宋" w:hAnsi="仿宋" w:eastAsia="仿宋"/>
          <w:sz w:val="24"/>
          <w:szCs w:val="24"/>
        </w:rPr>
      </w:pPr>
      <w:r>
        <w:rPr>
          <w:rFonts w:hint="eastAsia" w:ascii="仿宋" w:hAnsi="仿宋" w:eastAsia="仿宋"/>
          <w:sz w:val="24"/>
          <w:szCs w:val="24"/>
        </w:rPr>
        <w:t>12、服从医院安排，完成科长临时指令性任务。</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C、**室人员工作要求：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1、实行24小时值班，对携带物品出院门的人和车辆，应根据情况实行出门证检查制度，凡不符合手续的物品有权扣留，并报保卫科处理；</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2、积极做好各保安间的工作协调，做到分工负责，相互协作；</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3、维护医院大门口的秩序，保证医院主干通道畅通；</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4、详细做好值班记录。</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5、服从医院安排，完成科长临时指令性任务。</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D、门诊巡逻保安工作要求：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1、全天24小时值勤，负责对门诊楼的安全巡查，特别是在挂号收费处、抽血化验、输液处、放射候诊处等重点区域要加强巡查、维护秩序，提醒就诊患者保管好随身物品，保证门诊楼治安安全；</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 xml:space="preserve">  2、对医托、号贩子、散发广告者、推销产品者及其他闲散人员要加强管理，予以警告、拦截、驱逐，维护好就诊区域良好的治安环境；</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3、医务人员下班后，负责检查各诊室门窗关闭情况，发现问题及时纠正。负责门诊楼电视、路灯开关，注意节约用电用水；</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4、服从医院安排，完成科长临时指令性任务。</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E、急诊巡逻保安工作要求：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1、全天24小时值勤，负责对急诊区域的安全巡查，特别是在输液处、候诊处、抢救室、观察室等重点区域要加强巡查、维护秩序，提醒就诊患者保管好随身物品，保证门诊楼治安安全；</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2、加强通道管理，保证通道畅通；</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3、对散发广告者、推销产品者及其他闲散人员要加强管理，予以警告、拦截、驱逐，维护好就诊区域良好的治安环境；</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4、负责急诊区域内电视、路灯开关，注意节约用电用水。</w:t>
      </w:r>
    </w:p>
    <w:p>
      <w:pPr>
        <w:spacing w:line="380" w:lineRule="exact"/>
        <w:ind w:firstLine="480"/>
        <w:jc w:val="left"/>
        <w:rPr>
          <w:rFonts w:ascii="仿宋" w:hAnsi="仿宋" w:eastAsia="仿宋" w:cs="宋体"/>
          <w:sz w:val="24"/>
          <w:szCs w:val="24"/>
        </w:rPr>
      </w:pPr>
      <w:r>
        <w:rPr>
          <w:rFonts w:hint="eastAsia" w:ascii="仿宋" w:hAnsi="仿宋" w:eastAsia="仿宋" w:cs="宋体"/>
          <w:sz w:val="24"/>
          <w:szCs w:val="24"/>
        </w:rPr>
        <w:t>5、服从医院安排，完成科长临时指令性任务。</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F、住院部保安、巡逻工作要求：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1、全天24小时值勤，按照医院的规定，负责对住院部进行有效管理、安全巡查，维护好各病房秩序；</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2、发现可疑人员，及时予以盘问；对推销产品、发放广告等人员要进行拦截，并予以警告；</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3、加强对病房勤务人员、陪护人员的安全管理，严格执行凭证出入制度，定时进行安全检查；</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4、对携带出住院楼的物品，进行严格查验，凭出门证放行；</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5、保证住院处门口通道畅通，管理好门口停放车辆；</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 xml:space="preserve">  6、协助病房处理好突发事件，完成上级赋予的临时任务；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7、负责住院楼电视、路灯开关，注意节约用电用水。</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8、服从医院安排，完成科长临时指令性任务。</w:t>
      </w:r>
    </w:p>
    <w:p>
      <w:pPr>
        <w:spacing w:line="3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G、院区、停车场保安巡逻工作要求：</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1、24小时值勤，负责对院建筑物外区域、停车场进行定时巡查，及时处理各类治安消防事件；</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2、随时查看出入口交通情况，管理好120处的车辆停放，保证急救通道及主干通道畅通；</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3、加强巡查，对在院内违规停放的车辆进行劝说、整理，保证院内道路畅通无阻；服从医院安排，完成科长临时指令性任务。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H、门卫值班人员工作要求：</w:t>
      </w:r>
    </w:p>
    <w:p>
      <w:pPr>
        <w:spacing w:line="380" w:lineRule="exact"/>
        <w:ind w:firstLine="540" w:firstLineChars="225"/>
        <w:jc w:val="left"/>
        <w:rPr>
          <w:rFonts w:ascii="仿宋" w:hAnsi="仿宋" w:eastAsia="仿宋" w:cs="宋体"/>
          <w:sz w:val="24"/>
          <w:szCs w:val="24"/>
        </w:rPr>
      </w:pPr>
      <w:r>
        <w:rPr>
          <w:rFonts w:hint="eastAsia" w:ascii="仿宋" w:hAnsi="仿宋" w:eastAsia="仿宋" w:cs="宋体"/>
          <w:sz w:val="24"/>
          <w:szCs w:val="24"/>
        </w:rPr>
        <w:t>1、24小时值勤，负责对院建筑物外区域、停车场进行定时巡查，及时处理各类治安消防事件。</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2、随时查看出入口交通情况，管理好停车场内车辆停放，保证急救通道及主干通道畅通。</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3、加强巡查，对在院内违规停放的车辆进行劝说、整理，保证院内道路畅通无阻；完成保卫科赋予的临时任务。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4、认真完成报刊杂志信（邮）件收发任务。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5、积极完成医院交办的其它日常工作任务。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6、积极服从保卫科长临时安排的工作任务和其它应急突发事件的处置。</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7、负责医院蒸汽、氧气、下水道抽水等管理任务，搞好包干区卫生工作。</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R、VIP病区值班保安员工作要求：</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1、24小时值勤，其中12小时在VIP岗值勤，按照医院的规定，负责对VIP病区进行有效管理、安全巡查，维护好各病房秩序。</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2、加强病区门禁管理，发现可疑人员，及时予以盘问；对推销产品、发放广告等人员要进行拦截，并予以警告。</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3、加强对病房勤务人员、陪护人员的安全管理，严格执行凭证出入制度，定时进行安全检查。</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4、对携带出VIP住院楼的物品，进行严格查验，凭出门证放行。</w:t>
      </w:r>
    </w:p>
    <w:p>
      <w:pPr>
        <w:spacing w:line="380" w:lineRule="exact"/>
        <w:jc w:val="left"/>
        <w:rPr>
          <w:rFonts w:ascii="仿宋" w:hAnsi="仿宋" w:eastAsia="仿宋" w:cs="宋体"/>
          <w:sz w:val="24"/>
          <w:szCs w:val="24"/>
        </w:rPr>
      </w:pPr>
      <w:r>
        <w:rPr>
          <w:rFonts w:hint="eastAsia" w:ascii="仿宋" w:hAnsi="仿宋" w:eastAsia="仿宋" w:cs="宋体"/>
          <w:sz w:val="24"/>
          <w:szCs w:val="24"/>
        </w:rPr>
        <w:t xml:space="preserve">    5、保证住院处门口通道畅通。</w:t>
      </w:r>
    </w:p>
    <w:p>
      <w:pPr>
        <w:spacing w:line="380" w:lineRule="exact"/>
        <w:ind w:firstLine="240" w:firstLineChars="100"/>
        <w:jc w:val="left"/>
        <w:rPr>
          <w:rFonts w:ascii="仿宋" w:hAnsi="仿宋" w:eastAsia="仿宋" w:cs="宋体"/>
          <w:sz w:val="24"/>
          <w:szCs w:val="24"/>
        </w:rPr>
      </w:pPr>
      <w:r>
        <w:rPr>
          <w:rFonts w:hint="eastAsia" w:ascii="仿宋" w:hAnsi="仿宋" w:eastAsia="仿宋" w:cs="宋体"/>
          <w:sz w:val="24"/>
          <w:szCs w:val="24"/>
        </w:rPr>
        <w:t xml:space="preserve">  6、协助病房处理好突发事件，完成上级赋予的临时任务。</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7、负责住院楼电视、路灯开关，注意节约用电用水。</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8、积极服从保卫科长临时安排的工作任务和其它应急突发事件的处置。</w:t>
      </w:r>
    </w:p>
    <w:p>
      <w:pPr>
        <w:spacing w:line="380" w:lineRule="exact"/>
        <w:ind w:firstLine="480" w:firstLineChars="200"/>
        <w:jc w:val="left"/>
        <w:rPr>
          <w:rFonts w:ascii="仿宋" w:hAnsi="仿宋" w:eastAsia="仿宋" w:cs="宋体"/>
          <w:b/>
          <w:sz w:val="24"/>
          <w:szCs w:val="24"/>
        </w:rPr>
      </w:pPr>
      <w:r>
        <w:rPr>
          <w:rFonts w:hint="eastAsia" w:ascii="仿宋" w:hAnsi="仿宋" w:eastAsia="仿宋" w:cs="宋体"/>
          <w:b/>
          <w:sz w:val="24"/>
          <w:szCs w:val="24"/>
        </w:rPr>
        <w:t>上述提供的要求为基本要求，投标单位根据采购单位医院保安服务工作目标要求，进行实地考察，对各部门工作量、人员分项核定，并在方案配置中详细描述。</w:t>
      </w:r>
    </w:p>
    <w:p>
      <w:pPr>
        <w:spacing w:line="380" w:lineRule="exact"/>
        <w:ind w:firstLine="235" w:firstLineChars="98"/>
        <w:jc w:val="left"/>
        <w:rPr>
          <w:rFonts w:ascii="仿宋" w:hAnsi="仿宋" w:eastAsia="仿宋" w:cs="宋体"/>
          <w:b/>
          <w:bCs/>
          <w:sz w:val="24"/>
          <w:szCs w:val="24"/>
        </w:rPr>
      </w:pPr>
      <w:bookmarkStart w:id="40" w:name="_Toc369095832"/>
      <w:r>
        <w:rPr>
          <w:rFonts w:hint="eastAsia" w:ascii="仿宋" w:hAnsi="仿宋" w:eastAsia="仿宋" w:cs="宋体"/>
          <w:b/>
          <w:bCs/>
          <w:sz w:val="24"/>
          <w:szCs w:val="24"/>
        </w:rPr>
        <w:t>（五）服务质量要求</w:t>
      </w:r>
      <w:bookmarkEnd w:id="40"/>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1、各投标人需本着对企业品牌的延伸，以社会化效益为重的原则进行投标；</w:t>
      </w:r>
    </w:p>
    <w:p>
      <w:pPr>
        <w:spacing w:line="380" w:lineRule="exact"/>
        <w:ind w:firstLine="480" w:firstLineChars="200"/>
        <w:jc w:val="left"/>
        <w:rPr>
          <w:rFonts w:ascii="仿宋" w:hAnsi="仿宋" w:eastAsia="仿宋" w:cs="宋体"/>
          <w:b/>
          <w:sz w:val="24"/>
          <w:szCs w:val="24"/>
        </w:rPr>
      </w:pPr>
      <w:r>
        <w:rPr>
          <w:rFonts w:hint="eastAsia" w:ascii="仿宋" w:hAnsi="仿宋" w:eastAsia="仿宋" w:cs="宋体"/>
          <w:sz w:val="24"/>
          <w:szCs w:val="24"/>
        </w:rPr>
        <w:t>2、各投标人须在对采购人工作目标要求、现场、周边环境全面了解的情况下编制科学合理、切实可行的组织实施计划以及具体的保障措施、工作程序；</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3、投标人应制订具体的质量保证措施及质量保证和相关服务承诺，如因质量未达到目标，投标人应因此承担责任和经济赔偿；</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5、投标人须按现代企业制度运行，发挥自身优势，以热心、爱心、专心、贴心的服务，为医院提供全方位、一体化的专业保安服务保障，确保医院正常运转；</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6、采购人有权在需要时对相关人员做集中调配并以调休、补休等方式进行补偿，此方式供投标人必须认可；</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7、中标人达不到采购人要求及中标人各项服务承诺，采购人有权要求其整改，扣款直至终止合同；</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8、中标人所有的工作除应按中标人的内部流程实施外还应接受采购人或第三方的检查；</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9、中标人需制定各岗位工作流程及消防、抗台、安全等紧急预案，并切实地培训到每个岗位人员；</w:t>
      </w:r>
    </w:p>
    <w:p>
      <w:pPr>
        <w:spacing w:line="3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10、中标人应制定详细培训计划，对员工进行岗位培训、日常培训和文明礼仪培训。</w:t>
      </w:r>
    </w:p>
    <w:p>
      <w:pPr>
        <w:spacing w:line="380" w:lineRule="exact"/>
        <w:ind w:firstLine="235" w:firstLineChars="98"/>
        <w:jc w:val="left"/>
        <w:rPr>
          <w:rFonts w:ascii="仿宋" w:hAnsi="仿宋" w:eastAsia="仿宋" w:cs="宋体"/>
          <w:b/>
          <w:bCs/>
          <w:sz w:val="24"/>
          <w:szCs w:val="24"/>
        </w:rPr>
      </w:pPr>
      <w:bookmarkStart w:id="41" w:name="_Toc369095833"/>
      <w:r>
        <w:rPr>
          <w:rFonts w:hint="eastAsia" w:ascii="仿宋" w:hAnsi="仿宋" w:eastAsia="仿宋" w:cs="宋体"/>
          <w:b/>
          <w:bCs/>
          <w:sz w:val="24"/>
          <w:szCs w:val="24"/>
        </w:rPr>
        <w:t>（六）履约保证金</w:t>
      </w:r>
    </w:p>
    <w:p>
      <w:pPr>
        <w:spacing w:line="380" w:lineRule="exact"/>
        <w:ind w:firstLine="480" w:firstLineChars="200"/>
        <w:rPr>
          <w:rFonts w:ascii="仿宋" w:hAnsi="仿宋" w:eastAsia="仿宋" w:cs="Arial"/>
          <w:snapToGrid w:val="0"/>
          <w:sz w:val="24"/>
          <w:szCs w:val="24"/>
        </w:rPr>
      </w:pPr>
      <w:r>
        <w:rPr>
          <w:rFonts w:hint="eastAsia" w:ascii="仿宋" w:hAnsi="仿宋" w:eastAsia="仿宋" w:cs="Arial"/>
          <w:snapToGrid w:val="0"/>
          <w:sz w:val="24"/>
          <w:szCs w:val="24"/>
        </w:rPr>
        <w:t>1、本次中标人签订合同前，须向采购人交纳相当于合同总额5%的履约保证金，以保证中标人遵守本合同的一切条款、条件和承诺，该保证金在采购人的规定存续期间不计息；</w:t>
      </w:r>
    </w:p>
    <w:p>
      <w:pPr>
        <w:spacing w:line="380" w:lineRule="exact"/>
        <w:ind w:firstLine="480" w:firstLineChars="200"/>
        <w:rPr>
          <w:rFonts w:ascii="仿宋" w:hAnsi="仿宋" w:eastAsia="仿宋" w:cs="Arial"/>
          <w:snapToGrid w:val="0"/>
          <w:sz w:val="24"/>
          <w:szCs w:val="24"/>
        </w:rPr>
      </w:pPr>
      <w:r>
        <w:rPr>
          <w:rFonts w:hint="eastAsia" w:ascii="仿宋" w:hAnsi="仿宋" w:eastAsia="仿宋" w:cs="Arial"/>
          <w:snapToGrid w:val="0"/>
          <w:sz w:val="24"/>
          <w:szCs w:val="24"/>
        </w:rPr>
        <w:t>2. 采购人有权从履约保证金中扣除用于修复中标人损坏甲方的设备、设施、场地或因中标人违约而导致损失的金额和违约金，且中标人应在接到扣除履约保证金通知后一周内补足扣除差额，保证承包期间履约保证金的完整；</w:t>
      </w:r>
    </w:p>
    <w:p>
      <w:pPr>
        <w:spacing w:line="380" w:lineRule="exact"/>
        <w:ind w:firstLine="480" w:firstLineChars="200"/>
        <w:rPr>
          <w:rFonts w:ascii="仿宋" w:hAnsi="仿宋" w:eastAsia="仿宋" w:cs="Arial"/>
          <w:snapToGrid w:val="0"/>
          <w:sz w:val="24"/>
          <w:szCs w:val="24"/>
        </w:rPr>
      </w:pPr>
      <w:r>
        <w:rPr>
          <w:rFonts w:hint="eastAsia" w:ascii="仿宋" w:hAnsi="仿宋" w:eastAsia="仿宋" w:cs="Arial"/>
          <w:snapToGrid w:val="0"/>
          <w:sz w:val="24"/>
          <w:szCs w:val="24"/>
        </w:rPr>
        <w:t>3. 采购人认为中标人在服务期内没有涉及采购人的应付而未付金额或违约行为，采购人在服务期满后或提前终止承包后一个月内全额退还履约保证金，否则，采购人将在扣除中标人应付金额或违约金后退还保证金余额；</w:t>
      </w:r>
    </w:p>
    <w:p>
      <w:pPr>
        <w:spacing w:line="380" w:lineRule="exact"/>
        <w:ind w:firstLine="480" w:firstLineChars="200"/>
        <w:rPr>
          <w:rFonts w:ascii="仿宋" w:hAnsi="仿宋" w:eastAsia="仿宋" w:cs="Arial"/>
          <w:snapToGrid w:val="0"/>
          <w:sz w:val="24"/>
          <w:szCs w:val="24"/>
        </w:rPr>
      </w:pPr>
      <w:r>
        <w:rPr>
          <w:rFonts w:hint="eastAsia" w:ascii="仿宋" w:hAnsi="仿宋" w:eastAsia="仿宋" w:cs="Arial"/>
          <w:snapToGrid w:val="0"/>
          <w:sz w:val="24"/>
          <w:szCs w:val="24"/>
        </w:rPr>
        <w:t>4. 采购人认为中标人在服务期内没有涉及采购人的应付而未付金额或违约行为，采购人在服务期满后或提前终止承包后一个月内全额退还履约保证金，否则，采购人将在扣除中标人应付金额或违约金后退还保证金余额。</w:t>
      </w:r>
    </w:p>
    <w:p>
      <w:pPr>
        <w:spacing w:line="380" w:lineRule="exact"/>
        <w:ind w:firstLine="470" w:firstLineChars="196"/>
        <w:jc w:val="left"/>
        <w:rPr>
          <w:rFonts w:ascii="仿宋" w:hAnsi="仿宋" w:eastAsia="仿宋" w:cs="宋体"/>
          <w:b/>
          <w:bCs/>
          <w:sz w:val="24"/>
          <w:szCs w:val="24"/>
        </w:rPr>
      </w:pPr>
      <w:r>
        <w:rPr>
          <w:rFonts w:hint="eastAsia" w:ascii="仿宋" w:hAnsi="仿宋" w:eastAsia="仿宋" w:cs="宋体"/>
          <w:b/>
          <w:bCs/>
          <w:sz w:val="24"/>
          <w:szCs w:val="24"/>
        </w:rPr>
        <w:t>（七）保安服务经费及其结算</w:t>
      </w:r>
      <w:bookmarkEnd w:id="41"/>
      <w:r>
        <w:rPr>
          <w:rFonts w:hint="eastAsia" w:ascii="仿宋" w:hAnsi="仿宋" w:eastAsia="仿宋" w:cs="宋体"/>
          <w:b/>
          <w:bCs/>
          <w:sz w:val="24"/>
          <w:szCs w:val="24"/>
        </w:rPr>
        <w:t>方式</w:t>
      </w:r>
    </w:p>
    <w:p>
      <w:pPr>
        <w:spacing w:line="380" w:lineRule="exact"/>
        <w:ind w:firstLine="480" w:firstLineChars="200"/>
        <w:rPr>
          <w:rFonts w:ascii="仿宋" w:hAnsi="仿宋" w:eastAsia="仿宋" w:cs="Arial"/>
          <w:snapToGrid w:val="0"/>
          <w:sz w:val="24"/>
          <w:szCs w:val="24"/>
        </w:rPr>
      </w:pPr>
      <w:r>
        <w:rPr>
          <w:rFonts w:hint="eastAsia" w:ascii="仿宋" w:hAnsi="仿宋" w:eastAsia="仿宋" w:cs="仿宋_GB2312"/>
          <w:sz w:val="24"/>
          <w:szCs w:val="24"/>
        </w:rPr>
        <w:t>中标人</w:t>
      </w:r>
      <w:r>
        <w:rPr>
          <w:rFonts w:hint="eastAsia" w:ascii="仿宋" w:hAnsi="仿宋" w:eastAsia="仿宋" w:cs="Arial"/>
          <w:snapToGrid w:val="0"/>
          <w:sz w:val="24"/>
          <w:szCs w:val="24"/>
        </w:rPr>
        <w:t>进场服务并通过采购人考核后，采购人凭</w:t>
      </w:r>
      <w:r>
        <w:rPr>
          <w:rFonts w:hint="eastAsia" w:ascii="仿宋" w:hAnsi="仿宋" w:eastAsia="仿宋" w:cs="仿宋_GB2312"/>
          <w:sz w:val="24"/>
          <w:szCs w:val="24"/>
          <w:lang w:val="zh-CN"/>
        </w:rPr>
        <w:t>中标人</w:t>
      </w:r>
      <w:r>
        <w:rPr>
          <w:rFonts w:hint="eastAsia" w:ascii="仿宋" w:hAnsi="仿宋" w:eastAsia="仿宋" w:cs="Arial"/>
          <w:snapToGrid w:val="0"/>
          <w:sz w:val="24"/>
          <w:szCs w:val="24"/>
        </w:rPr>
        <w:t>开具的正规发票和采购人认可的各项记录复印件，在次季度第一月的15日前支付给</w:t>
      </w:r>
      <w:r>
        <w:rPr>
          <w:rFonts w:hint="eastAsia" w:ascii="仿宋" w:hAnsi="仿宋" w:eastAsia="仿宋" w:cs="仿宋_GB2312"/>
          <w:sz w:val="24"/>
          <w:szCs w:val="24"/>
          <w:lang w:val="zh-CN"/>
        </w:rPr>
        <w:t>中标人</w:t>
      </w:r>
      <w:r>
        <w:rPr>
          <w:rFonts w:hint="eastAsia" w:ascii="仿宋" w:hAnsi="仿宋" w:eastAsia="仿宋" w:cs="Arial"/>
          <w:snapToGrid w:val="0"/>
          <w:sz w:val="24"/>
          <w:szCs w:val="24"/>
        </w:rPr>
        <w:t>上一季度保安服务费。</w:t>
      </w:r>
    </w:p>
    <w:p>
      <w:pPr>
        <w:spacing w:line="380" w:lineRule="exact"/>
        <w:ind w:firstLine="470" w:firstLineChars="196"/>
        <w:jc w:val="left"/>
        <w:rPr>
          <w:rFonts w:ascii="仿宋" w:hAnsi="仿宋" w:eastAsia="仿宋"/>
          <w:b/>
          <w:sz w:val="24"/>
          <w:szCs w:val="24"/>
        </w:rPr>
      </w:pPr>
      <w:r>
        <w:rPr>
          <w:rFonts w:hint="eastAsia" w:ascii="仿宋" w:hAnsi="仿宋" w:eastAsia="仿宋" w:cs="宋体"/>
          <w:b/>
          <w:bCs/>
          <w:sz w:val="24"/>
          <w:szCs w:val="24"/>
        </w:rPr>
        <w:t>（八）</w:t>
      </w:r>
      <w:r>
        <w:rPr>
          <w:rFonts w:hint="eastAsia" w:ascii="仿宋" w:hAnsi="仿宋" w:eastAsia="仿宋"/>
          <w:b/>
          <w:sz w:val="24"/>
          <w:szCs w:val="24"/>
        </w:rPr>
        <w:t>劳动用工的风险和责任</w:t>
      </w:r>
    </w:p>
    <w:p>
      <w:pPr>
        <w:spacing w:line="380" w:lineRule="exact"/>
        <w:ind w:firstLine="480" w:firstLineChars="200"/>
        <w:rPr>
          <w:rFonts w:ascii="仿宋" w:hAnsi="仿宋" w:eastAsia="仿宋" w:cs="Arial"/>
          <w:snapToGrid w:val="0"/>
          <w:sz w:val="24"/>
          <w:szCs w:val="24"/>
        </w:rPr>
      </w:pPr>
      <w:r>
        <w:rPr>
          <w:rFonts w:hint="eastAsia" w:ascii="仿宋" w:hAnsi="仿宋" w:eastAsia="仿宋" w:cs="Arial"/>
          <w:snapToGrid w:val="0"/>
          <w:sz w:val="24"/>
          <w:szCs w:val="24"/>
        </w:rPr>
        <w:t>中标人必须按《劳动合同法》和政府有关各部门规定为全体保安人员交纳社会保险及其他相关费用，保安人员如发生工伤事故</w:t>
      </w:r>
      <w:r>
        <w:rPr>
          <w:rFonts w:hint="eastAsia" w:ascii="仿宋" w:hAnsi="仿宋" w:eastAsia="仿宋" w:cs="宋体"/>
          <w:sz w:val="24"/>
          <w:szCs w:val="24"/>
        </w:rPr>
        <w:t>，由</w:t>
      </w:r>
      <w:r>
        <w:rPr>
          <w:rFonts w:hint="eastAsia" w:ascii="仿宋" w:hAnsi="仿宋" w:eastAsia="仿宋" w:cs="Arial"/>
          <w:snapToGrid w:val="0"/>
          <w:sz w:val="24"/>
          <w:szCs w:val="24"/>
        </w:rPr>
        <w:t>中标人对此全权负责，保证采购人在中标人保安人员索赔时不受任何责任的约束。</w:t>
      </w:r>
    </w:p>
    <w:p>
      <w:pPr>
        <w:spacing w:line="380" w:lineRule="exact"/>
        <w:rPr>
          <w:rFonts w:ascii="仿宋" w:hAnsi="仿宋" w:eastAsia="仿宋" w:cs="宋体"/>
          <w:b/>
          <w:bCs/>
          <w:sz w:val="24"/>
          <w:szCs w:val="24"/>
        </w:rPr>
      </w:pPr>
      <w:bookmarkStart w:id="42" w:name="_Toc24111694"/>
      <w:r>
        <w:rPr>
          <w:rFonts w:hint="eastAsia" w:ascii="仿宋" w:hAnsi="仿宋" w:eastAsia="仿宋" w:cs="宋体"/>
          <w:b/>
          <w:bCs/>
          <w:sz w:val="24"/>
          <w:szCs w:val="24"/>
        </w:rPr>
        <w:t>五、</w:t>
      </w:r>
      <w:r>
        <w:rPr>
          <w:rFonts w:ascii="仿宋" w:hAnsi="仿宋" w:eastAsia="仿宋" w:cs="宋体"/>
          <w:b/>
          <w:bCs/>
          <w:sz w:val="24"/>
          <w:szCs w:val="24"/>
        </w:rPr>
        <w:t>最高限价</w:t>
      </w:r>
      <w:bookmarkEnd w:id="42"/>
    </w:p>
    <w:p>
      <w:pPr>
        <w:spacing w:line="380" w:lineRule="exact"/>
        <w:ind w:firstLine="470" w:firstLineChars="196"/>
        <w:rPr>
          <w:rFonts w:ascii="仿宋" w:hAnsi="仿宋" w:eastAsia="仿宋"/>
          <w:b/>
          <w:sz w:val="24"/>
          <w:szCs w:val="24"/>
        </w:rPr>
      </w:pPr>
      <w:r>
        <w:rPr>
          <w:rFonts w:ascii="仿宋" w:hAnsi="仿宋" w:eastAsia="仿宋"/>
          <w:b/>
          <w:sz w:val="24"/>
          <w:szCs w:val="24"/>
        </w:rPr>
        <w:t>本次招标服务期限为</w:t>
      </w:r>
      <w:r>
        <w:rPr>
          <w:rFonts w:hint="eastAsia" w:ascii="仿宋" w:hAnsi="仿宋" w:eastAsia="仿宋"/>
          <w:b/>
          <w:sz w:val="24"/>
          <w:szCs w:val="24"/>
        </w:rPr>
        <w:t>2年，</w:t>
      </w:r>
      <w:r>
        <w:rPr>
          <w:rFonts w:ascii="仿宋" w:hAnsi="仿宋" w:eastAsia="仿宋"/>
          <w:b/>
          <w:sz w:val="24"/>
          <w:szCs w:val="24"/>
        </w:rPr>
        <w:t>服务费最高限价为人民币</w:t>
      </w:r>
      <w:r>
        <w:rPr>
          <w:rFonts w:hint="eastAsia" w:ascii="仿宋" w:hAnsi="仿宋" w:eastAsia="仿宋"/>
          <w:b/>
          <w:sz w:val="24"/>
          <w:szCs w:val="24"/>
          <w:u w:val="single"/>
        </w:rPr>
        <w:t xml:space="preserve"> 捌佰万元整</w:t>
      </w:r>
      <w:r>
        <w:rPr>
          <w:rFonts w:ascii="仿宋" w:hAnsi="仿宋" w:eastAsia="仿宋"/>
          <w:b/>
          <w:sz w:val="24"/>
          <w:szCs w:val="24"/>
        </w:rPr>
        <w:t>（</w:t>
      </w:r>
      <w:r>
        <w:rPr>
          <w:rFonts w:ascii="宋体" w:hAnsi="宋体" w:eastAsia="仿宋"/>
          <w:b/>
          <w:sz w:val="24"/>
          <w:szCs w:val="24"/>
        </w:rPr>
        <w:t>¥</w:t>
      </w:r>
      <w:r>
        <w:rPr>
          <w:rFonts w:hint="eastAsia" w:ascii="仿宋" w:hAnsi="仿宋" w:eastAsia="仿宋"/>
          <w:b/>
          <w:sz w:val="24"/>
          <w:szCs w:val="24"/>
          <w:u w:val="single"/>
        </w:rPr>
        <w:t xml:space="preserve"> 8</w:t>
      </w:r>
      <w:r>
        <w:rPr>
          <w:rFonts w:ascii="仿宋" w:hAnsi="仿宋" w:eastAsia="仿宋"/>
          <w:b/>
          <w:sz w:val="24"/>
          <w:szCs w:val="24"/>
          <w:u w:val="single"/>
        </w:rPr>
        <w:t>0</w:t>
      </w:r>
      <w:r>
        <w:rPr>
          <w:rFonts w:hint="eastAsia" w:ascii="仿宋" w:hAnsi="仿宋" w:eastAsia="仿宋"/>
          <w:b/>
          <w:sz w:val="24"/>
          <w:szCs w:val="24"/>
          <w:u w:val="single"/>
        </w:rPr>
        <w:t xml:space="preserve">00000.00元 </w:t>
      </w:r>
      <w:r>
        <w:rPr>
          <w:rFonts w:ascii="仿宋" w:hAnsi="仿宋" w:eastAsia="仿宋"/>
          <w:b/>
          <w:sz w:val="24"/>
          <w:szCs w:val="24"/>
        </w:rPr>
        <w:t>）</w:t>
      </w:r>
      <w:r>
        <w:rPr>
          <w:rFonts w:hint="eastAsia" w:ascii="仿宋" w:hAnsi="仿宋" w:eastAsia="仿宋"/>
          <w:b/>
          <w:sz w:val="24"/>
          <w:szCs w:val="24"/>
        </w:rPr>
        <w:t>，</w:t>
      </w:r>
      <w:r>
        <w:rPr>
          <w:rFonts w:ascii="仿宋" w:hAnsi="仿宋" w:eastAsia="仿宋"/>
          <w:b/>
          <w:sz w:val="24"/>
          <w:szCs w:val="24"/>
        </w:rPr>
        <w:t>任何超过最高限价的报价将被认定为无效报价。</w:t>
      </w:r>
    </w:p>
    <w:p>
      <w:pPr>
        <w:spacing w:line="380" w:lineRule="exact"/>
        <w:ind w:firstLine="470" w:firstLineChars="196"/>
        <w:rPr>
          <w:rFonts w:ascii="仿宋" w:hAnsi="仿宋" w:eastAsia="仿宋"/>
          <w:b/>
          <w:sz w:val="24"/>
          <w:szCs w:val="24"/>
        </w:rPr>
      </w:pPr>
    </w:p>
    <w:p>
      <w:pPr>
        <w:spacing w:line="380" w:lineRule="exact"/>
        <w:ind w:firstLine="470" w:firstLineChars="196"/>
        <w:rPr>
          <w:rFonts w:ascii="仿宋" w:hAnsi="仿宋" w:eastAsia="仿宋"/>
          <w:b/>
          <w:sz w:val="24"/>
          <w:szCs w:val="24"/>
        </w:rPr>
      </w:pPr>
    </w:p>
    <w:p>
      <w:pPr>
        <w:spacing w:line="380" w:lineRule="exact"/>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业绩考评（附）</w:t>
      </w:r>
    </w:p>
    <w:tbl>
      <w:tblPr>
        <w:tblStyle w:val="51"/>
        <w:tblW w:w="0" w:type="auto"/>
        <w:tblInd w:w="-792" w:type="dxa"/>
        <w:tblLayout w:type="fixed"/>
        <w:tblCellMar>
          <w:top w:w="0" w:type="dxa"/>
          <w:left w:w="108" w:type="dxa"/>
          <w:bottom w:w="0" w:type="dxa"/>
          <w:right w:w="108" w:type="dxa"/>
        </w:tblCellMar>
      </w:tblPr>
      <w:tblGrid>
        <w:gridCol w:w="758"/>
        <w:gridCol w:w="709"/>
        <w:gridCol w:w="5529"/>
        <w:gridCol w:w="708"/>
        <w:gridCol w:w="1418"/>
        <w:gridCol w:w="778"/>
      </w:tblGrid>
      <w:tr>
        <w:tblPrEx>
          <w:tblCellMar>
            <w:top w:w="0" w:type="dxa"/>
            <w:left w:w="108" w:type="dxa"/>
            <w:bottom w:w="0" w:type="dxa"/>
            <w:right w:w="108" w:type="dxa"/>
          </w:tblCellMar>
        </w:tblPrEx>
        <w:trPr>
          <w:trHeight w:val="630" w:hRule="atLeast"/>
        </w:trPr>
        <w:tc>
          <w:tcPr>
            <w:tcW w:w="9900" w:type="dxa"/>
            <w:gridSpan w:val="6"/>
            <w:tcBorders>
              <w:top w:val="nil"/>
              <w:left w:val="nil"/>
              <w:bottom w:val="nil"/>
              <w:right w:val="nil"/>
            </w:tcBorders>
            <w:noWrap w:val="0"/>
            <w:vAlign w:val="center"/>
          </w:tcPr>
          <w:p>
            <w:pPr>
              <w:widowControl/>
              <w:jc w:val="center"/>
              <w:rPr>
                <w:rFonts w:ascii="仿宋" w:hAnsi="仿宋" w:eastAsia="仿宋" w:cs="宋体"/>
                <w:b/>
                <w:sz w:val="24"/>
                <w:szCs w:val="24"/>
              </w:rPr>
            </w:pPr>
            <w:r>
              <w:rPr>
                <w:rFonts w:hint="eastAsia" w:ascii="仿宋" w:hAnsi="仿宋" w:eastAsia="仿宋" w:cs="宋体"/>
                <w:b/>
                <w:sz w:val="24"/>
                <w:szCs w:val="24"/>
              </w:rPr>
              <w:t>诸暨市中医医院保安服务月业绩考评情况统计表</w:t>
            </w:r>
          </w:p>
        </w:tc>
      </w:tr>
      <w:tr>
        <w:tblPrEx>
          <w:tblCellMar>
            <w:top w:w="0" w:type="dxa"/>
            <w:left w:w="108" w:type="dxa"/>
            <w:bottom w:w="0" w:type="dxa"/>
            <w:right w:w="108" w:type="dxa"/>
          </w:tblCellMar>
        </w:tblPrEx>
        <w:trPr>
          <w:trHeight w:val="495" w:hRule="atLeast"/>
        </w:trPr>
        <w:tc>
          <w:tcPr>
            <w:tcW w:w="990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被考核部门：保安公司  考核人</w:t>
            </w:r>
            <w:r>
              <w:rPr>
                <w:rFonts w:hint="eastAsia" w:ascii="仿宋" w:hAnsi="仿宋" w:eastAsia="仿宋" w:cs="宋体"/>
                <w:sz w:val="24"/>
                <w:szCs w:val="24"/>
                <w:u w:val="single"/>
              </w:rPr>
              <w:t xml:space="preserve">                </w:t>
            </w:r>
            <w:r>
              <w:rPr>
                <w:rFonts w:hint="eastAsia" w:ascii="仿宋" w:hAnsi="仿宋" w:eastAsia="仿宋" w:cs="宋体"/>
                <w:sz w:val="24"/>
                <w:szCs w:val="24"/>
              </w:rPr>
              <w:t>（签字）           考核时间：</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日 </w:t>
            </w:r>
          </w:p>
        </w:tc>
      </w:tr>
      <w:tr>
        <w:tblPrEx>
          <w:tblCellMar>
            <w:top w:w="0" w:type="dxa"/>
            <w:left w:w="108" w:type="dxa"/>
            <w:bottom w:w="0" w:type="dxa"/>
            <w:right w:w="108" w:type="dxa"/>
          </w:tblCellMar>
        </w:tblPrEx>
        <w:trPr>
          <w:trHeight w:val="750" w:hRule="atLeast"/>
        </w:trPr>
        <w:tc>
          <w:tcPr>
            <w:tcW w:w="75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考核</w:t>
            </w:r>
            <w:r>
              <w:rPr>
                <w:rFonts w:hint="eastAsia" w:ascii="仿宋" w:hAnsi="仿宋" w:eastAsia="仿宋" w:cs="宋体"/>
                <w:sz w:val="24"/>
                <w:szCs w:val="24"/>
              </w:rPr>
              <w:br w:type="textWrapping"/>
            </w:r>
            <w:r>
              <w:rPr>
                <w:rFonts w:hint="eastAsia" w:ascii="仿宋" w:hAnsi="仿宋" w:eastAsia="仿宋" w:cs="宋体"/>
                <w:sz w:val="24"/>
                <w:szCs w:val="24"/>
              </w:rPr>
              <w:t>项目</w:t>
            </w:r>
          </w:p>
        </w:tc>
        <w:tc>
          <w:tcPr>
            <w:tcW w:w="62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考核内容</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标准</w:t>
            </w:r>
            <w:r>
              <w:rPr>
                <w:rFonts w:hint="eastAsia" w:ascii="仿宋" w:hAnsi="仿宋" w:eastAsia="仿宋" w:cs="宋体"/>
                <w:sz w:val="24"/>
                <w:szCs w:val="24"/>
              </w:rPr>
              <w:br w:type="textWrapping"/>
            </w:r>
            <w:r>
              <w:rPr>
                <w:rFonts w:hint="eastAsia" w:ascii="仿宋" w:hAnsi="仿宋" w:eastAsia="仿宋" w:cs="宋体"/>
                <w:sz w:val="24"/>
                <w:szCs w:val="24"/>
              </w:rPr>
              <w:t>分值</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扣分说明</w:t>
            </w:r>
            <w:r>
              <w:rPr>
                <w:rFonts w:hint="eastAsia" w:ascii="仿宋" w:hAnsi="仿宋" w:eastAsia="仿宋" w:cs="宋体"/>
                <w:sz w:val="24"/>
                <w:szCs w:val="24"/>
              </w:rPr>
              <w:br w:type="textWrapping"/>
            </w:r>
            <w:r>
              <w:rPr>
                <w:rFonts w:hint="eastAsia" w:ascii="仿宋" w:hAnsi="仿宋" w:eastAsia="仿宋" w:cs="宋体"/>
                <w:sz w:val="24"/>
                <w:szCs w:val="24"/>
              </w:rPr>
              <w:t>（按月周期）</w:t>
            </w:r>
          </w:p>
        </w:tc>
        <w:tc>
          <w:tcPr>
            <w:tcW w:w="77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扣分</w:t>
            </w:r>
          </w:p>
        </w:tc>
      </w:tr>
      <w:tr>
        <w:tblPrEx>
          <w:tblCellMar>
            <w:top w:w="0" w:type="dxa"/>
            <w:left w:w="108" w:type="dxa"/>
            <w:bottom w:w="0" w:type="dxa"/>
            <w:right w:w="108" w:type="dxa"/>
          </w:tblCellMar>
        </w:tblPrEx>
        <w:trPr>
          <w:trHeight w:val="990" w:hRule="atLeast"/>
        </w:trPr>
        <w:tc>
          <w:tcPr>
            <w:tcW w:w="75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礼仪</w:t>
            </w:r>
            <w:r>
              <w:rPr>
                <w:rFonts w:hint="eastAsia" w:ascii="仿宋" w:hAnsi="仿宋" w:eastAsia="仿宋" w:cs="宋体"/>
                <w:sz w:val="24"/>
                <w:szCs w:val="24"/>
              </w:rPr>
              <w:br w:type="textWrapping"/>
            </w:r>
            <w:r>
              <w:rPr>
                <w:rFonts w:hint="eastAsia" w:ascii="仿宋" w:hAnsi="仿宋" w:eastAsia="仿宋" w:cs="宋体"/>
                <w:sz w:val="24"/>
                <w:szCs w:val="24"/>
              </w:rPr>
              <w:t>服务</w:t>
            </w:r>
            <w:r>
              <w:rPr>
                <w:rFonts w:hint="eastAsia" w:ascii="仿宋" w:hAnsi="仿宋" w:eastAsia="仿宋" w:cs="宋体"/>
                <w:sz w:val="24"/>
                <w:szCs w:val="24"/>
              </w:rPr>
              <w:br w:type="textWrapping"/>
            </w:r>
            <w:r>
              <w:rPr>
                <w:rFonts w:hint="eastAsia" w:ascii="仿宋" w:hAnsi="仿宋" w:eastAsia="仿宋" w:cs="宋体"/>
                <w:sz w:val="24"/>
                <w:szCs w:val="24"/>
              </w:rPr>
              <w:t>（10分）</w:t>
            </w: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精神饱满，文明用语，礼貌待人，热情服务；按规定统一着装，佩戴装备，持证上岗；不留长发、胡须、长指甲，不得随地吐痰，不可将手插入口袋，不可勾肩搭背等。</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0.5分∕次、项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780" w:hRule="atLeast"/>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4"/>
                <w:szCs w:val="24"/>
              </w:rPr>
            </w:pP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主动为需要帮助的患者及家属提供帮助；严禁粗暴执勤、与患者或家属发生争吵或其它失敬、失礼的行为。</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1005" w:hRule="atLeast"/>
        </w:trPr>
        <w:tc>
          <w:tcPr>
            <w:tcW w:w="75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工作</w:t>
            </w:r>
            <w:r>
              <w:rPr>
                <w:rFonts w:hint="eastAsia" w:ascii="仿宋" w:hAnsi="仿宋" w:eastAsia="仿宋" w:cs="宋体"/>
                <w:sz w:val="24"/>
                <w:szCs w:val="24"/>
              </w:rPr>
              <w:br w:type="textWrapping"/>
            </w:r>
            <w:r>
              <w:rPr>
                <w:rFonts w:hint="eastAsia" w:ascii="仿宋" w:hAnsi="仿宋" w:eastAsia="仿宋" w:cs="宋体"/>
                <w:sz w:val="24"/>
                <w:szCs w:val="24"/>
              </w:rPr>
              <w:t>纪律</w:t>
            </w:r>
            <w:r>
              <w:rPr>
                <w:rFonts w:hint="eastAsia" w:ascii="仿宋" w:hAnsi="仿宋" w:eastAsia="仿宋" w:cs="宋体"/>
                <w:sz w:val="24"/>
                <w:szCs w:val="24"/>
              </w:rPr>
              <w:br w:type="textWrapping"/>
            </w:r>
            <w:r>
              <w:rPr>
                <w:rFonts w:hint="eastAsia" w:ascii="仿宋" w:hAnsi="仿宋" w:eastAsia="仿宋" w:cs="宋体"/>
                <w:sz w:val="24"/>
                <w:szCs w:val="24"/>
              </w:rPr>
              <w:t>（15分）</w:t>
            </w: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诚实正直公正廉洁，对医院领导的安排无不执行或蓄意违抗现象；遵守医院各项规章制度，服从和接受医院的监督；内部管理制度健全；服从医院合理的工作安排。</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930" w:hRule="atLeast"/>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4"/>
                <w:szCs w:val="24"/>
              </w:rPr>
            </w:pP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交班有记录，值班记录完善；严禁酒后上岗，严禁上岗吸烟，不得擅自离岗、脱岗、串岗、睡岗；不聚众闲聊，不做与本职工作无关的事情；严禁上班期间打架斗殴、聚众赌博等。</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10分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3分∕次、项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825" w:hRule="atLeast"/>
        </w:trPr>
        <w:tc>
          <w:tcPr>
            <w:tcW w:w="7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日常</w:t>
            </w:r>
            <w:r>
              <w:rPr>
                <w:rFonts w:hint="eastAsia" w:ascii="仿宋" w:hAnsi="仿宋" w:eastAsia="仿宋" w:cs="宋体"/>
                <w:sz w:val="24"/>
                <w:szCs w:val="24"/>
              </w:rPr>
              <w:br w:type="textWrapping"/>
            </w:r>
            <w:r>
              <w:rPr>
                <w:rFonts w:hint="eastAsia" w:ascii="仿宋" w:hAnsi="仿宋" w:eastAsia="仿宋" w:cs="宋体"/>
                <w:sz w:val="24"/>
                <w:szCs w:val="24"/>
              </w:rPr>
              <w:t>工作</w:t>
            </w:r>
            <w:r>
              <w:rPr>
                <w:rFonts w:hint="eastAsia" w:ascii="仿宋" w:hAnsi="仿宋" w:eastAsia="仿宋" w:cs="宋体"/>
                <w:sz w:val="24"/>
                <w:szCs w:val="24"/>
              </w:rPr>
              <w:br w:type="textWrapping"/>
            </w:r>
            <w:r>
              <w:rPr>
                <w:rFonts w:hint="eastAsia" w:ascii="仿宋" w:hAnsi="仿宋" w:eastAsia="仿宋" w:cs="宋体"/>
                <w:sz w:val="24"/>
                <w:szCs w:val="24"/>
              </w:rPr>
              <w:t>（75分）</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工作</w:t>
            </w:r>
            <w:r>
              <w:rPr>
                <w:rFonts w:hint="eastAsia" w:ascii="仿宋" w:hAnsi="仿宋" w:eastAsia="仿宋" w:cs="宋体"/>
                <w:sz w:val="24"/>
                <w:szCs w:val="24"/>
              </w:rPr>
              <w:br w:type="textWrapping"/>
            </w:r>
            <w:r>
              <w:rPr>
                <w:rFonts w:hint="eastAsia" w:ascii="仿宋" w:hAnsi="仿宋" w:eastAsia="仿宋" w:cs="宋体"/>
                <w:sz w:val="24"/>
                <w:szCs w:val="24"/>
              </w:rPr>
              <w:t>安排</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年初有计划，年终有总结；按时参加医院要求的会议及培训，及时布置工作；每月至少举行三至四次业务培训（安保、消防、车辆管理等）；每季要举行一次突发事情应急演练。</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2分∕次、项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1080" w:hRule="atLeast"/>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sz w:val="24"/>
                <w:szCs w:val="24"/>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安保</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按要求佩戴安保设备执勤，能规范使用安保设备设施，并注意维护和保养；加强巡查，杜绝院内偷、抢等事件发生；能及时正确处理电梯故障、警报等日常事故；因工作失误或失职导致医院资产损失的，乙方照价赔偿，情节较重一次性扣20分以上。</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20分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4分∕次、项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1305" w:hRule="atLeast"/>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sz w:val="24"/>
                <w:szCs w:val="24"/>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消防</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熟悉消防常识，牢记消防安全“四懂四会”；加强消防巡查，火灾排查，按规定认真填报《每日消防安全巡查记录表》；每季至少组织一次消防演练；能正确使用消防器材、设备设施，能正确处理各类消防突发事件；因工作失误导致医院在各级消防检查被处罚，乙方负全部责任，并视情况对医院进行赔偿。</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25分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4分∕次、项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855" w:hRule="atLeast"/>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sz w:val="24"/>
                <w:szCs w:val="24"/>
              </w:rPr>
            </w:pPr>
          </w:p>
        </w:tc>
        <w:tc>
          <w:tcPr>
            <w:tcW w:w="709"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车辆</w:t>
            </w:r>
          </w:p>
        </w:tc>
        <w:tc>
          <w:tcPr>
            <w:tcW w:w="552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按规定指挥车辆出入、停放，严禁车辆乱停乱放，严禁故意刁难车主等。</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10分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2分∕次、项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r>
        <w:tblPrEx>
          <w:tblCellMar>
            <w:top w:w="0" w:type="dxa"/>
            <w:left w:w="108" w:type="dxa"/>
            <w:bottom w:w="0" w:type="dxa"/>
            <w:right w:w="108" w:type="dxa"/>
          </w:tblCellMar>
        </w:tblPrEx>
        <w:trPr>
          <w:trHeight w:val="960" w:hRule="atLeast"/>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sz w:val="24"/>
                <w:szCs w:val="24"/>
              </w:rPr>
            </w:pPr>
          </w:p>
        </w:tc>
        <w:tc>
          <w:tcPr>
            <w:tcW w:w="70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环境</w:t>
            </w:r>
            <w:r>
              <w:rPr>
                <w:rFonts w:hint="eastAsia" w:ascii="仿宋" w:hAnsi="仿宋" w:eastAsia="仿宋" w:cs="宋体"/>
                <w:sz w:val="24"/>
                <w:szCs w:val="24"/>
              </w:rPr>
              <w:br w:type="textWrapping"/>
            </w:r>
            <w:r>
              <w:rPr>
                <w:rFonts w:hint="eastAsia" w:ascii="仿宋" w:hAnsi="仿宋" w:eastAsia="仿宋" w:cs="宋体"/>
                <w:sz w:val="24"/>
                <w:szCs w:val="24"/>
              </w:rPr>
              <w:t>卫生</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随时保持值班区域、卫生包干区域的卫生干净、整洁（值班室、医院大门等处）</w:t>
            </w:r>
          </w:p>
        </w:tc>
        <w:tc>
          <w:tcPr>
            <w:tcW w:w="70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15分</w:t>
            </w:r>
          </w:p>
        </w:tc>
        <w:tc>
          <w:tcPr>
            <w:tcW w:w="14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sz w:val="24"/>
                <w:szCs w:val="24"/>
              </w:rPr>
            </w:pPr>
            <w:r>
              <w:rPr>
                <w:rFonts w:hint="eastAsia" w:ascii="仿宋" w:hAnsi="仿宋" w:eastAsia="仿宋" w:cs="宋体"/>
                <w:sz w:val="24"/>
                <w:szCs w:val="24"/>
              </w:rPr>
              <w:t>1分∕次、项</w:t>
            </w:r>
          </w:p>
        </w:tc>
        <w:tc>
          <w:tcPr>
            <w:tcW w:w="77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4"/>
                <w:szCs w:val="24"/>
              </w:rPr>
            </w:pPr>
            <w:r>
              <w:rPr>
                <w:rFonts w:hint="eastAsia" w:ascii="仿宋" w:hAnsi="仿宋" w:eastAsia="仿宋" w:cs="宋体"/>
                <w:sz w:val="24"/>
                <w:szCs w:val="24"/>
              </w:rPr>
              <w:t>　</w:t>
            </w:r>
          </w:p>
        </w:tc>
      </w:tr>
    </w:tbl>
    <w:p>
      <w:pPr>
        <w:jc w:val="center"/>
      </w:pPr>
    </w:p>
    <w:p>
      <w:pPr>
        <w:ind w:firstLine="360" w:firstLineChars="150"/>
        <w:rPr>
          <w:rFonts w:ascii="宋体" w:hAnsi="宋体"/>
          <w:b/>
          <w:color w:val="auto"/>
          <w:kern w:val="2"/>
          <w:sz w:val="24"/>
          <w:szCs w:val="22"/>
        </w:rPr>
      </w:pPr>
      <w:r>
        <w:rPr>
          <w:rFonts w:hint="eastAsia" w:ascii="宋体" w:hAnsi="宋体"/>
          <w:b/>
          <w:color w:val="auto"/>
          <w:kern w:val="2"/>
          <w:sz w:val="24"/>
          <w:szCs w:val="22"/>
        </w:rPr>
        <w:t>注：以上中“★”项为实质性响应项，不满足则废标。</w:t>
      </w:r>
    </w:p>
    <w:p>
      <w:pPr>
        <w:snapToGrid w:val="0"/>
        <w:spacing w:line="360" w:lineRule="auto"/>
        <w:rPr>
          <w:rFonts w:hint="eastAsia" w:ascii="黑体" w:eastAsia="黑体"/>
          <w:color w:val="auto"/>
          <w:sz w:val="44"/>
          <w:szCs w:val="44"/>
        </w:rPr>
      </w:pPr>
      <w:r>
        <w:rPr>
          <w:rFonts w:ascii="黑体" w:hAnsi="宋体" w:eastAsia="黑体"/>
          <w:color w:val="auto"/>
          <w:sz w:val="44"/>
          <w:szCs w:val="44"/>
        </w:rPr>
        <w:br w:type="page"/>
      </w:r>
      <w:r>
        <w:rPr>
          <w:rFonts w:hint="eastAsia" w:ascii="黑体" w:hAnsi="宋体" w:eastAsia="黑体"/>
          <w:color w:val="auto"/>
          <w:sz w:val="44"/>
          <w:szCs w:val="44"/>
        </w:rPr>
        <w:t xml:space="preserve">第五章  </w:t>
      </w:r>
      <w:r>
        <w:rPr>
          <w:rFonts w:hint="eastAsia" w:ascii="黑体" w:eastAsia="黑体"/>
          <w:color w:val="auto"/>
          <w:sz w:val="44"/>
          <w:szCs w:val="44"/>
        </w:rPr>
        <w:t>诸暨市政府采购合同（通用条款）</w:t>
      </w:r>
    </w:p>
    <w:p>
      <w:pPr>
        <w:jc w:val="center"/>
        <w:rPr>
          <w:rFonts w:hint="eastAsia"/>
          <w:color w:val="auto"/>
        </w:rPr>
      </w:pPr>
      <w:r>
        <w:rPr>
          <w:rFonts w:hint="eastAsia"/>
          <w:color w:val="auto"/>
        </w:rPr>
        <w:t>合同编号：</w:t>
      </w:r>
    </w:p>
    <w:p>
      <w:pPr>
        <w:rPr>
          <w:rFonts w:hint="eastAsia"/>
          <w:color w:val="auto"/>
          <w:u w:val="single"/>
        </w:rPr>
      </w:pPr>
      <w:r>
        <w:rPr>
          <w:rFonts w:hint="eastAsia"/>
          <w:color w:val="auto"/>
        </w:rPr>
        <w:t>甲方（采购单位）：</w:t>
      </w:r>
      <w:r>
        <w:rPr>
          <w:rFonts w:hint="eastAsia"/>
          <w:color w:val="auto"/>
          <w:u w:val="single"/>
        </w:rPr>
        <w:t xml:space="preserve">                            </w:t>
      </w:r>
      <w:r>
        <w:rPr>
          <w:rFonts w:hint="eastAsia"/>
          <w:color w:val="auto"/>
        </w:rPr>
        <w:t>签订日期：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rFonts w:hint="eastAsia"/>
          <w:color w:val="auto"/>
        </w:rPr>
      </w:pPr>
      <w:r>
        <w:rPr>
          <w:rFonts w:hint="eastAsia"/>
          <w:color w:val="auto"/>
        </w:rPr>
        <w:t>乙方（供货单位）：</w:t>
      </w:r>
      <w:r>
        <w:rPr>
          <w:rFonts w:hint="eastAsia"/>
          <w:color w:val="auto"/>
          <w:u w:val="single"/>
        </w:rPr>
        <w:t xml:space="preserve">                            </w:t>
      </w:r>
      <w:r>
        <w:rPr>
          <w:rFonts w:hint="eastAsia"/>
          <w:color w:val="auto"/>
        </w:rPr>
        <w:t>签订地点：</w:t>
      </w:r>
      <w:r>
        <w:rPr>
          <w:rFonts w:hint="eastAsia"/>
          <w:color w:val="auto"/>
          <w:u w:val="single"/>
        </w:rPr>
        <w:t xml:space="preserve">                      </w:t>
      </w:r>
      <w:r>
        <w:rPr>
          <w:rFonts w:hint="eastAsia"/>
          <w:color w:val="auto"/>
        </w:rPr>
        <w:t xml:space="preserve">  </w:t>
      </w:r>
    </w:p>
    <w:p>
      <w:pPr>
        <w:ind w:firstLine="420" w:firstLineChars="200"/>
        <w:rPr>
          <w:rFonts w:hint="eastAsia"/>
          <w:color w:val="auto"/>
        </w:rPr>
      </w:pPr>
      <w:r>
        <w:rPr>
          <w:rFonts w:hint="eastAsia"/>
          <w:color w:val="auto"/>
        </w:rPr>
        <w:t>根据《中华人民共和国合同法》、《中华人民共和国政府采购法》等有关规定，以及诸暨市公共资源交易中心（编号：诸政采20</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号）招标文件相关要求，经法定程序采购，双方同意签订以下合同条款，以便双方共同遵守、履行合同。</w:t>
      </w:r>
    </w:p>
    <w:p>
      <w:pPr>
        <w:rPr>
          <w:rFonts w:hint="eastAsia"/>
          <w:b/>
          <w:color w:val="auto"/>
        </w:rPr>
      </w:pPr>
      <w:r>
        <w:rPr>
          <w:rFonts w:hint="eastAsia"/>
          <w:color w:val="auto"/>
        </w:rPr>
        <w:t xml:space="preserve">   </w:t>
      </w:r>
      <w:r>
        <w:rPr>
          <w:rFonts w:hint="eastAsia"/>
          <w:b/>
          <w:color w:val="auto"/>
        </w:rPr>
        <w:t xml:space="preserve"> 一、采购产品</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center"/>
          </w:tcPr>
          <w:p>
            <w:pPr>
              <w:jc w:val="center"/>
              <w:rPr>
                <w:rFonts w:hint="eastAsia"/>
                <w:color w:val="auto"/>
              </w:rPr>
            </w:pPr>
            <w:r>
              <w:rPr>
                <w:rFonts w:hint="eastAsia"/>
                <w:color w:val="auto"/>
              </w:rPr>
              <w:t>产品名称</w:t>
            </w:r>
          </w:p>
        </w:tc>
        <w:tc>
          <w:tcPr>
            <w:tcW w:w="3960" w:type="dxa"/>
            <w:noWrap w:val="0"/>
            <w:vAlign w:val="center"/>
          </w:tcPr>
          <w:p>
            <w:pPr>
              <w:jc w:val="center"/>
              <w:rPr>
                <w:rFonts w:hint="eastAsia"/>
                <w:color w:val="auto"/>
              </w:rPr>
            </w:pPr>
            <w:r>
              <w:rPr>
                <w:rFonts w:hint="eastAsia"/>
                <w:color w:val="auto"/>
              </w:rPr>
              <w:t>规格、型号</w:t>
            </w:r>
          </w:p>
        </w:tc>
        <w:tc>
          <w:tcPr>
            <w:tcW w:w="1080" w:type="dxa"/>
            <w:noWrap w:val="0"/>
            <w:vAlign w:val="center"/>
          </w:tcPr>
          <w:p>
            <w:pPr>
              <w:jc w:val="center"/>
              <w:rPr>
                <w:rFonts w:hint="eastAsia"/>
                <w:color w:val="auto"/>
              </w:rPr>
            </w:pPr>
            <w:r>
              <w:rPr>
                <w:rFonts w:hint="eastAsia"/>
                <w:color w:val="auto"/>
              </w:rPr>
              <w:t>数量</w:t>
            </w:r>
          </w:p>
        </w:tc>
        <w:tc>
          <w:tcPr>
            <w:tcW w:w="1260" w:type="dxa"/>
            <w:noWrap w:val="0"/>
            <w:vAlign w:val="center"/>
          </w:tcPr>
          <w:p>
            <w:pPr>
              <w:jc w:val="center"/>
              <w:rPr>
                <w:rFonts w:hint="eastAsia"/>
                <w:color w:val="auto"/>
              </w:rPr>
            </w:pPr>
            <w:r>
              <w:rPr>
                <w:rFonts w:hint="eastAsia"/>
                <w:color w:val="auto"/>
              </w:rPr>
              <w:t>单价（元）</w:t>
            </w:r>
          </w:p>
        </w:tc>
        <w:tc>
          <w:tcPr>
            <w:tcW w:w="1440" w:type="dxa"/>
            <w:noWrap w:val="0"/>
            <w:vAlign w:val="center"/>
          </w:tcPr>
          <w:p>
            <w:pPr>
              <w:jc w:val="center"/>
              <w:rPr>
                <w:rFonts w:hint="eastAsia"/>
                <w:color w:val="auto"/>
              </w:rPr>
            </w:pPr>
            <w:r>
              <w:rPr>
                <w:rFonts w:hint="eastAsia"/>
                <w:color w:val="auto"/>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noWrap w:val="0"/>
            <w:vAlign w:val="center"/>
          </w:tcPr>
          <w:p>
            <w:pPr>
              <w:rPr>
                <w:rFonts w:hint="eastAsia"/>
                <w:color w:val="auto"/>
              </w:rPr>
            </w:pPr>
            <w:r>
              <w:rPr>
                <w:rFonts w:hint="eastAsia"/>
                <w:color w:val="auto"/>
              </w:rPr>
              <w:t xml:space="preserve">合计人民币（大写）：  佰   拾   万   仟   佰   拾   元    角    分  </w:t>
            </w:r>
            <w:r>
              <w:rPr>
                <w:rFonts w:hint="eastAsia" w:ascii="宋体" w:hAnsi="宋体"/>
                <w:color w:val="auto"/>
              </w:rPr>
              <w:t>￥：</w:t>
            </w:r>
          </w:p>
        </w:tc>
      </w:tr>
    </w:tbl>
    <w:p>
      <w:pPr>
        <w:rPr>
          <w:rFonts w:hint="eastAsia"/>
          <w:b/>
          <w:color w:val="auto"/>
        </w:rPr>
      </w:pPr>
      <w:r>
        <w:rPr>
          <w:rFonts w:hint="eastAsia"/>
          <w:color w:val="auto"/>
        </w:rPr>
        <w:t xml:space="preserve">    </w:t>
      </w:r>
      <w:r>
        <w:rPr>
          <w:rFonts w:hint="eastAsia"/>
          <w:b/>
          <w:color w:val="auto"/>
        </w:rPr>
        <w:t>二、供货要求</w:t>
      </w:r>
    </w:p>
    <w:p>
      <w:pPr>
        <w:ind w:firstLine="420" w:firstLineChars="200"/>
        <w:rPr>
          <w:rFonts w:hint="eastAsia"/>
          <w:color w:val="auto"/>
        </w:rPr>
      </w:pPr>
      <w:r>
        <w:rPr>
          <w:rFonts w:hint="eastAsia"/>
          <w:color w:val="auto"/>
        </w:rPr>
        <w:t>1、乙方应在合同签订后</w:t>
      </w:r>
      <w:r>
        <w:rPr>
          <w:rFonts w:hint="eastAsia"/>
          <w:color w:val="auto"/>
          <w:u w:val="single"/>
        </w:rPr>
        <w:t xml:space="preserve">   </w:t>
      </w:r>
      <w:r>
        <w:rPr>
          <w:rFonts w:hint="eastAsia"/>
          <w:color w:val="auto"/>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color w:val="auto"/>
        </w:rPr>
      </w:pPr>
      <w:r>
        <w:rPr>
          <w:rFonts w:hint="eastAsia"/>
          <w:color w:val="auto"/>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color w:val="auto"/>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color w:val="auto"/>
        </w:rPr>
      </w:pPr>
      <w:r>
        <w:rPr>
          <w:rFonts w:hint="eastAsia"/>
          <w:color w:val="auto"/>
        </w:rPr>
        <w:t>3、乙方不得将采购产品转包给其他供应商，否则视为违约，并将追究其违约责任，甲方有权解除采购合同，所造成的损失由乙方承担。</w:t>
      </w:r>
    </w:p>
    <w:p>
      <w:pPr>
        <w:ind w:firstLine="420" w:firstLineChars="200"/>
        <w:rPr>
          <w:rFonts w:hint="eastAsia"/>
          <w:color w:val="auto"/>
        </w:rPr>
      </w:pPr>
      <w:r>
        <w:rPr>
          <w:rFonts w:hint="eastAsia"/>
          <w:color w:val="auto"/>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0" w:firstLineChars="200"/>
        <w:rPr>
          <w:rFonts w:hint="eastAsia"/>
          <w:b/>
          <w:color w:val="auto"/>
        </w:rPr>
      </w:pPr>
      <w:r>
        <w:rPr>
          <w:rFonts w:hint="eastAsia"/>
          <w:b/>
          <w:color w:val="auto"/>
        </w:rPr>
        <w:t>三、质量要求</w:t>
      </w:r>
    </w:p>
    <w:p>
      <w:pPr>
        <w:ind w:firstLine="420" w:firstLineChars="200"/>
        <w:rPr>
          <w:rFonts w:hint="eastAsia" w:ascii="宋体" w:hAnsi="宋体"/>
          <w:color w:val="auto"/>
        </w:rPr>
      </w:pPr>
      <w:r>
        <w:rPr>
          <w:rFonts w:hint="eastAsia"/>
          <w:color w:val="auto"/>
        </w:rPr>
        <w:t>1、乙方应确保</w:t>
      </w:r>
      <w:r>
        <w:rPr>
          <w:rFonts w:hint="eastAsia" w:ascii="宋体" w:hAnsi="宋体"/>
          <w:color w:val="auto"/>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rFonts w:hint="eastAsia"/>
          <w:color w:val="auto"/>
        </w:rPr>
      </w:pPr>
      <w:r>
        <w:rPr>
          <w:rFonts w:hint="eastAsia" w:ascii="宋体" w:hAnsi="宋体"/>
          <w:color w:val="auto"/>
        </w:rPr>
        <w:t>2、乙方应保证设备经正确安装、正常运转和保养，保证在在其使用寿命内应具有满意的性能。</w:t>
      </w:r>
    </w:p>
    <w:p>
      <w:pPr>
        <w:ind w:firstLine="420" w:firstLineChars="200"/>
        <w:rPr>
          <w:rFonts w:hint="eastAsia" w:ascii="宋体" w:hAnsi="宋体"/>
          <w:color w:val="auto"/>
        </w:rPr>
      </w:pPr>
      <w:r>
        <w:rPr>
          <w:rFonts w:hint="eastAsia"/>
          <w:color w:val="auto"/>
        </w:rPr>
        <w:t>3、如发</w:t>
      </w:r>
      <w:r>
        <w:rPr>
          <w:rFonts w:hint="eastAsia" w:ascii="宋体" w:hAnsi="宋体"/>
          <w:color w:val="auto"/>
        </w:rPr>
        <w:t>生质量异议，甲方有权要求更换产品；若乙方拒绝，按《中华人民共和国产品质量法》等有关规定处理。</w:t>
      </w:r>
    </w:p>
    <w:p>
      <w:pPr>
        <w:ind w:firstLine="420" w:firstLineChars="200"/>
        <w:rPr>
          <w:rFonts w:hint="eastAsia" w:ascii="宋体" w:hAnsi="宋体"/>
          <w:b/>
          <w:color w:val="auto"/>
        </w:rPr>
      </w:pPr>
      <w:r>
        <w:rPr>
          <w:rFonts w:hint="eastAsia" w:ascii="宋体" w:hAnsi="宋体"/>
          <w:b/>
          <w:color w:val="auto"/>
        </w:rPr>
        <w:t>四、产品验收</w:t>
      </w:r>
    </w:p>
    <w:p>
      <w:pPr>
        <w:ind w:firstLine="420" w:firstLineChars="200"/>
        <w:rPr>
          <w:rFonts w:hint="eastAsia" w:ascii="宋体" w:hAnsi="宋体"/>
          <w:color w:val="auto"/>
        </w:rPr>
      </w:pPr>
      <w:r>
        <w:rPr>
          <w:rFonts w:hint="eastAsia" w:ascii="宋体" w:hAnsi="宋体"/>
          <w:color w:val="auto"/>
        </w:rPr>
        <w:t>产品由甲方单位组织验收，在货到后</w:t>
      </w:r>
      <w:r>
        <w:rPr>
          <w:rFonts w:hint="eastAsia" w:ascii="宋体" w:hAnsi="宋体"/>
          <w:color w:val="auto"/>
          <w:u w:val="single"/>
        </w:rPr>
        <w:t xml:space="preserve">      </w:t>
      </w:r>
      <w:r>
        <w:rPr>
          <w:rFonts w:hint="eastAsia" w:ascii="宋体" w:hAnsi="宋体"/>
          <w:color w:val="auto"/>
        </w:rPr>
        <w:t>天内验收完毕，</w:t>
      </w:r>
      <w:r>
        <w:rPr>
          <w:rFonts w:hint="eastAsia" w:ascii="宋体" w:hAnsi="宋体"/>
          <w:color w:val="auto"/>
          <w:u w:val="single"/>
        </w:rPr>
        <w:t xml:space="preserve">       </w:t>
      </w:r>
      <w:r>
        <w:rPr>
          <w:rFonts w:hint="eastAsia" w:ascii="宋体" w:hAnsi="宋体"/>
          <w:color w:val="auto"/>
        </w:rPr>
        <w:t>天内提出质量异议。具体按照《诸暨市政府采购合同履约和验收管理暂行规定》执行。</w:t>
      </w:r>
    </w:p>
    <w:p>
      <w:pPr>
        <w:ind w:firstLine="420" w:firstLineChars="200"/>
        <w:rPr>
          <w:rFonts w:hint="eastAsia" w:ascii="宋体" w:hAnsi="宋体"/>
          <w:b/>
          <w:color w:val="auto"/>
        </w:rPr>
      </w:pPr>
      <w:r>
        <w:rPr>
          <w:rFonts w:hint="eastAsia" w:ascii="宋体" w:hAnsi="宋体"/>
          <w:b/>
          <w:color w:val="auto"/>
        </w:rPr>
        <w:t>五、付款方式</w:t>
      </w:r>
    </w:p>
    <w:p>
      <w:pPr>
        <w:ind w:firstLine="420" w:firstLineChars="200"/>
        <w:rPr>
          <w:rFonts w:hint="eastAsia" w:ascii="宋体" w:hAnsi="宋体"/>
          <w:color w:val="auto"/>
        </w:rPr>
      </w:pPr>
      <w:r>
        <w:rPr>
          <w:rFonts w:hint="eastAsia" w:ascii="宋体" w:hAnsi="宋体"/>
          <w:color w:val="auto"/>
        </w:rPr>
        <w:t>1、中标产品经验收合格后，按照招标文件规定，甲方首次支付给乙方合同款的</w:t>
      </w:r>
      <w:r>
        <w:rPr>
          <w:rFonts w:hint="eastAsia" w:ascii="宋体" w:hAnsi="宋体"/>
          <w:color w:val="auto"/>
          <w:u w:val="single"/>
        </w:rPr>
        <w:t xml:space="preserve">     </w:t>
      </w:r>
      <w:r>
        <w:rPr>
          <w:rFonts w:hint="eastAsia" w:ascii="宋体" w:hAnsi="宋体"/>
          <w:color w:val="auto"/>
        </w:rPr>
        <w:t>%，即</w:t>
      </w:r>
    </w:p>
    <w:p>
      <w:pPr>
        <w:rPr>
          <w:rFonts w:hint="eastAsia" w:ascii="宋体" w:hAnsi="宋体"/>
          <w:color w:val="auto"/>
        </w:rPr>
      </w:pPr>
      <w:r>
        <w:rPr>
          <w:rFonts w:hint="eastAsia" w:ascii="宋体" w:hAnsi="宋体"/>
          <w:color w:val="auto"/>
          <w:u w:val="single"/>
        </w:rPr>
        <w:t xml:space="preserve">        </w:t>
      </w:r>
      <w:r>
        <w:rPr>
          <w:rFonts w:hint="eastAsia" w:ascii="宋体" w:hAnsi="宋体"/>
          <w:color w:val="auto"/>
        </w:rPr>
        <w:t>元；在正常运行</w:t>
      </w:r>
      <w:r>
        <w:rPr>
          <w:rFonts w:hint="eastAsia" w:ascii="宋体" w:hAnsi="宋体"/>
          <w:color w:val="auto"/>
          <w:u w:val="single"/>
        </w:rPr>
        <w:t xml:space="preserve">        </w:t>
      </w:r>
      <w:r>
        <w:rPr>
          <w:rFonts w:hint="eastAsia" w:ascii="宋体" w:hAnsi="宋体"/>
          <w:color w:val="auto"/>
        </w:rPr>
        <w:t>个月后的</w:t>
      </w:r>
      <w:r>
        <w:rPr>
          <w:rFonts w:hint="eastAsia" w:ascii="宋体" w:hAnsi="宋体"/>
          <w:color w:val="auto"/>
          <w:u w:val="single"/>
        </w:rPr>
        <w:t xml:space="preserve">     </w:t>
      </w:r>
      <w:r>
        <w:rPr>
          <w:rFonts w:hint="eastAsia" w:ascii="宋体" w:hAnsi="宋体"/>
          <w:color w:val="auto"/>
        </w:rPr>
        <w:t>天内再支付</w:t>
      </w:r>
      <w:r>
        <w:rPr>
          <w:rFonts w:hint="eastAsia" w:ascii="宋体" w:hAnsi="宋体"/>
          <w:color w:val="auto"/>
          <w:u w:val="single"/>
        </w:rPr>
        <w:t xml:space="preserve">    </w:t>
      </w:r>
      <w:r>
        <w:rPr>
          <w:rFonts w:hint="eastAsia" w:ascii="宋体" w:hAnsi="宋体"/>
          <w:color w:val="auto"/>
        </w:rPr>
        <w:t xml:space="preserve">%，即 </w:t>
      </w:r>
      <w:r>
        <w:rPr>
          <w:rFonts w:hint="eastAsia" w:ascii="宋体" w:hAnsi="宋体"/>
          <w:color w:val="auto"/>
          <w:u w:val="single"/>
        </w:rPr>
        <w:t xml:space="preserve">      </w:t>
      </w:r>
      <w:r>
        <w:rPr>
          <w:rFonts w:hint="eastAsia" w:ascii="宋体" w:hAnsi="宋体"/>
          <w:color w:val="auto"/>
        </w:rPr>
        <w:t>元；剩余的</w:t>
      </w:r>
      <w:r>
        <w:rPr>
          <w:rFonts w:hint="eastAsia" w:ascii="宋体" w:hAnsi="宋体"/>
          <w:color w:val="auto"/>
          <w:u w:val="single"/>
        </w:rPr>
        <w:t xml:space="preserve">    %</w:t>
      </w:r>
      <w:r>
        <w:rPr>
          <w:rFonts w:hint="eastAsia" w:ascii="宋体" w:hAnsi="宋体"/>
          <w:color w:val="auto"/>
        </w:rPr>
        <w:t>（可作为产品质保金），在</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日前若无质量问题全部付清（无息）。</w:t>
      </w:r>
    </w:p>
    <w:p>
      <w:pPr>
        <w:ind w:firstLine="420" w:firstLineChars="200"/>
        <w:rPr>
          <w:rFonts w:hint="eastAsia" w:ascii="宋体" w:hAnsi="宋体"/>
          <w:color w:val="auto"/>
        </w:rPr>
      </w:pPr>
      <w:r>
        <w:rPr>
          <w:rFonts w:hint="eastAsia" w:ascii="宋体" w:hAnsi="宋体"/>
          <w:color w:val="auto"/>
        </w:rPr>
        <w:t>2、甲方凭乙方提供的经诸暨市公共资源交易中心与诸暨市政府采购工作办公室（地址：诸暨市人民中路</w:t>
      </w:r>
      <w:r>
        <w:rPr>
          <w:rFonts w:ascii="宋体" w:hAnsi="宋体"/>
          <w:color w:val="auto"/>
        </w:rPr>
        <w:t>356</w:t>
      </w:r>
      <w:r>
        <w:rPr>
          <w:rFonts w:hint="eastAsia" w:ascii="宋体" w:hAnsi="宋体"/>
          <w:color w:val="auto"/>
        </w:rPr>
        <w:t>号）审核后的发票复印件（要求在复印件上加盖用户单位公章）、验收结算书、合同，将合同款直接拨入乙方开户银行。</w:t>
      </w:r>
    </w:p>
    <w:p>
      <w:pPr>
        <w:ind w:firstLine="420" w:firstLineChars="200"/>
        <w:rPr>
          <w:rFonts w:hint="eastAsia" w:ascii="宋体" w:hAnsi="宋体"/>
          <w:b/>
          <w:color w:val="auto"/>
        </w:rPr>
      </w:pPr>
      <w:r>
        <w:rPr>
          <w:rFonts w:hint="eastAsia" w:ascii="宋体" w:hAnsi="宋体"/>
          <w:b/>
          <w:color w:val="auto"/>
        </w:rPr>
        <w:t>六、履约保证金</w:t>
      </w:r>
    </w:p>
    <w:p>
      <w:pPr>
        <w:ind w:firstLine="420" w:firstLineChars="200"/>
        <w:rPr>
          <w:rFonts w:hint="eastAsia" w:ascii="宋体" w:hAnsi="宋体"/>
          <w:color w:val="auto"/>
        </w:rPr>
      </w:pPr>
      <w:r>
        <w:rPr>
          <w:rFonts w:hint="eastAsia" w:ascii="宋体" w:hAnsi="宋体"/>
          <w:color w:val="auto"/>
        </w:rPr>
        <w:t>1、乙方在签订合同之前，须向甲方缴纳合同款</w:t>
      </w:r>
      <w:r>
        <w:rPr>
          <w:rFonts w:hint="eastAsia" w:ascii="宋体" w:hAnsi="宋体"/>
          <w:color w:val="auto"/>
          <w:u w:val="single"/>
        </w:rPr>
        <w:t xml:space="preserve">     </w:t>
      </w:r>
      <w:r>
        <w:rPr>
          <w:rFonts w:hint="eastAsia" w:ascii="宋体" w:hAnsi="宋体"/>
          <w:color w:val="auto"/>
        </w:rPr>
        <w:t>%的履约保证金。</w:t>
      </w:r>
    </w:p>
    <w:p>
      <w:pPr>
        <w:ind w:firstLine="420" w:firstLineChars="200"/>
        <w:rPr>
          <w:rFonts w:hint="eastAsia" w:ascii="宋体" w:hAnsi="宋体"/>
          <w:color w:val="auto"/>
        </w:rPr>
      </w:pPr>
      <w:r>
        <w:rPr>
          <w:rFonts w:hint="eastAsia" w:ascii="宋体" w:hAnsi="宋体"/>
          <w:color w:val="auto"/>
        </w:rPr>
        <w:t>2、履约保证金在甲方将货物验收合格后，无息退还给乙方。</w:t>
      </w:r>
    </w:p>
    <w:p>
      <w:pPr>
        <w:ind w:firstLine="420" w:firstLineChars="200"/>
        <w:rPr>
          <w:rFonts w:hint="eastAsia" w:ascii="宋体" w:hAnsi="宋体"/>
          <w:color w:val="auto"/>
        </w:rPr>
      </w:pPr>
      <w:r>
        <w:rPr>
          <w:rFonts w:hint="eastAsia" w:ascii="宋体" w:hAnsi="宋体"/>
          <w:color w:val="auto"/>
        </w:rPr>
        <w:t>3、如乙方未能履行合同规定的义务，甲方有权在履约保证金中取得补偿。</w:t>
      </w:r>
    </w:p>
    <w:p>
      <w:pPr>
        <w:ind w:firstLine="420" w:firstLineChars="200"/>
        <w:rPr>
          <w:rFonts w:hint="eastAsia" w:ascii="宋体" w:hAnsi="宋体"/>
          <w:b/>
          <w:color w:val="auto"/>
        </w:rPr>
      </w:pPr>
      <w:r>
        <w:rPr>
          <w:rFonts w:hint="eastAsia" w:ascii="宋体" w:hAnsi="宋体"/>
          <w:b/>
          <w:color w:val="auto"/>
        </w:rPr>
        <w:t>七、产品数量变更</w:t>
      </w:r>
    </w:p>
    <w:p>
      <w:pPr>
        <w:ind w:firstLine="420" w:firstLineChars="200"/>
        <w:rPr>
          <w:rFonts w:hint="eastAsia" w:ascii="宋体" w:hAnsi="宋体"/>
          <w:color w:val="auto"/>
        </w:rPr>
      </w:pPr>
      <w:r>
        <w:rPr>
          <w:rFonts w:hint="eastAsia" w:ascii="宋体" w:hAnsi="宋体"/>
          <w:color w:val="auto"/>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0" w:firstLineChars="200"/>
        <w:rPr>
          <w:rFonts w:hint="eastAsia" w:ascii="宋体" w:hAnsi="宋体"/>
          <w:b/>
          <w:color w:val="auto"/>
        </w:rPr>
      </w:pPr>
      <w:r>
        <w:rPr>
          <w:rFonts w:hint="eastAsia" w:ascii="宋体" w:hAnsi="宋体"/>
          <w:b/>
          <w:color w:val="auto"/>
        </w:rPr>
        <w:t>八、售后服务</w:t>
      </w:r>
    </w:p>
    <w:p>
      <w:pPr>
        <w:ind w:firstLine="420" w:firstLineChars="200"/>
        <w:rPr>
          <w:rFonts w:hint="eastAsia" w:ascii="宋体" w:hAnsi="宋体"/>
          <w:color w:val="auto"/>
        </w:rPr>
      </w:pPr>
      <w:r>
        <w:rPr>
          <w:rFonts w:hint="eastAsia" w:ascii="宋体" w:hAnsi="宋体"/>
          <w:color w:val="auto"/>
        </w:rPr>
        <w:t>具体售后服务条款参照招标文件及乙方投标文件中的售后服务承诺。</w:t>
      </w:r>
    </w:p>
    <w:p>
      <w:pPr>
        <w:ind w:firstLine="420" w:firstLineChars="200"/>
        <w:rPr>
          <w:rFonts w:hint="eastAsia" w:ascii="宋体" w:hAnsi="宋体"/>
          <w:b/>
          <w:color w:val="auto"/>
        </w:rPr>
      </w:pPr>
      <w:r>
        <w:rPr>
          <w:rFonts w:hint="eastAsia" w:ascii="宋体" w:hAnsi="宋体"/>
          <w:b/>
          <w:color w:val="auto"/>
        </w:rPr>
        <w:t>九、违约责任</w:t>
      </w:r>
    </w:p>
    <w:p>
      <w:pPr>
        <w:ind w:firstLine="420" w:firstLineChars="200"/>
        <w:rPr>
          <w:rFonts w:hint="eastAsia" w:ascii="宋体" w:hAnsi="宋体"/>
          <w:color w:val="auto"/>
        </w:rPr>
      </w:pPr>
      <w:r>
        <w:rPr>
          <w:rFonts w:hint="eastAsia" w:ascii="宋体" w:hAnsi="宋体"/>
          <w:color w:val="auto"/>
        </w:rPr>
        <w:t>1、甲方无正当理由拒收货物，由甲方向乙方偿付合同总价的5%违约金。</w:t>
      </w:r>
    </w:p>
    <w:p>
      <w:pPr>
        <w:ind w:firstLine="420" w:firstLineChars="200"/>
        <w:rPr>
          <w:rFonts w:hint="eastAsia" w:ascii="宋体" w:hAnsi="宋体"/>
          <w:color w:val="auto"/>
        </w:rPr>
      </w:pPr>
      <w:r>
        <w:rPr>
          <w:rFonts w:hint="eastAsia" w:ascii="宋体" w:hAnsi="宋体"/>
          <w:color w:val="auto"/>
        </w:rPr>
        <w:t>2、甲方未能在合同规定期限内验收完毕的，每超过一天，付合同价的</w:t>
      </w:r>
      <w:r>
        <w:rPr>
          <w:rFonts w:hint="eastAsia" w:ascii="宋体" w:hAnsi="宋体"/>
          <w:color w:val="auto"/>
          <w:u w:val="single"/>
        </w:rPr>
        <w:t xml:space="preserve">   </w:t>
      </w:r>
      <w:r>
        <w:rPr>
          <w:rFonts w:hint="eastAsia" w:ascii="宋体" w:hAnsi="宋体"/>
          <w:color w:val="auto"/>
        </w:rPr>
        <w:t>%的违约金给乙方。</w:t>
      </w:r>
    </w:p>
    <w:p>
      <w:pPr>
        <w:ind w:firstLine="420" w:firstLineChars="200"/>
        <w:rPr>
          <w:rFonts w:hint="eastAsia" w:ascii="宋体" w:hAnsi="宋体"/>
          <w:color w:val="auto"/>
        </w:rPr>
      </w:pPr>
      <w:r>
        <w:rPr>
          <w:rFonts w:hint="eastAsia" w:ascii="宋体" w:hAnsi="宋体"/>
          <w:color w:val="auto"/>
        </w:rPr>
        <w:t>3、乙方不能交付货物，甲方有权扣留全部履约保证金；同时乙方向甲方支付合同款总价5%的违约金。</w:t>
      </w:r>
    </w:p>
    <w:p>
      <w:pPr>
        <w:ind w:firstLine="420" w:firstLineChars="200"/>
        <w:rPr>
          <w:rFonts w:hint="eastAsia" w:ascii="宋体" w:hAnsi="宋体"/>
          <w:color w:val="auto"/>
        </w:rPr>
      </w:pPr>
      <w:r>
        <w:rPr>
          <w:rFonts w:hint="eastAsia" w:ascii="宋体" w:hAnsi="宋体"/>
          <w:color w:val="auto"/>
        </w:rPr>
        <w:t>4、乙方逾期交付货物的，每逾期1天，乙方向甲方偿付逾期交货部分货物货款的0.5%的滞纳金，如乙方逾期交货15天，甲方有权解除合同，解除合同的通知自到达乙方时生效。</w:t>
      </w:r>
    </w:p>
    <w:p>
      <w:pPr>
        <w:ind w:firstLine="420" w:firstLineChars="200"/>
        <w:rPr>
          <w:rFonts w:hint="eastAsia" w:ascii="宋体" w:hAnsi="宋体"/>
          <w:b/>
          <w:color w:val="auto"/>
        </w:rPr>
      </w:pPr>
      <w:r>
        <w:rPr>
          <w:rFonts w:hint="eastAsia" w:ascii="宋体" w:hAnsi="宋体"/>
          <w:b/>
          <w:color w:val="auto"/>
        </w:rPr>
        <w:t>十、其他约定事项</w:t>
      </w:r>
    </w:p>
    <w:p>
      <w:pPr>
        <w:ind w:firstLine="420" w:firstLineChars="200"/>
        <w:rPr>
          <w:rFonts w:hint="eastAsia" w:ascii="宋体" w:hAnsi="宋体"/>
          <w:color w:val="auto"/>
          <w:u w:val="single"/>
        </w:rPr>
      </w:pPr>
      <w:r>
        <w:rPr>
          <w:rFonts w:hint="eastAsia" w:ascii="宋体" w:hAnsi="宋体"/>
          <w:color w:val="auto"/>
          <w:u w:val="single"/>
        </w:rPr>
        <w:t xml:space="preserve">                                                                                         </w:t>
      </w:r>
    </w:p>
    <w:p>
      <w:pPr>
        <w:rPr>
          <w:rFonts w:hint="eastAsia" w:ascii="宋体" w:hAnsi="宋体"/>
          <w:color w:val="auto"/>
          <w:u w:val="single"/>
        </w:rPr>
      </w:pPr>
      <w:r>
        <w:rPr>
          <w:rFonts w:hint="eastAsia" w:ascii="宋体" w:hAnsi="宋体"/>
          <w:color w:val="auto"/>
          <w:u w:val="single"/>
        </w:rPr>
        <w:t xml:space="preserve">                                                                                       </w:t>
      </w:r>
    </w:p>
    <w:p>
      <w:pPr>
        <w:ind w:firstLine="420" w:firstLineChars="200"/>
        <w:rPr>
          <w:rFonts w:hint="eastAsia" w:ascii="宋体" w:hAnsi="宋体"/>
          <w:b/>
          <w:color w:val="auto"/>
        </w:rPr>
      </w:pPr>
      <w:r>
        <w:rPr>
          <w:rFonts w:hint="eastAsia" w:ascii="宋体" w:hAnsi="宋体"/>
          <w:b/>
          <w:color w:val="auto"/>
        </w:rPr>
        <w:t>十一、解决合同纠纷方式</w:t>
      </w:r>
    </w:p>
    <w:p>
      <w:pPr>
        <w:ind w:firstLine="420" w:firstLineChars="200"/>
        <w:rPr>
          <w:rFonts w:hint="eastAsia" w:ascii="宋体" w:hAnsi="宋体"/>
          <w:color w:val="auto"/>
        </w:rPr>
      </w:pPr>
      <w:r>
        <w:rPr>
          <w:rFonts w:hint="eastAsia" w:ascii="宋体" w:hAnsi="宋体"/>
          <w:color w:val="auto"/>
        </w:rPr>
        <w:t>其它未尽事宜或履行时发生争议，由双方本着诚实信用的原则协商解决，协商不成功可选择：1）向绍兴市仲裁委员会申请仲裁；2）向</w:t>
      </w:r>
      <w:r>
        <w:rPr>
          <w:rFonts w:hint="eastAsia" w:ascii="宋体" w:hAnsi="宋体"/>
          <w:color w:val="auto"/>
          <w:u w:val="single"/>
        </w:rPr>
        <w:t xml:space="preserve">                                </w:t>
      </w:r>
      <w:r>
        <w:rPr>
          <w:rFonts w:hint="eastAsia" w:ascii="宋体" w:hAnsi="宋体"/>
          <w:color w:val="auto"/>
        </w:rPr>
        <w:t>人民法院起诉。</w:t>
      </w:r>
    </w:p>
    <w:p>
      <w:pPr>
        <w:ind w:firstLine="420" w:firstLineChars="200"/>
        <w:rPr>
          <w:rFonts w:hint="eastAsia" w:ascii="宋体" w:hAnsi="宋体"/>
          <w:b/>
          <w:color w:val="auto"/>
        </w:rPr>
      </w:pPr>
      <w:r>
        <w:rPr>
          <w:rFonts w:hint="eastAsia" w:ascii="宋体" w:hAnsi="宋体"/>
          <w:b/>
          <w:color w:val="auto"/>
        </w:rPr>
        <w:t>十二、其它</w:t>
      </w:r>
    </w:p>
    <w:p>
      <w:pPr>
        <w:ind w:left="420"/>
        <w:rPr>
          <w:rFonts w:hint="eastAsia" w:ascii="宋体" w:hAnsi="宋体"/>
          <w:color w:val="auto"/>
        </w:rPr>
      </w:pPr>
      <w:r>
        <w:rPr>
          <w:rFonts w:hint="eastAsia" w:ascii="宋体" w:hAnsi="宋体"/>
          <w:color w:val="auto"/>
        </w:rPr>
        <w:t>1、本项目的招标文件、投标文件、中标通知书作为合同的附件，具有同等法律效力。</w:t>
      </w:r>
    </w:p>
    <w:p>
      <w:pPr>
        <w:ind w:left="420"/>
        <w:rPr>
          <w:rFonts w:hint="eastAsia" w:ascii="宋体" w:hAnsi="宋体"/>
          <w:color w:val="auto"/>
        </w:rPr>
      </w:pPr>
      <w:r>
        <w:rPr>
          <w:rFonts w:hint="eastAsia" w:ascii="宋体" w:hAnsi="宋体"/>
          <w:color w:val="auto"/>
        </w:rPr>
        <w:t>2、本合同自签订之日起生效。</w:t>
      </w:r>
    </w:p>
    <w:p>
      <w:pPr>
        <w:ind w:left="420"/>
        <w:rPr>
          <w:rFonts w:hint="eastAsia" w:ascii="宋体" w:hAnsi="宋体"/>
          <w:color w:val="auto"/>
        </w:rPr>
      </w:pPr>
      <w:r>
        <w:rPr>
          <w:rFonts w:hint="eastAsia" w:ascii="宋体" w:hAnsi="宋体"/>
          <w:color w:val="auto"/>
        </w:rPr>
        <w:t>3、本合同一式四份，甲乙双方各执二份。</w:t>
      </w:r>
    </w:p>
    <w:tbl>
      <w:tblPr>
        <w:tblStyle w:val="5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36" w:type="dxa"/>
            <w:noWrap w:val="0"/>
            <w:vAlign w:val="center"/>
          </w:tcPr>
          <w:p>
            <w:pPr>
              <w:jc w:val="center"/>
              <w:rPr>
                <w:rFonts w:hint="eastAsia"/>
                <w:color w:val="auto"/>
              </w:rPr>
            </w:pPr>
            <w:r>
              <w:rPr>
                <w:rFonts w:hint="eastAsia"/>
                <w:color w:val="auto"/>
              </w:rPr>
              <w:t>采购单位</w:t>
            </w:r>
          </w:p>
        </w:tc>
        <w:tc>
          <w:tcPr>
            <w:tcW w:w="4824" w:type="dxa"/>
            <w:noWrap w:val="0"/>
            <w:vAlign w:val="center"/>
          </w:tcPr>
          <w:p>
            <w:pPr>
              <w:jc w:val="center"/>
              <w:rPr>
                <w:rFonts w:hint="eastAsia"/>
                <w:color w:val="auto"/>
              </w:rPr>
            </w:pPr>
            <w:r>
              <w:rPr>
                <w:rFonts w:hint="eastAsia"/>
                <w:color w:val="auto"/>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36" w:type="dxa"/>
            <w:noWrap w:val="0"/>
            <w:vAlign w:val="top"/>
          </w:tcPr>
          <w:p>
            <w:pPr>
              <w:rPr>
                <w:rFonts w:hint="eastAsia"/>
                <w:color w:val="auto"/>
              </w:rPr>
            </w:pPr>
            <w:r>
              <w:rPr>
                <w:rFonts w:hint="eastAsia"/>
                <w:color w:val="auto"/>
              </w:rPr>
              <w:t>单位名称（盖章）</w:t>
            </w:r>
          </w:p>
          <w:p>
            <w:pPr>
              <w:rPr>
                <w:rFonts w:hint="eastAsia"/>
                <w:color w:val="auto"/>
              </w:rPr>
            </w:pPr>
            <w:r>
              <w:rPr>
                <w:rFonts w:hint="eastAsia"/>
                <w:color w:val="auto"/>
              </w:rPr>
              <w:t>单位地址：</w:t>
            </w:r>
          </w:p>
          <w:p>
            <w:pPr>
              <w:rPr>
                <w:rFonts w:hint="eastAsia"/>
                <w:color w:val="auto"/>
              </w:rPr>
            </w:pPr>
            <w:r>
              <w:rPr>
                <w:rFonts w:hint="eastAsia"/>
                <w:color w:val="auto"/>
              </w:rPr>
              <w:t>法定代表人：</w:t>
            </w:r>
          </w:p>
          <w:p>
            <w:pPr>
              <w:rPr>
                <w:rFonts w:hint="eastAsia"/>
                <w:color w:val="auto"/>
              </w:rPr>
            </w:pPr>
            <w:r>
              <w:rPr>
                <w:rFonts w:hint="eastAsia"/>
                <w:color w:val="auto"/>
              </w:rPr>
              <w:t>委托代理人：</w:t>
            </w:r>
          </w:p>
          <w:p>
            <w:pPr>
              <w:rPr>
                <w:rFonts w:hint="eastAsia"/>
                <w:color w:val="auto"/>
              </w:rPr>
            </w:pPr>
            <w:r>
              <w:rPr>
                <w:rFonts w:hint="eastAsia"/>
                <w:color w:val="auto"/>
              </w:rPr>
              <w:t>联系电话：</w:t>
            </w:r>
          </w:p>
          <w:p>
            <w:pPr>
              <w:rPr>
                <w:rFonts w:hint="eastAsia"/>
                <w:color w:val="auto"/>
              </w:rPr>
            </w:pPr>
            <w:r>
              <w:rPr>
                <w:rFonts w:hint="eastAsia"/>
                <w:color w:val="auto"/>
              </w:rPr>
              <w:t>传真号码：</w:t>
            </w:r>
          </w:p>
          <w:p>
            <w:pPr>
              <w:rPr>
                <w:rFonts w:hint="eastAsia"/>
                <w:color w:val="auto"/>
              </w:rPr>
            </w:pPr>
            <w:r>
              <w:rPr>
                <w:rFonts w:hint="eastAsia"/>
                <w:color w:val="auto"/>
              </w:rPr>
              <w:t>邮政编码：</w:t>
            </w:r>
          </w:p>
        </w:tc>
        <w:tc>
          <w:tcPr>
            <w:tcW w:w="4824" w:type="dxa"/>
            <w:noWrap w:val="0"/>
            <w:vAlign w:val="top"/>
          </w:tcPr>
          <w:p>
            <w:pPr>
              <w:rPr>
                <w:rFonts w:hint="eastAsia"/>
                <w:color w:val="auto"/>
              </w:rPr>
            </w:pPr>
            <w:r>
              <w:rPr>
                <w:rFonts w:hint="eastAsia"/>
                <w:color w:val="auto"/>
              </w:rPr>
              <w:t>单位名称（盖章）</w:t>
            </w:r>
          </w:p>
          <w:p>
            <w:pPr>
              <w:rPr>
                <w:rFonts w:hint="eastAsia"/>
                <w:color w:val="auto"/>
              </w:rPr>
            </w:pPr>
            <w:r>
              <w:rPr>
                <w:rFonts w:hint="eastAsia"/>
                <w:color w:val="auto"/>
              </w:rPr>
              <w:t>单位地址：</w:t>
            </w:r>
          </w:p>
          <w:p>
            <w:pPr>
              <w:rPr>
                <w:rFonts w:hint="eastAsia"/>
                <w:color w:val="auto"/>
              </w:rPr>
            </w:pPr>
            <w:r>
              <w:rPr>
                <w:rFonts w:hint="eastAsia"/>
                <w:color w:val="auto"/>
              </w:rPr>
              <w:t>法定代表人：</w:t>
            </w:r>
          </w:p>
          <w:p>
            <w:pPr>
              <w:rPr>
                <w:rFonts w:hint="eastAsia"/>
                <w:color w:val="auto"/>
              </w:rPr>
            </w:pPr>
            <w:r>
              <w:rPr>
                <w:rFonts w:hint="eastAsia"/>
                <w:color w:val="auto"/>
              </w:rPr>
              <w:t>委托代理人：</w:t>
            </w:r>
          </w:p>
          <w:p>
            <w:pPr>
              <w:rPr>
                <w:rFonts w:hint="eastAsia"/>
                <w:color w:val="auto"/>
              </w:rPr>
            </w:pPr>
            <w:r>
              <w:rPr>
                <w:rFonts w:hint="eastAsia"/>
                <w:color w:val="auto"/>
              </w:rPr>
              <w:t>联系电话：</w:t>
            </w:r>
          </w:p>
          <w:p>
            <w:pPr>
              <w:rPr>
                <w:rFonts w:hint="eastAsia"/>
                <w:color w:val="auto"/>
              </w:rPr>
            </w:pPr>
            <w:r>
              <w:rPr>
                <w:rFonts w:hint="eastAsia"/>
                <w:color w:val="auto"/>
              </w:rPr>
              <w:t>传真号码：</w:t>
            </w:r>
          </w:p>
          <w:p>
            <w:pPr>
              <w:rPr>
                <w:rFonts w:hint="eastAsia"/>
                <w:color w:val="auto"/>
              </w:rPr>
            </w:pPr>
            <w:r>
              <w:rPr>
                <w:rFonts w:hint="eastAsia"/>
                <w:color w:val="auto"/>
              </w:rPr>
              <w:t>邮政编码：</w:t>
            </w:r>
          </w:p>
          <w:p>
            <w:pPr>
              <w:rPr>
                <w:rFonts w:hint="eastAsia"/>
                <w:color w:val="auto"/>
              </w:rPr>
            </w:pPr>
            <w:r>
              <w:rPr>
                <w:rFonts w:hint="eastAsia"/>
                <w:color w:val="auto"/>
              </w:rPr>
              <w:t>开户银行：</w:t>
            </w:r>
          </w:p>
          <w:p>
            <w:pPr>
              <w:rPr>
                <w:rFonts w:hint="eastAsia"/>
                <w:color w:val="auto"/>
              </w:rPr>
            </w:pPr>
            <w:r>
              <w:rPr>
                <w:rFonts w:hint="eastAsia"/>
                <w:color w:val="auto"/>
              </w:rPr>
              <w:t>账    号：</w:t>
            </w:r>
          </w:p>
        </w:tc>
      </w:tr>
    </w:tbl>
    <w:p>
      <w:pPr>
        <w:jc w:val="center"/>
        <w:rPr>
          <w:rFonts w:ascii="黑体" w:hAnsi="宋体" w:eastAsia="黑体"/>
          <w:color w:val="auto"/>
          <w:sz w:val="44"/>
          <w:szCs w:val="44"/>
        </w:rPr>
      </w:pPr>
    </w:p>
    <w:p>
      <w:pPr>
        <w:jc w:val="center"/>
        <w:rPr>
          <w:rFonts w:hint="eastAsia" w:ascii="黑体" w:hAnsi="宋体" w:eastAsia="黑体"/>
          <w:color w:val="auto"/>
          <w:sz w:val="44"/>
          <w:szCs w:val="44"/>
        </w:rPr>
      </w:pPr>
      <w:r>
        <w:rPr>
          <w:rFonts w:ascii="黑体" w:hAnsi="宋体" w:eastAsia="黑体"/>
          <w:color w:val="auto"/>
          <w:sz w:val="44"/>
          <w:szCs w:val="44"/>
        </w:rPr>
        <w:br w:type="page"/>
      </w:r>
      <w:r>
        <w:rPr>
          <w:rFonts w:hint="eastAsia" w:ascii="黑体" w:hAnsi="宋体" w:eastAsia="黑体"/>
          <w:color w:val="auto"/>
          <w:sz w:val="44"/>
          <w:szCs w:val="44"/>
        </w:rPr>
        <w:t>第六章  应提交的有关格式范例</w:t>
      </w:r>
    </w:p>
    <w:p>
      <w:pPr>
        <w:widowControl/>
        <w:tabs>
          <w:tab w:val="left" w:pos="450"/>
          <w:tab w:val="left" w:pos="8280"/>
        </w:tabs>
        <w:spacing w:line="360" w:lineRule="auto"/>
        <w:ind w:firstLine="480"/>
        <w:jc w:val="center"/>
        <w:rPr>
          <w:rFonts w:hint="eastAsia" w:ascii="黑体" w:hAnsi="黑体" w:eastAsia="黑体"/>
          <w:color w:val="auto"/>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6"/>
          <w:szCs w:val="32"/>
        </w:rPr>
      </w:pPr>
      <w:r>
        <w:rPr>
          <w:rFonts w:hint="eastAsia" w:ascii="黑体" w:hAnsi="黑体" w:eastAsia="黑体"/>
          <w:sz w:val="36"/>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0"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（公章）          </w:t>
      </w:r>
    </w:p>
    <w:p>
      <w:pPr>
        <w:spacing w:line="360" w:lineRule="auto"/>
        <w:ind w:firstLine="425"/>
        <w:rPr>
          <w:rFonts w:hint="eastAsia" w:ascii="宋体" w:hAnsi="宋体"/>
          <w:sz w:val="24"/>
          <w:szCs w:val="24"/>
          <w:u w:val="single"/>
        </w:rPr>
      </w:pPr>
      <w:r>
        <w:rPr>
          <w:rFonts w:hint="eastAsia" w:ascii="宋体" w:hAnsi="宋体"/>
          <w:sz w:val="24"/>
          <w:szCs w:val="24"/>
        </w:rPr>
        <w:t>法定代表人或其授权代表人</w:t>
      </w:r>
      <w:r>
        <w:rPr>
          <w:rFonts w:hint="eastAsia" w:ascii="宋体" w:hAnsi="宋体"/>
          <w:color w:val="auto"/>
          <w:sz w:val="24"/>
          <w:szCs w:val="24"/>
        </w:rPr>
        <w:t>（签字或盖章）</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三、授权委托书（格式）</w:t>
      </w:r>
    </w:p>
    <w:p>
      <w:pPr>
        <w:spacing w:line="360" w:lineRule="auto"/>
        <w:rPr>
          <w:rFonts w:ascii="宋体" w:hAnsi="宋体"/>
          <w:sz w:val="24"/>
          <w:szCs w:val="24"/>
        </w:rPr>
      </w:pPr>
      <w:r>
        <w:rPr>
          <w:rFonts w:hint="eastAsia" w:ascii="宋体" w:hAnsi="宋体"/>
          <w:sz w:val="24"/>
          <w:szCs w:val="24"/>
        </w:rPr>
        <w:t>致：（采购人）、诸暨市公共资源交易中心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附：1、法定代表人和被授权人身份证复印件。</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授权代表姓名：              联系电话：               传真：</w:t>
      </w:r>
    </w:p>
    <w:p>
      <w:pPr>
        <w:spacing w:line="360" w:lineRule="auto"/>
        <w:ind w:firstLine="3840" w:firstLineChars="1600"/>
        <w:rPr>
          <w:rFonts w:hint="eastAsia" w:ascii="宋体" w:hAnsi="宋体"/>
          <w:sz w:val="24"/>
          <w:szCs w:val="24"/>
        </w:rPr>
      </w:pPr>
    </w:p>
    <w:p>
      <w:pPr>
        <w:spacing w:line="360" w:lineRule="auto"/>
        <w:ind w:firstLine="3840" w:firstLineChars="1600"/>
        <w:rPr>
          <w:rFonts w:hint="eastAsia" w:ascii="宋体" w:hAnsi="宋体"/>
          <w:sz w:val="24"/>
          <w:szCs w:val="24"/>
        </w:rPr>
      </w:pPr>
    </w:p>
    <w:p>
      <w:pPr>
        <w:spacing w:line="360" w:lineRule="auto"/>
        <w:ind w:firstLine="3840" w:firstLineChars="1600"/>
        <w:rPr>
          <w:rFonts w:hint="eastAsia" w:ascii="宋体" w:hAnsi="宋体"/>
          <w:sz w:val="24"/>
          <w:szCs w:val="24"/>
        </w:rPr>
      </w:pPr>
      <w:r>
        <w:rPr>
          <w:rFonts w:hint="eastAsia" w:ascii="宋体" w:hAnsi="宋体"/>
          <w:sz w:val="24"/>
          <w:szCs w:val="24"/>
        </w:rPr>
        <w:t>法定代表人（签字或盖章）：</w:t>
      </w:r>
      <w:r>
        <w:rPr>
          <w:rFonts w:hint="eastAsia" w:ascii="宋体" w:hAnsi="宋体"/>
          <w:sz w:val="24"/>
          <w:szCs w:val="24"/>
          <w:u w:val="single"/>
        </w:rPr>
        <w:t xml:space="preserve">                </w:t>
      </w:r>
    </w:p>
    <w:p>
      <w:pPr>
        <w:spacing w:line="360" w:lineRule="auto"/>
        <w:ind w:firstLine="3840" w:firstLineChars="1600"/>
        <w:rPr>
          <w:rFonts w:ascii="宋体" w:hAnsi="宋体"/>
          <w:sz w:val="24"/>
          <w:szCs w:val="24"/>
          <w:u w:val="single"/>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240"/>
        <w:spacing w:line="360" w:lineRule="auto"/>
        <w:ind w:left="0" w:firstLine="0" w:firstLineChars="0"/>
        <w:jc w:val="center"/>
        <w:rPr>
          <w:rFonts w:hint="eastAsia"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四、无重大违法记录的声明</w:t>
      </w:r>
    </w:p>
    <w:p>
      <w:pPr>
        <w:pStyle w:val="240"/>
        <w:spacing w:line="360" w:lineRule="auto"/>
        <w:ind w:left="0" w:firstLine="0" w:firstLineChars="0"/>
        <w:jc w:val="center"/>
        <w:rPr>
          <w:rFonts w:hint="eastAsia"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sz w:val="24"/>
          <w:szCs w:val="24"/>
          <w:u w:val="single"/>
        </w:rPr>
        <w:t>（采购人）、诸暨市公共资源交易中心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hint="eastAsia"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hint="eastAsia"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hint="eastAsia"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hint="eastAsia" w:ascii="宋体" w:hAnsi="宋体"/>
          <w:sz w:val="24"/>
          <w:szCs w:val="24"/>
          <w:lang w:val="zh-CN"/>
        </w:rPr>
      </w:pPr>
      <w:r>
        <w:rPr>
          <w:rFonts w:hint="eastAsia" w:ascii="宋体" w:hAnsi="宋体"/>
          <w:sz w:val="24"/>
          <w:szCs w:val="24"/>
          <w:lang w:val="zh-CN"/>
        </w:rPr>
        <w:t xml:space="preserve">                             法定代表人或其授权代表人(签字或盖章)：</w:t>
      </w:r>
    </w:p>
    <w:p>
      <w:pPr>
        <w:widowControl/>
        <w:tabs>
          <w:tab w:val="left" w:pos="450"/>
          <w:tab w:val="left" w:pos="2520"/>
          <w:tab w:val="left" w:pos="8280"/>
        </w:tabs>
        <w:spacing w:line="360" w:lineRule="auto"/>
        <w:ind w:firstLine="480"/>
        <w:jc w:val="center"/>
        <w:rPr>
          <w:rFonts w:hint="eastAsia"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hint="eastAsia" w:ascii="宋体" w:hAnsi="宋体"/>
          <w:sz w:val="24"/>
          <w:szCs w:val="24"/>
          <w:lang w:val="zh-CN"/>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五、</w:t>
      </w:r>
      <w:bookmarkStart w:id="43" w:name="_Toc331876394"/>
      <w:bookmarkStart w:id="44" w:name="_Toc48672384"/>
      <w:r>
        <w:rPr>
          <w:rFonts w:hint="eastAsia" w:ascii="黑体" w:hAnsi="黑体" w:eastAsia="黑体"/>
          <w:sz w:val="36"/>
          <w:szCs w:val="32"/>
        </w:rPr>
        <w:t>开标一览表（格式）</w:t>
      </w:r>
    </w:p>
    <w:p>
      <w:pPr>
        <w:rPr>
          <w:sz w:val="28"/>
        </w:rPr>
      </w:pPr>
    </w:p>
    <w:p>
      <w:pPr>
        <w:rPr>
          <w:sz w:val="28"/>
          <w:u w:val="single"/>
        </w:rPr>
      </w:pPr>
      <w:r>
        <w:rPr>
          <w:rFonts w:hint="eastAsia"/>
          <w:sz w:val="28"/>
        </w:rPr>
        <w:t>项目名称：</w:t>
      </w:r>
      <w:r>
        <w:rPr>
          <w:rFonts w:hint="eastAsia"/>
          <w:sz w:val="28"/>
          <w:u w:val="single"/>
        </w:rPr>
        <w:t xml:space="preserve">                         </w:t>
      </w:r>
      <w:r>
        <w:rPr>
          <w:rFonts w:hint="eastAsia"/>
          <w:sz w:val="28"/>
        </w:rPr>
        <w:t xml:space="preserve"> </w:t>
      </w:r>
    </w:p>
    <w:p>
      <w:pPr>
        <w:rPr>
          <w:rFonts w:hint="eastAsia" w:ascii="宋体" w:hAnsi="宋体"/>
          <w:sz w:val="24"/>
          <w:szCs w:val="24"/>
        </w:rPr>
      </w:pPr>
      <w:r>
        <w:rPr>
          <w:rFonts w:hint="eastAsia"/>
          <w:sz w:val="28"/>
        </w:rPr>
        <w:t>项目编号：</w:t>
      </w:r>
      <w:r>
        <w:rPr>
          <w:rFonts w:ascii="宋体" w:hAnsi="宋体"/>
          <w:sz w:val="24"/>
          <w:szCs w:val="24"/>
        </w:rPr>
        <w:t>诸政采 202</w:t>
      </w:r>
      <w:r>
        <w:rPr>
          <w:rFonts w:hint="eastAsia" w:ascii="宋体" w:hAnsi="宋体"/>
          <w:sz w:val="24"/>
          <w:szCs w:val="24"/>
        </w:rPr>
        <w:t>*</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tbl>
      <w:tblPr>
        <w:tblStyle w:val="51"/>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1701"/>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服务名称</w:t>
            </w:r>
          </w:p>
        </w:tc>
        <w:tc>
          <w:tcPr>
            <w:tcW w:w="1701"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hAnsi="宋体" w:cs="宋体"/>
                <w:sz w:val="24"/>
              </w:rPr>
            </w:pPr>
            <w:r>
              <w:rPr>
                <w:rFonts w:hint="eastAsia" w:ascii="宋体" w:hAnsi="宋体" w:cs="宋体"/>
                <w:kern w:val="1"/>
                <w:sz w:val="24"/>
                <w:szCs w:val="24"/>
              </w:rPr>
              <w:t>报价小写</w:t>
            </w:r>
          </w:p>
        </w:tc>
        <w:tc>
          <w:tcPr>
            <w:tcW w:w="2627" w:type="dxa"/>
            <w:tcBorders>
              <w:top w:val="single" w:color="auto" w:sz="4" w:space="0"/>
              <w:left w:val="single" w:color="auto" w:sz="4" w:space="0"/>
              <w:bottom w:val="single" w:color="auto" w:sz="8" w:space="0"/>
              <w:right w:val="single" w:color="auto" w:sz="4" w:space="0"/>
            </w:tcBorders>
            <w:noWrap w:val="0"/>
            <w:vAlign w:val="center"/>
          </w:tcPr>
          <w:p>
            <w:pPr>
              <w:jc w:val="center"/>
              <w:rPr>
                <w:rFonts w:ascii="宋体" w:hAnsi="宋体" w:cs="宋体"/>
                <w:sz w:val="24"/>
              </w:rPr>
            </w:pPr>
            <w:r>
              <w:rPr>
                <w:rFonts w:hint="eastAsia" w:ascii="宋体" w:hAnsi="宋体" w:cs="宋体"/>
                <w:sz w:val="24"/>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615" w:type="dxa"/>
            <w:tcBorders>
              <w:top w:val="single" w:color="auto" w:sz="4" w:space="0"/>
              <w:left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诸暨市中医医院保安服务采购项目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2627" w:type="dxa"/>
            <w:tcBorders>
              <w:top w:val="single" w:color="auto" w:sz="4" w:space="0"/>
              <w:left w:val="single" w:color="auto" w:sz="4" w:space="0"/>
              <w:bottom w:val="single" w:color="auto" w:sz="4" w:space="0"/>
              <w:right w:val="single" w:color="auto" w:sz="4" w:space="0"/>
            </w:tcBorders>
            <w:noWrap w:val="0"/>
            <w:vAlign w:val="center"/>
          </w:tcPr>
          <w:p>
            <w:pPr>
              <w:ind w:right="360"/>
              <w:jc w:val="right"/>
              <w:rPr>
                <w:rFonts w:ascii="宋体" w:hAnsi="宋体" w:cs="宋体"/>
                <w:sz w:val="24"/>
              </w:rPr>
            </w:pPr>
          </w:p>
        </w:tc>
      </w:tr>
    </w:tbl>
    <w:p>
      <w:pPr>
        <w:rPr>
          <w:rFonts w:hint="eastAsia" w:ascii="宋体" w:hAnsi="宋体" w:cs="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rPr>
          <w:rFonts w:hint="eastAsia"/>
          <w:sz w:val="28"/>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rPr>
        <w:t>（盖章）</w:t>
      </w:r>
      <w:r>
        <w:rPr>
          <w:sz w:val="28"/>
        </w:rPr>
        <w:t xml:space="preserve">     </w:t>
      </w:r>
      <w:r>
        <w:rPr>
          <w:rFonts w:hint="eastAsia"/>
          <w:sz w:val="28"/>
        </w:rPr>
        <w:t xml:space="preserve">  </w:t>
      </w:r>
      <w:r>
        <w:rPr>
          <w:sz w:val="28"/>
        </w:rPr>
        <w:t xml:space="preserve">          </w:t>
      </w:r>
    </w:p>
    <w:p>
      <w:pPr>
        <w:rPr>
          <w:sz w:val="28"/>
        </w:rPr>
      </w:pPr>
      <w:r>
        <w:rPr>
          <w:rFonts w:hint="eastAsia"/>
          <w:sz w:val="28"/>
        </w:rPr>
        <w:t>法定代表人或授权代表人（签字或盖章）：</w:t>
      </w:r>
      <w:r>
        <w:rPr>
          <w:rFonts w:hint="eastAsia"/>
          <w:sz w:val="28"/>
          <w:u w:val="single"/>
        </w:rPr>
        <w:t xml:space="preserve">            </w:t>
      </w:r>
      <w:r>
        <w:rPr>
          <w:rFonts w:hint="eastAsia"/>
          <w:sz w:val="28"/>
        </w:rPr>
        <w:t xml:space="preserve">                </w:t>
      </w:r>
    </w:p>
    <w:p>
      <w:pPr>
        <w:spacing w:line="340" w:lineRule="exact"/>
        <w:rPr>
          <w:sz w:val="28"/>
        </w:rPr>
      </w:pPr>
    </w:p>
    <w:p>
      <w:pPr>
        <w:spacing w:line="340" w:lineRule="exact"/>
        <w:rPr>
          <w:sz w:val="28"/>
        </w:rPr>
      </w:pPr>
      <w:r>
        <w:rPr>
          <w:rFonts w:hint="eastAsia"/>
          <w:sz w:val="28"/>
        </w:rPr>
        <w:t>日      期：     年    月    日</w:t>
      </w:r>
    </w:p>
    <w:p>
      <w:pPr>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六、</w:t>
      </w:r>
      <w:bookmarkEnd w:id="43"/>
      <w:bookmarkEnd w:id="44"/>
      <w:r>
        <w:rPr>
          <w:rFonts w:hint="eastAsia" w:ascii="黑体" w:hAnsi="黑体" w:eastAsia="黑体"/>
          <w:sz w:val="36"/>
          <w:szCs w:val="32"/>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0"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rFonts w:ascii="宋体" w:hAnsi="宋体"/>
          <w:sz w:val="24"/>
          <w:szCs w:val="24"/>
        </w:rPr>
      </w:pPr>
      <w:r>
        <w:rPr>
          <w:rFonts w:hint="eastAsia"/>
          <w:sz w:val="28"/>
        </w:rPr>
        <w:t>日      期：     年    月    日</w:t>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七、技 术 偏 离 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r>
              <w:rPr>
                <w:rFonts w:hint="eastAsia" w:ascii="仿宋_GB2312" w:eastAsia="仿宋_GB2312"/>
                <w:szCs w:val="24"/>
              </w:rPr>
              <w:t>内容</w:t>
            </w:r>
          </w:p>
        </w:tc>
        <w:tc>
          <w:tcPr>
            <w:tcW w:w="2340" w:type="dxa"/>
            <w:noWrap w:val="0"/>
            <w:vAlign w:val="center"/>
          </w:tcPr>
          <w:p>
            <w:pPr>
              <w:pStyle w:val="27"/>
              <w:spacing w:line="400" w:lineRule="atLeast"/>
              <w:jc w:val="center"/>
              <w:rPr>
                <w:rFonts w:ascii="仿宋_GB2312" w:eastAsia="仿宋_GB2312"/>
                <w:szCs w:val="24"/>
              </w:rPr>
            </w:pPr>
            <w:r>
              <w:rPr>
                <w:rFonts w:hint="eastAsia" w:ascii="仿宋_GB2312" w:eastAsia="仿宋_GB2312"/>
                <w:szCs w:val="24"/>
              </w:rPr>
              <w:t>招标文件</w:t>
            </w:r>
          </w:p>
          <w:p>
            <w:pPr>
              <w:pStyle w:val="27"/>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noWrap w:val="0"/>
            <w:vAlign w:val="center"/>
          </w:tcPr>
          <w:p>
            <w:pPr>
              <w:pStyle w:val="27"/>
              <w:spacing w:line="400" w:lineRule="atLeast"/>
              <w:jc w:val="center"/>
              <w:rPr>
                <w:rFonts w:ascii="仿宋_GB2312" w:eastAsia="仿宋_GB2312"/>
                <w:szCs w:val="24"/>
              </w:rPr>
            </w:pPr>
            <w:r>
              <w:rPr>
                <w:rFonts w:hint="eastAsia" w:ascii="仿宋_GB2312" w:eastAsia="仿宋_GB2312"/>
                <w:szCs w:val="24"/>
              </w:rPr>
              <w:t>投标文件</w:t>
            </w:r>
          </w:p>
          <w:p>
            <w:pPr>
              <w:pStyle w:val="27"/>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noWrap w:val="0"/>
            <w:vAlign w:val="center"/>
          </w:tcPr>
          <w:p>
            <w:pPr>
              <w:pStyle w:val="27"/>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7"/>
              <w:spacing w:line="400" w:lineRule="atLeast"/>
              <w:jc w:val="center"/>
              <w:rPr>
                <w:rFonts w:ascii="仿宋_GB2312" w:eastAsia="仿宋_GB2312"/>
                <w:szCs w:val="24"/>
              </w:rPr>
            </w:pPr>
          </w:p>
        </w:tc>
        <w:tc>
          <w:tcPr>
            <w:tcW w:w="234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c>
          <w:tcPr>
            <w:tcW w:w="2160" w:type="dxa"/>
            <w:noWrap w:val="0"/>
            <w:vAlign w:val="center"/>
          </w:tcPr>
          <w:p>
            <w:pPr>
              <w:pStyle w:val="27"/>
              <w:spacing w:line="400" w:lineRule="atLeast"/>
              <w:jc w:val="center"/>
              <w:rPr>
                <w:rFonts w:ascii="仿宋_GB2312" w:eastAsia="仿宋_GB2312"/>
                <w:szCs w:val="24"/>
              </w:rPr>
            </w:pPr>
          </w:p>
        </w:tc>
      </w:tr>
    </w:tbl>
    <w:p>
      <w:pPr>
        <w:pStyle w:val="27"/>
        <w:spacing w:line="400" w:lineRule="atLeast"/>
        <w:rPr>
          <w:rFonts w:ascii="宋体" w:hAnsi="宋体"/>
          <w:szCs w:val="24"/>
        </w:rPr>
      </w:pPr>
      <w:r>
        <w:rPr>
          <w:rFonts w:hint="eastAsia" w:ascii="宋体" w:hAnsi="宋体"/>
          <w:szCs w:val="24"/>
        </w:rPr>
        <w:t>注：</w:t>
      </w:r>
    </w:p>
    <w:p>
      <w:pPr>
        <w:pStyle w:val="27"/>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27"/>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27"/>
        <w:spacing w:line="400" w:lineRule="atLeast"/>
        <w:rPr>
          <w:rFonts w:ascii="宋体" w:hAnsi="宋体"/>
          <w:szCs w:val="24"/>
        </w:rPr>
      </w:pPr>
      <w:r>
        <w:rPr>
          <w:rFonts w:hint="eastAsia" w:ascii="宋体" w:hAnsi="宋体"/>
          <w:szCs w:val="24"/>
        </w:rPr>
        <w:t>3、此表在不改变格式的情况下可自行制作。</w:t>
      </w:r>
    </w:p>
    <w:p>
      <w:pPr>
        <w:pStyle w:val="27"/>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rPr>
          <w:sz w:val="28"/>
        </w:rPr>
      </w:pPr>
      <w:r>
        <w:rPr>
          <w:rFonts w:hint="eastAsia"/>
          <w:sz w:val="28"/>
        </w:rPr>
        <w:t>日      期：     年    月    日</w:t>
      </w:r>
    </w:p>
    <w:p>
      <w:pPr>
        <w:spacing w:line="340" w:lineRule="exact"/>
        <w:jc w:val="center"/>
      </w:pPr>
      <w:r>
        <w:rPr>
          <w:sz w:val="28"/>
        </w:rPr>
        <w:br w:type="page"/>
      </w:r>
      <w:r>
        <w:rPr>
          <w:rFonts w:hint="eastAsia" w:ascii="黑体" w:hAnsi="黑体" w:eastAsia="黑体"/>
          <w:sz w:val="36"/>
          <w:szCs w:val="32"/>
        </w:rPr>
        <w:t>八、中小企业声明函</w:t>
      </w: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 ；制造商为</w:t>
      </w:r>
      <w:r>
        <w:rPr>
          <w:rFonts w:hint="eastAsia" w:ascii="仿宋_GB2312" w:hAnsi="仿宋_GB2312" w:eastAsia="仿宋_GB2312" w:cs="仿宋_GB2312"/>
          <w:sz w:val="28"/>
          <w:szCs w:val="28"/>
          <w:u w:val="single"/>
        </w:rPr>
        <w:t xml:space="preserve">（企业名称） </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w:t>
      </w:r>
      <w:r>
        <w:rPr>
          <w:rFonts w:hint="eastAsia" w:ascii="仿宋_GB2312" w:hAnsi="仿宋_GB2312" w:eastAsia="仿宋_GB2312" w:cs="仿宋_GB2312"/>
          <w:sz w:val="28"/>
          <w:szCs w:val="28"/>
          <w:u w:val="single"/>
        </w:rPr>
        <w:t xml:space="preserve"> （中型企业、小型企业、微型企业）</w:t>
      </w:r>
      <w:r>
        <w:rPr>
          <w:rFonts w:hint="eastAsia" w:ascii="仿宋_GB2312" w:hAnsi="仿宋_GB2312" w:eastAsia="仿宋_GB2312" w:cs="仿宋_GB2312"/>
          <w:sz w:val="28"/>
          <w:szCs w:val="28"/>
        </w:rPr>
        <w:t xml:space="preserve"> ；</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 ；制造商为</w:t>
      </w:r>
      <w:r>
        <w:rPr>
          <w:rFonts w:hint="eastAsia" w:ascii="仿宋_GB2312" w:hAnsi="仿宋_GB2312" w:eastAsia="仿宋_GB2312" w:cs="仿宋_GB2312"/>
          <w:sz w:val="28"/>
          <w:szCs w:val="28"/>
          <w:u w:val="single"/>
        </w:rPr>
        <w:t xml:space="preserve">（企业名称） </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w:t>
      </w:r>
      <w:r>
        <w:rPr>
          <w:rFonts w:hint="eastAsia" w:ascii="仿宋_GB2312" w:hAnsi="仿宋_GB2312" w:eastAsia="仿宋_GB2312" w:cs="仿宋_GB2312"/>
          <w:sz w:val="28"/>
          <w:szCs w:val="28"/>
          <w:u w:val="single"/>
        </w:rPr>
        <w:t xml:space="preserve"> （中型企业、小型企业、微型企业）</w:t>
      </w:r>
      <w:r>
        <w:rPr>
          <w:rFonts w:hint="eastAsia" w:ascii="仿宋_GB2312" w:hAnsi="仿宋_GB2312" w:eastAsia="仿宋_GB2312" w:cs="仿宋_GB2312"/>
          <w:sz w:val="28"/>
          <w:szCs w:val="28"/>
        </w:rPr>
        <w:t xml:space="preserve"> ；</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sz w:val="28"/>
          <w:szCs w:val="28"/>
        </w:rPr>
      </w:pPr>
    </w:p>
    <w:p>
      <w:pPr>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企业名称（盖章）： </w:t>
      </w:r>
    </w:p>
    <w:p>
      <w:pPr>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中小企业声明函（工程、服务）</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；承建（承接）企业为</w:t>
      </w:r>
      <w:r>
        <w:rPr>
          <w:rFonts w:hint="eastAsia" w:ascii="仿宋_GB2312" w:hAnsi="仿宋_GB2312" w:eastAsia="仿宋_GB2312" w:cs="仿宋_GB2312"/>
          <w:sz w:val="28"/>
          <w:szCs w:val="28"/>
          <w:u w:val="single"/>
        </w:rPr>
        <w:t xml:space="preserve">（企业名称） </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 xml:space="preserve"> ；</w:t>
      </w:r>
    </w:p>
    <w:p>
      <w:pPr>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；承建（承接）企业为</w:t>
      </w:r>
      <w:r>
        <w:rPr>
          <w:rFonts w:hint="eastAsia" w:ascii="仿宋_GB2312" w:hAnsi="仿宋_GB2312" w:eastAsia="仿宋_GB2312" w:cs="仿宋_GB2312"/>
          <w:sz w:val="28"/>
          <w:szCs w:val="28"/>
          <w:u w:val="single"/>
        </w:rPr>
        <w:t xml:space="preserve">（企业名称） </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 xml:space="preserve"> ；</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sz w:val="28"/>
          <w:szCs w:val="28"/>
        </w:rPr>
      </w:pPr>
    </w:p>
    <w:p>
      <w:pPr>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企业名称（盖章）： </w:t>
      </w:r>
    </w:p>
    <w:p>
      <w:pPr>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340" w:lineRule="exact"/>
        <w:jc w:val="left"/>
        <w:rPr>
          <w:rFonts w:hint="eastAsia" w:ascii="仿宋_GB2312" w:hAnsi="仿宋_GB2312" w:eastAsia="仿宋_GB2312" w:cs="仿宋_GB2312"/>
          <w:sz w:val="28"/>
          <w:szCs w:val="28"/>
        </w:rPr>
      </w:pPr>
    </w:p>
    <w:p>
      <w:pPr>
        <w:spacing w:line="340" w:lineRule="exact"/>
        <w:jc w:val="left"/>
        <w:rPr>
          <w:rFonts w:hint="eastAsia" w:ascii="仿宋_GB2312" w:hAnsi="仿宋_GB2312" w:eastAsia="仿宋_GB2312" w:cs="仿宋_GB2312"/>
          <w:sz w:val="28"/>
          <w:szCs w:val="28"/>
        </w:rPr>
      </w:pPr>
    </w:p>
    <w:p>
      <w:pPr>
        <w:spacing w:line="340" w:lineRule="exact"/>
        <w:jc w:val="left"/>
        <w:rPr>
          <w:rFonts w:hint="eastAsia" w:ascii="仿宋_GB2312" w:hAnsi="仿宋_GB2312" w:eastAsia="仿宋_GB2312" w:cs="仿宋_GB2312"/>
          <w:sz w:val="28"/>
          <w:szCs w:val="28"/>
        </w:rPr>
      </w:pPr>
    </w:p>
    <w:p>
      <w:pPr>
        <w:spacing w:line="340" w:lineRule="exact"/>
        <w:jc w:val="left"/>
        <w:rPr>
          <w:rFonts w:hint="eastAsia" w:ascii="仿宋_GB2312" w:hAnsi="仿宋_GB2312" w:eastAsia="仿宋_GB2312" w:cs="仿宋_GB2312"/>
          <w:sz w:val="28"/>
          <w:szCs w:val="28"/>
        </w:rPr>
      </w:pPr>
    </w:p>
    <w:p>
      <w:pPr>
        <w:spacing w:line="340" w:lineRule="exact"/>
        <w:jc w:val="left"/>
        <w:rPr>
          <w:rFonts w:hint="eastAsia" w:ascii="仿宋_GB2312" w:hAnsi="仿宋_GB2312" w:eastAsia="仿宋_GB2312" w:cs="仿宋_GB2312"/>
          <w:sz w:val="28"/>
          <w:szCs w:val="28"/>
        </w:rPr>
      </w:pPr>
    </w:p>
    <w:p>
      <w:pPr>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numPr>
          <w:ilvl w:val="0"/>
          <w:numId w:val="7"/>
        </w:num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投标人提供的中小企业声明函与实际情况不符的，视为投标人提供虚假材料投标，投标无效。</w:t>
      </w:r>
    </w:p>
    <w:p>
      <w:pPr>
        <w:numPr>
          <w:ilvl w:val="0"/>
          <w:numId w:val="7"/>
        </w:num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从业人员、营业收入、资产总额填报上一年度数据，无上一年度数据的新成立企业可不填报。</w:t>
      </w:r>
    </w:p>
    <w:p>
      <w:pPr>
        <w:numPr>
          <w:ilvl w:val="0"/>
          <w:numId w:val="7"/>
        </w:num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jc w:val="center"/>
        <w:rPr>
          <w:rFonts w:ascii="黑体" w:hAnsi="黑体" w:eastAsia="黑体"/>
          <w:sz w:val="36"/>
          <w:szCs w:val="32"/>
        </w:rPr>
      </w:pPr>
      <w:r>
        <w:rPr>
          <w:rFonts w:hint="eastAsia" w:ascii="仿宋_GB2312" w:hAnsi="仿宋_GB2312" w:eastAsia="仿宋_GB2312" w:cs="仿宋_GB2312"/>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r>
        <w:rPr>
          <w:rFonts w:ascii="仿宋" w:hAnsi="仿宋" w:eastAsia="仿宋"/>
          <w:sz w:val="30"/>
          <w:szCs w:val="30"/>
        </w:rPr>
        <w:br w:type="page"/>
      </w:r>
      <w:r>
        <w:rPr>
          <w:rFonts w:hint="eastAsia" w:ascii="黑体" w:hAnsi="黑体" w:eastAsia="黑体"/>
          <w:sz w:val="36"/>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0"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0"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0"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Pr>
        <w:widowControl/>
        <w:tabs>
          <w:tab w:val="left" w:pos="450"/>
          <w:tab w:val="left" w:pos="2520"/>
          <w:tab w:val="left" w:pos="8280"/>
        </w:tabs>
        <w:spacing w:line="360" w:lineRule="auto"/>
        <w:jc w:val="center"/>
        <w:rPr>
          <w:rFonts w:hint="eastAsia" w:ascii="黑体" w:hAnsi="黑体" w:eastAsia="黑体"/>
          <w:sz w:val="36"/>
          <w:szCs w:val="32"/>
          <w:lang w:val="zh-CN"/>
        </w:rPr>
      </w:pPr>
      <w:bookmarkStart w:id="45" w:name="_Toc23409"/>
      <w:r>
        <w:rPr>
          <w:rFonts w:ascii="黑体" w:hAnsi="黑体" w:eastAsia="黑体"/>
          <w:sz w:val="36"/>
          <w:szCs w:val="32"/>
        </w:rPr>
        <w:br w:type="page"/>
      </w:r>
      <w:bookmarkEnd w:id="45"/>
      <w:r>
        <w:rPr>
          <w:rFonts w:hint="eastAsia" w:ascii="黑体" w:hAnsi="黑体" w:eastAsia="黑体"/>
          <w:sz w:val="36"/>
          <w:szCs w:val="32"/>
        </w:rPr>
        <w:t>十、认为需要的</w:t>
      </w:r>
      <w:r>
        <w:rPr>
          <w:rFonts w:hint="eastAsia" w:ascii="黑体" w:hAnsi="黑体" w:eastAsia="黑体"/>
          <w:sz w:val="36"/>
          <w:szCs w:val="32"/>
          <w:lang w:val="zh-CN"/>
        </w:rPr>
        <w:t>其他商务技术文件或说明</w:t>
      </w:r>
    </w:p>
    <w:p>
      <w:pPr>
        <w:ind w:firstLine="480" w:firstLineChars="200"/>
        <w:rPr>
          <w:rFonts w:hint="eastAsia" w:ascii="仿宋_GB2312" w:hAnsi="仿宋_GB2312" w:eastAsia="仿宋_GB2312" w:cs="仿宋_GB2312"/>
          <w:sz w:val="24"/>
        </w:rPr>
      </w:pPr>
    </w:p>
    <w:p>
      <w:pPr>
        <w:ind w:firstLine="560" w:firstLineChars="200"/>
        <w:rPr>
          <w:rFonts w:hint="eastAsia"/>
          <w:sz w:val="28"/>
          <w:lang w:val="zh-CN"/>
        </w:rPr>
      </w:pPr>
      <w:r>
        <w:rPr>
          <w:rFonts w:hint="eastAsia"/>
          <w:sz w:val="28"/>
        </w:rPr>
        <w:t>投标人应根据采购需求自行编制，包括但不限于符合特定条件（如果项目要求）的有关证明材料、具有履行合同所必需的设备和专业技术能力说明、组织实施方案、售后服务方案、</w:t>
      </w:r>
      <w:r>
        <w:rPr>
          <w:rFonts w:hint="eastAsia"/>
          <w:sz w:val="28"/>
          <w:lang w:val="zh-CN"/>
        </w:rPr>
        <w:t>优惠条件及特殊承诺等。</w:t>
      </w:r>
    </w:p>
    <w:p>
      <w:pPr>
        <w:pStyle w:val="2"/>
        <w:rPr>
          <w:rFonts w:hint="eastAsia" w:ascii="仿宋_GB2312" w:hAnsi="仿宋_GB2312" w:eastAsia="仿宋_GB2312" w:cs="仿宋_GB2312"/>
          <w:sz w:val="24"/>
          <w:lang w:val="zh-CN"/>
        </w:rPr>
      </w:pPr>
    </w:p>
    <w:p>
      <w:pPr>
        <w:jc w:val="right"/>
        <w:rPr>
          <w:rFonts w:hint="eastAsia" w:ascii="仿宋_GB2312" w:hAnsi="仿宋_GB2312" w:eastAsia="仿宋_GB2312" w:cs="仿宋_GB2312"/>
          <w:sz w:val="24"/>
          <w:lang w:val="zh-CN"/>
        </w:rPr>
      </w:pPr>
    </w:p>
    <w:p>
      <w:pPr>
        <w:ind w:firstLine="560" w:firstLineChars="200"/>
        <w:rPr>
          <w:rFonts w:hint="eastAsia"/>
          <w:sz w:val="28"/>
          <w:lang w:val="zh-CN"/>
        </w:rPr>
      </w:pPr>
      <w:r>
        <w:rPr>
          <w:rFonts w:hint="eastAsia"/>
          <w:sz w:val="28"/>
          <w:lang w:val="zh-CN"/>
        </w:rPr>
        <w:t>投标人 (盖章)：</w:t>
      </w:r>
    </w:p>
    <w:p>
      <w:pPr>
        <w:ind w:firstLine="560" w:firstLineChars="200"/>
        <w:rPr>
          <w:rFonts w:hint="eastAsia"/>
          <w:sz w:val="28"/>
        </w:rPr>
      </w:pPr>
      <w:r>
        <w:rPr>
          <w:rFonts w:hint="eastAsia"/>
          <w:sz w:val="28"/>
          <w:lang w:val="zh-CN"/>
        </w:rPr>
        <w:t>法定代表人或其授权代表(签字或盖章)：</w:t>
      </w:r>
    </w:p>
    <w:p>
      <w:pPr>
        <w:widowControl/>
        <w:tabs>
          <w:tab w:val="left" w:pos="450"/>
          <w:tab w:val="left" w:pos="2520"/>
          <w:tab w:val="left" w:pos="8280"/>
        </w:tabs>
        <w:spacing w:line="360" w:lineRule="auto"/>
        <w:ind w:firstLine="480"/>
        <w:jc w:val="center"/>
        <w:rPr>
          <w:rFonts w:hint="eastAsia"/>
          <w:sz w:val="28"/>
          <w:lang w:val="zh-CN"/>
        </w:rPr>
      </w:pPr>
    </w:p>
    <w:p>
      <w:pPr>
        <w:widowControl/>
        <w:tabs>
          <w:tab w:val="left" w:pos="450"/>
          <w:tab w:val="left" w:pos="2520"/>
          <w:tab w:val="left" w:pos="8280"/>
        </w:tabs>
        <w:spacing w:line="360" w:lineRule="auto"/>
        <w:ind w:firstLine="480"/>
        <w:jc w:val="center"/>
        <w:rPr>
          <w:rFonts w:hint="eastAsia"/>
          <w:sz w:val="28"/>
          <w:lang w:val="zh-CN"/>
        </w:rPr>
      </w:pPr>
    </w:p>
    <w:p>
      <w:pPr>
        <w:widowControl/>
        <w:tabs>
          <w:tab w:val="left" w:pos="450"/>
          <w:tab w:val="left" w:pos="2520"/>
          <w:tab w:val="left" w:pos="8280"/>
        </w:tabs>
        <w:spacing w:line="360" w:lineRule="auto"/>
        <w:ind w:firstLine="480"/>
        <w:jc w:val="center"/>
        <w:rPr>
          <w:rFonts w:hint="eastAsia"/>
          <w:sz w:val="28"/>
          <w:lang w:val="zh-CN"/>
        </w:rPr>
      </w:pPr>
    </w:p>
    <w:p>
      <w:pPr>
        <w:widowControl/>
        <w:tabs>
          <w:tab w:val="left" w:pos="450"/>
          <w:tab w:val="left" w:pos="2520"/>
          <w:tab w:val="left" w:pos="8280"/>
        </w:tabs>
        <w:spacing w:line="360" w:lineRule="auto"/>
        <w:ind w:firstLine="480"/>
        <w:jc w:val="center"/>
      </w:pPr>
      <w:r>
        <w:rPr>
          <w:rFonts w:hint="eastAsia"/>
          <w:sz w:val="28"/>
          <w:lang w:val="zh-CN"/>
        </w:rPr>
        <w:t>日期</w:t>
      </w:r>
      <w:r>
        <w:rPr>
          <w:rFonts w:hint="eastAsia"/>
          <w:sz w:val="28"/>
        </w:rPr>
        <w:t xml:space="preserve">：  年  </w:t>
      </w:r>
      <w:r>
        <w:rPr>
          <w:rFonts w:hint="eastAsia"/>
          <w:sz w:val="28"/>
          <w:lang w:val="zh-CN"/>
        </w:rPr>
        <w:t>月</w:t>
      </w:r>
      <w:r>
        <w:rPr>
          <w:rFonts w:hint="eastAsia"/>
          <w:sz w:val="28"/>
        </w:rPr>
        <w:t xml:space="preserve">   </w:t>
      </w:r>
      <w:r>
        <w:rPr>
          <w:rFonts w:hint="eastAsia"/>
          <w:sz w:val="28"/>
          <w:lang w:val="zh-CN"/>
        </w:rPr>
        <w:t>日</w:t>
      </w:r>
    </w:p>
    <w:p>
      <w:pPr>
        <w:spacing w:line="360" w:lineRule="auto"/>
        <w:ind w:firstLine="420" w:firstLineChars="200"/>
        <w:outlineLvl w:val="0"/>
      </w:pPr>
    </w:p>
    <w:p>
      <w:pPr>
        <w:spacing w:before="156" w:beforeLines="50" w:line="360" w:lineRule="auto"/>
        <w:ind w:left="3968" w:leftChars="1890" w:right="-21" w:rightChars="-10" w:firstLine="945" w:firstLineChars="450"/>
        <w:rPr>
          <w:rFonts w:ascii="仿宋_GB2312" w:hAnsi="宋体"/>
        </w:rPr>
      </w:pPr>
      <w:r>
        <w:rPr>
          <w:rFonts w:hint="eastAsia" w:ascii="仿宋_GB2312" w:hAnsi="宋体"/>
        </w:rPr>
        <w:t>投标人（盖章）：</w:t>
      </w:r>
    </w:p>
    <w:p>
      <w:pPr>
        <w:spacing w:before="156" w:beforeLines="50" w:line="360" w:lineRule="auto"/>
        <w:ind w:left="3968" w:leftChars="1890" w:right="-21" w:rightChars="-10" w:firstLine="945" w:firstLineChars="450"/>
        <w:rPr>
          <w:rFonts w:ascii="仿宋_GB2312" w:hAnsi="宋体"/>
        </w:rPr>
      </w:pPr>
      <w:r>
        <w:rPr>
          <w:rFonts w:hint="eastAsia" w:ascii="仿宋_GB2312" w:hAnsi="宋体"/>
        </w:rPr>
        <w:t>日期：</w:t>
      </w:r>
    </w:p>
    <w:p>
      <w:pPr>
        <w:widowControl/>
        <w:tabs>
          <w:tab w:val="left" w:pos="450"/>
          <w:tab w:val="left" w:pos="2520"/>
          <w:tab w:val="left" w:pos="8280"/>
        </w:tabs>
        <w:spacing w:line="360" w:lineRule="auto"/>
        <w:rPr>
          <w:rFonts w:ascii="宋体" w:hAnsi="宋体" w:cs="宋体"/>
        </w:rPr>
      </w:pPr>
      <w:r>
        <w:rPr>
          <w:rFonts w:ascii="宋体" w:hAnsi="宋体" w:cs="宋体"/>
        </w:rPr>
        <w:t xml:space="preserve"> </w:t>
      </w:r>
    </w:p>
    <w:p>
      <w:pPr>
        <w:spacing w:line="240" w:lineRule="exact"/>
        <w:ind w:firstLine="420" w:firstLineChars="200"/>
        <w:rPr>
          <w:rFonts w:hint="eastAsia" w:ascii="宋体" w:hAnsi="宋体" w:cs="宋体"/>
        </w:rPr>
      </w:pPr>
    </w:p>
    <w:sectPr>
      <w:headerReference r:id="rId5" w:type="default"/>
      <w:footerReference r:id="rId6" w:type="default"/>
      <w:pgSz w:w="11906" w:h="16838"/>
      <w:pgMar w:top="1247" w:right="1418" w:bottom="1247" w:left="1418" w:header="851" w:footer="90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WhitneyK-Book">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JZongDengXian">
    <w:altName w:val="Times New Roman"/>
    <w:panose1 w:val="00000000000000000000"/>
    <w:charset w:val="00"/>
    <w:family w:val="roman"/>
    <w:pitch w:val="default"/>
    <w:sig w:usb0="00000000" w:usb1="00000000" w:usb2="00000000" w:usb3="00000000" w:csb0="00040001" w:csb1="00000000"/>
  </w:font>
  <w:font w:name="HYg2gj">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useo Sans For Dell 300">
    <w:altName w:val="微软雅黑"/>
    <w:panose1 w:val="00000000000000000000"/>
    <w:charset w:val="86"/>
    <w:family w:val="swiss"/>
    <w:pitch w:val="default"/>
    <w:sig w:usb0="00000000" w:usb1="00000000" w:usb2="00000010" w:usb3="00000000" w:csb0="00040000"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modern"/>
    <w:pitch w:val="default"/>
    <w:sig w:usb0="800002BF" w:usb1="38CF7CFA" w:usb2="00000016" w:usb3="00000000" w:csb0="00040001" w:csb1="00000000"/>
  </w:font>
  <w:font w:name="Univers 57 Condensed">
    <w:altName w:val="微软雅黑"/>
    <w:panose1 w:val="00000000000000000000"/>
    <w:charset w:val="86"/>
    <w:family w:val="swiss"/>
    <w:pitch w:val="default"/>
    <w:sig w:usb0="00000000" w:usb1="00000000" w:usb2="00000010" w:usb3="00000000" w:csb0="00040000" w:csb1="00000000"/>
  </w:font>
  <w:font w:name="Optima">
    <w:altName w:val="Arial"/>
    <w:panose1 w:val="00000000000000000000"/>
    <w:charset w:val="00"/>
    <w:family w:val="swiss"/>
    <w:pitch w:val="default"/>
    <w:sig w:usb0="00000000" w:usb1="00000000" w:usb2="00000000" w:usb3="00000000" w:csb0="00000001" w:csb1="00000000"/>
  </w:font>
  <w:font w:name="Helvetica Neue">
    <w:altName w:val="Malgun Gothic"/>
    <w:panose1 w:val="02000503000000020004"/>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Romantic">
    <w:altName w:val="微软雅黑"/>
    <w:panose1 w:val="00000400000000000000"/>
    <w:charset w:val="02"/>
    <w:family w:val="auto"/>
    <w:pitch w:val="default"/>
    <w:sig w:usb0="00000000" w:usb1="00000000" w:usb2="00000000" w:usb3="00000000" w:csb0="00040001" w:csb1="00000000"/>
  </w:font>
  <w:font w:name="微软大黑体">
    <w:altName w:val="宋体"/>
    <w:panose1 w:val="02010609000101010101"/>
    <w:charset w:val="86"/>
    <w:family w:val="modern"/>
    <w:pitch w:val="default"/>
    <w:sig w:usb0="00000000" w:usb1="00000000" w:usb2="00000010" w:usb3="00000000" w:csb0="00040000" w:csb1="00000000"/>
  </w:font>
  <w:font w:name="???|CS?o｡ﾀ?">
    <w:altName w:val="MS PGothic"/>
    <w:panose1 w:val="00000000000000000000"/>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_5b8b_4f53">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3</w: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060" w:firstLineChars="1700"/>
      <w:jc w:val="both"/>
      <w:rPr>
        <w:rFonts w:hint="eastAsia"/>
      </w:rPr>
    </w:pPr>
    <w:r>
      <w:rPr>
        <w:rFonts w:hint="eastAsia"/>
      </w:rPr>
      <w:t>诸暨市公共资源交易中心政府招标文件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D5C45"/>
    <w:multiLevelType w:val="singleLevel"/>
    <w:tmpl w:val="88FD5C45"/>
    <w:lvl w:ilvl="0" w:tentative="0">
      <w:start w:val="23"/>
      <w:numFmt w:val="decimal"/>
      <w:lvlText w:val="%1."/>
      <w:lvlJc w:val="left"/>
      <w:pPr>
        <w:tabs>
          <w:tab w:val="left" w:pos="312"/>
        </w:tabs>
      </w:pPr>
    </w:lvl>
  </w:abstractNum>
  <w:abstractNum w:abstractNumId="1">
    <w:nsid w:val="BCCFED00"/>
    <w:multiLevelType w:val="singleLevel"/>
    <w:tmpl w:val="BCCFED00"/>
    <w:lvl w:ilvl="0" w:tentative="0">
      <w:start w:val="1"/>
      <w:numFmt w:val="decimal"/>
      <w:suff w:val="nothing"/>
      <w:lvlText w:val="%1、"/>
      <w:lvlJc w:val="left"/>
    </w:lvl>
  </w:abstractNum>
  <w:abstractNum w:abstractNumId="2">
    <w:nsid w:val="00000002"/>
    <w:multiLevelType w:val="multilevel"/>
    <w:tmpl w:val="00000002"/>
    <w:lvl w:ilvl="0" w:tentative="0">
      <w:start w:val="1"/>
      <w:numFmt w:val="bullet"/>
      <w:pStyle w:val="296"/>
      <w:lvlText w:val=""/>
      <w:lvlJc w:val="left"/>
      <w:pPr>
        <w:tabs>
          <w:tab w:val="left" w:pos="840"/>
        </w:tabs>
        <w:ind w:left="840" w:hanging="420"/>
      </w:pPr>
      <w:rPr>
        <w:rFonts w:hint="default" w:ascii="Wingdings" w:hAnsi="Wingdings"/>
      </w:rPr>
    </w:lvl>
    <w:lvl w:ilvl="1" w:tentative="0">
      <w:start w:val="1"/>
      <w:numFmt w:val="bullet"/>
      <w:pStyle w:val="3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D"/>
    <w:multiLevelType w:val="multilevel"/>
    <w:tmpl w:val="0000000D"/>
    <w:lvl w:ilvl="0" w:tentative="0">
      <w:start w:val="6"/>
      <w:numFmt w:val="japaneseCounting"/>
      <w:pStyle w:val="318"/>
      <w:lvlText w:val="第%1章"/>
      <w:lvlJc w:val="left"/>
      <w:pPr>
        <w:tabs>
          <w:tab w:val="left" w:pos="1275"/>
        </w:tabs>
        <w:ind w:left="1275" w:hanging="1275"/>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5"/>
    <w:multiLevelType w:val="multilevel"/>
    <w:tmpl w:val="00000035"/>
    <w:lvl w:ilvl="0" w:tentative="0">
      <w:start w:val="1"/>
      <w:numFmt w:val="chineseCountingThousand"/>
      <w:pStyle w:val="346"/>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140280B"/>
    <w:multiLevelType w:val="multilevel"/>
    <w:tmpl w:val="0140280B"/>
    <w:lvl w:ilvl="0" w:tentative="0">
      <w:start w:val="1"/>
      <w:numFmt w:val="bullet"/>
      <w:pStyle w:val="28"/>
      <w:lvlText w:val=""/>
      <w:lvlJc w:val="left"/>
      <w:pPr>
        <w:tabs>
          <w:tab w:val="left" w:pos="1260"/>
        </w:tabs>
        <w:ind w:left="1260" w:hanging="420"/>
      </w:pPr>
      <w:rPr>
        <w:rFonts w:hint="default" w:ascii="Wingdings" w:hAnsi="Wingdings"/>
      </w:rPr>
    </w:lvl>
    <w:lvl w:ilvl="1" w:tentative="0">
      <w:start w:val="1"/>
      <w:numFmt w:val="bullet"/>
      <w:pStyle w:val="384"/>
      <w:lvlText w:val=""/>
      <w:lvlJc w:val="left"/>
      <w:pPr>
        <w:tabs>
          <w:tab w:val="left" w:pos="1680"/>
        </w:tabs>
        <w:ind w:left="1680" w:hanging="420"/>
      </w:pPr>
      <w:rPr>
        <w:rFonts w:hint="default" w:ascii="Wingdings" w:hAnsi="Wingdings"/>
        <w:color w:val="000000"/>
      </w:rPr>
    </w:lvl>
    <w:lvl w:ilvl="2" w:tentative="0">
      <w:start w:val="1"/>
      <w:numFmt w:val="lowerRoman"/>
      <w:pStyle w:val="354"/>
      <w:lvlText w:val="%3."/>
      <w:lvlJc w:val="right"/>
      <w:pPr>
        <w:ind w:left="2100" w:hanging="420"/>
      </w:pPr>
    </w:lvl>
    <w:lvl w:ilvl="3" w:tentative="0">
      <w:start w:val="1"/>
      <w:numFmt w:val="decimal"/>
      <w:pStyle w:val="358"/>
      <w:lvlText w:val="%4."/>
      <w:lvlJc w:val="left"/>
      <w:pPr>
        <w:ind w:left="2520" w:hanging="420"/>
      </w:pPr>
    </w:lvl>
    <w:lvl w:ilvl="4" w:tentative="0">
      <w:start w:val="1"/>
      <w:numFmt w:val="lowerLetter"/>
      <w:pStyle w:val="348"/>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798592B"/>
    <w:multiLevelType w:val="multilevel"/>
    <w:tmpl w:val="4798592B"/>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B"/>
    <w:rsid w:val="00003321"/>
    <w:rsid w:val="00005BE4"/>
    <w:rsid w:val="000064BF"/>
    <w:rsid w:val="00014531"/>
    <w:rsid w:val="00016155"/>
    <w:rsid w:val="0002035E"/>
    <w:rsid w:val="00025306"/>
    <w:rsid w:val="000445C6"/>
    <w:rsid w:val="00044762"/>
    <w:rsid w:val="00045BDC"/>
    <w:rsid w:val="00045E44"/>
    <w:rsid w:val="00052987"/>
    <w:rsid w:val="00052F9F"/>
    <w:rsid w:val="00054EB6"/>
    <w:rsid w:val="00055105"/>
    <w:rsid w:val="00055E76"/>
    <w:rsid w:val="00057F1B"/>
    <w:rsid w:val="00060C2C"/>
    <w:rsid w:val="00066EF3"/>
    <w:rsid w:val="000670BC"/>
    <w:rsid w:val="00073373"/>
    <w:rsid w:val="00082430"/>
    <w:rsid w:val="0008546D"/>
    <w:rsid w:val="00087ADA"/>
    <w:rsid w:val="00092FDC"/>
    <w:rsid w:val="0009418D"/>
    <w:rsid w:val="0009556D"/>
    <w:rsid w:val="000A042A"/>
    <w:rsid w:val="000A063F"/>
    <w:rsid w:val="000A415F"/>
    <w:rsid w:val="000A5287"/>
    <w:rsid w:val="000A5564"/>
    <w:rsid w:val="000A74C2"/>
    <w:rsid w:val="000B0AF5"/>
    <w:rsid w:val="000B220F"/>
    <w:rsid w:val="000B533B"/>
    <w:rsid w:val="000B55DE"/>
    <w:rsid w:val="000B676B"/>
    <w:rsid w:val="000B7C6D"/>
    <w:rsid w:val="000C4148"/>
    <w:rsid w:val="000D2531"/>
    <w:rsid w:val="000D4C55"/>
    <w:rsid w:val="000D5A46"/>
    <w:rsid w:val="000D65FA"/>
    <w:rsid w:val="000D69D0"/>
    <w:rsid w:val="000E4D87"/>
    <w:rsid w:val="000E60DB"/>
    <w:rsid w:val="000F067F"/>
    <w:rsid w:val="000F0DD8"/>
    <w:rsid w:val="000F10F9"/>
    <w:rsid w:val="000F71C2"/>
    <w:rsid w:val="0010006C"/>
    <w:rsid w:val="00105A0A"/>
    <w:rsid w:val="001112DF"/>
    <w:rsid w:val="00111455"/>
    <w:rsid w:val="001122A6"/>
    <w:rsid w:val="00115A78"/>
    <w:rsid w:val="001161E0"/>
    <w:rsid w:val="001176C7"/>
    <w:rsid w:val="00121B77"/>
    <w:rsid w:val="00126373"/>
    <w:rsid w:val="00126728"/>
    <w:rsid w:val="00130854"/>
    <w:rsid w:val="0013363D"/>
    <w:rsid w:val="001456ED"/>
    <w:rsid w:val="001523AE"/>
    <w:rsid w:val="00163005"/>
    <w:rsid w:val="00164B58"/>
    <w:rsid w:val="0017308F"/>
    <w:rsid w:val="00181DC2"/>
    <w:rsid w:val="00182331"/>
    <w:rsid w:val="00182694"/>
    <w:rsid w:val="0018622E"/>
    <w:rsid w:val="00187585"/>
    <w:rsid w:val="0019193E"/>
    <w:rsid w:val="001939D2"/>
    <w:rsid w:val="001958C4"/>
    <w:rsid w:val="00196002"/>
    <w:rsid w:val="001A0C26"/>
    <w:rsid w:val="001A1398"/>
    <w:rsid w:val="001B4537"/>
    <w:rsid w:val="001C0591"/>
    <w:rsid w:val="001C1488"/>
    <w:rsid w:val="001C420A"/>
    <w:rsid w:val="001C5D29"/>
    <w:rsid w:val="001D1CD5"/>
    <w:rsid w:val="001D34D5"/>
    <w:rsid w:val="001D54D9"/>
    <w:rsid w:val="001D771E"/>
    <w:rsid w:val="001D79C4"/>
    <w:rsid w:val="001E2239"/>
    <w:rsid w:val="001E2635"/>
    <w:rsid w:val="001E518E"/>
    <w:rsid w:val="001F0F83"/>
    <w:rsid w:val="001F74CA"/>
    <w:rsid w:val="002028E2"/>
    <w:rsid w:val="002047C4"/>
    <w:rsid w:val="00205A19"/>
    <w:rsid w:val="0021118D"/>
    <w:rsid w:val="0021161C"/>
    <w:rsid w:val="002117C2"/>
    <w:rsid w:val="00214D31"/>
    <w:rsid w:val="00216B59"/>
    <w:rsid w:val="00221B9A"/>
    <w:rsid w:val="002236C3"/>
    <w:rsid w:val="0022398A"/>
    <w:rsid w:val="0022487F"/>
    <w:rsid w:val="00225CB2"/>
    <w:rsid w:val="00230B9F"/>
    <w:rsid w:val="00236788"/>
    <w:rsid w:val="00237C17"/>
    <w:rsid w:val="002411AC"/>
    <w:rsid w:val="002414AB"/>
    <w:rsid w:val="002423DF"/>
    <w:rsid w:val="002448B2"/>
    <w:rsid w:val="00246617"/>
    <w:rsid w:val="00251B0B"/>
    <w:rsid w:val="00251C2B"/>
    <w:rsid w:val="0025659F"/>
    <w:rsid w:val="00260C88"/>
    <w:rsid w:val="002626A3"/>
    <w:rsid w:val="00262AF6"/>
    <w:rsid w:val="002644F8"/>
    <w:rsid w:val="00265920"/>
    <w:rsid w:val="002704DD"/>
    <w:rsid w:val="00270E33"/>
    <w:rsid w:val="00273150"/>
    <w:rsid w:val="00276BE0"/>
    <w:rsid w:val="00276DC6"/>
    <w:rsid w:val="00280880"/>
    <w:rsid w:val="002836B3"/>
    <w:rsid w:val="00283DE7"/>
    <w:rsid w:val="002875FA"/>
    <w:rsid w:val="002912CD"/>
    <w:rsid w:val="00295AAA"/>
    <w:rsid w:val="0029682A"/>
    <w:rsid w:val="002968EA"/>
    <w:rsid w:val="00297B80"/>
    <w:rsid w:val="002A56F3"/>
    <w:rsid w:val="002A5A7B"/>
    <w:rsid w:val="002B0BDB"/>
    <w:rsid w:val="002B0E9A"/>
    <w:rsid w:val="002B2CDA"/>
    <w:rsid w:val="002B5650"/>
    <w:rsid w:val="002B632C"/>
    <w:rsid w:val="002C330C"/>
    <w:rsid w:val="002C46C4"/>
    <w:rsid w:val="002D3A4E"/>
    <w:rsid w:val="002D6C0E"/>
    <w:rsid w:val="002D6F64"/>
    <w:rsid w:val="002D7392"/>
    <w:rsid w:val="002D7DCF"/>
    <w:rsid w:val="002E1159"/>
    <w:rsid w:val="002E5D73"/>
    <w:rsid w:val="002E5EAF"/>
    <w:rsid w:val="002E6366"/>
    <w:rsid w:val="002E6746"/>
    <w:rsid w:val="002F05D9"/>
    <w:rsid w:val="002F29FD"/>
    <w:rsid w:val="002F5FCF"/>
    <w:rsid w:val="002F61BF"/>
    <w:rsid w:val="002F7486"/>
    <w:rsid w:val="00300739"/>
    <w:rsid w:val="003030C2"/>
    <w:rsid w:val="003040B5"/>
    <w:rsid w:val="00310BDE"/>
    <w:rsid w:val="00310D18"/>
    <w:rsid w:val="00317BD6"/>
    <w:rsid w:val="00321400"/>
    <w:rsid w:val="00326769"/>
    <w:rsid w:val="00337CD6"/>
    <w:rsid w:val="00353232"/>
    <w:rsid w:val="00357422"/>
    <w:rsid w:val="0035743E"/>
    <w:rsid w:val="003606C8"/>
    <w:rsid w:val="00363D0F"/>
    <w:rsid w:val="00364AB2"/>
    <w:rsid w:val="003655FE"/>
    <w:rsid w:val="0037055D"/>
    <w:rsid w:val="003717A9"/>
    <w:rsid w:val="00372E8B"/>
    <w:rsid w:val="00375089"/>
    <w:rsid w:val="003805BB"/>
    <w:rsid w:val="0038087F"/>
    <w:rsid w:val="00381356"/>
    <w:rsid w:val="00381A68"/>
    <w:rsid w:val="00383D55"/>
    <w:rsid w:val="003854A3"/>
    <w:rsid w:val="00391321"/>
    <w:rsid w:val="003949FD"/>
    <w:rsid w:val="00394E4E"/>
    <w:rsid w:val="00397078"/>
    <w:rsid w:val="003A2D1F"/>
    <w:rsid w:val="003A3B08"/>
    <w:rsid w:val="003A47FF"/>
    <w:rsid w:val="003A5FE2"/>
    <w:rsid w:val="003A68E5"/>
    <w:rsid w:val="003B0384"/>
    <w:rsid w:val="003B4926"/>
    <w:rsid w:val="003B66DB"/>
    <w:rsid w:val="003B6845"/>
    <w:rsid w:val="003C1461"/>
    <w:rsid w:val="003C25C0"/>
    <w:rsid w:val="003C299D"/>
    <w:rsid w:val="003C469E"/>
    <w:rsid w:val="003C71AC"/>
    <w:rsid w:val="003D1828"/>
    <w:rsid w:val="003E3B8B"/>
    <w:rsid w:val="003F3B59"/>
    <w:rsid w:val="003F5298"/>
    <w:rsid w:val="003F5B6A"/>
    <w:rsid w:val="00400455"/>
    <w:rsid w:val="00400E4D"/>
    <w:rsid w:val="00401551"/>
    <w:rsid w:val="0040427D"/>
    <w:rsid w:val="004065F8"/>
    <w:rsid w:val="00411888"/>
    <w:rsid w:val="004126A1"/>
    <w:rsid w:val="00412791"/>
    <w:rsid w:val="004156AE"/>
    <w:rsid w:val="004158F6"/>
    <w:rsid w:val="00421484"/>
    <w:rsid w:val="00421BB4"/>
    <w:rsid w:val="00423585"/>
    <w:rsid w:val="004304CC"/>
    <w:rsid w:val="004318EF"/>
    <w:rsid w:val="004359EC"/>
    <w:rsid w:val="00436334"/>
    <w:rsid w:val="00436BA4"/>
    <w:rsid w:val="004426AC"/>
    <w:rsid w:val="0044431A"/>
    <w:rsid w:val="00452EA6"/>
    <w:rsid w:val="004536C1"/>
    <w:rsid w:val="004549F2"/>
    <w:rsid w:val="0046033F"/>
    <w:rsid w:val="00460D5F"/>
    <w:rsid w:val="004640DB"/>
    <w:rsid w:val="00473C4D"/>
    <w:rsid w:val="004744B3"/>
    <w:rsid w:val="0047451E"/>
    <w:rsid w:val="004772C9"/>
    <w:rsid w:val="004824C1"/>
    <w:rsid w:val="00483424"/>
    <w:rsid w:val="00483FDB"/>
    <w:rsid w:val="00484862"/>
    <w:rsid w:val="0048624F"/>
    <w:rsid w:val="004927A5"/>
    <w:rsid w:val="0049484D"/>
    <w:rsid w:val="00495F08"/>
    <w:rsid w:val="00496D54"/>
    <w:rsid w:val="004A3727"/>
    <w:rsid w:val="004A4B4A"/>
    <w:rsid w:val="004A7DA9"/>
    <w:rsid w:val="004B1ABC"/>
    <w:rsid w:val="004B230B"/>
    <w:rsid w:val="004B389F"/>
    <w:rsid w:val="004B3D48"/>
    <w:rsid w:val="004B6FF0"/>
    <w:rsid w:val="004C2E40"/>
    <w:rsid w:val="004C34D1"/>
    <w:rsid w:val="004D696D"/>
    <w:rsid w:val="004E12FF"/>
    <w:rsid w:val="004F5F2D"/>
    <w:rsid w:val="004F6351"/>
    <w:rsid w:val="004F7181"/>
    <w:rsid w:val="004F7CE3"/>
    <w:rsid w:val="005017D4"/>
    <w:rsid w:val="005073A2"/>
    <w:rsid w:val="00511DBB"/>
    <w:rsid w:val="005123C1"/>
    <w:rsid w:val="00512B63"/>
    <w:rsid w:val="00513E60"/>
    <w:rsid w:val="00514A7D"/>
    <w:rsid w:val="005164C3"/>
    <w:rsid w:val="005172B8"/>
    <w:rsid w:val="005207D3"/>
    <w:rsid w:val="00522EC6"/>
    <w:rsid w:val="00525E46"/>
    <w:rsid w:val="005344A9"/>
    <w:rsid w:val="00537EEA"/>
    <w:rsid w:val="00541271"/>
    <w:rsid w:val="0054363D"/>
    <w:rsid w:val="0054482C"/>
    <w:rsid w:val="0054677D"/>
    <w:rsid w:val="00551EFC"/>
    <w:rsid w:val="00562089"/>
    <w:rsid w:val="005673A1"/>
    <w:rsid w:val="00581F94"/>
    <w:rsid w:val="00583FDB"/>
    <w:rsid w:val="005872CA"/>
    <w:rsid w:val="005940B4"/>
    <w:rsid w:val="00595A53"/>
    <w:rsid w:val="005A1A3D"/>
    <w:rsid w:val="005A2FE8"/>
    <w:rsid w:val="005A3CC1"/>
    <w:rsid w:val="005A4507"/>
    <w:rsid w:val="005B0D4A"/>
    <w:rsid w:val="005B2645"/>
    <w:rsid w:val="005B5894"/>
    <w:rsid w:val="005B6B17"/>
    <w:rsid w:val="005B7D99"/>
    <w:rsid w:val="005C043A"/>
    <w:rsid w:val="005C1B18"/>
    <w:rsid w:val="005C1BC2"/>
    <w:rsid w:val="005C2DDB"/>
    <w:rsid w:val="005C3E6F"/>
    <w:rsid w:val="005C6D0D"/>
    <w:rsid w:val="005C740E"/>
    <w:rsid w:val="005D454C"/>
    <w:rsid w:val="005D7FA9"/>
    <w:rsid w:val="005E0B42"/>
    <w:rsid w:val="005E22D0"/>
    <w:rsid w:val="005E64A4"/>
    <w:rsid w:val="005F4D76"/>
    <w:rsid w:val="005F62EC"/>
    <w:rsid w:val="006031E1"/>
    <w:rsid w:val="00603B18"/>
    <w:rsid w:val="00611772"/>
    <w:rsid w:val="006157E5"/>
    <w:rsid w:val="00615D3F"/>
    <w:rsid w:val="00615E91"/>
    <w:rsid w:val="006177A4"/>
    <w:rsid w:val="00617E7F"/>
    <w:rsid w:val="00621313"/>
    <w:rsid w:val="00622C13"/>
    <w:rsid w:val="006235E7"/>
    <w:rsid w:val="0062433E"/>
    <w:rsid w:val="00625068"/>
    <w:rsid w:val="00635EDB"/>
    <w:rsid w:val="0063680C"/>
    <w:rsid w:val="00636BFA"/>
    <w:rsid w:val="00637D7A"/>
    <w:rsid w:val="0064032B"/>
    <w:rsid w:val="006447D6"/>
    <w:rsid w:val="00646BEE"/>
    <w:rsid w:val="0065000F"/>
    <w:rsid w:val="0065347F"/>
    <w:rsid w:val="00653634"/>
    <w:rsid w:val="006636FC"/>
    <w:rsid w:val="00664934"/>
    <w:rsid w:val="00673D2F"/>
    <w:rsid w:val="00674F9F"/>
    <w:rsid w:val="00676DBC"/>
    <w:rsid w:val="006814F2"/>
    <w:rsid w:val="00683883"/>
    <w:rsid w:val="00685BF5"/>
    <w:rsid w:val="006864C1"/>
    <w:rsid w:val="006870D0"/>
    <w:rsid w:val="0069705B"/>
    <w:rsid w:val="006A12EF"/>
    <w:rsid w:val="006A2421"/>
    <w:rsid w:val="006A442E"/>
    <w:rsid w:val="006A5312"/>
    <w:rsid w:val="006A6B7A"/>
    <w:rsid w:val="006B20C9"/>
    <w:rsid w:val="006B662E"/>
    <w:rsid w:val="006C13B4"/>
    <w:rsid w:val="006C359D"/>
    <w:rsid w:val="006D0B2C"/>
    <w:rsid w:val="006D1554"/>
    <w:rsid w:val="006D2814"/>
    <w:rsid w:val="006D7B14"/>
    <w:rsid w:val="006E03B0"/>
    <w:rsid w:val="006E25AE"/>
    <w:rsid w:val="006E2FD4"/>
    <w:rsid w:val="006E5957"/>
    <w:rsid w:val="006F3135"/>
    <w:rsid w:val="006F3B16"/>
    <w:rsid w:val="007110F1"/>
    <w:rsid w:val="00713FDD"/>
    <w:rsid w:val="00722478"/>
    <w:rsid w:val="00722A01"/>
    <w:rsid w:val="007267FB"/>
    <w:rsid w:val="00726DF5"/>
    <w:rsid w:val="00731841"/>
    <w:rsid w:val="007345BE"/>
    <w:rsid w:val="007412BF"/>
    <w:rsid w:val="00750059"/>
    <w:rsid w:val="007502A9"/>
    <w:rsid w:val="0075164C"/>
    <w:rsid w:val="00756470"/>
    <w:rsid w:val="00764C88"/>
    <w:rsid w:val="00774DA0"/>
    <w:rsid w:val="00775C5B"/>
    <w:rsid w:val="00782095"/>
    <w:rsid w:val="0078457E"/>
    <w:rsid w:val="007850D3"/>
    <w:rsid w:val="007853D5"/>
    <w:rsid w:val="0078722A"/>
    <w:rsid w:val="007908EA"/>
    <w:rsid w:val="00792A7B"/>
    <w:rsid w:val="00794836"/>
    <w:rsid w:val="007960A1"/>
    <w:rsid w:val="007968A0"/>
    <w:rsid w:val="007A0831"/>
    <w:rsid w:val="007A0D85"/>
    <w:rsid w:val="007A23DD"/>
    <w:rsid w:val="007A5667"/>
    <w:rsid w:val="007B0280"/>
    <w:rsid w:val="007B44F1"/>
    <w:rsid w:val="007B5602"/>
    <w:rsid w:val="007B5E70"/>
    <w:rsid w:val="007B64C3"/>
    <w:rsid w:val="007C2922"/>
    <w:rsid w:val="007C594C"/>
    <w:rsid w:val="007C5982"/>
    <w:rsid w:val="007C7101"/>
    <w:rsid w:val="007D2E4A"/>
    <w:rsid w:val="007D2EDB"/>
    <w:rsid w:val="007D35EA"/>
    <w:rsid w:val="007D35FB"/>
    <w:rsid w:val="007D4F33"/>
    <w:rsid w:val="007D5899"/>
    <w:rsid w:val="007D6477"/>
    <w:rsid w:val="007E032A"/>
    <w:rsid w:val="007E0603"/>
    <w:rsid w:val="007E35F1"/>
    <w:rsid w:val="007E3BAF"/>
    <w:rsid w:val="007E512E"/>
    <w:rsid w:val="007E57A3"/>
    <w:rsid w:val="007E6431"/>
    <w:rsid w:val="007F2606"/>
    <w:rsid w:val="0080247E"/>
    <w:rsid w:val="00803C91"/>
    <w:rsid w:val="008109AD"/>
    <w:rsid w:val="00813E2D"/>
    <w:rsid w:val="00814A37"/>
    <w:rsid w:val="00816903"/>
    <w:rsid w:val="00817E14"/>
    <w:rsid w:val="0082215D"/>
    <w:rsid w:val="00823795"/>
    <w:rsid w:val="00823BE5"/>
    <w:rsid w:val="00827C88"/>
    <w:rsid w:val="00830C36"/>
    <w:rsid w:val="00830D72"/>
    <w:rsid w:val="00830DEA"/>
    <w:rsid w:val="0083153B"/>
    <w:rsid w:val="00831B17"/>
    <w:rsid w:val="00835DCC"/>
    <w:rsid w:val="00841992"/>
    <w:rsid w:val="008424E1"/>
    <w:rsid w:val="00843B45"/>
    <w:rsid w:val="008455A4"/>
    <w:rsid w:val="008513C4"/>
    <w:rsid w:val="008541BB"/>
    <w:rsid w:val="00854FAA"/>
    <w:rsid w:val="008561C6"/>
    <w:rsid w:val="00863216"/>
    <w:rsid w:val="00864EEC"/>
    <w:rsid w:val="008657B8"/>
    <w:rsid w:val="00867A29"/>
    <w:rsid w:val="00871761"/>
    <w:rsid w:val="00876B70"/>
    <w:rsid w:val="008778F6"/>
    <w:rsid w:val="008828CE"/>
    <w:rsid w:val="008839C7"/>
    <w:rsid w:val="00885469"/>
    <w:rsid w:val="008916D4"/>
    <w:rsid w:val="00892597"/>
    <w:rsid w:val="0089428E"/>
    <w:rsid w:val="00894D33"/>
    <w:rsid w:val="00897713"/>
    <w:rsid w:val="008A1795"/>
    <w:rsid w:val="008A2C01"/>
    <w:rsid w:val="008A3131"/>
    <w:rsid w:val="008A3E50"/>
    <w:rsid w:val="008A53E1"/>
    <w:rsid w:val="008A5A5E"/>
    <w:rsid w:val="008A625C"/>
    <w:rsid w:val="008B0611"/>
    <w:rsid w:val="008B2247"/>
    <w:rsid w:val="008B2C51"/>
    <w:rsid w:val="008B3673"/>
    <w:rsid w:val="008B3DEE"/>
    <w:rsid w:val="008B400E"/>
    <w:rsid w:val="008C0CA4"/>
    <w:rsid w:val="008C434F"/>
    <w:rsid w:val="008C583B"/>
    <w:rsid w:val="008C6CD2"/>
    <w:rsid w:val="008D1C21"/>
    <w:rsid w:val="008D2039"/>
    <w:rsid w:val="008D2577"/>
    <w:rsid w:val="008D3FA4"/>
    <w:rsid w:val="008E1C74"/>
    <w:rsid w:val="008E3FE7"/>
    <w:rsid w:val="008F347A"/>
    <w:rsid w:val="008F4521"/>
    <w:rsid w:val="008F639D"/>
    <w:rsid w:val="0090038A"/>
    <w:rsid w:val="0090575A"/>
    <w:rsid w:val="0091088B"/>
    <w:rsid w:val="00912A7E"/>
    <w:rsid w:val="0091350F"/>
    <w:rsid w:val="00913A28"/>
    <w:rsid w:val="00920827"/>
    <w:rsid w:val="00923020"/>
    <w:rsid w:val="0094073D"/>
    <w:rsid w:val="00940E94"/>
    <w:rsid w:val="00943025"/>
    <w:rsid w:val="009454C7"/>
    <w:rsid w:val="0095505A"/>
    <w:rsid w:val="00955DC9"/>
    <w:rsid w:val="0095693F"/>
    <w:rsid w:val="00960122"/>
    <w:rsid w:val="00960F5B"/>
    <w:rsid w:val="00961046"/>
    <w:rsid w:val="00963AF7"/>
    <w:rsid w:val="00963C98"/>
    <w:rsid w:val="00970988"/>
    <w:rsid w:val="0097179F"/>
    <w:rsid w:val="00972FB9"/>
    <w:rsid w:val="009742AE"/>
    <w:rsid w:val="009766A7"/>
    <w:rsid w:val="00976A73"/>
    <w:rsid w:val="00980FED"/>
    <w:rsid w:val="009847E8"/>
    <w:rsid w:val="00986D1C"/>
    <w:rsid w:val="009901B1"/>
    <w:rsid w:val="00995A7D"/>
    <w:rsid w:val="009B0F81"/>
    <w:rsid w:val="009B17AB"/>
    <w:rsid w:val="009B370F"/>
    <w:rsid w:val="009C3A83"/>
    <w:rsid w:val="009C68CC"/>
    <w:rsid w:val="009D0962"/>
    <w:rsid w:val="009D2304"/>
    <w:rsid w:val="009E0BEE"/>
    <w:rsid w:val="009E277A"/>
    <w:rsid w:val="009E4015"/>
    <w:rsid w:val="009E44ED"/>
    <w:rsid w:val="009E47A5"/>
    <w:rsid w:val="009E58FC"/>
    <w:rsid w:val="009F0A3B"/>
    <w:rsid w:val="009F0A92"/>
    <w:rsid w:val="009F1E44"/>
    <w:rsid w:val="009F3ECE"/>
    <w:rsid w:val="009F3F5D"/>
    <w:rsid w:val="009F7A5F"/>
    <w:rsid w:val="00A017B1"/>
    <w:rsid w:val="00A01F6D"/>
    <w:rsid w:val="00A04DAE"/>
    <w:rsid w:val="00A05DB5"/>
    <w:rsid w:val="00A11A8F"/>
    <w:rsid w:val="00A13CDF"/>
    <w:rsid w:val="00A24DEF"/>
    <w:rsid w:val="00A26935"/>
    <w:rsid w:val="00A30E16"/>
    <w:rsid w:val="00A31753"/>
    <w:rsid w:val="00A3245A"/>
    <w:rsid w:val="00A33C07"/>
    <w:rsid w:val="00A3432C"/>
    <w:rsid w:val="00A34B86"/>
    <w:rsid w:val="00A408D5"/>
    <w:rsid w:val="00A41655"/>
    <w:rsid w:val="00A42EE4"/>
    <w:rsid w:val="00A43041"/>
    <w:rsid w:val="00A45851"/>
    <w:rsid w:val="00A468B6"/>
    <w:rsid w:val="00A47051"/>
    <w:rsid w:val="00A54A3C"/>
    <w:rsid w:val="00A60C0D"/>
    <w:rsid w:val="00A61DC7"/>
    <w:rsid w:val="00A63ACB"/>
    <w:rsid w:val="00A66711"/>
    <w:rsid w:val="00A67EC5"/>
    <w:rsid w:val="00A709CE"/>
    <w:rsid w:val="00A72A84"/>
    <w:rsid w:val="00A774EC"/>
    <w:rsid w:val="00A83E7C"/>
    <w:rsid w:val="00A8574F"/>
    <w:rsid w:val="00A86730"/>
    <w:rsid w:val="00A91FAA"/>
    <w:rsid w:val="00A92128"/>
    <w:rsid w:val="00A922C5"/>
    <w:rsid w:val="00A93E92"/>
    <w:rsid w:val="00A94912"/>
    <w:rsid w:val="00A9564F"/>
    <w:rsid w:val="00A95DE1"/>
    <w:rsid w:val="00AA08D6"/>
    <w:rsid w:val="00AA2EAC"/>
    <w:rsid w:val="00AA3F05"/>
    <w:rsid w:val="00AA51BE"/>
    <w:rsid w:val="00AB0283"/>
    <w:rsid w:val="00AB34BB"/>
    <w:rsid w:val="00AB4960"/>
    <w:rsid w:val="00AB498B"/>
    <w:rsid w:val="00AB4D89"/>
    <w:rsid w:val="00AB671F"/>
    <w:rsid w:val="00AB6B6A"/>
    <w:rsid w:val="00AB732C"/>
    <w:rsid w:val="00AC0010"/>
    <w:rsid w:val="00AC458A"/>
    <w:rsid w:val="00AC5D2B"/>
    <w:rsid w:val="00AD02EB"/>
    <w:rsid w:val="00AD04EF"/>
    <w:rsid w:val="00AD0C13"/>
    <w:rsid w:val="00AD4D81"/>
    <w:rsid w:val="00AD603B"/>
    <w:rsid w:val="00AD7EB4"/>
    <w:rsid w:val="00AE0667"/>
    <w:rsid w:val="00AF1A78"/>
    <w:rsid w:val="00AF43CF"/>
    <w:rsid w:val="00AF4D43"/>
    <w:rsid w:val="00AF5B65"/>
    <w:rsid w:val="00AF66E8"/>
    <w:rsid w:val="00B00EA3"/>
    <w:rsid w:val="00B010D5"/>
    <w:rsid w:val="00B06BF8"/>
    <w:rsid w:val="00B07961"/>
    <w:rsid w:val="00B079F5"/>
    <w:rsid w:val="00B1015F"/>
    <w:rsid w:val="00B10ED2"/>
    <w:rsid w:val="00B1397E"/>
    <w:rsid w:val="00B163AD"/>
    <w:rsid w:val="00B27DD2"/>
    <w:rsid w:val="00B33F66"/>
    <w:rsid w:val="00B36FD3"/>
    <w:rsid w:val="00B37253"/>
    <w:rsid w:val="00B37451"/>
    <w:rsid w:val="00B44530"/>
    <w:rsid w:val="00B46BDD"/>
    <w:rsid w:val="00B53AD6"/>
    <w:rsid w:val="00B57B23"/>
    <w:rsid w:val="00B607E4"/>
    <w:rsid w:val="00B63DBA"/>
    <w:rsid w:val="00B63E79"/>
    <w:rsid w:val="00B64918"/>
    <w:rsid w:val="00B71017"/>
    <w:rsid w:val="00B7168E"/>
    <w:rsid w:val="00B73B45"/>
    <w:rsid w:val="00B75172"/>
    <w:rsid w:val="00B7622E"/>
    <w:rsid w:val="00B82768"/>
    <w:rsid w:val="00B82BB6"/>
    <w:rsid w:val="00B85746"/>
    <w:rsid w:val="00B879F1"/>
    <w:rsid w:val="00B95656"/>
    <w:rsid w:val="00B963CB"/>
    <w:rsid w:val="00B964C0"/>
    <w:rsid w:val="00B967CA"/>
    <w:rsid w:val="00B97325"/>
    <w:rsid w:val="00BA41B8"/>
    <w:rsid w:val="00BB3CB4"/>
    <w:rsid w:val="00BB405F"/>
    <w:rsid w:val="00BB4EFE"/>
    <w:rsid w:val="00BB5180"/>
    <w:rsid w:val="00BB675C"/>
    <w:rsid w:val="00BC7757"/>
    <w:rsid w:val="00BD6731"/>
    <w:rsid w:val="00BE09DA"/>
    <w:rsid w:val="00BE0F61"/>
    <w:rsid w:val="00BE1D22"/>
    <w:rsid w:val="00BE2FD3"/>
    <w:rsid w:val="00BE7CEB"/>
    <w:rsid w:val="00BF1434"/>
    <w:rsid w:val="00BF2431"/>
    <w:rsid w:val="00C01417"/>
    <w:rsid w:val="00C119B6"/>
    <w:rsid w:val="00C16CAA"/>
    <w:rsid w:val="00C17703"/>
    <w:rsid w:val="00C23EF2"/>
    <w:rsid w:val="00C27579"/>
    <w:rsid w:val="00C30736"/>
    <w:rsid w:val="00C31035"/>
    <w:rsid w:val="00C33DC3"/>
    <w:rsid w:val="00C34C5B"/>
    <w:rsid w:val="00C37AA5"/>
    <w:rsid w:val="00C407EB"/>
    <w:rsid w:val="00C40C6C"/>
    <w:rsid w:val="00C44B47"/>
    <w:rsid w:val="00C45F08"/>
    <w:rsid w:val="00C5408F"/>
    <w:rsid w:val="00C54D2C"/>
    <w:rsid w:val="00C55316"/>
    <w:rsid w:val="00C5622F"/>
    <w:rsid w:val="00C6003D"/>
    <w:rsid w:val="00C61061"/>
    <w:rsid w:val="00C61318"/>
    <w:rsid w:val="00C62AFB"/>
    <w:rsid w:val="00C63D35"/>
    <w:rsid w:val="00C64629"/>
    <w:rsid w:val="00C656DD"/>
    <w:rsid w:val="00C66F30"/>
    <w:rsid w:val="00C72CCE"/>
    <w:rsid w:val="00C75291"/>
    <w:rsid w:val="00C75DCA"/>
    <w:rsid w:val="00C81589"/>
    <w:rsid w:val="00C83E11"/>
    <w:rsid w:val="00C90348"/>
    <w:rsid w:val="00C911FD"/>
    <w:rsid w:val="00C9176F"/>
    <w:rsid w:val="00C94A34"/>
    <w:rsid w:val="00C95512"/>
    <w:rsid w:val="00C95FF6"/>
    <w:rsid w:val="00C96BFC"/>
    <w:rsid w:val="00CA144E"/>
    <w:rsid w:val="00CA6726"/>
    <w:rsid w:val="00CB13F5"/>
    <w:rsid w:val="00CB1762"/>
    <w:rsid w:val="00CB4B44"/>
    <w:rsid w:val="00CB4D1A"/>
    <w:rsid w:val="00CB6EA0"/>
    <w:rsid w:val="00CB724D"/>
    <w:rsid w:val="00CC3A7D"/>
    <w:rsid w:val="00CC7DC0"/>
    <w:rsid w:val="00CD6E58"/>
    <w:rsid w:val="00CD6ED8"/>
    <w:rsid w:val="00CD7030"/>
    <w:rsid w:val="00CE02BA"/>
    <w:rsid w:val="00CE1834"/>
    <w:rsid w:val="00CE2DB1"/>
    <w:rsid w:val="00CE4559"/>
    <w:rsid w:val="00CF03FA"/>
    <w:rsid w:val="00CF17B0"/>
    <w:rsid w:val="00CF283B"/>
    <w:rsid w:val="00CF584B"/>
    <w:rsid w:val="00CF64F4"/>
    <w:rsid w:val="00CF67F1"/>
    <w:rsid w:val="00CF7D10"/>
    <w:rsid w:val="00D0105B"/>
    <w:rsid w:val="00D05138"/>
    <w:rsid w:val="00D0690D"/>
    <w:rsid w:val="00D141E2"/>
    <w:rsid w:val="00D164D5"/>
    <w:rsid w:val="00D16CE5"/>
    <w:rsid w:val="00D20FBC"/>
    <w:rsid w:val="00D2348A"/>
    <w:rsid w:val="00D2415E"/>
    <w:rsid w:val="00D24450"/>
    <w:rsid w:val="00D25113"/>
    <w:rsid w:val="00D3011B"/>
    <w:rsid w:val="00D31E7D"/>
    <w:rsid w:val="00D340A9"/>
    <w:rsid w:val="00D37374"/>
    <w:rsid w:val="00D40F1A"/>
    <w:rsid w:val="00D41FB9"/>
    <w:rsid w:val="00D4313F"/>
    <w:rsid w:val="00D47934"/>
    <w:rsid w:val="00D50D02"/>
    <w:rsid w:val="00D50FC4"/>
    <w:rsid w:val="00D516DA"/>
    <w:rsid w:val="00D516E2"/>
    <w:rsid w:val="00D55179"/>
    <w:rsid w:val="00D6386B"/>
    <w:rsid w:val="00D63B25"/>
    <w:rsid w:val="00D648E8"/>
    <w:rsid w:val="00D66322"/>
    <w:rsid w:val="00D71155"/>
    <w:rsid w:val="00D8173D"/>
    <w:rsid w:val="00D818AB"/>
    <w:rsid w:val="00D85739"/>
    <w:rsid w:val="00D907E1"/>
    <w:rsid w:val="00D90A88"/>
    <w:rsid w:val="00D922A3"/>
    <w:rsid w:val="00D92486"/>
    <w:rsid w:val="00D92EAA"/>
    <w:rsid w:val="00D94A39"/>
    <w:rsid w:val="00D955B3"/>
    <w:rsid w:val="00D95E28"/>
    <w:rsid w:val="00DA52CA"/>
    <w:rsid w:val="00DB2837"/>
    <w:rsid w:val="00DB2F6D"/>
    <w:rsid w:val="00DB69AD"/>
    <w:rsid w:val="00DC02F6"/>
    <w:rsid w:val="00DC2EEA"/>
    <w:rsid w:val="00DC470A"/>
    <w:rsid w:val="00DC4890"/>
    <w:rsid w:val="00DC55ED"/>
    <w:rsid w:val="00DC5B91"/>
    <w:rsid w:val="00DD01A4"/>
    <w:rsid w:val="00DD0776"/>
    <w:rsid w:val="00DD108B"/>
    <w:rsid w:val="00DD2818"/>
    <w:rsid w:val="00DD4A88"/>
    <w:rsid w:val="00DD500D"/>
    <w:rsid w:val="00DD5935"/>
    <w:rsid w:val="00DD66C7"/>
    <w:rsid w:val="00DD7C07"/>
    <w:rsid w:val="00DE48D1"/>
    <w:rsid w:val="00DF2771"/>
    <w:rsid w:val="00DF37D6"/>
    <w:rsid w:val="00DF464F"/>
    <w:rsid w:val="00DF5058"/>
    <w:rsid w:val="00DF5311"/>
    <w:rsid w:val="00E03CA2"/>
    <w:rsid w:val="00E051F8"/>
    <w:rsid w:val="00E10B79"/>
    <w:rsid w:val="00E2389C"/>
    <w:rsid w:val="00E2670A"/>
    <w:rsid w:val="00E26E15"/>
    <w:rsid w:val="00E34F4E"/>
    <w:rsid w:val="00E35678"/>
    <w:rsid w:val="00E40879"/>
    <w:rsid w:val="00E41F7B"/>
    <w:rsid w:val="00E42C38"/>
    <w:rsid w:val="00E42F71"/>
    <w:rsid w:val="00E46562"/>
    <w:rsid w:val="00E500D0"/>
    <w:rsid w:val="00E600BF"/>
    <w:rsid w:val="00E65903"/>
    <w:rsid w:val="00E66107"/>
    <w:rsid w:val="00E67E0F"/>
    <w:rsid w:val="00E70282"/>
    <w:rsid w:val="00E705B7"/>
    <w:rsid w:val="00E70F71"/>
    <w:rsid w:val="00E71C10"/>
    <w:rsid w:val="00E759C4"/>
    <w:rsid w:val="00E8354D"/>
    <w:rsid w:val="00E84235"/>
    <w:rsid w:val="00E87AE2"/>
    <w:rsid w:val="00E92B44"/>
    <w:rsid w:val="00E9636F"/>
    <w:rsid w:val="00EA6EFD"/>
    <w:rsid w:val="00EA7C07"/>
    <w:rsid w:val="00EB0AA9"/>
    <w:rsid w:val="00EB2D82"/>
    <w:rsid w:val="00EC2537"/>
    <w:rsid w:val="00ED0285"/>
    <w:rsid w:val="00ED1D9F"/>
    <w:rsid w:val="00ED385B"/>
    <w:rsid w:val="00ED41A8"/>
    <w:rsid w:val="00ED4AF9"/>
    <w:rsid w:val="00ED4BB3"/>
    <w:rsid w:val="00ED5F69"/>
    <w:rsid w:val="00EE28FD"/>
    <w:rsid w:val="00EE2E2A"/>
    <w:rsid w:val="00EE328D"/>
    <w:rsid w:val="00EE3A0D"/>
    <w:rsid w:val="00EE45C7"/>
    <w:rsid w:val="00EF0149"/>
    <w:rsid w:val="00EF367F"/>
    <w:rsid w:val="00EF5387"/>
    <w:rsid w:val="00EF758B"/>
    <w:rsid w:val="00F06508"/>
    <w:rsid w:val="00F10E0C"/>
    <w:rsid w:val="00F123EE"/>
    <w:rsid w:val="00F1667F"/>
    <w:rsid w:val="00F21001"/>
    <w:rsid w:val="00F213AF"/>
    <w:rsid w:val="00F22225"/>
    <w:rsid w:val="00F2289E"/>
    <w:rsid w:val="00F273F3"/>
    <w:rsid w:val="00F30974"/>
    <w:rsid w:val="00F31EF1"/>
    <w:rsid w:val="00F35889"/>
    <w:rsid w:val="00F42E29"/>
    <w:rsid w:val="00F43E09"/>
    <w:rsid w:val="00F46B33"/>
    <w:rsid w:val="00F52D45"/>
    <w:rsid w:val="00F55D12"/>
    <w:rsid w:val="00F5717E"/>
    <w:rsid w:val="00F574C2"/>
    <w:rsid w:val="00F64229"/>
    <w:rsid w:val="00F65F0D"/>
    <w:rsid w:val="00F6662C"/>
    <w:rsid w:val="00F66FDF"/>
    <w:rsid w:val="00F7714D"/>
    <w:rsid w:val="00F918D8"/>
    <w:rsid w:val="00F972BE"/>
    <w:rsid w:val="00FA0FC9"/>
    <w:rsid w:val="00FA5392"/>
    <w:rsid w:val="00FA62FD"/>
    <w:rsid w:val="00FB6196"/>
    <w:rsid w:val="00FC186C"/>
    <w:rsid w:val="00FC5314"/>
    <w:rsid w:val="00FD0820"/>
    <w:rsid w:val="00FD3341"/>
    <w:rsid w:val="00FD7A4E"/>
    <w:rsid w:val="00FE03B9"/>
    <w:rsid w:val="00FE3717"/>
    <w:rsid w:val="00FF00D7"/>
    <w:rsid w:val="00FF199F"/>
    <w:rsid w:val="00FF219A"/>
    <w:rsid w:val="0C074C56"/>
    <w:rsid w:val="144E190D"/>
    <w:rsid w:val="193940E8"/>
    <w:rsid w:val="20F15673"/>
    <w:rsid w:val="33940BB1"/>
    <w:rsid w:val="38C27E70"/>
    <w:rsid w:val="3FCE79CB"/>
    <w:rsid w:val="49233996"/>
    <w:rsid w:val="4DFF6192"/>
    <w:rsid w:val="57CE2A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175"/>
    <w:qFormat/>
    <w:uiPriority w:val="0"/>
    <w:pPr>
      <w:keepNext/>
      <w:keepLines/>
      <w:spacing w:before="340" w:after="330" w:line="578" w:lineRule="auto"/>
      <w:outlineLvl w:val="0"/>
    </w:pPr>
    <w:rPr>
      <w:b/>
      <w:kern w:val="44"/>
      <w:sz w:val="44"/>
    </w:rPr>
  </w:style>
  <w:style w:type="paragraph" w:styleId="3">
    <w:name w:val="heading 2"/>
    <w:basedOn w:val="1"/>
    <w:next w:val="1"/>
    <w:link w:val="8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5"/>
    <w:link w:val="159"/>
    <w:qFormat/>
    <w:uiPriority w:val="9"/>
    <w:pPr>
      <w:keepNext/>
      <w:keepLines/>
      <w:autoSpaceDE/>
      <w:autoSpaceDN/>
      <w:adjustRightInd/>
      <w:spacing w:before="260" w:after="260" w:line="360" w:lineRule="auto"/>
      <w:ind w:firstLine="602" w:firstLineChars="200"/>
      <w:outlineLvl w:val="2"/>
    </w:pPr>
    <w:rPr>
      <w:rFonts w:ascii="仿宋_GB2312" w:eastAsia="仿宋_GB2312"/>
      <w:b/>
      <w:bCs/>
      <w:color w:val="auto"/>
      <w:kern w:val="2"/>
      <w:sz w:val="30"/>
      <w:szCs w:val="20"/>
    </w:rPr>
  </w:style>
  <w:style w:type="paragraph" w:styleId="6">
    <w:name w:val="heading 4"/>
    <w:basedOn w:val="1"/>
    <w:next w:val="1"/>
    <w:link w:val="182"/>
    <w:qFormat/>
    <w:uiPriority w:val="0"/>
    <w:pPr>
      <w:keepLines/>
      <w:widowControl/>
      <w:jc w:val="left"/>
      <w:textAlignment w:val="baseline"/>
      <w:outlineLvl w:val="3"/>
    </w:pPr>
    <w:rPr>
      <w:rFonts w:eastAsia="楷体_GB2312"/>
      <w:b/>
      <w:snapToGrid w:val="0"/>
      <w:color w:val="auto"/>
      <w:sz w:val="24"/>
      <w:szCs w:val="20"/>
    </w:rPr>
  </w:style>
  <w:style w:type="paragraph" w:styleId="7">
    <w:name w:val="heading 5"/>
    <w:basedOn w:val="1"/>
    <w:next w:val="1"/>
    <w:link w:val="93"/>
    <w:qFormat/>
    <w:uiPriority w:val="0"/>
    <w:pPr>
      <w:keepNext/>
      <w:keepLines/>
      <w:autoSpaceDE/>
      <w:autoSpaceDN/>
      <w:adjustRightInd/>
      <w:spacing w:before="280" w:after="290" w:line="376" w:lineRule="auto"/>
      <w:ind w:left="1008" w:hanging="1008"/>
      <w:outlineLvl w:val="4"/>
    </w:pPr>
    <w:rPr>
      <w:b/>
      <w:bCs/>
      <w:color w:val="auto"/>
      <w:kern w:val="2"/>
      <w:sz w:val="28"/>
      <w:szCs w:val="28"/>
    </w:rPr>
  </w:style>
  <w:style w:type="paragraph" w:styleId="8">
    <w:name w:val="heading 6"/>
    <w:basedOn w:val="1"/>
    <w:next w:val="1"/>
    <w:link w:val="172"/>
    <w:qFormat/>
    <w:uiPriority w:val="0"/>
    <w:pPr>
      <w:keepNext/>
      <w:keepLines/>
      <w:autoSpaceDE/>
      <w:autoSpaceDN/>
      <w:adjustRightInd/>
      <w:spacing w:before="240" w:after="64" w:line="320" w:lineRule="auto"/>
      <w:ind w:left="1152" w:hanging="1152"/>
      <w:outlineLvl w:val="5"/>
    </w:pPr>
    <w:rPr>
      <w:rFonts w:ascii="Cambria" w:hAnsi="Cambria"/>
      <w:b/>
      <w:bCs/>
      <w:color w:val="auto"/>
      <w:kern w:val="2"/>
      <w:sz w:val="24"/>
      <w:szCs w:val="24"/>
    </w:rPr>
  </w:style>
  <w:style w:type="paragraph" w:styleId="9">
    <w:name w:val="heading 7"/>
    <w:basedOn w:val="1"/>
    <w:next w:val="1"/>
    <w:link w:val="114"/>
    <w:qFormat/>
    <w:uiPriority w:val="0"/>
    <w:pPr>
      <w:keepNext/>
      <w:keepLines/>
      <w:autoSpaceDE/>
      <w:autoSpaceDN/>
      <w:adjustRightInd/>
      <w:spacing w:before="240" w:after="64" w:line="320" w:lineRule="auto"/>
      <w:ind w:left="1296" w:hanging="1296"/>
      <w:outlineLvl w:val="6"/>
    </w:pPr>
    <w:rPr>
      <w:b/>
      <w:bCs/>
      <w:color w:val="auto"/>
      <w:kern w:val="2"/>
      <w:sz w:val="24"/>
      <w:szCs w:val="24"/>
    </w:rPr>
  </w:style>
  <w:style w:type="paragraph" w:styleId="10">
    <w:name w:val="heading 8"/>
    <w:basedOn w:val="1"/>
    <w:next w:val="1"/>
    <w:link w:val="105"/>
    <w:qFormat/>
    <w:uiPriority w:val="0"/>
    <w:pPr>
      <w:keepNext/>
      <w:keepLines/>
      <w:autoSpaceDE/>
      <w:autoSpaceDN/>
      <w:adjustRightInd/>
      <w:spacing w:before="240" w:after="64" w:line="320" w:lineRule="auto"/>
      <w:ind w:left="1440" w:hanging="1440"/>
      <w:outlineLvl w:val="7"/>
    </w:pPr>
    <w:rPr>
      <w:rFonts w:ascii="Cambria" w:hAnsi="Cambria"/>
      <w:color w:val="auto"/>
      <w:kern w:val="2"/>
      <w:sz w:val="24"/>
      <w:szCs w:val="24"/>
    </w:rPr>
  </w:style>
  <w:style w:type="paragraph" w:styleId="11">
    <w:name w:val="heading 9"/>
    <w:basedOn w:val="1"/>
    <w:next w:val="1"/>
    <w:link w:val="83"/>
    <w:qFormat/>
    <w:uiPriority w:val="0"/>
    <w:pPr>
      <w:keepNext/>
      <w:keepLines/>
      <w:autoSpaceDE/>
      <w:autoSpaceDN/>
      <w:adjustRightInd/>
      <w:spacing w:before="240" w:after="64" w:line="320" w:lineRule="auto"/>
      <w:ind w:left="1584" w:hanging="1584"/>
      <w:outlineLvl w:val="8"/>
    </w:pPr>
    <w:rPr>
      <w:rFonts w:ascii="Cambria" w:hAnsi="Cambria"/>
      <w:color w:val="auto"/>
      <w:kern w:val="2"/>
    </w:rPr>
  </w:style>
  <w:style w:type="character" w:default="1" w:styleId="54">
    <w:name w:val="Default Paragraph Font"/>
    <w:semiHidden/>
    <w:uiPriority w:val="0"/>
  </w:style>
  <w:style w:type="table" w:default="1" w:styleId="51">
    <w:name w:val="Normal Table"/>
    <w:semiHidden/>
    <w:uiPriority w:val="0"/>
    <w:tblPr>
      <w:tblCellMar>
        <w:top w:w="0" w:type="dxa"/>
        <w:left w:w="108" w:type="dxa"/>
        <w:bottom w:w="0" w:type="dxa"/>
        <w:right w:w="108" w:type="dxa"/>
      </w:tblCellMar>
    </w:tblPr>
  </w:style>
  <w:style w:type="paragraph" w:customStyle="1" w:styleId="5">
    <w:name w:val="Normal Indent1"/>
    <w:basedOn w:val="1"/>
    <w:uiPriority w:val="0"/>
    <w:pPr>
      <w:autoSpaceDE/>
      <w:autoSpaceDN/>
      <w:adjustRightInd/>
      <w:ind w:firstLine="420" w:firstLineChars="200"/>
    </w:pPr>
    <w:rPr>
      <w:color w:val="auto"/>
      <w:kern w:val="2"/>
      <w:szCs w:val="24"/>
    </w:rPr>
  </w:style>
  <w:style w:type="paragraph" w:styleId="12">
    <w:name w:val="toc 7"/>
    <w:basedOn w:val="1"/>
    <w:next w:val="1"/>
    <w:uiPriority w:val="0"/>
    <w:pPr>
      <w:autoSpaceDE/>
      <w:autoSpaceDN/>
      <w:adjustRightInd/>
      <w:spacing w:line="360" w:lineRule="auto"/>
      <w:ind w:left="1260"/>
      <w:jc w:val="left"/>
    </w:pPr>
    <w:rPr>
      <w:color w:val="auto"/>
      <w:kern w:val="2"/>
      <w:sz w:val="18"/>
      <w:szCs w:val="18"/>
    </w:rPr>
  </w:style>
  <w:style w:type="paragraph" w:styleId="13">
    <w:name w:val="List Number 2"/>
    <w:basedOn w:val="1"/>
    <w:uiPriority w:val="0"/>
    <w:pPr>
      <w:numPr>
        <w:ilvl w:val="0"/>
        <w:numId w:val="1"/>
      </w:numPr>
      <w:tabs>
        <w:tab w:val="left" w:pos="780"/>
      </w:tabs>
      <w:ind w:left="780" w:leftChars="200" w:hangingChars="200"/>
    </w:pPr>
  </w:style>
  <w:style w:type="paragraph" w:styleId="14">
    <w:name w:val="List Number"/>
    <w:basedOn w:val="1"/>
    <w:uiPriority w:val="0"/>
    <w:pPr>
      <w:widowControl/>
      <w:numPr>
        <w:ilvl w:val="0"/>
        <w:numId w:val="2"/>
      </w:numPr>
      <w:tabs>
        <w:tab w:val="left" w:pos="720"/>
      </w:tabs>
      <w:autoSpaceDE/>
      <w:autoSpaceDN/>
      <w:adjustRightInd/>
      <w:spacing w:afterLines="50"/>
      <w:jc w:val="left"/>
    </w:pPr>
    <w:rPr>
      <w:color w:val="auto"/>
      <w:sz w:val="24"/>
      <w:szCs w:val="20"/>
    </w:rPr>
  </w:style>
  <w:style w:type="paragraph" w:styleId="15">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uiPriority w:val="0"/>
    <w:pPr>
      <w:autoSpaceDE/>
      <w:autoSpaceDN/>
      <w:adjustRightInd/>
      <w:ind w:left="800" w:leftChars="800"/>
    </w:pPr>
    <w:rPr>
      <w:rFonts w:ascii="Calibri" w:hAnsi="Calibri"/>
      <w:color w:val="auto"/>
      <w:kern w:val="2"/>
      <w:szCs w:val="22"/>
    </w:rPr>
  </w:style>
  <w:style w:type="paragraph" w:styleId="17">
    <w:name w:val="Document Map"/>
    <w:basedOn w:val="1"/>
    <w:link w:val="143"/>
    <w:unhideWhenUsed/>
    <w:uiPriority w:val="0"/>
    <w:pPr>
      <w:textAlignment w:val="baseline"/>
    </w:pPr>
    <w:rPr>
      <w:rFonts w:ascii="宋体"/>
      <w:color w:val="auto"/>
      <w:sz w:val="18"/>
      <w:szCs w:val="18"/>
    </w:rPr>
  </w:style>
  <w:style w:type="paragraph" w:styleId="18">
    <w:name w:val="annotation text"/>
    <w:basedOn w:val="1"/>
    <w:link w:val="146"/>
    <w:qFormat/>
    <w:uiPriority w:val="0"/>
    <w:pPr>
      <w:jc w:val="left"/>
      <w:textAlignment w:val="baseline"/>
    </w:pPr>
    <w:rPr>
      <w:color w:val="auto"/>
      <w:sz w:val="24"/>
      <w:szCs w:val="20"/>
    </w:rPr>
  </w:style>
  <w:style w:type="paragraph" w:styleId="19">
    <w:name w:val="Body Text 3"/>
    <w:basedOn w:val="1"/>
    <w:link w:val="135"/>
    <w:uiPriority w:val="0"/>
    <w:pPr>
      <w:autoSpaceDE/>
      <w:autoSpaceDN/>
      <w:adjustRightInd/>
      <w:spacing w:after="120" w:line="360" w:lineRule="auto"/>
    </w:pPr>
    <w:rPr>
      <w:color w:val="auto"/>
      <w:kern w:val="2"/>
      <w:sz w:val="16"/>
      <w:szCs w:val="16"/>
    </w:rPr>
  </w:style>
  <w:style w:type="paragraph" w:styleId="20">
    <w:name w:val="Body Text"/>
    <w:basedOn w:val="1"/>
    <w:link w:val="92"/>
    <w:uiPriority w:val="0"/>
    <w:pPr>
      <w:spacing w:after="120"/>
    </w:pPr>
  </w:style>
  <w:style w:type="paragraph" w:styleId="21">
    <w:name w:val="Body Text Indent"/>
    <w:basedOn w:val="1"/>
    <w:link w:val="162"/>
    <w:qFormat/>
    <w:uiPriority w:val="0"/>
    <w:pPr>
      <w:spacing w:after="120"/>
      <w:ind w:left="420" w:leftChars="200"/>
    </w:pPr>
  </w:style>
  <w:style w:type="paragraph" w:styleId="22">
    <w:name w:val="List Number 3"/>
    <w:basedOn w:val="1"/>
    <w:uiPriority w:val="0"/>
    <w:pPr>
      <w:tabs>
        <w:tab w:val="left" w:pos="1200"/>
      </w:tabs>
      <w:ind w:left="1200" w:leftChars="400" w:hanging="360" w:hangingChars="200"/>
    </w:pPr>
  </w:style>
  <w:style w:type="paragraph" w:styleId="23">
    <w:name w:val="List 2"/>
    <w:basedOn w:val="1"/>
    <w:uiPriority w:val="0"/>
    <w:pPr>
      <w:autoSpaceDE/>
      <w:autoSpaceDN/>
      <w:adjustRightInd/>
      <w:spacing w:line="360" w:lineRule="auto"/>
      <w:ind w:left="100" w:leftChars="200" w:hanging="200" w:hangingChars="200"/>
    </w:pPr>
    <w:rPr>
      <w:color w:val="auto"/>
      <w:kern w:val="2"/>
      <w:sz w:val="24"/>
      <w:szCs w:val="24"/>
    </w:rPr>
  </w:style>
  <w:style w:type="paragraph" w:styleId="24">
    <w:name w:val="Block Text"/>
    <w:basedOn w:val="1"/>
    <w:autoRedefine/>
    <w:uiPriority w:val="0"/>
    <w:pPr>
      <w:autoSpaceDE/>
      <w:autoSpaceDN/>
      <w:adjustRightInd/>
      <w:spacing w:line="340" w:lineRule="exact"/>
      <w:ind w:left="850" w:leftChars="405" w:right="16"/>
    </w:pPr>
    <w:rPr>
      <w:rFonts w:ascii="宋体"/>
      <w:color w:val="auto"/>
      <w:spacing w:val="20"/>
      <w:kern w:val="2"/>
      <w:sz w:val="24"/>
      <w:szCs w:val="24"/>
    </w:rPr>
  </w:style>
  <w:style w:type="paragraph" w:styleId="25">
    <w:name w:val="toc 5"/>
    <w:basedOn w:val="1"/>
    <w:next w:val="1"/>
    <w:uiPriority w:val="0"/>
    <w:pPr>
      <w:autoSpaceDE/>
      <w:autoSpaceDN/>
      <w:adjustRightInd/>
      <w:spacing w:line="360" w:lineRule="auto"/>
      <w:ind w:left="840"/>
      <w:jc w:val="left"/>
    </w:pPr>
    <w:rPr>
      <w:color w:val="auto"/>
      <w:kern w:val="2"/>
      <w:sz w:val="18"/>
      <w:szCs w:val="18"/>
    </w:rPr>
  </w:style>
  <w:style w:type="paragraph" w:styleId="26">
    <w:name w:val="toc 3"/>
    <w:basedOn w:val="1"/>
    <w:next w:val="1"/>
    <w:uiPriority w:val="0"/>
    <w:pPr>
      <w:autoSpaceDE/>
      <w:autoSpaceDN/>
      <w:adjustRightInd/>
      <w:spacing w:line="360" w:lineRule="auto"/>
      <w:ind w:left="420"/>
      <w:jc w:val="left"/>
    </w:pPr>
    <w:rPr>
      <w:i/>
      <w:iCs/>
      <w:color w:val="auto"/>
      <w:kern w:val="2"/>
      <w:sz w:val="20"/>
      <w:szCs w:val="20"/>
    </w:rPr>
  </w:style>
  <w:style w:type="paragraph" w:styleId="27">
    <w:name w:val="Plain Text"/>
    <w:basedOn w:val="1"/>
    <w:link w:val="112"/>
    <w:qFormat/>
    <w:uiPriority w:val="0"/>
    <w:pPr>
      <w:autoSpaceDE/>
      <w:autoSpaceDN/>
      <w:adjustRightInd/>
    </w:pPr>
    <w:rPr>
      <w:color w:val="auto"/>
      <w:kern w:val="2"/>
      <w:sz w:val="24"/>
      <w:szCs w:val="20"/>
    </w:rPr>
  </w:style>
  <w:style w:type="paragraph" w:styleId="28">
    <w:name w:val="List Bullet 5"/>
    <w:basedOn w:val="1"/>
    <w:qFormat/>
    <w:uiPriority w:val="0"/>
    <w:pPr>
      <w:numPr>
        <w:ilvl w:val="0"/>
        <w:numId w:val="3"/>
      </w:numPr>
      <w:autoSpaceDE/>
      <w:autoSpaceDN/>
      <w:adjustRightInd/>
    </w:pPr>
    <w:rPr>
      <w:color w:val="auto"/>
      <w:kern w:val="2"/>
      <w:szCs w:val="24"/>
    </w:rPr>
  </w:style>
  <w:style w:type="paragraph" w:styleId="29">
    <w:name w:val="toc 8"/>
    <w:basedOn w:val="1"/>
    <w:next w:val="1"/>
    <w:uiPriority w:val="0"/>
    <w:pPr>
      <w:autoSpaceDE/>
      <w:autoSpaceDN/>
      <w:adjustRightInd/>
      <w:spacing w:line="360" w:lineRule="auto"/>
      <w:ind w:left="1470"/>
      <w:jc w:val="left"/>
    </w:pPr>
    <w:rPr>
      <w:color w:val="auto"/>
      <w:kern w:val="2"/>
      <w:sz w:val="18"/>
      <w:szCs w:val="18"/>
    </w:rPr>
  </w:style>
  <w:style w:type="paragraph" w:styleId="30">
    <w:name w:val="Date"/>
    <w:basedOn w:val="1"/>
    <w:next w:val="1"/>
    <w:link w:val="142"/>
    <w:autoRedefine/>
    <w:qFormat/>
    <w:uiPriority w:val="0"/>
    <w:pPr>
      <w:autoSpaceDE/>
      <w:autoSpaceDN/>
      <w:adjustRightInd/>
      <w:spacing w:line="360" w:lineRule="auto"/>
      <w:ind w:left="100"/>
    </w:pPr>
    <w:rPr>
      <w:color w:val="auto"/>
      <w:kern w:val="2"/>
      <w:sz w:val="28"/>
      <w:szCs w:val="20"/>
    </w:rPr>
  </w:style>
  <w:style w:type="paragraph" w:styleId="31">
    <w:name w:val="Body Text Indent 2"/>
    <w:basedOn w:val="1"/>
    <w:link w:val="151"/>
    <w:uiPriority w:val="0"/>
    <w:pPr>
      <w:autoSpaceDE/>
      <w:autoSpaceDN/>
      <w:adjustRightInd/>
      <w:spacing w:line="360" w:lineRule="auto"/>
      <w:ind w:firstLine="482" w:firstLineChars="200"/>
      <w:jc w:val="left"/>
    </w:pPr>
    <w:rPr>
      <w:rFonts w:ascii="仿宋_GB2312" w:hAnsi="宋体" w:eastAsia="仿宋_GB2312"/>
      <w:b/>
      <w:bCs/>
      <w:color w:val="auto"/>
      <w:kern w:val="2"/>
      <w:sz w:val="24"/>
      <w:szCs w:val="24"/>
    </w:rPr>
  </w:style>
  <w:style w:type="paragraph" w:styleId="32">
    <w:name w:val="Balloon Text"/>
    <w:basedOn w:val="1"/>
    <w:link w:val="147"/>
    <w:uiPriority w:val="99"/>
    <w:rPr>
      <w:sz w:val="18"/>
      <w:szCs w:val="18"/>
    </w:rPr>
  </w:style>
  <w:style w:type="paragraph" w:styleId="33">
    <w:name w:val="footer"/>
    <w:basedOn w:val="1"/>
    <w:link w:val="76"/>
    <w:uiPriority w:val="0"/>
    <w:pPr>
      <w:tabs>
        <w:tab w:val="center" w:pos="4153"/>
        <w:tab w:val="right" w:pos="8306"/>
      </w:tabs>
      <w:snapToGrid w:val="0"/>
      <w:jc w:val="left"/>
    </w:pPr>
    <w:rPr>
      <w:sz w:val="18"/>
      <w:szCs w:val="18"/>
    </w:rPr>
  </w:style>
  <w:style w:type="paragraph" w:styleId="34">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next w:val="1"/>
    <w:link w:val="127"/>
    <w:uiPriority w:val="0"/>
    <w:pPr>
      <w:keepNext/>
      <w:widowControl/>
      <w:numPr>
        <w:ilvl w:val="1"/>
        <w:numId w:val="1"/>
      </w:numPr>
      <w:tabs>
        <w:tab w:val="left" w:pos="1620"/>
      </w:tabs>
      <w:autoSpaceDE/>
      <w:autoSpaceDN/>
      <w:spacing w:line="220" w:lineRule="atLeast"/>
      <w:jc w:val="right"/>
      <w:textAlignment w:val="baseline"/>
    </w:pPr>
    <w:rPr>
      <w:rFonts w:ascii="Arial" w:hAnsi="Arial"/>
      <w:color w:val="auto"/>
      <w:spacing w:val="-5"/>
      <w:sz w:val="24"/>
      <w:szCs w:val="20"/>
    </w:rPr>
  </w:style>
  <w:style w:type="paragraph" w:styleId="36">
    <w:name w:val="toc 1"/>
    <w:basedOn w:val="1"/>
    <w:next w:val="1"/>
    <w:uiPriority w:val="0"/>
    <w:pPr>
      <w:spacing w:line="360" w:lineRule="auto"/>
    </w:pPr>
    <w:rPr>
      <w:rFonts w:eastAsia="黑体"/>
      <w:sz w:val="24"/>
    </w:rPr>
  </w:style>
  <w:style w:type="paragraph" w:styleId="37">
    <w:name w:val="toc 4"/>
    <w:basedOn w:val="1"/>
    <w:next w:val="1"/>
    <w:uiPriority w:val="0"/>
    <w:pPr>
      <w:autoSpaceDE/>
      <w:autoSpaceDN/>
      <w:adjustRightInd/>
      <w:spacing w:line="360" w:lineRule="auto"/>
      <w:ind w:left="630"/>
      <w:jc w:val="left"/>
    </w:pPr>
    <w:rPr>
      <w:color w:val="auto"/>
      <w:kern w:val="2"/>
      <w:sz w:val="18"/>
      <w:szCs w:val="18"/>
    </w:rPr>
  </w:style>
  <w:style w:type="paragraph" w:styleId="38">
    <w:name w:val="Subtitle"/>
    <w:basedOn w:val="1"/>
    <w:next w:val="1"/>
    <w:link w:val="174"/>
    <w:autoRedefine/>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39">
    <w:name w:val="toc 6"/>
    <w:basedOn w:val="1"/>
    <w:next w:val="1"/>
    <w:uiPriority w:val="0"/>
    <w:pPr>
      <w:autoSpaceDE/>
      <w:autoSpaceDN/>
      <w:adjustRightInd/>
      <w:spacing w:line="360" w:lineRule="auto"/>
      <w:ind w:left="1050"/>
      <w:jc w:val="left"/>
    </w:pPr>
    <w:rPr>
      <w:color w:val="auto"/>
      <w:kern w:val="2"/>
      <w:sz w:val="18"/>
      <w:szCs w:val="18"/>
    </w:rPr>
  </w:style>
  <w:style w:type="paragraph" w:styleId="40">
    <w:name w:val="Body Text Indent 3"/>
    <w:basedOn w:val="1"/>
    <w:link w:val="103"/>
    <w:qFormat/>
    <w:uiPriority w:val="0"/>
    <w:pPr>
      <w:autoSpaceDE/>
      <w:autoSpaceDN/>
      <w:adjustRightInd/>
      <w:ind w:firstLine="435"/>
    </w:pPr>
    <w:rPr>
      <w:color w:val="auto"/>
      <w:kern w:val="2"/>
      <w:szCs w:val="24"/>
    </w:rPr>
  </w:style>
  <w:style w:type="paragraph" w:styleId="41">
    <w:name w:val="index 7"/>
    <w:basedOn w:val="1"/>
    <w:next w:val="1"/>
    <w:uiPriority w:val="0"/>
    <w:pPr>
      <w:ind w:left="1200" w:leftChars="1200"/>
    </w:pPr>
  </w:style>
  <w:style w:type="paragraph" w:styleId="42">
    <w:name w:val="toc 2"/>
    <w:basedOn w:val="1"/>
    <w:next w:val="1"/>
    <w:uiPriority w:val="0"/>
    <w:pPr>
      <w:autoSpaceDE/>
      <w:autoSpaceDN/>
      <w:adjustRightInd/>
      <w:spacing w:line="360" w:lineRule="auto"/>
      <w:ind w:left="210"/>
      <w:jc w:val="left"/>
    </w:pPr>
    <w:rPr>
      <w:smallCaps/>
      <w:color w:val="auto"/>
      <w:kern w:val="2"/>
      <w:sz w:val="20"/>
      <w:szCs w:val="20"/>
    </w:rPr>
  </w:style>
  <w:style w:type="paragraph" w:styleId="43">
    <w:name w:val="toc 9"/>
    <w:basedOn w:val="1"/>
    <w:next w:val="1"/>
    <w:uiPriority w:val="0"/>
    <w:pPr>
      <w:autoSpaceDE/>
      <w:autoSpaceDN/>
      <w:adjustRightInd/>
      <w:spacing w:line="360" w:lineRule="auto"/>
      <w:ind w:left="1680"/>
      <w:jc w:val="left"/>
    </w:pPr>
    <w:rPr>
      <w:color w:val="auto"/>
      <w:kern w:val="2"/>
      <w:sz w:val="18"/>
      <w:szCs w:val="18"/>
    </w:rPr>
  </w:style>
  <w:style w:type="paragraph" w:styleId="44">
    <w:name w:val="Body Text 2"/>
    <w:basedOn w:val="1"/>
    <w:link w:val="121"/>
    <w:uiPriority w:val="0"/>
    <w:pPr>
      <w:autoSpaceDE/>
      <w:autoSpaceDN/>
      <w:adjustRightInd/>
      <w:spacing w:line="360" w:lineRule="auto"/>
      <w:jc w:val="left"/>
    </w:pPr>
    <w:rPr>
      <w:rFonts w:eastAsia="楷体_GB2312"/>
      <w:color w:val="auto"/>
      <w:kern w:val="2"/>
      <w:szCs w:val="24"/>
    </w:rPr>
  </w:style>
  <w:style w:type="paragraph" w:styleId="45">
    <w:name w:val="HTML Preformatted"/>
    <w:basedOn w:val="1"/>
    <w:link w:val="129"/>
    <w:uiPriority w:val="0"/>
    <w:pPr>
      <w:autoSpaceDE/>
      <w:autoSpaceDN/>
      <w:adjustRightInd/>
    </w:pPr>
    <w:rPr>
      <w:rFonts w:ascii="Arial Unicode MS" w:hAnsi="Arial Unicode MS" w:eastAsia="Arial Unicode MS"/>
      <w:color w:val="auto"/>
      <w:sz w:val="20"/>
      <w:szCs w:val="20"/>
    </w:rPr>
  </w:style>
  <w:style w:type="paragraph" w:styleId="46">
    <w:name w:val="Normal (Web)"/>
    <w:basedOn w:val="1"/>
    <w:link w:val="130"/>
    <w:qFormat/>
    <w:uiPriority w:val="99"/>
    <w:pPr>
      <w:widowControl/>
      <w:autoSpaceDE/>
      <w:autoSpaceDN/>
      <w:adjustRightInd/>
      <w:spacing w:before="100" w:beforeAutospacing="1" w:after="100" w:afterAutospacing="1" w:line="360" w:lineRule="auto"/>
      <w:jc w:val="left"/>
    </w:pPr>
    <w:rPr>
      <w:rFonts w:ascii="宋体" w:hAnsi="宋体"/>
      <w:sz w:val="24"/>
      <w:szCs w:val="24"/>
    </w:rPr>
  </w:style>
  <w:style w:type="paragraph" w:styleId="47">
    <w:name w:val="Title"/>
    <w:basedOn w:val="1"/>
    <w:link w:val="119"/>
    <w:autoRedefine/>
    <w:qFormat/>
    <w:uiPriority w:val="0"/>
    <w:pPr>
      <w:widowControl/>
      <w:overflowPunct w:val="0"/>
      <w:spacing w:line="360" w:lineRule="auto"/>
      <w:jc w:val="center"/>
      <w:textAlignment w:val="baseline"/>
    </w:pPr>
    <w:rPr>
      <w:b/>
      <w:color w:val="auto"/>
      <w:sz w:val="24"/>
      <w:szCs w:val="20"/>
      <w:lang w:val="en-GB"/>
    </w:rPr>
  </w:style>
  <w:style w:type="paragraph" w:styleId="48">
    <w:name w:val="annotation subject"/>
    <w:basedOn w:val="18"/>
    <w:next w:val="18"/>
    <w:link w:val="145"/>
    <w:autoRedefine/>
    <w:unhideWhenUsed/>
    <w:qFormat/>
    <w:uiPriority w:val="0"/>
    <w:pPr>
      <w:autoSpaceDE/>
      <w:autoSpaceDN/>
      <w:adjustRightInd/>
      <w:textAlignment w:val="auto"/>
    </w:pPr>
    <w:rPr>
      <w:b/>
      <w:bCs/>
      <w:kern w:val="2"/>
      <w:sz w:val="21"/>
      <w:szCs w:val="24"/>
    </w:rPr>
  </w:style>
  <w:style w:type="paragraph" w:styleId="49">
    <w:name w:val="Body Text First Indent"/>
    <w:basedOn w:val="20"/>
    <w:link w:val="66"/>
    <w:autoRedefine/>
    <w:qFormat/>
    <w:uiPriority w:val="0"/>
    <w:pPr>
      <w:autoSpaceDE/>
      <w:autoSpaceDN/>
      <w:adjustRightInd/>
      <w:spacing w:line="360" w:lineRule="auto"/>
      <w:ind w:firstLine="420" w:firstLineChars="100"/>
    </w:pPr>
    <w:rPr>
      <w:color w:val="auto"/>
      <w:kern w:val="2"/>
      <w:szCs w:val="24"/>
    </w:rPr>
  </w:style>
  <w:style w:type="paragraph" w:styleId="50">
    <w:name w:val="Body Text First Indent 2"/>
    <w:basedOn w:val="21"/>
    <w:link w:val="161"/>
    <w:autoRedefine/>
    <w:unhideWhenUsed/>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Colorful List Accent 1"/>
    <w:basedOn w:val="51"/>
    <w:uiPriority w:val="0"/>
    <w:rPr>
      <w:rFonts w:ascii="Calibri" w:hAnsi="Calibri"/>
      <w:kern w:val="2"/>
      <w:sz w:val="21"/>
      <w:szCs w:val="22"/>
    </w:rPr>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5">
    <w:name w:val="Strong"/>
    <w:qFormat/>
    <w:uiPriority w:val="22"/>
    <w:rPr>
      <w:b/>
      <w:bCs/>
    </w:rPr>
  </w:style>
  <w:style w:type="character" w:styleId="56">
    <w:name w:val="page number"/>
    <w:basedOn w:val="54"/>
    <w:uiPriority w:val="0"/>
  </w:style>
  <w:style w:type="character" w:styleId="57">
    <w:name w:val="FollowedHyperlink"/>
    <w:qFormat/>
    <w:uiPriority w:val="99"/>
    <w:rPr>
      <w:color w:val="800080"/>
      <w:u w:val="single"/>
    </w:rPr>
  </w:style>
  <w:style w:type="character" w:styleId="58">
    <w:name w:val="Emphasis"/>
    <w:qFormat/>
    <w:uiPriority w:val="0"/>
    <w:rPr>
      <w:color w:val="CC0033"/>
    </w:rPr>
  </w:style>
  <w:style w:type="character" w:styleId="59">
    <w:name w:val="Hyperlink"/>
    <w:basedOn w:val="54"/>
    <w:qFormat/>
    <w:uiPriority w:val="99"/>
    <w:rPr>
      <w:color w:val="0000FF"/>
      <w:u w:val="single"/>
    </w:rPr>
  </w:style>
  <w:style w:type="character" w:styleId="60">
    <w:name w:val="annotation reference"/>
    <w:autoRedefine/>
    <w:qFormat/>
    <w:uiPriority w:val="0"/>
    <w:rPr>
      <w:sz w:val="21"/>
      <w:szCs w:val="21"/>
    </w:rPr>
  </w:style>
  <w:style w:type="character" w:customStyle="1" w:styleId="61">
    <w:name w:val="param-name"/>
    <w:uiPriority w:val="0"/>
  </w:style>
  <w:style w:type="character" w:customStyle="1" w:styleId="62">
    <w:name w:val=" Char Char11"/>
    <w:basedOn w:val="54"/>
    <w:uiPriority w:val="0"/>
    <w:rPr>
      <w:rFonts w:ascii="Arial" w:hAnsi="Arial" w:eastAsia="黑体"/>
      <w:b/>
      <w:kern w:val="2"/>
      <w:sz w:val="32"/>
      <w:szCs w:val="32"/>
      <w:lang w:val="en-US" w:eastAsia="zh-CN" w:bidi="ar-SA"/>
    </w:rPr>
  </w:style>
  <w:style w:type="character" w:customStyle="1" w:styleId="63">
    <w:name w:val="副标题 Char1"/>
    <w:basedOn w:val="54"/>
    <w:autoRedefine/>
    <w:qFormat/>
    <w:uiPriority w:val="0"/>
    <w:rPr>
      <w:rFonts w:ascii="Cambria" w:hAnsi="Cambria" w:cs="Times New Roman"/>
      <w:b/>
      <w:bCs/>
      <w:color w:val="000000"/>
      <w:kern w:val="28"/>
      <w:sz w:val="32"/>
      <w:szCs w:val="32"/>
    </w:rPr>
  </w:style>
  <w:style w:type="character" w:customStyle="1" w:styleId="64">
    <w:name w:val=" Char Char17"/>
    <w:uiPriority w:val="0"/>
    <w:rPr>
      <w:rFonts w:ascii="Calibri" w:hAnsi="Calibri" w:eastAsia="宋体" w:cs="Times New Roman"/>
    </w:rPr>
  </w:style>
  <w:style w:type="character" w:customStyle="1" w:styleId="65">
    <w:name w:val="font51"/>
    <w:basedOn w:val="54"/>
    <w:qFormat/>
    <w:uiPriority w:val="0"/>
    <w:rPr>
      <w:rFonts w:hint="default" w:ascii="Arial" w:hAnsi="Arial" w:cs="Arial"/>
      <w:color w:val="000000"/>
      <w:sz w:val="20"/>
      <w:szCs w:val="20"/>
      <w:u w:val="none"/>
    </w:rPr>
  </w:style>
  <w:style w:type="character" w:customStyle="1" w:styleId="66">
    <w:name w:val="正文首行缩进 Char"/>
    <w:link w:val="49"/>
    <w:uiPriority w:val="0"/>
    <w:rPr>
      <w:kern w:val="2"/>
      <w:sz w:val="21"/>
      <w:szCs w:val="24"/>
    </w:rPr>
  </w:style>
  <w:style w:type="character" w:customStyle="1" w:styleId="67">
    <w:name w:val="Char Char4"/>
    <w:basedOn w:val="54"/>
    <w:uiPriority w:val="0"/>
    <w:rPr>
      <w:sz w:val="18"/>
      <w:szCs w:val="18"/>
    </w:rPr>
  </w:style>
  <w:style w:type="character" w:customStyle="1" w:styleId="68">
    <w:name w:val="表格正文 字符"/>
    <w:basedOn w:val="54"/>
    <w:link w:val="69"/>
    <w:qFormat/>
    <w:uiPriority w:val="0"/>
    <w:rPr>
      <w:rFonts w:ascii="宋体" w:hAnsi="宋体"/>
      <w:kern w:val="2"/>
      <w:sz w:val="24"/>
      <w:szCs w:val="22"/>
    </w:rPr>
  </w:style>
  <w:style w:type="paragraph" w:customStyle="1" w:styleId="69">
    <w:name w:val="表格正文"/>
    <w:basedOn w:val="1"/>
    <w:link w:val="68"/>
    <w:qFormat/>
    <w:uiPriority w:val="0"/>
    <w:pPr>
      <w:autoSpaceDE/>
      <w:autoSpaceDN/>
      <w:adjustRightInd/>
      <w:spacing w:line="360" w:lineRule="auto"/>
      <w:jc w:val="left"/>
    </w:pPr>
    <w:rPr>
      <w:rFonts w:ascii="宋体" w:hAnsi="宋体"/>
      <w:color w:val="auto"/>
      <w:kern w:val="2"/>
      <w:sz w:val="24"/>
      <w:szCs w:val="22"/>
    </w:rPr>
  </w:style>
  <w:style w:type="character" w:customStyle="1" w:styleId="70">
    <w:name w:val="font31"/>
    <w:basedOn w:val="54"/>
    <w:qFormat/>
    <w:uiPriority w:val="0"/>
    <w:rPr>
      <w:rFonts w:hint="eastAsia" w:ascii="宋体" w:hAnsi="宋体" w:eastAsia="宋体" w:cs="宋体"/>
      <w:color w:val="000000"/>
      <w:sz w:val="20"/>
      <w:szCs w:val="20"/>
      <w:u w:val="none"/>
    </w:rPr>
  </w:style>
  <w:style w:type="character" w:customStyle="1" w:styleId="71">
    <w:name w:val="纯文本 Char1"/>
    <w:qFormat/>
    <w:uiPriority w:val="0"/>
    <w:rPr>
      <w:rFonts w:ascii="宋体" w:hAnsi="Courier New"/>
    </w:rPr>
  </w:style>
  <w:style w:type="character" w:customStyle="1" w:styleId="72">
    <w:name w:val="正文缩进 Char"/>
    <w:basedOn w:val="54"/>
    <w:qFormat/>
    <w:uiPriority w:val="0"/>
    <w:rPr>
      <w:rFonts w:eastAsia="宋体"/>
      <w:kern w:val="2"/>
      <w:sz w:val="21"/>
      <w:lang w:val="en-US" w:eastAsia="zh-CN" w:bidi="ar-SA"/>
    </w:rPr>
  </w:style>
  <w:style w:type="character" w:customStyle="1" w:styleId="73">
    <w:name w:val="标题 9 字符"/>
    <w:semiHidden/>
    <w:uiPriority w:val="9"/>
    <w:rPr>
      <w:rFonts w:ascii="等线 Light" w:hAnsi="等线 Light" w:eastAsia="等线 Light"/>
      <w:kern w:val="2"/>
      <w:sz w:val="21"/>
      <w:szCs w:val="21"/>
    </w:rPr>
  </w:style>
  <w:style w:type="character" w:customStyle="1" w:styleId="74">
    <w:name w:val="md"/>
    <w:basedOn w:val="54"/>
    <w:uiPriority w:val="0"/>
  </w:style>
  <w:style w:type="character" w:customStyle="1" w:styleId="75">
    <w:name w:val="15"/>
    <w:basedOn w:val="54"/>
    <w:uiPriority w:val="0"/>
    <w:rPr>
      <w:rFonts w:hint="default" w:ascii="Lucida Sans" w:hAnsi="Lucida Sans"/>
    </w:rPr>
  </w:style>
  <w:style w:type="character" w:customStyle="1" w:styleId="76">
    <w:name w:val="页脚 Char"/>
    <w:basedOn w:val="54"/>
    <w:link w:val="33"/>
    <w:qFormat/>
    <w:uiPriority w:val="0"/>
    <w:rPr>
      <w:color w:val="000000"/>
      <w:sz w:val="18"/>
      <w:szCs w:val="18"/>
    </w:rPr>
  </w:style>
  <w:style w:type="character" w:customStyle="1" w:styleId="77">
    <w:name w:val="font81"/>
    <w:uiPriority w:val="0"/>
    <w:rPr>
      <w:rFonts w:hint="eastAsia" w:ascii="宋体" w:hAnsi="宋体" w:eastAsia="宋体" w:cs="宋体"/>
      <w:color w:val="auto"/>
      <w:sz w:val="20"/>
      <w:szCs w:val="20"/>
      <w:u w:val="none"/>
    </w:rPr>
  </w:style>
  <w:style w:type="character" w:customStyle="1" w:styleId="78">
    <w:name w:val="批注文字 Char1"/>
    <w:uiPriority w:val="0"/>
    <w:rPr>
      <w:color w:val="000000"/>
      <w:sz w:val="21"/>
      <w:szCs w:val="21"/>
    </w:rPr>
  </w:style>
  <w:style w:type="character" w:customStyle="1" w:styleId="79">
    <w:name w:val="fontstyle31"/>
    <w:autoRedefine/>
    <w:qFormat/>
    <w:uiPriority w:val="0"/>
    <w:rPr>
      <w:rFonts w:hint="default" w:ascii="WhitneyK-Book" w:hAnsi="WhitneyK-Book"/>
      <w:color w:val="231F20"/>
      <w:sz w:val="14"/>
      <w:szCs w:val="14"/>
    </w:rPr>
  </w:style>
  <w:style w:type="character" w:customStyle="1" w:styleId="80">
    <w:name w:val="b titlename wangputoptitle"/>
    <w:basedOn w:val="54"/>
    <w:qFormat/>
    <w:uiPriority w:val="0"/>
  </w:style>
  <w:style w:type="character" w:customStyle="1" w:styleId="81">
    <w:name w:val="标题 2 Char"/>
    <w:link w:val="3"/>
    <w:qFormat/>
    <w:uiPriority w:val="0"/>
    <w:rPr>
      <w:rFonts w:ascii="Arial" w:hAnsi="Arial" w:eastAsia="黑体"/>
      <w:b/>
      <w:bCs/>
      <w:kern w:val="2"/>
      <w:sz w:val="32"/>
      <w:szCs w:val="32"/>
    </w:rPr>
  </w:style>
  <w:style w:type="character" w:customStyle="1" w:styleId="82">
    <w:name w:val="h Char"/>
    <w:basedOn w:val="54"/>
    <w:uiPriority w:val="0"/>
    <w:rPr>
      <w:sz w:val="18"/>
      <w:szCs w:val="18"/>
    </w:rPr>
  </w:style>
  <w:style w:type="character" w:customStyle="1" w:styleId="83">
    <w:name w:val="标题 9 Char"/>
    <w:basedOn w:val="54"/>
    <w:link w:val="11"/>
    <w:uiPriority w:val="0"/>
    <w:rPr>
      <w:rFonts w:ascii="Cambria" w:hAnsi="Cambria"/>
      <w:kern w:val="2"/>
      <w:sz w:val="21"/>
      <w:szCs w:val="21"/>
    </w:rPr>
  </w:style>
  <w:style w:type="character" w:customStyle="1" w:styleId="84">
    <w:name w:val="标题 1 Char Char"/>
    <w:uiPriority w:val="0"/>
    <w:rPr>
      <w:rFonts w:eastAsia="宋体"/>
      <w:b/>
      <w:spacing w:val="-2"/>
      <w:sz w:val="24"/>
      <w:lang w:val="en-US" w:eastAsia="zh-CN"/>
    </w:rPr>
  </w:style>
  <w:style w:type="character" w:customStyle="1" w:styleId="85">
    <w:name w:val="标题 5 字符"/>
    <w:semiHidden/>
    <w:uiPriority w:val="9"/>
    <w:rPr>
      <w:rFonts w:ascii="等线" w:hAnsi="等线" w:eastAsia="等线"/>
      <w:b/>
      <w:bCs/>
      <w:kern w:val="2"/>
      <w:sz w:val="28"/>
      <w:szCs w:val="28"/>
    </w:rPr>
  </w:style>
  <w:style w:type="character" w:customStyle="1" w:styleId="86">
    <w:name w:val="签名 Char1"/>
    <w:basedOn w:val="54"/>
    <w:uiPriority w:val="0"/>
    <w:rPr>
      <w:color w:val="000000"/>
      <w:sz w:val="21"/>
      <w:szCs w:val="21"/>
    </w:rPr>
  </w:style>
  <w:style w:type="character" w:customStyle="1" w:styleId="87">
    <w:name w:val="font71"/>
    <w:uiPriority w:val="0"/>
    <w:rPr>
      <w:rFonts w:hint="eastAsia" w:ascii="宋体" w:hAnsi="宋体" w:eastAsia="宋体"/>
      <w:color w:val="000000"/>
      <w:sz w:val="20"/>
      <w:szCs w:val="20"/>
      <w:u w:val="none"/>
    </w:rPr>
  </w:style>
  <w:style w:type="character" w:customStyle="1" w:styleId="88">
    <w:name w:val="批注框文本 Char1"/>
    <w:uiPriority w:val="0"/>
    <w:rPr>
      <w:color w:val="000000"/>
      <w:sz w:val="18"/>
      <w:szCs w:val="18"/>
    </w:rPr>
  </w:style>
  <w:style w:type="character" w:customStyle="1" w:styleId="89">
    <w:name w:val="p0 Char"/>
    <w:link w:val="90"/>
    <w:uiPriority w:val="99"/>
    <w:rPr>
      <w:sz w:val="21"/>
      <w:szCs w:val="21"/>
      <w:lang w:val="en-US" w:eastAsia="zh-CN" w:bidi="ar-SA"/>
    </w:rPr>
  </w:style>
  <w:style w:type="paragraph" w:customStyle="1" w:styleId="90">
    <w:name w:val="p0"/>
    <w:next w:val="41"/>
    <w:link w:val="89"/>
    <w:uiPriority w:val="99"/>
    <w:pPr>
      <w:snapToGrid w:val="0"/>
    </w:pPr>
    <w:rPr>
      <w:rFonts w:ascii="Times New Roman" w:hAnsi="Times New Roman" w:eastAsia="宋体" w:cs="Times New Roman"/>
      <w:sz w:val="21"/>
      <w:szCs w:val="21"/>
      <w:lang w:val="en-US" w:eastAsia="zh-CN" w:bidi="ar-SA"/>
    </w:rPr>
  </w:style>
  <w:style w:type="character" w:customStyle="1" w:styleId="91">
    <w:name w:val="zbggmain style9"/>
    <w:basedOn w:val="54"/>
    <w:uiPriority w:val="0"/>
  </w:style>
  <w:style w:type="character" w:customStyle="1" w:styleId="92">
    <w:name w:val="正文文本 Char"/>
    <w:basedOn w:val="54"/>
    <w:link w:val="20"/>
    <w:uiPriority w:val="0"/>
    <w:rPr>
      <w:color w:val="000000"/>
      <w:sz w:val="21"/>
      <w:szCs w:val="21"/>
    </w:rPr>
  </w:style>
  <w:style w:type="character" w:customStyle="1" w:styleId="93">
    <w:name w:val="标题 5 Char"/>
    <w:basedOn w:val="54"/>
    <w:link w:val="7"/>
    <w:uiPriority w:val="0"/>
    <w:rPr>
      <w:b/>
      <w:bCs/>
      <w:kern w:val="2"/>
      <w:sz w:val="28"/>
      <w:szCs w:val="28"/>
    </w:rPr>
  </w:style>
  <w:style w:type="character" w:customStyle="1" w:styleId="94">
    <w:name w:val="标题 4 字符"/>
    <w:semiHidden/>
    <w:uiPriority w:val="9"/>
    <w:rPr>
      <w:rFonts w:ascii="等线 Light" w:hAnsi="等线 Light" w:eastAsia="等线 Light"/>
      <w:b/>
      <w:bCs/>
      <w:kern w:val="2"/>
      <w:sz w:val="28"/>
      <w:szCs w:val="28"/>
    </w:rPr>
  </w:style>
  <w:style w:type="character" w:customStyle="1" w:styleId="95">
    <w:name w:val="列出段落 Char"/>
    <w:link w:val="96"/>
    <w:qFormat/>
    <w:uiPriority w:val="34"/>
    <w:rPr>
      <w:rFonts w:ascii="Calibri" w:hAnsi="Calibri"/>
      <w:kern w:val="2"/>
      <w:sz w:val="21"/>
      <w:szCs w:val="22"/>
    </w:rPr>
  </w:style>
  <w:style w:type="paragraph" w:styleId="96">
    <w:name w:val="List Paragraph"/>
    <w:basedOn w:val="1"/>
    <w:link w:val="95"/>
    <w:qFormat/>
    <w:uiPriority w:val="34"/>
    <w:pPr>
      <w:autoSpaceDE/>
      <w:autoSpaceDN/>
      <w:adjustRightInd/>
      <w:ind w:firstLine="420" w:firstLineChars="200"/>
    </w:pPr>
    <w:rPr>
      <w:rFonts w:ascii="Calibri" w:hAnsi="Calibri"/>
      <w:color w:val="auto"/>
      <w:kern w:val="2"/>
      <w:szCs w:val="22"/>
    </w:rPr>
  </w:style>
  <w:style w:type="character" w:customStyle="1" w:styleId="97">
    <w:name w:val="大纲 Char"/>
    <w:basedOn w:val="54"/>
    <w:link w:val="98"/>
    <w:locked/>
    <w:uiPriority w:val="0"/>
    <w:rPr>
      <w:rFonts w:ascii="宋体" w:hAnsi="宋体"/>
      <w:b/>
      <w:kern w:val="2"/>
      <w:sz w:val="28"/>
      <w:szCs w:val="28"/>
      <w:lang w:bidi="ar-SA"/>
    </w:rPr>
  </w:style>
  <w:style w:type="paragraph" w:customStyle="1" w:styleId="98">
    <w:name w:val="大纲"/>
    <w:basedOn w:val="1"/>
    <w:link w:val="97"/>
    <w:uiPriority w:val="0"/>
    <w:pPr>
      <w:autoSpaceDE/>
      <w:autoSpaceDN/>
      <w:adjustRightInd/>
      <w:spacing w:line="500" w:lineRule="exact"/>
      <w:jc w:val="left"/>
      <w:outlineLvl w:val="0"/>
    </w:pPr>
    <w:rPr>
      <w:rFonts w:ascii="宋体" w:hAnsi="宋体" w:eastAsia="Times New Roman"/>
      <w:b/>
      <w:color w:val="auto"/>
      <w:kern w:val="2"/>
      <w:sz w:val="28"/>
      <w:szCs w:val="28"/>
    </w:rPr>
  </w:style>
  <w:style w:type="character" w:customStyle="1" w:styleId="99">
    <w:name w:val="ÕýÎÄ Char Char"/>
    <w:link w:val="100"/>
    <w:uiPriority w:val="0"/>
    <w:rPr>
      <w:sz w:val="22"/>
      <w:lang w:val="en-US" w:eastAsia="zh-CN" w:bidi="ar-SA"/>
    </w:rPr>
  </w:style>
  <w:style w:type="paragraph" w:customStyle="1" w:styleId="100">
    <w:name w:val="ÕýÎÄ"/>
    <w:link w:val="99"/>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character" w:customStyle="1" w:styleId="101">
    <w:name w:val="*正文 Char"/>
    <w:link w:val="102"/>
    <w:uiPriority w:val="0"/>
    <w:rPr>
      <w:kern w:val="2"/>
      <w:sz w:val="24"/>
      <w:szCs w:val="24"/>
    </w:rPr>
  </w:style>
  <w:style w:type="paragraph" w:customStyle="1" w:styleId="102">
    <w:name w:val="*正文"/>
    <w:basedOn w:val="1"/>
    <w:link w:val="101"/>
    <w:qFormat/>
    <w:uiPriority w:val="0"/>
    <w:pPr>
      <w:autoSpaceDE/>
      <w:autoSpaceDN/>
      <w:adjustRightInd/>
      <w:spacing w:beforeLines="50" w:after="200" w:afterLines="50" w:line="360" w:lineRule="auto"/>
      <w:ind w:firstLine="480" w:firstLineChars="200"/>
    </w:pPr>
    <w:rPr>
      <w:color w:val="auto"/>
      <w:kern w:val="2"/>
      <w:sz w:val="24"/>
      <w:szCs w:val="24"/>
    </w:rPr>
  </w:style>
  <w:style w:type="character" w:customStyle="1" w:styleId="103">
    <w:name w:val="正文文本缩进 3 Char"/>
    <w:basedOn w:val="54"/>
    <w:link w:val="40"/>
    <w:qFormat/>
    <w:uiPriority w:val="0"/>
    <w:rPr>
      <w:kern w:val="2"/>
      <w:sz w:val="21"/>
      <w:szCs w:val="24"/>
    </w:rPr>
  </w:style>
  <w:style w:type="character" w:customStyle="1" w:styleId="104">
    <w:name w:val="font3"/>
    <w:basedOn w:val="54"/>
    <w:uiPriority w:val="0"/>
  </w:style>
  <w:style w:type="character" w:customStyle="1" w:styleId="105">
    <w:name w:val="标题 8 Char"/>
    <w:basedOn w:val="54"/>
    <w:link w:val="10"/>
    <w:uiPriority w:val="0"/>
    <w:rPr>
      <w:rFonts w:ascii="Cambria" w:hAnsi="Cambria"/>
      <w:kern w:val="2"/>
      <w:sz w:val="24"/>
      <w:szCs w:val="24"/>
    </w:rPr>
  </w:style>
  <w:style w:type="character" w:customStyle="1" w:styleId="106">
    <w:name w:val="列出段落 字符"/>
    <w:link w:val="107"/>
    <w:locked/>
    <w:uiPriority w:val="99"/>
    <w:rPr>
      <w:rFonts w:ascii="Calibri" w:hAnsi="Calibri" w:cs="黑体"/>
      <w:kern w:val="2"/>
      <w:sz w:val="21"/>
      <w:szCs w:val="22"/>
    </w:rPr>
  </w:style>
  <w:style w:type="paragraph" w:customStyle="1" w:styleId="107">
    <w:name w:val="列出段落1"/>
    <w:basedOn w:val="1"/>
    <w:link w:val="106"/>
    <w:qFormat/>
    <w:uiPriority w:val="99"/>
    <w:pPr>
      <w:autoSpaceDE/>
      <w:autoSpaceDN/>
      <w:adjustRightInd/>
      <w:ind w:firstLine="420" w:firstLineChars="200"/>
    </w:pPr>
    <w:rPr>
      <w:rFonts w:ascii="Calibri" w:hAnsi="Calibri"/>
      <w:color w:val="auto"/>
      <w:kern w:val="2"/>
      <w:szCs w:val="22"/>
    </w:rPr>
  </w:style>
  <w:style w:type="character" w:customStyle="1" w:styleId="108">
    <w:name w:val="正文文本 3 Char1"/>
    <w:basedOn w:val="54"/>
    <w:uiPriority w:val="0"/>
    <w:rPr>
      <w:color w:val="000000"/>
      <w:sz w:val="16"/>
      <w:szCs w:val="16"/>
    </w:rPr>
  </w:style>
  <w:style w:type="character" w:customStyle="1" w:styleId="109">
    <w:name w:val="标题 7 字符"/>
    <w:semiHidden/>
    <w:uiPriority w:val="9"/>
    <w:rPr>
      <w:rFonts w:ascii="等线" w:hAnsi="等线" w:eastAsia="等线"/>
      <w:b/>
      <w:bCs/>
      <w:kern w:val="2"/>
      <w:sz w:val="24"/>
      <w:szCs w:val="24"/>
    </w:rPr>
  </w:style>
  <w:style w:type="character" w:customStyle="1" w:styleId="110">
    <w:name w:val=" Char Char13"/>
    <w:uiPriority w:val="0"/>
    <w:rPr>
      <w:rFonts w:eastAsia="宋体"/>
      <w:b/>
      <w:bCs/>
      <w:kern w:val="44"/>
      <w:sz w:val="44"/>
      <w:szCs w:val="44"/>
      <w:lang w:val="en-US" w:eastAsia="zh-CN" w:bidi="ar-SA"/>
    </w:rPr>
  </w:style>
  <w:style w:type="character" w:customStyle="1" w:styleId="111">
    <w:name w:val="页眉 字符"/>
    <w:autoRedefine/>
    <w:qFormat/>
    <w:uiPriority w:val="99"/>
    <w:rPr>
      <w:kern w:val="2"/>
      <w:sz w:val="18"/>
      <w:szCs w:val="18"/>
    </w:rPr>
  </w:style>
  <w:style w:type="character" w:customStyle="1" w:styleId="112">
    <w:name w:val="纯文本 Char"/>
    <w:basedOn w:val="54"/>
    <w:link w:val="27"/>
    <w:autoRedefine/>
    <w:qFormat/>
    <w:locked/>
    <w:uiPriority w:val="0"/>
    <w:rPr>
      <w:rFonts w:eastAsia="宋体"/>
      <w:kern w:val="2"/>
      <w:sz w:val="24"/>
      <w:lang w:val="en-US" w:eastAsia="zh-CN" w:bidi="ar-SA"/>
    </w:rPr>
  </w:style>
  <w:style w:type="character" w:customStyle="1" w:styleId="113">
    <w:name w:val="标题 4 Char1"/>
    <w:link w:val="6"/>
    <w:autoRedefine/>
    <w:qFormat/>
    <w:uiPriority w:val="0"/>
    <w:rPr>
      <w:rFonts w:eastAsia="楷体_GB2312"/>
      <w:b/>
      <w:snapToGrid w:val="0"/>
      <w:sz w:val="24"/>
    </w:rPr>
  </w:style>
  <w:style w:type="character" w:customStyle="1" w:styleId="114">
    <w:name w:val="标题 7 Char"/>
    <w:basedOn w:val="54"/>
    <w:link w:val="9"/>
    <w:autoRedefine/>
    <w:qFormat/>
    <w:uiPriority w:val="0"/>
    <w:rPr>
      <w:b/>
      <w:bCs/>
      <w:kern w:val="2"/>
      <w:sz w:val="24"/>
      <w:szCs w:val="24"/>
    </w:rPr>
  </w:style>
  <w:style w:type="character" w:customStyle="1" w:styleId="115">
    <w:name w:val="font-family:宋体"/>
    <w:basedOn w:val="54"/>
    <w:autoRedefine/>
    <w:qFormat/>
    <w:uiPriority w:val="0"/>
  </w:style>
  <w:style w:type="character" w:customStyle="1" w:styleId="116">
    <w:name w:val="正文文本缩进 2 Char1"/>
    <w:basedOn w:val="54"/>
    <w:autoRedefine/>
    <w:qFormat/>
    <w:uiPriority w:val="0"/>
    <w:rPr>
      <w:color w:val="000000"/>
      <w:sz w:val="21"/>
      <w:szCs w:val="21"/>
    </w:rPr>
  </w:style>
  <w:style w:type="character" w:customStyle="1" w:styleId="117">
    <w:name w:val="info1"/>
    <w:autoRedefine/>
    <w:qFormat/>
    <w:uiPriority w:val="0"/>
    <w:rPr>
      <w:sz w:val="29"/>
      <w:szCs w:val="29"/>
    </w:rPr>
  </w:style>
  <w:style w:type="character" w:customStyle="1" w:styleId="118">
    <w:name w:val="页眉 Char"/>
    <w:basedOn w:val="54"/>
    <w:link w:val="34"/>
    <w:autoRedefine/>
    <w:qFormat/>
    <w:uiPriority w:val="0"/>
    <w:rPr>
      <w:color w:val="000000"/>
      <w:sz w:val="18"/>
      <w:szCs w:val="18"/>
    </w:rPr>
  </w:style>
  <w:style w:type="character" w:customStyle="1" w:styleId="119">
    <w:name w:val="标题 Char"/>
    <w:link w:val="47"/>
    <w:autoRedefine/>
    <w:qFormat/>
    <w:uiPriority w:val="0"/>
    <w:rPr>
      <w:b/>
      <w:sz w:val="24"/>
      <w:lang w:val="en-GB"/>
    </w:rPr>
  </w:style>
  <w:style w:type="character" w:customStyle="1" w:styleId="120">
    <w:name w:val="页脚 字符"/>
    <w:autoRedefine/>
    <w:qFormat/>
    <w:uiPriority w:val="99"/>
    <w:rPr>
      <w:kern w:val="2"/>
      <w:sz w:val="18"/>
      <w:szCs w:val="18"/>
    </w:rPr>
  </w:style>
  <w:style w:type="character" w:customStyle="1" w:styleId="121">
    <w:name w:val="正文文本 2 Char"/>
    <w:link w:val="44"/>
    <w:autoRedefine/>
    <w:qFormat/>
    <w:uiPriority w:val="0"/>
    <w:rPr>
      <w:rFonts w:eastAsia="楷体_GB2312"/>
      <w:kern w:val="2"/>
      <w:sz w:val="21"/>
      <w:szCs w:val="24"/>
    </w:rPr>
  </w:style>
  <w:style w:type="character" w:customStyle="1" w:styleId="122">
    <w:name w:val="font61"/>
    <w:autoRedefine/>
    <w:qFormat/>
    <w:uiPriority w:val="0"/>
    <w:rPr>
      <w:rFonts w:hint="default" w:ascii="Times New Roman" w:hAnsi="Times New Roman" w:cs="Times New Roman"/>
      <w:color w:val="auto"/>
      <w:sz w:val="20"/>
      <w:szCs w:val="20"/>
      <w:u w:val="none"/>
    </w:rPr>
  </w:style>
  <w:style w:type="character" w:customStyle="1" w:styleId="123">
    <w:name w:val="正文首行缩进 Char1"/>
    <w:basedOn w:val="92"/>
    <w:autoRedefine/>
    <w:qFormat/>
    <w:uiPriority w:val="0"/>
  </w:style>
  <w:style w:type="character" w:customStyle="1" w:styleId="124">
    <w:name w:val="正文文本 2 Char1"/>
    <w:basedOn w:val="54"/>
    <w:autoRedefine/>
    <w:qFormat/>
    <w:uiPriority w:val="0"/>
    <w:rPr>
      <w:color w:val="000000"/>
      <w:sz w:val="21"/>
      <w:szCs w:val="21"/>
    </w:rPr>
  </w:style>
  <w:style w:type="character" w:customStyle="1" w:styleId="125">
    <w:name w:val="tips"/>
    <w:autoRedefine/>
    <w:qFormat/>
    <w:uiPriority w:val="0"/>
    <w:rPr>
      <w:rFonts w:cs="Times New Roman"/>
    </w:rPr>
  </w:style>
  <w:style w:type="character" w:customStyle="1" w:styleId="126">
    <w:name w:val="标题 Char1"/>
    <w:basedOn w:val="54"/>
    <w:autoRedefine/>
    <w:qFormat/>
    <w:uiPriority w:val="0"/>
    <w:rPr>
      <w:rFonts w:ascii="Cambria" w:hAnsi="Cambria" w:cs="Times New Roman"/>
      <w:b/>
      <w:bCs/>
      <w:color w:val="000000"/>
      <w:sz w:val="32"/>
      <w:szCs w:val="32"/>
    </w:rPr>
  </w:style>
  <w:style w:type="character" w:customStyle="1" w:styleId="127">
    <w:name w:val="签名 Char"/>
    <w:basedOn w:val="54"/>
    <w:link w:val="35"/>
    <w:autoRedefine/>
    <w:qFormat/>
    <w:uiPriority w:val="0"/>
    <w:rPr>
      <w:rFonts w:ascii="Arial" w:hAnsi="Arial"/>
      <w:spacing w:val="-5"/>
      <w:sz w:val="24"/>
    </w:rPr>
  </w:style>
  <w:style w:type="character" w:customStyle="1" w:styleId="128">
    <w:name w:val="标题 6 字符"/>
    <w:autoRedefine/>
    <w:semiHidden/>
    <w:qFormat/>
    <w:uiPriority w:val="9"/>
    <w:rPr>
      <w:rFonts w:ascii="等线 Light" w:hAnsi="等线 Light" w:eastAsia="等线 Light"/>
      <w:b/>
      <w:bCs/>
      <w:kern w:val="2"/>
      <w:sz w:val="24"/>
      <w:szCs w:val="24"/>
    </w:rPr>
  </w:style>
  <w:style w:type="character" w:customStyle="1" w:styleId="129">
    <w:name w:val="HTML 预设格式 Char"/>
    <w:basedOn w:val="54"/>
    <w:link w:val="45"/>
    <w:autoRedefine/>
    <w:qFormat/>
    <w:uiPriority w:val="0"/>
    <w:rPr>
      <w:rFonts w:ascii="Arial Unicode MS" w:hAnsi="Arial Unicode MS" w:eastAsia="Arial Unicode MS"/>
    </w:rPr>
  </w:style>
  <w:style w:type="character" w:customStyle="1" w:styleId="130">
    <w:name w:val="普通(网站) Char"/>
    <w:basedOn w:val="54"/>
    <w:link w:val="46"/>
    <w:autoRedefine/>
    <w:qFormat/>
    <w:uiPriority w:val="0"/>
    <w:rPr>
      <w:rFonts w:ascii="宋体" w:hAnsi="宋体"/>
      <w:color w:val="000000"/>
      <w:sz w:val="24"/>
      <w:szCs w:val="24"/>
    </w:rPr>
  </w:style>
  <w:style w:type="character" w:customStyle="1" w:styleId="131">
    <w:name w:val="彩色列表 - 着色 1 Char"/>
    <w:autoRedefine/>
    <w:qFormat/>
    <w:locked/>
    <w:uiPriority w:val="0"/>
    <w:rPr>
      <w:rFonts w:ascii="Calibri" w:hAnsi="Calibri" w:eastAsia="宋体"/>
      <w:kern w:val="2"/>
      <w:sz w:val="21"/>
      <w:szCs w:val="22"/>
      <w:lang w:val="en-US" w:eastAsia="zh-CN" w:bidi="ar-SA"/>
    </w:rPr>
  </w:style>
  <w:style w:type="character" w:customStyle="1" w:styleId="132">
    <w:name w:val="16"/>
    <w:autoRedefine/>
    <w:qFormat/>
    <w:uiPriority w:val="0"/>
    <w:rPr>
      <w:rFonts w:hint="default" w:ascii="Times New Roman" w:hAnsi="Times New Roman" w:cs="Times New Roman"/>
      <w:sz w:val="22"/>
      <w:szCs w:val="22"/>
    </w:rPr>
  </w:style>
  <w:style w:type="character" w:customStyle="1" w:styleId="133">
    <w:name w:val="cart_title_smaller1"/>
    <w:autoRedefine/>
    <w:qFormat/>
    <w:uiPriority w:val="0"/>
    <w:rPr>
      <w:color w:val="000000"/>
      <w:sz w:val="18"/>
      <w:szCs w:val="18"/>
      <w:u w:val="none"/>
    </w:rPr>
  </w:style>
  <w:style w:type="character" w:customStyle="1" w:styleId="134">
    <w:name w:val="标题 1 字符"/>
    <w:autoRedefine/>
    <w:qFormat/>
    <w:uiPriority w:val="9"/>
    <w:rPr>
      <w:b/>
      <w:bCs/>
      <w:kern w:val="44"/>
      <w:sz w:val="44"/>
      <w:szCs w:val="44"/>
    </w:rPr>
  </w:style>
  <w:style w:type="character" w:customStyle="1" w:styleId="135">
    <w:name w:val="正文文本 3 Char"/>
    <w:link w:val="19"/>
    <w:autoRedefine/>
    <w:qFormat/>
    <w:uiPriority w:val="0"/>
    <w:rPr>
      <w:kern w:val="2"/>
      <w:sz w:val="16"/>
      <w:szCs w:val="16"/>
    </w:rPr>
  </w:style>
  <w:style w:type="character" w:customStyle="1" w:styleId="136">
    <w:name w:val="font01"/>
    <w:basedOn w:val="54"/>
    <w:autoRedefine/>
    <w:qFormat/>
    <w:uiPriority w:val="0"/>
    <w:rPr>
      <w:rFonts w:hint="eastAsia" w:ascii="宋体" w:hAnsi="宋体" w:eastAsia="宋体" w:cs="宋体"/>
      <w:color w:val="000000"/>
      <w:sz w:val="24"/>
      <w:szCs w:val="24"/>
    </w:rPr>
  </w:style>
  <w:style w:type="character" w:customStyle="1" w:styleId="137">
    <w:name w:val="HTML 预设格式 Char1"/>
    <w:basedOn w:val="54"/>
    <w:autoRedefine/>
    <w:qFormat/>
    <w:uiPriority w:val="0"/>
    <w:rPr>
      <w:rFonts w:ascii="Courier New" w:hAnsi="Courier New" w:cs="Courier New"/>
      <w:color w:val="000000"/>
    </w:rPr>
  </w:style>
  <w:style w:type="character" w:customStyle="1" w:styleId="138">
    <w:name w:val="样式 宋体 小四"/>
    <w:autoRedefine/>
    <w:qFormat/>
    <w:uiPriority w:val="0"/>
    <w:rPr>
      <w:rFonts w:ascii="宋体" w:hAnsi="宋体"/>
      <w:spacing w:val="6"/>
      <w:sz w:val="24"/>
      <w:szCs w:val="24"/>
    </w:rPr>
  </w:style>
  <w:style w:type="character" w:customStyle="1" w:styleId="139">
    <w:name w:val="标题 41"/>
    <w:autoRedefine/>
    <w:qFormat/>
    <w:uiPriority w:val="0"/>
    <w:rPr>
      <w:rFonts w:ascii="Arial" w:hAnsi="Arial" w:eastAsia="宋体"/>
      <w:b/>
      <w:spacing w:val="10"/>
      <w:kern w:val="24"/>
      <w:sz w:val="24"/>
      <w:lang w:val="en-US" w:eastAsia="zh-CN" w:bidi="ar-SA"/>
    </w:rPr>
  </w:style>
  <w:style w:type="character" w:customStyle="1" w:styleId="140">
    <w:name w:val="font101"/>
    <w:autoRedefine/>
    <w:qFormat/>
    <w:uiPriority w:val="0"/>
    <w:rPr>
      <w:color w:val="000000"/>
      <w:sz w:val="20"/>
      <w:szCs w:val="20"/>
      <w:u w:val="none"/>
    </w:rPr>
  </w:style>
  <w:style w:type="character" w:customStyle="1" w:styleId="141">
    <w:name w:val="font21"/>
    <w:basedOn w:val="54"/>
    <w:autoRedefine/>
    <w:qFormat/>
    <w:uiPriority w:val="0"/>
    <w:rPr>
      <w:rFonts w:hint="default" w:ascii="仿宋_GB2312" w:eastAsia="仿宋_GB2312" w:cs="仿宋_GB2312"/>
      <w:color w:val="000000"/>
      <w:sz w:val="20"/>
      <w:szCs w:val="20"/>
      <w:u w:val="none"/>
    </w:rPr>
  </w:style>
  <w:style w:type="character" w:customStyle="1" w:styleId="142">
    <w:name w:val="日期 Char"/>
    <w:link w:val="30"/>
    <w:autoRedefine/>
    <w:qFormat/>
    <w:uiPriority w:val="0"/>
    <w:rPr>
      <w:kern w:val="2"/>
      <w:sz w:val="28"/>
    </w:rPr>
  </w:style>
  <w:style w:type="character" w:customStyle="1" w:styleId="143">
    <w:name w:val="文档结构图 Char"/>
    <w:basedOn w:val="54"/>
    <w:link w:val="17"/>
    <w:uiPriority w:val="0"/>
    <w:rPr>
      <w:rFonts w:ascii="宋体"/>
      <w:sz w:val="18"/>
      <w:szCs w:val="18"/>
    </w:rPr>
  </w:style>
  <w:style w:type="character" w:customStyle="1" w:styleId="144">
    <w:name w:val="标题 2 Char1"/>
    <w:basedOn w:val="54"/>
    <w:locked/>
    <w:uiPriority w:val="99"/>
    <w:rPr>
      <w:rFonts w:ascii="Arial" w:hAnsi="Arial" w:eastAsia="黑体" w:cs="Times New Roman"/>
      <w:b/>
      <w:sz w:val="32"/>
    </w:rPr>
  </w:style>
  <w:style w:type="character" w:customStyle="1" w:styleId="145">
    <w:name w:val="批注主题 Char"/>
    <w:basedOn w:val="146"/>
    <w:link w:val="48"/>
    <w:uiPriority w:val="0"/>
    <w:rPr>
      <w:b/>
      <w:bCs/>
      <w:kern w:val="2"/>
      <w:sz w:val="21"/>
      <w:szCs w:val="24"/>
    </w:rPr>
  </w:style>
  <w:style w:type="character" w:customStyle="1" w:styleId="146">
    <w:name w:val="批注文字 Char"/>
    <w:basedOn w:val="54"/>
    <w:link w:val="18"/>
    <w:qFormat/>
    <w:uiPriority w:val="99"/>
    <w:rPr>
      <w:sz w:val="24"/>
    </w:rPr>
  </w:style>
  <w:style w:type="character" w:customStyle="1" w:styleId="147">
    <w:name w:val="批注框文本 Char"/>
    <w:basedOn w:val="54"/>
    <w:link w:val="32"/>
    <w:uiPriority w:val="99"/>
    <w:rPr>
      <w:color w:val="000000"/>
      <w:sz w:val="18"/>
      <w:szCs w:val="18"/>
    </w:rPr>
  </w:style>
  <w:style w:type="character" w:customStyle="1" w:styleId="148">
    <w:name w:val="font11"/>
    <w:basedOn w:val="54"/>
    <w:qFormat/>
    <w:uiPriority w:val="0"/>
    <w:rPr>
      <w:rFonts w:hint="eastAsia" w:ascii="宋体" w:hAnsi="宋体" w:eastAsia="宋体" w:cs="宋体"/>
      <w:color w:val="000000"/>
      <w:sz w:val="20"/>
      <w:szCs w:val="20"/>
      <w:u w:val="none"/>
    </w:rPr>
  </w:style>
  <w:style w:type="character" w:customStyle="1" w:styleId="149">
    <w:name w:val="h1 Char"/>
    <w:basedOn w:val="54"/>
    <w:link w:val="150"/>
    <w:qFormat/>
    <w:uiPriority w:val="0"/>
    <w:rPr>
      <w:rFonts w:ascii="Times New Roman" w:hAnsi="Times New Roman" w:eastAsia="宋体" w:cs="Times New Roman"/>
      <w:b/>
      <w:bCs/>
      <w:kern w:val="44"/>
      <w:sz w:val="44"/>
      <w:szCs w:val="44"/>
    </w:rPr>
  </w:style>
  <w:style w:type="paragraph" w:customStyle="1" w:styleId="150">
    <w:name w:val="1"/>
    <w:basedOn w:val="1"/>
    <w:next w:val="40"/>
    <w:link w:val="149"/>
    <w:qFormat/>
    <w:uiPriority w:val="0"/>
    <w:pPr>
      <w:widowControl/>
      <w:autoSpaceDE/>
      <w:autoSpaceDN/>
      <w:adjustRightInd/>
      <w:spacing w:after="120"/>
      <w:ind w:left="420" w:leftChars="200"/>
      <w:jc w:val="left"/>
    </w:pPr>
    <w:rPr>
      <w:b/>
      <w:bCs/>
      <w:color w:val="auto"/>
      <w:kern w:val="44"/>
      <w:sz w:val="44"/>
      <w:szCs w:val="44"/>
    </w:rPr>
  </w:style>
  <w:style w:type="character" w:customStyle="1" w:styleId="151">
    <w:name w:val="正文文本缩进 2 Char"/>
    <w:link w:val="31"/>
    <w:uiPriority w:val="0"/>
    <w:rPr>
      <w:rFonts w:ascii="仿宋_GB2312" w:hAnsi="宋体" w:eastAsia="仿宋_GB2312"/>
      <w:b/>
      <w:bCs/>
      <w:kern w:val="2"/>
      <w:sz w:val="24"/>
      <w:szCs w:val="24"/>
    </w:rPr>
  </w:style>
  <w:style w:type="character" w:customStyle="1" w:styleId="152">
    <w:name w:val="01 正文样式 Char"/>
    <w:link w:val="153"/>
    <w:uiPriority w:val="0"/>
    <w:rPr>
      <w:kern w:val="2"/>
      <w:sz w:val="24"/>
    </w:rPr>
  </w:style>
  <w:style w:type="paragraph" w:customStyle="1" w:styleId="153">
    <w:name w:val="01 正文样式"/>
    <w:basedOn w:val="1"/>
    <w:link w:val="152"/>
    <w:uiPriority w:val="0"/>
    <w:pPr>
      <w:autoSpaceDE/>
      <w:autoSpaceDN/>
      <w:adjustRightInd/>
      <w:spacing w:line="560" w:lineRule="exact"/>
      <w:ind w:firstLine="480" w:firstLineChars="200"/>
    </w:pPr>
    <w:rPr>
      <w:color w:val="auto"/>
      <w:kern w:val="2"/>
      <w:sz w:val="24"/>
      <w:szCs w:val="20"/>
    </w:rPr>
  </w:style>
  <w:style w:type="character" w:customStyle="1" w:styleId="154">
    <w:name w:val="正文文字2 Char"/>
    <w:link w:val="155"/>
    <w:qFormat/>
    <w:uiPriority w:val="0"/>
    <w:rPr>
      <w:rFonts w:ascii="Arial" w:eastAsia="黑体"/>
      <w:sz w:val="21"/>
      <w:lang w:val="en-US" w:eastAsia="zh-CN" w:bidi="ar-SA"/>
    </w:rPr>
  </w:style>
  <w:style w:type="paragraph" w:customStyle="1" w:styleId="155">
    <w:name w:val="正文文字2"/>
    <w:basedOn w:val="20"/>
    <w:link w:val="15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156">
    <w:name w:val="样式 首行缩进:  0 字符 Char"/>
    <w:link w:val="157"/>
    <w:locked/>
    <w:uiPriority w:val="0"/>
    <w:rPr>
      <w:kern w:val="2"/>
      <w:sz w:val="21"/>
      <w:szCs w:val="24"/>
    </w:rPr>
  </w:style>
  <w:style w:type="paragraph" w:customStyle="1" w:styleId="157">
    <w:name w:val="样式 首行缩进:  0 字符"/>
    <w:basedOn w:val="1"/>
    <w:link w:val="156"/>
    <w:uiPriority w:val="0"/>
    <w:pPr>
      <w:autoSpaceDE/>
      <w:autoSpaceDN/>
      <w:adjustRightInd/>
    </w:pPr>
    <w:rPr>
      <w:color w:val="auto"/>
      <w:kern w:val="2"/>
      <w:szCs w:val="24"/>
    </w:rPr>
  </w:style>
  <w:style w:type="character" w:customStyle="1" w:styleId="158">
    <w:name w:val="fontstyle11"/>
    <w:uiPriority w:val="0"/>
    <w:rPr>
      <w:rFonts w:hint="default" w:ascii="JZongDengXian" w:hAnsi="JZongDengXian"/>
      <w:color w:val="231F20"/>
      <w:sz w:val="12"/>
      <w:szCs w:val="12"/>
    </w:rPr>
  </w:style>
  <w:style w:type="character" w:customStyle="1" w:styleId="159">
    <w:name w:val="标题 3 Char"/>
    <w:basedOn w:val="54"/>
    <w:link w:val="4"/>
    <w:qFormat/>
    <w:uiPriority w:val="9"/>
    <w:rPr>
      <w:rFonts w:ascii="仿宋_GB2312" w:eastAsia="仿宋_GB2312"/>
      <w:b/>
      <w:bCs/>
      <w:kern w:val="2"/>
      <w:sz w:val="30"/>
    </w:rPr>
  </w:style>
  <w:style w:type="character" w:customStyle="1" w:styleId="160">
    <w:name w:val="标题 8 字符"/>
    <w:semiHidden/>
    <w:uiPriority w:val="9"/>
    <w:rPr>
      <w:rFonts w:ascii="等线 Light" w:hAnsi="等线 Light" w:eastAsia="等线 Light" w:cs="Times New Roman"/>
      <w:sz w:val="24"/>
      <w:szCs w:val="24"/>
    </w:rPr>
  </w:style>
  <w:style w:type="character" w:customStyle="1" w:styleId="161">
    <w:name w:val="正文首行缩进 2 Char"/>
    <w:basedOn w:val="162"/>
    <w:link w:val="50"/>
    <w:uiPriority w:val="0"/>
    <w:rPr>
      <w:rFonts w:ascii="Calibri" w:hAnsi="Calibri"/>
      <w:kern w:val="2"/>
      <w:sz w:val="24"/>
      <w:szCs w:val="22"/>
    </w:rPr>
  </w:style>
  <w:style w:type="character" w:customStyle="1" w:styleId="162">
    <w:name w:val="正文文本缩进 Char"/>
    <w:basedOn w:val="54"/>
    <w:link w:val="21"/>
    <w:qFormat/>
    <w:uiPriority w:val="0"/>
    <w:rPr>
      <w:color w:val="000000"/>
      <w:sz w:val="21"/>
      <w:szCs w:val="21"/>
    </w:rPr>
  </w:style>
  <w:style w:type="character" w:customStyle="1" w:styleId="163">
    <w:name w:val="表格 Char Char"/>
    <w:basedOn w:val="54"/>
    <w:link w:val="164"/>
    <w:locked/>
    <w:uiPriority w:val="0"/>
    <w:rPr>
      <w:rFonts w:ascii="宋体" w:hAnsi="宋体"/>
    </w:rPr>
  </w:style>
  <w:style w:type="paragraph" w:customStyle="1" w:styleId="164">
    <w:name w:val="表格"/>
    <w:basedOn w:val="1"/>
    <w:link w:val="163"/>
    <w:uiPriority w:val="0"/>
    <w:pPr>
      <w:autoSpaceDE/>
      <w:autoSpaceDN/>
      <w:adjustRightInd/>
      <w:snapToGrid w:val="0"/>
      <w:ind w:firstLine="42" w:firstLineChars="21"/>
    </w:pPr>
    <w:rPr>
      <w:rFonts w:ascii="宋体" w:hAnsi="宋体"/>
      <w:color w:val="auto"/>
      <w:sz w:val="20"/>
      <w:szCs w:val="20"/>
    </w:rPr>
  </w:style>
  <w:style w:type="character" w:customStyle="1" w:styleId="165">
    <w:name w:val="jtz2 Char1"/>
    <w:uiPriority w:val="0"/>
    <w:rPr>
      <w:rFonts w:ascii="Cambria" w:hAnsi="Cambria" w:eastAsia="宋体"/>
      <w:b/>
      <w:bCs/>
      <w:kern w:val="2"/>
      <w:sz w:val="30"/>
      <w:szCs w:val="32"/>
      <w:lang w:val="en-US" w:eastAsia="zh-CN" w:bidi="ar-SA"/>
    </w:rPr>
  </w:style>
  <w:style w:type="character" w:customStyle="1" w:styleId="166">
    <w:name w:val="标书正文 Char"/>
    <w:link w:val="167"/>
    <w:locked/>
    <w:uiPriority w:val="0"/>
    <w:rPr>
      <w:rFonts w:ascii="Calibri" w:hAnsi="Calibri"/>
      <w:kern w:val="2"/>
      <w:sz w:val="21"/>
      <w:szCs w:val="22"/>
    </w:rPr>
  </w:style>
  <w:style w:type="paragraph" w:customStyle="1" w:styleId="167">
    <w:name w:val="标书正文"/>
    <w:basedOn w:val="1"/>
    <w:link w:val="166"/>
    <w:qFormat/>
    <w:uiPriority w:val="0"/>
    <w:pPr>
      <w:tabs>
        <w:tab w:val="left" w:pos="420"/>
      </w:tabs>
      <w:autoSpaceDE/>
      <w:autoSpaceDN/>
      <w:adjustRightInd/>
      <w:spacing w:line="360" w:lineRule="auto"/>
      <w:ind w:firstLine="200" w:firstLineChars="200"/>
      <w:jc w:val="left"/>
    </w:pPr>
    <w:rPr>
      <w:rFonts w:ascii="Calibri" w:hAnsi="Calibri"/>
      <w:color w:val="auto"/>
      <w:kern w:val="2"/>
      <w:szCs w:val="22"/>
    </w:rPr>
  </w:style>
  <w:style w:type="character" w:customStyle="1" w:styleId="168">
    <w:name w:val="标题 2 字符"/>
    <w:uiPriority w:val="9"/>
    <w:rPr>
      <w:rFonts w:ascii="等线 Light" w:hAnsi="等线 Light" w:eastAsia="等线 Light" w:cs="Times New Roman"/>
      <w:b/>
      <w:bCs/>
      <w:sz w:val="32"/>
      <w:szCs w:val="32"/>
    </w:rPr>
  </w:style>
  <w:style w:type="character" w:customStyle="1" w:styleId="169">
    <w:name w:val="正文文字2 Char Char"/>
    <w:uiPriority w:val="0"/>
    <w:rPr>
      <w:rFonts w:ascii="Arial" w:eastAsia="黑体"/>
      <w:sz w:val="21"/>
      <w:lang w:val="en-US" w:eastAsia="zh-CN" w:bidi="ar-SA"/>
    </w:rPr>
  </w:style>
  <w:style w:type="character" w:customStyle="1" w:styleId="170">
    <w:name w:val="正文缩进 字符"/>
    <w:uiPriority w:val="0"/>
  </w:style>
  <w:style w:type="character" w:customStyle="1" w:styleId="171">
    <w:name w:val="日期 Char1"/>
    <w:basedOn w:val="54"/>
    <w:uiPriority w:val="0"/>
    <w:rPr>
      <w:color w:val="000000"/>
      <w:sz w:val="21"/>
      <w:szCs w:val="21"/>
    </w:rPr>
  </w:style>
  <w:style w:type="character" w:customStyle="1" w:styleId="172">
    <w:name w:val="标题 6 Char"/>
    <w:basedOn w:val="54"/>
    <w:link w:val="8"/>
    <w:uiPriority w:val="0"/>
    <w:rPr>
      <w:rFonts w:ascii="Cambria" w:hAnsi="Cambria"/>
      <w:b/>
      <w:bCs/>
      <w:kern w:val="2"/>
      <w:sz w:val="24"/>
      <w:szCs w:val="24"/>
    </w:rPr>
  </w:style>
  <w:style w:type="character" w:customStyle="1" w:styleId="173">
    <w:name w:val="fontstyle01"/>
    <w:uiPriority w:val="0"/>
    <w:rPr>
      <w:rFonts w:hint="default" w:ascii="HYg2gj" w:hAnsi="HYg2gj"/>
      <w:color w:val="231F20"/>
      <w:sz w:val="14"/>
      <w:szCs w:val="14"/>
    </w:rPr>
  </w:style>
  <w:style w:type="character" w:customStyle="1" w:styleId="174">
    <w:name w:val="副标题 Char"/>
    <w:link w:val="38"/>
    <w:uiPriority w:val="0"/>
    <w:rPr>
      <w:rFonts w:ascii="Cambria" w:hAnsi="Cambria"/>
      <w:b/>
      <w:bCs/>
      <w:kern w:val="28"/>
      <w:sz w:val="32"/>
      <w:szCs w:val="32"/>
    </w:rPr>
  </w:style>
  <w:style w:type="character" w:customStyle="1" w:styleId="175">
    <w:name w:val="标题 1 Char"/>
    <w:basedOn w:val="54"/>
    <w:link w:val="2"/>
    <w:qFormat/>
    <w:uiPriority w:val="0"/>
    <w:rPr>
      <w:b/>
      <w:color w:val="000000"/>
      <w:kern w:val="44"/>
      <w:sz w:val="44"/>
      <w:szCs w:val="21"/>
    </w:rPr>
  </w:style>
  <w:style w:type="character" w:customStyle="1" w:styleId="176">
    <w:name w:val="列出段落 Char Char"/>
    <w:link w:val="177"/>
    <w:uiPriority w:val="0"/>
    <w:rPr>
      <w:rFonts w:ascii="Calibri" w:hAnsi="Calibri"/>
      <w:szCs w:val="22"/>
    </w:rPr>
  </w:style>
  <w:style w:type="paragraph" w:customStyle="1" w:styleId="177">
    <w:name w:val="List Paragraph11"/>
    <w:basedOn w:val="1"/>
    <w:link w:val="176"/>
    <w:uiPriority w:val="0"/>
    <w:pPr>
      <w:autoSpaceDE/>
      <w:autoSpaceDN/>
      <w:adjustRightInd/>
      <w:ind w:firstLine="420" w:firstLineChars="200"/>
    </w:pPr>
    <w:rPr>
      <w:rFonts w:ascii="Calibri" w:hAnsi="Calibri"/>
      <w:color w:val="auto"/>
      <w:sz w:val="20"/>
      <w:szCs w:val="22"/>
    </w:rPr>
  </w:style>
  <w:style w:type="character" w:customStyle="1" w:styleId="178">
    <w:name w:val="01正文样式 Char"/>
    <w:link w:val="179"/>
    <w:uiPriority w:val="0"/>
    <w:rPr>
      <w:rFonts w:ascii="Tahoma" w:hAnsi="Tahoma" w:eastAsia="仿宋_GB2312"/>
      <w:sz w:val="28"/>
    </w:rPr>
  </w:style>
  <w:style w:type="paragraph" w:customStyle="1" w:styleId="179">
    <w:name w:val="01正文样式"/>
    <w:basedOn w:val="1"/>
    <w:link w:val="178"/>
    <w:uiPriority w:val="0"/>
    <w:pPr>
      <w:autoSpaceDE/>
      <w:autoSpaceDN/>
      <w:adjustRightInd/>
      <w:ind w:firstLine="480"/>
    </w:pPr>
    <w:rPr>
      <w:rFonts w:ascii="Tahoma" w:hAnsi="Tahoma" w:eastAsia="仿宋_GB2312"/>
      <w:color w:val="auto"/>
      <w:sz w:val="28"/>
      <w:szCs w:val="20"/>
    </w:rPr>
  </w:style>
  <w:style w:type="character" w:customStyle="1" w:styleId="180">
    <w:name w:val="无间隔 Char"/>
    <w:link w:val="181"/>
    <w:locked/>
    <w:uiPriority w:val="99"/>
    <w:rPr>
      <w:rFonts w:ascii="Calibri" w:hAnsi="Calibri"/>
      <w:kern w:val="2"/>
      <w:sz w:val="22"/>
      <w:szCs w:val="22"/>
      <w:lang w:val="en-US" w:eastAsia="zh-CN" w:bidi="ar-SA"/>
    </w:rPr>
  </w:style>
  <w:style w:type="paragraph" w:customStyle="1" w:styleId="181">
    <w:name w:val="无间隔2"/>
    <w:link w:val="180"/>
    <w:uiPriority w:val="99"/>
    <w:rPr>
      <w:rFonts w:ascii="Calibri" w:hAnsi="Calibri" w:eastAsia="宋体" w:cs="Times New Roman"/>
      <w:kern w:val="2"/>
      <w:sz w:val="22"/>
      <w:szCs w:val="22"/>
      <w:lang w:val="en-US" w:eastAsia="zh-CN" w:bidi="ar-SA"/>
    </w:rPr>
  </w:style>
  <w:style w:type="character" w:customStyle="1" w:styleId="182">
    <w:name w:val="标题 4 Char"/>
    <w:basedOn w:val="54"/>
    <w:link w:val="6"/>
    <w:uiPriority w:val="9"/>
    <w:rPr>
      <w:rFonts w:ascii="Cambria" w:hAnsi="Cambria" w:eastAsia="宋体" w:cs="Times New Roman"/>
      <w:b/>
      <w:bCs/>
      <w:color w:val="000000"/>
      <w:sz w:val="28"/>
      <w:szCs w:val="28"/>
    </w:rPr>
  </w:style>
  <w:style w:type="character" w:customStyle="1" w:styleId="183">
    <w:name w:val="纯文本 字符"/>
    <w:uiPriority w:val="99"/>
    <w:rPr>
      <w:rFonts w:eastAsia="等线" w:cs="Calibri"/>
      <w:sz w:val="22"/>
      <w:szCs w:val="22"/>
    </w:rPr>
  </w:style>
  <w:style w:type="character" w:customStyle="1" w:styleId="184">
    <w:name w:val="List Paragraph Char"/>
    <w:locked/>
    <w:uiPriority w:val="0"/>
    <w:rPr>
      <w:rFonts w:ascii="Calibri" w:hAnsi="Calibri" w:eastAsia="宋体"/>
      <w:kern w:val="2"/>
      <w:sz w:val="21"/>
      <w:szCs w:val="22"/>
      <w:lang w:val="en-US" w:eastAsia="zh-CN" w:bidi="ar-SA"/>
    </w:rPr>
  </w:style>
  <w:style w:type="character" w:customStyle="1" w:styleId="185">
    <w:name w:val="正文 1.5 倍行距 Char"/>
    <w:link w:val="186"/>
    <w:uiPriority w:val="0"/>
    <w:rPr>
      <w:sz w:val="24"/>
    </w:rPr>
  </w:style>
  <w:style w:type="paragraph" w:customStyle="1" w:styleId="186">
    <w:name w:val="正文 1.5 倍行距"/>
    <w:basedOn w:val="1"/>
    <w:link w:val="185"/>
    <w:qFormat/>
    <w:uiPriority w:val="0"/>
    <w:pPr>
      <w:spacing w:line="360" w:lineRule="auto"/>
      <w:ind w:firstLine="480" w:firstLineChars="200"/>
      <w:textAlignment w:val="baseline"/>
    </w:pPr>
    <w:rPr>
      <w:color w:val="auto"/>
      <w:sz w:val="24"/>
      <w:szCs w:val="20"/>
    </w:rPr>
  </w:style>
  <w:style w:type="character" w:customStyle="1" w:styleId="187">
    <w:name w:val=" Char Char3"/>
    <w:basedOn w:val="54"/>
    <w:uiPriority w:val="0"/>
    <w:rPr>
      <w:rFonts w:ascii="宋体" w:hAnsi="Courier New" w:eastAsia="宋体"/>
      <w:sz w:val="24"/>
      <w:szCs w:val="24"/>
      <w:lang w:bidi="ar-SA"/>
    </w:rPr>
  </w:style>
  <w:style w:type="character" w:customStyle="1" w:styleId="188">
    <w:name w:val="font121"/>
    <w:uiPriority w:val="0"/>
    <w:rPr>
      <w:rFonts w:hint="default" w:ascii="Arial" w:hAnsi="Arial" w:cs="Arial"/>
      <w:color w:val="000000"/>
      <w:sz w:val="20"/>
      <w:szCs w:val="20"/>
      <w:u w:val="none"/>
    </w:rPr>
  </w:style>
  <w:style w:type="character" w:customStyle="1" w:styleId="189">
    <w:name w:val="apple-converted-space"/>
    <w:basedOn w:val="54"/>
    <w:uiPriority w:val="0"/>
  </w:style>
  <w:style w:type="character" w:customStyle="1" w:styleId="190">
    <w:name w:val="标题 3 字符"/>
    <w:uiPriority w:val="9"/>
    <w:rPr>
      <w:rFonts w:ascii="等线" w:hAnsi="等线" w:eastAsia="等线"/>
      <w:b/>
      <w:bCs/>
      <w:kern w:val="2"/>
      <w:sz w:val="32"/>
      <w:szCs w:val="32"/>
    </w:rPr>
  </w:style>
  <w:style w:type="character" w:customStyle="1" w:styleId="191">
    <w:name w:val="标题 2 Char1 Char Char Char Char"/>
    <w:basedOn w:val="54"/>
    <w:uiPriority w:val="0"/>
    <w:rPr>
      <w:rFonts w:ascii="Verdana" w:hAnsi="Verdana" w:eastAsia="宋体"/>
      <w:b/>
      <w:bCs/>
      <w:kern w:val="2"/>
      <w:sz w:val="28"/>
      <w:szCs w:val="28"/>
      <w:lang w:val="en-US" w:eastAsia="zh-CN" w:bidi="ar-SA"/>
    </w:rPr>
  </w:style>
  <w:style w:type="paragraph" w:customStyle="1" w:styleId="192">
    <w:name w:val="et7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193">
    <w:name w:val="et4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194">
    <w:name w:val="Char Char2 Char Char"/>
    <w:basedOn w:val="1"/>
    <w:uiPriority w:val="0"/>
    <w:pPr>
      <w:autoSpaceDE/>
      <w:autoSpaceDN/>
      <w:adjustRightInd/>
      <w:spacing w:line="360" w:lineRule="auto"/>
    </w:pPr>
    <w:rPr>
      <w:rFonts w:ascii="Tahoma" w:hAnsi="Tahoma"/>
      <w:color w:val="auto"/>
      <w:kern w:val="2"/>
      <w:sz w:val="24"/>
      <w:szCs w:val="20"/>
    </w:rPr>
  </w:style>
  <w:style w:type="paragraph" w:customStyle="1" w:styleId="195">
    <w:name w:val=" Char Char Char1 Char Char Char"/>
    <w:basedOn w:val="1"/>
    <w:uiPriority w:val="0"/>
    <w:pPr>
      <w:autoSpaceDE/>
      <w:autoSpaceDN/>
      <w:adjustRightInd/>
    </w:pPr>
    <w:rPr>
      <w:rFonts w:ascii="仿宋_GB2312" w:eastAsia="仿宋_GB2312"/>
      <w:b/>
      <w:color w:val="auto"/>
      <w:kern w:val="2"/>
      <w:sz w:val="32"/>
      <w:szCs w:val="32"/>
    </w:rPr>
  </w:style>
  <w:style w:type="paragraph" w:customStyle="1" w:styleId="196">
    <w:name w:val="Char2"/>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197">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b/>
      <w:bCs/>
      <w:color w:val="auto"/>
      <w:sz w:val="24"/>
      <w:szCs w:val="24"/>
    </w:rPr>
  </w:style>
  <w:style w:type="paragraph" w:customStyle="1" w:styleId="198">
    <w:name w:val="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199">
    <w:name w:val="et6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0">
    <w:name w:val="et8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02">
    <w:name w:val="et7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3">
    <w:name w:val="表 靠左"/>
    <w:basedOn w:val="1"/>
    <w:qFormat/>
    <w:uiPriority w:val="0"/>
    <w:pPr>
      <w:autoSpaceDE/>
      <w:autoSpaceDN/>
      <w:adjustRightInd/>
      <w:jc w:val="left"/>
    </w:pPr>
    <w:rPr>
      <w:color w:val="auto"/>
      <w:kern w:val="2"/>
    </w:rPr>
  </w:style>
  <w:style w:type="paragraph" w:customStyle="1" w:styleId="204">
    <w:name w:val="xl81"/>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205">
    <w:name w:val="p0 paragraphindent"/>
    <w:basedOn w:val="1"/>
    <w:uiPriority w:val="0"/>
    <w:pPr>
      <w:widowControl/>
      <w:numPr>
        <w:ilvl w:val="0"/>
        <w:numId w:val="4"/>
      </w:numPr>
      <w:autoSpaceDE/>
      <w:autoSpaceDN/>
      <w:adjustRightInd/>
      <w:spacing w:before="100" w:beforeAutospacing="1" w:after="100" w:afterAutospacing="1"/>
      <w:ind w:firstLine="0"/>
      <w:jc w:val="left"/>
    </w:pPr>
    <w:rPr>
      <w:rFonts w:ascii="宋体" w:hAnsi="宋体" w:cs="宋体"/>
      <w:color w:val="auto"/>
      <w:sz w:val="24"/>
      <w:szCs w:val="24"/>
    </w:rPr>
  </w:style>
  <w:style w:type="paragraph" w:customStyle="1" w:styleId="206">
    <w:name w:val="Pa4"/>
    <w:basedOn w:val="1"/>
    <w:next w:val="1"/>
    <w:uiPriority w:val="99"/>
    <w:pPr>
      <w:widowControl/>
      <w:spacing w:line="161" w:lineRule="atLeast"/>
      <w:jc w:val="left"/>
    </w:pPr>
    <w:rPr>
      <w:rFonts w:ascii="Museo Sans For Dell 300" w:hAnsi="等线" w:eastAsia="Museo Sans For Dell 300"/>
      <w:color w:val="auto"/>
      <w:sz w:val="24"/>
      <w:szCs w:val="24"/>
    </w:rPr>
  </w:style>
  <w:style w:type="paragraph" w:customStyle="1" w:styleId="207">
    <w:name w:val="et6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8">
    <w:name w:val="纯文本1"/>
    <w:basedOn w:val="1"/>
    <w:uiPriority w:val="0"/>
    <w:pPr>
      <w:autoSpaceDE/>
      <w:autoSpaceDN/>
      <w:adjustRightInd/>
      <w:spacing w:beforeLines="50" w:afterLines="50" w:line="400" w:lineRule="exact"/>
    </w:pPr>
    <w:rPr>
      <w:rFonts w:ascii="宋体" w:hAnsi="Courier New"/>
      <w:color w:val="auto"/>
      <w:sz w:val="24"/>
      <w:szCs w:val="24"/>
    </w:rPr>
  </w:style>
  <w:style w:type="paragraph" w:customStyle="1" w:styleId="209">
    <w:name w:val="xl6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b/>
      <w:bCs/>
      <w:color w:val="auto"/>
      <w:sz w:val="24"/>
    </w:rPr>
  </w:style>
  <w:style w:type="paragraph" w:customStyle="1" w:styleId="210">
    <w:name w:val=" Char Char Char Char Char Char"/>
    <w:basedOn w:val="1"/>
    <w:uiPriority w:val="0"/>
    <w:pPr>
      <w:widowControl/>
      <w:autoSpaceDE/>
      <w:autoSpaceDN/>
      <w:adjustRightInd/>
      <w:spacing w:after="160" w:line="240" w:lineRule="exact"/>
      <w:jc w:val="left"/>
    </w:pPr>
    <w:rPr>
      <w:color w:val="auto"/>
      <w:kern w:val="2"/>
      <w:szCs w:val="24"/>
    </w:rPr>
  </w:style>
  <w:style w:type="paragraph" w:customStyle="1" w:styleId="211">
    <w:name w:val="et1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2">
    <w:name w:val="et1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3">
    <w:name w:val="xl27"/>
    <w:basedOn w:val="1"/>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customStyle="1" w:styleId="214">
    <w:name w:val="et8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5">
    <w:name w:val="标准正文"/>
    <w:basedOn w:val="1"/>
    <w:uiPriority w:val="0"/>
    <w:pPr>
      <w:autoSpaceDE/>
      <w:autoSpaceDN/>
      <w:adjustRightInd/>
      <w:spacing w:after="156" w:afterLines="50"/>
      <w:ind w:firstLine="200" w:firstLineChars="200"/>
    </w:pPr>
    <w:rPr>
      <w:color w:val="auto"/>
      <w:kern w:val="2"/>
      <w:sz w:val="24"/>
    </w:rPr>
  </w:style>
  <w:style w:type="paragraph" w:customStyle="1" w:styleId="216">
    <w:name w:val="et5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7">
    <w:name w:val="Char Char Char Char Char Char Char"/>
    <w:basedOn w:val="1"/>
    <w:uiPriority w:val="0"/>
    <w:pPr>
      <w:autoSpaceDE/>
      <w:autoSpaceDN/>
      <w:adjustRightInd/>
      <w:spacing w:line="600" w:lineRule="exact"/>
      <w:jc w:val="center"/>
    </w:pPr>
    <w:rPr>
      <w:rFonts w:hAnsi="宋体"/>
      <w:b/>
      <w:bCs/>
      <w:color w:val="auto"/>
      <w:kern w:val="2"/>
      <w:sz w:val="32"/>
      <w:szCs w:val="24"/>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219">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0">
    <w:name w:val="et4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21">
    <w:name w:val="标题1"/>
    <w:basedOn w:val="1"/>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222">
    <w:name w:val="样式4"/>
    <w:basedOn w:val="2"/>
    <w:uiPriority w:val="0"/>
    <w:pPr>
      <w:autoSpaceDE/>
      <w:autoSpaceDN/>
      <w:adjustRightInd/>
      <w:spacing w:line="480" w:lineRule="auto"/>
    </w:pPr>
    <w:rPr>
      <w:bCs/>
      <w:color w:val="auto"/>
      <w:sz w:val="32"/>
      <w:szCs w:val="44"/>
    </w:rPr>
  </w:style>
  <w:style w:type="paragraph" w:customStyle="1" w:styleId="223">
    <w:name w:val="xl92"/>
    <w:basedOn w:val="1"/>
    <w:uiPriority w:val="0"/>
    <w:pPr>
      <w:widowControl/>
      <w:autoSpaceDE/>
      <w:autoSpaceDN/>
      <w:adjustRightInd/>
      <w:spacing w:before="100" w:beforeAutospacing="1" w:after="100" w:afterAutospacing="1" w:line="360" w:lineRule="auto"/>
      <w:jc w:val="left"/>
    </w:pPr>
    <w:rPr>
      <w:rFonts w:ascii="宋体" w:hAnsi="宋体" w:cs="宋体"/>
      <w:color w:val="FF0000"/>
      <w:sz w:val="20"/>
      <w:szCs w:val="20"/>
    </w:rPr>
  </w:style>
  <w:style w:type="paragraph" w:customStyle="1" w:styleId="224">
    <w:name w:val="正文缩进2"/>
    <w:basedOn w:val="1"/>
    <w:uiPriority w:val="0"/>
    <w:pPr>
      <w:autoSpaceDE/>
      <w:autoSpaceDN/>
      <w:adjustRightInd/>
      <w:ind w:firstLine="420"/>
    </w:pPr>
    <w:rPr>
      <w:rFonts w:cs="黑体"/>
      <w:color w:val="auto"/>
      <w:kern w:val="2"/>
      <w:szCs w:val="20"/>
      <w:lang w:val="zh-CN"/>
    </w:rPr>
  </w:style>
  <w:style w:type="paragraph" w:customStyle="1" w:styleId="225">
    <w:name w:val=" Char1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226">
    <w:name w:val="p23"/>
    <w:basedOn w:val="1"/>
    <w:uiPriority w:val="0"/>
    <w:pPr>
      <w:widowControl/>
      <w:pBdr>
        <w:bottom w:val="single" w:color="000000" w:sz="6" w:space="1"/>
      </w:pBdr>
      <w:autoSpaceDE/>
      <w:autoSpaceDN/>
      <w:adjustRightInd/>
      <w:jc w:val="center"/>
    </w:pPr>
    <w:rPr>
      <w:color w:val="auto"/>
      <w:sz w:val="18"/>
      <w:szCs w:val="18"/>
    </w:rPr>
  </w:style>
  <w:style w:type="paragraph" w:customStyle="1" w:styleId="227">
    <w:name w:val="et2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28">
    <w:name w:val="et2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29">
    <w:name w:val="Char Char1"/>
    <w:basedOn w:val="1"/>
    <w:qFormat/>
    <w:uiPriority w:val="0"/>
    <w:pPr>
      <w:widowControl/>
      <w:autoSpaceDE/>
      <w:autoSpaceDN/>
      <w:spacing w:after="160" w:line="240" w:lineRule="exact"/>
      <w:jc w:val="left"/>
    </w:pPr>
    <w:rPr>
      <w:rFonts w:eastAsia="仿宋_GB2312"/>
      <w:color w:val="auto"/>
      <w:kern w:val="2"/>
      <w:sz w:val="28"/>
      <w:szCs w:val="24"/>
    </w:rPr>
  </w:style>
  <w:style w:type="paragraph" w:customStyle="1" w:styleId="230">
    <w:name w:val="font10"/>
    <w:basedOn w:val="1"/>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231">
    <w:name w:val="et2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32">
    <w:name w:val="et2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33">
    <w:name w:val="Char1"/>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34">
    <w:name w:val="Char Char Char Char1"/>
    <w:basedOn w:val="1"/>
    <w:uiPriority w:val="0"/>
    <w:pPr>
      <w:autoSpaceDE/>
      <w:autoSpaceDN/>
      <w:adjustRightInd/>
    </w:pPr>
    <w:rPr>
      <w:rFonts w:ascii="Tahoma" w:hAnsi="Tahoma"/>
      <w:color w:val="auto"/>
      <w:kern w:val="2"/>
      <w:sz w:val="24"/>
      <w:szCs w:val="20"/>
    </w:rPr>
  </w:style>
  <w:style w:type="paragraph" w:customStyle="1" w:styleId="235">
    <w:name w:val="Proposals body"/>
    <w:basedOn w:val="1"/>
    <w:next w:val="1"/>
    <w:uiPriority w:val="0"/>
    <w:pPr>
      <w:widowControl/>
      <w:autoSpaceDE/>
      <w:autoSpaceDN/>
      <w:adjustRightInd/>
      <w:spacing w:line="360" w:lineRule="auto"/>
      <w:jc w:val="left"/>
    </w:pPr>
    <w:rPr>
      <w:rFonts w:ascii="宋体"/>
      <w:snapToGrid w:val="0"/>
      <w:sz w:val="24"/>
      <w:szCs w:val="20"/>
    </w:rPr>
  </w:style>
  <w:style w:type="paragraph" w:customStyle="1" w:styleId="236">
    <w:name w:val="font9"/>
    <w:basedOn w:val="1"/>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237">
    <w:name w:val="样式 样式 样式 小四 左 首行缩进:  2 字符 + 首行缩进:  2 字符 Char + 右  0 字符1"/>
    <w:basedOn w:val="1"/>
    <w:uiPriority w:val="0"/>
    <w:pPr>
      <w:autoSpaceDE/>
      <w:autoSpaceDN/>
      <w:spacing w:line="360" w:lineRule="auto"/>
      <w:ind w:firstLine="200" w:firstLineChars="200"/>
      <w:jc w:val="left"/>
      <w:textAlignment w:val="baseline"/>
    </w:pPr>
    <w:rPr>
      <w:color w:val="auto"/>
      <w:kern w:val="2"/>
      <w:sz w:val="24"/>
      <w:szCs w:val="20"/>
    </w:rPr>
  </w:style>
  <w:style w:type="paragraph" w:customStyle="1" w:styleId="238">
    <w:name w:val="部分1"/>
    <w:basedOn w:val="1"/>
    <w:uiPriority w:val="0"/>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239">
    <w:name w:val="默认段落字体 Para Char Char Char Char"/>
    <w:basedOn w:val="1"/>
    <w:uiPriority w:val="0"/>
    <w:pPr>
      <w:autoSpaceDE/>
      <w:autoSpaceDN/>
      <w:adjustRightInd/>
      <w:spacing w:line="360" w:lineRule="auto"/>
    </w:pPr>
    <w:rPr>
      <w:color w:val="auto"/>
      <w:kern w:val="2"/>
      <w:sz w:val="24"/>
      <w:szCs w:val="20"/>
    </w:rPr>
  </w:style>
  <w:style w:type="paragraph" w:customStyle="1" w:styleId="2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41">
    <w:name w:val="et3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2">
    <w:name w:val="et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3">
    <w:name w:val="et4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4">
    <w:name w:val="et4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5">
    <w:name w:val="et3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6">
    <w:name w:val="中等深浅网格 21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247">
    <w:name w:val="Pa3"/>
    <w:basedOn w:val="1"/>
    <w:next w:val="1"/>
    <w:uiPriority w:val="99"/>
    <w:pPr>
      <w:widowControl/>
      <w:spacing w:line="141" w:lineRule="atLeast"/>
      <w:jc w:val="left"/>
    </w:pPr>
    <w:rPr>
      <w:rFonts w:ascii="Univers 57 Condensed" w:eastAsia="Univers 57 Condensed"/>
      <w:color w:val="auto"/>
      <w:sz w:val="24"/>
      <w:szCs w:val="24"/>
    </w:rPr>
  </w:style>
  <w:style w:type="paragraph" w:customStyle="1" w:styleId="248">
    <w:name w:val="et3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9">
    <w:name w:val="p16"/>
    <w:basedOn w:val="1"/>
    <w:uiPriority w:val="0"/>
    <w:pPr>
      <w:widowControl/>
      <w:autoSpaceDE/>
      <w:autoSpaceDN/>
      <w:adjustRightInd/>
    </w:pPr>
    <w:rPr>
      <w:color w:val="auto"/>
      <w:sz w:val="24"/>
      <w:szCs w:val="24"/>
    </w:rPr>
  </w:style>
  <w:style w:type="paragraph" w:customStyle="1" w:styleId="250">
    <w:name w:val="xl8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251">
    <w:name w:val="xl9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pPr>
    <w:rPr>
      <w:rFonts w:ascii="宋体" w:hAnsi="宋体" w:cs="宋体"/>
      <w:color w:val="FF0000"/>
      <w:sz w:val="20"/>
      <w:szCs w:val="20"/>
    </w:rPr>
  </w:style>
  <w:style w:type="paragraph" w:customStyle="1" w:styleId="252">
    <w:name w:val="et3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53">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left"/>
    </w:pPr>
    <w:rPr>
      <w:rFonts w:ascii="黑体" w:hAnsi="Courier New" w:eastAsia="黑体"/>
      <w:color w:val="auto"/>
      <w:sz w:val="20"/>
      <w:szCs w:val="20"/>
    </w:rPr>
  </w:style>
  <w:style w:type="paragraph" w:customStyle="1" w:styleId="254">
    <w:name w:val=" Char Char2"/>
    <w:basedOn w:val="1"/>
    <w:uiPriority w:val="0"/>
    <w:pPr>
      <w:autoSpaceDE/>
      <w:autoSpaceDN/>
      <w:adjustRightInd/>
      <w:spacing w:line="360" w:lineRule="auto"/>
    </w:pPr>
    <w:rPr>
      <w:rFonts w:ascii="Tahoma" w:hAnsi="Tahoma"/>
      <w:color w:val="auto"/>
      <w:kern w:val="2"/>
      <w:sz w:val="24"/>
      <w:szCs w:val="20"/>
    </w:rPr>
  </w:style>
  <w:style w:type="paragraph" w:customStyle="1" w:styleId="255">
    <w:name w:val="正文缩进1"/>
    <w:basedOn w:val="1"/>
    <w:uiPriority w:val="0"/>
    <w:pPr>
      <w:autoSpaceDE/>
      <w:autoSpaceDN/>
      <w:adjustRightInd/>
      <w:ind w:firstLine="420" w:firstLineChars="200"/>
    </w:pPr>
    <w:rPr>
      <w:color w:val="auto"/>
      <w:kern w:val="2"/>
      <w:szCs w:val="24"/>
    </w:rPr>
  </w:style>
  <w:style w:type="paragraph" w:customStyle="1" w:styleId="256">
    <w:name w:val="et6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57">
    <w:name w:val="et5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58">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59">
    <w:name w:val="Char"/>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60">
    <w:name w:val="et7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1">
    <w:name w:val="et2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2">
    <w:name w:val="Char Char Char Char Char Char Char Char Char Char Char Char Char Char Char Char"/>
    <w:basedOn w:val="1"/>
    <w:uiPriority w:val="0"/>
    <w:pPr>
      <w:tabs>
        <w:tab w:val="left" w:pos="360"/>
      </w:tabs>
      <w:autoSpaceDE/>
      <w:autoSpaceDN/>
      <w:adjustRightInd/>
    </w:pPr>
    <w:rPr>
      <w:color w:val="auto"/>
      <w:kern w:val="2"/>
      <w:szCs w:val="24"/>
    </w:rPr>
  </w:style>
  <w:style w:type="paragraph" w:customStyle="1" w:styleId="263">
    <w:name w:val=" Char Char Char Char Char Char Char Char"/>
    <w:basedOn w:val="1"/>
    <w:uiPriority w:val="0"/>
    <w:pPr>
      <w:tabs>
        <w:tab w:val="left" w:pos="360"/>
      </w:tabs>
      <w:autoSpaceDE/>
      <w:autoSpaceDN/>
      <w:adjustRightInd/>
      <w:spacing w:line="360" w:lineRule="auto"/>
    </w:pPr>
    <w:rPr>
      <w:color w:val="auto"/>
      <w:kern w:val="2"/>
      <w:sz w:val="24"/>
      <w:szCs w:val="24"/>
    </w:rPr>
  </w:style>
  <w:style w:type="paragraph" w:customStyle="1" w:styleId="264">
    <w:name w:val="带上框线页脚"/>
    <w:basedOn w:val="1"/>
    <w:uiPriority w:val="0"/>
    <w:pPr>
      <w:widowControl/>
      <w:pBdr>
        <w:top w:val="single" w:color="auto" w:sz="4" w:space="1"/>
      </w:pBdr>
      <w:autoSpaceDE/>
      <w:autoSpaceDN/>
      <w:adjustRightInd/>
      <w:spacing w:after="156" w:afterLines="50" w:line="360" w:lineRule="auto"/>
      <w:jc w:val="left"/>
    </w:pPr>
    <w:rPr>
      <w:color w:val="auto"/>
      <w:sz w:val="18"/>
      <w:szCs w:val="20"/>
    </w:rPr>
  </w:style>
  <w:style w:type="paragraph" w:customStyle="1" w:styleId="265">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66">
    <w:name w:val="et5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7">
    <w:name w:val="et2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8">
    <w:name w:val="flName"/>
    <w:basedOn w:val="1"/>
    <w:uiPriority w:val="0"/>
    <w:pPr>
      <w:autoSpaceDE/>
      <w:autoSpaceDN/>
      <w:spacing w:before="320" w:after="160" w:line="360" w:lineRule="atLeast"/>
      <w:ind w:firstLineChars="200"/>
      <w:jc w:val="center"/>
    </w:pPr>
    <w:rPr>
      <w:rFonts w:ascii="Arial" w:eastAsia="黑体"/>
      <w:color w:val="auto"/>
      <w:sz w:val="32"/>
      <w:szCs w:val="24"/>
    </w:rPr>
  </w:style>
  <w:style w:type="paragraph" w:customStyle="1" w:styleId="269">
    <w:name w:val="Section #"/>
    <w:next w:val="1"/>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270">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0000FF"/>
      <w:sz w:val="24"/>
    </w:rPr>
  </w:style>
  <w:style w:type="paragraph" w:customStyle="1" w:styleId="271">
    <w:name w:val="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272">
    <w:name w:val="et6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3">
    <w:name w:val="et6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4">
    <w:name w:val="et7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5">
    <w:name w:val="正文 New New New New New New"/>
    <w:uiPriority w:val="0"/>
    <w:pPr>
      <w:widowControl w:val="0"/>
      <w:jc w:val="both"/>
    </w:pPr>
    <w:rPr>
      <w:rFonts w:ascii="Times New Roman" w:hAnsi="Times New Roman" w:eastAsia="宋体" w:cs="Times New Roman"/>
      <w:lang w:val="en-US" w:eastAsia="zh-CN" w:bidi="ar-SA"/>
    </w:rPr>
  </w:style>
  <w:style w:type="paragraph" w:customStyle="1" w:styleId="276">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277">
    <w:name w:val="et1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8">
    <w:name w:val="正文2"/>
    <w:basedOn w:val="1"/>
    <w:uiPriority w:val="0"/>
    <w:pPr>
      <w:autoSpaceDE/>
      <w:autoSpaceDN/>
      <w:adjustRightInd/>
      <w:spacing w:before="156" w:line="360" w:lineRule="auto"/>
      <w:ind w:firstLine="510" w:firstLineChars="200"/>
    </w:pPr>
    <w:rPr>
      <w:color w:val="auto"/>
      <w:kern w:val="2"/>
      <w:sz w:val="24"/>
      <w:szCs w:val="20"/>
    </w:rPr>
  </w:style>
  <w:style w:type="paragraph" w:customStyle="1" w:styleId="279">
    <w:name w:val="中等深浅网格 211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280">
    <w:name w:val="xl75"/>
    <w:basedOn w:val="1"/>
    <w:qFormat/>
    <w:uiPriority w:val="0"/>
    <w:pPr>
      <w:widowControl/>
      <w:autoSpaceDE/>
      <w:autoSpaceDN/>
      <w:adjustRightInd/>
      <w:spacing w:before="100" w:beforeAutospacing="1" w:after="100" w:afterAutospacing="1" w:line="360" w:lineRule="auto"/>
      <w:jc w:val="center"/>
      <w:textAlignment w:val="center"/>
    </w:pPr>
    <w:rPr>
      <w:rFonts w:ascii="宋体" w:hAnsi="宋体" w:cs="宋体"/>
      <w:b/>
      <w:bCs/>
      <w:color w:val="auto"/>
      <w:sz w:val="24"/>
    </w:rPr>
  </w:style>
  <w:style w:type="paragraph" w:customStyle="1" w:styleId="281">
    <w:name w:val="xl30"/>
    <w:basedOn w:val="1"/>
    <w:uiPriority w:val="0"/>
    <w:pPr>
      <w:widowControl/>
      <w:pBdr>
        <w:top w:val="single" w:color="auto" w:sz="4" w:space="0"/>
        <w:bottom w:val="single" w:color="auto" w:sz="4" w:space="0"/>
      </w:pBdr>
      <w:autoSpaceDE/>
      <w:autoSpaceDN/>
      <w:adjustRightInd/>
      <w:spacing w:before="100" w:beforeAutospacing="1" w:after="100" w:afterAutospacing="1" w:line="360" w:lineRule="auto"/>
      <w:jc w:val="center"/>
    </w:pPr>
    <w:rPr>
      <w:rFonts w:ascii="Comic Sans MS" w:hAnsi="Comic Sans MS" w:cs="宋体"/>
      <w:color w:val="auto"/>
      <w:sz w:val="20"/>
      <w:szCs w:val="20"/>
    </w:rPr>
  </w:style>
  <w:style w:type="paragraph" w:customStyle="1" w:styleId="282">
    <w:name w:val="p1"/>
    <w:basedOn w:val="1"/>
    <w:uiPriority w:val="0"/>
    <w:pPr>
      <w:autoSpaceDE/>
      <w:autoSpaceDN/>
      <w:adjustRightInd/>
      <w:spacing w:line="380" w:lineRule="atLeast"/>
      <w:jc w:val="left"/>
    </w:pPr>
    <w:rPr>
      <w:rFonts w:ascii="Helvetica Neue" w:hAnsi="Helvetica Neue" w:eastAsia="Helvetica Neue"/>
      <w:sz w:val="26"/>
      <w:szCs w:val="26"/>
    </w:rPr>
  </w:style>
  <w:style w:type="paragraph" w:customStyle="1" w:styleId="283">
    <w:name w:val="et3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4">
    <w:name w:val="p21"/>
    <w:basedOn w:val="1"/>
    <w:uiPriority w:val="0"/>
    <w:pPr>
      <w:widowControl/>
      <w:autoSpaceDE/>
      <w:autoSpaceDN/>
      <w:adjustRightInd/>
      <w:jc w:val="left"/>
    </w:pPr>
    <w:rPr>
      <w:color w:val="auto"/>
    </w:rPr>
  </w:style>
  <w:style w:type="paragraph" w:customStyle="1" w:styleId="285">
    <w:name w:val="xl7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286">
    <w:name w:val="文件标题"/>
    <w:basedOn w:val="1"/>
    <w:uiPriority w:val="0"/>
    <w:pPr>
      <w:spacing w:after="240" w:line="360" w:lineRule="auto"/>
      <w:jc w:val="center"/>
    </w:pPr>
    <w:rPr>
      <w:rFonts w:ascii="Arial Black" w:hAnsi="Arial Black"/>
      <w:color w:val="auto"/>
      <w:sz w:val="48"/>
      <w:szCs w:val="20"/>
    </w:rPr>
  </w:style>
  <w:style w:type="paragraph" w:customStyle="1" w:styleId="287">
    <w:name w:val="xl38"/>
    <w:basedOn w:val="1"/>
    <w:uiPriority w:val="0"/>
    <w:pPr>
      <w:widowControl/>
      <w:pBdr>
        <w:left w:val="single" w:color="auto" w:sz="4" w:space="0"/>
        <w:right w:val="single" w:color="auto" w:sz="4" w:space="0"/>
      </w:pBdr>
      <w:autoSpaceDE/>
      <w:autoSpaceDN/>
      <w:adjustRightInd/>
      <w:spacing w:before="100" w:beforeAutospacing="1" w:after="100" w:afterAutospacing="1" w:line="360" w:lineRule="auto"/>
      <w:jc w:val="center"/>
    </w:pPr>
    <w:rPr>
      <w:rFonts w:hint="eastAsia" w:ascii="宋体" w:hAnsi="宋体"/>
      <w:color w:val="auto"/>
      <w:sz w:val="24"/>
      <w:szCs w:val="24"/>
    </w:rPr>
  </w:style>
  <w:style w:type="paragraph" w:customStyle="1" w:styleId="288">
    <w:name w:val="et6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9">
    <w:name w:val="p22"/>
    <w:basedOn w:val="1"/>
    <w:uiPriority w:val="0"/>
    <w:pPr>
      <w:widowControl/>
      <w:autoSpaceDE/>
      <w:autoSpaceDN/>
      <w:adjustRightInd/>
      <w:jc w:val="left"/>
    </w:pPr>
    <w:rPr>
      <w:color w:val="auto"/>
      <w:sz w:val="18"/>
      <w:szCs w:val="18"/>
    </w:rPr>
  </w:style>
  <w:style w:type="paragraph" w:customStyle="1" w:styleId="290">
    <w:name w:val="首缩"/>
    <w:basedOn w:val="1"/>
    <w:uiPriority w:val="0"/>
    <w:pPr>
      <w:autoSpaceDE/>
      <w:autoSpaceDN/>
      <w:spacing w:line="312" w:lineRule="atLeast"/>
      <w:ind w:firstLine="454"/>
      <w:textAlignment w:val="baseline"/>
    </w:pPr>
    <w:rPr>
      <w:color w:val="auto"/>
      <w:szCs w:val="20"/>
    </w:rPr>
  </w:style>
  <w:style w:type="paragraph" w:customStyle="1" w:styleId="291">
    <w:name w:val="et2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2">
    <w:name w:val="et1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3">
    <w:name w:val="中等深浅网格 2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294">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styleId="2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列表内容"/>
    <w:basedOn w:val="1"/>
    <w:next w:val="1"/>
    <w:uiPriority w:val="0"/>
    <w:pPr>
      <w:widowControl/>
      <w:numPr>
        <w:ilvl w:val="0"/>
        <w:numId w:val="1"/>
      </w:numPr>
      <w:autoSpaceDE/>
      <w:autoSpaceDN/>
      <w:adjustRightInd/>
      <w:jc w:val="left"/>
    </w:pPr>
    <w:rPr>
      <w:color w:val="auto"/>
      <w:sz w:val="18"/>
      <w:szCs w:val="20"/>
    </w:rPr>
  </w:style>
  <w:style w:type="paragraph" w:customStyle="1" w:styleId="297">
    <w:name w:val="xl83"/>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98">
    <w:name w:val="font5"/>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22"/>
      <w:szCs w:val="22"/>
    </w:rPr>
  </w:style>
  <w:style w:type="paragraph" w:customStyle="1" w:styleId="299">
    <w:name w:val=" Char"/>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30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et7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2">
    <w:name w:val="et3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3">
    <w:name w:val="列表格式"/>
    <w:basedOn w:val="13"/>
    <w:uiPriority w:val="0"/>
    <w:pPr>
      <w:numPr>
        <w:ilvl w:val="0"/>
        <w:numId w:val="0"/>
      </w:numPr>
      <w:tabs>
        <w:tab w:val="clear" w:pos="780"/>
        <w:tab w:val="clear" w:pos="840"/>
      </w:tabs>
      <w:autoSpaceDE/>
      <w:autoSpaceDN/>
      <w:adjustRightInd/>
      <w:spacing w:line="360" w:lineRule="auto"/>
      <w:contextualSpacing/>
      <w:jc w:val="left"/>
    </w:pPr>
    <w:rPr>
      <w:color w:val="auto"/>
      <w:kern w:val="2"/>
      <w:sz w:val="24"/>
      <w:szCs w:val="24"/>
    </w:rPr>
  </w:style>
  <w:style w:type="paragraph" w:customStyle="1" w:styleId="304">
    <w:name w:val=" 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05">
    <w:name w:val="Char1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06">
    <w:name w:val="et4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7">
    <w:name w:val="et5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8">
    <w:name w:val="et4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9">
    <w:name w:val="p20"/>
    <w:basedOn w:val="1"/>
    <w:uiPriority w:val="0"/>
    <w:pPr>
      <w:widowControl/>
      <w:autoSpaceDE/>
      <w:autoSpaceDN/>
      <w:adjustRightInd/>
      <w:ind w:left="425" w:firstLine="420"/>
    </w:pPr>
    <w:rPr>
      <w:rFonts w:ascii="Calibri" w:hAnsi="Calibri" w:cs="宋体"/>
      <w:color w:val="auto"/>
    </w:rPr>
  </w:style>
  <w:style w:type="paragraph" w:customStyle="1" w:styleId="310">
    <w:name w:val="et5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11">
    <w:name w:val="Char Char Char Char Char Char Char Char Char Char Char Char Char Char Char Char Char Char Char Char Char Char Char Char Char Char Char Char"/>
    <w:basedOn w:val="1"/>
    <w:uiPriority w:val="0"/>
    <w:pPr>
      <w:tabs>
        <w:tab w:val="left" w:pos="360"/>
      </w:tabs>
      <w:autoSpaceDE/>
      <w:autoSpaceDN/>
      <w:adjustRightInd/>
    </w:pPr>
    <w:rPr>
      <w:color w:val="auto"/>
      <w:kern w:val="2"/>
      <w:sz w:val="24"/>
      <w:szCs w:val="24"/>
    </w:rPr>
  </w:style>
  <w:style w:type="paragraph" w:customStyle="1" w:styleId="312">
    <w:name w:val="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13">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314">
    <w:name w:val="xl9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FF0000"/>
      <w:sz w:val="20"/>
      <w:szCs w:val="20"/>
    </w:rPr>
  </w:style>
  <w:style w:type="paragraph" w:customStyle="1" w:styleId="315">
    <w:name w:val="样式 正文缩进首行缩进两字 + 小四 首行缩进:  2 字符"/>
    <w:uiPriority w:val="0"/>
    <w:pPr>
      <w:spacing w:line="360" w:lineRule="auto"/>
      <w:ind w:firstLine="200" w:firstLineChars="200"/>
    </w:pPr>
    <w:rPr>
      <w:rFonts w:ascii="Times New Roman" w:hAnsi="Times New Roman" w:eastAsia="宋体" w:cs="宋体"/>
      <w:sz w:val="24"/>
    </w:rPr>
  </w:style>
  <w:style w:type="paragraph" w:customStyle="1" w:styleId="316">
    <w:name w:val="Char Char"/>
    <w:basedOn w:val="1"/>
    <w:uiPriority w:val="0"/>
    <w:pPr>
      <w:autoSpaceDE/>
      <w:autoSpaceDN/>
      <w:adjustRightInd/>
      <w:spacing w:line="360" w:lineRule="auto"/>
    </w:pPr>
    <w:rPr>
      <w:rFonts w:ascii="Tahoma" w:hAnsi="Tahoma"/>
      <w:color w:val="auto"/>
      <w:kern w:val="2"/>
      <w:sz w:val="24"/>
      <w:szCs w:val="20"/>
    </w:rPr>
  </w:style>
  <w:style w:type="paragraph" w:customStyle="1" w:styleId="317">
    <w:name w:val="列出段落11"/>
    <w:basedOn w:val="1"/>
    <w:uiPriority w:val="99"/>
    <w:pPr>
      <w:autoSpaceDE/>
      <w:autoSpaceDN/>
      <w:adjustRightInd/>
      <w:ind w:firstLine="420" w:firstLineChars="200"/>
    </w:pPr>
    <w:rPr>
      <w:color w:val="auto"/>
      <w:kern w:val="2"/>
      <w:szCs w:val="24"/>
    </w:rPr>
  </w:style>
  <w:style w:type="paragraph" w:customStyle="1" w:styleId="318">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319">
    <w:name w:val="样式1"/>
    <w:basedOn w:val="1"/>
    <w:uiPriority w:val="0"/>
    <w:pPr>
      <w:autoSpaceDE/>
      <w:autoSpaceDN/>
      <w:adjustRightInd/>
      <w:spacing w:line="360" w:lineRule="auto"/>
    </w:pPr>
    <w:rPr>
      <w:rFonts w:ascii="宋体" w:hAnsi="宋体"/>
      <w:bCs/>
      <w:color w:val="auto"/>
      <w:kern w:val="2"/>
      <w:sz w:val="24"/>
      <w:szCs w:val="20"/>
    </w:rPr>
  </w:style>
  <w:style w:type="paragraph" w:customStyle="1" w:styleId="320">
    <w:name w:val="Char Char1 Char Char Char Char1 Char Char Char"/>
    <w:basedOn w:val="1"/>
    <w:uiPriority w:val="0"/>
    <w:pPr>
      <w:autoSpaceDE/>
      <w:autoSpaceDN/>
      <w:adjustRightInd/>
      <w:spacing w:line="360" w:lineRule="auto"/>
    </w:pPr>
    <w:rPr>
      <w:color w:val="auto"/>
      <w:kern w:val="2"/>
      <w:sz w:val="24"/>
      <w:szCs w:val="20"/>
    </w:rPr>
  </w:style>
  <w:style w:type="paragraph" w:customStyle="1" w:styleId="32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322">
    <w:name w:val="彩色列表 - 着色 11"/>
    <w:basedOn w:val="1"/>
    <w:qFormat/>
    <w:uiPriority w:val="0"/>
    <w:pPr>
      <w:autoSpaceDE/>
      <w:autoSpaceDN/>
      <w:adjustRightInd/>
      <w:ind w:firstLine="420" w:firstLineChars="200"/>
    </w:pPr>
    <w:rPr>
      <w:rFonts w:ascii="Calibri" w:hAnsi="Calibri"/>
      <w:color w:val="auto"/>
      <w:kern w:val="2"/>
      <w:szCs w:val="22"/>
    </w:rPr>
  </w:style>
  <w:style w:type="paragraph" w:customStyle="1" w:styleId="323">
    <w:name w:val="标准中文版式_正文"/>
    <w:basedOn w:val="1"/>
    <w:uiPriority w:val="0"/>
    <w:pPr>
      <w:autoSpaceDE/>
      <w:autoSpaceDN/>
      <w:adjustRightInd/>
      <w:spacing w:before="30" w:line="360" w:lineRule="auto"/>
      <w:ind w:firstLineChars="200"/>
    </w:pPr>
    <w:rPr>
      <w:rFonts w:ascii="Arial" w:hAnsi="Arial"/>
      <w:color w:val="auto"/>
      <w:kern w:val="2"/>
      <w:sz w:val="24"/>
      <w:szCs w:val="24"/>
    </w:rPr>
  </w:style>
  <w:style w:type="paragraph" w:customStyle="1" w:styleId="324">
    <w:name w:val="msonormal"/>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25">
    <w:name w:val="et6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6">
    <w:name w:val="et3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7">
    <w:name w:val="正文文字缩进"/>
    <w:basedOn w:val="1"/>
    <w:uiPriority w:val="0"/>
    <w:pPr>
      <w:widowControl/>
      <w:autoSpaceDE/>
      <w:autoSpaceDN/>
      <w:adjustRightInd/>
      <w:spacing w:line="748" w:lineRule="atLeast"/>
      <w:ind w:left="-521" w:firstLine="527"/>
      <w:textAlignment w:val="baseline"/>
    </w:pPr>
    <w:rPr>
      <w:rFonts w:ascii="Romantic" w:hAnsi="微软大黑体" w:cs="微软大黑体"/>
      <w:sz w:val="24"/>
      <w:szCs w:val="20"/>
      <w:u w:val="none" w:color="000000"/>
    </w:rPr>
  </w:style>
  <w:style w:type="paragraph" w:customStyle="1" w:styleId="328">
    <w:name w:val="_Style 1"/>
    <w:basedOn w:val="1"/>
    <w:uiPriority w:val="99"/>
    <w:pPr>
      <w:ind w:firstLine="420" w:firstLineChars="200"/>
    </w:pPr>
  </w:style>
  <w:style w:type="paragraph" w:customStyle="1" w:styleId="329">
    <w:name w:val="et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0">
    <w:name w:val="et5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1">
    <w:name w:val="xl9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textAlignment w:val="center"/>
    </w:pPr>
    <w:rPr>
      <w:rFonts w:ascii="宋体" w:hAnsi="宋体" w:cs="宋体"/>
      <w:color w:val="auto"/>
      <w:sz w:val="20"/>
      <w:szCs w:val="20"/>
    </w:rPr>
  </w:style>
  <w:style w:type="paragraph" w:customStyle="1" w:styleId="332">
    <w:name w:val="xl8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333">
    <w:name w:val="xl87"/>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334">
    <w:name w:val="et1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5">
    <w:name w:val="et6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6">
    <w:name w:val="font6"/>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337">
    <w:name w:val="et5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8">
    <w:name w:val="et6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9">
    <w:name w:val="p15"/>
    <w:basedOn w:val="1"/>
    <w:uiPriority w:val="0"/>
    <w:pPr>
      <w:widowControl/>
      <w:autoSpaceDE/>
      <w:autoSpaceDN/>
      <w:adjustRightInd/>
      <w:snapToGrid w:val="0"/>
    </w:pPr>
  </w:style>
  <w:style w:type="paragraph" w:customStyle="1" w:styleId="340">
    <w:name w:val="xl2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customStyle="1" w:styleId="341">
    <w:name w:val=" Char2"/>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342">
    <w:name w:val="正文1"/>
    <w:basedOn w:val="1"/>
    <w:uiPriority w:val="0"/>
    <w:pPr>
      <w:autoSpaceDE/>
      <w:autoSpaceDN/>
      <w:spacing w:line="360" w:lineRule="atLeast"/>
      <w:jc w:val="left"/>
      <w:textAlignment w:val="baseline"/>
    </w:pPr>
    <w:rPr>
      <w:rFonts w:eastAsia="楷体_GB2312"/>
      <w:color w:val="auto"/>
      <w:sz w:val="24"/>
      <w:szCs w:val="20"/>
    </w:rPr>
  </w:style>
  <w:style w:type="paragraph" w:customStyle="1" w:styleId="343">
    <w:name w:val="et3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44">
    <w:name w:val="xl85"/>
    <w:basedOn w:val="1"/>
    <w:uiPriority w:val="0"/>
    <w:pPr>
      <w:widowControl/>
      <w:shd w:val="clear" w:color="000000" w:fill="92D050"/>
      <w:autoSpaceDE/>
      <w:autoSpaceDN/>
      <w:adjustRightInd/>
      <w:spacing w:before="100" w:beforeAutospacing="1" w:after="100" w:afterAutospacing="1" w:line="360" w:lineRule="auto"/>
      <w:jc w:val="left"/>
    </w:pPr>
    <w:rPr>
      <w:rFonts w:ascii="宋体" w:hAnsi="宋体" w:cs="宋体"/>
      <w:color w:val="auto"/>
      <w:sz w:val="24"/>
      <w:szCs w:val="24"/>
    </w:rPr>
  </w:style>
  <w:style w:type="paragraph" w:customStyle="1" w:styleId="345">
    <w:name w:val="文档正文"/>
    <w:basedOn w:val="1"/>
    <w:uiPriority w:val="0"/>
    <w:pPr>
      <w:autoSpaceDE/>
      <w:autoSpaceDN/>
      <w:spacing w:line="480" w:lineRule="atLeast"/>
      <w:ind w:firstLine="567"/>
      <w:textAlignment w:val="baseline"/>
    </w:pPr>
    <w:rPr>
      <w:rFonts w:eastAsia="楷体_GB2312"/>
      <w:color w:val="auto"/>
      <w:sz w:val="28"/>
      <w:szCs w:val="20"/>
    </w:rPr>
  </w:style>
  <w:style w:type="paragraph" w:customStyle="1" w:styleId="346">
    <w:name w:val="Char19"/>
    <w:basedOn w:val="1"/>
    <w:uiPriority w:val="0"/>
    <w:pPr>
      <w:numPr>
        <w:ilvl w:val="0"/>
        <w:numId w:val="5"/>
      </w:numPr>
      <w:autoSpaceDE/>
      <w:autoSpaceDN/>
      <w:adjustRightInd/>
      <w:ind w:left="0" w:firstLine="0"/>
    </w:pPr>
    <w:rPr>
      <w:color w:val="auto"/>
      <w:kern w:val="2"/>
      <w:szCs w:val="20"/>
    </w:rPr>
  </w:style>
  <w:style w:type="paragraph" w:customStyle="1" w:styleId="347">
    <w:name w:val="et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48">
    <w:name w:val="我的标题5"/>
    <w:next w:val="1"/>
    <w:qFormat/>
    <w:uiPriority w:val="0"/>
    <w:pPr>
      <w:numPr>
        <w:ilvl w:val="4"/>
        <w:numId w:val="3"/>
      </w:numPr>
      <w:spacing w:beforeLines="50" w:afterLines="50" w:line="0" w:lineRule="atLeast"/>
      <w:outlineLvl w:val="4"/>
    </w:pPr>
    <w:rPr>
      <w:rFonts w:ascii="Arial" w:hAnsi="Arial" w:eastAsia="黑体" w:cs="Times New Roman"/>
      <w:b/>
      <w:kern w:val="2"/>
      <w:sz w:val="24"/>
      <w:szCs w:val="21"/>
      <w:lang w:val="en-US" w:eastAsia="zh-CN" w:bidi="ar-SA"/>
    </w:rPr>
  </w:style>
  <w:style w:type="paragraph" w:customStyle="1" w:styleId="349">
    <w:name w:val="Normal"/>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50">
    <w:name w:val=" Char Char2 Char Char"/>
    <w:basedOn w:val="1"/>
    <w:uiPriority w:val="0"/>
    <w:pPr>
      <w:autoSpaceDE/>
      <w:autoSpaceDN/>
      <w:adjustRightInd/>
      <w:spacing w:line="360" w:lineRule="auto"/>
    </w:pPr>
    <w:rPr>
      <w:rFonts w:ascii="Tahoma" w:hAnsi="Tahoma"/>
      <w:color w:val="auto"/>
      <w:kern w:val="2"/>
      <w:sz w:val="24"/>
      <w:szCs w:val="20"/>
    </w:rPr>
  </w:style>
  <w:style w:type="paragraph" w:customStyle="1" w:styleId="351">
    <w:name w:val=" Char Char Char Char Char Char Char"/>
    <w:basedOn w:val="1"/>
    <w:uiPriority w:val="0"/>
    <w:pPr>
      <w:tabs>
        <w:tab w:val="left" w:pos="432"/>
      </w:tabs>
      <w:autoSpaceDE/>
      <w:autoSpaceDN/>
      <w:adjustRightInd/>
      <w:spacing w:line="360" w:lineRule="auto"/>
      <w:ind w:left="432" w:hanging="432"/>
    </w:pPr>
    <w:rPr>
      <w:rFonts w:ascii="Tahoma" w:hAnsi="Tahoma"/>
      <w:color w:val="auto"/>
      <w:kern w:val="2"/>
      <w:sz w:val="24"/>
      <w:szCs w:val="20"/>
    </w:rPr>
  </w:style>
  <w:style w:type="paragraph" w:customStyle="1" w:styleId="352">
    <w:name w:val="et2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3">
    <w:name w:val="et7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4">
    <w:name w:val="我的标题3"/>
    <w:next w:val="1"/>
    <w:qFormat/>
    <w:uiPriority w:val="0"/>
    <w:pPr>
      <w:numPr>
        <w:ilvl w:val="2"/>
        <w:numId w:val="3"/>
      </w:numPr>
      <w:spacing w:beforeLines="50" w:afterLines="50" w:line="360" w:lineRule="auto"/>
      <w:outlineLvl w:val="2"/>
    </w:pPr>
    <w:rPr>
      <w:rFonts w:ascii="Arial" w:hAnsi="Arial" w:eastAsia="宋体" w:cs="Times New Roman"/>
      <w:b/>
      <w:kern w:val="2"/>
      <w:sz w:val="28"/>
      <w:szCs w:val="21"/>
      <w:lang w:val="en-US" w:eastAsia="zh-CN" w:bidi="ar-SA"/>
    </w:rPr>
  </w:style>
  <w:style w:type="paragraph" w:customStyle="1" w:styleId="355">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szCs w:val="24"/>
    </w:rPr>
  </w:style>
  <w:style w:type="paragraph" w:customStyle="1" w:styleId="356">
    <w:name w:val="默认段落字体 Para Char Char Char Char Char Char Char Char Char1 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57">
    <w:name w:val="et4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8">
    <w:name w:val="4级标题"/>
    <w:basedOn w:val="96"/>
    <w:qFormat/>
    <w:uiPriority w:val="0"/>
    <w:pPr>
      <w:keepLines/>
      <w:numPr>
        <w:ilvl w:val="3"/>
        <w:numId w:val="3"/>
      </w:numPr>
      <w:spacing w:line="360" w:lineRule="auto"/>
      <w:ind w:firstLine="0" w:firstLineChars="0"/>
      <w:contextualSpacing/>
      <w:jc w:val="left"/>
      <w:outlineLvl w:val="3"/>
    </w:pPr>
    <w:rPr>
      <w:rFonts w:ascii="黑体" w:hAnsi="黑体" w:eastAsia="黑体"/>
      <w:kern w:val="0"/>
      <w:sz w:val="24"/>
      <w:szCs w:val="24"/>
      <w:lang w:val="en-US" w:eastAsia="en-US" w:bidi="en-US"/>
    </w:rPr>
  </w:style>
  <w:style w:type="paragraph" w:customStyle="1" w:styleId="359">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360">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361">
    <w:name w:val="et4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2">
    <w:name w:val="et7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3">
    <w:name w:val="xl28"/>
    <w:basedOn w:val="1"/>
    <w:uiPriority w:val="0"/>
    <w:pPr>
      <w:widowControl/>
      <w:pBdr>
        <w:top w:val="single" w:color="auto" w:sz="4" w:space="0"/>
        <w:bottom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customStyle="1" w:styleId="364">
    <w:name w:val="正文（首行缩进2字符）"/>
    <w:basedOn w:val="1"/>
    <w:uiPriority w:val="99"/>
    <w:pPr>
      <w:autoSpaceDE/>
      <w:autoSpaceDN/>
      <w:adjustRightInd/>
      <w:ind w:firstLine="420"/>
    </w:pPr>
    <w:rPr>
      <w:rFonts w:ascii="Calibri" w:hAnsi="Calibri" w:cs="Calibri"/>
      <w:color w:val="auto"/>
      <w:sz w:val="20"/>
    </w:rPr>
  </w:style>
  <w:style w:type="paragraph" w:customStyle="1" w:styleId="365">
    <w:name w:val="et1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6">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sz w:val="24"/>
    </w:rPr>
  </w:style>
  <w:style w:type="paragraph" w:customStyle="1" w:styleId="368">
    <w:name w:val="xl86"/>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369">
    <w:name w:val="font8"/>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22"/>
      <w:szCs w:val="22"/>
    </w:rPr>
  </w:style>
  <w:style w:type="paragraph" w:customStyle="1" w:styleId="370">
    <w:name w:val="et4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71">
    <w:name w:val="正文文字3"/>
    <w:basedOn w:val="20"/>
    <w:uiPriority w:val="0"/>
    <w:pPr>
      <w:autoSpaceDE/>
      <w:autoSpaceDN/>
      <w:spacing w:after="0" w:line="360" w:lineRule="atLeast"/>
      <w:ind w:left="72" w:leftChars="30" w:right="72" w:rightChars="30"/>
      <w:textAlignment w:val="baseline"/>
    </w:pPr>
    <w:rPr>
      <w:color w:val="auto"/>
      <w:szCs w:val="20"/>
    </w:rPr>
  </w:style>
  <w:style w:type="paragraph" w:customStyle="1" w:styleId="372">
    <w:name w:val="表格内容1"/>
    <w:basedOn w:val="1"/>
    <w:uiPriority w:val="0"/>
    <w:pPr>
      <w:autoSpaceDE/>
      <w:autoSpaceDN/>
      <w:adjustRightInd/>
      <w:spacing w:line="360" w:lineRule="auto"/>
    </w:pPr>
    <w:rPr>
      <w:color w:val="auto"/>
      <w:kern w:val="2"/>
      <w:sz w:val="24"/>
      <w:szCs w:val="20"/>
    </w:rPr>
  </w:style>
  <w:style w:type="paragraph" w:customStyle="1" w:styleId="373">
    <w:name w:val="xl2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b/>
      <w:bCs/>
      <w:color w:val="auto"/>
      <w:sz w:val="20"/>
      <w:szCs w:val="20"/>
    </w:rPr>
  </w:style>
  <w:style w:type="paragraph" w:customStyle="1" w:styleId="374">
    <w:name w:val="排列"/>
    <w:basedOn w:val="1"/>
    <w:uiPriority w:val="0"/>
    <w:pPr>
      <w:autoSpaceDE/>
      <w:autoSpaceDN/>
      <w:adjustRightInd/>
      <w:spacing w:line="360" w:lineRule="auto"/>
      <w:jc w:val="center"/>
    </w:pPr>
    <w:rPr>
      <w:rFonts w:ascii="楷体_GB2312" w:hAnsi="Courier New" w:eastAsia="楷体_GB2312"/>
      <w:color w:val="auto"/>
      <w:kern w:val="2"/>
      <w:sz w:val="24"/>
      <w:szCs w:val="20"/>
    </w:rPr>
  </w:style>
  <w:style w:type="paragraph" w:customStyle="1" w:styleId="375">
    <w:name w:val="font7"/>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376">
    <w:name w:val="p19"/>
    <w:basedOn w:val="1"/>
    <w:uiPriority w:val="0"/>
    <w:pPr>
      <w:widowControl/>
      <w:autoSpaceDE/>
      <w:autoSpaceDN/>
      <w:adjustRightInd/>
      <w:spacing w:before="156" w:after="156" w:line="360" w:lineRule="auto"/>
      <w:ind w:firstLine="420"/>
    </w:pPr>
    <w:rPr>
      <w:color w:val="auto"/>
      <w:sz w:val="24"/>
      <w:szCs w:val="24"/>
    </w:rPr>
  </w:style>
  <w:style w:type="paragraph" w:customStyle="1" w:styleId="377">
    <w:name w:val="et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78">
    <w:name w:val="xl2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pPr>
    <w:rPr>
      <w:rFonts w:ascii="Comic Sans MS" w:hAnsi="Comic Sans MS" w:cs="宋体"/>
      <w:color w:val="auto"/>
      <w:sz w:val="20"/>
      <w:szCs w:val="20"/>
    </w:rPr>
  </w:style>
  <w:style w:type="paragraph" w:customStyle="1" w:styleId="379">
    <w:name w:val="列出段落2"/>
    <w:basedOn w:val="1"/>
    <w:qFormat/>
    <w:uiPriority w:val="34"/>
    <w:pPr>
      <w:autoSpaceDE/>
      <w:autoSpaceDN/>
      <w:adjustRightInd/>
      <w:ind w:firstLine="420" w:firstLineChars="200"/>
    </w:pPr>
    <w:rPr>
      <w:color w:val="auto"/>
      <w:kern w:val="2"/>
      <w:szCs w:val="24"/>
    </w:rPr>
  </w:style>
  <w:style w:type="paragraph" w:customStyle="1" w:styleId="380">
    <w:name w:val="et5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81">
    <w:name w:val="xl82"/>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382">
    <w:name w:val="p18"/>
    <w:basedOn w:val="1"/>
    <w:uiPriority w:val="0"/>
    <w:pPr>
      <w:widowControl/>
      <w:autoSpaceDE/>
      <w:autoSpaceDN/>
      <w:adjustRightInd/>
      <w:snapToGrid w:val="0"/>
      <w:jc w:val="left"/>
    </w:pPr>
    <w:rPr>
      <w:sz w:val="24"/>
      <w:szCs w:val="24"/>
    </w:rPr>
  </w:style>
  <w:style w:type="paragraph" w:customStyle="1" w:styleId="383">
    <w:name w:val="font12"/>
    <w:basedOn w:val="1"/>
    <w:uiPriority w:val="0"/>
    <w:pPr>
      <w:widowControl/>
      <w:autoSpaceDE/>
      <w:autoSpaceDN/>
      <w:adjustRightInd/>
      <w:spacing w:before="100" w:beforeAutospacing="1" w:after="100" w:afterAutospacing="1"/>
      <w:jc w:val="left"/>
    </w:pPr>
    <w:rPr>
      <w:rFonts w:ascii="Arial" w:hAnsi="Arial" w:cs="Arial"/>
      <w:sz w:val="20"/>
      <w:szCs w:val="20"/>
    </w:rPr>
  </w:style>
  <w:style w:type="paragraph" w:customStyle="1" w:styleId="384">
    <w:name w:val="我的标题2"/>
    <w:next w:val="1"/>
    <w:qFormat/>
    <w:uiPriority w:val="0"/>
    <w:pPr>
      <w:numPr>
        <w:ilvl w:val="1"/>
        <w:numId w:val="3"/>
      </w:numPr>
      <w:spacing w:beforeLines="50" w:afterLines="50" w:line="360" w:lineRule="auto"/>
      <w:outlineLvl w:val="1"/>
    </w:pPr>
    <w:rPr>
      <w:rFonts w:ascii="Arial" w:hAnsi="Arial" w:eastAsia="宋体" w:cs="Times New Roman"/>
      <w:b/>
      <w:kern w:val="2"/>
      <w:sz w:val="30"/>
      <w:szCs w:val="21"/>
      <w:lang w:val="en-US" w:eastAsia="zh-CN" w:bidi="ar-SA"/>
    </w:rPr>
  </w:style>
  <w:style w:type="paragraph" w:customStyle="1" w:styleId="385">
    <w:name w:val="Char Char Char Char Char Char Char Char"/>
    <w:basedOn w:val="1"/>
    <w:uiPriority w:val="0"/>
    <w:pPr>
      <w:tabs>
        <w:tab w:val="left" w:pos="360"/>
      </w:tabs>
      <w:autoSpaceDE/>
      <w:autoSpaceDN/>
      <w:adjustRightInd/>
      <w:spacing w:line="360" w:lineRule="auto"/>
    </w:pPr>
    <w:rPr>
      <w:color w:val="auto"/>
      <w:kern w:val="2"/>
      <w:sz w:val="24"/>
      <w:szCs w:val="24"/>
    </w:rPr>
  </w:style>
  <w:style w:type="paragraph" w:customStyle="1" w:styleId="386">
    <w:name w:val="_Style 2"/>
    <w:basedOn w:val="1"/>
    <w:qFormat/>
    <w:uiPriority w:val="0"/>
    <w:pPr>
      <w:autoSpaceDE/>
      <w:autoSpaceDN/>
      <w:adjustRightInd/>
      <w:ind w:firstLine="420" w:firstLineChars="200"/>
    </w:pPr>
    <w:rPr>
      <w:rFonts w:ascii="Calibri" w:hAnsi="Calibri"/>
      <w:color w:val="auto"/>
      <w:kern w:val="2"/>
      <w:szCs w:val="24"/>
    </w:rPr>
  </w:style>
  <w:style w:type="paragraph" w:customStyle="1" w:styleId="387">
    <w:name w:val="p17"/>
    <w:basedOn w:val="1"/>
    <w:uiPriority w:val="0"/>
    <w:pPr>
      <w:widowControl/>
      <w:autoSpaceDE/>
      <w:autoSpaceDN/>
      <w:adjustRightInd/>
      <w:ind w:left="2520"/>
    </w:pPr>
    <w:rPr>
      <w:color w:val="auto"/>
    </w:rPr>
  </w:style>
  <w:style w:type="paragraph" w:customStyle="1" w:styleId="388">
    <w:name w:val="et5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szCs w:val="24"/>
    </w:rPr>
  </w:style>
  <w:style w:type="paragraph" w:customStyle="1" w:styleId="390">
    <w:name w:val="List Paragraph1"/>
    <w:basedOn w:val="1"/>
    <w:uiPriority w:val="0"/>
    <w:pPr>
      <w:autoSpaceDE/>
      <w:autoSpaceDN/>
      <w:adjustRightInd/>
      <w:ind w:firstLine="420" w:firstLineChars="200"/>
    </w:pPr>
    <w:rPr>
      <w:color w:val="auto"/>
      <w:kern w:val="2"/>
      <w:szCs w:val="24"/>
    </w:rPr>
  </w:style>
  <w:style w:type="paragraph" w:customStyle="1" w:styleId="391">
    <w:name w:val="xl29"/>
    <w:basedOn w:val="1"/>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line="360" w:lineRule="auto"/>
      <w:jc w:val="center"/>
    </w:pPr>
    <w:rPr>
      <w:rFonts w:ascii="Comic Sans MS" w:hAnsi="Comic Sans MS" w:cs="宋体"/>
      <w:color w:val="auto"/>
      <w:sz w:val="20"/>
      <w:szCs w:val="20"/>
    </w:rPr>
  </w:style>
  <w:style w:type="paragraph" w:customStyle="1" w:styleId="392">
    <w:name w:val="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93">
    <w:name w:val="font1"/>
    <w:basedOn w:val="1"/>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94">
    <w:name w:val="et6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95">
    <w:name w:val="Defaul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9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97">
    <w:name w:val="et4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98">
    <w:name w:val="et1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99">
    <w:name w:val="xl6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rPr>
  </w:style>
  <w:style w:type="paragraph" w:customStyle="1" w:styleId="400">
    <w:name w:val="表内文字"/>
    <w:basedOn w:val="1"/>
    <w:uiPriority w:val="0"/>
    <w:pPr>
      <w:autoSpaceDE/>
      <w:autoSpaceDN/>
      <w:adjustRightInd/>
      <w:snapToGrid w:val="0"/>
      <w:spacing w:before="50" w:after="50" w:line="360" w:lineRule="auto"/>
      <w:jc w:val="center"/>
    </w:pPr>
    <w:rPr>
      <w:rFonts w:ascii="宋体" w:hAnsi="宋体"/>
      <w:color w:val="auto"/>
      <w:kern w:val="2"/>
      <w:sz w:val="24"/>
      <w:szCs w:val="20"/>
    </w:rPr>
  </w:style>
  <w:style w:type="paragraph" w:customStyle="1" w:styleId="401">
    <w:name w:val="et1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2">
    <w:name w:val="表头"/>
    <w:basedOn w:val="1"/>
    <w:uiPriority w:val="99"/>
    <w:pPr>
      <w:jc w:val="center"/>
    </w:pPr>
    <w:rPr>
      <w:rFonts w:ascii="微软雅黑" w:hAnsi="微软雅黑"/>
      <w:b/>
      <w:sz w:val="22"/>
    </w:rPr>
  </w:style>
  <w:style w:type="paragraph" w:customStyle="1" w:styleId="403">
    <w:name w:val="正文 A"/>
    <w:qFormat/>
    <w:uiPriority w:val="0"/>
    <w:pPr>
      <w:widowControl w:val="0"/>
      <w:jc w:val="both"/>
    </w:pPr>
    <w:rPr>
      <w:rFonts w:ascii="Calibri" w:hAnsi="Calibri" w:eastAsia="Calibri" w:cs="Calibri"/>
      <w:color w:val="000000"/>
      <w:kern w:val="2"/>
      <w:sz w:val="18"/>
      <w:szCs w:val="18"/>
      <w:u w:val="none" w:color="000000"/>
      <w:lang w:val="en-US" w:eastAsia="zh-CN" w:bidi="ar-SA"/>
    </w:rPr>
  </w:style>
  <w:style w:type="paragraph" w:customStyle="1" w:styleId="404">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405">
    <w:name w:val="et2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6">
    <w:name w:val="et7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7">
    <w:name w:val=" Char1"/>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408">
    <w:name w:val="et5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9">
    <w:name w:val=" Char Char Char Char Char Char Char Char Char Char Char Char Char Char Char Char Char Char Char"/>
    <w:basedOn w:val="1"/>
    <w:uiPriority w:val="0"/>
    <w:pPr>
      <w:autoSpaceDE/>
      <w:autoSpaceDN/>
      <w:adjustRightInd/>
    </w:pPr>
    <w:rPr>
      <w:color w:val="auto"/>
      <w:kern w:val="2"/>
      <w:szCs w:val="24"/>
    </w:rPr>
  </w:style>
  <w:style w:type="paragraph" w:customStyle="1" w:styleId="410">
    <w:name w:val="et1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table" w:customStyle="1" w:styleId="411">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45</Pages>
  <Words>5485</Words>
  <Characters>31267</Characters>
  <Lines>260</Lines>
  <Paragraphs>73</Paragraphs>
  <TotalTime>99</TotalTime>
  <ScaleCrop>false</ScaleCrop>
  <LinksUpToDate>false</LinksUpToDate>
  <CharactersWithSpaces>36679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2014-01-17T07:19:00Z</dcterms:created>
  <dc:creator>微软中国</dc:creator>
  <cp:lastModifiedBy>WPS_1701756769</cp:lastModifiedBy>
  <cp:lastPrinted>2021-01-18T00:52:00Z</cp:lastPrinted>
  <dcterms:modified xsi:type="dcterms:W3CDTF">2024-02-23T06:46:18Z</dcterms:modified>
  <cp:revision>263</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593232B5AD0D46A48D23F33F7D7D3854_13</vt:lpwstr>
  </property>
</Properties>
</file>