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41"/>
        <w:jc w:val="center"/>
        <w:rPr>
          <w:rFonts w:hint="default" w:ascii="黑体" w:eastAsia="黑体"/>
          <w:color w:val="000000"/>
          <w:sz w:val="72"/>
          <w:szCs w:val="72"/>
        </w:rPr>
      </w:pPr>
      <w:r>
        <w:rPr>
          <w:rFonts w:ascii="黑体" w:eastAsia="黑体"/>
          <w:color w:val="000000"/>
          <w:sz w:val="72"/>
          <w:szCs w:val="72"/>
        </w:rPr>
        <w:t>诸暨市特殊群体社会保险</w:t>
      </w:r>
    </w:p>
    <w:p>
      <w:pPr>
        <w:pStyle w:val="141"/>
        <w:jc w:val="center"/>
        <w:rPr>
          <w:rFonts w:hint="default" w:ascii="黑体" w:eastAsia="黑体"/>
          <w:color w:val="000000"/>
          <w:sz w:val="72"/>
          <w:szCs w:val="72"/>
        </w:rPr>
      </w:pPr>
      <w:r>
        <w:rPr>
          <w:rFonts w:ascii="黑体" w:eastAsia="黑体"/>
          <w:color w:val="000000"/>
          <w:sz w:val="72"/>
          <w:szCs w:val="72"/>
        </w:rPr>
        <w:t>迁移</w:t>
      </w:r>
      <w:r>
        <w:rPr>
          <w:rFonts w:ascii="黑体" w:eastAsia="黑体"/>
          <w:sz w:val="72"/>
          <w:szCs w:val="72"/>
        </w:rPr>
        <w:t>采购项目</w:t>
      </w:r>
    </w:p>
    <w:p>
      <w:pPr>
        <w:autoSpaceDE/>
        <w:autoSpaceDN/>
        <w:jc w:val="center"/>
        <w:rPr>
          <w:rFonts w:ascii="黑体" w:eastAsia="黑体" w:cs="黑体"/>
          <w:color w:val="auto"/>
          <w:sz w:val="32"/>
          <w:szCs w:val="32"/>
        </w:rPr>
      </w:pPr>
      <w:r>
        <w:rPr>
          <w:rFonts w:hint="eastAsia" w:ascii="黑体" w:eastAsia="黑体" w:cs="黑体"/>
          <w:color w:val="auto"/>
          <w:sz w:val="32"/>
          <w:szCs w:val="32"/>
        </w:rPr>
        <w:t>（编号：诸政采2021-12-04）</w:t>
      </w:r>
    </w:p>
    <w:p>
      <w:pPr>
        <w:autoSpaceDE/>
        <w:autoSpaceDN/>
        <w:jc w:val="center"/>
        <w:rPr>
          <w:rFonts w:eastAsia="黑体"/>
          <w:color w:val="auto"/>
        </w:rPr>
      </w:pPr>
    </w:p>
    <w:p>
      <w:pPr>
        <w:autoSpaceDE/>
        <w:autoSpaceDN/>
        <w:jc w:val="center"/>
        <w:rPr>
          <w:rFonts w:cs="宋体"/>
          <w:b/>
          <w:bCs/>
          <w:color w:val="auto"/>
          <w:sz w:val="84"/>
          <w:szCs w:val="84"/>
        </w:rPr>
      </w:pPr>
      <w:r>
        <w:rPr>
          <w:rFonts w:hint="eastAsia" w:cs="宋体"/>
          <w:b/>
          <w:bCs/>
          <w:color w:val="auto"/>
          <w:sz w:val="84"/>
          <w:szCs w:val="84"/>
        </w:rPr>
        <w:t>采</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购</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文</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件</w:t>
      </w:r>
    </w:p>
    <w:p>
      <w:pPr>
        <w:pStyle w:val="21"/>
        <w:snapToGrid w:val="0"/>
        <w:spacing w:before="120" w:after="120"/>
        <w:rPr>
          <w:rFonts w:ascii="楷体_GB2312" w:hAnsi="宋体" w:eastAsia="楷体_GB2312"/>
          <w:b/>
          <w:bCs/>
          <w:spacing w:val="70"/>
          <w:w w:val="95"/>
          <w:sz w:val="30"/>
          <w:szCs w:val="30"/>
        </w:rPr>
      </w:pPr>
      <w:r>
        <w:rPr>
          <w:rFonts w:ascii="楷体_GB2312" w:hAnsi="宋体" w:eastAsia="楷体_GB2312"/>
          <w:b/>
          <w:bCs/>
          <w:spacing w:val="70"/>
          <w:w w:val="95"/>
          <w:sz w:val="30"/>
          <w:szCs w:val="30"/>
        </w:rPr>
        <w:t>采购单位</w:t>
      </w:r>
      <w:r>
        <w:rPr>
          <w:rFonts w:ascii="楷体_GB2312" w:hAnsi="宋体" w:eastAsia="楷体_GB2312"/>
          <w:b/>
          <w:bCs/>
          <w:w w:val="95"/>
          <w:sz w:val="30"/>
          <w:szCs w:val="30"/>
        </w:rPr>
        <w:t>：</w:t>
      </w:r>
      <w:r>
        <w:rPr>
          <w:rFonts w:hint="eastAsia" w:ascii="楷体_GB2312" w:hAnsi="宋体" w:eastAsia="楷体_GB2312"/>
          <w:b/>
          <w:bCs/>
          <w:w w:val="95"/>
          <w:sz w:val="30"/>
          <w:szCs w:val="30"/>
        </w:rPr>
        <w:t>诸暨市人力资源和社会保障局</w:t>
      </w:r>
    </w:p>
    <w:p>
      <w:pPr>
        <w:pStyle w:val="21"/>
        <w:snapToGrid w:val="0"/>
        <w:spacing w:before="120" w:after="120"/>
        <w:rPr>
          <w:rFonts w:ascii="楷体_GB2312" w:hAnsi="宋体" w:eastAsia="楷体_GB2312"/>
          <w:b/>
          <w:bCs/>
          <w:spacing w:val="70"/>
          <w:w w:val="95"/>
          <w:sz w:val="30"/>
          <w:szCs w:val="30"/>
        </w:rPr>
      </w:pPr>
      <w:r>
        <w:rPr>
          <w:rFonts w:hint="eastAsia" w:ascii="楷体_GB2312" w:hAnsi="宋体" w:eastAsia="楷体_GB2312"/>
          <w:b/>
          <w:bCs/>
          <w:w w:val="95"/>
          <w:sz w:val="30"/>
          <w:szCs w:val="30"/>
        </w:rPr>
        <w:t>采购代理机构</w:t>
      </w:r>
      <w:r>
        <w:rPr>
          <w:rFonts w:ascii="楷体_GB2312" w:hAnsi="宋体" w:eastAsia="楷体_GB2312"/>
          <w:b/>
          <w:bCs/>
          <w:w w:val="95"/>
          <w:sz w:val="30"/>
          <w:szCs w:val="30"/>
        </w:rPr>
        <w:t>：诸暨市公共资源交易中心</w:t>
      </w:r>
    </w:p>
    <w:p>
      <w:pPr>
        <w:pStyle w:val="21"/>
        <w:snapToGrid w:val="0"/>
        <w:spacing w:before="120" w:after="120"/>
        <w:rPr>
          <w:rFonts w:ascii="隶书" w:hAnsi="Arial Narrow" w:eastAsia="隶书"/>
          <w:b/>
          <w:sz w:val="30"/>
          <w:szCs w:val="48"/>
        </w:rPr>
      </w:pPr>
      <w:r>
        <w:rPr>
          <w:rFonts w:hint="eastAsia" w:ascii="楷体_GB2312" w:hAnsi="宋体" w:eastAsia="楷体_GB2312"/>
          <w:b/>
          <w:bCs/>
          <w:spacing w:val="70"/>
          <w:w w:val="95"/>
          <w:sz w:val="30"/>
          <w:szCs w:val="30"/>
        </w:rPr>
        <w:t>监督单位</w:t>
      </w:r>
      <w:r>
        <w:rPr>
          <w:rFonts w:hint="eastAsia" w:ascii="隶书" w:hAnsi="Arial Narrow" w:eastAsia="隶书"/>
          <w:b/>
          <w:sz w:val="30"/>
          <w:szCs w:val="48"/>
        </w:rPr>
        <w:t>：</w:t>
      </w:r>
      <w:r>
        <w:rPr>
          <w:rFonts w:hint="eastAsia" w:ascii="楷体_GB2312" w:hAnsi="宋体" w:eastAsia="楷体_GB2312"/>
          <w:b/>
          <w:bCs/>
          <w:w w:val="95"/>
          <w:sz w:val="30"/>
          <w:szCs w:val="30"/>
        </w:rPr>
        <w:t>诸暨市公共资源交易管理委员会办公室</w:t>
      </w:r>
    </w:p>
    <w:p>
      <w:pPr>
        <w:pStyle w:val="21"/>
        <w:snapToGrid w:val="0"/>
        <w:spacing w:before="120" w:after="120"/>
        <w:rPr>
          <w:rFonts w:ascii="楷体_GB2312" w:hAnsi="宋体" w:eastAsia="楷体_GB2312"/>
          <w:b/>
          <w:bCs/>
          <w:w w:val="95"/>
          <w:sz w:val="30"/>
          <w:szCs w:val="30"/>
        </w:rPr>
      </w:pPr>
      <w:r>
        <w:rPr>
          <w:rFonts w:hint="eastAsia" w:ascii="隶书" w:hAnsi="Arial Narrow" w:eastAsia="隶书"/>
          <w:b/>
          <w:sz w:val="30"/>
          <w:szCs w:val="48"/>
        </w:rPr>
        <w:t xml:space="preserve">             </w:t>
      </w:r>
      <w:r>
        <w:rPr>
          <w:rFonts w:hint="eastAsia" w:ascii="楷体_GB2312" w:hAnsi="宋体" w:eastAsia="楷体_GB2312"/>
          <w:b/>
          <w:bCs/>
          <w:w w:val="95"/>
          <w:sz w:val="30"/>
          <w:szCs w:val="30"/>
        </w:rPr>
        <w:t>诸暨市财政局</w:t>
      </w:r>
    </w:p>
    <w:p>
      <w:pPr>
        <w:jc w:val="center"/>
      </w:pPr>
      <w:r>
        <w:rPr>
          <w:rFonts w:hint="eastAsia" w:ascii="楷体_GB2312" w:hAnsi="宋体" w:eastAsia="楷体_GB2312"/>
          <w:b/>
          <w:bCs/>
          <w:w w:val="95"/>
          <w:sz w:val="30"/>
          <w:szCs w:val="30"/>
        </w:rPr>
        <w:t>二</w:t>
      </w:r>
      <w:r>
        <w:rPr>
          <w:rFonts w:hint="eastAsia" w:ascii="宋体" w:hAnsi="宋体" w:cs="宋体"/>
          <w:b/>
          <w:bCs/>
          <w:w w:val="95"/>
          <w:sz w:val="30"/>
          <w:szCs w:val="30"/>
        </w:rPr>
        <w:t>〇</w:t>
      </w:r>
      <w:r>
        <w:rPr>
          <w:rFonts w:hint="eastAsia" w:ascii="楷体_GB2312" w:hAnsi="楷体_GB2312" w:eastAsia="楷体_GB2312" w:cs="楷体_GB2312"/>
          <w:b/>
          <w:bCs/>
          <w:w w:val="95"/>
          <w:sz w:val="30"/>
          <w:szCs w:val="30"/>
        </w:rPr>
        <w:t>二一年十二月</w:t>
      </w:r>
    </w:p>
    <w:p>
      <w:pPr>
        <w:jc w:val="center"/>
        <w:rPr>
          <w:rFonts w:ascii="隶书" w:eastAsia="隶书"/>
          <w:b/>
          <w:sz w:val="44"/>
          <w:szCs w:val="44"/>
        </w:rPr>
      </w:pPr>
    </w:p>
    <w:p>
      <w:pPr>
        <w:jc w:val="center"/>
        <w:rPr>
          <w:rFonts w:ascii="隶书" w:eastAsia="隶书"/>
          <w:b/>
          <w:sz w:val="44"/>
          <w:szCs w:val="44"/>
        </w:rPr>
      </w:pPr>
    </w:p>
    <w:p>
      <w:pPr>
        <w:jc w:val="center"/>
        <w:rPr>
          <w:rFonts w:ascii="隶书" w:eastAsia="隶书"/>
          <w:b/>
          <w:sz w:val="44"/>
          <w:szCs w:val="44"/>
        </w:rPr>
      </w:pPr>
    </w:p>
    <w:p>
      <w:pPr>
        <w:jc w:val="center"/>
        <w:rPr>
          <w:rFonts w:ascii="仿宋_GB2312" w:eastAsia="仿宋_GB2312"/>
          <w:b/>
          <w:sz w:val="44"/>
          <w:szCs w:val="44"/>
        </w:rPr>
      </w:pPr>
      <w:r>
        <w:rPr>
          <w:rFonts w:hint="eastAsia" w:ascii="仿宋_GB2312" w:eastAsia="仿宋_GB2312"/>
          <w:b/>
          <w:sz w:val="44"/>
          <w:szCs w:val="44"/>
        </w:rPr>
        <w:t>目录</w:t>
      </w:r>
    </w:p>
    <w:p>
      <w:pPr>
        <w:jc w:val="center"/>
        <w:rPr>
          <w:rFonts w:ascii="隶书" w:eastAsia="隶书"/>
          <w:b/>
          <w:sz w:val="44"/>
          <w:szCs w:val="44"/>
        </w:rPr>
      </w:pPr>
    </w:p>
    <w:p>
      <w:pPr>
        <w:jc w:val="center"/>
        <w:rPr>
          <w:rFonts w:ascii="隶书" w:eastAsia="隶书"/>
        </w:rPr>
      </w:pP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第一章    邀请函</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第二章    谈判须知</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第三章    采购需求</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第四章    诸暨市政府采购合同</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第五章    应提交的有关格式范例</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 xml:space="preserve">  </w:t>
      </w:r>
    </w:p>
    <w:p>
      <w:pPr>
        <w:spacing w:line="360" w:lineRule="auto"/>
        <w:ind w:firstLine="482" w:firstLineChars="200"/>
        <w:jc w:val="center"/>
        <w:rPr>
          <w:rFonts w:ascii="宋体" w:hAnsi="宋体"/>
          <w:b/>
          <w:sz w:val="24"/>
        </w:rPr>
      </w:pPr>
      <w:r>
        <w:rPr>
          <w:rFonts w:hint="eastAsia" w:ascii="宋体" w:hAnsi="宋体"/>
          <w:b/>
          <w:sz w:val="24"/>
        </w:rPr>
        <w:t>本采购文件为2021年新制版本，请各位投标人详细阅读各项条款</w:t>
      </w:r>
    </w:p>
    <w:p>
      <w:pPr>
        <w:spacing w:line="360" w:lineRule="auto"/>
        <w:ind w:firstLine="482" w:firstLineChars="200"/>
        <w:jc w:val="center"/>
        <w:rPr>
          <w:rFonts w:ascii="宋体" w:hAnsi="宋体"/>
          <w:b/>
          <w:sz w:val="24"/>
        </w:rPr>
      </w:pPr>
    </w:p>
    <w:p>
      <w:pPr>
        <w:jc w:val="center"/>
        <w:rPr>
          <w:rFonts w:ascii="宋体" w:hAnsi="宋体"/>
          <w:b/>
          <w:sz w:val="36"/>
          <w:szCs w:val="36"/>
        </w:rPr>
        <w:sectPr>
          <w:headerReference r:id="rId3" w:type="first"/>
          <w:footerReference r:id="rId4" w:type="default"/>
          <w:footerReference r:id="rId5" w:type="even"/>
          <w:pgSz w:w="11906" w:h="16838"/>
          <w:pgMar w:top="1247" w:right="1418" w:bottom="1247" w:left="1418" w:header="851" w:footer="907" w:gutter="0"/>
          <w:pgNumType w:start="0"/>
          <w:cols w:space="720" w:num="1"/>
          <w:docGrid w:type="lines" w:linePitch="312" w:charSpace="0"/>
        </w:sectPr>
      </w:pPr>
      <w:bookmarkStart w:id="0" w:name="_Toc125344501"/>
    </w:p>
    <w:p>
      <w:pPr>
        <w:jc w:val="center"/>
        <w:rPr>
          <w:rFonts w:ascii="宋体" w:hAnsi="宋体"/>
          <w:b/>
          <w:sz w:val="36"/>
          <w:szCs w:val="36"/>
        </w:rPr>
      </w:pPr>
      <w:r>
        <w:rPr>
          <w:rFonts w:hint="eastAsia" w:ascii="宋体" w:hAnsi="宋体"/>
          <w:b/>
          <w:sz w:val="36"/>
          <w:szCs w:val="36"/>
        </w:rPr>
        <w:t xml:space="preserve">第一章  </w:t>
      </w:r>
      <w:bookmarkEnd w:id="0"/>
      <w:r>
        <w:rPr>
          <w:rFonts w:hint="eastAsia" w:ascii="宋体" w:hAnsi="宋体"/>
          <w:b/>
          <w:sz w:val="36"/>
          <w:szCs w:val="36"/>
        </w:rPr>
        <w:t>邀请函</w:t>
      </w:r>
    </w:p>
    <w:p>
      <w:pPr>
        <w:pBdr>
          <w:top w:val="single" w:color="auto" w:sz="4" w:space="1"/>
          <w:left w:val="single" w:color="auto" w:sz="4" w:space="4"/>
          <w:bottom w:val="single" w:color="auto" w:sz="4" w:space="1"/>
          <w:right w:val="single" w:color="auto" w:sz="4" w:space="4"/>
        </w:pBdr>
        <w:spacing w:line="360" w:lineRule="auto"/>
        <w:ind w:firstLine="241" w:firstLineChars="100"/>
        <w:rPr>
          <w:b/>
          <w:color w:val="000000" w:themeColor="text1"/>
          <w:sz w:val="24"/>
          <w:u w:val="single"/>
        </w:rPr>
      </w:pPr>
      <w:bookmarkStart w:id="1" w:name="_Toc125344503"/>
      <w:r>
        <w:rPr>
          <w:rFonts w:hint="eastAsia"/>
          <w:b/>
          <w:color w:val="000000" w:themeColor="text1"/>
          <w:sz w:val="24"/>
          <w:u w:val="single"/>
        </w:rPr>
        <w:t xml:space="preserve">  浙江网新恩普软件有限公司  ：</w:t>
      </w:r>
    </w:p>
    <w:p>
      <w:pPr>
        <w:pBdr>
          <w:top w:val="single" w:color="auto" w:sz="4" w:space="1"/>
          <w:left w:val="single" w:color="auto" w:sz="4" w:space="4"/>
          <w:bottom w:val="single" w:color="auto" w:sz="4" w:space="1"/>
          <w:right w:val="single" w:color="auto" w:sz="4" w:space="4"/>
        </w:pBdr>
        <w:spacing w:line="360" w:lineRule="auto"/>
        <w:ind w:firstLine="241" w:firstLineChars="100"/>
        <w:rPr>
          <w:rFonts w:ascii="仿宋" w:hAnsi="仿宋" w:eastAsia="仿宋"/>
          <w:b/>
          <w:sz w:val="28"/>
          <w:szCs w:val="28"/>
        </w:rPr>
      </w:pPr>
      <w:r>
        <w:rPr>
          <w:rFonts w:hint="eastAsia" w:ascii="宋体" w:hAnsi="宋体"/>
          <w:b/>
          <w:color w:val="FFFFFF" w:themeColor="background1"/>
          <w:sz w:val="24"/>
          <w:szCs w:val="24"/>
          <w:u w:val="single"/>
        </w:rPr>
        <w:t>.</w:t>
      </w:r>
      <w:r>
        <w:rPr>
          <w:rFonts w:hint="eastAsia"/>
          <w:b/>
          <w:color w:val="FF0000"/>
          <w:sz w:val="24"/>
          <w:u w:val="single"/>
        </w:rPr>
        <w:t xml:space="preserve">  诸暨市特殊群体社会保险迁移采购项目</w:t>
      </w:r>
      <w:r>
        <w:rPr>
          <w:rFonts w:hint="eastAsia" w:ascii="宋体" w:hAnsi="宋体"/>
          <w:b/>
          <w:color w:val="FF0000"/>
          <w:sz w:val="24"/>
          <w:szCs w:val="24"/>
          <w:u w:val="single"/>
        </w:rPr>
        <w:t xml:space="preserve"> </w:t>
      </w:r>
      <w:r>
        <w:rPr>
          <w:rFonts w:hint="eastAsia" w:ascii="宋体" w:hAnsi="宋体"/>
          <w:b/>
          <w:color w:val="FF0000"/>
          <w:sz w:val="24"/>
          <w:szCs w:val="24"/>
        </w:rPr>
        <w:t>应在浙江政府采购网“政府采购云平台”获取（下载）采购文件，并于</w:t>
      </w:r>
      <w:r>
        <w:rPr>
          <w:rFonts w:hint="eastAsia" w:ascii="宋体" w:hAnsi="宋体"/>
          <w:b/>
          <w:color w:val="FF0000"/>
          <w:sz w:val="24"/>
          <w:szCs w:val="24"/>
          <w:u w:val="single"/>
        </w:rPr>
        <w:t>2021 年12月23日9时30分（北京时间）</w:t>
      </w:r>
      <w:r>
        <w:rPr>
          <w:rFonts w:hint="eastAsia" w:ascii="宋体" w:hAnsi="宋体"/>
          <w:b/>
          <w:color w:val="FF0000"/>
          <w:sz w:val="24"/>
          <w:szCs w:val="24"/>
        </w:rPr>
        <w:t>前递交（上传）投标文件。</w:t>
      </w:r>
    </w:p>
    <w:p>
      <w:pPr>
        <w:rPr>
          <w:rFonts w:asciiTheme="minorEastAsia" w:hAnsiTheme="minorEastAsia" w:eastAsiaTheme="minorEastAsia"/>
          <w:b/>
          <w:sz w:val="28"/>
          <w:szCs w:val="28"/>
        </w:rPr>
      </w:pPr>
      <w:bookmarkStart w:id="2" w:name="_Toc35393790"/>
      <w:bookmarkStart w:id="3" w:name="_Toc35393621"/>
      <w:bookmarkStart w:id="4" w:name="_Toc28359079"/>
      <w:bookmarkStart w:id="5" w:name="_Toc28359002"/>
      <w:r>
        <w:rPr>
          <w:rFonts w:hint="eastAsia" w:asciiTheme="minorEastAsia" w:hAnsiTheme="minorEastAsia" w:eastAsiaTheme="minorEastAsia"/>
          <w:b/>
          <w:sz w:val="28"/>
          <w:szCs w:val="28"/>
        </w:rPr>
        <w:t>一、项目基本情况</w:t>
      </w:r>
      <w:bookmarkEnd w:id="2"/>
      <w:bookmarkEnd w:id="3"/>
      <w:bookmarkEnd w:id="4"/>
      <w:bookmarkEnd w:id="5"/>
      <w:r>
        <w:rPr>
          <w:rFonts w:hint="eastAsia" w:asciiTheme="minorEastAsia" w:hAnsiTheme="minorEastAsia" w:eastAsiaTheme="minorEastAsia"/>
          <w:b/>
          <w:sz w:val="28"/>
          <w:szCs w:val="28"/>
        </w:rPr>
        <w:t xml:space="preserve"> </w:t>
      </w:r>
    </w:p>
    <w:p>
      <w:pPr>
        <w:pStyle w:val="21"/>
        <w:ind w:firstLine="480" w:firstLineChars="200"/>
        <w:rPr>
          <w:rFonts w:ascii="宋体" w:hAnsi="宋体"/>
          <w:szCs w:val="24"/>
        </w:rPr>
      </w:pPr>
      <w:r>
        <w:rPr>
          <w:rFonts w:hint="eastAsia" w:ascii="宋体" w:hAnsi="宋体"/>
          <w:szCs w:val="24"/>
        </w:rPr>
        <w:t>项目编号：诸政采2021-12-04</w:t>
      </w:r>
    </w:p>
    <w:p>
      <w:pPr>
        <w:pStyle w:val="21"/>
        <w:ind w:firstLine="480" w:firstLineChars="200"/>
        <w:rPr>
          <w:rFonts w:ascii="宋体" w:hAnsi="宋体"/>
          <w:szCs w:val="24"/>
        </w:rPr>
      </w:pPr>
      <w:r>
        <w:rPr>
          <w:rFonts w:hint="eastAsia" w:ascii="宋体" w:hAnsi="宋体"/>
          <w:szCs w:val="24"/>
        </w:rPr>
        <w:t>项目名称：诸暨市特殊群体社会保险迁移采购项目</w:t>
      </w:r>
    </w:p>
    <w:p>
      <w:pPr>
        <w:pStyle w:val="21"/>
        <w:ind w:firstLine="480" w:firstLineChars="200"/>
        <w:rPr>
          <w:rFonts w:ascii="宋体" w:hAnsi="宋体"/>
          <w:szCs w:val="24"/>
        </w:rPr>
      </w:pPr>
      <w:r>
        <w:rPr>
          <w:rFonts w:hint="eastAsia" w:ascii="宋体" w:hAnsi="宋体"/>
          <w:szCs w:val="24"/>
        </w:rPr>
        <w:t>预算金额：总预算40万元</w:t>
      </w:r>
    </w:p>
    <w:p>
      <w:pPr>
        <w:pStyle w:val="21"/>
        <w:ind w:firstLine="480" w:firstLineChars="200"/>
        <w:rPr>
          <w:rFonts w:ascii="宋体" w:hAnsi="宋体"/>
          <w:szCs w:val="24"/>
        </w:rPr>
      </w:pPr>
      <w:r>
        <w:rPr>
          <w:rFonts w:hint="eastAsia" w:ascii="宋体" w:hAnsi="宋体"/>
          <w:szCs w:val="24"/>
        </w:rPr>
        <w:t>最高限价：40万元</w:t>
      </w:r>
    </w:p>
    <w:p>
      <w:pPr>
        <w:pStyle w:val="21"/>
        <w:ind w:firstLine="480" w:firstLineChars="200"/>
        <w:rPr>
          <w:rFonts w:ascii="宋体" w:hAnsi="宋体"/>
          <w:szCs w:val="24"/>
        </w:rPr>
      </w:pPr>
      <w:r>
        <w:rPr>
          <w:rFonts w:hint="eastAsia" w:ascii="宋体" w:hAnsi="宋体"/>
          <w:szCs w:val="24"/>
        </w:rPr>
        <w:t>采购需求：详见采购文件，各标的内容如下：</w:t>
      </w:r>
    </w:p>
    <w:tbl>
      <w:tblPr>
        <w:tblStyle w:val="4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973"/>
        <w:gridCol w:w="3435"/>
        <w:gridCol w:w="2081"/>
        <w:gridCol w:w="16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4" w:hRule="atLeast"/>
          <w:jc w:val="center"/>
        </w:trPr>
        <w:tc>
          <w:tcPr>
            <w:tcW w:w="1973" w:type="dxa"/>
            <w:tcMar>
              <w:top w:w="0" w:type="dxa"/>
              <w:left w:w="108" w:type="dxa"/>
              <w:bottom w:w="0" w:type="dxa"/>
              <w:right w:w="108" w:type="dxa"/>
            </w:tcMar>
            <w:vAlign w:val="center"/>
          </w:tcPr>
          <w:p>
            <w:pPr>
              <w:widowControl/>
              <w:jc w:val="center"/>
            </w:pPr>
            <w:r>
              <w:rPr>
                <w:rFonts w:hint="eastAsia" w:ascii="宋体" w:hAnsi="宋体"/>
                <w:b/>
                <w:bCs/>
                <w:sz w:val="24"/>
              </w:rPr>
              <w:t>采购单位</w:t>
            </w:r>
          </w:p>
        </w:tc>
        <w:tc>
          <w:tcPr>
            <w:tcW w:w="3435" w:type="dxa"/>
            <w:tcMar>
              <w:top w:w="0" w:type="dxa"/>
              <w:left w:w="108" w:type="dxa"/>
              <w:bottom w:w="0" w:type="dxa"/>
              <w:right w:w="108" w:type="dxa"/>
            </w:tcMar>
            <w:vAlign w:val="center"/>
          </w:tcPr>
          <w:p>
            <w:pPr>
              <w:widowControl/>
              <w:jc w:val="center"/>
            </w:pPr>
            <w:r>
              <w:rPr>
                <w:rFonts w:hint="eastAsia" w:ascii="宋体" w:hAnsi="宋体"/>
                <w:b/>
                <w:bCs/>
                <w:sz w:val="24"/>
              </w:rPr>
              <w:t>采购内容</w:t>
            </w:r>
          </w:p>
        </w:tc>
        <w:tc>
          <w:tcPr>
            <w:tcW w:w="2081" w:type="dxa"/>
            <w:vAlign w:val="center"/>
          </w:tcPr>
          <w:p>
            <w:pPr>
              <w:widowControl/>
              <w:jc w:val="center"/>
              <w:rPr>
                <w:b/>
              </w:rPr>
            </w:pPr>
            <w:r>
              <w:rPr>
                <w:rFonts w:hint="eastAsia"/>
                <w:b/>
              </w:rPr>
              <w:t>简要技术需求</w:t>
            </w:r>
          </w:p>
          <w:p>
            <w:pPr>
              <w:widowControl/>
              <w:jc w:val="center"/>
              <w:rPr>
                <w:b/>
              </w:rPr>
            </w:pPr>
            <w:r>
              <w:rPr>
                <w:rFonts w:hint="eastAsia"/>
                <w:b/>
              </w:rPr>
              <w:t>或服务要求</w:t>
            </w:r>
          </w:p>
        </w:tc>
        <w:tc>
          <w:tcPr>
            <w:tcW w:w="1626" w:type="dxa"/>
            <w:vAlign w:val="center"/>
          </w:tcPr>
          <w:p>
            <w:pPr>
              <w:widowControl/>
              <w:jc w:val="center"/>
              <w:rPr>
                <w:b/>
              </w:rPr>
            </w:pPr>
            <w:r>
              <w:rPr>
                <w:rFonts w:hint="eastAsia"/>
                <w:b/>
              </w:rPr>
              <w:t>最高限价</w:t>
            </w:r>
          </w:p>
          <w:p>
            <w:pPr>
              <w:widowControl/>
              <w:jc w:val="center"/>
              <w:rPr>
                <w:b/>
              </w:rPr>
            </w:pPr>
            <w:r>
              <w:rPr>
                <w:rFonts w:hint="eastAsia"/>
                <w:b/>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76" w:hRule="atLeast"/>
          <w:jc w:val="center"/>
        </w:trPr>
        <w:tc>
          <w:tcPr>
            <w:tcW w:w="1973" w:type="dxa"/>
            <w:tcMar>
              <w:top w:w="0" w:type="dxa"/>
              <w:left w:w="108" w:type="dxa"/>
              <w:bottom w:w="0" w:type="dxa"/>
              <w:right w:w="108" w:type="dxa"/>
            </w:tcMar>
            <w:vAlign w:val="center"/>
          </w:tcPr>
          <w:p>
            <w:pPr>
              <w:widowControl/>
              <w:autoSpaceDE/>
              <w:autoSpaceDN/>
              <w:adjustRightInd/>
              <w:jc w:val="center"/>
              <w:rPr>
                <w:rFonts w:ascii="宋体" w:hAnsi="宋体"/>
                <w:kern w:val="2"/>
                <w:sz w:val="24"/>
                <w:szCs w:val="24"/>
              </w:rPr>
            </w:pPr>
            <w:r>
              <w:rPr>
                <w:rFonts w:hint="eastAsia" w:ascii="宋体" w:hAnsi="宋体"/>
                <w:kern w:val="2"/>
                <w:sz w:val="24"/>
                <w:szCs w:val="24"/>
              </w:rPr>
              <w:t>诸暨市人力资源和社会保障局</w:t>
            </w:r>
          </w:p>
        </w:tc>
        <w:tc>
          <w:tcPr>
            <w:tcW w:w="3435" w:type="dxa"/>
            <w:tcMar>
              <w:top w:w="0" w:type="dxa"/>
              <w:left w:w="108" w:type="dxa"/>
              <w:bottom w:w="0" w:type="dxa"/>
              <w:right w:w="108" w:type="dxa"/>
            </w:tcMar>
            <w:vAlign w:val="center"/>
          </w:tcPr>
          <w:p>
            <w:pPr>
              <w:widowControl/>
              <w:autoSpaceDE/>
              <w:autoSpaceDN/>
              <w:adjustRightInd/>
              <w:jc w:val="center"/>
              <w:rPr>
                <w:rFonts w:ascii="宋体" w:hAnsi="宋体"/>
                <w:kern w:val="2"/>
                <w:sz w:val="24"/>
                <w:szCs w:val="24"/>
              </w:rPr>
            </w:pPr>
            <w:r>
              <w:rPr>
                <w:rFonts w:hint="eastAsia" w:ascii="宋体" w:hAnsi="宋体"/>
                <w:kern w:val="2"/>
                <w:sz w:val="24"/>
                <w:szCs w:val="24"/>
              </w:rPr>
              <w:t>诸暨市特殊群体社会保险迁移采购项目</w:t>
            </w:r>
          </w:p>
        </w:tc>
        <w:tc>
          <w:tcPr>
            <w:tcW w:w="2081" w:type="dxa"/>
            <w:vAlign w:val="center"/>
          </w:tcPr>
          <w:p>
            <w:pPr>
              <w:widowControl/>
              <w:autoSpaceDE/>
              <w:autoSpaceDN/>
              <w:adjustRightInd/>
              <w:jc w:val="center"/>
              <w:rPr>
                <w:rFonts w:ascii="宋体" w:hAnsi="宋体"/>
                <w:sz w:val="24"/>
                <w:szCs w:val="24"/>
              </w:rPr>
            </w:pPr>
            <w:r>
              <w:rPr>
                <w:rFonts w:hint="eastAsia" w:ascii="宋体" w:hAnsi="宋体"/>
                <w:sz w:val="24"/>
                <w:szCs w:val="24"/>
              </w:rPr>
              <w:t>详见采购文件</w:t>
            </w:r>
          </w:p>
        </w:tc>
        <w:tc>
          <w:tcPr>
            <w:tcW w:w="1626" w:type="dxa"/>
            <w:vAlign w:val="center"/>
          </w:tcPr>
          <w:p>
            <w:pPr>
              <w:pStyle w:val="21"/>
              <w:ind w:firstLine="120" w:firstLineChars="50"/>
              <w:jc w:val="center"/>
              <w:rPr>
                <w:rFonts w:ascii="宋体" w:hAnsi="宋体"/>
                <w:szCs w:val="24"/>
              </w:rPr>
            </w:pPr>
            <w:r>
              <w:rPr>
                <w:rFonts w:hint="eastAsia" w:ascii="宋体" w:hAnsi="宋体"/>
                <w:szCs w:val="24"/>
              </w:rPr>
              <w:t>40万元</w:t>
            </w:r>
          </w:p>
        </w:tc>
      </w:tr>
    </w:tbl>
    <w:p>
      <w:pPr>
        <w:pStyle w:val="21"/>
        <w:ind w:firstLine="480" w:firstLineChars="200"/>
        <w:rPr>
          <w:rFonts w:ascii="宋体" w:hAnsi="宋体"/>
          <w:szCs w:val="24"/>
        </w:rPr>
      </w:pPr>
      <w:r>
        <w:rPr>
          <w:rFonts w:hint="eastAsia" w:ascii="宋体" w:hAnsi="宋体"/>
          <w:szCs w:val="24"/>
        </w:rPr>
        <w:t>合同履行期限：/</w:t>
      </w:r>
    </w:p>
    <w:p>
      <w:pPr>
        <w:pStyle w:val="21"/>
        <w:ind w:firstLine="480" w:firstLineChars="200"/>
        <w:rPr>
          <w:rFonts w:ascii="宋体" w:hAnsi="宋体"/>
          <w:szCs w:val="24"/>
        </w:rPr>
      </w:pPr>
      <w:r>
        <w:rPr>
          <w:rFonts w:hint="eastAsia" w:ascii="宋体" w:hAnsi="宋体"/>
          <w:szCs w:val="24"/>
        </w:rPr>
        <w:t>本项目不接受联合体投标。</w:t>
      </w:r>
      <w:bookmarkStart w:id="6" w:name="_Toc35393622"/>
      <w:bookmarkStart w:id="7" w:name="_Toc28359080"/>
      <w:bookmarkStart w:id="8" w:name="_Toc35393791"/>
      <w:bookmarkStart w:id="9" w:name="_Toc28359003"/>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二、申请人的资格要求：</w:t>
      </w:r>
      <w:bookmarkEnd w:id="6"/>
      <w:bookmarkEnd w:id="7"/>
      <w:bookmarkEnd w:id="8"/>
      <w:bookmarkEnd w:id="9"/>
    </w:p>
    <w:p>
      <w:pPr>
        <w:pStyle w:val="21"/>
        <w:spacing w:after="156"/>
        <w:ind w:firstLine="480" w:firstLineChars="200"/>
        <w:rPr>
          <w:rFonts w:ascii="宋体" w:hAnsi="宋体"/>
          <w:color w:val="auto"/>
          <w:kern w:val="0"/>
          <w:szCs w:val="20"/>
        </w:rPr>
      </w:pPr>
      <w:r>
        <w:rPr>
          <w:rFonts w:hint="eastAsia" w:ascii="宋体" w:hAnsi="宋体"/>
          <w:color w:val="auto"/>
          <w:kern w:val="0"/>
          <w:szCs w:val="20"/>
        </w:rPr>
        <w:t>1.符合《中华人民共和国政府采购法》第二十二条。</w:t>
      </w:r>
    </w:p>
    <w:p>
      <w:pPr>
        <w:pStyle w:val="21"/>
        <w:ind w:firstLine="480" w:firstLineChars="200"/>
        <w:rPr>
          <w:rFonts w:ascii="宋体" w:hAnsi="宋体"/>
          <w:color w:val="auto"/>
          <w:kern w:val="0"/>
          <w:szCs w:val="20"/>
        </w:rPr>
      </w:pPr>
      <w:r>
        <w:rPr>
          <w:rFonts w:ascii="宋体" w:hAnsi="宋体"/>
          <w:color w:val="auto"/>
          <w:kern w:val="0"/>
          <w:szCs w:val="20"/>
        </w:rPr>
        <w:t>2</w:t>
      </w:r>
      <w:r>
        <w:rPr>
          <w:rFonts w:hint="eastAsia" w:ascii="宋体" w:hAnsi="宋体"/>
          <w:color w:val="auto"/>
          <w:kern w:val="0"/>
          <w:szCs w:val="20"/>
        </w:rPr>
        <w:t>.未被“信用中国”（www.creditchina.gov.cn）、中国政府采购网（www.ccgp.gov.cn）列入失信被执行人、重大税收违法案件当事人、政府采购严重违法失信行为记录名单。</w:t>
      </w:r>
    </w:p>
    <w:p>
      <w:pPr>
        <w:pStyle w:val="21"/>
        <w:spacing w:after="156"/>
        <w:ind w:firstLine="480" w:firstLineChars="200"/>
        <w:rPr>
          <w:rFonts w:ascii="宋体" w:hAnsi="宋体"/>
          <w:color w:val="auto"/>
          <w:kern w:val="0"/>
          <w:szCs w:val="20"/>
        </w:rPr>
      </w:pPr>
      <w:r>
        <w:rPr>
          <w:rFonts w:hint="eastAsia" w:ascii="宋体" w:hAnsi="宋体"/>
          <w:color w:val="auto"/>
          <w:kern w:val="0"/>
          <w:szCs w:val="20"/>
        </w:rPr>
        <w:t>3.本项目的特定资格要求：具有所投标的相应国家规定必备的资质、资格。</w:t>
      </w:r>
    </w:p>
    <w:p>
      <w:pPr>
        <w:autoSpaceDE/>
        <w:autoSpaceDN/>
        <w:adjustRightInd/>
        <w:spacing w:line="280" w:lineRule="exact"/>
        <w:rPr>
          <w:rFonts w:ascii="仿宋_GB2312" w:hAnsi="仿宋_GB2312" w:eastAsia="仿宋_GB2312"/>
          <w:b/>
          <w:color w:val="auto"/>
          <w:sz w:val="24"/>
          <w:szCs w:val="24"/>
        </w:rPr>
      </w:pPr>
      <w:r>
        <w:rPr>
          <w:rFonts w:hint="eastAsia" w:ascii="宋体" w:hAnsi="宋体"/>
          <w:b/>
          <w:sz w:val="24"/>
          <w:szCs w:val="24"/>
        </w:rPr>
        <w:t>三、</w:t>
      </w:r>
      <w:r>
        <w:rPr>
          <w:rFonts w:ascii="宋体" w:hAnsi="宋体"/>
          <w:b/>
          <w:sz w:val="24"/>
          <w:szCs w:val="24"/>
        </w:rPr>
        <w:t>谈判</w:t>
      </w:r>
      <w:r>
        <w:rPr>
          <w:rFonts w:hint="eastAsia" w:ascii="宋体" w:hAnsi="宋体"/>
          <w:b/>
          <w:sz w:val="24"/>
          <w:szCs w:val="24"/>
        </w:rPr>
        <w:t xml:space="preserve">所需资料： </w:t>
      </w:r>
    </w:p>
    <w:p>
      <w:pPr>
        <w:numPr>
          <w:ilvl w:val="0"/>
          <w:numId w:val="2"/>
        </w:numPr>
        <w:autoSpaceDE/>
        <w:autoSpaceDN/>
        <w:adjustRightInd/>
        <w:spacing w:line="280" w:lineRule="exact"/>
        <w:rPr>
          <w:rFonts w:ascii="宋体" w:hAnsi="宋体"/>
          <w:color w:val="auto"/>
          <w:sz w:val="24"/>
          <w:szCs w:val="20"/>
        </w:rPr>
      </w:pPr>
      <w:r>
        <w:rPr>
          <w:rFonts w:hint="eastAsia" w:ascii="宋体" w:hAnsi="宋体"/>
          <w:sz w:val="24"/>
          <w:szCs w:val="24"/>
        </w:rPr>
        <w:t>营业执照复印件（或事业单位法人证书复印件）</w:t>
      </w:r>
      <w:r>
        <w:rPr>
          <w:rFonts w:ascii="宋体" w:hAnsi="宋体"/>
          <w:color w:val="auto"/>
          <w:sz w:val="24"/>
          <w:szCs w:val="20"/>
        </w:rPr>
        <w:t>。</w:t>
      </w:r>
    </w:p>
    <w:p>
      <w:pPr>
        <w:numPr>
          <w:ilvl w:val="0"/>
          <w:numId w:val="2"/>
        </w:numPr>
        <w:autoSpaceDE/>
        <w:autoSpaceDN/>
        <w:adjustRightInd/>
        <w:spacing w:line="280" w:lineRule="exact"/>
        <w:rPr>
          <w:rFonts w:ascii="宋体" w:hAnsi="宋体"/>
          <w:color w:val="auto"/>
          <w:sz w:val="24"/>
          <w:szCs w:val="20"/>
        </w:rPr>
      </w:pPr>
      <w:bookmarkStart w:id="68" w:name="_GoBack"/>
      <w:r>
        <w:rPr>
          <w:rFonts w:ascii="宋体" w:hAnsi="宋体"/>
          <w:color w:val="auto"/>
          <w:sz w:val="24"/>
          <w:szCs w:val="20"/>
        </w:rPr>
        <w:t>谈判代表名单，需指明主要谈判人员。（</w:t>
      </w:r>
      <w:r>
        <w:rPr>
          <w:rFonts w:hint="eastAsia" w:ascii="宋体" w:hAnsi="宋体"/>
          <w:color w:val="auto"/>
          <w:sz w:val="24"/>
          <w:szCs w:val="20"/>
        </w:rPr>
        <w:t>加盖单位公章</w:t>
      </w:r>
      <w:r>
        <w:rPr>
          <w:rFonts w:ascii="宋体" w:hAnsi="宋体"/>
          <w:color w:val="auto"/>
          <w:sz w:val="24"/>
          <w:szCs w:val="20"/>
        </w:rPr>
        <w:t>）</w:t>
      </w:r>
    </w:p>
    <w:bookmarkEnd w:id="68"/>
    <w:p>
      <w:pPr>
        <w:numPr>
          <w:ilvl w:val="0"/>
          <w:numId w:val="2"/>
        </w:numPr>
        <w:autoSpaceDE/>
        <w:autoSpaceDN/>
        <w:adjustRightInd/>
        <w:spacing w:line="280" w:lineRule="exact"/>
        <w:rPr>
          <w:rFonts w:ascii="宋体" w:hAnsi="宋体"/>
          <w:color w:val="auto"/>
          <w:sz w:val="24"/>
          <w:szCs w:val="20"/>
        </w:rPr>
      </w:pPr>
      <w:r>
        <w:rPr>
          <w:rFonts w:ascii="宋体" w:hAnsi="宋体"/>
          <w:color w:val="auto"/>
          <w:sz w:val="24"/>
          <w:szCs w:val="20"/>
        </w:rPr>
        <w:t>授权委托人参加谈判的需携带授权委托书。</w:t>
      </w:r>
    </w:p>
    <w:p>
      <w:pPr>
        <w:numPr>
          <w:ilvl w:val="0"/>
          <w:numId w:val="2"/>
        </w:numPr>
        <w:autoSpaceDE/>
        <w:autoSpaceDN/>
        <w:adjustRightInd/>
        <w:spacing w:line="280" w:lineRule="exact"/>
        <w:rPr>
          <w:rFonts w:ascii="宋体" w:hAnsi="宋体"/>
          <w:color w:val="auto"/>
          <w:sz w:val="24"/>
          <w:szCs w:val="20"/>
        </w:rPr>
      </w:pPr>
      <w:r>
        <w:rPr>
          <w:rFonts w:ascii="宋体" w:hAnsi="宋体"/>
          <w:color w:val="auto"/>
          <w:sz w:val="24"/>
          <w:szCs w:val="20"/>
        </w:rPr>
        <w:t>谈判响应文件。</w:t>
      </w:r>
    </w:p>
    <w:p>
      <w:pPr>
        <w:numPr>
          <w:ilvl w:val="0"/>
          <w:numId w:val="2"/>
        </w:numPr>
        <w:autoSpaceDE/>
        <w:autoSpaceDN/>
        <w:adjustRightInd/>
        <w:spacing w:line="280" w:lineRule="exact"/>
        <w:rPr>
          <w:rFonts w:ascii="宋体" w:hAnsi="宋体"/>
          <w:color w:val="auto"/>
          <w:sz w:val="24"/>
          <w:szCs w:val="20"/>
        </w:rPr>
      </w:pPr>
      <w:r>
        <w:rPr>
          <w:rFonts w:ascii="宋体" w:hAnsi="宋体"/>
          <w:color w:val="auto"/>
          <w:sz w:val="24"/>
          <w:szCs w:val="20"/>
        </w:rPr>
        <w:t>参加谈判人员均需携带本人身份证复印件一份。</w:t>
      </w:r>
    </w:p>
    <w:p>
      <w:pPr>
        <w:autoSpaceDE/>
        <w:autoSpaceDN/>
        <w:adjustRightInd/>
        <w:spacing w:line="280" w:lineRule="exact"/>
        <w:rPr>
          <w:rFonts w:ascii="宋体" w:hAnsi="宋体"/>
          <w:color w:val="auto"/>
          <w:sz w:val="24"/>
          <w:szCs w:val="24"/>
        </w:rPr>
      </w:pPr>
      <w:r>
        <w:rPr>
          <w:rFonts w:hint="eastAsia"/>
          <w:bCs/>
          <w:color w:val="auto"/>
          <w:sz w:val="24"/>
          <w:szCs w:val="24"/>
        </w:rPr>
        <w:t xml:space="preserve">   6、投标人提供的采购标的成本、同类项目合同价格以及相关专利、专有技术等情况说明。</w:t>
      </w:r>
    </w:p>
    <w:p>
      <w:pPr>
        <w:rPr>
          <w:rFonts w:asciiTheme="minorEastAsia" w:hAnsiTheme="minorEastAsia" w:eastAsiaTheme="minorEastAsia"/>
          <w:b/>
          <w:sz w:val="28"/>
          <w:szCs w:val="28"/>
        </w:rPr>
      </w:pPr>
      <w:bookmarkStart w:id="10" w:name="_Toc35393792"/>
      <w:bookmarkStart w:id="11" w:name="_Toc35393623"/>
      <w:r>
        <w:rPr>
          <w:rFonts w:hint="eastAsia" w:asciiTheme="minorEastAsia" w:hAnsiTheme="minorEastAsia" w:eastAsiaTheme="minorEastAsia"/>
          <w:b/>
          <w:sz w:val="28"/>
          <w:szCs w:val="28"/>
        </w:rPr>
        <w:t>四、获取采购文件</w:t>
      </w:r>
      <w:bookmarkEnd w:id="10"/>
      <w:bookmarkEnd w:id="11"/>
    </w:p>
    <w:p>
      <w:pPr>
        <w:pStyle w:val="21"/>
        <w:ind w:firstLine="480" w:firstLineChars="200"/>
        <w:rPr>
          <w:rFonts w:ascii="宋体" w:hAnsi="宋体"/>
          <w:szCs w:val="24"/>
        </w:rPr>
      </w:pPr>
      <w:r>
        <w:rPr>
          <w:rFonts w:hint="eastAsia" w:ascii="宋体" w:hAnsi="宋体"/>
          <w:szCs w:val="24"/>
        </w:rPr>
        <w:t>时间：</w:t>
      </w:r>
      <w:r>
        <w:rPr>
          <w:rFonts w:hint="eastAsia" w:ascii="宋体" w:hAnsi="宋体"/>
          <w:b/>
          <w:szCs w:val="24"/>
          <w:u w:val="single"/>
        </w:rPr>
        <w:t>2021年12月 17日至2021年12月22日</w:t>
      </w:r>
      <w:r>
        <w:rPr>
          <w:rFonts w:hint="eastAsia" w:ascii="宋体" w:hAnsi="宋体"/>
          <w:szCs w:val="24"/>
        </w:rPr>
        <w:t>（</w:t>
      </w:r>
      <w:r>
        <w:rPr>
          <w:rFonts w:ascii="宋体" w:hAnsi="宋体"/>
          <w:szCs w:val="24"/>
        </w:rPr>
        <w:t>法定节假日</w:t>
      </w:r>
      <w:r>
        <w:rPr>
          <w:rFonts w:hint="eastAsia" w:ascii="宋体" w:hAnsi="宋体"/>
          <w:szCs w:val="24"/>
        </w:rPr>
        <w:t>除外）。</w:t>
      </w:r>
    </w:p>
    <w:p>
      <w:pPr>
        <w:pStyle w:val="21"/>
        <w:spacing w:after="156"/>
        <w:ind w:firstLine="480" w:firstLineChars="200"/>
        <w:rPr>
          <w:rFonts w:ascii="宋体" w:hAnsi="宋体"/>
          <w:szCs w:val="24"/>
        </w:rPr>
      </w:pPr>
      <w:r>
        <w:rPr>
          <w:rFonts w:hint="eastAsia" w:ascii="宋体" w:hAnsi="宋体"/>
          <w:szCs w:val="24"/>
        </w:rPr>
        <w:t>获取平台：政采云平台</w:t>
      </w:r>
    </w:p>
    <w:p>
      <w:pPr>
        <w:pStyle w:val="21"/>
        <w:spacing w:after="156"/>
        <w:ind w:firstLine="480" w:firstLineChars="200"/>
        <w:rPr>
          <w:rFonts w:ascii="宋体" w:hAnsi="宋体"/>
          <w:szCs w:val="24"/>
        </w:rPr>
      </w:pPr>
      <w:r>
        <w:rPr>
          <w:rFonts w:hint="eastAsia" w:ascii="宋体" w:hAnsi="宋体"/>
          <w:szCs w:val="24"/>
        </w:rPr>
        <w:t>方式：本项目采购文件采用网上下载方式发布，不提供采购文件纸质版。供应商请在政采云平台中获取采购文件，于开标当日直接参加投标。</w:t>
      </w:r>
    </w:p>
    <w:p>
      <w:pPr>
        <w:pStyle w:val="21"/>
        <w:ind w:firstLine="480" w:firstLineChars="200"/>
        <w:rPr>
          <w:rFonts w:ascii="宋体" w:hAnsi="宋体"/>
          <w:szCs w:val="24"/>
        </w:rPr>
      </w:pPr>
      <w:r>
        <w:rPr>
          <w:rFonts w:hint="eastAsia" w:ascii="宋体" w:hAnsi="宋体"/>
          <w:szCs w:val="24"/>
        </w:rPr>
        <w:t>售价：本项目采购文件免费网上下载</w:t>
      </w:r>
    </w:p>
    <w:p>
      <w:pPr>
        <w:rPr>
          <w:rFonts w:asciiTheme="minorEastAsia" w:hAnsiTheme="minorEastAsia" w:eastAsiaTheme="minorEastAsia"/>
          <w:b/>
          <w:sz w:val="28"/>
          <w:szCs w:val="28"/>
        </w:rPr>
      </w:pPr>
      <w:bookmarkStart w:id="12" w:name="_Toc28359005"/>
      <w:bookmarkStart w:id="13" w:name="_Toc28359082"/>
      <w:bookmarkStart w:id="14" w:name="_Toc35393624"/>
      <w:bookmarkStart w:id="15" w:name="_Toc35393793"/>
      <w:r>
        <w:rPr>
          <w:rFonts w:hint="eastAsia" w:asciiTheme="minorEastAsia" w:hAnsiTheme="minorEastAsia" w:eastAsiaTheme="minorEastAsia"/>
          <w:b/>
          <w:sz w:val="28"/>
          <w:szCs w:val="28"/>
        </w:rPr>
        <w:t>五、提交投标文件</w:t>
      </w:r>
      <w:bookmarkEnd w:id="12"/>
      <w:bookmarkEnd w:id="13"/>
      <w:r>
        <w:rPr>
          <w:rFonts w:hint="eastAsia" w:asciiTheme="minorEastAsia" w:hAnsiTheme="minorEastAsia" w:eastAsiaTheme="minorEastAsia"/>
          <w:b/>
          <w:sz w:val="28"/>
          <w:szCs w:val="28"/>
        </w:rPr>
        <w:t>截止时间、开标时间和地点</w:t>
      </w:r>
      <w:bookmarkEnd w:id="14"/>
      <w:bookmarkEnd w:id="15"/>
    </w:p>
    <w:p>
      <w:pPr>
        <w:pStyle w:val="21"/>
        <w:ind w:firstLine="480" w:firstLineChars="200"/>
        <w:rPr>
          <w:rFonts w:ascii="宋体" w:hAnsi="宋体"/>
          <w:szCs w:val="24"/>
        </w:rPr>
      </w:pPr>
      <w:r>
        <w:rPr>
          <w:rFonts w:hint="eastAsia" w:ascii="宋体" w:hAnsi="宋体"/>
          <w:szCs w:val="24"/>
        </w:rPr>
        <w:t>提交投标文件截止时间及开标时间：投标人应于</w:t>
      </w:r>
      <w:r>
        <w:rPr>
          <w:rFonts w:hint="eastAsia" w:ascii="宋体" w:hAnsi="宋体"/>
          <w:b/>
          <w:color w:val="auto"/>
          <w:szCs w:val="24"/>
          <w:u w:val="single"/>
        </w:rPr>
        <w:t>2</w:t>
      </w:r>
      <w:r>
        <w:rPr>
          <w:rFonts w:hint="eastAsia" w:ascii="宋体" w:hAnsi="宋体"/>
          <w:b/>
          <w:szCs w:val="24"/>
          <w:u w:val="single"/>
        </w:rPr>
        <w:t>021年12月23日9时30分</w:t>
      </w:r>
      <w:r>
        <w:rPr>
          <w:rFonts w:hint="eastAsia" w:ascii="宋体" w:hAnsi="宋体"/>
          <w:szCs w:val="24"/>
        </w:rPr>
        <w:t>（北京时间）前按照电子投标要求将电子加密标书上传到“政采云”平台，逾期或未上传成功的将导致无法投标或投标无效。</w:t>
      </w:r>
    </w:p>
    <w:p>
      <w:pPr>
        <w:pStyle w:val="21"/>
        <w:ind w:firstLine="480" w:firstLineChars="200"/>
        <w:rPr>
          <w:rFonts w:ascii="宋体" w:hAnsi="宋体"/>
          <w:szCs w:val="24"/>
        </w:rPr>
      </w:pPr>
      <w:r>
        <w:rPr>
          <w:rFonts w:hint="eastAsia" w:ascii="宋体" w:hAnsi="宋体"/>
          <w:szCs w:val="24"/>
        </w:rPr>
        <w:t>开标地点：政府采购云平台（www.zcygov.cn）。所有投标人均应当准时于“政府采购云平台”在线参加</w:t>
      </w:r>
      <w:bookmarkStart w:id="16" w:name="_Toc28359007"/>
      <w:bookmarkStart w:id="17" w:name="_Toc35393625"/>
      <w:bookmarkStart w:id="18" w:name="_Toc35393794"/>
      <w:bookmarkStart w:id="19" w:name="_Toc28359084"/>
      <w:r>
        <w:rPr>
          <w:rFonts w:hint="eastAsia" w:ascii="宋体" w:hAnsi="宋体"/>
          <w:szCs w:val="24"/>
        </w:rPr>
        <w:t>。</w:t>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六、</w:t>
      </w:r>
      <w:bookmarkEnd w:id="16"/>
      <w:bookmarkEnd w:id="17"/>
      <w:bookmarkEnd w:id="18"/>
      <w:bookmarkEnd w:id="19"/>
      <w:bookmarkStart w:id="20" w:name="_Toc35393795"/>
      <w:bookmarkStart w:id="21" w:name="_Toc35393626"/>
      <w:r>
        <w:rPr>
          <w:rFonts w:hint="eastAsia" w:asciiTheme="minorEastAsia" w:hAnsiTheme="minorEastAsia" w:eastAsiaTheme="minorEastAsia"/>
          <w:b/>
          <w:sz w:val="28"/>
          <w:szCs w:val="28"/>
        </w:rPr>
        <w:t>其他补充事宜</w:t>
      </w:r>
      <w:bookmarkEnd w:id="20"/>
      <w:bookmarkEnd w:id="21"/>
    </w:p>
    <w:p>
      <w:pPr>
        <w:pStyle w:val="21"/>
        <w:ind w:firstLine="480" w:firstLineChars="200"/>
        <w:rPr>
          <w:rFonts w:ascii="宋体" w:hAnsi="宋体"/>
          <w:szCs w:val="24"/>
        </w:rPr>
      </w:pPr>
      <w:r>
        <w:rPr>
          <w:rFonts w:hint="eastAsia" w:ascii="宋体" w:hAnsi="宋体"/>
          <w:szCs w:val="24"/>
        </w:rPr>
        <w:t>1、标前准备：本项目实行电子招投标，电子交易平台为政采云平台。投标人参与本项目电子招投标活动前应注册成为政采云平台正式投标人，编制电子投标文件前还需申领CA证书并绑定帐号【办理流程详见http://www.zhuji.gov.cn/art/2020/3/12/art_1388400_42241245.html】。投标人应充分考虑完成平台注册、申领CA证书等所需时间，如未在“政府采购云平台”系统内完成相关流程，而引起的投标或响应无效的责任自负</w:t>
      </w:r>
    </w:p>
    <w:p>
      <w:pPr>
        <w:pStyle w:val="21"/>
        <w:ind w:firstLine="480" w:firstLineChars="200"/>
        <w:rPr>
          <w:rFonts w:ascii="宋体" w:hAnsi="宋体"/>
          <w:szCs w:val="24"/>
        </w:rPr>
      </w:pPr>
      <w:r>
        <w:rPr>
          <w:rFonts w:hint="eastAsia" w:ascii="宋体" w:hAnsi="宋体"/>
          <w:szCs w:val="24"/>
        </w:rPr>
        <w:t>2、投标文件制作：投标人通过“政采云”平台电子投标工具制作投标文件，电子投标工具前往“浙江政府采购网-下载专区-电子交易客户端”（http://zfcg.czt.zj.gov.cn/bidClientTemplate/2019-09-24/12975.html）下载并安装，投标文件制作具体流程详见“政府采购云平台”（https://service.zcygov.cn/#/knowledges/CW1EtGwBFdiHxlNd6I3m/6IMVAG0BFdiHxlNdQ8Na），请投标人登录政府采购云平台获取最新操作指南。</w:t>
      </w:r>
    </w:p>
    <w:p>
      <w:pPr>
        <w:pStyle w:val="21"/>
        <w:ind w:firstLine="480" w:firstLineChars="200"/>
        <w:rPr>
          <w:rFonts w:ascii="宋体" w:hAnsi="宋体"/>
          <w:szCs w:val="24"/>
        </w:rPr>
      </w:pPr>
      <w:r>
        <w:rPr>
          <w:rFonts w:hint="eastAsia" w:ascii="宋体" w:hAnsi="宋体"/>
          <w:szCs w:val="24"/>
        </w:rPr>
        <w:t>3、供应商按照本采购文件和“政府采购云平台”的要求，通过“政采云电子交易客户端”编制并加密投标文件。供应商未按规定加密的投标文件，“政府采购云平台”将予以拒收。供应商应在开标时间后1小时内登录“政采云”平台，用“项目采购-开标评标”功能进行解密投标文件。若在规定时间内无法解密或解密失败，将导致投标无效或失败。供应商制作电子投标文件和解密投标文件需为同一把CA。同时为保障项目开标的连贯性、减少电子投标的意外事件，制作电子投标人员与开标人员最好为同一人，预留同一手机号码。</w:t>
      </w:r>
    </w:p>
    <w:p>
      <w:pPr>
        <w:pStyle w:val="21"/>
        <w:ind w:firstLine="480" w:firstLineChars="200"/>
        <w:rPr>
          <w:rFonts w:ascii="宋体" w:hAnsi="宋体"/>
          <w:szCs w:val="24"/>
        </w:rPr>
      </w:pPr>
      <w:r>
        <w:rPr>
          <w:rFonts w:hint="eastAsia" w:ascii="宋体" w:hAnsi="宋体"/>
          <w:szCs w:val="24"/>
        </w:rPr>
        <w:t>4、</w:t>
      </w:r>
      <w:r>
        <w:rPr>
          <w:rFonts w:ascii="宋体" w:hAnsi="宋体"/>
          <w:szCs w:val="24"/>
        </w:rPr>
        <w:t>为确保项目顺利实施，避免因政采云上电子投标文件解密失败导致投标人投标无效，投标人可在投标截止时间前将在政采云平台上最后生成的具备电子签章的备份加密投标文件（文件名后缀为备份文件四字的首字母）以电子邮件方式传送至诸暨市公共资源交易中心邮箱（zjztb001@aliyun.com），传送的备份电子投标文件需打包压缩并加密，加密密码由投标人自行保管，如政采云上电子投标文件出现解密失败情况（开标当日投标截止时间后一个小时内期间进行解密,供应商可以登录“政采云”平台，用“项目采购—开标评标”功能进行解密投标文件），投标人可按照自身意愿确认是否同意提供加密密码传送至诸暨市公共资源交易中心邮箱（zjztb001@aliyun.com）的备份文件，并以备份文件作为替代电子投标文件，如投标人未按照规定时间（投标截止时间前）及要求提供有效备份文件，同时政采云上投标文件解密失败的，将导致投标无效。</w:t>
      </w:r>
    </w:p>
    <w:p>
      <w:pPr>
        <w:pStyle w:val="21"/>
        <w:ind w:firstLine="480" w:firstLineChars="200"/>
        <w:rPr>
          <w:rFonts w:ascii="宋体" w:hAnsi="宋体"/>
          <w:szCs w:val="24"/>
        </w:rPr>
      </w:pPr>
      <w:r>
        <w:rPr>
          <w:rFonts w:hint="eastAsia" w:ascii="宋体" w:hAnsi="宋体"/>
          <w:szCs w:val="24"/>
        </w:rPr>
        <w:t>5、本项目不收取投标保证金。</w:t>
      </w:r>
    </w:p>
    <w:p>
      <w:pPr>
        <w:rPr>
          <w:rFonts w:asciiTheme="minorEastAsia" w:hAnsiTheme="minorEastAsia" w:eastAsiaTheme="minorEastAsia"/>
          <w:b/>
          <w:sz w:val="28"/>
          <w:szCs w:val="28"/>
        </w:rPr>
      </w:pPr>
      <w:bookmarkStart w:id="22" w:name="_Toc28359085"/>
      <w:bookmarkStart w:id="23" w:name="_Toc35393627"/>
      <w:bookmarkStart w:id="24" w:name="_Toc35393796"/>
      <w:bookmarkStart w:id="25" w:name="_Toc28359008"/>
    </w:p>
    <w:p>
      <w:pPr>
        <w:rPr>
          <w:rFonts w:asciiTheme="minorEastAsia" w:hAnsiTheme="minorEastAsia" w:eastAsiaTheme="minorEastAsia"/>
          <w:b/>
          <w:sz w:val="28"/>
          <w:szCs w:val="28"/>
        </w:rPr>
      </w:pP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七、对本次采购提出询问，请按</w:t>
      </w:r>
      <w:r>
        <w:rPr>
          <w:rFonts w:asciiTheme="minorEastAsia" w:hAnsiTheme="minorEastAsia" w:eastAsiaTheme="minorEastAsia"/>
          <w:b/>
          <w:sz w:val="28"/>
          <w:szCs w:val="28"/>
        </w:rPr>
        <w:t>以下方式</w:t>
      </w:r>
      <w:r>
        <w:rPr>
          <w:rFonts w:hint="eastAsia" w:asciiTheme="minorEastAsia" w:hAnsiTheme="minorEastAsia" w:eastAsiaTheme="minorEastAsia"/>
          <w:b/>
          <w:sz w:val="28"/>
          <w:szCs w:val="28"/>
        </w:rPr>
        <w:t>联系。</w:t>
      </w:r>
      <w:bookmarkEnd w:id="22"/>
      <w:bookmarkEnd w:id="23"/>
      <w:bookmarkEnd w:id="24"/>
      <w:bookmarkEnd w:id="25"/>
    </w:p>
    <w:p>
      <w:pPr>
        <w:pStyle w:val="21"/>
        <w:ind w:firstLine="482" w:firstLineChars="200"/>
        <w:rPr>
          <w:rFonts w:ascii="宋体" w:hAnsi="宋体"/>
          <w:b/>
          <w:szCs w:val="24"/>
        </w:rPr>
      </w:pPr>
      <w:r>
        <w:rPr>
          <w:rFonts w:hint="eastAsia" w:ascii="宋体" w:hAnsi="宋体"/>
          <w:b/>
          <w:szCs w:val="24"/>
        </w:rPr>
        <w:t>1.采购人信息</w:t>
      </w:r>
    </w:p>
    <w:p>
      <w:pPr>
        <w:pStyle w:val="21"/>
        <w:ind w:firstLine="480" w:firstLineChars="200"/>
        <w:rPr>
          <w:rFonts w:ascii="宋体" w:hAnsi="宋体"/>
          <w:szCs w:val="24"/>
        </w:rPr>
      </w:pPr>
      <w:r>
        <w:rPr>
          <w:rFonts w:hint="eastAsia" w:ascii="宋体" w:hAnsi="宋体"/>
          <w:szCs w:val="24"/>
        </w:rPr>
        <w:t>名      称：诸暨市人力资源和社会保障局</w:t>
      </w:r>
    </w:p>
    <w:p>
      <w:pPr>
        <w:pStyle w:val="21"/>
        <w:ind w:firstLine="480" w:firstLineChars="200"/>
        <w:rPr>
          <w:rFonts w:ascii="宋体" w:hAnsi="宋体"/>
          <w:szCs w:val="24"/>
        </w:rPr>
      </w:pPr>
      <w:r>
        <w:rPr>
          <w:rFonts w:hint="eastAsia" w:ascii="宋体" w:hAnsi="宋体"/>
          <w:szCs w:val="24"/>
        </w:rPr>
        <w:t>地      址：诸暨市暨阳街道永昌路12号</w:t>
      </w:r>
    </w:p>
    <w:p>
      <w:pPr>
        <w:pStyle w:val="21"/>
        <w:ind w:firstLine="480" w:firstLineChars="200"/>
        <w:rPr>
          <w:rFonts w:ascii="宋体" w:hAnsi="宋体"/>
          <w:szCs w:val="24"/>
        </w:rPr>
      </w:pPr>
      <w:r>
        <w:rPr>
          <w:rFonts w:hint="eastAsia" w:ascii="宋体" w:hAnsi="宋体"/>
          <w:szCs w:val="24"/>
        </w:rPr>
        <w:t>项目联系人：周杉</w:t>
      </w:r>
    </w:p>
    <w:p>
      <w:pPr>
        <w:pStyle w:val="21"/>
        <w:ind w:firstLine="480" w:firstLineChars="200"/>
        <w:rPr>
          <w:rFonts w:ascii="宋体" w:hAnsi="宋体"/>
          <w:szCs w:val="24"/>
        </w:rPr>
      </w:pPr>
      <w:r>
        <w:rPr>
          <w:rFonts w:hint="eastAsia" w:ascii="宋体" w:hAnsi="宋体"/>
          <w:szCs w:val="24"/>
        </w:rPr>
        <w:t>联系  方式：</w:t>
      </w:r>
      <w:bookmarkStart w:id="26" w:name="_Toc28359086"/>
      <w:bookmarkStart w:id="27" w:name="_Toc28359009"/>
      <w:r>
        <w:rPr>
          <w:rFonts w:hint="eastAsia" w:ascii="宋体" w:hAnsi="宋体"/>
          <w:szCs w:val="24"/>
        </w:rPr>
        <w:t>17305858266</w:t>
      </w:r>
    </w:p>
    <w:p>
      <w:pPr>
        <w:pStyle w:val="21"/>
        <w:ind w:firstLine="480" w:firstLineChars="200"/>
        <w:rPr>
          <w:rFonts w:ascii="宋体" w:hAnsi="宋体"/>
          <w:szCs w:val="24"/>
        </w:rPr>
      </w:pPr>
    </w:p>
    <w:p>
      <w:pPr>
        <w:pStyle w:val="21"/>
        <w:ind w:firstLine="482" w:firstLineChars="200"/>
        <w:rPr>
          <w:rFonts w:ascii="宋体" w:hAnsi="宋体"/>
          <w:b/>
          <w:szCs w:val="24"/>
        </w:rPr>
      </w:pPr>
      <w:r>
        <w:rPr>
          <w:rFonts w:hint="eastAsia" w:ascii="宋体" w:hAnsi="宋体"/>
          <w:b/>
          <w:szCs w:val="24"/>
        </w:rPr>
        <w:t>2.采购代理机构信息</w:t>
      </w:r>
      <w:bookmarkEnd w:id="26"/>
      <w:bookmarkEnd w:id="27"/>
    </w:p>
    <w:p>
      <w:pPr>
        <w:pStyle w:val="21"/>
        <w:ind w:firstLine="480" w:firstLineChars="200"/>
        <w:rPr>
          <w:rFonts w:ascii="宋体" w:hAnsi="宋体"/>
          <w:szCs w:val="24"/>
        </w:rPr>
      </w:pPr>
      <w:r>
        <w:rPr>
          <w:rFonts w:hint="eastAsia" w:ascii="宋体" w:hAnsi="宋体"/>
          <w:szCs w:val="24"/>
        </w:rPr>
        <w:t>名      称：诸暨市公共资源交易中心</w:t>
      </w:r>
    </w:p>
    <w:p>
      <w:pPr>
        <w:pStyle w:val="21"/>
        <w:ind w:firstLine="480" w:firstLineChars="200"/>
        <w:rPr>
          <w:rFonts w:ascii="宋体" w:hAnsi="宋体"/>
          <w:szCs w:val="24"/>
        </w:rPr>
      </w:pPr>
      <w:r>
        <w:rPr>
          <w:rFonts w:hint="eastAsia" w:ascii="宋体" w:hAnsi="宋体"/>
          <w:szCs w:val="24"/>
        </w:rPr>
        <w:t>地　    址：诸暨市暨东路58号6楼北602办公室</w:t>
      </w:r>
    </w:p>
    <w:p>
      <w:pPr>
        <w:pStyle w:val="21"/>
        <w:ind w:firstLine="480" w:firstLineChars="200"/>
        <w:rPr>
          <w:rFonts w:ascii="宋体" w:hAnsi="宋体"/>
          <w:szCs w:val="24"/>
        </w:rPr>
      </w:pPr>
      <w:r>
        <w:rPr>
          <w:rFonts w:hint="eastAsia" w:ascii="宋体" w:hAnsi="宋体"/>
          <w:szCs w:val="24"/>
        </w:rPr>
        <w:t>项目联系人：王洁</w:t>
      </w:r>
    </w:p>
    <w:p>
      <w:pPr>
        <w:pStyle w:val="21"/>
        <w:ind w:firstLine="480" w:firstLineChars="200"/>
        <w:rPr>
          <w:rFonts w:ascii="宋体" w:hAnsi="宋体"/>
          <w:szCs w:val="24"/>
        </w:rPr>
      </w:pPr>
      <w:r>
        <w:rPr>
          <w:rFonts w:hint="eastAsia" w:ascii="宋体" w:hAnsi="宋体"/>
          <w:szCs w:val="24"/>
        </w:rPr>
        <w:t xml:space="preserve">联系  方式：0575-87253016  </w:t>
      </w:r>
      <w:r>
        <w:rPr>
          <w:rFonts w:hint="eastAsia" w:ascii="宋体"/>
          <w:color w:val="auto"/>
          <w:szCs w:val="24"/>
        </w:rPr>
        <w:t>传真：</w:t>
      </w:r>
      <w:r>
        <w:rPr>
          <w:rFonts w:hint="eastAsia" w:ascii="宋体" w:hAnsi="宋体"/>
          <w:szCs w:val="24"/>
        </w:rPr>
        <w:t>0575-</w:t>
      </w:r>
      <w:r>
        <w:rPr>
          <w:rFonts w:hint="eastAsia" w:ascii="宋体"/>
          <w:color w:val="auto"/>
          <w:szCs w:val="24"/>
        </w:rPr>
        <w:t>87221107</w:t>
      </w:r>
    </w:p>
    <w:p>
      <w:pPr>
        <w:pStyle w:val="21"/>
        <w:ind w:firstLine="480" w:firstLineChars="200"/>
        <w:rPr>
          <w:rFonts w:ascii="宋体" w:hAnsi="宋体"/>
          <w:szCs w:val="24"/>
        </w:rPr>
      </w:pPr>
    </w:p>
    <w:p>
      <w:pPr>
        <w:pStyle w:val="21"/>
        <w:ind w:firstLine="482" w:firstLineChars="200"/>
        <w:rPr>
          <w:rFonts w:ascii="宋体" w:hAnsi="宋体"/>
          <w:b/>
          <w:szCs w:val="24"/>
        </w:rPr>
      </w:pPr>
      <w:r>
        <w:rPr>
          <w:rFonts w:hint="eastAsia" w:ascii="宋体" w:hAnsi="宋体"/>
          <w:b/>
          <w:szCs w:val="24"/>
        </w:rPr>
        <w:t>3.同级政府采购监督管理部门</w:t>
      </w:r>
    </w:p>
    <w:p>
      <w:pPr>
        <w:pStyle w:val="21"/>
        <w:ind w:firstLine="480" w:firstLineChars="200"/>
        <w:rPr>
          <w:rFonts w:ascii="宋体" w:hAnsi="宋体"/>
          <w:szCs w:val="24"/>
        </w:rPr>
      </w:pPr>
      <w:r>
        <w:rPr>
          <w:rFonts w:hint="eastAsia" w:ascii="宋体" w:hAnsi="宋体"/>
          <w:szCs w:val="24"/>
        </w:rPr>
        <w:t>名      称：诸暨市财政局政府采购监管科</w:t>
      </w:r>
    </w:p>
    <w:p>
      <w:pPr>
        <w:pStyle w:val="21"/>
        <w:ind w:firstLine="480" w:firstLineChars="200"/>
        <w:rPr>
          <w:rFonts w:ascii="宋体" w:hAnsi="宋体"/>
          <w:szCs w:val="24"/>
        </w:rPr>
      </w:pPr>
      <w:r>
        <w:rPr>
          <w:rFonts w:hint="eastAsia" w:ascii="宋体" w:hAnsi="宋体"/>
          <w:szCs w:val="24"/>
        </w:rPr>
        <w:t>地      址：诸暨市人民中路356号</w:t>
      </w:r>
    </w:p>
    <w:p>
      <w:pPr>
        <w:pStyle w:val="21"/>
        <w:ind w:firstLine="480" w:firstLineChars="200"/>
        <w:rPr>
          <w:rFonts w:ascii="宋体" w:hAnsi="宋体"/>
          <w:szCs w:val="24"/>
        </w:rPr>
      </w:pPr>
      <w:r>
        <w:rPr>
          <w:rFonts w:hint="eastAsia" w:ascii="宋体" w:hAnsi="宋体"/>
          <w:szCs w:val="24"/>
        </w:rPr>
        <w:t>联  系  人：金永康 </w:t>
      </w:r>
    </w:p>
    <w:p>
      <w:pPr>
        <w:pStyle w:val="21"/>
        <w:ind w:firstLine="480" w:firstLineChars="200"/>
        <w:rPr>
          <w:rFonts w:ascii="宋体" w:hAnsi="宋体"/>
          <w:szCs w:val="24"/>
        </w:rPr>
      </w:pPr>
      <w:r>
        <w:rPr>
          <w:rFonts w:hint="eastAsia" w:ascii="宋体" w:hAnsi="宋体"/>
          <w:szCs w:val="24"/>
        </w:rPr>
        <w:t>监督投诉电话：0575-87113458</w:t>
      </w:r>
    </w:p>
    <w:p>
      <w:pPr>
        <w:pStyle w:val="21"/>
        <w:ind w:firstLine="480" w:firstLineChars="200"/>
        <w:rPr>
          <w:rFonts w:ascii="宋体" w:hAnsi="宋体"/>
          <w:szCs w:val="24"/>
        </w:rPr>
      </w:pPr>
    </w:p>
    <w:p>
      <w:pPr>
        <w:pStyle w:val="21"/>
        <w:ind w:firstLine="482" w:firstLineChars="200"/>
        <w:rPr>
          <w:rFonts w:ascii="宋体" w:hAnsi="宋体"/>
          <w:szCs w:val="24"/>
        </w:rPr>
      </w:pPr>
      <w:r>
        <w:rPr>
          <w:rFonts w:hint="eastAsia" w:ascii="宋体" w:hAnsi="宋体"/>
          <w:b/>
          <w:szCs w:val="24"/>
        </w:rPr>
        <w:t>4.政采云平台技术支持热线咨询</w:t>
      </w:r>
      <w:r>
        <w:rPr>
          <w:rFonts w:hint="eastAsia" w:ascii="宋体" w:hAnsi="宋体"/>
          <w:szCs w:val="24"/>
        </w:rPr>
        <w:t>，联系电话：400-881-7190</w:t>
      </w:r>
    </w:p>
    <w:p>
      <w:pPr>
        <w:rPr>
          <w:rFonts w:ascii="仿宋" w:hAnsi="仿宋" w:eastAsia="仿宋"/>
          <w:sz w:val="28"/>
          <w:szCs w:val="28"/>
        </w:rPr>
      </w:pPr>
    </w:p>
    <w:p>
      <w:pPr>
        <w:spacing w:line="400" w:lineRule="exact"/>
        <w:jc w:val="right"/>
        <w:rPr>
          <w:rFonts w:ascii="宋体" w:hAnsi="宋体"/>
          <w:sz w:val="24"/>
          <w:szCs w:val="24"/>
        </w:rPr>
      </w:pPr>
      <w:r>
        <w:rPr>
          <w:rFonts w:hint="eastAsia" w:ascii="宋体" w:hAnsi="宋体"/>
          <w:sz w:val="24"/>
          <w:szCs w:val="24"/>
        </w:rPr>
        <w:t xml:space="preserve">                                           诸暨市人力资源和社会保障局　　　　　　　　　　　　        诸暨市公共资源交易中心</w:t>
      </w:r>
    </w:p>
    <w:p>
      <w:pPr>
        <w:jc w:val="right"/>
        <w:rPr>
          <w:rFonts w:ascii="宋体" w:hAnsi="宋体"/>
          <w:sz w:val="24"/>
          <w:szCs w:val="24"/>
        </w:rPr>
      </w:pPr>
      <w:r>
        <w:rPr>
          <w:rFonts w:hint="eastAsia" w:ascii="宋体" w:hAnsi="宋体"/>
          <w:sz w:val="24"/>
          <w:szCs w:val="24"/>
        </w:rPr>
        <w:t>　　　　　　　　　　　　        2021年12</w:t>
      </w:r>
      <w:r>
        <w:rPr>
          <w:rFonts w:hint="eastAsia" w:ascii="宋体" w:hAnsi="宋体" w:cs="Arial"/>
          <w:sz w:val="24"/>
        </w:rPr>
        <w:t>月17日</w:t>
      </w:r>
    </w:p>
    <w:p>
      <w:pPr>
        <w:spacing w:line="360" w:lineRule="auto"/>
        <w:ind w:firstLine="540"/>
        <w:jc w:val="right"/>
        <w:rPr>
          <w:rFonts w:ascii="仿宋" w:hAnsi="仿宋" w:eastAsia="仿宋" w:cs="宋体"/>
          <w:sz w:val="28"/>
          <w:szCs w:val="28"/>
        </w:rPr>
      </w:pPr>
    </w:p>
    <w:p>
      <w:pPr>
        <w:jc w:val="center"/>
        <w:rPr>
          <w:rFonts w:ascii="宋体" w:hAnsi="宋体"/>
          <w:sz w:val="24"/>
        </w:rPr>
      </w:pPr>
      <w:r>
        <w:rPr>
          <w:rFonts w:ascii="宋体" w:hAnsi="宋体"/>
          <w:sz w:val="36"/>
          <w:szCs w:val="36"/>
        </w:rPr>
        <w:br w:type="page"/>
      </w:r>
      <w:bookmarkEnd w:id="1"/>
      <w:bookmarkStart w:id="28" w:name="_Toc125344512"/>
    </w:p>
    <w:p>
      <w:pPr>
        <w:pStyle w:val="2"/>
        <w:spacing w:line="240" w:lineRule="auto"/>
        <w:jc w:val="center"/>
        <w:rPr>
          <w:rFonts w:ascii="宋体" w:hAnsi="宋体"/>
          <w:sz w:val="36"/>
          <w:szCs w:val="36"/>
        </w:rPr>
      </w:pPr>
      <w:r>
        <w:rPr>
          <w:rFonts w:hint="eastAsia" w:ascii="宋体" w:hAnsi="宋体"/>
          <w:sz w:val="36"/>
          <w:szCs w:val="36"/>
        </w:rPr>
        <w:t>第二章   谈判须知</w:t>
      </w:r>
    </w:p>
    <w:p>
      <w:pPr>
        <w:pStyle w:val="3"/>
        <w:spacing w:line="360" w:lineRule="exact"/>
        <w:jc w:val="center"/>
        <w:rPr>
          <w:rFonts w:ascii="宋体" w:hAnsi="宋体" w:eastAsia="宋体"/>
          <w:sz w:val="28"/>
          <w:szCs w:val="28"/>
        </w:rPr>
      </w:pPr>
      <w:r>
        <w:rPr>
          <w:rFonts w:hint="eastAsia" w:ascii="宋体" w:hAnsi="宋体" w:eastAsia="宋体"/>
          <w:sz w:val="28"/>
          <w:szCs w:val="28"/>
        </w:rPr>
        <w:t>一、总   则</w:t>
      </w:r>
    </w:p>
    <w:p>
      <w:pPr>
        <w:spacing w:line="340" w:lineRule="exact"/>
        <w:ind w:firstLine="482" w:firstLineChars="200"/>
        <w:rPr>
          <w:rFonts w:ascii="宋体" w:hAnsi="宋体"/>
        </w:rPr>
      </w:pPr>
      <w:r>
        <w:rPr>
          <w:rFonts w:hint="eastAsia" w:ascii="宋体" w:hAnsi="宋体"/>
          <w:b/>
          <w:bCs/>
          <w:sz w:val="24"/>
        </w:rPr>
        <w:t>1.</w:t>
      </w:r>
      <w:r>
        <w:rPr>
          <w:rFonts w:ascii="宋体" w:hAnsi="宋体"/>
          <w:b/>
          <w:sz w:val="24"/>
        </w:rPr>
        <w:t>适用范围</w:t>
      </w:r>
    </w:p>
    <w:p>
      <w:pPr>
        <w:snapToGrid w:val="0"/>
        <w:spacing w:line="340" w:lineRule="exact"/>
        <w:ind w:firstLine="480" w:firstLineChars="200"/>
        <w:jc w:val="left"/>
        <w:rPr>
          <w:rFonts w:ascii="宋体" w:hAnsi="宋体"/>
          <w:sz w:val="24"/>
        </w:rPr>
      </w:pPr>
      <w:r>
        <w:rPr>
          <w:rFonts w:hint="eastAsia" w:ascii="宋体" w:hAnsi="宋体"/>
          <w:sz w:val="24"/>
        </w:rPr>
        <w:t>本采购文件适用于本次所述项目的采购。</w:t>
      </w:r>
    </w:p>
    <w:p>
      <w:pPr>
        <w:snapToGrid w:val="0"/>
        <w:spacing w:line="340" w:lineRule="exact"/>
        <w:ind w:firstLine="472" w:firstLineChars="196"/>
        <w:jc w:val="left"/>
        <w:outlineLvl w:val="1"/>
        <w:rPr>
          <w:rFonts w:ascii="宋体" w:hAnsi="宋体"/>
          <w:b/>
          <w:sz w:val="24"/>
        </w:rPr>
      </w:pPr>
      <w:r>
        <w:rPr>
          <w:rFonts w:hint="eastAsia" w:ascii="宋体" w:hAnsi="宋体"/>
          <w:b/>
          <w:sz w:val="24"/>
        </w:rPr>
        <w:t>2.定义</w:t>
      </w:r>
    </w:p>
    <w:p>
      <w:pPr>
        <w:snapToGrid w:val="0"/>
        <w:spacing w:line="340" w:lineRule="exact"/>
        <w:ind w:firstLine="480" w:firstLineChars="200"/>
        <w:jc w:val="left"/>
        <w:rPr>
          <w:rFonts w:ascii="宋体" w:hAnsi="宋体"/>
          <w:sz w:val="24"/>
        </w:rPr>
      </w:pPr>
      <w:r>
        <w:rPr>
          <w:rFonts w:hint="eastAsia" w:ascii="宋体" w:hAnsi="宋体"/>
          <w:sz w:val="24"/>
        </w:rPr>
        <w:t>2.1“采购</w:t>
      </w:r>
      <w:r>
        <w:rPr>
          <w:rFonts w:ascii="宋体" w:hAnsi="宋体"/>
          <w:sz w:val="24"/>
        </w:rPr>
        <w:t>人</w:t>
      </w:r>
      <w:r>
        <w:rPr>
          <w:rFonts w:hint="eastAsia" w:ascii="宋体" w:hAnsi="宋体"/>
          <w:sz w:val="24"/>
        </w:rPr>
        <w:t>”</w:t>
      </w:r>
      <w:r>
        <w:rPr>
          <w:rFonts w:ascii="宋体" w:hAnsi="宋体"/>
          <w:sz w:val="24"/>
        </w:rPr>
        <w:t>系指</w:t>
      </w:r>
      <w:r>
        <w:rPr>
          <w:rFonts w:hint="eastAsia" w:ascii="宋体" w:hAnsi="宋体"/>
          <w:sz w:val="24"/>
        </w:rPr>
        <w:t>组织</w:t>
      </w:r>
      <w:r>
        <w:rPr>
          <w:rFonts w:ascii="宋体" w:hAnsi="宋体"/>
          <w:sz w:val="24"/>
        </w:rPr>
        <w:t>本次</w:t>
      </w:r>
      <w:r>
        <w:rPr>
          <w:rFonts w:hint="eastAsia" w:ascii="宋体" w:hAnsi="宋体"/>
          <w:sz w:val="24"/>
        </w:rPr>
        <w:t>采购</w:t>
      </w:r>
      <w:r>
        <w:rPr>
          <w:rFonts w:ascii="宋体" w:hAnsi="宋体"/>
          <w:sz w:val="24"/>
        </w:rPr>
        <w:t>的采购单位</w:t>
      </w:r>
      <w:r>
        <w:rPr>
          <w:rFonts w:hint="eastAsia" w:ascii="宋体" w:hAnsi="宋体"/>
          <w:sz w:val="24"/>
        </w:rPr>
        <w:t>和诸暨市公共资源交易中心</w:t>
      </w:r>
      <w:r>
        <w:rPr>
          <w:rFonts w:ascii="宋体" w:hAnsi="宋体"/>
          <w:sz w:val="24"/>
        </w:rPr>
        <w:t>。</w:t>
      </w:r>
    </w:p>
    <w:p>
      <w:pPr>
        <w:snapToGrid w:val="0"/>
        <w:spacing w:line="340" w:lineRule="exact"/>
        <w:ind w:firstLine="480" w:firstLineChars="200"/>
        <w:jc w:val="lef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w:t>
      </w:r>
      <w:r>
        <w:rPr>
          <w:rFonts w:ascii="宋体" w:hAnsi="宋体"/>
          <w:sz w:val="24"/>
        </w:rPr>
        <w:t>投标人”系指向</w:t>
      </w:r>
      <w:r>
        <w:rPr>
          <w:rFonts w:hint="eastAsia" w:ascii="宋体" w:hAnsi="宋体"/>
          <w:sz w:val="24"/>
        </w:rPr>
        <w:t>采购方</w:t>
      </w:r>
      <w:r>
        <w:rPr>
          <w:rFonts w:ascii="宋体" w:hAnsi="宋体"/>
          <w:sz w:val="24"/>
        </w:rPr>
        <w:t>提交谈判响应文件的</w:t>
      </w:r>
      <w:r>
        <w:rPr>
          <w:rFonts w:hint="eastAsia" w:ascii="宋体" w:hAnsi="宋体"/>
          <w:sz w:val="24"/>
        </w:rPr>
        <w:t>供应商</w:t>
      </w:r>
      <w:r>
        <w:rPr>
          <w:rFonts w:ascii="宋体" w:hAnsi="宋体"/>
          <w:sz w:val="24"/>
        </w:rPr>
        <w:t>。</w:t>
      </w:r>
    </w:p>
    <w:p>
      <w:pPr>
        <w:snapToGrid w:val="0"/>
        <w:spacing w:line="340" w:lineRule="exact"/>
        <w:ind w:firstLine="480" w:firstLineChars="200"/>
        <w:jc w:val="left"/>
        <w:rPr>
          <w:rFonts w:ascii="宋体" w:hAnsi="宋体"/>
          <w:sz w:val="24"/>
        </w:rPr>
      </w:pPr>
      <w:r>
        <w:rPr>
          <w:rFonts w:hint="eastAsia" w:ascii="宋体" w:hAnsi="宋体"/>
          <w:sz w:val="24"/>
        </w:rPr>
        <w:t>2.3</w:t>
      </w:r>
      <w:r>
        <w:rPr>
          <w:rFonts w:ascii="宋体" w:hAnsi="宋体"/>
          <w:sz w:val="24"/>
        </w:rPr>
        <w:t>“产品”系指供方按采购文件规定，须向采购单位提供的一切设备、保险、税</w:t>
      </w:r>
      <w:r>
        <w:rPr>
          <w:rFonts w:hint="eastAsia" w:ascii="宋体" w:hAnsi="宋体"/>
          <w:sz w:val="24"/>
        </w:rPr>
        <w:t xml:space="preserve"> </w:t>
      </w:r>
      <w:r>
        <w:rPr>
          <w:rFonts w:ascii="宋体" w:hAnsi="宋体"/>
          <w:sz w:val="24"/>
        </w:rPr>
        <w:t>金、备品备件、工具、手册及其它有关技术资料和材料。</w:t>
      </w:r>
    </w:p>
    <w:p>
      <w:pPr>
        <w:snapToGrid w:val="0"/>
        <w:spacing w:line="340" w:lineRule="exact"/>
        <w:ind w:firstLine="480" w:firstLineChars="200"/>
        <w:jc w:val="left"/>
        <w:rPr>
          <w:rFonts w:ascii="宋体" w:hAnsi="宋体"/>
          <w:sz w:val="24"/>
        </w:rPr>
      </w:pPr>
      <w:r>
        <w:rPr>
          <w:rFonts w:hint="eastAsia" w:ascii="宋体" w:hAnsi="宋体"/>
          <w:sz w:val="24"/>
        </w:rPr>
        <w:t>2.</w:t>
      </w:r>
      <w:r>
        <w:rPr>
          <w:rFonts w:ascii="宋体" w:hAnsi="宋体"/>
          <w:sz w:val="24"/>
        </w:rPr>
        <w:t>4“服务”系指采购文件规定投标人须承担的安装、调试、技术协助、校准、培训、技术指导以及其他类似的义务。</w:t>
      </w:r>
    </w:p>
    <w:p>
      <w:pPr>
        <w:snapToGrid w:val="0"/>
        <w:spacing w:line="340" w:lineRule="exact"/>
        <w:ind w:firstLine="480" w:firstLineChars="200"/>
        <w:jc w:val="left"/>
        <w:rPr>
          <w:rFonts w:ascii="宋体" w:hAnsi="宋体"/>
          <w:sz w:val="24"/>
        </w:rPr>
      </w:pPr>
      <w:r>
        <w:rPr>
          <w:rFonts w:hint="eastAsia" w:ascii="宋体" w:hAnsi="宋体"/>
          <w:sz w:val="24"/>
        </w:rPr>
        <w:t>2.</w:t>
      </w:r>
      <w:r>
        <w:rPr>
          <w:rFonts w:ascii="宋体" w:hAnsi="宋体"/>
          <w:sz w:val="24"/>
        </w:rPr>
        <w:t>5“项目”系指投标人按采购文件规定向采购单位提供的产品和服务。</w:t>
      </w:r>
    </w:p>
    <w:p>
      <w:pPr>
        <w:snapToGrid w:val="0"/>
        <w:spacing w:line="340" w:lineRule="exact"/>
        <w:ind w:firstLine="480" w:firstLineChars="200"/>
        <w:jc w:val="left"/>
        <w:rPr>
          <w:rFonts w:ascii="宋体" w:hAnsi="宋体"/>
          <w:sz w:val="24"/>
        </w:rPr>
      </w:pPr>
      <w:r>
        <w:rPr>
          <w:rFonts w:hint="eastAsia" w:ascii="宋体" w:hAnsi="宋体"/>
          <w:sz w:val="24"/>
        </w:rPr>
        <w:t>2.</w:t>
      </w:r>
      <w:r>
        <w:rPr>
          <w:rFonts w:ascii="宋体" w:hAnsi="宋体"/>
          <w:sz w:val="24"/>
        </w:rPr>
        <w:t>6“书面形式”包括信函、传真、电报等。</w:t>
      </w:r>
    </w:p>
    <w:p>
      <w:pPr>
        <w:snapToGrid w:val="0"/>
        <w:spacing w:line="340" w:lineRule="exact"/>
        <w:ind w:firstLine="480" w:firstLineChars="200"/>
        <w:jc w:val="left"/>
        <w:rPr>
          <w:rFonts w:ascii="宋体" w:hAnsi="宋体"/>
          <w:sz w:val="24"/>
        </w:rPr>
      </w:pPr>
      <w:r>
        <w:rPr>
          <w:rFonts w:hint="eastAsia" w:ascii="宋体" w:hAnsi="宋体"/>
          <w:sz w:val="24"/>
        </w:rPr>
        <w:t>2.</w:t>
      </w:r>
      <w:r>
        <w:rPr>
          <w:rFonts w:ascii="宋体" w:hAnsi="宋体"/>
          <w:sz w:val="24"/>
        </w:rPr>
        <w:t>7</w:t>
      </w:r>
      <w:r>
        <w:rPr>
          <w:rFonts w:hint="eastAsia" w:ascii="宋体" w:hAnsi="宋体"/>
          <w:sz w:val="24"/>
        </w:rPr>
        <w:t>本采购文件所述设备品牌、型号是结合实际现有情况的推荐性参考方案，投标方也可根据采购文件得要求参考性能相当或高于、服务条款相等或高于、符合采购方实际业务需求其他同档次优质品牌的产品，进行方案优化。所投产品不在参考品牌范围内的，需提供加盖原厂商公章的产品设备性能指标详细材料和证明其产品与参考品牌同档次、具有可比性,且品牌、型号性能相当或高于、服务条款相等或高于、符合采购方实际业务需求同档次优质品牌的说明书，无法在谈判响应文件中提供的，其投标可能会被拒绝（或作无效投标）。</w:t>
      </w:r>
    </w:p>
    <w:p>
      <w:pPr>
        <w:snapToGrid w:val="0"/>
        <w:spacing w:line="340" w:lineRule="exact"/>
        <w:ind w:firstLine="472" w:firstLineChars="196"/>
        <w:jc w:val="left"/>
        <w:outlineLvl w:val="1"/>
        <w:rPr>
          <w:rFonts w:ascii="宋体" w:hAnsi="宋体"/>
          <w:b/>
          <w:sz w:val="24"/>
        </w:rPr>
      </w:pPr>
      <w:r>
        <w:rPr>
          <w:rFonts w:hint="eastAsia" w:ascii="宋体" w:hAnsi="宋体"/>
          <w:b/>
          <w:sz w:val="24"/>
        </w:rPr>
        <w:t>3.采购方式</w:t>
      </w:r>
    </w:p>
    <w:p>
      <w:pPr>
        <w:snapToGrid w:val="0"/>
        <w:spacing w:line="340" w:lineRule="exact"/>
        <w:ind w:firstLine="480" w:firstLineChars="200"/>
        <w:jc w:val="left"/>
        <w:rPr>
          <w:rFonts w:ascii="宋体" w:hAnsi="宋体"/>
          <w:sz w:val="24"/>
        </w:rPr>
      </w:pPr>
      <w:r>
        <w:rPr>
          <w:rFonts w:ascii="宋体" w:hAnsi="宋体"/>
          <w:sz w:val="24"/>
        </w:rPr>
        <w:t>本次</w:t>
      </w:r>
      <w:r>
        <w:rPr>
          <w:rFonts w:hint="eastAsia" w:ascii="宋体" w:hAnsi="宋体"/>
          <w:sz w:val="24"/>
        </w:rPr>
        <w:t>采购</w:t>
      </w:r>
      <w:r>
        <w:rPr>
          <w:rFonts w:ascii="宋体" w:hAnsi="宋体"/>
          <w:sz w:val="24"/>
        </w:rPr>
        <w:t>采用</w:t>
      </w:r>
      <w:r>
        <w:rPr>
          <w:rFonts w:hint="eastAsia" w:ascii="宋体" w:hAnsi="宋体"/>
          <w:sz w:val="24"/>
        </w:rPr>
        <w:t>单一来源</w:t>
      </w:r>
      <w:r>
        <w:rPr>
          <w:rFonts w:ascii="宋体" w:hAnsi="宋体"/>
          <w:sz w:val="24"/>
        </w:rPr>
        <w:t>进行。</w:t>
      </w:r>
    </w:p>
    <w:p>
      <w:pPr>
        <w:snapToGrid w:val="0"/>
        <w:spacing w:line="340" w:lineRule="exact"/>
        <w:ind w:firstLine="472" w:firstLineChars="196"/>
        <w:jc w:val="left"/>
        <w:outlineLvl w:val="1"/>
        <w:rPr>
          <w:rFonts w:ascii="宋体" w:hAnsi="宋体"/>
          <w:b/>
          <w:sz w:val="24"/>
        </w:rPr>
      </w:pPr>
      <w:r>
        <w:rPr>
          <w:rFonts w:hint="eastAsia" w:ascii="宋体" w:hAnsi="宋体"/>
          <w:b/>
          <w:sz w:val="24"/>
        </w:rPr>
        <w:t>4.投标委托</w:t>
      </w:r>
    </w:p>
    <w:p>
      <w:pPr>
        <w:snapToGrid w:val="0"/>
        <w:spacing w:line="340" w:lineRule="exact"/>
        <w:ind w:firstLine="480" w:firstLineChars="200"/>
        <w:jc w:val="left"/>
        <w:rPr>
          <w:rFonts w:ascii="宋体" w:hAnsi="宋体"/>
          <w:sz w:val="24"/>
        </w:rPr>
      </w:pPr>
      <w:r>
        <w:rPr>
          <w:rFonts w:ascii="宋体" w:hAnsi="宋体"/>
          <w:sz w:val="24"/>
        </w:rPr>
        <w:t>投标人代表须携带居民身份证。如投标人代表不是法定代表人，须有法定代表人出具的授权委托书。</w:t>
      </w:r>
    </w:p>
    <w:p>
      <w:pPr>
        <w:snapToGrid w:val="0"/>
        <w:spacing w:line="340" w:lineRule="exact"/>
        <w:ind w:firstLine="472" w:firstLineChars="196"/>
        <w:jc w:val="left"/>
        <w:outlineLvl w:val="1"/>
        <w:rPr>
          <w:rFonts w:ascii="宋体" w:hAnsi="宋体"/>
          <w:b/>
          <w:sz w:val="24"/>
        </w:rPr>
      </w:pPr>
      <w:r>
        <w:rPr>
          <w:rFonts w:hint="eastAsia" w:ascii="宋体" w:hAnsi="宋体"/>
          <w:b/>
          <w:sz w:val="24"/>
        </w:rPr>
        <w:t>5.投标费用</w:t>
      </w:r>
    </w:p>
    <w:p>
      <w:pPr>
        <w:snapToGrid w:val="0"/>
        <w:spacing w:line="340" w:lineRule="exact"/>
        <w:ind w:firstLine="480" w:firstLineChars="200"/>
        <w:jc w:val="left"/>
        <w:rPr>
          <w:rFonts w:ascii="宋体" w:hAnsi="宋体"/>
          <w:sz w:val="24"/>
        </w:rPr>
      </w:pPr>
      <w:r>
        <w:rPr>
          <w:rFonts w:hint="eastAsia" w:ascii="宋体" w:hAnsi="宋体"/>
          <w:sz w:val="24"/>
        </w:rPr>
        <w:t>投标人应自行承担获得采购文件和编制、提交谈判响应文件所涉及的一切费用。不论投标结果如何，投标人均应自行承担所有与投标有关的全部费用。对成交供应商免收政府采购代理服务费。</w:t>
      </w:r>
    </w:p>
    <w:p>
      <w:pPr>
        <w:snapToGrid w:val="0"/>
        <w:spacing w:line="360" w:lineRule="exact"/>
        <w:ind w:firstLine="472" w:firstLineChars="196"/>
        <w:jc w:val="left"/>
        <w:outlineLvl w:val="1"/>
        <w:rPr>
          <w:rFonts w:ascii="宋体" w:hAnsi="宋体"/>
          <w:b/>
          <w:sz w:val="24"/>
        </w:rPr>
      </w:pPr>
      <w:r>
        <w:rPr>
          <w:rFonts w:hint="eastAsia" w:ascii="宋体" w:hAnsi="宋体"/>
          <w:b/>
          <w:sz w:val="24"/>
        </w:rPr>
        <w:t>6.特别说明：</w:t>
      </w:r>
    </w:p>
    <w:p>
      <w:pPr>
        <w:pStyle w:val="21"/>
        <w:snapToGrid w:val="0"/>
        <w:spacing w:line="360" w:lineRule="exact"/>
        <w:ind w:left="2" w:leftChars="1" w:firstLine="480" w:firstLineChars="200"/>
        <w:rPr>
          <w:rFonts w:ascii="宋体" w:hAnsi="宋体"/>
        </w:rPr>
      </w:pPr>
      <w:r>
        <w:rPr>
          <w:rFonts w:hint="eastAsia" w:ascii="宋体" w:hAnsi="宋体"/>
        </w:rPr>
        <w:t>6.1</w:t>
      </w:r>
      <w:r>
        <w:rPr>
          <w:rFonts w:ascii="宋体" w:hAnsi="宋体"/>
        </w:rPr>
        <w:t>投标人投标所使用的资格、信誉、荣誉、业绩与企业认证必须为本法人所拥有。</w:t>
      </w:r>
    </w:p>
    <w:p>
      <w:pPr>
        <w:pStyle w:val="21"/>
        <w:snapToGrid w:val="0"/>
        <w:spacing w:line="360" w:lineRule="exact"/>
        <w:ind w:left="481" w:leftChars="229"/>
        <w:jc w:val="left"/>
        <w:rPr>
          <w:rFonts w:ascii="宋体" w:hAnsi="宋体"/>
        </w:rPr>
      </w:pPr>
      <w:r>
        <w:rPr>
          <w:rFonts w:hint="eastAsia" w:ascii="宋体" w:hAnsi="宋体"/>
        </w:rPr>
        <w:t>6.</w:t>
      </w:r>
      <w:r>
        <w:rPr>
          <w:rFonts w:ascii="宋体" w:hAnsi="宋体"/>
        </w:rPr>
        <w:t>2投标人应仔细阅读采购文件的所有内容，按照采购文件的要求提交谈判响应文件，并对所提供的全部资料的真实性承担法律责任。</w:t>
      </w:r>
    </w:p>
    <w:p>
      <w:pPr>
        <w:pStyle w:val="21"/>
        <w:snapToGrid w:val="0"/>
        <w:spacing w:line="360" w:lineRule="exact"/>
        <w:ind w:firstLine="480" w:firstLineChars="200"/>
        <w:jc w:val="left"/>
        <w:rPr>
          <w:rFonts w:ascii="宋体" w:hAnsi="宋体"/>
        </w:rPr>
      </w:pPr>
      <w:r>
        <w:rPr>
          <w:rFonts w:hint="eastAsia" w:ascii="宋体" w:hAnsi="宋体"/>
        </w:rPr>
        <w:t>6.</w:t>
      </w:r>
      <w:r>
        <w:rPr>
          <w:rFonts w:ascii="宋体" w:hAnsi="宋体"/>
        </w:rPr>
        <w:t>3投标人在投标活动中提供任何虚假材料,其投标无效，并报监管部门查处；中标后发现的,成交供应商须依照《中华人民共和国消费者权益保护法》第49条之规定双倍赔偿采购单位，且民事赔偿并不免除违法投标人的行政与刑事责任。</w:t>
      </w:r>
    </w:p>
    <w:p>
      <w:pPr>
        <w:pStyle w:val="21"/>
        <w:snapToGrid w:val="0"/>
        <w:ind w:left="2" w:leftChars="1" w:firstLine="480" w:firstLineChars="200"/>
        <w:rPr>
          <w:rFonts w:ascii="宋体" w:hAnsi="宋体"/>
        </w:rPr>
      </w:pPr>
      <w:r>
        <w:rPr>
          <w:rFonts w:hint="eastAsia" w:ascii="宋体" w:hAnsi="宋体"/>
        </w:rPr>
        <w:t>6.4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pPr>
        <w:pStyle w:val="21"/>
        <w:snapToGrid w:val="0"/>
        <w:ind w:firstLine="472" w:firstLineChars="196"/>
        <w:outlineLvl w:val="1"/>
        <w:rPr>
          <w:rFonts w:ascii="宋体" w:hAnsi="宋体"/>
          <w:b/>
          <w:bCs/>
        </w:rPr>
      </w:pPr>
      <w:r>
        <w:rPr>
          <w:rFonts w:hint="eastAsia" w:ascii="宋体" w:hAnsi="宋体"/>
          <w:b/>
        </w:rPr>
        <w:t>7.</w:t>
      </w:r>
      <w:r>
        <w:rPr>
          <w:rFonts w:ascii="宋体" w:hAnsi="宋体"/>
          <w:b/>
          <w:bCs/>
        </w:rPr>
        <w:t>质疑和投诉</w:t>
      </w:r>
    </w:p>
    <w:p>
      <w:pPr>
        <w:pStyle w:val="21"/>
        <w:snapToGrid w:val="0"/>
        <w:ind w:left="1" w:firstLine="480" w:firstLineChars="200"/>
        <w:rPr>
          <w:rFonts w:ascii="宋体" w:hAnsi="宋体"/>
          <w:bCs/>
        </w:rPr>
      </w:pPr>
      <w:r>
        <w:rPr>
          <w:rFonts w:hint="eastAsia" w:ascii="宋体" w:hAnsi="宋体"/>
          <w:bCs/>
        </w:rPr>
        <w:t>7.</w:t>
      </w:r>
      <w:r>
        <w:rPr>
          <w:rFonts w:ascii="宋体" w:hAnsi="宋体"/>
          <w:bCs/>
        </w:rPr>
        <w:t>1投标人认为采购文件、</w:t>
      </w:r>
      <w:r>
        <w:rPr>
          <w:rFonts w:hint="eastAsia" w:ascii="宋体" w:hAnsi="宋体"/>
          <w:bCs/>
        </w:rPr>
        <w:t>采购</w:t>
      </w:r>
      <w:r>
        <w:rPr>
          <w:rFonts w:ascii="宋体" w:hAnsi="宋体"/>
          <w:bCs/>
        </w:rPr>
        <w:t>过程和中标结果使自己的合法权益受到损害的，应当在知道或者应知其权益受到损害之日起七个工作日内，以书面形式向采购单位、</w:t>
      </w:r>
      <w:r>
        <w:rPr>
          <w:rFonts w:hint="eastAsia" w:ascii="宋体" w:hAnsi="宋体"/>
          <w:bCs/>
        </w:rPr>
        <w:t>采购代理机构</w:t>
      </w:r>
      <w:r>
        <w:rPr>
          <w:rFonts w:ascii="宋体" w:hAnsi="宋体"/>
          <w:bCs/>
        </w:rPr>
        <w:t>提出质疑。</w:t>
      </w:r>
      <w:r>
        <w:rPr>
          <w:rFonts w:ascii="宋体" w:hAnsi="宋体"/>
        </w:rPr>
        <w:t>投标人对</w:t>
      </w:r>
      <w:r>
        <w:rPr>
          <w:rFonts w:hint="eastAsia" w:ascii="宋体" w:hAnsi="宋体"/>
        </w:rPr>
        <w:t>采购</w:t>
      </w:r>
      <w:r>
        <w:rPr>
          <w:rFonts w:ascii="宋体" w:hAnsi="宋体"/>
        </w:rPr>
        <w:t>人的质疑答复不满意或者</w:t>
      </w:r>
      <w:r>
        <w:rPr>
          <w:rFonts w:hint="eastAsia" w:ascii="宋体" w:hAnsi="宋体"/>
        </w:rPr>
        <w:t>采购</w:t>
      </w:r>
      <w:r>
        <w:rPr>
          <w:rFonts w:ascii="宋体" w:hAnsi="宋体"/>
        </w:rPr>
        <w:t>人未在规定时间内作出答复的，可以在答复期满后十五个工作日内向同级采购监管部门投诉。</w:t>
      </w:r>
      <w:r>
        <w:rPr>
          <w:rFonts w:hint="eastAsia" w:ascii="宋体" w:hAnsi="宋体"/>
          <w:szCs w:val="24"/>
        </w:rPr>
        <w:t>逾期提出的，采购代理机构不予受理、答复。</w:t>
      </w:r>
    </w:p>
    <w:p>
      <w:pPr>
        <w:pStyle w:val="21"/>
        <w:snapToGrid w:val="0"/>
        <w:ind w:left="1" w:firstLine="480" w:firstLineChars="200"/>
        <w:rPr>
          <w:rFonts w:ascii="宋体" w:hAnsi="宋体"/>
        </w:rPr>
      </w:pPr>
      <w:r>
        <w:rPr>
          <w:rFonts w:hint="eastAsia" w:ascii="宋体" w:hAnsi="宋体"/>
          <w:bCs/>
        </w:rPr>
        <w:t>7.</w:t>
      </w:r>
      <w:r>
        <w:rPr>
          <w:rFonts w:ascii="宋体" w:hAnsi="宋体"/>
          <w:bCs/>
        </w:rPr>
        <w:t>2质疑、投诉应当采用书面形式，质疑书、投诉书均应明确阐述采购文件、</w:t>
      </w:r>
      <w:r>
        <w:rPr>
          <w:rFonts w:hint="eastAsia" w:ascii="宋体" w:hAnsi="宋体"/>
          <w:bCs/>
        </w:rPr>
        <w:t>采购</w:t>
      </w:r>
      <w:r>
        <w:rPr>
          <w:rFonts w:ascii="宋体" w:hAnsi="宋体"/>
          <w:bCs/>
        </w:rPr>
        <w:t>过程和中标结果中使自己合法权益受到损害的实质性内容，提供相关事实、依据和证据及</w:t>
      </w:r>
      <w:r>
        <w:rPr>
          <w:rFonts w:ascii="宋体" w:hAnsi="宋体"/>
        </w:rPr>
        <w:t>其来源或线索，便于有关单位调查、答复和处理</w:t>
      </w:r>
      <w:r>
        <w:rPr>
          <w:rFonts w:hint="eastAsia" w:ascii="宋体" w:hAnsi="宋体"/>
        </w:rPr>
        <w:t>。</w:t>
      </w:r>
    </w:p>
    <w:p>
      <w:pPr>
        <w:pStyle w:val="21"/>
        <w:snapToGrid w:val="0"/>
        <w:ind w:left="1" w:firstLine="480" w:firstLineChars="200"/>
        <w:rPr>
          <w:rFonts w:ascii="宋体" w:hAnsi="宋体"/>
          <w:szCs w:val="24"/>
        </w:rPr>
      </w:pPr>
      <w:r>
        <w:rPr>
          <w:rFonts w:hint="eastAsia" w:ascii="宋体" w:hAnsi="宋体"/>
        </w:rPr>
        <w:t>7.3</w:t>
      </w:r>
      <w:r>
        <w:rPr>
          <w:rFonts w:hint="eastAsia" w:ascii="宋体" w:hAnsi="宋体"/>
          <w:szCs w:val="24"/>
        </w:rPr>
        <w:t>采购代理机构与采购人研究后，对认为有必要回答的问题，采购人将答疑内容以网上发布公告的形式通知所有投标人，答疑内容是采购文件的组成部份。</w:t>
      </w:r>
    </w:p>
    <w:p>
      <w:pPr>
        <w:pStyle w:val="21"/>
        <w:snapToGrid w:val="0"/>
        <w:ind w:left="1" w:firstLine="480" w:firstLineChars="200"/>
        <w:rPr>
          <w:rFonts w:ascii="宋体" w:hAnsi="宋体"/>
        </w:rPr>
      </w:pPr>
      <w:r>
        <w:rPr>
          <w:rFonts w:hint="eastAsia" w:ascii="宋体" w:hAnsi="宋体"/>
        </w:rPr>
        <w:t>7.4投标人一旦参与本次采购活动，即被视为接受了本采购文件的所有内容，如有任何异议，均须在答疑截止时间前提出。</w:t>
      </w:r>
    </w:p>
    <w:p>
      <w:pPr>
        <w:pStyle w:val="3"/>
        <w:spacing w:line="360" w:lineRule="exact"/>
        <w:jc w:val="center"/>
        <w:rPr>
          <w:rFonts w:ascii="宋体" w:hAnsi="宋体" w:eastAsia="宋体"/>
          <w:sz w:val="28"/>
          <w:szCs w:val="28"/>
        </w:rPr>
      </w:pPr>
      <w:r>
        <w:rPr>
          <w:rFonts w:hint="eastAsia" w:ascii="宋体" w:hAnsi="宋体" w:eastAsia="宋体"/>
          <w:sz w:val="28"/>
          <w:szCs w:val="28"/>
        </w:rPr>
        <w:t>二、采购文件</w:t>
      </w:r>
    </w:p>
    <w:p>
      <w:pPr>
        <w:snapToGrid w:val="0"/>
        <w:ind w:firstLine="472" w:firstLineChars="196"/>
        <w:jc w:val="left"/>
        <w:rPr>
          <w:rFonts w:ascii="宋体" w:hAnsi="宋体"/>
          <w:b/>
          <w:sz w:val="24"/>
        </w:rPr>
      </w:pPr>
      <w:r>
        <w:rPr>
          <w:rFonts w:hint="eastAsia" w:ascii="宋体" w:hAnsi="宋体"/>
          <w:b/>
          <w:sz w:val="24"/>
        </w:rPr>
        <w:t>8.采购文件的构成。</w:t>
      </w:r>
    </w:p>
    <w:p>
      <w:pPr>
        <w:snapToGrid w:val="0"/>
        <w:ind w:firstLine="480" w:firstLineChars="200"/>
        <w:jc w:val="left"/>
        <w:rPr>
          <w:rFonts w:ascii="宋体" w:hAnsi="宋体"/>
          <w:sz w:val="24"/>
        </w:rPr>
      </w:pPr>
      <w:r>
        <w:rPr>
          <w:rFonts w:hint="eastAsia" w:ascii="宋体" w:hAnsi="宋体"/>
          <w:sz w:val="24"/>
        </w:rPr>
        <w:t>本采购文件由以下部份组成：</w:t>
      </w:r>
    </w:p>
    <w:p>
      <w:pPr>
        <w:snapToGrid w:val="0"/>
        <w:ind w:firstLine="480" w:firstLineChars="200"/>
        <w:jc w:val="left"/>
        <w:rPr>
          <w:rFonts w:ascii="宋体" w:hAnsi="宋体"/>
          <w:sz w:val="24"/>
        </w:rPr>
      </w:pPr>
      <w:r>
        <w:rPr>
          <w:rFonts w:hint="eastAsia" w:ascii="宋体" w:hAnsi="宋体"/>
          <w:sz w:val="24"/>
        </w:rPr>
        <w:t>8.</w:t>
      </w:r>
      <w:r>
        <w:rPr>
          <w:rFonts w:ascii="宋体" w:hAnsi="宋体"/>
          <w:sz w:val="24"/>
        </w:rPr>
        <w:t>1</w:t>
      </w:r>
      <w:r>
        <w:rPr>
          <w:rFonts w:hint="eastAsia" w:ascii="宋体" w:hAnsi="宋体"/>
          <w:sz w:val="24"/>
        </w:rPr>
        <w:t>谈判邀请函；</w:t>
      </w:r>
    </w:p>
    <w:p>
      <w:pPr>
        <w:snapToGrid w:val="0"/>
        <w:ind w:firstLine="480" w:firstLineChars="200"/>
        <w:jc w:val="left"/>
        <w:rPr>
          <w:rFonts w:ascii="宋体" w:hAnsi="宋体"/>
          <w:sz w:val="24"/>
        </w:rPr>
      </w:pPr>
      <w:r>
        <w:rPr>
          <w:rFonts w:hint="eastAsia" w:ascii="宋体" w:hAnsi="宋体"/>
          <w:sz w:val="24"/>
        </w:rPr>
        <w:t>8.2谈判须知；</w:t>
      </w:r>
    </w:p>
    <w:p>
      <w:pPr>
        <w:snapToGrid w:val="0"/>
        <w:ind w:firstLine="480" w:firstLineChars="200"/>
        <w:jc w:val="left"/>
        <w:rPr>
          <w:rFonts w:ascii="宋体" w:hAnsi="宋体"/>
          <w:sz w:val="24"/>
        </w:rPr>
      </w:pPr>
      <w:r>
        <w:rPr>
          <w:rFonts w:hint="eastAsia" w:ascii="宋体" w:hAnsi="宋体"/>
          <w:sz w:val="24"/>
        </w:rPr>
        <w:t>8.3评标办法及评分标准；</w:t>
      </w:r>
    </w:p>
    <w:p>
      <w:pPr>
        <w:snapToGrid w:val="0"/>
        <w:ind w:firstLine="480" w:firstLineChars="200"/>
        <w:jc w:val="left"/>
        <w:rPr>
          <w:rFonts w:ascii="宋体" w:hAnsi="宋体"/>
          <w:sz w:val="24"/>
        </w:rPr>
      </w:pPr>
      <w:r>
        <w:rPr>
          <w:rFonts w:hint="eastAsia" w:ascii="宋体" w:hAnsi="宋体"/>
          <w:sz w:val="24"/>
        </w:rPr>
        <w:t>8.4采购需求；</w:t>
      </w:r>
    </w:p>
    <w:p>
      <w:pPr>
        <w:snapToGrid w:val="0"/>
        <w:ind w:firstLine="480" w:firstLineChars="200"/>
        <w:jc w:val="left"/>
        <w:rPr>
          <w:rFonts w:ascii="宋体" w:hAnsi="宋体"/>
          <w:sz w:val="24"/>
        </w:rPr>
      </w:pPr>
      <w:r>
        <w:rPr>
          <w:rFonts w:hint="eastAsia" w:ascii="宋体" w:hAnsi="宋体"/>
          <w:sz w:val="24"/>
        </w:rPr>
        <w:t>8.5应提交的有关格式范例；</w:t>
      </w:r>
    </w:p>
    <w:p>
      <w:pPr>
        <w:snapToGrid w:val="0"/>
        <w:ind w:firstLine="480" w:firstLineChars="200"/>
        <w:jc w:val="left"/>
        <w:rPr>
          <w:rFonts w:ascii="宋体" w:hAnsi="宋体"/>
          <w:sz w:val="24"/>
        </w:rPr>
      </w:pPr>
      <w:r>
        <w:rPr>
          <w:rFonts w:hint="eastAsia" w:ascii="宋体" w:hAnsi="宋体"/>
          <w:sz w:val="24"/>
        </w:rPr>
        <w:t>8.6本项目</w:t>
      </w:r>
      <w:r>
        <w:rPr>
          <w:rFonts w:ascii="宋体" w:hAnsi="宋体"/>
          <w:sz w:val="24"/>
        </w:rPr>
        <w:t>采购文件</w:t>
      </w:r>
      <w:r>
        <w:rPr>
          <w:rFonts w:hint="eastAsia" w:ascii="宋体" w:hAnsi="宋体"/>
          <w:sz w:val="24"/>
        </w:rPr>
        <w:t>的</w:t>
      </w:r>
      <w:r>
        <w:rPr>
          <w:rFonts w:ascii="宋体" w:hAnsi="宋体"/>
          <w:sz w:val="24"/>
        </w:rPr>
        <w:t>澄清、答复、修改、补充的内容</w:t>
      </w:r>
      <w:r>
        <w:rPr>
          <w:rFonts w:hint="eastAsia" w:ascii="宋体" w:hAnsi="宋体"/>
          <w:sz w:val="24"/>
        </w:rPr>
        <w:t>。</w:t>
      </w:r>
    </w:p>
    <w:p>
      <w:pPr>
        <w:snapToGrid w:val="0"/>
        <w:ind w:firstLine="472" w:firstLineChars="196"/>
        <w:jc w:val="left"/>
        <w:rPr>
          <w:rFonts w:ascii="宋体" w:hAnsi="宋体"/>
          <w:b/>
          <w:sz w:val="24"/>
        </w:rPr>
      </w:pPr>
      <w:r>
        <w:rPr>
          <w:rFonts w:hint="eastAsia" w:ascii="宋体" w:hAnsi="宋体"/>
          <w:b/>
          <w:sz w:val="24"/>
        </w:rPr>
        <w:t>9.投标人的风险</w:t>
      </w:r>
    </w:p>
    <w:p>
      <w:pPr>
        <w:snapToGrid w:val="0"/>
        <w:ind w:firstLine="480" w:firstLineChars="200"/>
        <w:jc w:val="left"/>
        <w:rPr>
          <w:rFonts w:ascii="宋体" w:hAnsi="宋体"/>
          <w:sz w:val="24"/>
        </w:rPr>
      </w:pPr>
      <w:r>
        <w:rPr>
          <w:rFonts w:hint="eastAsia" w:ascii="宋体" w:hAnsi="宋体"/>
          <w:sz w:val="24"/>
        </w:rPr>
        <w:t>投标人应仔细阅读采购文件的所有内容，并按照采购文件的要求提交谈判响应文件。投标人没有按照采购文件要求提供全部资料，或者投标人没有对采购文件在各方面者作出实质性响应是投标人的风险，并可能导致其投标被拒绝。</w:t>
      </w:r>
    </w:p>
    <w:p>
      <w:pPr>
        <w:pStyle w:val="12"/>
        <w:widowControl w:val="0"/>
        <w:numPr>
          <w:ilvl w:val="0"/>
          <w:numId w:val="0"/>
        </w:numPr>
        <w:snapToGrid w:val="0"/>
        <w:spacing w:after="156"/>
        <w:ind w:firstLine="472" w:firstLineChars="196"/>
        <w:rPr>
          <w:rFonts w:ascii="宋体" w:hAnsi="宋体"/>
          <w:b/>
          <w:color w:val="000000"/>
          <w:szCs w:val="24"/>
        </w:rPr>
      </w:pPr>
      <w:r>
        <w:rPr>
          <w:rFonts w:hint="eastAsia" w:ascii="宋体" w:hAnsi="宋体"/>
          <w:b/>
          <w:color w:val="000000"/>
          <w:szCs w:val="24"/>
        </w:rPr>
        <w:t>10.采购文件的澄清与修改</w:t>
      </w:r>
      <w:r>
        <w:rPr>
          <w:rFonts w:ascii="宋体" w:hAnsi="宋体"/>
          <w:b/>
          <w:color w:val="000000"/>
          <w:szCs w:val="24"/>
        </w:rPr>
        <w:t xml:space="preserve"> </w:t>
      </w:r>
    </w:p>
    <w:p>
      <w:pPr>
        <w:pStyle w:val="21"/>
        <w:snapToGrid w:val="0"/>
        <w:ind w:firstLine="480" w:firstLineChars="200"/>
        <w:rPr>
          <w:rFonts w:ascii="宋体" w:hAnsi="宋体"/>
          <w:szCs w:val="24"/>
        </w:rPr>
      </w:pPr>
      <w:r>
        <w:rPr>
          <w:rFonts w:hint="eastAsia" w:ascii="宋体" w:hAnsi="宋体"/>
        </w:rPr>
        <w:t>10.1</w:t>
      </w:r>
      <w:r>
        <w:rPr>
          <w:rFonts w:ascii="宋体" w:hAnsi="宋体"/>
          <w:bCs/>
        </w:rPr>
        <w:t>投标人应认真阅读本采购文件，发现其中有误或有不合理要求的，投标人必须以书面形</w:t>
      </w:r>
      <w:r>
        <w:rPr>
          <w:rFonts w:hint="eastAsia" w:ascii="宋体" w:hAnsi="宋体"/>
          <w:bCs/>
        </w:rPr>
        <w:t>式</w:t>
      </w:r>
      <w:r>
        <w:rPr>
          <w:rFonts w:hint="eastAsia" w:ascii="宋体" w:hAnsi="宋体"/>
        </w:rPr>
        <w:t>(包括书面文字、传真等)</w:t>
      </w:r>
      <w:r>
        <w:rPr>
          <w:rFonts w:hint="eastAsia" w:ascii="宋体" w:hAnsi="宋体"/>
          <w:bCs/>
        </w:rPr>
        <w:t>要求采购人澄清</w:t>
      </w:r>
      <w:r>
        <w:rPr>
          <w:rFonts w:hint="eastAsia" w:ascii="宋体" w:hAnsi="宋体"/>
        </w:rPr>
        <w:t>。</w:t>
      </w:r>
    </w:p>
    <w:p>
      <w:pPr>
        <w:pStyle w:val="21"/>
        <w:snapToGrid w:val="0"/>
        <w:ind w:firstLine="480" w:firstLineChars="200"/>
        <w:rPr>
          <w:rFonts w:hAnsi="宋体"/>
        </w:rPr>
      </w:pPr>
      <w:r>
        <w:rPr>
          <w:rFonts w:hint="eastAsia" w:ascii="宋体" w:hAnsi="宋体"/>
        </w:rPr>
        <w:t>10.2</w:t>
      </w:r>
      <w:r>
        <w:rPr>
          <w:rFonts w:ascii="宋体" w:hAnsi="宋体"/>
        </w:rPr>
        <w:t>采购文件澄清、答复、修改、补充的内容为采购文件的组成部分。</w:t>
      </w:r>
      <w:r>
        <w:rPr>
          <w:rFonts w:hAnsi="宋体"/>
        </w:rPr>
        <w:t>当采购文件与采购文件的答复、澄清、修改、补充公告就同一内容的表述不一致时，以最后发出的文件</w:t>
      </w:r>
      <w:r>
        <w:rPr>
          <w:rFonts w:hint="eastAsia" w:hAnsi="宋体"/>
        </w:rPr>
        <w:t>或公告或通知</w:t>
      </w:r>
      <w:r>
        <w:rPr>
          <w:rFonts w:hAnsi="宋体"/>
        </w:rPr>
        <w:t>为准。</w:t>
      </w:r>
    </w:p>
    <w:p>
      <w:pPr>
        <w:pStyle w:val="21"/>
        <w:snapToGrid w:val="0"/>
        <w:ind w:firstLine="480" w:firstLineChars="200"/>
        <w:rPr>
          <w:rFonts w:ascii="宋体" w:hAnsi="宋体"/>
        </w:rPr>
      </w:pPr>
      <w:r>
        <w:rPr>
          <w:rFonts w:hint="eastAsia" w:ascii="宋体" w:hAnsi="宋体"/>
        </w:rPr>
        <w:t>10.3在投标截止时间前，采购人有权修改采购文件，并以书面形式通知投标人，通知中没有注明更改投标截止时间的视为截止时间不变。修改的文件作为采购文件的补充和组成部分，对投标人均有约束力。</w:t>
      </w:r>
    </w:p>
    <w:p>
      <w:pPr>
        <w:pStyle w:val="21"/>
        <w:snapToGrid w:val="0"/>
        <w:ind w:firstLine="480" w:firstLineChars="200"/>
        <w:rPr>
          <w:rFonts w:ascii="宋体" w:hAnsi="宋体"/>
        </w:rPr>
      </w:pPr>
      <w:r>
        <w:rPr>
          <w:rFonts w:hint="eastAsia" w:ascii="宋体" w:hAnsi="宋体"/>
        </w:rPr>
        <w:t>10.4为使投标人在编制谈判响应文件时把补充公告内容考虑进去，采购人可以酌情推迟递交谈判响应文件的截止时间。</w:t>
      </w:r>
    </w:p>
    <w:p>
      <w:pPr>
        <w:pStyle w:val="3"/>
        <w:spacing w:line="360" w:lineRule="exact"/>
        <w:jc w:val="center"/>
        <w:rPr>
          <w:rFonts w:ascii="宋体" w:hAnsi="宋体" w:eastAsia="宋体"/>
          <w:sz w:val="28"/>
          <w:szCs w:val="28"/>
        </w:rPr>
      </w:pPr>
      <w:r>
        <w:rPr>
          <w:rFonts w:hint="eastAsia" w:ascii="宋体" w:hAnsi="宋体" w:eastAsia="宋体"/>
          <w:sz w:val="28"/>
          <w:szCs w:val="28"/>
        </w:rPr>
        <w:t>三、谈判响应文件编制和提交</w:t>
      </w:r>
    </w:p>
    <w:p>
      <w:pPr>
        <w:snapToGrid w:val="0"/>
        <w:ind w:firstLine="472" w:firstLineChars="196"/>
        <w:jc w:val="left"/>
        <w:outlineLvl w:val="0"/>
        <w:rPr>
          <w:rFonts w:ascii="宋体" w:hAnsi="宋体"/>
          <w:b/>
          <w:sz w:val="24"/>
        </w:rPr>
      </w:pPr>
      <w:r>
        <w:rPr>
          <w:rFonts w:hint="eastAsia" w:ascii="宋体" w:hAnsi="宋体"/>
          <w:b/>
          <w:sz w:val="24"/>
        </w:rPr>
        <w:t>11.谈判响应文件的组成</w:t>
      </w:r>
    </w:p>
    <w:p>
      <w:pPr>
        <w:snapToGrid w:val="0"/>
        <w:ind w:firstLine="470" w:firstLineChars="196"/>
        <w:jc w:val="left"/>
        <w:outlineLvl w:val="0"/>
        <w:rPr>
          <w:rFonts w:ascii="宋体" w:hAnsi="宋体"/>
          <w:color w:val="auto"/>
          <w:kern w:val="2"/>
          <w:sz w:val="24"/>
          <w:szCs w:val="20"/>
        </w:rPr>
      </w:pPr>
      <w:r>
        <w:rPr>
          <w:rFonts w:ascii="宋体" w:hAnsi="宋体"/>
          <w:color w:val="auto"/>
          <w:kern w:val="2"/>
          <w:sz w:val="24"/>
          <w:szCs w:val="20"/>
        </w:rPr>
        <w:t>谈判响应文件内容应包括：投标单位介绍、营业执照，</w:t>
      </w:r>
      <w:r>
        <w:rPr>
          <w:rFonts w:hint="eastAsia" w:ascii="宋体" w:hAnsi="宋体"/>
          <w:color w:val="auto"/>
          <w:kern w:val="2"/>
          <w:sz w:val="24"/>
          <w:szCs w:val="20"/>
        </w:rPr>
        <w:t>法定负责人授权委托书（除法定负责人亲自参加外）</w:t>
      </w:r>
      <w:r>
        <w:rPr>
          <w:rFonts w:ascii="宋体" w:hAnsi="宋体"/>
          <w:color w:val="auto"/>
          <w:kern w:val="2"/>
          <w:sz w:val="24"/>
          <w:szCs w:val="20"/>
        </w:rPr>
        <w:t>，</w:t>
      </w:r>
      <w:r>
        <w:rPr>
          <w:rFonts w:hint="eastAsia" w:ascii="宋体" w:hAnsi="宋体"/>
          <w:color w:val="auto"/>
          <w:kern w:val="2"/>
          <w:sz w:val="24"/>
          <w:szCs w:val="20"/>
        </w:rPr>
        <w:t>投标报价汇总表，分项报价表</w:t>
      </w:r>
      <w:r>
        <w:rPr>
          <w:rFonts w:ascii="宋体" w:hAnsi="宋体"/>
          <w:color w:val="auto"/>
          <w:kern w:val="2"/>
          <w:sz w:val="24"/>
          <w:szCs w:val="20"/>
        </w:rPr>
        <w:t>，</w:t>
      </w:r>
      <w:r>
        <w:rPr>
          <w:rFonts w:hint="eastAsia" w:ascii="宋体" w:hAnsi="宋体"/>
          <w:color w:val="auto"/>
          <w:kern w:val="2"/>
          <w:sz w:val="24"/>
          <w:szCs w:val="20"/>
        </w:rPr>
        <w:t>售后服务承诺，</w:t>
      </w:r>
      <w:r>
        <w:rPr>
          <w:rFonts w:ascii="宋体" w:hAnsi="宋体"/>
          <w:color w:val="auto"/>
          <w:kern w:val="2"/>
          <w:sz w:val="24"/>
          <w:szCs w:val="20"/>
        </w:rPr>
        <w:t>以及其他投标方认为必要的内容。</w:t>
      </w:r>
    </w:p>
    <w:p>
      <w:pPr>
        <w:snapToGrid w:val="0"/>
        <w:ind w:firstLine="480" w:firstLineChars="200"/>
        <w:jc w:val="left"/>
        <w:rPr>
          <w:rFonts w:ascii="宋体" w:hAnsi="宋体"/>
          <w:sz w:val="24"/>
          <w:szCs w:val="24"/>
        </w:rPr>
      </w:pPr>
      <w:r>
        <w:rPr>
          <w:rFonts w:hint="eastAsia" w:ascii="宋体" w:hAnsi="宋体"/>
          <w:sz w:val="24"/>
          <w:szCs w:val="24"/>
        </w:rPr>
        <w:t>投标人应按采购文件前附表规定的内容编制谈判响应</w:t>
      </w:r>
      <w:r>
        <w:rPr>
          <w:rFonts w:ascii="宋体" w:hAnsi="宋体"/>
          <w:sz w:val="24"/>
          <w:szCs w:val="24"/>
        </w:rPr>
        <w:t>文件</w:t>
      </w:r>
      <w:r>
        <w:rPr>
          <w:rFonts w:hint="eastAsia" w:ascii="宋体" w:hAnsi="宋体"/>
          <w:sz w:val="24"/>
          <w:szCs w:val="24"/>
        </w:rPr>
        <w:t>。</w:t>
      </w:r>
    </w:p>
    <w:p>
      <w:pPr>
        <w:snapToGrid w:val="0"/>
        <w:ind w:firstLine="480" w:firstLineChars="200"/>
        <w:jc w:val="left"/>
        <w:rPr>
          <w:rFonts w:ascii="宋体" w:hAnsi="宋体"/>
          <w:sz w:val="24"/>
          <w:szCs w:val="24"/>
        </w:rPr>
      </w:pPr>
      <w:r>
        <w:rPr>
          <w:rFonts w:ascii="宋体" w:hAnsi="宋体"/>
          <w:sz w:val="24"/>
          <w:szCs w:val="24"/>
        </w:rPr>
        <w:t>投标人应</w:t>
      </w:r>
      <w:r>
        <w:rPr>
          <w:rFonts w:hint="eastAsia" w:ascii="宋体" w:hAnsi="宋体"/>
          <w:sz w:val="24"/>
          <w:szCs w:val="24"/>
        </w:rPr>
        <w:t>按</w:t>
      </w:r>
      <w:r>
        <w:rPr>
          <w:rFonts w:ascii="宋体" w:hAnsi="宋体"/>
          <w:sz w:val="24"/>
          <w:szCs w:val="24"/>
        </w:rPr>
        <w:t>本采购文件规定的格式和顺序编制</w:t>
      </w:r>
      <w:r>
        <w:rPr>
          <w:rFonts w:hint="eastAsia" w:ascii="宋体" w:hAnsi="宋体"/>
          <w:sz w:val="24"/>
          <w:szCs w:val="24"/>
        </w:rPr>
        <w:t>谈判响应</w:t>
      </w:r>
      <w:r>
        <w:rPr>
          <w:rFonts w:ascii="宋体" w:hAnsi="宋体"/>
          <w:sz w:val="24"/>
          <w:szCs w:val="24"/>
        </w:rPr>
        <w:t>文件</w:t>
      </w:r>
      <w:r>
        <w:rPr>
          <w:rFonts w:hint="eastAsia" w:ascii="宋体" w:hAnsi="宋体"/>
          <w:sz w:val="24"/>
          <w:szCs w:val="24"/>
        </w:rPr>
        <w:t>并标注页码</w:t>
      </w:r>
      <w:r>
        <w:rPr>
          <w:rFonts w:ascii="宋体" w:hAnsi="宋体"/>
          <w:sz w:val="24"/>
          <w:szCs w:val="24"/>
        </w:rPr>
        <w:t>，</w:t>
      </w:r>
      <w:r>
        <w:rPr>
          <w:rFonts w:hint="eastAsia" w:ascii="宋体" w:hAnsi="宋体"/>
          <w:sz w:val="24"/>
          <w:szCs w:val="24"/>
        </w:rPr>
        <w:t>谈判响应</w:t>
      </w:r>
      <w:r>
        <w:rPr>
          <w:rFonts w:ascii="宋体" w:hAnsi="宋体"/>
          <w:sz w:val="24"/>
          <w:szCs w:val="24"/>
        </w:rPr>
        <w:t>文件内容不完整、编排混乱导致</w:t>
      </w:r>
      <w:r>
        <w:rPr>
          <w:rFonts w:hint="eastAsia" w:ascii="宋体" w:hAnsi="宋体"/>
          <w:sz w:val="24"/>
          <w:szCs w:val="24"/>
        </w:rPr>
        <w:t>谈判响应</w:t>
      </w:r>
      <w:r>
        <w:rPr>
          <w:rFonts w:ascii="宋体" w:hAnsi="宋体"/>
          <w:sz w:val="24"/>
          <w:szCs w:val="24"/>
        </w:rPr>
        <w:t>文件被误读、漏读或者查找不到相关内容的，是投标人的责任。</w:t>
      </w:r>
      <w:r>
        <w:rPr>
          <w:rFonts w:hint="eastAsia" w:ascii="宋体" w:hAnsi="宋体"/>
          <w:sz w:val="24"/>
          <w:szCs w:val="24"/>
        </w:rPr>
        <w:t>谈判响应</w:t>
      </w:r>
      <w:r>
        <w:rPr>
          <w:rFonts w:ascii="宋体" w:hAnsi="宋体"/>
          <w:sz w:val="24"/>
          <w:szCs w:val="24"/>
        </w:rPr>
        <w:t>文件</w:t>
      </w:r>
      <w:r>
        <w:rPr>
          <w:rFonts w:hint="eastAsia" w:ascii="宋体" w:hAnsi="宋体" w:cs="仿宋_GB2312"/>
          <w:b/>
          <w:sz w:val="24"/>
        </w:rPr>
        <w:t>未按规定的格式编制的，投标无效。</w:t>
      </w:r>
    </w:p>
    <w:p>
      <w:pPr>
        <w:snapToGrid w:val="0"/>
        <w:ind w:firstLine="482" w:firstLineChars="200"/>
        <w:jc w:val="left"/>
        <w:rPr>
          <w:rFonts w:ascii="宋体" w:hAnsi="宋体"/>
          <w:b/>
          <w:color w:val="auto"/>
          <w:sz w:val="24"/>
          <w:szCs w:val="24"/>
        </w:rPr>
      </w:pPr>
      <w:r>
        <w:rPr>
          <w:rFonts w:hint="eastAsia" w:ascii="宋体" w:hAnsi="宋体"/>
          <w:b/>
          <w:color w:val="auto"/>
          <w:sz w:val="24"/>
          <w:szCs w:val="24"/>
        </w:rPr>
        <w:t>谈判响应</w:t>
      </w:r>
      <w:r>
        <w:rPr>
          <w:rFonts w:ascii="宋体" w:hAnsi="宋体"/>
          <w:b/>
          <w:color w:val="auto"/>
          <w:sz w:val="24"/>
          <w:szCs w:val="24"/>
        </w:rPr>
        <w:t>文件须由投标人在规定位置盖章，投标人应写全称。</w:t>
      </w:r>
      <w:r>
        <w:rPr>
          <w:rFonts w:hint="eastAsia" w:ascii="宋体" w:hAnsi="宋体"/>
          <w:b/>
          <w:color w:val="auto"/>
          <w:sz w:val="24"/>
          <w:szCs w:val="24"/>
        </w:rPr>
        <w:t>电子投标文件中所有加盖公章均采用CA签章，投标人的谈判响应</w:t>
      </w:r>
      <w:r>
        <w:rPr>
          <w:rFonts w:ascii="宋体" w:hAnsi="宋体"/>
          <w:b/>
          <w:color w:val="auto"/>
          <w:sz w:val="24"/>
          <w:szCs w:val="24"/>
        </w:rPr>
        <w:t>文件</w:t>
      </w:r>
      <w:r>
        <w:rPr>
          <w:rFonts w:hint="eastAsia" w:ascii="宋体" w:hAnsi="宋体"/>
          <w:b/>
          <w:color w:val="auto"/>
          <w:sz w:val="24"/>
          <w:szCs w:val="24"/>
        </w:rPr>
        <w:t>未按照采购文件要求签署、盖章的，其投标无效。谈判响应文件中所涉及的公章必须是投标人全称的CA签章，不得使用投标专用章、合同章等类似图章代替。</w:t>
      </w:r>
    </w:p>
    <w:p>
      <w:pPr>
        <w:snapToGrid w:val="0"/>
        <w:ind w:firstLine="480" w:firstLineChars="200"/>
        <w:jc w:val="left"/>
        <w:rPr>
          <w:rFonts w:ascii="宋体" w:hAnsi="宋体"/>
          <w:b/>
          <w:sz w:val="24"/>
          <w:szCs w:val="24"/>
        </w:rPr>
      </w:pPr>
      <w:r>
        <w:rPr>
          <w:rFonts w:hint="eastAsia" w:ascii="宋体" w:hAnsi="宋体"/>
          <w:sz w:val="24"/>
          <w:szCs w:val="24"/>
        </w:rPr>
        <w:t>谈判响应</w:t>
      </w:r>
      <w:r>
        <w:rPr>
          <w:rFonts w:ascii="宋体" w:hAnsi="宋体"/>
          <w:sz w:val="24"/>
          <w:szCs w:val="24"/>
        </w:rPr>
        <w:t>文件不得涂改，若有修改错漏处，须加盖单位公章。</w:t>
      </w:r>
      <w:r>
        <w:rPr>
          <w:rFonts w:hint="eastAsia" w:ascii="宋体" w:hAnsi="宋体"/>
          <w:sz w:val="24"/>
          <w:szCs w:val="24"/>
        </w:rPr>
        <w:t>谈判响应</w:t>
      </w:r>
      <w:r>
        <w:rPr>
          <w:rFonts w:ascii="宋体" w:hAnsi="宋体"/>
          <w:sz w:val="24"/>
          <w:szCs w:val="24"/>
        </w:rPr>
        <w:t>文件因表达不清所引起的后果由投标人负责。</w:t>
      </w:r>
    </w:p>
    <w:p>
      <w:pPr>
        <w:snapToGrid w:val="0"/>
        <w:ind w:firstLine="482" w:firstLineChars="200"/>
        <w:jc w:val="left"/>
        <w:rPr>
          <w:rFonts w:ascii="宋体" w:hAnsi="宋体"/>
          <w:b/>
          <w:color w:val="auto"/>
          <w:sz w:val="24"/>
          <w:szCs w:val="24"/>
        </w:rPr>
      </w:pPr>
      <w:r>
        <w:rPr>
          <w:rFonts w:hint="eastAsia" w:ascii="宋体" w:hAnsi="宋体"/>
          <w:b/>
          <w:color w:val="auto"/>
          <w:sz w:val="24"/>
          <w:szCs w:val="24"/>
        </w:rPr>
        <w:t>谈判响应</w:t>
      </w:r>
      <w:r>
        <w:rPr>
          <w:rFonts w:ascii="宋体" w:hAnsi="宋体"/>
          <w:b/>
          <w:color w:val="auto"/>
          <w:sz w:val="24"/>
          <w:szCs w:val="24"/>
        </w:rPr>
        <w:t>文件</w:t>
      </w:r>
      <w:r>
        <w:rPr>
          <w:rFonts w:hint="eastAsia" w:ascii="宋体" w:hAnsi="宋体"/>
          <w:b/>
          <w:color w:val="auto"/>
          <w:sz w:val="24"/>
          <w:szCs w:val="24"/>
        </w:rPr>
        <w:t>投标人应认真阅读采购文件中所有的内容。如果投标人编制的谈判响应</w:t>
      </w:r>
      <w:r>
        <w:rPr>
          <w:rFonts w:ascii="宋体" w:hAnsi="宋体"/>
          <w:b/>
          <w:color w:val="auto"/>
          <w:sz w:val="24"/>
          <w:szCs w:val="24"/>
        </w:rPr>
        <w:t>文件</w:t>
      </w:r>
      <w:r>
        <w:rPr>
          <w:rFonts w:hint="eastAsia" w:ascii="宋体" w:hAnsi="宋体"/>
          <w:b/>
          <w:color w:val="auto"/>
          <w:sz w:val="24"/>
          <w:szCs w:val="24"/>
        </w:rPr>
        <w:t>实质上不响应采购文件的要求，其谈判响应</w:t>
      </w:r>
      <w:r>
        <w:rPr>
          <w:rFonts w:ascii="宋体" w:hAnsi="宋体"/>
          <w:b/>
          <w:color w:val="auto"/>
          <w:sz w:val="24"/>
          <w:szCs w:val="24"/>
        </w:rPr>
        <w:t>文件</w:t>
      </w:r>
      <w:r>
        <w:rPr>
          <w:rFonts w:hint="eastAsia" w:ascii="宋体" w:hAnsi="宋体"/>
          <w:b/>
          <w:color w:val="auto"/>
          <w:sz w:val="24"/>
          <w:szCs w:val="24"/>
        </w:rPr>
        <w:t>将作无效标处理。</w:t>
      </w:r>
    </w:p>
    <w:p>
      <w:pPr>
        <w:spacing w:line="360" w:lineRule="exact"/>
        <w:ind w:firstLine="482" w:firstLineChars="200"/>
        <w:rPr>
          <w:rFonts w:ascii="宋体" w:hAnsi="宋体"/>
          <w:b/>
          <w:bCs/>
          <w:sz w:val="24"/>
        </w:rPr>
      </w:pPr>
      <w:r>
        <w:rPr>
          <w:rFonts w:hint="eastAsia" w:ascii="宋体" w:hAnsi="宋体"/>
          <w:b/>
          <w:bCs/>
          <w:sz w:val="24"/>
        </w:rPr>
        <w:t>谈判响应</w:t>
      </w:r>
      <w:r>
        <w:rPr>
          <w:rFonts w:ascii="宋体" w:hAnsi="宋体"/>
          <w:b/>
          <w:bCs/>
          <w:sz w:val="24"/>
        </w:rPr>
        <w:t>文件</w:t>
      </w:r>
      <w:r>
        <w:rPr>
          <w:rFonts w:hint="eastAsia" w:ascii="宋体" w:hAnsi="宋体"/>
          <w:b/>
          <w:bCs/>
          <w:sz w:val="24"/>
        </w:rPr>
        <w:t>的递交、修改和撤回</w:t>
      </w:r>
    </w:p>
    <w:p>
      <w:pPr>
        <w:pStyle w:val="8"/>
        <w:snapToGrid w:val="0"/>
        <w:ind w:firstLine="482" w:firstLineChars="200"/>
        <w:rPr>
          <w:rFonts w:ascii="宋体" w:hAnsi="宋体"/>
          <w:b/>
          <w:sz w:val="24"/>
          <w:szCs w:val="24"/>
        </w:rPr>
      </w:pPr>
      <w:r>
        <w:rPr>
          <w:rFonts w:hint="eastAsia" w:ascii="宋体" w:hAnsi="宋体"/>
          <w:b/>
          <w:sz w:val="24"/>
          <w:szCs w:val="24"/>
        </w:rPr>
        <w:t>投标人应在开标前在“政采云”上自行加密上传电子投标文件，</w:t>
      </w:r>
      <w:r>
        <w:rPr>
          <w:rFonts w:ascii="宋体" w:hAnsi="宋体"/>
          <w:b/>
          <w:sz w:val="24"/>
          <w:szCs w:val="24"/>
        </w:rPr>
        <w:t>逾期</w:t>
      </w:r>
      <w:r>
        <w:rPr>
          <w:rFonts w:hint="eastAsia" w:ascii="宋体" w:hAnsi="宋体"/>
          <w:b/>
          <w:sz w:val="24"/>
          <w:szCs w:val="24"/>
        </w:rPr>
        <w:t>上传</w:t>
      </w:r>
      <w:r>
        <w:rPr>
          <w:rFonts w:ascii="宋体" w:hAnsi="宋体"/>
          <w:b/>
          <w:sz w:val="24"/>
          <w:szCs w:val="24"/>
        </w:rPr>
        <w:t>或未按要求</w:t>
      </w:r>
      <w:r>
        <w:rPr>
          <w:rFonts w:hint="eastAsia" w:ascii="宋体" w:hAnsi="宋体"/>
          <w:b/>
          <w:sz w:val="24"/>
          <w:szCs w:val="24"/>
        </w:rPr>
        <w:t>上传</w:t>
      </w:r>
      <w:r>
        <w:rPr>
          <w:rFonts w:ascii="宋体" w:hAnsi="宋体"/>
          <w:b/>
          <w:sz w:val="24"/>
          <w:szCs w:val="24"/>
        </w:rPr>
        <w:t>的</w:t>
      </w:r>
      <w:r>
        <w:rPr>
          <w:rFonts w:hint="eastAsia" w:ascii="宋体" w:hAnsi="宋体"/>
          <w:b/>
          <w:sz w:val="24"/>
          <w:szCs w:val="24"/>
        </w:rPr>
        <w:t>谈判响应</w:t>
      </w:r>
      <w:r>
        <w:rPr>
          <w:rFonts w:ascii="宋体" w:hAnsi="宋体"/>
          <w:b/>
          <w:sz w:val="24"/>
          <w:szCs w:val="24"/>
        </w:rPr>
        <w:t>文件将予以拒收。</w:t>
      </w:r>
    </w:p>
    <w:p>
      <w:pPr>
        <w:pStyle w:val="8"/>
        <w:snapToGrid w:val="0"/>
        <w:ind w:firstLine="480" w:firstLineChars="200"/>
        <w:rPr>
          <w:rFonts w:ascii="宋体" w:hAnsi="宋体"/>
          <w:b/>
          <w:sz w:val="24"/>
          <w:szCs w:val="24"/>
        </w:rPr>
      </w:pPr>
      <w:r>
        <w:rPr>
          <w:rFonts w:hint="eastAsia" w:ascii="宋体" w:hAnsi="宋体"/>
          <w:sz w:val="24"/>
          <w:szCs w:val="24"/>
        </w:rPr>
        <w:t>投标人在投标截止时间之前，可以对已提交的谈判响应</w:t>
      </w:r>
      <w:r>
        <w:rPr>
          <w:rFonts w:ascii="宋体" w:hAnsi="宋体"/>
          <w:sz w:val="24"/>
          <w:szCs w:val="24"/>
        </w:rPr>
        <w:t>文件</w:t>
      </w:r>
      <w:r>
        <w:rPr>
          <w:rFonts w:hint="eastAsia" w:ascii="宋体" w:hAnsi="宋体"/>
          <w:sz w:val="24"/>
          <w:szCs w:val="24"/>
        </w:rPr>
        <w:t>进行修改或撤回，补充、修改的内容为谈判响应</w:t>
      </w:r>
      <w:r>
        <w:rPr>
          <w:rFonts w:ascii="宋体" w:hAnsi="宋体"/>
          <w:sz w:val="24"/>
          <w:szCs w:val="24"/>
        </w:rPr>
        <w:t>文件</w:t>
      </w:r>
      <w:r>
        <w:rPr>
          <w:rFonts w:hint="eastAsia" w:ascii="宋体" w:hAnsi="宋体"/>
          <w:sz w:val="24"/>
          <w:szCs w:val="24"/>
        </w:rPr>
        <w:t>的组成部分。补充或者修改谈判响应</w:t>
      </w:r>
      <w:r>
        <w:rPr>
          <w:rFonts w:ascii="宋体" w:hAnsi="宋体"/>
          <w:sz w:val="24"/>
          <w:szCs w:val="24"/>
        </w:rPr>
        <w:t>文件</w:t>
      </w:r>
      <w:r>
        <w:rPr>
          <w:rFonts w:hint="eastAsia" w:ascii="宋体" w:hAnsi="宋体"/>
          <w:sz w:val="24"/>
          <w:szCs w:val="24"/>
        </w:rPr>
        <w:t>的，应当先行撤回原文件，补充、修改后重新传输递交。</w:t>
      </w:r>
    </w:p>
    <w:p>
      <w:pPr>
        <w:pStyle w:val="8"/>
        <w:snapToGrid w:val="0"/>
        <w:ind w:firstLine="480" w:firstLineChars="200"/>
        <w:rPr>
          <w:rFonts w:ascii="宋体" w:hAnsi="宋体"/>
          <w:sz w:val="24"/>
          <w:szCs w:val="24"/>
        </w:rPr>
      </w:pPr>
      <w:r>
        <w:rPr>
          <w:rFonts w:hint="eastAsia" w:ascii="宋体" w:hAnsi="宋体"/>
          <w:sz w:val="24"/>
          <w:szCs w:val="24"/>
        </w:rPr>
        <w:t>投标截止时间后，投标人不得撤回、修改谈判响应</w:t>
      </w:r>
      <w:r>
        <w:rPr>
          <w:rFonts w:ascii="宋体" w:hAnsi="宋体"/>
          <w:sz w:val="24"/>
          <w:szCs w:val="24"/>
        </w:rPr>
        <w:t>文件</w:t>
      </w:r>
      <w:r>
        <w:rPr>
          <w:rFonts w:hint="eastAsia" w:ascii="宋体" w:hAnsi="宋体"/>
          <w:sz w:val="24"/>
          <w:szCs w:val="24"/>
        </w:rPr>
        <w:t>。</w:t>
      </w:r>
    </w:p>
    <w:p>
      <w:pPr>
        <w:pStyle w:val="8"/>
        <w:snapToGrid w:val="0"/>
        <w:ind w:firstLine="480" w:firstLineChars="200"/>
        <w:rPr>
          <w:rFonts w:ascii="宋体" w:hAnsi="宋体"/>
          <w:sz w:val="24"/>
          <w:szCs w:val="24"/>
        </w:rPr>
      </w:pPr>
      <w:r>
        <w:rPr>
          <w:rFonts w:hint="eastAsia" w:ascii="宋体" w:hAnsi="宋体"/>
          <w:sz w:val="24"/>
          <w:szCs w:val="24"/>
        </w:rPr>
        <w:t>不论投标人中标与否，谈判响应</w:t>
      </w:r>
      <w:r>
        <w:rPr>
          <w:rFonts w:ascii="宋体" w:hAnsi="宋体"/>
          <w:sz w:val="24"/>
          <w:szCs w:val="24"/>
        </w:rPr>
        <w:t>文件</w:t>
      </w:r>
      <w:r>
        <w:rPr>
          <w:rFonts w:hint="eastAsia" w:ascii="宋体" w:hAnsi="宋体"/>
          <w:sz w:val="24"/>
          <w:szCs w:val="24"/>
        </w:rPr>
        <w:t>均不得撤回其投标。</w:t>
      </w:r>
    </w:p>
    <w:p>
      <w:pPr>
        <w:pStyle w:val="8"/>
        <w:snapToGrid w:val="0"/>
        <w:ind w:firstLine="482" w:firstLineChars="200"/>
        <w:rPr>
          <w:rFonts w:ascii="宋体" w:hAnsi="宋体"/>
          <w:b/>
          <w:sz w:val="24"/>
          <w:szCs w:val="24"/>
        </w:rPr>
      </w:pPr>
      <w:r>
        <w:rPr>
          <w:rFonts w:hint="eastAsia" w:ascii="宋体" w:hAnsi="宋体"/>
          <w:b/>
          <w:sz w:val="24"/>
          <w:szCs w:val="24"/>
        </w:rPr>
        <w:t>未按时解密的，视为谈判响应</w:t>
      </w:r>
      <w:r>
        <w:rPr>
          <w:rFonts w:ascii="宋体" w:hAnsi="宋体"/>
          <w:b/>
          <w:sz w:val="24"/>
          <w:szCs w:val="24"/>
        </w:rPr>
        <w:t>文件</w:t>
      </w:r>
      <w:r>
        <w:rPr>
          <w:rFonts w:hint="eastAsia" w:ascii="宋体" w:hAnsi="宋体"/>
          <w:b/>
          <w:sz w:val="24"/>
          <w:szCs w:val="24"/>
        </w:rPr>
        <w:t>撤回。</w:t>
      </w:r>
    </w:p>
    <w:p>
      <w:pPr>
        <w:spacing w:line="360" w:lineRule="exact"/>
        <w:ind w:firstLine="482" w:firstLineChars="200"/>
        <w:rPr>
          <w:rFonts w:ascii="宋体" w:hAnsi="宋体"/>
          <w:b/>
          <w:bCs/>
          <w:sz w:val="24"/>
        </w:rPr>
      </w:pPr>
      <w:r>
        <w:rPr>
          <w:rFonts w:hint="eastAsia" w:ascii="宋体" w:hAnsi="宋体"/>
          <w:b/>
          <w:bCs/>
          <w:sz w:val="24"/>
        </w:rPr>
        <w:t>投标无效的情形</w:t>
      </w:r>
    </w:p>
    <w:p>
      <w:pPr>
        <w:snapToGrid w:val="0"/>
        <w:ind w:firstLine="480" w:firstLineChars="200"/>
        <w:rPr>
          <w:rFonts w:ascii="宋体" w:hAnsi="宋体"/>
          <w:sz w:val="24"/>
          <w:szCs w:val="24"/>
        </w:rPr>
      </w:pPr>
      <w:r>
        <w:rPr>
          <w:rFonts w:hint="eastAsia" w:ascii="宋体" w:hAnsi="宋体"/>
          <w:sz w:val="24"/>
          <w:szCs w:val="24"/>
        </w:rPr>
        <w:t>实质上没有响应采购文件要求的投标将被视为无效投标。投标人不得通过修正或撤消不合要求的偏离或保留从而使其投标成为实质上响应的投标，但经评标委员会认定属于投标人疏忽所造成的差错，应当允许其在评标结束之前进行修改或者补正。限时内不补正或经补正后仍不符合采购文件要求的，应认定其投标无效。投标人修改、补正谈判响应</w:t>
      </w:r>
      <w:r>
        <w:rPr>
          <w:rFonts w:ascii="宋体" w:hAnsi="宋体"/>
          <w:sz w:val="24"/>
          <w:szCs w:val="24"/>
        </w:rPr>
        <w:t>文件</w:t>
      </w:r>
      <w:r>
        <w:rPr>
          <w:rFonts w:hint="eastAsia" w:ascii="宋体" w:hAnsi="宋体"/>
          <w:sz w:val="24"/>
          <w:szCs w:val="24"/>
        </w:rPr>
        <w:t>后，不影响评标委员会对其谈判响应</w:t>
      </w:r>
      <w:r>
        <w:rPr>
          <w:rFonts w:ascii="宋体" w:hAnsi="宋体"/>
          <w:sz w:val="24"/>
          <w:szCs w:val="24"/>
        </w:rPr>
        <w:t>文件</w:t>
      </w:r>
      <w:r>
        <w:rPr>
          <w:rFonts w:hint="eastAsia" w:ascii="宋体" w:hAnsi="宋体"/>
          <w:sz w:val="24"/>
          <w:szCs w:val="24"/>
        </w:rPr>
        <w:t>所作的评价和评分结果。</w:t>
      </w:r>
    </w:p>
    <w:p>
      <w:pPr>
        <w:pStyle w:val="19"/>
        <w:snapToGrid w:val="0"/>
        <w:spacing w:after="0"/>
        <w:ind w:left="0" w:leftChars="0" w:firstLine="472" w:firstLineChars="196"/>
        <w:rPr>
          <w:rFonts w:ascii="宋体" w:hAnsi="宋体"/>
          <w:b/>
          <w:bCs/>
          <w:sz w:val="24"/>
          <w:szCs w:val="24"/>
        </w:rPr>
      </w:pPr>
      <w:r>
        <w:rPr>
          <w:rFonts w:ascii="宋体" w:hAnsi="宋体"/>
          <w:b/>
          <w:bCs/>
          <w:sz w:val="24"/>
          <w:szCs w:val="24"/>
        </w:rPr>
        <w:t>在符合性审查和</w:t>
      </w:r>
      <w:r>
        <w:rPr>
          <w:rFonts w:hint="eastAsia" w:ascii="宋体" w:hAnsi="宋体"/>
          <w:b/>
          <w:bCs/>
          <w:sz w:val="24"/>
          <w:szCs w:val="24"/>
        </w:rPr>
        <w:t>资格性审查</w:t>
      </w:r>
      <w:r>
        <w:rPr>
          <w:rFonts w:ascii="宋体" w:hAnsi="宋体"/>
          <w:b/>
          <w:bCs/>
          <w:sz w:val="24"/>
          <w:szCs w:val="24"/>
        </w:rPr>
        <w:t>时，如发现下列情形之一的，</w:t>
      </w:r>
      <w:r>
        <w:rPr>
          <w:rFonts w:hint="eastAsia" w:ascii="宋体" w:hAnsi="宋体"/>
          <w:b/>
          <w:bCs/>
          <w:sz w:val="24"/>
          <w:szCs w:val="24"/>
        </w:rPr>
        <w:t>谈判响应</w:t>
      </w:r>
      <w:r>
        <w:rPr>
          <w:rFonts w:ascii="宋体" w:hAnsi="宋体"/>
          <w:b/>
          <w:bCs/>
          <w:sz w:val="24"/>
          <w:szCs w:val="24"/>
        </w:rPr>
        <w:t>文件将被视为无效投标：</w:t>
      </w:r>
    </w:p>
    <w:p>
      <w:pPr>
        <w:snapToGrid w:val="0"/>
        <w:ind w:firstLine="470" w:firstLineChars="196"/>
        <w:rPr>
          <w:rFonts w:ascii="宋体" w:hAnsi="宋体"/>
          <w:sz w:val="24"/>
          <w:szCs w:val="24"/>
        </w:rPr>
      </w:pPr>
      <w:r>
        <w:rPr>
          <w:rFonts w:ascii="宋体" w:hAnsi="宋体"/>
          <w:sz w:val="24"/>
          <w:szCs w:val="24"/>
        </w:rPr>
        <w:t>资格证明文件不全的，或者不符合采购文件标明的资格要求的</w:t>
      </w:r>
      <w:r>
        <w:rPr>
          <w:rFonts w:hint="eastAsia" w:ascii="宋体" w:hAnsi="宋体"/>
          <w:sz w:val="24"/>
          <w:szCs w:val="24"/>
        </w:rPr>
        <w:t>；</w:t>
      </w:r>
    </w:p>
    <w:p>
      <w:pPr>
        <w:snapToGrid w:val="0"/>
        <w:ind w:firstLine="470" w:firstLineChars="196"/>
        <w:rPr>
          <w:rFonts w:ascii="宋体" w:hAnsi="宋体"/>
          <w:sz w:val="24"/>
          <w:szCs w:val="24"/>
        </w:rPr>
      </w:pPr>
      <w:r>
        <w:rPr>
          <w:rFonts w:hint="eastAsia" w:ascii="宋体" w:hAnsi="宋体"/>
          <w:sz w:val="24"/>
          <w:szCs w:val="24"/>
        </w:rPr>
        <w:t>未按照采购文件规定要求盖章；</w:t>
      </w:r>
    </w:p>
    <w:p>
      <w:pPr>
        <w:snapToGrid w:val="0"/>
        <w:ind w:firstLine="470" w:firstLineChars="196"/>
        <w:rPr>
          <w:rFonts w:ascii="宋体" w:hAnsi="宋体"/>
          <w:sz w:val="24"/>
          <w:szCs w:val="24"/>
        </w:rPr>
      </w:pPr>
      <w:r>
        <w:rPr>
          <w:rFonts w:hint="eastAsia" w:ascii="宋体" w:hAnsi="宋体"/>
          <w:sz w:val="24"/>
          <w:szCs w:val="24"/>
        </w:rPr>
        <w:t>谈判响应</w:t>
      </w:r>
      <w:r>
        <w:rPr>
          <w:rFonts w:ascii="宋体" w:hAnsi="宋体"/>
          <w:sz w:val="24"/>
          <w:szCs w:val="24"/>
        </w:rPr>
        <w:t>文件项目不齐全或者内容虚假的；</w:t>
      </w:r>
    </w:p>
    <w:p>
      <w:pPr>
        <w:snapToGrid w:val="0"/>
        <w:ind w:firstLine="470" w:firstLineChars="196"/>
        <w:rPr>
          <w:rFonts w:ascii="宋体" w:hAnsi="宋体"/>
          <w:sz w:val="24"/>
          <w:szCs w:val="24"/>
        </w:rPr>
      </w:pPr>
      <w:r>
        <w:rPr>
          <w:rFonts w:hint="eastAsia" w:ascii="宋体" w:hAnsi="宋体"/>
          <w:sz w:val="24"/>
          <w:szCs w:val="24"/>
        </w:rPr>
        <w:t>谈判响应</w:t>
      </w:r>
      <w:r>
        <w:rPr>
          <w:rFonts w:ascii="宋体" w:hAnsi="宋体"/>
          <w:sz w:val="24"/>
          <w:szCs w:val="24"/>
        </w:rPr>
        <w:t>文件的实质性内容未使用中文表述、意思表述不明确、前后矛盾或者使用计量单位不符合采购文件要求的</w:t>
      </w:r>
      <w:r>
        <w:rPr>
          <w:rFonts w:hint="eastAsia" w:ascii="宋体" w:hAnsi="宋体"/>
          <w:sz w:val="24"/>
          <w:szCs w:val="24"/>
        </w:rPr>
        <w:t>；</w:t>
      </w:r>
    </w:p>
    <w:p>
      <w:pPr>
        <w:snapToGrid w:val="0"/>
        <w:ind w:firstLine="470" w:firstLineChars="196"/>
        <w:rPr>
          <w:rFonts w:ascii="宋体" w:hAnsi="宋体"/>
          <w:sz w:val="24"/>
          <w:szCs w:val="24"/>
        </w:rPr>
      </w:pPr>
      <w:r>
        <w:rPr>
          <w:rFonts w:ascii="宋体" w:hAnsi="宋体"/>
          <w:sz w:val="24"/>
          <w:szCs w:val="24"/>
        </w:rPr>
        <w:t>投标有效期、交货时间、质保期</w:t>
      </w:r>
      <w:r>
        <w:rPr>
          <w:rFonts w:hint="eastAsia" w:ascii="宋体" w:hAnsi="宋体"/>
          <w:sz w:val="24"/>
          <w:szCs w:val="24"/>
        </w:rPr>
        <w:t>、售后服务承诺</w:t>
      </w:r>
      <w:r>
        <w:rPr>
          <w:rFonts w:ascii="宋体" w:hAnsi="宋体"/>
          <w:sz w:val="24"/>
          <w:szCs w:val="24"/>
        </w:rPr>
        <w:t>等条款不能满足采购文件要求的；</w:t>
      </w:r>
    </w:p>
    <w:p>
      <w:pPr>
        <w:snapToGrid w:val="0"/>
        <w:ind w:firstLine="470" w:firstLineChars="196"/>
        <w:rPr>
          <w:rFonts w:ascii="宋体" w:hAnsi="宋体"/>
          <w:sz w:val="24"/>
          <w:szCs w:val="24"/>
        </w:rPr>
      </w:pPr>
      <w:r>
        <w:rPr>
          <w:rFonts w:hint="eastAsia" w:ascii="宋体" w:hAnsi="宋体"/>
          <w:sz w:val="24"/>
          <w:szCs w:val="24"/>
        </w:rPr>
        <w:t>谈判响应</w:t>
      </w:r>
      <w:r>
        <w:rPr>
          <w:rFonts w:ascii="宋体" w:hAnsi="宋体"/>
          <w:sz w:val="24"/>
          <w:szCs w:val="24"/>
        </w:rPr>
        <w:t>文件</w:t>
      </w:r>
      <w:r>
        <w:rPr>
          <w:rFonts w:hint="eastAsia" w:ascii="宋体" w:hAnsi="宋体"/>
          <w:sz w:val="24"/>
          <w:szCs w:val="24"/>
        </w:rPr>
        <w:t>含有采购人不能接受的附加条件的；</w:t>
      </w:r>
    </w:p>
    <w:p>
      <w:pPr>
        <w:snapToGrid w:val="0"/>
        <w:ind w:left="420" w:firstLine="48" w:firstLineChars="20"/>
        <w:rPr>
          <w:rFonts w:ascii="宋体" w:hAnsi="宋体"/>
          <w:sz w:val="24"/>
          <w:szCs w:val="24"/>
        </w:rPr>
      </w:pPr>
      <w:r>
        <w:rPr>
          <w:rFonts w:hint="eastAsia" w:ascii="宋体" w:hAnsi="宋体"/>
          <w:sz w:val="24"/>
          <w:szCs w:val="24"/>
        </w:rPr>
        <w:t>不符合法律、法规或未实质性</w:t>
      </w:r>
      <w:r>
        <w:rPr>
          <w:rFonts w:ascii="宋体" w:hAnsi="宋体"/>
          <w:sz w:val="24"/>
          <w:szCs w:val="24"/>
        </w:rPr>
        <w:t>响应采购文件要求</w:t>
      </w:r>
      <w:r>
        <w:rPr>
          <w:rFonts w:hint="eastAsia" w:ascii="宋体" w:hAnsi="宋体"/>
          <w:sz w:val="24"/>
          <w:szCs w:val="24"/>
        </w:rPr>
        <w:t>。</w:t>
      </w:r>
    </w:p>
    <w:p>
      <w:pPr>
        <w:pStyle w:val="19"/>
        <w:snapToGrid w:val="0"/>
        <w:spacing w:after="0"/>
        <w:rPr>
          <w:rFonts w:ascii="宋体" w:hAnsi="宋体"/>
          <w:b/>
          <w:bCs/>
          <w:sz w:val="24"/>
          <w:szCs w:val="24"/>
        </w:rPr>
      </w:pPr>
      <w:r>
        <w:rPr>
          <w:rFonts w:ascii="宋体" w:hAnsi="宋体"/>
          <w:b/>
          <w:bCs/>
          <w:sz w:val="24"/>
          <w:szCs w:val="24"/>
        </w:rPr>
        <w:t>在技术评审时，如发现下列情形之一的，投标文件将被视为无效：</w:t>
      </w:r>
    </w:p>
    <w:p>
      <w:pPr>
        <w:snapToGrid w:val="0"/>
        <w:ind w:firstLine="470" w:firstLineChars="196"/>
        <w:rPr>
          <w:rFonts w:ascii="宋体" w:hAnsi="宋体"/>
          <w:sz w:val="24"/>
          <w:szCs w:val="24"/>
        </w:rPr>
      </w:pPr>
      <w:r>
        <w:rPr>
          <w:rFonts w:ascii="宋体" w:hAnsi="宋体"/>
          <w:sz w:val="24"/>
          <w:szCs w:val="24"/>
        </w:rPr>
        <w:t>未提供或未如实提供投标货物的技术参数，或者</w:t>
      </w:r>
      <w:r>
        <w:rPr>
          <w:rFonts w:hint="eastAsia" w:ascii="宋体" w:hAnsi="宋体"/>
          <w:sz w:val="24"/>
          <w:szCs w:val="24"/>
        </w:rPr>
        <w:t>谈判响应</w:t>
      </w:r>
      <w:r>
        <w:rPr>
          <w:rFonts w:ascii="宋体" w:hAnsi="宋体"/>
          <w:sz w:val="24"/>
          <w:szCs w:val="24"/>
        </w:rPr>
        <w:t>文件标明的响应或偏离与事实不符或虚假投标的；</w:t>
      </w:r>
    </w:p>
    <w:p>
      <w:pPr>
        <w:snapToGrid w:val="0"/>
        <w:ind w:firstLine="470" w:firstLineChars="196"/>
        <w:rPr>
          <w:rFonts w:ascii="宋体" w:hAnsi="宋体"/>
          <w:sz w:val="24"/>
          <w:szCs w:val="24"/>
        </w:rPr>
      </w:pPr>
      <w:r>
        <w:rPr>
          <w:rFonts w:ascii="宋体" w:hAnsi="宋体"/>
          <w:color w:val="auto"/>
          <w:sz w:val="24"/>
          <w:szCs w:val="24"/>
        </w:rPr>
        <w:t>明显不符合采购文件要求的规格型号、质量标准，或者与采购文件中标“</w:t>
      </w:r>
      <w:r>
        <w:rPr>
          <w:rFonts w:hint="eastAsia" w:ascii="宋体" w:hAnsi="宋体"/>
          <w:color w:val="auto"/>
          <w:sz w:val="24"/>
          <w:szCs w:val="24"/>
        </w:rPr>
        <w:t>★</w:t>
      </w:r>
      <w:r>
        <w:rPr>
          <w:rFonts w:ascii="宋体" w:hAnsi="宋体"/>
          <w:color w:val="auto"/>
          <w:sz w:val="24"/>
          <w:szCs w:val="24"/>
        </w:rPr>
        <w:t>”的技术</w:t>
      </w:r>
      <w:r>
        <w:rPr>
          <w:rFonts w:ascii="宋体" w:hAnsi="宋体"/>
          <w:sz w:val="24"/>
          <w:szCs w:val="24"/>
        </w:rPr>
        <w:t>指标、主要功能项目发生实质性偏离的；</w:t>
      </w:r>
    </w:p>
    <w:p>
      <w:pPr>
        <w:pStyle w:val="19"/>
        <w:snapToGrid w:val="0"/>
        <w:spacing w:after="0"/>
        <w:rPr>
          <w:rFonts w:ascii="宋体" w:hAnsi="宋体"/>
          <w:b/>
          <w:bCs/>
          <w:sz w:val="24"/>
          <w:szCs w:val="24"/>
        </w:rPr>
      </w:pPr>
      <w:r>
        <w:rPr>
          <w:rFonts w:ascii="宋体" w:hAnsi="宋体"/>
          <w:b/>
          <w:bCs/>
          <w:sz w:val="24"/>
          <w:szCs w:val="24"/>
        </w:rPr>
        <w:t>在报价评审时，如发现下列情形之一的，</w:t>
      </w:r>
      <w:r>
        <w:rPr>
          <w:rFonts w:hint="eastAsia" w:ascii="宋体" w:hAnsi="宋体"/>
          <w:b/>
          <w:bCs/>
          <w:sz w:val="24"/>
          <w:szCs w:val="24"/>
        </w:rPr>
        <w:t>谈判响应</w:t>
      </w:r>
      <w:r>
        <w:rPr>
          <w:rFonts w:ascii="宋体" w:hAnsi="宋体"/>
          <w:b/>
          <w:bCs/>
          <w:sz w:val="24"/>
          <w:szCs w:val="24"/>
        </w:rPr>
        <w:t>文件将被视为无效：</w:t>
      </w:r>
    </w:p>
    <w:p>
      <w:pPr>
        <w:snapToGrid w:val="0"/>
        <w:ind w:firstLine="470" w:firstLineChars="196"/>
        <w:rPr>
          <w:rFonts w:ascii="宋体" w:hAnsi="宋体"/>
          <w:sz w:val="24"/>
          <w:szCs w:val="24"/>
        </w:rPr>
      </w:pPr>
      <w:r>
        <w:rPr>
          <w:rFonts w:ascii="宋体" w:hAnsi="宋体"/>
          <w:sz w:val="24"/>
          <w:szCs w:val="24"/>
        </w:rPr>
        <w:t>（1）未采用人民币报价或者未按照采购文件标明的币种报价的；</w:t>
      </w:r>
    </w:p>
    <w:p>
      <w:pPr>
        <w:snapToGrid w:val="0"/>
        <w:ind w:firstLine="470" w:firstLineChars="196"/>
        <w:rPr>
          <w:rFonts w:ascii="宋体" w:hAnsi="宋体"/>
          <w:sz w:val="24"/>
          <w:szCs w:val="24"/>
        </w:rPr>
      </w:pPr>
      <w:r>
        <w:rPr>
          <w:rFonts w:ascii="宋体" w:hAnsi="宋体"/>
          <w:sz w:val="24"/>
          <w:szCs w:val="24"/>
        </w:rPr>
        <w:t>（2）</w:t>
      </w:r>
      <w:r>
        <w:rPr>
          <w:rFonts w:hint="eastAsia" w:ascii="宋体" w:hAnsi="宋体"/>
          <w:sz w:val="24"/>
          <w:szCs w:val="24"/>
        </w:rPr>
        <w:t>投标</w:t>
      </w:r>
      <w:r>
        <w:rPr>
          <w:rFonts w:ascii="宋体" w:hAnsi="宋体"/>
          <w:sz w:val="24"/>
          <w:szCs w:val="24"/>
        </w:rPr>
        <w:t>报价超</w:t>
      </w:r>
      <w:r>
        <w:rPr>
          <w:rFonts w:hint="eastAsia" w:ascii="宋体" w:hAnsi="宋体"/>
          <w:sz w:val="24"/>
          <w:szCs w:val="24"/>
        </w:rPr>
        <w:t>过采购文件中规定的</w:t>
      </w:r>
      <w:r>
        <w:rPr>
          <w:rFonts w:ascii="宋体" w:hAnsi="宋体"/>
          <w:sz w:val="24"/>
          <w:szCs w:val="24"/>
        </w:rPr>
        <w:t>最高限价</w:t>
      </w:r>
      <w:r>
        <w:rPr>
          <w:rFonts w:hint="eastAsia" w:ascii="宋体" w:hAnsi="宋体"/>
          <w:sz w:val="24"/>
          <w:szCs w:val="24"/>
        </w:rPr>
        <w:t>的</w:t>
      </w:r>
      <w:r>
        <w:rPr>
          <w:rFonts w:ascii="宋体" w:hAnsi="宋体"/>
          <w:sz w:val="24"/>
          <w:szCs w:val="24"/>
        </w:rPr>
        <w:t>；</w:t>
      </w:r>
    </w:p>
    <w:p>
      <w:pPr>
        <w:snapToGrid w:val="0"/>
        <w:ind w:firstLine="470" w:firstLineChars="196"/>
        <w:rPr>
          <w:rFonts w:ascii="宋体" w:hAnsi="宋体"/>
          <w:sz w:val="24"/>
          <w:szCs w:val="24"/>
        </w:rPr>
      </w:pPr>
      <w:r>
        <w:rPr>
          <w:rFonts w:ascii="宋体" w:hAnsi="宋体"/>
          <w:sz w:val="24"/>
          <w:szCs w:val="24"/>
        </w:rPr>
        <w:t>（3）</w:t>
      </w:r>
      <w:r>
        <w:rPr>
          <w:rFonts w:hint="eastAsia" w:ascii="宋体" w:hAnsi="宋体"/>
          <w:sz w:val="24"/>
          <w:szCs w:val="24"/>
        </w:rPr>
        <w:t>评标委员会认为投标人的报价明显低于其他通过符合性审查投标人的报价，有可能影响产品质量或者不能诚信履约，且投标人不能证明其报价合理性的；</w:t>
      </w:r>
    </w:p>
    <w:p>
      <w:pPr>
        <w:snapToGrid w:val="0"/>
        <w:ind w:firstLine="470" w:firstLineChars="196"/>
        <w:rPr>
          <w:rFonts w:ascii="宋体" w:hAnsi="宋体"/>
          <w:sz w:val="24"/>
          <w:szCs w:val="24"/>
        </w:rPr>
      </w:pPr>
      <w:r>
        <w:rPr>
          <w:rFonts w:hint="eastAsia" w:ascii="宋体" w:hAnsi="宋体"/>
          <w:sz w:val="24"/>
          <w:szCs w:val="24"/>
        </w:rPr>
        <w:t>（4）投标人不接受报价文件中修正后的报价的；</w:t>
      </w:r>
    </w:p>
    <w:p>
      <w:pPr>
        <w:snapToGrid w:val="0"/>
        <w:ind w:firstLine="470" w:firstLineChars="196"/>
        <w:rPr>
          <w:rFonts w:ascii="宋体" w:hAnsi="宋体"/>
          <w:sz w:val="24"/>
          <w:szCs w:val="24"/>
        </w:rPr>
      </w:pPr>
      <w:r>
        <w:rPr>
          <w:rFonts w:hint="eastAsia" w:ascii="宋体" w:hAnsi="宋体"/>
          <w:sz w:val="24"/>
          <w:szCs w:val="24"/>
        </w:rPr>
        <w:t>（5）</w:t>
      </w:r>
      <w:r>
        <w:rPr>
          <w:rFonts w:ascii="宋体" w:hAnsi="宋体"/>
          <w:sz w:val="24"/>
          <w:szCs w:val="24"/>
        </w:rPr>
        <w:t>投标报价具有选择性</w:t>
      </w:r>
      <w:r>
        <w:rPr>
          <w:rFonts w:hint="eastAsia" w:ascii="宋体" w:hAnsi="宋体"/>
          <w:sz w:val="24"/>
          <w:szCs w:val="24"/>
        </w:rPr>
        <w:t>。</w:t>
      </w:r>
    </w:p>
    <w:p>
      <w:pPr>
        <w:pStyle w:val="19"/>
        <w:snapToGrid w:val="0"/>
        <w:spacing w:after="0"/>
        <w:rPr>
          <w:rFonts w:ascii="宋体" w:hAnsi="宋体"/>
          <w:b/>
          <w:bCs/>
          <w:sz w:val="24"/>
          <w:szCs w:val="24"/>
        </w:rPr>
      </w:pPr>
      <w:r>
        <w:rPr>
          <w:rFonts w:hint="eastAsia" w:ascii="宋体" w:hAnsi="宋体"/>
          <w:b/>
          <w:bCs/>
          <w:sz w:val="24"/>
          <w:szCs w:val="24"/>
        </w:rPr>
        <w:t>（6）</w:t>
      </w:r>
      <w:r>
        <w:rPr>
          <w:rFonts w:ascii="宋体" w:hAnsi="宋体"/>
          <w:b/>
          <w:bCs/>
          <w:sz w:val="24"/>
          <w:szCs w:val="24"/>
        </w:rPr>
        <w:t>符合采购文件明确规定的其他无效投标条款的。</w:t>
      </w:r>
    </w:p>
    <w:p>
      <w:pPr>
        <w:pStyle w:val="19"/>
        <w:snapToGrid w:val="0"/>
        <w:spacing w:after="0"/>
        <w:rPr>
          <w:rFonts w:ascii="宋体" w:hAnsi="宋体"/>
          <w:b/>
          <w:bCs/>
          <w:sz w:val="24"/>
          <w:szCs w:val="24"/>
        </w:rPr>
      </w:pPr>
    </w:p>
    <w:p>
      <w:pPr>
        <w:snapToGrid w:val="0"/>
        <w:ind w:firstLine="472" w:firstLineChars="196"/>
        <w:jc w:val="left"/>
        <w:outlineLvl w:val="0"/>
        <w:rPr>
          <w:rFonts w:ascii="宋体" w:hAnsi="宋体"/>
          <w:b/>
          <w:sz w:val="24"/>
        </w:rPr>
      </w:pPr>
      <w:r>
        <w:rPr>
          <w:rFonts w:hint="eastAsia" w:ascii="宋体" w:hAnsi="宋体"/>
          <w:b/>
          <w:sz w:val="24"/>
        </w:rPr>
        <w:t>12.谈判响应文件的语言及计量</w:t>
      </w:r>
    </w:p>
    <w:p>
      <w:pPr>
        <w:pStyle w:val="21"/>
        <w:snapToGrid w:val="0"/>
        <w:ind w:firstLine="480" w:firstLineChars="200"/>
        <w:rPr>
          <w:rFonts w:ascii="宋体" w:hAnsi="宋体"/>
        </w:rPr>
      </w:pPr>
      <w:r>
        <w:rPr>
          <w:rFonts w:hint="eastAsia" w:ascii="宋体" w:hAnsi="宋体"/>
        </w:rPr>
        <w:t>12.1</w:t>
      </w:r>
      <w:r>
        <w:rPr>
          <w:rFonts w:ascii="宋体" w:hAnsi="宋体"/>
        </w:rPr>
        <w:t>谈判响应文件以及投标方与采购方就有关投标事宜的所有来往函电，均应以中文汉语书写。除签名、盖章、专用名称等特殊情形外，以中文汉语以外的文字表述的谈判响应文件视同未提供。</w:t>
      </w:r>
    </w:p>
    <w:p>
      <w:pPr>
        <w:pStyle w:val="21"/>
        <w:snapToGrid w:val="0"/>
        <w:ind w:firstLine="480" w:firstLineChars="200"/>
        <w:rPr>
          <w:rFonts w:ascii="宋体" w:hAnsi="宋体"/>
        </w:rPr>
      </w:pPr>
      <w:r>
        <w:rPr>
          <w:rFonts w:hint="eastAsia" w:ascii="宋体" w:hAnsi="宋体"/>
        </w:rPr>
        <w:t>12.2</w:t>
      </w:r>
      <w:r>
        <w:rPr>
          <w:rFonts w:ascii="宋体" w:hAnsi="宋体"/>
        </w:rPr>
        <w:t>投标计量单位，采购文件已有明确规定的，使用采购文件规定的计量单位；采购文件没有规定的，应采用中华人民共和国法定计量单位（货币单位：人民币元），否则视同未响应。</w:t>
      </w:r>
    </w:p>
    <w:p>
      <w:pPr>
        <w:snapToGrid w:val="0"/>
        <w:ind w:firstLine="472" w:firstLineChars="196"/>
        <w:jc w:val="left"/>
        <w:outlineLvl w:val="0"/>
        <w:rPr>
          <w:rFonts w:ascii="宋体" w:hAnsi="宋体"/>
          <w:b/>
          <w:sz w:val="24"/>
        </w:rPr>
      </w:pPr>
      <w:r>
        <w:rPr>
          <w:rFonts w:hint="eastAsia" w:ascii="宋体" w:hAnsi="宋体"/>
          <w:b/>
          <w:sz w:val="24"/>
        </w:rPr>
        <w:t>13.投标报价</w:t>
      </w:r>
    </w:p>
    <w:p>
      <w:pPr>
        <w:pStyle w:val="21"/>
        <w:snapToGrid w:val="0"/>
        <w:ind w:firstLine="480" w:firstLineChars="200"/>
        <w:rPr>
          <w:rFonts w:ascii="宋体" w:hAnsi="宋体"/>
        </w:rPr>
      </w:pPr>
      <w:r>
        <w:rPr>
          <w:rFonts w:hint="eastAsia" w:ascii="宋体" w:hAnsi="宋体"/>
        </w:rPr>
        <w:t>13.1</w:t>
      </w:r>
      <w:r>
        <w:rPr>
          <w:rFonts w:ascii="宋体" w:hAnsi="宋体"/>
        </w:rPr>
        <w:t>投标报价应按采购文件中相关附表格式填写。</w:t>
      </w:r>
    </w:p>
    <w:p>
      <w:pPr>
        <w:pStyle w:val="21"/>
        <w:snapToGrid w:val="0"/>
        <w:ind w:firstLine="480" w:firstLineChars="200"/>
        <w:rPr>
          <w:rFonts w:ascii="宋体" w:hAnsi="宋体"/>
        </w:rPr>
      </w:pPr>
      <w:r>
        <w:rPr>
          <w:rFonts w:hint="eastAsia" w:ascii="宋体" w:hAnsi="宋体"/>
        </w:rPr>
        <w:t>13.2投标报价应包括</w:t>
      </w:r>
      <w:r>
        <w:rPr>
          <w:rFonts w:ascii="宋体" w:hAnsi="宋体"/>
        </w:rPr>
        <w:t>货款、标准附件、备品备件、专用工具、包装、运输、装卸、保险、税金、货到就位以及安装、调试、培训、保修等一切税金和费用。</w:t>
      </w:r>
      <w:r>
        <w:rPr>
          <w:rFonts w:hint="eastAsia" w:ascii="宋体" w:hAnsi="宋体"/>
        </w:rPr>
        <w:t>投标报价（包括单价、总价等）均保留到小数点后两位（如：100.88元）。投标人必须报有合理单价，其将作为设备增减的主要依据。</w:t>
      </w:r>
    </w:p>
    <w:p>
      <w:pPr>
        <w:pStyle w:val="21"/>
        <w:snapToGrid w:val="0"/>
        <w:ind w:firstLine="480" w:firstLineChars="200"/>
        <w:rPr>
          <w:rFonts w:ascii="宋体" w:hAnsi="宋体"/>
        </w:rPr>
      </w:pPr>
      <w:r>
        <w:rPr>
          <w:rFonts w:hint="eastAsia" w:ascii="宋体" w:hAnsi="宋体"/>
        </w:rPr>
        <w:t>13.3</w:t>
      </w:r>
      <w:r>
        <w:rPr>
          <w:rFonts w:ascii="宋体" w:hAnsi="宋体"/>
        </w:rPr>
        <w:t>谈判响应文件只允许有一个报价，有选择的</w:t>
      </w:r>
      <w:r>
        <w:rPr>
          <w:rFonts w:hint="eastAsia" w:ascii="宋体" w:hAnsi="宋体"/>
        </w:rPr>
        <w:t>或有条件的</w:t>
      </w:r>
      <w:r>
        <w:rPr>
          <w:rFonts w:ascii="宋体" w:hAnsi="宋体"/>
        </w:rPr>
        <w:t>报价将不予接受。</w:t>
      </w:r>
    </w:p>
    <w:p>
      <w:pPr>
        <w:pStyle w:val="21"/>
        <w:snapToGrid w:val="0"/>
        <w:ind w:firstLine="480" w:firstLineChars="200"/>
        <w:rPr>
          <w:rFonts w:ascii="宋体" w:hAnsi="宋体"/>
        </w:rPr>
      </w:pPr>
      <w:r>
        <w:rPr>
          <w:rFonts w:hint="eastAsia" w:ascii="宋体" w:hAnsi="宋体"/>
        </w:rPr>
        <w:t>13.4采购文件未列明，而投标人认为必需的费用也需列入报价。</w:t>
      </w:r>
    </w:p>
    <w:p>
      <w:pPr>
        <w:pStyle w:val="12"/>
        <w:widowControl w:val="0"/>
        <w:numPr>
          <w:ilvl w:val="0"/>
          <w:numId w:val="0"/>
        </w:numPr>
        <w:snapToGrid w:val="0"/>
        <w:spacing w:after="156"/>
        <w:ind w:firstLine="472" w:firstLineChars="196"/>
        <w:rPr>
          <w:rFonts w:ascii="宋体" w:hAnsi="宋体"/>
          <w:b/>
          <w:color w:val="000000"/>
          <w:szCs w:val="24"/>
        </w:rPr>
      </w:pPr>
      <w:r>
        <w:rPr>
          <w:rFonts w:hint="eastAsia" w:ascii="宋体" w:hAnsi="宋体"/>
          <w:b/>
          <w:color w:val="000000"/>
          <w:szCs w:val="24"/>
        </w:rPr>
        <w:t>14.谈判响应文件的有效期</w:t>
      </w:r>
    </w:p>
    <w:p>
      <w:pPr>
        <w:pStyle w:val="21"/>
        <w:snapToGrid w:val="0"/>
        <w:ind w:firstLine="480" w:firstLineChars="200"/>
        <w:rPr>
          <w:rFonts w:ascii="宋体" w:hAnsi="宋体"/>
        </w:rPr>
      </w:pPr>
      <w:r>
        <w:rPr>
          <w:rFonts w:hint="eastAsia" w:ascii="宋体" w:hAnsi="宋体"/>
        </w:rPr>
        <w:t>14.1</w:t>
      </w:r>
      <w:r>
        <w:rPr>
          <w:rFonts w:ascii="宋体" w:hAnsi="宋体"/>
        </w:rPr>
        <w:t>自投标截止日起</w:t>
      </w:r>
      <w:r>
        <w:rPr>
          <w:rFonts w:hint="eastAsia" w:ascii="宋体" w:hAnsi="宋体"/>
        </w:rPr>
        <w:t>45</w:t>
      </w:r>
      <w:r>
        <w:rPr>
          <w:rFonts w:ascii="宋体" w:hAnsi="宋体"/>
        </w:rPr>
        <w:t>天投标书应保持有效。</w:t>
      </w:r>
      <w:r>
        <w:rPr>
          <w:rFonts w:hint="eastAsia" w:ascii="宋体" w:hAnsi="宋体"/>
        </w:rPr>
        <w:t>如采购人认为必要，可延长投标有效期。</w:t>
      </w:r>
      <w:r>
        <w:rPr>
          <w:rFonts w:ascii="宋体" w:hAnsi="宋体"/>
        </w:rPr>
        <w:t>有效期短于这个规定期限的投标将被拒绝。</w:t>
      </w:r>
    </w:p>
    <w:p>
      <w:pPr>
        <w:pStyle w:val="21"/>
        <w:snapToGrid w:val="0"/>
        <w:ind w:firstLine="480" w:firstLineChars="200"/>
        <w:rPr>
          <w:rFonts w:ascii="宋体" w:hAnsi="宋体"/>
        </w:rPr>
      </w:pPr>
      <w:r>
        <w:rPr>
          <w:rFonts w:hint="eastAsia" w:ascii="宋体" w:hAnsi="宋体"/>
        </w:rPr>
        <w:t>14.2</w:t>
      </w:r>
      <w:r>
        <w:rPr>
          <w:rFonts w:ascii="宋体" w:hAnsi="宋体"/>
        </w:rPr>
        <w:t>在特殊情况下，采购人可与投标人协商延长投标书的有效期，这种要求和答复均以书面形式进行。</w:t>
      </w:r>
    </w:p>
    <w:p>
      <w:pPr>
        <w:pStyle w:val="21"/>
        <w:snapToGrid w:val="0"/>
        <w:ind w:firstLine="480" w:firstLineChars="200"/>
        <w:rPr>
          <w:rFonts w:ascii="宋体" w:hAnsi="宋体"/>
        </w:rPr>
      </w:pPr>
      <w:r>
        <w:rPr>
          <w:rFonts w:hint="eastAsia" w:ascii="宋体" w:hAnsi="宋体"/>
        </w:rPr>
        <w:t>14.3</w:t>
      </w:r>
      <w:r>
        <w:rPr>
          <w:rFonts w:ascii="宋体" w:hAnsi="宋体"/>
        </w:rPr>
        <w:t xml:space="preserve">投标人可拒绝接受延期要求而不会导致投标保证金被没收。同意延长有效期的投标人需要相应延长投标保证金的有效期，但不能修改谈判响应文件。 </w:t>
      </w:r>
    </w:p>
    <w:p>
      <w:pPr>
        <w:pStyle w:val="21"/>
        <w:snapToGrid w:val="0"/>
        <w:ind w:firstLine="480" w:firstLineChars="200"/>
        <w:rPr>
          <w:rFonts w:ascii="宋体" w:hAnsi="宋体"/>
        </w:rPr>
      </w:pPr>
      <w:r>
        <w:rPr>
          <w:rFonts w:hint="eastAsia" w:ascii="宋体" w:hAnsi="宋体"/>
        </w:rPr>
        <w:t>14.4</w:t>
      </w:r>
      <w:r>
        <w:rPr>
          <w:rFonts w:ascii="宋体" w:hAnsi="宋体"/>
        </w:rPr>
        <w:t>成交供应商的谈判响应文件自开标之日起至合同履行完毕止均应保持有效。</w:t>
      </w:r>
    </w:p>
    <w:p>
      <w:pPr>
        <w:snapToGrid w:val="0"/>
        <w:ind w:firstLine="472" w:firstLineChars="196"/>
        <w:jc w:val="left"/>
        <w:outlineLvl w:val="0"/>
        <w:rPr>
          <w:rFonts w:ascii="宋体" w:hAnsi="宋体"/>
          <w:b/>
          <w:sz w:val="24"/>
        </w:rPr>
      </w:pPr>
      <w:r>
        <w:rPr>
          <w:rFonts w:hint="eastAsia" w:ascii="宋体" w:hAnsi="宋体"/>
          <w:b/>
          <w:sz w:val="24"/>
        </w:rPr>
        <w:t>15.投标保证金</w:t>
      </w:r>
    </w:p>
    <w:p>
      <w:pPr>
        <w:snapToGrid w:val="0"/>
        <w:ind w:firstLine="480" w:firstLineChars="200"/>
        <w:rPr>
          <w:rFonts w:ascii="宋体" w:hAnsi="宋体"/>
          <w:color w:val="auto"/>
          <w:kern w:val="2"/>
          <w:sz w:val="24"/>
          <w:szCs w:val="20"/>
        </w:rPr>
      </w:pPr>
      <w:r>
        <w:rPr>
          <w:rFonts w:ascii="宋体" w:hAnsi="宋体"/>
          <w:color w:val="auto"/>
          <w:kern w:val="2"/>
          <w:sz w:val="24"/>
          <w:szCs w:val="20"/>
        </w:rPr>
        <w:t>本次谈判免收谈判保证金</w:t>
      </w:r>
      <w:r>
        <w:rPr>
          <w:rFonts w:hint="eastAsia" w:ascii="宋体" w:hAnsi="宋体"/>
          <w:color w:val="auto"/>
          <w:kern w:val="2"/>
          <w:sz w:val="24"/>
          <w:szCs w:val="20"/>
        </w:rPr>
        <w:t>。</w:t>
      </w:r>
    </w:p>
    <w:p>
      <w:pPr>
        <w:pStyle w:val="19"/>
        <w:snapToGrid w:val="0"/>
        <w:spacing w:after="0"/>
        <w:rPr>
          <w:rFonts w:ascii="宋体" w:hAnsi="宋体"/>
          <w:b/>
          <w:bCs/>
          <w:sz w:val="24"/>
          <w:szCs w:val="24"/>
        </w:rPr>
      </w:pPr>
    </w:p>
    <w:p>
      <w:pPr>
        <w:pStyle w:val="3"/>
        <w:spacing w:line="360" w:lineRule="exact"/>
        <w:jc w:val="center"/>
        <w:rPr>
          <w:rFonts w:ascii="宋体" w:hAnsi="宋体" w:eastAsia="宋体"/>
          <w:sz w:val="28"/>
          <w:szCs w:val="28"/>
        </w:rPr>
      </w:pPr>
      <w:r>
        <w:rPr>
          <w:rFonts w:hint="eastAsia" w:ascii="宋体" w:hAnsi="宋体" w:eastAsia="宋体"/>
          <w:sz w:val="28"/>
          <w:szCs w:val="28"/>
        </w:rPr>
        <w:t>四、谈  判</w:t>
      </w:r>
    </w:p>
    <w:p>
      <w:pPr>
        <w:ind w:firstLine="482" w:firstLineChars="200"/>
        <w:rPr>
          <w:rFonts w:ascii="宋体" w:hAnsi="宋体"/>
          <w:b/>
          <w:sz w:val="24"/>
        </w:rPr>
      </w:pPr>
      <w:r>
        <w:rPr>
          <w:rFonts w:ascii="宋体" w:hAnsi="宋体"/>
          <w:b/>
          <w:sz w:val="24"/>
        </w:rPr>
        <w:t>投标截止时间后</w:t>
      </w:r>
      <w:r>
        <w:rPr>
          <w:rFonts w:hint="eastAsia" w:ascii="宋体" w:hAnsi="宋体"/>
          <w:b/>
          <w:sz w:val="24"/>
        </w:rPr>
        <w:t>的1小时内</w:t>
      </w:r>
      <w:r>
        <w:rPr>
          <w:rFonts w:ascii="宋体" w:hAnsi="宋体"/>
          <w:b/>
          <w:sz w:val="24"/>
        </w:rPr>
        <w:t>，</w:t>
      </w:r>
      <w:r>
        <w:rPr>
          <w:rFonts w:hint="eastAsia" w:ascii="宋体" w:hAnsi="宋体"/>
          <w:b/>
          <w:sz w:val="24"/>
        </w:rPr>
        <w:t>由投标人自行</w:t>
      </w:r>
      <w:r>
        <w:rPr>
          <w:rFonts w:ascii="宋体" w:hAnsi="宋体"/>
          <w:b/>
          <w:sz w:val="24"/>
        </w:rPr>
        <w:t>对</w:t>
      </w:r>
      <w:r>
        <w:rPr>
          <w:rFonts w:hint="eastAsia" w:ascii="宋体" w:hAnsi="宋体"/>
          <w:b/>
          <w:sz w:val="24"/>
        </w:rPr>
        <w:t>电子</w:t>
      </w:r>
      <w:r>
        <w:rPr>
          <w:rFonts w:ascii="宋体" w:hAnsi="宋体"/>
          <w:b/>
          <w:sz w:val="24"/>
        </w:rPr>
        <w:t>投标文件进行解密</w:t>
      </w:r>
      <w:r>
        <w:rPr>
          <w:rFonts w:hint="eastAsia" w:ascii="宋体" w:hAnsi="宋体"/>
          <w:b/>
          <w:sz w:val="24"/>
        </w:rPr>
        <w:t>（请投标人务必在规定时间内完成电子投标文件的解密工作，在电子开评标期间，投标人（授权代表）需确保在所在的区域具备上网的技术条件并保持网络及联系方式畅通），同时为避免出现意外，建议全程由一台电脑进行操作（包括标书制作、上传、解密等），中途不要更换电脑；</w:t>
      </w:r>
    </w:p>
    <w:p>
      <w:pPr>
        <w:ind w:firstLine="480" w:firstLineChars="200"/>
        <w:rPr>
          <w:rFonts w:ascii="宋体" w:hAnsi="宋体"/>
          <w:sz w:val="24"/>
        </w:rPr>
      </w:pPr>
      <w:r>
        <w:rPr>
          <w:rFonts w:hint="eastAsia" w:ascii="宋体" w:hAnsi="宋体"/>
          <w:sz w:val="24"/>
        </w:rPr>
        <w:t>谈判响应文件未按时解密，投标人提供了备份谈判响应文件的，以备份谈判响应文件作为依据，否则视为谈判响应文件撤回。谈判响应文件已按时解密的，备份谈判响应文件自动失效。</w:t>
      </w:r>
    </w:p>
    <w:p>
      <w:pPr>
        <w:ind w:firstLine="480" w:firstLineChars="200"/>
        <w:rPr>
          <w:rFonts w:ascii="宋体" w:hAnsi="宋体"/>
          <w:sz w:val="24"/>
        </w:rPr>
      </w:pPr>
      <w:r>
        <w:rPr>
          <w:rFonts w:hint="eastAsia" w:ascii="宋体" w:hAnsi="宋体"/>
          <w:sz w:val="24"/>
        </w:rPr>
        <w:t>采购人或受采购人委托的评标委员会依法对投标人的资格进行审查。投标人未按照采购文件要求提供与基本资格条件、特定资格条件相应的有效资格证明材料的，视为投标人不具备采购文件中规定的资格要求，其投标无效。</w:t>
      </w:r>
    </w:p>
    <w:p>
      <w:pPr>
        <w:ind w:firstLine="480" w:firstLineChars="200"/>
        <w:rPr>
          <w:rFonts w:ascii="宋体" w:hAnsi="宋体"/>
          <w:sz w:val="24"/>
        </w:rPr>
      </w:pPr>
      <w:r>
        <w:rPr>
          <w:rFonts w:hint="eastAsia" w:ascii="宋体" w:hAnsi="宋体"/>
          <w:sz w:val="24"/>
        </w:rPr>
        <w:t>评标委员会将根据采购文件和有关规定，履行评标工作职责，并和</w:t>
      </w:r>
      <w:r>
        <w:rPr>
          <w:rFonts w:ascii="宋体" w:hAnsi="宋体"/>
          <w:sz w:val="24"/>
        </w:rPr>
        <w:t>谈判响应人</w:t>
      </w:r>
      <w:r>
        <w:rPr>
          <w:rFonts w:hint="eastAsia" w:ascii="宋体" w:hAnsi="宋体"/>
          <w:sz w:val="24"/>
        </w:rPr>
        <w:t xml:space="preserve">就有关技术要求、项目进程安排、服务条款等内容进行谈判； </w:t>
      </w:r>
    </w:p>
    <w:p>
      <w:pPr>
        <w:ind w:firstLine="480" w:firstLineChars="200"/>
        <w:rPr>
          <w:rFonts w:ascii="宋体" w:hAnsi="宋体"/>
          <w:sz w:val="24"/>
        </w:rPr>
      </w:pPr>
      <w:r>
        <w:rPr>
          <w:rFonts w:hint="eastAsia" w:ascii="宋体" w:hAnsi="宋体"/>
          <w:sz w:val="24"/>
        </w:rPr>
        <w:t>评标委员会对技术标有效的投标单位进行投标报价评审，经过谈判、评审后确定投标报价。</w:t>
      </w:r>
      <w:r>
        <w:rPr>
          <w:rFonts w:ascii="宋体" w:hAnsi="宋体"/>
          <w:sz w:val="24"/>
        </w:rPr>
        <w:t>谈判就所有问题达成一致的，谈判成功；谈判中不能就所有问题达成一致的，则采购谈判失败，本次采购活动终止。</w:t>
      </w:r>
    </w:p>
    <w:p>
      <w:pPr>
        <w:ind w:firstLine="480" w:firstLineChars="200"/>
        <w:rPr>
          <w:rFonts w:ascii="宋体" w:hAnsi="宋体"/>
          <w:b/>
          <w:sz w:val="24"/>
        </w:rPr>
      </w:pPr>
      <w:r>
        <w:rPr>
          <w:rFonts w:hint="eastAsia" w:ascii="宋体" w:hAnsi="宋体"/>
          <w:sz w:val="24"/>
        </w:rPr>
        <w:t>最终评标委员会推荐成交候选人。</w:t>
      </w:r>
    </w:p>
    <w:p>
      <w:pPr>
        <w:ind w:firstLine="482" w:firstLineChars="200"/>
        <w:rPr>
          <w:rFonts w:ascii="宋体" w:hAnsi="宋体"/>
          <w:b/>
          <w:sz w:val="24"/>
        </w:rPr>
      </w:pPr>
      <w:r>
        <w:rPr>
          <w:rFonts w:hint="eastAsia" w:ascii="宋体" w:hAnsi="宋体"/>
          <w:b/>
          <w:sz w:val="24"/>
        </w:rPr>
        <w:t>特别说明：</w:t>
      </w:r>
    </w:p>
    <w:p>
      <w:pPr>
        <w:ind w:firstLine="482" w:firstLineChars="200"/>
        <w:rPr>
          <w:rFonts w:ascii="宋体" w:hAnsi="宋体"/>
          <w:b/>
          <w:sz w:val="24"/>
        </w:rPr>
      </w:pPr>
      <w:r>
        <w:rPr>
          <w:rFonts w:hint="eastAsia" w:ascii="宋体" w:hAnsi="宋体"/>
          <w:b/>
          <w:sz w:val="24"/>
        </w:rPr>
        <w:t>1、政采云公司如对电子化开标及评审程序有调整的，按调整后的程序操作。</w:t>
      </w:r>
    </w:p>
    <w:p>
      <w:pPr>
        <w:ind w:firstLine="482" w:firstLineChars="200"/>
        <w:rPr>
          <w:rFonts w:ascii="宋体" w:hAnsi="宋体"/>
          <w:b/>
          <w:sz w:val="24"/>
        </w:rPr>
      </w:pPr>
      <w:r>
        <w:rPr>
          <w:rFonts w:hint="eastAsia" w:ascii="宋体" w:hAnsi="宋体"/>
          <w:b/>
          <w:sz w:val="24"/>
        </w:rPr>
        <w:t>2、如中标单位投标文件和采购文件要求不一致，且评审过程中未发现的，履约应按有利于采购人的要求执行。</w:t>
      </w:r>
    </w:p>
    <w:p>
      <w:pPr>
        <w:ind w:firstLine="482" w:firstLineChars="200"/>
        <w:rPr>
          <w:rFonts w:ascii="宋体" w:hAnsi="宋体"/>
          <w:b/>
          <w:sz w:val="24"/>
        </w:rPr>
      </w:pPr>
      <w:r>
        <w:rPr>
          <w:rFonts w:hint="eastAsia" w:ascii="宋体" w:hAnsi="宋体"/>
          <w:b/>
          <w:sz w:val="24"/>
        </w:rPr>
        <w:t>3、采购过程中出现以下情形，导致电子交易平台无法正常运行，或者无法保证电子交易的公平、公正和安全时，采购组织机构可中止电子交易活动：</w:t>
      </w:r>
    </w:p>
    <w:p>
      <w:pPr>
        <w:pStyle w:val="30"/>
        <w:ind w:firstLine="480" w:firstLineChars="200"/>
        <w:rPr>
          <w:rFonts w:ascii="宋体" w:hAnsi="宋体"/>
          <w:sz w:val="24"/>
        </w:rPr>
      </w:pPr>
      <w:r>
        <w:rPr>
          <w:rFonts w:hint="eastAsia" w:ascii="宋体" w:hAnsi="宋体"/>
          <w:sz w:val="24"/>
        </w:rPr>
        <w:t>（一）电子交易平台发生故障而无法登录访问的； </w:t>
      </w:r>
    </w:p>
    <w:p>
      <w:pPr>
        <w:pStyle w:val="30"/>
        <w:ind w:firstLine="480" w:firstLineChars="200"/>
        <w:rPr>
          <w:rFonts w:ascii="宋体" w:hAnsi="宋体"/>
          <w:sz w:val="24"/>
        </w:rPr>
      </w:pPr>
      <w:r>
        <w:rPr>
          <w:rFonts w:hint="eastAsia" w:ascii="宋体" w:hAnsi="宋体"/>
          <w:sz w:val="24"/>
        </w:rPr>
        <w:t>（二）电子交易平台应用或数据库出现错误，不能进行正常操作的；</w:t>
      </w:r>
    </w:p>
    <w:p>
      <w:pPr>
        <w:pStyle w:val="30"/>
        <w:ind w:firstLine="480" w:firstLineChars="200"/>
        <w:rPr>
          <w:rFonts w:ascii="宋体" w:hAnsi="宋体"/>
          <w:sz w:val="24"/>
        </w:rPr>
      </w:pPr>
      <w:r>
        <w:rPr>
          <w:rFonts w:hint="eastAsia" w:ascii="宋体" w:hAnsi="宋体"/>
          <w:sz w:val="24"/>
        </w:rPr>
        <w:t>（三）电子交易平台发现严重安全漏洞，有潜在泄密危险的；</w:t>
      </w:r>
    </w:p>
    <w:p>
      <w:pPr>
        <w:pStyle w:val="30"/>
        <w:ind w:firstLine="480" w:firstLineChars="200"/>
        <w:rPr>
          <w:rFonts w:ascii="宋体" w:hAnsi="宋体"/>
          <w:sz w:val="24"/>
        </w:rPr>
      </w:pPr>
      <w:r>
        <w:rPr>
          <w:rFonts w:hint="eastAsia" w:ascii="宋体" w:hAnsi="宋体"/>
          <w:sz w:val="24"/>
        </w:rPr>
        <w:t>（四）病毒发作导致不能进行正常操作的； </w:t>
      </w:r>
    </w:p>
    <w:p>
      <w:pPr>
        <w:pStyle w:val="30"/>
        <w:ind w:firstLine="480" w:firstLineChars="200"/>
        <w:rPr>
          <w:rFonts w:ascii="宋体" w:hAnsi="宋体"/>
          <w:sz w:val="24"/>
        </w:rPr>
      </w:pPr>
      <w:r>
        <w:rPr>
          <w:rFonts w:hint="eastAsia" w:ascii="宋体" w:hAnsi="宋体"/>
          <w:sz w:val="24"/>
        </w:rPr>
        <w:t>（五）其他无法保证电子交易的公平、公正和安全的情况。</w:t>
      </w:r>
    </w:p>
    <w:p>
      <w:pPr>
        <w:pStyle w:val="30"/>
        <w:ind w:firstLine="480" w:firstLineChars="200"/>
        <w:rPr>
          <w:rFonts w:ascii="宋体" w:hAnsi="宋体"/>
          <w:sz w:val="24"/>
        </w:rPr>
      </w:pPr>
      <w:r>
        <w:rPr>
          <w:rFonts w:hint="eastAsia" w:ascii="宋体" w:hAnsi="宋体"/>
          <w:sz w:val="24"/>
        </w:rPr>
        <w:t> 出现前款规定情形，不影响采购公平、公正性的，采购组织机构可以待上述情形消除后继续组织电子交易活动；影响或可能影响采购公平、公正性的，应当重新采购。</w:t>
      </w:r>
    </w:p>
    <w:p>
      <w:pPr>
        <w:spacing w:line="360" w:lineRule="exact"/>
        <w:ind w:firstLine="482" w:firstLineChars="200"/>
        <w:rPr>
          <w:rFonts w:ascii="宋体" w:hAnsi="宋体"/>
          <w:b/>
          <w:bCs/>
          <w:sz w:val="24"/>
        </w:rPr>
      </w:pPr>
    </w:p>
    <w:p>
      <w:pPr>
        <w:spacing w:line="360" w:lineRule="exact"/>
        <w:ind w:firstLine="482" w:firstLineChars="200"/>
        <w:rPr>
          <w:rFonts w:ascii="宋体" w:hAnsi="宋体"/>
          <w:b/>
          <w:bCs/>
          <w:sz w:val="24"/>
        </w:rPr>
      </w:pPr>
      <w:r>
        <w:rPr>
          <w:rFonts w:hint="eastAsia" w:ascii="宋体" w:hAnsi="宋体"/>
          <w:b/>
          <w:bCs/>
          <w:sz w:val="24"/>
        </w:rPr>
        <w:t>16组建谈判专家委员会</w:t>
      </w:r>
    </w:p>
    <w:p>
      <w:pPr>
        <w:pStyle w:val="30"/>
        <w:ind w:firstLine="480" w:firstLineChars="200"/>
        <w:rPr>
          <w:rFonts w:ascii="宋体" w:hAnsi="宋体"/>
          <w:sz w:val="24"/>
        </w:rPr>
      </w:pPr>
      <w:r>
        <w:rPr>
          <w:rFonts w:hint="eastAsia" w:ascii="宋体" w:hAnsi="宋体"/>
          <w:sz w:val="24"/>
        </w:rPr>
        <w:t>谈判专家委员会按照有关规定组建。</w:t>
      </w:r>
    </w:p>
    <w:p>
      <w:pPr>
        <w:pStyle w:val="30"/>
        <w:ind w:firstLine="480" w:firstLineChars="200"/>
        <w:rPr>
          <w:rFonts w:ascii="宋体" w:hAnsi="宋体"/>
          <w:sz w:val="24"/>
        </w:rPr>
      </w:pPr>
    </w:p>
    <w:p>
      <w:pPr>
        <w:spacing w:line="360" w:lineRule="exact"/>
        <w:ind w:firstLine="482" w:firstLineChars="200"/>
        <w:rPr>
          <w:rFonts w:ascii="宋体" w:hAnsi="宋体"/>
          <w:b/>
          <w:bCs/>
          <w:sz w:val="24"/>
        </w:rPr>
      </w:pPr>
      <w:r>
        <w:rPr>
          <w:rFonts w:hint="eastAsia" w:ascii="宋体" w:hAnsi="宋体"/>
          <w:b/>
          <w:bCs/>
          <w:sz w:val="24"/>
        </w:rPr>
        <w:t>17谈判原则</w:t>
      </w:r>
    </w:p>
    <w:p>
      <w:pPr>
        <w:pStyle w:val="30"/>
        <w:ind w:firstLine="480" w:firstLineChars="200"/>
        <w:rPr>
          <w:rFonts w:ascii="宋体" w:hAnsi="宋体"/>
          <w:sz w:val="24"/>
        </w:rPr>
      </w:pPr>
      <w:r>
        <w:rPr>
          <w:rFonts w:hint="eastAsia" w:ascii="宋体" w:hAnsi="宋体"/>
          <w:sz w:val="24"/>
        </w:rPr>
        <w:t>17.1谈判专家委员会必须公平、公正、客观，不带任何倾向性和启发性；</w:t>
      </w:r>
    </w:p>
    <w:p>
      <w:pPr>
        <w:pStyle w:val="30"/>
        <w:ind w:firstLine="480" w:firstLineChars="200"/>
        <w:rPr>
          <w:rFonts w:ascii="宋体" w:hAnsi="宋体"/>
          <w:sz w:val="24"/>
        </w:rPr>
      </w:pPr>
      <w:r>
        <w:rPr>
          <w:rFonts w:hint="eastAsia" w:ascii="宋体" w:hAnsi="宋体"/>
          <w:sz w:val="24"/>
        </w:rPr>
        <w:t>17.2不得向外界透露任何与谈判有关的内容；</w:t>
      </w:r>
    </w:p>
    <w:p>
      <w:pPr>
        <w:pStyle w:val="30"/>
        <w:ind w:firstLine="480" w:firstLineChars="200"/>
        <w:rPr>
          <w:rFonts w:ascii="宋体" w:hAnsi="宋体"/>
          <w:sz w:val="24"/>
        </w:rPr>
      </w:pPr>
      <w:r>
        <w:rPr>
          <w:rFonts w:hint="eastAsia" w:ascii="宋体" w:hAnsi="宋体"/>
          <w:sz w:val="24"/>
        </w:rPr>
        <w:t>17.3任何单位和个人不得干扰、影响谈判的正常进行；</w:t>
      </w:r>
    </w:p>
    <w:p>
      <w:pPr>
        <w:pStyle w:val="30"/>
        <w:ind w:firstLine="480" w:firstLineChars="200"/>
        <w:rPr>
          <w:rFonts w:ascii="宋体" w:hAnsi="宋体"/>
          <w:sz w:val="24"/>
        </w:rPr>
      </w:pPr>
      <w:r>
        <w:rPr>
          <w:rFonts w:hint="eastAsia" w:ascii="宋体" w:hAnsi="宋体"/>
          <w:sz w:val="24"/>
        </w:rPr>
        <w:t>17.4谈判专家委员会及有关工作人员不得私下与投标人接触。</w:t>
      </w:r>
    </w:p>
    <w:p>
      <w:pPr>
        <w:pStyle w:val="30"/>
        <w:ind w:firstLine="480" w:firstLineChars="200"/>
        <w:rPr>
          <w:rFonts w:ascii="宋体" w:hAnsi="宋体"/>
          <w:sz w:val="24"/>
        </w:rPr>
      </w:pPr>
      <w:r>
        <w:rPr>
          <w:rFonts w:hint="eastAsia" w:ascii="宋体" w:hAnsi="宋体"/>
          <w:sz w:val="24"/>
        </w:rPr>
        <w:t>17.5谈判专家因回避、临时缺席或健康原因等特殊情况不能继续参加评审工作的，应按规定更换谈判专家,被更换的谈判人员之前所作出的评审意见不再予以采纳，由更换后的谈判人员重新进行评审。无法及时更换专家的，要立即停止评审工作、封存评审资料，并告知投标人择期重新评审的时间和地点。</w:t>
      </w:r>
    </w:p>
    <w:p>
      <w:pPr>
        <w:pStyle w:val="21"/>
        <w:snapToGrid w:val="0"/>
        <w:ind w:left="2" w:leftChars="1" w:firstLine="480" w:firstLineChars="200"/>
        <w:rPr>
          <w:rFonts w:ascii="宋体" w:hAnsi="宋体"/>
          <w:b/>
        </w:rPr>
      </w:pPr>
      <w:r>
        <w:rPr>
          <w:rFonts w:hint="eastAsia" w:ascii="宋体" w:hAnsi="宋体"/>
          <w:bCs/>
        </w:rPr>
        <w:t>18本项目涉及提供的有关资质证书，若原有资质证书处于年审期间，投标人提供年审证明的可按原资质投标；若投标人正在申报上一级别资质，在未获批准之前，仍按原级别资质投标</w:t>
      </w:r>
      <w:r>
        <w:rPr>
          <w:rFonts w:hint="eastAsia" w:ascii="宋体" w:hAnsi="宋体"/>
          <w:b/>
        </w:rPr>
        <w:t>。</w:t>
      </w:r>
    </w:p>
    <w:p>
      <w:pPr>
        <w:spacing w:line="360" w:lineRule="exact"/>
        <w:ind w:firstLine="482" w:firstLineChars="200"/>
        <w:rPr>
          <w:rFonts w:ascii="宋体" w:hAnsi="宋体"/>
          <w:b/>
          <w:bCs/>
          <w:sz w:val="24"/>
        </w:rPr>
      </w:pPr>
      <w:r>
        <w:rPr>
          <w:rFonts w:hint="eastAsia" w:ascii="宋体" w:hAnsi="宋体"/>
          <w:b/>
          <w:bCs/>
          <w:sz w:val="24"/>
        </w:rPr>
        <w:t>19. 谈判程序</w:t>
      </w:r>
    </w:p>
    <w:p>
      <w:pPr>
        <w:snapToGrid w:val="0"/>
        <w:ind w:firstLine="472" w:firstLineChars="196"/>
        <w:rPr>
          <w:rFonts w:ascii="宋体" w:hAnsi="宋体"/>
          <w:b/>
          <w:bCs/>
          <w:sz w:val="24"/>
        </w:rPr>
      </w:pPr>
      <w:r>
        <w:rPr>
          <w:rFonts w:hint="eastAsia" w:ascii="宋体" w:hAnsi="宋体"/>
          <w:b/>
          <w:bCs/>
          <w:sz w:val="24"/>
        </w:rPr>
        <w:t>19.1资格及形式审查</w:t>
      </w:r>
    </w:p>
    <w:p>
      <w:pPr>
        <w:ind w:firstLine="480" w:firstLineChars="200"/>
        <w:rPr>
          <w:rFonts w:ascii="宋体" w:hAnsi="宋体"/>
          <w:sz w:val="24"/>
        </w:rPr>
      </w:pPr>
      <w:r>
        <w:rPr>
          <w:rFonts w:hint="eastAsia" w:ascii="宋体" w:hAnsi="宋体"/>
          <w:color w:val="auto"/>
          <w:kern w:val="2"/>
          <w:sz w:val="24"/>
          <w:szCs w:val="24"/>
        </w:rPr>
        <w:t>采购人或受其委托的采购代理机构对投标人资格进行审查，并审查</w:t>
      </w:r>
      <w:r>
        <w:rPr>
          <w:rFonts w:ascii="宋体" w:hAnsi="宋体"/>
          <w:sz w:val="24"/>
        </w:rPr>
        <w:t>投标文件的</w:t>
      </w:r>
      <w:r>
        <w:rPr>
          <w:rFonts w:hint="eastAsia" w:ascii="宋体" w:hAnsi="宋体"/>
          <w:sz w:val="24"/>
        </w:rPr>
        <w:t>有效性、</w:t>
      </w:r>
      <w:r>
        <w:rPr>
          <w:rFonts w:ascii="宋体" w:hAnsi="宋体"/>
          <w:sz w:val="24"/>
        </w:rPr>
        <w:t>完整性、合法性等。</w:t>
      </w:r>
    </w:p>
    <w:p>
      <w:pPr>
        <w:snapToGrid w:val="0"/>
        <w:ind w:firstLine="472" w:firstLineChars="196"/>
        <w:rPr>
          <w:rFonts w:ascii="宋体" w:hAnsi="宋体"/>
          <w:b/>
          <w:bCs/>
          <w:sz w:val="24"/>
        </w:rPr>
      </w:pPr>
      <w:r>
        <w:rPr>
          <w:rFonts w:hint="eastAsia" w:ascii="宋体" w:hAnsi="宋体"/>
          <w:b/>
          <w:bCs/>
          <w:sz w:val="24"/>
        </w:rPr>
        <w:t>19.2在谈判专家中推选谈判委员会组长</w:t>
      </w:r>
    </w:p>
    <w:p>
      <w:pPr>
        <w:snapToGrid w:val="0"/>
        <w:ind w:firstLine="472" w:firstLineChars="196"/>
        <w:rPr>
          <w:rFonts w:ascii="宋体" w:hAnsi="宋体"/>
          <w:b/>
          <w:bCs/>
          <w:sz w:val="24"/>
          <w:szCs w:val="20"/>
        </w:rPr>
      </w:pPr>
      <w:r>
        <w:rPr>
          <w:rFonts w:hint="eastAsia" w:ascii="宋体" w:hAnsi="宋体"/>
          <w:b/>
          <w:bCs/>
          <w:sz w:val="24"/>
        </w:rPr>
        <w:t>19.3</w:t>
      </w:r>
      <w:r>
        <w:rPr>
          <w:rFonts w:ascii="宋体" w:hAnsi="宋体"/>
          <w:b/>
          <w:bCs/>
          <w:sz w:val="24"/>
        </w:rPr>
        <w:t>实质审查与比较</w:t>
      </w:r>
    </w:p>
    <w:p>
      <w:pPr>
        <w:pStyle w:val="30"/>
        <w:ind w:firstLine="480" w:firstLineChars="200"/>
        <w:rPr>
          <w:rFonts w:ascii="宋体" w:hAnsi="宋体"/>
          <w:sz w:val="24"/>
        </w:rPr>
      </w:pPr>
      <w:r>
        <w:rPr>
          <w:rFonts w:hint="eastAsia" w:ascii="宋体" w:hAnsi="宋体"/>
          <w:sz w:val="24"/>
        </w:rPr>
        <w:t>19.3.1谈判时，谈判委员会将以采购文件为基本依据，首先评定谈判响应文件是否在实质上响应了采购文件的要求。所谓实质上响应，是指谈判响应文件应与采购文件的所有实质性条款、条件和要求相符，无显著差异或保留，或者对合同中约定的采购人的权利和投标人的义务方面造成重大的限制，纠正这些显著差异。</w:t>
      </w:r>
    </w:p>
    <w:p>
      <w:pPr>
        <w:pStyle w:val="30"/>
        <w:ind w:firstLine="480" w:firstLineChars="200"/>
        <w:rPr>
          <w:rFonts w:ascii="宋体" w:hAnsi="宋体"/>
          <w:sz w:val="24"/>
        </w:rPr>
      </w:pPr>
      <w:r>
        <w:rPr>
          <w:rFonts w:hint="eastAsia" w:ascii="宋体" w:hAnsi="宋体"/>
          <w:sz w:val="24"/>
        </w:rPr>
        <w:t>19.3.2谈判</w:t>
      </w:r>
      <w:r>
        <w:rPr>
          <w:rFonts w:ascii="宋体" w:hAnsi="宋体"/>
          <w:sz w:val="24"/>
        </w:rPr>
        <w:t>委员会将根据投标人的</w:t>
      </w:r>
      <w:r>
        <w:rPr>
          <w:rFonts w:hint="eastAsia" w:ascii="宋体" w:hAnsi="宋体"/>
          <w:sz w:val="24"/>
        </w:rPr>
        <w:t>谈判响应文件</w:t>
      </w:r>
      <w:r>
        <w:rPr>
          <w:rFonts w:ascii="宋体" w:hAnsi="宋体"/>
          <w:sz w:val="24"/>
        </w:rPr>
        <w:t>进行审查、核对,如有疑问,将对投标人进行询标,投标人要向评标委员会澄清有关问题,并最终以</w:t>
      </w:r>
      <w:r>
        <w:rPr>
          <w:rFonts w:hint="eastAsia" w:ascii="宋体" w:hAnsi="宋体"/>
          <w:sz w:val="24"/>
        </w:rPr>
        <w:t>“政采云”在线询标或其他有效形式</w:t>
      </w:r>
      <w:r>
        <w:rPr>
          <w:rFonts w:ascii="宋体" w:hAnsi="宋体"/>
          <w:sz w:val="24"/>
        </w:rPr>
        <w:t>形式进行答复。</w:t>
      </w:r>
      <w:r>
        <w:rPr>
          <w:rFonts w:hint="eastAsia" w:ascii="宋体" w:hAnsi="宋体"/>
          <w:sz w:val="24"/>
        </w:rPr>
        <w:t>“政采云”在线询标时间由谈判委员会根据项目实际情况决定，投标人代表拒绝澄清或者澄清的内容改变了谈判响应文件的实质性内容的，评标委员会有权对该谈判响应文件作出不利于投标人的评判。</w:t>
      </w:r>
    </w:p>
    <w:p>
      <w:pPr>
        <w:pStyle w:val="30"/>
        <w:ind w:firstLine="482" w:firstLineChars="200"/>
        <w:rPr>
          <w:rFonts w:ascii="宋体" w:hAnsi="宋体"/>
          <w:b/>
          <w:sz w:val="24"/>
        </w:rPr>
      </w:pPr>
      <w:r>
        <w:rPr>
          <w:rFonts w:hint="eastAsia" w:ascii="宋体" w:hAnsi="宋体"/>
          <w:b/>
          <w:sz w:val="24"/>
        </w:rPr>
        <w:t>19.3.3投标人应详细说明投标技术方案中产品的具体参数，不得照搬照抄采购文件的技术要求。否则，评标委员会有权认定为投标技术方案不合格响应，其相关分数予以扣减或作无效标处理。</w:t>
      </w:r>
    </w:p>
    <w:p>
      <w:pPr>
        <w:pStyle w:val="30"/>
        <w:ind w:firstLine="480" w:firstLineChars="200"/>
        <w:rPr>
          <w:rFonts w:ascii="宋体" w:hAnsi="宋体"/>
          <w:sz w:val="24"/>
        </w:rPr>
      </w:pPr>
      <w:r>
        <w:rPr>
          <w:rFonts w:hint="eastAsia" w:ascii="宋体" w:hAnsi="宋体"/>
          <w:sz w:val="24"/>
        </w:rPr>
        <w:t>19.3.4如果谈判响应文件实质不响应采购文件的各项要求，评标委员会将予以拒绝，并且不允许投标人通过修改或撤销其不符合要求的差异或保留，使之成为具有响应性的投标。</w:t>
      </w:r>
    </w:p>
    <w:p>
      <w:pPr>
        <w:pStyle w:val="30"/>
        <w:ind w:firstLine="480" w:firstLineChars="200"/>
        <w:rPr>
          <w:rFonts w:ascii="宋体" w:hAnsi="宋体"/>
          <w:sz w:val="24"/>
        </w:rPr>
      </w:pPr>
      <w:r>
        <w:rPr>
          <w:rFonts w:hint="eastAsia" w:ascii="宋体" w:hAnsi="宋体"/>
          <w:sz w:val="24"/>
        </w:rPr>
        <w:t>19.3.5谈判专家</w:t>
      </w:r>
      <w:r>
        <w:rPr>
          <w:rFonts w:ascii="宋体" w:hAnsi="宋体"/>
          <w:sz w:val="24"/>
        </w:rPr>
        <w:t>完成</w:t>
      </w:r>
      <w:r>
        <w:rPr>
          <w:rFonts w:hint="eastAsia" w:ascii="宋体" w:hAnsi="宋体"/>
          <w:sz w:val="24"/>
        </w:rPr>
        <w:t>谈判</w:t>
      </w:r>
      <w:r>
        <w:rPr>
          <w:rFonts w:ascii="宋体" w:hAnsi="宋体"/>
          <w:sz w:val="24"/>
        </w:rPr>
        <w:t>后,</w:t>
      </w:r>
      <w:r>
        <w:rPr>
          <w:rFonts w:hint="eastAsia" w:ascii="宋体" w:hAnsi="宋体"/>
          <w:sz w:val="24"/>
        </w:rPr>
        <w:t xml:space="preserve"> 谈判</w:t>
      </w:r>
      <w:r>
        <w:rPr>
          <w:rFonts w:ascii="宋体" w:hAnsi="宋体"/>
          <w:sz w:val="24"/>
        </w:rPr>
        <w:t>委员会按</w:t>
      </w:r>
      <w:r>
        <w:rPr>
          <w:rFonts w:hint="eastAsia" w:ascii="宋体" w:hAnsi="宋体"/>
          <w:sz w:val="24"/>
        </w:rPr>
        <w:t>谈判结果确定</w:t>
      </w:r>
      <w:r>
        <w:rPr>
          <w:rFonts w:ascii="宋体" w:hAnsi="宋体"/>
          <w:sz w:val="24"/>
        </w:rPr>
        <w:t>中标候选人</w:t>
      </w:r>
      <w:r>
        <w:rPr>
          <w:rFonts w:hint="eastAsia" w:ascii="宋体" w:hAnsi="宋体"/>
          <w:sz w:val="24"/>
        </w:rPr>
        <w:t>，</w:t>
      </w:r>
      <w:r>
        <w:rPr>
          <w:rFonts w:ascii="宋体" w:hAnsi="宋体"/>
          <w:sz w:val="24"/>
        </w:rPr>
        <w:t>同时起草评标报</w:t>
      </w:r>
      <w:r>
        <w:rPr>
          <w:rFonts w:hint="eastAsia" w:ascii="宋体" w:hAnsi="宋体"/>
          <w:sz w:val="24"/>
        </w:rPr>
        <w:t>告</w:t>
      </w:r>
      <w:r>
        <w:rPr>
          <w:rFonts w:ascii="宋体" w:hAnsi="宋体"/>
          <w:sz w:val="24"/>
        </w:rPr>
        <w:t>。</w:t>
      </w:r>
    </w:p>
    <w:p>
      <w:pPr>
        <w:pStyle w:val="30"/>
        <w:ind w:firstLine="482" w:firstLineChars="200"/>
        <w:rPr>
          <w:rFonts w:ascii="宋体" w:hAnsi="宋体"/>
          <w:b/>
          <w:sz w:val="24"/>
        </w:rPr>
      </w:pPr>
      <w:r>
        <w:rPr>
          <w:rFonts w:hint="eastAsia" w:ascii="宋体" w:hAnsi="宋体"/>
          <w:b/>
          <w:sz w:val="24"/>
        </w:rPr>
        <w:t>19.3.6谈判委员会对明显不合理的投标报价，有权要求投标人在规定时间内提交说明，投标人不能提供的或提供的材料不能说明问题的，谈判委员会可以判定其投标无效。</w:t>
      </w:r>
    </w:p>
    <w:p>
      <w:pPr>
        <w:pStyle w:val="30"/>
        <w:ind w:firstLine="480" w:firstLineChars="200"/>
        <w:rPr>
          <w:rFonts w:ascii="宋体" w:hAnsi="宋体"/>
          <w:sz w:val="24"/>
        </w:rPr>
      </w:pPr>
      <w:r>
        <w:rPr>
          <w:rFonts w:hint="eastAsia" w:ascii="宋体" w:hAnsi="宋体"/>
          <w:sz w:val="24"/>
        </w:rPr>
        <w:t>19.3.7谈判人员对有关采购文件、谈判响应文件、解释、要求、标准存在不同意见的，持不同意见的谈判人员及其意见或理由应予以完整记录，并在谈判过程中按照少数服从多数的原则表决执行。谈判人员拒绝在评审报告中签字又不说明其不同意见或理由的，由现场监督员记录在案后，可视为同意评审结果。</w:t>
      </w:r>
    </w:p>
    <w:p>
      <w:pPr>
        <w:pStyle w:val="30"/>
        <w:ind w:firstLine="480" w:firstLineChars="200"/>
        <w:rPr>
          <w:rFonts w:ascii="宋体" w:hAnsi="宋体"/>
          <w:sz w:val="24"/>
        </w:rPr>
      </w:pPr>
      <w:r>
        <w:rPr>
          <w:rFonts w:hint="eastAsia" w:ascii="宋体" w:hAnsi="宋体"/>
          <w:sz w:val="24"/>
        </w:rPr>
        <w:t>19.3.8谈判</w:t>
      </w:r>
      <w:r>
        <w:rPr>
          <w:rFonts w:ascii="宋体" w:hAnsi="宋体"/>
          <w:sz w:val="24"/>
        </w:rPr>
        <w:t>委员会发现采购文件存在歧义、重大缺陷导致评标工作无法进行，或者采购文件内容违反国家有关强制性规定的，应当停止</w:t>
      </w:r>
      <w:r>
        <w:rPr>
          <w:rFonts w:hint="eastAsia" w:ascii="宋体" w:hAnsi="宋体"/>
          <w:sz w:val="24"/>
        </w:rPr>
        <w:t>谈判</w:t>
      </w:r>
      <w:r>
        <w:rPr>
          <w:rFonts w:ascii="宋体" w:hAnsi="宋体"/>
          <w:sz w:val="24"/>
        </w:rPr>
        <w:t>工作，与采购人或者采购代理机构沟通并作书面记录。采购人或者采购代理机构确认后，应当修改采购文件，重新组织采购活动。</w:t>
      </w:r>
    </w:p>
    <w:p>
      <w:pPr>
        <w:pStyle w:val="30"/>
        <w:ind w:firstLine="480" w:firstLineChars="200"/>
        <w:rPr>
          <w:rFonts w:ascii="宋体" w:hAnsi="宋体"/>
          <w:sz w:val="24"/>
        </w:rPr>
      </w:pPr>
    </w:p>
    <w:p>
      <w:pPr>
        <w:rPr>
          <w:rFonts w:ascii="宋体" w:hAnsi="宋体"/>
          <w:b/>
          <w:sz w:val="24"/>
          <w:szCs w:val="24"/>
        </w:rPr>
      </w:pPr>
      <w:r>
        <w:rPr>
          <w:rFonts w:hint="eastAsia"/>
        </w:rPr>
        <w:t xml:space="preserve">   </w:t>
      </w:r>
      <w:r>
        <w:rPr>
          <w:rFonts w:hint="eastAsia" w:ascii="宋体" w:hAnsi="宋体"/>
          <w:b/>
          <w:sz w:val="24"/>
          <w:szCs w:val="24"/>
        </w:rPr>
        <w:t xml:space="preserve"> 20 谈判响应文件的澄清</w:t>
      </w:r>
    </w:p>
    <w:p>
      <w:pPr>
        <w:spacing w:line="360" w:lineRule="exact"/>
        <w:ind w:firstLine="480" w:firstLineChars="200"/>
        <w:rPr>
          <w:rFonts w:ascii="宋体" w:hAnsi="宋体"/>
          <w:sz w:val="24"/>
        </w:rPr>
      </w:pPr>
      <w:r>
        <w:rPr>
          <w:rFonts w:hint="eastAsia" w:ascii="宋体" w:hAnsi="宋体"/>
          <w:sz w:val="24"/>
        </w:rPr>
        <w:t>对谈判响应文件中含义不明确、同类问题表述不一致或者有明显文字错误的内容，评标委员会可以在“政采云”平台在线询标或其他有效形式要求投标人对同一份谈判响应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谈判响应文件的范围或改变谈判响应文件的实质性内容。凡属于评标小组在评标中发现的计算错误并进行核实的修改不在此列。投标人的澄清文件是其谈判响应文件的组成部分。</w:t>
      </w:r>
    </w:p>
    <w:p>
      <w:pPr>
        <w:pStyle w:val="21"/>
        <w:snapToGrid w:val="0"/>
        <w:ind w:left="720" w:leftChars="228" w:hanging="241" w:hangingChars="100"/>
        <w:rPr>
          <w:rFonts w:ascii="宋体" w:hAnsi="宋体"/>
          <w:b/>
        </w:rPr>
      </w:pPr>
      <w:r>
        <w:rPr>
          <w:rFonts w:hint="eastAsia" w:ascii="宋体" w:hAnsi="宋体"/>
          <w:b/>
        </w:rPr>
        <w:t>21.</w:t>
      </w:r>
      <w:r>
        <w:rPr>
          <w:rFonts w:ascii="宋体" w:hAnsi="宋体"/>
          <w:b/>
        </w:rPr>
        <w:t>错误修正</w:t>
      </w:r>
    </w:p>
    <w:p>
      <w:pPr>
        <w:pStyle w:val="30"/>
        <w:ind w:firstLine="480" w:firstLineChars="200"/>
        <w:rPr>
          <w:rFonts w:ascii="宋体" w:hAnsi="宋体"/>
          <w:sz w:val="24"/>
        </w:rPr>
      </w:pPr>
      <w:r>
        <w:rPr>
          <w:rFonts w:hint="eastAsia" w:ascii="宋体" w:hAnsi="宋体"/>
          <w:color w:val="000000"/>
          <w:sz w:val="24"/>
          <w:szCs w:val="21"/>
        </w:rPr>
        <w:t>谈判响应文件</w:t>
      </w:r>
      <w:r>
        <w:rPr>
          <w:rFonts w:hint="eastAsia" w:ascii="宋体" w:hAnsi="宋体"/>
          <w:sz w:val="24"/>
        </w:rPr>
        <w:t>报价出现前后不一致的，按照下列规定修正：</w:t>
      </w:r>
    </w:p>
    <w:p>
      <w:pPr>
        <w:pStyle w:val="30"/>
        <w:ind w:firstLine="480" w:firstLineChars="200"/>
        <w:rPr>
          <w:rFonts w:ascii="宋体" w:hAnsi="宋体"/>
          <w:sz w:val="24"/>
        </w:rPr>
      </w:pPr>
      <w:r>
        <w:rPr>
          <w:rFonts w:hint="eastAsia" w:ascii="宋体" w:hAnsi="宋体"/>
          <w:sz w:val="24"/>
        </w:rPr>
        <w:t>21.1</w:t>
      </w:r>
      <w:r>
        <w:rPr>
          <w:rFonts w:hint="eastAsia" w:ascii="宋体" w:hAnsi="宋体"/>
          <w:color w:val="000000"/>
          <w:sz w:val="24"/>
          <w:szCs w:val="21"/>
        </w:rPr>
        <w:t>谈判响应文件</w:t>
      </w:r>
      <w:r>
        <w:rPr>
          <w:rFonts w:hint="eastAsia" w:ascii="宋体" w:hAnsi="宋体"/>
          <w:sz w:val="24"/>
        </w:rPr>
        <w:t>中开标一览表（报价表）内容与</w:t>
      </w:r>
      <w:r>
        <w:rPr>
          <w:rFonts w:hint="eastAsia" w:ascii="宋体" w:hAnsi="宋体"/>
          <w:color w:val="000000"/>
          <w:sz w:val="24"/>
          <w:szCs w:val="21"/>
        </w:rPr>
        <w:t>谈判响应文件</w:t>
      </w:r>
      <w:r>
        <w:rPr>
          <w:rFonts w:hint="eastAsia" w:ascii="宋体" w:hAnsi="宋体"/>
          <w:sz w:val="24"/>
        </w:rPr>
        <w:t>中相应内容不一致的，以开标一览表（报价表）为准。</w:t>
      </w:r>
    </w:p>
    <w:p>
      <w:pPr>
        <w:pStyle w:val="30"/>
        <w:ind w:firstLine="480" w:firstLineChars="200"/>
        <w:rPr>
          <w:rFonts w:ascii="宋体" w:hAnsi="宋体"/>
          <w:sz w:val="24"/>
        </w:rPr>
      </w:pPr>
      <w:r>
        <w:rPr>
          <w:rFonts w:hint="eastAsia" w:ascii="宋体" w:hAnsi="宋体"/>
          <w:sz w:val="24"/>
        </w:rPr>
        <w:t>21.2大写金额和小写金额不一致的，以大写金额为准。</w:t>
      </w:r>
    </w:p>
    <w:p>
      <w:pPr>
        <w:pStyle w:val="30"/>
        <w:ind w:firstLine="480" w:firstLineChars="200"/>
        <w:rPr>
          <w:rFonts w:ascii="宋体" w:hAnsi="宋体"/>
          <w:sz w:val="24"/>
        </w:rPr>
      </w:pPr>
      <w:r>
        <w:rPr>
          <w:rFonts w:hint="eastAsia" w:ascii="宋体" w:hAnsi="宋体"/>
          <w:sz w:val="24"/>
        </w:rPr>
        <w:t>21.3单价金额小数点或者百分比有明显错位的，以开标一览表的总价为准，并修改单价。</w:t>
      </w:r>
    </w:p>
    <w:p>
      <w:pPr>
        <w:pStyle w:val="30"/>
        <w:ind w:firstLine="480" w:firstLineChars="200"/>
        <w:rPr>
          <w:rFonts w:ascii="宋体" w:hAnsi="宋体"/>
          <w:sz w:val="24"/>
        </w:rPr>
      </w:pPr>
      <w:r>
        <w:rPr>
          <w:rFonts w:hint="eastAsia" w:ascii="宋体" w:hAnsi="宋体"/>
          <w:sz w:val="24"/>
        </w:rPr>
        <w:t>21.4总价金额与按单价汇总金额不一致的，以单价金额计算结果为准。</w:t>
      </w:r>
    </w:p>
    <w:p>
      <w:pPr>
        <w:pStyle w:val="30"/>
        <w:ind w:firstLine="480" w:firstLineChars="200"/>
        <w:rPr>
          <w:rFonts w:ascii="宋体" w:hAnsi="宋体"/>
          <w:sz w:val="24"/>
        </w:rPr>
      </w:pPr>
      <w:r>
        <w:rPr>
          <w:rFonts w:hint="eastAsia" w:ascii="宋体" w:hAnsi="宋体"/>
          <w:sz w:val="24"/>
        </w:rPr>
        <w:t>同时出现两种以上不一致的，按照上述规定的顺序修正。</w:t>
      </w:r>
    </w:p>
    <w:p>
      <w:pPr>
        <w:pStyle w:val="30"/>
        <w:ind w:firstLine="480" w:firstLineChars="200"/>
        <w:rPr>
          <w:rFonts w:ascii="宋体" w:hAnsi="宋体"/>
          <w:sz w:val="24"/>
        </w:rPr>
      </w:pPr>
      <w:r>
        <w:rPr>
          <w:rFonts w:ascii="宋体" w:hAnsi="宋体"/>
          <w:sz w:val="24"/>
        </w:rPr>
        <w:t>按上述修正错误的原则及方法调整或修正</w:t>
      </w:r>
      <w:r>
        <w:rPr>
          <w:rFonts w:hint="eastAsia" w:ascii="宋体" w:hAnsi="宋体"/>
          <w:color w:val="000000"/>
          <w:sz w:val="24"/>
          <w:szCs w:val="21"/>
        </w:rPr>
        <w:t>谈判响应文件</w:t>
      </w:r>
      <w:r>
        <w:rPr>
          <w:rFonts w:ascii="宋体" w:hAnsi="宋体"/>
          <w:sz w:val="24"/>
        </w:rPr>
        <w:t>的投标报价，投标人同意</w:t>
      </w:r>
      <w:r>
        <w:rPr>
          <w:rFonts w:hint="eastAsia" w:ascii="宋体" w:hAnsi="宋体"/>
          <w:sz w:val="24"/>
        </w:rPr>
        <w:t>并加盖公章确认</w:t>
      </w:r>
      <w:r>
        <w:rPr>
          <w:rFonts w:ascii="宋体" w:hAnsi="宋体"/>
          <w:sz w:val="24"/>
        </w:rPr>
        <w:t>，调整后的投标报价对投标人具有约束作用。如果投标人不接受修正后的报价，则其投标将</w:t>
      </w:r>
      <w:r>
        <w:rPr>
          <w:rFonts w:hint="eastAsia" w:ascii="宋体" w:hAnsi="宋体"/>
          <w:sz w:val="24"/>
        </w:rPr>
        <w:t>作为无效投标处理</w:t>
      </w:r>
      <w:r>
        <w:rPr>
          <w:rFonts w:ascii="宋体" w:hAnsi="宋体"/>
          <w:sz w:val="24"/>
        </w:rPr>
        <w:t>。</w:t>
      </w:r>
    </w:p>
    <w:p/>
    <w:p>
      <w:pPr>
        <w:pStyle w:val="3"/>
        <w:spacing w:before="0" w:after="0" w:line="240" w:lineRule="auto"/>
        <w:jc w:val="center"/>
        <w:rPr>
          <w:rFonts w:ascii="宋体" w:hAnsi="宋体" w:eastAsia="宋体"/>
          <w:sz w:val="28"/>
          <w:szCs w:val="28"/>
        </w:rPr>
      </w:pPr>
      <w:r>
        <w:rPr>
          <w:rFonts w:hint="eastAsia" w:ascii="宋体" w:hAnsi="宋体" w:eastAsia="宋体"/>
          <w:sz w:val="28"/>
          <w:szCs w:val="28"/>
        </w:rPr>
        <w:t>五、</w:t>
      </w:r>
      <w:r>
        <w:rPr>
          <w:rFonts w:ascii="黑体" w:hAnsi="黑体"/>
          <w:sz w:val="28"/>
          <w:szCs w:val="28"/>
        </w:rPr>
        <w:t>成交</w:t>
      </w:r>
      <w:r>
        <w:rPr>
          <w:rFonts w:hint="eastAsia" w:ascii="黑体" w:hAnsi="黑体"/>
          <w:sz w:val="28"/>
          <w:szCs w:val="28"/>
        </w:rPr>
        <w:t>通知</w:t>
      </w:r>
    </w:p>
    <w:p>
      <w:pPr>
        <w:ind w:firstLine="480" w:firstLineChars="200"/>
        <w:rPr>
          <w:rFonts w:ascii="宋体" w:hAnsi="宋体"/>
          <w:sz w:val="24"/>
        </w:rPr>
      </w:pPr>
      <w:r>
        <w:rPr>
          <w:rFonts w:hint="eastAsia" w:ascii="宋体" w:hAnsi="宋体"/>
          <w:sz w:val="24"/>
        </w:rPr>
        <w:t>22.谈判成功，各方就所有问题达成一致后，采购代理机构在2个工作日内将评审报告送采购人确认，采购人在收到评审报告后5个工作日内确定成交结果，采购代理机构在采购人确定成交结果之日起2个工作日内在浙江省政府采购网上发布成交公告，由采购代理机构通过“政采云”平台确认并签发《成交通知书》。</w:t>
      </w:r>
      <w:r>
        <w:rPr>
          <w:rFonts w:ascii="宋体" w:hAnsi="宋体"/>
          <w:sz w:val="24"/>
        </w:rPr>
        <w:t>《</w:t>
      </w:r>
      <w:r>
        <w:rPr>
          <w:rFonts w:hint="eastAsia" w:ascii="宋体" w:hAnsi="宋体"/>
          <w:sz w:val="24"/>
        </w:rPr>
        <w:t>成交</w:t>
      </w:r>
      <w:r>
        <w:rPr>
          <w:rFonts w:ascii="宋体" w:hAnsi="宋体"/>
          <w:sz w:val="24"/>
        </w:rPr>
        <w:t>通知书》一经发出即发生法律效力</w:t>
      </w:r>
      <w:r>
        <w:rPr>
          <w:rFonts w:hint="eastAsia" w:ascii="宋体" w:hAnsi="宋体"/>
          <w:sz w:val="24"/>
        </w:rPr>
        <w:t>。</w:t>
      </w:r>
    </w:p>
    <w:p>
      <w:pPr>
        <w:ind w:firstLine="480" w:firstLineChars="200"/>
        <w:rPr>
          <w:rFonts w:ascii="宋体" w:hAnsi="宋体"/>
          <w:sz w:val="24"/>
        </w:rPr>
      </w:pPr>
      <w:r>
        <w:rPr>
          <w:rFonts w:hint="eastAsia" w:ascii="宋体" w:hAnsi="宋体"/>
          <w:sz w:val="24"/>
        </w:rPr>
        <w:t>23</w:t>
      </w:r>
      <w:r>
        <w:rPr>
          <w:rFonts w:ascii="宋体" w:hAnsi="宋体"/>
          <w:sz w:val="24"/>
        </w:rPr>
        <w:t>中标结果公告内容包括采购人及其委托的采购</w:t>
      </w:r>
      <w:r>
        <w:rPr>
          <w:rFonts w:hint="eastAsia" w:ascii="宋体" w:hAnsi="宋体"/>
          <w:sz w:val="24"/>
        </w:rPr>
        <w:t>代理机构</w:t>
      </w:r>
      <w:r>
        <w:rPr>
          <w:rFonts w:ascii="宋体" w:hAnsi="宋体"/>
          <w:sz w:val="24"/>
        </w:rPr>
        <w:t>的名称、地址、联系方式，项目名称和项目编号，中标人名称、地址和中标金额，主要中标标的的名称、规格型号、数量、单价、服务要求，中标公告期限以及评审专家名单。</w:t>
      </w:r>
    </w:p>
    <w:p>
      <w:pPr>
        <w:ind w:firstLine="480" w:firstLineChars="200"/>
        <w:rPr>
          <w:rFonts w:ascii="宋体" w:hAnsi="宋体"/>
          <w:sz w:val="24"/>
        </w:rPr>
      </w:pPr>
      <w:r>
        <w:rPr>
          <w:rFonts w:hint="eastAsia" w:ascii="宋体" w:hAnsi="宋体"/>
          <w:sz w:val="24"/>
        </w:rPr>
        <w:t>成交供应商放弃成交结果的，除其</w:t>
      </w:r>
      <w:r>
        <w:rPr>
          <w:rFonts w:ascii="宋体" w:hAnsi="宋体"/>
          <w:sz w:val="24"/>
        </w:rPr>
        <w:t>谈判</w:t>
      </w:r>
      <w:r>
        <w:rPr>
          <w:rFonts w:hint="eastAsia" w:ascii="宋体" w:hAnsi="宋体"/>
          <w:sz w:val="24"/>
        </w:rPr>
        <w:t>保证金不予退还外，同时上报市公管办，市公管办将按《中华人民共和国政府采购法》、《诸暨市招投标市场不良行为记录暂行规定》等有关法律、法规、制度进行处理。</w:t>
      </w:r>
    </w:p>
    <w:p>
      <w:pPr>
        <w:ind w:firstLine="480" w:firstLineChars="200"/>
        <w:rPr>
          <w:rFonts w:ascii="宋体" w:hAnsi="宋体"/>
          <w:sz w:val="24"/>
        </w:rPr>
      </w:pPr>
    </w:p>
    <w:p>
      <w:pPr>
        <w:pStyle w:val="3"/>
        <w:spacing w:before="0" w:after="0" w:line="240" w:lineRule="auto"/>
        <w:jc w:val="center"/>
        <w:rPr>
          <w:rFonts w:ascii="宋体" w:hAnsi="宋体" w:eastAsia="宋体"/>
          <w:sz w:val="28"/>
          <w:szCs w:val="28"/>
        </w:rPr>
      </w:pPr>
      <w:r>
        <w:rPr>
          <w:rFonts w:hint="eastAsia" w:ascii="宋体" w:hAnsi="宋体" w:eastAsia="宋体"/>
          <w:sz w:val="28"/>
          <w:szCs w:val="28"/>
        </w:rPr>
        <w:t>六、授予合同</w:t>
      </w:r>
    </w:p>
    <w:p>
      <w:pPr>
        <w:snapToGrid w:val="0"/>
        <w:ind w:firstLine="472" w:firstLineChars="196"/>
        <w:rPr>
          <w:rFonts w:ascii="宋体" w:hAnsi="宋体"/>
          <w:b/>
          <w:bCs/>
          <w:sz w:val="24"/>
          <w:szCs w:val="20"/>
        </w:rPr>
      </w:pPr>
      <w:r>
        <w:rPr>
          <w:rFonts w:hint="eastAsia" w:ascii="宋体" w:hAnsi="宋体"/>
          <w:b/>
          <w:bCs/>
          <w:sz w:val="24"/>
        </w:rPr>
        <w:t>24.签订合同</w:t>
      </w:r>
    </w:p>
    <w:p>
      <w:pPr>
        <w:ind w:firstLine="480" w:firstLineChars="200"/>
        <w:rPr>
          <w:rFonts w:ascii="宋体" w:hAnsi="宋体"/>
          <w:sz w:val="24"/>
        </w:rPr>
      </w:pPr>
      <w:r>
        <w:rPr>
          <w:rFonts w:hint="eastAsia" w:ascii="宋体" w:hAnsi="宋体"/>
          <w:sz w:val="24"/>
        </w:rPr>
        <w:t>24.1</w:t>
      </w:r>
      <w:r>
        <w:rPr>
          <w:rFonts w:ascii="宋体" w:hAnsi="宋体"/>
          <w:sz w:val="24"/>
        </w:rPr>
        <w:t>成交供应商</w:t>
      </w:r>
      <w:r>
        <w:rPr>
          <w:rFonts w:hint="eastAsia" w:ascii="宋体" w:hAnsi="宋体"/>
          <w:sz w:val="24"/>
        </w:rPr>
        <w:t>须在领取《成交通知书》后30天内，根据《中华人民共和国合同法》、《中华人民共和国政府采购法》、《政府采购合同管理办法》等有关规定，依据采购文件和谈判响应文件的有关条款上门与相关用户单位（即采购单位）签订合同。</w:t>
      </w:r>
    </w:p>
    <w:p>
      <w:pPr>
        <w:ind w:firstLine="480" w:firstLineChars="200"/>
        <w:rPr>
          <w:rFonts w:ascii="宋体" w:hAnsi="宋体"/>
          <w:sz w:val="24"/>
        </w:rPr>
      </w:pPr>
      <w:r>
        <w:rPr>
          <w:rFonts w:hint="eastAsia" w:ascii="宋体" w:hAnsi="宋体"/>
          <w:sz w:val="24"/>
        </w:rPr>
        <w:t>24.2采购文件、谈判响应文件、谈判记录和《成交通知书》作为合同签订的依据和主要附件。</w:t>
      </w:r>
    </w:p>
    <w:p>
      <w:pPr>
        <w:ind w:firstLine="480" w:firstLineChars="200"/>
        <w:rPr>
          <w:rFonts w:ascii="宋体" w:hAnsi="宋体"/>
          <w:sz w:val="24"/>
        </w:rPr>
      </w:pPr>
      <w:r>
        <w:rPr>
          <w:rFonts w:hint="eastAsia" w:ascii="宋体" w:hAnsi="宋体"/>
          <w:sz w:val="24"/>
        </w:rPr>
        <w:t>24.3 合同一式四份，用户单位和成交供应商各执二份。</w:t>
      </w:r>
    </w:p>
    <w:p>
      <w:pPr>
        <w:ind w:firstLine="480" w:firstLineChars="200"/>
        <w:rPr>
          <w:rFonts w:ascii="宋体" w:hAnsi="宋体"/>
          <w:sz w:val="24"/>
        </w:rPr>
      </w:pPr>
      <w:r>
        <w:rPr>
          <w:rFonts w:hint="eastAsia" w:ascii="宋体" w:hAnsi="宋体"/>
          <w:sz w:val="24"/>
        </w:rPr>
        <w:t>24.4</w:t>
      </w:r>
      <w:r>
        <w:rPr>
          <w:rFonts w:ascii="宋体" w:hAnsi="宋体"/>
          <w:sz w:val="24"/>
        </w:rPr>
        <w:t>成交供应商</w:t>
      </w:r>
      <w:r>
        <w:rPr>
          <w:rFonts w:hint="eastAsia" w:ascii="宋体" w:hAnsi="宋体"/>
          <w:sz w:val="24"/>
        </w:rPr>
        <w:t>和用户单位不得擅自变更、中止或者终止合同，不得另外订立背离合同实质性内容的其它协议。</w:t>
      </w:r>
    </w:p>
    <w:p>
      <w:pPr>
        <w:snapToGrid w:val="0"/>
        <w:ind w:firstLine="472" w:firstLineChars="196"/>
        <w:rPr>
          <w:rFonts w:ascii="宋体" w:hAnsi="宋体"/>
          <w:b/>
          <w:bCs/>
          <w:sz w:val="24"/>
        </w:rPr>
      </w:pPr>
      <w:r>
        <w:rPr>
          <w:rFonts w:hint="eastAsia" w:ascii="宋体" w:hAnsi="宋体"/>
          <w:b/>
          <w:bCs/>
          <w:sz w:val="24"/>
        </w:rPr>
        <w:t>25.</w:t>
      </w:r>
      <w:r>
        <w:rPr>
          <w:rFonts w:ascii="宋体" w:hAnsi="宋体"/>
          <w:b/>
          <w:bCs/>
          <w:sz w:val="24"/>
        </w:rPr>
        <w:t>履约保证金</w:t>
      </w:r>
    </w:p>
    <w:p>
      <w:pPr>
        <w:ind w:firstLine="480" w:firstLineChars="200"/>
        <w:rPr>
          <w:rFonts w:ascii="宋体" w:hAnsi="宋体"/>
          <w:sz w:val="24"/>
        </w:rPr>
      </w:pPr>
      <w:r>
        <w:rPr>
          <w:rFonts w:hint="eastAsia" w:ascii="宋体" w:hAnsi="宋体"/>
          <w:sz w:val="24"/>
        </w:rPr>
        <w:t>25.1本项目免收履约保证金。</w:t>
      </w:r>
    </w:p>
    <w:p>
      <w:pPr>
        <w:ind w:firstLine="480" w:firstLineChars="200"/>
        <w:rPr>
          <w:rFonts w:ascii="宋体" w:hAnsi="宋体"/>
          <w:sz w:val="24"/>
        </w:rPr>
      </w:pPr>
      <w:r>
        <w:rPr>
          <w:rFonts w:hint="eastAsia" w:ascii="宋体" w:hAnsi="宋体"/>
          <w:sz w:val="24"/>
        </w:rPr>
        <w:t>25.2成交供应商不履行与采购人订立的合同的，履约保证金不予退还，给采购单位造成损失的，应当对采购单位的损失承担赔偿责任。</w:t>
      </w:r>
    </w:p>
    <w:p>
      <w:pPr>
        <w:snapToGrid w:val="0"/>
        <w:ind w:firstLine="472" w:firstLineChars="196"/>
        <w:rPr>
          <w:rFonts w:ascii="宋体" w:hAnsi="宋体"/>
          <w:b/>
          <w:bCs/>
          <w:sz w:val="24"/>
        </w:rPr>
      </w:pPr>
      <w:r>
        <w:rPr>
          <w:rFonts w:hint="eastAsia" w:ascii="宋体" w:hAnsi="宋体"/>
          <w:b/>
          <w:bCs/>
          <w:sz w:val="24"/>
        </w:rPr>
        <w:t>26.授标及废除授标</w:t>
      </w:r>
    </w:p>
    <w:p>
      <w:pPr>
        <w:pStyle w:val="30"/>
        <w:ind w:firstLine="480" w:firstLineChars="200"/>
        <w:rPr>
          <w:rFonts w:ascii="宋体" w:hAnsi="宋体"/>
          <w:sz w:val="24"/>
        </w:rPr>
      </w:pPr>
      <w:r>
        <w:rPr>
          <w:rFonts w:hint="eastAsia" w:ascii="宋体" w:hAnsi="宋体"/>
          <w:sz w:val="24"/>
        </w:rPr>
        <w:t>26.1 采购合同应当授予</w:t>
      </w:r>
      <w:r>
        <w:rPr>
          <w:rFonts w:ascii="宋体" w:hAnsi="宋体"/>
          <w:color w:val="000000"/>
          <w:sz w:val="24"/>
        </w:rPr>
        <w:t>成交供应商</w:t>
      </w:r>
      <w:r>
        <w:rPr>
          <w:rFonts w:hint="eastAsia" w:ascii="宋体" w:hAnsi="宋体"/>
          <w:sz w:val="24"/>
        </w:rPr>
        <w:t>。</w:t>
      </w:r>
    </w:p>
    <w:p>
      <w:pPr>
        <w:pStyle w:val="30"/>
        <w:ind w:firstLine="480" w:firstLineChars="200"/>
        <w:rPr>
          <w:rFonts w:ascii="宋体" w:hAnsi="宋体"/>
          <w:sz w:val="24"/>
        </w:rPr>
      </w:pPr>
      <w:r>
        <w:rPr>
          <w:rFonts w:hint="eastAsia" w:ascii="宋体" w:hAnsi="宋体"/>
          <w:sz w:val="24"/>
        </w:rPr>
        <w:t>26.2《成交通知书》发出之后，若证实</w:t>
      </w:r>
      <w:r>
        <w:rPr>
          <w:rFonts w:ascii="宋体" w:hAnsi="宋体"/>
          <w:color w:val="000000"/>
          <w:sz w:val="24"/>
        </w:rPr>
        <w:t>成交供应商</w:t>
      </w:r>
      <w:r>
        <w:rPr>
          <w:rFonts w:hint="eastAsia" w:ascii="宋体" w:hAnsi="宋体"/>
          <w:sz w:val="24"/>
        </w:rPr>
        <w:t>存在下列情形之一的，仍然可以废除授标，已签订合同的，合同无效，并按有关规定处理：</w:t>
      </w:r>
    </w:p>
    <w:p>
      <w:pPr>
        <w:pStyle w:val="30"/>
        <w:ind w:left="420" w:firstLine="0"/>
        <w:rPr>
          <w:rFonts w:ascii="宋体" w:hAnsi="宋体"/>
          <w:sz w:val="24"/>
        </w:rPr>
      </w:pPr>
      <w:r>
        <w:rPr>
          <w:rFonts w:hint="eastAsia" w:ascii="宋体" w:hAnsi="宋体"/>
          <w:sz w:val="24"/>
        </w:rPr>
        <w:t>26.2.1弄虚作假或串通谈判骗取成交的；</w:t>
      </w:r>
    </w:p>
    <w:p>
      <w:pPr>
        <w:pStyle w:val="30"/>
        <w:ind w:left="420" w:firstLine="0"/>
        <w:rPr>
          <w:rFonts w:ascii="宋体" w:hAnsi="宋体"/>
          <w:sz w:val="24"/>
        </w:rPr>
      </w:pPr>
      <w:r>
        <w:rPr>
          <w:rFonts w:hint="eastAsia" w:ascii="宋体" w:hAnsi="宋体"/>
          <w:sz w:val="24"/>
        </w:rPr>
        <w:t>26.2.2向有关人员行贿或者采取其他不正当手段谋取中标的；</w:t>
      </w:r>
    </w:p>
    <w:p>
      <w:pPr>
        <w:pStyle w:val="30"/>
        <w:ind w:left="420" w:firstLine="0"/>
        <w:rPr>
          <w:rFonts w:ascii="宋体" w:hAnsi="宋体"/>
          <w:sz w:val="24"/>
        </w:rPr>
      </w:pPr>
      <w:r>
        <w:rPr>
          <w:rFonts w:hint="eastAsia" w:ascii="宋体" w:hAnsi="宋体"/>
          <w:sz w:val="24"/>
        </w:rPr>
        <w:t>26.2.3于谈判有效期终止之前撤回其谈判响应文件的；</w:t>
      </w:r>
    </w:p>
    <w:p>
      <w:pPr>
        <w:pStyle w:val="30"/>
        <w:ind w:left="420" w:firstLine="0"/>
        <w:rPr>
          <w:rFonts w:ascii="宋体" w:hAnsi="宋体"/>
          <w:sz w:val="24"/>
        </w:rPr>
      </w:pPr>
      <w:r>
        <w:rPr>
          <w:rFonts w:hint="eastAsia" w:ascii="宋体" w:hAnsi="宋体"/>
          <w:sz w:val="24"/>
        </w:rPr>
        <w:t>26.2.4因</w:t>
      </w:r>
      <w:r>
        <w:rPr>
          <w:rFonts w:ascii="宋体" w:hAnsi="宋体"/>
          <w:color w:val="000000"/>
          <w:sz w:val="24"/>
        </w:rPr>
        <w:t>成交供应商</w:t>
      </w:r>
      <w:r>
        <w:rPr>
          <w:rFonts w:hint="eastAsia" w:ascii="宋体" w:hAnsi="宋体"/>
          <w:sz w:val="24"/>
        </w:rPr>
        <w:t>未能按照有关规定提交履约保证金的；</w:t>
      </w:r>
    </w:p>
    <w:p>
      <w:pPr>
        <w:pStyle w:val="30"/>
        <w:ind w:left="420" w:firstLine="0"/>
        <w:rPr>
          <w:rFonts w:ascii="宋体" w:hAnsi="宋体"/>
          <w:sz w:val="24"/>
        </w:rPr>
      </w:pPr>
      <w:r>
        <w:rPr>
          <w:rFonts w:hint="eastAsia" w:ascii="宋体" w:hAnsi="宋体"/>
          <w:sz w:val="24"/>
        </w:rPr>
        <w:t>26.2.5因</w:t>
      </w:r>
      <w:r>
        <w:rPr>
          <w:rFonts w:ascii="宋体" w:hAnsi="宋体"/>
          <w:color w:val="000000"/>
          <w:sz w:val="24"/>
        </w:rPr>
        <w:t>成交供应商</w:t>
      </w:r>
      <w:r>
        <w:rPr>
          <w:rFonts w:hint="eastAsia" w:ascii="宋体" w:hAnsi="宋体"/>
          <w:sz w:val="24"/>
        </w:rPr>
        <w:t>未能按照有关规定与用户单位签订采购合同的；</w:t>
      </w:r>
    </w:p>
    <w:p>
      <w:pPr>
        <w:pStyle w:val="30"/>
        <w:ind w:left="420" w:firstLine="0"/>
        <w:rPr>
          <w:rFonts w:ascii="宋体" w:hAnsi="宋体"/>
          <w:sz w:val="24"/>
        </w:rPr>
      </w:pPr>
      <w:r>
        <w:rPr>
          <w:rFonts w:hint="eastAsia" w:ascii="宋体" w:hAnsi="宋体"/>
          <w:sz w:val="24"/>
        </w:rPr>
        <w:t>26.2.6未能按中标产品、型号、配置等及时供货的；</w:t>
      </w:r>
    </w:p>
    <w:p>
      <w:pPr>
        <w:pStyle w:val="30"/>
        <w:ind w:left="420" w:firstLine="0"/>
        <w:rPr>
          <w:rFonts w:ascii="宋体" w:hAnsi="宋体"/>
          <w:sz w:val="24"/>
        </w:rPr>
      </w:pPr>
      <w:r>
        <w:rPr>
          <w:rFonts w:hint="eastAsia" w:ascii="宋体" w:hAnsi="宋体"/>
          <w:sz w:val="24"/>
        </w:rPr>
        <w:t>26.2.7拒绝接受有关部门监督检查的；</w:t>
      </w:r>
    </w:p>
    <w:p>
      <w:pPr>
        <w:pStyle w:val="30"/>
        <w:ind w:left="420" w:firstLine="0"/>
        <w:rPr>
          <w:rFonts w:ascii="宋体" w:hAnsi="宋体"/>
          <w:sz w:val="24"/>
        </w:rPr>
      </w:pPr>
      <w:r>
        <w:rPr>
          <w:rFonts w:hint="eastAsia" w:ascii="宋体" w:hAnsi="宋体"/>
          <w:sz w:val="24"/>
        </w:rPr>
        <w:t>26.2.8存在法律、法规规定的其它损害采购人或用户单位利益或社会公共利益的情形的。</w:t>
      </w:r>
    </w:p>
    <w:p>
      <w:pPr>
        <w:snapToGrid w:val="0"/>
        <w:ind w:firstLine="472" w:firstLineChars="196"/>
        <w:rPr>
          <w:rFonts w:ascii="宋体" w:hAnsi="宋体"/>
          <w:b/>
          <w:bCs/>
          <w:sz w:val="24"/>
        </w:rPr>
      </w:pPr>
      <w:r>
        <w:rPr>
          <w:rFonts w:hint="eastAsia" w:ascii="宋体" w:hAnsi="宋体"/>
          <w:b/>
          <w:bCs/>
          <w:sz w:val="24"/>
        </w:rPr>
        <w:t>27.相关责任</w:t>
      </w:r>
    </w:p>
    <w:p>
      <w:pPr>
        <w:pStyle w:val="30"/>
        <w:ind w:firstLine="480" w:firstLineChars="200"/>
        <w:rPr>
          <w:rFonts w:ascii="宋体" w:hAnsi="宋体"/>
          <w:sz w:val="24"/>
        </w:rPr>
      </w:pPr>
      <w:r>
        <w:rPr>
          <w:rFonts w:hint="eastAsia" w:ascii="宋体" w:hAnsi="宋体"/>
          <w:sz w:val="24"/>
        </w:rPr>
        <w:t>27.1用户单位不签订合同，给</w:t>
      </w:r>
      <w:r>
        <w:rPr>
          <w:rFonts w:ascii="宋体" w:hAnsi="宋体"/>
          <w:color w:val="000000"/>
          <w:sz w:val="24"/>
        </w:rPr>
        <w:t>成交供应商</w:t>
      </w:r>
      <w:r>
        <w:rPr>
          <w:rFonts w:hint="eastAsia" w:ascii="宋体" w:hAnsi="宋体"/>
          <w:sz w:val="24"/>
        </w:rPr>
        <w:t>造成损失的，由采购单位承担。</w:t>
      </w:r>
    </w:p>
    <w:p>
      <w:pPr>
        <w:pStyle w:val="30"/>
        <w:ind w:firstLine="480" w:firstLineChars="200"/>
        <w:rPr>
          <w:rFonts w:ascii="宋体" w:hAnsi="宋体"/>
          <w:sz w:val="24"/>
        </w:rPr>
      </w:pPr>
      <w:r>
        <w:rPr>
          <w:rFonts w:hint="eastAsia" w:ascii="宋体" w:hAnsi="宋体"/>
          <w:sz w:val="24"/>
        </w:rPr>
        <w:t>27.2成交供应商无正当理由弃标或在法定时间内不签订合同或未按有关规定提交履约保证金的，将取消中标资格，并按《中华人民共和国政府采购法》、《诸暨市招投标市场不良行为记录暂行规定》等有关规定予以处理。</w:t>
      </w:r>
    </w:p>
    <w:p>
      <w:pPr>
        <w:snapToGrid w:val="0"/>
        <w:ind w:firstLine="472" w:firstLineChars="196"/>
        <w:rPr>
          <w:rFonts w:ascii="宋体" w:hAnsi="宋体"/>
          <w:b/>
          <w:bCs/>
          <w:sz w:val="24"/>
        </w:rPr>
      </w:pPr>
      <w:r>
        <w:rPr>
          <w:rFonts w:hint="eastAsia" w:ascii="宋体" w:hAnsi="宋体"/>
          <w:b/>
          <w:bCs/>
          <w:sz w:val="24"/>
        </w:rPr>
        <w:t>28.合同备案</w:t>
      </w:r>
    </w:p>
    <w:p>
      <w:pPr>
        <w:ind w:firstLine="480" w:firstLineChars="200"/>
        <w:rPr>
          <w:sz w:val="24"/>
        </w:rPr>
      </w:pPr>
      <w:r>
        <w:rPr>
          <w:rFonts w:hint="eastAsia" w:ascii="宋体" w:hAnsi="宋体"/>
          <w:sz w:val="24"/>
        </w:rPr>
        <w:t>采购人应当自采购合同签订之日起七个工作日内，通过政采云系统上传合同进行备案。</w:t>
      </w:r>
    </w:p>
    <w:p>
      <w:pPr>
        <w:pStyle w:val="3"/>
        <w:spacing w:before="0" w:after="0" w:line="240" w:lineRule="auto"/>
        <w:ind w:firstLine="562" w:firstLineChars="200"/>
        <w:jc w:val="center"/>
        <w:rPr>
          <w:rFonts w:ascii="宋体" w:hAnsi="宋体" w:eastAsia="宋体"/>
          <w:sz w:val="28"/>
          <w:szCs w:val="28"/>
        </w:rPr>
      </w:pPr>
    </w:p>
    <w:p>
      <w:pPr>
        <w:pStyle w:val="3"/>
        <w:spacing w:before="0" w:after="0" w:line="240" w:lineRule="auto"/>
        <w:ind w:firstLine="562" w:firstLineChars="200"/>
        <w:jc w:val="center"/>
        <w:rPr>
          <w:rFonts w:ascii="宋体" w:hAnsi="宋体" w:eastAsia="宋体"/>
          <w:sz w:val="28"/>
          <w:szCs w:val="28"/>
        </w:rPr>
      </w:pPr>
      <w:r>
        <w:rPr>
          <w:rFonts w:hint="eastAsia" w:ascii="宋体" w:hAnsi="宋体" w:eastAsia="宋体"/>
          <w:sz w:val="28"/>
          <w:szCs w:val="28"/>
        </w:rPr>
        <w:t>七、不良行为记录</w:t>
      </w:r>
    </w:p>
    <w:p>
      <w:pPr>
        <w:ind w:firstLine="480" w:firstLineChars="200"/>
        <w:rPr>
          <w:rFonts w:ascii="宋体" w:hAnsi="宋体"/>
          <w:sz w:val="24"/>
          <w:szCs w:val="24"/>
        </w:rPr>
      </w:pPr>
      <w:r>
        <w:rPr>
          <w:rFonts w:hint="eastAsia" w:ascii="宋体" w:hAnsi="宋体"/>
          <w:sz w:val="24"/>
          <w:szCs w:val="24"/>
        </w:rPr>
        <w:t>投标人在采购活动中出现下列违规行为的将记入诸暨市政府采购不良行为记录，并在记录时限内暂停其诸暨市域范围内政府采购交易资格，同时不良行为在诸暨市公共资源交易中心网站公示。</w:t>
      </w:r>
    </w:p>
    <w:tbl>
      <w:tblPr>
        <w:tblStyle w:val="4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643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47" w:type="dxa"/>
          </w:tcPr>
          <w:p>
            <w:pPr>
              <w:jc w:val="center"/>
              <w:rPr>
                <w:rFonts w:ascii="宋体" w:hAnsi="宋体"/>
                <w:b/>
                <w:bCs/>
                <w:sz w:val="24"/>
                <w:szCs w:val="24"/>
              </w:rPr>
            </w:pPr>
            <w:r>
              <w:rPr>
                <w:rFonts w:hint="eastAsia" w:ascii="宋体" w:hAnsi="宋体"/>
                <w:b/>
                <w:bCs/>
                <w:sz w:val="24"/>
                <w:szCs w:val="24"/>
              </w:rPr>
              <w:t>序号</w:t>
            </w:r>
          </w:p>
        </w:tc>
        <w:tc>
          <w:tcPr>
            <w:tcW w:w="6433" w:type="dxa"/>
            <w:vAlign w:val="center"/>
          </w:tcPr>
          <w:p>
            <w:pPr>
              <w:jc w:val="center"/>
              <w:rPr>
                <w:rFonts w:ascii="宋体" w:hAnsi="宋体"/>
                <w:b/>
                <w:bCs/>
                <w:sz w:val="24"/>
                <w:szCs w:val="24"/>
              </w:rPr>
            </w:pPr>
            <w:r>
              <w:rPr>
                <w:rFonts w:hint="eastAsia" w:ascii="宋体" w:hAnsi="宋体"/>
                <w:b/>
                <w:bCs/>
                <w:sz w:val="24"/>
                <w:szCs w:val="24"/>
              </w:rPr>
              <w:t>不良行为</w:t>
            </w:r>
          </w:p>
        </w:tc>
        <w:tc>
          <w:tcPr>
            <w:tcW w:w="1326" w:type="dxa"/>
          </w:tcPr>
          <w:p>
            <w:pPr>
              <w:jc w:val="center"/>
              <w:rPr>
                <w:rFonts w:ascii="宋体" w:hAnsi="宋体"/>
                <w:b/>
                <w:bCs/>
                <w:sz w:val="24"/>
                <w:szCs w:val="24"/>
              </w:rPr>
            </w:pPr>
            <w:r>
              <w:rPr>
                <w:rFonts w:hint="eastAsia" w:ascii="宋体" w:hAnsi="宋体"/>
                <w:b/>
                <w:bCs/>
                <w:sz w:val="24"/>
                <w:szCs w:val="24"/>
              </w:rPr>
              <w:t>记录时限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w:t>
            </w:r>
          </w:p>
        </w:tc>
        <w:tc>
          <w:tcPr>
            <w:tcW w:w="6433" w:type="dxa"/>
            <w:vAlign w:val="center"/>
          </w:tcPr>
          <w:p>
            <w:pPr>
              <w:autoSpaceDE/>
              <w:autoSpaceDN/>
              <w:adjustRightInd/>
              <w:rPr>
                <w:rFonts w:ascii="宋体" w:hAnsi="宋体"/>
                <w:sz w:val="24"/>
                <w:szCs w:val="24"/>
              </w:rPr>
            </w:pPr>
            <w:r>
              <w:rPr>
                <w:rFonts w:hint="eastAsia" w:ascii="宋体" w:hAnsi="宋体"/>
                <w:sz w:val="24"/>
                <w:szCs w:val="24"/>
              </w:rPr>
              <w:t>在采购采购过程中，与采购人进行协商谈判的</w:t>
            </w:r>
          </w:p>
        </w:tc>
        <w:tc>
          <w:tcPr>
            <w:tcW w:w="1326" w:type="dxa"/>
            <w:vAlign w:val="center"/>
          </w:tcPr>
          <w:p>
            <w:pPr>
              <w:jc w:val="center"/>
              <w:rPr>
                <w:rFonts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2</w:t>
            </w:r>
          </w:p>
        </w:tc>
        <w:tc>
          <w:tcPr>
            <w:tcW w:w="6433" w:type="dxa"/>
            <w:vAlign w:val="center"/>
          </w:tcPr>
          <w:p>
            <w:pPr>
              <w:autoSpaceDE/>
              <w:autoSpaceDN/>
              <w:adjustRightInd/>
              <w:rPr>
                <w:rFonts w:ascii="宋体" w:hAnsi="宋体"/>
                <w:sz w:val="24"/>
                <w:szCs w:val="24"/>
              </w:rPr>
            </w:pPr>
            <w:r>
              <w:rPr>
                <w:rFonts w:hint="eastAsia" w:ascii="宋体" w:hAnsi="宋体"/>
                <w:sz w:val="24"/>
                <w:szCs w:val="24"/>
              </w:rPr>
              <w:t>投标有效期内撤回其谈判响应文件的</w:t>
            </w:r>
          </w:p>
        </w:tc>
        <w:tc>
          <w:tcPr>
            <w:tcW w:w="1326" w:type="dxa"/>
            <w:vAlign w:val="center"/>
          </w:tcPr>
          <w:p>
            <w:pPr>
              <w:jc w:val="center"/>
              <w:rPr>
                <w:rFonts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3</w:t>
            </w:r>
          </w:p>
        </w:tc>
        <w:tc>
          <w:tcPr>
            <w:tcW w:w="6433" w:type="dxa"/>
            <w:vAlign w:val="center"/>
          </w:tcPr>
          <w:p>
            <w:pPr>
              <w:autoSpaceDE/>
              <w:autoSpaceDN/>
              <w:adjustRightInd/>
              <w:rPr>
                <w:rFonts w:ascii="宋体" w:hAnsi="宋体"/>
                <w:sz w:val="24"/>
                <w:szCs w:val="24"/>
              </w:rPr>
            </w:pPr>
            <w:r>
              <w:rPr>
                <w:rFonts w:hint="eastAsia" w:ascii="宋体" w:hAnsi="宋体"/>
                <w:sz w:val="24"/>
                <w:szCs w:val="24"/>
              </w:rPr>
              <w:t>拒绝有关部门监督检查或提供虚假情况的</w:t>
            </w:r>
          </w:p>
        </w:tc>
        <w:tc>
          <w:tcPr>
            <w:tcW w:w="1326" w:type="dxa"/>
            <w:vAlign w:val="center"/>
          </w:tcPr>
          <w:p>
            <w:pPr>
              <w:jc w:val="center"/>
              <w:rPr>
                <w:rFonts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4</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不积极配合采购单位做好标的验收工作的</w:t>
            </w:r>
          </w:p>
        </w:tc>
        <w:tc>
          <w:tcPr>
            <w:tcW w:w="1326" w:type="dxa"/>
            <w:vAlign w:val="center"/>
          </w:tcPr>
          <w:p>
            <w:pPr>
              <w:jc w:val="center"/>
              <w:rPr>
                <w:rFonts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5</w:t>
            </w:r>
          </w:p>
        </w:tc>
        <w:tc>
          <w:tcPr>
            <w:tcW w:w="6433" w:type="dxa"/>
            <w:vAlign w:val="center"/>
          </w:tcPr>
          <w:p>
            <w:pPr>
              <w:autoSpaceDE/>
              <w:autoSpaceDN/>
              <w:adjustRightInd/>
              <w:rPr>
                <w:rFonts w:ascii="宋体" w:hAnsi="宋体"/>
                <w:sz w:val="24"/>
                <w:szCs w:val="24"/>
              </w:rPr>
            </w:pPr>
            <w:r>
              <w:rPr>
                <w:rFonts w:hint="eastAsia" w:ascii="宋体" w:hAnsi="宋体"/>
                <w:sz w:val="24"/>
                <w:szCs w:val="24"/>
              </w:rPr>
              <w:t>在有关部门的监督检查或考核中被通报批评或处以警告及以上处罚的</w:t>
            </w:r>
          </w:p>
        </w:tc>
        <w:tc>
          <w:tcPr>
            <w:tcW w:w="1326" w:type="dxa"/>
            <w:vAlign w:val="center"/>
          </w:tcPr>
          <w:p>
            <w:pPr>
              <w:jc w:val="center"/>
              <w:rPr>
                <w:rFonts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6</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不遵守投标会场纪律，无理取闹，扰乱交易秩序的</w:t>
            </w:r>
          </w:p>
        </w:tc>
        <w:tc>
          <w:tcPr>
            <w:tcW w:w="1326" w:type="dxa"/>
            <w:vAlign w:val="center"/>
          </w:tcPr>
          <w:p>
            <w:pPr>
              <w:jc w:val="center"/>
              <w:rPr>
                <w:rFonts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7</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中标后无正当理由放弃中标，或在规定时间内不与采购人签订政府采购合同，或在签订合同时提出附加条件或更改合同实质性内容，或拒不提交所要求的履约保证金的</w:t>
            </w:r>
          </w:p>
        </w:tc>
        <w:tc>
          <w:tcPr>
            <w:tcW w:w="1326" w:type="dxa"/>
            <w:vAlign w:val="center"/>
          </w:tcPr>
          <w:p>
            <w:pPr>
              <w:jc w:val="center"/>
              <w:rPr>
                <w:rFonts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8</w:t>
            </w:r>
          </w:p>
        </w:tc>
        <w:tc>
          <w:tcPr>
            <w:tcW w:w="6433" w:type="dxa"/>
            <w:vAlign w:val="center"/>
          </w:tcPr>
          <w:p>
            <w:pPr>
              <w:autoSpaceDE/>
              <w:autoSpaceDN/>
              <w:adjustRightInd/>
              <w:rPr>
                <w:rFonts w:ascii="宋体" w:hAnsi="宋体"/>
                <w:sz w:val="24"/>
                <w:szCs w:val="24"/>
              </w:rPr>
            </w:pPr>
            <w:r>
              <w:rPr>
                <w:rFonts w:hint="eastAsia" w:ascii="宋体" w:hAnsi="宋体"/>
                <w:sz w:val="24"/>
                <w:szCs w:val="24"/>
              </w:rPr>
              <w:t>虚假投诉、恶意投诉和不按程序、规定时间进行质疑投诉而影响采购工作正常进行或造成不良影响的</w:t>
            </w:r>
          </w:p>
        </w:tc>
        <w:tc>
          <w:tcPr>
            <w:tcW w:w="1326" w:type="dxa"/>
            <w:vAlign w:val="center"/>
          </w:tcPr>
          <w:p>
            <w:pPr>
              <w:jc w:val="center"/>
              <w:rPr>
                <w:rFonts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9</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不按照与采购人订立的合同履行义务（包括提供标的、售后服务、技术支持等），严重违反合同规定和廉政合同要求的</w:t>
            </w:r>
          </w:p>
        </w:tc>
        <w:tc>
          <w:tcPr>
            <w:tcW w:w="1326" w:type="dxa"/>
            <w:vAlign w:val="center"/>
          </w:tcPr>
          <w:p>
            <w:pPr>
              <w:jc w:val="center"/>
              <w:rPr>
                <w:rFonts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10</w:t>
            </w:r>
          </w:p>
        </w:tc>
        <w:tc>
          <w:tcPr>
            <w:tcW w:w="6433" w:type="dxa"/>
            <w:vAlign w:val="center"/>
          </w:tcPr>
          <w:p>
            <w:pPr>
              <w:autoSpaceDE/>
              <w:autoSpaceDN/>
              <w:adjustRightInd/>
              <w:rPr>
                <w:rFonts w:ascii="宋体" w:hAnsi="宋体"/>
                <w:sz w:val="24"/>
                <w:szCs w:val="24"/>
              </w:rPr>
            </w:pPr>
            <w:r>
              <w:rPr>
                <w:rFonts w:hint="eastAsia" w:ascii="宋体" w:hAnsi="宋体"/>
                <w:sz w:val="24"/>
                <w:szCs w:val="24"/>
              </w:rPr>
              <w:t>项目负责人不到位，或擅自变换项目负责人，或不认真履行职责造成采购人损失的</w:t>
            </w:r>
          </w:p>
        </w:tc>
        <w:tc>
          <w:tcPr>
            <w:tcW w:w="1326" w:type="dxa"/>
            <w:vAlign w:val="center"/>
          </w:tcPr>
          <w:p>
            <w:pPr>
              <w:jc w:val="center"/>
              <w:rPr>
                <w:rFonts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11</w:t>
            </w:r>
          </w:p>
        </w:tc>
        <w:tc>
          <w:tcPr>
            <w:tcW w:w="6433" w:type="dxa"/>
            <w:vAlign w:val="center"/>
          </w:tcPr>
          <w:p>
            <w:pPr>
              <w:autoSpaceDE/>
              <w:autoSpaceDN/>
              <w:adjustRightInd/>
              <w:rPr>
                <w:rFonts w:ascii="宋体" w:hAnsi="宋体"/>
                <w:sz w:val="24"/>
                <w:szCs w:val="24"/>
              </w:rPr>
            </w:pPr>
            <w:r>
              <w:rPr>
                <w:rFonts w:hint="eastAsia" w:ascii="宋体" w:hAnsi="宋体"/>
                <w:sz w:val="24"/>
                <w:szCs w:val="24"/>
              </w:rPr>
              <w:t>发生经营状况重大变化以及重要担保、重大合同纠纷或诉讼、信用等级和资质变化等可能影响履约能力的重大事项，未及时向市公共资源交易中心提供书面报告，因而造成采购人损失的</w:t>
            </w:r>
          </w:p>
        </w:tc>
        <w:tc>
          <w:tcPr>
            <w:tcW w:w="1326" w:type="dxa"/>
            <w:vAlign w:val="center"/>
          </w:tcPr>
          <w:p>
            <w:pPr>
              <w:jc w:val="center"/>
              <w:rPr>
                <w:rFonts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12</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与采购人、其他供应商或者采购代理机构相互串通的</w:t>
            </w:r>
          </w:p>
        </w:tc>
        <w:tc>
          <w:tcPr>
            <w:tcW w:w="1326" w:type="dxa"/>
            <w:vAlign w:val="center"/>
          </w:tcPr>
          <w:p>
            <w:pPr>
              <w:jc w:val="center"/>
              <w:rPr>
                <w:rFonts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13</w:t>
            </w:r>
          </w:p>
        </w:tc>
        <w:tc>
          <w:tcPr>
            <w:tcW w:w="6433" w:type="dxa"/>
            <w:vAlign w:val="center"/>
          </w:tcPr>
          <w:p>
            <w:pPr>
              <w:autoSpaceDE/>
              <w:autoSpaceDN/>
              <w:adjustRightInd/>
              <w:rPr>
                <w:rFonts w:ascii="宋体" w:hAnsi="宋体"/>
                <w:sz w:val="24"/>
                <w:szCs w:val="24"/>
              </w:rPr>
            </w:pPr>
            <w:r>
              <w:rPr>
                <w:rFonts w:hint="eastAsia" w:ascii="宋体" w:hAnsi="宋体"/>
                <w:sz w:val="24"/>
                <w:szCs w:val="24"/>
              </w:rPr>
              <w:t>采取不正当手段排挤其他供应商，进行不公平竞争的</w:t>
            </w:r>
          </w:p>
        </w:tc>
        <w:tc>
          <w:tcPr>
            <w:tcW w:w="1326" w:type="dxa"/>
            <w:vAlign w:val="center"/>
          </w:tcPr>
          <w:p>
            <w:pPr>
              <w:jc w:val="center"/>
              <w:rPr>
                <w:rFonts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14</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中标后与采购人另行订立背离合同实质内容的协议的</w:t>
            </w:r>
          </w:p>
        </w:tc>
        <w:tc>
          <w:tcPr>
            <w:tcW w:w="1326" w:type="dxa"/>
            <w:vAlign w:val="center"/>
          </w:tcPr>
          <w:p>
            <w:pPr>
              <w:jc w:val="center"/>
              <w:rPr>
                <w:rFonts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15</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事先有承诺，而事后违反承诺内容的</w:t>
            </w:r>
          </w:p>
        </w:tc>
        <w:tc>
          <w:tcPr>
            <w:tcW w:w="1326" w:type="dxa"/>
            <w:vAlign w:val="center"/>
          </w:tcPr>
          <w:p>
            <w:pPr>
              <w:jc w:val="center"/>
              <w:rPr>
                <w:rFonts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16</w:t>
            </w:r>
          </w:p>
        </w:tc>
        <w:tc>
          <w:tcPr>
            <w:tcW w:w="6433" w:type="dxa"/>
            <w:vAlign w:val="center"/>
          </w:tcPr>
          <w:p>
            <w:pPr>
              <w:autoSpaceDE/>
              <w:autoSpaceDN/>
              <w:adjustRightInd/>
              <w:rPr>
                <w:rFonts w:ascii="宋体" w:hAnsi="宋体"/>
                <w:sz w:val="24"/>
                <w:szCs w:val="24"/>
              </w:rPr>
            </w:pPr>
            <w:r>
              <w:rPr>
                <w:rFonts w:hint="eastAsia" w:ascii="宋体" w:hAnsi="宋体"/>
                <w:sz w:val="24"/>
                <w:szCs w:val="24"/>
              </w:rPr>
              <w:t>将中标项目转包或违反规定进行分包的</w:t>
            </w:r>
          </w:p>
        </w:tc>
        <w:tc>
          <w:tcPr>
            <w:tcW w:w="1326" w:type="dxa"/>
            <w:vAlign w:val="center"/>
          </w:tcPr>
          <w:p>
            <w:pPr>
              <w:jc w:val="center"/>
              <w:rPr>
                <w:rFonts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17</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以他人名义投标或允许他人以自己名义投标，或者以其他方式弄虚作假的</w:t>
            </w:r>
          </w:p>
        </w:tc>
        <w:tc>
          <w:tcPr>
            <w:tcW w:w="1326" w:type="dxa"/>
            <w:vAlign w:val="center"/>
          </w:tcPr>
          <w:p>
            <w:pPr>
              <w:jc w:val="center"/>
              <w:rPr>
                <w:rFonts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47" w:type="dxa"/>
            <w:vAlign w:val="center"/>
          </w:tcPr>
          <w:p>
            <w:pPr>
              <w:jc w:val="center"/>
              <w:rPr>
                <w:rFonts w:ascii="宋体" w:hAnsi="宋体"/>
                <w:sz w:val="24"/>
                <w:szCs w:val="24"/>
              </w:rPr>
            </w:pPr>
            <w:r>
              <w:rPr>
                <w:rFonts w:hint="eastAsia" w:ascii="宋体" w:hAnsi="宋体"/>
                <w:sz w:val="24"/>
                <w:szCs w:val="24"/>
              </w:rPr>
              <w:t>18</w:t>
            </w:r>
          </w:p>
        </w:tc>
        <w:tc>
          <w:tcPr>
            <w:tcW w:w="6433" w:type="dxa"/>
            <w:vAlign w:val="center"/>
          </w:tcPr>
          <w:p>
            <w:pPr>
              <w:autoSpaceDE/>
              <w:autoSpaceDN/>
              <w:adjustRightInd/>
              <w:rPr>
                <w:rFonts w:ascii="宋体" w:hAnsi="宋体"/>
                <w:sz w:val="24"/>
                <w:szCs w:val="24"/>
              </w:rPr>
            </w:pPr>
            <w:r>
              <w:rPr>
                <w:rFonts w:hint="eastAsia" w:ascii="宋体" w:hAnsi="宋体"/>
                <w:sz w:val="24"/>
                <w:szCs w:val="24"/>
              </w:rPr>
              <w:t>未按照采购合同约定及时提供全部货物的，或无故拖延工期的</w:t>
            </w:r>
          </w:p>
        </w:tc>
        <w:tc>
          <w:tcPr>
            <w:tcW w:w="1326" w:type="dxa"/>
            <w:vAlign w:val="center"/>
          </w:tcPr>
          <w:p>
            <w:pPr>
              <w:jc w:val="center"/>
              <w:rPr>
                <w:rFonts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7" w:type="dxa"/>
            <w:vAlign w:val="center"/>
          </w:tcPr>
          <w:p>
            <w:pPr>
              <w:jc w:val="center"/>
              <w:rPr>
                <w:rFonts w:ascii="宋体" w:hAnsi="宋体"/>
                <w:sz w:val="24"/>
                <w:szCs w:val="24"/>
              </w:rPr>
            </w:pPr>
            <w:r>
              <w:rPr>
                <w:rFonts w:hint="eastAsia" w:ascii="宋体" w:hAnsi="宋体"/>
                <w:sz w:val="24"/>
                <w:szCs w:val="24"/>
              </w:rPr>
              <w:t>19</w:t>
            </w:r>
          </w:p>
        </w:tc>
        <w:tc>
          <w:tcPr>
            <w:tcW w:w="6433" w:type="dxa"/>
            <w:vAlign w:val="center"/>
          </w:tcPr>
          <w:p>
            <w:pPr>
              <w:autoSpaceDE/>
              <w:autoSpaceDN/>
              <w:adjustRightInd/>
              <w:rPr>
                <w:rFonts w:ascii="宋体" w:hAnsi="宋体"/>
                <w:sz w:val="24"/>
                <w:szCs w:val="24"/>
              </w:rPr>
            </w:pPr>
            <w:r>
              <w:rPr>
                <w:rFonts w:hint="eastAsia" w:ascii="宋体" w:hAnsi="宋体"/>
                <w:sz w:val="24"/>
                <w:szCs w:val="24"/>
              </w:rPr>
              <w:t>无故不提供中标要求的型号、配置等产品的，或有拆换、调换、截留产品零部件和备品备件的行为的</w:t>
            </w:r>
          </w:p>
        </w:tc>
        <w:tc>
          <w:tcPr>
            <w:tcW w:w="1326" w:type="dxa"/>
            <w:vAlign w:val="center"/>
          </w:tcPr>
          <w:p>
            <w:pPr>
              <w:jc w:val="center"/>
              <w:rPr>
                <w:rFonts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20</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为获取自身利益，向采购人及其他有利害关系的单位或个人提供不正当利益的</w:t>
            </w:r>
          </w:p>
        </w:tc>
        <w:tc>
          <w:tcPr>
            <w:tcW w:w="1326" w:type="dxa"/>
            <w:vAlign w:val="center"/>
          </w:tcPr>
          <w:p>
            <w:pPr>
              <w:jc w:val="center"/>
              <w:rPr>
                <w:rFonts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21</w:t>
            </w:r>
          </w:p>
        </w:tc>
        <w:tc>
          <w:tcPr>
            <w:tcW w:w="6433" w:type="dxa"/>
            <w:vAlign w:val="center"/>
          </w:tcPr>
          <w:p>
            <w:pPr>
              <w:autoSpaceDE/>
              <w:autoSpaceDN/>
              <w:adjustRightInd/>
              <w:rPr>
                <w:rFonts w:ascii="宋体" w:hAnsi="宋体"/>
                <w:sz w:val="24"/>
                <w:szCs w:val="24"/>
              </w:rPr>
            </w:pPr>
            <w:r>
              <w:rPr>
                <w:rFonts w:hint="eastAsia" w:ascii="宋体" w:hAnsi="宋体"/>
                <w:sz w:val="24"/>
                <w:szCs w:val="24"/>
              </w:rPr>
              <w:t>提供假冒伪劣产品或走私物品的</w:t>
            </w:r>
          </w:p>
        </w:tc>
        <w:tc>
          <w:tcPr>
            <w:tcW w:w="1326" w:type="dxa"/>
            <w:vAlign w:val="center"/>
          </w:tcPr>
          <w:p>
            <w:pPr>
              <w:jc w:val="center"/>
              <w:rPr>
                <w:rFonts w:ascii="宋体" w:hAnsi="宋体"/>
                <w:sz w:val="24"/>
                <w:szCs w:val="24"/>
              </w:rPr>
            </w:pPr>
            <w:r>
              <w:rPr>
                <w:rFonts w:hint="eastAsia" w:ascii="宋体" w:hAnsi="宋体"/>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22</w:t>
            </w:r>
          </w:p>
        </w:tc>
        <w:tc>
          <w:tcPr>
            <w:tcW w:w="6433" w:type="dxa"/>
            <w:vAlign w:val="center"/>
          </w:tcPr>
          <w:p>
            <w:pPr>
              <w:autoSpaceDE/>
              <w:autoSpaceDN/>
              <w:adjustRightInd/>
              <w:rPr>
                <w:rFonts w:ascii="宋体" w:hAnsi="宋体"/>
                <w:sz w:val="24"/>
                <w:szCs w:val="24"/>
              </w:rPr>
            </w:pPr>
            <w:r>
              <w:rPr>
                <w:rFonts w:hint="eastAsia" w:ascii="宋体" w:hAnsi="宋体"/>
                <w:sz w:val="24"/>
                <w:szCs w:val="24"/>
              </w:rPr>
              <w:t>擅自变更、中止、终止或解除政府采购合同的</w:t>
            </w:r>
          </w:p>
        </w:tc>
        <w:tc>
          <w:tcPr>
            <w:tcW w:w="1326" w:type="dxa"/>
            <w:vAlign w:val="center"/>
          </w:tcPr>
          <w:p>
            <w:pPr>
              <w:jc w:val="center"/>
              <w:rPr>
                <w:rFonts w:ascii="宋体" w:hAnsi="宋体"/>
                <w:sz w:val="24"/>
                <w:szCs w:val="24"/>
              </w:rPr>
            </w:pPr>
            <w:r>
              <w:rPr>
                <w:rFonts w:hint="eastAsia" w:ascii="宋体" w:hAnsi="宋体"/>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23</w:t>
            </w:r>
          </w:p>
        </w:tc>
        <w:tc>
          <w:tcPr>
            <w:tcW w:w="6433" w:type="dxa"/>
            <w:vAlign w:val="center"/>
          </w:tcPr>
          <w:p>
            <w:pPr>
              <w:autoSpaceDE/>
              <w:autoSpaceDN/>
              <w:adjustRightInd/>
              <w:rPr>
                <w:rFonts w:ascii="宋体" w:hAnsi="宋体"/>
                <w:sz w:val="24"/>
                <w:szCs w:val="24"/>
              </w:rPr>
            </w:pPr>
            <w:r>
              <w:rPr>
                <w:rFonts w:hint="eastAsia" w:ascii="宋体" w:hAnsi="宋体"/>
                <w:sz w:val="24"/>
                <w:szCs w:val="24"/>
              </w:rPr>
              <w:t>向有关人员行贿或者提供不正当利益谋取中标的</w:t>
            </w:r>
          </w:p>
        </w:tc>
        <w:tc>
          <w:tcPr>
            <w:tcW w:w="1326" w:type="dxa"/>
            <w:vAlign w:val="center"/>
          </w:tcPr>
          <w:p>
            <w:pPr>
              <w:jc w:val="center"/>
              <w:rPr>
                <w:rFonts w:ascii="宋体" w:hAnsi="宋体"/>
                <w:sz w:val="24"/>
                <w:szCs w:val="24"/>
              </w:rPr>
            </w:pPr>
            <w:r>
              <w:rPr>
                <w:rFonts w:hint="eastAsia" w:ascii="宋体" w:hAnsi="宋体"/>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24</w:t>
            </w:r>
          </w:p>
        </w:tc>
        <w:tc>
          <w:tcPr>
            <w:tcW w:w="6433" w:type="dxa"/>
            <w:vAlign w:val="center"/>
          </w:tcPr>
          <w:p>
            <w:pPr>
              <w:autoSpaceDE/>
              <w:autoSpaceDN/>
              <w:adjustRightInd/>
              <w:rPr>
                <w:rFonts w:ascii="宋体" w:hAnsi="宋体"/>
                <w:sz w:val="24"/>
                <w:szCs w:val="24"/>
              </w:rPr>
            </w:pPr>
            <w:r>
              <w:rPr>
                <w:rFonts w:hint="eastAsia" w:ascii="宋体" w:hAnsi="宋体"/>
                <w:sz w:val="24"/>
                <w:szCs w:val="24"/>
              </w:rPr>
              <w:t>在政府采购活动期间，对管理机构、采购人、其他投标人、评标专家、中介机构等政府采购相关机构和人员，采取诋毁、诽谤、胁迫、暴力等不正当手段的</w:t>
            </w:r>
          </w:p>
        </w:tc>
        <w:tc>
          <w:tcPr>
            <w:tcW w:w="1326" w:type="dxa"/>
            <w:vAlign w:val="center"/>
          </w:tcPr>
          <w:p>
            <w:pPr>
              <w:jc w:val="center"/>
              <w:rPr>
                <w:rFonts w:ascii="宋体" w:hAnsi="宋体"/>
                <w:sz w:val="24"/>
                <w:szCs w:val="24"/>
              </w:rPr>
            </w:pPr>
            <w:r>
              <w:rPr>
                <w:rFonts w:hint="eastAsia" w:ascii="宋体" w:hAnsi="宋体"/>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25</w:t>
            </w:r>
          </w:p>
        </w:tc>
        <w:tc>
          <w:tcPr>
            <w:tcW w:w="6433" w:type="dxa"/>
            <w:vAlign w:val="center"/>
          </w:tcPr>
          <w:p>
            <w:pPr>
              <w:autoSpaceDE/>
              <w:autoSpaceDN/>
              <w:adjustRightInd/>
              <w:rPr>
                <w:rFonts w:ascii="宋体" w:hAnsi="宋体"/>
                <w:sz w:val="24"/>
                <w:szCs w:val="24"/>
              </w:rPr>
            </w:pPr>
            <w:r>
              <w:rPr>
                <w:rFonts w:hint="eastAsia" w:ascii="宋体" w:hAnsi="宋体"/>
                <w:sz w:val="24"/>
                <w:szCs w:val="24"/>
              </w:rPr>
              <w:t>诸暨市公共资源交易管理委员会办公室认定的其他违反政府采购管理的行为</w:t>
            </w:r>
          </w:p>
        </w:tc>
        <w:tc>
          <w:tcPr>
            <w:tcW w:w="1326" w:type="dxa"/>
            <w:vAlign w:val="center"/>
          </w:tcPr>
          <w:p>
            <w:pPr>
              <w:jc w:val="center"/>
              <w:rPr>
                <w:rFonts w:ascii="宋体" w:hAnsi="宋体"/>
                <w:sz w:val="24"/>
                <w:szCs w:val="24"/>
              </w:rPr>
            </w:pPr>
            <w:r>
              <w:rPr>
                <w:rFonts w:hint="eastAsia" w:ascii="宋体" w:hAnsi="宋体"/>
                <w:sz w:val="24"/>
                <w:szCs w:val="24"/>
              </w:rPr>
              <w:t>酌情处理</w:t>
            </w:r>
          </w:p>
        </w:tc>
      </w:tr>
    </w:tbl>
    <w:p>
      <w:pPr>
        <w:pStyle w:val="3"/>
        <w:spacing w:before="0" w:after="0" w:line="240" w:lineRule="auto"/>
        <w:jc w:val="center"/>
        <w:rPr>
          <w:rFonts w:ascii="宋体" w:hAnsi="宋体" w:eastAsia="宋体"/>
          <w:sz w:val="28"/>
          <w:szCs w:val="28"/>
        </w:rPr>
      </w:pPr>
      <w:r>
        <w:rPr>
          <w:rFonts w:hint="eastAsia" w:ascii="宋体" w:hAnsi="宋体" w:eastAsia="宋体"/>
          <w:sz w:val="28"/>
          <w:szCs w:val="28"/>
        </w:rPr>
        <w:t>八、监督和解释</w:t>
      </w:r>
    </w:p>
    <w:p>
      <w:pPr>
        <w:ind w:firstLine="482" w:firstLineChars="200"/>
        <w:rPr>
          <w:rFonts w:ascii="宋体" w:hAnsi="宋体"/>
          <w:sz w:val="24"/>
        </w:rPr>
      </w:pPr>
      <w:r>
        <w:rPr>
          <w:rFonts w:hint="eastAsia" w:ascii="宋体" w:hAnsi="宋体"/>
          <w:b/>
          <w:bCs/>
          <w:sz w:val="24"/>
        </w:rPr>
        <w:t>29.</w:t>
      </w:r>
      <w:r>
        <w:rPr>
          <w:rFonts w:hint="eastAsia" w:ascii="宋体" w:hAnsi="宋体"/>
          <w:sz w:val="24"/>
        </w:rPr>
        <w:t>本次采购活动接受诸暨市监察局、诸暨市财政局、诸暨市公共资源交易管理委员会办公室的监督。</w:t>
      </w:r>
    </w:p>
    <w:p>
      <w:pPr>
        <w:ind w:firstLine="482" w:firstLineChars="200"/>
        <w:rPr>
          <w:rFonts w:ascii="宋体" w:hAnsi="宋体"/>
          <w:b/>
          <w:bCs/>
          <w:sz w:val="24"/>
        </w:rPr>
      </w:pPr>
      <w:r>
        <w:rPr>
          <w:rFonts w:hint="eastAsia" w:ascii="宋体" w:hAnsi="宋体"/>
          <w:b/>
          <w:bCs/>
          <w:sz w:val="24"/>
        </w:rPr>
        <w:t>30.</w:t>
      </w:r>
      <w:r>
        <w:rPr>
          <w:rFonts w:hint="eastAsia" w:ascii="宋体" w:hAnsi="宋体"/>
          <w:bCs/>
          <w:sz w:val="24"/>
        </w:rPr>
        <w:t>本采购文件的解释权属于采购单位和诸暨市公共资源交易中心。</w:t>
      </w:r>
    </w:p>
    <w:p>
      <w:pPr>
        <w:ind w:firstLine="420" w:firstLineChars="200"/>
      </w:pPr>
    </w:p>
    <w:bookmarkEnd w:id="28"/>
    <w:p>
      <w:pPr>
        <w:rPr>
          <w:rFonts w:ascii="宋体" w:hAnsi="宋体"/>
          <w:b/>
          <w:sz w:val="36"/>
          <w:szCs w:val="36"/>
        </w:rPr>
      </w:pPr>
    </w:p>
    <w:p>
      <w:pPr>
        <w:pStyle w:val="2"/>
        <w:pageBreakBefore/>
        <w:autoSpaceDE/>
        <w:autoSpaceDN/>
        <w:spacing w:before="240" w:after="240" w:line="400" w:lineRule="atLeast"/>
        <w:jc w:val="center"/>
        <w:textAlignment w:val="baseline"/>
        <w:rPr>
          <w:rFonts w:ascii="宋体" w:hAnsi="宋体"/>
          <w:kern w:val="0"/>
          <w:sz w:val="36"/>
          <w:szCs w:val="36"/>
        </w:rPr>
      </w:pPr>
      <w:bookmarkStart w:id="29" w:name="_Toc482787716"/>
      <w:r>
        <w:rPr>
          <w:rFonts w:hint="eastAsia" w:ascii="宋体" w:hAnsi="宋体"/>
          <w:kern w:val="0"/>
          <w:sz w:val="36"/>
          <w:szCs w:val="36"/>
        </w:rPr>
        <w:t>第三章  采购需求</w:t>
      </w:r>
      <w:bookmarkEnd w:id="29"/>
    </w:p>
    <w:p>
      <w:pPr>
        <w:spacing w:line="500" w:lineRule="exact"/>
        <w:rPr>
          <w:rFonts w:eastAsia="黑体"/>
          <w:b/>
          <w:bCs/>
          <w:color w:val="auto"/>
          <w:kern w:val="2"/>
          <w:sz w:val="28"/>
          <w:szCs w:val="28"/>
        </w:rPr>
      </w:pPr>
      <w:r>
        <w:rPr>
          <w:rFonts w:hint="eastAsia" w:eastAsia="黑体"/>
          <w:b/>
          <w:bCs/>
          <w:color w:val="auto"/>
          <w:kern w:val="2"/>
          <w:sz w:val="28"/>
          <w:szCs w:val="28"/>
        </w:rPr>
        <w:t>（一）项目概述</w:t>
      </w:r>
    </w:p>
    <w:p>
      <w:pPr>
        <w:pStyle w:val="248"/>
        <w:numPr>
          <w:ilvl w:val="1"/>
          <w:numId w:val="0"/>
        </w:numPr>
        <w:spacing w:before="260" w:after="260" w:line="500" w:lineRule="exact"/>
        <w:ind w:left="576" w:hanging="576"/>
      </w:pPr>
      <w:bookmarkStart w:id="30" w:name="_Toc6523"/>
      <w:r>
        <w:rPr>
          <w:rFonts w:hint="eastAsia"/>
        </w:rPr>
        <w:t>1.1项目名称</w:t>
      </w:r>
      <w:bookmarkEnd w:id="30"/>
    </w:p>
    <w:p>
      <w:pPr>
        <w:pStyle w:val="255"/>
        <w:spacing w:line="500" w:lineRule="exact"/>
        <w:ind w:firstLine="480"/>
        <w:rPr>
          <w:rFonts w:ascii="宋体" w:hAnsi="宋体"/>
          <w:color w:val="000000"/>
          <w:kern w:val="0"/>
          <w:szCs w:val="21"/>
        </w:rPr>
      </w:pPr>
      <w:r>
        <w:rPr>
          <w:rFonts w:hint="eastAsia" w:ascii="宋体" w:hAnsi="宋体"/>
          <w:color w:val="000000"/>
          <w:kern w:val="0"/>
          <w:szCs w:val="21"/>
        </w:rPr>
        <w:t>诸暨市特殊群体社会保险迁移设项目。</w:t>
      </w:r>
    </w:p>
    <w:p>
      <w:pPr>
        <w:pStyle w:val="248"/>
        <w:numPr>
          <w:ilvl w:val="1"/>
          <w:numId w:val="0"/>
        </w:numPr>
        <w:spacing w:before="260" w:after="260" w:line="500" w:lineRule="exact"/>
        <w:ind w:left="576" w:hanging="576"/>
      </w:pPr>
      <w:bookmarkStart w:id="31" w:name="_Toc27434"/>
      <w:r>
        <w:rPr>
          <w:rFonts w:hint="eastAsia"/>
        </w:rPr>
        <w:t>1.2项目背景</w:t>
      </w:r>
      <w:bookmarkEnd w:id="31"/>
    </w:p>
    <w:p>
      <w:pPr>
        <w:pStyle w:val="255"/>
        <w:spacing w:line="500" w:lineRule="exact"/>
        <w:ind w:firstLine="480"/>
        <w:rPr>
          <w:rFonts w:ascii="宋体" w:hAnsi="宋体"/>
          <w:color w:val="000000"/>
          <w:kern w:val="0"/>
          <w:szCs w:val="21"/>
        </w:rPr>
      </w:pPr>
      <w:r>
        <w:rPr>
          <w:rFonts w:hint="eastAsia" w:ascii="宋体" w:hAnsi="宋体"/>
          <w:color w:val="000000"/>
          <w:kern w:val="0"/>
          <w:szCs w:val="21"/>
        </w:rPr>
        <w:t>目前，诸暨市社保业务系统已经实现了省级集中，但是由于地方性政策和历史原因，仍有部分特殊群体（具体涉及：诸暨市非编人员、机关遗属、精简人员、劳模、老机关、企业遗属、退伍军人、知青人员等）的社保业务遗留在诸暨本地系统。</w:t>
      </w:r>
    </w:p>
    <w:p>
      <w:pPr>
        <w:pStyle w:val="255"/>
        <w:spacing w:line="500" w:lineRule="exact"/>
        <w:ind w:firstLine="480"/>
        <w:rPr>
          <w:rFonts w:ascii="宋体" w:hAnsi="宋体"/>
          <w:color w:val="000000"/>
          <w:kern w:val="0"/>
          <w:szCs w:val="21"/>
        </w:rPr>
      </w:pPr>
      <w:r>
        <w:rPr>
          <w:rFonts w:hint="eastAsia" w:ascii="宋体" w:hAnsi="宋体"/>
          <w:color w:val="000000"/>
          <w:kern w:val="0"/>
          <w:szCs w:val="21"/>
        </w:rPr>
        <w:t>由于诸暨市社会保险管理信息系统建设时间较早，系统存在着架构老化，维护成本日益增加，系统的安全性、稳定性无法得到充分保障等问题。因此，诸暨市人力资源和社会保障局规划建设本项目，以满足诸暨市社保业务的平稳发展的需求。</w:t>
      </w:r>
    </w:p>
    <w:p>
      <w:pPr>
        <w:pStyle w:val="248"/>
        <w:numPr>
          <w:ilvl w:val="1"/>
          <w:numId w:val="0"/>
        </w:numPr>
        <w:spacing w:line="500" w:lineRule="exact"/>
        <w:ind w:left="576" w:hanging="576"/>
      </w:pPr>
      <w:bookmarkStart w:id="32" w:name="_Toc23188"/>
      <w:r>
        <w:rPr>
          <w:rFonts w:hint="eastAsia"/>
        </w:rPr>
        <w:t>1.3项目目标</w:t>
      </w:r>
      <w:bookmarkEnd w:id="32"/>
    </w:p>
    <w:p>
      <w:pPr>
        <w:pStyle w:val="255"/>
        <w:spacing w:line="500" w:lineRule="exact"/>
        <w:ind w:firstLine="480"/>
        <w:rPr>
          <w:rFonts w:ascii="宋体" w:hAnsi="宋体"/>
          <w:color w:val="000000"/>
          <w:kern w:val="0"/>
          <w:szCs w:val="21"/>
        </w:rPr>
      </w:pPr>
      <w:r>
        <w:rPr>
          <w:rFonts w:hint="eastAsia" w:ascii="宋体" w:hAnsi="宋体"/>
          <w:color w:val="000000"/>
          <w:kern w:val="0"/>
          <w:szCs w:val="21"/>
        </w:rPr>
        <w:t>将诸暨市本地系统中特殊群体的社保数据统一迁移至“互联网+绍兴人社”一体化系统中，并保障迁移数据的完整性、准确性和一致性。</w:t>
      </w:r>
    </w:p>
    <w:p>
      <w:pPr>
        <w:pStyle w:val="255"/>
        <w:spacing w:line="500" w:lineRule="exact"/>
        <w:ind w:firstLine="480"/>
        <w:rPr>
          <w:rFonts w:ascii="宋体" w:hAnsi="宋体"/>
          <w:color w:val="000000"/>
          <w:kern w:val="0"/>
          <w:szCs w:val="21"/>
        </w:rPr>
      </w:pPr>
      <w:r>
        <w:rPr>
          <w:rFonts w:hint="eastAsia" w:ascii="宋体" w:hAnsi="宋体"/>
          <w:color w:val="000000"/>
          <w:kern w:val="0"/>
          <w:szCs w:val="21"/>
        </w:rPr>
        <w:t>同时，在现有的功能基础上，充分考虑诸暨市特殊群体社保业务的需求，对“互联网+绍兴人社”一体化系统进行升级改造以及诸暨个性化功能开发，并充分利用现有的接口服务，实现与诸暨税务部门和银行的对接，最终实现通过“互联网+绍兴人社”一体化系统办理诸暨市特殊群体的各项社保业务。</w:t>
      </w:r>
    </w:p>
    <w:p/>
    <w:p>
      <w:pPr>
        <w:pStyle w:val="251"/>
        <w:jc w:val="left"/>
        <w:rPr>
          <w:rFonts w:ascii="Times New Roman" w:cs="Times New Roman"/>
          <w:kern w:val="2"/>
          <w:sz w:val="28"/>
          <w:szCs w:val="28"/>
        </w:rPr>
      </w:pPr>
      <w:bookmarkStart w:id="33" w:name="_Toc14753"/>
      <w:r>
        <w:rPr>
          <w:rFonts w:hint="eastAsia" w:ascii="Times New Roman" w:cs="Times New Roman"/>
          <w:kern w:val="2"/>
          <w:sz w:val="28"/>
          <w:szCs w:val="28"/>
        </w:rPr>
        <w:t>（二）总体设计</w:t>
      </w:r>
      <w:bookmarkEnd w:id="33"/>
    </w:p>
    <w:p>
      <w:pPr>
        <w:pStyle w:val="248"/>
        <w:numPr>
          <w:ilvl w:val="1"/>
          <w:numId w:val="0"/>
        </w:numPr>
        <w:ind w:left="576" w:hanging="576"/>
      </w:pPr>
      <w:bookmarkStart w:id="34" w:name="_Toc17544"/>
      <w:r>
        <w:rPr>
          <w:rFonts w:hint="eastAsia"/>
        </w:rPr>
        <w:t>2.1系统架构设计</w:t>
      </w:r>
      <w:bookmarkEnd w:id="34"/>
    </w:p>
    <w:p>
      <w:pPr>
        <w:pStyle w:val="141"/>
        <w:ind w:firstLine="480"/>
        <w:rPr>
          <w:rFonts w:hint="default" w:hAnsi="宋体"/>
          <w:color w:val="000000"/>
          <w:sz w:val="24"/>
          <w:szCs w:val="21"/>
        </w:rPr>
      </w:pPr>
      <w:r>
        <w:rPr>
          <w:rFonts w:hAnsi="宋体"/>
          <w:color w:val="000000"/>
          <w:sz w:val="24"/>
          <w:szCs w:val="21"/>
        </w:rPr>
        <w:t>本次项目需要在现有的“互联网+绍兴人社”一体化系统架构上进行开发，总体架构设计如下：</w:t>
      </w:r>
    </w:p>
    <w:p>
      <w:pPr>
        <w:jc w:val="center"/>
      </w:pPr>
      <w:r>
        <w:drawing>
          <wp:inline distT="0" distB="0" distL="0" distR="0">
            <wp:extent cx="5260975" cy="44196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64109" cy="4422026"/>
                    </a:xfrm>
                    <a:prstGeom prst="rect">
                      <a:avLst/>
                    </a:prstGeom>
                    <a:noFill/>
                  </pic:spPr>
                </pic:pic>
              </a:graphicData>
            </a:graphic>
          </wp:inline>
        </w:drawing>
      </w:r>
    </w:p>
    <w:p>
      <w:pPr>
        <w:jc w:val="center"/>
        <w:rPr>
          <w:sz w:val="24"/>
          <w:szCs w:val="24"/>
        </w:rPr>
      </w:pPr>
      <w:r>
        <w:rPr>
          <w:rFonts w:hint="eastAsia"/>
          <w:sz w:val="24"/>
          <w:szCs w:val="24"/>
        </w:rPr>
        <w:t>总体架构图</w:t>
      </w:r>
    </w:p>
    <w:p>
      <w:pPr>
        <w:pStyle w:val="141"/>
        <w:ind w:firstLine="480"/>
        <w:rPr>
          <w:rFonts w:hint="default" w:hAnsi="宋体"/>
          <w:color w:val="000000"/>
          <w:sz w:val="24"/>
          <w:szCs w:val="21"/>
        </w:rPr>
      </w:pPr>
      <w:r>
        <w:rPr>
          <w:rFonts w:hAnsi="宋体"/>
          <w:color w:val="000000"/>
          <w:sz w:val="24"/>
          <w:szCs w:val="21"/>
        </w:rPr>
        <w:t>“互联网+绍兴人社”一体化系统的业务功能进行新增或改造，满足诸暨本地业务需求；</w:t>
      </w:r>
    </w:p>
    <w:p>
      <w:pPr>
        <w:pStyle w:val="141"/>
        <w:ind w:firstLine="480"/>
        <w:rPr>
          <w:rFonts w:hint="default" w:hAnsi="宋体"/>
          <w:color w:val="000000"/>
          <w:sz w:val="24"/>
          <w:szCs w:val="21"/>
        </w:rPr>
      </w:pPr>
      <w:r>
        <w:rPr>
          <w:rFonts w:hAnsi="宋体"/>
          <w:color w:val="000000"/>
          <w:sz w:val="24"/>
          <w:szCs w:val="21"/>
        </w:rPr>
        <w:t>充分利用诸暨市现有的社税接口服务，完成与诸暨市税务部门的对接，实现特殊群体社保费用的征缴；</w:t>
      </w:r>
    </w:p>
    <w:p>
      <w:pPr>
        <w:pStyle w:val="141"/>
        <w:ind w:firstLine="480"/>
        <w:rPr>
          <w:rFonts w:hint="default"/>
        </w:rPr>
      </w:pPr>
      <w:r>
        <w:rPr>
          <w:rFonts w:hAnsi="宋体"/>
          <w:color w:val="000000"/>
          <w:sz w:val="24"/>
          <w:szCs w:val="21"/>
        </w:rPr>
        <w:t>根据“互联网+绍兴人社”一体化系统的社银接口规范，完成与诸暨当地银行的对接，实现特殊群体社保待遇的支付。</w:t>
      </w:r>
    </w:p>
    <w:p>
      <w:pPr>
        <w:pStyle w:val="248"/>
        <w:numPr>
          <w:ilvl w:val="1"/>
          <w:numId w:val="0"/>
        </w:numPr>
        <w:ind w:left="576" w:hanging="576"/>
      </w:pPr>
      <w:bookmarkStart w:id="35" w:name="_Toc23513"/>
      <w:r>
        <w:rPr>
          <w:rFonts w:hint="eastAsia"/>
        </w:rPr>
        <w:t>2.2数据迁移架构设计</w:t>
      </w:r>
      <w:bookmarkEnd w:id="35"/>
    </w:p>
    <w:p>
      <w:pPr>
        <w:pStyle w:val="255"/>
        <w:ind w:firstLine="480"/>
      </w:pPr>
      <w:r>
        <w:rPr>
          <w:rFonts w:hint="eastAsia"/>
        </w:rPr>
        <w:t>本项目中涉及数据迁移的总体架构如下：</w:t>
      </w:r>
    </w:p>
    <w:p>
      <w:r>
        <w:drawing>
          <wp:inline distT="0" distB="0" distL="0" distR="0">
            <wp:extent cx="5260975" cy="34182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72199" cy="3425702"/>
                    </a:xfrm>
                    <a:prstGeom prst="rect">
                      <a:avLst/>
                    </a:prstGeom>
                    <a:noFill/>
                  </pic:spPr>
                </pic:pic>
              </a:graphicData>
            </a:graphic>
          </wp:inline>
        </w:drawing>
      </w:r>
    </w:p>
    <w:p>
      <w:pPr>
        <w:pStyle w:val="255"/>
        <w:ind w:firstLine="0" w:firstLineChars="0"/>
        <w:jc w:val="center"/>
      </w:pPr>
      <w:r>
        <w:rPr>
          <w:rFonts w:hint="eastAsia"/>
        </w:rPr>
        <w:t>数据迁移架构图</w:t>
      </w:r>
    </w:p>
    <w:p>
      <w:pPr>
        <w:pStyle w:val="255"/>
        <w:ind w:firstLine="480"/>
      </w:pPr>
      <w:r>
        <w:rPr>
          <w:rFonts w:hint="eastAsia"/>
        </w:rPr>
        <w:t>数据迁移工作主要可以分为以下三步：</w:t>
      </w:r>
    </w:p>
    <w:p>
      <w:pPr>
        <w:pStyle w:val="255"/>
        <w:ind w:firstLine="480"/>
      </w:pPr>
      <w:r>
        <w:rPr>
          <w:rFonts w:hint="eastAsia"/>
        </w:rPr>
        <w:t>将诸暨市社保业务生产库数据通过全量或者增量抽取的方式抽取至数据迁移原始库；</w:t>
      </w:r>
    </w:p>
    <w:p>
      <w:pPr>
        <w:pStyle w:val="255"/>
        <w:ind w:firstLine="480"/>
      </w:pPr>
      <w:r>
        <w:rPr>
          <w:rFonts w:hint="eastAsia"/>
        </w:rPr>
        <w:t>将数据迁移原始库的数据经过清洗、转换、验证生成清洗库；</w:t>
      </w:r>
    </w:p>
    <w:p>
      <w:pPr>
        <w:pStyle w:val="255"/>
        <w:ind w:firstLine="480"/>
      </w:pPr>
      <w:r>
        <w:rPr>
          <w:rFonts w:hint="eastAsia"/>
        </w:rPr>
        <w:t>最终将清洗库数据迁移至绍兴市社保业务生产库中，并进行测试。</w:t>
      </w:r>
    </w:p>
    <w:p>
      <w:pPr>
        <w:pStyle w:val="251"/>
        <w:jc w:val="left"/>
        <w:rPr>
          <w:rFonts w:ascii="Times New Roman" w:cs="Times New Roman"/>
          <w:kern w:val="2"/>
          <w:sz w:val="28"/>
          <w:szCs w:val="28"/>
        </w:rPr>
      </w:pPr>
      <w:bookmarkStart w:id="36" w:name="_Toc7494"/>
      <w:r>
        <w:rPr>
          <w:rFonts w:hint="eastAsia" w:ascii="Times New Roman" w:cs="Times New Roman"/>
          <w:kern w:val="2"/>
          <w:sz w:val="28"/>
          <w:szCs w:val="28"/>
        </w:rPr>
        <w:t>（三）建设内容</w:t>
      </w:r>
      <w:bookmarkEnd w:id="36"/>
    </w:p>
    <w:p>
      <w:pPr>
        <w:pStyle w:val="141"/>
        <w:ind w:firstLine="480"/>
        <w:rPr>
          <w:rFonts w:hint="default" w:ascii="Times New Roman"/>
          <w:kern w:val="2"/>
          <w:sz w:val="24"/>
          <w:szCs w:val="24"/>
        </w:rPr>
      </w:pPr>
      <w:r>
        <w:rPr>
          <w:rFonts w:ascii="Times New Roman"/>
          <w:kern w:val="2"/>
          <w:sz w:val="24"/>
          <w:szCs w:val="24"/>
        </w:rPr>
        <w:t>诸暨市非编人员社会保险信息化建设包括：数据迁移、系统升级改造、系统对接三方面工作内容。</w:t>
      </w:r>
    </w:p>
    <w:p>
      <w:pPr>
        <w:pStyle w:val="248"/>
        <w:numPr>
          <w:ilvl w:val="1"/>
          <w:numId w:val="0"/>
        </w:numPr>
        <w:ind w:left="576" w:hanging="576"/>
      </w:pPr>
      <w:bookmarkStart w:id="37" w:name="_Toc29837"/>
      <w:r>
        <w:rPr>
          <w:rFonts w:hint="eastAsia"/>
        </w:rPr>
        <w:t>3.1数据迁移</w:t>
      </w:r>
      <w:bookmarkEnd w:id="37"/>
    </w:p>
    <w:p>
      <w:pPr>
        <w:pStyle w:val="141"/>
        <w:ind w:firstLine="480"/>
        <w:rPr>
          <w:rFonts w:hint="default" w:ascii="Times New Roman"/>
          <w:kern w:val="2"/>
          <w:sz w:val="24"/>
          <w:szCs w:val="24"/>
        </w:rPr>
      </w:pPr>
      <w:r>
        <w:rPr>
          <w:rFonts w:ascii="Times New Roman"/>
          <w:kern w:val="2"/>
          <w:sz w:val="24"/>
          <w:szCs w:val="24"/>
        </w:rPr>
        <w:t>将诸暨市特殊群体的社保数据统一迁移至绍兴市社保业务生产库，数据迁移涉及的工作包括：规则梳理、数据抽取、清洗库初始化、数据清洗、数据转换、数据验证、数据迁移、测试。</w:t>
      </w:r>
    </w:p>
    <w:p>
      <w:pPr>
        <w:pStyle w:val="206"/>
        <w:numPr>
          <w:ilvl w:val="2"/>
          <w:numId w:val="0"/>
        </w:numPr>
        <w:tabs>
          <w:tab w:val="left" w:pos="720"/>
          <w:tab w:val="left" w:pos="900"/>
        </w:tabs>
        <w:spacing w:beforeLines="50" w:afterLines="50" w:line="480" w:lineRule="auto"/>
        <w:ind w:left="720" w:hanging="720"/>
        <w:outlineLvl w:val="2"/>
      </w:pPr>
      <w:bookmarkStart w:id="38" w:name="_Toc18176"/>
      <w:r>
        <w:rPr>
          <w:rFonts w:hint="eastAsia"/>
        </w:rPr>
        <w:t>3.1.1数据迁移范围</w:t>
      </w:r>
      <w:bookmarkEnd w:id="38"/>
    </w:p>
    <w:p>
      <w:pPr>
        <w:pStyle w:val="141"/>
        <w:ind w:firstLine="480"/>
        <w:rPr>
          <w:rFonts w:hint="default" w:ascii="Times New Roman"/>
          <w:kern w:val="2"/>
          <w:sz w:val="24"/>
          <w:szCs w:val="24"/>
        </w:rPr>
      </w:pPr>
      <w:r>
        <w:rPr>
          <w:rFonts w:ascii="Times New Roman"/>
          <w:kern w:val="2"/>
          <w:sz w:val="24"/>
          <w:szCs w:val="24"/>
        </w:rPr>
        <w:t>本次项目数据迁移的具体范围包括如下：</w:t>
      </w:r>
    </w:p>
    <w:p>
      <w:pPr>
        <w:pStyle w:val="141"/>
        <w:ind w:firstLine="480"/>
        <w:rPr>
          <w:rFonts w:hint="default" w:ascii="Times New Roman"/>
          <w:kern w:val="2"/>
          <w:sz w:val="24"/>
          <w:szCs w:val="24"/>
        </w:rPr>
      </w:pPr>
      <w:r>
        <w:rPr>
          <w:rFonts w:ascii="Times New Roman"/>
          <w:kern w:val="2"/>
          <w:sz w:val="24"/>
          <w:szCs w:val="24"/>
        </w:rPr>
        <w:t>1.组织信息</w:t>
      </w:r>
    </w:p>
    <w:p>
      <w:pPr>
        <w:pStyle w:val="141"/>
        <w:ind w:firstLine="480"/>
        <w:rPr>
          <w:rFonts w:hint="default" w:ascii="Times New Roman"/>
          <w:kern w:val="2"/>
          <w:sz w:val="24"/>
          <w:szCs w:val="24"/>
        </w:rPr>
      </w:pPr>
      <w:r>
        <w:rPr>
          <w:rFonts w:ascii="Times New Roman"/>
          <w:kern w:val="2"/>
          <w:sz w:val="24"/>
          <w:szCs w:val="24"/>
        </w:rPr>
        <w:t>2.单位参保情况</w:t>
      </w:r>
    </w:p>
    <w:p>
      <w:pPr>
        <w:pStyle w:val="141"/>
        <w:ind w:firstLine="480"/>
        <w:rPr>
          <w:rFonts w:hint="default" w:ascii="Times New Roman"/>
          <w:kern w:val="2"/>
          <w:sz w:val="24"/>
          <w:szCs w:val="24"/>
        </w:rPr>
      </w:pPr>
      <w:r>
        <w:rPr>
          <w:rFonts w:ascii="Times New Roman"/>
          <w:kern w:val="2"/>
          <w:sz w:val="24"/>
          <w:szCs w:val="24"/>
        </w:rPr>
        <w:t>3.人员信息</w:t>
      </w:r>
    </w:p>
    <w:p>
      <w:pPr>
        <w:pStyle w:val="141"/>
        <w:ind w:firstLine="480"/>
        <w:rPr>
          <w:rFonts w:hint="default" w:ascii="Times New Roman"/>
          <w:kern w:val="2"/>
          <w:sz w:val="24"/>
          <w:szCs w:val="24"/>
        </w:rPr>
      </w:pPr>
      <w:r>
        <w:rPr>
          <w:rFonts w:ascii="Times New Roman"/>
          <w:kern w:val="2"/>
          <w:sz w:val="24"/>
          <w:szCs w:val="24"/>
        </w:rPr>
        <w:t>4.人员参保关系</w:t>
      </w:r>
    </w:p>
    <w:p>
      <w:pPr>
        <w:pStyle w:val="141"/>
        <w:ind w:firstLine="480"/>
        <w:rPr>
          <w:rFonts w:hint="default" w:ascii="Times New Roman"/>
          <w:kern w:val="2"/>
          <w:sz w:val="24"/>
          <w:szCs w:val="24"/>
        </w:rPr>
      </w:pPr>
      <w:r>
        <w:rPr>
          <w:rFonts w:ascii="Times New Roman"/>
          <w:kern w:val="2"/>
          <w:sz w:val="24"/>
          <w:szCs w:val="24"/>
        </w:rPr>
        <w:t>5.人员社会保险明细</w:t>
      </w:r>
    </w:p>
    <w:p>
      <w:pPr>
        <w:pStyle w:val="141"/>
        <w:ind w:firstLine="480"/>
        <w:rPr>
          <w:rFonts w:hint="default" w:ascii="Times New Roman"/>
          <w:kern w:val="2"/>
          <w:sz w:val="24"/>
          <w:szCs w:val="24"/>
        </w:rPr>
      </w:pPr>
      <w:r>
        <w:rPr>
          <w:rFonts w:ascii="Times New Roman"/>
          <w:kern w:val="2"/>
          <w:sz w:val="24"/>
          <w:szCs w:val="24"/>
        </w:rPr>
        <w:t>6.人员征缴明细</w:t>
      </w:r>
    </w:p>
    <w:p>
      <w:pPr>
        <w:pStyle w:val="141"/>
        <w:ind w:firstLine="480"/>
        <w:rPr>
          <w:rFonts w:hint="default" w:ascii="Times New Roman"/>
          <w:kern w:val="2"/>
          <w:sz w:val="24"/>
          <w:szCs w:val="24"/>
        </w:rPr>
      </w:pPr>
      <w:r>
        <w:rPr>
          <w:rFonts w:ascii="Times New Roman"/>
          <w:kern w:val="2"/>
          <w:sz w:val="24"/>
          <w:szCs w:val="24"/>
        </w:rPr>
        <w:t>7.个人账户年度台账</w:t>
      </w:r>
    </w:p>
    <w:p>
      <w:pPr>
        <w:pStyle w:val="141"/>
        <w:ind w:firstLine="480"/>
        <w:rPr>
          <w:rFonts w:hint="default" w:ascii="Times New Roman"/>
          <w:kern w:val="2"/>
          <w:sz w:val="24"/>
          <w:szCs w:val="24"/>
        </w:rPr>
      </w:pPr>
      <w:r>
        <w:rPr>
          <w:rFonts w:ascii="Times New Roman"/>
          <w:kern w:val="2"/>
          <w:sz w:val="24"/>
          <w:szCs w:val="24"/>
        </w:rPr>
        <w:t>8.退休个人账户年度台账</w:t>
      </w:r>
    </w:p>
    <w:p>
      <w:pPr>
        <w:pStyle w:val="141"/>
        <w:ind w:firstLine="480"/>
        <w:rPr>
          <w:rFonts w:hint="default" w:ascii="Times New Roman"/>
          <w:kern w:val="2"/>
          <w:sz w:val="24"/>
          <w:szCs w:val="24"/>
        </w:rPr>
      </w:pPr>
      <w:r>
        <w:rPr>
          <w:rFonts w:ascii="Times New Roman"/>
          <w:kern w:val="2"/>
          <w:sz w:val="24"/>
          <w:szCs w:val="24"/>
        </w:rPr>
        <w:t>9.定期待遇发放档案</w:t>
      </w:r>
    </w:p>
    <w:p>
      <w:pPr>
        <w:pStyle w:val="141"/>
        <w:ind w:firstLine="480"/>
        <w:rPr>
          <w:rFonts w:hint="default" w:ascii="Times New Roman"/>
          <w:kern w:val="2"/>
          <w:sz w:val="24"/>
          <w:szCs w:val="24"/>
        </w:rPr>
      </w:pPr>
      <w:r>
        <w:rPr>
          <w:rFonts w:ascii="Times New Roman"/>
          <w:kern w:val="2"/>
          <w:sz w:val="24"/>
          <w:szCs w:val="24"/>
        </w:rPr>
        <w:t>10.定期待遇项目明细</w:t>
      </w:r>
    </w:p>
    <w:p>
      <w:pPr>
        <w:pStyle w:val="141"/>
        <w:ind w:firstLine="480"/>
        <w:rPr>
          <w:rFonts w:hint="default" w:ascii="Times New Roman"/>
          <w:kern w:val="2"/>
          <w:sz w:val="24"/>
          <w:szCs w:val="24"/>
        </w:rPr>
      </w:pPr>
      <w:r>
        <w:rPr>
          <w:rFonts w:ascii="Times New Roman"/>
          <w:kern w:val="2"/>
          <w:sz w:val="24"/>
          <w:szCs w:val="24"/>
        </w:rPr>
        <w:t>11.待遇支付档案</w:t>
      </w:r>
    </w:p>
    <w:p>
      <w:pPr>
        <w:pStyle w:val="141"/>
        <w:ind w:firstLine="480"/>
        <w:rPr>
          <w:rFonts w:hint="default" w:ascii="Times New Roman"/>
          <w:kern w:val="2"/>
          <w:sz w:val="24"/>
          <w:szCs w:val="24"/>
        </w:rPr>
      </w:pPr>
      <w:r>
        <w:rPr>
          <w:rFonts w:ascii="Times New Roman"/>
          <w:kern w:val="2"/>
          <w:sz w:val="24"/>
          <w:szCs w:val="24"/>
        </w:rPr>
        <w:t>12.待遇支付档案明细</w:t>
      </w:r>
    </w:p>
    <w:p>
      <w:pPr>
        <w:pStyle w:val="141"/>
        <w:ind w:firstLine="480"/>
        <w:rPr>
          <w:rFonts w:hint="default" w:ascii="Times New Roman"/>
          <w:kern w:val="2"/>
          <w:sz w:val="24"/>
          <w:szCs w:val="24"/>
        </w:rPr>
      </w:pPr>
      <w:r>
        <w:rPr>
          <w:rFonts w:ascii="Times New Roman"/>
          <w:kern w:val="2"/>
          <w:sz w:val="24"/>
          <w:szCs w:val="24"/>
        </w:rPr>
        <w:t>13.个人账户年度台账明细</w:t>
      </w:r>
    </w:p>
    <w:p>
      <w:pPr>
        <w:pStyle w:val="141"/>
        <w:ind w:firstLine="480"/>
        <w:rPr>
          <w:rFonts w:hint="default" w:ascii="Times New Roman"/>
          <w:kern w:val="2"/>
          <w:sz w:val="24"/>
          <w:szCs w:val="24"/>
        </w:rPr>
      </w:pPr>
      <w:r>
        <w:rPr>
          <w:rFonts w:ascii="Times New Roman"/>
          <w:kern w:val="2"/>
          <w:sz w:val="24"/>
          <w:szCs w:val="24"/>
        </w:rPr>
        <w:t>14.当事人征缴计划</w:t>
      </w:r>
    </w:p>
    <w:p>
      <w:pPr>
        <w:pStyle w:val="141"/>
        <w:ind w:firstLine="480"/>
        <w:rPr>
          <w:rFonts w:hint="default" w:ascii="Times New Roman"/>
          <w:kern w:val="2"/>
          <w:sz w:val="24"/>
          <w:szCs w:val="24"/>
        </w:rPr>
      </w:pPr>
      <w:r>
        <w:rPr>
          <w:rFonts w:ascii="Times New Roman"/>
          <w:kern w:val="2"/>
          <w:sz w:val="24"/>
          <w:szCs w:val="24"/>
        </w:rPr>
        <w:t>15.当事人征缴计划明细</w:t>
      </w:r>
    </w:p>
    <w:p>
      <w:pPr>
        <w:pStyle w:val="141"/>
        <w:ind w:firstLine="480"/>
        <w:rPr>
          <w:rFonts w:hint="default" w:ascii="Times New Roman"/>
          <w:kern w:val="2"/>
          <w:sz w:val="24"/>
          <w:szCs w:val="24"/>
        </w:rPr>
      </w:pPr>
      <w:r>
        <w:rPr>
          <w:rFonts w:ascii="Times New Roman"/>
          <w:kern w:val="2"/>
          <w:sz w:val="24"/>
          <w:szCs w:val="24"/>
        </w:rPr>
        <w:t>16离退休人员基础档案</w:t>
      </w:r>
    </w:p>
    <w:p>
      <w:pPr>
        <w:pStyle w:val="206"/>
        <w:numPr>
          <w:ilvl w:val="2"/>
          <w:numId w:val="0"/>
        </w:numPr>
        <w:tabs>
          <w:tab w:val="left" w:pos="720"/>
          <w:tab w:val="left" w:pos="900"/>
        </w:tabs>
        <w:spacing w:beforeLines="50" w:afterLines="50" w:line="480" w:lineRule="auto"/>
        <w:ind w:left="720" w:hanging="720"/>
        <w:outlineLvl w:val="2"/>
      </w:pPr>
      <w:bookmarkStart w:id="39" w:name="_Toc1541"/>
      <w:r>
        <w:rPr>
          <w:rFonts w:hint="eastAsia"/>
        </w:rPr>
        <w:t>3.1.2规则梳理</w:t>
      </w:r>
      <w:bookmarkEnd w:id="39"/>
    </w:p>
    <w:p>
      <w:pPr>
        <w:pStyle w:val="141"/>
        <w:ind w:firstLine="480"/>
        <w:rPr>
          <w:rFonts w:hint="default"/>
        </w:rPr>
      </w:pPr>
      <w:r>
        <w:rPr>
          <w:rFonts w:ascii="Times New Roman"/>
          <w:kern w:val="2"/>
          <w:sz w:val="24"/>
          <w:szCs w:val="24"/>
        </w:rPr>
        <w:t>根据“互联网+绍兴人社”的规范要求，开展数据信息项、代码类型、关联关系等分析，对数据信息项差异性、政策和业务规程差异性、代码库差异性进行比对，完成梳理相应的转换规则，保证诸暨市社会保险业务数据能够与“互联网+绍兴人社”一体化系统数据结构互联，达到统一数据规范、统一数据标准，减少或避免数据重复，消除数据的不一致性。</w:t>
      </w:r>
    </w:p>
    <w:p>
      <w:pPr>
        <w:pStyle w:val="206"/>
        <w:numPr>
          <w:ilvl w:val="2"/>
          <w:numId w:val="0"/>
        </w:numPr>
        <w:tabs>
          <w:tab w:val="left" w:pos="720"/>
          <w:tab w:val="left" w:pos="900"/>
        </w:tabs>
        <w:spacing w:beforeLines="50" w:afterLines="50" w:line="480" w:lineRule="auto"/>
        <w:ind w:left="720" w:hanging="720"/>
        <w:outlineLvl w:val="2"/>
      </w:pPr>
      <w:bookmarkStart w:id="40" w:name="_Toc10316"/>
      <w:r>
        <w:rPr>
          <w:rFonts w:hint="eastAsia"/>
        </w:rPr>
        <w:t>3.1.3数据抽取</w:t>
      </w:r>
      <w:bookmarkEnd w:id="40"/>
    </w:p>
    <w:p>
      <w:pPr>
        <w:pStyle w:val="141"/>
        <w:ind w:firstLine="480"/>
        <w:rPr>
          <w:rFonts w:hint="default" w:ascii="Times New Roman"/>
          <w:kern w:val="2"/>
          <w:sz w:val="24"/>
          <w:szCs w:val="24"/>
        </w:rPr>
      </w:pPr>
      <w:r>
        <w:rPr>
          <w:rFonts w:ascii="Times New Roman"/>
          <w:kern w:val="2"/>
          <w:sz w:val="24"/>
          <w:szCs w:val="24"/>
        </w:rPr>
        <w:t>针对目标数据库中的每张数据表，根据映射关系中记录的转换加工描述，建立抽取函数，通过全量和增量抽取的方式，将诸暨市社保业务库的数据分批抽取上传至数据迁移原始库。</w:t>
      </w:r>
    </w:p>
    <w:p>
      <w:pPr>
        <w:pStyle w:val="206"/>
        <w:numPr>
          <w:ilvl w:val="2"/>
          <w:numId w:val="0"/>
        </w:numPr>
        <w:tabs>
          <w:tab w:val="left" w:pos="720"/>
          <w:tab w:val="left" w:pos="900"/>
        </w:tabs>
        <w:spacing w:beforeLines="50" w:afterLines="50" w:line="480" w:lineRule="auto"/>
        <w:ind w:left="720" w:hanging="720"/>
        <w:outlineLvl w:val="2"/>
      </w:pPr>
      <w:bookmarkStart w:id="41" w:name="_Toc23588"/>
      <w:r>
        <w:rPr>
          <w:rFonts w:hint="eastAsia"/>
        </w:rPr>
        <w:t>3.1.4清洗库初始化</w:t>
      </w:r>
      <w:bookmarkEnd w:id="41"/>
    </w:p>
    <w:p>
      <w:pPr>
        <w:pStyle w:val="141"/>
        <w:ind w:firstLine="480"/>
        <w:rPr>
          <w:rFonts w:hint="default" w:ascii="Times New Roman"/>
          <w:kern w:val="2"/>
          <w:sz w:val="24"/>
          <w:szCs w:val="24"/>
        </w:rPr>
      </w:pPr>
      <w:r>
        <w:rPr>
          <w:rFonts w:ascii="Times New Roman"/>
          <w:kern w:val="2"/>
          <w:sz w:val="24"/>
          <w:szCs w:val="24"/>
        </w:rPr>
        <w:t>按照“互联网+绍兴人社”的标准，进行清洗库进行初始化建设，保障数据完成清洗和转换之后，数据迁移原始库能顺利迁移至清洗库。清洗库初始化工作主要包括：环境准备及部署，库表结构、代码设计等。</w:t>
      </w:r>
    </w:p>
    <w:p>
      <w:pPr>
        <w:pStyle w:val="206"/>
        <w:numPr>
          <w:ilvl w:val="2"/>
          <w:numId w:val="0"/>
        </w:numPr>
        <w:tabs>
          <w:tab w:val="left" w:pos="720"/>
          <w:tab w:val="left" w:pos="900"/>
        </w:tabs>
        <w:spacing w:beforeLines="50" w:afterLines="50" w:line="480" w:lineRule="auto"/>
        <w:ind w:left="720" w:hanging="720"/>
        <w:outlineLvl w:val="2"/>
      </w:pPr>
      <w:bookmarkStart w:id="42" w:name="_Toc1670"/>
      <w:r>
        <w:rPr>
          <w:rFonts w:hint="eastAsia"/>
        </w:rPr>
        <w:t>3.1.5数据清洗</w:t>
      </w:r>
      <w:bookmarkEnd w:id="42"/>
    </w:p>
    <w:p>
      <w:pPr>
        <w:pStyle w:val="141"/>
        <w:ind w:firstLine="480"/>
        <w:rPr>
          <w:rFonts w:hint="default" w:ascii="Times New Roman"/>
          <w:kern w:val="2"/>
          <w:sz w:val="24"/>
          <w:szCs w:val="24"/>
        </w:rPr>
      </w:pPr>
      <w:r>
        <w:rPr>
          <w:rFonts w:ascii="Times New Roman"/>
          <w:kern w:val="2"/>
          <w:sz w:val="24"/>
          <w:szCs w:val="24"/>
        </w:rPr>
        <w:t>根据“互联网+绍兴人社”的要求，参照数据整理和转化规则，进行数据的分析、比对、拆分、整理。</w:t>
      </w:r>
    </w:p>
    <w:p>
      <w:pPr>
        <w:pStyle w:val="141"/>
        <w:ind w:firstLine="480"/>
        <w:rPr>
          <w:rFonts w:hint="default" w:ascii="Times New Roman"/>
          <w:kern w:val="2"/>
          <w:sz w:val="24"/>
          <w:szCs w:val="24"/>
        </w:rPr>
      </w:pPr>
      <w:r>
        <w:rPr>
          <w:rFonts w:ascii="Times New Roman"/>
          <w:kern w:val="2"/>
          <w:sz w:val="24"/>
          <w:szCs w:val="24"/>
        </w:rPr>
        <w:t>数据初步分析。根据“互联网+绍兴人社”对数据的规范要求，对诸暨市社保系统中原有参保人、参保单位、缴费、待遇享受等社会保障相关业务信息的数据表结构、数据格式等进行初步分析。数据初步分析后，整理可能存在问题数据等情况，并对此类数据进行完善。</w:t>
      </w:r>
    </w:p>
    <w:p>
      <w:pPr>
        <w:pStyle w:val="141"/>
        <w:ind w:firstLine="480"/>
        <w:rPr>
          <w:rFonts w:hint="default" w:ascii="Times New Roman"/>
          <w:kern w:val="2"/>
          <w:sz w:val="24"/>
          <w:szCs w:val="24"/>
        </w:rPr>
      </w:pPr>
      <w:r>
        <w:rPr>
          <w:rFonts w:ascii="Times New Roman"/>
          <w:kern w:val="2"/>
          <w:sz w:val="24"/>
          <w:szCs w:val="24"/>
        </w:rPr>
        <w:t>数据表分析比对。与“互联网+绍兴人社”标准指标体系比对，核实目前绍兴市标准指标体系（共涉及单位基础信息、参保变动情况、个人基础信息等14项大类，61项数据表结构规范）是否能包含诸暨市原有社保业务，若缺表则需罗列出表名、该表的作用以及具体包含的字段内容。与“互联网+绍兴人社”标准指标体系比对，核实诸暨市社保数据是否存在缺失字段或与不同字段。若存在不同字段则需罗列出字段名、字段含义并说明字段值是否可以为空，形成数据迁移的差异分析文档，并以此进行补录。</w:t>
      </w:r>
    </w:p>
    <w:p>
      <w:pPr>
        <w:pStyle w:val="141"/>
        <w:ind w:firstLine="480"/>
        <w:rPr>
          <w:rFonts w:hint="default" w:ascii="Times New Roman"/>
          <w:kern w:val="2"/>
          <w:sz w:val="24"/>
          <w:szCs w:val="24"/>
        </w:rPr>
      </w:pPr>
      <w:r>
        <w:rPr>
          <w:rFonts w:ascii="Times New Roman"/>
          <w:kern w:val="2"/>
          <w:sz w:val="24"/>
          <w:szCs w:val="24"/>
        </w:rPr>
        <w:t>数据字典分析比对。将诸暨本地社保数据库与“互联网+绍兴人社”标准指标体系的数据字典（共涉及：主管部门、行业风险类别、工商执照登记类型等64项数据字典规范）进行比对和差异化分析，并形成数据迁移的差异分析文档，并进行调整。</w:t>
      </w:r>
    </w:p>
    <w:p>
      <w:pPr>
        <w:pStyle w:val="141"/>
        <w:ind w:firstLine="480"/>
        <w:rPr>
          <w:rFonts w:hint="default" w:ascii="Times New Roman"/>
          <w:kern w:val="2"/>
          <w:sz w:val="24"/>
          <w:szCs w:val="24"/>
        </w:rPr>
      </w:pPr>
      <w:r>
        <w:rPr>
          <w:rFonts w:ascii="Times New Roman"/>
          <w:kern w:val="2"/>
          <w:sz w:val="24"/>
          <w:szCs w:val="24"/>
        </w:rPr>
        <w:t>常用代码分析比对。将诸暨本地社保数据库常用代码与“互联网+绍兴人社”标准指标体系的代码进行比对和差异化分析，并形成数据迁移的差异分析文档，并进行调整。</w:t>
      </w:r>
    </w:p>
    <w:p>
      <w:pPr>
        <w:pStyle w:val="141"/>
        <w:ind w:firstLine="480"/>
        <w:rPr>
          <w:rFonts w:hint="default" w:ascii="Times New Roman"/>
          <w:kern w:val="2"/>
          <w:sz w:val="24"/>
          <w:szCs w:val="24"/>
        </w:rPr>
      </w:pPr>
      <w:r>
        <w:rPr>
          <w:rFonts w:ascii="Times New Roman"/>
          <w:kern w:val="2"/>
          <w:sz w:val="24"/>
          <w:szCs w:val="24"/>
        </w:rPr>
        <w:t>数据拆分。对于诸暨市数据与标准规范存在一对多的情况下，需要根据“互联网+绍兴人社”数据规范，对诸暨市社保数据库表进行拆分。</w:t>
      </w:r>
    </w:p>
    <w:p>
      <w:pPr>
        <w:pStyle w:val="206"/>
        <w:numPr>
          <w:ilvl w:val="2"/>
          <w:numId w:val="0"/>
        </w:numPr>
        <w:tabs>
          <w:tab w:val="left" w:pos="720"/>
          <w:tab w:val="left" w:pos="900"/>
        </w:tabs>
        <w:spacing w:beforeLines="50" w:afterLines="50" w:line="480" w:lineRule="auto"/>
        <w:ind w:left="720" w:hanging="720"/>
        <w:outlineLvl w:val="2"/>
      </w:pPr>
      <w:bookmarkStart w:id="43" w:name="_Toc13267"/>
      <w:r>
        <w:rPr>
          <w:rFonts w:hint="eastAsia"/>
        </w:rPr>
        <w:t>3.1.6数据转换</w:t>
      </w:r>
      <w:bookmarkEnd w:id="43"/>
    </w:p>
    <w:p>
      <w:pPr>
        <w:pStyle w:val="141"/>
        <w:ind w:firstLine="480"/>
        <w:rPr>
          <w:rFonts w:hint="default" w:ascii="Times New Roman"/>
          <w:kern w:val="2"/>
          <w:sz w:val="24"/>
          <w:szCs w:val="24"/>
        </w:rPr>
      </w:pPr>
      <w:r>
        <w:rPr>
          <w:rFonts w:ascii="Times New Roman"/>
          <w:kern w:val="2"/>
          <w:sz w:val="24"/>
          <w:szCs w:val="24"/>
        </w:rPr>
        <w:t>选择先进的数据转换工具，对清洗完成的诸暨市社保数据进行数据转换。数据转换工作包括：</w:t>
      </w:r>
    </w:p>
    <w:p>
      <w:pPr>
        <w:pStyle w:val="141"/>
        <w:ind w:firstLine="480"/>
        <w:rPr>
          <w:rFonts w:hint="default" w:ascii="Times New Roman"/>
          <w:kern w:val="2"/>
          <w:sz w:val="24"/>
          <w:szCs w:val="24"/>
        </w:rPr>
      </w:pPr>
      <w:r>
        <w:rPr>
          <w:rFonts w:ascii="Times New Roman"/>
          <w:kern w:val="2"/>
          <w:sz w:val="24"/>
          <w:szCs w:val="24"/>
        </w:rPr>
        <w:t>转换任务设计。根据梳理完成的转换规则，创建数据对象，在两个数据对象之间创建数据链，设置源表和目标的字段映射关系。</w:t>
      </w:r>
    </w:p>
    <w:p>
      <w:pPr>
        <w:pStyle w:val="141"/>
        <w:ind w:firstLine="480"/>
        <w:rPr>
          <w:rFonts w:hint="default" w:ascii="Times New Roman"/>
          <w:kern w:val="2"/>
          <w:sz w:val="24"/>
          <w:szCs w:val="24"/>
        </w:rPr>
      </w:pPr>
      <w:r>
        <w:rPr>
          <w:rFonts w:ascii="Times New Roman"/>
          <w:kern w:val="2"/>
          <w:sz w:val="24"/>
          <w:szCs w:val="24"/>
        </w:rPr>
        <w:t>转换任务运行。根据实际情况，对数据转换任务进行运行、停止、暂停等操作。</w:t>
      </w:r>
    </w:p>
    <w:p>
      <w:pPr>
        <w:pStyle w:val="141"/>
        <w:ind w:firstLine="480"/>
        <w:rPr>
          <w:rFonts w:hint="default"/>
        </w:rPr>
      </w:pPr>
      <w:r>
        <w:rPr>
          <w:rFonts w:ascii="Times New Roman"/>
          <w:kern w:val="2"/>
          <w:sz w:val="24"/>
          <w:szCs w:val="24"/>
        </w:rPr>
        <w:t>调试。包括：单步调试、设置调试断点、设置调试的警告信息。</w:t>
      </w:r>
      <w:r>
        <w:t xml:space="preserve"> </w:t>
      </w:r>
    </w:p>
    <w:p>
      <w:pPr>
        <w:pStyle w:val="141"/>
        <w:ind w:firstLine="480"/>
        <w:rPr>
          <w:rFonts w:hint="default" w:ascii="Times New Roman"/>
          <w:kern w:val="2"/>
          <w:sz w:val="24"/>
          <w:szCs w:val="24"/>
        </w:rPr>
      </w:pPr>
      <w:r>
        <w:rPr>
          <w:rFonts w:ascii="Times New Roman"/>
          <w:kern w:val="2"/>
          <w:sz w:val="24"/>
          <w:szCs w:val="24"/>
        </w:rPr>
        <w:t>错误数据再处理。修改错误数据，并将其作为数据源，按照所在的数据链的转换规则，自动将修改后的错误数据导入到目标表中。</w:t>
      </w:r>
    </w:p>
    <w:p>
      <w:pPr>
        <w:pStyle w:val="141"/>
        <w:ind w:firstLine="480"/>
        <w:rPr>
          <w:rFonts w:hint="default" w:ascii="Times New Roman"/>
          <w:kern w:val="2"/>
          <w:sz w:val="24"/>
          <w:szCs w:val="24"/>
        </w:rPr>
      </w:pPr>
      <w:r>
        <w:rPr>
          <w:rFonts w:ascii="Times New Roman"/>
          <w:kern w:val="2"/>
          <w:sz w:val="24"/>
          <w:szCs w:val="24"/>
        </w:rPr>
        <w:t>进程监控。在数据转换过程中，监控数据链的进度以及整体转换的性能。</w:t>
      </w:r>
    </w:p>
    <w:p>
      <w:pPr>
        <w:pStyle w:val="141"/>
        <w:ind w:firstLine="480"/>
        <w:rPr>
          <w:rFonts w:hint="default" w:ascii="Times New Roman"/>
          <w:kern w:val="2"/>
          <w:sz w:val="24"/>
          <w:szCs w:val="24"/>
        </w:rPr>
      </w:pPr>
      <w:r>
        <w:rPr>
          <w:rFonts w:ascii="Times New Roman"/>
          <w:kern w:val="2"/>
          <w:sz w:val="24"/>
          <w:szCs w:val="24"/>
        </w:rPr>
        <w:t>数据转换规则和工具完善性调整。根据“互联网+绍兴人社”一体化系统的要求，对完成的数据整理和迁移代码进行优化和完善，提升数据迁移效率。</w:t>
      </w:r>
    </w:p>
    <w:p>
      <w:pPr>
        <w:pStyle w:val="206"/>
        <w:numPr>
          <w:ilvl w:val="2"/>
          <w:numId w:val="0"/>
        </w:numPr>
        <w:tabs>
          <w:tab w:val="left" w:pos="720"/>
          <w:tab w:val="left" w:pos="900"/>
        </w:tabs>
        <w:spacing w:beforeLines="50" w:afterLines="50" w:line="480" w:lineRule="auto"/>
        <w:ind w:left="720" w:hanging="720"/>
        <w:outlineLvl w:val="2"/>
      </w:pPr>
      <w:bookmarkStart w:id="44" w:name="_Toc27652"/>
      <w:r>
        <w:rPr>
          <w:rFonts w:hint="eastAsia"/>
        </w:rPr>
        <w:t>3.1.7数据验证</w:t>
      </w:r>
      <w:bookmarkEnd w:id="44"/>
    </w:p>
    <w:p>
      <w:pPr>
        <w:pStyle w:val="141"/>
        <w:ind w:firstLine="480"/>
        <w:rPr>
          <w:rFonts w:hint="default" w:ascii="Times New Roman"/>
          <w:kern w:val="2"/>
          <w:sz w:val="24"/>
          <w:szCs w:val="24"/>
        </w:rPr>
      </w:pPr>
      <w:r>
        <w:rPr>
          <w:rFonts w:ascii="Times New Roman"/>
          <w:kern w:val="2"/>
          <w:sz w:val="24"/>
          <w:szCs w:val="24"/>
        </w:rPr>
        <w:t>对转换数据的合法性、完整性、一致性、正确性进行验证，通过验证的数据进入清洗库，未通过验证的数据进入勘误阶段并重新清洗筛选，确保进入清洗库的数据达到统一数据规范，消除数据的不一致性。</w:t>
      </w:r>
    </w:p>
    <w:p>
      <w:pPr>
        <w:pStyle w:val="206"/>
        <w:numPr>
          <w:ilvl w:val="2"/>
          <w:numId w:val="0"/>
        </w:numPr>
        <w:tabs>
          <w:tab w:val="left" w:pos="720"/>
          <w:tab w:val="left" w:pos="900"/>
        </w:tabs>
        <w:spacing w:beforeLines="50" w:afterLines="50" w:line="480" w:lineRule="auto"/>
        <w:ind w:left="720" w:hanging="720"/>
        <w:outlineLvl w:val="2"/>
      </w:pPr>
      <w:bookmarkStart w:id="45" w:name="_Toc29399"/>
      <w:r>
        <w:rPr>
          <w:rFonts w:hint="eastAsia"/>
        </w:rPr>
        <w:t>3.1.8数据迁移、测试</w:t>
      </w:r>
      <w:bookmarkEnd w:id="45"/>
    </w:p>
    <w:p>
      <w:pPr>
        <w:pStyle w:val="141"/>
        <w:ind w:firstLine="480"/>
        <w:rPr>
          <w:rFonts w:hint="default" w:ascii="Times New Roman"/>
          <w:kern w:val="2"/>
          <w:sz w:val="24"/>
          <w:szCs w:val="24"/>
        </w:rPr>
      </w:pPr>
      <w:r>
        <w:rPr>
          <w:rFonts w:ascii="Times New Roman"/>
          <w:kern w:val="2"/>
          <w:sz w:val="24"/>
          <w:szCs w:val="24"/>
        </w:rPr>
        <w:t>参照“互联网+绍兴人社”的数据迁移规则，将清洗库的数据正式迁移至“互联网+绍兴人社”一体化系统业务生产库中，并对迁移完成的数据进行测试。</w:t>
      </w:r>
    </w:p>
    <w:p>
      <w:pPr>
        <w:pStyle w:val="248"/>
        <w:numPr>
          <w:ilvl w:val="1"/>
          <w:numId w:val="0"/>
        </w:numPr>
        <w:ind w:left="576" w:hanging="576"/>
      </w:pPr>
      <w:bookmarkStart w:id="46" w:name="_Toc16663"/>
      <w:r>
        <w:rPr>
          <w:rFonts w:hint="eastAsia"/>
        </w:rPr>
        <w:t>3.2系统升级改造</w:t>
      </w:r>
      <w:bookmarkEnd w:id="46"/>
    </w:p>
    <w:p>
      <w:pPr>
        <w:pStyle w:val="141"/>
        <w:ind w:firstLine="480"/>
        <w:rPr>
          <w:rFonts w:hint="default" w:ascii="Times New Roman"/>
          <w:kern w:val="2"/>
          <w:sz w:val="24"/>
          <w:szCs w:val="24"/>
        </w:rPr>
      </w:pPr>
      <w:r>
        <w:rPr>
          <w:rFonts w:ascii="Times New Roman"/>
          <w:kern w:val="2"/>
          <w:sz w:val="24"/>
          <w:szCs w:val="24"/>
        </w:rPr>
        <w:t>对“互联网+绍兴人社”一体化系统的业务功能进行新增和改造，满足诸暨本地特殊群体的社保业务需求。</w:t>
      </w:r>
    </w:p>
    <w:p>
      <w:pPr>
        <w:pStyle w:val="206"/>
        <w:numPr>
          <w:ilvl w:val="2"/>
          <w:numId w:val="0"/>
        </w:numPr>
        <w:tabs>
          <w:tab w:val="left" w:pos="720"/>
          <w:tab w:val="left" w:pos="900"/>
        </w:tabs>
        <w:spacing w:beforeLines="50" w:afterLines="50" w:line="480" w:lineRule="auto"/>
        <w:ind w:left="720" w:hanging="720"/>
        <w:outlineLvl w:val="2"/>
      </w:pPr>
      <w:bookmarkStart w:id="47" w:name="_Toc7004"/>
      <w:r>
        <w:rPr>
          <w:rFonts w:hint="eastAsia"/>
        </w:rPr>
        <w:t>3.2.1功能新增</w:t>
      </w:r>
      <w:bookmarkEnd w:id="47"/>
    </w:p>
    <w:p>
      <w:pPr>
        <w:pStyle w:val="141"/>
        <w:ind w:firstLine="480"/>
        <w:rPr>
          <w:rFonts w:hint="default" w:ascii="Times New Roman"/>
          <w:kern w:val="2"/>
          <w:sz w:val="24"/>
          <w:szCs w:val="24"/>
        </w:rPr>
      </w:pPr>
      <w:r>
        <w:rPr>
          <w:rFonts w:ascii="Times New Roman"/>
          <w:kern w:val="2"/>
          <w:sz w:val="24"/>
          <w:szCs w:val="24"/>
        </w:rPr>
        <w:t>本次需要新增的功能模块包括如下：</w:t>
      </w:r>
    </w:p>
    <w:p>
      <w:pPr>
        <w:pStyle w:val="141"/>
        <w:ind w:firstLine="480"/>
        <w:rPr>
          <w:rFonts w:hint="default" w:ascii="Times New Roman"/>
          <w:kern w:val="2"/>
          <w:sz w:val="24"/>
          <w:szCs w:val="24"/>
        </w:rPr>
      </w:pPr>
      <w:r>
        <w:rPr>
          <w:rFonts w:ascii="Times New Roman"/>
          <w:kern w:val="2"/>
          <w:sz w:val="24"/>
          <w:szCs w:val="24"/>
        </w:rPr>
        <w:t>1.征缴清算模块</w:t>
      </w:r>
    </w:p>
    <w:p>
      <w:pPr>
        <w:pStyle w:val="141"/>
        <w:ind w:firstLine="480"/>
        <w:rPr>
          <w:rFonts w:hint="default" w:ascii="Times New Roman"/>
          <w:kern w:val="2"/>
          <w:sz w:val="24"/>
          <w:szCs w:val="24"/>
        </w:rPr>
      </w:pPr>
      <w:r>
        <w:rPr>
          <w:rFonts w:ascii="Times New Roman"/>
          <w:kern w:val="2"/>
          <w:sz w:val="24"/>
          <w:szCs w:val="24"/>
        </w:rPr>
        <w:t>2.机关养老待遇计发</w:t>
      </w:r>
    </w:p>
    <w:p>
      <w:pPr>
        <w:pStyle w:val="141"/>
        <w:ind w:firstLine="480"/>
        <w:rPr>
          <w:rFonts w:hint="default" w:ascii="Times New Roman"/>
          <w:kern w:val="2"/>
          <w:sz w:val="24"/>
          <w:szCs w:val="24"/>
        </w:rPr>
      </w:pPr>
      <w:r>
        <w:rPr>
          <w:rFonts w:ascii="Times New Roman"/>
          <w:kern w:val="2"/>
          <w:sz w:val="24"/>
          <w:szCs w:val="24"/>
        </w:rPr>
        <w:t>3.养老待遇调资模块</w:t>
      </w:r>
    </w:p>
    <w:p>
      <w:pPr>
        <w:pStyle w:val="141"/>
        <w:ind w:firstLine="480"/>
        <w:rPr>
          <w:rFonts w:hint="default" w:ascii="Times New Roman"/>
          <w:kern w:val="2"/>
          <w:sz w:val="24"/>
          <w:szCs w:val="24"/>
        </w:rPr>
      </w:pPr>
      <w:r>
        <w:rPr>
          <w:rFonts w:ascii="Times New Roman"/>
          <w:kern w:val="2"/>
          <w:sz w:val="24"/>
          <w:szCs w:val="24"/>
        </w:rPr>
        <w:t>4.待遇发放对接银行开发</w:t>
      </w:r>
    </w:p>
    <w:p>
      <w:pPr>
        <w:pStyle w:val="141"/>
        <w:ind w:firstLine="480"/>
        <w:rPr>
          <w:rFonts w:hint="default" w:ascii="Times New Roman"/>
          <w:kern w:val="2"/>
          <w:sz w:val="24"/>
          <w:szCs w:val="24"/>
        </w:rPr>
      </w:pPr>
      <w:r>
        <w:rPr>
          <w:rFonts w:ascii="Times New Roman"/>
          <w:kern w:val="2"/>
          <w:sz w:val="24"/>
          <w:szCs w:val="24"/>
        </w:rPr>
        <w:t>5.税务数据发送及到账</w:t>
      </w:r>
    </w:p>
    <w:p>
      <w:pPr>
        <w:pStyle w:val="141"/>
        <w:ind w:firstLine="480"/>
        <w:rPr>
          <w:rFonts w:hint="default" w:ascii="Times New Roman"/>
          <w:kern w:val="2"/>
          <w:sz w:val="24"/>
          <w:szCs w:val="24"/>
        </w:rPr>
      </w:pPr>
      <w:r>
        <w:rPr>
          <w:rFonts w:ascii="Times New Roman"/>
          <w:kern w:val="2"/>
          <w:sz w:val="24"/>
          <w:szCs w:val="24"/>
        </w:rPr>
        <w:t>6.机关转移联系函打印</w:t>
      </w:r>
    </w:p>
    <w:p>
      <w:pPr>
        <w:pStyle w:val="141"/>
        <w:ind w:firstLine="480"/>
        <w:rPr>
          <w:rFonts w:hint="default" w:ascii="Times New Roman"/>
          <w:kern w:val="2"/>
          <w:sz w:val="24"/>
          <w:szCs w:val="24"/>
        </w:rPr>
      </w:pPr>
      <w:r>
        <w:rPr>
          <w:rFonts w:ascii="Times New Roman"/>
          <w:kern w:val="2"/>
          <w:sz w:val="24"/>
          <w:szCs w:val="24"/>
        </w:rPr>
        <w:t>7.业务涉及报表</w:t>
      </w:r>
    </w:p>
    <w:p>
      <w:pPr>
        <w:pStyle w:val="141"/>
        <w:ind w:firstLine="480"/>
        <w:rPr>
          <w:rFonts w:hint="default" w:ascii="Times New Roman"/>
          <w:kern w:val="2"/>
          <w:sz w:val="24"/>
          <w:szCs w:val="24"/>
        </w:rPr>
      </w:pPr>
      <w:r>
        <w:rPr>
          <w:rFonts w:ascii="Times New Roman"/>
          <w:kern w:val="2"/>
          <w:sz w:val="24"/>
          <w:szCs w:val="24"/>
        </w:rPr>
        <w:t>8.代发人员待遇新增</w:t>
      </w:r>
    </w:p>
    <w:p>
      <w:pPr>
        <w:pStyle w:val="141"/>
        <w:ind w:firstLine="480"/>
        <w:rPr>
          <w:rFonts w:hint="default" w:ascii="Times New Roman"/>
          <w:kern w:val="2"/>
          <w:sz w:val="24"/>
          <w:szCs w:val="24"/>
        </w:rPr>
      </w:pPr>
      <w:r>
        <w:rPr>
          <w:rFonts w:ascii="Times New Roman"/>
          <w:kern w:val="2"/>
          <w:sz w:val="24"/>
          <w:szCs w:val="24"/>
        </w:rPr>
        <w:t>9.代发人员待遇终止</w:t>
      </w:r>
    </w:p>
    <w:p>
      <w:pPr>
        <w:pStyle w:val="141"/>
        <w:ind w:firstLine="480"/>
        <w:rPr>
          <w:rFonts w:hint="default" w:ascii="Times New Roman"/>
          <w:kern w:val="2"/>
          <w:sz w:val="24"/>
          <w:szCs w:val="24"/>
        </w:rPr>
      </w:pPr>
      <w:r>
        <w:rPr>
          <w:rFonts w:ascii="Times New Roman"/>
          <w:kern w:val="2"/>
          <w:sz w:val="24"/>
          <w:szCs w:val="24"/>
        </w:rPr>
        <w:t>10.养老待遇一次性补发、一次性扣发</w:t>
      </w:r>
    </w:p>
    <w:p>
      <w:pPr>
        <w:pStyle w:val="206"/>
        <w:numPr>
          <w:ilvl w:val="2"/>
          <w:numId w:val="0"/>
        </w:numPr>
        <w:tabs>
          <w:tab w:val="left" w:pos="720"/>
          <w:tab w:val="left" w:pos="900"/>
        </w:tabs>
        <w:spacing w:beforeLines="50" w:afterLines="50" w:line="480" w:lineRule="auto"/>
        <w:ind w:left="720" w:hanging="720"/>
        <w:outlineLvl w:val="2"/>
      </w:pPr>
      <w:bookmarkStart w:id="48" w:name="_Toc13810"/>
      <w:r>
        <w:rPr>
          <w:rFonts w:hint="eastAsia"/>
        </w:rPr>
        <w:t>3.2.2功能改造</w:t>
      </w:r>
      <w:bookmarkEnd w:id="48"/>
    </w:p>
    <w:p>
      <w:pPr>
        <w:pStyle w:val="141"/>
        <w:ind w:firstLine="480"/>
        <w:rPr>
          <w:rFonts w:hint="default" w:ascii="Times New Roman"/>
          <w:kern w:val="2"/>
          <w:sz w:val="24"/>
          <w:szCs w:val="24"/>
        </w:rPr>
      </w:pPr>
      <w:r>
        <w:rPr>
          <w:rFonts w:ascii="Times New Roman"/>
          <w:kern w:val="2"/>
          <w:sz w:val="24"/>
          <w:szCs w:val="24"/>
        </w:rPr>
        <w:t>本次需要对“互联网+绍兴人社”一体化系统的以下功能模块进行升级改造：</w:t>
      </w:r>
    </w:p>
    <w:p>
      <w:pPr>
        <w:pStyle w:val="141"/>
        <w:ind w:firstLine="480"/>
        <w:rPr>
          <w:rFonts w:hint="default" w:ascii="Times New Roman"/>
          <w:kern w:val="2"/>
          <w:sz w:val="24"/>
          <w:szCs w:val="24"/>
        </w:rPr>
      </w:pPr>
      <w:r>
        <w:rPr>
          <w:rFonts w:ascii="Times New Roman"/>
          <w:kern w:val="2"/>
          <w:sz w:val="24"/>
          <w:szCs w:val="24"/>
        </w:rPr>
        <w:t>1.征缴结算</w:t>
      </w:r>
    </w:p>
    <w:p>
      <w:pPr>
        <w:pStyle w:val="141"/>
        <w:ind w:firstLine="480"/>
        <w:rPr>
          <w:rFonts w:hint="default" w:ascii="Times New Roman"/>
          <w:kern w:val="2"/>
          <w:sz w:val="24"/>
          <w:szCs w:val="24"/>
        </w:rPr>
      </w:pPr>
      <w:r>
        <w:rPr>
          <w:rFonts w:ascii="Times New Roman"/>
          <w:kern w:val="2"/>
          <w:sz w:val="24"/>
          <w:szCs w:val="24"/>
        </w:rPr>
        <w:t>2.待遇结算模块</w:t>
      </w:r>
    </w:p>
    <w:p>
      <w:pPr>
        <w:pStyle w:val="141"/>
        <w:ind w:firstLine="480"/>
        <w:rPr>
          <w:rFonts w:hint="default" w:ascii="Times New Roman"/>
          <w:kern w:val="2"/>
          <w:sz w:val="24"/>
          <w:szCs w:val="24"/>
        </w:rPr>
      </w:pPr>
      <w:r>
        <w:rPr>
          <w:rFonts w:ascii="Times New Roman"/>
          <w:kern w:val="2"/>
          <w:sz w:val="24"/>
          <w:szCs w:val="24"/>
        </w:rPr>
        <w:t>3.转入接续(企业转机关，机关转机关)</w:t>
      </w:r>
    </w:p>
    <w:p>
      <w:pPr>
        <w:pStyle w:val="141"/>
        <w:ind w:firstLine="480"/>
        <w:rPr>
          <w:rFonts w:hint="default" w:ascii="Times New Roman"/>
          <w:kern w:val="2"/>
          <w:sz w:val="24"/>
          <w:szCs w:val="24"/>
        </w:rPr>
      </w:pPr>
      <w:r>
        <w:rPr>
          <w:rFonts w:ascii="Times New Roman"/>
          <w:kern w:val="2"/>
          <w:sz w:val="24"/>
          <w:szCs w:val="24"/>
        </w:rPr>
        <w:t>4.转出(机关转企业，机关转机关)</w:t>
      </w:r>
    </w:p>
    <w:p>
      <w:pPr>
        <w:pStyle w:val="141"/>
        <w:ind w:firstLine="480"/>
        <w:rPr>
          <w:rFonts w:hint="default" w:ascii="Times New Roman"/>
          <w:kern w:val="2"/>
          <w:sz w:val="24"/>
          <w:szCs w:val="24"/>
        </w:rPr>
      </w:pPr>
      <w:r>
        <w:rPr>
          <w:rFonts w:ascii="Times New Roman"/>
          <w:kern w:val="2"/>
          <w:sz w:val="24"/>
          <w:szCs w:val="24"/>
        </w:rPr>
        <w:t>5.在职综合查询模块</w:t>
      </w:r>
    </w:p>
    <w:p>
      <w:pPr>
        <w:pStyle w:val="141"/>
        <w:ind w:firstLine="480"/>
        <w:rPr>
          <w:rFonts w:hint="default" w:ascii="Times New Roman"/>
          <w:kern w:val="2"/>
          <w:sz w:val="24"/>
          <w:szCs w:val="24"/>
        </w:rPr>
      </w:pPr>
      <w:r>
        <w:rPr>
          <w:rFonts w:ascii="Times New Roman"/>
          <w:kern w:val="2"/>
          <w:sz w:val="24"/>
          <w:szCs w:val="24"/>
        </w:rPr>
        <w:t>6.人员信息变更模块</w:t>
      </w:r>
    </w:p>
    <w:p>
      <w:pPr>
        <w:pStyle w:val="141"/>
        <w:ind w:firstLine="480"/>
        <w:rPr>
          <w:rFonts w:hint="default" w:ascii="Times New Roman"/>
          <w:kern w:val="2"/>
          <w:sz w:val="24"/>
          <w:szCs w:val="24"/>
        </w:rPr>
      </w:pPr>
      <w:r>
        <w:rPr>
          <w:rFonts w:ascii="Times New Roman"/>
          <w:kern w:val="2"/>
          <w:sz w:val="24"/>
          <w:szCs w:val="24"/>
        </w:rPr>
        <w:t>7.待遇综合查询模块</w:t>
      </w:r>
    </w:p>
    <w:p>
      <w:pPr>
        <w:pStyle w:val="141"/>
        <w:ind w:firstLine="480"/>
        <w:rPr>
          <w:rFonts w:hint="default" w:ascii="Times New Roman"/>
          <w:kern w:val="2"/>
          <w:sz w:val="24"/>
          <w:szCs w:val="24"/>
        </w:rPr>
      </w:pPr>
      <w:r>
        <w:rPr>
          <w:rFonts w:ascii="Times New Roman"/>
          <w:kern w:val="2"/>
          <w:sz w:val="24"/>
          <w:szCs w:val="24"/>
        </w:rPr>
        <w:t>8.支付结算</w:t>
      </w:r>
    </w:p>
    <w:p>
      <w:pPr>
        <w:pStyle w:val="141"/>
        <w:ind w:firstLine="480"/>
        <w:rPr>
          <w:rFonts w:hint="default" w:ascii="Times New Roman"/>
          <w:kern w:val="2"/>
          <w:sz w:val="24"/>
          <w:szCs w:val="24"/>
        </w:rPr>
      </w:pPr>
      <w:r>
        <w:rPr>
          <w:rFonts w:ascii="Times New Roman"/>
          <w:kern w:val="2"/>
          <w:sz w:val="24"/>
          <w:szCs w:val="24"/>
        </w:rPr>
        <w:t>9.银行代发</w:t>
      </w:r>
    </w:p>
    <w:p>
      <w:pPr>
        <w:pStyle w:val="141"/>
        <w:ind w:firstLine="480"/>
        <w:rPr>
          <w:rFonts w:hint="default" w:ascii="Times New Roman"/>
          <w:kern w:val="2"/>
          <w:sz w:val="24"/>
          <w:szCs w:val="24"/>
        </w:rPr>
      </w:pPr>
      <w:r>
        <w:rPr>
          <w:rFonts w:ascii="Times New Roman"/>
          <w:kern w:val="2"/>
          <w:sz w:val="24"/>
          <w:szCs w:val="24"/>
        </w:rPr>
        <w:t>10.养老待遇老办法待遇核定</w:t>
      </w:r>
    </w:p>
    <w:p>
      <w:pPr>
        <w:pStyle w:val="141"/>
        <w:ind w:firstLine="480"/>
        <w:rPr>
          <w:rFonts w:hint="default" w:ascii="Times New Roman"/>
          <w:kern w:val="2"/>
          <w:sz w:val="24"/>
          <w:szCs w:val="24"/>
        </w:rPr>
      </w:pPr>
      <w:r>
        <w:rPr>
          <w:rFonts w:ascii="Times New Roman"/>
          <w:kern w:val="2"/>
          <w:sz w:val="24"/>
          <w:szCs w:val="24"/>
        </w:rPr>
        <w:t>11.养老待遇新老办法比对后重新计发</w:t>
      </w:r>
    </w:p>
    <w:p>
      <w:pPr>
        <w:pStyle w:val="141"/>
        <w:ind w:firstLine="480"/>
        <w:rPr>
          <w:rFonts w:hint="default" w:ascii="Times New Roman"/>
          <w:kern w:val="2"/>
          <w:sz w:val="24"/>
          <w:szCs w:val="24"/>
        </w:rPr>
      </w:pPr>
      <w:r>
        <w:rPr>
          <w:rFonts w:ascii="Times New Roman"/>
          <w:kern w:val="2"/>
          <w:sz w:val="24"/>
          <w:szCs w:val="24"/>
        </w:rPr>
        <w:t>12.养老待遇调资模块</w:t>
      </w:r>
    </w:p>
    <w:p>
      <w:pPr>
        <w:pStyle w:val="141"/>
        <w:ind w:firstLine="480"/>
        <w:rPr>
          <w:rFonts w:hint="default" w:ascii="Times New Roman"/>
          <w:kern w:val="2"/>
          <w:sz w:val="24"/>
          <w:szCs w:val="24"/>
        </w:rPr>
      </w:pPr>
      <w:r>
        <w:rPr>
          <w:rFonts w:ascii="Times New Roman"/>
          <w:kern w:val="2"/>
          <w:sz w:val="24"/>
          <w:szCs w:val="24"/>
        </w:rPr>
        <w:t>13.养老待遇调整模块</w:t>
      </w:r>
    </w:p>
    <w:p>
      <w:pPr>
        <w:pStyle w:val="141"/>
        <w:ind w:firstLine="480"/>
        <w:rPr>
          <w:rFonts w:hint="default" w:ascii="Times New Roman"/>
          <w:kern w:val="2"/>
          <w:sz w:val="24"/>
          <w:szCs w:val="24"/>
        </w:rPr>
      </w:pPr>
      <w:r>
        <w:rPr>
          <w:rFonts w:ascii="Times New Roman"/>
          <w:kern w:val="2"/>
          <w:sz w:val="24"/>
          <w:szCs w:val="24"/>
        </w:rPr>
        <w:t>14.老农保终止支付</w:t>
      </w:r>
    </w:p>
    <w:p>
      <w:pPr>
        <w:pStyle w:val="141"/>
        <w:ind w:firstLine="480"/>
        <w:rPr>
          <w:rFonts w:hint="default" w:ascii="Times New Roman"/>
          <w:kern w:val="2"/>
          <w:sz w:val="24"/>
          <w:szCs w:val="24"/>
        </w:rPr>
      </w:pPr>
      <w:r>
        <w:rPr>
          <w:rFonts w:ascii="Times New Roman"/>
          <w:kern w:val="2"/>
          <w:sz w:val="24"/>
          <w:szCs w:val="24"/>
        </w:rPr>
        <w:t>15.老农保银行代发</w:t>
      </w:r>
    </w:p>
    <w:p>
      <w:pPr>
        <w:pStyle w:val="141"/>
        <w:ind w:firstLine="480"/>
        <w:rPr>
          <w:rFonts w:hint="default" w:ascii="Times New Roman"/>
          <w:kern w:val="2"/>
          <w:sz w:val="24"/>
          <w:szCs w:val="24"/>
        </w:rPr>
      </w:pPr>
      <w:r>
        <w:rPr>
          <w:rFonts w:ascii="Times New Roman"/>
          <w:kern w:val="2"/>
          <w:sz w:val="24"/>
          <w:szCs w:val="24"/>
        </w:rPr>
        <w:t>16.老农保人员查询</w:t>
      </w:r>
    </w:p>
    <w:p>
      <w:pPr>
        <w:pStyle w:val="248"/>
        <w:numPr>
          <w:ilvl w:val="1"/>
          <w:numId w:val="0"/>
        </w:numPr>
        <w:ind w:left="576" w:hanging="576"/>
      </w:pPr>
      <w:bookmarkStart w:id="49" w:name="_Toc16559"/>
      <w:r>
        <w:rPr>
          <w:rFonts w:hint="eastAsia"/>
        </w:rPr>
        <w:t>3.3系统对接</w:t>
      </w:r>
      <w:bookmarkEnd w:id="49"/>
    </w:p>
    <w:p>
      <w:pPr>
        <w:pStyle w:val="141"/>
        <w:ind w:firstLine="480"/>
        <w:rPr>
          <w:rFonts w:hint="default" w:ascii="Times New Roman"/>
          <w:kern w:val="2"/>
          <w:sz w:val="24"/>
          <w:szCs w:val="24"/>
        </w:rPr>
      </w:pPr>
      <w:r>
        <w:rPr>
          <w:rFonts w:ascii="Times New Roman"/>
          <w:kern w:val="2"/>
          <w:sz w:val="24"/>
          <w:szCs w:val="24"/>
        </w:rPr>
        <w:t>为保障特殊群体社保费用征收和待遇支付业务的顺利开展，需要遵循现有的接口规范，完成与税务和银行的对接。</w:t>
      </w:r>
    </w:p>
    <w:p>
      <w:pPr>
        <w:pStyle w:val="206"/>
        <w:numPr>
          <w:ilvl w:val="2"/>
          <w:numId w:val="0"/>
        </w:numPr>
        <w:tabs>
          <w:tab w:val="left" w:pos="720"/>
          <w:tab w:val="left" w:pos="900"/>
        </w:tabs>
        <w:spacing w:beforeLines="50" w:afterLines="50" w:line="480" w:lineRule="auto"/>
        <w:ind w:left="720" w:hanging="720"/>
        <w:outlineLvl w:val="2"/>
      </w:pPr>
      <w:bookmarkStart w:id="50" w:name="_Toc19693"/>
      <w:r>
        <w:rPr>
          <w:rFonts w:hint="eastAsia"/>
        </w:rPr>
        <w:t>3.3.1税务对接</w:t>
      </w:r>
      <w:bookmarkEnd w:id="50"/>
    </w:p>
    <w:p>
      <w:pPr>
        <w:pStyle w:val="141"/>
        <w:ind w:firstLine="480"/>
        <w:rPr>
          <w:rFonts w:hint="default" w:ascii="Times New Roman"/>
          <w:kern w:val="2"/>
          <w:sz w:val="24"/>
          <w:szCs w:val="24"/>
        </w:rPr>
      </w:pPr>
      <w:r>
        <w:rPr>
          <w:rFonts w:ascii="Times New Roman"/>
          <w:kern w:val="2"/>
          <w:sz w:val="24"/>
          <w:szCs w:val="24"/>
        </w:rPr>
        <w:t>充分利用诸暨市现有的社税接口服务，完成与诸暨市税务部门的对接，实现特殊群体社保费用的征缴。</w:t>
      </w:r>
    </w:p>
    <w:p>
      <w:pPr>
        <w:pStyle w:val="206"/>
        <w:numPr>
          <w:ilvl w:val="2"/>
          <w:numId w:val="0"/>
        </w:numPr>
        <w:tabs>
          <w:tab w:val="left" w:pos="720"/>
          <w:tab w:val="left" w:pos="900"/>
        </w:tabs>
        <w:spacing w:beforeLines="50" w:afterLines="50" w:line="480" w:lineRule="auto"/>
        <w:ind w:left="720" w:hanging="720"/>
        <w:outlineLvl w:val="2"/>
      </w:pPr>
      <w:bookmarkStart w:id="51" w:name="_Toc12035"/>
      <w:r>
        <w:rPr>
          <w:rFonts w:hint="eastAsia"/>
        </w:rPr>
        <w:t>3.3.2银行对接</w:t>
      </w:r>
      <w:bookmarkEnd w:id="51"/>
    </w:p>
    <w:p>
      <w:pPr>
        <w:pStyle w:val="141"/>
        <w:ind w:firstLine="480"/>
        <w:rPr>
          <w:rFonts w:hint="default" w:ascii="Times New Roman"/>
          <w:kern w:val="2"/>
          <w:sz w:val="24"/>
          <w:szCs w:val="24"/>
        </w:rPr>
      </w:pPr>
      <w:r>
        <w:rPr>
          <w:rFonts w:ascii="Times New Roman"/>
          <w:kern w:val="2"/>
          <w:sz w:val="24"/>
          <w:szCs w:val="24"/>
        </w:rPr>
        <w:t>根据“互联网+绍兴人社”一体化系统的社银接口规范，完成与诸暨当地商业银行的对接，实现特殊群体社保待遇的支付。</w:t>
      </w:r>
    </w:p>
    <w:p>
      <w:pPr>
        <w:pStyle w:val="248"/>
        <w:numPr>
          <w:ilvl w:val="1"/>
          <w:numId w:val="0"/>
        </w:numPr>
        <w:sectPr>
          <w:pgSz w:w="11906" w:h="16838"/>
          <w:pgMar w:top="1440" w:right="1800" w:bottom="1440" w:left="1800" w:header="851" w:footer="992" w:gutter="0"/>
          <w:pgNumType w:start="1"/>
          <w:cols w:space="425" w:num="1"/>
          <w:docGrid w:type="lines" w:linePitch="312" w:charSpace="0"/>
        </w:sectPr>
      </w:pPr>
    </w:p>
    <w:p>
      <w:pPr>
        <w:pStyle w:val="251"/>
        <w:jc w:val="left"/>
      </w:pPr>
      <w:bookmarkStart w:id="52" w:name="_Toc4031"/>
      <w:r>
        <w:rPr>
          <w:rFonts w:hint="eastAsia"/>
        </w:rPr>
        <w:t>（四） 项目实施要求</w:t>
      </w:r>
      <w:bookmarkEnd w:id="52"/>
    </w:p>
    <w:p>
      <w:pPr>
        <w:pStyle w:val="248"/>
        <w:numPr>
          <w:ilvl w:val="1"/>
          <w:numId w:val="0"/>
        </w:numPr>
        <w:spacing w:line="416" w:lineRule="auto"/>
        <w:ind w:left="573" w:hanging="573" w:hangingChars="204"/>
      </w:pPr>
      <w:bookmarkStart w:id="53" w:name="_Toc17980"/>
      <w:r>
        <w:rPr>
          <w:rFonts w:hint="eastAsia"/>
        </w:rPr>
        <w:t>4.1项目组织及人员配备要求</w:t>
      </w:r>
      <w:bookmarkEnd w:id="53"/>
    </w:p>
    <w:p>
      <w:pPr>
        <w:widowControl/>
        <w:ind w:firstLine="480" w:firstLineChars="200"/>
        <w:rPr>
          <w:color w:val="auto"/>
          <w:kern w:val="2"/>
          <w:sz w:val="24"/>
          <w:szCs w:val="24"/>
        </w:rPr>
      </w:pPr>
      <w:r>
        <w:rPr>
          <w:rFonts w:hint="eastAsia"/>
          <w:color w:val="auto"/>
          <w:kern w:val="2"/>
          <w:sz w:val="24"/>
          <w:szCs w:val="24"/>
        </w:rPr>
        <w:t>投标人应充分考虑满足采购项目的建设要求。同时，参与此项目的技术人员应具有承担过相同类型软件开发经验，能够与用户进行良好的沟通，掌握相关领域的相关基础知识，具备相关产品集成、应用和开发的能力。</w:t>
      </w:r>
    </w:p>
    <w:p>
      <w:pPr>
        <w:pStyle w:val="248"/>
        <w:numPr>
          <w:ilvl w:val="1"/>
          <w:numId w:val="0"/>
        </w:numPr>
        <w:spacing w:line="416" w:lineRule="auto"/>
        <w:ind w:left="573" w:hanging="573" w:hangingChars="204"/>
      </w:pPr>
      <w:bookmarkStart w:id="54" w:name="_Toc4003"/>
      <w:bookmarkStart w:id="55" w:name="_Toc2484_WPSOffice_Level2"/>
      <w:bookmarkStart w:id="56" w:name="计划与进度管理要求"/>
      <w:r>
        <w:rPr>
          <w:rFonts w:hint="eastAsia"/>
        </w:rPr>
        <w:t>4.2计划与进度管理要求</w:t>
      </w:r>
      <w:bookmarkEnd w:id="54"/>
      <w:bookmarkEnd w:id="55"/>
    </w:p>
    <w:bookmarkEnd w:id="56"/>
    <w:p>
      <w:pPr>
        <w:widowControl/>
        <w:ind w:firstLine="480" w:firstLineChars="200"/>
        <w:rPr>
          <w:rFonts w:ascii="宋体" w:hAnsi="宋体" w:cs="宋体"/>
          <w:sz w:val="24"/>
          <w:szCs w:val="24"/>
        </w:rPr>
      </w:pPr>
      <w:r>
        <w:rPr>
          <w:rFonts w:hint="eastAsia" w:ascii="宋体" w:hAnsi="宋体" w:cs="宋体"/>
          <w:sz w:val="24"/>
          <w:szCs w:val="24"/>
        </w:rPr>
        <w:t>（1）中标方应安排足够人力负责项目实施，在交易中心中标通知书发出后1个月内上线试运行，</w:t>
      </w:r>
      <w:r>
        <w:rPr>
          <w:rFonts w:hint="eastAsia" w:ascii="宋体" w:hAnsi="宋体" w:cs="宋体"/>
          <w:bCs/>
          <w:sz w:val="24"/>
          <w:szCs w:val="24"/>
        </w:rPr>
        <w:t>中标方未按时完成项目的，采购人扣除合同总额每日万分之五的违约金，从履约保证金中扣除</w:t>
      </w:r>
      <w:r>
        <w:rPr>
          <w:rFonts w:hint="eastAsia" w:ascii="宋体" w:hAnsi="宋体" w:cs="宋体"/>
          <w:sz w:val="24"/>
          <w:szCs w:val="24"/>
        </w:rPr>
        <w:t>；若中标方无合理理由无法在规定时间内有效开展项目实施工作的，则采购人经专家论证后有权取消项目合同，由中标方承担违约责任。</w:t>
      </w:r>
    </w:p>
    <w:p>
      <w:pPr>
        <w:widowControl/>
        <w:ind w:firstLine="480" w:firstLineChars="200"/>
        <w:rPr>
          <w:rFonts w:ascii="宋体" w:hAnsi="宋体" w:cs="宋体"/>
          <w:sz w:val="24"/>
          <w:szCs w:val="24"/>
        </w:rPr>
      </w:pPr>
      <w:r>
        <w:rPr>
          <w:rFonts w:hint="eastAsia" w:ascii="宋体" w:hAnsi="宋体" w:cs="宋体"/>
          <w:sz w:val="24"/>
          <w:szCs w:val="24"/>
        </w:rPr>
        <w:t>（2）项目实施完成后由中标方申请试运行，试运行3个月后由采购人组织专家开展项目验收。</w:t>
      </w:r>
    </w:p>
    <w:p>
      <w:pPr>
        <w:widowControl/>
        <w:ind w:firstLine="480" w:firstLineChars="200"/>
        <w:rPr>
          <w:rFonts w:ascii="宋体" w:hAnsi="宋体" w:cs="宋体"/>
          <w:sz w:val="24"/>
          <w:szCs w:val="24"/>
        </w:rPr>
      </w:pPr>
      <w:r>
        <w:rPr>
          <w:rFonts w:hint="eastAsia" w:ascii="宋体" w:hAnsi="宋体" w:cs="宋体"/>
          <w:sz w:val="24"/>
          <w:szCs w:val="24"/>
        </w:rPr>
        <w:t>（3）系统开发完成后，经双方确认后进行系统测试。系统测试由中标方负责，采购人工程师参与，测试系统的需求完成度：</w:t>
      </w:r>
    </w:p>
    <w:p>
      <w:pPr>
        <w:widowControl/>
        <w:ind w:firstLine="480" w:firstLineChars="200"/>
        <w:rPr>
          <w:rFonts w:ascii="宋体" w:hAnsi="宋体" w:cs="宋体"/>
          <w:sz w:val="24"/>
          <w:szCs w:val="24"/>
        </w:rPr>
      </w:pPr>
      <w:r>
        <w:rPr>
          <w:rFonts w:hint="eastAsia" w:ascii="宋体" w:hAnsi="宋体" w:cs="宋体"/>
          <w:sz w:val="24"/>
          <w:szCs w:val="24"/>
        </w:rPr>
        <w:t>1）采购人若发现系统功能、性能、安全性不符合招标要求，有权要求中标方进行功能和性能第三方测试。中标方需积极配合，并承担相应评测费用。</w:t>
      </w:r>
    </w:p>
    <w:p>
      <w:pPr>
        <w:widowControl/>
        <w:ind w:firstLine="480" w:firstLineChars="200"/>
        <w:rPr>
          <w:rFonts w:ascii="宋体" w:hAnsi="宋体" w:cs="宋体"/>
          <w:sz w:val="24"/>
          <w:szCs w:val="24"/>
        </w:rPr>
      </w:pPr>
      <w:r>
        <w:rPr>
          <w:rFonts w:hint="eastAsia" w:ascii="宋体" w:hAnsi="宋体" w:cs="宋体"/>
          <w:sz w:val="24"/>
          <w:szCs w:val="24"/>
        </w:rPr>
        <w:t>2）测试将依据本采购文件项目技术要求及项目功能、性能及安全要求。</w:t>
      </w:r>
    </w:p>
    <w:p>
      <w:pPr>
        <w:widowControl/>
        <w:ind w:firstLine="480" w:firstLineChars="200"/>
        <w:rPr>
          <w:rFonts w:ascii="宋体" w:hAnsi="宋体" w:cs="宋体"/>
          <w:sz w:val="24"/>
          <w:szCs w:val="24"/>
        </w:rPr>
      </w:pPr>
      <w:r>
        <w:rPr>
          <w:rFonts w:hint="eastAsia" w:ascii="宋体" w:hAnsi="宋体" w:cs="宋体"/>
          <w:sz w:val="24"/>
          <w:szCs w:val="24"/>
        </w:rPr>
        <w:t>3）如果第三方测试没有通过，中标方需在30天内进行整改，如果在30天内整改没有通过，招标方有权终止合同，所造成的损失由中标方负责。</w:t>
      </w:r>
    </w:p>
    <w:p>
      <w:pPr>
        <w:pStyle w:val="248"/>
        <w:numPr>
          <w:ilvl w:val="1"/>
          <w:numId w:val="0"/>
        </w:numPr>
        <w:spacing w:line="416" w:lineRule="auto"/>
        <w:ind w:left="573" w:hanging="573" w:hangingChars="204"/>
      </w:pPr>
      <w:bookmarkStart w:id="57" w:name="_Toc18439"/>
      <w:r>
        <w:rPr>
          <w:rFonts w:hint="eastAsia"/>
        </w:rPr>
        <w:t>4.3技术服务</w:t>
      </w:r>
      <w:bookmarkEnd w:id="57"/>
    </w:p>
    <w:p>
      <w:pPr>
        <w:widowControl/>
        <w:ind w:firstLine="480" w:firstLineChars="200"/>
        <w:rPr>
          <w:rFonts w:ascii="宋体" w:hAnsi="宋体" w:cs="宋体"/>
          <w:sz w:val="24"/>
          <w:szCs w:val="24"/>
        </w:rPr>
      </w:pPr>
      <w:r>
        <w:rPr>
          <w:rFonts w:hint="eastAsia" w:ascii="宋体" w:hAnsi="宋体" w:cs="宋体"/>
          <w:sz w:val="24"/>
          <w:szCs w:val="24"/>
        </w:rPr>
        <w:t>（1）投标人应确保其技术建议以及所提供的产品的完整性、实用性，保证全部系统及时投入正常运行。否则若出现因投标人提供的产品不满足要求、不合理，或者其所提供的技术支持和服务不全面，而导致系统无法实现或不能完全实现的状况，投标人负全部责任。</w:t>
      </w:r>
    </w:p>
    <w:p>
      <w:pPr>
        <w:widowControl/>
        <w:ind w:firstLine="480" w:firstLineChars="200"/>
        <w:rPr>
          <w:rFonts w:ascii="宋体" w:hAnsi="宋体" w:cs="宋体"/>
          <w:sz w:val="24"/>
          <w:szCs w:val="24"/>
        </w:rPr>
      </w:pPr>
      <w:r>
        <w:rPr>
          <w:rFonts w:hint="eastAsia" w:ascii="宋体" w:hAnsi="宋体" w:cs="宋体"/>
          <w:sz w:val="24"/>
          <w:szCs w:val="24"/>
        </w:rPr>
        <w:t>（2）如果软件产品在服务期内发生故障，投标人应及时予以响应（免费上门服务），否则招标方将自行采取必要的措施，由此产生风险和费用由投标人承担。</w:t>
      </w:r>
    </w:p>
    <w:p>
      <w:pPr>
        <w:widowControl/>
        <w:ind w:firstLine="480" w:firstLineChars="200"/>
        <w:rPr>
          <w:rFonts w:ascii="宋体" w:hAnsi="宋体" w:cs="宋体"/>
          <w:sz w:val="24"/>
          <w:szCs w:val="24"/>
        </w:rPr>
      </w:pPr>
      <w:r>
        <w:rPr>
          <w:rFonts w:hint="eastAsia" w:ascii="宋体" w:hAnsi="宋体" w:cs="宋体"/>
          <w:sz w:val="24"/>
          <w:szCs w:val="24"/>
        </w:rPr>
        <w:t>（3）如采购文件中遗漏了必须具备的设备、配件或服务，投标人有义务保证招标方系统的完整性，如项目实施过程中因缺少设备、配件或服务导致招标方系统无法正常运行，投标人须承诺免费提供。</w:t>
      </w:r>
    </w:p>
    <w:p>
      <w:pPr>
        <w:pStyle w:val="248"/>
        <w:numPr>
          <w:ilvl w:val="1"/>
          <w:numId w:val="0"/>
        </w:numPr>
        <w:spacing w:line="416" w:lineRule="auto"/>
        <w:ind w:left="573" w:hanging="573" w:hangingChars="204"/>
      </w:pPr>
      <w:bookmarkStart w:id="58" w:name="_Toc3970"/>
      <w:r>
        <w:rPr>
          <w:rFonts w:hint="eastAsia"/>
        </w:rPr>
        <w:t>4. 4技术资料</w:t>
      </w:r>
      <w:bookmarkEnd w:id="58"/>
    </w:p>
    <w:p>
      <w:pPr>
        <w:widowControl/>
        <w:ind w:firstLine="480" w:firstLineChars="200"/>
        <w:rPr>
          <w:rFonts w:ascii="宋体" w:hAnsi="宋体" w:cs="宋体"/>
          <w:sz w:val="24"/>
          <w:szCs w:val="24"/>
        </w:rPr>
      </w:pPr>
      <w:r>
        <w:rPr>
          <w:rFonts w:hint="eastAsia" w:ascii="宋体" w:hAnsi="宋体" w:cs="宋体"/>
          <w:sz w:val="24"/>
          <w:szCs w:val="24"/>
        </w:rPr>
        <w:t>（1）项目完结时中标人应提交的成果和整个项目过程电子文档，包括但不限于：</w:t>
      </w:r>
      <w:r>
        <w:rPr>
          <w:rFonts w:hint="eastAsia" w:ascii="宋体" w:hAnsi="宋体" w:cs="宋体"/>
          <w:sz w:val="24"/>
          <w:szCs w:val="24"/>
          <w:highlight w:val="yellow"/>
        </w:rPr>
        <w:t>系统详细设计；系统概要设计；需求分析报告；系统测试方案；安装维护手册；使用操作手册；培训资料；数据结构说明文档。</w:t>
      </w:r>
    </w:p>
    <w:p>
      <w:pPr>
        <w:widowControl/>
        <w:ind w:firstLine="480" w:firstLineChars="200"/>
        <w:rPr>
          <w:rFonts w:ascii="宋体" w:hAnsi="宋体" w:cs="宋体"/>
          <w:sz w:val="24"/>
          <w:szCs w:val="24"/>
        </w:rPr>
      </w:pPr>
      <w:r>
        <w:rPr>
          <w:rFonts w:hint="eastAsia" w:ascii="宋体" w:hAnsi="宋体" w:cs="宋体"/>
          <w:sz w:val="24"/>
          <w:szCs w:val="24"/>
        </w:rPr>
        <w:t>（2）没有招标人事先书面同意，中标人不得将由招标人提供的有关合同或任何合同条文等资料提供给与履行本项目合同无关的任何其他人。即使向履行本项目合同有关的人员提供，也应注意保密并限于履行合同的必需范围。</w:t>
      </w:r>
    </w:p>
    <w:p>
      <w:pPr>
        <w:pStyle w:val="248"/>
        <w:numPr>
          <w:ilvl w:val="1"/>
          <w:numId w:val="0"/>
        </w:numPr>
        <w:spacing w:line="416" w:lineRule="auto"/>
        <w:ind w:left="573" w:hanging="573" w:hangingChars="204"/>
      </w:pPr>
      <w:bookmarkStart w:id="59" w:name="_Toc7119"/>
      <w:r>
        <w:rPr>
          <w:rFonts w:hint="eastAsia"/>
        </w:rPr>
        <w:t>4.5知识产权</w:t>
      </w:r>
      <w:bookmarkEnd w:id="59"/>
    </w:p>
    <w:p>
      <w:pPr>
        <w:widowControl/>
        <w:numPr>
          <w:ilvl w:val="0"/>
          <w:numId w:val="5"/>
        </w:numPr>
        <w:autoSpaceDE/>
        <w:autoSpaceDN/>
        <w:adjustRightInd/>
        <w:spacing w:line="360" w:lineRule="auto"/>
        <w:ind w:firstLine="480" w:firstLineChars="200"/>
        <w:jc w:val="left"/>
        <w:rPr>
          <w:rFonts w:ascii="宋体" w:hAnsi="宋体" w:cs="宋体"/>
          <w:sz w:val="24"/>
          <w:szCs w:val="24"/>
        </w:rPr>
      </w:pPr>
      <w:r>
        <w:rPr>
          <w:rFonts w:hint="eastAsia" w:ascii="宋体" w:hAnsi="宋体" w:cs="宋体"/>
          <w:sz w:val="24"/>
          <w:szCs w:val="24"/>
        </w:rPr>
        <w:t>中标人应保证所提供的软件或其任何一部分均不会侵犯任何第三方的知识产权。</w:t>
      </w:r>
    </w:p>
    <w:p>
      <w:pPr>
        <w:widowControl/>
        <w:numPr>
          <w:ilvl w:val="0"/>
          <w:numId w:val="5"/>
        </w:numPr>
        <w:autoSpaceDE/>
        <w:autoSpaceDN/>
        <w:adjustRightInd/>
        <w:spacing w:line="360" w:lineRule="auto"/>
        <w:ind w:firstLine="480" w:firstLineChars="200"/>
        <w:jc w:val="left"/>
        <w:rPr>
          <w:rFonts w:ascii="宋体" w:hAnsi="宋体" w:cs="宋体"/>
          <w:sz w:val="24"/>
          <w:szCs w:val="24"/>
        </w:rPr>
      </w:pPr>
      <w:r>
        <w:rPr>
          <w:rFonts w:hint="eastAsia" w:ascii="宋体" w:hAnsi="宋体" w:cs="宋体"/>
          <w:sz w:val="24"/>
          <w:szCs w:val="24"/>
        </w:rPr>
        <w:t>本项目涉及的软件知识产权除核心源代码外均属于招标人所有。</w:t>
      </w:r>
    </w:p>
    <w:p>
      <w:pPr>
        <w:widowControl/>
        <w:numPr>
          <w:ilvl w:val="0"/>
          <w:numId w:val="5"/>
        </w:numPr>
        <w:autoSpaceDE/>
        <w:autoSpaceDN/>
        <w:adjustRightInd/>
        <w:spacing w:line="360" w:lineRule="auto"/>
        <w:ind w:firstLine="480" w:firstLineChars="200"/>
        <w:jc w:val="left"/>
        <w:rPr>
          <w:rFonts w:ascii="宋体" w:hAnsi="宋体" w:cs="宋体"/>
          <w:sz w:val="24"/>
          <w:szCs w:val="24"/>
        </w:rPr>
      </w:pPr>
      <w:r>
        <w:rPr>
          <w:rFonts w:hint="eastAsia" w:ascii="宋体" w:hAnsi="宋体" w:cs="宋体"/>
          <w:sz w:val="24"/>
          <w:szCs w:val="24"/>
        </w:rPr>
        <w:t>中标人应保证招标人在软件使用过程中免受第三方提出的侵权起诉。如发生此类纠纷，由中标人承担一切责任并负责解决。</w:t>
      </w:r>
    </w:p>
    <w:p>
      <w:pPr>
        <w:pStyle w:val="248"/>
        <w:numPr>
          <w:ilvl w:val="1"/>
          <w:numId w:val="0"/>
        </w:numPr>
        <w:spacing w:line="416" w:lineRule="auto"/>
        <w:ind w:left="573" w:hanging="573" w:hangingChars="204"/>
      </w:pPr>
      <w:bookmarkStart w:id="60" w:name="_Toc28827"/>
      <w:r>
        <w:rPr>
          <w:rFonts w:hint="eastAsia"/>
        </w:rPr>
        <w:t>4.6产权担保</w:t>
      </w:r>
      <w:bookmarkEnd w:id="60"/>
    </w:p>
    <w:p>
      <w:pPr>
        <w:widowControl/>
        <w:spacing w:line="276" w:lineRule="auto"/>
        <w:ind w:firstLine="480" w:firstLineChars="200"/>
        <w:jc w:val="left"/>
        <w:rPr>
          <w:rFonts w:ascii="宋体" w:hAnsi="宋体" w:cs="宋体"/>
          <w:sz w:val="24"/>
          <w:szCs w:val="24"/>
        </w:rPr>
      </w:pPr>
      <w:r>
        <w:rPr>
          <w:rFonts w:hint="eastAsia" w:ascii="宋体" w:hAnsi="宋体" w:cs="宋体"/>
          <w:sz w:val="24"/>
          <w:szCs w:val="24"/>
        </w:rPr>
        <w:t>中标人开发中涉及的软件的所有权完全属于中标人，在交付在采购人后保证无任何抵押、查封、债务转移等产权瑕疵。</w:t>
      </w:r>
    </w:p>
    <w:p>
      <w:pPr>
        <w:pStyle w:val="248"/>
        <w:numPr>
          <w:ilvl w:val="1"/>
          <w:numId w:val="0"/>
        </w:numPr>
        <w:spacing w:line="416" w:lineRule="auto"/>
        <w:ind w:left="573" w:hanging="573" w:hangingChars="204"/>
      </w:pPr>
      <w:bookmarkStart w:id="61" w:name="_Toc24404"/>
      <w:r>
        <w:rPr>
          <w:rFonts w:hint="eastAsia"/>
        </w:rPr>
        <w:t>4.7转包或分包</w:t>
      </w:r>
      <w:bookmarkEnd w:id="61"/>
    </w:p>
    <w:p>
      <w:pPr>
        <w:widowControl/>
        <w:spacing w:line="276" w:lineRule="auto"/>
        <w:ind w:firstLine="480" w:firstLineChars="200"/>
        <w:jc w:val="left"/>
        <w:rPr>
          <w:rFonts w:ascii="宋体" w:hAnsi="宋体" w:cs="宋体"/>
          <w:sz w:val="24"/>
          <w:szCs w:val="24"/>
        </w:rPr>
      </w:pPr>
      <w:r>
        <w:rPr>
          <w:rFonts w:hint="eastAsia" w:ascii="宋体" w:hAnsi="宋体" w:cs="宋体"/>
          <w:sz w:val="24"/>
          <w:szCs w:val="24"/>
        </w:rPr>
        <w:t>本项目合同范围的软件，应由中标人直接供应，不得转让他人供应，否则，采购人有权解除合同，没收履约保证金并追究中标人的违约责任。</w:t>
      </w:r>
    </w:p>
    <w:p>
      <w:pPr>
        <w:pStyle w:val="248"/>
        <w:numPr>
          <w:ilvl w:val="1"/>
          <w:numId w:val="0"/>
        </w:numPr>
        <w:spacing w:line="416" w:lineRule="auto"/>
        <w:ind w:left="573" w:hanging="573" w:hangingChars="204"/>
      </w:pPr>
      <w:bookmarkStart w:id="62" w:name="_Toc32063"/>
      <w:r>
        <w:rPr>
          <w:rFonts w:hint="eastAsia"/>
        </w:rPr>
        <w:t>4.8保密义务</w:t>
      </w:r>
      <w:bookmarkEnd w:id="62"/>
    </w:p>
    <w:p>
      <w:pPr>
        <w:widowControl/>
        <w:ind w:firstLine="480" w:firstLineChars="200"/>
        <w:jc w:val="left"/>
        <w:rPr>
          <w:rFonts w:ascii="宋体" w:hAnsi="宋体" w:cs="宋体"/>
          <w:sz w:val="24"/>
          <w:szCs w:val="24"/>
        </w:rPr>
      </w:pPr>
      <w:r>
        <w:rPr>
          <w:rFonts w:hint="eastAsia" w:ascii="宋体" w:hAnsi="宋体" w:cs="宋体"/>
          <w:sz w:val="24"/>
          <w:szCs w:val="24"/>
        </w:rPr>
        <w:t>1）双方应严格保守在合作过程中所了解的对方的商业及技术机密，否则应对由此造成的损失承担赔偿。</w:t>
      </w:r>
    </w:p>
    <w:p>
      <w:pPr>
        <w:widowControl/>
        <w:ind w:firstLine="480" w:firstLineChars="200"/>
        <w:jc w:val="left"/>
        <w:rPr>
          <w:rFonts w:ascii="宋体" w:hAnsi="宋体" w:cs="宋体"/>
          <w:sz w:val="24"/>
          <w:szCs w:val="24"/>
        </w:rPr>
      </w:pPr>
      <w:r>
        <w:rPr>
          <w:rFonts w:hint="eastAsia" w:ascii="宋体" w:hAnsi="宋体" w:cs="宋体"/>
          <w:sz w:val="24"/>
          <w:szCs w:val="24"/>
        </w:rPr>
        <w:t>2）任何一方不得出于除履行本项目合同以外的任何目的的披露、传播、复制或使用来自另一方的所有或者部分保密信息；不得在未经另一方书面明确同意的前提下向任何第三方披露本项目相关保密信息；本项目合同履行完毕后，任一方应当将所有涉及保密信息的载体交还另一方或自行做好管理。</w:t>
      </w:r>
    </w:p>
    <w:p>
      <w:pPr>
        <w:widowControl/>
        <w:ind w:firstLine="480" w:firstLineChars="200"/>
        <w:jc w:val="left"/>
        <w:rPr>
          <w:rFonts w:ascii="宋体" w:hAnsi="宋体" w:cs="宋体"/>
          <w:sz w:val="24"/>
          <w:szCs w:val="24"/>
        </w:rPr>
      </w:pPr>
      <w:r>
        <w:rPr>
          <w:rFonts w:hint="eastAsia" w:ascii="宋体" w:hAnsi="宋体" w:cs="宋体"/>
          <w:sz w:val="24"/>
          <w:szCs w:val="24"/>
        </w:rPr>
        <w:t>3）中标人应严格遵循招标人各项安全保密制度，所有信息数据迁移、处理等过程中严禁私自复制、传输，完成建设任务后，中标人使用的用户信息等敏感数据必须物理清除。</w:t>
      </w:r>
    </w:p>
    <w:p>
      <w:pPr>
        <w:widowControl/>
        <w:ind w:firstLine="480" w:firstLineChars="200"/>
        <w:jc w:val="left"/>
        <w:rPr>
          <w:rFonts w:ascii="宋体" w:hAnsi="宋体" w:cs="宋体"/>
          <w:sz w:val="24"/>
          <w:szCs w:val="24"/>
        </w:rPr>
      </w:pPr>
      <w:r>
        <w:rPr>
          <w:rFonts w:hint="eastAsia" w:ascii="宋体" w:hAnsi="宋体" w:cs="宋体"/>
          <w:sz w:val="24"/>
          <w:szCs w:val="24"/>
        </w:rPr>
        <w:t>4）中标人有义务保障平台的稳定性、账户的安全性，因平台崩溃、账户盗号或被攻击发布非法信息等引发的问题，所有经济责任及法律责任均由中标人承担。</w:t>
      </w:r>
    </w:p>
    <w:p>
      <w:pPr>
        <w:widowControl/>
        <w:ind w:firstLine="480" w:firstLineChars="200"/>
        <w:jc w:val="left"/>
        <w:rPr>
          <w:rFonts w:ascii="宋体" w:hAnsi="宋体" w:cs="宋体"/>
          <w:sz w:val="24"/>
          <w:szCs w:val="24"/>
        </w:rPr>
      </w:pPr>
      <w:r>
        <w:rPr>
          <w:rFonts w:hint="eastAsia" w:ascii="宋体" w:hAnsi="宋体" w:cs="宋体"/>
          <w:sz w:val="24"/>
          <w:szCs w:val="24"/>
        </w:rPr>
        <w:t>5)中标人应保障平台运作过程中采集到的所有数据及信息的安全性；保证数据及信息不外泄，不另作他用。如果因数据及信息外泄或另作他用而引发的第三方投诉、追诉、要求赔偿等纠纷而造成招标人损失的，所有经济损失全部由中标人负责承担。</w:t>
      </w:r>
    </w:p>
    <w:p>
      <w:pPr>
        <w:widowControl/>
        <w:ind w:firstLine="480" w:firstLineChars="200"/>
        <w:jc w:val="left"/>
        <w:rPr>
          <w:rFonts w:ascii="宋体" w:hAnsi="宋体" w:cs="宋体"/>
          <w:sz w:val="24"/>
          <w:szCs w:val="24"/>
        </w:rPr>
      </w:pPr>
      <w:r>
        <w:rPr>
          <w:rFonts w:hint="eastAsia" w:ascii="宋体" w:hAnsi="宋体" w:cs="宋体"/>
          <w:sz w:val="24"/>
          <w:szCs w:val="24"/>
        </w:rPr>
        <w:t>6)不论本项目合同是否变更、解除、终止，本条款均有效。</w:t>
      </w:r>
    </w:p>
    <w:p>
      <w:pPr>
        <w:pStyle w:val="248"/>
        <w:numPr>
          <w:ilvl w:val="1"/>
          <w:numId w:val="0"/>
        </w:numPr>
        <w:ind w:firstLine="562" w:firstLineChars="200"/>
      </w:pPr>
    </w:p>
    <w:p/>
    <w:p>
      <w:pPr>
        <w:sectPr>
          <w:pgSz w:w="11906" w:h="16838"/>
          <w:pgMar w:top="1440" w:right="1800" w:bottom="1440" w:left="1800" w:header="851" w:footer="992" w:gutter="0"/>
          <w:pgNumType w:start="1"/>
          <w:cols w:space="425" w:num="1"/>
          <w:docGrid w:type="lines" w:linePitch="312" w:charSpace="0"/>
        </w:sectPr>
      </w:pPr>
    </w:p>
    <w:p>
      <w:pPr>
        <w:pStyle w:val="251"/>
        <w:jc w:val="left"/>
      </w:pPr>
      <w:bookmarkStart w:id="63" w:name="_Toc4329"/>
      <w:r>
        <w:rPr>
          <w:rFonts w:hint="eastAsia"/>
        </w:rPr>
        <w:t>（五） 项目运维要求</w:t>
      </w:r>
      <w:bookmarkEnd w:id="63"/>
    </w:p>
    <w:p>
      <w:pPr>
        <w:pStyle w:val="248"/>
        <w:numPr>
          <w:ilvl w:val="1"/>
          <w:numId w:val="0"/>
        </w:numPr>
        <w:spacing w:line="416" w:lineRule="auto"/>
        <w:ind w:left="573" w:hanging="573" w:hangingChars="204"/>
      </w:pPr>
      <w:bookmarkStart w:id="64" w:name="_Toc19101"/>
      <w:r>
        <w:rPr>
          <w:rFonts w:hint="eastAsia"/>
        </w:rPr>
        <w:t>5.1售后服务</w:t>
      </w:r>
      <w:bookmarkEnd w:id="64"/>
    </w:p>
    <w:p>
      <w:pPr>
        <w:widowControl/>
        <w:ind w:firstLine="480" w:firstLineChars="200"/>
        <w:rPr>
          <w:rFonts w:ascii="宋体" w:hAnsi="宋体" w:cs="宋体"/>
          <w:sz w:val="24"/>
          <w:szCs w:val="24"/>
        </w:rPr>
      </w:pPr>
      <w:r>
        <w:rPr>
          <w:rFonts w:hint="eastAsia" w:ascii="宋体" w:hAnsi="宋体" w:cs="宋体"/>
          <w:sz w:val="24"/>
          <w:szCs w:val="24"/>
        </w:rPr>
        <w:t>(1)中标人必须为本项目内所供应和安装的产品提供至少两年的售后维护服务，售后维护期从项目终验合格后开始计算。质保期内提供同版本软件免费客户化修改与免费升级服务。确保招标人使用软件和平台一直是行业内最新版本。并为用户后续的建设提供长期的技术支持。</w:t>
      </w:r>
    </w:p>
    <w:p>
      <w:pPr>
        <w:pStyle w:val="257"/>
        <w:adjustRightInd/>
        <w:spacing w:line="360" w:lineRule="auto"/>
        <w:ind w:firstLine="480" w:firstLineChars="200"/>
        <w:textAlignment w:val="auto"/>
        <w:rPr>
          <w:rFonts w:cs="宋体"/>
          <w:sz w:val="24"/>
        </w:rPr>
      </w:pPr>
      <w:r>
        <w:rPr>
          <w:rFonts w:hint="eastAsia" w:cs="宋体"/>
          <w:kern w:val="2"/>
          <w:sz w:val="24"/>
        </w:rPr>
        <w:t>（2）中标方提供的软件在质保期内因软件本身的质量问题发生故障，中标方应负责免费更换。对达不到技术要求者，根据实际情况，经双方协商，</w:t>
      </w:r>
      <w:r>
        <w:rPr>
          <w:rFonts w:hint="eastAsia" w:cs="宋体"/>
          <w:sz w:val="24"/>
        </w:rPr>
        <w:t>可按以下办法处理：</w:t>
      </w:r>
    </w:p>
    <w:p>
      <w:pPr>
        <w:pStyle w:val="257"/>
        <w:adjustRightInd/>
        <w:spacing w:line="360" w:lineRule="auto"/>
        <w:ind w:firstLine="480" w:firstLineChars="200"/>
        <w:textAlignment w:val="auto"/>
        <w:rPr>
          <w:rFonts w:cs="宋体"/>
          <w:sz w:val="24"/>
        </w:rPr>
      </w:pPr>
      <w:r>
        <w:rPr>
          <w:rFonts w:hint="eastAsia" w:cs="宋体"/>
          <w:sz w:val="24"/>
        </w:rPr>
        <w:t>1）更换：由中标方承担所发生的全部费用。</w:t>
      </w:r>
    </w:p>
    <w:p>
      <w:pPr>
        <w:pStyle w:val="257"/>
        <w:adjustRightInd/>
        <w:spacing w:line="360" w:lineRule="auto"/>
        <w:ind w:firstLine="480" w:firstLineChars="200"/>
        <w:textAlignment w:val="auto"/>
        <w:rPr>
          <w:rFonts w:cs="宋体"/>
          <w:sz w:val="24"/>
        </w:rPr>
      </w:pPr>
      <w:r>
        <w:rPr>
          <w:rFonts w:hint="eastAsia" w:cs="宋体"/>
          <w:sz w:val="24"/>
        </w:rPr>
        <w:t>2）退货处理：中标方应退还招标方支付的合同款，同时应承担该软件的直接费用（开发、检验、货款利息及银行手续费等）。</w:t>
      </w:r>
    </w:p>
    <w:p>
      <w:pPr>
        <w:pStyle w:val="257"/>
        <w:adjustRightInd/>
        <w:spacing w:line="360" w:lineRule="auto"/>
        <w:ind w:firstLine="480" w:firstLineChars="200"/>
        <w:textAlignment w:val="auto"/>
        <w:rPr>
          <w:rFonts w:cs="宋体"/>
          <w:sz w:val="24"/>
        </w:rPr>
      </w:pPr>
      <w:r>
        <w:rPr>
          <w:rFonts w:hint="eastAsia" w:cs="宋体"/>
          <w:sz w:val="24"/>
        </w:rPr>
        <w:t>3）若中标方拒绝，按《中华人民共和国产品质量法》等有关规定处理。</w:t>
      </w:r>
    </w:p>
    <w:p>
      <w:pPr>
        <w:widowControl/>
        <w:rPr>
          <w:rFonts w:ascii="宋体" w:hAnsi="宋体" w:cs="宋体"/>
          <w:sz w:val="24"/>
          <w:szCs w:val="24"/>
        </w:rPr>
      </w:pPr>
      <w:r>
        <w:rPr>
          <w:rFonts w:hint="eastAsia" w:ascii="宋体" w:hAnsi="宋体" w:cs="宋体"/>
          <w:sz w:val="24"/>
          <w:szCs w:val="24"/>
        </w:rPr>
        <w:t xml:space="preserve">   (3)投标人应在投标书中详细列出服务项目清单，对每项服务，需明确服务提供方名称、服务内容、服务方式、服务人员技术要求以及服务响应时间等；</w:t>
      </w:r>
    </w:p>
    <w:p>
      <w:pPr>
        <w:widowControl/>
        <w:ind w:firstLine="360" w:firstLineChars="150"/>
        <w:rPr>
          <w:rFonts w:ascii="宋体" w:hAnsi="宋体" w:cs="宋体"/>
          <w:sz w:val="24"/>
          <w:szCs w:val="24"/>
        </w:rPr>
      </w:pPr>
      <w:r>
        <w:rPr>
          <w:rFonts w:hint="eastAsia" w:ascii="宋体" w:hAnsi="宋体" w:cs="宋体"/>
          <w:sz w:val="24"/>
          <w:szCs w:val="24"/>
        </w:rPr>
        <w:t>(4)在接到系统故障通知后，投标人必须在半小时内响应。对于影响系统正常运行的严重故障（包括由系统原因引起的），投标人的相关技术人员需在接到故障通知后2小时内赶到现场，查找原因，提出解决方案，并工作直至故障修妥完全恢复正常工作为止，一般要求保证系统在24小时之内修复，并需要提供确保承诺实现的措施。</w:t>
      </w:r>
    </w:p>
    <w:p>
      <w:pPr>
        <w:widowControl/>
        <w:ind w:firstLine="480" w:firstLineChars="200"/>
        <w:rPr>
          <w:rFonts w:ascii="宋体" w:hAnsi="宋体" w:cs="宋体"/>
          <w:sz w:val="24"/>
          <w:szCs w:val="24"/>
        </w:rPr>
      </w:pPr>
      <w:r>
        <w:rPr>
          <w:rFonts w:hint="eastAsia" w:ascii="宋体" w:hAnsi="宋体" w:cs="宋体"/>
          <w:sz w:val="24"/>
          <w:szCs w:val="24"/>
        </w:rPr>
        <w:t>(5)中标人须无偿开发相关接口和相关协议，配合后续相关软件厂商、税务部门、银行部门做数据通讯对接。</w:t>
      </w:r>
    </w:p>
    <w:p>
      <w:pPr>
        <w:widowControl/>
        <w:ind w:firstLine="480" w:firstLineChars="200"/>
        <w:rPr>
          <w:rFonts w:ascii="宋体" w:hAnsi="宋体" w:cs="宋体"/>
          <w:sz w:val="24"/>
          <w:szCs w:val="24"/>
        </w:rPr>
      </w:pPr>
      <w:r>
        <w:rPr>
          <w:rFonts w:hint="eastAsia" w:ascii="宋体" w:hAnsi="宋体" w:cs="宋体"/>
          <w:sz w:val="24"/>
          <w:szCs w:val="24"/>
        </w:rPr>
        <w:t>（6）投标人须做出无推诿承诺。即投标人应提供特殊措施，无论由于哪一方产生的问题而使系统发生不正常情况时，并在得到买方商通知后，须立即派遣工程师到场，全力协助系统集成商和其他供应商，使系统尽快恢复正常。</w:t>
      </w:r>
    </w:p>
    <w:p>
      <w:pPr>
        <w:pStyle w:val="257"/>
        <w:adjustRightInd/>
        <w:spacing w:line="360" w:lineRule="auto"/>
        <w:ind w:firstLine="480" w:firstLineChars="200"/>
        <w:textAlignment w:val="auto"/>
        <w:rPr>
          <w:rFonts w:cs="宋体"/>
          <w:kern w:val="2"/>
          <w:sz w:val="24"/>
        </w:rPr>
      </w:pPr>
      <w:r>
        <w:rPr>
          <w:rFonts w:hint="eastAsia" w:cs="宋体"/>
          <w:kern w:val="2"/>
          <w:sz w:val="24"/>
        </w:rPr>
        <w:t>（7）中标人需按照招标人要求提供用户使用报告。</w:t>
      </w:r>
    </w:p>
    <w:p>
      <w:pPr>
        <w:pStyle w:val="257"/>
        <w:adjustRightInd/>
        <w:spacing w:line="360" w:lineRule="auto"/>
        <w:ind w:firstLine="480" w:firstLineChars="200"/>
        <w:textAlignment w:val="auto"/>
        <w:rPr>
          <w:rFonts w:cs="宋体"/>
          <w:sz w:val="24"/>
        </w:rPr>
      </w:pPr>
      <w:r>
        <w:rPr>
          <w:rFonts w:hint="eastAsia" w:cs="宋体"/>
          <w:kern w:val="2"/>
          <w:sz w:val="24"/>
        </w:rPr>
        <w:t>（8）</w:t>
      </w:r>
      <w:r>
        <w:rPr>
          <w:rFonts w:hint="eastAsia" w:cs="宋体"/>
          <w:sz w:val="24"/>
        </w:rPr>
        <w:t>中标单位要及时提供新建站点接入平台及数据库的服务，并为日后与其他系统的对接改造提供技术支持。</w:t>
      </w:r>
    </w:p>
    <w:p>
      <w:pPr>
        <w:pStyle w:val="18"/>
        <w:ind w:firstLine="480" w:firstLineChars="200"/>
        <w:rPr>
          <w:rFonts w:cs="宋体"/>
          <w:sz w:val="24"/>
          <w:szCs w:val="24"/>
        </w:rPr>
      </w:pPr>
      <w:r>
        <w:rPr>
          <w:rFonts w:hint="eastAsia" w:cs="宋体"/>
          <w:sz w:val="24"/>
          <w:szCs w:val="24"/>
        </w:rPr>
        <w:t>（9）中标方未能在质保期内按要求及时提供技术支持和故障维护或中标方在本项目合同2年质保期内有新版本更新后，未能及时在新版本出现在1个月内给与更新的，且给采购人造成损失的，由中标方承担赔偿责任。</w:t>
      </w:r>
    </w:p>
    <w:p>
      <w:pPr>
        <w:pStyle w:val="248"/>
        <w:numPr>
          <w:ilvl w:val="1"/>
          <w:numId w:val="0"/>
        </w:numPr>
        <w:spacing w:line="416" w:lineRule="auto"/>
        <w:ind w:left="573" w:hanging="573" w:hangingChars="204"/>
      </w:pPr>
      <w:bookmarkStart w:id="65" w:name="_Toc18591"/>
      <w:r>
        <w:rPr>
          <w:rFonts w:hint="eastAsia"/>
        </w:rPr>
        <w:t>5.2人员培训</w:t>
      </w:r>
      <w:bookmarkEnd w:id="65"/>
    </w:p>
    <w:p>
      <w:pPr>
        <w:widowControl/>
        <w:ind w:firstLine="480" w:firstLineChars="200"/>
        <w:rPr>
          <w:rFonts w:ascii="宋体" w:hAnsi="宋体" w:cs="宋体"/>
          <w:sz w:val="24"/>
          <w:szCs w:val="24"/>
        </w:rPr>
      </w:pPr>
      <w:r>
        <w:rPr>
          <w:rFonts w:hint="eastAsia" w:ascii="宋体" w:hAnsi="宋体" w:cs="宋体"/>
          <w:sz w:val="24"/>
          <w:szCs w:val="24"/>
        </w:rPr>
        <w:t>(1)培训工作是整个系统得以正常运行的关键，除了对普通业务人员的专项培训以外，应对系统维护人员进行系统维护的培训。</w:t>
      </w:r>
    </w:p>
    <w:p>
      <w:pPr>
        <w:widowControl/>
        <w:ind w:firstLine="480" w:firstLineChars="200"/>
        <w:rPr>
          <w:rFonts w:ascii="宋体" w:hAnsi="宋体" w:cs="宋体"/>
          <w:sz w:val="24"/>
          <w:szCs w:val="24"/>
        </w:rPr>
      </w:pPr>
      <w:r>
        <w:rPr>
          <w:rFonts w:hint="eastAsia" w:ascii="宋体" w:hAnsi="宋体" w:cs="宋体"/>
          <w:sz w:val="24"/>
          <w:szCs w:val="24"/>
        </w:rPr>
        <w:t>(2)投标人应在投标文件中提出培训计划，计划包括培训项目、人数、地点、日程、资料、其它等详细内容。</w:t>
      </w:r>
    </w:p>
    <w:p>
      <w:pPr>
        <w:widowControl/>
        <w:ind w:firstLine="480" w:firstLineChars="200"/>
        <w:rPr>
          <w:rFonts w:ascii="宋体" w:hAnsi="宋体" w:cs="宋体"/>
          <w:sz w:val="24"/>
          <w:szCs w:val="24"/>
        </w:rPr>
      </w:pPr>
      <w:r>
        <w:rPr>
          <w:rFonts w:hint="eastAsia" w:ascii="宋体" w:hAnsi="宋体" w:cs="宋体"/>
          <w:sz w:val="24"/>
          <w:szCs w:val="24"/>
        </w:rPr>
        <w:t>(3)技术培训的内容必须包含软件的日常操作和管理维护，以及基本的故障诊断与排错。</w:t>
      </w:r>
    </w:p>
    <w:p>
      <w:pPr>
        <w:pStyle w:val="39"/>
        <w:tabs>
          <w:tab w:val="left" w:pos="3025"/>
          <w:tab w:val="left" w:pos="3165"/>
        </w:tabs>
        <w:ind w:left="0" w:leftChars="0"/>
        <w:rPr>
          <w:rFonts w:ascii="宋体" w:hAnsi="宋体" w:cs="宋体"/>
          <w:szCs w:val="24"/>
        </w:rPr>
      </w:pPr>
      <w:r>
        <w:rPr>
          <w:rFonts w:hint="eastAsia" w:ascii="宋体" w:hAnsi="宋体" w:cs="宋体"/>
          <w:szCs w:val="24"/>
        </w:rPr>
        <w:t>(4)培训人员必须是公司的资深工程师。</w:t>
      </w:r>
    </w:p>
    <w:p>
      <w:pPr>
        <w:pStyle w:val="251"/>
        <w:jc w:val="left"/>
      </w:pPr>
      <w:bookmarkStart w:id="66" w:name="_Toc29101"/>
      <w:r>
        <w:rPr>
          <w:rFonts w:hint="eastAsia"/>
        </w:rPr>
        <w:t>（六） 其他要求</w:t>
      </w:r>
      <w:bookmarkEnd w:id="66"/>
    </w:p>
    <w:p>
      <w:pPr>
        <w:pStyle w:val="258"/>
        <w:spacing w:before="120" w:after="120" w:line="30" w:lineRule="atLeast"/>
        <w:ind w:firstLine="482"/>
        <w:rPr>
          <w:rFonts w:ascii="宋体" w:hAnsi="宋体" w:cs="宋体"/>
          <w:b/>
          <w:bCs/>
          <w:szCs w:val="24"/>
        </w:rPr>
      </w:pPr>
      <w:r>
        <w:rPr>
          <w:rFonts w:hint="eastAsia" w:ascii="宋体" w:hAnsi="宋体" w:cs="宋体"/>
          <w:b/>
          <w:bCs/>
          <w:szCs w:val="24"/>
        </w:rPr>
        <w:t>1.特别说明</w:t>
      </w:r>
    </w:p>
    <w:p>
      <w:pPr>
        <w:pStyle w:val="258"/>
        <w:spacing w:before="120" w:after="120" w:line="30" w:lineRule="atLeast"/>
        <w:rPr>
          <w:rFonts w:ascii="宋体" w:hAnsi="宋体" w:cs="宋体"/>
          <w:szCs w:val="24"/>
        </w:rPr>
      </w:pPr>
      <w:r>
        <w:rPr>
          <w:rFonts w:hint="eastAsia" w:ascii="宋体" w:hAnsi="宋体" w:cs="宋体"/>
          <w:szCs w:val="24"/>
        </w:rPr>
        <w:t>中标人所供产品质保期至少为2年。中标的供应商实际供货量由招标方选定供货量。</w:t>
      </w:r>
    </w:p>
    <w:p>
      <w:pPr>
        <w:pStyle w:val="258"/>
        <w:spacing w:before="120" w:after="120" w:line="30" w:lineRule="atLeast"/>
        <w:ind w:firstLine="482"/>
        <w:rPr>
          <w:rFonts w:ascii="宋体" w:hAnsi="宋体" w:cs="宋体"/>
          <w:b/>
          <w:bCs/>
          <w:szCs w:val="24"/>
        </w:rPr>
      </w:pPr>
      <w:r>
        <w:rPr>
          <w:rFonts w:hint="eastAsia" w:ascii="宋体" w:hAnsi="宋体" w:cs="宋体"/>
          <w:b/>
          <w:bCs/>
          <w:szCs w:val="24"/>
        </w:rPr>
        <w:t>2. 供货及安装调试时间要求</w:t>
      </w:r>
    </w:p>
    <w:p>
      <w:pPr>
        <w:pStyle w:val="258"/>
        <w:spacing w:before="120" w:after="120" w:line="30" w:lineRule="atLeast"/>
        <w:rPr>
          <w:rFonts w:ascii="宋体" w:hAnsi="宋体" w:cs="宋体"/>
          <w:szCs w:val="24"/>
        </w:rPr>
      </w:pPr>
      <w:r>
        <w:rPr>
          <w:rFonts w:hint="eastAsia" w:ascii="宋体" w:hAnsi="宋体" w:cs="宋体"/>
          <w:szCs w:val="24"/>
        </w:rPr>
        <w:t>所有工程项目需按招标方要求安装调试完成。</w:t>
      </w:r>
    </w:p>
    <w:p>
      <w:pPr>
        <w:pStyle w:val="258"/>
        <w:spacing w:before="120" w:after="120" w:line="30" w:lineRule="atLeast"/>
        <w:ind w:firstLine="482"/>
        <w:rPr>
          <w:rFonts w:ascii="宋体" w:hAnsi="宋体" w:cs="宋体"/>
          <w:b/>
          <w:bCs/>
          <w:szCs w:val="24"/>
        </w:rPr>
      </w:pPr>
      <w:r>
        <w:rPr>
          <w:rFonts w:hint="eastAsia" w:ascii="宋体" w:hAnsi="宋体" w:cs="宋体"/>
          <w:b/>
          <w:bCs/>
          <w:szCs w:val="24"/>
        </w:rPr>
        <w:t>3. 验收方式</w:t>
      </w:r>
    </w:p>
    <w:p>
      <w:pPr>
        <w:pStyle w:val="258"/>
        <w:spacing w:before="120" w:after="120" w:line="30" w:lineRule="atLeast"/>
        <w:rPr>
          <w:rFonts w:ascii="宋体" w:hAnsi="宋体" w:cs="宋体"/>
          <w:szCs w:val="24"/>
        </w:rPr>
      </w:pPr>
      <w:r>
        <w:rPr>
          <w:rFonts w:hint="eastAsia" w:ascii="宋体" w:hAnsi="宋体" w:cs="宋体"/>
          <w:szCs w:val="24"/>
        </w:rPr>
        <w:t>按照国家相关质量标准、技术规范要求、合同规定的验收标准及招、投标文件的要求，招标方组织相关部门、人员进行验收。</w:t>
      </w:r>
    </w:p>
    <w:p>
      <w:pPr>
        <w:pStyle w:val="258"/>
        <w:spacing w:before="120" w:after="120" w:line="30" w:lineRule="atLeast"/>
        <w:ind w:firstLine="482"/>
        <w:rPr>
          <w:rFonts w:ascii="宋体" w:hAnsi="宋体" w:cs="宋体"/>
          <w:b/>
          <w:bCs/>
          <w:szCs w:val="24"/>
        </w:rPr>
      </w:pPr>
      <w:r>
        <w:rPr>
          <w:rFonts w:hint="eastAsia" w:ascii="宋体" w:hAnsi="宋体" w:cs="宋体"/>
          <w:b/>
          <w:bCs/>
          <w:szCs w:val="24"/>
        </w:rPr>
        <w:t>4. 投标报价</w:t>
      </w:r>
    </w:p>
    <w:p>
      <w:pPr>
        <w:pStyle w:val="258"/>
        <w:spacing w:before="120" w:after="120" w:line="30" w:lineRule="atLeast"/>
        <w:rPr>
          <w:rFonts w:ascii="宋体" w:hAnsi="宋体" w:cs="宋体"/>
          <w:szCs w:val="24"/>
        </w:rPr>
      </w:pPr>
      <w:r>
        <w:rPr>
          <w:rFonts w:hint="eastAsia" w:ascii="宋体" w:hAnsi="宋体" w:cs="宋体"/>
          <w:szCs w:val="24"/>
        </w:rPr>
        <w:t>投标人以人民币报价且投标报价含保险费、伴随服务费、调试费用、软件、上线、软件升级、培训、售后服务等一切费用，报价方式为交钥匙价格。</w:t>
      </w:r>
    </w:p>
    <w:p>
      <w:pPr>
        <w:pStyle w:val="251"/>
        <w:jc w:val="both"/>
      </w:pPr>
      <w:bookmarkStart w:id="67" w:name="_Toc8384"/>
      <w:r>
        <w:rPr>
          <w:rFonts w:hint="eastAsia"/>
        </w:rPr>
        <w:t>（七） 付款方式</w:t>
      </w:r>
      <w:bookmarkEnd w:id="67"/>
    </w:p>
    <w:p>
      <w:pPr>
        <w:spacing w:line="440" w:lineRule="exact"/>
        <w:ind w:firstLine="480" w:firstLineChars="200"/>
        <w:rPr>
          <w:rFonts w:ascii="宋体" w:hAnsi="宋体" w:cs="宋体"/>
          <w:sz w:val="24"/>
          <w:szCs w:val="24"/>
        </w:rPr>
      </w:pPr>
      <w:r>
        <w:rPr>
          <w:rFonts w:hint="eastAsia" w:ascii="宋体" w:hAnsi="宋体" w:cs="宋体"/>
          <w:sz w:val="24"/>
          <w:szCs w:val="24"/>
        </w:rPr>
        <w:t>具体付款方式：</w:t>
      </w:r>
    </w:p>
    <w:p>
      <w:pPr>
        <w:spacing w:line="440" w:lineRule="exact"/>
        <w:ind w:firstLine="360" w:firstLineChars="150"/>
        <w:rPr>
          <w:rFonts w:ascii="宋体" w:hAnsi="宋体" w:cs="宋体"/>
          <w:sz w:val="24"/>
          <w:szCs w:val="24"/>
          <w:lang w:val="zh-CN"/>
        </w:rPr>
      </w:pPr>
      <w:r>
        <w:rPr>
          <w:rFonts w:hint="eastAsia" w:ascii="宋体" w:hAnsi="宋体" w:cs="宋体"/>
          <w:sz w:val="24"/>
          <w:szCs w:val="24"/>
          <w:lang w:val="zh-CN"/>
        </w:rPr>
        <w:t>（1）项目完成并试运行合格后30天内，买方向卖方支付合同总价的30%；</w:t>
      </w:r>
    </w:p>
    <w:p>
      <w:pPr>
        <w:spacing w:line="440" w:lineRule="exact"/>
        <w:ind w:firstLine="360" w:firstLineChars="150"/>
        <w:rPr>
          <w:rFonts w:ascii="宋体" w:hAnsi="宋体" w:cs="宋体"/>
          <w:sz w:val="24"/>
          <w:szCs w:val="24"/>
          <w:lang w:val="zh-CN"/>
        </w:rPr>
      </w:pPr>
      <w:r>
        <w:rPr>
          <w:rFonts w:hint="eastAsia" w:ascii="宋体" w:hAnsi="宋体" w:cs="宋体"/>
          <w:sz w:val="24"/>
          <w:szCs w:val="24"/>
          <w:lang w:val="zh-CN"/>
        </w:rPr>
        <w:t>（2）验收合格后一个月内支付合同总价的40%；</w:t>
      </w:r>
    </w:p>
    <w:p>
      <w:pPr>
        <w:spacing w:line="440" w:lineRule="exact"/>
        <w:ind w:firstLine="360" w:firstLineChars="150"/>
        <w:rPr>
          <w:rFonts w:ascii="宋体" w:hAnsi="宋体" w:cs="宋体"/>
          <w:sz w:val="24"/>
          <w:szCs w:val="24"/>
          <w:lang w:val="zh-CN"/>
        </w:rPr>
      </w:pPr>
      <w:r>
        <w:rPr>
          <w:rFonts w:hint="eastAsia" w:ascii="宋体" w:hAnsi="宋体" w:cs="宋体"/>
          <w:sz w:val="24"/>
          <w:szCs w:val="24"/>
          <w:lang w:val="zh-CN"/>
        </w:rPr>
        <w:t>（3）验收合格后一年内给付合同总价的20%；</w:t>
      </w:r>
    </w:p>
    <w:p>
      <w:pPr>
        <w:spacing w:line="440" w:lineRule="exact"/>
        <w:ind w:left="315" w:leftChars="150"/>
        <w:rPr>
          <w:rFonts w:ascii="宋体" w:hAnsi="宋体" w:cs="宋体"/>
          <w:sz w:val="24"/>
          <w:szCs w:val="24"/>
          <w:lang w:val="zh-CN"/>
        </w:rPr>
      </w:pPr>
      <w:r>
        <w:rPr>
          <w:rFonts w:hint="eastAsia" w:ascii="宋体" w:hAnsi="宋体" w:cs="宋体"/>
          <w:sz w:val="24"/>
          <w:szCs w:val="24"/>
          <w:lang w:val="zh-CN"/>
        </w:rPr>
        <w:t>（4）验收合格后两年内给付剩余10%。</w:t>
      </w:r>
      <w:r>
        <w:rPr>
          <w:rFonts w:ascii="宋体" w:hAnsi="宋体" w:cs="宋体"/>
          <w:sz w:val="24"/>
          <w:szCs w:val="24"/>
          <w:lang w:val="zh-CN"/>
        </w:rPr>
        <w:cr/>
      </w:r>
      <w:r>
        <w:rPr>
          <w:rFonts w:hint="eastAsia" w:ascii="宋体" w:hAnsi="宋体" w:cs="宋体"/>
          <w:sz w:val="24"/>
          <w:szCs w:val="24"/>
          <w:lang w:val="zh-CN"/>
        </w:rPr>
        <w:t>上述各期付款均不计息，同时卖方须提供符合买方要求开具全额税务发票。</w:t>
      </w:r>
    </w:p>
    <w:p>
      <w:pPr>
        <w:widowControl/>
        <w:ind w:firstLine="480" w:firstLineChars="200"/>
        <w:rPr>
          <w:sz w:val="24"/>
          <w:szCs w:val="24"/>
        </w:rPr>
      </w:pPr>
    </w:p>
    <w:p/>
    <w:p>
      <w:pPr>
        <w:spacing w:line="400" w:lineRule="exact"/>
        <w:jc w:val="left"/>
        <w:rPr>
          <w:rFonts w:ascii="宋体" w:hAnsi="宋体" w:cs="宋体"/>
          <w:b/>
          <w:sz w:val="28"/>
          <w:szCs w:val="28"/>
        </w:rPr>
      </w:pPr>
      <w:r>
        <w:rPr>
          <w:rFonts w:hint="eastAsia" w:ascii="宋体" w:hAnsi="宋体" w:cs="宋体"/>
          <w:b/>
          <w:sz w:val="28"/>
          <w:szCs w:val="28"/>
        </w:rPr>
        <w:t>（八）最高限价</w:t>
      </w:r>
    </w:p>
    <w:p>
      <w:pPr>
        <w:spacing w:line="360" w:lineRule="auto"/>
        <w:ind w:firstLine="482" w:firstLineChars="200"/>
        <w:rPr>
          <w:rFonts w:ascii="宋体" w:hAnsi="宋体" w:cs="宋体"/>
          <w:b/>
          <w:sz w:val="24"/>
          <w:szCs w:val="24"/>
        </w:rPr>
      </w:pPr>
      <w:r>
        <w:rPr>
          <w:rFonts w:hint="eastAsia" w:ascii="宋体" w:hAnsi="宋体" w:cs="宋体"/>
          <w:b/>
          <w:sz w:val="24"/>
          <w:szCs w:val="24"/>
        </w:rPr>
        <w:t>本次采购最高限价为人民币肆拾万元整（¥400000.00元），任何超过最高限价的报价将被认定为无效报价。</w:t>
      </w: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rPr>
          <w:rFonts w:ascii="黑体" w:hAnsi="宋体" w:eastAsia="黑体"/>
          <w:sz w:val="44"/>
          <w:szCs w:val="44"/>
        </w:rPr>
      </w:pPr>
    </w:p>
    <w:p>
      <w:pPr>
        <w:rPr>
          <w:rFonts w:ascii="黑体" w:hAnsi="宋体" w:eastAsia="黑体"/>
          <w:sz w:val="44"/>
          <w:szCs w:val="44"/>
        </w:rPr>
      </w:pPr>
    </w:p>
    <w:p>
      <w:pPr>
        <w:rPr>
          <w:rFonts w:ascii="黑体" w:hAnsi="宋体" w:eastAsia="黑体"/>
          <w:sz w:val="44"/>
          <w:szCs w:val="44"/>
        </w:rPr>
      </w:pPr>
    </w:p>
    <w:p>
      <w:pPr>
        <w:jc w:val="center"/>
        <w:rPr>
          <w:rFonts w:ascii="黑体" w:eastAsia="黑体"/>
          <w:sz w:val="44"/>
          <w:szCs w:val="44"/>
        </w:rPr>
      </w:pPr>
      <w:r>
        <w:rPr>
          <w:rFonts w:hint="eastAsia" w:ascii="黑体" w:hAnsi="宋体" w:eastAsia="黑体"/>
          <w:sz w:val="44"/>
          <w:szCs w:val="44"/>
        </w:rPr>
        <w:t xml:space="preserve">第四章  </w:t>
      </w:r>
      <w:r>
        <w:rPr>
          <w:rFonts w:hint="eastAsia" w:ascii="黑体" w:eastAsia="黑体"/>
          <w:sz w:val="44"/>
          <w:szCs w:val="44"/>
        </w:rPr>
        <w:t>诸暨市政府采购合同（通用条款）</w:t>
      </w:r>
    </w:p>
    <w:p>
      <w:pPr>
        <w:jc w:val="center"/>
      </w:pPr>
      <w:r>
        <w:rPr>
          <w:rFonts w:hint="eastAsia"/>
        </w:rPr>
        <w:t>合同编号：</w:t>
      </w:r>
    </w:p>
    <w:p>
      <w:pPr>
        <w:rPr>
          <w:u w:val="single"/>
        </w:rPr>
      </w:pPr>
      <w:r>
        <w:rPr>
          <w:rFonts w:hint="eastAsia"/>
        </w:rPr>
        <w:t>甲方（采购单位）：</w:t>
      </w:r>
      <w:r>
        <w:rPr>
          <w:rFonts w:hint="eastAsia"/>
          <w:u w:val="single"/>
        </w:rPr>
        <w:t xml:space="preserve">                            </w:t>
      </w:r>
      <w:r>
        <w:rPr>
          <w:rFonts w:hint="eastAsia"/>
        </w:rPr>
        <w:t>签订日期：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乙方（供货单位）：</w:t>
      </w:r>
      <w:r>
        <w:rPr>
          <w:rFonts w:hint="eastAsia"/>
          <w:u w:val="single"/>
        </w:rPr>
        <w:t xml:space="preserve">                            </w:t>
      </w:r>
      <w:r>
        <w:rPr>
          <w:rFonts w:hint="eastAsia"/>
        </w:rPr>
        <w:t>签订地点：</w:t>
      </w:r>
      <w:r>
        <w:rPr>
          <w:rFonts w:hint="eastAsia"/>
          <w:u w:val="single"/>
        </w:rPr>
        <w:t xml:space="preserve">                      </w:t>
      </w:r>
      <w:r>
        <w:rPr>
          <w:rFonts w:hint="eastAsia"/>
        </w:rPr>
        <w:t xml:space="preserve">  </w:t>
      </w:r>
    </w:p>
    <w:p>
      <w:pPr>
        <w:ind w:firstLine="420" w:firstLineChars="200"/>
      </w:pPr>
      <w:r>
        <w:rPr>
          <w:rFonts w:hint="eastAsia"/>
        </w:rPr>
        <w:t>根据《中华人民共和国合同法》、《中华人民共和国政府采购法》等有关规定，以及诸暨市公共资源交易中心（编号：诸政采20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号）采购文件相关要求，经法定程序采购，双方同意签订以下合同条款，以便双方共同遵守、履行合同。</w:t>
      </w:r>
    </w:p>
    <w:p>
      <w:pPr>
        <w:rPr>
          <w:b/>
        </w:rPr>
      </w:pPr>
      <w:r>
        <w:rPr>
          <w:rFonts w:hint="eastAsia"/>
        </w:rPr>
        <w:t xml:space="preserve">   </w:t>
      </w:r>
      <w:r>
        <w:rPr>
          <w:rFonts w:hint="eastAsia"/>
          <w:b/>
        </w:rPr>
        <w:t xml:space="preserve"> 一、采购产品</w:t>
      </w:r>
    </w:p>
    <w:tbl>
      <w:tblPr>
        <w:tblStyle w:val="4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vAlign w:val="center"/>
          </w:tcPr>
          <w:p>
            <w:pPr>
              <w:jc w:val="center"/>
            </w:pPr>
            <w:r>
              <w:rPr>
                <w:rFonts w:hint="eastAsia"/>
              </w:rPr>
              <w:t>产品名称</w:t>
            </w:r>
          </w:p>
        </w:tc>
        <w:tc>
          <w:tcPr>
            <w:tcW w:w="3960" w:type="dxa"/>
            <w:vAlign w:val="center"/>
          </w:tcPr>
          <w:p>
            <w:pPr>
              <w:jc w:val="center"/>
            </w:pPr>
            <w:r>
              <w:rPr>
                <w:rFonts w:hint="eastAsia"/>
              </w:rPr>
              <w:t>规格、型号</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76" w:type="dxa"/>
            <w:gridSpan w:val="5"/>
            <w:vAlign w:val="center"/>
          </w:tcPr>
          <w:p>
            <w:r>
              <w:rPr>
                <w:rFonts w:hint="eastAsia"/>
              </w:rPr>
              <w:t xml:space="preserve">合计人民币（大写）：  佰   拾   万   仟   佰   拾   元    角    分  </w:t>
            </w:r>
            <w:r>
              <w:rPr>
                <w:rFonts w:hint="eastAsia" w:ascii="宋体" w:hAnsi="宋体"/>
              </w:rPr>
              <w:t>￥：</w:t>
            </w:r>
          </w:p>
        </w:tc>
      </w:tr>
    </w:tbl>
    <w:p>
      <w:pPr>
        <w:rPr>
          <w:b/>
        </w:rPr>
      </w:pPr>
      <w:r>
        <w:rPr>
          <w:rFonts w:hint="eastAsia"/>
        </w:rPr>
        <w:t xml:space="preserve">    </w:t>
      </w:r>
      <w:r>
        <w:rPr>
          <w:rFonts w:hint="eastAsia"/>
          <w:b/>
        </w:rPr>
        <w:t>二、供货要求</w:t>
      </w:r>
    </w:p>
    <w:p>
      <w:pPr>
        <w:ind w:firstLine="420" w:firstLineChars="200"/>
      </w:pPr>
      <w:r>
        <w:rPr>
          <w:rFonts w:hint="eastAsia"/>
        </w:rPr>
        <w:t>1、乙方应在合同签订后</w:t>
      </w:r>
      <w:r>
        <w:rPr>
          <w:rFonts w:hint="eastAsia"/>
          <w:u w:val="single"/>
        </w:rPr>
        <w:t xml:space="preserve">   </w:t>
      </w:r>
      <w:r>
        <w:rPr>
          <w:rFonts w:hint="eastAsia"/>
        </w:rPr>
        <w:t>个工作日内，将产品免费送达甲方指定地点，并免费安装调试完毕后交付使用（除不可抗力因素外）。乙方必须在产品的右侧粘贴公司标签（标明公司名称、服务热线电话、供货时间：年月日等），乙方还需对甲方用户作使用培训。</w:t>
      </w:r>
    </w:p>
    <w:p>
      <w:pPr>
        <w:ind w:firstLine="420" w:firstLineChars="200"/>
      </w:pPr>
      <w:r>
        <w:rPr>
          <w:rFonts w:hint="eastAsia"/>
        </w:rPr>
        <w:t>2、乙方提供的产品必须是采购文件和合同规定的产品，其技术指标、型号须符合相关要求。供货时，乙方须向甲方提供产品说明书、保修卡、质量保证书等相关资料和原配的附件。</w:t>
      </w:r>
      <w:r>
        <w:rPr>
          <w:rFonts w:hint="eastAsia" w:ascii="宋体" w:hAnsi="宋体"/>
        </w:rPr>
        <w:t>原装进口产品（设备）交货时须提供中文产品说明书、保修卡、质量保证书、装箱单、商检证明等资料。制造编号与包装箱编号应一致。（注：所有采购的计算机办公设备必须预装正版操作系统软件）</w:t>
      </w:r>
    </w:p>
    <w:p>
      <w:pPr>
        <w:ind w:firstLine="420" w:firstLineChars="200"/>
      </w:pPr>
      <w:r>
        <w:rPr>
          <w:rFonts w:hint="eastAsia"/>
        </w:rPr>
        <w:t>3、乙方不得将采购产品转包给其他供应商，否则视为违约，并将追究其违约责任，甲方有权解除采购合同，所造成的损失由乙方承担。</w:t>
      </w:r>
    </w:p>
    <w:p>
      <w:pPr>
        <w:ind w:firstLine="420" w:firstLineChars="200"/>
      </w:pPr>
      <w:r>
        <w:rPr>
          <w:rFonts w:hint="eastAsia"/>
        </w:rPr>
        <w:t>4、如本合同采购产品在合同履约过程中出现产品更新或厂家停产等情况，须由乙方书现提出更换要求，并提供充分理由或依据，经甲方和诸暨市公共资源交易中心核实或认可，并报诸暨市公共资源交易管理委员会办公室审批同意后，方可更换替代性能参数指标比原原采购产品高的其他产品，但产品价格不变。</w:t>
      </w:r>
    </w:p>
    <w:p>
      <w:pPr>
        <w:ind w:firstLine="422" w:firstLineChars="200"/>
        <w:rPr>
          <w:b/>
        </w:rPr>
      </w:pPr>
      <w:r>
        <w:rPr>
          <w:rFonts w:hint="eastAsia"/>
          <w:b/>
        </w:rPr>
        <w:t>三、质量要求</w:t>
      </w:r>
    </w:p>
    <w:p>
      <w:pPr>
        <w:ind w:firstLine="420" w:firstLineChars="200"/>
        <w:rPr>
          <w:rFonts w:ascii="宋体" w:hAnsi="宋体"/>
        </w:rPr>
      </w:pPr>
      <w:r>
        <w:rPr>
          <w:rFonts w:hint="eastAsia"/>
        </w:rPr>
        <w:t>1、乙方应确保</w:t>
      </w:r>
      <w:r>
        <w:rPr>
          <w:rFonts w:hint="eastAsia" w:ascii="宋体" w:hAnsi="宋体"/>
        </w:rPr>
        <w:t>产品质量，所有产品均需符合国家产品的有关技术规范、质量标准和产品厂家的出厂标准，提供原厂质保书、合格证等有关文件资料，并保证产品是出厂原装合格产品。进口产品须是获得国家商检局颁布安全生产许可证的出厂原装合格产品。</w:t>
      </w:r>
    </w:p>
    <w:p>
      <w:pPr>
        <w:ind w:firstLine="420" w:firstLineChars="200"/>
      </w:pPr>
      <w:r>
        <w:rPr>
          <w:rFonts w:hint="eastAsia" w:ascii="宋体" w:hAnsi="宋体"/>
        </w:rPr>
        <w:t>2、乙方应保证设备经正确安装、正常运转和保养，保证在在其使用寿命内应具有满意的性能。</w:t>
      </w:r>
    </w:p>
    <w:p>
      <w:pPr>
        <w:ind w:firstLine="420" w:firstLineChars="200"/>
        <w:rPr>
          <w:rFonts w:ascii="宋体" w:hAnsi="宋体"/>
        </w:rPr>
      </w:pPr>
      <w:r>
        <w:rPr>
          <w:rFonts w:hint="eastAsia"/>
        </w:rPr>
        <w:t>3、如发</w:t>
      </w:r>
      <w:r>
        <w:rPr>
          <w:rFonts w:hint="eastAsia" w:ascii="宋体" w:hAnsi="宋体"/>
        </w:rPr>
        <w:t>生质量异议，甲方有权要求更换产品；若乙方拒绝，按《中华人民共和国产品质量法》等有关规定处理。</w:t>
      </w:r>
    </w:p>
    <w:p>
      <w:pPr>
        <w:ind w:firstLine="422" w:firstLineChars="200"/>
        <w:rPr>
          <w:rFonts w:ascii="宋体" w:hAnsi="宋体"/>
          <w:b/>
        </w:rPr>
      </w:pPr>
      <w:r>
        <w:rPr>
          <w:rFonts w:hint="eastAsia" w:ascii="宋体" w:hAnsi="宋体"/>
          <w:b/>
        </w:rPr>
        <w:t>四、产品验收</w:t>
      </w:r>
    </w:p>
    <w:p>
      <w:pPr>
        <w:ind w:firstLine="420" w:firstLineChars="200"/>
        <w:rPr>
          <w:rFonts w:ascii="宋体" w:hAnsi="宋体"/>
        </w:rPr>
      </w:pPr>
      <w:r>
        <w:rPr>
          <w:rFonts w:hint="eastAsia" w:ascii="宋体" w:hAnsi="宋体"/>
        </w:rPr>
        <w:t>产品由甲方单位组织验收，在货到后</w:t>
      </w:r>
      <w:r>
        <w:rPr>
          <w:rFonts w:hint="eastAsia" w:ascii="宋体" w:hAnsi="宋体"/>
          <w:u w:val="single"/>
        </w:rPr>
        <w:t xml:space="preserve">      </w:t>
      </w:r>
      <w:r>
        <w:rPr>
          <w:rFonts w:hint="eastAsia" w:ascii="宋体" w:hAnsi="宋体"/>
        </w:rPr>
        <w:t>天内验收完毕，</w:t>
      </w:r>
      <w:r>
        <w:rPr>
          <w:rFonts w:hint="eastAsia" w:ascii="宋体" w:hAnsi="宋体"/>
          <w:u w:val="single"/>
        </w:rPr>
        <w:t xml:space="preserve">       </w:t>
      </w:r>
      <w:r>
        <w:rPr>
          <w:rFonts w:hint="eastAsia" w:ascii="宋体" w:hAnsi="宋体"/>
        </w:rPr>
        <w:t>天内提出质量异议。具体按照《诸暨市政府采购合同履约和验收管理暂行规定》执行。</w:t>
      </w:r>
    </w:p>
    <w:p>
      <w:pPr>
        <w:ind w:firstLine="422" w:firstLineChars="200"/>
        <w:rPr>
          <w:rFonts w:ascii="宋体" w:hAnsi="宋体"/>
          <w:b/>
        </w:rPr>
      </w:pPr>
      <w:r>
        <w:rPr>
          <w:rFonts w:hint="eastAsia" w:ascii="宋体" w:hAnsi="宋体"/>
          <w:b/>
        </w:rPr>
        <w:t>五、付款方式</w:t>
      </w:r>
    </w:p>
    <w:p>
      <w:pPr>
        <w:ind w:firstLine="420" w:firstLineChars="200"/>
        <w:rPr>
          <w:rFonts w:ascii="宋体" w:hAnsi="宋体"/>
        </w:rPr>
      </w:pPr>
      <w:r>
        <w:rPr>
          <w:rFonts w:hint="eastAsia" w:ascii="宋体" w:hAnsi="宋体"/>
        </w:rPr>
        <w:t>1、中标产品经验收合格后，按照采购文件规定，甲方首次支付给乙方合同款的</w:t>
      </w:r>
      <w:r>
        <w:rPr>
          <w:rFonts w:hint="eastAsia" w:ascii="宋体" w:hAnsi="宋体"/>
          <w:u w:val="single"/>
        </w:rPr>
        <w:t xml:space="preserve">     </w:t>
      </w:r>
      <w:r>
        <w:rPr>
          <w:rFonts w:hint="eastAsia" w:ascii="宋体" w:hAnsi="宋体"/>
        </w:rPr>
        <w:t>%，即</w:t>
      </w:r>
    </w:p>
    <w:p>
      <w:pPr>
        <w:rPr>
          <w:rFonts w:ascii="宋体" w:hAnsi="宋体"/>
        </w:rPr>
      </w:pPr>
      <w:r>
        <w:rPr>
          <w:rFonts w:hint="eastAsia" w:ascii="宋体" w:hAnsi="宋体"/>
          <w:u w:val="single"/>
        </w:rPr>
        <w:t xml:space="preserve">        </w:t>
      </w:r>
      <w:r>
        <w:rPr>
          <w:rFonts w:hint="eastAsia" w:ascii="宋体" w:hAnsi="宋体"/>
        </w:rPr>
        <w:t>元；在正常运行</w:t>
      </w:r>
      <w:r>
        <w:rPr>
          <w:rFonts w:hint="eastAsia" w:ascii="宋体" w:hAnsi="宋体"/>
          <w:u w:val="single"/>
        </w:rPr>
        <w:t xml:space="preserve">        </w:t>
      </w:r>
      <w:r>
        <w:rPr>
          <w:rFonts w:hint="eastAsia" w:ascii="宋体" w:hAnsi="宋体"/>
        </w:rPr>
        <w:t>个月后的</w:t>
      </w:r>
      <w:r>
        <w:rPr>
          <w:rFonts w:hint="eastAsia" w:ascii="宋体" w:hAnsi="宋体"/>
          <w:u w:val="single"/>
        </w:rPr>
        <w:t xml:space="preserve">     </w:t>
      </w:r>
      <w:r>
        <w:rPr>
          <w:rFonts w:hint="eastAsia" w:ascii="宋体" w:hAnsi="宋体"/>
        </w:rPr>
        <w:t>天内再支付</w:t>
      </w:r>
      <w:r>
        <w:rPr>
          <w:rFonts w:hint="eastAsia" w:ascii="宋体" w:hAnsi="宋体"/>
          <w:u w:val="single"/>
        </w:rPr>
        <w:t xml:space="preserve">    </w:t>
      </w:r>
      <w:r>
        <w:rPr>
          <w:rFonts w:hint="eastAsia" w:ascii="宋体" w:hAnsi="宋体"/>
        </w:rPr>
        <w:t xml:space="preserve">%，即 </w:t>
      </w:r>
      <w:r>
        <w:rPr>
          <w:rFonts w:hint="eastAsia" w:ascii="宋体" w:hAnsi="宋体"/>
          <w:u w:val="single"/>
        </w:rPr>
        <w:t xml:space="preserve">      </w:t>
      </w:r>
      <w:r>
        <w:rPr>
          <w:rFonts w:hint="eastAsia" w:ascii="宋体" w:hAnsi="宋体"/>
        </w:rPr>
        <w:t>元；剩余的</w:t>
      </w:r>
      <w:r>
        <w:rPr>
          <w:rFonts w:hint="eastAsia" w:ascii="宋体" w:hAnsi="宋体"/>
          <w:u w:val="single"/>
        </w:rPr>
        <w:t xml:space="preserve">    %</w:t>
      </w:r>
      <w:r>
        <w:rPr>
          <w:rFonts w:hint="eastAsia" w:ascii="宋体" w:hAnsi="宋体"/>
        </w:rPr>
        <w:t>（可作为产品质保金），在</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日前若无质量问题全部付清（无息）。</w:t>
      </w:r>
    </w:p>
    <w:p>
      <w:pPr>
        <w:ind w:firstLine="420" w:firstLineChars="200"/>
        <w:rPr>
          <w:rFonts w:ascii="宋体" w:hAnsi="宋体"/>
        </w:rPr>
      </w:pPr>
      <w:r>
        <w:rPr>
          <w:rFonts w:hint="eastAsia" w:ascii="宋体" w:hAnsi="宋体"/>
        </w:rPr>
        <w:t>2、甲方凭乙方提供的经诸暨市公共资源交易中心与诸暨市政府采购工作办公室（地址：诸暨市人民中路</w:t>
      </w:r>
      <w:r>
        <w:rPr>
          <w:rFonts w:ascii="宋体" w:hAnsi="宋体"/>
        </w:rPr>
        <w:t>356</w:t>
      </w:r>
      <w:r>
        <w:rPr>
          <w:rFonts w:hint="eastAsia" w:ascii="宋体" w:hAnsi="宋体"/>
        </w:rPr>
        <w:t>号）审核后的发票复印件（要求在复印件上加盖用户单位公章）、验收结算书、合同，将合同款直接拨入乙方开户银行。</w:t>
      </w:r>
    </w:p>
    <w:p>
      <w:pPr>
        <w:ind w:firstLine="422" w:firstLineChars="200"/>
        <w:rPr>
          <w:rFonts w:ascii="宋体" w:hAnsi="宋体"/>
          <w:b/>
        </w:rPr>
      </w:pPr>
      <w:r>
        <w:rPr>
          <w:rFonts w:hint="eastAsia" w:ascii="宋体" w:hAnsi="宋体"/>
          <w:b/>
        </w:rPr>
        <w:t>六、履约保证金</w:t>
      </w:r>
    </w:p>
    <w:p>
      <w:pPr>
        <w:ind w:firstLine="420" w:firstLineChars="200"/>
        <w:rPr>
          <w:rFonts w:ascii="宋体" w:hAnsi="宋体"/>
        </w:rPr>
      </w:pPr>
      <w:r>
        <w:rPr>
          <w:rFonts w:hint="eastAsia" w:ascii="宋体" w:hAnsi="宋体"/>
        </w:rPr>
        <w:t>1、乙方在签订合同之前，须向甲方缴纳合同款5%的履约保证金。</w:t>
      </w:r>
    </w:p>
    <w:p>
      <w:pPr>
        <w:ind w:firstLine="420" w:firstLineChars="200"/>
        <w:rPr>
          <w:rFonts w:ascii="宋体" w:hAnsi="宋体"/>
        </w:rPr>
      </w:pPr>
      <w:r>
        <w:rPr>
          <w:rFonts w:hint="eastAsia" w:ascii="宋体" w:hAnsi="宋体"/>
        </w:rPr>
        <w:t>2、履约保证金在甲方将货物验收合格后，无息退还给乙方。</w:t>
      </w:r>
    </w:p>
    <w:p>
      <w:pPr>
        <w:ind w:firstLine="420" w:firstLineChars="200"/>
        <w:rPr>
          <w:rFonts w:ascii="宋体" w:hAnsi="宋体"/>
        </w:rPr>
      </w:pPr>
      <w:r>
        <w:rPr>
          <w:rFonts w:hint="eastAsia" w:ascii="宋体" w:hAnsi="宋体"/>
        </w:rPr>
        <w:t>3、如乙方未能履行合同规定的义务，甲方有权在履约保证金中取得补偿。</w:t>
      </w:r>
    </w:p>
    <w:p>
      <w:pPr>
        <w:ind w:firstLine="422" w:firstLineChars="200"/>
        <w:rPr>
          <w:rFonts w:ascii="宋体" w:hAnsi="宋体"/>
          <w:b/>
        </w:rPr>
      </w:pPr>
      <w:r>
        <w:rPr>
          <w:rFonts w:hint="eastAsia" w:ascii="宋体" w:hAnsi="宋体"/>
          <w:b/>
        </w:rPr>
        <w:t>七、产品数量变更</w:t>
      </w:r>
    </w:p>
    <w:p>
      <w:pPr>
        <w:ind w:firstLine="420" w:firstLineChars="200"/>
        <w:rPr>
          <w:rFonts w:ascii="宋体" w:hAnsi="宋体"/>
        </w:rPr>
      </w:pPr>
      <w:r>
        <w:rPr>
          <w:rFonts w:hint="eastAsia" w:ascii="宋体" w:hAnsi="宋体"/>
        </w:rPr>
        <w:t>合同履行过程中，甲方根据实际情况，需要增减与合同标的相同的产品，在不改变合同其他条款的前提下，可以与乙方协商签订补充合同，但所有补充合同的采购金额不得超过原合同采购金额的10%，增减产品的价格为相应中标产品的价格，且事先须向诸暨市财政局、诸暨市公共资源交易管理委员会办公室审核备案。</w:t>
      </w:r>
    </w:p>
    <w:p>
      <w:pPr>
        <w:ind w:firstLine="422" w:firstLineChars="200"/>
        <w:rPr>
          <w:rFonts w:ascii="宋体" w:hAnsi="宋体"/>
          <w:b/>
        </w:rPr>
      </w:pPr>
      <w:r>
        <w:rPr>
          <w:rFonts w:hint="eastAsia" w:ascii="宋体" w:hAnsi="宋体"/>
          <w:b/>
        </w:rPr>
        <w:t>八、售后服务</w:t>
      </w:r>
    </w:p>
    <w:p>
      <w:pPr>
        <w:ind w:firstLine="420" w:firstLineChars="200"/>
        <w:rPr>
          <w:rFonts w:ascii="宋体" w:hAnsi="宋体"/>
        </w:rPr>
      </w:pPr>
      <w:r>
        <w:rPr>
          <w:rFonts w:hint="eastAsia" w:ascii="宋体" w:hAnsi="宋体"/>
        </w:rPr>
        <w:t>具体售后服务条款参照采购文件及乙方投标文件中的售后服务承诺。</w:t>
      </w:r>
    </w:p>
    <w:p>
      <w:pPr>
        <w:ind w:firstLine="422" w:firstLineChars="200"/>
        <w:rPr>
          <w:rFonts w:ascii="宋体" w:hAnsi="宋体"/>
          <w:b/>
        </w:rPr>
      </w:pPr>
      <w:r>
        <w:rPr>
          <w:rFonts w:hint="eastAsia" w:ascii="宋体" w:hAnsi="宋体"/>
          <w:b/>
        </w:rPr>
        <w:t>九、违约责任</w:t>
      </w:r>
    </w:p>
    <w:p>
      <w:pPr>
        <w:ind w:firstLine="420" w:firstLineChars="200"/>
        <w:rPr>
          <w:rFonts w:ascii="宋体" w:hAnsi="宋体"/>
        </w:rPr>
      </w:pPr>
      <w:r>
        <w:rPr>
          <w:rFonts w:hint="eastAsia" w:ascii="宋体" w:hAnsi="宋体"/>
        </w:rPr>
        <w:t>1、甲方无正当理由拒收货物，由甲方向乙方偿付合同总价的5%违约金。</w:t>
      </w:r>
    </w:p>
    <w:p>
      <w:pPr>
        <w:ind w:firstLine="420" w:firstLineChars="200"/>
        <w:rPr>
          <w:rFonts w:ascii="宋体" w:hAnsi="宋体"/>
        </w:rPr>
      </w:pPr>
      <w:r>
        <w:rPr>
          <w:rFonts w:hint="eastAsia" w:ascii="宋体" w:hAnsi="宋体"/>
        </w:rPr>
        <w:t>2、甲方未能在合同规定期限内验收完毕的，每超过一天，付合同价的</w:t>
      </w:r>
      <w:r>
        <w:rPr>
          <w:rFonts w:hint="eastAsia" w:ascii="宋体" w:hAnsi="宋体"/>
          <w:u w:val="single"/>
        </w:rPr>
        <w:t xml:space="preserve">   </w:t>
      </w:r>
      <w:r>
        <w:rPr>
          <w:rFonts w:hint="eastAsia" w:ascii="宋体" w:hAnsi="宋体"/>
        </w:rPr>
        <w:t>%的违约金给乙方。</w:t>
      </w:r>
    </w:p>
    <w:p>
      <w:pPr>
        <w:ind w:firstLine="420" w:firstLineChars="200"/>
        <w:rPr>
          <w:rFonts w:ascii="宋体" w:hAnsi="宋体"/>
        </w:rPr>
      </w:pPr>
      <w:r>
        <w:rPr>
          <w:rFonts w:hint="eastAsia" w:ascii="宋体" w:hAnsi="宋体"/>
        </w:rPr>
        <w:t>3、乙方不能交付货物，甲方有权扣留全部履约保证金；同时乙方向甲方支付合同款总价5%的违约金。</w:t>
      </w:r>
    </w:p>
    <w:p>
      <w:pPr>
        <w:ind w:firstLine="420" w:firstLineChars="200"/>
        <w:rPr>
          <w:rFonts w:ascii="宋体" w:hAnsi="宋体"/>
        </w:rPr>
      </w:pPr>
      <w:r>
        <w:rPr>
          <w:rFonts w:hint="eastAsia" w:ascii="宋体" w:hAnsi="宋体"/>
        </w:rPr>
        <w:t>4、乙方逾期交付货物的，每逾期1天，乙方向甲方偿付逾期交货部分货物货款的0.5%的滞纳金，如乙方逾期交货15天，甲方有权解除合同，解除合同的通知自到达乙方时生效。</w:t>
      </w:r>
    </w:p>
    <w:p>
      <w:pPr>
        <w:ind w:firstLine="422" w:firstLineChars="200"/>
        <w:rPr>
          <w:rFonts w:ascii="宋体" w:hAnsi="宋体"/>
          <w:b/>
        </w:rPr>
      </w:pPr>
      <w:r>
        <w:rPr>
          <w:rFonts w:hint="eastAsia" w:ascii="宋体" w:hAnsi="宋体"/>
          <w:b/>
        </w:rPr>
        <w:t>十、其他约定事项</w:t>
      </w:r>
    </w:p>
    <w:p>
      <w:pPr>
        <w:ind w:firstLine="420" w:firstLineChars="200"/>
        <w:rPr>
          <w:rFonts w:ascii="宋体" w:hAnsi="宋体"/>
          <w:u w:val="single"/>
        </w:rPr>
      </w:pPr>
      <w:r>
        <w:rPr>
          <w:rFonts w:hint="eastAsia" w:ascii="宋体" w:hAnsi="宋体"/>
          <w:u w:val="single"/>
        </w:rPr>
        <w:t xml:space="preserve">                                                                                         </w:t>
      </w:r>
    </w:p>
    <w:p>
      <w:pPr>
        <w:rPr>
          <w:rFonts w:ascii="宋体" w:hAnsi="宋体"/>
          <w:u w:val="single"/>
        </w:rPr>
      </w:pPr>
      <w:r>
        <w:rPr>
          <w:rFonts w:hint="eastAsia" w:ascii="宋体" w:hAnsi="宋体"/>
          <w:u w:val="single"/>
        </w:rPr>
        <w:t xml:space="preserve">                                                                                       </w:t>
      </w:r>
    </w:p>
    <w:p>
      <w:pPr>
        <w:ind w:firstLine="422" w:firstLineChars="200"/>
        <w:rPr>
          <w:rFonts w:ascii="宋体" w:hAnsi="宋体"/>
          <w:b/>
        </w:rPr>
      </w:pPr>
      <w:r>
        <w:rPr>
          <w:rFonts w:hint="eastAsia" w:ascii="宋体" w:hAnsi="宋体"/>
          <w:b/>
        </w:rPr>
        <w:t>十一、解决合同纠纷方式</w:t>
      </w:r>
    </w:p>
    <w:p>
      <w:pPr>
        <w:ind w:firstLine="420" w:firstLineChars="200"/>
        <w:rPr>
          <w:rFonts w:ascii="宋体" w:hAnsi="宋体"/>
        </w:rPr>
      </w:pPr>
      <w:r>
        <w:rPr>
          <w:rFonts w:hint="eastAsia" w:ascii="宋体" w:hAnsi="宋体"/>
        </w:rPr>
        <w:t>其它未尽事宜或履行时发生争议，由双方本着诚实信用的原则协商解决，协商不成功可选择：1）向绍兴市仲裁委员会申请仲裁；2）向</w:t>
      </w:r>
      <w:r>
        <w:rPr>
          <w:rFonts w:hint="eastAsia" w:ascii="宋体" w:hAnsi="宋体"/>
          <w:u w:val="single"/>
        </w:rPr>
        <w:t xml:space="preserve">                                </w:t>
      </w:r>
      <w:r>
        <w:rPr>
          <w:rFonts w:hint="eastAsia" w:ascii="宋体" w:hAnsi="宋体"/>
        </w:rPr>
        <w:t>人民法院起诉。</w:t>
      </w:r>
    </w:p>
    <w:p>
      <w:pPr>
        <w:ind w:firstLine="422" w:firstLineChars="200"/>
        <w:rPr>
          <w:rFonts w:ascii="宋体" w:hAnsi="宋体"/>
          <w:b/>
        </w:rPr>
      </w:pPr>
      <w:r>
        <w:rPr>
          <w:rFonts w:hint="eastAsia" w:ascii="宋体" w:hAnsi="宋体"/>
          <w:b/>
        </w:rPr>
        <w:t>十二、其它</w:t>
      </w:r>
    </w:p>
    <w:p>
      <w:pPr>
        <w:ind w:left="420"/>
        <w:rPr>
          <w:rFonts w:ascii="宋体" w:hAnsi="宋体"/>
        </w:rPr>
      </w:pPr>
      <w:r>
        <w:rPr>
          <w:rFonts w:hint="eastAsia" w:ascii="宋体" w:hAnsi="宋体"/>
        </w:rPr>
        <w:t>1、本项目的采购文件、投标文件、中标通知书作为合同的附件，具有同等法律效力。</w:t>
      </w:r>
    </w:p>
    <w:p>
      <w:pPr>
        <w:ind w:left="420"/>
        <w:rPr>
          <w:rFonts w:ascii="宋体" w:hAnsi="宋体"/>
        </w:rPr>
      </w:pPr>
      <w:r>
        <w:rPr>
          <w:rFonts w:hint="eastAsia" w:ascii="宋体" w:hAnsi="宋体"/>
        </w:rPr>
        <w:t>2、本合同自签订之日起生效。</w:t>
      </w:r>
    </w:p>
    <w:p>
      <w:pPr>
        <w:ind w:left="420"/>
        <w:rPr>
          <w:rFonts w:ascii="宋体" w:hAnsi="宋体"/>
        </w:rPr>
      </w:pPr>
      <w:r>
        <w:rPr>
          <w:rFonts w:hint="eastAsia" w:ascii="宋体" w:hAnsi="宋体"/>
        </w:rPr>
        <w:t>3、本合同一式四份，甲乙双方各执两份。</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rPr>
        <w:tc>
          <w:tcPr>
            <w:tcW w:w="4524" w:type="dxa"/>
            <w:vAlign w:val="center"/>
          </w:tcPr>
          <w:p>
            <w:pPr>
              <w:jc w:val="center"/>
            </w:pPr>
            <w:r>
              <w:rPr>
                <w:rFonts w:hint="eastAsia"/>
              </w:rPr>
              <w:t>采购单位</w:t>
            </w:r>
          </w:p>
        </w:tc>
        <w:tc>
          <w:tcPr>
            <w:tcW w:w="4234" w:type="dxa"/>
            <w:vAlign w:val="center"/>
          </w:tcPr>
          <w:p>
            <w:pPr>
              <w:jc w:val="center"/>
            </w:pPr>
            <w:r>
              <w:rPr>
                <w:rFonts w:hint="eastAsia"/>
              </w:rPr>
              <w:t>供货单位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tc>
      </w:tr>
    </w:tbl>
    <w:p/>
    <w:p>
      <w:pPr>
        <w:jc w:val="center"/>
        <w:rPr>
          <w:rFonts w:ascii="黑体" w:hAnsi="宋体" w:eastAsia="黑体"/>
          <w:sz w:val="44"/>
          <w:szCs w:val="44"/>
        </w:rPr>
      </w:pPr>
    </w:p>
    <w:p>
      <w:pPr>
        <w:jc w:val="center"/>
        <w:rPr>
          <w:rFonts w:ascii="黑体" w:hAnsi="宋体" w:eastAsia="黑体"/>
          <w:sz w:val="44"/>
          <w:szCs w:val="44"/>
        </w:rPr>
      </w:pPr>
      <w:r>
        <w:rPr>
          <w:rFonts w:hint="eastAsia" w:ascii="黑体" w:hAnsi="宋体" w:eastAsia="黑体"/>
          <w:sz w:val="44"/>
          <w:szCs w:val="44"/>
        </w:rPr>
        <w:t>第五章  应提交的有关格式范例</w:t>
      </w:r>
    </w:p>
    <w:p>
      <w:pPr>
        <w:widowControl/>
        <w:tabs>
          <w:tab w:val="left" w:pos="450"/>
          <w:tab w:val="left" w:pos="8280"/>
        </w:tabs>
        <w:spacing w:line="360" w:lineRule="auto"/>
        <w:ind w:firstLine="480"/>
        <w:jc w:val="center"/>
        <w:rPr>
          <w:rFonts w:ascii="黑体" w:hAnsi="黑体" w:eastAsia="黑体"/>
          <w:sz w:val="32"/>
          <w:szCs w:val="32"/>
        </w:rPr>
      </w:pPr>
    </w:p>
    <w:p>
      <w:pPr>
        <w:widowControl/>
        <w:tabs>
          <w:tab w:val="left" w:pos="450"/>
          <w:tab w:val="left" w:pos="2520"/>
          <w:tab w:val="left" w:pos="8280"/>
        </w:tabs>
        <w:spacing w:line="360" w:lineRule="auto"/>
        <w:ind w:firstLine="480"/>
        <w:jc w:val="center"/>
        <w:rPr>
          <w:rFonts w:ascii="黑体" w:hAnsi="宋体" w:eastAsia="黑体" w:cs="宋体"/>
          <w:sz w:val="32"/>
          <w:szCs w:val="32"/>
        </w:rPr>
      </w:pPr>
      <w:r>
        <w:rPr>
          <w:rFonts w:hint="eastAsia" w:ascii="黑体" w:hAnsi="黑体" w:eastAsia="黑体"/>
          <w:sz w:val="32"/>
          <w:szCs w:val="32"/>
        </w:rPr>
        <w:t>一、外包装封面格式</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275"/>
          <w:tab w:val="left" w:pos="8280"/>
        </w:tabs>
        <w:spacing w:line="360" w:lineRule="auto"/>
        <w:ind w:firstLine="480"/>
        <w:jc w:val="left"/>
        <w:rPr>
          <w:rFonts w:ascii="仿宋_GB2312" w:hAnsi="宋体" w:eastAsia="仿宋_GB2312" w:cs="宋体"/>
          <w:b/>
          <w:sz w:val="36"/>
          <w:szCs w:val="36"/>
        </w:rPr>
      </w:pPr>
    </w:p>
    <w:p>
      <w:pPr>
        <w:widowControl/>
        <w:tabs>
          <w:tab w:val="left" w:pos="275"/>
          <w:tab w:val="left" w:pos="8280"/>
        </w:tabs>
        <w:spacing w:line="360" w:lineRule="auto"/>
        <w:ind w:firstLine="480"/>
        <w:jc w:val="left"/>
        <w:rPr>
          <w:rFonts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275"/>
          <w:tab w:val="left" w:pos="8280"/>
        </w:tabs>
        <w:spacing w:line="360" w:lineRule="auto"/>
        <w:jc w:val="left"/>
        <w:rPr>
          <w:rFonts w:ascii="仿宋_GB2312" w:hAnsi="宋体" w:eastAsia="仿宋_GB2312" w:cs="宋体"/>
          <w:b/>
          <w:sz w:val="32"/>
          <w:szCs w:val="32"/>
          <w:u w:val="single"/>
        </w:rPr>
      </w:pPr>
      <w:r>
        <w:rPr>
          <w:rFonts w:hint="eastAsia" w:ascii="仿宋_GB2312" w:hAnsi="宋体" w:eastAsia="仿宋_GB2312" w:cs="宋体"/>
          <w:b/>
          <w:sz w:val="32"/>
          <w:szCs w:val="32"/>
        </w:rPr>
        <w:t>项目名称：</w:t>
      </w:r>
      <w:r>
        <w:rPr>
          <w:rFonts w:hint="eastAsia" w:ascii="仿宋_GB2312" w:hAnsi="宋体" w:eastAsia="仿宋_GB2312" w:cs="宋体"/>
          <w:b/>
          <w:sz w:val="32"/>
          <w:szCs w:val="32"/>
          <w:u w:val="single"/>
        </w:rPr>
        <w:t xml:space="preserve">                                      </w:t>
      </w:r>
    </w:p>
    <w:p>
      <w:pPr>
        <w:widowControl/>
        <w:tabs>
          <w:tab w:val="left" w:pos="275"/>
          <w:tab w:val="left" w:pos="8280"/>
        </w:tabs>
        <w:spacing w:line="360" w:lineRule="auto"/>
        <w:ind w:firstLine="472" w:firstLineChars="147"/>
        <w:jc w:val="left"/>
        <w:rPr>
          <w:rFonts w:ascii="仿宋_GB2312" w:hAnsi="宋体" w:eastAsia="仿宋_GB2312" w:cs="宋体"/>
          <w:b/>
          <w:sz w:val="32"/>
          <w:szCs w:val="32"/>
        </w:rPr>
      </w:pPr>
    </w:p>
    <w:p>
      <w:pPr>
        <w:widowControl/>
        <w:tabs>
          <w:tab w:val="left" w:pos="275"/>
          <w:tab w:val="left" w:pos="8280"/>
        </w:tabs>
        <w:spacing w:line="360" w:lineRule="auto"/>
        <w:jc w:val="left"/>
        <w:rPr>
          <w:rFonts w:ascii="仿宋_GB2312" w:hAnsi="宋体" w:eastAsia="仿宋_GB2312" w:cs="宋体"/>
          <w:b/>
          <w:sz w:val="36"/>
          <w:szCs w:val="36"/>
        </w:rPr>
      </w:pPr>
      <w:r>
        <w:rPr>
          <w:rFonts w:hint="eastAsia" w:ascii="仿宋_GB2312" w:hAnsi="宋体" w:eastAsia="仿宋_GB2312" w:cs="宋体"/>
          <w:b/>
          <w:sz w:val="32"/>
          <w:szCs w:val="32"/>
        </w:rPr>
        <w:t>项目编号：</w:t>
      </w:r>
      <w:r>
        <w:rPr>
          <w:rFonts w:hint="eastAsia" w:ascii="仿宋_GB2312" w:hAnsi="宋体" w:eastAsia="仿宋_GB2312" w:cs="宋体"/>
          <w:b/>
          <w:sz w:val="32"/>
          <w:szCs w:val="32"/>
          <w:u w:val="single"/>
        </w:rPr>
        <w:t xml:space="preserve">                                      </w:t>
      </w:r>
      <w:r>
        <w:rPr>
          <w:rFonts w:hint="eastAsia" w:ascii="仿宋_GB2312" w:hAnsi="宋体" w:eastAsia="仿宋_GB2312" w:cs="宋体"/>
          <w:b/>
          <w:sz w:val="32"/>
          <w:szCs w:val="32"/>
        </w:rPr>
        <w:t xml:space="preserve">   </w:t>
      </w:r>
    </w:p>
    <w:p>
      <w:pPr>
        <w:widowControl/>
        <w:tabs>
          <w:tab w:val="left" w:pos="765"/>
          <w:tab w:val="left" w:pos="8280"/>
        </w:tabs>
        <w:spacing w:line="360" w:lineRule="auto"/>
        <w:ind w:firstLine="480"/>
        <w:jc w:val="left"/>
        <w:rPr>
          <w:rFonts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765"/>
          <w:tab w:val="left" w:pos="8280"/>
        </w:tabs>
        <w:spacing w:line="360" w:lineRule="auto"/>
        <w:jc w:val="left"/>
        <w:rPr>
          <w:rFonts w:ascii="仿宋_GB2312" w:hAnsi="宋体" w:eastAsia="仿宋_GB2312" w:cs="宋体"/>
          <w:b/>
          <w:sz w:val="36"/>
          <w:szCs w:val="36"/>
          <w:u w:val="single"/>
        </w:rPr>
      </w:pPr>
      <w:r>
        <w:rPr>
          <w:rFonts w:hint="eastAsia" w:ascii="仿宋_GB2312" w:hAnsi="宋体" w:eastAsia="仿宋_GB2312" w:cs="宋体"/>
          <w:b/>
          <w:sz w:val="32"/>
          <w:szCs w:val="32"/>
        </w:rPr>
        <w:t>投标人：</w:t>
      </w:r>
      <w:r>
        <w:rPr>
          <w:rFonts w:hint="eastAsia" w:ascii="仿宋_GB2312" w:hAnsi="宋体" w:eastAsia="仿宋_GB2312" w:cs="宋体"/>
          <w:b/>
          <w:sz w:val="32"/>
          <w:szCs w:val="32"/>
          <w:u w:val="single"/>
        </w:rPr>
        <w:t xml:space="preserve">                               （盖公章）</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350"/>
          <w:tab w:val="left" w:pos="8280"/>
        </w:tabs>
        <w:spacing w:line="360" w:lineRule="auto"/>
        <w:jc w:val="left"/>
        <w:rPr>
          <w:rFonts w:ascii="仿宋_GB2312" w:hAnsi="宋体" w:eastAsia="仿宋_GB2312" w:cs="宋体"/>
          <w:b/>
          <w:sz w:val="36"/>
          <w:szCs w:val="36"/>
          <w:u w:val="single"/>
        </w:rPr>
      </w:pPr>
      <w:r>
        <w:rPr>
          <w:rFonts w:hint="eastAsia" w:ascii="仿宋_GB2312" w:hAnsi="宋体" w:eastAsia="仿宋_GB2312" w:cs="宋体"/>
          <w:b/>
          <w:sz w:val="32"/>
          <w:szCs w:val="32"/>
        </w:rPr>
        <w:t>法定代表人或委托代理人（签字）：</w:t>
      </w:r>
      <w:r>
        <w:rPr>
          <w:rFonts w:hint="eastAsia" w:ascii="仿宋_GB2312" w:hAnsi="宋体" w:eastAsia="仿宋_GB2312" w:cs="宋体"/>
          <w:b/>
          <w:sz w:val="32"/>
          <w:szCs w:val="32"/>
          <w:u w:val="single"/>
        </w:rPr>
        <w:t xml:space="preserve">        （签字或盖章）</w:t>
      </w:r>
      <w:r>
        <w:rPr>
          <w:rFonts w:hint="eastAsia" w:ascii="仿宋_GB2312" w:hAnsi="宋体" w:eastAsia="仿宋_GB2312" w:cs="宋体"/>
          <w:b/>
          <w:sz w:val="32"/>
          <w:szCs w:val="32"/>
        </w:rPr>
        <w:t xml:space="preserve">   </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350"/>
          <w:tab w:val="left" w:pos="8280"/>
        </w:tabs>
        <w:spacing w:line="360" w:lineRule="auto"/>
        <w:jc w:val="left"/>
        <w:rPr>
          <w:rFonts w:ascii="仿宋_GB2312" w:hAnsi="宋体" w:eastAsia="仿宋_GB2312" w:cs="宋体"/>
          <w:b/>
          <w:sz w:val="32"/>
          <w:szCs w:val="32"/>
        </w:rPr>
      </w:pPr>
      <w:r>
        <w:rPr>
          <w:rFonts w:hint="eastAsia" w:ascii="仿宋_GB2312" w:hAnsi="宋体" w:eastAsia="仿宋_GB2312" w:cs="宋体"/>
          <w:b/>
          <w:sz w:val="32"/>
          <w:szCs w:val="32"/>
        </w:rPr>
        <w:t xml:space="preserve">日期：      </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年</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月</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日</w:t>
      </w:r>
    </w:p>
    <w:p>
      <w:pPr>
        <w:widowControl/>
        <w:tabs>
          <w:tab w:val="left" w:pos="350"/>
          <w:tab w:val="left" w:pos="8280"/>
        </w:tabs>
        <w:spacing w:line="360" w:lineRule="auto"/>
        <w:ind w:firstLine="480"/>
        <w:jc w:val="left"/>
        <w:rPr>
          <w:rFonts w:ascii="仿宋_GB2312" w:hAnsi="宋体" w:eastAsia="仿宋_GB2312" w:cs="宋体"/>
          <w:b/>
          <w:sz w:val="32"/>
          <w:szCs w:val="32"/>
        </w:rPr>
      </w:pPr>
    </w:p>
    <w:p>
      <w:pPr>
        <w:widowControl/>
        <w:tabs>
          <w:tab w:val="left" w:pos="450"/>
          <w:tab w:val="left" w:pos="2520"/>
          <w:tab w:val="left" w:pos="8280"/>
        </w:tabs>
        <w:spacing w:line="360" w:lineRule="auto"/>
        <w:jc w:val="center"/>
        <w:rPr>
          <w:rFonts w:ascii="黑体" w:hAnsi="黑体" w:eastAsia="黑体"/>
          <w:sz w:val="36"/>
          <w:szCs w:val="32"/>
        </w:rPr>
      </w:pPr>
    </w:p>
    <w:p>
      <w:pPr>
        <w:widowControl/>
        <w:tabs>
          <w:tab w:val="left" w:pos="450"/>
          <w:tab w:val="left" w:pos="2520"/>
          <w:tab w:val="left" w:pos="8280"/>
        </w:tabs>
        <w:spacing w:line="360" w:lineRule="auto"/>
        <w:jc w:val="center"/>
        <w:rPr>
          <w:rFonts w:ascii="黑体" w:hAnsi="黑体" w:eastAsia="黑体"/>
          <w:sz w:val="36"/>
          <w:szCs w:val="32"/>
        </w:rPr>
      </w:pPr>
    </w:p>
    <w:p>
      <w:pPr>
        <w:widowControl/>
        <w:tabs>
          <w:tab w:val="left" w:pos="450"/>
          <w:tab w:val="left" w:pos="2520"/>
          <w:tab w:val="left" w:pos="8280"/>
        </w:tabs>
        <w:spacing w:line="360" w:lineRule="auto"/>
        <w:jc w:val="center"/>
        <w:rPr>
          <w:rFonts w:ascii="黑体" w:hAnsi="黑体" w:eastAsia="黑体"/>
          <w:sz w:val="36"/>
          <w:szCs w:val="32"/>
        </w:rPr>
      </w:pPr>
    </w:p>
    <w:p>
      <w:pPr>
        <w:widowControl/>
        <w:tabs>
          <w:tab w:val="left" w:pos="450"/>
          <w:tab w:val="left" w:pos="2520"/>
          <w:tab w:val="left" w:pos="8280"/>
        </w:tabs>
        <w:spacing w:line="360" w:lineRule="auto"/>
        <w:jc w:val="center"/>
        <w:rPr>
          <w:rFonts w:ascii="黑体" w:hAnsi="黑体" w:eastAsia="黑体"/>
          <w:sz w:val="36"/>
          <w:szCs w:val="32"/>
        </w:rPr>
      </w:pPr>
    </w:p>
    <w:p>
      <w:pPr>
        <w:widowControl/>
        <w:tabs>
          <w:tab w:val="left" w:pos="450"/>
          <w:tab w:val="left" w:pos="2520"/>
          <w:tab w:val="left" w:pos="8280"/>
        </w:tabs>
        <w:spacing w:line="360" w:lineRule="auto"/>
        <w:jc w:val="center"/>
        <w:rPr>
          <w:rFonts w:ascii="黑体" w:hAnsi="黑体" w:eastAsia="黑体"/>
          <w:sz w:val="36"/>
          <w:szCs w:val="32"/>
        </w:rPr>
      </w:pPr>
    </w:p>
    <w:p>
      <w:pPr>
        <w:widowControl/>
        <w:tabs>
          <w:tab w:val="left" w:pos="450"/>
          <w:tab w:val="left" w:pos="2520"/>
          <w:tab w:val="left" w:pos="8280"/>
        </w:tabs>
        <w:spacing w:line="360" w:lineRule="auto"/>
        <w:jc w:val="center"/>
        <w:rPr>
          <w:rFonts w:ascii="黑体" w:hAnsi="黑体" w:eastAsia="黑体"/>
          <w:sz w:val="36"/>
          <w:szCs w:val="32"/>
        </w:rPr>
      </w:pPr>
    </w:p>
    <w:p>
      <w:pPr>
        <w:pStyle w:val="3"/>
        <w:spacing w:line="500" w:lineRule="exact"/>
        <w:jc w:val="center"/>
        <w:rPr>
          <w:rFonts w:ascii="黑体" w:hAnsi="黑体"/>
          <w:b w:val="0"/>
        </w:rPr>
      </w:pPr>
      <w:r>
        <w:rPr>
          <w:rFonts w:hint="eastAsia" w:ascii="黑体" w:hAnsi="黑体"/>
          <w:b w:val="0"/>
        </w:rPr>
        <w:t>二、投标函（格式）</w:t>
      </w:r>
    </w:p>
    <w:p>
      <w:pPr>
        <w:spacing w:line="660" w:lineRule="exact"/>
        <w:rPr>
          <w:rFonts w:ascii="宋体" w:hAnsi="宋体"/>
          <w:spacing w:val="8"/>
          <w:sz w:val="24"/>
          <w:szCs w:val="24"/>
        </w:rPr>
      </w:pPr>
      <w:r>
        <w:rPr>
          <w:rFonts w:hint="eastAsia" w:ascii="宋体" w:hAnsi="宋体"/>
          <w:spacing w:val="8"/>
          <w:sz w:val="24"/>
          <w:szCs w:val="24"/>
        </w:rPr>
        <w:t>致：诸暨市公共资源交易中心</w:t>
      </w:r>
    </w:p>
    <w:p>
      <w:pPr>
        <w:spacing w:line="360" w:lineRule="auto"/>
        <w:ind w:firstLine="384" w:firstLineChars="150"/>
        <w:rPr>
          <w:rFonts w:ascii="宋体" w:hAnsi="宋体"/>
          <w:sz w:val="24"/>
          <w:szCs w:val="24"/>
        </w:rPr>
      </w:pPr>
      <w:r>
        <w:rPr>
          <w:rFonts w:hint="eastAsia" w:ascii="宋体" w:hAnsi="宋体"/>
          <w:spacing w:val="8"/>
          <w:sz w:val="24"/>
          <w:szCs w:val="24"/>
        </w:rPr>
        <w:t>根据贵方</w:t>
      </w:r>
      <w:r>
        <w:rPr>
          <w:rFonts w:hint="eastAsia" w:ascii="宋体" w:hAnsi="宋体"/>
          <w:spacing w:val="8"/>
          <w:sz w:val="24"/>
          <w:szCs w:val="24"/>
          <w:u w:val="single"/>
        </w:rPr>
        <w:t xml:space="preserve">                           项目的</w:t>
      </w:r>
      <w:r>
        <w:rPr>
          <w:rFonts w:hint="eastAsia" w:ascii="宋体" w:hAnsi="宋体"/>
          <w:spacing w:val="8"/>
          <w:sz w:val="24"/>
          <w:szCs w:val="24"/>
        </w:rPr>
        <w:t>采购文件（编号：</w:t>
      </w:r>
      <w:r>
        <w:rPr>
          <w:rFonts w:ascii="宋体" w:hAnsi="宋体"/>
          <w:spacing w:val="8"/>
          <w:sz w:val="24"/>
          <w:szCs w:val="24"/>
        </w:rPr>
        <w:t>诸政采 20</w:t>
      </w:r>
      <w:r>
        <w:rPr>
          <w:rFonts w:hint="eastAsia" w:ascii="宋体" w:hAnsi="宋体"/>
          <w:spacing w:val="8"/>
          <w:sz w:val="24"/>
          <w:szCs w:val="24"/>
        </w:rPr>
        <w:t>21</w:t>
      </w:r>
      <w:r>
        <w:rPr>
          <w:rFonts w:ascii="宋体" w:hAnsi="宋体"/>
          <w:spacing w:val="8"/>
          <w:sz w:val="24"/>
          <w:szCs w:val="24"/>
        </w:rPr>
        <w:t>-</w:t>
      </w:r>
      <w:r>
        <w:rPr>
          <w:rFonts w:hint="eastAsia" w:ascii="宋体" w:hAnsi="宋体"/>
          <w:spacing w:val="8"/>
          <w:sz w:val="24"/>
          <w:szCs w:val="24"/>
        </w:rPr>
        <w:t>**</w:t>
      </w:r>
      <w:r>
        <w:rPr>
          <w:rFonts w:ascii="宋体" w:hAnsi="宋体"/>
          <w:spacing w:val="8"/>
          <w:sz w:val="24"/>
          <w:szCs w:val="24"/>
        </w:rPr>
        <w:t>-</w:t>
      </w:r>
      <w:r>
        <w:rPr>
          <w:rFonts w:hint="eastAsia" w:ascii="宋体" w:hAnsi="宋体"/>
          <w:spacing w:val="8"/>
          <w:sz w:val="24"/>
          <w:szCs w:val="24"/>
        </w:rPr>
        <w:t xml:space="preserve">**）有关要求， </w:t>
      </w:r>
      <w:r>
        <w:rPr>
          <w:rFonts w:hint="eastAsia" w:ascii="宋体" w:hAnsi="宋体"/>
          <w:spacing w:val="8"/>
          <w:sz w:val="24"/>
          <w:szCs w:val="24"/>
          <w:u w:val="single"/>
        </w:rPr>
        <w:t xml:space="preserve">   　　（投标人全称）       </w:t>
      </w:r>
      <w:r>
        <w:rPr>
          <w:rFonts w:hint="eastAsia" w:ascii="宋体" w:hAnsi="宋体"/>
          <w:spacing w:val="8"/>
          <w:sz w:val="24"/>
          <w:szCs w:val="24"/>
        </w:rPr>
        <w:t>授权</w:t>
      </w:r>
      <w:r>
        <w:rPr>
          <w:rFonts w:hint="eastAsia" w:ascii="宋体" w:hAnsi="宋体"/>
          <w:spacing w:val="8"/>
          <w:sz w:val="24"/>
          <w:szCs w:val="24"/>
          <w:u w:val="single"/>
        </w:rPr>
        <w:t xml:space="preserve">     （委托代理人姓名）   </w:t>
      </w:r>
      <w:r>
        <w:rPr>
          <w:rFonts w:hint="eastAsia" w:ascii="宋体" w:hAnsi="宋体"/>
          <w:sz w:val="24"/>
          <w:szCs w:val="24"/>
        </w:rPr>
        <w:t>为全权代表，参加贵方组织的采购采购活动，并进行投标。为此：</w:t>
      </w:r>
    </w:p>
    <w:p>
      <w:pPr>
        <w:snapToGrid w:val="0"/>
        <w:spacing w:line="360" w:lineRule="auto"/>
        <w:ind w:firstLine="480" w:firstLineChars="200"/>
        <w:rPr>
          <w:rFonts w:ascii="宋体" w:hAnsi="宋体"/>
          <w:bCs/>
          <w:sz w:val="24"/>
          <w:szCs w:val="24"/>
        </w:rPr>
      </w:pPr>
      <w:r>
        <w:rPr>
          <w:rFonts w:hint="eastAsia" w:ascii="宋体" w:hAnsi="宋体"/>
          <w:sz w:val="24"/>
          <w:szCs w:val="24"/>
        </w:rPr>
        <w:t>1、我方已详细研读了全部采购文件，包括修改文件（如有的话）以及全部参考资料和有关附件等，</w:t>
      </w:r>
      <w:r>
        <w:rPr>
          <w:rFonts w:hint="eastAsia" w:ascii="宋体" w:hAnsi="宋体"/>
          <w:bCs/>
          <w:sz w:val="24"/>
          <w:szCs w:val="24"/>
        </w:rPr>
        <w:t>完全理解并接受采购文件的各项规定和要求，对采购文件的合理性、合法性不再有异议。</w:t>
      </w:r>
    </w:p>
    <w:p>
      <w:pPr>
        <w:tabs>
          <w:tab w:val="left" w:pos="900"/>
        </w:tabs>
        <w:spacing w:line="360" w:lineRule="auto"/>
        <w:ind w:firstLine="480" w:firstLineChars="200"/>
        <w:rPr>
          <w:rFonts w:ascii="宋体" w:hAnsi="宋体"/>
          <w:sz w:val="24"/>
          <w:szCs w:val="24"/>
        </w:rPr>
      </w:pPr>
      <w:r>
        <w:rPr>
          <w:rFonts w:hint="eastAsia" w:ascii="宋体" w:hAnsi="宋体"/>
          <w:sz w:val="24"/>
          <w:szCs w:val="24"/>
        </w:rPr>
        <w:t>2、我方承诺本谈判响应文件在开标之日起至投标有效期满均具有约束力，并严格遵守谈判响应文件中的承诺。</w:t>
      </w:r>
    </w:p>
    <w:p>
      <w:pPr>
        <w:spacing w:line="360" w:lineRule="auto"/>
        <w:ind w:firstLine="480" w:firstLineChars="200"/>
        <w:rPr>
          <w:rFonts w:ascii="宋体" w:hAnsi="宋体"/>
          <w:sz w:val="24"/>
          <w:szCs w:val="24"/>
        </w:rPr>
      </w:pPr>
      <w:r>
        <w:rPr>
          <w:rFonts w:hint="eastAsia" w:ascii="宋体" w:hAnsi="宋体"/>
          <w:sz w:val="24"/>
          <w:szCs w:val="24"/>
        </w:rPr>
        <w:t>3、我方承诺已经具备《中华人民共和国政府采购法》及采购文件中规定的参加本项目的供应商资格条件。</w:t>
      </w:r>
    </w:p>
    <w:p>
      <w:pPr>
        <w:snapToGrid w:val="0"/>
        <w:spacing w:line="360" w:lineRule="auto"/>
        <w:ind w:firstLine="480" w:firstLineChars="200"/>
        <w:rPr>
          <w:rFonts w:ascii="宋体" w:hAnsi="宋体"/>
          <w:sz w:val="24"/>
          <w:szCs w:val="24"/>
        </w:rPr>
      </w:pPr>
      <w:r>
        <w:rPr>
          <w:rFonts w:hint="eastAsia" w:ascii="宋体" w:hAnsi="宋体"/>
          <w:sz w:val="24"/>
          <w:szCs w:val="24"/>
        </w:rPr>
        <w:t>4、我方严格按照采购文件的规定报价，并提供采购文件规定的全部谈判响应文件。</w:t>
      </w:r>
    </w:p>
    <w:p>
      <w:pPr>
        <w:spacing w:line="360" w:lineRule="auto"/>
        <w:ind w:firstLine="480" w:firstLineChars="200"/>
        <w:rPr>
          <w:rFonts w:ascii="宋体" w:hAnsi="宋体"/>
          <w:sz w:val="24"/>
          <w:szCs w:val="24"/>
        </w:rPr>
      </w:pPr>
      <w:r>
        <w:rPr>
          <w:rFonts w:hint="eastAsia" w:ascii="宋体" w:hAnsi="宋体"/>
          <w:sz w:val="24"/>
          <w:szCs w:val="24"/>
        </w:rPr>
        <w:t>5、如我方中标，谈判响应文件将作为本项目合同的组成部分，直到合同履行完毕均保持有效，我方将按采购文件及政府采购法律、法规的规定履行合同责任和义务。</w:t>
      </w:r>
    </w:p>
    <w:p>
      <w:pPr>
        <w:spacing w:line="360" w:lineRule="auto"/>
        <w:ind w:firstLine="480" w:firstLineChars="200"/>
        <w:rPr>
          <w:rFonts w:ascii="宋体" w:hAnsi="宋体"/>
          <w:sz w:val="24"/>
          <w:szCs w:val="24"/>
        </w:rPr>
      </w:pPr>
      <w:r>
        <w:rPr>
          <w:rFonts w:hint="eastAsia" w:ascii="宋体" w:hAnsi="宋体"/>
          <w:sz w:val="24"/>
          <w:szCs w:val="24"/>
        </w:rPr>
        <w:t>6、我方完全理解贵方不一定接受最低价的投标。</w:t>
      </w:r>
    </w:p>
    <w:p>
      <w:pPr>
        <w:spacing w:line="360" w:lineRule="auto"/>
        <w:ind w:firstLine="480" w:firstLineChars="200"/>
        <w:rPr>
          <w:rFonts w:ascii="宋体" w:hAnsi="宋体"/>
          <w:sz w:val="24"/>
          <w:szCs w:val="24"/>
        </w:rPr>
      </w:pPr>
      <w:r>
        <w:rPr>
          <w:rFonts w:hint="eastAsia" w:ascii="宋体" w:hAnsi="宋体"/>
          <w:sz w:val="24"/>
          <w:szCs w:val="24"/>
        </w:rPr>
        <w:t>7、我方同意向贵方提供任何与该项投标有关的一切数据或资料。若贵方需要，我方愿意提供我方作出的一切承诺的证明材料。</w:t>
      </w:r>
    </w:p>
    <w:p>
      <w:pPr>
        <w:spacing w:line="360" w:lineRule="auto"/>
        <w:ind w:firstLine="480" w:firstLineChars="200"/>
        <w:rPr>
          <w:rFonts w:ascii="宋体" w:hAnsi="宋体"/>
          <w:sz w:val="24"/>
          <w:szCs w:val="24"/>
        </w:rPr>
      </w:pPr>
      <w:r>
        <w:rPr>
          <w:rFonts w:hint="eastAsia" w:ascii="宋体" w:hAnsi="宋体"/>
          <w:sz w:val="24"/>
          <w:szCs w:val="24"/>
        </w:rPr>
        <w:t>8、与本次投标有关的一切正式往来通讯，请寄：</w:t>
      </w:r>
    </w:p>
    <w:p>
      <w:pPr>
        <w:spacing w:line="360" w:lineRule="auto"/>
        <w:ind w:firstLine="425"/>
        <w:rPr>
          <w:rFonts w:ascii="宋体" w:hAnsi="宋体"/>
          <w:sz w:val="24"/>
          <w:szCs w:val="24"/>
          <w:u w:val="single"/>
        </w:rPr>
      </w:pPr>
      <w:r>
        <w:rPr>
          <w:rFonts w:hint="eastAsia" w:ascii="宋体" w:hAnsi="宋体"/>
          <w:sz w:val="24"/>
          <w:szCs w:val="24"/>
        </w:rPr>
        <w:t xml:space="preserve"> 地址：</w:t>
      </w:r>
      <w:r>
        <w:rPr>
          <w:rFonts w:hint="eastAsia" w:ascii="宋体" w:hAnsi="宋体"/>
          <w:sz w:val="24"/>
          <w:szCs w:val="24"/>
          <w:u w:val="single"/>
        </w:rPr>
        <w:t xml:space="preserve">                          </w:t>
      </w:r>
      <w:r>
        <w:rPr>
          <w:rFonts w:hint="eastAsia" w:ascii="宋体" w:hAnsi="宋体"/>
          <w:sz w:val="24"/>
          <w:szCs w:val="24"/>
        </w:rPr>
        <w:t>邮编：</w:t>
      </w:r>
      <w:r>
        <w:rPr>
          <w:rFonts w:hint="eastAsia" w:ascii="宋体" w:hAnsi="宋体"/>
          <w:sz w:val="24"/>
          <w:szCs w:val="24"/>
          <w:u w:val="single"/>
        </w:rPr>
        <w:t xml:space="preserve">                     </w:t>
      </w:r>
    </w:p>
    <w:p>
      <w:pPr>
        <w:spacing w:line="360" w:lineRule="auto"/>
        <w:ind w:firstLine="425"/>
        <w:rPr>
          <w:rFonts w:ascii="宋体" w:hAnsi="宋体"/>
          <w:sz w:val="24"/>
          <w:szCs w:val="24"/>
          <w:u w:val="single"/>
        </w:rPr>
      </w:pPr>
      <w:r>
        <w:rPr>
          <w:rFonts w:hint="eastAsia" w:ascii="宋体" w:hAnsi="宋体"/>
          <w:sz w:val="24"/>
          <w:szCs w:val="24"/>
        </w:rPr>
        <w:t xml:space="preserve"> 电话：</w:t>
      </w:r>
      <w:r>
        <w:rPr>
          <w:rFonts w:hint="eastAsia" w:ascii="宋体" w:hAnsi="宋体"/>
          <w:sz w:val="24"/>
          <w:szCs w:val="24"/>
          <w:u w:val="single"/>
        </w:rPr>
        <w:t xml:space="preserve">                          </w:t>
      </w:r>
      <w:r>
        <w:rPr>
          <w:rFonts w:hint="eastAsia" w:ascii="宋体" w:hAnsi="宋体"/>
          <w:sz w:val="24"/>
          <w:szCs w:val="24"/>
        </w:rPr>
        <w:t>传真：</w:t>
      </w:r>
      <w:r>
        <w:rPr>
          <w:rFonts w:hint="eastAsia" w:ascii="宋体" w:hAnsi="宋体"/>
          <w:sz w:val="24"/>
          <w:szCs w:val="24"/>
          <w:u w:val="single"/>
        </w:rPr>
        <w:t xml:space="preserve">                     </w:t>
      </w:r>
    </w:p>
    <w:p>
      <w:pPr>
        <w:spacing w:line="360" w:lineRule="auto"/>
        <w:ind w:firstLine="425"/>
        <w:rPr>
          <w:rFonts w:ascii="宋体" w:hAnsi="宋体"/>
          <w:sz w:val="24"/>
          <w:szCs w:val="24"/>
        </w:rPr>
      </w:pPr>
    </w:p>
    <w:p>
      <w:pPr>
        <w:spacing w:line="360" w:lineRule="auto"/>
        <w:ind w:firstLine="425"/>
        <w:rPr>
          <w:rFonts w:ascii="宋体" w:hAnsi="宋体"/>
          <w:sz w:val="24"/>
          <w:szCs w:val="24"/>
        </w:rPr>
      </w:pPr>
      <w:r>
        <w:rPr>
          <w:rFonts w:hint="eastAsia" w:ascii="宋体" w:hAnsi="宋体"/>
          <w:sz w:val="24"/>
          <w:szCs w:val="24"/>
        </w:rPr>
        <w:t xml:space="preserve"> 投标人名称：</w:t>
      </w:r>
      <w:r>
        <w:rPr>
          <w:rFonts w:hint="eastAsia" w:ascii="宋体" w:hAnsi="宋体"/>
          <w:sz w:val="24"/>
          <w:szCs w:val="24"/>
          <w:u w:val="single"/>
        </w:rPr>
        <w:t xml:space="preserve">                        </w:t>
      </w:r>
      <w:r>
        <w:rPr>
          <w:rFonts w:hint="eastAsia" w:ascii="宋体" w:hAnsi="宋体"/>
          <w:sz w:val="24"/>
          <w:szCs w:val="24"/>
        </w:rPr>
        <w:t>（公章）</w:t>
      </w:r>
    </w:p>
    <w:p>
      <w:pPr>
        <w:spacing w:line="360" w:lineRule="auto"/>
        <w:ind w:firstLine="425"/>
        <w:rPr>
          <w:rFonts w:ascii="宋体" w:hAnsi="宋体"/>
          <w:sz w:val="24"/>
          <w:szCs w:val="24"/>
        </w:rPr>
      </w:pPr>
    </w:p>
    <w:p>
      <w:pPr>
        <w:spacing w:line="360" w:lineRule="auto"/>
        <w:ind w:firstLine="425"/>
        <w:rPr>
          <w:rFonts w:ascii="宋体" w:hAnsi="宋体"/>
          <w:sz w:val="24"/>
          <w:szCs w:val="24"/>
          <w:u w:val="single"/>
        </w:rPr>
      </w:pPr>
      <w:r>
        <w:rPr>
          <w:rFonts w:hint="eastAsia" w:ascii="宋体" w:hAnsi="宋体"/>
          <w:sz w:val="24"/>
          <w:szCs w:val="24"/>
        </w:rPr>
        <w:t xml:space="preserve"> 法定代表人（或委托代理人）签字或盖章：</w:t>
      </w:r>
      <w:r>
        <w:rPr>
          <w:rFonts w:hint="eastAsia" w:ascii="宋体" w:hAnsi="宋体"/>
          <w:sz w:val="24"/>
          <w:szCs w:val="24"/>
          <w:u w:val="single"/>
        </w:rPr>
        <w:t xml:space="preserve">                        </w:t>
      </w:r>
    </w:p>
    <w:p>
      <w:pPr>
        <w:spacing w:line="360" w:lineRule="auto"/>
        <w:ind w:firstLine="425"/>
        <w:rPr>
          <w:rFonts w:ascii="宋体" w:hAnsi="宋体"/>
          <w:sz w:val="24"/>
          <w:szCs w:val="24"/>
          <w:u w:val="single"/>
        </w:rPr>
      </w:pPr>
    </w:p>
    <w:p>
      <w:pPr>
        <w:spacing w:line="360" w:lineRule="auto"/>
        <w:ind w:firstLine="480" w:firstLineChars="200"/>
        <w:rPr>
          <w:rFonts w:ascii="宋体" w:hAnsi="宋体"/>
          <w:sz w:val="24"/>
          <w:szCs w:val="24"/>
        </w:rPr>
      </w:pPr>
      <w:r>
        <w:rPr>
          <w:rFonts w:hint="eastAsia" w:ascii="宋体" w:hAnsi="宋体"/>
          <w:sz w:val="24"/>
          <w:szCs w:val="24"/>
        </w:rPr>
        <w:t>投标日期：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widowControl/>
        <w:autoSpaceDE/>
        <w:autoSpaceDN/>
        <w:adjustRightInd/>
        <w:jc w:val="center"/>
        <w:rPr>
          <w:rFonts w:ascii="黑体" w:hAnsi="黑体" w:eastAsia="黑体"/>
          <w:bCs/>
          <w:kern w:val="2"/>
          <w:sz w:val="32"/>
          <w:szCs w:val="32"/>
        </w:rPr>
      </w:pPr>
      <w:r>
        <w:rPr>
          <w:rFonts w:ascii="黑体" w:hAnsi="黑体" w:eastAsia="黑体"/>
          <w:sz w:val="36"/>
          <w:szCs w:val="32"/>
        </w:rPr>
        <w:br w:type="page"/>
      </w:r>
      <w:r>
        <w:rPr>
          <w:rFonts w:hint="eastAsia" w:ascii="黑体" w:hAnsi="黑体" w:eastAsia="黑体"/>
          <w:bCs/>
          <w:kern w:val="2"/>
          <w:sz w:val="32"/>
          <w:szCs w:val="32"/>
        </w:rPr>
        <w:t>三、授权委托书（格式）</w:t>
      </w:r>
    </w:p>
    <w:p>
      <w:pPr>
        <w:spacing w:line="360" w:lineRule="auto"/>
        <w:rPr>
          <w:rFonts w:ascii="宋体" w:hAnsi="宋体"/>
          <w:sz w:val="24"/>
          <w:szCs w:val="24"/>
        </w:rPr>
      </w:pPr>
      <w:r>
        <w:rPr>
          <w:rFonts w:hint="eastAsia" w:ascii="宋体" w:hAnsi="宋体"/>
          <w:sz w:val="24"/>
          <w:szCs w:val="24"/>
        </w:rPr>
        <w:t>致：诸暨市公共资源交易中心</w:t>
      </w:r>
    </w:p>
    <w:p>
      <w:pPr>
        <w:spacing w:line="360" w:lineRule="auto"/>
        <w:ind w:firstLine="480" w:firstLineChars="200"/>
        <w:rPr>
          <w:rFonts w:ascii="宋体" w:hAnsi="宋体"/>
          <w:sz w:val="24"/>
          <w:szCs w:val="24"/>
        </w:rPr>
      </w:pPr>
      <w:r>
        <w:rPr>
          <w:rFonts w:hint="eastAsia" w:ascii="宋体" w:hAnsi="宋体"/>
          <w:sz w:val="24"/>
          <w:szCs w:val="24"/>
        </w:rPr>
        <w:t>我</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w:t>
      </w:r>
      <w:r>
        <w:rPr>
          <w:rFonts w:hint="eastAsia" w:ascii="宋体" w:hAnsi="宋体"/>
          <w:sz w:val="24"/>
          <w:szCs w:val="24"/>
        </w:rPr>
        <w:t>系</w:t>
      </w:r>
      <w:r>
        <w:rPr>
          <w:rFonts w:ascii="宋体" w:hAnsi="宋体"/>
          <w:sz w:val="24"/>
          <w:szCs w:val="24"/>
          <w:u w:val="single"/>
        </w:rPr>
        <w:t xml:space="preserve">        (</w:t>
      </w:r>
      <w:r>
        <w:rPr>
          <w:rFonts w:hint="eastAsia" w:ascii="宋体" w:hAnsi="宋体"/>
          <w:sz w:val="24"/>
          <w:szCs w:val="24"/>
          <w:u w:val="single"/>
        </w:rPr>
        <w:t>投标人名称</w:t>
      </w:r>
      <w:r>
        <w:rPr>
          <w:rFonts w:ascii="宋体" w:hAnsi="宋体"/>
          <w:sz w:val="24"/>
          <w:szCs w:val="24"/>
          <w:u w:val="single"/>
        </w:rPr>
        <w:t>)</w:t>
      </w:r>
      <w:r>
        <w:rPr>
          <w:rFonts w:hint="eastAsia" w:ascii="宋体" w:hAnsi="宋体"/>
          <w:sz w:val="24"/>
          <w:szCs w:val="24"/>
          <w:u w:val="single"/>
        </w:rPr>
        <w:t>　　　</w:t>
      </w:r>
      <w:r>
        <w:rPr>
          <w:rFonts w:hint="eastAsia" w:ascii="宋体" w:hAnsi="宋体"/>
          <w:sz w:val="24"/>
          <w:szCs w:val="24"/>
        </w:rPr>
        <w:t>的法定代表人，现授权委托本单位在职职工</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xml:space="preserve">  　</w:t>
      </w:r>
      <w:r>
        <w:rPr>
          <w:rFonts w:hint="eastAsia" w:ascii="宋体" w:hAnsi="宋体"/>
          <w:sz w:val="24"/>
          <w:szCs w:val="24"/>
        </w:rPr>
        <w:t>以我方的名义参加贵中心组织的</w:t>
      </w:r>
      <w:r>
        <w:rPr>
          <w:rFonts w:hint="eastAsia" w:ascii="宋体" w:hAnsi="宋体"/>
          <w:sz w:val="24"/>
          <w:szCs w:val="24"/>
          <w:u w:val="single"/>
        </w:rPr>
        <w:t>诸暨市</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w:t>
      </w:r>
      <w:r>
        <w:rPr>
          <w:rFonts w:hint="eastAsia" w:ascii="宋体" w:hAnsi="宋体"/>
          <w:sz w:val="24"/>
          <w:szCs w:val="24"/>
          <w:u w:val="single"/>
        </w:rPr>
        <w:t>采购项目</w:t>
      </w:r>
      <w:r>
        <w:rPr>
          <w:rFonts w:ascii="宋体" w:hAnsi="宋体"/>
          <w:sz w:val="24"/>
          <w:szCs w:val="24"/>
          <w:u w:val="single"/>
        </w:rPr>
        <w:t xml:space="preserve">)        </w:t>
      </w:r>
      <w:r>
        <w:rPr>
          <w:rFonts w:hint="eastAsia" w:ascii="宋体" w:hAnsi="宋体"/>
          <w:sz w:val="24"/>
          <w:szCs w:val="24"/>
          <w:u w:val="single"/>
        </w:rPr>
        <w:t>项目</w:t>
      </w:r>
      <w:r>
        <w:rPr>
          <w:rFonts w:hint="eastAsia" w:ascii="宋体" w:hAnsi="宋体"/>
          <w:sz w:val="24"/>
          <w:szCs w:val="24"/>
        </w:rPr>
        <w:t>的投标活动，并代表我方全权办理针对上述项目的投标、开标、评标、签约等具体事务和签署相关文件。</w:t>
      </w:r>
    </w:p>
    <w:p>
      <w:pPr>
        <w:snapToGrid w:val="0"/>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我方对被授权人的签名事项负全部责任。</w:t>
      </w:r>
    </w:p>
    <w:p>
      <w:pPr>
        <w:snapToGrid w:val="0"/>
        <w:spacing w:line="360" w:lineRule="auto"/>
        <w:ind w:firstLine="480"/>
        <w:rPr>
          <w:rFonts w:ascii="宋体" w:hAnsi="宋体"/>
          <w:sz w:val="24"/>
          <w:szCs w:val="24"/>
        </w:rPr>
      </w:pPr>
      <w:r>
        <w:rPr>
          <w:rFonts w:hint="eastAsia" w:ascii="宋体" w:hAnsi="宋体"/>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z w:val="24"/>
          <w:szCs w:val="24"/>
        </w:rPr>
      </w:pPr>
      <w:r>
        <w:rPr>
          <w:rFonts w:hint="eastAsia" w:ascii="宋体" w:hAnsi="宋体"/>
          <w:sz w:val="24"/>
          <w:szCs w:val="24"/>
        </w:rPr>
        <w:t>被授权人无转委托权，特此委托。</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法定代表人：</w:t>
      </w:r>
      <w:r>
        <w:rPr>
          <w:rFonts w:ascii="宋体" w:hAnsi="宋体"/>
          <w:sz w:val="24"/>
          <w:szCs w:val="24"/>
          <w:u w:val="single"/>
        </w:rPr>
        <w:t>(</w:t>
      </w:r>
      <w:r>
        <w:rPr>
          <w:rFonts w:hint="eastAsia" w:ascii="宋体" w:hAnsi="宋体"/>
          <w:sz w:val="24"/>
          <w:szCs w:val="24"/>
          <w:u w:val="single"/>
        </w:rPr>
        <w:t>签字或盖章</w:t>
      </w:r>
      <w:r>
        <w:rPr>
          <w:rFonts w:ascii="宋体" w:hAnsi="宋体"/>
          <w:sz w:val="24"/>
          <w:szCs w:val="24"/>
          <w:u w:val="single"/>
        </w:rPr>
        <w:t>)</w:t>
      </w:r>
      <w:r>
        <w:rPr>
          <w:rFonts w:hint="eastAsia" w:ascii="宋体" w:hAnsi="宋体"/>
          <w:sz w:val="24"/>
          <w:szCs w:val="24"/>
        </w:rPr>
        <w:t xml:space="preserve">                   被授权人：</w:t>
      </w:r>
      <w:r>
        <w:rPr>
          <w:rFonts w:ascii="宋体" w:hAnsi="宋体"/>
          <w:sz w:val="24"/>
          <w:szCs w:val="24"/>
          <w:u w:val="single"/>
        </w:rPr>
        <w:t>(</w:t>
      </w:r>
      <w:r>
        <w:rPr>
          <w:rFonts w:hint="eastAsia" w:ascii="宋体" w:hAnsi="宋体"/>
          <w:sz w:val="24"/>
          <w:szCs w:val="24"/>
          <w:u w:val="single"/>
        </w:rPr>
        <w:t>签字或盖章</w:t>
      </w:r>
      <w:r>
        <w:rPr>
          <w:rFonts w:ascii="宋体" w:hAnsi="宋体"/>
          <w:sz w:val="24"/>
          <w:szCs w:val="24"/>
          <w:u w:val="single"/>
        </w:rPr>
        <w:t>)</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 xml:space="preserve"> 职     务：</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职  务：</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pPr>
        <w:spacing w:line="360" w:lineRule="auto"/>
        <w:ind w:firstLine="3960" w:firstLineChars="1650"/>
        <w:rPr>
          <w:rFonts w:ascii="宋体" w:hAnsi="宋体"/>
          <w:sz w:val="24"/>
          <w:szCs w:val="24"/>
        </w:rPr>
      </w:pPr>
      <w:r>
        <w:rPr>
          <w:rFonts w:hint="eastAsia" w:ascii="宋体" w:hAnsi="宋体"/>
          <w:sz w:val="24"/>
          <w:szCs w:val="24"/>
        </w:rPr>
        <w:t>被授权人身份证号码：</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ind w:firstLine="4440" w:firstLineChars="1850"/>
        <w:rPr>
          <w:rFonts w:ascii="宋体" w:hAnsi="宋体"/>
          <w:sz w:val="24"/>
          <w:szCs w:val="24"/>
        </w:rPr>
      </w:pPr>
      <w:r>
        <w:rPr>
          <w:rFonts w:hint="eastAsia" w:ascii="宋体" w:hAnsi="宋体"/>
          <w:sz w:val="24"/>
          <w:szCs w:val="24"/>
        </w:rPr>
        <w:t>投标人：</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 xml:space="preserve"> (</w:t>
      </w:r>
      <w:r>
        <w:rPr>
          <w:rFonts w:hint="eastAsia" w:ascii="宋体" w:hAnsi="宋体"/>
          <w:sz w:val="24"/>
          <w:szCs w:val="24"/>
          <w:u w:val="single"/>
        </w:rPr>
        <w:t>盖章</w:t>
      </w:r>
      <w:r>
        <w:rPr>
          <w:rFonts w:ascii="宋体" w:hAnsi="宋体"/>
          <w:sz w:val="24"/>
          <w:szCs w:val="24"/>
          <w:u w:val="single"/>
        </w:rPr>
        <w:t>)</w:t>
      </w:r>
    </w:p>
    <w:p>
      <w:pPr>
        <w:spacing w:line="360" w:lineRule="auto"/>
        <w:rPr>
          <w:rFonts w:ascii="宋体" w:hAnsi="宋体"/>
          <w:sz w:val="24"/>
          <w:szCs w:val="24"/>
        </w:rPr>
      </w:pPr>
    </w:p>
    <w:p>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p>
    <w:p>
      <w:pPr>
        <w:pStyle w:val="147"/>
        <w:spacing w:line="360" w:lineRule="auto"/>
        <w:ind w:left="0" w:firstLine="0" w:firstLineChars="0"/>
        <w:jc w:val="center"/>
        <w:rPr>
          <w:rFonts w:ascii="黑体" w:hAnsi="黑体" w:eastAsia="黑体"/>
          <w:sz w:val="36"/>
          <w:szCs w:val="32"/>
        </w:rPr>
      </w:pPr>
      <w:r>
        <w:rPr>
          <w:rFonts w:ascii="宋体" w:hAnsi="宋体"/>
          <w:szCs w:val="24"/>
        </w:rPr>
        <w:br w:type="page"/>
      </w:r>
      <w:r>
        <w:rPr>
          <w:rFonts w:hint="eastAsia" w:ascii="黑体" w:hAnsi="黑体" w:eastAsia="黑体"/>
          <w:sz w:val="36"/>
          <w:szCs w:val="32"/>
        </w:rPr>
        <w:t>四、无重大违法记录的声明</w:t>
      </w:r>
    </w:p>
    <w:p>
      <w:pPr>
        <w:pStyle w:val="147"/>
        <w:spacing w:line="360" w:lineRule="auto"/>
        <w:ind w:left="0" w:firstLine="0" w:firstLineChars="0"/>
        <w:jc w:val="center"/>
        <w:rPr>
          <w:rFonts w:ascii="黑体" w:hAnsi="黑体" w:eastAsia="黑体"/>
          <w:sz w:val="36"/>
          <w:szCs w:val="32"/>
          <w:lang w:val="zh-CN"/>
        </w:rPr>
      </w:pPr>
    </w:p>
    <w:p>
      <w:pPr>
        <w:snapToGrid w:val="0"/>
        <w:spacing w:line="360" w:lineRule="auto"/>
        <w:rPr>
          <w:rFonts w:ascii="仿宋_GB2312" w:hAnsi="仿宋_GB2312" w:eastAsia="仿宋_GB2312" w:cs="仿宋_GB2312"/>
          <w:sz w:val="24"/>
        </w:rPr>
      </w:pPr>
      <w:r>
        <w:rPr>
          <w:rFonts w:hint="eastAsia" w:ascii="宋体" w:hAnsi="宋体"/>
          <w:color w:val="FF0000"/>
          <w:sz w:val="24"/>
          <w:szCs w:val="24"/>
          <w:u w:val="single"/>
        </w:rPr>
        <w:t>（采购人）、</w:t>
      </w:r>
      <w:r>
        <w:rPr>
          <w:rFonts w:hint="eastAsia" w:ascii="宋体" w:hAnsi="宋体"/>
          <w:sz w:val="24"/>
          <w:szCs w:val="24"/>
          <w:u w:val="single"/>
        </w:rPr>
        <w:t>诸暨市公共资源交易中心</w:t>
      </w:r>
      <w:r>
        <w:rPr>
          <w:rFonts w:hint="eastAsia" w:ascii="仿宋_GB2312" w:hAnsi="仿宋_GB2312" w:eastAsia="仿宋_GB2312" w:cs="仿宋_GB2312"/>
          <w:sz w:val="24"/>
          <w:lang w:val="zh-CN"/>
        </w:rPr>
        <w:t>：</w:t>
      </w:r>
    </w:p>
    <w:p>
      <w:pPr>
        <w:snapToGrid w:val="0"/>
        <w:spacing w:line="360" w:lineRule="auto"/>
        <w:ind w:firstLine="480"/>
        <w:rPr>
          <w:rFonts w:ascii="宋体" w:hAnsi="宋体"/>
          <w:sz w:val="24"/>
          <w:szCs w:val="24"/>
        </w:rPr>
      </w:pPr>
      <w:r>
        <w:rPr>
          <w:rFonts w:hint="eastAsia" w:ascii="宋体" w:hAnsi="宋体"/>
          <w:sz w:val="24"/>
          <w:szCs w:val="24"/>
          <w:lang w:val="zh-CN"/>
        </w:rPr>
        <w:t>我公司</w:t>
      </w:r>
      <w:r>
        <w:rPr>
          <w:rFonts w:hint="eastAsia" w:ascii="宋体" w:hAnsi="宋体"/>
          <w:sz w:val="24"/>
          <w:szCs w:val="24"/>
        </w:rPr>
        <w:t>声明参加本次政府采购活动前三年内，在经营活动中没有重大违法记录；也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480"/>
        <w:rPr>
          <w:rFonts w:ascii="宋体" w:hAnsi="宋体"/>
          <w:b/>
          <w:bCs/>
          <w:sz w:val="24"/>
          <w:szCs w:val="24"/>
        </w:rPr>
      </w:pPr>
      <w:r>
        <w:rPr>
          <w:rFonts w:hint="eastAsia" w:ascii="宋体" w:hAnsi="宋体"/>
          <w:b/>
          <w:bCs/>
          <w:sz w:val="24"/>
          <w:szCs w:val="24"/>
        </w:rPr>
        <w:t>（另，提供自采购公告发布之日起至投标截止日内任意时间查询结果的网页截图）</w:t>
      </w:r>
    </w:p>
    <w:p>
      <w:pPr>
        <w:spacing w:line="360" w:lineRule="auto"/>
        <w:ind w:firstLine="480" w:firstLineChars="200"/>
        <w:rPr>
          <w:rFonts w:ascii="仿宋_GB2312" w:hAnsi="仿宋_GB2312" w:eastAsia="仿宋_GB2312" w:cs="仿宋_GB2312"/>
          <w:sz w:val="24"/>
          <w:szCs w:val="20"/>
        </w:rPr>
      </w:pPr>
    </w:p>
    <w:p>
      <w:pPr>
        <w:spacing w:line="360" w:lineRule="auto"/>
        <w:ind w:firstLine="480" w:firstLineChars="200"/>
        <w:rPr>
          <w:rFonts w:ascii="仿宋_GB2312" w:hAnsi="仿宋_GB2312" w:eastAsia="仿宋_GB2312" w:cs="仿宋_GB2312"/>
          <w:sz w:val="24"/>
          <w:szCs w:val="20"/>
        </w:rPr>
      </w:pPr>
    </w:p>
    <w:p>
      <w:pPr>
        <w:pStyle w:val="2"/>
        <w:rPr>
          <w:rFonts w:ascii="仿宋_GB2312" w:hAnsi="仿宋_GB2312" w:eastAsia="仿宋_GB2312" w:cs="仿宋_GB2312"/>
          <w:sz w:val="24"/>
          <w:szCs w:val="20"/>
        </w:rPr>
      </w:pPr>
    </w:p>
    <w:p/>
    <w:p>
      <w:pPr>
        <w:snapToGrid w:val="0"/>
        <w:spacing w:line="360" w:lineRule="auto"/>
        <w:ind w:firstLine="480"/>
        <w:rPr>
          <w:rFonts w:ascii="宋体" w:hAnsi="宋体"/>
          <w:sz w:val="24"/>
          <w:szCs w:val="24"/>
          <w:lang w:val="zh-CN"/>
        </w:rPr>
      </w:pPr>
      <w:r>
        <w:rPr>
          <w:rFonts w:hint="eastAsia" w:ascii="仿宋_GB2312" w:hAnsi="仿宋_GB2312" w:eastAsia="仿宋_GB2312" w:cs="仿宋_GB2312"/>
          <w:sz w:val="24"/>
          <w:lang w:val="zh-CN"/>
        </w:rPr>
        <w:t xml:space="preserve">                                  </w:t>
      </w:r>
      <w:r>
        <w:rPr>
          <w:rFonts w:hint="eastAsia" w:ascii="宋体" w:hAnsi="宋体"/>
          <w:sz w:val="24"/>
          <w:szCs w:val="24"/>
          <w:lang w:val="zh-CN"/>
        </w:rPr>
        <w:t xml:space="preserve">         投标人 (盖章)：</w:t>
      </w:r>
    </w:p>
    <w:p>
      <w:pPr>
        <w:snapToGrid w:val="0"/>
        <w:spacing w:line="360" w:lineRule="auto"/>
        <w:ind w:firstLine="480"/>
        <w:rPr>
          <w:rFonts w:ascii="宋体" w:hAnsi="宋体"/>
          <w:sz w:val="24"/>
          <w:szCs w:val="24"/>
          <w:lang w:val="zh-CN"/>
        </w:rPr>
      </w:pPr>
      <w:r>
        <w:rPr>
          <w:rFonts w:hint="eastAsia" w:ascii="宋体" w:hAnsi="宋体"/>
          <w:sz w:val="24"/>
          <w:szCs w:val="24"/>
          <w:lang w:val="zh-CN"/>
        </w:rPr>
        <w:t xml:space="preserve">                                  法定代表人或其授权代表(签字或盖章)：                                                                             </w:t>
      </w:r>
    </w:p>
    <w:p>
      <w:pPr>
        <w:pStyle w:val="3"/>
        <w:spacing w:line="500" w:lineRule="exact"/>
        <w:jc w:val="center"/>
        <w:rPr>
          <w:rFonts w:ascii="宋体" w:hAnsi="宋体"/>
          <w:sz w:val="24"/>
          <w:szCs w:val="24"/>
          <w:lang w:val="zh-CN"/>
        </w:rPr>
      </w:pPr>
      <w:r>
        <w:rPr>
          <w:rFonts w:hint="eastAsia" w:ascii="宋体" w:hAnsi="宋体"/>
          <w:sz w:val="24"/>
          <w:szCs w:val="24"/>
          <w:lang w:val="zh-CN"/>
        </w:rPr>
        <w:t xml:space="preserve">                                    日期：  年  月</w:t>
      </w:r>
      <w:r>
        <w:rPr>
          <w:rFonts w:hint="eastAsia" w:ascii="宋体" w:hAnsi="宋体"/>
          <w:sz w:val="24"/>
          <w:szCs w:val="24"/>
        </w:rPr>
        <w:t xml:space="preserve">   </w:t>
      </w:r>
      <w:r>
        <w:rPr>
          <w:rFonts w:hint="eastAsia" w:ascii="宋体" w:hAnsi="宋体"/>
          <w:sz w:val="24"/>
          <w:szCs w:val="24"/>
          <w:lang w:val="zh-CN"/>
        </w:rPr>
        <w:t>日</w:t>
      </w:r>
    </w:p>
    <w:p>
      <w:pPr>
        <w:pStyle w:val="3"/>
        <w:spacing w:line="500" w:lineRule="exact"/>
        <w:jc w:val="center"/>
        <w:rPr>
          <w:rFonts w:ascii="宋体" w:hAnsi="宋体"/>
          <w:sz w:val="24"/>
          <w:szCs w:val="24"/>
          <w:lang w:val="zh-CN"/>
        </w:rPr>
      </w:pPr>
    </w:p>
    <w:p>
      <w:pPr>
        <w:pStyle w:val="3"/>
        <w:spacing w:line="500" w:lineRule="exact"/>
        <w:jc w:val="center"/>
        <w:rPr>
          <w:rFonts w:ascii="宋体" w:hAnsi="宋体"/>
          <w:sz w:val="24"/>
          <w:szCs w:val="24"/>
          <w:lang w:val="zh-CN"/>
        </w:rPr>
      </w:pPr>
    </w:p>
    <w:p>
      <w:pPr>
        <w:pStyle w:val="3"/>
        <w:spacing w:line="500" w:lineRule="exact"/>
        <w:jc w:val="center"/>
        <w:rPr>
          <w:rFonts w:ascii="黑体"/>
          <w:b w:val="0"/>
        </w:rPr>
      </w:pPr>
    </w:p>
    <w:p>
      <w:pPr>
        <w:pStyle w:val="3"/>
        <w:spacing w:line="500" w:lineRule="exact"/>
        <w:jc w:val="center"/>
        <w:rPr>
          <w:rFonts w:ascii="黑体"/>
          <w:b w:val="0"/>
        </w:rPr>
      </w:pPr>
    </w:p>
    <w:p>
      <w:pPr>
        <w:pStyle w:val="3"/>
        <w:spacing w:line="500" w:lineRule="exact"/>
        <w:jc w:val="center"/>
        <w:rPr>
          <w:rFonts w:ascii="黑体"/>
          <w:b w:val="0"/>
        </w:rPr>
      </w:pPr>
    </w:p>
    <w:p/>
    <w:p>
      <w:pPr>
        <w:pStyle w:val="3"/>
        <w:spacing w:line="500" w:lineRule="exact"/>
        <w:jc w:val="center"/>
        <w:rPr>
          <w:rFonts w:ascii="黑体" w:hAnsi="黑体"/>
          <w:b w:val="0"/>
        </w:rPr>
      </w:pPr>
      <w:r>
        <w:rPr>
          <w:rFonts w:hint="eastAsia" w:ascii="黑体"/>
          <w:b w:val="0"/>
        </w:rPr>
        <w:t>五、</w:t>
      </w:r>
      <w:r>
        <w:rPr>
          <w:rFonts w:hint="eastAsia" w:ascii="黑体" w:hAnsi="黑体"/>
          <w:b w:val="0"/>
        </w:rPr>
        <w:t>开标一览表（格式）</w:t>
      </w:r>
    </w:p>
    <w:p>
      <w:pPr>
        <w:jc w:val="center"/>
        <w:rPr>
          <w:rFonts w:ascii="宋体" w:hAnsi="宋体"/>
          <w:sz w:val="24"/>
          <w:szCs w:val="24"/>
        </w:rPr>
      </w:pPr>
      <w:r>
        <w:rPr>
          <w:rFonts w:hint="eastAsia" w:ascii="宋体" w:hAnsi="宋体"/>
          <w:sz w:val="24"/>
          <w:szCs w:val="24"/>
        </w:rPr>
        <w:t>（编号：诸政采 2021-**-**）</w:t>
      </w:r>
    </w:p>
    <w:p>
      <w:pPr>
        <w:rPr>
          <w:rFonts w:ascii="宋体" w:hAnsi="宋体"/>
          <w:sz w:val="24"/>
          <w:szCs w:val="24"/>
        </w:rPr>
      </w:pPr>
      <w:r>
        <w:rPr>
          <w:rFonts w:hint="eastAsia"/>
          <w:sz w:val="28"/>
        </w:rPr>
        <w:t>项目编号：</w:t>
      </w:r>
      <w:r>
        <w:rPr>
          <w:rFonts w:hint="eastAsia" w:ascii="宋体" w:hAnsi="宋体"/>
          <w:sz w:val="24"/>
          <w:szCs w:val="24"/>
        </w:rPr>
        <w:t>诸政采 202 -**-**</w:t>
      </w:r>
    </w:p>
    <w:p>
      <w:r>
        <w:rPr>
          <w:sz w:val="28"/>
        </w:rPr>
        <w:t xml:space="preserve">                                                          </w:t>
      </w:r>
      <w:r>
        <w:rPr>
          <w:rFonts w:hint="eastAsia"/>
        </w:rPr>
        <w:t>单位：元</w:t>
      </w:r>
    </w:p>
    <w:tbl>
      <w:tblPr>
        <w:tblStyle w:val="40"/>
        <w:tblW w:w="0" w:type="auto"/>
        <w:tblInd w:w="0" w:type="dxa"/>
        <w:tblLayout w:type="fixed"/>
        <w:tblCellMar>
          <w:top w:w="0" w:type="dxa"/>
          <w:left w:w="0" w:type="dxa"/>
          <w:bottom w:w="0" w:type="dxa"/>
          <w:right w:w="0" w:type="dxa"/>
        </w:tblCellMar>
      </w:tblPr>
      <w:tblGrid>
        <w:gridCol w:w="1230"/>
        <w:gridCol w:w="888"/>
        <w:gridCol w:w="888"/>
        <w:gridCol w:w="1241"/>
        <w:gridCol w:w="2432"/>
        <w:gridCol w:w="981"/>
        <w:gridCol w:w="1417"/>
      </w:tblGrid>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kern w:val="2"/>
                <w:sz w:val="20"/>
              </w:rPr>
            </w:pPr>
            <w:r>
              <w:rPr>
                <w:rFonts w:hint="eastAsia" w:ascii="宋体" w:hAnsi="宋体" w:cs="Arial Unicode MS"/>
                <w:kern w:val="2"/>
                <w:sz w:val="20"/>
              </w:rPr>
              <w:t>货物名称</w:t>
            </w: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kern w:val="2"/>
                <w:sz w:val="20"/>
              </w:rPr>
            </w:pPr>
            <w:r>
              <w:rPr>
                <w:rFonts w:hint="eastAsia"/>
                <w:kern w:val="2"/>
              </w:rPr>
              <w:t>数量</w:t>
            </w:r>
          </w:p>
        </w:tc>
        <w:tc>
          <w:tcPr>
            <w:tcW w:w="888"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r>
              <w:rPr>
                <w:rFonts w:hint="eastAsia"/>
                <w:kern w:val="2"/>
              </w:rPr>
              <w:t>产地</w:t>
            </w:r>
          </w:p>
        </w:tc>
        <w:tc>
          <w:tcPr>
            <w:tcW w:w="124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r>
              <w:rPr>
                <w:rFonts w:hint="eastAsia"/>
                <w:kern w:val="2"/>
              </w:rPr>
              <w:t>品牌</w:t>
            </w:r>
            <w:r>
              <w:rPr>
                <w:kern w:val="2"/>
              </w:rPr>
              <w:t>/</w:t>
            </w:r>
            <w:r>
              <w:rPr>
                <w:rFonts w:hint="eastAsia"/>
                <w:kern w:val="2"/>
              </w:rPr>
              <w:t>制造商</w:t>
            </w:r>
          </w:p>
        </w:tc>
        <w:tc>
          <w:tcPr>
            <w:tcW w:w="2432"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r>
              <w:rPr>
                <w:rFonts w:hint="eastAsia"/>
                <w:kern w:val="2"/>
              </w:rPr>
              <w:t>型号和规格</w:t>
            </w:r>
          </w:p>
        </w:tc>
        <w:tc>
          <w:tcPr>
            <w:tcW w:w="98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r>
              <w:rPr>
                <w:rFonts w:hint="eastAsia"/>
                <w:kern w:val="2"/>
              </w:rPr>
              <w:t>单价</w:t>
            </w:r>
          </w:p>
        </w:tc>
        <w:tc>
          <w:tcPr>
            <w:tcW w:w="1417" w:type="dxa"/>
            <w:tcBorders>
              <w:top w:val="single" w:color="auto" w:sz="4" w:space="0"/>
              <w:left w:val="nil"/>
              <w:bottom w:val="single" w:color="auto" w:sz="4" w:space="0"/>
              <w:right w:val="single" w:color="auto" w:sz="4" w:space="0"/>
            </w:tcBorders>
            <w:vAlign w:val="center"/>
          </w:tcPr>
          <w:p>
            <w:pPr>
              <w:pStyle w:val="54"/>
              <w:ind w:left="63" w:right="63"/>
              <w:rPr>
                <w:kern w:val="2"/>
              </w:rPr>
            </w:pPr>
            <w:r>
              <w:rPr>
                <w:rFonts w:hint="eastAsia"/>
                <w:kern w:val="2"/>
              </w:rPr>
              <w:t>投标报价</w:t>
            </w:r>
          </w:p>
        </w:tc>
      </w:tr>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kern w:val="2"/>
                <w:sz w:val="20"/>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kern w:val="2"/>
              </w:rPr>
            </w:pPr>
          </w:p>
        </w:tc>
        <w:tc>
          <w:tcPr>
            <w:tcW w:w="888"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2432"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98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417" w:type="dxa"/>
            <w:tcBorders>
              <w:top w:val="single" w:color="auto" w:sz="4" w:space="0"/>
              <w:left w:val="nil"/>
              <w:bottom w:val="single" w:color="auto" w:sz="4" w:space="0"/>
              <w:right w:val="single" w:color="auto" w:sz="4" w:space="0"/>
            </w:tcBorders>
            <w:vAlign w:val="center"/>
          </w:tcPr>
          <w:p>
            <w:pPr>
              <w:pStyle w:val="54"/>
              <w:ind w:left="63" w:right="63"/>
              <w:rPr>
                <w:kern w:val="2"/>
              </w:rPr>
            </w:pPr>
          </w:p>
        </w:tc>
      </w:tr>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kern w:val="2"/>
                <w:sz w:val="20"/>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kern w:val="2"/>
              </w:rPr>
            </w:pPr>
          </w:p>
        </w:tc>
        <w:tc>
          <w:tcPr>
            <w:tcW w:w="888"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2432"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98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417" w:type="dxa"/>
            <w:tcBorders>
              <w:top w:val="single" w:color="auto" w:sz="4" w:space="0"/>
              <w:left w:val="nil"/>
              <w:bottom w:val="single" w:color="auto" w:sz="4" w:space="0"/>
              <w:right w:val="single" w:color="auto" w:sz="4" w:space="0"/>
            </w:tcBorders>
            <w:vAlign w:val="center"/>
          </w:tcPr>
          <w:p>
            <w:pPr>
              <w:pStyle w:val="54"/>
              <w:ind w:left="63" w:right="63"/>
              <w:rPr>
                <w:kern w:val="2"/>
              </w:rPr>
            </w:pPr>
          </w:p>
        </w:tc>
      </w:tr>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kern w:val="2"/>
                <w:sz w:val="20"/>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kern w:val="2"/>
              </w:rPr>
            </w:pPr>
          </w:p>
        </w:tc>
        <w:tc>
          <w:tcPr>
            <w:tcW w:w="888"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2432"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98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417" w:type="dxa"/>
            <w:tcBorders>
              <w:top w:val="single" w:color="auto" w:sz="4" w:space="0"/>
              <w:left w:val="nil"/>
              <w:bottom w:val="single" w:color="auto" w:sz="4" w:space="0"/>
              <w:right w:val="single" w:color="auto" w:sz="4" w:space="0"/>
            </w:tcBorders>
            <w:vAlign w:val="center"/>
          </w:tcPr>
          <w:p>
            <w:pPr>
              <w:pStyle w:val="54"/>
              <w:ind w:left="63" w:right="63"/>
              <w:rPr>
                <w:kern w:val="2"/>
              </w:rPr>
            </w:pPr>
          </w:p>
        </w:tc>
      </w:tr>
      <w:tr>
        <w:trPr>
          <w:trHeight w:val="24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kern w:val="2"/>
                <w:sz w:val="20"/>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kern w:val="2"/>
              </w:rPr>
            </w:pPr>
          </w:p>
        </w:tc>
        <w:tc>
          <w:tcPr>
            <w:tcW w:w="888"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2432"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98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417" w:type="dxa"/>
            <w:tcBorders>
              <w:top w:val="single" w:color="auto" w:sz="4" w:space="0"/>
              <w:left w:val="nil"/>
              <w:bottom w:val="single" w:color="auto" w:sz="4" w:space="0"/>
              <w:right w:val="single" w:color="auto" w:sz="4" w:space="0"/>
            </w:tcBorders>
            <w:vAlign w:val="center"/>
          </w:tcPr>
          <w:p>
            <w:pPr>
              <w:pStyle w:val="54"/>
              <w:ind w:left="63" w:right="63"/>
              <w:rPr>
                <w:kern w:val="2"/>
              </w:rPr>
            </w:pPr>
          </w:p>
        </w:tc>
      </w:tr>
      <w:tr>
        <w:trPr>
          <w:trHeight w:val="24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kern w:val="2"/>
                <w:sz w:val="20"/>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kern w:val="2"/>
              </w:rPr>
            </w:pPr>
          </w:p>
        </w:tc>
        <w:tc>
          <w:tcPr>
            <w:tcW w:w="888"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2432"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98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417" w:type="dxa"/>
            <w:tcBorders>
              <w:top w:val="single" w:color="auto" w:sz="4" w:space="0"/>
              <w:left w:val="nil"/>
              <w:bottom w:val="single" w:color="auto" w:sz="4" w:space="0"/>
              <w:right w:val="single" w:color="auto" w:sz="4" w:space="0"/>
            </w:tcBorders>
            <w:vAlign w:val="center"/>
          </w:tcPr>
          <w:p>
            <w:pPr>
              <w:pStyle w:val="54"/>
              <w:ind w:left="63" w:right="63"/>
              <w:rPr>
                <w:kern w:val="2"/>
              </w:rPr>
            </w:pPr>
          </w:p>
        </w:tc>
      </w:tr>
      <w:tr>
        <w:trPr>
          <w:trHeight w:val="714" w:hRule="atLeast"/>
        </w:trPr>
        <w:tc>
          <w:tcPr>
            <w:tcW w:w="9077" w:type="dxa"/>
            <w:gridSpan w:val="7"/>
            <w:tcBorders>
              <w:top w:val="single" w:color="auto" w:sz="4" w:space="0"/>
              <w:left w:val="single" w:color="auto" w:sz="4" w:space="0"/>
              <w:bottom w:val="single" w:color="auto" w:sz="4" w:space="0"/>
              <w:right w:val="single" w:color="auto" w:sz="4" w:space="0"/>
            </w:tcBorders>
            <w:vAlign w:val="center"/>
          </w:tcPr>
          <w:p>
            <w:pPr>
              <w:ind w:right="400"/>
              <w:jc w:val="left"/>
              <w:rPr>
                <w:rFonts w:ascii="宋体" w:hAnsi="宋体" w:cs="Arial Unicode MS"/>
                <w:kern w:val="2"/>
                <w:sz w:val="20"/>
                <w:u w:val="single"/>
              </w:rPr>
            </w:pPr>
            <w:r>
              <w:rPr>
                <w:rFonts w:hint="eastAsia" w:ascii="宋体" w:hAnsi="宋体"/>
                <w:kern w:val="2"/>
                <w:sz w:val="20"/>
              </w:rPr>
              <w:t>合</w:t>
            </w:r>
            <w:r>
              <w:rPr>
                <w:rFonts w:hint="eastAsia" w:ascii="宋体" w:hAnsi="宋体"/>
                <w:kern w:val="2"/>
              </w:rPr>
              <w:t>计金额</w:t>
            </w:r>
            <w:r>
              <w:rPr>
                <w:rFonts w:hint="eastAsia" w:ascii="宋体" w:hAnsi="宋体" w:cs="Arial Unicode MS"/>
                <w:kern w:val="2"/>
              </w:rPr>
              <w:t>大写：                                      ￥</w:t>
            </w:r>
            <w:r>
              <w:rPr>
                <w:rFonts w:hint="eastAsia" w:ascii="宋体" w:hAnsi="宋体" w:cs="Arial Unicode MS"/>
                <w:kern w:val="2"/>
                <w:u w:val="single"/>
              </w:rPr>
              <w:t xml:space="preserve">                   </w:t>
            </w:r>
          </w:p>
        </w:tc>
      </w:tr>
    </w:tbl>
    <w:p>
      <w:pPr>
        <w:spacing w:line="440" w:lineRule="exact"/>
        <w:rPr>
          <w:rFonts w:ascii="仿宋_GB2312" w:hAnsi="仿宋_GB2312" w:eastAsia="仿宋_GB2312"/>
          <w:color w:val="auto"/>
          <w:sz w:val="24"/>
          <w:szCs w:val="32"/>
        </w:rPr>
      </w:pPr>
    </w:p>
    <w:p>
      <w:pPr>
        <w:rPr>
          <w:sz w:val="28"/>
        </w:rPr>
      </w:pPr>
    </w:p>
    <w:p>
      <w:pPr>
        <w:rPr>
          <w:sz w:val="28"/>
        </w:rPr>
      </w:pPr>
    </w:p>
    <w:p>
      <w:pPr>
        <w:rPr>
          <w:sz w:val="28"/>
        </w:rPr>
      </w:pPr>
      <w:r>
        <w:rPr>
          <w:rFonts w:hint="eastAsia"/>
          <w:sz w:val="28"/>
        </w:rPr>
        <w:t>投标人（盖章）：</w:t>
      </w:r>
      <w:r>
        <w:rPr>
          <w:sz w:val="28"/>
          <w:u w:val="single"/>
        </w:rPr>
        <w:t xml:space="preserve">                                      </w:t>
      </w:r>
      <w:r>
        <w:rPr>
          <w:sz w:val="28"/>
        </w:rPr>
        <w:t xml:space="preserve">      </w:t>
      </w:r>
    </w:p>
    <w:p>
      <w:pPr>
        <w:rPr>
          <w:sz w:val="28"/>
        </w:rPr>
      </w:pPr>
    </w:p>
    <w:p>
      <w:pPr>
        <w:rPr>
          <w:sz w:val="28"/>
        </w:rPr>
      </w:pPr>
      <w:r>
        <w:rPr>
          <w:rFonts w:hint="eastAsia"/>
          <w:sz w:val="28"/>
        </w:rPr>
        <w:t>法定代表人或委托代理人（签字或盖章）：</w:t>
      </w:r>
      <w:r>
        <w:rPr>
          <w:sz w:val="28"/>
          <w:u w:val="single"/>
        </w:rPr>
        <w:t xml:space="preserve">                      </w:t>
      </w:r>
      <w:r>
        <w:rPr>
          <w:sz w:val="28"/>
        </w:rPr>
        <w:t xml:space="preserve">       </w:t>
      </w:r>
    </w:p>
    <w:p>
      <w:pPr>
        <w:rPr>
          <w:sz w:val="28"/>
        </w:rPr>
      </w:pPr>
      <w:r>
        <w:rPr>
          <w:rFonts w:hint="eastAsia"/>
          <w:sz w:val="28"/>
        </w:rPr>
        <w:t>日期：</w:t>
      </w:r>
      <w:r>
        <w:rPr>
          <w:sz w:val="28"/>
          <w:u w:val="single"/>
        </w:rPr>
        <w:t xml:space="preserve">      </w:t>
      </w:r>
      <w:r>
        <w:rPr>
          <w:rFonts w:hint="eastAsia"/>
          <w:sz w:val="28"/>
        </w:rPr>
        <w:t>年</w:t>
      </w:r>
      <w:r>
        <w:rPr>
          <w:sz w:val="28"/>
          <w:u w:val="single"/>
        </w:rPr>
        <w:t xml:space="preserve">    </w:t>
      </w:r>
      <w:r>
        <w:rPr>
          <w:rFonts w:hint="eastAsia"/>
          <w:sz w:val="28"/>
        </w:rPr>
        <w:t>月</w:t>
      </w:r>
      <w:r>
        <w:rPr>
          <w:sz w:val="28"/>
          <w:u w:val="single"/>
        </w:rPr>
        <w:t xml:space="preserve">    </w:t>
      </w:r>
      <w:r>
        <w:rPr>
          <w:rFonts w:hint="eastAsia"/>
          <w:sz w:val="28"/>
        </w:rPr>
        <w:t>日</w:t>
      </w:r>
    </w:p>
    <w:p>
      <w:pPr>
        <w:widowControl/>
        <w:tabs>
          <w:tab w:val="left" w:pos="450"/>
          <w:tab w:val="left" w:pos="2520"/>
          <w:tab w:val="left" w:pos="8280"/>
        </w:tabs>
        <w:spacing w:line="360" w:lineRule="auto"/>
        <w:jc w:val="center"/>
        <w:rPr>
          <w:rFonts w:ascii="黑体" w:hAnsi="黑体" w:eastAsia="黑体"/>
          <w:sz w:val="36"/>
          <w:szCs w:val="32"/>
        </w:rPr>
      </w:pPr>
    </w:p>
    <w:p>
      <w:pPr>
        <w:widowControl/>
        <w:tabs>
          <w:tab w:val="left" w:pos="450"/>
          <w:tab w:val="left" w:pos="2520"/>
          <w:tab w:val="left" w:pos="8280"/>
        </w:tabs>
        <w:spacing w:line="360" w:lineRule="auto"/>
        <w:jc w:val="center"/>
        <w:rPr>
          <w:rFonts w:ascii="黑体" w:hAnsi="黑体" w:eastAsia="黑体"/>
          <w:sz w:val="36"/>
          <w:szCs w:val="32"/>
        </w:rPr>
      </w:pPr>
    </w:p>
    <w:p>
      <w:pPr>
        <w:widowControl/>
        <w:tabs>
          <w:tab w:val="left" w:pos="450"/>
          <w:tab w:val="left" w:pos="2520"/>
          <w:tab w:val="left" w:pos="8280"/>
        </w:tabs>
        <w:spacing w:line="360" w:lineRule="auto"/>
        <w:jc w:val="center"/>
        <w:rPr>
          <w:rFonts w:ascii="黑体" w:hAnsi="黑体" w:eastAsia="黑体"/>
          <w:sz w:val="36"/>
          <w:szCs w:val="32"/>
        </w:rPr>
      </w:pPr>
    </w:p>
    <w:p>
      <w:pPr>
        <w:widowControl/>
        <w:tabs>
          <w:tab w:val="left" w:pos="450"/>
          <w:tab w:val="left" w:pos="2520"/>
          <w:tab w:val="left" w:pos="8280"/>
        </w:tabs>
        <w:spacing w:line="360" w:lineRule="auto"/>
        <w:jc w:val="center"/>
        <w:rPr>
          <w:rFonts w:ascii="黑体" w:hAnsi="黑体" w:eastAsia="黑体"/>
          <w:sz w:val="36"/>
          <w:szCs w:val="32"/>
        </w:rPr>
      </w:pPr>
    </w:p>
    <w:p>
      <w:pPr>
        <w:spacing w:line="560" w:lineRule="exact"/>
        <w:rPr>
          <w:rFonts w:ascii="仿宋_GB2312" w:hAnsi="仿宋_GB2312" w:eastAsia="仿宋_GB2312"/>
          <w:sz w:val="28"/>
        </w:rPr>
      </w:pPr>
    </w:p>
    <w:p>
      <w:pPr>
        <w:spacing w:line="360" w:lineRule="auto"/>
        <w:ind w:firstLine="480" w:firstLineChars="200"/>
        <w:rPr>
          <w:rFonts w:ascii="宋体" w:hAnsi="宋体"/>
          <w:sz w:val="24"/>
          <w:szCs w:val="24"/>
        </w:rPr>
      </w:pPr>
    </w:p>
    <w:p>
      <w:pPr>
        <w:rPr>
          <w:rFonts w:ascii="黑体" w:hAnsi="黑体" w:eastAsia="黑体"/>
          <w:sz w:val="36"/>
          <w:szCs w:val="32"/>
        </w:rPr>
      </w:pPr>
    </w:p>
    <w:sectPr>
      <w:headerReference r:id="rId7" w:type="first"/>
      <w:headerReference r:id="rId6" w:type="default"/>
      <w:footerReference r:id="rId8" w:type="default"/>
      <w:pgSz w:w="11906" w:h="16838"/>
      <w:pgMar w:top="1247" w:right="1418" w:bottom="1247" w:left="1418" w:header="851" w:footer="90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Helvetica Neue">
    <w:altName w:val="Segoe Print"/>
    <w:panose1 w:val="00000000000000000000"/>
    <w:charset w:val="00"/>
    <w:family w:val="auto"/>
    <w:pitch w:val="default"/>
    <w:sig w:usb0="00000000" w:usb1="00000000" w:usb2="0000001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Lucida Sans">
    <w:panose1 w:val="020B0602030504020204"/>
    <w:charset w:val="00"/>
    <w:family w:val="swiss"/>
    <w:pitch w:val="default"/>
    <w:sig w:usb0="00000003" w:usb1="00000000" w:usb2="00000000" w:usb3="00000000" w:csb0="20000001" w:csb1="00000000"/>
  </w:font>
  <w:font w:name="永中宋体">
    <w:altName w:val="宋体"/>
    <w:panose1 w:val="00000000000000000000"/>
    <w:charset w:val="86"/>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Book Antiqua">
    <w:panose1 w:val="02040602050305030304"/>
    <w:charset w:val="00"/>
    <w:family w:val="roman"/>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5"/>
      </w:rPr>
    </w:pPr>
    <w:r>
      <w:fldChar w:fldCharType="begin"/>
    </w:r>
    <w:r>
      <w:rPr>
        <w:rStyle w:val="45"/>
      </w:rPr>
      <w:instrText xml:space="preserve">PAGE  </w:instrText>
    </w:r>
    <w: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11</w:t>
    </w:r>
    <w:r>
      <w:rPr>
        <w:lang w:val="zh-CN"/>
      </w:rP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hint="eastAsia"/>
      </w:rPr>
      <w:t>诸暨市公共资源交易中心政府采购文件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060" w:firstLineChars="1700"/>
      <w:jc w:val="both"/>
    </w:pPr>
    <w:r>
      <w:rPr>
        <w:rFonts w:hint="eastAsia"/>
      </w:rPr>
      <w:t>诸暨市公共资源交易中心政府采购文件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893FC0"/>
    <w:multiLevelType w:val="singleLevel"/>
    <w:tmpl w:val="EB893FC0"/>
    <w:lvl w:ilvl="0" w:tentative="0">
      <w:start w:val="6"/>
      <w:numFmt w:val="chineseCounting"/>
      <w:pStyle w:val="229"/>
      <w:suff w:val="nothing"/>
      <w:lvlText w:val="%1、"/>
      <w:lvlJc w:val="left"/>
      <w:rPr>
        <w:rFonts w:hint="eastAsia"/>
      </w:r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B"/>
    <w:multiLevelType w:val="multilevel"/>
    <w:tmpl w:val="0000000B"/>
    <w:lvl w:ilvl="0" w:tentative="0">
      <w:start w:val="1"/>
      <w:numFmt w:val="decimal"/>
      <w:pStyle w:val="180"/>
      <w:lvlText w:val="%1、"/>
      <w:lvlJc w:val="left"/>
      <w:pPr>
        <w:tabs>
          <w:tab w:val="left" w:pos="786"/>
        </w:tabs>
        <w:ind w:left="786" w:hanging="36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000000F"/>
    <w:multiLevelType w:val="multilevel"/>
    <w:tmpl w:val="0000000F"/>
    <w:lvl w:ilvl="0" w:tentative="0">
      <w:start w:val="1"/>
      <w:numFmt w:val="decimal"/>
      <w:pStyle w:val="12"/>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pStyle w:val="213"/>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A18900B"/>
    <w:multiLevelType w:val="singleLevel"/>
    <w:tmpl w:val="1A18900B"/>
    <w:lvl w:ilvl="0" w:tentative="0">
      <w:start w:val="1"/>
      <w:numFmt w:val="decimal"/>
      <w:pStyle w:val="236"/>
      <w:suff w:val="nothing"/>
      <w:lvlText w:val="%1、"/>
      <w:lvlJc w:val="left"/>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8CE"/>
    <w:rsid w:val="00002B67"/>
    <w:rsid w:val="000113C5"/>
    <w:rsid w:val="00011957"/>
    <w:rsid w:val="000152C8"/>
    <w:rsid w:val="000166DB"/>
    <w:rsid w:val="000217FC"/>
    <w:rsid w:val="00023566"/>
    <w:rsid w:val="00023990"/>
    <w:rsid w:val="000274B8"/>
    <w:rsid w:val="00036982"/>
    <w:rsid w:val="00040392"/>
    <w:rsid w:val="00044084"/>
    <w:rsid w:val="0004573D"/>
    <w:rsid w:val="00046F76"/>
    <w:rsid w:val="0005087A"/>
    <w:rsid w:val="000523CD"/>
    <w:rsid w:val="00052AF2"/>
    <w:rsid w:val="0005566A"/>
    <w:rsid w:val="00055FCE"/>
    <w:rsid w:val="00057EEC"/>
    <w:rsid w:val="00063C38"/>
    <w:rsid w:val="00064B79"/>
    <w:rsid w:val="000750EA"/>
    <w:rsid w:val="00087554"/>
    <w:rsid w:val="00090150"/>
    <w:rsid w:val="00096D13"/>
    <w:rsid w:val="000A50B4"/>
    <w:rsid w:val="000A52B3"/>
    <w:rsid w:val="000B15B6"/>
    <w:rsid w:val="000B1D09"/>
    <w:rsid w:val="000B3A71"/>
    <w:rsid w:val="000C777D"/>
    <w:rsid w:val="000D2AB3"/>
    <w:rsid w:val="000D4C8E"/>
    <w:rsid w:val="000D5887"/>
    <w:rsid w:val="000D6EE0"/>
    <w:rsid w:val="000E099B"/>
    <w:rsid w:val="000F58A3"/>
    <w:rsid w:val="000F6AB6"/>
    <w:rsid w:val="00106DD7"/>
    <w:rsid w:val="001124D6"/>
    <w:rsid w:val="00112789"/>
    <w:rsid w:val="0011468F"/>
    <w:rsid w:val="001147BD"/>
    <w:rsid w:val="00115993"/>
    <w:rsid w:val="00121F06"/>
    <w:rsid w:val="0012492D"/>
    <w:rsid w:val="00133535"/>
    <w:rsid w:val="00133847"/>
    <w:rsid w:val="00134FB6"/>
    <w:rsid w:val="001422ED"/>
    <w:rsid w:val="00143E86"/>
    <w:rsid w:val="00150E45"/>
    <w:rsid w:val="001534C2"/>
    <w:rsid w:val="00155C60"/>
    <w:rsid w:val="001575A3"/>
    <w:rsid w:val="001645FD"/>
    <w:rsid w:val="00172A27"/>
    <w:rsid w:val="00173380"/>
    <w:rsid w:val="00173E2A"/>
    <w:rsid w:val="001745B5"/>
    <w:rsid w:val="00185880"/>
    <w:rsid w:val="00186DFF"/>
    <w:rsid w:val="00187CC0"/>
    <w:rsid w:val="00191E2F"/>
    <w:rsid w:val="00193575"/>
    <w:rsid w:val="001B064C"/>
    <w:rsid w:val="001B2452"/>
    <w:rsid w:val="001B2FE0"/>
    <w:rsid w:val="001C34F3"/>
    <w:rsid w:val="001C7441"/>
    <w:rsid w:val="001D0062"/>
    <w:rsid w:val="001D1C98"/>
    <w:rsid w:val="001D3BFD"/>
    <w:rsid w:val="001D7B74"/>
    <w:rsid w:val="001E1271"/>
    <w:rsid w:val="001E616B"/>
    <w:rsid w:val="001E66A4"/>
    <w:rsid w:val="001E760A"/>
    <w:rsid w:val="001F2677"/>
    <w:rsid w:val="001F5BB1"/>
    <w:rsid w:val="001F7B3F"/>
    <w:rsid w:val="00211203"/>
    <w:rsid w:val="00213618"/>
    <w:rsid w:val="0021463F"/>
    <w:rsid w:val="00215FD1"/>
    <w:rsid w:val="00221977"/>
    <w:rsid w:val="0023140E"/>
    <w:rsid w:val="00242E37"/>
    <w:rsid w:val="0024504F"/>
    <w:rsid w:val="002523FA"/>
    <w:rsid w:val="00252990"/>
    <w:rsid w:val="00262946"/>
    <w:rsid w:val="00264FF8"/>
    <w:rsid w:val="00271143"/>
    <w:rsid w:val="002716CE"/>
    <w:rsid w:val="00271918"/>
    <w:rsid w:val="0027710F"/>
    <w:rsid w:val="00277D24"/>
    <w:rsid w:val="00277E92"/>
    <w:rsid w:val="002822D8"/>
    <w:rsid w:val="00290B7B"/>
    <w:rsid w:val="00291C40"/>
    <w:rsid w:val="002925CE"/>
    <w:rsid w:val="00296E25"/>
    <w:rsid w:val="002979B3"/>
    <w:rsid w:val="00297DF4"/>
    <w:rsid w:val="002A2D9B"/>
    <w:rsid w:val="002A3AB7"/>
    <w:rsid w:val="002A3C45"/>
    <w:rsid w:val="002C2CA8"/>
    <w:rsid w:val="002C4946"/>
    <w:rsid w:val="002C6AC9"/>
    <w:rsid w:val="002D5A4B"/>
    <w:rsid w:val="002D6E16"/>
    <w:rsid w:val="002E3731"/>
    <w:rsid w:val="002E73F8"/>
    <w:rsid w:val="002E7835"/>
    <w:rsid w:val="002F6B39"/>
    <w:rsid w:val="0030045F"/>
    <w:rsid w:val="003032B9"/>
    <w:rsid w:val="00303B1A"/>
    <w:rsid w:val="00303CD0"/>
    <w:rsid w:val="00304273"/>
    <w:rsid w:val="00304D99"/>
    <w:rsid w:val="00306679"/>
    <w:rsid w:val="0031063F"/>
    <w:rsid w:val="00317056"/>
    <w:rsid w:val="00324B24"/>
    <w:rsid w:val="00334C67"/>
    <w:rsid w:val="00334E5F"/>
    <w:rsid w:val="00335D87"/>
    <w:rsid w:val="0034174B"/>
    <w:rsid w:val="00341A14"/>
    <w:rsid w:val="00342654"/>
    <w:rsid w:val="00343149"/>
    <w:rsid w:val="003444E5"/>
    <w:rsid w:val="0034587C"/>
    <w:rsid w:val="00350078"/>
    <w:rsid w:val="003545A7"/>
    <w:rsid w:val="00363554"/>
    <w:rsid w:val="00365E97"/>
    <w:rsid w:val="00370496"/>
    <w:rsid w:val="00370B16"/>
    <w:rsid w:val="00370B38"/>
    <w:rsid w:val="003776CB"/>
    <w:rsid w:val="0038090F"/>
    <w:rsid w:val="00391F2D"/>
    <w:rsid w:val="0039414F"/>
    <w:rsid w:val="0039795C"/>
    <w:rsid w:val="003A042E"/>
    <w:rsid w:val="003A1D1A"/>
    <w:rsid w:val="003A3E69"/>
    <w:rsid w:val="003A5E7D"/>
    <w:rsid w:val="003B4A95"/>
    <w:rsid w:val="003B7956"/>
    <w:rsid w:val="003C1DAA"/>
    <w:rsid w:val="003C4D8D"/>
    <w:rsid w:val="003C7A5A"/>
    <w:rsid w:val="003D0A26"/>
    <w:rsid w:val="003D437E"/>
    <w:rsid w:val="003D6A13"/>
    <w:rsid w:val="003E0C51"/>
    <w:rsid w:val="003F29CB"/>
    <w:rsid w:val="003F36A2"/>
    <w:rsid w:val="003F39C0"/>
    <w:rsid w:val="004008BF"/>
    <w:rsid w:val="00413CBA"/>
    <w:rsid w:val="0041764C"/>
    <w:rsid w:val="004271CA"/>
    <w:rsid w:val="00427FCD"/>
    <w:rsid w:val="00432523"/>
    <w:rsid w:val="004342F0"/>
    <w:rsid w:val="00442002"/>
    <w:rsid w:val="00442438"/>
    <w:rsid w:val="00447769"/>
    <w:rsid w:val="004707A2"/>
    <w:rsid w:val="00470B5F"/>
    <w:rsid w:val="004718F9"/>
    <w:rsid w:val="004806E7"/>
    <w:rsid w:val="00482DD1"/>
    <w:rsid w:val="0048405D"/>
    <w:rsid w:val="00485136"/>
    <w:rsid w:val="0048714A"/>
    <w:rsid w:val="0049044E"/>
    <w:rsid w:val="00490E2A"/>
    <w:rsid w:val="00494A03"/>
    <w:rsid w:val="00495664"/>
    <w:rsid w:val="004A1123"/>
    <w:rsid w:val="004A4033"/>
    <w:rsid w:val="004A7DA9"/>
    <w:rsid w:val="004B4E59"/>
    <w:rsid w:val="004C32C1"/>
    <w:rsid w:val="004D692E"/>
    <w:rsid w:val="004E2B0A"/>
    <w:rsid w:val="004E2C59"/>
    <w:rsid w:val="004E6F8E"/>
    <w:rsid w:val="004F05D6"/>
    <w:rsid w:val="004F13C0"/>
    <w:rsid w:val="004F7669"/>
    <w:rsid w:val="00506DCD"/>
    <w:rsid w:val="00507631"/>
    <w:rsid w:val="00507A89"/>
    <w:rsid w:val="00511238"/>
    <w:rsid w:val="00515486"/>
    <w:rsid w:val="005166F1"/>
    <w:rsid w:val="00516970"/>
    <w:rsid w:val="00517AC4"/>
    <w:rsid w:val="00541828"/>
    <w:rsid w:val="00544480"/>
    <w:rsid w:val="00544E5D"/>
    <w:rsid w:val="00547F97"/>
    <w:rsid w:val="00551BD6"/>
    <w:rsid w:val="0055389A"/>
    <w:rsid w:val="0055473F"/>
    <w:rsid w:val="0055566B"/>
    <w:rsid w:val="00555A4D"/>
    <w:rsid w:val="00561191"/>
    <w:rsid w:val="00580611"/>
    <w:rsid w:val="00581BCC"/>
    <w:rsid w:val="005836C4"/>
    <w:rsid w:val="00584F02"/>
    <w:rsid w:val="00587EEA"/>
    <w:rsid w:val="00593A96"/>
    <w:rsid w:val="005942B8"/>
    <w:rsid w:val="005964D1"/>
    <w:rsid w:val="005A13A0"/>
    <w:rsid w:val="005A578B"/>
    <w:rsid w:val="005B1E52"/>
    <w:rsid w:val="005B3786"/>
    <w:rsid w:val="005B5788"/>
    <w:rsid w:val="005B7947"/>
    <w:rsid w:val="005C1BED"/>
    <w:rsid w:val="005C74A9"/>
    <w:rsid w:val="005C7981"/>
    <w:rsid w:val="005D4130"/>
    <w:rsid w:val="005E0DCA"/>
    <w:rsid w:val="005E57F3"/>
    <w:rsid w:val="005E7581"/>
    <w:rsid w:val="005F0B63"/>
    <w:rsid w:val="005F475B"/>
    <w:rsid w:val="00601186"/>
    <w:rsid w:val="00604DB6"/>
    <w:rsid w:val="00605314"/>
    <w:rsid w:val="00606949"/>
    <w:rsid w:val="00607834"/>
    <w:rsid w:val="006106A8"/>
    <w:rsid w:val="0061424F"/>
    <w:rsid w:val="00616E9C"/>
    <w:rsid w:val="00633DB6"/>
    <w:rsid w:val="00636B18"/>
    <w:rsid w:val="00637917"/>
    <w:rsid w:val="00644029"/>
    <w:rsid w:val="0065020C"/>
    <w:rsid w:val="00652C85"/>
    <w:rsid w:val="0066204C"/>
    <w:rsid w:val="00662DD3"/>
    <w:rsid w:val="00677F5E"/>
    <w:rsid w:val="006808AC"/>
    <w:rsid w:val="00682905"/>
    <w:rsid w:val="006913A4"/>
    <w:rsid w:val="006A34D1"/>
    <w:rsid w:val="006A44C8"/>
    <w:rsid w:val="006A6414"/>
    <w:rsid w:val="006A72CB"/>
    <w:rsid w:val="006B101F"/>
    <w:rsid w:val="006B287E"/>
    <w:rsid w:val="006C0392"/>
    <w:rsid w:val="006C5997"/>
    <w:rsid w:val="006C6C23"/>
    <w:rsid w:val="006D4D55"/>
    <w:rsid w:val="006F2F61"/>
    <w:rsid w:val="006F42AE"/>
    <w:rsid w:val="006F451E"/>
    <w:rsid w:val="006F4ABD"/>
    <w:rsid w:val="00700C30"/>
    <w:rsid w:val="00707483"/>
    <w:rsid w:val="00712E38"/>
    <w:rsid w:val="007205BA"/>
    <w:rsid w:val="00724884"/>
    <w:rsid w:val="007308B7"/>
    <w:rsid w:val="00733F8A"/>
    <w:rsid w:val="00734E1A"/>
    <w:rsid w:val="00736829"/>
    <w:rsid w:val="007460A4"/>
    <w:rsid w:val="00750A11"/>
    <w:rsid w:val="00761B31"/>
    <w:rsid w:val="00762959"/>
    <w:rsid w:val="007647DA"/>
    <w:rsid w:val="00765A67"/>
    <w:rsid w:val="00766592"/>
    <w:rsid w:val="007721DF"/>
    <w:rsid w:val="0077316E"/>
    <w:rsid w:val="007734E5"/>
    <w:rsid w:val="007750B7"/>
    <w:rsid w:val="00776E97"/>
    <w:rsid w:val="00780330"/>
    <w:rsid w:val="0078045C"/>
    <w:rsid w:val="00786888"/>
    <w:rsid w:val="00790027"/>
    <w:rsid w:val="00793680"/>
    <w:rsid w:val="00795E2F"/>
    <w:rsid w:val="00795F82"/>
    <w:rsid w:val="007A01BB"/>
    <w:rsid w:val="007A1EEA"/>
    <w:rsid w:val="007A3DDD"/>
    <w:rsid w:val="007A5541"/>
    <w:rsid w:val="007B5782"/>
    <w:rsid w:val="007B5ED0"/>
    <w:rsid w:val="007B7FF7"/>
    <w:rsid w:val="007C14E8"/>
    <w:rsid w:val="007C3D91"/>
    <w:rsid w:val="007C3E1A"/>
    <w:rsid w:val="007C3F83"/>
    <w:rsid w:val="007D3E1C"/>
    <w:rsid w:val="007D4C48"/>
    <w:rsid w:val="007E2F59"/>
    <w:rsid w:val="007E416F"/>
    <w:rsid w:val="007E42F4"/>
    <w:rsid w:val="007F0904"/>
    <w:rsid w:val="00800DA1"/>
    <w:rsid w:val="00802A0F"/>
    <w:rsid w:val="00804825"/>
    <w:rsid w:val="00812EF3"/>
    <w:rsid w:val="00824112"/>
    <w:rsid w:val="00824456"/>
    <w:rsid w:val="00831FEA"/>
    <w:rsid w:val="00836F76"/>
    <w:rsid w:val="00837614"/>
    <w:rsid w:val="0084072D"/>
    <w:rsid w:val="00840816"/>
    <w:rsid w:val="00841D5A"/>
    <w:rsid w:val="008545B9"/>
    <w:rsid w:val="00867651"/>
    <w:rsid w:val="00874C6E"/>
    <w:rsid w:val="00874DC1"/>
    <w:rsid w:val="00876335"/>
    <w:rsid w:val="008765A7"/>
    <w:rsid w:val="00885357"/>
    <w:rsid w:val="008978B7"/>
    <w:rsid w:val="008A3E96"/>
    <w:rsid w:val="008A47FE"/>
    <w:rsid w:val="008B1825"/>
    <w:rsid w:val="008B1834"/>
    <w:rsid w:val="008B30C7"/>
    <w:rsid w:val="008B728E"/>
    <w:rsid w:val="008C2CD9"/>
    <w:rsid w:val="008C5AD7"/>
    <w:rsid w:val="008D1563"/>
    <w:rsid w:val="008D2883"/>
    <w:rsid w:val="008D727A"/>
    <w:rsid w:val="008E3C50"/>
    <w:rsid w:val="008E6173"/>
    <w:rsid w:val="008F20DF"/>
    <w:rsid w:val="008F2A49"/>
    <w:rsid w:val="0090066D"/>
    <w:rsid w:val="00907969"/>
    <w:rsid w:val="00912DD2"/>
    <w:rsid w:val="009167C9"/>
    <w:rsid w:val="00920510"/>
    <w:rsid w:val="0092536D"/>
    <w:rsid w:val="0093429F"/>
    <w:rsid w:val="00935D5F"/>
    <w:rsid w:val="00942A9B"/>
    <w:rsid w:val="0095046F"/>
    <w:rsid w:val="00950B0B"/>
    <w:rsid w:val="00950DEA"/>
    <w:rsid w:val="00950FF7"/>
    <w:rsid w:val="009570E2"/>
    <w:rsid w:val="0095762A"/>
    <w:rsid w:val="009635A2"/>
    <w:rsid w:val="009638F8"/>
    <w:rsid w:val="00974596"/>
    <w:rsid w:val="009760D4"/>
    <w:rsid w:val="00976946"/>
    <w:rsid w:val="00976E86"/>
    <w:rsid w:val="00981A8F"/>
    <w:rsid w:val="0099122E"/>
    <w:rsid w:val="00991D62"/>
    <w:rsid w:val="00993490"/>
    <w:rsid w:val="0099438F"/>
    <w:rsid w:val="00996A69"/>
    <w:rsid w:val="009A710A"/>
    <w:rsid w:val="009B55A0"/>
    <w:rsid w:val="009B5C57"/>
    <w:rsid w:val="009C03B0"/>
    <w:rsid w:val="009C1CDF"/>
    <w:rsid w:val="009D00EB"/>
    <w:rsid w:val="009D103A"/>
    <w:rsid w:val="009D7F1F"/>
    <w:rsid w:val="009E2B43"/>
    <w:rsid w:val="009E72C3"/>
    <w:rsid w:val="009F055A"/>
    <w:rsid w:val="009F5406"/>
    <w:rsid w:val="009F73D3"/>
    <w:rsid w:val="00A068FE"/>
    <w:rsid w:val="00A12B1B"/>
    <w:rsid w:val="00A160D8"/>
    <w:rsid w:val="00A177CD"/>
    <w:rsid w:val="00A215E7"/>
    <w:rsid w:val="00A3111B"/>
    <w:rsid w:val="00A41E80"/>
    <w:rsid w:val="00A47FDC"/>
    <w:rsid w:val="00A505BD"/>
    <w:rsid w:val="00A52EB5"/>
    <w:rsid w:val="00A5319D"/>
    <w:rsid w:val="00A542B0"/>
    <w:rsid w:val="00A55000"/>
    <w:rsid w:val="00A56138"/>
    <w:rsid w:val="00A61BE8"/>
    <w:rsid w:val="00A720C5"/>
    <w:rsid w:val="00A72F14"/>
    <w:rsid w:val="00A926B3"/>
    <w:rsid w:val="00A93561"/>
    <w:rsid w:val="00A95B21"/>
    <w:rsid w:val="00AA2B7B"/>
    <w:rsid w:val="00AA37DB"/>
    <w:rsid w:val="00AA5B73"/>
    <w:rsid w:val="00AA6545"/>
    <w:rsid w:val="00AA75C2"/>
    <w:rsid w:val="00AB3B29"/>
    <w:rsid w:val="00AC72ED"/>
    <w:rsid w:val="00AD3BB4"/>
    <w:rsid w:val="00AE182C"/>
    <w:rsid w:val="00AE4C0B"/>
    <w:rsid w:val="00AE59EB"/>
    <w:rsid w:val="00AF051C"/>
    <w:rsid w:val="00AF193B"/>
    <w:rsid w:val="00AF30B5"/>
    <w:rsid w:val="00AF4733"/>
    <w:rsid w:val="00AF661D"/>
    <w:rsid w:val="00B00B1A"/>
    <w:rsid w:val="00B02A45"/>
    <w:rsid w:val="00B1400E"/>
    <w:rsid w:val="00B20DC7"/>
    <w:rsid w:val="00B226AF"/>
    <w:rsid w:val="00B24438"/>
    <w:rsid w:val="00B31C8D"/>
    <w:rsid w:val="00B33F00"/>
    <w:rsid w:val="00B42EA9"/>
    <w:rsid w:val="00B47B2E"/>
    <w:rsid w:val="00B556F2"/>
    <w:rsid w:val="00B55FB5"/>
    <w:rsid w:val="00B61211"/>
    <w:rsid w:val="00B6299F"/>
    <w:rsid w:val="00B62E64"/>
    <w:rsid w:val="00B64B7E"/>
    <w:rsid w:val="00B7038F"/>
    <w:rsid w:val="00B73903"/>
    <w:rsid w:val="00B80805"/>
    <w:rsid w:val="00B869A2"/>
    <w:rsid w:val="00B94215"/>
    <w:rsid w:val="00B959D8"/>
    <w:rsid w:val="00B97DFB"/>
    <w:rsid w:val="00BA7A57"/>
    <w:rsid w:val="00BB3EC9"/>
    <w:rsid w:val="00BB65FC"/>
    <w:rsid w:val="00BD2E36"/>
    <w:rsid w:val="00BD4AC7"/>
    <w:rsid w:val="00BD5735"/>
    <w:rsid w:val="00BE118D"/>
    <w:rsid w:val="00BF25F0"/>
    <w:rsid w:val="00BF59F4"/>
    <w:rsid w:val="00C02745"/>
    <w:rsid w:val="00C06991"/>
    <w:rsid w:val="00C165D6"/>
    <w:rsid w:val="00C2235D"/>
    <w:rsid w:val="00C22914"/>
    <w:rsid w:val="00C25FD1"/>
    <w:rsid w:val="00C268F1"/>
    <w:rsid w:val="00C30DF3"/>
    <w:rsid w:val="00C37EE1"/>
    <w:rsid w:val="00C43DF0"/>
    <w:rsid w:val="00C44FAA"/>
    <w:rsid w:val="00C455FE"/>
    <w:rsid w:val="00C46162"/>
    <w:rsid w:val="00C50585"/>
    <w:rsid w:val="00C5285A"/>
    <w:rsid w:val="00C540D0"/>
    <w:rsid w:val="00C707A1"/>
    <w:rsid w:val="00C71FD1"/>
    <w:rsid w:val="00C71FD8"/>
    <w:rsid w:val="00C73484"/>
    <w:rsid w:val="00C80BBB"/>
    <w:rsid w:val="00C8366E"/>
    <w:rsid w:val="00C85D3A"/>
    <w:rsid w:val="00C90C3F"/>
    <w:rsid w:val="00C9759B"/>
    <w:rsid w:val="00CA521B"/>
    <w:rsid w:val="00CA7C1B"/>
    <w:rsid w:val="00CA7DB4"/>
    <w:rsid w:val="00CB43D3"/>
    <w:rsid w:val="00CB5B9F"/>
    <w:rsid w:val="00CB656D"/>
    <w:rsid w:val="00CC09E1"/>
    <w:rsid w:val="00CC0B18"/>
    <w:rsid w:val="00CC3C5A"/>
    <w:rsid w:val="00CC5C4A"/>
    <w:rsid w:val="00CE027C"/>
    <w:rsid w:val="00CE3E2E"/>
    <w:rsid w:val="00CE798F"/>
    <w:rsid w:val="00CF0929"/>
    <w:rsid w:val="00CF1340"/>
    <w:rsid w:val="00CF1DB4"/>
    <w:rsid w:val="00D042E9"/>
    <w:rsid w:val="00D0540E"/>
    <w:rsid w:val="00D11DCC"/>
    <w:rsid w:val="00D124CE"/>
    <w:rsid w:val="00D1339B"/>
    <w:rsid w:val="00D141FA"/>
    <w:rsid w:val="00D17AE1"/>
    <w:rsid w:val="00D2614F"/>
    <w:rsid w:val="00D325A3"/>
    <w:rsid w:val="00D357A7"/>
    <w:rsid w:val="00D4068D"/>
    <w:rsid w:val="00D44CAC"/>
    <w:rsid w:val="00D52ACC"/>
    <w:rsid w:val="00D53E01"/>
    <w:rsid w:val="00D5603F"/>
    <w:rsid w:val="00D71131"/>
    <w:rsid w:val="00D72395"/>
    <w:rsid w:val="00D7283D"/>
    <w:rsid w:val="00D7434E"/>
    <w:rsid w:val="00D80BFA"/>
    <w:rsid w:val="00D84239"/>
    <w:rsid w:val="00D87422"/>
    <w:rsid w:val="00D95B9E"/>
    <w:rsid w:val="00DA0148"/>
    <w:rsid w:val="00DA3425"/>
    <w:rsid w:val="00DA6EFC"/>
    <w:rsid w:val="00DB1F85"/>
    <w:rsid w:val="00DB20FE"/>
    <w:rsid w:val="00DB2C21"/>
    <w:rsid w:val="00DB2E10"/>
    <w:rsid w:val="00DC1BB7"/>
    <w:rsid w:val="00DC1C6D"/>
    <w:rsid w:val="00DC5E4E"/>
    <w:rsid w:val="00DD0D72"/>
    <w:rsid w:val="00DD2800"/>
    <w:rsid w:val="00DD2A84"/>
    <w:rsid w:val="00DD7DB0"/>
    <w:rsid w:val="00DF0F7A"/>
    <w:rsid w:val="00DF47A6"/>
    <w:rsid w:val="00DF5F6F"/>
    <w:rsid w:val="00DF7870"/>
    <w:rsid w:val="00E004C4"/>
    <w:rsid w:val="00E024C5"/>
    <w:rsid w:val="00E0354D"/>
    <w:rsid w:val="00E111CC"/>
    <w:rsid w:val="00E139F4"/>
    <w:rsid w:val="00E1684C"/>
    <w:rsid w:val="00E169BD"/>
    <w:rsid w:val="00E175F5"/>
    <w:rsid w:val="00E205DE"/>
    <w:rsid w:val="00E216B5"/>
    <w:rsid w:val="00E22775"/>
    <w:rsid w:val="00E230F6"/>
    <w:rsid w:val="00E27EE7"/>
    <w:rsid w:val="00E3040A"/>
    <w:rsid w:val="00E351D2"/>
    <w:rsid w:val="00E3541E"/>
    <w:rsid w:val="00E44D0C"/>
    <w:rsid w:val="00E47923"/>
    <w:rsid w:val="00E518D5"/>
    <w:rsid w:val="00E632A2"/>
    <w:rsid w:val="00E6462C"/>
    <w:rsid w:val="00E65D6D"/>
    <w:rsid w:val="00E71AD9"/>
    <w:rsid w:val="00E73797"/>
    <w:rsid w:val="00E76877"/>
    <w:rsid w:val="00E76C97"/>
    <w:rsid w:val="00E80FA2"/>
    <w:rsid w:val="00E82FEC"/>
    <w:rsid w:val="00E84273"/>
    <w:rsid w:val="00E846A7"/>
    <w:rsid w:val="00E8495F"/>
    <w:rsid w:val="00E93B84"/>
    <w:rsid w:val="00E945E2"/>
    <w:rsid w:val="00EA3530"/>
    <w:rsid w:val="00EA6399"/>
    <w:rsid w:val="00EA727D"/>
    <w:rsid w:val="00EB2251"/>
    <w:rsid w:val="00EB3155"/>
    <w:rsid w:val="00EB465C"/>
    <w:rsid w:val="00EB7CFF"/>
    <w:rsid w:val="00EC1ED7"/>
    <w:rsid w:val="00EC3B8C"/>
    <w:rsid w:val="00ED432F"/>
    <w:rsid w:val="00EE526F"/>
    <w:rsid w:val="00EE72B2"/>
    <w:rsid w:val="00EF312D"/>
    <w:rsid w:val="00EF4E71"/>
    <w:rsid w:val="00EF5174"/>
    <w:rsid w:val="00F02025"/>
    <w:rsid w:val="00F02479"/>
    <w:rsid w:val="00F059FC"/>
    <w:rsid w:val="00F060E9"/>
    <w:rsid w:val="00F06C2C"/>
    <w:rsid w:val="00F121D6"/>
    <w:rsid w:val="00F15EA9"/>
    <w:rsid w:val="00F2027F"/>
    <w:rsid w:val="00F26046"/>
    <w:rsid w:val="00F26449"/>
    <w:rsid w:val="00F270D8"/>
    <w:rsid w:val="00F31349"/>
    <w:rsid w:val="00F31DAF"/>
    <w:rsid w:val="00F32D11"/>
    <w:rsid w:val="00F3386E"/>
    <w:rsid w:val="00F4076D"/>
    <w:rsid w:val="00F44B9A"/>
    <w:rsid w:val="00F527BC"/>
    <w:rsid w:val="00F61ED3"/>
    <w:rsid w:val="00F62257"/>
    <w:rsid w:val="00F7190B"/>
    <w:rsid w:val="00F7531B"/>
    <w:rsid w:val="00F82259"/>
    <w:rsid w:val="00F85274"/>
    <w:rsid w:val="00F95253"/>
    <w:rsid w:val="00F95940"/>
    <w:rsid w:val="00F9602D"/>
    <w:rsid w:val="00FA151D"/>
    <w:rsid w:val="00FA32A6"/>
    <w:rsid w:val="00FA352E"/>
    <w:rsid w:val="00FA5D92"/>
    <w:rsid w:val="00FB3036"/>
    <w:rsid w:val="00FC3458"/>
    <w:rsid w:val="00FC3BC7"/>
    <w:rsid w:val="00FC534F"/>
    <w:rsid w:val="00FD068B"/>
    <w:rsid w:val="00FE32E3"/>
    <w:rsid w:val="00FE5BDB"/>
    <w:rsid w:val="00FF110C"/>
    <w:rsid w:val="00FF2E97"/>
    <w:rsid w:val="00FF466F"/>
    <w:rsid w:val="00FF4FA8"/>
    <w:rsid w:val="00FF619A"/>
    <w:rsid w:val="0BCE0C66"/>
    <w:rsid w:val="13B12BA4"/>
    <w:rsid w:val="21492122"/>
    <w:rsid w:val="35B95206"/>
    <w:rsid w:val="5737194B"/>
    <w:rsid w:val="651C6CBF"/>
    <w:rsid w:val="6C163AB2"/>
    <w:rsid w:val="76B60555"/>
    <w:rsid w:val="7BD84FD8"/>
    <w:rsid w:val="7F832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nhideWhenUsed="0" w:uiPriority="0" w:semiHidden="0" w:name="index 7"/>
    <w:lsdException w:uiPriority="99" w:name="index 8"/>
    <w:lsdException w:uiPriority="99" w:name="index 9"/>
    <w:lsdException w:qFormat="1" w:unhideWhenUsed="0"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nhideWhenUsed="0" w:uiPriority="0" w:semiHidden="0" w:name="Body Text First Indent"/>
    <w:lsdException w:qFormat="1" w:uiPriority="99"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link w:val="50"/>
    <w:qFormat/>
    <w:uiPriority w:val="0"/>
    <w:pPr>
      <w:keepNext/>
      <w:keepLines/>
      <w:spacing w:before="340" w:after="330" w:line="576" w:lineRule="auto"/>
      <w:outlineLvl w:val="0"/>
    </w:pPr>
    <w:rPr>
      <w:b/>
      <w:kern w:val="44"/>
      <w:sz w:val="44"/>
    </w:rPr>
  </w:style>
  <w:style w:type="paragraph" w:styleId="3">
    <w:name w:val="heading 2"/>
    <w:basedOn w:val="1"/>
    <w:next w:val="1"/>
    <w:link w:val="51"/>
    <w:qFormat/>
    <w:uiPriority w:val="0"/>
    <w:pPr>
      <w:keepNext/>
      <w:keepLines/>
      <w:autoSpaceDE/>
      <w:autoSpaceDN/>
      <w:adjustRightInd/>
      <w:spacing w:before="260" w:after="260" w:line="415" w:lineRule="auto"/>
      <w:outlineLvl w:val="1"/>
    </w:pPr>
    <w:rPr>
      <w:rFonts w:ascii="Arial" w:hAnsi="Arial" w:eastAsia="黑体"/>
      <w:b/>
      <w:bCs/>
      <w:kern w:val="2"/>
      <w:sz w:val="32"/>
      <w:szCs w:val="32"/>
    </w:rPr>
  </w:style>
  <w:style w:type="paragraph" w:styleId="4">
    <w:name w:val="heading 3"/>
    <w:basedOn w:val="1"/>
    <w:next w:val="1"/>
    <w:link w:val="149"/>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link w:val="150"/>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48"/>
    <w:unhideWhenUsed/>
    <w:qFormat/>
    <w:uiPriority w:val="9"/>
    <w:pPr>
      <w:keepNext/>
      <w:keepLines/>
      <w:spacing w:before="280" w:after="290" w:line="376" w:lineRule="auto"/>
      <w:outlineLvl w:val="4"/>
    </w:pPr>
    <w:rPr>
      <w:b/>
      <w:bCs/>
      <w:sz w:val="28"/>
      <w:szCs w:val="28"/>
    </w:rPr>
  </w:style>
  <w:style w:type="paragraph" w:styleId="7">
    <w:name w:val="heading 6"/>
    <w:basedOn w:val="1"/>
    <w:next w:val="8"/>
    <w:link w:val="151"/>
    <w:qFormat/>
    <w:uiPriority w:val="0"/>
    <w:pPr>
      <w:keepNext/>
      <w:keepLines/>
      <w:autoSpaceDE/>
      <w:autoSpaceDN/>
      <w:adjustRightInd/>
      <w:spacing w:before="240" w:after="64" w:line="320" w:lineRule="auto"/>
      <w:outlineLvl w:val="5"/>
    </w:pPr>
    <w:rPr>
      <w:rFonts w:ascii="Arial" w:hAnsi="Arial" w:eastAsia="黑体"/>
      <w:b/>
      <w:color w:val="auto"/>
      <w:kern w:val="2"/>
      <w:sz w:val="24"/>
      <w:szCs w:val="20"/>
    </w:rPr>
  </w:style>
  <w:style w:type="paragraph" w:styleId="9">
    <w:name w:val="heading 7"/>
    <w:basedOn w:val="1"/>
    <w:next w:val="8"/>
    <w:link w:val="152"/>
    <w:qFormat/>
    <w:uiPriority w:val="0"/>
    <w:pPr>
      <w:keepNext/>
      <w:keepLines/>
      <w:autoSpaceDE/>
      <w:autoSpaceDN/>
      <w:adjustRightInd/>
      <w:spacing w:before="240" w:after="64" w:line="320" w:lineRule="auto"/>
      <w:outlineLvl w:val="6"/>
    </w:pPr>
    <w:rPr>
      <w:rFonts w:ascii="Calibri" w:hAnsi="Calibri"/>
      <w:b/>
      <w:color w:val="auto"/>
      <w:kern w:val="2"/>
      <w:sz w:val="24"/>
      <w:szCs w:val="20"/>
    </w:rPr>
  </w:style>
  <w:style w:type="paragraph" w:styleId="10">
    <w:name w:val="heading 8"/>
    <w:basedOn w:val="1"/>
    <w:next w:val="8"/>
    <w:link w:val="153"/>
    <w:qFormat/>
    <w:uiPriority w:val="0"/>
    <w:pPr>
      <w:keepNext/>
      <w:keepLines/>
      <w:autoSpaceDE/>
      <w:autoSpaceDN/>
      <w:adjustRightInd/>
      <w:spacing w:before="240" w:after="64" w:line="320" w:lineRule="auto"/>
      <w:outlineLvl w:val="7"/>
    </w:pPr>
    <w:rPr>
      <w:rFonts w:ascii="Arial" w:hAnsi="Arial" w:eastAsia="黑体"/>
      <w:color w:val="auto"/>
      <w:kern w:val="2"/>
      <w:sz w:val="24"/>
      <w:szCs w:val="20"/>
    </w:rPr>
  </w:style>
  <w:style w:type="paragraph" w:styleId="11">
    <w:name w:val="heading 9"/>
    <w:basedOn w:val="1"/>
    <w:next w:val="8"/>
    <w:link w:val="154"/>
    <w:qFormat/>
    <w:uiPriority w:val="0"/>
    <w:pPr>
      <w:keepNext/>
      <w:keepLines/>
      <w:autoSpaceDE/>
      <w:autoSpaceDN/>
      <w:adjustRightInd/>
      <w:spacing w:before="240" w:after="64" w:line="320" w:lineRule="auto"/>
      <w:outlineLvl w:val="8"/>
    </w:pPr>
    <w:rPr>
      <w:rFonts w:ascii="Arial" w:hAnsi="Arial" w:eastAsia="黑体"/>
      <w:color w:val="auto"/>
      <w:kern w:val="2"/>
      <w:szCs w:val="20"/>
    </w:rPr>
  </w:style>
  <w:style w:type="character" w:default="1" w:styleId="43">
    <w:name w:val="Default Paragraph Font"/>
    <w:semiHidden/>
    <w:unhideWhenUsed/>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63"/>
    <w:qFormat/>
    <w:uiPriority w:val="0"/>
    <w:pPr>
      <w:autoSpaceDE/>
      <w:autoSpaceDN/>
      <w:adjustRightInd/>
      <w:ind w:firstLine="420"/>
    </w:pPr>
    <w:rPr>
      <w:kern w:val="2"/>
    </w:rPr>
  </w:style>
  <w:style w:type="paragraph" w:styleId="12">
    <w:name w:val="List Number"/>
    <w:basedOn w:val="1"/>
    <w:qFormat/>
    <w:uiPriority w:val="0"/>
    <w:pPr>
      <w:widowControl/>
      <w:numPr>
        <w:ilvl w:val="0"/>
        <w:numId w:val="1"/>
      </w:numPr>
      <w:tabs>
        <w:tab w:val="left" w:pos="720"/>
      </w:tabs>
      <w:autoSpaceDE/>
      <w:autoSpaceDN/>
      <w:adjustRightInd/>
      <w:spacing w:afterLines="50"/>
      <w:jc w:val="left"/>
    </w:pPr>
    <w:rPr>
      <w:color w:val="auto"/>
      <w:sz w:val="24"/>
      <w:szCs w:val="20"/>
    </w:rPr>
  </w:style>
  <w:style w:type="paragraph" w:styleId="13">
    <w:name w:val="caption"/>
    <w:basedOn w:val="1"/>
    <w:next w:val="1"/>
    <w:unhideWhenUsed/>
    <w:qFormat/>
    <w:uiPriority w:val="0"/>
    <w:pPr>
      <w:autoSpaceDE/>
      <w:autoSpaceDN/>
      <w:adjustRightInd/>
    </w:pPr>
    <w:rPr>
      <w:rFonts w:ascii="Cambria" w:hAnsi="Cambria" w:eastAsia="黑体"/>
      <w:color w:val="auto"/>
      <w:kern w:val="2"/>
      <w:sz w:val="20"/>
      <w:szCs w:val="20"/>
    </w:rPr>
  </w:style>
  <w:style w:type="paragraph" w:styleId="14">
    <w:name w:val="Document Map"/>
    <w:basedOn w:val="1"/>
    <w:link w:val="62"/>
    <w:uiPriority w:val="0"/>
    <w:pPr>
      <w:shd w:val="clear" w:color="auto" w:fill="000080"/>
      <w:autoSpaceDE/>
      <w:autoSpaceDN/>
      <w:adjustRightInd/>
    </w:pPr>
    <w:rPr>
      <w:kern w:val="2"/>
      <w:szCs w:val="24"/>
      <w:shd w:val="clear" w:color="auto" w:fill="000080"/>
    </w:rPr>
  </w:style>
  <w:style w:type="paragraph" w:styleId="15">
    <w:name w:val="annotation text"/>
    <w:basedOn w:val="1"/>
    <w:link w:val="226"/>
    <w:uiPriority w:val="0"/>
    <w:pPr>
      <w:jc w:val="left"/>
      <w:textAlignment w:val="baseline"/>
    </w:pPr>
    <w:rPr>
      <w:rFonts w:ascii="宋体" w:hAnsi="Calibri"/>
      <w:color w:val="auto"/>
      <w:sz w:val="34"/>
      <w:szCs w:val="20"/>
    </w:rPr>
  </w:style>
  <w:style w:type="paragraph" w:styleId="16">
    <w:name w:val="index 6"/>
    <w:next w:val="1"/>
    <w:qFormat/>
    <w:uiPriority w:val="0"/>
    <w:pPr>
      <w:jc w:val="both"/>
    </w:pPr>
    <w:rPr>
      <w:rFonts w:ascii="Times New Roman" w:hAnsi="Times New Roman" w:eastAsia="宋体" w:cs="Times New Roman"/>
      <w:sz w:val="21"/>
      <w:szCs w:val="24"/>
      <w:lang w:val="en-US" w:eastAsia="zh-CN" w:bidi="ar-SA"/>
    </w:rPr>
  </w:style>
  <w:style w:type="paragraph" w:styleId="17">
    <w:name w:val="Body Text 3"/>
    <w:basedOn w:val="1"/>
    <w:link w:val="230"/>
    <w:uiPriority w:val="0"/>
    <w:pPr>
      <w:spacing w:line="640" w:lineRule="exact"/>
      <w:jc w:val="left"/>
      <w:textAlignment w:val="baseline"/>
    </w:pPr>
    <w:rPr>
      <w:rFonts w:ascii="宋体" w:hAnsi="Calibri"/>
      <w:sz w:val="28"/>
      <w:szCs w:val="20"/>
    </w:rPr>
  </w:style>
  <w:style w:type="paragraph" w:styleId="18">
    <w:name w:val="Body Text"/>
    <w:basedOn w:val="1"/>
    <w:link w:val="55"/>
    <w:qFormat/>
    <w:uiPriority w:val="0"/>
    <w:pPr>
      <w:spacing w:after="120"/>
    </w:pPr>
  </w:style>
  <w:style w:type="paragraph" w:styleId="19">
    <w:name w:val="Body Text Indent"/>
    <w:basedOn w:val="1"/>
    <w:link w:val="75"/>
    <w:qFormat/>
    <w:uiPriority w:val="0"/>
    <w:pPr>
      <w:spacing w:after="120"/>
      <w:ind w:left="420" w:leftChars="200"/>
    </w:pPr>
  </w:style>
  <w:style w:type="paragraph" w:styleId="20">
    <w:name w:val="toc 3"/>
    <w:basedOn w:val="1"/>
    <w:next w:val="1"/>
    <w:unhideWhenUsed/>
    <w:uiPriority w:val="39"/>
    <w:pPr>
      <w:autoSpaceDE/>
      <w:autoSpaceDN/>
      <w:adjustRightInd/>
      <w:ind w:left="840" w:leftChars="400"/>
    </w:pPr>
    <w:rPr>
      <w:rFonts w:ascii="Calibri" w:hAnsi="Calibri"/>
      <w:color w:val="auto"/>
      <w:kern w:val="2"/>
      <w:szCs w:val="24"/>
    </w:rPr>
  </w:style>
  <w:style w:type="paragraph" w:styleId="21">
    <w:name w:val="Plain Text"/>
    <w:basedOn w:val="1"/>
    <w:link w:val="52"/>
    <w:qFormat/>
    <w:uiPriority w:val="0"/>
    <w:pPr>
      <w:autoSpaceDE/>
      <w:autoSpaceDN/>
      <w:adjustRightInd/>
    </w:pPr>
    <w:rPr>
      <w:kern w:val="2"/>
      <w:sz w:val="24"/>
    </w:rPr>
  </w:style>
  <w:style w:type="paragraph" w:styleId="22">
    <w:name w:val="Date"/>
    <w:basedOn w:val="1"/>
    <w:next w:val="1"/>
    <w:link w:val="237"/>
    <w:uiPriority w:val="0"/>
    <w:pPr>
      <w:textAlignment w:val="baseline"/>
    </w:pPr>
    <w:rPr>
      <w:rFonts w:ascii="宋体" w:hAnsi="Calibri"/>
      <w:color w:val="auto"/>
      <w:sz w:val="28"/>
      <w:szCs w:val="20"/>
    </w:rPr>
  </w:style>
  <w:style w:type="paragraph" w:styleId="23">
    <w:name w:val="Body Text Indent 2"/>
    <w:basedOn w:val="1"/>
    <w:link w:val="222"/>
    <w:uiPriority w:val="0"/>
    <w:pPr>
      <w:autoSpaceDE/>
      <w:autoSpaceDN/>
      <w:adjustRightInd/>
      <w:spacing w:line="360" w:lineRule="auto"/>
      <w:ind w:firstLine="720"/>
    </w:pPr>
    <w:rPr>
      <w:rFonts w:ascii="宋体" w:hAnsi="Calibri"/>
      <w:color w:val="auto"/>
      <w:kern w:val="2"/>
      <w:sz w:val="28"/>
      <w:szCs w:val="20"/>
    </w:rPr>
  </w:style>
  <w:style w:type="paragraph" w:styleId="24">
    <w:name w:val="Balloon Text"/>
    <w:basedOn w:val="1"/>
    <w:link w:val="76"/>
    <w:qFormat/>
    <w:uiPriority w:val="99"/>
    <w:rPr>
      <w:sz w:val="18"/>
      <w:szCs w:val="18"/>
    </w:rPr>
  </w:style>
  <w:style w:type="paragraph" w:styleId="25">
    <w:name w:val="footer"/>
    <w:basedOn w:val="1"/>
    <w:link w:val="58"/>
    <w:qFormat/>
    <w:uiPriority w:val="99"/>
    <w:pPr>
      <w:tabs>
        <w:tab w:val="center" w:pos="4153"/>
        <w:tab w:val="right" w:pos="8306"/>
      </w:tabs>
      <w:snapToGrid w:val="0"/>
      <w:jc w:val="left"/>
    </w:pPr>
    <w:rPr>
      <w:sz w:val="18"/>
      <w:szCs w:val="18"/>
    </w:rPr>
  </w:style>
  <w:style w:type="paragraph" w:styleId="26">
    <w:name w:val="header"/>
    <w:basedOn w:val="1"/>
    <w:link w:val="66"/>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line="360" w:lineRule="auto"/>
    </w:pPr>
    <w:rPr>
      <w:rFonts w:eastAsia="黑体"/>
      <w:sz w:val="24"/>
    </w:rPr>
  </w:style>
  <w:style w:type="paragraph" w:styleId="28">
    <w:name w:val="Subtitle"/>
    <w:basedOn w:val="1"/>
    <w:next w:val="1"/>
    <w:link w:val="212"/>
    <w:qFormat/>
    <w:uiPriority w:val="0"/>
    <w:pPr>
      <w:autoSpaceDE/>
      <w:autoSpaceDN/>
      <w:adjustRightInd/>
      <w:spacing w:before="240" w:after="60" w:line="312" w:lineRule="auto"/>
      <w:jc w:val="center"/>
      <w:outlineLvl w:val="1"/>
    </w:pPr>
    <w:rPr>
      <w:rFonts w:ascii="Cambria" w:hAnsi="Cambria"/>
      <w:b/>
      <w:bCs/>
      <w:color w:val="auto"/>
      <w:kern w:val="28"/>
      <w:sz w:val="32"/>
      <w:szCs w:val="32"/>
    </w:rPr>
  </w:style>
  <w:style w:type="paragraph" w:styleId="29">
    <w:name w:val="footnote text"/>
    <w:basedOn w:val="1"/>
    <w:link w:val="231"/>
    <w:semiHidden/>
    <w:uiPriority w:val="0"/>
    <w:pPr>
      <w:snapToGrid w:val="0"/>
      <w:jc w:val="left"/>
      <w:textAlignment w:val="baseline"/>
    </w:pPr>
    <w:rPr>
      <w:rFonts w:ascii="宋体" w:hAnsi="Calibri"/>
      <w:color w:val="auto"/>
      <w:sz w:val="18"/>
      <w:szCs w:val="20"/>
    </w:rPr>
  </w:style>
  <w:style w:type="paragraph" w:styleId="30">
    <w:name w:val="Body Text Indent 3"/>
    <w:basedOn w:val="1"/>
    <w:link w:val="77"/>
    <w:qFormat/>
    <w:uiPriority w:val="0"/>
    <w:pPr>
      <w:autoSpaceDE/>
      <w:autoSpaceDN/>
      <w:adjustRightInd/>
      <w:ind w:firstLine="435"/>
    </w:pPr>
    <w:rPr>
      <w:color w:val="auto"/>
      <w:kern w:val="2"/>
      <w:szCs w:val="24"/>
    </w:rPr>
  </w:style>
  <w:style w:type="paragraph" w:styleId="31">
    <w:name w:val="index 7"/>
    <w:basedOn w:val="1"/>
    <w:next w:val="1"/>
    <w:uiPriority w:val="0"/>
    <w:pPr>
      <w:ind w:left="1200" w:leftChars="1200"/>
    </w:pPr>
  </w:style>
  <w:style w:type="paragraph" w:styleId="32">
    <w:name w:val="toc 2"/>
    <w:basedOn w:val="1"/>
    <w:next w:val="1"/>
    <w:unhideWhenUsed/>
    <w:uiPriority w:val="39"/>
    <w:pPr>
      <w:autoSpaceDE/>
      <w:autoSpaceDN/>
      <w:adjustRightInd/>
      <w:ind w:left="420" w:leftChars="200"/>
    </w:pPr>
    <w:rPr>
      <w:rFonts w:ascii="Calibri" w:hAnsi="Calibri"/>
      <w:color w:val="auto"/>
      <w:kern w:val="2"/>
      <w:szCs w:val="24"/>
    </w:rPr>
  </w:style>
  <w:style w:type="paragraph" w:styleId="33">
    <w:name w:val="Body Text 2"/>
    <w:basedOn w:val="1"/>
    <w:link w:val="214"/>
    <w:uiPriority w:val="0"/>
    <w:pPr>
      <w:textAlignment w:val="baseline"/>
    </w:pPr>
    <w:rPr>
      <w:rFonts w:ascii="宋体" w:hAnsi="Calibri"/>
      <w:color w:val="auto"/>
      <w:sz w:val="28"/>
      <w:szCs w:val="20"/>
    </w:rPr>
  </w:style>
  <w:style w:type="paragraph" w:styleId="34">
    <w:name w:val="HTML Preformatted"/>
    <w:basedOn w:val="1"/>
    <w:link w:val="24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宋体" w:hAnsi="宋体" w:cs="宋体"/>
      <w:color w:val="auto"/>
      <w:sz w:val="24"/>
      <w:szCs w:val="24"/>
    </w:rPr>
  </w:style>
  <w:style w:type="paragraph" w:styleId="35">
    <w:name w:val="Normal (Web)"/>
    <w:basedOn w:val="1"/>
    <w:qFormat/>
    <w:uiPriority w:val="99"/>
    <w:pPr>
      <w:autoSpaceDE/>
      <w:autoSpaceDN/>
      <w:adjustRightInd/>
    </w:pPr>
    <w:rPr>
      <w:rFonts w:ascii="Calibri" w:hAnsi="Calibri"/>
      <w:color w:val="auto"/>
      <w:kern w:val="2"/>
      <w:sz w:val="24"/>
      <w:szCs w:val="24"/>
    </w:rPr>
  </w:style>
  <w:style w:type="paragraph" w:styleId="36">
    <w:name w:val="Title"/>
    <w:basedOn w:val="1"/>
    <w:next w:val="1"/>
    <w:link w:val="123"/>
    <w:qFormat/>
    <w:uiPriority w:val="0"/>
    <w:pPr>
      <w:autoSpaceDE/>
      <w:autoSpaceDN/>
      <w:adjustRightInd/>
      <w:spacing w:before="240" w:after="60"/>
      <w:jc w:val="center"/>
      <w:outlineLvl w:val="0"/>
    </w:pPr>
    <w:rPr>
      <w:rFonts w:ascii="Cambria" w:hAnsi="Cambria"/>
      <w:b/>
      <w:bCs/>
      <w:color w:val="auto"/>
      <w:kern w:val="2"/>
      <w:sz w:val="32"/>
      <w:szCs w:val="32"/>
    </w:rPr>
  </w:style>
  <w:style w:type="paragraph" w:styleId="37">
    <w:name w:val="annotation subject"/>
    <w:basedOn w:val="15"/>
    <w:next w:val="15"/>
    <w:link w:val="232"/>
    <w:semiHidden/>
    <w:uiPriority w:val="99"/>
    <w:rPr>
      <w:b/>
      <w:bCs/>
    </w:rPr>
  </w:style>
  <w:style w:type="paragraph" w:styleId="38">
    <w:name w:val="Body Text First Indent"/>
    <w:basedOn w:val="18"/>
    <w:link w:val="217"/>
    <w:uiPriority w:val="0"/>
    <w:pPr>
      <w:ind w:firstLine="420" w:firstLineChars="100"/>
    </w:pPr>
    <w:rPr>
      <w:rFonts w:ascii="Calibri" w:hAnsi="Calibri"/>
    </w:rPr>
  </w:style>
  <w:style w:type="paragraph" w:styleId="39">
    <w:name w:val="Body Text First Indent 2"/>
    <w:basedOn w:val="19"/>
    <w:link w:val="137"/>
    <w:unhideWhenUsed/>
    <w:qFormat/>
    <w:uiPriority w:val="99"/>
    <w:pPr>
      <w:ind w:firstLine="420" w:firstLineChars="200"/>
    </w:pPr>
  </w:style>
  <w:style w:type="table" w:styleId="41">
    <w:name w:val="Table Grid"/>
    <w:basedOn w:val="4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2">
    <w:name w:val="Table Elegant"/>
    <w:basedOn w:val="4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44">
    <w:name w:val="Strong"/>
    <w:qFormat/>
    <w:uiPriority w:val="0"/>
    <w:rPr>
      <w:b/>
      <w:bCs/>
    </w:rPr>
  </w:style>
  <w:style w:type="character" w:styleId="45">
    <w:name w:val="page number"/>
    <w:basedOn w:val="43"/>
    <w:qFormat/>
    <w:uiPriority w:val="0"/>
  </w:style>
  <w:style w:type="character" w:styleId="46">
    <w:name w:val="FollowedHyperlink"/>
    <w:basedOn w:val="43"/>
    <w:semiHidden/>
    <w:unhideWhenUsed/>
    <w:qFormat/>
    <w:uiPriority w:val="99"/>
    <w:rPr>
      <w:color w:val="800080"/>
      <w:u w:val="single"/>
    </w:rPr>
  </w:style>
  <w:style w:type="character" w:styleId="47">
    <w:name w:val="Emphasis"/>
    <w:basedOn w:val="43"/>
    <w:qFormat/>
    <w:uiPriority w:val="0"/>
    <w:rPr>
      <w:i/>
      <w:iCs/>
    </w:rPr>
  </w:style>
  <w:style w:type="character" w:styleId="48">
    <w:name w:val="Hyperlink"/>
    <w:basedOn w:val="43"/>
    <w:qFormat/>
    <w:uiPriority w:val="99"/>
    <w:rPr>
      <w:color w:val="0000FF"/>
      <w:u w:val="single"/>
    </w:rPr>
  </w:style>
  <w:style w:type="character" w:styleId="49">
    <w:name w:val="annotation reference"/>
    <w:qFormat/>
    <w:uiPriority w:val="0"/>
    <w:rPr>
      <w:sz w:val="21"/>
      <w:szCs w:val="21"/>
    </w:rPr>
  </w:style>
  <w:style w:type="character" w:customStyle="1" w:styleId="50">
    <w:name w:val="标题 1 Char"/>
    <w:basedOn w:val="43"/>
    <w:link w:val="2"/>
    <w:qFormat/>
    <w:uiPriority w:val="0"/>
    <w:rPr>
      <w:b/>
      <w:color w:val="000000"/>
      <w:kern w:val="44"/>
      <w:sz w:val="44"/>
      <w:szCs w:val="21"/>
    </w:rPr>
  </w:style>
  <w:style w:type="character" w:customStyle="1" w:styleId="51">
    <w:name w:val="标题 2 Char"/>
    <w:basedOn w:val="43"/>
    <w:link w:val="3"/>
    <w:qFormat/>
    <w:uiPriority w:val="0"/>
    <w:rPr>
      <w:rFonts w:ascii="Arial" w:hAnsi="Arial" w:eastAsia="黑体"/>
      <w:b/>
      <w:bCs/>
      <w:kern w:val="2"/>
      <w:sz w:val="32"/>
      <w:szCs w:val="32"/>
    </w:rPr>
  </w:style>
  <w:style w:type="character" w:customStyle="1" w:styleId="52">
    <w:name w:val="纯文本 Char"/>
    <w:basedOn w:val="43"/>
    <w:link w:val="21"/>
    <w:qFormat/>
    <w:uiPriority w:val="0"/>
    <w:rPr>
      <w:rFonts w:eastAsia="宋体"/>
      <w:kern w:val="2"/>
      <w:sz w:val="24"/>
      <w:lang w:val="en-US" w:eastAsia="zh-CN" w:bidi="ar-SA"/>
    </w:rPr>
  </w:style>
  <w:style w:type="character" w:customStyle="1" w:styleId="53">
    <w:name w:val="正文文字2 Char"/>
    <w:link w:val="54"/>
    <w:qFormat/>
    <w:uiPriority w:val="0"/>
    <w:rPr>
      <w:rFonts w:ascii="Arial" w:eastAsia="黑体"/>
      <w:sz w:val="21"/>
      <w:lang w:val="en-US" w:eastAsia="zh-CN" w:bidi="ar-SA"/>
    </w:rPr>
  </w:style>
  <w:style w:type="paragraph" w:customStyle="1" w:styleId="54">
    <w:name w:val="正文文字2"/>
    <w:basedOn w:val="18"/>
    <w:link w:val="53"/>
    <w:qFormat/>
    <w:uiPriority w:val="0"/>
    <w:pPr>
      <w:autoSpaceDE/>
      <w:autoSpaceDN/>
      <w:spacing w:after="60" w:line="360" w:lineRule="atLeast"/>
      <w:ind w:left="72" w:right="72"/>
      <w:jc w:val="center"/>
      <w:textAlignment w:val="baseline"/>
    </w:pPr>
    <w:rPr>
      <w:rFonts w:ascii="Arial" w:eastAsia="黑体"/>
      <w:color w:val="auto"/>
      <w:szCs w:val="20"/>
    </w:rPr>
  </w:style>
  <w:style w:type="character" w:customStyle="1" w:styleId="55">
    <w:name w:val="正文文本 Char"/>
    <w:basedOn w:val="43"/>
    <w:link w:val="18"/>
    <w:qFormat/>
    <w:uiPriority w:val="0"/>
    <w:rPr>
      <w:color w:val="000000"/>
      <w:sz w:val="21"/>
      <w:szCs w:val="21"/>
    </w:rPr>
  </w:style>
  <w:style w:type="character" w:customStyle="1" w:styleId="56">
    <w:name w:val="ca-32"/>
    <w:basedOn w:val="43"/>
    <w:uiPriority w:val="0"/>
  </w:style>
  <w:style w:type="character" w:customStyle="1" w:styleId="57">
    <w:name w:val="ca-72"/>
    <w:basedOn w:val="43"/>
    <w:qFormat/>
    <w:uiPriority w:val="0"/>
  </w:style>
  <w:style w:type="character" w:customStyle="1" w:styleId="58">
    <w:name w:val="页脚 Char"/>
    <w:basedOn w:val="43"/>
    <w:link w:val="25"/>
    <w:qFormat/>
    <w:uiPriority w:val="99"/>
    <w:rPr>
      <w:color w:val="000000"/>
      <w:sz w:val="18"/>
      <w:szCs w:val="18"/>
    </w:rPr>
  </w:style>
  <w:style w:type="character" w:customStyle="1" w:styleId="59">
    <w:name w:val="大纲 Char"/>
    <w:basedOn w:val="43"/>
    <w:link w:val="60"/>
    <w:qFormat/>
    <w:uiPriority w:val="0"/>
    <w:rPr>
      <w:rFonts w:ascii="宋体" w:hAnsi="宋体"/>
      <w:b/>
      <w:kern w:val="2"/>
      <w:sz w:val="28"/>
      <w:szCs w:val="28"/>
      <w:lang w:bidi="ar-SA"/>
    </w:rPr>
  </w:style>
  <w:style w:type="paragraph" w:customStyle="1" w:styleId="60">
    <w:name w:val="大纲"/>
    <w:basedOn w:val="1"/>
    <w:link w:val="59"/>
    <w:qFormat/>
    <w:uiPriority w:val="0"/>
    <w:pPr>
      <w:autoSpaceDE/>
      <w:autoSpaceDN/>
      <w:adjustRightInd/>
      <w:spacing w:line="500" w:lineRule="exact"/>
      <w:jc w:val="left"/>
      <w:outlineLvl w:val="0"/>
    </w:pPr>
    <w:rPr>
      <w:rFonts w:ascii="宋体" w:hAnsi="宋体"/>
      <w:b/>
      <w:kern w:val="2"/>
      <w:sz w:val="28"/>
      <w:szCs w:val="28"/>
    </w:rPr>
  </w:style>
  <w:style w:type="character" w:customStyle="1" w:styleId="61">
    <w:name w:val="ca-42"/>
    <w:basedOn w:val="43"/>
    <w:qFormat/>
    <w:uiPriority w:val="0"/>
  </w:style>
  <w:style w:type="character" w:customStyle="1" w:styleId="62">
    <w:name w:val="文档结构图 Char"/>
    <w:basedOn w:val="43"/>
    <w:link w:val="14"/>
    <w:qFormat/>
    <w:uiPriority w:val="0"/>
    <w:rPr>
      <w:kern w:val="2"/>
      <w:sz w:val="21"/>
      <w:szCs w:val="24"/>
      <w:shd w:val="clear" w:color="auto" w:fill="000080"/>
    </w:rPr>
  </w:style>
  <w:style w:type="character" w:customStyle="1" w:styleId="63">
    <w:name w:val="正文缩进 Char"/>
    <w:basedOn w:val="43"/>
    <w:link w:val="8"/>
    <w:qFormat/>
    <w:uiPriority w:val="0"/>
    <w:rPr>
      <w:rFonts w:eastAsia="宋体"/>
      <w:kern w:val="2"/>
      <w:sz w:val="21"/>
      <w:lang w:val="en-US" w:eastAsia="zh-CN" w:bidi="ar-SA"/>
    </w:rPr>
  </w:style>
  <w:style w:type="character" w:customStyle="1" w:styleId="64">
    <w:name w:val="ca-52"/>
    <w:basedOn w:val="43"/>
    <w:qFormat/>
    <w:uiPriority w:val="0"/>
  </w:style>
  <w:style w:type="character" w:customStyle="1" w:styleId="65">
    <w:name w:val="so-ask-best"/>
    <w:basedOn w:val="43"/>
    <w:qFormat/>
    <w:uiPriority w:val="0"/>
  </w:style>
  <w:style w:type="character" w:customStyle="1" w:styleId="66">
    <w:name w:val="页眉 Char"/>
    <w:basedOn w:val="43"/>
    <w:link w:val="26"/>
    <w:qFormat/>
    <w:uiPriority w:val="99"/>
    <w:rPr>
      <w:color w:val="000000"/>
      <w:sz w:val="18"/>
      <w:szCs w:val="18"/>
    </w:rPr>
  </w:style>
  <w:style w:type="character" w:customStyle="1" w:styleId="67">
    <w:name w:val="ca-12"/>
    <w:basedOn w:val="43"/>
    <w:qFormat/>
    <w:uiPriority w:val="0"/>
  </w:style>
  <w:style w:type="character" w:customStyle="1" w:styleId="68">
    <w:name w:val="ca-22"/>
    <w:basedOn w:val="43"/>
    <w:qFormat/>
    <w:uiPriority w:val="0"/>
  </w:style>
  <w:style w:type="character" w:customStyle="1" w:styleId="69">
    <w:name w:val="ca-62"/>
    <w:basedOn w:val="43"/>
    <w:qFormat/>
    <w:uiPriority w:val="0"/>
  </w:style>
  <w:style w:type="character" w:customStyle="1" w:styleId="70">
    <w:name w:val="无间隔 Char"/>
    <w:link w:val="71"/>
    <w:qFormat/>
    <w:locked/>
    <w:uiPriority w:val="1"/>
    <w:rPr>
      <w:rFonts w:ascii="Calibri" w:hAnsi="Calibri"/>
      <w:sz w:val="22"/>
      <w:szCs w:val="22"/>
      <w:lang w:val="en-US" w:eastAsia="zh-CN" w:bidi="ar-SA"/>
    </w:rPr>
  </w:style>
  <w:style w:type="paragraph" w:styleId="71">
    <w:name w:val="No Spacing"/>
    <w:link w:val="70"/>
    <w:qFormat/>
    <w:uiPriority w:val="1"/>
    <w:rPr>
      <w:rFonts w:ascii="Calibri" w:hAnsi="Calibri" w:eastAsia="宋体" w:cs="Times New Roman"/>
      <w:sz w:val="22"/>
      <w:szCs w:val="22"/>
      <w:lang w:val="en-US" w:eastAsia="zh-CN" w:bidi="ar-SA"/>
    </w:rPr>
  </w:style>
  <w:style w:type="character" w:customStyle="1" w:styleId="72">
    <w:name w:val="纯文本 Char1"/>
    <w:basedOn w:val="43"/>
    <w:qFormat/>
    <w:locked/>
    <w:uiPriority w:val="0"/>
    <w:rPr>
      <w:rFonts w:eastAsia="宋体"/>
      <w:kern w:val="2"/>
      <w:sz w:val="24"/>
      <w:lang w:val="en-US" w:eastAsia="zh-CN" w:bidi="ar-SA"/>
    </w:rPr>
  </w:style>
  <w:style w:type="character" w:customStyle="1" w:styleId="73">
    <w:name w:val="apple-converted-space"/>
    <w:basedOn w:val="43"/>
    <w:qFormat/>
    <w:uiPriority w:val="0"/>
  </w:style>
  <w:style w:type="character" w:customStyle="1" w:styleId="74">
    <w:name w:val="font01"/>
    <w:basedOn w:val="43"/>
    <w:qFormat/>
    <w:uiPriority w:val="0"/>
    <w:rPr>
      <w:rFonts w:hint="eastAsia" w:ascii="宋体" w:hAnsi="宋体" w:eastAsia="宋体" w:cs="宋体"/>
      <w:color w:val="000000"/>
      <w:sz w:val="22"/>
      <w:szCs w:val="22"/>
      <w:u w:val="none"/>
    </w:rPr>
  </w:style>
  <w:style w:type="character" w:customStyle="1" w:styleId="75">
    <w:name w:val="正文文本缩进 Char"/>
    <w:basedOn w:val="43"/>
    <w:link w:val="19"/>
    <w:qFormat/>
    <w:uiPriority w:val="0"/>
    <w:rPr>
      <w:color w:val="000000"/>
      <w:sz w:val="21"/>
      <w:szCs w:val="21"/>
    </w:rPr>
  </w:style>
  <w:style w:type="character" w:customStyle="1" w:styleId="76">
    <w:name w:val="批注框文本 Char"/>
    <w:basedOn w:val="43"/>
    <w:link w:val="24"/>
    <w:qFormat/>
    <w:uiPriority w:val="99"/>
    <w:rPr>
      <w:color w:val="000000"/>
      <w:sz w:val="18"/>
      <w:szCs w:val="18"/>
    </w:rPr>
  </w:style>
  <w:style w:type="character" w:customStyle="1" w:styleId="77">
    <w:name w:val="正文文本缩进 3 Char"/>
    <w:basedOn w:val="43"/>
    <w:link w:val="30"/>
    <w:qFormat/>
    <w:uiPriority w:val="0"/>
    <w:rPr>
      <w:kern w:val="2"/>
      <w:sz w:val="21"/>
      <w:szCs w:val="24"/>
    </w:rPr>
  </w:style>
  <w:style w:type="paragraph" w:customStyle="1" w:styleId="78">
    <w:name w:val="列出段落1"/>
    <w:basedOn w:val="1"/>
    <w:qFormat/>
    <w:uiPriority w:val="34"/>
    <w:pPr>
      <w:autoSpaceDE/>
      <w:autoSpaceDN/>
      <w:adjustRightInd/>
      <w:ind w:firstLine="420" w:firstLineChars="200"/>
    </w:pPr>
    <w:rPr>
      <w:color w:val="auto"/>
      <w:kern w:val="2"/>
      <w:szCs w:val="20"/>
    </w:rPr>
  </w:style>
  <w:style w:type="paragraph" w:customStyle="1" w:styleId="79">
    <w:name w:val="pa-21"/>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0">
    <w:name w:val="pa-5"/>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1">
    <w:name w:val="小节标题"/>
    <w:basedOn w:val="1"/>
    <w:qFormat/>
    <w:uiPriority w:val="0"/>
    <w:pPr>
      <w:widowControl/>
      <w:autoSpaceDE/>
      <w:autoSpaceDN/>
      <w:adjustRightInd/>
      <w:spacing w:before="175" w:after="102" w:line="351" w:lineRule="atLeast"/>
      <w:textAlignment w:val="baseline"/>
    </w:pPr>
    <w:rPr>
      <w:rFonts w:eastAsia="黑体"/>
      <w:szCs w:val="20"/>
      <w:u w:color="000000"/>
    </w:rPr>
  </w:style>
  <w:style w:type="paragraph" w:customStyle="1" w:styleId="82">
    <w:name w:val="pa-20"/>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3">
    <w:name w:val="默认段落字体 Para Char Char Char"/>
    <w:basedOn w:val="1"/>
    <w:qFormat/>
    <w:uiPriority w:val="0"/>
    <w:pPr>
      <w:autoSpaceDE/>
      <w:autoSpaceDN/>
      <w:adjustRightInd/>
    </w:pPr>
    <w:rPr>
      <w:color w:val="auto"/>
      <w:kern w:val="2"/>
      <w:szCs w:val="24"/>
    </w:rPr>
  </w:style>
  <w:style w:type="paragraph" w:customStyle="1" w:styleId="84">
    <w:name w:val="pa-4"/>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5">
    <w:name w:val="pa-15"/>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6">
    <w:name w:val="SS正文首行缩进 +"/>
    <w:next w:val="1"/>
    <w:qFormat/>
    <w:uiPriority w:val="0"/>
    <w:pPr>
      <w:widowControl w:val="0"/>
      <w:spacing w:beforeLines="50" w:afterLines="50" w:line="360" w:lineRule="auto"/>
      <w:ind w:firstLine="200" w:firstLineChars="200"/>
      <w:jc w:val="both"/>
    </w:pPr>
    <w:rPr>
      <w:rFonts w:ascii="Times New Roman" w:hAnsi="Times New Roman" w:eastAsia="宋体" w:cs="Times New Roman"/>
      <w:kern w:val="2"/>
      <w:sz w:val="24"/>
      <w:lang w:val="en-US" w:eastAsia="zh-CN" w:bidi="ar-SA"/>
    </w:rPr>
  </w:style>
  <w:style w:type="paragraph" w:customStyle="1" w:styleId="87">
    <w:name w:val="无间隔1"/>
    <w:qFormat/>
    <w:uiPriority w:val="1"/>
    <w:rPr>
      <w:rFonts w:ascii="Calibri" w:hAnsi="Calibri" w:eastAsia="宋体" w:cs="Times New Roman"/>
      <w:sz w:val="22"/>
      <w:szCs w:val="22"/>
      <w:lang w:val="en-US" w:eastAsia="zh-CN" w:bidi="ar-SA"/>
    </w:rPr>
  </w:style>
  <w:style w:type="paragraph" w:customStyle="1" w:styleId="88">
    <w:name w:val="pa-8"/>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9">
    <w:name w:val="pa-19"/>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0">
    <w:name w:val="pa-12"/>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styleId="91">
    <w:name w:val="List Paragraph"/>
    <w:basedOn w:val="1"/>
    <w:link w:val="92"/>
    <w:qFormat/>
    <w:uiPriority w:val="99"/>
    <w:pPr>
      <w:autoSpaceDE/>
      <w:autoSpaceDN/>
      <w:adjustRightInd/>
      <w:ind w:firstLine="420" w:firstLineChars="200"/>
    </w:pPr>
    <w:rPr>
      <w:rFonts w:ascii="Calibri" w:hAnsi="Calibri"/>
      <w:color w:val="auto"/>
      <w:kern w:val="2"/>
      <w:szCs w:val="22"/>
    </w:rPr>
  </w:style>
  <w:style w:type="character" w:customStyle="1" w:styleId="92">
    <w:name w:val="列出段落 Char"/>
    <w:link w:val="91"/>
    <w:qFormat/>
    <w:uiPriority w:val="99"/>
    <w:rPr>
      <w:rFonts w:ascii="Calibri" w:hAnsi="Calibri"/>
      <w:kern w:val="2"/>
      <w:sz w:val="21"/>
      <w:szCs w:val="22"/>
    </w:rPr>
  </w:style>
  <w:style w:type="paragraph" w:customStyle="1" w:styleId="93">
    <w:name w:val="pa-16"/>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4">
    <w:name w:val="xl83"/>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left"/>
    </w:pPr>
    <w:rPr>
      <w:color w:val="auto"/>
      <w:sz w:val="24"/>
      <w:szCs w:val="24"/>
    </w:rPr>
  </w:style>
  <w:style w:type="paragraph" w:customStyle="1" w:styleId="95">
    <w:name w:val="H-TextFormat"/>
    <w:qFormat/>
    <w:uiPriority w:val="0"/>
    <w:pPr>
      <w:autoSpaceDE w:val="0"/>
      <w:autoSpaceDN w:val="0"/>
      <w:adjustRightInd w:val="0"/>
    </w:pPr>
    <w:rPr>
      <w:rFonts w:ascii="Arial" w:hAnsi="Arial" w:eastAsia="宋体" w:cs="Arial"/>
      <w:sz w:val="22"/>
      <w:szCs w:val="22"/>
      <w:lang w:val="en-US" w:eastAsia="zh-CN" w:bidi="ar-SA"/>
    </w:rPr>
  </w:style>
  <w:style w:type="paragraph" w:customStyle="1" w:styleId="96">
    <w:name w:val="pa-17"/>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7">
    <w:name w:val="font5"/>
    <w:basedOn w:val="1"/>
    <w:qFormat/>
    <w:uiPriority w:val="0"/>
    <w:pPr>
      <w:widowControl/>
      <w:autoSpaceDE/>
      <w:autoSpaceDN/>
      <w:adjustRightInd/>
      <w:spacing w:before="100" w:beforeAutospacing="1" w:after="100" w:afterAutospacing="1"/>
      <w:jc w:val="left"/>
    </w:pPr>
    <w:rPr>
      <w:rFonts w:hint="eastAsia" w:ascii="宋体" w:hAnsi="宋体"/>
      <w:color w:val="auto"/>
      <w:sz w:val="18"/>
      <w:szCs w:val="20"/>
    </w:rPr>
  </w:style>
  <w:style w:type="paragraph" w:customStyle="1" w:styleId="98">
    <w:name w:val="pa-9"/>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9">
    <w:name w:val="pa-13"/>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00">
    <w:name w:val="pa-14"/>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01">
    <w:name w:val="p15"/>
    <w:basedOn w:val="1"/>
    <w:qFormat/>
    <w:uiPriority w:val="0"/>
    <w:pPr>
      <w:widowControl/>
      <w:autoSpaceDE/>
      <w:autoSpaceDN/>
      <w:adjustRightInd/>
      <w:snapToGrid w:val="0"/>
    </w:pPr>
  </w:style>
  <w:style w:type="paragraph" w:customStyle="1" w:styleId="102">
    <w:name w:val="pa-18"/>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03">
    <w:name w:val="pa-3"/>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04">
    <w:name w:val="pa-6"/>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05">
    <w:name w:val="pa-10"/>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06">
    <w:name w:val="pa-2"/>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07">
    <w:name w:val="Char Char Char Char1 Char Char Char Char Char"/>
    <w:basedOn w:val="14"/>
    <w:qFormat/>
    <w:uiPriority w:val="0"/>
  </w:style>
  <w:style w:type="paragraph" w:customStyle="1" w:styleId="108">
    <w:name w:val="pa-7"/>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09">
    <w:name w:val="正文段"/>
    <w:basedOn w:val="1"/>
    <w:qFormat/>
    <w:uiPriority w:val="0"/>
    <w:pPr>
      <w:widowControl/>
      <w:autoSpaceDE/>
      <w:autoSpaceDN/>
      <w:adjustRightInd/>
      <w:snapToGrid w:val="0"/>
      <w:spacing w:afterLines="50"/>
      <w:ind w:firstLine="200" w:firstLineChars="200"/>
    </w:pPr>
    <w:rPr>
      <w:color w:val="auto"/>
      <w:sz w:val="24"/>
      <w:szCs w:val="20"/>
    </w:rPr>
  </w:style>
  <w:style w:type="paragraph" w:customStyle="1" w:styleId="110">
    <w:name w:val="pa-11"/>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11">
    <w:name w:val="p0"/>
    <w:next w:val="31"/>
    <w:qFormat/>
    <w:uiPriority w:val="0"/>
    <w:pPr>
      <w:snapToGrid w:val="0"/>
    </w:pPr>
    <w:rPr>
      <w:rFonts w:ascii="Times New Roman" w:hAnsi="Times New Roman" w:eastAsia="宋体" w:cs="Times New Roman"/>
      <w:sz w:val="21"/>
      <w:szCs w:val="21"/>
      <w:lang w:val="en-US" w:eastAsia="zh-CN" w:bidi="ar-SA"/>
    </w:rPr>
  </w:style>
  <w:style w:type="paragraph" w:customStyle="1" w:styleId="112">
    <w:name w:val="Char"/>
    <w:basedOn w:val="1"/>
    <w:qFormat/>
    <w:uiPriority w:val="0"/>
    <w:pPr>
      <w:autoSpaceDE/>
      <w:autoSpaceDN/>
      <w:adjustRightInd/>
      <w:ind w:firstLine="200" w:firstLineChars="200"/>
    </w:pPr>
    <w:rPr>
      <w:rFonts w:ascii="Tahoma" w:hAnsi="Tahoma"/>
      <w:color w:val="auto"/>
      <w:kern w:val="2"/>
      <w:sz w:val="24"/>
      <w:szCs w:val="20"/>
    </w:rPr>
  </w:style>
  <w:style w:type="paragraph" w:customStyle="1" w:styleId="113">
    <w:name w:val="Char Char Char"/>
    <w:basedOn w:val="1"/>
    <w:qFormat/>
    <w:uiPriority w:val="0"/>
    <w:pPr>
      <w:widowControl/>
      <w:autoSpaceDE/>
      <w:autoSpaceDN/>
      <w:adjustRightInd/>
      <w:jc w:val="left"/>
    </w:pPr>
    <w:rPr>
      <w:color w:val="auto"/>
      <w:sz w:val="20"/>
      <w:szCs w:val="20"/>
    </w:rPr>
  </w:style>
  <w:style w:type="paragraph" w:customStyle="1" w:styleId="114">
    <w:name w:val="_Style 2"/>
    <w:qFormat/>
    <w:uiPriority w:val="99"/>
    <w:rPr>
      <w:rFonts w:ascii="Calibri" w:hAnsi="Calibri" w:eastAsia="宋体" w:cs="Times New Roman"/>
      <w:sz w:val="22"/>
      <w:szCs w:val="22"/>
      <w:lang w:val="en-US" w:eastAsia="zh-CN" w:bidi="ar-SA"/>
    </w:rPr>
  </w:style>
  <w:style w:type="paragraph" w:customStyle="1" w:styleId="115">
    <w:name w:val="列出段落111"/>
    <w:basedOn w:val="1"/>
    <w:qFormat/>
    <w:uiPriority w:val="0"/>
    <w:pPr>
      <w:autoSpaceDE/>
      <w:autoSpaceDN/>
      <w:adjustRightInd/>
      <w:ind w:firstLine="420" w:firstLineChars="200"/>
    </w:pPr>
    <w:rPr>
      <w:rFonts w:ascii="Calibri" w:hAnsi="Calibri"/>
      <w:color w:val="auto"/>
      <w:kern w:val="2"/>
      <w:szCs w:val="24"/>
    </w:rPr>
  </w:style>
  <w:style w:type="character" w:customStyle="1" w:styleId="116">
    <w:name w:val="15"/>
    <w:basedOn w:val="43"/>
    <w:qFormat/>
    <w:uiPriority w:val="0"/>
    <w:rPr>
      <w:rFonts w:hint="eastAsia" w:ascii="宋体" w:hAnsi="宋体" w:eastAsia="宋体"/>
      <w:color w:val="000000"/>
      <w:sz w:val="20"/>
      <w:szCs w:val="20"/>
    </w:rPr>
  </w:style>
  <w:style w:type="character" w:customStyle="1" w:styleId="117">
    <w:name w:val="16"/>
    <w:basedOn w:val="43"/>
    <w:qFormat/>
    <w:uiPriority w:val="0"/>
    <w:rPr>
      <w:rFonts w:hint="default" w:ascii="Arial" w:hAnsi="Arial" w:cs="Arial"/>
      <w:color w:val="000000"/>
      <w:sz w:val="20"/>
      <w:szCs w:val="20"/>
    </w:rPr>
  </w:style>
  <w:style w:type="character" w:customStyle="1" w:styleId="118">
    <w:name w:val="17"/>
    <w:basedOn w:val="43"/>
    <w:qFormat/>
    <w:uiPriority w:val="0"/>
    <w:rPr>
      <w:rFonts w:hint="default" w:ascii="Arial" w:hAnsi="Arial" w:cs="Arial"/>
      <w:color w:val="FF0000"/>
      <w:sz w:val="20"/>
      <w:szCs w:val="20"/>
    </w:rPr>
  </w:style>
  <w:style w:type="character" w:customStyle="1" w:styleId="119">
    <w:name w:val="18"/>
    <w:basedOn w:val="43"/>
    <w:qFormat/>
    <w:uiPriority w:val="0"/>
    <w:rPr>
      <w:rFonts w:hint="eastAsia" w:ascii="宋体" w:hAnsi="宋体" w:eastAsia="宋体"/>
      <w:color w:val="FF0000"/>
      <w:sz w:val="20"/>
      <w:szCs w:val="20"/>
    </w:rPr>
  </w:style>
  <w:style w:type="character" w:customStyle="1" w:styleId="120">
    <w:name w:val="19"/>
    <w:basedOn w:val="43"/>
    <w:qFormat/>
    <w:uiPriority w:val="0"/>
    <w:rPr>
      <w:rFonts w:hint="eastAsia" w:ascii="宋体" w:hAnsi="宋体" w:eastAsia="宋体"/>
      <w:color w:val="000000"/>
      <w:sz w:val="20"/>
      <w:szCs w:val="20"/>
    </w:rPr>
  </w:style>
  <w:style w:type="character" w:customStyle="1" w:styleId="121">
    <w:name w:val="20"/>
    <w:basedOn w:val="43"/>
    <w:qFormat/>
    <w:uiPriority w:val="0"/>
    <w:rPr>
      <w:rFonts w:hint="default" w:ascii="Arial" w:hAnsi="Arial" w:cs="Arial"/>
      <w:color w:val="000000"/>
      <w:sz w:val="20"/>
      <w:szCs w:val="20"/>
    </w:rPr>
  </w:style>
  <w:style w:type="paragraph" w:customStyle="1" w:styleId="122">
    <w:name w:val="List Paragraph1"/>
    <w:basedOn w:val="1"/>
    <w:qFormat/>
    <w:uiPriority w:val="99"/>
    <w:pPr>
      <w:autoSpaceDE/>
      <w:autoSpaceDN/>
      <w:adjustRightInd/>
      <w:ind w:firstLine="420" w:firstLineChars="200"/>
    </w:pPr>
    <w:rPr>
      <w:rFonts w:ascii="Calibri" w:hAnsi="Calibri" w:cs="黑体"/>
      <w:color w:val="auto"/>
      <w:kern w:val="2"/>
    </w:rPr>
  </w:style>
  <w:style w:type="character" w:customStyle="1" w:styleId="123">
    <w:name w:val="标题 Char"/>
    <w:basedOn w:val="43"/>
    <w:link w:val="36"/>
    <w:uiPriority w:val="0"/>
    <w:rPr>
      <w:rFonts w:ascii="Cambria" w:hAnsi="Cambria"/>
      <w:b/>
      <w:bCs/>
      <w:kern w:val="2"/>
      <w:sz w:val="32"/>
      <w:szCs w:val="32"/>
    </w:rPr>
  </w:style>
  <w:style w:type="paragraph" w:customStyle="1" w:styleId="124">
    <w:name w:val="TOC 标题1"/>
    <w:basedOn w:val="2"/>
    <w:next w:val="1"/>
    <w:unhideWhenUsed/>
    <w:qFormat/>
    <w:uiPriority w:val="39"/>
    <w:pPr>
      <w:widowControl/>
      <w:autoSpaceDE/>
      <w:autoSpaceDN/>
      <w:adjustRightInd/>
      <w:spacing w:before="240" w:after="0" w:line="259" w:lineRule="auto"/>
      <w:jc w:val="left"/>
      <w:outlineLvl w:val="9"/>
    </w:pPr>
    <w:rPr>
      <w:rFonts w:ascii="Calibri Light" w:hAnsi="Calibri Light"/>
      <w:b w:val="0"/>
      <w:color w:val="2E74B5"/>
      <w:kern w:val="0"/>
      <w:sz w:val="32"/>
      <w:szCs w:val="32"/>
    </w:rPr>
  </w:style>
  <w:style w:type="paragraph" w:customStyle="1" w:styleId="125">
    <w:name w:val="Table Paragraph"/>
    <w:basedOn w:val="1"/>
    <w:qFormat/>
    <w:uiPriority w:val="0"/>
    <w:pPr>
      <w:adjustRightInd/>
      <w:spacing w:line="287" w:lineRule="exact"/>
      <w:ind w:left="301" w:right="287"/>
      <w:jc w:val="center"/>
    </w:pPr>
    <w:rPr>
      <w:rFonts w:ascii="宋体" w:hAnsi="宋体" w:cs="宋体"/>
      <w:color w:val="auto"/>
      <w:sz w:val="22"/>
      <w:szCs w:val="22"/>
      <w:lang w:val="zh-CN" w:bidi="zh-CN"/>
    </w:rPr>
  </w:style>
  <w:style w:type="paragraph" w:customStyle="1" w:styleId="126">
    <w:name w:val="正文缩进1"/>
    <w:basedOn w:val="1"/>
    <w:uiPriority w:val="0"/>
    <w:pPr>
      <w:ind w:firstLine="420"/>
      <w:jc w:val="left"/>
    </w:pPr>
    <w:rPr>
      <w:rFonts w:ascii="宋体"/>
      <w:color w:val="auto"/>
      <w:sz w:val="24"/>
      <w:szCs w:val="20"/>
    </w:rPr>
  </w:style>
  <w:style w:type="paragraph" w:customStyle="1" w:styleId="127">
    <w:name w:val="Char1"/>
    <w:basedOn w:val="1"/>
    <w:uiPriority w:val="0"/>
    <w:pPr>
      <w:autoSpaceDE/>
      <w:autoSpaceDN/>
      <w:adjustRightInd/>
    </w:pPr>
    <w:rPr>
      <w:rFonts w:ascii="仿宋_GB2312" w:eastAsia="仿宋_GB2312"/>
      <w:b/>
      <w:color w:val="auto"/>
      <w:kern w:val="2"/>
      <w:sz w:val="32"/>
      <w:szCs w:val="32"/>
    </w:rPr>
  </w:style>
  <w:style w:type="character" w:customStyle="1" w:styleId="128">
    <w:name w:val="font61"/>
    <w:basedOn w:val="43"/>
    <w:uiPriority w:val="0"/>
    <w:rPr>
      <w:rFonts w:ascii="Arial" w:hAnsi="Arial" w:cs="Arial"/>
      <w:color w:val="000000"/>
      <w:sz w:val="20"/>
      <w:szCs w:val="20"/>
      <w:u w:val="none"/>
    </w:rPr>
  </w:style>
  <w:style w:type="character" w:customStyle="1" w:styleId="129">
    <w:name w:val="font51"/>
    <w:basedOn w:val="43"/>
    <w:qFormat/>
    <w:uiPriority w:val="0"/>
    <w:rPr>
      <w:rFonts w:hint="eastAsia" w:ascii="宋体" w:hAnsi="宋体" w:eastAsia="宋体" w:cs="宋体"/>
      <w:color w:val="FF0000"/>
      <w:sz w:val="20"/>
      <w:szCs w:val="20"/>
      <w:u w:val="none"/>
    </w:rPr>
  </w:style>
  <w:style w:type="character" w:customStyle="1" w:styleId="130">
    <w:name w:val="font31"/>
    <w:basedOn w:val="43"/>
    <w:uiPriority w:val="0"/>
    <w:rPr>
      <w:rFonts w:hint="default" w:ascii="Arial" w:hAnsi="Arial" w:cs="Arial"/>
      <w:color w:val="FF0000"/>
      <w:sz w:val="20"/>
      <w:szCs w:val="20"/>
      <w:u w:val="none"/>
    </w:rPr>
  </w:style>
  <w:style w:type="character" w:customStyle="1" w:styleId="131">
    <w:name w:val="font41"/>
    <w:basedOn w:val="43"/>
    <w:uiPriority w:val="0"/>
    <w:rPr>
      <w:rFonts w:hint="default" w:ascii="Arial" w:hAnsi="Arial" w:cs="Arial"/>
      <w:color w:val="000000"/>
      <w:sz w:val="20"/>
      <w:szCs w:val="20"/>
      <w:u w:val="none"/>
    </w:rPr>
  </w:style>
  <w:style w:type="character" w:customStyle="1" w:styleId="132">
    <w:name w:val="font11"/>
    <w:basedOn w:val="43"/>
    <w:uiPriority w:val="0"/>
    <w:rPr>
      <w:rFonts w:hint="eastAsia" w:ascii="宋体" w:hAnsi="宋体" w:eastAsia="宋体" w:cs="宋体"/>
      <w:color w:val="000000"/>
      <w:sz w:val="20"/>
      <w:szCs w:val="20"/>
      <w:u w:val="none"/>
    </w:rPr>
  </w:style>
  <w:style w:type="paragraph" w:customStyle="1" w:styleId="133">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34">
    <w:name w:val="top_title1"/>
    <w:basedOn w:val="43"/>
    <w:qFormat/>
    <w:uiPriority w:val="0"/>
    <w:rPr>
      <w:b/>
      <w:bCs/>
      <w:color w:val="333333"/>
      <w:sz w:val="24"/>
      <w:szCs w:val="24"/>
    </w:rPr>
  </w:style>
  <w:style w:type="paragraph" w:customStyle="1" w:styleId="135">
    <w:name w:val="Heading1"/>
    <w:basedOn w:val="1"/>
    <w:next w:val="1"/>
    <w:uiPriority w:val="0"/>
    <w:pPr>
      <w:keepNext/>
      <w:keepLines/>
      <w:widowControl/>
      <w:autoSpaceDE/>
      <w:autoSpaceDN/>
      <w:adjustRightInd/>
      <w:spacing w:line="360" w:lineRule="auto"/>
      <w:jc w:val="left"/>
    </w:pPr>
    <w:rPr>
      <w:rFonts w:ascii="宋体" w:hAnsi="宋体" w:cs="宋体"/>
      <w:b/>
      <w:bCs/>
      <w:color w:val="auto"/>
      <w:kern w:val="44"/>
      <w:sz w:val="28"/>
      <w:szCs w:val="28"/>
    </w:rPr>
  </w:style>
  <w:style w:type="character" w:customStyle="1" w:styleId="136">
    <w:name w:val="NormalCharacter"/>
    <w:qFormat/>
    <w:uiPriority w:val="0"/>
    <w:rPr>
      <w:sz w:val="24"/>
    </w:rPr>
  </w:style>
  <w:style w:type="character" w:customStyle="1" w:styleId="137">
    <w:name w:val="正文首行缩进 2 Char"/>
    <w:basedOn w:val="75"/>
    <w:link w:val="39"/>
    <w:uiPriority w:val="99"/>
  </w:style>
  <w:style w:type="paragraph" w:customStyle="1" w:styleId="13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0">
    <w:name w:val="_Style 14"/>
    <w:next w:val="13"/>
    <w:uiPriority w:val="0"/>
    <w:pPr>
      <w:widowControl w:val="0"/>
      <w:jc w:val="both"/>
    </w:pPr>
    <w:rPr>
      <w:rFonts w:ascii="宋体" w:hAnsi="Times New Roman" w:eastAsia="宋体" w:cs="Times New Roman"/>
      <w:kern w:val="2"/>
      <w:sz w:val="21"/>
      <w:lang w:val="en-US" w:eastAsia="zh-CN" w:bidi="ar-SA"/>
    </w:rPr>
  </w:style>
  <w:style w:type="paragraph" w:customStyle="1" w:styleId="141">
    <w:name w:val="正文1"/>
    <w:link w:val="247"/>
    <w:qFormat/>
    <w:uiPriority w:val="0"/>
    <w:pPr>
      <w:widowControl w:val="0"/>
      <w:adjustRightInd w:val="0"/>
      <w:spacing w:line="312" w:lineRule="atLeast"/>
      <w:jc w:val="both"/>
    </w:pPr>
    <w:rPr>
      <w:rFonts w:hint="eastAsia" w:ascii="宋体" w:hAnsi="Times New Roman" w:eastAsia="宋体" w:cs="Times New Roman"/>
      <w:sz w:val="34"/>
      <w:lang w:val="en-US" w:eastAsia="zh-CN" w:bidi="ar-SA"/>
    </w:rPr>
  </w:style>
  <w:style w:type="paragraph" w:customStyle="1" w:styleId="142">
    <w:name w:val="列出段落2"/>
    <w:basedOn w:val="1"/>
    <w:qFormat/>
    <w:uiPriority w:val="0"/>
    <w:pPr>
      <w:autoSpaceDE/>
      <w:autoSpaceDN/>
      <w:adjustRightInd/>
      <w:ind w:firstLine="420" w:firstLineChars="200"/>
    </w:pPr>
    <w:rPr>
      <w:color w:val="auto"/>
      <w:kern w:val="2"/>
      <w:szCs w:val="20"/>
    </w:rPr>
  </w:style>
  <w:style w:type="paragraph" w:customStyle="1" w:styleId="143">
    <w:name w:val="列表段落"/>
    <w:basedOn w:val="1"/>
    <w:uiPriority w:val="0"/>
    <w:pPr>
      <w:autoSpaceDE/>
      <w:autoSpaceDN/>
      <w:adjustRightInd/>
      <w:ind w:firstLine="420" w:firstLineChars="200"/>
    </w:pPr>
    <w:rPr>
      <w:rFonts w:ascii="Calibri" w:hAnsi="Calibri" w:cs="宋体"/>
      <w:color w:val="auto"/>
      <w:kern w:val="2"/>
    </w:rPr>
  </w:style>
  <w:style w:type="paragraph" w:customStyle="1" w:styleId="144">
    <w:name w:val="AbsatzTableFormat"/>
    <w:basedOn w:val="1"/>
    <w:uiPriority w:val="0"/>
    <w:pPr>
      <w:widowControl/>
      <w:autoSpaceDE/>
      <w:autoSpaceDN/>
      <w:adjustRightInd/>
      <w:jc w:val="left"/>
    </w:pPr>
    <w:rPr>
      <w:rFonts w:ascii="Arial Narrow" w:hAnsi="Arial Narrow" w:cs="宋体"/>
      <w:color w:val="auto"/>
      <w:sz w:val="22"/>
      <w:szCs w:val="22"/>
    </w:rPr>
  </w:style>
  <w:style w:type="paragraph" w:customStyle="1" w:styleId="145">
    <w:name w:val="列出段落11"/>
    <w:basedOn w:val="1"/>
    <w:qFormat/>
    <w:uiPriority w:val="34"/>
    <w:pPr>
      <w:autoSpaceDE/>
      <w:autoSpaceDN/>
      <w:adjustRightInd/>
      <w:ind w:firstLine="420" w:firstLineChars="200"/>
    </w:pPr>
    <w:rPr>
      <w:color w:val="auto"/>
      <w:kern w:val="2"/>
      <w:szCs w:val="20"/>
    </w:rPr>
  </w:style>
  <w:style w:type="paragraph" w:customStyle="1" w:styleId="146">
    <w:name w:val="p1"/>
    <w:basedOn w:val="1"/>
    <w:qFormat/>
    <w:uiPriority w:val="0"/>
    <w:pPr>
      <w:autoSpaceDE/>
      <w:autoSpaceDN/>
      <w:adjustRightInd/>
      <w:spacing w:line="380" w:lineRule="atLeast"/>
      <w:jc w:val="left"/>
    </w:pPr>
    <w:rPr>
      <w:rFonts w:ascii="Helvetica Neue" w:hAnsi="Helvetica Neue" w:eastAsia="Helvetica Neue"/>
      <w:sz w:val="26"/>
      <w:szCs w:val="26"/>
    </w:rPr>
  </w:style>
  <w:style w:type="paragraph" w:customStyle="1" w:styleId="147">
    <w:name w:val="样式5"/>
    <w:basedOn w:val="1"/>
    <w:qFormat/>
    <w:uiPriority w:val="0"/>
    <w:pPr>
      <w:spacing w:line="440" w:lineRule="exact"/>
      <w:ind w:left="2" w:firstLine="480" w:firstLineChars="200"/>
    </w:pPr>
    <w:rPr>
      <w:rFonts w:ascii="仿宋_GB2312" w:hAnsi="仿宋" w:eastAsia="仿宋_GB2312"/>
      <w:sz w:val="24"/>
    </w:rPr>
  </w:style>
  <w:style w:type="character" w:customStyle="1" w:styleId="148">
    <w:name w:val="标题 5 Char"/>
    <w:basedOn w:val="43"/>
    <w:link w:val="6"/>
    <w:uiPriority w:val="9"/>
    <w:rPr>
      <w:rFonts w:ascii="Times New Roman" w:hAnsi="Times New Roman"/>
      <w:b/>
      <w:bCs/>
      <w:color w:val="000000"/>
      <w:sz w:val="28"/>
      <w:szCs w:val="28"/>
    </w:rPr>
  </w:style>
  <w:style w:type="character" w:customStyle="1" w:styleId="149">
    <w:name w:val="标题 3 Char"/>
    <w:basedOn w:val="43"/>
    <w:link w:val="4"/>
    <w:uiPriority w:val="0"/>
    <w:rPr>
      <w:b/>
      <w:bCs/>
      <w:color w:val="000000"/>
      <w:sz w:val="32"/>
      <w:szCs w:val="32"/>
    </w:rPr>
  </w:style>
  <w:style w:type="character" w:customStyle="1" w:styleId="150">
    <w:name w:val="标题 4 Char"/>
    <w:basedOn w:val="43"/>
    <w:link w:val="5"/>
    <w:qFormat/>
    <w:uiPriority w:val="9"/>
    <w:rPr>
      <w:rFonts w:ascii="Arial" w:hAnsi="Arial" w:eastAsia="黑体"/>
      <w:b/>
      <w:bCs/>
      <w:color w:val="000000"/>
      <w:sz w:val="28"/>
      <w:szCs w:val="28"/>
    </w:rPr>
  </w:style>
  <w:style w:type="character" w:customStyle="1" w:styleId="151">
    <w:name w:val="标题 6 Char"/>
    <w:basedOn w:val="43"/>
    <w:link w:val="7"/>
    <w:qFormat/>
    <w:uiPriority w:val="0"/>
    <w:rPr>
      <w:rFonts w:ascii="Arial" w:hAnsi="Arial" w:eastAsia="黑体"/>
      <w:b/>
      <w:kern w:val="2"/>
      <w:sz w:val="24"/>
    </w:rPr>
  </w:style>
  <w:style w:type="character" w:customStyle="1" w:styleId="152">
    <w:name w:val="标题 7 Char"/>
    <w:basedOn w:val="43"/>
    <w:link w:val="9"/>
    <w:qFormat/>
    <w:uiPriority w:val="0"/>
    <w:rPr>
      <w:b/>
      <w:kern w:val="2"/>
      <w:sz w:val="24"/>
    </w:rPr>
  </w:style>
  <w:style w:type="character" w:customStyle="1" w:styleId="153">
    <w:name w:val="标题 8 Char"/>
    <w:basedOn w:val="43"/>
    <w:link w:val="10"/>
    <w:qFormat/>
    <w:uiPriority w:val="0"/>
    <w:rPr>
      <w:rFonts w:ascii="Arial" w:hAnsi="Arial" w:eastAsia="黑体"/>
      <w:kern w:val="2"/>
      <w:sz w:val="24"/>
    </w:rPr>
  </w:style>
  <w:style w:type="character" w:customStyle="1" w:styleId="154">
    <w:name w:val="标题 9 Char"/>
    <w:basedOn w:val="43"/>
    <w:link w:val="11"/>
    <w:uiPriority w:val="0"/>
    <w:rPr>
      <w:rFonts w:ascii="Arial" w:hAnsi="Arial" w:eastAsia="黑体"/>
      <w:kern w:val="2"/>
      <w:sz w:val="21"/>
    </w:rPr>
  </w:style>
  <w:style w:type="character" w:customStyle="1" w:styleId="155">
    <w:name w:val="标题 1 Char Char"/>
    <w:uiPriority w:val="0"/>
    <w:rPr>
      <w:rFonts w:eastAsia="宋体"/>
      <w:b/>
      <w:spacing w:val="-2"/>
      <w:sz w:val="24"/>
      <w:lang w:val="en-US" w:eastAsia="zh-CN"/>
    </w:rPr>
  </w:style>
  <w:style w:type="character" w:customStyle="1" w:styleId="156">
    <w:name w:val="Heading 3 Char"/>
    <w:locked/>
    <w:uiPriority w:val="0"/>
    <w:rPr>
      <w:rFonts w:ascii="Times New Roman" w:hAnsi="Times New Roman" w:eastAsia="宋体"/>
      <w:b/>
      <w:sz w:val="20"/>
    </w:rPr>
  </w:style>
  <w:style w:type="character" w:customStyle="1" w:styleId="157">
    <w:name w:val="HTML 预设格式 Char"/>
    <w:link w:val="34"/>
    <w:locked/>
    <w:uiPriority w:val="0"/>
    <w:rPr>
      <w:rFonts w:ascii="宋体" w:hAnsi="宋体" w:cs="宋体"/>
      <w:sz w:val="24"/>
      <w:szCs w:val="24"/>
    </w:rPr>
  </w:style>
  <w:style w:type="character" w:customStyle="1" w:styleId="158">
    <w:name w:val="普通文字1 Char"/>
    <w:uiPriority w:val="0"/>
    <w:rPr>
      <w:rFonts w:eastAsia="宋体"/>
      <w:kern w:val="2"/>
      <w:sz w:val="24"/>
      <w:lang w:val="en-US" w:eastAsia="zh-CN" w:bidi="ar-SA"/>
    </w:rPr>
  </w:style>
  <w:style w:type="character" w:customStyle="1" w:styleId="159">
    <w:name w:val="Heading 1 Char"/>
    <w:locked/>
    <w:uiPriority w:val="0"/>
    <w:rPr>
      <w:rFonts w:ascii="宋体" w:hAnsi="Times New Roman" w:eastAsia="宋体" w:cs="Times New Roman"/>
      <w:b/>
      <w:color w:val="000000"/>
      <w:sz w:val="20"/>
      <w:szCs w:val="20"/>
    </w:rPr>
  </w:style>
  <w:style w:type="character" w:customStyle="1" w:styleId="160">
    <w:name w:val="正文文本缩进 2 Char"/>
    <w:link w:val="23"/>
    <w:locked/>
    <w:uiPriority w:val="0"/>
    <w:rPr>
      <w:rFonts w:ascii="宋体"/>
      <w:kern w:val="2"/>
      <w:sz w:val="28"/>
    </w:rPr>
  </w:style>
  <w:style w:type="character" w:customStyle="1" w:styleId="161">
    <w:name w:val="Char Char"/>
    <w:uiPriority w:val="0"/>
    <w:rPr>
      <w:rFonts w:ascii="宋体" w:hAnsi="Courier New" w:eastAsia="宋体"/>
      <w:sz w:val="21"/>
      <w:lang w:val="en-US" w:eastAsia="zh-CN"/>
    </w:rPr>
  </w:style>
  <w:style w:type="character" w:customStyle="1" w:styleId="162">
    <w:name w:val="SANGFOR_6_正文 Char"/>
    <w:link w:val="163"/>
    <w:locked/>
    <w:uiPriority w:val="0"/>
    <w:rPr>
      <w:kern w:val="2"/>
      <w:sz w:val="24"/>
    </w:rPr>
  </w:style>
  <w:style w:type="paragraph" w:customStyle="1" w:styleId="163">
    <w:name w:val="SANGFOR_6_正文"/>
    <w:basedOn w:val="1"/>
    <w:link w:val="162"/>
    <w:uiPriority w:val="0"/>
    <w:pPr>
      <w:autoSpaceDE/>
      <w:autoSpaceDN/>
      <w:adjustRightInd/>
      <w:spacing w:line="360" w:lineRule="auto"/>
      <w:ind w:firstLine="200" w:firstLineChars="200"/>
    </w:pPr>
    <w:rPr>
      <w:rFonts w:ascii="Calibri" w:hAnsi="Calibri"/>
      <w:color w:val="auto"/>
      <w:kern w:val="2"/>
      <w:sz w:val="24"/>
      <w:szCs w:val="20"/>
    </w:rPr>
  </w:style>
  <w:style w:type="character" w:customStyle="1" w:styleId="164">
    <w:name w:val="批注主题 Char"/>
    <w:link w:val="37"/>
    <w:semiHidden/>
    <w:locked/>
    <w:uiPriority w:val="99"/>
    <w:rPr>
      <w:rFonts w:ascii="宋体"/>
      <w:b/>
      <w:bCs/>
      <w:sz w:val="34"/>
    </w:rPr>
  </w:style>
  <w:style w:type="character" w:customStyle="1" w:styleId="165">
    <w:name w:val="正文2 Char"/>
    <w:link w:val="166"/>
    <w:uiPriority w:val="0"/>
    <w:rPr>
      <w:kern w:val="2"/>
      <w:sz w:val="24"/>
    </w:rPr>
  </w:style>
  <w:style w:type="paragraph" w:customStyle="1" w:styleId="166">
    <w:name w:val="正文2"/>
    <w:basedOn w:val="1"/>
    <w:link w:val="165"/>
    <w:qFormat/>
    <w:uiPriority w:val="0"/>
    <w:pPr>
      <w:autoSpaceDE/>
      <w:autoSpaceDN/>
      <w:adjustRightInd/>
      <w:spacing w:before="156" w:line="360" w:lineRule="auto"/>
      <w:ind w:left="480"/>
    </w:pPr>
    <w:rPr>
      <w:rFonts w:ascii="Calibri" w:hAnsi="Calibri"/>
      <w:color w:val="auto"/>
      <w:kern w:val="2"/>
      <w:sz w:val="24"/>
      <w:szCs w:val="20"/>
    </w:rPr>
  </w:style>
  <w:style w:type="character" w:customStyle="1" w:styleId="167">
    <w:name w:val="bb1"/>
    <w:uiPriority w:val="0"/>
    <w:rPr>
      <w:rFonts w:cs="Times New Roman"/>
      <w:color w:val="000000"/>
      <w:sz w:val="18"/>
      <w:szCs w:val="18"/>
      <w:u w:val="none"/>
    </w:rPr>
  </w:style>
  <w:style w:type="character" w:customStyle="1" w:styleId="168">
    <w:name w:val="列出段落 Char Char"/>
    <w:link w:val="169"/>
    <w:uiPriority w:val="0"/>
    <w:rPr>
      <w:kern w:val="2"/>
      <w:sz w:val="21"/>
      <w:szCs w:val="22"/>
    </w:rPr>
  </w:style>
  <w:style w:type="paragraph" w:customStyle="1" w:styleId="169">
    <w:name w:val="列出段落3"/>
    <w:basedOn w:val="1"/>
    <w:link w:val="168"/>
    <w:uiPriority w:val="0"/>
    <w:pPr>
      <w:autoSpaceDE/>
      <w:autoSpaceDN/>
      <w:adjustRightInd/>
      <w:ind w:firstLine="420" w:firstLineChars="200"/>
    </w:pPr>
    <w:rPr>
      <w:rFonts w:ascii="Calibri" w:hAnsi="Calibri"/>
      <w:color w:val="auto"/>
      <w:kern w:val="2"/>
      <w:szCs w:val="22"/>
    </w:rPr>
  </w:style>
  <w:style w:type="character" w:customStyle="1" w:styleId="170">
    <w:name w:val="GW-正文 Char"/>
    <w:link w:val="171"/>
    <w:locked/>
    <w:uiPriority w:val="0"/>
    <w:rPr>
      <w:kern w:val="2"/>
      <w:sz w:val="24"/>
    </w:rPr>
  </w:style>
  <w:style w:type="paragraph" w:customStyle="1" w:styleId="171">
    <w:name w:val="GW-正文"/>
    <w:basedOn w:val="1"/>
    <w:link w:val="170"/>
    <w:uiPriority w:val="0"/>
    <w:pPr>
      <w:tabs>
        <w:tab w:val="left" w:pos="3255"/>
      </w:tabs>
      <w:autoSpaceDE/>
      <w:autoSpaceDN/>
      <w:adjustRightInd/>
      <w:spacing w:before="120" w:after="120" w:line="360" w:lineRule="auto"/>
      <w:ind w:firstLine="480" w:firstLineChars="200"/>
      <w:jc w:val="left"/>
    </w:pPr>
    <w:rPr>
      <w:rFonts w:ascii="Calibri" w:hAnsi="Calibri"/>
      <w:color w:val="auto"/>
      <w:kern w:val="2"/>
      <w:sz w:val="24"/>
      <w:szCs w:val="20"/>
    </w:rPr>
  </w:style>
  <w:style w:type="character" w:customStyle="1" w:styleId="172">
    <w:name w:val="Char Char12"/>
    <w:uiPriority w:val="0"/>
    <w:rPr>
      <w:rFonts w:ascii="宋体" w:hAnsi="Times New Roman" w:eastAsia="宋体"/>
      <w:b/>
      <w:color w:val="000000"/>
      <w:kern w:val="0"/>
      <w:sz w:val="20"/>
    </w:rPr>
  </w:style>
  <w:style w:type="character" w:customStyle="1" w:styleId="173">
    <w:name w:val="Heading 4 Char"/>
    <w:locked/>
    <w:uiPriority w:val="0"/>
    <w:rPr>
      <w:rFonts w:ascii="Arial" w:hAnsi="Arial" w:eastAsia="黑体"/>
      <w:b/>
      <w:kern w:val="2"/>
      <w:sz w:val="20"/>
    </w:rPr>
  </w:style>
  <w:style w:type="character" w:customStyle="1" w:styleId="174">
    <w:name w:val="标题 1 Char1"/>
    <w:uiPriority w:val="9"/>
    <w:rPr>
      <w:rFonts w:eastAsia="宋体"/>
      <w:b/>
      <w:bCs/>
      <w:kern w:val="44"/>
      <w:sz w:val="28"/>
      <w:szCs w:val="44"/>
    </w:rPr>
  </w:style>
  <w:style w:type="character" w:customStyle="1" w:styleId="175">
    <w:name w:val="标题2 Char Char"/>
    <w:uiPriority w:val="0"/>
    <w:rPr>
      <w:rFonts w:ascii="Arial" w:hAnsi="Arial" w:eastAsia="宋体" w:cs="Times New Roman"/>
      <w:b/>
      <w:bCs/>
      <w:kern w:val="2"/>
      <w:sz w:val="32"/>
      <w:szCs w:val="32"/>
      <w:lang w:val="en-US" w:eastAsia="zh-CN" w:bidi="ar-SA"/>
    </w:rPr>
  </w:style>
  <w:style w:type="character" w:customStyle="1" w:styleId="176">
    <w:name w:val="*正文 Char"/>
    <w:link w:val="177"/>
    <w:qFormat/>
    <w:uiPriority w:val="0"/>
    <w:rPr>
      <w:kern w:val="2"/>
      <w:sz w:val="24"/>
      <w:szCs w:val="28"/>
      <w:lang w:val="zh-CN"/>
    </w:rPr>
  </w:style>
  <w:style w:type="paragraph" w:customStyle="1" w:styleId="177">
    <w:name w:val="*正文"/>
    <w:basedOn w:val="1"/>
    <w:link w:val="176"/>
    <w:qFormat/>
    <w:uiPriority w:val="0"/>
    <w:pPr>
      <w:widowControl/>
      <w:autoSpaceDE/>
      <w:autoSpaceDN/>
      <w:adjustRightInd/>
      <w:spacing w:line="360" w:lineRule="auto"/>
      <w:ind w:firstLine="200" w:firstLineChars="200"/>
      <w:jc w:val="left"/>
    </w:pPr>
    <w:rPr>
      <w:rFonts w:ascii="Calibri" w:hAnsi="Calibri"/>
      <w:color w:val="auto"/>
      <w:kern w:val="2"/>
      <w:sz w:val="24"/>
      <w:szCs w:val="28"/>
      <w:lang w:val="zh-CN"/>
    </w:rPr>
  </w:style>
  <w:style w:type="character" w:customStyle="1" w:styleId="178">
    <w:name w:val="日期 Char"/>
    <w:link w:val="22"/>
    <w:locked/>
    <w:uiPriority w:val="0"/>
    <w:rPr>
      <w:rFonts w:ascii="宋体"/>
      <w:sz w:val="28"/>
    </w:rPr>
  </w:style>
  <w:style w:type="character" w:customStyle="1" w:styleId="179">
    <w:name w:val="贵阳 Char"/>
    <w:link w:val="180"/>
    <w:locked/>
    <w:uiPriority w:val="0"/>
    <w:rPr>
      <w:rFonts w:ascii="宋体" w:hAnsi="宋体"/>
      <w:b/>
      <w:color w:val="000000"/>
      <w:sz w:val="30"/>
    </w:rPr>
  </w:style>
  <w:style w:type="paragraph" w:customStyle="1" w:styleId="180">
    <w:name w:val="贵阳"/>
    <w:basedOn w:val="2"/>
    <w:link w:val="179"/>
    <w:uiPriority w:val="0"/>
    <w:pPr>
      <w:keepLines w:val="0"/>
      <w:numPr>
        <w:ilvl w:val="0"/>
        <w:numId w:val="2"/>
      </w:numPr>
      <w:spacing w:before="240" w:after="0" w:line="360" w:lineRule="auto"/>
      <w:jc w:val="left"/>
      <w:textAlignment w:val="baseline"/>
      <w:outlineLvl w:val="1"/>
    </w:pPr>
    <w:rPr>
      <w:rFonts w:ascii="宋体" w:hAnsi="宋体"/>
      <w:kern w:val="0"/>
      <w:sz w:val="30"/>
      <w:szCs w:val="20"/>
    </w:rPr>
  </w:style>
  <w:style w:type="character" w:customStyle="1" w:styleId="181">
    <w:name w:val="Plain Text Char Char"/>
    <w:link w:val="182"/>
    <w:locked/>
    <w:uiPriority w:val="0"/>
    <w:rPr>
      <w:rFonts w:ascii="宋体" w:hAnsi="Courier New"/>
      <w:sz w:val="21"/>
    </w:rPr>
  </w:style>
  <w:style w:type="paragraph" w:customStyle="1" w:styleId="182">
    <w:name w:val="Plain Text1"/>
    <w:basedOn w:val="1"/>
    <w:link w:val="181"/>
    <w:uiPriority w:val="0"/>
    <w:pPr>
      <w:jc w:val="left"/>
      <w:textAlignment w:val="baseline"/>
    </w:pPr>
    <w:rPr>
      <w:rFonts w:ascii="宋体" w:hAnsi="Courier New"/>
      <w:color w:val="auto"/>
      <w:szCs w:val="20"/>
    </w:rPr>
  </w:style>
  <w:style w:type="character" w:customStyle="1" w:styleId="183">
    <w:name w:val="Normal Indent Char"/>
    <w:locked/>
    <w:uiPriority w:val="0"/>
    <w:rPr>
      <w:rFonts w:ascii="Times New Roman" w:hAnsi="Times New Roman" w:eastAsia="宋体"/>
      <w:kern w:val="2"/>
      <w:sz w:val="20"/>
    </w:rPr>
  </w:style>
  <w:style w:type="character" w:customStyle="1" w:styleId="184">
    <w:name w:val="正文缩进 Char1"/>
    <w:qFormat/>
    <w:uiPriority w:val="0"/>
    <w:rPr>
      <w:rFonts w:ascii="Times New Roman" w:hAnsi="Times New Roman" w:eastAsia="宋体" w:cs="Times New Roman"/>
      <w:kern w:val="0"/>
      <w:sz w:val="24"/>
      <w:szCs w:val="20"/>
    </w:rPr>
  </w:style>
  <w:style w:type="character" w:customStyle="1" w:styleId="185">
    <w:name w:val="脚注文本 Char"/>
    <w:link w:val="29"/>
    <w:semiHidden/>
    <w:locked/>
    <w:uiPriority w:val="0"/>
    <w:rPr>
      <w:rFonts w:ascii="宋体"/>
      <w:sz w:val="18"/>
    </w:rPr>
  </w:style>
  <w:style w:type="character" w:customStyle="1" w:styleId="186">
    <w:name w:val="第I部分 Char"/>
    <w:uiPriority w:val="0"/>
    <w:rPr>
      <w:rFonts w:eastAsia="宋体"/>
      <w:b/>
      <w:kern w:val="44"/>
      <w:sz w:val="44"/>
      <w:lang w:val="en-US" w:eastAsia="zh-CN"/>
    </w:rPr>
  </w:style>
  <w:style w:type="character" w:customStyle="1" w:styleId="187">
    <w:name w:val="批注文字 Char"/>
    <w:link w:val="15"/>
    <w:locked/>
    <w:uiPriority w:val="0"/>
    <w:rPr>
      <w:rFonts w:ascii="宋体"/>
      <w:sz w:val="34"/>
    </w:rPr>
  </w:style>
  <w:style w:type="character" w:customStyle="1" w:styleId="188">
    <w:name w:val="正文文本 2 Char"/>
    <w:link w:val="33"/>
    <w:locked/>
    <w:uiPriority w:val="0"/>
    <w:rPr>
      <w:rFonts w:ascii="宋体"/>
      <w:sz w:val="28"/>
    </w:rPr>
  </w:style>
  <w:style w:type="character" w:customStyle="1" w:styleId="189">
    <w:name w:val="标准正文格式 Char Char"/>
    <w:link w:val="190"/>
    <w:uiPriority w:val="0"/>
    <w:rPr>
      <w:rFonts w:ascii="宋体" w:eastAsia="仿宋_GB2312"/>
      <w:color w:val="000000"/>
      <w:sz w:val="32"/>
    </w:rPr>
  </w:style>
  <w:style w:type="paragraph" w:customStyle="1" w:styleId="190">
    <w:name w:val="标准正文格式"/>
    <w:basedOn w:val="1"/>
    <w:link w:val="189"/>
    <w:uiPriority w:val="0"/>
    <w:pPr>
      <w:widowControl/>
      <w:autoSpaceDE/>
      <w:autoSpaceDN/>
      <w:spacing w:before="60" w:after="120" w:line="360" w:lineRule="auto"/>
      <w:ind w:firstLine="200" w:firstLineChars="200"/>
      <w:textAlignment w:val="baseline"/>
    </w:pPr>
    <w:rPr>
      <w:rFonts w:ascii="宋体" w:hAnsi="Calibri" w:eastAsia="仿宋_GB2312"/>
      <w:sz w:val="32"/>
      <w:szCs w:val="20"/>
    </w:rPr>
  </w:style>
  <w:style w:type="character" w:customStyle="1" w:styleId="191">
    <w:name w:val="副标题 Char"/>
    <w:link w:val="28"/>
    <w:locked/>
    <w:uiPriority w:val="0"/>
    <w:rPr>
      <w:rFonts w:ascii="Cambria" w:hAnsi="Cambria"/>
      <w:b/>
      <w:bCs/>
      <w:kern w:val="28"/>
      <w:sz w:val="32"/>
      <w:szCs w:val="32"/>
    </w:rPr>
  </w:style>
  <w:style w:type="character" w:customStyle="1" w:styleId="192">
    <w:name w:val="方案正文 Char"/>
    <w:link w:val="193"/>
    <w:uiPriority w:val="0"/>
    <w:rPr>
      <w:rFonts w:ascii="Arial" w:hAnsi="Arial" w:cs="宋体"/>
      <w:kern w:val="2"/>
      <w:sz w:val="24"/>
      <w:szCs w:val="21"/>
    </w:rPr>
  </w:style>
  <w:style w:type="paragraph" w:customStyle="1" w:styleId="193">
    <w:name w:val="方案正文"/>
    <w:basedOn w:val="1"/>
    <w:link w:val="192"/>
    <w:uiPriority w:val="0"/>
    <w:pPr>
      <w:autoSpaceDE/>
      <w:autoSpaceDN/>
      <w:adjustRightInd/>
      <w:spacing w:before="156" w:line="360" w:lineRule="auto"/>
      <w:ind w:firstLine="359" w:firstLineChars="171"/>
      <w:jc w:val="left"/>
    </w:pPr>
    <w:rPr>
      <w:rFonts w:ascii="Arial" w:hAnsi="Arial" w:cs="宋体"/>
      <w:color w:val="auto"/>
      <w:kern w:val="2"/>
      <w:sz w:val="24"/>
    </w:rPr>
  </w:style>
  <w:style w:type="character" w:customStyle="1" w:styleId="194">
    <w:name w:val="纯文本 Char3"/>
    <w:uiPriority w:val="0"/>
    <w:rPr>
      <w:rFonts w:ascii="宋体" w:hAnsi="Courier New" w:eastAsia="宋体"/>
      <w:sz w:val="21"/>
    </w:rPr>
  </w:style>
  <w:style w:type="character" w:customStyle="1" w:styleId="195">
    <w:name w:val="样式 LP 标准模板正文 + 左  2 字符 Char Char"/>
    <w:link w:val="196"/>
    <w:locked/>
    <w:uiPriority w:val="0"/>
    <w:rPr>
      <w:rFonts w:ascii="宋体"/>
      <w:sz w:val="24"/>
    </w:rPr>
  </w:style>
  <w:style w:type="paragraph" w:customStyle="1" w:styleId="196">
    <w:name w:val="样式 LP 标准模板正文 + 左  2 字符"/>
    <w:basedOn w:val="1"/>
    <w:link w:val="195"/>
    <w:uiPriority w:val="0"/>
    <w:pPr>
      <w:autoSpaceDE/>
      <w:autoSpaceDN/>
      <w:snapToGrid w:val="0"/>
      <w:spacing w:line="300" w:lineRule="auto"/>
      <w:ind w:firstLine="200" w:firstLineChars="200"/>
    </w:pPr>
    <w:rPr>
      <w:rFonts w:ascii="宋体" w:hAnsi="Calibri"/>
      <w:color w:val="auto"/>
      <w:sz w:val="24"/>
      <w:szCs w:val="20"/>
    </w:rPr>
  </w:style>
  <w:style w:type="character" w:customStyle="1" w:styleId="197">
    <w:name w:val="正文文本 3 Char"/>
    <w:link w:val="17"/>
    <w:locked/>
    <w:uiPriority w:val="0"/>
    <w:rPr>
      <w:rFonts w:ascii="宋体"/>
      <w:color w:val="000000"/>
      <w:sz w:val="28"/>
    </w:rPr>
  </w:style>
  <w:style w:type="character" w:customStyle="1" w:styleId="198">
    <w:name w:val="大标题 Char"/>
    <w:link w:val="199"/>
    <w:uiPriority w:val="0"/>
    <w:rPr>
      <w:rFonts w:ascii="黑体" w:hAnsi="黑体" w:eastAsia="黑体"/>
      <w:b/>
      <w:bCs/>
      <w:kern w:val="2"/>
      <w:sz w:val="72"/>
      <w:szCs w:val="72"/>
    </w:rPr>
  </w:style>
  <w:style w:type="paragraph" w:customStyle="1" w:styleId="199">
    <w:name w:val="大标题"/>
    <w:basedOn w:val="1"/>
    <w:link w:val="198"/>
    <w:uiPriority w:val="0"/>
    <w:pPr>
      <w:autoSpaceDE/>
      <w:autoSpaceDN/>
      <w:adjustRightInd/>
      <w:spacing w:line="40" w:lineRule="atLeast"/>
    </w:pPr>
    <w:rPr>
      <w:rFonts w:ascii="黑体" w:hAnsi="黑体" w:eastAsia="黑体"/>
      <w:b/>
      <w:bCs/>
      <w:color w:val="auto"/>
      <w:kern w:val="2"/>
      <w:sz w:val="72"/>
      <w:szCs w:val="72"/>
    </w:rPr>
  </w:style>
  <w:style w:type="character" w:customStyle="1" w:styleId="200">
    <w:name w:val="正文文字2 Char Char"/>
    <w:uiPriority w:val="0"/>
    <w:rPr>
      <w:rFonts w:ascii="Arial" w:eastAsia="黑体"/>
      <w:sz w:val="21"/>
      <w:lang w:val="en-US" w:eastAsia="zh-CN" w:bidi="ar-SA"/>
    </w:rPr>
  </w:style>
  <w:style w:type="character" w:customStyle="1" w:styleId="201">
    <w:name w:val="正文缩进 字符"/>
    <w:qFormat/>
    <w:uiPriority w:val="0"/>
    <w:rPr>
      <w:rFonts w:ascii="Times New Roman" w:hAnsi="Times New Roman"/>
      <w:sz w:val="24"/>
    </w:rPr>
  </w:style>
  <w:style w:type="character" w:customStyle="1" w:styleId="202">
    <w:name w:val="f141"/>
    <w:uiPriority w:val="0"/>
    <w:rPr>
      <w:sz w:val="21"/>
    </w:rPr>
  </w:style>
  <w:style w:type="character" w:customStyle="1" w:styleId="203">
    <w:name w:val="样式 标题 2标题2 + 居中 Char"/>
    <w:link w:val="204"/>
    <w:locked/>
    <w:uiPriority w:val="0"/>
    <w:rPr>
      <w:rFonts w:ascii="Arial" w:hAnsi="Arial" w:cs="宋体"/>
      <w:b/>
      <w:bCs/>
      <w:kern w:val="2"/>
      <w:sz w:val="32"/>
      <w:szCs w:val="32"/>
    </w:rPr>
  </w:style>
  <w:style w:type="paragraph" w:customStyle="1" w:styleId="204">
    <w:name w:val="样式 标题 2标题2 + 居中"/>
    <w:basedOn w:val="3"/>
    <w:link w:val="203"/>
    <w:uiPriority w:val="0"/>
    <w:pPr>
      <w:spacing w:line="416" w:lineRule="auto"/>
      <w:jc w:val="center"/>
    </w:pPr>
    <w:rPr>
      <w:rFonts w:eastAsia="宋体" w:cs="宋体"/>
      <w:color w:val="auto"/>
    </w:rPr>
  </w:style>
  <w:style w:type="character" w:customStyle="1" w:styleId="205">
    <w:name w:val="标题3 Char"/>
    <w:link w:val="206"/>
    <w:locked/>
    <w:uiPriority w:val="0"/>
    <w:rPr>
      <w:rFonts w:ascii="宋体" w:hAnsi="宋体"/>
      <w:b/>
      <w:bCs/>
      <w:kern w:val="2"/>
      <w:sz w:val="32"/>
      <w:szCs w:val="32"/>
    </w:rPr>
  </w:style>
  <w:style w:type="paragraph" w:customStyle="1" w:styleId="206">
    <w:name w:val="标题3"/>
    <w:basedOn w:val="3"/>
    <w:link w:val="205"/>
    <w:qFormat/>
    <w:uiPriority w:val="0"/>
    <w:pPr>
      <w:spacing w:line="416" w:lineRule="auto"/>
    </w:pPr>
    <w:rPr>
      <w:rFonts w:ascii="宋体" w:hAnsi="宋体" w:eastAsia="宋体"/>
      <w:color w:val="auto"/>
    </w:rPr>
  </w:style>
  <w:style w:type="character" w:customStyle="1" w:styleId="207">
    <w:name w:val="Footer Char"/>
    <w:locked/>
    <w:uiPriority w:val="0"/>
    <w:rPr>
      <w:sz w:val="18"/>
    </w:rPr>
  </w:style>
  <w:style w:type="character" w:customStyle="1" w:styleId="208">
    <w:name w:val="正文00 Char"/>
    <w:link w:val="209"/>
    <w:qFormat/>
    <w:uiPriority w:val="0"/>
    <w:rPr>
      <w:rFonts w:ascii="仿宋_GB2312" w:hAnsi="华文仿宋" w:eastAsia="仿宋_GB2312"/>
      <w:kern w:val="2"/>
      <w:sz w:val="28"/>
      <w:szCs w:val="28"/>
    </w:rPr>
  </w:style>
  <w:style w:type="paragraph" w:customStyle="1" w:styleId="209">
    <w:name w:val="正文00"/>
    <w:basedOn w:val="21"/>
    <w:link w:val="208"/>
    <w:qFormat/>
    <w:uiPriority w:val="0"/>
    <w:pPr>
      <w:snapToGrid w:val="0"/>
      <w:spacing w:line="360" w:lineRule="auto"/>
      <w:ind w:firstLine="560" w:firstLineChars="200"/>
    </w:pPr>
    <w:rPr>
      <w:rFonts w:ascii="仿宋_GB2312" w:hAnsi="华文仿宋" w:eastAsia="仿宋_GB2312"/>
      <w:color w:val="auto"/>
      <w:sz w:val="28"/>
      <w:szCs w:val="28"/>
    </w:rPr>
  </w:style>
  <w:style w:type="paragraph" w:customStyle="1" w:styleId="210">
    <w:name w:val="Char Char6 Char Char"/>
    <w:basedOn w:val="1"/>
    <w:uiPriority w:val="0"/>
    <w:pPr>
      <w:autoSpaceDE/>
      <w:autoSpaceDN/>
      <w:adjustRightInd/>
    </w:pPr>
    <w:rPr>
      <w:rFonts w:ascii="Calibri" w:hAnsi="Calibri"/>
      <w:color w:val="auto"/>
      <w:kern w:val="2"/>
      <w:szCs w:val="24"/>
    </w:rPr>
  </w:style>
  <w:style w:type="paragraph" w:customStyle="1" w:styleId="211">
    <w:name w:val="xl179"/>
    <w:basedOn w:val="1"/>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宋体" w:hAnsi="宋体" w:cs="宋体"/>
      <w:b/>
      <w:bCs/>
      <w:color w:val="auto"/>
      <w:sz w:val="20"/>
      <w:szCs w:val="20"/>
    </w:rPr>
  </w:style>
  <w:style w:type="character" w:customStyle="1" w:styleId="212">
    <w:name w:val="副标题 Char1"/>
    <w:basedOn w:val="43"/>
    <w:link w:val="28"/>
    <w:uiPriority w:val="11"/>
    <w:rPr>
      <w:rFonts w:asciiTheme="majorHAnsi" w:hAnsiTheme="majorHAnsi" w:cstheme="majorBidi"/>
      <w:b/>
      <w:bCs/>
      <w:color w:val="000000"/>
      <w:kern w:val="28"/>
      <w:sz w:val="32"/>
      <w:szCs w:val="32"/>
    </w:rPr>
  </w:style>
  <w:style w:type="paragraph" w:customStyle="1" w:styleId="213">
    <w:name w:val="插图题注"/>
    <w:next w:val="1"/>
    <w:uiPriority w:val="0"/>
    <w:pPr>
      <w:numPr>
        <w:ilvl w:val="7"/>
        <w:numId w:val="1"/>
      </w:numPr>
      <w:spacing w:afterLines="100"/>
      <w:ind w:left="1089" w:hanging="369"/>
      <w:jc w:val="center"/>
    </w:pPr>
    <w:rPr>
      <w:rFonts w:ascii="Arial" w:hAnsi="Arial" w:eastAsia="宋体" w:cs="Times New Roman"/>
      <w:sz w:val="18"/>
      <w:szCs w:val="18"/>
      <w:lang w:val="en-US" w:eastAsia="zh-CN" w:bidi="ar-SA"/>
    </w:rPr>
  </w:style>
  <w:style w:type="character" w:customStyle="1" w:styleId="214">
    <w:name w:val="正文文本 2 Char1"/>
    <w:basedOn w:val="43"/>
    <w:link w:val="33"/>
    <w:semiHidden/>
    <w:uiPriority w:val="99"/>
    <w:rPr>
      <w:rFonts w:ascii="Times New Roman" w:hAnsi="Times New Roman"/>
      <w:color w:val="000000"/>
      <w:sz w:val="21"/>
      <w:szCs w:val="21"/>
    </w:rPr>
  </w:style>
  <w:style w:type="paragraph" w:customStyle="1" w:styleId="215">
    <w:name w:val="图样式"/>
    <w:basedOn w:val="1"/>
    <w:uiPriority w:val="0"/>
    <w:pPr>
      <w:keepNext/>
      <w:widowControl/>
      <w:spacing w:before="80" w:after="80" w:line="360" w:lineRule="auto"/>
      <w:jc w:val="center"/>
    </w:pPr>
    <w:rPr>
      <w:rFonts w:ascii="Calibri" w:hAnsi="Calibri"/>
      <w:color w:val="auto"/>
      <w:szCs w:val="20"/>
    </w:rPr>
  </w:style>
  <w:style w:type="paragraph" w:customStyle="1" w:styleId="216">
    <w:name w:val="cont3"/>
    <w:basedOn w:val="1"/>
    <w:uiPriority w:val="0"/>
    <w:pPr>
      <w:widowControl/>
      <w:autoSpaceDE/>
      <w:autoSpaceDN/>
      <w:adjustRightInd/>
      <w:spacing w:after="45"/>
      <w:jc w:val="left"/>
    </w:pPr>
    <w:rPr>
      <w:rFonts w:ascii="宋体" w:hAnsi="宋体"/>
      <w:color w:val="auto"/>
      <w:sz w:val="24"/>
      <w:szCs w:val="20"/>
    </w:rPr>
  </w:style>
  <w:style w:type="character" w:customStyle="1" w:styleId="217">
    <w:name w:val="正文首行缩进 Char"/>
    <w:basedOn w:val="55"/>
    <w:link w:val="38"/>
    <w:uiPriority w:val="0"/>
  </w:style>
  <w:style w:type="paragraph" w:customStyle="1" w:styleId="218">
    <w:name w:val="Char Char Char Char1"/>
    <w:basedOn w:val="1"/>
    <w:uiPriority w:val="0"/>
    <w:pPr>
      <w:autoSpaceDE/>
      <w:autoSpaceDN/>
      <w:adjustRightInd/>
    </w:pPr>
    <w:rPr>
      <w:rFonts w:ascii="Lucida Sans" w:hAnsi="Lucida Sans" w:eastAsia="永中宋体"/>
      <w:color w:val="auto"/>
      <w:kern w:val="2"/>
      <w:szCs w:val="20"/>
    </w:rPr>
  </w:style>
  <w:style w:type="paragraph" w:customStyle="1" w:styleId="219">
    <w:name w:val="默认段落字体 Para Char"/>
    <w:basedOn w:val="1"/>
    <w:uiPriority w:val="0"/>
    <w:pPr>
      <w:tabs>
        <w:tab w:val="left" w:pos="360"/>
        <w:tab w:val="left" w:pos="1008"/>
      </w:tabs>
      <w:autoSpaceDE/>
      <w:autoSpaceDN/>
      <w:adjustRightInd/>
      <w:ind w:left="420" w:hanging="420"/>
    </w:pPr>
    <w:rPr>
      <w:rFonts w:ascii="Calibri" w:hAnsi="Calibri"/>
      <w:color w:val="auto"/>
      <w:kern w:val="2"/>
      <w:sz w:val="24"/>
      <w:szCs w:val="24"/>
    </w:rPr>
  </w:style>
  <w:style w:type="paragraph" w:customStyle="1" w:styleId="220">
    <w:name w:val="_Style 64"/>
    <w:basedOn w:val="1"/>
    <w:uiPriority w:val="0"/>
    <w:pPr>
      <w:autoSpaceDE/>
      <w:autoSpaceDN/>
      <w:spacing w:line="360" w:lineRule="auto"/>
    </w:pPr>
    <w:rPr>
      <w:rFonts w:ascii="Calibri" w:hAnsi="Calibri"/>
      <w:color w:val="auto"/>
      <w:sz w:val="24"/>
      <w:szCs w:val="20"/>
    </w:rPr>
  </w:style>
  <w:style w:type="paragraph" w:customStyle="1" w:styleId="221">
    <w:name w:val="z-正文"/>
    <w:basedOn w:val="1"/>
    <w:uiPriority w:val="0"/>
    <w:pPr>
      <w:autoSpaceDE/>
      <w:autoSpaceDN/>
      <w:adjustRightInd/>
      <w:spacing w:line="360" w:lineRule="auto"/>
      <w:ind w:firstLine="200" w:firstLineChars="200"/>
    </w:pPr>
    <w:rPr>
      <w:rFonts w:ascii="Calibri" w:hAnsi="Calibri"/>
      <w:color w:val="auto"/>
      <w:kern w:val="2"/>
      <w:sz w:val="24"/>
      <w:szCs w:val="20"/>
    </w:rPr>
  </w:style>
  <w:style w:type="character" w:customStyle="1" w:styleId="222">
    <w:name w:val="正文文本缩进 2 Char1"/>
    <w:basedOn w:val="43"/>
    <w:link w:val="23"/>
    <w:semiHidden/>
    <w:uiPriority w:val="99"/>
    <w:rPr>
      <w:rFonts w:ascii="Times New Roman" w:hAnsi="Times New Roman"/>
      <w:color w:val="000000"/>
      <w:sz w:val="21"/>
      <w:szCs w:val="21"/>
    </w:rPr>
  </w:style>
  <w:style w:type="paragraph" w:customStyle="1" w:styleId="223">
    <w:name w:val="Char Char Char Char Char Char Char Char Char Char Char Char Char Char"/>
    <w:basedOn w:val="14"/>
    <w:uiPriority w:val="0"/>
    <w:rPr>
      <w:rFonts w:ascii="Tahoma" w:hAnsi="Tahoma"/>
      <w:color w:val="auto"/>
      <w:kern w:val="0"/>
      <w:sz w:val="18"/>
      <w:shd w:val="clear" w:color="auto" w:fill="auto"/>
    </w:rPr>
  </w:style>
  <w:style w:type="paragraph" w:customStyle="1" w:styleId="224">
    <w:name w:val="A正文小四"/>
    <w:basedOn w:val="1"/>
    <w:qFormat/>
    <w:uiPriority w:val="0"/>
    <w:pPr>
      <w:autoSpaceDE/>
      <w:autoSpaceDN/>
      <w:adjustRightInd/>
      <w:spacing w:line="360" w:lineRule="auto"/>
      <w:ind w:firstLine="200" w:firstLineChars="200"/>
    </w:pPr>
    <w:rPr>
      <w:rFonts w:ascii="Calibri" w:hAnsi="Calibri" w:eastAsia="仿宋"/>
      <w:color w:val="auto"/>
      <w:kern w:val="2"/>
      <w:sz w:val="24"/>
      <w:szCs w:val="24"/>
    </w:rPr>
  </w:style>
  <w:style w:type="paragraph" w:customStyle="1" w:styleId="225">
    <w:name w:val="标题四"/>
    <w:basedOn w:val="3"/>
    <w:uiPriority w:val="0"/>
    <w:pPr>
      <w:widowControl/>
      <w:spacing w:line="416" w:lineRule="auto"/>
      <w:jc w:val="center"/>
    </w:pPr>
    <w:rPr>
      <w:rFonts w:ascii="宋体" w:hAnsi="宋体" w:eastAsia="宋体"/>
      <w:b w:val="0"/>
      <w:bCs w:val="0"/>
      <w:color w:val="auto"/>
      <w:sz w:val="24"/>
    </w:rPr>
  </w:style>
  <w:style w:type="character" w:customStyle="1" w:styleId="226">
    <w:name w:val="批注文字 Char1"/>
    <w:basedOn w:val="43"/>
    <w:link w:val="15"/>
    <w:semiHidden/>
    <w:uiPriority w:val="99"/>
    <w:rPr>
      <w:rFonts w:ascii="Times New Roman" w:hAnsi="Times New Roman"/>
      <w:color w:val="000000"/>
      <w:sz w:val="21"/>
      <w:szCs w:val="21"/>
    </w:rPr>
  </w:style>
  <w:style w:type="paragraph" w:customStyle="1" w:styleId="227">
    <w:name w:val="p0 paragraphindent"/>
    <w:uiPriority w:val="0"/>
    <w:pPr>
      <w:spacing w:before="100" w:beforeAutospacing="1" w:after="100" w:afterAutospacing="1"/>
    </w:pPr>
    <w:rPr>
      <w:rFonts w:ascii="宋体" w:hAnsi="宋体" w:eastAsia="宋体" w:cs="宋体"/>
      <w:sz w:val="24"/>
      <w:lang w:val="en-US" w:eastAsia="zh-CN" w:bidi="ar-SA"/>
    </w:rPr>
  </w:style>
  <w:style w:type="paragraph" w:customStyle="1" w:styleId="228">
    <w:name w:val="Char Char1 Char Char Char Char Char Char Char Char Char Char Char Char Char Char"/>
    <w:basedOn w:val="1"/>
    <w:qFormat/>
    <w:uiPriority w:val="0"/>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229">
    <w:name w:val="节标题"/>
    <w:basedOn w:val="1"/>
    <w:next w:val="1"/>
    <w:uiPriority w:val="0"/>
    <w:pPr>
      <w:numPr>
        <w:ilvl w:val="0"/>
        <w:numId w:val="3"/>
      </w:numPr>
      <w:tabs>
        <w:tab w:val="left" w:pos="420"/>
        <w:tab w:val="left" w:pos="720"/>
      </w:tabs>
      <w:autoSpaceDE/>
      <w:autoSpaceDN/>
      <w:adjustRightInd/>
      <w:spacing w:before="120" w:after="120" w:line="360" w:lineRule="exact"/>
      <w:outlineLvl w:val="1"/>
    </w:pPr>
    <w:rPr>
      <w:rFonts w:ascii="Calibri" w:hAnsi="Calibri"/>
      <w:b/>
      <w:bCs/>
      <w:color w:val="auto"/>
      <w:kern w:val="2"/>
      <w:sz w:val="28"/>
      <w:szCs w:val="20"/>
    </w:rPr>
  </w:style>
  <w:style w:type="character" w:customStyle="1" w:styleId="230">
    <w:name w:val="正文文本 3 Char1"/>
    <w:basedOn w:val="43"/>
    <w:link w:val="17"/>
    <w:semiHidden/>
    <w:uiPriority w:val="99"/>
    <w:rPr>
      <w:rFonts w:ascii="Times New Roman" w:hAnsi="Times New Roman"/>
      <w:color w:val="000000"/>
      <w:sz w:val="16"/>
      <w:szCs w:val="16"/>
    </w:rPr>
  </w:style>
  <w:style w:type="character" w:customStyle="1" w:styleId="231">
    <w:name w:val="脚注文本 Char1"/>
    <w:basedOn w:val="43"/>
    <w:link w:val="29"/>
    <w:semiHidden/>
    <w:uiPriority w:val="99"/>
    <w:rPr>
      <w:rFonts w:ascii="Times New Roman" w:hAnsi="Times New Roman"/>
      <w:color w:val="000000"/>
      <w:sz w:val="18"/>
      <w:szCs w:val="18"/>
    </w:rPr>
  </w:style>
  <w:style w:type="character" w:customStyle="1" w:styleId="232">
    <w:name w:val="批注主题 Char1"/>
    <w:basedOn w:val="226"/>
    <w:link w:val="37"/>
    <w:semiHidden/>
    <w:uiPriority w:val="99"/>
    <w:rPr>
      <w:b/>
      <w:bCs/>
    </w:rPr>
  </w:style>
  <w:style w:type="paragraph" w:customStyle="1" w:styleId="233">
    <w:name w:val="_Style 23"/>
    <w:basedOn w:val="1"/>
    <w:next w:val="18"/>
    <w:uiPriority w:val="0"/>
    <w:pPr>
      <w:jc w:val="left"/>
      <w:textAlignment w:val="baseline"/>
    </w:pPr>
    <w:rPr>
      <w:rFonts w:ascii="宋体" w:hAnsi="Calibri"/>
      <w:color w:val="auto"/>
      <w:sz w:val="28"/>
      <w:szCs w:val="20"/>
    </w:rPr>
  </w:style>
  <w:style w:type="paragraph" w:customStyle="1" w:styleId="234">
    <w:name w:val="正文缩进2格"/>
    <w:basedOn w:val="1"/>
    <w:uiPriority w:val="0"/>
    <w:pPr>
      <w:spacing w:line="600" w:lineRule="exact"/>
      <w:ind w:firstLine="639" w:firstLineChars="206"/>
    </w:pPr>
    <w:rPr>
      <w:rFonts w:ascii="仿宋_GB2312" w:hAnsi="宋体" w:eastAsia="仿宋_GB2312"/>
      <w:kern w:val="2"/>
      <w:sz w:val="31"/>
      <w:szCs w:val="28"/>
    </w:rPr>
  </w:style>
  <w:style w:type="paragraph" w:customStyle="1" w:styleId="235">
    <w:name w:val="Char Char Char Char"/>
    <w:basedOn w:val="1"/>
    <w:uiPriority w:val="0"/>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236">
    <w:name w:val="SANGFOR_6_1级编号"/>
    <w:basedOn w:val="1"/>
    <w:uiPriority w:val="0"/>
    <w:pPr>
      <w:numPr>
        <w:ilvl w:val="0"/>
        <w:numId w:val="4"/>
      </w:numPr>
      <w:tabs>
        <w:tab w:val="left" w:pos="0"/>
      </w:tabs>
      <w:autoSpaceDE/>
      <w:autoSpaceDN/>
      <w:adjustRightInd/>
      <w:spacing w:line="360" w:lineRule="auto"/>
      <w:ind w:firstLine="200" w:firstLineChars="200"/>
    </w:pPr>
    <w:rPr>
      <w:rFonts w:ascii="Calibri" w:hAnsi="Calibri"/>
      <w:color w:val="auto"/>
      <w:kern w:val="2"/>
      <w:szCs w:val="24"/>
    </w:rPr>
  </w:style>
  <w:style w:type="character" w:customStyle="1" w:styleId="237">
    <w:name w:val="日期 Char1"/>
    <w:basedOn w:val="43"/>
    <w:link w:val="22"/>
    <w:semiHidden/>
    <w:uiPriority w:val="99"/>
    <w:rPr>
      <w:rFonts w:ascii="Times New Roman" w:hAnsi="Times New Roman"/>
      <w:color w:val="000000"/>
      <w:sz w:val="21"/>
      <w:szCs w:val="21"/>
    </w:rPr>
  </w:style>
  <w:style w:type="paragraph" w:customStyle="1" w:styleId="238">
    <w:name w:val="编号正文缩进"/>
    <w:basedOn w:val="8"/>
    <w:qFormat/>
    <w:uiPriority w:val="0"/>
    <w:pPr>
      <w:tabs>
        <w:tab w:val="left" w:pos="1497"/>
      </w:tabs>
      <w:adjustRightInd w:val="0"/>
      <w:spacing w:line="400" w:lineRule="atLeast"/>
      <w:ind w:left="1497" w:hanging="420"/>
      <w:textAlignment w:val="baseline"/>
    </w:pPr>
    <w:rPr>
      <w:rFonts w:ascii="Calibri" w:hAnsi="Calibri" w:eastAsia="仿宋"/>
      <w:color w:val="auto"/>
      <w:kern w:val="0"/>
      <w:sz w:val="28"/>
      <w:szCs w:val="20"/>
      <w:lang w:val="zh-CN"/>
    </w:rPr>
  </w:style>
  <w:style w:type="paragraph" w:customStyle="1" w:styleId="239">
    <w:name w:val="Char19"/>
    <w:basedOn w:val="1"/>
    <w:uiPriority w:val="0"/>
    <w:pPr>
      <w:autoSpaceDE/>
      <w:autoSpaceDN/>
      <w:adjustRightInd/>
    </w:pPr>
    <w:rPr>
      <w:rFonts w:ascii="Calibri" w:hAnsi="Calibri"/>
      <w:color w:val="auto"/>
      <w:kern w:val="2"/>
      <w:szCs w:val="24"/>
    </w:rPr>
  </w:style>
  <w:style w:type="paragraph" w:customStyle="1" w:styleId="240">
    <w:name w:val="Char Char Char Char Char1 Char"/>
    <w:basedOn w:val="1"/>
    <w:uiPriority w:val="0"/>
    <w:pPr>
      <w:autoSpaceDE/>
      <w:autoSpaceDN/>
      <w:adjustRightInd/>
    </w:pPr>
    <w:rPr>
      <w:rFonts w:ascii="Tahoma" w:hAnsi="Tahoma"/>
      <w:color w:val="auto"/>
      <w:kern w:val="2"/>
      <w:sz w:val="24"/>
      <w:szCs w:val="20"/>
    </w:rPr>
  </w:style>
  <w:style w:type="character" w:customStyle="1" w:styleId="241">
    <w:name w:val="HTML 预设格式 Char1"/>
    <w:basedOn w:val="43"/>
    <w:link w:val="34"/>
    <w:semiHidden/>
    <w:uiPriority w:val="99"/>
    <w:rPr>
      <w:rFonts w:ascii="Courier New" w:hAnsi="Courier New" w:cs="Courier New"/>
      <w:color w:val="000000"/>
    </w:rPr>
  </w:style>
  <w:style w:type="paragraph" w:customStyle="1" w:styleId="242">
    <w:name w:val="xl36"/>
    <w:basedOn w:val="1"/>
    <w:uiPriority w:val="0"/>
    <w:pPr>
      <w:widowControl/>
      <w:autoSpaceDE/>
      <w:autoSpaceDN/>
      <w:adjustRightInd/>
      <w:spacing w:before="100" w:beforeAutospacing="1" w:after="100" w:afterAutospacing="1"/>
    </w:pPr>
    <w:rPr>
      <w:rFonts w:ascii="宋体" w:hAnsi="宋体"/>
      <w:color w:val="auto"/>
      <w:sz w:val="24"/>
      <w:szCs w:val="24"/>
    </w:rPr>
  </w:style>
  <w:style w:type="paragraph" w:customStyle="1" w:styleId="243">
    <w:name w:val="标题 4P"/>
    <w:basedOn w:val="5"/>
    <w:next w:val="8"/>
    <w:qFormat/>
    <w:uiPriority w:val="0"/>
    <w:pPr>
      <w:keepNext w:val="0"/>
      <w:keepLines w:val="0"/>
      <w:tabs>
        <w:tab w:val="left" w:pos="864"/>
        <w:tab w:val="left" w:pos="1680"/>
        <w:tab w:val="left" w:pos="1716"/>
      </w:tabs>
      <w:autoSpaceDE/>
      <w:autoSpaceDN/>
      <w:spacing w:before="0" w:after="0" w:line="360" w:lineRule="auto"/>
      <w:ind w:left="2160" w:hanging="420"/>
      <w:textAlignment w:val="baseline"/>
    </w:pPr>
    <w:rPr>
      <w:rFonts w:ascii="Times New Roman" w:hAnsi="Times New Roman" w:eastAsia="宋体" w:cs="宋体"/>
      <w:bCs w:val="0"/>
      <w:color w:val="auto"/>
      <w:sz w:val="24"/>
      <w:szCs w:val="24"/>
    </w:rPr>
  </w:style>
  <w:style w:type="paragraph" w:customStyle="1" w:styleId="244">
    <w:name w:val="样式 Tahoma 小四"/>
    <w:basedOn w:val="1"/>
    <w:uiPriority w:val="0"/>
    <w:pPr>
      <w:autoSpaceDE/>
      <w:autoSpaceDN/>
      <w:adjustRightInd/>
      <w:spacing w:beforeLines="50"/>
      <w:ind w:firstLine="200" w:firstLineChars="200"/>
    </w:pPr>
    <w:rPr>
      <w:rFonts w:ascii="Tahoma" w:hAnsi="Tahoma" w:cs="宋体"/>
      <w:color w:val="auto"/>
      <w:kern w:val="2"/>
      <w:sz w:val="24"/>
      <w:szCs w:val="20"/>
    </w:rPr>
  </w:style>
  <w:style w:type="paragraph" w:customStyle="1" w:styleId="245">
    <w:name w:val="默认段落字体 Para Char Char Char Char"/>
    <w:basedOn w:val="1"/>
    <w:uiPriority w:val="0"/>
    <w:pPr>
      <w:autoSpaceDE/>
      <w:autoSpaceDN/>
      <w:adjustRightInd/>
    </w:pPr>
    <w:rPr>
      <w:rFonts w:ascii="Calibri" w:hAnsi="Calibri"/>
      <w:color w:val="auto"/>
      <w:kern w:val="2"/>
      <w:szCs w:val="24"/>
    </w:rPr>
  </w:style>
  <w:style w:type="paragraph" w:customStyle="1" w:styleId="246">
    <w:name w:val="样式K"/>
    <w:basedOn w:val="18"/>
    <w:uiPriority w:val="0"/>
    <w:pPr>
      <w:autoSpaceDE/>
      <w:autoSpaceDN/>
      <w:adjustRightInd/>
      <w:spacing w:after="0"/>
      <w:jc w:val="left"/>
    </w:pPr>
    <w:rPr>
      <w:rFonts w:ascii="仿宋_GB2312" w:hAnsi="Book Antiqua" w:eastAsia="仿宋_GB2312"/>
      <w:color w:val="auto"/>
      <w:kern w:val="2"/>
      <w:sz w:val="24"/>
      <w:szCs w:val="24"/>
    </w:rPr>
  </w:style>
  <w:style w:type="character" w:customStyle="1" w:styleId="247">
    <w:name w:val="正文1 字符"/>
    <w:basedOn w:val="43"/>
    <w:link w:val="141"/>
    <w:qFormat/>
    <w:uiPriority w:val="0"/>
    <w:rPr>
      <w:rFonts w:ascii="宋体" w:hAnsi="Times New Roman"/>
      <w:sz w:val="34"/>
    </w:rPr>
  </w:style>
  <w:style w:type="paragraph" w:customStyle="1" w:styleId="248">
    <w:name w:val="标题2"/>
    <w:basedOn w:val="3"/>
    <w:next w:val="1"/>
    <w:link w:val="249"/>
    <w:qFormat/>
    <w:uiPriority w:val="0"/>
    <w:pPr>
      <w:tabs>
        <w:tab w:val="left" w:pos="576"/>
      </w:tabs>
      <w:spacing w:before="120" w:after="120"/>
      <w:ind w:left="576" w:hanging="576"/>
    </w:pPr>
    <w:rPr>
      <w:rFonts w:ascii="Times New Roman" w:hAnsi="Times New Roman"/>
      <w:color w:val="auto"/>
      <w:sz w:val="28"/>
      <w:szCs w:val="28"/>
    </w:rPr>
  </w:style>
  <w:style w:type="character" w:customStyle="1" w:styleId="249">
    <w:name w:val="标题2 字符"/>
    <w:basedOn w:val="43"/>
    <w:link w:val="248"/>
    <w:qFormat/>
    <w:uiPriority w:val="0"/>
    <w:rPr>
      <w:rFonts w:ascii="Times New Roman" w:hAnsi="Times New Roman" w:eastAsia="黑体"/>
      <w:b/>
      <w:bCs/>
      <w:kern w:val="2"/>
      <w:sz w:val="28"/>
      <w:szCs w:val="28"/>
    </w:rPr>
  </w:style>
  <w:style w:type="paragraph" w:customStyle="1" w:styleId="250">
    <w:name w:val="标题4"/>
    <w:basedOn w:val="5"/>
    <w:qFormat/>
    <w:uiPriority w:val="0"/>
    <w:pPr>
      <w:tabs>
        <w:tab w:val="left" w:pos="376"/>
      </w:tabs>
      <w:autoSpaceDE/>
      <w:autoSpaceDN/>
      <w:adjustRightInd/>
      <w:spacing w:beforeLines="50" w:afterLines="50" w:line="360" w:lineRule="auto"/>
      <w:ind w:left="16"/>
    </w:pPr>
    <w:rPr>
      <w:rFonts w:ascii="宋体" w:hAnsi="宋体" w:eastAsia="宋体" w:cs="Arial"/>
      <w:kern w:val="2"/>
      <w:sz w:val="24"/>
      <w:szCs w:val="24"/>
    </w:rPr>
  </w:style>
  <w:style w:type="paragraph" w:customStyle="1" w:styleId="251">
    <w:name w:val="标题1"/>
    <w:basedOn w:val="2"/>
    <w:link w:val="253"/>
    <w:qFormat/>
    <w:uiPriority w:val="0"/>
    <w:pPr>
      <w:pageBreakBefore/>
      <w:tabs>
        <w:tab w:val="left" w:pos="792"/>
      </w:tabs>
      <w:autoSpaceDE/>
      <w:autoSpaceDN/>
      <w:adjustRightInd/>
      <w:spacing w:line="578" w:lineRule="auto"/>
      <w:jc w:val="center"/>
    </w:pPr>
    <w:rPr>
      <w:rFonts w:ascii="黑体" w:eastAsia="黑体" w:cstheme="minorBidi"/>
      <w:bCs/>
      <w:color w:val="auto"/>
      <w:sz w:val="32"/>
      <w:szCs w:val="32"/>
    </w:rPr>
  </w:style>
  <w:style w:type="character" w:customStyle="1" w:styleId="252">
    <w:name w:val="标题3 字符"/>
    <w:basedOn w:val="43"/>
    <w:qFormat/>
    <w:uiPriority w:val="0"/>
    <w:rPr>
      <w:rFonts w:ascii="宋体" w:hAnsi="宋体" w:eastAsia="宋体" w:cs="Arial"/>
      <w:b/>
      <w:bCs/>
      <w:color w:val="000000"/>
      <w:sz w:val="24"/>
      <w:szCs w:val="24"/>
    </w:rPr>
  </w:style>
  <w:style w:type="character" w:customStyle="1" w:styleId="253">
    <w:name w:val="标题1 字符"/>
    <w:basedOn w:val="50"/>
    <w:link w:val="251"/>
    <w:qFormat/>
    <w:uiPriority w:val="0"/>
    <w:rPr>
      <w:rFonts w:ascii="黑体" w:hAnsi="Times New Roman" w:eastAsia="黑体" w:cstheme="minorBidi"/>
      <w:bCs/>
      <w:sz w:val="32"/>
      <w:szCs w:val="32"/>
    </w:rPr>
  </w:style>
  <w:style w:type="paragraph" w:customStyle="1" w:styleId="254">
    <w:name w:val="标题5"/>
    <w:basedOn w:val="1"/>
    <w:qFormat/>
    <w:uiPriority w:val="0"/>
    <w:pPr>
      <w:autoSpaceDE/>
      <w:autoSpaceDN/>
      <w:adjustRightInd/>
      <w:spacing w:line="360" w:lineRule="auto"/>
      <w:ind w:right="210" w:rightChars="100"/>
      <w:outlineLvl w:val="4"/>
    </w:pPr>
    <w:rPr>
      <w:rFonts w:ascii="Calibri" w:hAnsi="Calibri"/>
      <w:b/>
      <w:color w:val="auto"/>
      <w:kern w:val="2"/>
      <w:sz w:val="24"/>
      <w:szCs w:val="24"/>
    </w:rPr>
  </w:style>
  <w:style w:type="paragraph" w:customStyle="1" w:styleId="255">
    <w:name w:val="投标书正文"/>
    <w:link w:val="256"/>
    <w:qFormat/>
    <w:uiPriority w:val="0"/>
    <w:pPr>
      <w:autoSpaceDE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customStyle="1" w:styleId="256">
    <w:name w:val="投标书正文 Char"/>
    <w:link w:val="255"/>
    <w:qFormat/>
    <w:uiPriority w:val="0"/>
    <w:rPr>
      <w:rFonts w:ascii="Times New Roman" w:hAnsi="Times New Roman"/>
      <w:kern w:val="2"/>
      <w:sz w:val="24"/>
      <w:szCs w:val="24"/>
    </w:rPr>
  </w:style>
  <w:style w:type="paragraph" w:customStyle="1" w:styleId="257">
    <w:name w:val="表格文字"/>
    <w:basedOn w:val="1"/>
    <w:next w:val="18"/>
    <w:qFormat/>
    <w:uiPriority w:val="0"/>
    <w:pPr>
      <w:autoSpaceDE/>
      <w:autoSpaceDN/>
      <w:spacing w:line="420" w:lineRule="atLeast"/>
      <w:jc w:val="left"/>
      <w:textAlignment w:val="baseline"/>
    </w:pPr>
    <w:rPr>
      <w:rFonts w:eastAsiaTheme="minorEastAsia"/>
      <w:color w:val="auto"/>
      <w:szCs w:val="24"/>
    </w:rPr>
  </w:style>
  <w:style w:type="paragraph" w:customStyle="1" w:styleId="258">
    <w:name w:val="文本正文宋体缩进"/>
    <w:basedOn w:val="1"/>
    <w:next w:val="1"/>
    <w:qFormat/>
    <w:uiPriority w:val="0"/>
    <w:pPr>
      <w:autoSpaceDE/>
      <w:autoSpaceDN/>
      <w:adjustRightInd/>
      <w:spacing w:line="360" w:lineRule="auto"/>
      <w:ind w:firstLine="480" w:firstLineChars="200"/>
    </w:pPr>
    <w:rPr>
      <w:rFonts w:ascii="Calibri" w:hAnsi="Calibri"/>
      <w:color w:val="auto"/>
      <w:kern w:val="2"/>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41A5FC-BAD5-4FF3-A8AD-40B74509996D}">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35</Pages>
  <Words>3538</Words>
  <Characters>20169</Characters>
  <Lines>168</Lines>
  <Paragraphs>47</Paragraphs>
  <TotalTime>2224</TotalTime>
  <ScaleCrop>false</ScaleCrop>
  <LinksUpToDate>false</LinksUpToDate>
  <CharactersWithSpaces>23660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2021-10-18T06:37:00Z</dcterms:created>
  <dc:creator>微软中国</dc:creator>
  <cp:lastModifiedBy>愿你年少有为不自卑</cp:lastModifiedBy>
  <cp:lastPrinted>2021-10-18T07:56:00Z</cp:lastPrinted>
  <dcterms:modified xsi:type="dcterms:W3CDTF">2021-12-17T08:07:43Z</dcterms:modified>
  <dc:title>诸暨市　　　　　　项目</dc:title>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98906C82A07A4E1AA3414410459EDF78</vt:lpwstr>
  </property>
</Properties>
</file>