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72"/>
          <w:szCs w:val="72"/>
        </w:rPr>
      </w:pPr>
      <w:r>
        <w:rPr>
          <w:rFonts w:hint="eastAsia" w:ascii="黑体" w:eastAsia="黑体"/>
          <w:sz w:val="72"/>
          <w:szCs w:val="72"/>
        </w:rPr>
        <w:t>诸暨中学教师教育能力提升培训采购项目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（编号：诸政采2021-11-05 ）</w:t>
      </w:r>
    </w:p>
    <w:p>
      <w:pPr>
        <w:autoSpaceDE/>
        <w:autoSpaceDN/>
        <w:jc w:val="center"/>
        <w:rPr>
          <w:rFonts w:eastAsia="黑体"/>
          <w:color w:val="auto"/>
        </w:rPr>
      </w:pPr>
    </w:p>
    <w:p>
      <w:pPr>
        <w:autoSpaceDE/>
        <w:autoSpaceDN/>
        <w:jc w:val="center"/>
        <w:rPr>
          <w:rFonts w:cs="宋体"/>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1"/>
        <w:snapToGrid w:val="0"/>
        <w:spacing w:before="120" w:after="120"/>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浙江省诸暨中学</w:t>
      </w:r>
    </w:p>
    <w:p>
      <w:pPr>
        <w:pStyle w:val="21"/>
        <w:snapToGrid w:val="0"/>
        <w:spacing w:before="120" w:after="120"/>
        <w:rPr>
          <w:rFonts w:ascii="楷体_GB2312" w:hAnsi="宋体" w:eastAsia="楷体_GB2312"/>
          <w:b/>
          <w:bCs/>
          <w:spacing w:val="70"/>
          <w:w w:val="95"/>
          <w:sz w:val="30"/>
          <w:szCs w:val="30"/>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21"/>
        <w:snapToGrid w:val="0"/>
        <w:spacing w:before="120" w:after="120"/>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21"/>
        <w:snapToGrid w:val="0"/>
        <w:spacing w:before="120" w:after="120"/>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二一年十一月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邀请函</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本采购文件为2021年新制版本，请各位投标人详细阅读各项条款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 xml:space="preserve">第一章  </w:t>
      </w:r>
      <w:bookmarkEnd w:id="0"/>
      <w:r>
        <w:rPr>
          <w:rFonts w:hint="eastAsia" w:ascii="宋体" w:hAnsi="宋体"/>
          <w:b/>
          <w:sz w:val="36"/>
          <w:szCs w:val="36"/>
        </w:rPr>
        <w:t>邀请函</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宋体" w:hAnsi="宋体"/>
          <w:sz w:val="24"/>
          <w:szCs w:val="24"/>
          <w:u w:val="single"/>
        </w:rPr>
      </w:pPr>
      <w:bookmarkStart w:id="1" w:name="_Toc125344503"/>
      <w:r>
        <w:rPr>
          <w:rFonts w:hint="eastAsia" w:ascii="宋体" w:hAnsi="宋体"/>
          <w:color w:val="auto"/>
          <w:sz w:val="24"/>
          <w:szCs w:val="24"/>
          <w:u w:val="single"/>
        </w:rPr>
        <w:t xml:space="preserve"> </w:t>
      </w:r>
      <w:r>
        <w:rPr>
          <w:rFonts w:hint="eastAsia" w:ascii="宋体" w:hAnsi="宋体"/>
          <w:color w:val="auto"/>
          <w:kern w:val="2"/>
          <w:sz w:val="24"/>
          <w:szCs w:val="24"/>
          <w:u w:val="single"/>
        </w:rPr>
        <w:t xml:space="preserve"> </w:t>
      </w:r>
      <w:r>
        <w:rPr>
          <w:rFonts w:hint="eastAsia" w:ascii="宋体" w:hAnsi="宋体" w:cs="宋体"/>
          <w:sz w:val="28"/>
          <w:szCs w:val="28"/>
          <w:u w:val="single"/>
        </w:rPr>
        <w:t>杭州云鹤科技信息咨询有限公司</w:t>
      </w:r>
      <w:r>
        <w:rPr>
          <w:rFonts w:hint="eastAsia" w:ascii="宋体" w:hAnsi="宋体"/>
          <w:color w:val="auto"/>
          <w:kern w:val="2"/>
          <w:sz w:val="24"/>
          <w:szCs w:val="24"/>
          <w:u w:val="single"/>
        </w:rPr>
        <w:t xml:space="preserve"> </w:t>
      </w:r>
      <w:r>
        <w:rPr>
          <w:rFonts w:hint="eastAsia" w:ascii="宋体" w:hAnsi="宋体"/>
          <w:kern w:val="2"/>
          <w:sz w:val="24"/>
          <w:szCs w:val="24"/>
          <w:u w:val="single"/>
        </w:rPr>
        <w:t xml:space="preserve"> </w:t>
      </w:r>
      <w:r>
        <w:rPr>
          <w:rFonts w:hint="eastAsia" w:ascii="宋体" w:hAnsi="宋体"/>
          <w:sz w:val="24"/>
          <w:szCs w:val="24"/>
          <w:u w:val="single"/>
        </w:rPr>
        <w:t>：</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b/>
          <w:sz w:val="28"/>
          <w:szCs w:val="28"/>
        </w:rPr>
      </w:pPr>
      <w:r>
        <w:rPr>
          <w:rFonts w:hint="eastAsia" w:ascii="宋体" w:hAnsi="宋体"/>
          <w:b/>
          <w:color w:val="FFFFFF" w:themeColor="background1"/>
          <w:sz w:val="24"/>
          <w:szCs w:val="24"/>
          <w:u w:val="single"/>
        </w:rPr>
        <w:t>.</w:t>
      </w:r>
      <w:r>
        <w:rPr>
          <w:rFonts w:hint="eastAsia"/>
          <w:b/>
          <w:color w:val="FF0000"/>
          <w:sz w:val="24"/>
          <w:u w:val="single"/>
        </w:rPr>
        <w:t xml:space="preserve">  诸暨中学教师教育能力提升培训采购项目</w:t>
      </w:r>
      <w:r>
        <w:rPr>
          <w:rFonts w:hint="eastAsia" w:ascii="宋体" w:hAnsi="宋体"/>
          <w:b/>
          <w:color w:val="FF0000"/>
          <w:sz w:val="24"/>
          <w:szCs w:val="24"/>
          <w:u w:val="single"/>
        </w:rPr>
        <w:t xml:space="preserve"> </w:t>
      </w:r>
      <w:r>
        <w:rPr>
          <w:rFonts w:hint="eastAsia" w:ascii="宋体" w:hAnsi="宋体"/>
          <w:b/>
          <w:color w:val="FF0000"/>
          <w:sz w:val="24"/>
          <w:szCs w:val="24"/>
        </w:rPr>
        <w:t>应在浙江政府采购网“政府采购云平台”获取（下载）采购文件，并于</w:t>
      </w:r>
      <w:r>
        <w:rPr>
          <w:rFonts w:hint="eastAsia" w:ascii="宋体" w:hAnsi="宋体"/>
          <w:b/>
          <w:color w:val="FF0000"/>
          <w:sz w:val="24"/>
          <w:szCs w:val="24"/>
          <w:u w:val="single"/>
        </w:rPr>
        <w:t>2021 年12月1日9时30分（北京时间）</w:t>
      </w:r>
      <w:r>
        <w:rPr>
          <w:rFonts w:hint="eastAsia" w:ascii="宋体" w:hAnsi="宋体"/>
          <w:b/>
          <w:color w:val="FF0000"/>
          <w:sz w:val="24"/>
          <w:szCs w:val="24"/>
        </w:rPr>
        <w:t>前递交（上传）投标文件。</w:t>
      </w:r>
    </w:p>
    <w:p>
      <w:pPr>
        <w:rPr>
          <w:rFonts w:asciiTheme="minorEastAsia" w:hAnsiTheme="minorEastAsia" w:eastAsiaTheme="minorEastAsia"/>
          <w:b/>
          <w:sz w:val="28"/>
          <w:szCs w:val="28"/>
        </w:rPr>
      </w:pPr>
      <w:bookmarkStart w:id="2" w:name="_Toc35393790"/>
      <w:bookmarkStart w:id="3" w:name="_Toc35393621"/>
      <w:bookmarkStart w:id="4" w:name="_Toc28359079"/>
      <w:bookmarkStart w:id="5" w:name="_Toc28359002"/>
      <w:r>
        <w:rPr>
          <w:rFonts w:hint="eastAsia" w:asciiTheme="minorEastAsia" w:hAnsiTheme="minorEastAsia" w:eastAsiaTheme="minorEastAsia"/>
          <w:b/>
          <w:sz w:val="28"/>
          <w:szCs w:val="28"/>
        </w:rPr>
        <w:t>一、项目基本情况</w:t>
      </w:r>
      <w:bookmarkEnd w:id="2"/>
      <w:bookmarkEnd w:id="3"/>
      <w:bookmarkEnd w:id="4"/>
      <w:bookmarkEnd w:id="5"/>
      <w:r>
        <w:rPr>
          <w:rFonts w:hint="eastAsia" w:asciiTheme="minorEastAsia" w:hAnsiTheme="minorEastAsia" w:eastAsiaTheme="minorEastAsia"/>
          <w:b/>
          <w:sz w:val="28"/>
          <w:szCs w:val="28"/>
        </w:rPr>
        <w:t xml:space="preserve"> </w:t>
      </w:r>
    </w:p>
    <w:p>
      <w:pPr>
        <w:pStyle w:val="21"/>
        <w:ind w:firstLine="480" w:firstLineChars="200"/>
        <w:rPr>
          <w:rFonts w:ascii="宋体" w:hAnsi="宋体"/>
          <w:szCs w:val="24"/>
        </w:rPr>
      </w:pPr>
      <w:r>
        <w:rPr>
          <w:rFonts w:hint="eastAsia" w:ascii="宋体" w:hAnsi="宋体"/>
          <w:szCs w:val="24"/>
        </w:rPr>
        <w:t>项目编号：诸政采2021-11-05</w:t>
      </w:r>
    </w:p>
    <w:p>
      <w:pPr>
        <w:pStyle w:val="21"/>
        <w:ind w:firstLine="480" w:firstLineChars="200"/>
        <w:rPr>
          <w:rFonts w:ascii="宋体" w:hAnsi="宋体"/>
          <w:szCs w:val="24"/>
        </w:rPr>
      </w:pPr>
      <w:r>
        <w:rPr>
          <w:rFonts w:hint="eastAsia" w:ascii="宋体" w:hAnsi="宋体"/>
          <w:szCs w:val="24"/>
        </w:rPr>
        <w:t>项目名称：诸暨中学教师教育能力提升培训采购项目</w:t>
      </w:r>
    </w:p>
    <w:p>
      <w:pPr>
        <w:pStyle w:val="21"/>
        <w:ind w:firstLine="480" w:firstLineChars="200"/>
        <w:rPr>
          <w:rFonts w:ascii="宋体" w:hAnsi="宋体"/>
          <w:szCs w:val="24"/>
        </w:rPr>
      </w:pPr>
      <w:r>
        <w:rPr>
          <w:rFonts w:hint="eastAsia" w:ascii="宋体" w:hAnsi="宋体"/>
          <w:szCs w:val="24"/>
        </w:rPr>
        <w:t>预算金额：总预算300万元</w:t>
      </w:r>
    </w:p>
    <w:p>
      <w:pPr>
        <w:pStyle w:val="21"/>
        <w:ind w:firstLine="480" w:firstLineChars="200"/>
        <w:rPr>
          <w:rFonts w:ascii="宋体" w:hAnsi="宋体"/>
          <w:szCs w:val="24"/>
        </w:rPr>
      </w:pPr>
      <w:r>
        <w:rPr>
          <w:rFonts w:hint="eastAsia" w:ascii="宋体" w:hAnsi="宋体"/>
          <w:szCs w:val="24"/>
        </w:rPr>
        <w:t>最高限价：300万元</w:t>
      </w:r>
    </w:p>
    <w:p>
      <w:pPr>
        <w:pStyle w:val="21"/>
        <w:ind w:firstLine="480" w:firstLineChars="200"/>
        <w:rPr>
          <w:rFonts w:ascii="宋体" w:hAnsi="宋体"/>
          <w:szCs w:val="24"/>
        </w:rPr>
      </w:pPr>
      <w:r>
        <w:rPr>
          <w:rFonts w:hint="eastAsia" w:ascii="宋体" w:hAnsi="宋体"/>
          <w:szCs w:val="24"/>
        </w:rPr>
        <w:t>采购需求：详见采购文件，各标的内容如下：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3"/>
        <w:gridCol w:w="3435"/>
        <w:gridCol w:w="2081"/>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1973"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435"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2081"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626"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6" w:hRule="atLeast"/>
          <w:jc w:val="center"/>
        </w:trPr>
        <w:tc>
          <w:tcPr>
            <w:tcW w:w="1973"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浙江省诸暨中学</w:t>
            </w:r>
          </w:p>
        </w:tc>
        <w:tc>
          <w:tcPr>
            <w:tcW w:w="3435" w:type="dxa"/>
            <w:tcMar>
              <w:top w:w="0" w:type="dxa"/>
              <w:left w:w="108" w:type="dxa"/>
              <w:bottom w:w="0" w:type="dxa"/>
              <w:right w:w="108" w:type="dxa"/>
            </w:tcMar>
            <w:vAlign w:val="center"/>
          </w:tcPr>
          <w:p>
            <w:pPr>
              <w:widowControl/>
              <w:autoSpaceDE/>
              <w:autoSpaceDN/>
              <w:adjustRightInd/>
              <w:jc w:val="center"/>
              <w:rPr>
                <w:rFonts w:ascii="宋体" w:hAnsi="宋体" w:cs="宋体"/>
                <w:sz w:val="20"/>
                <w:szCs w:val="20"/>
              </w:rPr>
            </w:pPr>
            <w:r>
              <w:rPr>
                <w:rFonts w:hint="eastAsia" w:ascii="宋体" w:hAnsi="宋体"/>
                <w:sz w:val="24"/>
                <w:szCs w:val="24"/>
              </w:rPr>
              <w:t>诸暨中学教师教育能力提升培训采购</w:t>
            </w:r>
          </w:p>
        </w:tc>
        <w:tc>
          <w:tcPr>
            <w:tcW w:w="2081" w:type="dxa"/>
            <w:vAlign w:val="center"/>
          </w:tcPr>
          <w:p>
            <w:pPr>
              <w:widowControl/>
              <w:autoSpaceDE/>
              <w:autoSpaceDN/>
              <w:adjustRightInd/>
              <w:jc w:val="center"/>
              <w:rPr>
                <w:rFonts w:ascii="宋体" w:hAnsi="宋体"/>
                <w:sz w:val="24"/>
                <w:szCs w:val="24"/>
              </w:rPr>
            </w:pPr>
            <w:r>
              <w:rPr>
                <w:rFonts w:hint="eastAsia" w:ascii="宋体" w:hAnsi="宋体"/>
                <w:sz w:val="24"/>
                <w:szCs w:val="24"/>
              </w:rPr>
              <w:t>详见采购文件</w:t>
            </w:r>
          </w:p>
        </w:tc>
        <w:tc>
          <w:tcPr>
            <w:tcW w:w="1626" w:type="dxa"/>
            <w:vAlign w:val="center"/>
          </w:tcPr>
          <w:p>
            <w:pPr>
              <w:pStyle w:val="21"/>
              <w:ind w:firstLine="120" w:firstLineChars="50"/>
              <w:jc w:val="center"/>
              <w:rPr>
                <w:rFonts w:ascii="宋体" w:hAnsi="宋体"/>
                <w:szCs w:val="24"/>
              </w:rPr>
            </w:pPr>
            <w:r>
              <w:rPr>
                <w:rFonts w:hint="eastAsia" w:ascii="宋体" w:hAnsi="宋体"/>
                <w:szCs w:val="24"/>
              </w:rPr>
              <w:t>300万元</w:t>
            </w:r>
          </w:p>
        </w:tc>
      </w:tr>
    </w:tbl>
    <w:p>
      <w:pPr>
        <w:pStyle w:val="21"/>
        <w:ind w:firstLine="480" w:firstLineChars="200"/>
        <w:rPr>
          <w:rFonts w:ascii="宋体" w:hAnsi="宋体"/>
          <w:szCs w:val="24"/>
        </w:rPr>
      </w:pPr>
      <w:r>
        <w:rPr>
          <w:rFonts w:hint="eastAsia" w:ascii="宋体" w:hAnsi="宋体"/>
          <w:szCs w:val="24"/>
        </w:rPr>
        <w:t>合同履行期限：/</w:t>
      </w:r>
    </w:p>
    <w:p>
      <w:pPr>
        <w:pStyle w:val="21"/>
        <w:ind w:firstLine="480" w:firstLineChars="200"/>
        <w:rPr>
          <w:rFonts w:ascii="宋体" w:hAnsi="宋体"/>
          <w:szCs w:val="24"/>
        </w:rPr>
      </w:pPr>
      <w:r>
        <w:rPr>
          <w:rFonts w:hint="eastAsia" w:ascii="宋体" w:hAnsi="宋体"/>
          <w:szCs w:val="24"/>
        </w:rPr>
        <w:t>本项目不接受联合体投标。</w:t>
      </w:r>
      <w:bookmarkStart w:id="6" w:name="_Toc35393622"/>
      <w:bookmarkStart w:id="7" w:name="_Toc28359080"/>
      <w:bookmarkStart w:id="8" w:name="_Toc35393791"/>
      <w:bookmarkStart w:id="9" w:name="_Toc2835900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21"/>
        <w:spacing w:after="156"/>
        <w:ind w:firstLine="480" w:firstLineChars="200"/>
        <w:rPr>
          <w:rFonts w:ascii="宋体" w:hAnsi="宋体"/>
          <w:color w:val="auto"/>
          <w:kern w:val="0"/>
          <w:szCs w:val="20"/>
        </w:rPr>
      </w:pPr>
      <w:r>
        <w:rPr>
          <w:rFonts w:hint="eastAsia" w:ascii="宋体" w:hAnsi="宋体"/>
          <w:color w:val="auto"/>
          <w:kern w:val="0"/>
          <w:szCs w:val="20"/>
        </w:rPr>
        <w:t>1.符合《中华人民共和国政府采购法》第二十二条。</w:t>
      </w:r>
    </w:p>
    <w:p>
      <w:pPr>
        <w:pStyle w:val="21"/>
        <w:ind w:firstLine="480" w:firstLineChars="200"/>
        <w:rPr>
          <w:rFonts w:ascii="宋体" w:hAnsi="宋体"/>
          <w:color w:val="auto"/>
          <w:kern w:val="0"/>
          <w:szCs w:val="20"/>
        </w:rPr>
      </w:pPr>
      <w:r>
        <w:rPr>
          <w:rFonts w:ascii="宋体" w:hAnsi="宋体"/>
          <w:color w:val="auto"/>
          <w:kern w:val="0"/>
          <w:szCs w:val="20"/>
        </w:rPr>
        <w:t>2</w:t>
      </w:r>
      <w:r>
        <w:rPr>
          <w:rFonts w:hint="eastAsia" w:ascii="宋体" w:hAnsi="宋体"/>
          <w:color w:val="auto"/>
          <w:kern w:val="0"/>
          <w:szCs w:val="20"/>
        </w:rPr>
        <w:t>.未被“信用中国”（www.creditchina.gov.cn）、中国政府采购网（www.ccgp.gov.cn）列入失信被执行人、重大税收违法案件当事人、政府采购严重违法失信行为记录名单。</w:t>
      </w:r>
    </w:p>
    <w:p>
      <w:pPr>
        <w:pStyle w:val="21"/>
        <w:spacing w:after="156"/>
        <w:ind w:firstLine="480" w:firstLineChars="200"/>
        <w:rPr>
          <w:rFonts w:ascii="宋体" w:hAnsi="宋体"/>
          <w:color w:val="auto"/>
          <w:kern w:val="0"/>
          <w:szCs w:val="20"/>
        </w:rPr>
      </w:pPr>
      <w:r>
        <w:rPr>
          <w:rFonts w:hint="eastAsia" w:ascii="宋体" w:hAnsi="宋体"/>
          <w:color w:val="auto"/>
          <w:kern w:val="0"/>
          <w:szCs w:val="20"/>
        </w:rPr>
        <w:t>3.本项目的特定资格要求：</w:t>
      </w:r>
      <w:bookmarkStart w:id="30" w:name="_GoBack"/>
      <w:r>
        <w:rPr>
          <w:rFonts w:hint="eastAsia" w:ascii="宋体" w:hAnsi="宋体"/>
          <w:color w:val="auto"/>
          <w:kern w:val="0"/>
          <w:szCs w:val="20"/>
        </w:rPr>
        <w:t>具有所投标的相应国家规定必备的资质、资格。</w:t>
      </w:r>
    </w:p>
    <w:bookmarkEnd w:id="30"/>
    <w:p>
      <w:pPr>
        <w:autoSpaceDE/>
        <w:autoSpaceDN/>
        <w:adjustRightInd/>
        <w:spacing w:line="280" w:lineRule="exact"/>
        <w:rPr>
          <w:rFonts w:ascii="仿宋_GB2312" w:hAnsi="仿宋_GB2312" w:eastAsia="仿宋_GB2312"/>
          <w:b/>
          <w:color w:val="auto"/>
          <w:sz w:val="24"/>
          <w:szCs w:val="24"/>
        </w:rPr>
      </w:pPr>
      <w:r>
        <w:rPr>
          <w:rFonts w:hint="eastAsia" w:ascii="宋体" w:hAnsi="宋体"/>
          <w:b/>
          <w:sz w:val="24"/>
          <w:szCs w:val="24"/>
        </w:rPr>
        <w:t>三、</w:t>
      </w:r>
      <w:r>
        <w:rPr>
          <w:rFonts w:ascii="宋体" w:hAnsi="宋体"/>
          <w:b/>
          <w:sz w:val="24"/>
          <w:szCs w:val="24"/>
        </w:rPr>
        <w:t>谈判</w:t>
      </w:r>
      <w:r>
        <w:rPr>
          <w:rFonts w:hint="eastAsia" w:ascii="宋体" w:hAnsi="宋体"/>
          <w:b/>
          <w:sz w:val="24"/>
          <w:szCs w:val="24"/>
        </w:rPr>
        <w:t xml:space="preserve">所需资料： </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hint="eastAsia" w:ascii="宋体" w:hAnsi="宋体"/>
          <w:sz w:val="24"/>
          <w:szCs w:val="24"/>
        </w:rPr>
        <w:t>营业执照复印件（或事业单位法人证书复印件）</w:t>
      </w:r>
      <w:r>
        <w:rPr>
          <w:rFonts w:ascii="宋体" w:hAnsi="宋体"/>
          <w:color w:val="auto"/>
          <w:sz w:val="24"/>
          <w:szCs w:val="20"/>
        </w:rPr>
        <w:t>。</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谈判代表名单，需指明主要谈判人员。（</w:t>
      </w:r>
      <w:r>
        <w:rPr>
          <w:rFonts w:hint="eastAsia" w:ascii="宋体" w:hAnsi="宋体"/>
          <w:color w:val="auto"/>
          <w:sz w:val="24"/>
          <w:szCs w:val="20"/>
        </w:rPr>
        <w:t>加盖单位公章</w:t>
      </w:r>
      <w:r>
        <w:rPr>
          <w:rFonts w:ascii="宋体" w:hAnsi="宋体"/>
          <w:color w:val="auto"/>
          <w:sz w:val="24"/>
          <w:szCs w:val="20"/>
        </w:rPr>
        <w:t>）</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授权委托人参加谈判的需携带授权委托书。</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谈判响应文件。</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参加谈判人员均需携带本人身份证复印件一份。</w:t>
      </w:r>
    </w:p>
    <w:p>
      <w:pPr>
        <w:autoSpaceDE/>
        <w:autoSpaceDN/>
        <w:adjustRightInd/>
        <w:spacing w:line="280" w:lineRule="exact"/>
        <w:rPr>
          <w:rFonts w:ascii="宋体" w:hAnsi="宋体"/>
          <w:color w:val="auto"/>
          <w:sz w:val="24"/>
          <w:szCs w:val="24"/>
        </w:rPr>
      </w:pPr>
      <w:r>
        <w:rPr>
          <w:rFonts w:hint="eastAsia"/>
          <w:bCs/>
          <w:color w:val="auto"/>
          <w:sz w:val="24"/>
          <w:szCs w:val="24"/>
        </w:rPr>
        <w:t xml:space="preserve">   6、投标人提供的采购标的成本、同类项目合同价格以及相关专利、专有技术等情况说明。</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四、获取采购文件</w:t>
      </w:r>
      <w:bookmarkEnd w:id="10"/>
      <w:bookmarkEnd w:id="11"/>
    </w:p>
    <w:p>
      <w:pPr>
        <w:pStyle w:val="2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2021年11月 29日至2021年</w:t>
      </w:r>
      <w:r>
        <w:rPr>
          <w:rFonts w:hint="eastAsia" w:ascii="宋体" w:hAnsi="宋体"/>
          <w:b/>
          <w:szCs w:val="24"/>
          <w:u w:val="single"/>
          <w:lang w:val="en-US" w:eastAsia="zh-CN"/>
        </w:rPr>
        <w:t>12</w:t>
      </w:r>
      <w:r>
        <w:rPr>
          <w:rFonts w:hint="eastAsia" w:ascii="宋体" w:hAnsi="宋体"/>
          <w:b/>
          <w:szCs w:val="24"/>
          <w:u w:val="single"/>
        </w:rPr>
        <w:t>月</w:t>
      </w:r>
      <w:r>
        <w:rPr>
          <w:rFonts w:hint="eastAsia" w:ascii="宋体" w:hAnsi="宋体"/>
          <w:b/>
          <w:szCs w:val="24"/>
          <w:u w:val="single"/>
          <w:lang w:val="en-US" w:eastAsia="zh-CN"/>
        </w:rPr>
        <w:t>01</w:t>
      </w:r>
      <w:r>
        <w:rPr>
          <w:rFonts w:hint="eastAsia" w:ascii="宋体" w:hAnsi="宋体"/>
          <w:b/>
          <w:szCs w:val="24"/>
          <w:u w:val="single"/>
        </w:rPr>
        <w:t xml:space="preserve"> 日</w:t>
      </w:r>
      <w:r>
        <w:rPr>
          <w:rFonts w:hint="eastAsia" w:ascii="宋体" w:hAnsi="宋体"/>
          <w:szCs w:val="24"/>
        </w:rPr>
        <w:t>（</w:t>
      </w:r>
      <w:r>
        <w:rPr>
          <w:rFonts w:ascii="宋体" w:hAnsi="宋体"/>
          <w:szCs w:val="24"/>
        </w:rPr>
        <w:t>法定节假日</w:t>
      </w:r>
      <w:r>
        <w:rPr>
          <w:rFonts w:hint="eastAsia" w:ascii="宋体" w:hAnsi="宋体"/>
          <w:szCs w:val="24"/>
        </w:rPr>
        <w:t>除外）。</w:t>
      </w:r>
    </w:p>
    <w:p>
      <w:pPr>
        <w:pStyle w:val="21"/>
        <w:spacing w:after="156"/>
        <w:ind w:firstLine="480" w:firstLineChars="200"/>
        <w:rPr>
          <w:rFonts w:ascii="宋体" w:hAnsi="宋体"/>
          <w:szCs w:val="24"/>
        </w:rPr>
      </w:pPr>
      <w:r>
        <w:rPr>
          <w:rFonts w:hint="eastAsia" w:ascii="宋体" w:hAnsi="宋体"/>
          <w:szCs w:val="24"/>
        </w:rPr>
        <w:t>获取平台：政采云平台</w:t>
      </w:r>
    </w:p>
    <w:p>
      <w:pPr>
        <w:pStyle w:val="21"/>
        <w:spacing w:after="156"/>
        <w:ind w:firstLine="480" w:firstLineChars="200"/>
        <w:rPr>
          <w:rFonts w:ascii="宋体" w:hAnsi="宋体"/>
          <w:szCs w:val="24"/>
        </w:rPr>
      </w:pPr>
      <w:r>
        <w:rPr>
          <w:rFonts w:hint="eastAsia" w:ascii="宋体" w:hAnsi="宋体"/>
          <w:szCs w:val="24"/>
        </w:rPr>
        <w:t>方式：本项目采购文件采用网上下载方式发布，不提供采购文件纸质版。供应商请在政采云平台中获取采购文件，于开标当日直接参加投标。</w:t>
      </w:r>
    </w:p>
    <w:p>
      <w:pPr>
        <w:pStyle w:val="21"/>
        <w:ind w:firstLine="480" w:firstLineChars="200"/>
        <w:rPr>
          <w:rFonts w:ascii="宋体" w:hAnsi="宋体"/>
          <w:szCs w:val="24"/>
        </w:rPr>
      </w:pPr>
      <w:r>
        <w:rPr>
          <w:rFonts w:hint="eastAsia" w:ascii="宋体" w:hAnsi="宋体"/>
          <w:szCs w:val="24"/>
        </w:rPr>
        <w:t>售价：本项目采购文件免费网上下载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624"/>
      <w:bookmarkStart w:id="15" w:name="_Toc35393793"/>
      <w:r>
        <w:rPr>
          <w:rFonts w:hint="eastAsia" w:asciiTheme="minorEastAsia" w:hAnsiTheme="minorEastAsia" w:eastAsiaTheme="minorEastAsia"/>
          <w:b/>
          <w:sz w:val="28"/>
          <w:szCs w:val="28"/>
        </w:rPr>
        <w:t>五、提交投标文件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2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color w:val="auto"/>
          <w:szCs w:val="24"/>
          <w:u w:val="single"/>
        </w:rPr>
        <w:t>2</w:t>
      </w:r>
      <w:r>
        <w:rPr>
          <w:rFonts w:hint="eastAsia" w:ascii="宋体" w:hAnsi="宋体"/>
          <w:b/>
          <w:szCs w:val="24"/>
          <w:u w:val="single"/>
        </w:rPr>
        <w:t>021年12月1日9时30分</w:t>
      </w:r>
      <w:r>
        <w:rPr>
          <w:rFonts w:hint="eastAsia" w:ascii="宋体" w:hAnsi="宋体"/>
          <w:szCs w:val="24"/>
        </w:rPr>
        <w:t>（北京时间）前按照电子投标要求将电子加密标书上传到“政采云”平台，逾期或未上传成功的将导致无法投标或投标无效。</w:t>
      </w:r>
    </w:p>
    <w:p>
      <w:pPr>
        <w:pStyle w:val="2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35393794"/>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End w:id="16"/>
      <w:bookmarkEnd w:id="17"/>
      <w:bookmarkEnd w:id="18"/>
      <w:bookmarkEnd w:id="19"/>
      <w:bookmarkStart w:id="20" w:name="_Toc35393626"/>
      <w:bookmarkStart w:id="21" w:name="_Toc35393795"/>
      <w:r>
        <w:rPr>
          <w:rFonts w:hint="eastAsia" w:asciiTheme="minorEastAsia" w:hAnsiTheme="minorEastAsia" w:eastAsiaTheme="minorEastAsia"/>
          <w:b/>
          <w:sz w:val="28"/>
          <w:szCs w:val="28"/>
        </w:rPr>
        <w:t>其他补充事宜</w:t>
      </w:r>
      <w:bookmarkEnd w:id="20"/>
      <w:bookmarkEnd w:id="21"/>
    </w:p>
    <w:p>
      <w:pPr>
        <w:pStyle w:val="21"/>
        <w:ind w:firstLine="480" w:firstLineChars="200"/>
        <w:rPr>
          <w:rFonts w:ascii="宋体" w:hAnsi="宋体"/>
          <w:szCs w:val="24"/>
        </w:rPr>
      </w:pPr>
      <w:r>
        <w:rPr>
          <w:rFonts w:hint="eastAsia" w:ascii="宋体" w:hAnsi="宋体"/>
          <w:szCs w:val="24"/>
        </w:rPr>
        <w:t>1、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1"/>
        <w:ind w:firstLine="480" w:firstLineChars="200"/>
        <w:rPr>
          <w:rFonts w:ascii="宋体" w:hAnsi="宋体"/>
          <w:szCs w:val="24"/>
        </w:rPr>
      </w:pPr>
      <w:r>
        <w:rPr>
          <w:rFonts w:hint="eastAsia" w:ascii="宋体" w:hAnsi="宋体"/>
          <w:szCs w:val="24"/>
        </w:rPr>
        <w:t>2、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1"/>
        <w:ind w:firstLine="480" w:firstLineChars="200"/>
        <w:rPr>
          <w:rFonts w:ascii="宋体" w:hAnsi="宋体"/>
          <w:szCs w:val="24"/>
        </w:rPr>
      </w:pPr>
      <w:r>
        <w:rPr>
          <w:rFonts w:hint="eastAsia" w:ascii="宋体" w:hAnsi="宋体"/>
          <w:szCs w:val="24"/>
        </w:rPr>
        <w:t>3、供应商按照本采购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1"/>
        <w:ind w:firstLine="480" w:firstLineChars="200"/>
        <w:rPr>
          <w:rFonts w:ascii="宋体" w:hAnsi="宋体"/>
          <w:szCs w:val="24"/>
        </w:rPr>
      </w:pPr>
      <w:r>
        <w:rPr>
          <w:rFonts w:hint="eastAsia" w:ascii="宋体" w:hAnsi="宋体"/>
          <w:szCs w:val="24"/>
        </w:rPr>
        <w:t>4、</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1"/>
        <w:ind w:firstLine="480" w:firstLineChars="200"/>
        <w:rPr>
          <w:rFonts w:ascii="宋体" w:hAnsi="宋体"/>
          <w:szCs w:val="24"/>
        </w:rPr>
      </w:pPr>
      <w:r>
        <w:rPr>
          <w:rFonts w:hint="eastAsia" w:ascii="宋体" w:hAnsi="宋体"/>
          <w:szCs w:val="24"/>
        </w:rPr>
        <w:t>5、本项目不收取投标保证金。</w:t>
      </w:r>
    </w:p>
    <w:p>
      <w:pPr>
        <w:rPr>
          <w:rFonts w:asciiTheme="minorEastAsia" w:hAnsiTheme="minorEastAsia" w:eastAsiaTheme="minorEastAsia"/>
          <w:b/>
          <w:sz w:val="28"/>
          <w:szCs w:val="28"/>
        </w:rPr>
      </w:pPr>
      <w:bookmarkStart w:id="22" w:name="_Toc28359008"/>
      <w:bookmarkStart w:id="23" w:name="_Toc28359085"/>
      <w:bookmarkStart w:id="24" w:name="_Toc35393627"/>
      <w:bookmarkStart w:id="25" w:name="_Toc35393796"/>
      <w:r>
        <w:rPr>
          <w:rFonts w:hint="eastAsia" w:asciiTheme="minorEastAsia" w:hAnsiTheme="minorEastAsia" w:eastAsiaTheme="minorEastAsia"/>
          <w:b/>
          <w:sz w:val="28"/>
          <w:szCs w:val="28"/>
        </w:rPr>
        <w:t>七、对本次采购提出询问，请按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21"/>
        <w:ind w:firstLine="482" w:firstLineChars="200"/>
        <w:rPr>
          <w:rFonts w:ascii="宋体" w:hAnsi="宋体"/>
          <w:b/>
          <w:szCs w:val="24"/>
        </w:rPr>
      </w:pPr>
      <w:r>
        <w:rPr>
          <w:rFonts w:hint="eastAsia" w:ascii="宋体" w:hAnsi="宋体"/>
          <w:b/>
          <w:szCs w:val="24"/>
        </w:rPr>
        <w:t>1.采购人信息</w:t>
      </w:r>
    </w:p>
    <w:p>
      <w:pPr>
        <w:pStyle w:val="21"/>
        <w:ind w:firstLine="480" w:firstLineChars="200"/>
        <w:rPr>
          <w:rFonts w:ascii="宋体" w:hAnsi="宋体"/>
          <w:szCs w:val="24"/>
        </w:rPr>
      </w:pPr>
      <w:r>
        <w:rPr>
          <w:rFonts w:hint="eastAsia" w:ascii="宋体" w:hAnsi="宋体"/>
          <w:szCs w:val="24"/>
        </w:rPr>
        <w:t>名      称：浙江省诸暨中学</w:t>
      </w:r>
    </w:p>
    <w:p>
      <w:pPr>
        <w:pStyle w:val="21"/>
        <w:ind w:firstLine="480" w:firstLineChars="200"/>
        <w:rPr>
          <w:rFonts w:ascii="宋体" w:hAnsi="宋体"/>
          <w:szCs w:val="24"/>
        </w:rPr>
      </w:pPr>
      <w:r>
        <w:rPr>
          <w:rFonts w:hint="eastAsia" w:ascii="宋体" w:hAnsi="宋体"/>
          <w:szCs w:val="24"/>
        </w:rPr>
        <w:t>地      址：诸暨市暨阳路47号</w:t>
      </w:r>
    </w:p>
    <w:p>
      <w:pPr>
        <w:pStyle w:val="21"/>
        <w:ind w:firstLine="480" w:firstLineChars="200"/>
        <w:rPr>
          <w:rFonts w:ascii="宋体" w:hAnsi="宋体"/>
          <w:szCs w:val="24"/>
        </w:rPr>
      </w:pPr>
      <w:r>
        <w:rPr>
          <w:rFonts w:hint="eastAsia" w:ascii="宋体" w:hAnsi="宋体"/>
          <w:szCs w:val="24"/>
        </w:rPr>
        <w:t>项目联系人：赵仲乐</w:t>
      </w:r>
    </w:p>
    <w:p>
      <w:pPr>
        <w:pStyle w:val="21"/>
        <w:ind w:firstLine="480" w:firstLineChars="200"/>
        <w:rPr>
          <w:rFonts w:ascii="宋体" w:hAnsi="宋体"/>
          <w:szCs w:val="24"/>
        </w:rPr>
      </w:pPr>
      <w:r>
        <w:rPr>
          <w:rFonts w:hint="eastAsia" w:ascii="宋体" w:hAnsi="宋体"/>
          <w:szCs w:val="24"/>
        </w:rPr>
        <w:t>联系  方式：</w:t>
      </w:r>
      <w:bookmarkStart w:id="26" w:name="_Toc28359086"/>
      <w:bookmarkStart w:id="27" w:name="_Toc28359009"/>
      <w:r>
        <w:rPr>
          <w:rFonts w:hint="eastAsia" w:ascii="宋体" w:hAnsi="宋体"/>
          <w:szCs w:val="24"/>
        </w:rPr>
        <w:t>13989597307</w:t>
      </w:r>
    </w:p>
    <w:p>
      <w:pPr>
        <w:pStyle w:val="21"/>
        <w:ind w:firstLine="480" w:firstLineChars="200"/>
        <w:rPr>
          <w:rFonts w:ascii="宋体" w:hAnsi="宋体" w:eastAsia="仿宋_GB2312"/>
          <w:szCs w:val="24"/>
        </w:rPr>
      </w:pP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2.采购代理机构信息</w:t>
      </w:r>
      <w:bookmarkEnd w:id="26"/>
      <w:bookmarkEnd w:id="27"/>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址：诸暨市暨东路58号6楼北602办公室</w:t>
      </w:r>
    </w:p>
    <w:p>
      <w:pPr>
        <w:pStyle w:val="21"/>
        <w:ind w:firstLine="480" w:firstLineChars="200"/>
        <w:rPr>
          <w:rFonts w:ascii="宋体" w:hAnsi="宋体"/>
          <w:szCs w:val="24"/>
        </w:rPr>
      </w:pPr>
      <w:r>
        <w:rPr>
          <w:rFonts w:hint="eastAsia" w:ascii="宋体" w:hAnsi="宋体"/>
          <w:szCs w:val="24"/>
        </w:rPr>
        <w:t>项目联系人：王洁</w:t>
      </w:r>
    </w:p>
    <w:p>
      <w:pPr>
        <w:pStyle w:val="2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3.同级政府采购监督管理部门</w:t>
      </w:r>
    </w:p>
    <w:p>
      <w:pPr>
        <w:pStyle w:val="21"/>
        <w:ind w:firstLine="480" w:firstLineChars="200"/>
        <w:rPr>
          <w:rFonts w:ascii="宋体" w:hAnsi="宋体"/>
          <w:szCs w:val="24"/>
        </w:rPr>
      </w:pPr>
      <w:r>
        <w:rPr>
          <w:rFonts w:hint="eastAsia" w:ascii="宋体" w:hAnsi="宋体"/>
          <w:szCs w:val="24"/>
        </w:rPr>
        <w:t>名      称：诸暨市财政局政府采购监管科</w:t>
      </w:r>
    </w:p>
    <w:p>
      <w:pPr>
        <w:pStyle w:val="21"/>
        <w:ind w:firstLine="480" w:firstLineChars="200"/>
        <w:rPr>
          <w:rFonts w:ascii="宋体" w:hAnsi="宋体"/>
          <w:szCs w:val="24"/>
        </w:rPr>
      </w:pPr>
      <w:r>
        <w:rPr>
          <w:rFonts w:hint="eastAsia" w:ascii="宋体" w:hAnsi="宋体"/>
          <w:szCs w:val="24"/>
        </w:rPr>
        <w:t>地      址：诸暨市人民中路356号</w:t>
      </w:r>
    </w:p>
    <w:p>
      <w:pPr>
        <w:pStyle w:val="21"/>
        <w:ind w:firstLine="480" w:firstLineChars="200"/>
        <w:rPr>
          <w:rFonts w:ascii="宋体" w:hAnsi="宋体"/>
          <w:szCs w:val="24"/>
        </w:rPr>
      </w:pPr>
      <w:r>
        <w:rPr>
          <w:rFonts w:hint="eastAsia" w:ascii="宋体" w:hAnsi="宋体"/>
          <w:szCs w:val="24"/>
        </w:rPr>
        <w:t>联  系  人：金永康 </w:t>
      </w:r>
    </w:p>
    <w:p>
      <w:pPr>
        <w:pStyle w:val="21"/>
        <w:ind w:firstLine="480" w:firstLineChars="200"/>
        <w:rPr>
          <w:rFonts w:ascii="宋体" w:hAnsi="宋体"/>
          <w:szCs w:val="24"/>
        </w:rPr>
      </w:pPr>
      <w:r>
        <w:rPr>
          <w:rFonts w:hint="eastAsia" w:ascii="宋体" w:hAnsi="宋体"/>
          <w:szCs w:val="24"/>
        </w:rPr>
        <w:t>监督投诉电话：0575-87113458</w:t>
      </w:r>
    </w:p>
    <w:p>
      <w:pPr>
        <w:pStyle w:val="21"/>
        <w:ind w:firstLine="480" w:firstLineChars="200"/>
        <w:rPr>
          <w:rFonts w:ascii="宋体" w:hAnsi="宋体"/>
          <w:szCs w:val="24"/>
        </w:rPr>
      </w:pPr>
    </w:p>
    <w:p>
      <w:pPr>
        <w:pStyle w:val="2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jc w:val="right"/>
        <w:rPr>
          <w:rFonts w:ascii="宋体" w:hAnsi="宋体"/>
          <w:sz w:val="24"/>
          <w:szCs w:val="24"/>
        </w:rPr>
      </w:pPr>
      <w:r>
        <w:rPr>
          <w:rFonts w:hint="eastAsia" w:ascii="宋体" w:hAnsi="宋体"/>
          <w:sz w:val="24"/>
          <w:szCs w:val="24"/>
        </w:rPr>
        <w:t xml:space="preserve">                                                      浙江省诸暨中学　　　　　　　　　　　　        诸暨市公共资源交易中心</w:t>
      </w:r>
    </w:p>
    <w:p>
      <w:pPr>
        <w:jc w:val="right"/>
        <w:rPr>
          <w:rFonts w:ascii="宋体" w:hAnsi="宋体"/>
          <w:sz w:val="24"/>
          <w:szCs w:val="24"/>
        </w:rPr>
      </w:pPr>
      <w:r>
        <w:rPr>
          <w:rFonts w:hint="eastAsia" w:ascii="宋体" w:hAnsi="宋体"/>
          <w:sz w:val="24"/>
          <w:szCs w:val="24"/>
        </w:rPr>
        <w:t>　　　　　　　　　　　　        2021年11</w:t>
      </w:r>
      <w:r>
        <w:rPr>
          <w:rFonts w:hint="eastAsia" w:ascii="宋体" w:hAnsi="宋体" w:cs="Arial"/>
          <w:sz w:val="24"/>
        </w:rPr>
        <w:t>月29日</w:t>
      </w:r>
    </w:p>
    <w:p>
      <w:pPr>
        <w:spacing w:line="360" w:lineRule="auto"/>
        <w:ind w:firstLine="540"/>
        <w:jc w:val="right"/>
        <w:rPr>
          <w:rFonts w:ascii="仿宋" w:hAnsi="仿宋" w:eastAsia="仿宋" w:cs="宋体"/>
          <w:sz w:val="28"/>
          <w:szCs w:val="28"/>
        </w:rPr>
      </w:pPr>
    </w:p>
    <w:p>
      <w:pPr>
        <w:jc w:val="center"/>
        <w:rPr>
          <w:rFonts w:ascii="宋体" w:hAnsi="宋体"/>
          <w:sz w:val="24"/>
        </w:rPr>
      </w:pPr>
      <w:r>
        <w:rPr>
          <w:rFonts w:ascii="宋体" w:hAnsi="宋体"/>
          <w:sz w:val="36"/>
          <w:szCs w:val="36"/>
        </w:rPr>
        <w:br w:type="page"/>
      </w:r>
      <w:bookmarkEnd w:id="1"/>
      <w:bookmarkStart w:id="28" w:name="_Toc125344512"/>
    </w:p>
    <w:p>
      <w:pPr>
        <w:pStyle w:val="2"/>
        <w:spacing w:line="240" w:lineRule="auto"/>
        <w:jc w:val="center"/>
        <w:rPr>
          <w:rFonts w:ascii="宋体" w:hAnsi="宋体"/>
          <w:sz w:val="36"/>
          <w:szCs w:val="36"/>
        </w:rPr>
      </w:pPr>
      <w:r>
        <w:rPr>
          <w:rFonts w:hint="eastAsia" w:ascii="宋体" w:hAnsi="宋体"/>
          <w:sz w:val="36"/>
          <w:szCs w:val="36"/>
        </w:rPr>
        <w:t>第二章   谈判须知</w:t>
      </w:r>
    </w:p>
    <w:p>
      <w:pPr>
        <w:pStyle w:val="3"/>
        <w:spacing w:line="360" w:lineRule="exact"/>
        <w:jc w:val="center"/>
        <w:rPr>
          <w:rFonts w:ascii="宋体" w:hAnsi="宋体" w:eastAsia="宋体"/>
          <w:sz w:val="28"/>
          <w:szCs w:val="28"/>
        </w:rPr>
      </w:pPr>
      <w:r>
        <w:rPr>
          <w:rFonts w:hint="eastAsia" w:ascii="宋体" w:hAnsi="宋体" w:eastAsia="宋体"/>
          <w:sz w:val="28"/>
          <w:szCs w:val="28"/>
        </w:rPr>
        <w:t>一、总   则</w:t>
      </w:r>
    </w:p>
    <w:p>
      <w:pPr>
        <w:spacing w:line="34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ascii="宋体" w:hAnsi="宋体"/>
          <w:sz w:val="24"/>
        </w:rPr>
      </w:pPr>
      <w:r>
        <w:rPr>
          <w:rFonts w:hint="eastAsia" w:ascii="宋体" w:hAnsi="宋体"/>
          <w:sz w:val="24"/>
        </w:rPr>
        <w:t>本采购文件适用于本次所述项目的采购。</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w:t>
      </w:r>
      <w:r>
        <w:rPr>
          <w:rFonts w:hint="eastAsia" w:ascii="宋体" w:hAnsi="宋体"/>
          <w:sz w:val="24"/>
        </w:rPr>
        <w:t>采购</w:t>
      </w:r>
      <w:r>
        <w:rPr>
          <w:rFonts w:ascii="宋体" w:hAnsi="宋体"/>
          <w:sz w:val="24"/>
        </w:rPr>
        <w:t>的采购单位</w:t>
      </w:r>
      <w:r>
        <w:rPr>
          <w:rFonts w:hint="eastAsia" w:ascii="宋体" w:hAnsi="宋体"/>
          <w:sz w:val="24"/>
        </w:rPr>
        <w:t>和诸暨市公共资源交易中心</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w:t>
      </w:r>
      <w:r>
        <w:rPr>
          <w:rFonts w:hint="eastAsia" w:ascii="宋体" w:hAnsi="宋体"/>
          <w:sz w:val="24"/>
        </w:rPr>
        <w:t>采购方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采购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采购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投标人应自行承担获得采购文件和编制、提交谈判响应文件所涉及的一切费用。不论投标结果如何，投标人均应自行承担所有与投标有关的全部费用。对成交供应商免收政府采购代理服务费。</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21"/>
        <w:snapToGrid w:val="0"/>
        <w:spacing w:line="360" w:lineRule="exact"/>
        <w:ind w:left="2" w:leftChars="1" w:firstLine="480" w:firstLineChars="200"/>
        <w:rPr>
          <w:rFonts w:ascii="宋体" w:hAnsi="宋体"/>
        </w:rPr>
      </w:pPr>
      <w:r>
        <w:rPr>
          <w:rFonts w:hint="eastAsia" w:ascii="宋体" w:hAnsi="宋体"/>
        </w:rPr>
        <w:t>6.1</w:t>
      </w:r>
      <w:r>
        <w:rPr>
          <w:rFonts w:ascii="宋体" w:hAnsi="宋体"/>
        </w:rPr>
        <w:t>投标人投标所使用的资格、信誉、荣誉、业绩与企业认证必须为本法人所拥有。</w:t>
      </w:r>
    </w:p>
    <w:p>
      <w:pPr>
        <w:pStyle w:val="21"/>
        <w:snapToGrid w:val="0"/>
        <w:spacing w:line="360" w:lineRule="exact"/>
        <w:ind w:left="481" w:leftChars="229"/>
        <w:jc w:val="left"/>
        <w:rPr>
          <w:rFonts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21"/>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21"/>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21"/>
        <w:snapToGrid w:val="0"/>
        <w:ind w:left="1" w:firstLine="480" w:firstLineChars="200"/>
        <w:rPr>
          <w:rFonts w:ascii="宋体" w:hAnsi="宋体"/>
          <w:bCs/>
        </w:rPr>
      </w:pPr>
      <w:r>
        <w:rPr>
          <w:rFonts w:hint="eastAsia" w:ascii="宋体" w:hAnsi="宋体"/>
          <w:bCs/>
        </w:rPr>
        <w:t>7.</w:t>
      </w:r>
      <w:r>
        <w:rPr>
          <w:rFonts w:ascii="宋体" w:hAnsi="宋体"/>
          <w:bCs/>
        </w:rPr>
        <w:t>1投标人认为采购文件、</w:t>
      </w:r>
      <w:r>
        <w:rPr>
          <w:rFonts w:hint="eastAsia" w:ascii="宋体" w:hAnsi="宋体"/>
          <w:bCs/>
        </w:rPr>
        <w:t>采购</w:t>
      </w:r>
      <w:r>
        <w:rPr>
          <w:rFonts w:ascii="宋体" w:hAnsi="宋体"/>
          <w:bCs/>
        </w:rPr>
        <w:t>过程和中标结果使自己的合法权益受到损害的，应当在知道或者应知其权益受到损害之日起七个工作日内，以书面形式向采购单位、</w:t>
      </w:r>
      <w:r>
        <w:rPr>
          <w:rFonts w:hint="eastAsia" w:ascii="宋体" w:hAnsi="宋体"/>
          <w:bCs/>
        </w:rPr>
        <w:t>采购代理机构</w:t>
      </w:r>
      <w:r>
        <w:rPr>
          <w:rFonts w:ascii="宋体" w:hAnsi="宋体"/>
          <w:bCs/>
        </w:rPr>
        <w:t>提出质疑。</w:t>
      </w:r>
      <w:r>
        <w:rPr>
          <w:rFonts w:ascii="宋体" w:hAnsi="宋体"/>
        </w:rPr>
        <w:t>投标人对</w:t>
      </w:r>
      <w:r>
        <w:rPr>
          <w:rFonts w:hint="eastAsia" w:ascii="宋体" w:hAnsi="宋体"/>
        </w:rPr>
        <w:t>采购</w:t>
      </w:r>
      <w:r>
        <w:rPr>
          <w:rFonts w:ascii="宋体" w:hAnsi="宋体"/>
        </w:rPr>
        <w:t>人的质疑答复不满意或者</w:t>
      </w:r>
      <w:r>
        <w:rPr>
          <w:rFonts w:hint="eastAsia" w:ascii="宋体" w:hAnsi="宋体"/>
        </w:rPr>
        <w:t>采购</w:t>
      </w:r>
      <w:r>
        <w:rPr>
          <w:rFonts w:ascii="宋体" w:hAnsi="宋体"/>
        </w:rPr>
        <w:t>人未在规定时间内作出答复的，可以在答复期满后十五个工作日内向同级采购监管部门投诉。</w:t>
      </w:r>
      <w:r>
        <w:rPr>
          <w:rFonts w:hint="eastAsia" w:ascii="宋体" w:hAnsi="宋体"/>
          <w:szCs w:val="24"/>
        </w:rPr>
        <w:t>逾期提出的，采购代理机构不予受理、答复。</w:t>
      </w:r>
    </w:p>
    <w:p>
      <w:pPr>
        <w:pStyle w:val="21"/>
        <w:snapToGrid w:val="0"/>
        <w:ind w:left="1" w:firstLine="480" w:firstLineChars="200"/>
        <w:rPr>
          <w:rFonts w:ascii="宋体" w:hAnsi="宋体"/>
        </w:rPr>
      </w:pPr>
      <w:r>
        <w:rPr>
          <w:rFonts w:hint="eastAsia" w:ascii="宋体" w:hAnsi="宋体"/>
          <w:bCs/>
        </w:rPr>
        <w:t>7.</w:t>
      </w:r>
      <w:r>
        <w:rPr>
          <w:rFonts w:ascii="宋体" w:hAnsi="宋体"/>
          <w:bCs/>
        </w:rPr>
        <w:t>2质疑、投诉应当采用书面形式，质疑书、投诉书均应明确阐述采购文件、</w:t>
      </w:r>
      <w:r>
        <w:rPr>
          <w:rFonts w:hint="eastAsia" w:ascii="宋体" w:hAnsi="宋体"/>
          <w:bCs/>
        </w:rPr>
        <w:t>采购</w:t>
      </w:r>
      <w:r>
        <w:rPr>
          <w:rFonts w:ascii="宋体" w:hAnsi="宋体"/>
          <w:bCs/>
        </w:rPr>
        <w:t>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21"/>
        <w:snapToGrid w:val="0"/>
        <w:ind w:left="1" w:firstLine="480" w:firstLineChars="200"/>
        <w:rPr>
          <w:rFonts w:ascii="宋体" w:hAnsi="宋体"/>
          <w:szCs w:val="24"/>
        </w:rPr>
      </w:pPr>
      <w:r>
        <w:rPr>
          <w:rFonts w:hint="eastAsia" w:ascii="宋体" w:hAnsi="宋体"/>
        </w:rPr>
        <w:t>7.3</w:t>
      </w:r>
      <w:r>
        <w:rPr>
          <w:rFonts w:hint="eastAsia" w:ascii="宋体" w:hAnsi="宋体"/>
          <w:szCs w:val="24"/>
        </w:rPr>
        <w:t>采购代理机构与采购人研究后，对认为有必要回答的问题，采购人将答疑内容以网上发布公告的形式通知所有投标人，答疑内容是采购文件的组成部份。</w:t>
      </w:r>
    </w:p>
    <w:p>
      <w:pPr>
        <w:pStyle w:val="21"/>
        <w:snapToGrid w:val="0"/>
        <w:ind w:left="1" w:firstLine="480" w:firstLineChars="200"/>
        <w:rPr>
          <w:rFonts w:ascii="宋体" w:hAnsi="宋体"/>
        </w:rPr>
      </w:pPr>
      <w:r>
        <w:rPr>
          <w:rFonts w:hint="eastAsia" w:ascii="宋体" w:hAnsi="宋体"/>
        </w:rPr>
        <w:t>7.4投标人一旦参与本次采购活动，即被视为接受了本采购文件的所有内容，如有任何异议，均须在答疑截止时间前提出。</w:t>
      </w:r>
    </w:p>
    <w:p>
      <w:pPr>
        <w:pStyle w:val="3"/>
        <w:spacing w:line="360" w:lineRule="exact"/>
        <w:jc w:val="center"/>
        <w:rPr>
          <w:rFonts w:ascii="宋体" w:hAnsi="宋体" w:eastAsia="宋体"/>
          <w:sz w:val="28"/>
          <w:szCs w:val="28"/>
        </w:rPr>
      </w:pPr>
      <w:r>
        <w:rPr>
          <w:rFonts w:hint="eastAsia" w:ascii="宋体" w:hAnsi="宋体" w:eastAsia="宋体"/>
          <w:sz w:val="28"/>
          <w:szCs w:val="28"/>
        </w:rPr>
        <w:t>二、采购文件</w:t>
      </w:r>
    </w:p>
    <w:p>
      <w:pPr>
        <w:snapToGrid w:val="0"/>
        <w:ind w:firstLine="472" w:firstLineChars="196"/>
        <w:jc w:val="left"/>
        <w:rPr>
          <w:rFonts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ascii="宋体" w:hAnsi="宋体"/>
          <w:sz w:val="24"/>
        </w:rPr>
      </w:pPr>
      <w:r>
        <w:rPr>
          <w:rFonts w:hint="eastAsia" w:ascii="宋体" w:hAnsi="宋体"/>
          <w:sz w:val="24"/>
        </w:rPr>
        <w:t>8.2谈判须知；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21"/>
        <w:snapToGrid w:val="0"/>
        <w:ind w:firstLine="480" w:firstLineChars="200"/>
        <w:rPr>
          <w:rFonts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w:t>
      </w:r>
    </w:p>
    <w:p>
      <w:pPr>
        <w:pStyle w:val="21"/>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21"/>
        <w:snapToGrid w:val="0"/>
        <w:ind w:firstLine="480" w:firstLineChars="200"/>
        <w:rPr>
          <w:rFonts w:ascii="宋体" w:hAnsi="宋体"/>
        </w:rPr>
      </w:pPr>
      <w:r>
        <w:rPr>
          <w:rFonts w:hint="eastAsia" w:ascii="宋体" w:hAnsi="宋体"/>
        </w:rPr>
        <w:t>10.3在投标截止时间前，采购人有权修改采购文件，并以书面形式通知投标人，通知中没有注明更改投标截止时间的视为截止时间不变。修改的文件作为采购文件的补充和组成部分，对投标人均有约束力。</w:t>
      </w:r>
    </w:p>
    <w:p>
      <w:pPr>
        <w:pStyle w:val="21"/>
        <w:snapToGrid w:val="0"/>
        <w:ind w:firstLine="480" w:firstLineChars="200"/>
        <w:rPr>
          <w:rFonts w:ascii="宋体" w:hAnsi="宋体"/>
        </w:rPr>
      </w:pPr>
      <w:r>
        <w:rPr>
          <w:rFonts w:hint="eastAsia" w:ascii="宋体" w:hAnsi="宋体"/>
        </w:rPr>
        <w:t>10.4为使投标人在编制谈判响应文件时把补充公告内容考虑进去，采购人可以酌情推迟递交谈判响应文件的截止时间。</w:t>
      </w:r>
    </w:p>
    <w:p>
      <w:pPr>
        <w:pStyle w:val="3"/>
        <w:spacing w:line="360" w:lineRule="exact"/>
        <w:jc w:val="center"/>
        <w:rPr>
          <w:rFonts w:ascii="宋体" w:hAnsi="宋体" w:eastAsia="宋体"/>
          <w:sz w:val="28"/>
          <w:szCs w:val="28"/>
        </w:rPr>
      </w:pPr>
      <w:r>
        <w:rPr>
          <w:rFonts w:hint="eastAsia" w:ascii="宋体" w:hAnsi="宋体" w:eastAsia="宋体"/>
          <w:sz w:val="28"/>
          <w:szCs w:val="28"/>
        </w:rPr>
        <w:t>三、谈判响应文件编制和提交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80" w:firstLineChars="200"/>
        <w:jc w:val="left"/>
        <w:rPr>
          <w:rFonts w:ascii="宋体" w:hAnsi="宋体"/>
          <w:sz w:val="24"/>
          <w:szCs w:val="24"/>
        </w:rPr>
      </w:pPr>
      <w:r>
        <w:rPr>
          <w:rFonts w:hint="eastAsia" w:ascii="宋体" w:hAnsi="宋体"/>
          <w:sz w:val="24"/>
          <w:szCs w:val="24"/>
        </w:rPr>
        <w:t>投标人应按采购文件前附表规定的内容编制谈判响应</w:t>
      </w:r>
      <w:r>
        <w:rPr>
          <w:rFonts w:ascii="宋体" w:hAnsi="宋体"/>
          <w:sz w:val="24"/>
          <w:szCs w:val="24"/>
        </w:rPr>
        <w:t>文件</w:t>
      </w:r>
      <w:r>
        <w:rPr>
          <w:rFonts w:hint="eastAsia" w:ascii="宋体" w:hAnsi="宋体"/>
          <w:sz w:val="24"/>
          <w:szCs w:val="24"/>
        </w:rPr>
        <w:t>。</w:t>
      </w:r>
    </w:p>
    <w:p>
      <w:pPr>
        <w:snapToGrid w:val="0"/>
        <w:ind w:firstLine="480" w:firstLineChars="200"/>
        <w:jc w:val="left"/>
        <w:rPr>
          <w:rFonts w:ascii="宋体" w:hAnsi="宋体"/>
          <w:sz w:val="24"/>
          <w:szCs w:val="24"/>
        </w:rPr>
      </w:pPr>
      <w:r>
        <w:rPr>
          <w:rFonts w:ascii="宋体" w:hAnsi="宋体"/>
          <w:sz w:val="24"/>
          <w:szCs w:val="24"/>
        </w:rPr>
        <w:t>投标人应</w:t>
      </w:r>
      <w:r>
        <w:rPr>
          <w:rFonts w:hint="eastAsia" w:ascii="宋体" w:hAnsi="宋体"/>
          <w:sz w:val="24"/>
          <w:szCs w:val="24"/>
        </w:rPr>
        <w:t>按</w:t>
      </w:r>
      <w:r>
        <w:rPr>
          <w:rFonts w:ascii="宋体" w:hAnsi="宋体"/>
          <w:sz w:val="24"/>
          <w:szCs w:val="24"/>
        </w:rPr>
        <w:t>本采购文件规定的格式和顺序编制</w:t>
      </w: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并标注页码</w:t>
      </w:r>
      <w:r>
        <w:rPr>
          <w:rFonts w:ascii="宋体" w:hAnsi="宋体"/>
          <w:sz w:val="24"/>
          <w:szCs w:val="24"/>
        </w:rPr>
        <w:t>，</w:t>
      </w:r>
      <w:r>
        <w:rPr>
          <w:rFonts w:hint="eastAsia" w:ascii="宋体" w:hAnsi="宋体"/>
          <w:sz w:val="24"/>
          <w:szCs w:val="24"/>
        </w:rPr>
        <w:t>谈判响应</w:t>
      </w:r>
      <w:r>
        <w:rPr>
          <w:rFonts w:ascii="宋体" w:hAnsi="宋体"/>
          <w:sz w:val="24"/>
          <w:szCs w:val="24"/>
        </w:rPr>
        <w:t>文件内容不完整、编排混乱导致</w:t>
      </w:r>
      <w:r>
        <w:rPr>
          <w:rFonts w:hint="eastAsia" w:ascii="宋体" w:hAnsi="宋体"/>
          <w:sz w:val="24"/>
          <w:szCs w:val="24"/>
        </w:rPr>
        <w:t>谈判响应</w:t>
      </w:r>
      <w:r>
        <w:rPr>
          <w:rFonts w:ascii="宋体" w:hAnsi="宋体"/>
          <w:sz w:val="24"/>
          <w:szCs w:val="24"/>
        </w:rPr>
        <w:t>文件被误读、漏读或者查找不到相关内容的，是投标人的责任。</w:t>
      </w:r>
      <w:r>
        <w:rPr>
          <w:rFonts w:hint="eastAsia" w:ascii="宋体" w:hAnsi="宋体"/>
          <w:sz w:val="24"/>
          <w:szCs w:val="24"/>
        </w:rPr>
        <w:t>谈判响应</w:t>
      </w:r>
      <w:r>
        <w:rPr>
          <w:rFonts w:ascii="宋体" w:hAnsi="宋体"/>
          <w:sz w:val="24"/>
          <w:szCs w:val="24"/>
        </w:rPr>
        <w:t>文件</w:t>
      </w:r>
      <w:r>
        <w:rPr>
          <w:rFonts w:hint="eastAsia" w:ascii="宋体" w:hAnsi="宋体" w:cs="仿宋_GB2312"/>
          <w:b/>
          <w:sz w:val="24"/>
        </w:rPr>
        <w:t>未按规定的格式编制的，投标无效。</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文件须由投标人在规定位置盖章，投标人应写全称。</w:t>
      </w:r>
      <w:r>
        <w:rPr>
          <w:rFonts w:hint="eastAsia" w:ascii="宋体" w:hAnsi="宋体"/>
          <w:b/>
          <w:color w:val="auto"/>
          <w:sz w:val="24"/>
          <w:szCs w:val="24"/>
        </w:rPr>
        <w:t>电子投标文件中所有加盖公章均采用CA签章，投标人的谈判响应</w:t>
      </w:r>
      <w:r>
        <w:rPr>
          <w:rFonts w:ascii="宋体" w:hAnsi="宋体"/>
          <w:b/>
          <w:color w:val="auto"/>
          <w:sz w:val="24"/>
          <w:szCs w:val="24"/>
        </w:rPr>
        <w:t>文件</w:t>
      </w:r>
      <w:r>
        <w:rPr>
          <w:rFonts w:hint="eastAsia" w:ascii="宋体" w:hAnsi="宋体"/>
          <w:b/>
          <w:color w:val="auto"/>
          <w:sz w:val="24"/>
          <w:szCs w:val="24"/>
        </w:rPr>
        <w:t>未按照采购文件要求签署、盖章的，其投标无效。谈判响应文件中所涉及的公章必须是投标人全称的CA签章，不得使用投标专用章、合同章等类似图章代替。</w:t>
      </w:r>
    </w:p>
    <w:p>
      <w:pPr>
        <w:snapToGrid w:val="0"/>
        <w:ind w:firstLine="480" w:firstLineChars="200"/>
        <w:jc w:val="left"/>
        <w:rPr>
          <w:rFonts w:ascii="宋体" w:hAnsi="宋体"/>
          <w:b/>
          <w:sz w:val="24"/>
          <w:szCs w:val="24"/>
        </w:rPr>
      </w:pPr>
      <w:r>
        <w:rPr>
          <w:rFonts w:hint="eastAsia" w:ascii="宋体" w:hAnsi="宋体"/>
          <w:sz w:val="24"/>
          <w:szCs w:val="24"/>
        </w:rPr>
        <w:t>谈判响应</w:t>
      </w:r>
      <w:r>
        <w:rPr>
          <w:rFonts w:ascii="宋体" w:hAnsi="宋体"/>
          <w:sz w:val="24"/>
          <w:szCs w:val="24"/>
        </w:rPr>
        <w:t>文件不得涂改，若有修改错漏处，须加盖单位公章。</w:t>
      </w:r>
      <w:r>
        <w:rPr>
          <w:rFonts w:hint="eastAsia" w:ascii="宋体" w:hAnsi="宋体"/>
          <w:sz w:val="24"/>
          <w:szCs w:val="24"/>
        </w:rPr>
        <w:t>谈判响应</w:t>
      </w:r>
      <w:r>
        <w:rPr>
          <w:rFonts w:ascii="宋体" w:hAnsi="宋体"/>
          <w:sz w:val="24"/>
          <w:szCs w:val="24"/>
        </w:rPr>
        <w:t>文件因表达不清所引起的后果由投标人负责。</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w:t>
      </w:r>
      <w:r>
        <w:rPr>
          <w:rFonts w:hint="eastAsia" w:ascii="宋体" w:hAnsi="宋体"/>
          <w:b/>
          <w:color w:val="auto"/>
          <w:sz w:val="24"/>
          <w:szCs w:val="24"/>
        </w:rPr>
        <w:t>投标人应认真阅读采购文件中所有的内容。如果投标人编制的谈判响应</w:t>
      </w:r>
      <w:r>
        <w:rPr>
          <w:rFonts w:ascii="宋体" w:hAnsi="宋体"/>
          <w:b/>
          <w:color w:val="auto"/>
          <w:sz w:val="24"/>
          <w:szCs w:val="24"/>
        </w:rPr>
        <w:t>文件</w:t>
      </w:r>
      <w:r>
        <w:rPr>
          <w:rFonts w:hint="eastAsia" w:ascii="宋体" w:hAnsi="宋体"/>
          <w:b/>
          <w:color w:val="auto"/>
          <w:sz w:val="24"/>
          <w:szCs w:val="24"/>
        </w:rPr>
        <w:t>实质上不响应采购文件的要求，其谈判响应</w:t>
      </w:r>
      <w:r>
        <w:rPr>
          <w:rFonts w:ascii="宋体" w:hAnsi="宋体"/>
          <w:b/>
          <w:color w:val="auto"/>
          <w:sz w:val="24"/>
          <w:szCs w:val="24"/>
        </w:rPr>
        <w:t>文件</w:t>
      </w:r>
      <w:r>
        <w:rPr>
          <w:rFonts w:hint="eastAsia" w:ascii="宋体" w:hAnsi="宋体"/>
          <w:b/>
          <w:color w:val="auto"/>
          <w:sz w:val="24"/>
          <w:szCs w:val="24"/>
        </w:rPr>
        <w:t>将作无效标处理。</w:t>
      </w:r>
    </w:p>
    <w:p>
      <w:pPr>
        <w:spacing w:line="360" w:lineRule="exact"/>
        <w:ind w:firstLine="482" w:firstLineChars="200"/>
        <w:rPr>
          <w:rFonts w:ascii="宋体" w:hAnsi="宋体"/>
          <w:b/>
          <w:bCs/>
          <w:sz w:val="24"/>
        </w:rPr>
      </w:pPr>
      <w:r>
        <w:rPr>
          <w:rFonts w:hint="eastAsia" w:ascii="宋体" w:hAnsi="宋体"/>
          <w:b/>
          <w:bCs/>
          <w:sz w:val="24"/>
        </w:rPr>
        <w:t>谈判响应</w:t>
      </w:r>
      <w:r>
        <w:rPr>
          <w:rFonts w:ascii="宋体" w:hAnsi="宋体"/>
          <w:b/>
          <w:bCs/>
          <w:sz w:val="24"/>
        </w:rPr>
        <w:t>文件</w:t>
      </w:r>
      <w:r>
        <w:rPr>
          <w:rFonts w:hint="eastAsia" w:ascii="宋体" w:hAnsi="宋体"/>
          <w:b/>
          <w:bCs/>
          <w:sz w:val="24"/>
        </w:rPr>
        <w:t>的递交、修改和撤回</w:t>
      </w:r>
    </w:p>
    <w:p>
      <w:pPr>
        <w:pStyle w:val="8"/>
        <w:snapToGrid w:val="0"/>
        <w:ind w:firstLine="482" w:firstLineChars="200"/>
        <w:rPr>
          <w:rFonts w:ascii="宋体" w:hAnsi="宋体"/>
          <w:b/>
          <w:sz w:val="24"/>
          <w:szCs w:val="24"/>
        </w:rPr>
      </w:pPr>
      <w:r>
        <w:rPr>
          <w:rFonts w:hint="eastAsia" w:ascii="宋体" w:hAnsi="宋体"/>
          <w:b/>
          <w:sz w:val="24"/>
          <w:szCs w:val="24"/>
        </w:rPr>
        <w:t>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w:t>
      </w:r>
      <w:r>
        <w:rPr>
          <w:rFonts w:hint="eastAsia" w:ascii="宋体" w:hAnsi="宋体"/>
          <w:b/>
          <w:sz w:val="24"/>
          <w:szCs w:val="24"/>
        </w:rPr>
        <w:t>谈判响应</w:t>
      </w:r>
      <w:r>
        <w:rPr>
          <w:rFonts w:ascii="宋体" w:hAnsi="宋体"/>
          <w:b/>
          <w:sz w:val="24"/>
          <w:szCs w:val="24"/>
        </w:rPr>
        <w:t>文件将予以拒收。</w:t>
      </w:r>
    </w:p>
    <w:p>
      <w:pPr>
        <w:pStyle w:val="8"/>
        <w:snapToGrid w:val="0"/>
        <w:ind w:firstLine="480" w:firstLineChars="200"/>
        <w:rPr>
          <w:rFonts w:ascii="宋体" w:hAnsi="宋体"/>
          <w:b/>
          <w:sz w:val="24"/>
          <w:szCs w:val="24"/>
        </w:rPr>
      </w:pPr>
      <w:r>
        <w:rPr>
          <w:rFonts w:hint="eastAsia" w:ascii="宋体" w:hAnsi="宋体"/>
          <w:sz w:val="24"/>
          <w:szCs w:val="24"/>
        </w:rPr>
        <w:t>投标人在投标截止时间之前，可以对已提交的谈判响应</w:t>
      </w:r>
      <w:r>
        <w:rPr>
          <w:rFonts w:ascii="宋体" w:hAnsi="宋体"/>
          <w:sz w:val="24"/>
          <w:szCs w:val="24"/>
        </w:rPr>
        <w:t>文件</w:t>
      </w:r>
      <w:r>
        <w:rPr>
          <w:rFonts w:hint="eastAsia" w:ascii="宋体" w:hAnsi="宋体"/>
          <w:sz w:val="24"/>
          <w:szCs w:val="24"/>
        </w:rPr>
        <w:t>进行修改或撤回，补充、修改的内容为谈判响应</w:t>
      </w:r>
      <w:r>
        <w:rPr>
          <w:rFonts w:ascii="宋体" w:hAnsi="宋体"/>
          <w:sz w:val="24"/>
          <w:szCs w:val="24"/>
        </w:rPr>
        <w:t>文件</w:t>
      </w:r>
      <w:r>
        <w:rPr>
          <w:rFonts w:hint="eastAsia" w:ascii="宋体" w:hAnsi="宋体"/>
          <w:sz w:val="24"/>
          <w:szCs w:val="24"/>
        </w:rPr>
        <w:t>的组成部分。补充或者修改谈判响应</w:t>
      </w:r>
      <w:r>
        <w:rPr>
          <w:rFonts w:ascii="宋体" w:hAnsi="宋体"/>
          <w:sz w:val="24"/>
          <w:szCs w:val="24"/>
        </w:rPr>
        <w:t>文件</w:t>
      </w:r>
      <w:r>
        <w:rPr>
          <w:rFonts w:hint="eastAsia" w:ascii="宋体" w:hAnsi="宋体"/>
          <w:sz w:val="24"/>
          <w:szCs w:val="24"/>
        </w:rPr>
        <w:t>的，应当先行撤回原文件，补充、修改后重新传输递交。</w:t>
      </w:r>
    </w:p>
    <w:p>
      <w:pPr>
        <w:pStyle w:val="8"/>
        <w:snapToGrid w:val="0"/>
        <w:ind w:firstLine="480" w:firstLineChars="200"/>
        <w:rPr>
          <w:rFonts w:ascii="宋体" w:hAnsi="宋体"/>
          <w:sz w:val="24"/>
          <w:szCs w:val="24"/>
        </w:rPr>
      </w:pPr>
      <w:r>
        <w:rPr>
          <w:rFonts w:hint="eastAsia" w:ascii="宋体" w:hAnsi="宋体"/>
          <w:sz w:val="24"/>
          <w:szCs w:val="24"/>
        </w:rPr>
        <w:t>投标截止时间后，投标人不得撤回、修改谈判响应</w:t>
      </w:r>
      <w:r>
        <w:rPr>
          <w:rFonts w:ascii="宋体" w:hAnsi="宋体"/>
          <w:sz w:val="24"/>
          <w:szCs w:val="24"/>
        </w:rPr>
        <w:t>文件</w:t>
      </w:r>
      <w:r>
        <w:rPr>
          <w:rFonts w:hint="eastAsia" w:ascii="宋体" w:hAnsi="宋体"/>
          <w:sz w:val="24"/>
          <w:szCs w:val="24"/>
        </w:rPr>
        <w:t>。</w:t>
      </w:r>
    </w:p>
    <w:p>
      <w:pPr>
        <w:pStyle w:val="8"/>
        <w:snapToGrid w:val="0"/>
        <w:ind w:firstLine="480" w:firstLineChars="200"/>
        <w:rPr>
          <w:rFonts w:ascii="宋体" w:hAnsi="宋体"/>
          <w:sz w:val="24"/>
          <w:szCs w:val="24"/>
        </w:rPr>
      </w:pPr>
      <w:r>
        <w:rPr>
          <w:rFonts w:hint="eastAsia" w:ascii="宋体" w:hAnsi="宋体"/>
          <w:sz w:val="24"/>
          <w:szCs w:val="24"/>
        </w:rPr>
        <w:t>不论投标人中标与否，谈判响应</w:t>
      </w:r>
      <w:r>
        <w:rPr>
          <w:rFonts w:ascii="宋体" w:hAnsi="宋体"/>
          <w:sz w:val="24"/>
          <w:szCs w:val="24"/>
        </w:rPr>
        <w:t>文件</w:t>
      </w:r>
      <w:r>
        <w:rPr>
          <w:rFonts w:hint="eastAsia" w:ascii="宋体" w:hAnsi="宋体"/>
          <w:sz w:val="24"/>
          <w:szCs w:val="24"/>
        </w:rPr>
        <w:t>均不得撤回其投标。</w:t>
      </w:r>
    </w:p>
    <w:p>
      <w:pPr>
        <w:pStyle w:val="8"/>
        <w:snapToGrid w:val="0"/>
        <w:ind w:firstLine="482" w:firstLineChars="200"/>
        <w:rPr>
          <w:rFonts w:ascii="宋体" w:hAnsi="宋体"/>
          <w:b/>
          <w:sz w:val="24"/>
          <w:szCs w:val="24"/>
        </w:rPr>
      </w:pPr>
      <w:r>
        <w:rPr>
          <w:rFonts w:hint="eastAsia" w:ascii="宋体" w:hAnsi="宋体"/>
          <w:b/>
          <w:sz w:val="24"/>
          <w:szCs w:val="24"/>
        </w:rPr>
        <w:t>未按时解密的，视为谈判响应</w:t>
      </w:r>
      <w:r>
        <w:rPr>
          <w:rFonts w:ascii="宋体" w:hAnsi="宋体"/>
          <w:b/>
          <w:sz w:val="24"/>
          <w:szCs w:val="24"/>
        </w:rPr>
        <w:t>文件</w:t>
      </w:r>
      <w:r>
        <w:rPr>
          <w:rFonts w:hint="eastAsia" w:ascii="宋体" w:hAnsi="宋体"/>
          <w:b/>
          <w:sz w:val="24"/>
          <w:szCs w:val="24"/>
        </w:rPr>
        <w:t>撤回。</w:t>
      </w:r>
    </w:p>
    <w:p>
      <w:pPr>
        <w:spacing w:line="360" w:lineRule="exact"/>
        <w:ind w:firstLine="482" w:firstLineChars="200"/>
        <w:rPr>
          <w:rFonts w:ascii="宋体" w:hAnsi="宋体"/>
          <w:b/>
          <w:bCs/>
          <w:sz w:val="24"/>
        </w:rPr>
      </w:pPr>
      <w:r>
        <w:rPr>
          <w:rFonts w:hint="eastAsia" w:ascii="宋体" w:hAnsi="宋体"/>
          <w:b/>
          <w:bCs/>
          <w:sz w:val="24"/>
        </w:rPr>
        <w:t>投标无效的情形</w:t>
      </w:r>
    </w:p>
    <w:p>
      <w:pPr>
        <w:snapToGrid w:val="0"/>
        <w:ind w:firstLine="480" w:firstLineChars="200"/>
        <w:rPr>
          <w:rFonts w:ascii="宋体" w:hAnsi="宋体"/>
          <w:sz w:val="24"/>
          <w:szCs w:val="24"/>
        </w:rPr>
      </w:pPr>
      <w:r>
        <w:rPr>
          <w:rFonts w:hint="eastAsia" w:ascii="宋体" w:hAnsi="宋体"/>
          <w:sz w:val="24"/>
          <w:szCs w:val="24"/>
        </w:rPr>
        <w:t>实质上没有响应采购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采购文件要求的，应认定其投标无效。投标人修改、补正谈判响应</w:t>
      </w:r>
      <w:r>
        <w:rPr>
          <w:rFonts w:ascii="宋体" w:hAnsi="宋体"/>
          <w:sz w:val="24"/>
          <w:szCs w:val="24"/>
        </w:rPr>
        <w:t>文件</w:t>
      </w:r>
      <w:r>
        <w:rPr>
          <w:rFonts w:hint="eastAsia" w:ascii="宋体" w:hAnsi="宋体"/>
          <w:sz w:val="24"/>
          <w:szCs w:val="24"/>
        </w:rPr>
        <w:t>后，不影响评标委员会对其谈判响应</w:t>
      </w:r>
      <w:r>
        <w:rPr>
          <w:rFonts w:ascii="宋体" w:hAnsi="宋体"/>
          <w:sz w:val="24"/>
          <w:szCs w:val="24"/>
        </w:rPr>
        <w:t>文件</w:t>
      </w:r>
      <w:r>
        <w:rPr>
          <w:rFonts w:hint="eastAsia" w:ascii="宋体" w:hAnsi="宋体"/>
          <w:sz w:val="24"/>
          <w:szCs w:val="24"/>
        </w:rPr>
        <w:t>所作的评价和评分结果。</w:t>
      </w:r>
    </w:p>
    <w:p>
      <w:pPr>
        <w:pStyle w:val="19"/>
        <w:snapToGrid w:val="0"/>
        <w:spacing w:after="0"/>
        <w:ind w:left="0" w:leftChars="0" w:firstLine="472" w:firstLineChars="196"/>
        <w:rPr>
          <w:rFonts w:ascii="宋体" w:hAnsi="宋体"/>
          <w:b/>
          <w:bCs/>
          <w:sz w:val="24"/>
          <w:szCs w:val="24"/>
        </w:rPr>
      </w:pP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w:t>
      </w:r>
      <w:r>
        <w:rPr>
          <w:rFonts w:hint="eastAsia" w:ascii="宋体" w:hAnsi="宋体"/>
          <w:b/>
          <w:bCs/>
          <w:sz w:val="24"/>
          <w:szCs w:val="24"/>
        </w:rPr>
        <w:t>谈判响应</w:t>
      </w:r>
      <w:r>
        <w:rPr>
          <w:rFonts w:ascii="宋体" w:hAnsi="宋体"/>
          <w:b/>
          <w:bCs/>
          <w:sz w:val="24"/>
          <w:szCs w:val="24"/>
        </w:rPr>
        <w:t>文件将被视为无效投标：</w:t>
      </w:r>
    </w:p>
    <w:p>
      <w:pPr>
        <w:snapToGrid w:val="0"/>
        <w:ind w:firstLine="470" w:firstLineChars="196"/>
        <w:rPr>
          <w:rFonts w:ascii="宋体" w:hAnsi="宋体"/>
          <w:sz w:val="24"/>
          <w:szCs w:val="24"/>
        </w:rPr>
      </w:pPr>
      <w:r>
        <w:rPr>
          <w:rFonts w:ascii="宋体" w:hAnsi="宋体"/>
          <w:sz w:val="24"/>
          <w:szCs w:val="24"/>
        </w:rPr>
        <w:t>资格证明文件不全的，或者不符合采购文件标明的资格要求的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未按照采购文件规定要求盖章；</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文件项目不齐全或者内容虚假的；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文件的实质性内容未使用中文表述、意思表述不明确、前后矛盾或者使用计量单位不符合采购文件要求的</w:t>
      </w:r>
      <w:r>
        <w:rPr>
          <w:rFonts w:hint="eastAsia" w:ascii="宋体" w:hAnsi="宋体"/>
          <w:sz w:val="24"/>
          <w:szCs w:val="24"/>
        </w:rPr>
        <w:t>；</w:t>
      </w:r>
    </w:p>
    <w:p>
      <w:pPr>
        <w:snapToGrid w:val="0"/>
        <w:ind w:firstLine="470" w:firstLineChars="196"/>
        <w:rPr>
          <w:rFonts w:ascii="宋体" w:hAnsi="宋体"/>
          <w:sz w:val="24"/>
          <w:szCs w:val="24"/>
        </w:rPr>
      </w:pP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等条款不能满足采购文件要求的；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不符合法律、法规或未实质性</w:t>
      </w:r>
      <w:r>
        <w:rPr>
          <w:rFonts w:ascii="宋体" w:hAnsi="宋体"/>
          <w:sz w:val="24"/>
          <w:szCs w:val="24"/>
        </w:rPr>
        <w:t>响应采购文件要求</w:t>
      </w:r>
      <w:r>
        <w:rPr>
          <w:rFonts w:hint="eastAsia" w:ascii="宋体" w:hAnsi="宋体"/>
          <w:sz w:val="24"/>
          <w:szCs w:val="24"/>
        </w:rPr>
        <w:t>。</w:t>
      </w:r>
    </w:p>
    <w:p>
      <w:pPr>
        <w:pStyle w:val="19"/>
        <w:snapToGrid w:val="0"/>
        <w:spacing w:after="0"/>
        <w:rPr>
          <w:rFonts w:ascii="宋体" w:hAnsi="宋体"/>
          <w:b/>
          <w:bCs/>
          <w:sz w:val="24"/>
          <w:szCs w:val="24"/>
        </w:rPr>
      </w:pP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未提供或未如实提供投标货物的技术参数，或者</w:t>
      </w:r>
      <w:r>
        <w:rPr>
          <w:rFonts w:hint="eastAsia" w:ascii="宋体" w:hAnsi="宋体"/>
          <w:sz w:val="24"/>
          <w:szCs w:val="24"/>
        </w:rPr>
        <w:t>谈判响应</w:t>
      </w:r>
      <w:r>
        <w:rPr>
          <w:rFonts w:ascii="宋体" w:hAnsi="宋体"/>
          <w:sz w:val="24"/>
          <w:szCs w:val="24"/>
        </w:rPr>
        <w:t>文件标明的响应或偏离与事实不符或虚假投标的；</w:t>
      </w:r>
    </w:p>
    <w:p>
      <w:pPr>
        <w:snapToGrid w:val="0"/>
        <w:ind w:firstLine="470" w:firstLineChars="196"/>
        <w:rPr>
          <w:rFonts w:ascii="宋体" w:hAnsi="宋体"/>
          <w:sz w:val="24"/>
          <w:szCs w:val="24"/>
        </w:rPr>
      </w:pPr>
      <w:r>
        <w:rPr>
          <w:rFonts w:ascii="宋体" w:hAnsi="宋体"/>
          <w:color w:val="auto"/>
          <w:sz w:val="24"/>
          <w:szCs w:val="24"/>
        </w:rPr>
        <w:t>明显不符合采购文件要求的规格型号、质量标准，或者与采购文件中标“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pStyle w:val="19"/>
        <w:snapToGrid w:val="0"/>
        <w:spacing w:after="0"/>
        <w:rPr>
          <w:rFonts w:ascii="宋体" w:hAnsi="宋体"/>
          <w:b/>
          <w:bCs/>
          <w:sz w:val="24"/>
          <w:szCs w:val="24"/>
        </w:rPr>
      </w:pPr>
      <w:r>
        <w:rPr>
          <w:rFonts w:ascii="宋体" w:hAnsi="宋体"/>
          <w:b/>
          <w:bCs/>
          <w:sz w:val="24"/>
          <w:szCs w:val="24"/>
        </w:rPr>
        <w:t>在报价评审时，如发现下列情形之一的，</w:t>
      </w:r>
      <w:r>
        <w:rPr>
          <w:rFonts w:hint="eastAsia" w:ascii="宋体" w:hAnsi="宋体"/>
          <w:b/>
          <w:bCs/>
          <w:sz w:val="24"/>
          <w:szCs w:val="24"/>
        </w:rPr>
        <w:t>谈判响应</w:t>
      </w:r>
      <w:r>
        <w:rPr>
          <w:rFonts w:ascii="宋体" w:hAnsi="宋体"/>
          <w:b/>
          <w:bCs/>
          <w:sz w:val="24"/>
          <w:szCs w:val="24"/>
        </w:rPr>
        <w:t>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（1）未采用人民币报价或者未按照采购文件标明的币种报价的；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过采购文件中规定的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9"/>
        <w:snapToGrid w:val="0"/>
        <w:spacing w:after="0"/>
        <w:rPr>
          <w:rFonts w:ascii="宋体" w:hAnsi="宋体"/>
          <w:b/>
          <w:bCs/>
          <w:sz w:val="24"/>
          <w:szCs w:val="24"/>
        </w:rPr>
      </w:pPr>
      <w:r>
        <w:rPr>
          <w:rFonts w:hint="eastAsia" w:ascii="宋体" w:hAnsi="宋体"/>
          <w:b/>
          <w:bCs/>
          <w:sz w:val="24"/>
          <w:szCs w:val="24"/>
        </w:rPr>
        <w:t>（6）</w:t>
      </w:r>
      <w:r>
        <w:rPr>
          <w:rFonts w:ascii="宋体" w:hAnsi="宋体"/>
          <w:b/>
          <w:bCs/>
          <w:sz w:val="24"/>
          <w:szCs w:val="24"/>
        </w:rPr>
        <w:t>符合采购文件明确规定的其他无效投标条款的。</w:t>
      </w:r>
    </w:p>
    <w:p>
      <w:pPr>
        <w:pStyle w:val="19"/>
        <w:snapToGrid w:val="0"/>
        <w:spacing w:after="0"/>
        <w:rPr>
          <w:rFonts w:ascii="宋体" w:hAnsi="宋体"/>
          <w:b/>
          <w:bCs/>
          <w:sz w:val="24"/>
          <w:szCs w:val="24"/>
        </w:rPr>
      </w:pP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21"/>
        <w:snapToGrid w:val="0"/>
        <w:ind w:firstLine="480" w:firstLineChars="200"/>
        <w:rPr>
          <w:rFonts w:ascii="宋体" w:hAnsi="宋体"/>
        </w:rPr>
      </w:pPr>
      <w:r>
        <w:rPr>
          <w:rFonts w:hint="eastAsia" w:ascii="宋体" w:hAnsi="宋体"/>
        </w:rPr>
        <w:t>12.1</w:t>
      </w:r>
      <w:r>
        <w:rPr>
          <w:rFonts w:ascii="宋体" w:hAnsi="宋体"/>
        </w:rPr>
        <w:t>谈判响应文件以及投标方与采购方就有关投标事宜的所有来往函电，均应以中文汉语书写。除签名、盖章、专用名称等特殊情形外，以中文汉语以外的文字表述的谈判响应文件视同未提供。</w:t>
      </w:r>
    </w:p>
    <w:p>
      <w:pPr>
        <w:pStyle w:val="21"/>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21"/>
        <w:snapToGrid w:val="0"/>
        <w:ind w:firstLine="480" w:firstLineChars="200"/>
        <w:rPr>
          <w:rFonts w:ascii="宋体" w:hAnsi="宋体"/>
        </w:rPr>
      </w:pPr>
      <w:r>
        <w:rPr>
          <w:rFonts w:hint="eastAsia" w:ascii="宋体" w:hAnsi="宋体"/>
        </w:rPr>
        <w:t>13.1</w:t>
      </w:r>
      <w:r>
        <w:rPr>
          <w:rFonts w:ascii="宋体" w:hAnsi="宋体"/>
        </w:rPr>
        <w:t>投标报价应按采购文件中相关附表格式填写。</w:t>
      </w:r>
    </w:p>
    <w:p>
      <w:pPr>
        <w:pStyle w:val="2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21"/>
        <w:snapToGrid w:val="0"/>
        <w:ind w:firstLine="480" w:firstLineChars="200"/>
        <w:rPr>
          <w:rFonts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21"/>
        <w:snapToGrid w:val="0"/>
        <w:ind w:firstLine="480" w:firstLineChars="200"/>
        <w:rPr>
          <w:rFonts w:ascii="宋体" w:hAnsi="宋体"/>
        </w:rPr>
      </w:pPr>
      <w:r>
        <w:rPr>
          <w:rFonts w:hint="eastAsia" w:ascii="宋体" w:hAnsi="宋体"/>
        </w:rPr>
        <w:t>13.4采购文件未列明，而投标人认为必需的费用也需列入报价。</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14.谈判响应文件的有效期</w:t>
      </w:r>
    </w:p>
    <w:p>
      <w:pPr>
        <w:pStyle w:val="2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21"/>
        <w:snapToGrid w:val="0"/>
        <w:ind w:firstLine="480" w:firstLineChars="200"/>
        <w:rPr>
          <w:rFonts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pStyle w:val="19"/>
        <w:snapToGrid w:val="0"/>
        <w:spacing w:after="0"/>
        <w:rPr>
          <w:rFonts w:ascii="宋体" w:hAnsi="宋体"/>
          <w:b/>
          <w:bCs/>
          <w:sz w:val="24"/>
          <w:szCs w:val="24"/>
        </w:rPr>
      </w:pPr>
    </w:p>
    <w:p>
      <w:pPr>
        <w:pStyle w:val="3"/>
        <w:spacing w:line="360" w:lineRule="exact"/>
        <w:jc w:val="center"/>
        <w:rPr>
          <w:rFonts w:ascii="宋体" w:hAnsi="宋体" w:eastAsia="宋体"/>
          <w:sz w:val="28"/>
          <w:szCs w:val="28"/>
        </w:rPr>
      </w:pPr>
      <w:r>
        <w:rPr>
          <w:rFonts w:hint="eastAsia" w:ascii="宋体" w:hAnsi="宋体" w:eastAsia="宋体"/>
          <w:sz w:val="28"/>
          <w:szCs w:val="28"/>
        </w:rPr>
        <w:t>四、谈  判</w:t>
      </w:r>
    </w:p>
    <w:p>
      <w:pPr>
        <w:ind w:firstLine="482" w:firstLineChars="200"/>
        <w:rPr>
          <w:rFonts w:ascii="宋体" w:hAnsi="宋体"/>
          <w:b/>
          <w:sz w:val="24"/>
        </w:rPr>
      </w:pP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投标人务必在规定时间内完成电子投标文件的解密工作，在电子开评标期间，投标人（授权代表）需确保在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谈判响应文件未按时解密，投标人提供了备份谈判响应文件的，以备份谈判响应文件作为依据，否则视为谈判响应文件撤回。谈判响应文件已按时解密的，备份谈判响应文件自动失效。</w:t>
      </w:r>
    </w:p>
    <w:p>
      <w:pPr>
        <w:ind w:firstLine="480" w:firstLineChars="200"/>
        <w:rPr>
          <w:rFonts w:ascii="宋体" w:hAnsi="宋体"/>
          <w:sz w:val="24"/>
        </w:rPr>
      </w:pPr>
      <w:r>
        <w:rPr>
          <w:rFonts w:hint="eastAsia" w:ascii="宋体" w:hAnsi="宋体"/>
          <w:sz w:val="24"/>
        </w:rPr>
        <w:t>采购人或受采购人委托的评标委员会依法对投标人的资格进行审查。投标人未按照采购文件要求提供与基本资格条件、特定资格条件相应的有效资格证明材料的，视为投标人不具备采购文件中规定的资格要求，其投标无效。</w:t>
      </w:r>
    </w:p>
    <w:p>
      <w:pPr>
        <w:ind w:firstLine="480" w:firstLineChars="200"/>
        <w:rPr>
          <w:rFonts w:ascii="宋体" w:hAnsi="宋体"/>
          <w:sz w:val="24"/>
        </w:rPr>
      </w:pPr>
      <w:r>
        <w:rPr>
          <w:rFonts w:hint="eastAsia" w:ascii="宋体" w:hAnsi="宋体"/>
          <w:sz w:val="24"/>
        </w:rPr>
        <w:t>评标委员会将根据采购文件和有关规定，履行评标工作职责，并和</w:t>
      </w:r>
      <w:r>
        <w:rPr>
          <w:rFonts w:ascii="宋体" w:hAnsi="宋体"/>
          <w:sz w:val="24"/>
        </w:rPr>
        <w:t>谈判响应人</w:t>
      </w:r>
      <w:r>
        <w:rPr>
          <w:rFonts w:hint="eastAsia" w:ascii="宋体" w:hAnsi="宋体"/>
          <w:sz w:val="24"/>
        </w:rPr>
        <w:t xml:space="preserve">就有关技术要求、项目进程安排、服务条款等内容进行谈判； </w:t>
      </w:r>
    </w:p>
    <w:p>
      <w:pPr>
        <w:ind w:firstLine="480" w:firstLineChars="200"/>
        <w:rPr>
          <w:rFonts w:ascii="宋体" w:hAnsi="宋体"/>
          <w:sz w:val="24"/>
        </w:rPr>
      </w:pPr>
      <w:r>
        <w:rPr>
          <w:rFonts w:hint="eastAsia" w:ascii="宋体" w:hAnsi="宋体"/>
          <w:sz w:val="24"/>
        </w:rPr>
        <w:t>评标委员会对技术标有效的投标单位进行投标报价评审，经过谈判、评审后确定投标报价。</w:t>
      </w:r>
      <w:r>
        <w:rPr>
          <w:rFonts w:ascii="宋体" w:hAnsi="宋体"/>
          <w:sz w:val="24"/>
        </w:rPr>
        <w:t>谈判就所有问题达成一致的，谈判成功；谈判中不能就所有问题达成一致的，则采购谈判失败，本次采购活动终止。</w:t>
      </w:r>
    </w:p>
    <w:p>
      <w:pPr>
        <w:ind w:firstLine="480" w:firstLineChars="200"/>
        <w:rPr>
          <w:rFonts w:ascii="宋体" w:hAnsi="宋体"/>
          <w:b/>
          <w:sz w:val="24"/>
        </w:rPr>
      </w:pPr>
      <w:r>
        <w:rPr>
          <w:rFonts w:hint="eastAsia" w:ascii="宋体" w:hAnsi="宋体"/>
          <w:sz w:val="24"/>
        </w:rPr>
        <w:t>最终评标委员会推荐成交候选人。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2、如中标单位投标文件和采购文件要求不一致，且评审过程中未发现的，履约应按有利于采购人的要求执行。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30"/>
        <w:ind w:firstLine="480" w:firstLineChars="200"/>
        <w:rPr>
          <w:rFonts w:ascii="宋体" w:hAnsi="宋体"/>
          <w:sz w:val="24"/>
        </w:rPr>
      </w:pPr>
      <w:r>
        <w:rPr>
          <w:rFonts w:hint="eastAsia" w:ascii="宋体" w:hAnsi="宋体"/>
          <w:sz w:val="24"/>
        </w:rPr>
        <w:t>（一）电子交易平台发生故障而无法登录访问的； </w:t>
      </w:r>
    </w:p>
    <w:p>
      <w:pPr>
        <w:pStyle w:val="3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30"/>
        <w:ind w:firstLine="480" w:firstLineChars="200"/>
        <w:rPr>
          <w:rFonts w:ascii="宋体" w:hAnsi="宋体"/>
          <w:sz w:val="24"/>
        </w:rPr>
      </w:pPr>
      <w:r>
        <w:rPr>
          <w:rFonts w:hint="eastAsia" w:ascii="宋体" w:hAnsi="宋体"/>
          <w:sz w:val="24"/>
        </w:rPr>
        <w:t>（三）电子交易平台发现严重安全漏洞，有潜在泄密危险的；</w:t>
      </w:r>
    </w:p>
    <w:p>
      <w:pPr>
        <w:pStyle w:val="30"/>
        <w:ind w:firstLine="480" w:firstLineChars="200"/>
        <w:rPr>
          <w:rFonts w:ascii="宋体" w:hAnsi="宋体"/>
          <w:sz w:val="24"/>
        </w:rPr>
      </w:pPr>
      <w:r>
        <w:rPr>
          <w:rFonts w:hint="eastAsia" w:ascii="宋体" w:hAnsi="宋体"/>
          <w:sz w:val="24"/>
        </w:rPr>
        <w:t>（四）病毒发作导致不能进行正常操作的； </w:t>
      </w:r>
    </w:p>
    <w:p>
      <w:pPr>
        <w:pStyle w:val="30"/>
        <w:ind w:firstLine="480" w:firstLineChars="200"/>
        <w:rPr>
          <w:rFonts w:ascii="宋体" w:hAnsi="宋体"/>
          <w:sz w:val="24"/>
        </w:rPr>
      </w:pPr>
      <w:r>
        <w:rPr>
          <w:rFonts w:hint="eastAsia" w:ascii="宋体" w:hAnsi="宋体"/>
          <w:sz w:val="24"/>
        </w:rPr>
        <w:t>（五）其他无法保证电子交易的公平、公正和安全的情况。</w:t>
      </w:r>
    </w:p>
    <w:p>
      <w:pPr>
        <w:pStyle w:val="3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spacing w:line="360" w:lineRule="exact"/>
        <w:ind w:firstLine="482" w:firstLineChars="200"/>
        <w:rPr>
          <w:rFonts w:ascii="宋体" w:hAnsi="宋体"/>
          <w:b/>
          <w:bCs/>
          <w:sz w:val="24"/>
        </w:rPr>
      </w:pPr>
    </w:p>
    <w:p>
      <w:pPr>
        <w:spacing w:line="360" w:lineRule="exact"/>
        <w:ind w:firstLine="482" w:firstLineChars="200"/>
        <w:rPr>
          <w:rFonts w:ascii="宋体" w:hAnsi="宋体"/>
          <w:b/>
          <w:bCs/>
          <w:sz w:val="24"/>
        </w:rPr>
      </w:pPr>
      <w:r>
        <w:rPr>
          <w:rFonts w:hint="eastAsia" w:ascii="宋体" w:hAnsi="宋体"/>
          <w:b/>
          <w:bCs/>
          <w:sz w:val="24"/>
        </w:rPr>
        <w:t>16组建谈判专家委员会</w:t>
      </w:r>
    </w:p>
    <w:p>
      <w:pPr>
        <w:pStyle w:val="30"/>
        <w:ind w:firstLine="480" w:firstLineChars="200"/>
        <w:rPr>
          <w:rFonts w:ascii="宋体" w:hAnsi="宋体"/>
          <w:sz w:val="24"/>
        </w:rPr>
      </w:pPr>
      <w:r>
        <w:rPr>
          <w:rFonts w:hint="eastAsia" w:ascii="宋体" w:hAnsi="宋体"/>
          <w:sz w:val="24"/>
        </w:rPr>
        <w:t>谈判专家委员会按照有关规定组建。</w:t>
      </w:r>
    </w:p>
    <w:p>
      <w:pPr>
        <w:pStyle w:val="30"/>
        <w:ind w:firstLine="480" w:firstLineChars="200"/>
        <w:rPr>
          <w:rFonts w:ascii="宋体" w:hAnsi="宋体"/>
          <w:sz w:val="24"/>
        </w:rPr>
      </w:pPr>
    </w:p>
    <w:p>
      <w:pPr>
        <w:spacing w:line="360" w:lineRule="exact"/>
        <w:ind w:firstLine="482" w:firstLineChars="200"/>
        <w:rPr>
          <w:rFonts w:ascii="宋体" w:hAnsi="宋体"/>
          <w:b/>
          <w:bCs/>
          <w:sz w:val="24"/>
        </w:rPr>
      </w:pPr>
      <w:r>
        <w:rPr>
          <w:rFonts w:hint="eastAsia" w:ascii="宋体" w:hAnsi="宋体"/>
          <w:b/>
          <w:bCs/>
          <w:sz w:val="24"/>
        </w:rPr>
        <w:t>17谈判原则</w:t>
      </w:r>
    </w:p>
    <w:p>
      <w:pPr>
        <w:pStyle w:val="30"/>
        <w:ind w:firstLine="480" w:firstLineChars="200"/>
        <w:rPr>
          <w:rFonts w:ascii="宋体" w:hAnsi="宋体"/>
          <w:sz w:val="24"/>
        </w:rPr>
      </w:pPr>
      <w:r>
        <w:rPr>
          <w:rFonts w:hint="eastAsia" w:ascii="宋体" w:hAnsi="宋体"/>
          <w:sz w:val="24"/>
        </w:rPr>
        <w:t>17.1谈判专家委员会必须公平、公正、客观，不带任何倾向性和启发性；</w:t>
      </w:r>
    </w:p>
    <w:p>
      <w:pPr>
        <w:pStyle w:val="30"/>
        <w:ind w:firstLine="480" w:firstLineChars="200"/>
        <w:rPr>
          <w:rFonts w:ascii="宋体" w:hAnsi="宋体"/>
          <w:sz w:val="24"/>
        </w:rPr>
      </w:pPr>
      <w:r>
        <w:rPr>
          <w:rFonts w:hint="eastAsia" w:ascii="宋体" w:hAnsi="宋体"/>
          <w:sz w:val="24"/>
        </w:rPr>
        <w:t>17.2不得向外界透露任何与谈判有关的内容；</w:t>
      </w:r>
    </w:p>
    <w:p>
      <w:pPr>
        <w:pStyle w:val="30"/>
        <w:ind w:firstLine="480" w:firstLineChars="200"/>
        <w:rPr>
          <w:rFonts w:ascii="宋体" w:hAnsi="宋体"/>
          <w:sz w:val="24"/>
        </w:rPr>
      </w:pPr>
      <w:r>
        <w:rPr>
          <w:rFonts w:hint="eastAsia" w:ascii="宋体" w:hAnsi="宋体"/>
          <w:sz w:val="24"/>
        </w:rPr>
        <w:t>17.3任何单位和个人不得干扰、影响谈判的正常进行；</w:t>
      </w:r>
    </w:p>
    <w:p>
      <w:pPr>
        <w:pStyle w:val="30"/>
        <w:ind w:firstLine="480" w:firstLineChars="200"/>
        <w:rPr>
          <w:rFonts w:ascii="宋体" w:hAnsi="宋体"/>
          <w:sz w:val="24"/>
        </w:rPr>
      </w:pPr>
      <w:r>
        <w:rPr>
          <w:rFonts w:hint="eastAsia" w:ascii="宋体" w:hAnsi="宋体"/>
          <w:sz w:val="24"/>
        </w:rPr>
        <w:t>17.4谈判专家委员会及有关工作人员不得私下与投标人接触。</w:t>
      </w:r>
    </w:p>
    <w:p>
      <w:pPr>
        <w:pStyle w:val="30"/>
        <w:ind w:firstLine="480" w:firstLineChars="200"/>
        <w:rPr>
          <w:rFonts w:ascii="宋体" w:hAnsi="宋体"/>
          <w:sz w:val="24"/>
        </w:rPr>
      </w:pPr>
      <w:r>
        <w:rPr>
          <w:rFonts w:hint="eastAsia" w:ascii="宋体" w:hAnsi="宋体"/>
          <w:sz w:val="24"/>
        </w:rPr>
        <w:t>17.5谈判专家因回避、临时缺席或健康原因等特殊情况不能继续参加评审工作的，应按规定更换谈判专家,被更换的谈判人员之前所作出的评审意见不再予以采纳，由更换后的谈判人员重新进行评审。无法及时更换专家的，要立即停止评审工作、封存评审资料，并告知投标人择期重新评审的时间和地点。</w:t>
      </w:r>
    </w:p>
    <w:p>
      <w:pPr>
        <w:pStyle w:val="21"/>
        <w:snapToGrid w:val="0"/>
        <w:ind w:left="2" w:leftChars="1" w:firstLine="480" w:firstLineChars="200"/>
        <w:rPr>
          <w:rFonts w:ascii="宋体" w:hAnsi="宋体"/>
          <w:b/>
        </w:rPr>
      </w:pPr>
      <w:r>
        <w:rPr>
          <w:rFonts w:hint="eastAsia" w:ascii="宋体" w:hAnsi="宋体"/>
          <w:bCs/>
        </w:rPr>
        <w:t>18本项目涉及提供的有关资质证书，若原有资质证书处于年审期间，投标人提供年审证明的可按原资质投标；若投标人正在申报上一级别资质，在未获批准之前，仍按原级别资质投标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19. 谈判程序</w:t>
      </w:r>
    </w:p>
    <w:p>
      <w:pPr>
        <w:snapToGrid w:val="0"/>
        <w:ind w:firstLine="472" w:firstLineChars="196"/>
        <w:rPr>
          <w:rFonts w:ascii="宋体" w:hAnsi="宋体"/>
          <w:b/>
          <w:bCs/>
          <w:sz w:val="24"/>
        </w:rPr>
      </w:pPr>
      <w:r>
        <w:rPr>
          <w:rFonts w:hint="eastAsia" w:ascii="宋体" w:hAnsi="宋体"/>
          <w:b/>
          <w:bCs/>
          <w:sz w:val="24"/>
        </w:rPr>
        <w:t>19.1资格及形式审查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19.2在谈判专家中推选谈判委员会组长</w:t>
      </w:r>
    </w:p>
    <w:p>
      <w:pPr>
        <w:snapToGrid w:val="0"/>
        <w:ind w:firstLine="472" w:firstLineChars="196"/>
        <w:rPr>
          <w:rFonts w:ascii="宋体" w:hAnsi="宋体"/>
          <w:b/>
          <w:bCs/>
          <w:sz w:val="24"/>
          <w:szCs w:val="20"/>
        </w:rPr>
      </w:pPr>
      <w:r>
        <w:rPr>
          <w:rFonts w:hint="eastAsia" w:ascii="宋体" w:hAnsi="宋体"/>
          <w:b/>
          <w:bCs/>
          <w:sz w:val="24"/>
        </w:rPr>
        <w:t>19.3</w:t>
      </w:r>
      <w:r>
        <w:rPr>
          <w:rFonts w:ascii="宋体" w:hAnsi="宋体"/>
          <w:b/>
          <w:bCs/>
          <w:sz w:val="24"/>
        </w:rPr>
        <w:t>实质审查与比较</w:t>
      </w:r>
    </w:p>
    <w:p>
      <w:pPr>
        <w:pStyle w:val="30"/>
        <w:ind w:firstLine="480" w:firstLineChars="200"/>
        <w:rPr>
          <w:rFonts w:ascii="宋体" w:hAnsi="宋体"/>
          <w:sz w:val="24"/>
        </w:rPr>
      </w:pPr>
      <w:r>
        <w:rPr>
          <w:rFonts w:hint="eastAsia" w:ascii="宋体" w:hAnsi="宋体"/>
          <w:sz w:val="24"/>
        </w:rPr>
        <w:t>19.3.1谈判时，谈判委员会将以采购文件为基本依据，首先评定谈判响应文件是否在实质上响应了采购文件的要求。所谓实质上响应，是指谈判响应文件应与采购文件的所有实质性条款、条件和要求相符，无显著差异或保留，或者对合同中约定的采购人的权利和投标人的义务方面造成重大的限制，纠正这些显著差异。</w:t>
      </w:r>
    </w:p>
    <w:p>
      <w:pPr>
        <w:pStyle w:val="30"/>
        <w:ind w:firstLine="480" w:firstLineChars="200"/>
        <w:rPr>
          <w:rFonts w:ascii="宋体" w:hAnsi="宋体"/>
          <w:sz w:val="24"/>
        </w:rPr>
      </w:pPr>
      <w:r>
        <w:rPr>
          <w:rFonts w:hint="eastAsia" w:ascii="宋体" w:hAnsi="宋体"/>
          <w:sz w:val="24"/>
        </w:rPr>
        <w:t>19.3.2谈判</w:t>
      </w:r>
      <w:r>
        <w:rPr>
          <w:rFonts w:ascii="宋体" w:hAnsi="宋体"/>
          <w:sz w:val="24"/>
        </w:rPr>
        <w:t>委员会将根据投标人的</w:t>
      </w:r>
      <w:r>
        <w:rPr>
          <w:rFonts w:hint="eastAsia" w:ascii="宋体" w:hAnsi="宋体"/>
          <w:sz w:val="24"/>
        </w:rPr>
        <w:t>谈判响应文件</w:t>
      </w:r>
      <w:r>
        <w:rPr>
          <w:rFonts w:ascii="宋体" w:hAnsi="宋体"/>
          <w:sz w:val="24"/>
        </w:rPr>
        <w:t>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“政采云”在线询标时间由谈判委员会根据项目实际情况决定，投标人代表拒绝澄清或者澄清的内容改变了谈判响应文件的实质性内容的，评标委员会有权对该谈判响应文件作出不利于投标人的评判。</w:t>
      </w:r>
    </w:p>
    <w:p>
      <w:pPr>
        <w:pStyle w:val="30"/>
        <w:ind w:firstLine="482" w:firstLineChars="200"/>
        <w:rPr>
          <w:rFonts w:ascii="宋体" w:hAnsi="宋体"/>
          <w:b/>
          <w:sz w:val="24"/>
        </w:rPr>
      </w:pPr>
      <w:r>
        <w:rPr>
          <w:rFonts w:hint="eastAsia" w:ascii="宋体" w:hAnsi="宋体"/>
          <w:b/>
          <w:sz w:val="24"/>
        </w:rPr>
        <w:t>19.3.3投标人应详细说明投标技术方案中产品的具体参数，不得照搬照抄采购文件的技术要求。否则，评标委员会有权认定为投标技术方案不合格响应，其相关分数予以扣减或作无效标处理。</w:t>
      </w:r>
    </w:p>
    <w:p>
      <w:pPr>
        <w:pStyle w:val="30"/>
        <w:ind w:firstLine="480" w:firstLineChars="200"/>
        <w:rPr>
          <w:rFonts w:ascii="宋体" w:hAnsi="宋体"/>
          <w:sz w:val="24"/>
        </w:rPr>
      </w:pPr>
      <w:r>
        <w:rPr>
          <w:rFonts w:hint="eastAsia" w:ascii="宋体" w:hAnsi="宋体"/>
          <w:sz w:val="24"/>
        </w:rPr>
        <w:t>19.3.4如果谈判响应文件实质不响应采购文件的各项要求，评标委员会将予以拒绝，并且不允许投标人通过修改或撤销其不符合要求的差异或保留，使之成为具有响应性的投标。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19.3.5谈判专家</w:t>
      </w:r>
      <w:r>
        <w:rPr>
          <w:rFonts w:ascii="宋体" w:hAnsi="宋体"/>
          <w:sz w:val="24"/>
        </w:rPr>
        <w:t>完成</w:t>
      </w:r>
      <w:r>
        <w:rPr>
          <w:rFonts w:hint="eastAsia" w:ascii="宋体" w:hAnsi="宋体"/>
          <w:sz w:val="24"/>
        </w:rPr>
        <w:t>谈判</w:t>
      </w:r>
      <w:r>
        <w:rPr>
          <w:rFonts w:ascii="宋体" w:hAnsi="宋体"/>
          <w:sz w:val="24"/>
        </w:rPr>
        <w:t>后,</w:t>
      </w:r>
      <w:r>
        <w:rPr>
          <w:rFonts w:hint="eastAsia" w:ascii="宋体" w:hAnsi="宋体"/>
          <w:sz w:val="24"/>
        </w:rPr>
        <w:t xml:space="preserve"> 谈判</w:t>
      </w:r>
      <w:r>
        <w:rPr>
          <w:rFonts w:ascii="宋体" w:hAnsi="宋体"/>
          <w:sz w:val="24"/>
        </w:rPr>
        <w:t>委员会按</w:t>
      </w:r>
      <w:r>
        <w:rPr>
          <w:rFonts w:hint="eastAsia" w:ascii="宋体" w:hAnsi="宋体"/>
          <w:sz w:val="24"/>
        </w:rPr>
        <w:t>谈判结果确定</w:t>
      </w:r>
      <w:r>
        <w:rPr>
          <w:rFonts w:ascii="宋体" w:hAnsi="宋体"/>
          <w:sz w:val="24"/>
        </w:rPr>
        <w:t>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30"/>
        <w:ind w:firstLine="482" w:firstLineChars="200"/>
        <w:rPr>
          <w:rFonts w:ascii="宋体" w:hAnsi="宋体"/>
          <w:b/>
          <w:sz w:val="24"/>
        </w:rPr>
      </w:pPr>
      <w:r>
        <w:rPr>
          <w:rFonts w:hint="eastAsia" w:ascii="宋体" w:hAnsi="宋体"/>
          <w:b/>
          <w:sz w:val="24"/>
        </w:rPr>
        <w:t>19.3.6谈判委员会对明显不合理的投标报价，有权要求投标人在规定时间内提交说明，投标人不能提供的或提供的材料不能说明问题的，谈判委员会可以判定其投标无效。</w:t>
      </w:r>
    </w:p>
    <w:p>
      <w:pPr>
        <w:pStyle w:val="30"/>
        <w:ind w:firstLine="480" w:firstLineChars="200"/>
        <w:rPr>
          <w:rFonts w:ascii="宋体" w:hAnsi="宋体"/>
          <w:sz w:val="24"/>
        </w:rPr>
      </w:pPr>
      <w:r>
        <w:rPr>
          <w:rFonts w:hint="eastAsia" w:ascii="宋体" w:hAnsi="宋体"/>
          <w:sz w:val="24"/>
        </w:rPr>
        <w:t>19.3.7谈判人员对有关采购文件、谈判响应文件、解释、要求、标准存在不同意见的，持不同意见的谈判人员及其意见或理由应予以完整记录，并在谈判过程中按照少数服从多数的原则表决执行。谈判人员拒绝在评审报告中签字又不说明其不同意见或理由的，由现场监督员记录在案后，可视为同意评审结果。</w:t>
      </w:r>
    </w:p>
    <w:p>
      <w:pPr>
        <w:pStyle w:val="30"/>
        <w:ind w:firstLine="480" w:firstLineChars="200"/>
        <w:rPr>
          <w:rFonts w:ascii="宋体" w:hAnsi="宋体"/>
          <w:sz w:val="24"/>
        </w:rPr>
      </w:pPr>
      <w:r>
        <w:rPr>
          <w:rFonts w:hint="eastAsia" w:ascii="宋体" w:hAnsi="宋体"/>
          <w:sz w:val="24"/>
        </w:rPr>
        <w:t>19.3.8谈判</w:t>
      </w:r>
      <w:r>
        <w:rPr>
          <w:rFonts w:ascii="宋体" w:hAnsi="宋体"/>
          <w:sz w:val="24"/>
        </w:rPr>
        <w:t>委员会发现采购文件存在歧义、重大缺陷导致评标工作无法进行，或者采购文件内容违反国家有关强制性规定的，应当停止</w:t>
      </w:r>
      <w:r>
        <w:rPr>
          <w:rFonts w:hint="eastAsia" w:ascii="宋体" w:hAnsi="宋体"/>
          <w:sz w:val="24"/>
        </w:rPr>
        <w:t>谈判</w:t>
      </w:r>
      <w:r>
        <w:rPr>
          <w:rFonts w:ascii="宋体" w:hAnsi="宋体"/>
          <w:sz w:val="24"/>
        </w:rPr>
        <w:t>工作，与采购人或者采购代理机构沟通并作书面记录。采购人或者采购代理机构确认后，应当修改采购文件，重新组织采购活动。</w:t>
      </w:r>
    </w:p>
    <w:p>
      <w:pPr>
        <w:pStyle w:val="30"/>
        <w:ind w:firstLine="480" w:firstLineChars="200"/>
        <w:rPr>
          <w:rFonts w:ascii="宋体" w:hAnsi="宋体"/>
          <w:sz w:val="24"/>
        </w:rPr>
      </w:pPr>
    </w:p>
    <w:p>
      <w:pPr>
        <w:rPr>
          <w:rFonts w:ascii="宋体" w:hAnsi="宋体"/>
          <w:b/>
          <w:sz w:val="24"/>
          <w:szCs w:val="24"/>
        </w:rPr>
      </w:pPr>
      <w:r>
        <w:rPr>
          <w:rFonts w:hint="eastAsia"/>
        </w:rPr>
        <w:t xml:space="preserve">   </w:t>
      </w:r>
      <w:r>
        <w:rPr>
          <w:rFonts w:hint="eastAsia" w:ascii="宋体" w:hAnsi="宋体"/>
          <w:b/>
          <w:sz w:val="24"/>
          <w:szCs w:val="24"/>
        </w:rPr>
        <w:t xml:space="preserve"> 20 谈判响应文件的澄清</w:t>
      </w:r>
    </w:p>
    <w:p>
      <w:pPr>
        <w:spacing w:line="360" w:lineRule="exact"/>
        <w:ind w:firstLine="480" w:firstLineChars="200"/>
        <w:rPr>
          <w:rFonts w:ascii="宋体" w:hAnsi="宋体"/>
          <w:sz w:val="24"/>
        </w:rPr>
      </w:pPr>
      <w:r>
        <w:rPr>
          <w:rFonts w:hint="eastAsia" w:ascii="宋体" w:hAnsi="宋体"/>
          <w:sz w:val="24"/>
        </w:rPr>
        <w:t>对谈判响应文件中含义不明确、同类问题表述不一致或者有明显文字错误的内容，评标委员会可以在“政采云”平台在线询标或其他有效形式要求投标人对同一份谈判响应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谈判响应文件的范围或改变谈判响应文件的实质性内容。凡属于评标小组在评标中发现的计算错误并进行核实的修改不在此列。投标人的澄清文件是其谈判响应文件的组成部分。</w:t>
      </w:r>
    </w:p>
    <w:p>
      <w:pPr>
        <w:pStyle w:val="21"/>
        <w:snapToGrid w:val="0"/>
        <w:ind w:left="720" w:leftChars="228" w:hanging="241" w:hangingChars="100"/>
        <w:rPr>
          <w:rFonts w:ascii="宋体" w:hAnsi="宋体"/>
          <w:b/>
        </w:rPr>
      </w:pPr>
      <w:r>
        <w:rPr>
          <w:rFonts w:hint="eastAsia" w:ascii="宋体" w:hAnsi="宋体"/>
          <w:b/>
        </w:rPr>
        <w:t>21.</w:t>
      </w:r>
      <w:r>
        <w:rPr>
          <w:rFonts w:ascii="宋体" w:hAnsi="宋体"/>
          <w:b/>
        </w:rPr>
        <w:t>错误修正</w:t>
      </w:r>
    </w:p>
    <w:p>
      <w:pPr>
        <w:pStyle w:val="30"/>
        <w:ind w:firstLine="480" w:firstLineChars="200"/>
        <w:rPr>
          <w:rFonts w:ascii="宋体" w:hAnsi="宋体"/>
          <w:sz w:val="24"/>
        </w:rPr>
      </w:pPr>
      <w:r>
        <w:rPr>
          <w:rFonts w:hint="eastAsia" w:ascii="宋体" w:hAnsi="宋体"/>
          <w:color w:val="000000"/>
          <w:sz w:val="24"/>
          <w:szCs w:val="21"/>
        </w:rPr>
        <w:t>谈判响应文件</w:t>
      </w:r>
      <w:r>
        <w:rPr>
          <w:rFonts w:hint="eastAsia" w:ascii="宋体" w:hAnsi="宋体"/>
          <w:sz w:val="24"/>
        </w:rPr>
        <w:t>报价出现前后不一致的，按照下列规定修正：</w:t>
      </w:r>
    </w:p>
    <w:p>
      <w:pPr>
        <w:pStyle w:val="30"/>
        <w:ind w:firstLine="480" w:firstLineChars="200"/>
        <w:rPr>
          <w:rFonts w:ascii="宋体" w:hAnsi="宋体"/>
          <w:sz w:val="24"/>
        </w:rPr>
      </w:pPr>
      <w:r>
        <w:rPr>
          <w:rFonts w:hint="eastAsia" w:ascii="宋体" w:hAnsi="宋体"/>
          <w:sz w:val="24"/>
        </w:rPr>
        <w:t>21.1</w:t>
      </w:r>
      <w:r>
        <w:rPr>
          <w:rFonts w:hint="eastAsia" w:ascii="宋体" w:hAnsi="宋体"/>
          <w:color w:val="000000"/>
          <w:sz w:val="24"/>
          <w:szCs w:val="21"/>
        </w:rPr>
        <w:t>谈判响应文件</w:t>
      </w:r>
      <w:r>
        <w:rPr>
          <w:rFonts w:hint="eastAsia" w:ascii="宋体" w:hAnsi="宋体"/>
          <w:sz w:val="24"/>
        </w:rPr>
        <w:t>中开标一览表（报价表）内容与</w:t>
      </w:r>
      <w:r>
        <w:rPr>
          <w:rFonts w:hint="eastAsia" w:ascii="宋体" w:hAnsi="宋体"/>
          <w:color w:val="000000"/>
          <w:sz w:val="24"/>
          <w:szCs w:val="21"/>
        </w:rPr>
        <w:t>谈判响应文件</w:t>
      </w:r>
      <w:r>
        <w:rPr>
          <w:rFonts w:hint="eastAsia" w:ascii="宋体" w:hAnsi="宋体"/>
          <w:sz w:val="24"/>
        </w:rPr>
        <w:t>中相应内容不一致的，以开标一览表（报价表）为准。</w:t>
      </w:r>
    </w:p>
    <w:p>
      <w:pPr>
        <w:pStyle w:val="30"/>
        <w:ind w:firstLine="480" w:firstLineChars="200"/>
        <w:rPr>
          <w:rFonts w:ascii="宋体" w:hAnsi="宋体"/>
          <w:sz w:val="24"/>
        </w:rPr>
      </w:pPr>
      <w:r>
        <w:rPr>
          <w:rFonts w:hint="eastAsia" w:ascii="宋体" w:hAnsi="宋体"/>
          <w:sz w:val="24"/>
        </w:rPr>
        <w:t>21.2大写金额和小写金额不一致的，以大写金额为准。</w:t>
      </w:r>
    </w:p>
    <w:p>
      <w:pPr>
        <w:pStyle w:val="30"/>
        <w:ind w:firstLine="480" w:firstLineChars="200"/>
        <w:rPr>
          <w:rFonts w:ascii="宋体" w:hAnsi="宋体"/>
          <w:sz w:val="24"/>
        </w:rPr>
      </w:pPr>
      <w:r>
        <w:rPr>
          <w:rFonts w:hint="eastAsia" w:ascii="宋体" w:hAnsi="宋体"/>
          <w:sz w:val="24"/>
        </w:rPr>
        <w:t>21.3单价金额小数点或者百分比有明显错位的，以开标一览表的总价为准，并修改单价。</w:t>
      </w:r>
    </w:p>
    <w:p>
      <w:pPr>
        <w:pStyle w:val="30"/>
        <w:ind w:firstLine="480" w:firstLineChars="200"/>
        <w:rPr>
          <w:rFonts w:ascii="宋体" w:hAnsi="宋体"/>
          <w:sz w:val="24"/>
        </w:rPr>
      </w:pPr>
      <w:r>
        <w:rPr>
          <w:rFonts w:hint="eastAsia" w:ascii="宋体" w:hAnsi="宋体"/>
          <w:sz w:val="24"/>
        </w:rPr>
        <w:t>21.4总价金额与按单价汇总金额不一致的，以单价金额计算结果为准。</w:t>
      </w:r>
    </w:p>
    <w:p>
      <w:pPr>
        <w:pStyle w:val="30"/>
        <w:ind w:firstLine="480" w:firstLineChars="200"/>
        <w:rPr>
          <w:rFonts w:ascii="宋体" w:hAnsi="宋体"/>
          <w:sz w:val="24"/>
        </w:rPr>
      </w:pPr>
      <w:r>
        <w:rPr>
          <w:rFonts w:hint="eastAsia" w:ascii="宋体" w:hAnsi="宋体"/>
          <w:sz w:val="24"/>
        </w:rPr>
        <w:t>同时出现两种以上不一致的，按照上述规定的顺序修正。</w:t>
      </w:r>
    </w:p>
    <w:p>
      <w:pPr>
        <w:pStyle w:val="30"/>
        <w:ind w:firstLine="480" w:firstLineChars="200"/>
        <w:rPr>
          <w:rFonts w:ascii="宋体" w:hAnsi="宋体"/>
          <w:sz w:val="24"/>
        </w:rPr>
      </w:pPr>
      <w:r>
        <w:rPr>
          <w:rFonts w:ascii="宋体" w:hAnsi="宋体"/>
          <w:sz w:val="24"/>
        </w:rPr>
        <w:t>按上述修正错误的原则及方法调整或修正</w:t>
      </w:r>
      <w:r>
        <w:rPr>
          <w:rFonts w:hint="eastAsia" w:ascii="宋体" w:hAnsi="宋体"/>
          <w:color w:val="000000"/>
          <w:sz w:val="24"/>
          <w:szCs w:val="21"/>
        </w:rPr>
        <w:t>谈判响应文件</w:t>
      </w:r>
      <w:r>
        <w:rPr>
          <w:rFonts w:ascii="宋体" w:hAnsi="宋体"/>
          <w:sz w:val="24"/>
        </w:rPr>
        <w:t>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五、</w:t>
      </w:r>
      <w:r>
        <w:rPr>
          <w:rFonts w:ascii="黑体" w:hAnsi="黑体"/>
          <w:sz w:val="28"/>
          <w:szCs w:val="28"/>
        </w:rPr>
        <w:t>成交</w:t>
      </w:r>
      <w:r>
        <w:rPr>
          <w:rFonts w:hint="eastAsia" w:ascii="黑体" w:hAnsi="黑体"/>
          <w:sz w:val="28"/>
          <w:szCs w:val="28"/>
        </w:rPr>
        <w:t>通知</w:t>
      </w:r>
    </w:p>
    <w:p>
      <w:pPr>
        <w:ind w:firstLine="480" w:firstLineChars="200"/>
        <w:rPr>
          <w:rFonts w:ascii="宋体" w:hAnsi="宋体"/>
          <w:sz w:val="24"/>
        </w:rPr>
      </w:pPr>
      <w:r>
        <w:rPr>
          <w:rFonts w:hint="eastAsia" w:ascii="宋体" w:hAnsi="宋体"/>
          <w:sz w:val="24"/>
        </w:rPr>
        <w:t>22.谈判成功，各方就所有问题达成一致后，采购代理机构在2个工作日内将评审报告送采购人确认，采购人在收到评审报告后5个工作日内确定成交结果，采购代理机构在采购人确定成交结果之日起2个工作日内在浙江省政府采购网上发布成交公告，由采购代理机构通过“政采云”平台确认并签发《成交通知书》。</w:t>
      </w:r>
      <w:r>
        <w:rPr>
          <w:rFonts w:ascii="宋体" w:hAnsi="宋体"/>
          <w:sz w:val="24"/>
        </w:rPr>
        <w:t>《</w:t>
      </w:r>
      <w:r>
        <w:rPr>
          <w:rFonts w:hint="eastAsia" w:ascii="宋体" w:hAnsi="宋体"/>
          <w:sz w:val="24"/>
        </w:rPr>
        <w:t>成交</w:t>
      </w:r>
      <w:r>
        <w:rPr>
          <w:rFonts w:ascii="宋体" w:hAnsi="宋体"/>
          <w:sz w:val="24"/>
        </w:rPr>
        <w:t>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23</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ind w:firstLine="480" w:firstLineChars="200"/>
        <w:rPr>
          <w:rFonts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ind w:firstLine="480" w:firstLineChars="200"/>
        <w:rPr>
          <w:rFonts w:ascii="宋体" w:hAnsi="宋体"/>
          <w:sz w:val="24"/>
        </w:rPr>
      </w:pPr>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24.签订合同</w:t>
      </w:r>
    </w:p>
    <w:p>
      <w:pPr>
        <w:ind w:firstLine="480" w:firstLineChars="200"/>
        <w:rPr>
          <w:rFonts w:ascii="宋体" w:hAnsi="宋体"/>
          <w:sz w:val="24"/>
        </w:rPr>
      </w:pPr>
      <w:r>
        <w:rPr>
          <w:rFonts w:hint="eastAsia" w:ascii="宋体" w:hAnsi="宋体"/>
          <w:sz w:val="24"/>
        </w:rPr>
        <w:t>24.1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ascii="宋体" w:hAnsi="宋体"/>
          <w:sz w:val="24"/>
        </w:rPr>
      </w:pPr>
      <w:r>
        <w:rPr>
          <w:rFonts w:hint="eastAsia" w:ascii="宋体" w:hAnsi="宋体"/>
          <w:sz w:val="24"/>
        </w:rPr>
        <w:t>24.2采购文件、谈判响应文件、谈判记录和《成交通知书》作为合同签订的依据和主要附件。</w:t>
      </w:r>
    </w:p>
    <w:p>
      <w:pPr>
        <w:ind w:firstLine="480" w:firstLineChars="200"/>
        <w:rPr>
          <w:rFonts w:ascii="宋体" w:hAnsi="宋体"/>
          <w:sz w:val="24"/>
        </w:rPr>
      </w:pPr>
      <w:r>
        <w:rPr>
          <w:rFonts w:hint="eastAsia" w:ascii="宋体" w:hAnsi="宋体"/>
          <w:sz w:val="24"/>
        </w:rPr>
        <w:t>24.3 合同一式四份，用户单位和成交供应商各执二份。</w:t>
      </w:r>
    </w:p>
    <w:p>
      <w:pPr>
        <w:ind w:firstLine="480" w:firstLineChars="200"/>
        <w:rPr>
          <w:rFonts w:ascii="宋体" w:hAnsi="宋体"/>
          <w:sz w:val="24"/>
        </w:rPr>
      </w:pPr>
      <w:r>
        <w:rPr>
          <w:rFonts w:hint="eastAsia" w:ascii="宋体" w:hAnsi="宋体"/>
          <w:sz w:val="24"/>
        </w:rPr>
        <w:t>24.4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25.</w:t>
      </w:r>
      <w:r>
        <w:rPr>
          <w:rFonts w:ascii="宋体" w:hAnsi="宋体"/>
          <w:b/>
          <w:bCs/>
          <w:sz w:val="24"/>
        </w:rPr>
        <w:t>履约保证金</w:t>
      </w:r>
    </w:p>
    <w:p>
      <w:pPr>
        <w:ind w:firstLine="480" w:firstLineChars="200"/>
        <w:rPr>
          <w:rFonts w:ascii="宋体" w:hAnsi="宋体"/>
          <w:sz w:val="24"/>
        </w:rPr>
      </w:pPr>
      <w:r>
        <w:rPr>
          <w:rFonts w:hint="eastAsia" w:ascii="宋体" w:hAnsi="宋体"/>
          <w:sz w:val="24"/>
        </w:rPr>
        <w:t>25.1本项目免收履约保证金。</w:t>
      </w:r>
    </w:p>
    <w:p>
      <w:pPr>
        <w:ind w:firstLine="480" w:firstLineChars="200"/>
        <w:rPr>
          <w:rFonts w:ascii="宋体" w:hAnsi="宋体"/>
          <w:sz w:val="24"/>
        </w:rPr>
      </w:pPr>
      <w:r>
        <w:rPr>
          <w:rFonts w:hint="eastAsia" w:ascii="宋体" w:hAnsi="宋体"/>
          <w:sz w:val="24"/>
        </w:rPr>
        <w:t>25.2成交供应商不履行与采购人订立的合同的，履约保证金不予退还，给采购单位造成损失的，应当对采购单位的损失承担赔偿责任。</w:t>
      </w:r>
    </w:p>
    <w:p>
      <w:pPr>
        <w:snapToGrid w:val="0"/>
        <w:ind w:firstLine="472" w:firstLineChars="196"/>
        <w:rPr>
          <w:rFonts w:ascii="宋体" w:hAnsi="宋体"/>
          <w:b/>
          <w:bCs/>
          <w:sz w:val="24"/>
        </w:rPr>
      </w:pPr>
      <w:r>
        <w:rPr>
          <w:rFonts w:hint="eastAsia" w:ascii="宋体" w:hAnsi="宋体"/>
          <w:b/>
          <w:bCs/>
          <w:sz w:val="24"/>
        </w:rPr>
        <w:t>26.授标及废除授标</w:t>
      </w:r>
    </w:p>
    <w:p>
      <w:pPr>
        <w:pStyle w:val="30"/>
        <w:ind w:firstLine="480" w:firstLineChars="200"/>
        <w:rPr>
          <w:rFonts w:ascii="宋体" w:hAnsi="宋体"/>
          <w:sz w:val="24"/>
        </w:rPr>
      </w:pPr>
      <w:r>
        <w:rPr>
          <w:rFonts w:hint="eastAsia" w:ascii="宋体" w:hAnsi="宋体"/>
          <w:sz w:val="24"/>
        </w:rPr>
        <w:t>26.1 采购合同应当授予</w:t>
      </w:r>
      <w:r>
        <w:rPr>
          <w:rFonts w:ascii="宋体" w:hAnsi="宋体"/>
          <w:color w:val="000000"/>
          <w:sz w:val="24"/>
        </w:rPr>
        <w:t>成交供应商</w:t>
      </w:r>
      <w:r>
        <w:rPr>
          <w:rFonts w:hint="eastAsia" w:ascii="宋体" w:hAnsi="宋体"/>
          <w:sz w:val="24"/>
        </w:rPr>
        <w:t>。</w:t>
      </w:r>
    </w:p>
    <w:p>
      <w:pPr>
        <w:pStyle w:val="30"/>
        <w:ind w:firstLine="480" w:firstLineChars="200"/>
        <w:rPr>
          <w:rFonts w:ascii="宋体" w:hAnsi="宋体"/>
          <w:sz w:val="24"/>
        </w:rPr>
      </w:pPr>
      <w:r>
        <w:rPr>
          <w:rFonts w:hint="eastAsia" w:ascii="宋体" w:hAnsi="宋体"/>
          <w:sz w:val="24"/>
        </w:rPr>
        <w:t>26.2《成交通知书》发出之后，若证实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30"/>
        <w:ind w:left="420" w:firstLine="0"/>
        <w:rPr>
          <w:rFonts w:ascii="宋体" w:hAnsi="宋体"/>
          <w:sz w:val="24"/>
        </w:rPr>
      </w:pPr>
      <w:r>
        <w:rPr>
          <w:rFonts w:hint="eastAsia" w:ascii="宋体" w:hAnsi="宋体"/>
          <w:sz w:val="24"/>
        </w:rPr>
        <w:t>26.2.1弄虚作假或串通谈判骗取成交的；</w:t>
      </w:r>
    </w:p>
    <w:p>
      <w:pPr>
        <w:pStyle w:val="30"/>
        <w:ind w:left="420" w:firstLine="0"/>
        <w:rPr>
          <w:rFonts w:ascii="宋体" w:hAnsi="宋体"/>
          <w:sz w:val="24"/>
        </w:rPr>
      </w:pPr>
      <w:r>
        <w:rPr>
          <w:rFonts w:hint="eastAsia" w:ascii="宋体" w:hAnsi="宋体"/>
          <w:sz w:val="24"/>
        </w:rPr>
        <w:t>26.2.2向有关人员行贿或者采取其他不正当手段谋取中标的；</w:t>
      </w:r>
    </w:p>
    <w:p>
      <w:pPr>
        <w:pStyle w:val="30"/>
        <w:ind w:left="420" w:firstLine="0"/>
        <w:rPr>
          <w:rFonts w:ascii="宋体" w:hAnsi="宋体"/>
          <w:sz w:val="24"/>
        </w:rPr>
      </w:pPr>
      <w:r>
        <w:rPr>
          <w:rFonts w:hint="eastAsia" w:ascii="宋体" w:hAnsi="宋体"/>
          <w:sz w:val="24"/>
        </w:rPr>
        <w:t>26.2.3于谈判有效期终止之前撤回其谈判响应文件的；</w:t>
      </w:r>
    </w:p>
    <w:p>
      <w:pPr>
        <w:pStyle w:val="30"/>
        <w:ind w:left="420" w:firstLine="0"/>
        <w:rPr>
          <w:rFonts w:ascii="宋体" w:hAnsi="宋体"/>
          <w:sz w:val="24"/>
        </w:rPr>
      </w:pPr>
      <w:r>
        <w:rPr>
          <w:rFonts w:hint="eastAsia" w:ascii="宋体" w:hAnsi="宋体"/>
          <w:sz w:val="24"/>
        </w:rPr>
        <w:t>26.2.4因</w:t>
      </w:r>
      <w:r>
        <w:rPr>
          <w:rFonts w:ascii="宋体" w:hAnsi="宋体"/>
          <w:color w:val="000000"/>
          <w:sz w:val="24"/>
        </w:rPr>
        <w:t>成交供应商</w:t>
      </w:r>
      <w:r>
        <w:rPr>
          <w:rFonts w:hint="eastAsia" w:ascii="宋体" w:hAnsi="宋体"/>
          <w:sz w:val="24"/>
        </w:rPr>
        <w:t>未能按照有关规定提交履约保证金的；</w:t>
      </w:r>
    </w:p>
    <w:p>
      <w:pPr>
        <w:pStyle w:val="30"/>
        <w:ind w:left="420" w:firstLine="0"/>
        <w:rPr>
          <w:rFonts w:ascii="宋体" w:hAnsi="宋体"/>
          <w:sz w:val="24"/>
        </w:rPr>
      </w:pPr>
      <w:r>
        <w:rPr>
          <w:rFonts w:hint="eastAsia" w:ascii="宋体" w:hAnsi="宋体"/>
          <w:sz w:val="24"/>
        </w:rPr>
        <w:t>26.2.5因</w:t>
      </w:r>
      <w:r>
        <w:rPr>
          <w:rFonts w:ascii="宋体" w:hAnsi="宋体"/>
          <w:color w:val="000000"/>
          <w:sz w:val="24"/>
        </w:rPr>
        <w:t>成交供应商</w:t>
      </w:r>
      <w:r>
        <w:rPr>
          <w:rFonts w:hint="eastAsia" w:ascii="宋体" w:hAnsi="宋体"/>
          <w:sz w:val="24"/>
        </w:rPr>
        <w:t>未能按照有关规定与用户单位签订采购合同的；</w:t>
      </w:r>
    </w:p>
    <w:p>
      <w:pPr>
        <w:pStyle w:val="30"/>
        <w:ind w:left="420" w:firstLine="0"/>
        <w:rPr>
          <w:rFonts w:ascii="宋体" w:hAnsi="宋体"/>
          <w:sz w:val="24"/>
        </w:rPr>
      </w:pPr>
      <w:r>
        <w:rPr>
          <w:rFonts w:hint="eastAsia" w:ascii="宋体" w:hAnsi="宋体"/>
          <w:sz w:val="24"/>
        </w:rPr>
        <w:t>26.2.6未能按中标产品、型号、配置等及时供货的；</w:t>
      </w:r>
    </w:p>
    <w:p>
      <w:pPr>
        <w:pStyle w:val="30"/>
        <w:ind w:left="420" w:firstLine="0"/>
        <w:rPr>
          <w:rFonts w:ascii="宋体" w:hAnsi="宋体"/>
          <w:sz w:val="24"/>
        </w:rPr>
      </w:pPr>
      <w:r>
        <w:rPr>
          <w:rFonts w:hint="eastAsia" w:ascii="宋体" w:hAnsi="宋体"/>
          <w:sz w:val="24"/>
        </w:rPr>
        <w:t>26.2.7拒绝接受有关部门监督检查的；</w:t>
      </w:r>
    </w:p>
    <w:p>
      <w:pPr>
        <w:pStyle w:val="30"/>
        <w:ind w:left="420" w:firstLine="0"/>
        <w:rPr>
          <w:rFonts w:ascii="宋体" w:hAnsi="宋体"/>
          <w:sz w:val="24"/>
        </w:rPr>
      </w:pPr>
      <w:r>
        <w:rPr>
          <w:rFonts w:hint="eastAsia" w:ascii="宋体" w:hAnsi="宋体"/>
          <w:sz w:val="24"/>
        </w:rPr>
        <w:t>26.2.8存在法律、法规规定的其它损害采购人或用户单位利益或社会公共利益的情形的。</w:t>
      </w:r>
    </w:p>
    <w:p>
      <w:pPr>
        <w:snapToGrid w:val="0"/>
        <w:ind w:firstLine="472" w:firstLineChars="196"/>
        <w:rPr>
          <w:rFonts w:ascii="宋体" w:hAnsi="宋体"/>
          <w:b/>
          <w:bCs/>
          <w:sz w:val="24"/>
        </w:rPr>
      </w:pPr>
      <w:r>
        <w:rPr>
          <w:rFonts w:hint="eastAsia" w:ascii="宋体" w:hAnsi="宋体"/>
          <w:b/>
          <w:bCs/>
          <w:sz w:val="24"/>
        </w:rPr>
        <w:t>27.相关责任</w:t>
      </w:r>
    </w:p>
    <w:p>
      <w:pPr>
        <w:pStyle w:val="30"/>
        <w:ind w:firstLine="480" w:firstLineChars="200"/>
        <w:rPr>
          <w:rFonts w:ascii="宋体" w:hAnsi="宋体"/>
          <w:sz w:val="24"/>
        </w:rPr>
      </w:pPr>
      <w:r>
        <w:rPr>
          <w:rFonts w:hint="eastAsia" w:ascii="宋体" w:hAnsi="宋体"/>
          <w:sz w:val="24"/>
        </w:rPr>
        <w:t>27.1用户单位不签订合同，给</w:t>
      </w:r>
      <w:r>
        <w:rPr>
          <w:rFonts w:ascii="宋体" w:hAnsi="宋体"/>
          <w:color w:val="000000"/>
          <w:sz w:val="24"/>
        </w:rPr>
        <w:t>成交供应商</w:t>
      </w:r>
      <w:r>
        <w:rPr>
          <w:rFonts w:hint="eastAsia" w:ascii="宋体" w:hAnsi="宋体"/>
          <w:sz w:val="24"/>
        </w:rPr>
        <w:t>造成损失的，由采购单位承担。</w:t>
      </w:r>
    </w:p>
    <w:p>
      <w:pPr>
        <w:pStyle w:val="30"/>
        <w:ind w:firstLine="480" w:firstLineChars="200"/>
        <w:rPr>
          <w:rFonts w:ascii="宋体" w:hAnsi="宋体"/>
          <w:sz w:val="24"/>
        </w:rPr>
      </w:pPr>
      <w:r>
        <w:rPr>
          <w:rFonts w:hint="eastAsia" w:ascii="宋体" w:hAnsi="宋体"/>
          <w:sz w:val="24"/>
        </w:rPr>
        <w:t>27.2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ascii="宋体" w:hAnsi="宋体"/>
          <w:b/>
          <w:bCs/>
          <w:sz w:val="24"/>
        </w:rPr>
      </w:pPr>
      <w:r>
        <w:rPr>
          <w:rFonts w:hint="eastAsia" w:ascii="宋体" w:hAnsi="宋体"/>
          <w:b/>
          <w:bCs/>
          <w:sz w:val="24"/>
        </w:rPr>
        <w:t>28.合同备案</w:t>
      </w:r>
    </w:p>
    <w:p>
      <w:pPr>
        <w:ind w:firstLine="480" w:firstLineChars="200"/>
        <w:rPr>
          <w:sz w:val="24"/>
        </w:rPr>
      </w:pPr>
      <w:r>
        <w:rPr>
          <w:rFonts w:hint="eastAsia" w:ascii="宋体" w:hAnsi="宋体"/>
          <w:sz w:val="24"/>
        </w:rPr>
        <w:t>采购人应当自采购合同签订之日起七个工作日内，通过政采云系统上传合同进行备案。</w:t>
      </w:r>
    </w:p>
    <w:p>
      <w:pPr>
        <w:pStyle w:val="3"/>
        <w:spacing w:before="0" w:after="0" w:line="240" w:lineRule="auto"/>
        <w:ind w:firstLine="562" w:firstLineChars="200"/>
        <w:jc w:val="center"/>
        <w:rPr>
          <w:rFonts w:ascii="宋体" w:hAnsi="宋体" w:eastAsia="宋体"/>
          <w:sz w:val="28"/>
          <w:szCs w:val="28"/>
        </w:rPr>
      </w:pPr>
    </w:p>
    <w:p>
      <w:pPr>
        <w:pStyle w:val="3"/>
        <w:spacing w:before="0" w:after="0" w:line="240" w:lineRule="auto"/>
        <w:ind w:firstLine="562" w:firstLineChars="200"/>
        <w:jc w:val="center"/>
        <w:rPr>
          <w:rFonts w:ascii="宋体" w:hAnsi="宋体" w:eastAsia="宋体"/>
          <w:sz w:val="28"/>
          <w:szCs w:val="28"/>
        </w:rPr>
      </w:pPr>
      <w:r>
        <w:rPr>
          <w:rFonts w:hint="eastAsia" w:ascii="宋体" w:hAnsi="宋体" w:eastAsia="宋体"/>
          <w:sz w:val="28"/>
          <w:szCs w:val="28"/>
        </w:rPr>
        <w:t>七、不良行为记录</w:t>
      </w:r>
    </w:p>
    <w:p>
      <w:pPr>
        <w:ind w:firstLine="480" w:firstLineChars="200"/>
        <w:rPr>
          <w:rFonts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tcPr>
          <w:p>
            <w:pPr>
              <w:jc w:val="center"/>
              <w:rPr>
                <w:rFonts w:ascii="宋体" w:hAnsi="宋体"/>
                <w:b/>
                <w:bCs/>
                <w:sz w:val="24"/>
                <w:szCs w:val="24"/>
              </w:rPr>
            </w:pPr>
            <w:r>
              <w:rPr>
                <w:rFonts w:hint="eastAsia" w:ascii="宋体" w:hAnsi="宋体"/>
                <w:b/>
                <w:bCs/>
                <w:sz w:val="24"/>
                <w:szCs w:val="24"/>
              </w:rPr>
              <w:t>序号</w:t>
            </w:r>
          </w:p>
        </w:tc>
        <w:tc>
          <w:tcPr>
            <w:tcW w:w="6433" w:type="dxa"/>
            <w:vAlign w:val="center"/>
          </w:tcPr>
          <w:p>
            <w:pPr>
              <w:jc w:val="center"/>
              <w:rPr>
                <w:rFonts w:ascii="宋体" w:hAnsi="宋体"/>
                <w:b/>
                <w:bCs/>
                <w:sz w:val="24"/>
                <w:szCs w:val="24"/>
              </w:rPr>
            </w:pPr>
            <w:r>
              <w:rPr>
                <w:rFonts w:hint="eastAsia" w:ascii="宋体" w:hAnsi="宋体"/>
                <w:b/>
                <w:bCs/>
                <w:sz w:val="24"/>
                <w:szCs w:val="24"/>
              </w:rPr>
              <w:t>不良行为</w:t>
            </w:r>
          </w:p>
        </w:tc>
        <w:tc>
          <w:tcPr>
            <w:tcW w:w="1326" w:type="dxa"/>
          </w:tcPr>
          <w:p>
            <w:pPr>
              <w:jc w:val="center"/>
              <w:rPr>
                <w:rFonts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在采购采购过程中，与采购人进行协商谈判的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投标有效期内撤回其谈判响应文件的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拒绝有关部门监督检查或提供虚假情况的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不积极配合采购单位做好标的验收工作的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不遵守投标会场纪律，无理取闹，扰乱交易秩序的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与采购人、其他供应商或者采购代理机构相互串通的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采取不正当手段排挤其他供应商，进行不公平竞争的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中标后与采购人另行订立背离合同实质内容的协议的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事先有承诺，而事后违反承诺内容的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将中标项目转包或违反规定进行分包的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jc w:val="center"/>
              <w:rPr>
                <w:rFonts w:ascii="宋体" w:hAnsi="宋体"/>
                <w:sz w:val="24"/>
                <w:szCs w:val="24"/>
              </w:rPr>
            </w:pPr>
            <w:r>
              <w:rPr>
                <w:rFonts w:hint="eastAsia" w:ascii="宋体" w:hAnsi="宋体"/>
                <w:sz w:val="24"/>
                <w:szCs w:val="24"/>
              </w:rPr>
              <w:t>18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未按照采购合同约定及时提供全部货物的，或无故拖延工期的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jc w:val="center"/>
              <w:rPr>
                <w:rFonts w:ascii="宋体" w:hAnsi="宋体"/>
                <w:sz w:val="24"/>
                <w:szCs w:val="24"/>
              </w:rPr>
            </w:pPr>
            <w:r>
              <w:rPr>
                <w:rFonts w:hint="eastAsia" w:ascii="宋体" w:hAnsi="宋体"/>
                <w:sz w:val="24"/>
                <w:szCs w:val="24"/>
              </w:rPr>
              <w:t>19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提供假冒伪劣产品或走私物品的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擅自变更、中止、终止或解除政府采购合同的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向有关人员行贿或者提供不正当利益谋取中标的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vAlign w:val="center"/>
          </w:tcPr>
          <w:p>
            <w:pPr>
              <w:jc w:val="center"/>
              <w:rPr>
                <w:rFonts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八、监督和解释</w:t>
      </w:r>
    </w:p>
    <w:p>
      <w:pPr>
        <w:ind w:firstLine="482" w:firstLineChars="200"/>
        <w:rPr>
          <w:rFonts w:ascii="宋体" w:hAnsi="宋体"/>
          <w:sz w:val="24"/>
        </w:rPr>
      </w:pPr>
      <w:r>
        <w:rPr>
          <w:rFonts w:hint="eastAsia" w:ascii="宋体" w:hAnsi="宋体"/>
          <w:b/>
          <w:bCs/>
          <w:sz w:val="24"/>
        </w:rPr>
        <w:t>29.</w:t>
      </w:r>
      <w:r>
        <w:rPr>
          <w:rFonts w:hint="eastAsia" w:ascii="宋体" w:hAnsi="宋体"/>
          <w:sz w:val="24"/>
        </w:rPr>
        <w:t>本次采购活动接受诸暨市监察局、诸暨市财政局、诸暨市公共资源交易管理委员会办公室的监督。</w:t>
      </w:r>
    </w:p>
    <w:p>
      <w:pPr>
        <w:ind w:firstLine="482" w:firstLineChars="200"/>
        <w:rPr>
          <w:rFonts w:ascii="宋体" w:hAnsi="宋体"/>
          <w:b/>
          <w:bCs/>
          <w:sz w:val="24"/>
        </w:rPr>
      </w:pPr>
      <w:r>
        <w:rPr>
          <w:rFonts w:hint="eastAsia" w:ascii="宋体" w:hAnsi="宋体"/>
          <w:b/>
          <w:bCs/>
          <w:sz w:val="24"/>
        </w:rPr>
        <w:t>30.</w:t>
      </w:r>
      <w:r>
        <w:rPr>
          <w:rFonts w:hint="eastAsia" w:ascii="宋体" w:hAnsi="宋体"/>
          <w:bCs/>
          <w:sz w:val="24"/>
        </w:rPr>
        <w:t>本采购文件的解释权属于采购单位和诸暨市公共资源交易中心。</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bookmarkEnd w:id="28"/>
    <w:p>
      <w:pPr>
        <w:rPr>
          <w:rFonts w:ascii="宋体" w:hAnsi="宋体"/>
          <w:b/>
          <w:sz w:val="36"/>
          <w:szCs w:val="36"/>
        </w:rPr>
      </w:pPr>
      <w:r>
        <w:rPr>
          <w:rFonts w:hint="eastAsia" w:ascii="宋体" w:hAnsi="宋体"/>
          <w:b/>
          <w:sz w:val="36"/>
          <w:szCs w:val="36"/>
        </w:rPr>
        <w:t xml:space="preserve"> </w:t>
      </w:r>
    </w:p>
    <w:p>
      <w:pPr>
        <w:pStyle w:val="2"/>
        <w:pageBreakBefore/>
        <w:autoSpaceDE/>
        <w:autoSpaceDN/>
        <w:spacing w:before="240" w:after="240" w:line="400" w:lineRule="atLeast"/>
        <w:jc w:val="center"/>
        <w:textAlignment w:val="baseline"/>
        <w:rPr>
          <w:rFonts w:ascii="宋体" w:hAnsi="宋体"/>
          <w:kern w:val="0"/>
          <w:sz w:val="36"/>
          <w:szCs w:val="36"/>
        </w:rPr>
      </w:pPr>
      <w:bookmarkStart w:id="29" w:name="_Toc482787716"/>
      <w:r>
        <w:rPr>
          <w:rFonts w:hint="eastAsia" w:ascii="宋体" w:hAnsi="宋体"/>
          <w:kern w:val="0"/>
          <w:sz w:val="36"/>
          <w:szCs w:val="36"/>
        </w:rPr>
        <w:t>第三章  采购需求</w:t>
      </w:r>
      <w:bookmarkEnd w:id="29"/>
    </w:p>
    <w:p>
      <w:pPr>
        <w:snapToGrid w:val="0"/>
        <w:spacing w:line="300" w:lineRule="auto"/>
        <w:ind w:firstLine="562" w:firstLineChars="200"/>
        <w:rPr>
          <w:rFonts w:ascii="宋体" w:cs="宋体"/>
          <w:b/>
          <w:sz w:val="28"/>
          <w:szCs w:val="28"/>
        </w:rPr>
      </w:pPr>
      <w:r>
        <w:rPr>
          <w:rFonts w:hint="eastAsia" w:ascii="宋体" w:hAnsi="宋体" w:cs="宋体"/>
          <w:b/>
          <w:sz w:val="28"/>
          <w:szCs w:val="28"/>
        </w:rPr>
        <w:t>一、总述</w:t>
      </w:r>
    </w:p>
    <w:p>
      <w:pPr>
        <w:snapToGrid w:val="0"/>
        <w:spacing w:line="300" w:lineRule="auto"/>
        <w:ind w:firstLine="480" w:firstLineChars="200"/>
        <w:rPr>
          <w:rFonts w:ascii="宋体" w:hAnsi="宋体"/>
          <w:bCs/>
          <w:sz w:val="24"/>
        </w:rPr>
      </w:pPr>
      <w:r>
        <w:rPr>
          <w:rFonts w:hint="eastAsia" w:ascii="宋体" w:hAnsi="宋体"/>
          <w:bCs/>
          <w:sz w:val="24"/>
        </w:rPr>
        <w:t>为深化普通高中教师对课程改革、高考改革的理解和研究，适应浙江省普通高中的教育教学形势，努力培育一支在课程改革、教学实践中发挥示范带动作用的普通高三教师队伍和学科名师，带动全市高中教师队伍整体素质的提高，促进诸暨市教育事业更好更快地发展，经研究决定，在诸暨中学开展教师能力提升培训工作。</w:t>
      </w:r>
    </w:p>
    <w:p>
      <w:pPr>
        <w:snapToGrid w:val="0"/>
        <w:spacing w:line="300" w:lineRule="auto"/>
        <w:ind w:firstLine="562" w:firstLineChars="200"/>
        <w:rPr>
          <w:rFonts w:ascii="宋体" w:cs="宋体"/>
          <w:b/>
          <w:sz w:val="28"/>
          <w:szCs w:val="28"/>
        </w:rPr>
      </w:pPr>
      <w:r>
        <w:rPr>
          <w:rFonts w:hint="eastAsia" w:ascii="宋体" w:hAnsi="宋体" w:cs="宋体"/>
          <w:b/>
          <w:sz w:val="28"/>
          <w:szCs w:val="28"/>
        </w:rPr>
        <w:t>二、培训方式</w:t>
      </w:r>
    </w:p>
    <w:p>
      <w:pPr>
        <w:snapToGrid w:val="0"/>
        <w:spacing w:line="300" w:lineRule="auto"/>
        <w:ind w:firstLine="480" w:firstLineChars="200"/>
        <w:rPr>
          <w:rFonts w:ascii="宋体" w:hAnsi="宋体"/>
          <w:bCs/>
          <w:sz w:val="24"/>
        </w:rPr>
      </w:pPr>
      <w:r>
        <w:rPr>
          <w:rFonts w:hint="eastAsia" w:ascii="宋体" w:hAnsi="宋体"/>
          <w:bCs/>
          <w:sz w:val="24"/>
        </w:rPr>
        <w:t>为全面提高诸暨中学全体教师的教学能力，适应浙江省新一轮的教学和高考改革，有效提升和准确把握学科核心素养，研究和理解新课程、新高考及其与高校各类培优选拔计划的联系，促进诸暨中学教育事业更好更快地发展、提高办学水平和教育质量，特实施以“强基础</w:t>
      </w:r>
      <w:r>
        <w:rPr>
          <w:rFonts w:ascii="宋体" w:hAnsi="宋体"/>
          <w:bCs/>
          <w:sz w:val="24"/>
        </w:rPr>
        <w:t>•</w:t>
      </w:r>
      <w:r>
        <w:rPr>
          <w:rFonts w:hint="eastAsia" w:ascii="宋体" w:hAnsi="宋体"/>
          <w:bCs/>
          <w:sz w:val="24"/>
        </w:rPr>
        <w:t>强能力</w:t>
      </w:r>
      <w:r>
        <w:rPr>
          <w:rFonts w:ascii="宋体" w:hAnsi="宋体"/>
          <w:bCs/>
          <w:sz w:val="24"/>
        </w:rPr>
        <w:t>•</w:t>
      </w:r>
      <w:r>
        <w:rPr>
          <w:rFonts w:hint="eastAsia" w:ascii="宋体" w:hAnsi="宋体"/>
          <w:bCs/>
          <w:sz w:val="24"/>
        </w:rPr>
        <w:t>高素质”为目标的教学质量提升工程，特制订本实施方案。</w:t>
      </w:r>
    </w:p>
    <w:p>
      <w:pPr>
        <w:snapToGrid w:val="0"/>
        <w:spacing w:line="300" w:lineRule="auto"/>
        <w:ind w:firstLine="480" w:firstLineChars="200"/>
        <w:rPr>
          <w:rFonts w:ascii="宋体" w:hAnsi="宋体"/>
          <w:bCs/>
          <w:sz w:val="24"/>
        </w:rPr>
      </w:pPr>
      <w:r>
        <w:rPr>
          <w:rFonts w:hint="eastAsia" w:ascii="宋体" w:hAnsi="宋体"/>
          <w:bCs/>
          <w:sz w:val="24"/>
        </w:rPr>
        <w:t>（一）研修人员</w:t>
      </w:r>
    </w:p>
    <w:p>
      <w:pPr>
        <w:snapToGrid w:val="0"/>
        <w:spacing w:line="300" w:lineRule="auto"/>
        <w:ind w:firstLine="480" w:firstLineChars="200"/>
        <w:rPr>
          <w:rFonts w:ascii="宋体" w:hAnsi="宋体"/>
          <w:bCs/>
          <w:sz w:val="24"/>
        </w:rPr>
      </w:pPr>
      <w:r>
        <w:rPr>
          <w:rFonts w:hint="eastAsia" w:ascii="宋体" w:hAnsi="宋体"/>
          <w:bCs/>
          <w:sz w:val="24"/>
        </w:rPr>
        <w:t>诸暨中学全体学科教师</w:t>
      </w:r>
    </w:p>
    <w:p>
      <w:pPr>
        <w:snapToGrid w:val="0"/>
        <w:spacing w:line="300" w:lineRule="auto"/>
        <w:ind w:firstLine="480" w:firstLineChars="200"/>
        <w:rPr>
          <w:rFonts w:ascii="宋体" w:hAnsi="宋体"/>
          <w:bCs/>
          <w:sz w:val="24"/>
        </w:rPr>
      </w:pPr>
      <w:r>
        <w:rPr>
          <w:rFonts w:hint="eastAsia" w:ascii="宋体" w:hAnsi="宋体"/>
          <w:bCs/>
          <w:sz w:val="24"/>
        </w:rPr>
        <w:t>（二）研修目标</w:t>
      </w:r>
    </w:p>
    <w:p>
      <w:pPr>
        <w:snapToGrid w:val="0"/>
        <w:spacing w:line="300" w:lineRule="auto"/>
        <w:ind w:firstLine="480" w:firstLineChars="200"/>
        <w:rPr>
          <w:rFonts w:ascii="宋体" w:hAnsi="宋体"/>
          <w:bCs/>
          <w:sz w:val="24"/>
        </w:rPr>
      </w:pPr>
      <w:r>
        <w:rPr>
          <w:rFonts w:hint="eastAsia" w:ascii="宋体" w:hAnsi="宋体"/>
          <w:bCs/>
          <w:sz w:val="24"/>
        </w:rPr>
        <w:t>全体学科教师，以新要求、新姿态、新视野投入此能力提升研修工程，全面审视自身学科基础和教学实际，重实效、补短板。通过对高中新课标、新教材、新高考的深入解析，确定各课程的教学目标分类，研究制定相应的实施方案，进行分层、分类的高效教学，建立优秀学生的学科拓展培养平台，与各著名高校的选拔招生实行有效对接，从而促使各学科教师教学能力和整体素质的明显提高，巩固诸暨中学教学质量和教学实力的高端地位。</w:t>
      </w:r>
    </w:p>
    <w:p>
      <w:pPr>
        <w:snapToGrid w:val="0"/>
        <w:spacing w:line="300" w:lineRule="auto"/>
        <w:ind w:firstLine="480" w:firstLineChars="200"/>
        <w:rPr>
          <w:rFonts w:ascii="宋体" w:hAnsi="宋体"/>
          <w:bCs/>
          <w:sz w:val="24"/>
        </w:rPr>
      </w:pPr>
      <w:r>
        <w:rPr>
          <w:rFonts w:hint="eastAsia" w:ascii="宋体" w:hAnsi="宋体"/>
          <w:bCs/>
          <w:sz w:val="24"/>
        </w:rPr>
        <w:t>（三）基本思路</w:t>
      </w:r>
    </w:p>
    <w:p>
      <w:pPr>
        <w:snapToGrid w:val="0"/>
        <w:spacing w:line="300" w:lineRule="auto"/>
        <w:ind w:firstLine="480" w:firstLineChars="200"/>
        <w:rPr>
          <w:rFonts w:ascii="宋体" w:hAnsi="宋体"/>
          <w:bCs/>
          <w:sz w:val="24"/>
        </w:rPr>
      </w:pPr>
      <w:r>
        <w:rPr>
          <w:rFonts w:hint="eastAsia" w:ascii="宋体" w:hAnsi="宋体"/>
          <w:bCs/>
          <w:sz w:val="24"/>
        </w:rPr>
        <w:t>邀请省内外教育专家解析新课标；邀请高考研究专家解析新高考改革和实施进展，组织模拟命题实训；邀请著名高校（特别是</w:t>
      </w:r>
      <w:r>
        <w:rPr>
          <w:rFonts w:ascii="宋体" w:hAnsi="宋体"/>
          <w:bCs/>
          <w:sz w:val="24"/>
        </w:rPr>
        <w:t>C9</w:t>
      </w:r>
      <w:r>
        <w:rPr>
          <w:rFonts w:hint="eastAsia" w:ascii="宋体" w:hAnsi="宋体"/>
          <w:bCs/>
          <w:sz w:val="24"/>
        </w:rPr>
        <w:t>高校）招生负责人和相关专家介绍招生新政策、“强基计划”与“三位一体”考试等，指导优秀学生的笔试和面试的系统模拟训练；邀请全国知名金牌教练指导竞赛、邀请知名专家和省内名校一线名师进行教材研析、教学示范、观摩与推门听课、点评交流等。通过专家引领、重视实践的一系列活动，使全体学科教师进行比较系统的、有针对性的、实实在在的研修和提升。</w:t>
      </w:r>
    </w:p>
    <w:p>
      <w:pPr>
        <w:snapToGrid w:val="0"/>
        <w:spacing w:line="300" w:lineRule="auto"/>
        <w:ind w:firstLine="480" w:firstLineChars="200"/>
        <w:rPr>
          <w:rFonts w:ascii="宋体" w:hAnsi="宋体"/>
          <w:bCs/>
          <w:sz w:val="24"/>
        </w:rPr>
      </w:pPr>
      <w:r>
        <w:rPr>
          <w:rFonts w:hint="eastAsia" w:ascii="宋体" w:hAnsi="宋体"/>
          <w:bCs/>
          <w:sz w:val="24"/>
        </w:rPr>
        <w:t>（四）研修内容</w:t>
      </w:r>
    </w:p>
    <w:p>
      <w:pPr>
        <w:snapToGrid w:val="0"/>
        <w:spacing w:line="300" w:lineRule="auto"/>
        <w:ind w:firstLine="480" w:firstLineChars="200"/>
        <w:rPr>
          <w:rFonts w:ascii="宋体" w:hAnsi="宋体"/>
          <w:bCs/>
          <w:sz w:val="24"/>
        </w:rPr>
      </w:pPr>
      <w:r>
        <w:rPr>
          <w:rFonts w:ascii="宋体" w:hAnsi="宋体"/>
          <w:bCs/>
          <w:sz w:val="24"/>
        </w:rPr>
        <w:t>1.</w:t>
      </w:r>
      <w:r>
        <w:rPr>
          <w:rFonts w:hint="eastAsia" w:ascii="宋体" w:hAnsi="宋体"/>
          <w:bCs/>
          <w:sz w:val="24"/>
        </w:rPr>
        <w:t>解析教育部新课标的制定思想，新老课标的对比分析，探讨选考科目组合等。</w:t>
      </w:r>
    </w:p>
    <w:p>
      <w:pPr>
        <w:snapToGrid w:val="0"/>
        <w:spacing w:line="300" w:lineRule="auto"/>
        <w:ind w:firstLine="480" w:firstLineChars="200"/>
        <w:rPr>
          <w:rFonts w:ascii="宋体" w:hAnsi="宋体"/>
          <w:bCs/>
          <w:sz w:val="24"/>
        </w:rPr>
      </w:pPr>
      <w:r>
        <w:rPr>
          <w:rFonts w:ascii="宋体" w:hAnsi="宋体"/>
          <w:bCs/>
          <w:sz w:val="24"/>
        </w:rPr>
        <w:t>2.</w:t>
      </w:r>
      <w:r>
        <w:rPr>
          <w:rFonts w:hint="eastAsia" w:ascii="宋体" w:hAnsi="宋体"/>
          <w:bCs/>
          <w:sz w:val="24"/>
        </w:rPr>
        <w:t>解读新高考改革方案实施进展，分析考核原则与要素，研析教材，深刻理解学科核心素养和思维方法，指导教学目标的分类与实施。</w:t>
      </w:r>
    </w:p>
    <w:p>
      <w:pPr>
        <w:snapToGrid w:val="0"/>
        <w:spacing w:line="300" w:lineRule="auto"/>
        <w:ind w:firstLine="480" w:firstLineChars="200"/>
        <w:rPr>
          <w:rFonts w:ascii="宋体" w:hAnsi="宋体"/>
          <w:bCs/>
          <w:sz w:val="24"/>
        </w:rPr>
      </w:pPr>
      <w:r>
        <w:rPr>
          <w:rFonts w:ascii="宋体" w:hAnsi="宋体"/>
          <w:bCs/>
          <w:sz w:val="24"/>
        </w:rPr>
        <w:t>3.</w:t>
      </w:r>
      <w:r>
        <w:rPr>
          <w:rFonts w:hint="eastAsia" w:ascii="宋体" w:hAnsi="宋体"/>
          <w:bCs/>
          <w:sz w:val="24"/>
        </w:rPr>
        <w:t>培育和指导优秀学生参加数学、物理、化学、生物、信息、英语、作文等学科竞赛、</w:t>
      </w:r>
      <w:r>
        <w:rPr>
          <w:rFonts w:ascii="宋体" w:hAnsi="宋体"/>
          <w:bCs/>
          <w:sz w:val="24"/>
        </w:rPr>
        <w:t>C9</w:t>
      </w:r>
      <w:r>
        <w:rPr>
          <w:rFonts w:hint="eastAsia" w:ascii="宋体" w:hAnsi="宋体"/>
          <w:bCs/>
          <w:sz w:val="24"/>
        </w:rPr>
        <w:t>高校“强基计划”与“三位一体”的笔试面试。</w:t>
      </w:r>
    </w:p>
    <w:p>
      <w:pPr>
        <w:snapToGrid w:val="0"/>
        <w:spacing w:line="300" w:lineRule="auto"/>
        <w:ind w:firstLine="480" w:firstLineChars="200"/>
        <w:rPr>
          <w:rFonts w:ascii="宋体" w:cs="宋体"/>
          <w:sz w:val="28"/>
          <w:szCs w:val="28"/>
        </w:rPr>
      </w:pPr>
      <w:r>
        <w:rPr>
          <w:rFonts w:ascii="宋体" w:hAnsi="宋体"/>
          <w:bCs/>
          <w:sz w:val="24"/>
        </w:rPr>
        <w:t>4.</w:t>
      </w:r>
      <w:r>
        <w:rPr>
          <w:rFonts w:hint="eastAsia" w:ascii="宋体" w:hAnsi="宋体"/>
          <w:bCs/>
          <w:sz w:val="24"/>
        </w:rPr>
        <w:t>与著名高校招生负责人和相关专家面对面交流，深入理解招生政策与应对策略。</w:t>
      </w:r>
    </w:p>
    <w:p>
      <w:pPr>
        <w:snapToGrid w:val="0"/>
        <w:spacing w:line="300" w:lineRule="auto"/>
        <w:ind w:firstLine="480" w:firstLineChars="200"/>
        <w:rPr>
          <w:rFonts w:ascii="宋体" w:hAnsi="宋体"/>
          <w:bCs/>
          <w:sz w:val="24"/>
        </w:rPr>
      </w:pPr>
      <w:r>
        <w:rPr>
          <w:rFonts w:ascii="宋体" w:hAnsi="宋体"/>
          <w:bCs/>
          <w:sz w:val="24"/>
        </w:rPr>
        <w:t>5.</w:t>
      </w:r>
      <w:r>
        <w:rPr>
          <w:rFonts w:hint="eastAsia" w:ascii="宋体" w:hAnsi="宋体"/>
          <w:bCs/>
          <w:sz w:val="24"/>
        </w:rPr>
        <w:t>通过省内名校一线名师进行教学示范、观摩与交流，以及专家推门听课、点评交流，指导分层、分类教学及相应教学技能的提升。</w:t>
      </w:r>
    </w:p>
    <w:p>
      <w:pPr>
        <w:snapToGrid w:val="0"/>
        <w:spacing w:line="300" w:lineRule="auto"/>
        <w:ind w:firstLine="480" w:firstLineChars="200"/>
        <w:rPr>
          <w:rFonts w:ascii="宋体" w:hAnsi="宋体"/>
          <w:bCs/>
          <w:sz w:val="24"/>
        </w:rPr>
      </w:pPr>
      <w:r>
        <w:rPr>
          <w:rFonts w:ascii="宋体" w:hAnsi="宋体"/>
          <w:bCs/>
          <w:sz w:val="24"/>
        </w:rPr>
        <w:t>6.</w:t>
      </w:r>
      <w:r>
        <w:rPr>
          <w:rFonts w:hint="eastAsia" w:ascii="宋体" w:hAnsi="宋体"/>
          <w:bCs/>
          <w:sz w:val="24"/>
        </w:rPr>
        <w:t>选择部分骨干教师进入浙江省江苏省山东省名校就语文数学英语等学科全国卷跟岗学习和实践。</w:t>
      </w:r>
    </w:p>
    <w:p>
      <w:pPr>
        <w:snapToGrid w:val="0"/>
        <w:spacing w:line="300" w:lineRule="auto"/>
        <w:ind w:firstLine="480" w:firstLineChars="200"/>
        <w:rPr>
          <w:rFonts w:ascii="宋体" w:hAnsi="宋体"/>
          <w:bCs/>
          <w:sz w:val="24"/>
        </w:rPr>
      </w:pPr>
      <w:r>
        <w:rPr>
          <w:rFonts w:ascii="宋体" w:hAnsi="宋体"/>
          <w:bCs/>
          <w:sz w:val="24"/>
        </w:rPr>
        <w:t>7.</w:t>
      </w:r>
      <w:r>
        <w:rPr>
          <w:rFonts w:hint="eastAsia" w:ascii="宋体" w:hAnsi="宋体"/>
          <w:bCs/>
          <w:sz w:val="24"/>
        </w:rPr>
        <w:t>模拟试题命制专题特训。邀请在中学教学、高考研究方面有独特造诣的专家进行面对面的深入交流，对高考（选考）的考试说明和历年考试情况进行系统性的分析；命制和解析高考模拟试题；推荐学员参加高考阅卷、编制学科练习册等。</w:t>
      </w:r>
    </w:p>
    <w:p>
      <w:pPr>
        <w:snapToGrid w:val="0"/>
        <w:spacing w:line="300" w:lineRule="auto"/>
        <w:ind w:firstLine="480" w:firstLineChars="200"/>
        <w:rPr>
          <w:rFonts w:ascii="宋体" w:hAnsi="宋体"/>
          <w:bCs/>
          <w:sz w:val="24"/>
        </w:rPr>
      </w:pPr>
      <w:r>
        <w:rPr>
          <w:rFonts w:ascii="宋体" w:hAnsi="宋体"/>
          <w:bCs/>
          <w:sz w:val="24"/>
        </w:rPr>
        <w:t>8.</w:t>
      </w:r>
      <w:r>
        <w:rPr>
          <w:rFonts w:hint="eastAsia" w:ascii="宋体" w:hAnsi="宋体"/>
          <w:bCs/>
          <w:sz w:val="24"/>
        </w:rPr>
        <w:t>有针对性地组织和参与高考分析、动态研究等讲座和交流，精准解答各类疑难问题。</w:t>
      </w:r>
    </w:p>
    <w:p>
      <w:pPr>
        <w:snapToGrid w:val="0"/>
        <w:spacing w:line="300" w:lineRule="auto"/>
        <w:ind w:firstLine="480" w:firstLineChars="200"/>
        <w:rPr>
          <w:rFonts w:ascii="宋体" w:hAnsi="宋体"/>
          <w:bCs/>
          <w:sz w:val="24"/>
        </w:rPr>
      </w:pPr>
      <w:r>
        <w:rPr>
          <w:rFonts w:ascii="宋体" w:hAnsi="宋体"/>
          <w:bCs/>
          <w:sz w:val="24"/>
        </w:rPr>
        <w:t>9.</w:t>
      </w:r>
      <w:r>
        <w:rPr>
          <w:rFonts w:hint="eastAsia" w:ascii="宋体" w:hAnsi="宋体"/>
          <w:bCs/>
          <w:sz w:val="24"/>
        </w:rPr>
        <w:t>邀请语文、数学、英语全国卷高考命题研究专家到诸暨中学讲座交流。</w:t>
      </w:r>
    </w:p>
    <w:p>
      <w:pPr>
        <w:snapToGrid w:val="0"/>
        <w:spacing w:line="300" w:lineRule="auto"/>
        <w:rPr>
          <w:rFonts w:ascii="宋体" w:cs="宋体"/>
          <w:b/>
          <w:sz w:val="28"/>
          <w:szCs w:val="28"/>
        </w:rPr>
      </w:pPr>
    </w:p>
    <w:p>
      <w:pPr>
        <w:snapToGrid w:val="0"/>
        <w:spacing w:line="300" w:lineRule="auto"/>
        <w:ind w:firstLine="562" w:firstLineChars="200"/>
        <w:rPr>
          <w:rFonts w:ascii="宋体" w:cs="宋体"/>
          <w:b/>
          <w:sz w:val="28"/>
          <w:szCs w:val="28"/>
        </w:rPr>
      </w:pPr>
      <w:r>
        <w:rPr>
          <w:rFonts w:hint="eastAsia" w:ascii="宋体" w:hAnsi="宋体" w:cs="宋体"/>
          <w:b/>
          <w:sz w:val="28"/>
          <w:szCs w:val="28"/>
        </w:rPr>
        <w:t>三、培训时间与培训对象</w:t>
      </w:r>
    </w:p>
    <w:p>
      <w:pPr>
        <w:snapToGrid w:val="0"/>
        <w:spacing w:line="300" w:lineRule="auto"/>
        <w:ind w:firstLine="480" w:firstLineChars="200"/>
        <w:rPr>
          <w:rFonts w:ascii="宋体" w:hAnsi="宋体"/>
          <w:bCs/>
          <w:sz w:val="24"/>
        </w:rPr>
      </w:pPr>
      <w:r>
        <w:rPr>
          <w:rFonts w:hint="eastAsia" w:ascii="宋体" w:hAnsi="宋体"/>
          <w:bCs/>
          <w:sz w:val="24"/>
        </w:rPr>
        <w:t>（一）服务期限：</w:t>
      </w:r>
    </w:p>
    <w:p>
      <w:pPr>
        <w:snapToGrid w:val="0"/>
        <w:spacing w:line="300" w:lineRule="auto"/>
        <w:ind w:firstLine="480" w:firstLineChars="200"/>
        <w:rPr>
          <w:rFonts w:ascii="宋体" w:hAnsi="宋体"/>
          <w:bCs/>
          <w:sz w:val="24"/>
        </w:rPr>
      </w:pPr>
      <w:r>
        <w:rPr>
          <w:rFonts w:ascii="宋体" w:hAnsi="宋体"/>
          <w:bCs/>
          <w:sz w:val="24"/>
        </w:rPr>
        <w:t xml:space="preserve">    </w:t>
      </w:r>
      <w:r>
        <w:rPr>
          <w:rFonts w:hint="eastAsia" w:ascii="宋体" w:hAnsi="宋体"/>
          <w:bCs/>
          <w:sz w:val="24"/>
        </w:rPr>
        <w:t>合同签订后一年。若培训服务符合业主单位要求，获得业主单位认可，经业主单位同意后，可以续签</w:t>
      </w:r>
      <w:r>
        <w:rPr>
          <w:rFonts w:ascii="宋体" w:hAnsi="宋体"/>
          <w:bCs/>
          <w:sz w:val="24"/>
        </w:rPr>
        <w:t>2</w:t>
      </w:r>
      <w:r>
        <w:rPr>
          <w:rFonts w:hint="eastAsia" w:ascii="宋体" w:hAnsi="宋体"/>
          <w:bCs/>
          <w:sz w:val="24"/>
        </w:rPr>
        <w:t>年，合同一年一签。</w:t>
      </w:r>
    </w:p>
    <w:p>
      <w:pPr>
        <w:snapToGrid w:val="0"/>
        <w:spacing w:line="300" w:lineRule="auto"/>
        <w:ind w:firstLine="480" w:firstLineChars="200"/>
        <w:rPr>
          <w:rFonts w:ascii="宋体" w:hAnsi="宋体"/>
          <w:bCs/>
          <w:sz w:val="24"/>
        </w:rPr>
      </w:pPr>
      <w:r>
        <w:rPr>
          <w:rFonts w:ascii="宋体" w:hAnsi="宋体"/>
          <w:bCs/>
          <w:sz w:val="24"/>
        </w:rPr>
        <w:t xml:space="preserve">    </w:t>
      </w:r>
      <w:r>
        <w:rPr>
          <w:rFonts w:hint="eastAsia" w:ascii="宋体" w:hAnsi="宋体"/>
          <w:bCs/>
          <w:sz w:val="24"/>
        </w:rPr>
        <w:t>（二）培训对象</w:t>
      </w:r>
    </w:p>
    <w:p>
      <w:pPr>
        <w:snapToGrid w:val="0"/>
        <w:spacing w:line="300" w:lineRule="auto"/>
        <w:ind w:firstLine="480" w:firstLineChars="200"/>
        <w:rPr>
          <w:rFonts w:ascii="宋体" w:hAnsi="宋体"/>
          <w:bCs/>
          <w:sz w:val="24"/>
        </w:rPr>
      </w:pPr>
      <w:r>
        <w:rPr>
          <w:rFonts w:ascii="宋体" w:hAnsi="宋体"/>
          <w:bCs/>
          <w:sz w:val="24"/>
        </w:rPr>
        <w:t>1.</w:t>
      </w:r>
      <w:r>
        <w:rPr>
          <w:rFonts w:hint="eastAsia" w:ascii="宋体" w:hAnsi="宋体"/>
          <w:bCs/>
          <w:sz w:val="24"/>
        </w:rPr>
        <w:t>各科人数</w:t>
      </w:r>
    </w:p>
    <w:p>
      <w:pPr>
        <w:snapToGrid w:val="0"/>
        <w:spacing w:line="300" w:lineRule="auto"/>
        <w:ind w:firstLine="480" w:firstLineChars="200"/>
        <w:rPr>
          <w:rFonts w:ascii="宋体" w:hAnsi="宋体"/>
          <w:bCs/>
          <w:sz w:val="24"/>
        </w:rPr>
      </w:pPr>
      <w:r>
        <w:rPr>
          <w:rFonts w:hint="eastAsia" w:ascii="宋体" w:hAnsi="宋体"/>
          <w:bCs/>
          <w:sz w:val="24"/>
        </w:rPr>
        <w:t>培训对象为全校教师。</w:t>
      </w:r>
    </w:p>
    <w:p>
      <w:pPr>
        <w:snapToGrid w:val="0"/>
        <w:spacing w:line="300" w:lineRule="auto"/>
        <w:ind w:firstLine="480" w:firstLineChars="200"/>
        <w:rPr>
          <w:rFonts w:ascii="宋体" w:hAnsi="宋体"/>
          <w:bCs/>
          <w:sz w:val="24"/>
        </w:rPr>
      </w:pPr>
      <w:r>
        <w:rPr>
          <w:rFonts w:hint="eastAsia" w:ascii="宋体" w:hAnsi="宋体"/>
          <w:bCs/>
          <w:sz w:val="24"/>
        </w:rPr>
        <w:t>培训学科为语文、数学、英语、物理、化学、生物、政治、历史、地理、通用、信息等</w:t>
      </w:r>
      <w:r>
        <w:rPr>
          <w:rFonts w:ascii="宋体" w:hAnsi="宋体"/>
          <w:bCs/>
          <w:sz w:val="24"/>
        </w:rPr>
        <w:t>11</w:t>
      </w:r>
      <w:r>
        <w:rPr>
          <w:rFonts w:hint="eastAsia" w:ascii="宋体" w:hAnsi="宋体"/>
          <w:bCs/>
          <w:sz w:val="24"/>
        </w:rPr>
        <w:t>门学科。</w:t>
      </w:r>
    </w:p>
    <w:p>
      <w:pPr>
        <w:snapToGrid w:val="0"/>
        <w:spacing w:line="300" w:lineRule="auto"/>
        <w:ind w:firstLine="562" w:firstLineChars="200"/>
        <w:rPr>
          <w:rFonts w:ascii="宋体" w:cs="宋体"/>
          <w:b/>
          <w:sz w:val="28"/>
          <w:szCs w:val="28"/>
        </w:rPr>
      </w:pPr>
      <w:r>
        <w:rPr>
          <w:rFonts w:hint="eastAsia" w:ascii="宋体" w:hAnsi="宋体" w:cs="宋体"/>
          <w:b/>
          <w:sz w:val="28"/>
          <w:szCs w:val="28"/>
        </w:rPr>
        <w:t>四、付款方式</w:t>
      </w:r>
    </w:p>
    <w:p>
      <w:pPr>
        <w:snapToGrid w:val="0"/>
        <w:spacing w:line="300" w:lineRule="auto"/>
        <w:ind w:firstLine="480" w:firstLineChars="200"/>
        <w:rPr>
          <w:rFonts w:ascii="宋体" w:hAnsi="宋体"/>
          <w:bCs/>
          <w:sz w:val="24"/>
        </w:rPr>
      </w:pPr>
      <w:r>
        <w:rPr>
          <w:rFonts w:hint="eastAsia" w:ascii="宋体" w:hAnsi="宋体"/>
          <w:bCs/>
          <w:sz w:val="24"/>
        </w:rPr>
        <w:t>合同签订一周内一次性支付全部培训费用。</w:t>
      </w:r>
    </w:p>
    <w:p/>
    <w:p>
      <w:pPr>
        <w:spacing w:line="400" w:lineRule="exact"/>
        <w:ind w:firstLine="562" w:firstLineChars="200"/>
        <w:rPr>
          <w:rFonts w:ascii="宋体" w:hAnsi="宋体" w:cs="宋体"/>
          <w:b/>
          <w:sz w:val="28"/>
          <w:szCs w:val="28"/>
        </w:rPr>
      </w:pPr>
      <w:r>
        <w:rPr>
          <w:rFonts w:hint="eastAsia" w:ascii="宋体" w:hAnsi="宋体" w:cs="宋体"/>
          <w:b/>
          <w:sz w:val="28"/>
          <w:szCs w:val="28"/>
        </w:rPr>
        <w:t>五、最高限价</w:t>
      </w:r>
    </w:p>
    <w:p>
      <w:pPr>
        <w:spacing w:line="360" w:lineRule="auto"/>
        <w:ind w:firstLine="482" w:firstLineChars="200"/>
        <w:rPr>
          <w:rFonts w:ascii="宋体" w:hAnsi="宋体" w:cs="宋体"/>
          <w:b/>
          <w:sz w:val="24"/>
          <w:szCs w:val="24"/>
        </w:rPr>
      </w:pPr>
      <w:r>
        <w:rPr>
          <w:rFonts w:hint="eastAsia" w:ascii="宋体" w:hAnsi="宋体" w:cs="宋体"/>
          <w:b/>
          <w:sz w:val="24"/>
          <w:szCs w:val="24"/>
        </w:rPr>
        <w:t>本次采购最高限价为人民币叁佰万元整（¥3000000.00元），任何超过最高限价的报价将被认定为无效报价。</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号）采购文件相关要求，经法定程序采购，双方同意签订以下合同条款，以便双方共同遵守、履行合同。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2、乙方提供的产品必须是采购文件和合同规定的产品，其技术指标、型号须符合相关要求。供货时，乙方须向甲方提供产品说明书、保修卡、质量保证书等相关资料和原配的附件。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1、中标产品经验收合格后，按照采购文件规定，甲方首次支付给乙方合同款的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具体售后服务条款参照采购文件及乙方投标文件中的售后服务承诺。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1、本项目的采购文件、投标文件、中标通知书作为合同的附件，具有同等法律效力。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275"/>
          <w:tab w:val="left" w:pos="8280"/>
        </w:tabs>
        <w:spacing w:line="360" w:lineRule="auto"/>
        <w:ind w:firstLine="480"/>
        <w:jc w:val="left"/>
        <w:rPr>
          <w:rFonts w:ascii="仿宋_GB2312" w:hAnsi="宋体" w:eastAsia="仿宋_GB2312" w:cs="宋体"/>
          <w:b/>
          <w:sz w:val="36"/>
          <w:szCs w:val="36"/>
        </w:rPr>
      </w:pP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pStyle w:val="3"/>
        <w:spacing w:line="500" w:lineRule="exact"/>
        <w:jc w:val="center"/>
        <w:rPr>
          <w:rFonts w:ascii="黑体" w:hAnsi="黑体"/>
          <w:b w:val="0"/>
        </w:rPr>
      </w:pPr>
      <w:r>
        <w:rPr>
          <w:rFonts w:hint="eastAsia" w:ascii="黑体" w:hAnsi="黑体"/>
          <w:b w:val="0"/>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ascii="宋体" w:hAnsi="宋体"/>
          <w:spacing w:val="8"/>
          <w:sz w:val="24"/>
          <w:szCs w:val="24"/>
        </w:rPr>
        <w:t>诸政采 20</w:t>
      </w:r>
      <w:r>
        <w:rPr>
          <w:rFonts w:hint="eastAsia" w:ascii="宋体" w:hAnsi="宋体"/>
          <w:spacing w:val="8"/>
          <w:sz w:val="24"/>
          <w:szCs w:val="24"/>
        </w:rPr>
        <w:t>21</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为全权代表，参加贵方组织的采购采购活动，并进行投标。为此：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ascii="宋体" w:hAnsi="宋体"/>
          <w:sz w:val="24"/>
          <w:szCs w:val="24"/>
        </w:rPr>
      </w:pPr>
    </w:p>
    <w:p>
      <w:pPr>
        <w:spacing w:line="360" w:lineRule="auto"/>
        <w:ind w:firstLine="425"/>
        <w:rPr>
          <w:rFonts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p>
    <w:p>
      <w:pPr>
        <w:spacing w:line="360" w:lineRule="auto"/>
        <w:ind w:firstLine="480" w:firstLineChars="200"/>
        <w:rPr>
          <w:rFonts w:ascii="宋体" w:hAnsi="宋体"/>
          <w:sz w:val="24"/>
          <w:szCs w:val="24"/>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autoSpaceDE/>
        <w:autoSpaceDN/>
        <w:adjustRightInd/>
        <w:jc w:val="center"/>
        <w:rPr>
          <w:rFonts w:ascii="黑体" w:hAnsi="黑体" w:eastAsia="黑体"/>
          <w:bCs/>
          <w:kern w:val="2"/>
          <w:sz w:val="32"/>
          <w:szCs w:val="32"/>
        </w:rPr>
      </w:pPr>
      <w:r>
        <w:rPr>
          <w:rFonts w:ascii="黑体" w:hAnsi="黑体" w:eastAsia="黑体"/>
          <w:sz w:val="36"/>
          <w:szCs w:val="32"/>
        </w:rPr>
        <w:br w:type="page"/>
      </w:r>
      <w:r>
        <w:rPr>
          <w:rFonts w:hint="eastAsia" w:ascii="黑体" w:hAnsi="黑体" w:eastAsia="黑体"/>
          <w:bCs/>
          <w:kern w:val="2"/>
          <w:sz w:val="32"/>
          <w:szCs w:val="32"/>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采购项目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147"/>
        <w:spacing w:line="360" w:lineRule="auto"/>
        <w:ind w:left="0" w:firstLine="0" w:firstLineChars="0"/>
        <w:jc w:val="center"/>
        <w:rPr>
          <w:rFonts w:ascii="黑体" w:hAnsi="黑体" w:eastAsia="黑体"/>
          <w:sz w:val="36"/>
          <w:szCs w:val="32"/>
        </w:rPr>
      </w:pPr>
      <w:r>
        <w:rPr>
          <w:rFonts w:ascii="宋体" w:hAnsi="宋体"/>
          <w:szCs w:val="24"/>
        </w:rPr>
        <w:br w:type="page"/>
      </w:r>
      <w:r>
        <w:rPr>
          <w:rFonts w:hint="eastAsia" w:ascii="黑体" w:hAnsi="黑体" w:eastAsia="黑体"/>
          <w:sz w:val="36"/>
          <w:szCs w:val="32"/>
        </w:rPr>
        <w:t>四、无重大违法记录的声明</w:t>
      </w:r>
    </w:p>
    <w:p>
      <w:pPr>
        <w:pStyle w:val="147"/>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（另，提供自采购公告发布之日起至投标截止日内任意时间查询结果的网页截图）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                                                                             </w:t>
      </w:r>
    </w:p>
    <w:p>
      <w:pPr>
        <w:pStyle w:val="3"/>
        <w:spacing w:line="500" w:lineRule="exact"/>
        <w:jc w:val="center"/>
        <w:rPr>
          <w:rFonts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pStyle w:val="3"/>
        <w:spacing w:line="500" w:lineRule="exact"/>
        <w:jc w:val="center"/>
        <w:rPr>
          <w:rFonts w:ascii="宋体" w:hAnsi="宋体"/>
          <w:sz w:val="24"/>
          <w:szCs w:val="24"/>
          <w:lang w:val="zh-CN"/>
        </w:rPr>
      </w:pPr>
    </w:p>
    <w:p>
      <w:pPr>
        <w:pStyle w:val="3"/>
        <w:spacing w:line="500" w:lineRule="exact"/>
        <w:jc w:val="center"/>
        <w:rPr>
          <w:rFonts w:ascii="宋体" w:hAnsi="宋体"/>
          <w:sz w:val="24"/>
          <w:szCs w:val="24"/>
          <w:lang w:val="zh-CN"/>
        </w:rPr>
      </w:pPr>
    </w:p>
    <w:p>
      <w:pPr>
        <w:pStyle w:val="3"/>
        <w:spacing w:line="500" w:lineRule="exact"/>
        <w:jc w:val="center"/>
        <w:rPr>
          <w:rFonts w:ascii="黑体"/>
          <w:b w:val="0"/>
        </w:rPr>
      </w:pPr>
    </w:p>
    <w:p>
      <w:pPr>
        <w:pStyle w:val="3"/>
        <w:spacing w:line="500" w:lineRule="exact"/>
        <w:jc w:val="center"/>
        <w:rPr>
          <w:rFonts w:ascii="黑体"/>
          <w:b w:val="0"/>
        </w:rPr>
      </w:pPr>
    </w:p>
    <w:p>
      <w:pPr>
        <w:pStyle w:val="3"/>
        <w:spacing w:line="500" w:lineRule="exact"/>
        <w:jc w:val="center"/>
        <w:rPr>
          <w:rFonts w:ascii="黑体"/>
          <w:b w:val="0"/>
        </w:rPr>
      </w:pPr>
    </w:p>
    <w:p/>
    <w:p>
      <w:pPr>
        <w:pStyle w:val="3"/>
        <w:spacing w:line="500" w:lineRule="exact"/>
        <w:jc w:val="center"/>
        <w:rPr>
          <w:rFonts w:ascii="黑体" w:hAnsi="黑体"/>
          <w:b w:val="0"/>
        </w:rPr>
      </w:pPr>
      <w:r>
        <w:rPr>
          <w:rFonts w:hint="eastAsia" w:ascii="黑体"/>
          <w:b w:val="0"/>
        </w:rPr>
        <w:t>五、</w:t>
      </w:r>
      <w:r>
        <w:rPr>
          <w:rFonts w:hint="eastAsia" w:ascii="黑体" w:hAnsi="黑体"/>
          <w:b w:val="0"/>
        </w:rPr>
        <w:t>开标一览表（格式）</w:t>
      </w:r>
    </w:p>
    <w:p>
      <w:pPr>
        <w:jc w:val="center"/>
        <w:rPr>
          <w:rFonts w:ascii="宋体" w:hAnsi="宋体"/>
          <w:sz w:val="24"/>
          <w:szCs w:val="24"/>
        </w:rPr>
      </w:pPr>
      <w:r>
        <w:rPr>
          <w:rFonts w:hint="eastAsia" w:ascii="宋体" w:hAnsi="宋体"/>
          <w:sz w:val="24"/>
          <w:szCs w:val="24"/>
        </w:rPr>
        <w:t>（编号：诸政采 2021-**-**）</w:t>
      </w:r>
    </w:p>
    <w:p>
      <w:pPr>
        <w:rPr>
          <w:rFonts w:ascii="宋体" w:hAnsi="宋体"/>
          <w:sz w:val="24"/>
          <w:szCs w:val="24"/>
        </w:rPr>
      </w:pPr>
      <w:r>
        <w:rPr>
          <w:rFonts w:hint="eastAsia"/>
          <w:sz w:val="28"/>
        </w:rPr>
        <w:t>项目编号：</w:t>
      </w:r>
      <w:r>
        <w:rPr>
          <w:rFonts w:hint="eastAsia" w:ascii="宋体" w:hAnsi="宋体"/>
          <w:sz w:val="24"/>
          <w:szCs w:val="24"/>
        </w:rPr>
        <w:t>诸政采 202 -**-**</w:t>
      </w:r>
    </w:p>
    <w:p>
      <w:r>
        <w:rPr>
          <w:sz w:val="28"/>
        </w:rPr>
        <w:t xml:space="preserve">                                                          </w:t>
      </w:r>
      <w:r>
        <w:rPr>
          <w:rFonts w:hint="eastAsia"/>
        </w:rPr>
        <w:t>单位：元</w:t>
      </w:r>
    </w:p>
    <w:tbl>
      <w:tblPr>
        <w:tblStyle w:val="40"/>
        <w:tblW w:w="0" w:type="auto"/>
        <w:tblInd w:w="0" w:type="dxa"/>
        <w:tblLayout w:type="fixed"/>
        <w:tblCellMar>
          <w:top w:w="0" w:type="dxa"/>
          <w:left w:w="0" w:type="dxa"/>
          <w:bottom w:w="0" w:type="dxa"/>
          <w:right w:w="0" w:type="dxa"/>
        </w:tblCellMar>
      </w:tblPr>
      <w:tblGrid>
        <w:gridCol w:w="1230"/>
        <w:gridCol w:w="888"/>
        <w:gridCol w:w="888"/>
        <w:gridCol w:w="1241"/>
        <w:gridCol w:w="2432"/>
        <w:gridCol w:w="981"/>
        <w:gridCol w:w="1417"/>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ascii="宋体" w:hAnsi="宋体" w:cs="Arial Unicode MS"/>
                <w:kern w:val="2"/>
                <w:sz w:val="20"/>
              </w:rPr>
              <w:t>货物名称</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kern w:val="2"/>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产地</w:t>
            </w: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品牌</w:t>
            </w:r>
            <w:r>
              <w:rPr>
                <w:kern w:val="2"/>
              </w:rPr>
              <w:t>/</w:t>
            </w:r>
            <w:r>
              <w:rPr>
                <w:rFonts w:hint="eastAsia"/>
                <w:kern w:val="2"/>
              </w:rPr>
              <w:t>制造商</w:t>
            </w: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型号和规格</w:t>
            </w: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单价</w:t>
            </w: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r>
              <w:rPr>
                <w:rFonts w:hint="eastAsia"/>
                <w:kern w:val="2"/>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714" w:hRule="atLeast"/>
        </w:trPr>
        <w:tc>
          <w:tcPr>
            <w:tcW w:w="9077"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kern w:val="2"/>
                <w:sz w:val="20"/>
                <w:u w:val="single"/>
              </w:rPr>
            </w:pPr>
            <w:r>
              <w:rPr>
                <w:rFonts w:hint="eastAsia" w:ascii="宋体" w:hAnsi="宋体"/>
                <w:kern w:val="2"/>
                <w:sz w:val="20"/>
              </w:rPr>
              <w:t>合</w:t>
            </w:r>
            <w:r>
              <w:rPr>
                <w:rFonts w:hint="eastAsia" w:ascii="宋体" w:hAnsi="宋体"/>
                <w:kern w:val="2"/>
              </w:rPr>
              <w:t>计金额</w:t>
            </w:r>
            <w:r>
              <w:rPr>
                <w:rFonts w:hint="eastAsia" w:ascii="宋体" w:hAnsi="宋体" w:cs="Arial Unicode MS"/>
                <w:kern w:val="2"/>
              </w:rPr>
              <w:t>大写：                                      ￥</w:t>
            </w:r>
            <w:r>
              <w:rPr>
                <w:rFonts w:hint="eastAsia" w:ascii="宋体" w:hAnsi="宋体" w:cs="Arial Unicode MS"/>
                <w:kern w:val="2"/>
                <w:u w:val="single"/>
              </w:rPr>
              <w:t xml:space="preserve">                   </w:t>
            </w:r>
          </w:p>
        </w:tc>
      </w:tr>
    </w:tbl>
    <w:p>
      <w:pPr>
        <w:spacing w:line="440" w:lineRule="exact"/>
        <w:rPr>
          <w:rFonts w:ascii="仿宋_GB2312" w:hAnsi="仿宋_GB2312" w:eastAsia="仿宋_GB2312"/>
          <w:color w:val="auto"/>
          <w:sz w:val="24"/>
          <w:szCs w:val="32"/>
        </w:rPr>
      </w:pPr>
    </w:p>
    <w:p>
      <w:pPr>
        <w:rPr>
          <w:sz w:val="28"/>
        </w:rPr>
      </w:pP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sz w:val="28"/>
        </w:rPr>
      </w:pPr>
      <w:r>
        <w:rPr>
          <w:rFonts w:hint="eastAsia"/>
          <w:sz w:val="28"/>
        </w:rPr>
        <w:t>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spacing w:line="560" w:lineRule="exact"/>
        <w:rPr>
          <w:rFonts w:ascii="仿宋_GB2312" w:hAnsi="仿宋_GB2312" w:eastAsia="仿宋_GB2312"/>
          <w:sz w:val="28"/>
        </w:rPr>
      </w:pPr>
    </w:p>
    <w:p>
      <w:pPr>
        <w:spacing w:line="360" w:lineRule="auto"/>
        <w:ind w:firstLine="480" w:firstLineChars="200"/>
        <w:rPr>
          <w:rFonts w:ascii="宋体" w:hAnsi="宋体"/>
          <w:sz w:val="24"/>
          <w:szCs w:val="24"/>
        </w:rPr>
      </w:pPr>
    </w:p>
    <w:p>
      <w:pPr>
        <w:rPr>
          <w:rFonts w:ascii="黑体" w:hAnsi="黑体" w:eastAsia="黑体"/>
          <w:sz w:val="36"/>
          <w:szCs w:val="32"/>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诸暨市公共资源交易中心政府采购文件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060" w:firstLineChars="1700"/>
      <w:jc w:val="both"/>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93FC0"/>
    <w:multiLevelType w:val="singleLevel"/>
    <w:tmpl w:val="EB893FC0"/>
    <w:lvl w:ilvl="0" w:tentative="0">
      <w:start w:val="6"/>
      <w:numFmt w:val="chineseCounting"/>
      <w:pStyle w:val="229"/>
      <w:suff w:val="nothing"/>
      <w:lvlText w:val="%1、"/>
      <w:lvlJc w:val="left"/>
      <w:rPr>
        <w:rFonts w:hint="eastAsia"/>
      </w:rPr>
    </w:lvl>
  </w:abstractNum>
  <w:abstractNum w:abstractNumId="1">
    <w:nsid w:val="0000000B"/>
    <w:multiLevelType w:val="multilevel"/>
    <w:tmpl w:val="0000000B"/>
    <w:lvl w:ilvl="0" w:tentative="0">
      <w:start w:val="1"/>
      <w:numFmt w:val="decimal"/>
      <w:pStyle w:val="180"/>
      <w:lvlText w:val="%1、"/>
      <w:lvlJc w:val="left"/>
      <w:pPr>
        <w:tabs>
          <w:tab w:val="left" w:pos="786"/>
        </w:tabs>
        <w:ind w:left="780" w:hanging="360"/>
      </w:pPr>
    </w:lvl>
    <w:lvl w:ilvl="1" w:tentative="0">
      <w:start w:val="1"/>
      <w:numFmt w:val="lowerLetter"/>
      <w:lvlText w:val="%2)"/>
      <w:lvlJc w:val="left"/>
      <w:pPr>
        <w:tabs>
          <w:tab w:val="left" w:pos="1320"/>
        </w:tabs>
        <w:ind w:left="1314" w:hanging="420"/>
      </w:pPr>
    </w:lvl>
    <w:lvl w:ilvl="2" w:tentative="0">
      <w:start w:val="1"/>
      <w:numFmt w:val="lowerRoman"/>
      <w:lvlText w:val="%3."/>
      <w:lvlJc w:val="right"/>
      <w:pPr>
        <w:tabs>
          <w:tab w:val="left" w:pos="1740"/>
        </w:tabs>
        <w:ind w:left="1734" w:hanging="420"/>
      </w:pPr>
    </w:lvl>
    <w:lvl w:ilvl="3" w:tentative="0">
      <w:start w:val="1"/>
      <w:numFmt w:val="decimal"/>
      <w:lvlText w:val="%4."/>
      <w:lvlJc w:val="left"/>
      <w:pPr>
        <w:tabs>
          <w:tab w:val="left" w:pos="2160"/>
        </w:tabs>
        <w:ind w:left="2154" w:hanging="420"/>
      </w:pPr>
    </w:lvl>
    <w:lvl w:ilvl="4" w:tentative="0">
      <w:start w:val="1"/>
      <w:numFmt w:val="lowerLetter"/>
      <w:lvlText w:val="%5)"/>
      <w:lvlJc w:val="left"/>
      <w:pPr>
        <w:tabs>
          <w:tab w:val="left" w:pos="2580"/>
        </w:tabs>
        <w:ind w:left="2574" w:hanging="420"/>
      </w:pPr>
    </w:lvl>
    <w:lvl w:ilvl="5" w:tentative="0">
      <w:start w:val="1"/>
      <w:numFmt w:val="lowerRoman"/>
      <w:lvlText w:val="%6."/>
      <w:lvlJc w:val="right"/>
      <w:pPr>
        <w:tabs>
          <w:tab w:val="left" w:pos="3000"/>
        </w:tabs>
        <w:ind w:left="2994" w:hanging="420"/>
      </w:pPr>
    </w:lvl>
    <w:lvl w:ilvl="6" w:tentative="0">
      <w:start w:val="1"/>
      <w:numFmt w:val="decimal"/>
      <w:lvlText w:val="%7."/>
      <w:lvlJc w:val="left"/>
      <w:pPr>
        <w:tabs>
          <w:tab w:val="left" w:pos="3420"/>
        </w:tabs>
        <w:ind w:left="3414" w:hanging="420"/>
      </w:pPr>
    </w:lvl>
    <w:lvl w:ilvl="7" w:tentative="0">
      <w:start w:val="1"/>
      <w:numFmt w:val="lowerLetter"/>
      <w:lvlText w:val="%8)"/>
      <w:lvlJc w:val="left"/>
      <w:pPr>
        <w:tabs>
          <w:tab w:val="left" w:pos="3840"/>
        </w:tabs>
        <w:ind w:left="3834" w:hanging="420"/>
      </w:pPr>
    </w:lvl>
    <w:lvl w:ilvl="8" w:tentative="0">
      <w:start w:val="1"/>
      <w:numFmt w:val="lowerRoman"/>
      <w:lvlText w:val="%9."/>
      <w:lvlJc w:val="right"/>
      <w:pPr>
        <w:tabs>
          <w:tab w:val="left" w:pos="4260"/>
        </w:tabs>
        <w:ind w:left="4254" w:hanging="420"/>
      </w:pPr>
    </w:lvl>
  </w:abstractNum>
  <w:abstractNum w:abstractNumId="2">
    <w:nsid w:val="0000000F"/>
    <w:multiLevelType w:val="multilevel"/>
    <w:tmpl w:val="0000000F"/>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13"/>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18900B"/>
    <w:multiLevelType w:val="singleLevel"/>
    <w:tmpl w:val="1A18900B"/>
    <w:lvl w:ilvl="0" w:tentative="0">
      <w:start w:val="1"/>
      <w:numFmt w:val="decimal"/>
      <w:pStyle w:val="236"/>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02B67"/>
    <w:rsid w:val="000113C5"/>
    <w:rsid w:val="00011957"/>
    <w:rsid w:val="000152C8"/>
    <w:rsid w:val="000166DB"/>
    <w:rsid w:val="000217FC"/>
    <w:rsid w:val="00023566"/>
    <w:rsid w:val="00023990"/>
    <w:rsid w:val="000274B8"/>
    <w:rsid w:val="00036982"/>
    <w:rsid w:val="00040392"/>
    <w:rsid w:val="00044084"/>
    <w:rsid w:val="0004573D"/>
    <w:rsid w:val="00046F76"/>
    <w:rsid w:val="0005087A"/>
    <w:rsid w:val="000523CD"/>
    <w:rsid w:val="00052AF2"/>
    <w:rsid w:val="0005566A"/>
    <w:rsid w:val="00055FCE"/>
    <w:rsid w:val="00057EEC"/>
    <w:rsid w:val="00063C38"/>
    <w:rsid w:val="00064B79"/>
    <w:rsid w:val="000750EA"/>
    <w:rsid w:val="00087554"/>
    <w:rsid w:val="00090150"/>
    <w:rsid w:val="00096D13"/>
    <w:rsid w:val="000A50B4"/>
    <w:rsid w:val="000A52B3"/>
    <w:rsid w:val="000B15B6"/>
    <w:rsid w:val="000B1D09"/>
    <w:rsid w:val="000C777D"/>
    <w:rsid w:val="000D4C8E"/>
    <w:rsid w:val="000D5887"/>
    <w:rsid w:val="000D6EE0"/>
    <w:rsid w:val="000E099B"/>
    <w:rsid w:val="000F58A3"/>
    <w:rsid w:val="000F6AB6"/>
    <w:rsid w:val="00106DD7"/>
    <w:rsid w:val="001124D6"/>
    <w:rsid w:val="00112789"/>
    <w:rsid w:val="0011468F"/>
    <w:rsid w:val="001147BD"/>
    <w:rsid w:val="00115993"/>
    <w:rsid w:val="0012492D"/>
    <w:rsid w:val="00133535"/>
    <w:rsid w:val="00133847"/>
    <w:rsid w:val="00134FB6"/>
    <w:rsid w:val="001422ED"/>
    <w:rsid w:val="00150E45"/>
    <w:rsid w:val="001534C2"/>
    <w:rsid w:val="00155C60"/>
    <w:rsid w:val="001645FD"/>
    <w:rsid w:val="00172A27"/>
    <w:rsid w:val="00173380"/>
    <w:rsid w:val="00173E2A"/>
    <w:rsid w:val="001745B5"/>
    <w:rsid w:val="00185880"/>
    <w:rsid w:val="00186DFF"/>
    <w:rsid w:val="00187CC0"/>
    <w:rsid w:val="00191E2F"/>
    <w:rsid w:val="00193575"/>
    <w:rsid w:val="001B064C"/>
    <w:rsid w:val="001B2452"/>
    <w:rsid w:val="001B2FE0"/>
    <w:rsid w:val="001C34F3"/>
    <w:rsid w:val="001C7441"/>
    <w:rsid w:val="001D0062"/>
    <w:rsid w:val="001D1C98"/>
    <w:rsid w:val="001D7B74"/>
    <w:rsid w:val="001E1271"/>
    <w:rsid w:val="001E616B"/>
    <w:rsid w:val="001E66A4"/>
    <w:rsid w:val="001E760A"/>
    <w:rsid w:val="001F2677"/>
    <w:rsid w:val="001F5BB1"/>
    <w:rsid w:val="001F7B3F"/>
    <w:rsid w:val="00211203"/>
    <w:rsid w:val="00213618"/>
    <w:rsid w:val="0021463F"/>
    <w:rsid w:val="00215FD1"/>
    <w:rsid w:val="00221977"/>
    <w:rsid w:val="0023140E"/>
    <w:rsid w:val="00242E37"/>
    <w:rsid w:val="0024504F"/>
    <w:rsid w:val="002523FA"/>
    <w:rsid w:val="00252990"/>
    <w:rsid w:val="00262946"/>
    <w:rsid w:val="00264FF8"/>
    <w:rsid w:val="00271143"/>
    <w:rsid w:val="002716CE"/>
    <w:rsid w:val="00271918"/>
    <w:rsid w:val="0027710F"/>
    <w:rsid w:val="00277D24"/>
    <w:rsid w:val="00277E92"/>
    <w:rsid w:val="002822D8"/>
    <w:rsid w:val="00290B7B"/>
    <w:rsid w:val="00291C40"/>
    <w:rsid w:val="002925CE"/>
    <w:rsid w:val="00296E25"/>
    <w:rsid w:val="002979B3"/>
    <w:rsid w:val="00297DF4"/>
    <w:rsid w:val="002A2D9B"/>
    <w:rsid w:val="002A3AB7"/>
    <w:rsid w:val="002A3C45"/>
    <w:rsid w:val="002C2CA8"/>
    <w:rsid w:val="002C4946"/>
    <w:rsid w:val="002C6AC9"/>
    <w:rsid w:val="002D5A4B"/>
    <w:rsid w:val="002D6E16"/>
    <w:rsid w:val="002E3731"/>
    <w:rsid w:val="002E73F8"/>
    <w:rsid w:val="002E7835"/>
    <w:rsid w:val="002F6B39"/>
    <w:rsid w:val="0030045F"/>
    <w:rsid w:val="003032B9"/>
    <w:rsid w:val="00303B1A"/>
    <w:rsid w:val="00303CD0"/>
    <w:rsid w:val="00304273"/>
    <w:rsid w:val="00306679"/>
    <w:rsid w:val="0031063F"/>
    <w:rsid w:val="00317056"/>
    <w:rsid w:val="00324B24"/>
    <w:rsid w:val="00334C67"/>
    <w:rsid w:val="00334E5F"/>
    <w:rsid w:val="00335D87"/>
    <w:rsid w:val="0034174B"/>
    <w:rsid w:val="00341A14"/>
    <w:rsid w:val="00343149"/>
    <w:rsid w:val="003444E5"/>
    <w:rsid w:val="0034587C"/>
    <w:rsid w:val="00350078"/>
    <w:rsid w:val="003545A7"/>
    <w:rsid w:val="00363554"/>
    <w:rsid w:val="00365E97"/>
    <w:rsid w:val="00370496"/>
    <w:rsid w:val="00370B16"/>
    <w:rsid w:val="00370B38"/>
    <w:rsid w:val="003776CB"/>
    <w:rsid w:val="0038090F"/>
    <w:rsid w:val="0039414F"/>
    <w:rsid w:val="0039795C"/>
    <w:rsid w:val="003A042E"/>
    <w:rsid w:val="003A3E69"/>
    <w:rsid w:val="003A5E7D"/>
    <w:rsid w:val="003B4A95"/>
    <w:rsid w:val="003B7956"/>
    <w:rsid w:val="003C1DAA"/>
    <w:rsid w:val="003C4D8D"/>
    <w:rsid w:val="003C7A5A"/>
    <w:rsid w:val="003D0A26"/>
    <w:rsid w:val="003D437E"/>
    <w:rsid w:val="003D6A13"/>
    <w:rsid w:val="003E0C51"/>
    <w:rsid w:val="003F29CB"/>
    <w:rsid w:val="003F36A2"/>
    <w:rsid w:val="003F39C0"/>
    <w:rsid w:val="004008BF"/>
    <w:rsid w:val="00413CBA"/>
    <w:rsid w:val="0041764C"/>
    <w:rsid w:val="00427FCD"/>
    <w:rsid w:val="00432523"/>
    <w:rsid w:val="004342F0"/>
    <w:rsid w:val="00442002"/>
    <w:rsid w:val="00442438"/>
    <w:rsid w:val="00447769"/>
    <w:rsid w:val="004707A2"/>
    <w:rsid w:val="00470B5F"/>
    <w:rsid w:val="004718F9"/>
    <w:rsid w:val="004806E7"/>
    <w:rsid w:val="00482DD1"/>
    <w:rsid w:val="0048405D"/>
    <w:rsid w:val="00485136"/>
    <w:rsid w:val="0048714A"/>
    <w:rsid w:val="0049044E"/>
    <w:rsid w:val="00490E2A"/>
    <w:rsid w:val="00494A03"/>
    <w:rsid w:val="00495664"/>
    <w:rsid w:val="004A1123"/>
    <w:rsid w:val="004A4033"/>
    <w:rsid w:val="004A7DA9"/>
    <w:rsid w:val="004B4E59"/>
    <w:rsid w:val="004C32C1"/>
    <w:rsid w:val="004D692E"/>
    <w:rsid w:val="004E2B0A"/>
    <w:rsid w:val="004E2C59"/>
    <w:rsid w:val="004E6F8E"/>
    <w:rsid w:val="004F05D6"/>
    <w:rsid w:val="004F13C0"/>
    <w:rsid w:val="004F7669"/>
    <w:rsid w:val="00507631"/>
    <w:rsid w:val="00507A89"/>
    <w:rsid w:val="00511238"/>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3786"/>
    <w:rsid w:val="005B5788"/>
    <w:rsid w:val="005B7947"/>
    <w:rsid w:val="005C1BED"/>
    <w:rsid w:val="005C74A9"/>
    <w:rsid w:val="005C7981"/>
    <w:rsid w:val="005D4130"/>
    <w:rsid w:val="005E0DCA"/>
    <w:rsid w:val="005E57F3"/>
    <w:rsid w:val="005E7581"/>
    <w:rsid w:val="005F0B63"/>
    <w:rsid w:val="005F475B"/>
    <w:rsid w:val="00601186"/>
    <w:rsid w:val="00604DB6"/>
    <w:rsid w:val="00605314"/>
    <w:rsid w:val="00606949"/>
    <w:rsid w:val="00607834"/>
    <w:rsid w:val="006106A8"/>
    <w:rsid w:val="0061424F"/>
    <w:rsid w:val="00616E9C"/>
    <w:rsid w:val="00633DB6"/>
    <w:rsid w:val="00636B18"/>
    <w:rsid w:val="00637917"/>
    <w:rsid w:val="00644029"/>
    <w:rsid w:val="0065020C"/>
    <w:rsid w:val="00652C85"/>
    <w:rsid w:val="0066204C"/>
    <w:rsid w:val="00662DD3"/>
    <w:rsid w:val="00677F5E"/>
    <w:rsid w:val="006808AC"/>
    <w:rsid w:val="00682905"/>
    <w:rsid w:val="006913A4"/>
    <w:rsid w:val="006A34D1"/>
    <w:rsid w:val="006A44C8"/>
    <w:rsid w:val="006A6414"/>
    <w:rsid w:val="006A72CB"/>
    <w:rsid w:val="006B101F"/>
    <w:rsid w:val="006B287E"/>
    <w:rsid w:val="006C0392"/>
    <w:rsid w:val="006C5997"/>
    <w:rsid w:val="006D4D55"/>
    <w:rsid w:val="006F2F61"/>
    <w:rsid w:val="006F42AE"/>
    <w:rsid w:val="006F451E"/>
    <w:rsid w:val="006F4ABD"/>
    <w:rsid w:val="00700C30"/>
    <w:rsid w:val="00707483"/>
    <w:rsid w:val="00712E38"/>
    <w:rsid w:val="00724884"/>
    <w:rsid w:val="007308B7"/>
    <w:rsid w:val="00733F8A"/>
    <w:rsid w:val="00734E1A"/>
    <w:rsid w:val="00736829"/>
    <w:rsid w:val="007460A4"/>
    <w:rsid w:val="00750A11"/>
    <w:rsid w:val="00761B31"/>
    <w:rsid w:val="00762959"/>
    <w:rsid w:val="007647DA"/>
    <w:rsid w:val="00765A67"/>
    <w:rsid w:val="00766592"/>
    <w:rsid w:val="007721DF"/>
    <w:rsid w:val="0077316E"/>
    <w:rsid w:val="007734E5"/>
    <w:rsid w:val="007750B7"/>
    <w:rsid w:val="00776E97"/>
    <w:rsid w:val="00780330"/>
    <w:rsid w:val="0078045C"/>
    <w:rsid w:val="00786888"/>
    <w:rsid w:val="00790027"/>
    <w:rsid w:val="00793680"/>
    <w:rsid w:val="00795E2F"/>
    <w:rsid w:val="00795F82"/>
    <w:rsid w:val="007A01BB"/>
    <w:rsid w:val="007A1EEA"/>
    <w:rsid w:val="007A3DDD"/>
    <w:rsid w:val="007A5541"/>
    <w:rsid w:val="007B5782"/>
    <w:rsid w:val="007B5ED0"/>
    <w:rsid w:val="007B7FF7"/>
    <w:rsid w:val="007C14E8"/>
    <w:rsid w:val="007C3D91"/>
    <w:rsid w:val="007C3E1A"/>
    <w:rsid w:val="007C3F83"/>
    <w:rsid w:val="007D3E1C"/>
    <w:rsid w:val="007D4C48"/>
    <w:rsid w:val="007E2F59"/>
    <w:rsid w:val="007E416F"/>
    <w:rsid w:val="007E42F4"/>
    <w:rsid w:val="007F0904"/>
    <w:rsid w:val="00802A0F"/>
    <w:rsid w:val="00804825"/>
    <w:rsid w:val="00812EF3"/>
    <w:rsid w:val="00824112"/>
    <w:rsid w:val="00824456"/>
    <w:rsid w:val="00831FEA"/>
    <w:rsid w:val="00836F76"/>
    <w:rsid w:val="00837614"/>
    <w:rsid w:val="0084072D"/>
    <w:rsid w:val="00840816"/>
    <w:rsid w:val="00841D5A"/>
    <w:rsid w:val="008545B9"/>
    <w:rsid w:val="00867651"/>
    <w:rsid w:val="00874C6E"/>
    <w:rsid w:val="00874DC1"/>
    <w:rsid w:val="00876335"/>
    <w:rsid w:val="008765A7"/>
    <w:rsid w:val="00885357"/>
    <w:rsid w:val="008978B7"/>
    <w:rsid w:val="008A3E96"/>
    <w:rsid w:val="008A47FE"/>
    <w:rsid w:val="008B1825"/>
    <w:rsid w:val="008B1834"/>
    <w:rsid w:val="008B30C7"/>
    <w:rsid w:val="008B728E"/>
    <w:rsid w:val="008C2CD9"/>
    <w:rsid w:val="008C5AD7"/>
    <w:rsid w:val="008D1563"/>
    <w:rsid w:val="008D2883"/>
    <w:rsid w:val="008D727A"/>
    <w:rsid w:val="008E3C50"/>
    <w:rsid w:val="008E6173"/>
    <w:rsid w:val="008F20DF"/>
    <w:rsid w:val="008F2A49"/>
    <w:rsid w:val="0090066D"/>
    <w:rsid w:val="00907969"/>
    <w:rsid w:val="00912DD2"/>
    <w:rsid w:val="009167C9"/>
    <w:rsid w:val="00920510"/>
    <w:rsid w:val="0092536D"/>
    <w:rsid w:val="0093429F"/>
    <w:rsid w:val="00935D5F"/>
    <w:rsid w:val="00942A9B"/>
    <w:rsid w:val="0095046F"/>
    <w:rsid w:val="00950B0B"/>
    <w:rsid w:val="00950DEA"/>
    <w:rsid w:val="00950FF7"/>
    <w:rsid w:val="009570E2"/>
    <w:rsid w:val="0095762A"/>
    <w:rsid w:val="009635A2"/>
    <w:rsid w:val="009638F8"/>
    <w:rsid w:val="00974596"/>
    <w:rsid w:val="009760D4"/>
    <w:rsid w:val="00976946"/>
    <w:rsid w:val="00976E86"/>
    <w:rsid w:val="00981A8F"/>
    <w:rsid w:val="0099122E"/>
    <w:rsid w:val="00991D62"/>
    <w:rsid w:val="0099438F"/>
    <w:rsid w:val="00996A69"/>
    <w:rsid w:val="009A710A"/>
    <w:rsid w:val="009B55A0"/>
    <w:rsid w:val="009B5C57"/>
    <w:rsid w:val="009C03B0"/>
    <w:rsid w:val="009C1CDF"/>
    <w:rsid w:val="009D00EB"/>
    <w:rsid w:val="009D103A"/>
    <w:rsid w:val="009D7F1F"/>
    <w:rsid w:val="009E2B43"/>
    <w:rsid w:val="009E72C3"/>
    <w:rsid w:val="009F055A"/>
    <w:rsid w:val="009F5406"/>
    <w:rsid w:val="009F73D3"/>
    <w:rsid w:val="00A068FE"/>
    <w:rsid w:val="00A12B1B"/>
    <w:rsid w:val="00A160D8"/>
    <w:rsid w:val="00A177CD"/>
    <w:rsid w:val="00A215E7"/>
    <w:rsid w:val="00A3111B"/>
    <w:rsid w:val="00A41E80"/>
    <w:rsid w:val="00A47FDC"/>
    <w:rsid w:val="00A505BD"/>
    <w:rsid w:val="00A52EB5"/>
    <w:rsid w:val="00A5319D"/>
    <w:rsid w:val="00A542B0"/>
    <w:rsid w:val="00A55000"/>
    <w:rsid w:val="00A56138"/>
    <w:rsid w:val="00A61BE8"/>
    <w:rsid w:val="00A720C5"/>
    <w:rsid w:val="00A72F14"/>
    <w:rsid w:val="00A926B3"/>
    <w:rsid w:val="00A93561"/>
    <w:rsid w:val="00A95B21"/>
    <w:rsid w:val="00AA2B7B"/>
    <w:rsid w:val="00AA37DB"/>
    <w:rsid w:val="00AA5B73"/>
    <w:rsid w:val="00AA6545"/>
    <w:rsid w:val="00AA75C2"/>
    <w:rsid w:val="00AB3B29"/>
    <w:rsid w:val="00AC72ED"/>
    <w:rsid w:val="00AD3BB4"/>
    <w:rsid w:val="00AE182C"/>
    <w:rsid w:val="00AE4C0B"/>
    <w:rsid w:val="00AE59EB"/>
    <w:rsid w:val="00AF051C"/>
    <w:rsid w:val="00AF30B5"/>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99F"/>
    <w:rsid w:val="00B62E64"/>
    <w:rsid w:val="00B64B7E"/>
    <w:rsid w:val="00B7038F"/>
    <w:rsid w:val="00B73903"/>
    <w:rsid w:val="00B80805"/>
    <w:rsid w:val="00B869A2"/>
    <w:rsid w:val="00B94215"/>
    <w:rsid w:val="00B959D8"/>
    <w:rsid w:val="00B97DFB"/>
    <w:rsid w:val="00BA7A57"/>
    <w:rsid w:val="00BB3EC9"/>
    <w:rsid w:val="00BB65FC"/>
    <w:rsid w:val="00BD2E36"/>
    <w:rsid w:val="00BD4AC7"/>
    <w:rsid w:val="00BD5735"/>
    <w:rsid w:val="00BE118D"/>
    <w:rsid w:val="00BF25F0"/>
    <w:rsid w:val="00BF59F4"/>
    <w:rsid w:val="00C02745"/>
    <w:rsid w:val="00C06991"/>
    <w:rsid w:val="00C165D6"/>
    <w:rsid w:val="00C2235D"/>
    <w:rsid w:val="00C22914"/>
    <w:rsid w:val="00C25FD1"/>
    <w:rsid w:val="00C268F1"/>
    <w:rsid w:val="00C30DF3"/>
    <w:rsid w:val="00C37EE1"/>
    <w:rsid w:val="00C43DF0"/>
    <w:rsid w:val="00C44FAA"/>
    <w:rsid w:val="00C455FE"/>
    <w:rsid w:val="00C46162"/>
    <w:rsid w:val="00C50585"/>
    <w:rsid w:val="00C5285A"/>
    <w:rsid w:val="00C540D0"/>
    <w:rsid w:val="00C707A1"/>
    <w:rsid w:val="00C71FD1"/>
    <w:rsid w:val="00C71FD8"/>
    <w:rsid w:val="00C73484"/>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CF1DB4"/>
    <w:rsid w:val="00D042E9"/>
    <w:rsid w:val="00D0540E"/>
    <w:rsid w:val="00D11DCC"/>
    <w:rsid w:val="00D124CE"/>
    <w:rsid w:val="00D1339B"/>
    <w:rsid w:val="00D141FA"/>
    <w:rsid w:val="00D17AE1"/>
    <w:rsid w:val="00D2614F"/>
    <w:rsid w:val="00D325A3"/>
    <w:rsid w:val="00D357A7"/>
    <w:rsid w:val="00D4068D"/>
    <w:rsid w:val="00D44CAC"/>
    <w:rsid w:val="00D52ACC"/>
    <w:rsid w:val="00D53E01"/>
    <w:rsid w:val="00D5603F"/>
    <w:rsid w:val="00D71131"/>
    <w:rsid w:val="00D72395"/>
    <w:rsid w:val="00D7283D"/>
    <w:rsid w:val="00D7434E"/>
    <w:rsid w:val="00D80BFA"/>
    <w:rsid w:val="00D84239"/>
    <w:rsid w:val="00D87422"/>
    <w:rsid w:val="00D95B9E"/>
    <w:rsid w:val="00DA0148"/>
    <w:rsid w:val="00DA3425"/>
    <w:rsid w:val="00DA6EFC"/>
    <w:rsid w:val="00DB1F85"/>
    <w:rsid w:val="00DB20FE"/>
    <w:rsid w:val="00DB2C21"/>
    <w:rsid w:val="00DB2E10"/>
    <w:rsid w:val="00DC1BB7"/>
    <w:rsid w:val="00DC1C6D"/>
    <w:rsid w:val="00DC5E4E"/>
    <w:rsid w:val="00DD0D72"/>
    <w:rsid w:val="00DD2800"/>
    <w:rsid w:val="00DD2A84"/>
    <w:rsid w:val="00DD7DB0"/>
    <w:rsid w:val="00DF0F7A"/>
    <w:rsid w:val="00DF47A6"/>
    <w:rsid w:val="00DF5F6F"/>
    <w:rsid w:val="00DF7870"/>
    <w:rsid w:val="00E004C4"/>
    <w:rsid w:val="00E024C5"/>
    <w:rsid w:val="00E0354D"/>
    <w:rsid w:val="00E111CC"/>
    <w:rsid w:val="00E139F4"/>
    <w:rsid w:val="00E1684C"/>
    <w:rsid w:val="00E169BD"/>
    <w:rsid w:val="00E175F5"/>
    <w:rsid w:val="00E205DE"/>
    <w:rsid w:val="00E216B5"/>
    <w:rsid w:val="00E22775"/>
    <w:rsid w:val="00E27EE7"/>
    <w:rsid w:val="00E3040A"/>
    <w:rsid w:val="00E351D2"/>
    <w:rsid w:val="00E3541E"/>
    <w:rsid w:val="00E44D0C"/>
    <w:rsid w:val="00E47923"/>
    <w:rsid w:val="00E632A2"/>
    <w:rsid w:val="00E6462C"/>
    <w:rsid w:val="00E65D6D"/>
    <w:rsid w:val="00E71AD9"/>
    <w:rsid w:val="00E73797"/>
    <w:rsid w:val="00E76877"/>
    <w:rsid w:val="00E76C97"/>
    <w:rsid w:val="00E80FA2"/>
    <w:rsid w:val="00E82FEC"/>
    <w:rsid w:val="00E84273"/>
    <w:rsid w:val="00E846A7"/>
    <w:rsid w:val="00E8495F"/>
    <w:rsid w:val="00E93B84"/>
    <w:rsid w:val="00E945E2"/>
    <w:rsid w:val="00EA3530"/>
    <w:rsid w:val="00EA6399"/>
    <w:rsid w:val="00EA727D"/>
    <w:rsid w:val="00EB2251"/>
    <w:rsid w:val="00EB3155"/>
    <w:rsid w:val="00EB465C"/>
    <w:rsid w:val="00EB7CFF"/>
    <w:rsid w:val="00EC1ED7"/>
    <w:rsid w:val="00EC3B8C"/>
    <w:rsid w:val="00ED432F"/>
    <w:rsid w:val="00EE526F"/>
    <w:rsid w:val="00EE72B2"/>
    <w:rsid w:val="00EF312D"/>
    <w:rsid w:val="00EF4E71"/>
    <w:rsid w:val="00EF5174"/>
    <w:rsid w:val="00F02025"/>
    <w:rsid w:val="00F02479"/>
    <w:rsid w:val="00F060E9"/>
    <w:rsid w:val="00F06C2C"/>
    <w:rsid w:val="00F121D6"/>
    <w:rsid w:val="00F15EA9"/>
    <w:rsid w:val="00F2027F"/>
    <w:rsid w:val="00F26046"/>
    <w:rsid w:val="00F26449"/>
    <w:rsid w:val="00F270D8"/>
    <w:rsid w:val="00F31349"/>
    <w:rsid w:val="00F31DAF"/>
    <w:rsid w:val="00F32D11"/>
    <w:rsid w:val="00F3386E"/>
    <w:rsid w:val="00F4076D"/>
    <w:rsid w:val="00F44B9A"/>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C3458"/>
    <w:rsid w:val="00FC3BC7"/>
    <w:rsid w:val="00FC534F"/>
    <w:rsid w:val="00FE32E3"/>
    <w:rsid w:val="00FE5BDB"/>
    <w:rsid w:val="00FF110C"/>
    <w:rsid w:val="00FF2E97"/>
    <w:rsid w:val="00FF466F"/>
    <w:rsid w:val="00FF4FA8"/>
    <w:rsid w:val="00FF619A"/>
    <w:rsid w:val="0BCE0C66"/>
    <w:rsid w:val="13B12BA4"/>
    <w:rsid w:val="1D956C8F"/>
    <w:rsid w:val="21492122"/>
    <w:rsid w:val="35FD459B"/>
    <w:rsid w:val="556C3E3B"/>
    <w:rsid w:val="5737194B"/>
    <w:rsid w:val="651C6CBF"/>
    <w:rsid w:val="6C163AB2"/>
    <w:rsid w:val="76B60555"/>
    <w:rsid w:val="7BD84FD8"/>
    <w:rsid w:val="7F8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3"/>
    <w:basedOn w:val="1"/>
    <w:next w:val="1"/>
    <w:link w:val="149"/>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8"/>
    <w:unhideWhenUsed/>
    <w:qFormat/>
    <w:uiPriority w:val="9"/>
    <w:pPr>
      <w:keepNext/>
      <w:keepLines/>
      <w:spacing w:before="280" w:after="290" w:line="376" w:lineRule="auto"/>
      <w:outlineLvl w:val="4"/>
    </w:pPr>
    <w:rPr>
      <w:b/>
      <w:bCs/>
      <w:sz w:val="28"/>
      <w:szCs w:val="28"/>
    </w:rPr>
  </w:style>
  <w:style w:type="paragraph" w:styleId="7">
    <w:name w:val="heading 6"/>
    <w:basedOn w:val="1"/>
    <w:next w:val="8"/>
    <w:link w:val="151"/>
    <w:qFormat/>
    <w:uiPriority w:val="0"/>
    <w:pPr>
      <w:keepNext/>
      <w:keepLines/>
      <w:autoSpaceDE/>
      <w:autoSpaceDN/>
      <w:adjustRightInd/>
      <w:spacing w:before="240" w:after="64" w:line="320" w:lineRule="auto"/>
      <w:outlineLvl w:val="5"/>
    </w:pPr>
    <w:rPr>
      <w:rFonts w:ascii="Arial" w:hAnsi="Arial" w:eastAsia="黑体"/>
      <w:b/>
      <w:color w:val="auto"/>
      <w:kern w:val="2"/>
      <w:sz w:val="24"/>
      <w:szCs w:val="20"/>
    </w:rPr>
  </w:style>
  <w:style w:type="paragraph" w:styleId="9">
    <w:name w:val="heading 7"/>
    <w:basedOn w:val="1"/>
    <w:next w:val="8"/>
    <w:link w:val="152"/>
    <w:qFormat/>
    <w:uiPriority w:val="0"/>
    <w:pPr>
      <w:keepNext/>
      <w:keepLines/>
      <w:autoSpaceDE/>
      <w:autoSpaceDN/>
      <w:adjustRightInd/>
      <w:spacing w:before="240" w:after="64" w:line="320" w:lineRule="auto"/>
      <w:outlineLvl w:val="6"/>
    </w:pPr>
    <w:rPr>
      <w:rFonts w:ascii="Calibri" w:hAnsi="Calibri"/>
      <w:b/>
      <w:color w:val="auto"/>
      <w:kern w:val="2"/>
      <w:sz w:val="24"/>
      <w:szCs w:val="20"/>
    </w:rPr>
  </w:style>
  <w:style w:type="paragraph" w:styleId="10">
    <w:name w:val="heading 8"/>
    <w:basedOn w:val="1"/>
    <w:next w:val="8"/>
    <w:link w:val="153"/>
    <w:qFormat/>
    <w:uiPriority w:val="0"/>
    <w:pPr>
      <w:keepNext/>
      <w:keepLines/>
      <w:autoSpaceDE/>
      <w:autoSpaceDN/>
      <w:adjustRightInd/>
      <w:spacing w:before="240" w:after="64" w:line="320" w:lineRule="auto"/>
      <w:outlineLvl w:val="7"/>
    </w:pPr>
    <w:rPr>
      <w:rFonts w:ascii="Arial" w:hAnsi="Arial" w:eastAsia="黑体"/>
      <w:color w:val="auto"/>
      <w:kern w:val="2"/>
      <w:sz w:val="24"/>
      <w:szCs w:val="20"/>
    </w:rPr>
  </w:style>
  <w:style w:type="paragraph" w:styleId="11">
    <w:name w:val="heading 9"/>
    <w:basedOn w:val="1"/>
    <w:next w:val="8"/>
    <w:link w:val="154"/>
    <w:qFormat/>
    <w:uiPriority w:val="0"/>
    <w:pPr>
      <w:keepNext/>
      <w:keepLines/>
      <w:autoSpaceDE/>
      <w:autoSpaceDN/>
      <w:adjustRightInd/>
      <w:spacing w:before="240" w:after="64" w:line="320" w:lineRule="auto"/>
      <w:outlineLvl w:val="8"/>
    </w:pPr>
    <w:rPr>
      <w:rFonts w:ascii="Arial" w:hAnsi="Arial" w:eastAsia="黑体"/>
      <w:color w:val="auto"/>
      <w:kern w:val="2"/>
      <w:szCs w:val="20"/>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autoSpaceDE/>
      <w:autoSpaceDN/>
      <w:adjustRightInd/>
      <w:ind w:firstLine="420"/>
    </w:pPr>
    <w:rPr>
      <w:kern w:val="2"/>
    </w:rPr>
  </w:style>
  <w:style w:type="paragraph" w:styleId="12">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3">
    <w:name w:val="caption"/>
    <w:basedOn w:val="1"/>
    <w:next w:val="1"/>
    <w:unhideWhenUsed/>
    <w:qFormat/>
    <w:uiPriority w:val="0"/>
    <w:pPr>
      <w:autoSpaceDE/>
      <w:autoSpaceDN/>
      <w:adjustRightInd/>
    </w:pPr>
    <w:rPr>
      <w:rFonts w:ascii="Cambria" w:hAnsi="Cambria" w:eastAsia="黑体"/>
      <w:color w:val="auto"/>
      <w:kern w:val="2"/>
      <w:sz w:val="20"/>
      <w:szCs w:val="20"/>
    </w:rPr>
  </w:style>
  <w:style w:type="paragraph" w:styleId="14">
    <w:name w:val="Document Map"/>
    <w:basedOn w:val="1"/>
    <w:link w:val="62"/>
    <w:uiPriority w:val="0"/>
    <w:pPr>
      <w:shd w:val="clear" w:color="auto" w:fill="000080"/>
      <w:autoSpaceDE/>
      <w:autoSpaceDN/>
      <w:adjustRightInd/>
    </w:pPr>
    <w:rPr>
      <w:kern w:val="2"/>
      <w:szCs w:val="24"/>
      <w:shd w:val="clear" w:color="auto" w:fill="000080"/>
    </w:rPr>
  </w:style>
  <w:style w:type="paragraph" w:styleId="15">
    <w:name w:val="annotation text"/>
    <w:basedOn w:val="1"/>
    <w:link w:val="226"/>
    <w:uiPriority w:val="0"/>
    <w:pPr>
      <w:jc w:val="left"/>
      <w:textAlignment w:val="baseline"/>
    </w:pPr>
    <w:rPr>
      <w:rFonts w:ascii="宋体" w:hAnsi="Calibri"/>
      <w:color w:val="auto"/>
      <w:sz w:val="34"/>
      <w:szCs w:val="20"/>
    </w:rPr>
  </w:style>
  <w:style w:type="paragraph" w:styleId="16">
    <w:name w:val="index 6"/>
    <w:next w:val="1"/>
    <w:qFormat/>
    <w:uiPriority w:val="0"/>
    <w:pPr>
      <w:jc w:val="both"/>
    </w:pPr>
    <w:rPr>
      <w:rFonts w:ascii="Times New Roman" w:hAnsi="Times New Roman" w:eastAsia="宋体" w:cs="Times New Roman"/>
      <w:sz w:val="21"/>
      <w:szCs w:val="24"/>
      <w:lang w:val="en-US" w:eastAsia="zh-CN" w:bidi="ar-SA"/>
    </w:rPr>
  </w:style>
  <w:style w:type="paragraph" w:styleId="17">
    <w:name w:val="Body Text 3"/>
    <w:basedOn w:val="1"/>
    <w:link w:val="230"/>
    <w:uiPriority w:val="0"/>
    <w:pPr>
      <w:spacing w:line="640" w:lineRule="exact"/>
      <w:jc w:val="left"/>
      <w:textAlignment w:val="baseline"/>
    </w:pPr>
    <w:rPr>
      <w:rFonts w:ascii="宋体" w:hAnsi="Calibri"/>
      <w:sz w:val="28"/>
      <w:szCs w:val="20"/>
    </w:rPr>
  </w:style>
  <w:style w:type="paragraph" w:styleId="18">
    <w:name w:val="Body Text"/>
    <w:basedOn w:val="1"/>
    <w:link w:val="55"/>
    <w:qFormat/>
    <w:uiPriority w:val="0"/>
    <w:pPr>
      <w:spacing w:after="120"/>
    </w:pPr>
  </w:style>
  <w:style w:type="paragraph" w:styleId="19">
    <w:name w:val="Body Text Indent"/>
    <w:basedOn w:val="1"/>
    <w:link w:val="75"/>
    <w:qFormat/>
    <w:uiPriority w:val="0"/>
    <w:pPr>
      <w:spacing w:after="120"/>
      <w:ind w:left="420" w:leftChars="200"/>
    </w:pPr>
  </w:style>
  <w:style w:type="paragraph" w:styleId="20">
    <w:name w:val="toc 3"/>
    <w:basedOn w:val="1"/>
    <w:next w:val="1"/>
    <w:unhideWhenUsed/>
    <w:uiPriority w:val="39"/>
    <w:pPr>
      <w:autoSpaceDE/>
      <w:autoSpaceDN/>
      <w:adjustRightInd/>
      <w:ind w:left="840" w:leftChars="400"/>
    </w:pPr>
    <w:rPr>
      <w:rFonts w:ascii="Calibri" w:hAnsi="Calibri"/>
      <w:color w:val="auto"/>
      <w:kern w:val="2"/>
      <w:szCs w:val="24"/>
    </w:rPr>
  </w:style>
  <w:style w:type="paragraph" w:styleId="21">
    <w:name w:val="Plain Text"/>
    <w:basedOn w:val="1"/>
    <w:link w:val="52"/>
    <w:qFormat/>
    <w:uiPriority w:val="0"/>
    <w:pPr>
      <w:autoSpaceDE/>
      <w:autoSpaceDN/>
      <w:adjustRightInd/>
    </w:pPr>
    <w:rPr>
      <w:kern w:val="2"/>
      <w:sz w:val="24"/>
    </w:rPr>
  </w:style>
  <w:style w:type="paragraph" w:styleId="22">
    <w:name w:val="Date"/>
    <w:basedOn w:val="1"/>
    <w:next w:val="1"/>
    <w:link w:val="237"/>
    <w:uiPriority w:val="0"/>
    <w:pPr>
      <w:textAlignment w:val="baseline"/>
    </w:pPr>
    <w:rPr>
      <w:rFonts w:ascii="宋体" w:hAnsi="Calibri"/>
      <w:color w:val="auto"/>
      <w:sz w:val="28"/>
      <w:szCs w:val="20"/>
    </w:rPr>
  </w:style>
  <w:style w:type="paragraph" w:styleId="23">
    <w:name w:val="Body Text Indent 2"/>
    <w:basedOn w:val="1"/>
    <w:link w:val="222"/>
    <w:uiPriority w:val="0"/>
    <w:pPr>
      <w:autoSpaceDE/>
      <w:autoSpaceDN/>
      <w:adjustRightInd/>
      <w:spacing w:line="360" w:lineRule="auto"/>
      <w:ind w:firstLine="720"/>
    </w:pPr>
    <w:rPr>
      <w:rFonts w:ascii="宋体" w:hAnsi="Calibri"/>
      <w:color w:val="auto"/>
      <w:kern w:val="2"/>
      <w:sz w:val="28"/>
      <w:szCs w:val="20"/>
    </w:rPr>
  </w:style>
  <w:style w:type="paragraph" w:styleId="24">
    <w:name w:val="Balloon Text"/>
    <w:basedOn w:val="1"/>
    <w:link w:val="76"/>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黑体"/>
      <w:sz w:val="24"/>
    </w:rPr>
  </w:style>
  <w:style w:type="paragraph" w:styleId="28">
    <w:name w:val="Subtitle"/>
    <w:basedOn w:val="1"/>
    <w:next w:val="1"/>
    <w:link w:val="212"/>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29">
    <w:name w:val="footnote text"/>
    <w:basedOn w:val="1"/>
    <w:link w:val="231"/>
    <w:semiHidden/>
    <w:uiPriority w:val="0"/>
    <w:pPr>
      <w:snapToGrid w:val="0"/>
      <w:jc w:val="left"/>
      <w:textAlignment w:val="baseline"/>
    </w:pPr>
    <w:rPr>
      <w:rFonts w:ascii="宋体" w:hAnsi="Calibri"/>
      <w:color w:val="auto"/>
      <w:sz w:val="18"/>
      <w:szCs w:val="20"/>
    </w:rPr>
  </w:style>
  <w:style w:type="paragraph" w:styleId="30">
    <w:name w:val="Body Text Indent 3"/>
    <w:basedOn w:val="1"/>
    <w:link w:val="77"/>
    <w:qFormat/>
    <w:uiPriority w:val="0"/>
    <w:pPr>
      <w:autoSpaceDE/>
      <w:autoSpaceDN/>
      <w:adjustRightInd/>
      <w:ind w:firstLine="435"/>
    </w:pPr>
    <w:rPr>
      <w:color w:val="auto"/>
      <w:kern w:val="2"/>
      <w:szCs w:val="24"/>
    </w:rPr>
  </w:style>
  <w:style w:type="paragraph" w:styleId="31">
    <w:name w:val="index 7"/>
    <w:basedOn w:val="1"/>
    <w:next w:val="1"/>
    <w:uiPriority w:val="0"/>
    <w:pPr>
      <w:ind w:left="1200" w:leftChars="1200"/>
    </w:pPr>
  </w:style>
  <w:style w:type="paragraph" w:styleId="32">
    <w:name w:val="toc 2"/>
    <w:basedOn w:val="1"/>
    <w:next w:val="1"/>
    <w:unhideWhenUsed/>
    <w:uiPriority w:val="39"/>
    <w:pPr>
      <w:autoSpaceDE/>
      <w:autoSpaceDN/>
      <w:adjustRightInd/>
      <w:ind w:left="420" w:leftChars="200"/>
    </w:pPr>
    <w:rPr>
      <w:rFonts w:ascii="Calibri" w:hAnsi="Calibri"/>
      <w:color w:val="auto"/>
      <w:kern w:val="2"/>
      <w:szCs w:val="24"/>
    </w:rPr>
  </w:style>
  <w:style w:type="paragraph" w:styleId="33">
    <w:name w:val="Body Text 2"/>
    <w:basedOn w:val="1"/>
    <w:link w:val="214"/>
    <w:uiPriority w:val="0"/>
    <w:pPr>
      <w:textAlignment w:val="baseline"/>
    </w:pPr>
    <w:rPr>
      <w:rFonts w:ascii="宋体" w:hAnsi="Calibri"/>
      <w:color w:val="auto"/>
      <w:sz w:val="28"/>
      <w:szCs w:val="20"/>
    </w:rPr>
  </w:style>
  <w:style w:type="paragraph" w:styleId="34">
    <w:name w:val="HTML Preformatted"/>
    <w:basedOn w:val="1"/>
    <w:link w:val="2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color w:val="auto"/>
      <w:sz w:val="24"/>
      <w:szCs w:val="24"/>
    </w:rPr>
  </w:style>
  <w:style w:type="paragraph" w:styleId="35">
    <w:name w:val="Normal (Web)"/>
    <w:basedOn w:val="1"/>
    <w:qFormat/>
    <w:uiPriority w:val="99"/>
    <w:pPr>
      <w:autoSpaceDE/>
      <w:autoSpaceDN/>
      <w:adjustRightInd/>
    </w:pPr>
    <w:rPr>
      <w:rFonts w:ascii="Calibri" w:hAnsi="Calibri"/>
      <w:color w:val="auto"/>
      <w:kern w:val="2"/>
      <w:sz w:val="24"/>
      <w:szCs w:val="24"/>
    </w:rPr>
  </w:style>
  <w:style w:type="paragraph" w:styleId="36">
    <w:name w:val="Title"/>
    <w:basedOn w:val="1"/>
    <w:next w:val="1"/>
    <w:link w:val="123"/>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37">
    <w:name w:val="annotation subject"/>
    <w:basedOn w:val="15"/>
    <w:next w:val="15"/>
    <w:link w:val="232"/>
    <w:semiHidden/>
    <w:uiPriority w:val="99"/>
    <w:rPr>
      <w:b/>
      <w:bCs/>
    </w:rPr>
  </w:style>
  <w:style w:type="paragraph" w:styleId="38">
    <w:name w:val="Body Text First Indent"/>
    <w:basedOn w:val="18"/>
    <w:link w:val="217"/>
    <w:uiPriority w:val="0"/>
    <w:pPr>
      <w:ind w:firstLine="420" w:firstLineChars="100"/>
    </w:pPr>
    <w:rPr>
      <w:rFonts w:ascii="Calibri" w:hAnsi="Calibri"/>
    </w:rPr>
  </w:style>
  <w:style w:type="paragraph" w:styleId="39">
    <w:name w:val="Body Text First Indent 2"/>
    <w:basedOn w:val="19"/>
    <w:link w:val="137"/>
    <w:unhideWhenUsed/>
    <w:qFormat/>
    <w:uiPriority w:val="99"/>
    <w:pPr>
      <w:ind w:firstLine="420" w:firstLineChars="2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Elegant"/>
    <w:basedOn w:val="4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
    <w:basedOn w:val="43"/>
    <w:link w:val="2"/>
    <w:qFormat/>
    <w:uiPriority w:val="0"/>
    <w:rPr>
      <w:b/>
      <w:color w:val="000000"/>
      <w:kern w:val="44"/>
      <w:sz w:val="44"/>
      <w:szCs w:val="21"/>
    </w:rPr>
  </w:style>
  <w:style w:type="character" w:customStyle="1" w:styleId="51">
    <w:name w:val="标题 2 Char"/>
    <w:basedOn w:val="43"/>
    <w:link w:val="3"/>
    <w:qFormat/>
    <w:uiPriority w:val="0"/>
    <w:rPr>
      <w:rFonts w:ascii="Arial" w:hAnsi="Arial" w:eastAsia="黑体"/>
      <w:b/>
      <w:bCs/>
      <w:kern w:val="2"/>
      <w:sz w:val="32"/>
      <w:szCs w:val="32"/>
    </w:rPr>
  </w:style>
  <w:style w:type="character" w:customStyle="1" w:styleId="52">
    <w:name w:val="纯文本 Char"/>
    <w:basedOn w:val="43"/>
    <w:link w:val="21"/>
    <w:qFormat/>
    <w:uiPriority w:val="0"/>
    <w:rPr>
      <w:rFonts w:eastAsia="宋体"/>
      <w:kern w:val="2"/>
      <w:sz w:val="24"/>
      <w:lang w:val="en-US" w:eastAsia="zh-CN" w:bidi="ar-SA"/>
    </w:rPr>
  </w:style>
  <w:style w:type="character" w:customStyle="1" w:styleId="53">
    <w:name w:val="正文文字2 Char"/>
    <w:link w:val="54"/>
    <w:qFormat/>
    <w:uiPriority w:val="0"/>
    <w:rPr>
      <w:rFonts w:ascii="Arial" w:eastAsia="黑体"/>
      <w:sz w:val="21"/>
      <w:lang w:val="en-US" w:eastAsia="zh-CN" w:bidi="ar-SA"/>
    </w:rPr>
  </w:style>
  <w:style w:type="paragraph" w:customStyle="1" w:styleId="54">
    <w:name w:val="正文文字2"/>
    <w:basedOn w:val="18"/>
    <w:link w:val="53"/>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本 Char"/>
    <w:basedOn w:val="43"/>
    <w:link w:val="18"/>
    <w:qFormat/>
    <w:uiPriority w:val="0"/>
    <w:rPr>
      <w:color w:val="000000"/>
      <w:sz w:val="21"/>
      <w:szCs w:val="21"/>
    </w:rPr>
  </w:style>
  <w:style w:type="character" w:customStyle="1" w:styleId="56">
    <w:name w:val="ca-32"/>
    <w:basedOn w:val="43"/>
    <w:uiPriority w:val="0"/>
  </w:style>
  <w:style w:type="character" w:customStyle="1" w:styleId="57">
    <w:name w:val="ca-72"/>
    <w:basedOn w:val="43"/>
    <w:qFormat/>
    <w:uiPriority w:val="0"/>
  </w:style>
  <w:style w:type="character" w:customStyle="1" w:styleId="58">
    <w:name w:val="页脚 Char"/>
    <w:basedOn w:val="43"/>
    <w:link w:val="25"/>
    <w:qFormat/>
    <w:uiPriority w:val="99"/>
    <w:rPr>
      <w:color w:val="000000"/>
      <w:sz w:val="18"/>
      <w:szCs w:val="18"/>
    </w:rPr>
  </w:style>
  <w:style w:type="character" w:customStyle="1" w:styleId="59">
    <w:name w:val="大纲 Char"/>
    <w:basedOn w:val="43"/>
    <w:link w:val="60"/>
    <w:qFormat/>
    <w:uiPriority w:val="0"/>
    <w:rPr>
      <w:rFonts w:ascii="宋体" w:hAnsi="宋体"/>
      <w:b/>
      <w:kern w:val="2"/>
      <w:sz w:val="28"/>
      <w:szCs w:val="28"/>
      <w:lang w:bidi="ar-SA"/>
    </w:rPr>
  </w:style>
  <w:style w:type="paragraph" w:customStyle="1" w:styleId="60">
    <w:name w:val="大纲"/>
    <w:basedOn w:val="1"/>
    <w:link w:val="59"/>
    <w:qFormat/>
    <w:uiPriority w:val="0"/>
    <w:pPr>
      <w:autoSpaceDE/>
      <w:autoSpaceDN/>
      <w:adjustRightInd/>
      <w:spacing w:line="500" w:lineRule="exact"/>
      <w:jc w:val="left"/>
      <w:outlineLvl w:val="0"/>
    </w:pPr>
    <w:rPr>
      <w:rFonts w:ascii="宋体" w:hAnsi="宋体"/>
      <w:b/>
      <w:kern w:val="2"/>
      <w:sz w:val="28"/>
      <w:szCs w:val="28"/>
    </w:rPr>
  </w:style>
  <w:style w:type="character" w:customStyle="1" w:styleId="61">
    <w:name w:val="ca-42"/>
    <w:basedOn w:val="43"/>
    <w:qFormat/>
    <w:uiPriority w:val="0"/>
  </w:style>
  <w:style w:type="character" w:customStyle="1" w:styleId="62">
    <w:name w:val="文档结构图 Char"/>
    <w:basedOn w:val="43"/>
    <w:link w:val="14"/>
    <w:qFormat/>
    <w:uiPriority w:val="0"/>
    <w:rPr>
      <w:kern w:val="2"/>
      <w:sz w:val="21"/>
      <w:szCs w:val="24"/>
      <w:shd w:val="clear" w:color="auto" w:fill="000080"/>
    </w:rPr>
  </w:style>
  <w:style w:type="character" w:customStyle="1" w:styleId="63">
    <w:name w:val="正文缩进 Char"/>
    <w:basedOn w:val="43"/>
    <w:link w:val="8"/>
    <w:qFormat/>
    <w:uiPriority w:val="0"/>
    <w:rPr>
      <w:rFonts w:eastAsia="宋体"/>
      <w:kern w:val="2"/>
      <w:sz w:val="21"/>
      <w:lang w:val="en-US" w:eastAsia="zh-CN" w:bidi="ar-SA"/>
    </w:rPr>
  </w:style>
  <w:style w:type="character" w:customStyle="1" w:styleId="64">
    <w:name w:val="ca-52"/>
    <w:basedOn w:val="43"/>
    <w:qFormat/>
    <w:uiPriority w:val="0"/>
  </w:style>
  <w:style w:type="character" w:customStyle="1" w:styleId="65">
    <w:name w:val="so-ask-best"/>
    <w:basedOn w:val="43"/>
    <w:qFormat/>
    <w:uiPriority w:val="0"/>
  </w:style>
  <w:style w:type="character" w:customStyle="1" w:styleId="66">
    <w:name w:val="页眉 Char"/>
    <w:basedOn w:val="43"/>
    <w:link w:val="26"/>
    <w:qFormat/>
    <w:uiPriority w:val="99"/>
    <w:rPr>
      <w:color w:val="000000"/>
      <w:sz w:val="18"/>
      <w:szCs w:val="18"/>
    </w:rPr>
  </w:style>
  <w:style w:type="character" w:customStyle="1" w:styleId="67">
    <w:name w:val="ca-12"/>
    <w:basedOn w:val="43"/>
    <w:qFormat/>
    <w:uiPriority w:val="0"/>
  </w:style>
  <w:style w:type="character" w:customStyle="1" w:styleId="68">
    <w:name w:val="ca-22"/>
    <w:basedOn w:val="43"/>
    <w:qFormat/>
    <w:uiPriority w:val="0"/>
  </w:style>
  <w:style w:type="character" w:customStyle="1" w:styleId="69">
    <w:name w:val="ca-62"/>
    <w:basedOn w:val="43"/>
    <w:qFormat/>
    <w:uiPriority w:val="0"/>
  </w:style>
  <w:style w:type="character" w:customStyle="1" w:styleId="70">
    <w:name w:val="无间隔 Char"/>
    <w:link w:val="71"/>
    <w:qFormat/>
    <w:locked/>
    <w:uiPriority w:val="1"/>
    <w:rPr>
      <w:rFonts w:ascii="Calibri" w:hAnsi="Calibri"/>
      <w:sz w:val="22"/>
      <w:szCs w:val="22"/>
      <w:lang w:val="en-US" w:eastAsia="zh-CN" w:bidi="ar-SA"/>
    </w:rPr>
  </w:style>
  <w:style w:type="paragraph" w:styleId="71">
    <w:name w:val="No Spacing"/>
    <w:link w:val="70"/>
    <w:qFormat/>
    <w:uiPriority w:val="1"/>
    <w:rPr>
      <w:rFonts w:ascii="Calibri" w:hAnsi="Calibri" w:eastAsia="宋体" w:cs="Times New Roman"/>
      <w:sz w:val="22"/>
      <w:szCs w:val="22"/>
      <w:lang w:val="en-US" w:eastAsia="zh-CN" w:bidi="ar-SA"/>
    </w:rPr>
  </w:style>
  <w:style w:type="character" w:customStyle="1" w:styleId="72">
    <w:name w:val="纯文本 Char1"/>
    <w:basedOn w:val="43"/>
    <w:qFormat/>
    <w:locked/>
    <w:uiPriority w:val="0"/>
    <w:rPr>
      <w:rFonts w:eastAsia="宋体"/>
      <w:kern w:val="2"/>
      <w:sz w:val="24"/>
      <w:lang w:val="en-US" w:eastAsia="zh-CN" w:bidi="ar-SA"/>
    </w:rPr>
  </w:style>
  <w:style w:type="character" w:customStyle="1" w:styleId="73">
    <w:name w:val="apple-converted-space"/>
    <w:basedOn w:val="43"/>
    <w:qFormat/>
    <w:uiPriority w:val="0"/>
  </w:style>
  <w:style w:type="character" w:customStyle="1" w:styleId="74">
    <w:name w:val="font01"/>
    <w:basedOn w:val="43"/>
    <w:qFormat/>
    <w:uiPriority w:val="0"/>
    <w:rPr>
      <w:rFonts w:hint="eastAsia" w:ascii="宋体" w:hAnsi="宋体" w:eastAsia="宋体" w:cs="宋体"/>
      <w:color w:val="000000"/>
      <w:sz w:val="22"/>
      <w:szCs w:val="22"/>
      <w:u w:val="none"/>
    </w:rPr>
  </w:style>
  <w:style w:type="character" w:customStyle="1" w:styleId="75">
    <w:name w:val="正文文本缩进 Char"/>
    <w:basedOn w:val="43"/>
    <w:link w:val="19"/>
    <w:qFormat/>
    <w:uiPriority w:val="0"/>
    <w:rPr>
      <w:color w:val="000000"/>
      <w:sz w:val="21"/>
      <w:szCs w:val="21"/>
    </w:rPr>
  </w:style>
  <w:style w:type="character" w:customStyle="1" w:styleId="76">
    <w:name w:val="批注框文本 Char"/>
    <w:basedOn w:val="43"/>
    <w:link w:val="24"/>
    <w:qFormat/>
    <w:uiPriority w:val="99"/>
    <w:rPr>
      <w:color w:val="000000"/>
      <w:sz w:val="18"/>
      <w:szCs w:val="18"/>
    </w:rPr>
  </w:style>
  <w:style w:type="character" w:customStyle="1" w:styleId="77">
    <w:name w:val="正文文本缩进 3 Char"/>
    <w:basedOn w:val="43"/>
    <w:link w:val="30"/>
    <w:qFormat/>
    <w:uiPriority w:val="0"/>
    <w:rPr>
      <w:kern w:val="2"/>
      <w:sz w:val="21"/>
      <w:szCs w:val="24"/>
    </w:rPr>
  </w:style>
  <w:style w:type="paragraph" w:customStyle="1" w:styleId="78">
    <w:name w:val="列出段落1"/>
    <w:basedOn w:val="1"/>
    <w:qFormat/>
    <w:uiPriority w:val="34"/>
    <w:pPr>
      <w:autoSpaceDE/>
      <w:autoSpaceDN/>
      <w:adjustRightInd/>
      <w:ind w:firstLine="420" w:firstLineChars="200"/>
    </w:pPr>
    <w:rPr>
      <w:color w:val="auto"/>
      <w:kern w:val="2"/>
      <w:szCs w:val="20"/>
    </w:rPr>
  </w:style>
  <w:style w:type="paragraph" w:customStyle="1" w:styleId="79">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82">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默认段落字体 Para Char Char Char"/>
    <w:basedOn w:val="1"/>
    <w:qFormat/>
    <w:uiPriority w:val="0"/>
    <w:pPr>
      <w:autoSpaceDE/>
      <w:autoSpaceDN/>
      <w:adjustRightInd/>
    </w:pPr>
    <w:rPr>
      <w:color w:val="auto"/>
      <w:kern w:val="2"/>
      <w:szCs w:val="24"/>
    </w:rPr>
  </w:style>
  <w:style w:type="paragraph" w:customStyle="1" w:styleId="84">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7">
    <w:name w:val="无间隔1"/>
    <w:qFormat/>
    <w:uiPriority w:val="1"/>
    <w:rPr>
      <w:rFonts w:ascii="Calibri" w:hAnsi="Calibri" w:eastAsia="宋体" w:cs="Times New Roman"/>
      <w:sz w:val="22"/>
      <w:szCs w:val="22"/>
      <w:lang w:val="en-US" w:eastAsia="zh-CN" w:bidi="ar-SA"/>
    </w:rPr>
  </w:style>
  <w:style w:type="paragraph" w:customStyle="1" w:styleId="88">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91">
    <w:name w:val="List Paragraph"/>
    <w:basedOn w:val="1"/>
    <w:link w:val="92"/>
    <w:qFormat/>
    <w:uiPriority w:val="99"/>
    <w:pPr>
      <w:autoSpaceDE/>
      <w:autoSpaceDN/>
      <w:adjustRightInd/>
      <w:ind w:firstLine="420" w:firstLineChars="200"/>
    </w:pPr>
    <w:rPr>
      <w:rFonts w:ascii="Calibri" w:hAnsi="Calibri"/>
      <w:color w:val="auto"/>
      <w:kern w:val="2"/>
      <w:szCs w:val="22"/>
    </w:rPr>
  </w:style>
  <w:style w:type="character" w:customStyle="1" w:styleId="92">
    <w:name w:val="列出段落 Char"/>
    <w:link w:val="91"/>
    <w:qFormat/>
    <w:uiPriority w:val="99"/>
    <w:rPr>
      <w:rFonts w:ascii="Calibri" w:hAnsi="Calibri"/>
      <w:kern w:val="2"/>
      <w:sz w:val="21"/>
      <w:szCs w:val="22"/>
    </w:rPr>
  </w:style>
  <w:style w:type="paragraph" w:customStyle="1" w:styleId="93">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95">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96">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7">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98">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9">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0">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1">
    <w:name w:val="p15"/>
    <w:basedOn w:val="1"/>
    <w:qFormat/>
    <w:uiPriority w:val="0"/>
    <w:pPr>
      <w:widowControl/>
      <w:autoSpaceDE/>
      <w:autoSpaceDN/>
      <w:adjustRightInd/>
      <w:snapToGrid w:val="0"/>
    </w:pPr>
  </w:style>
  <w:style w:type="paragraph" w:customStyle="1" w:styleId="102">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3">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4">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5">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6">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7">
    <w:name w:val="Char Char Char Char1 Char Char Char Char Char"/>
    <w:basedOn w:val="14"/>
    <w:qFormat/>
    <w:uiPriority w:val="0"/>
  </w:style>
  <w:style w:type="paragraph" w:customStyle="1" w:styleId="108">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9">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10">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11">
    <w:name w:val="p0"/>
    <w:next w:val="31"/>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113">
    <w:name w:val="Char Char Char"/>
    <w:basedOn w:val="1"/>
    <w:qFormat/>
    <w:uiPriority w:val="0"/>
    <w:pPr>
      <w:widowControl/>
      <w:autoSpaceDE/>
      <w:autoSpaceDN/>
      <w:adjustRightInd/>
      <w:jc w:val="left"/>
    </w:pPr>
    <w:rPr>
      <w:color w:val="auto"/>
      <w:sz w:val="20"/>
      <w:szCs w:val="20"/>
    </w:rPr>
  </w:style>
  <w:style w:type="paragraph" w:customStyle="1" w:styleId="114">
    <w:name w:val="_Style 2"/>
    <w:qFormat/>
    <w:uiPriority w:val="99"/>
    <w:rPr>
      <w:rFonts w:ascii="Calibri" w:hAnsi="Calibri" w:eastAsia="宋体" w:cs="Times New Roman"/>
      <w:sz w:val="22"/>
      <w:szCs w:val="22"/>
      <w:lang w:val="en-US" w:eastAsia="zh-CN" w:bidi="ar-SA"/>
    </w:rPr>
  </w:style>
  <w:style w:type="paragraph" w:customStyle="1" w:styleId="115">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116">
    <w:name w:val="15"/>
    <w:basedOn w:val="43"/>
    <w:qFormat/>
    <w:uiPriority w:val="0"/>
    <w:rPr>
      <w:rFonts w:hint="eastAsia" w:ascii="宋体" w:hAnsi="宋体" w:eastAsia="宋体"/>
      <w:color w:val="000000"/>
      <w:sz w:val="20"/>
      <w:szCs w:val="20"/>
    </w:rPr>
  </w:style>
  <w:style w:type="character" w:customStyle="1" w:styleId="117">
    <w:name w:val="16"/>
    <w:basedOn w:val="43"/>
    <w:qFormat/>
    <w:uiPriority w:val="0"/>
    <w:rPr>
      <w:rFonts w:hint="default" w:ascii="Arial" w:hAnsi="Arial" w:cs="Arial"/>
      <w:color w:val="000000"/>
      <w:sz w:val="20"/>
      <w:szCs w:val="20"/>
    </w:rPr>
  </w:style>
  <w:style w:type="character" w:customStyle="1" w:styleId="118">
    <w:name w:val="17"/>
    <w:basedOn w:val="43"/>
    <w:qFormat/>
    <w:uiPriority w:val="0"/>
    <w:rPr>
      <w:rFonts w:hint="default" w:ascii="Arial" w:hAnsi="Arial" w:cs="Arial"/>
      <w:color w:val="FF0000"/>
      <w:sz w:val="20"/>
      <w:szCs w:val="20"/>
    </w:rPr>
  </w:style>
  <w:style w:type="character" w:customStyle="1" w:styleId="119">
    <w:name w:val="18"/>
    <w:basedOn w:val="43"/>
    <w:qFormat/>
    <w:uiPriority w:val="0"/>
    <w:rPr>
      <w:rFonts w:hint="eastAsia" w:ascii="宋体" w:hAnsi="宋体" w:eastAsia="宋体"/>
      <w:color w:val="FF0000"/>
      <w:sz w:val="20"/>
      <w:szCs w:val="20"/>
    </w:rPr>
  </w:style>
  <w:style w:type="character" w:customStyle="1" w:styleId="120">
    <w:name w:val="19"/>
    <w:basedOn w:val="43"/>
    <w:qFormat/>
    <w:uiPriority w:val="0"/>
    <w:rPr>
      <w:rFonts w:hint="eastAsia" w:ascii="宋体" w:hAnsi="宋体" w:eastAsia="宋体"/>
      <w:color w:val="000000"/>
      <w:sz w:val="20"/>
      <w:szCs w:val="20"/>
    </w:rPr>
  </w:style>
  <w:style w:type="character" w:customStyle="1" w:styleId="121">
    <w:name w:val="20"/>
    <w:basedOn w:val="43"/>
    <w:qFormat/>
    <w:uiPriority w:val="0"/>
    <w:rPr>
      <w:rFonts w:hint="default" w:ascii="Arial" w:hAnsi="Arial" w:cs="Arial"/>
      <w:color w:val="000000"/>
      <w:sz w:val="20"/>
      <w:szCs w:val="20"/>
    </w:rPr>
  </w:style>
  <w:style w:type="paragraph" w:customStyle="1" w:styleId="122">
    <w:name w:val="List Paragraph1"/>
    <w:basedOn w:val="1"/>
    <w:qFormat/>
    <w:uiPriority w:val="99"/>
    <w:pPr>
      <w:autoSpaceDE/>
      <w:autoSpaceDN/>
      <w:adjustRightInd/>
      <w:ind w:firstLine="420" w:firstLineChars="200"/>
    </w:pPr>
    <w:rPr>
      <w:rFonts w:ascii="Calibri" w:hAnsi="Calibri" w:cs="黑体"/>
      <w:color w:val="auto"/>
      <w:kern w:val="2"/>
    </w:rPr>
  </w:style>
  <w:style w:type="character" w:customStyle="1" w:styleId="123">
    <w:name w:val="标题 Char"/>
    <w:basedOn w:val="43"/>
    <w:link w:val="36"/>
    <w:uiPriority w:val="0"/>
    <w:rPr>
      <w:rFonts w:ascii="Cambria" w:hAnsi="Cambria"/>
      <w:b/>
      <w:bCs/>
      <w:kern w:val="2"/>
      <w:sz w:val="32"/>
      <w:szCs w:val="32"/>
    </w:rPr>
  </w:style>
  <w:style w:type="paragraph" w:customStyle="1" w:styleId="124">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25">
    <w:name w:val="Table Paragraph"/>
    <w:basedOn w:val="1"/>
    <w:qFormat/>
    <w:uiPriority w:val="0"/>
    <w:pPr>
      <w:adjustRightInd/>
      <w:spacing w:line="287" w:lineRule="exact"/>
      <w:ind w:left="301" w:right="287"/>
      <w:jc w:val="center"/>
    </w:pPr>
    <w:rPr>
      <w:rFonts w:ascii="宋体" w:hAnsi="宋体" w:cs="宋体"/>
      <w:color w:val="auto"/>
      <w:sz w:val="22"/>
      <w:szCs w:val="22"/>
      <w:lang w:val="zh-CN" w:bidi="zh-CN"/>
    </w:rPr>
  </w:style>
  <w:style w:type="paragraph" w:customStyle="1" w:styleId="126">
    <w:name w:val="正文缩进1"/>
    <w:basedOn w:val="1"/>
    <w:uiPriority w:val="0"/>
    <w:pPr>
      <w:ind w:firstLine="420"/>
      <w:jc w:val="left"/>
    </w:pPr>
    <w:rPr>
      <w:rFonts w:ascii="宋体"/>
      <w:color w:val="auto"/>
      <w:sz w:val="24"/>
      <w:szCs w:val="20"/>
    </w:rPr>
  </w:style>
  <w:style w:type="paragraph" w:customStyle="1" w:styleId="127">
    <w:name w:val="Char1"/>
    <w:basedOn w:val="1"/>
    <w:uiPriority w:val="0"/>
    <w:pPr>
      <w:autoSpaceDE/>
      <w:autoSpaceDN/>
      <w:adjustRightInd/>
    </w:pPr>
    <w:rPr>
      <w:rFonts w:ascii="仿宋_GB2312" w:eastAsia="仿宋_GB2312"/>
      <w:b/>
      <w:color w:val="auto"/>
      <w:kern w:val="2"/>
      <w:sz w:val="32"/>
      <w:szCs w:val="32"/>
    </w:rPr>
  </w:style>
  <w:style w:type="character" w:customStyle="1" w:styleId="128">
    <w:name w:val="font61"/>
    <w:basedOn w:val="43"/>
    <w:uiPriority w:val="0"/>
    <w:rPr>
      <w:rFonts w:ascii="Arial" w:hAnsi="Arial" w:cs="Arial"/>
      <w:color w:val="000000"/>
      <w:sz w:val="20"/>
      <w:szCs w:val="20"/>
      <w:u w:val="none"/>
    </w:rPr>
  </w:style>
  <w:style w:type="character" w:customStyle="1" w:styleId="129">
    <w:name w:val="font51"/>
    <w:basedOn w:val="43"/>
    <w:qFormat/>
    <w:uiPriority w:val="0"/>
    <w:rPr>
      <w:rFonts w:hint="eastAsia" w:ascii="宋体" w:hAnsi="宋体" w:eastAsia="宋体" w:cs="宋体"/>
      <w:color w:val="FF0000"/>
      <w:sz w:val="20"/>
      <w:szCs w:val="20"/>
      <w:u w:val="none"/>
    </w:rPr>
  </w:style>
  <w:style w:type="character" w:customStyle="1" w:styleId="130">
    <w:name w:val="font31"/>
    <w:basedOn w:val="43"/>
    <w:uiPriority w:val="0"/>
    <w:rPr>
      <w:rFonts w:hint="default" w:ascii="Arial" w:hAnsi="Arial" w:cs="Arial"/>
      <w:color w:val="FF0000"/>
      <w:sz w:val="20"/>
      <w:szCs w:val="20"/>
      <w:u w:val="none"/>
    </w:rPr>
  </w:style>
  <w:style w:type="character" w:customStyle="1" w:styleId="131">
    <w:name w:val="font41"/>
    <w:basedOn w:val="43"/>
    <w:uiPriority w:val="0"/>
    <w:rPr>
      <w:rFonts w:hint="default" w:ascii="Arial" w:hAnsi="Arial" w:cs="Arial"/>
      <w:color w:val="000000"/>
      <w:sz w:val="20"/>
      <w:szCs w:val="20"/>
      <w:u w:val="none"/>
    </w:rPr>
  </w:style>
  <w:style w:type="character" w:customStyle="1" w:styleId="132">
    <w:name w:val="font11"/>
    <w:basedOn w:val="43"/>
    <w:uiPriority w:val="0"/>
    <w:rPr>
      <w:rFonts w:hint="eastAsia" w:ascii="宋体" w:hAnsi="宋体" w:eastAsia="宋体" w:cs="宋体"/>
      <w:color w:val="000000"/>
      <w:sz w:val="20"/>
      <w:szCs w:val="20"/>
      <w:u w:val="none"/>
    </w:rPr>
  </w:style>
  <w:style w:type="paragraph" w:customStyle="1" w:styleId="13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4">
    <w:name w:val="top_title1"/>
    <w:basedOn w:val="43"/>
    <w:qFormat/>
    <w:uiPriority w:val="0"/>
    <w:rPr>
      <w:b/>
      <w:bCs/>
      <w:color w:val="333333"/>
      <w:sz w:val="24"/>
      <w:szCs w:val="24"/>
    </w:rPr>
  </w:style>
  <w:style w:type="paragraph" w:customStyle="1" w:styleId="135">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36">
    <w:name w:val="NormalCharacter"/>
    <w:qFormat/>
    <w:uiPriority w:val="0"/>
    <w:rPr>
      <w:sz w:val="24"/>
    </w:rPr>
  </w:style>
  <w:style w:type="character" w:customStyle="1" w:styleId="137">
    <w:name w:val="正文首行缩进 2 Char"/>
    <w:basedOn w:val="75"/>
    <w:link w:val="39"/>
    <w:uiPriority w:val="99"/>
  </w:style>
  <w:style w:type="paragraph" w:customStyle="1" w:styleId="1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_Style 14"/>
    <w:next w:val="13"/>
    <w:uiPriority w:val="0"/>
    <w:pPr>
      <w:widowControl w:val="0"/>
      <w:jc w:val="both"/>
    </w:pPr>
    <w:rPr>
      <w:rFonts w:ascii="宋体" w:hAnsi="Times New Roman" w:eastAsia="宋体" w:cs="Times New Roman"/>
      <w:kern w:val="2"/>
      <w:sz w:val="21"/>
      <w:lang w:val="en-US" w:eastAsia="zh-CN" w:bidi="ar-SA"/>
    </w:rPr>
  </w:style>
  <w:style w:type="paragraph" w:customStyle="1" w:styleId="141">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42">
    <w:name w:val="列出段落2"/>
    <w:basedOn w:val="1"/>
    <w:qFormat/>
    <w:uiPriority w:val="0"/>
    <w:pPr>
      <w:autoSpaceDE/>
      <w:autoSpaceDN/>
      <w:adjustRightInd/>
      <w:ind w:firstLine="420" w:firstLineChars="200"/>
    </w:pPr>
    <w:rPr>
      <w:color w:val="auto"/>
      <w:kern w:val="2"/>
      <w:szCs w:val="20"/>
    </w:rPr>
  </w:style>
  <w:style w:type="paragraph" w:customStyle="1" w:styleId="143">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44">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45">
    <w:name w:val="列出段落11"/>
    <w:basedOn w:val="1"/>
    <w:qFormat/>
    <w:uiPriority w:val="34"/>
    <w:pPr>
      <w:autoSpaceDE/>
      <w:autoSpaceDN/>
      <w:adjustRightInd/>
      <w:ind w:firstLine="420" w:firstLineChars="200"/>
    </w:pPr>
    <w:rPr>
      <w:color w:val="auto"/>
      <w:kern w:val="2"/>
      <w:szCs w:val="20"/>
    </w:rPr>
  </w:style>
  <w:style w:type="paragraph" w:customStyle="1" w:styleId="146">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4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48">
    <w:name w:val="标题 5 Char"/>
    <w:basedOn w:val="43"/>
    <w:link w:val="6"/>
    <w:uiPriority w:val="9"/>
    <w:rPr>
      <w:rFonts w:ascii="Times New Roman" w:hAnsi="Times New Roman"/>
      <w:b/>
      <w:bCs/>
      <w:color w:val="000000"/>
      <w:sz w:val="28"/>
      <w:szCs w:val="28"/>
    </w:rPr>
  </w:style>
  <w:style w:type="character" w:customStyle="1" w:styleId="149">
    <w:name w:val="标题 3 Char"/>
    <w:basedOn w:val="43"/>
    <w:link w:val="4"/>
    <w:uiPriority w:val="0"/>
    <w:rPr>
      <w:b/>
      <w:bCs/>
      <w:color w:val="000000"/>
      <w:sz w:val="32"/>
      <w:szCs w:val="32"/>
    </w:rPr>
  </w:style>
  <w:style w:type="character" w:customStyle="1" w:styleId="150">
    <w:name w:val="标题 4 Char"/>
    <w:basedOn w:val="43"/>
    <w:link w:val="5"/>
    <w:qFormat/>
    <w:uiPriority w:val="9"/>
    <w:rPr>
      <w:rFonts w:ascii="Arial" w:hAnsi="Arial" w:eastAsia="黑体"/>
      <w:b/>
      <w:bCs/>
      <w:color w:val="000000"/>
      <w:sz w:val="28"/>
      <w:szCs w:val="28"/>
    </w:rPr>
  </w:style>
  <w:style w:type="character" w:customStyle="1" w:styleId="151">
    <w:name w:val="标题 6 Char"/>
    <w:basedOn w:val="43"/>
    <w:link w:val="7"/>
    <w:qFormat/>
    <w:uiPriority w:val="0"/>
    <w:rPr>
      <w:rFonts w:ascii="Arial" w:hAnsi="Arial" w:eastAsia="黑体"/>
      <w:b/>
      <w:kern w:val="2"/>
      <w:sz w:val="24"/>
    </w:rPr>
  </w:style>
  <w:style w:type="character" w:customStyle="1" w:styleId="152">
    <w:name w:val="标题 7 Char"/>
    <w:basedOn w:val="43"/>
    <w:link w:val="9"/>
    <w:qFormat/>
    <w:uiPriority w:val="0"/>
    <w:rPr>
      <w:b/>
      <w:kern w:val="2"/>
      <w:sz w:val="24"/>
    </w:rPr>
  </w:style>
  <w:style w:type="character" w:customStyle="1" w:styleId="153">
    <w:name w:val="标题 8 Char"/>
    <w:basedOn w:val="43"/>
    <w:link w:val="10"/>
    <w:qFormat/>
    <w:uiPriority w:val="0"/>
    <w:rPr>
      <w:rFonts w:ascii="Arial" w:hAnsi="Arial" w:eastAsia="黑体"/>
      <w:kern w:val="2"/>
      <w:sz w:val="24"/>
    </w:rPr>
  </w:style>
  <w:style w:type="character" w:customStyle="1" w:styleId="154">
    <w:name w:val="标题 9 Char"/>
    <w:basedOn w:val="43"/>
    <w:link w:val="11"/>
    <w:uiPriority w:val="0"/>
    <w:rPr>
      <w:rFonts w:ascii="Arial" w:hAnsi="Arial" w:eastAsia="黑体"/>
      <w:kern w:val="2"/>
      <w:sz w:val="21"/>
    </w:rPr>
  </w:style>
  <w:style w:type="character" w:customStyle="1" w:styleId="155">
    <w:name w:val="标题 1 Char Char"/>
    <w:uiPriority w:val="0"/>
    <w:rPr>
      <w:rFonts w:eastAsia="宋体"/>
      <w:b/>
      <w:spacing w:val="-2"/>
      <w:sz w:val="24"/>
      <w:lang w:val="en-US" w:eastAsia="zh-CN"/>
    </w:rPr>
  </w:style>
  <w:style w:type="character" w:customStyle="1" w:styleId="156">
    <w:name w:val="Heading 3 Char"/>
    <w:locked/>
    <w:uiPriority w:val="0"/>
    <w:rPr>
      <w:rFonts w:ascii="Times New Roman" w:hAnsi="Times New Roman" w:eastAsia="宋体"/>
      <w:b/>
      <w:sz w:val="20"/>
    </w:rPr>
  </w:style>
  <w:style w:type="character" w:customStyle="1" w:styleId="157">
    <w:name w:val="HTML 预设格式 Char"/>
    <w:link w:val="34"/>
    <w:locked/>
    <w:uiPriority w:val="0"/>
    <w:rPr>
      <w:rFonts w:ascii="宋体" w:hAnsi="宋体" w:cs="宋体"/>
      <w:sz w:val="24"/>
      <w:szCs w:val="24"/>
    </w:rPr>
  </w:style>
  <w:style w:type="character" w:customStyle="1" w:styleId="158">
    <w:name w:val="普通文字1 Char"/>
    <w:uiPriority w:val="0"/>
    <w:rPr>
      <w:rFonts w:eastAsia="宋体"/>
      <w:kern w:val="2"/>
      <w:sz w:val="24"/>
      <w:lang w:val="en-US" w:eastAsia="zh-CN" w:bidi="ar-SA"/>
    </w:rPr>
  </w:style>
  <w:style w:type="character" w:customStyle="1" w:styleId="159">
    <w:name w:val="Heading 1 Char"/>
    <w:locked/>
    <w:uiPriority w:val="0"/>
    <w:rPr>
      <w:rFonts w:ascii="宋体" w:hAnsi="Times New Roman" w:eastAsia="宋体" w:cs="Times New Roman"/>
      <w:b/>
      <w:color w:val="000000"/>
      <w:sz w:val="20"/>
      <w:szCs w:val="20"/>
    </w:rPr>
  </w:style>
  <w:style w:type="character" w:customStyle="1" w:styleId="160">
    <w:name w:val="正文文本缩进 2 Char"/>
    <w:link w:val="23"/>
    <w:locked/>
    <w:uiPriority w:val="0"/>
    <w:rPr>
      <w:rFonts w:ascii="宋体"/>
      <w:kern w:val="2"/>
      <w:sz w:val="28"/>
    </w:rPr>
  </w:style>
  <w:style w:type="character" w:customStyle="1" w:styleId="161">
    <w:name w:val="Char Char"/>
    <w:uiPriority w:val="0"/>
    <w:rPr>
      <w:rFonts w:ascii="宋体" w:hAnsi="Courier New" w:eastAsia="宋体"/>
      <w:sz w:val="21"/>
      <w:lang w:val="en-US" w:eastAsia="zh-CN"/>
    </w:rPr>
  </w:style>
  <w:style w:type="character" w:customStyle="1" w:styleId="162">
    <w:name w:val="SANGFOR_6_正文 Char"/>
    <w:link w:val="163"/>
    <w:locked/>
    <w:uiPriority w:val="0"/>
    <w:rPr>
      <w:kern w:val="2"/>
      <w:sz w:val="24"/>
    </w:rPr>
  </w:style>
  <w:style w:type="paragraph" w:customStyle="1" w:styleId="163">
    <w:name w:val="SANGFOR_6_正文"/>
    <w:basedOn w:val="1"/>
    <w:link w:val="162"/>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164">
    <w:name w:val="批注主题 Char"/>
    <w:link w:val="37"/>
    <w:semiHidden/>
    <w:locked/>
    <w:uiPriority w:val="99"/>
    <w:rPr>
      <w:rFonts w:ascii="宋体"/>
      <w:b/>
      <w:bCs/>
      <w:sz w:val="34"/>
    </w:rPr>
  </w:style>
  <w:style w:type="character" w:customStyle="1" w:styleId="165">
    <w:name w:val="正文2 Char"/>
    <w:link w:val="166"/>
    <w:uiPriority w:val="0"/>
    <w:rPr>
      <w:kern w:val="2"/>
      <w:sz w:val="24"/>
    </w:rPr>
  </w:style>
  <w:style w:type="paragraph" w:customStyle="1" w:styleId="166">
    <w:name w:val="正文2"/>
    <w:basedOn w:val="1"/>
    <w:link w:val="165"/>
    <w:qFormat/>
    <w:uiPriority w:val="0"/>
    <w:pPr>
      <w:autoSpaceDE/>
      <w:autoSpaceDN/>
      <w:adjustRightInd/>
      <w:spacing w:before="156" w:line="360" w:lineRule="auto"/>
      <w:ind w:left="480"/>
    </w:pPr>
    <w:rPr>
      <w:rFonts w:ascii="Calibri" w:hAnsi="Calibri"/>
      <w:color w:val="auto"/>
      <w:kern w:val="2"/>
      <w:sz w:val="24"/>
      <w:szCs w:val="20"/>
    </w:rPr>
  </w:style>
  <w:style w:type="character" w:customStyle="1" w:styleId="167">
    <w:name w:val="bb1"/>
    <w:uiPriority w:val="0"/>
    <w:rPr>
      <w:rFonts w:cs="Times New Roman"/>
      <w:color w:val="000000"/>
      <w:sz w:val="18"/>
      <w:szCs w:val="18"/>
      <w:u w:val="none"/>
    </w:rPr>
  </w:style>
  <w:style w:type="character" w:customStyle="1" w:styleId="168">
    <w:name w:val="列出段落 Char Char"/>
    <w:link w:val="169"/>
    <w:uiPriority w:val="0"/>
    <w:rPr>
      <w:kern w:val="2"/>
      <w:sz w:val="21"/>
      <w:szCs w:val="22"/>
    </w:rPr>
  </w:style>
  <w:style w:type="paragraph" w:customStyle="1" w:styleId="169">
    <w:name w:val="列出段落3"/>
    <w:basedOn w:val="1"/>
    <w:link w:val="168"/>
    <w:uiPriority w:val="0"/>
    <w:pPr>
      <w:autoSpaceDE/>
      <w:autoSpaceDN/>
      <w:adjustRightInd/>
      <w:ind w:firstLine="420" w:firstLineChars="200"/>
    </w:pPr>
    <w:rPr>
      <w:rFonts w:ascii="Calibri" w:hAnsi="Calibri"/>
      <w:color w:val="auto"/>
      <w:kern w:val="2"/>
      <w:szCs w:val="22"/>
    </w:rPr>
  </w:style>
  <w:style w:type="character" w:customStyle="1" w:styleId="170">
    <w:name w:val="GW-正文 Char"/>
    <w:link w:val="171"/>
    <w:locked/>
    <w:uiPriority w:val="0"/>
    <w:rPr>
      <w:kern w:val="2"/>
      <w:sz w:val="24"/>
    </w:rPr>
  </w:style>
  <w:style w:type="paragraph" w:customStyle="1" w:styleId="171">
    <w:name w:val="GW-正文"/>
    <w:basedOn w:val="1"/>
    <w:link w:val="170"/>
    <w:uiPriority w:val="0"/>
    <w:pPr>
      <w:tabs>
        <w:tab w:val="left" w:pos="3255"/>
      </w:tabs>
      <w:autoSpaceDE/>
      <w:autoSpaceDN/>
      <w:adjustRightInd/>
      <w:spacing w:before="120" w:after="120" w:line="360" w:lineRule="auto"/>
      <w:ind w:firstLine="480" w:firstLineChars="200"/>
      <w:jc w:val="left"/>
    </w:pPr>
    <w:rPr>
      <w:rFonts w:ascii="Calibri" w:hAnsi="Calibri"/>
      <w:color w:val="auto"/>
      <w:kern w:val="2"/>
      <w:sz w:val="24"/>
      <w:szCs w:val="20"/>
    </w:rPr>
  </w:style>
  <w:style w:type="character" w:customStyle="1" w:styleId="172">
    <w:name w:val="Char Char12"/>
    <w:uiPriority w:val="0"/>
    <w:rPr>
      <w:rFonts w:ascii="宋体" w:hAnsi="Times New Roman" w:eastAsia="宋体"/>
      <w:b/>
      <w:color w:val="000000"/>
      <w:kern w:val="0"/>
      <w:sz w:val="20"/>
    </w:rPr>
  </w:style>
  <w:style w:type="character" w:customStyle="1" w:styleId="173">
    <w:name w:val="Heading 4 Char"/>
    <w:locked/>
    <w:uiPriority w:val="0"/>
    <w:rPr>
      <w:rFonts w:ascii="Arial" w:hAnsi="Arial" w:eastAsia="黑体"/>
      <w:b/>
      <w:kern w:val="2"/>
      <w:sz w:val="20"/>
    </w:rPr>
  </w:style>
  <w:style w:type="character" w:customStyle="1" w:styleId="174">
    <w:name w:val="标题 1 Char1"/>
    <w:uiPriority w:val="9"/>
    <w:rPr>
      <w:rFonts w:eastAsia="宋体"/>
      <w:b/>
      <w:bCs/>
      <w:kern w:val="44"/>
      <w:sz w:val="28"/>
      <w:szCs w:val="44"/>
    </w:rPr>
  </w:style>
  <w:style w:type="character" w:customStyle="1" w:styleId="175">
    <w:name w:val="标题2 Char Char"/>
    <w:uiPriority w:val="0"/>
    <w:rPr>
      <w:rFonts w:ascii="Arial" w:hAnsi="Arial" w:eastAsia="宋体" w:cs="Times New Roman"/>
      <w:b/>
      <w:bCs/>
      <w:kern w:val="2"/>
      <w:sz w:val="32"/>
      <w:szCs w:val="32"/>
      <w:lang w:val="en-US" w:eastAsia="zh-CN" w:bidi="ar-SA"/>
    </w:rPr>
  </w:style>
  <w:style w:type="character" w:customStyle="1" w:styleId="176">
    <w:name w:val="*正文 Char"/>
    <w:link w:val="177"/>
    <w:qFormat/>
    <w:uiPriority w:val="0"/>
    <w:rPr>
      <w:kern w:val="2"/>
      <w:sz w:val="24"/>
      <w:szCs w:val="28"/>
      <w:lang w:val="zh-CN"/>
    </w:rPr>
  </w:style>
  <w:style w:type="paragraph" w:customStyle="1" w:styleId="177">
    <w:name w:val="*正文"/>
    <w:basedOn w:val="1"/>
    <w:link w:val="176"/>
    <w:qFormat/>
    <w:uiPriority w:val="0"/>
    <w:pPr>
      <w:widowControl/>
      <w:autoSpaceDE/>
      <w:autoSpaceDN/>
      <w:adjustRightInd/>
      <w:spacing w:line="360" w:lineRule="auto"/>
      <w:ind w:firstLine="200" w:firstLineChars="200"/>
      <w:jc w:val="left"/>
    </w:pPr>
    <w:rPr>
      <w:rFonts w:ascii="Calibri" w:hAnsi="Calibri"/>
      <w:color w:val="auto"/>
      <w:kern w:val="2"/>
      <w:sz w:val="24"/>
      <w:szCs w:val="28"/>
      <w:lang w:val="zh-CN"/>
    </w:rPr>
  </w:style>
  <w:style w:type="character" w:customStyle="1" w:styleId="178">
    <w:name w:val="日期 Char"/>
    <w:link w:val="22"/>
    <w:locked/>
    <w:uiPriority w:val="0"/>
    <w:rPr>
      <w:rFonts w:ascii="宋体"/>
      <w:sz w:val="28"/>
    </w:rPr>
  </w:style>
  <w:style w:type="character" w:customStyle="1" w:styleId="179">
    <w:name w:val="贵阳 Char"/>
    <w:link w:val="180"/>
    <w:locked/>
    <w:uiPriority w:val="0"/>
    <w:rPr>
      <w:rFonts w:ascii="宋体" w:hAnsi="宋体"/>
      <w:b/>
      <w:color w:val="000000"/>
      <w:sz w:val="30"/>
    </w:rPr>
  </w:style>
  <w:style w:type="paragraph" w:customStyle="1" w:styleId="180">
    <w:name w:val="贵阳"/>
    <w:basedOn w:val="2"/>
    <w:link w:val="179"/>
    <w:uiPriority w:val="0"/>
    <w:pPr>
      <w:keepLines w:val="0"/>
      <w:numPr>
        <w:ilvl w:val="0"/>
        <w:numId w:val="2"/>
      </w:numPr>
      <w:spacing w:before="240" w:after="0" w:line="360" w:lineRule="auto"/>
      <w:jc w:val="left"/>
      <w:textAlignment w:val="baseline"/>
      <w:outlineLvl w:val="1"/>
    </w:pPr>
    <w:rPr>
      <w:rFonts w:ascii="宋体" w:hAnsi="宋体"/>
      <w:kern w:val="0"/>
      <w:sz w:val="30"/>
      <w:szCs w:val="20"/>
    </w:rPr>
  </w:style>
  <w:style w:type="character" w:customStyle="1" w:styleId="181">
    <w:name w:val="Plain Text Char Char"/>
    <w:link w:val="182"/>
    <w:locked/>
    <w:uiPriority w:val="0"/>
    <w:rPr>
      <w:rFonts w:ascii="宋体" w:hAnsi="Courier New"/>
      <w:sz w:val="21"/>
    </w:rPr>
  </w:style>
  <w:style w:type="paragraph" w:customStyle="1" w:styleId="182">
    <w:name w:val="Plain Text1"/>
    <w:basedOn w:val="1"/>
    <w:link w:val="181"/>
    <w:uiPriority w:val="0"/>
    <w:pPr>
      <w:jc w:val="left"/>
      <w:textAlignment w:val="baseline"/>
    </w:pPr>
    <w:rPr>
      <w:rFonts w:ascii="宋体" w:hAnsi="Courier New"/>
      <w:color w:val="auto"/>
      <w:szCs w:val="20"/>
    </w:rPr>
  </w:style>
  <w:style w:type="character" w:customStyle="1" w:styleId="183">
    <w:name w:val="Normal Indent Char"/>
    <w:locked/>
    <w:uiPriority w:val="0"/>
    <w:rPr>
      <w:rFonts w:ascii="Times New Roman" w:hAnsi="Times New Roman" w:eastAsia="宋体"/>
      <w:kern w:val="2"/>
      <w:sz w:val="20"/>
    </w:rPr>
  </w:style>
  <w:style w:type="character" w:customStyle="1" w:styleId="184">
    <w:name w:val="正文缩进 Char1"/>
    <w:qFormat/>
    <w:uiPriority w:val="0"/>
    <w:rPr>
      <w:rFonts w:ascii="Times New Roman" w:hAnsi="Times New Roman" w:eastAsia="宋体" w:cs="Times New Roman"/>
      <w:kern w:val="0"/>
      <w:sz w:val="24"/>
      <w:szCs w:val="20"/>
    </w:rPr>
  </w:style>
  <w:style w:type="character" w:customStyle="1" w:styleId="185">
    <w:name w:val="脚注文本 Char"/>
    <w:link w:val="29"/>
    <w:semiHidden/>
    <w:locked/>
    <w:uiPriority w:val="0"/>
    <w:rPr>
      <w:rFonts w:ascii="宋体"/>
      <w:sz w:val="18"/>
    </w:rPr>
  </w:style>
  <w:style w:type="character" w:customStyle="1" w:styleId="186">
    <w:name w:val="第I部分 Char"/>
    <w:uiPriority w:val="0"/>
    <w:rPr>
      <w:rFonts w:eastAsia="宋体"/>
      <w:b/>
      <w:kern w:val="44"/>
      <w:sz w:val="44"/>
      <w:lang w:val="en-US" w:eastAsia="zh-CN"/>
    </w:rPr>
  </w:style>
  <w:style w:type="character" w:customStyle="1" w:styleId="187">
    <w:name w:val="批注文字 Char"/>
    <w:link w:val="15"/>
    <w:locked/>
    <w:uiPriority w:val="0"/>
    <w:rPr>
      <w:rFonts w:ascii="宋体"/>
      <w:sz w:val="34"/>
    </w:rPr>
  </w:style>
  <w:style w:type="character" w:customStyle="1" w:styleId="188">
    <w:name w:val="正文文本 2 Char"/>
    <w:link w:val="33"/>
    <w:locked/>
    <w:uiPriority w:val="0"/>
    <w:rPr>
      <w:rFonts w:ascii="宋体"/>
      <w:sz w:val="28"/>
    </w:rPr>
  </w:style>
  <w:style w:type="character" w:customStyle="1" w:styleId="189">
    <w:name w:val="标准正文格式 Char Char"/>
    <w:link w:val="190"/>
    <w:uiPriority w:val="0"/>
    <w:rPr>
      <w:rFonts w:ascii="宋体" w:eastAsia="仿宋_GB2312"/>
      <w:color w:val="000000"/>
      <w:sz w:val="32"/>
    </w:rPr>
  </w:style>
  <w:style w:type="paragraph" w:customStyle="1" w:styleId="190">
    <w:name w:val="标准正文格式"/>
    <w:basedOn w:val="1"/>
    <w:link w:val="189"/>
    <w:uiPriority w:val="0"/>
    <w:pPr>
      <w:widowControl/>
      <w:autoSpaceDE/>
      <w:autoSpaceDN/>
      <w:spacing w:before="60" w:after="120" w:line="360" w:lineRule="auto"/>
      <w:ind w:firstLine="200" w:firstLineChars="200"/>
      <w:textAlignment w:val="baseline"/>
    </w:pPr>
    <w:rPr>
      <w:rFonts w:ascii="宋体" w:hAnsi="Calibri" w:eastAsia="仿宋_GB2312"/>
      <w:sz w:val="32"/>
      <w:szCs w:val="20"/>
    </w:rPr>
  </w:style>
  <w:style w:type="character" w:customStyle="1" w:styleId="191">
    <w:name w:val="副标题 Char"/>
    <w:link w:val="28"/>
    <w:locked/>
    <w:uiPriority w:val="0"/>
    <w:rPr>
      <w:rFonts w:ascii="Cambria" w:hAnsi="Cambria"/>
      <w:b/>
      <w:bCs/>
      <w:kern w:val="28"/>
      <w:sz w:val="32"/>
      <w:szCs w:val="32"/>
    </w:rPr>
  </w:style>
  <w:style w:type="character" w:customStyle="1" w:styleId="192">
    <w:name w:val="方案正文 Char"/>
    <w:link w:val="193"/>
    <w:uiPriority w:val="0"/>
    <w:rPr>
      <w:rFonts w:ascii="Arial" w:hAnsi="Arial" w:cs="宋体"/>
      <w:kern w:val="2"/>
      <w:sz w:val="24"/>
      <w:szCs w:val="21"/>
    </w:rPr>
  </w:style>
  <w:style w:type="paragraph" w:customStyle="1" w:styleId="193">
    <w:name w:val="方案正文"/>
    <w:basedOn w:val="1"/>
    <w:link w:val="192"/>
    <w:uiPriority w:val="0"/>
    <w:pPr>
      <w:autoSpaceDE/>
      <w:autoSpaceDN/>
      <w:adjustRightInd/>
      <w:spacing w:before="156" w:line="360" w:lineRule="auto"/>
      <w:ind w:firstLine="359" w:firstLineChars="171"/>
      <w:jc w:val="left"/>
    </w:pPr>
    <w:rPr>
      <w:rFonts w:ascii="Arial" w:hAnsi="Arial" w:cs="宋体"/>
      <w:color w:val="auto"/>
      <w:kern w:val="2"/>
      <w:sz w:val="24"/>
    </w:rPr>
  </w:style>
  <w:style w:type="character" w:customStyle="1" w:styleId="194">
    <w:name w:val="纯文本 Char3"/>
    <w:uiPriority w:val="0"/>
    <w:rPr>
      <w:rFonts w:ascii="宋体" w:hAnsi="Courier New" w:eastAsia="宋体"/>
      <w:sz w:val="21"/>
    </w:rPr>
  </w:style>
  <w:style w:type="character" w:customStyle="1" w:styleId="195">
    <w:name w:val="样式 LP 标准模板正文 + 左  2 字符 Char Char"/>
    <w:link w:val="196"/>
    <w:locked/>
    <w:uiPriority w:val="0"/>
    <w:rPr>
      <w:rFonts w:ascii="宋体"/>
      <w:sz w:val="24"/>
    </w:rPr>
  </w:style>
  <w:style w:type="paragraph" w:customStyle="1" w:styleId="196">
    <w:name w:val="样式 LP 标准模板正文 + 左  2 字符"/>
    <w:basedOn w:val="1"/>
    <w:link w:val="195"/>
    <w:uiPriority w:val="0"/>
    <w:pPr>
      <w:autoSpaceDE/>
      <w:autoSpaceDN/>
      <w:snapToGrid w:val="0"/>
      <w:spacing w:line="300" w:lineRule="auto"/>
      <w:ind w:firstLine="200" w:firstLineChars="200"/>
    </w:pPr>
    <w:rPr>
      <w:rFonts w:ascii="宋体" w:hAnsi="Calibri"/>
      <w:color w:val="auto"/>
      <w:sz w:val="24"/>
      <w:szCs w:val="20"/>
    </w:rPr>
  </w:style>
  <w:style w:type="character" w:customStyle="1" w:styleId="197">
    <w:name w:val="正文文本 3 Char"/>
    <w:link w:val="17"/>
    <w:locked/>
    <w:uiPriority w:val="0"/>
    <w:rPr>
      <w:rFonts w:ascii="宋体"/>
      <w:color w:val="000000"/>
      <w:sz w:val="28"/>
    </w:rPr>
  </w:style>
  <w:style w:type="character" w:customStyle="1" w:styleId="198">
    <w:name w:val="大标题 Char"/>
    <w:link w:val="199"/>
    <w:uiPriority w:val="0"/>
    <w:rPr>
      <w:rFonts w:ascii="黑体" w:hAnsi="黑体" w:eastAsia="黑体"/>
      <w:b/>
      <w:bCs/>
      <w:kern w:val="2"/>
      <w:sz w:val="72"/>
      <w:szCs w:val="72"/>
    </w:rPr>
  </w:style>
  <w:style w:type="paragraph" w:customStyle="1" w:styleId="199">
    <w:name w:val="大标题"/>
    <w:basedOn w:val="1"/>
    <w:link w:val="198"/>
    <w:uiPriority w:val="0"/>
    <w:pPr>
      <w:autoSpaceDE/>
      <w:autoSpaceDN/>
      <w:adjustRightInd/>
      <w:spacing w:line="40" w:lineRule="atLeast"/>
    </w:pPr>
    <w:rPr>
      <w:rFonts w:ascii="黑体" w:hAnsi="黑体" w:eastAsia="黑体"/>
      <w:b/>
      <w:bCs/>
      <w:color w:val="auto"/>
      <w:kern w:val="2"/>
      <w:sz w:val="72"/>
      <w:szCs w:val="72"/>
    </w:rPr>
  </w:style>
  <w:style w:type="character" w:customStyle="1" w:styleId="200">
    <w:name w:val="正文文字2 Char Char"/>
    <w:uiPriority w:val="0"/>
    <w:rPr>
      <w:rFonts w:ascii="Arial" w:eastAsia="黑体"/>
      <w:sz w:val="21"/>
      <w:lang w:val="en-US" w:eastAsia="zh-CN" w:bidi="ar-SA"/>
    </w:rPr>
  </w:style>
  <w:style w:type="character" w:customStyle="1" w:styleId="201">
    <w:name w:val="正文缩进 字符"/>
    <w:qFormat/>
    <w:uiPriority w:val="0"/>
    <w:rPr>
      <w:rFonts w:ascii="Times New Roman" w:hAnsi="Times New Roman"/>
      <w:sz w:val="24"/>
    </w:rPr>
  </w:style>
  <w:style w:type="character" w:customStyle="1" w:styleId="202">
    <w:name w:val="f141"/>
    <w:uiPriority w:val="0"/>
    <w:rPr>
      <w:sz w:val="21"/>
    </w:rPr>
  </w:style>
  <w:style w:type="character" w:customStyle="1" w:styleId="203">
    <w:name w:val="样式 标题 2标题2 + 居中 Char"/>
    <w:link w:val="204"/>
    <w:locked/>
    <w:uiPriority w:val="0"/>
    <w:rPr>
      <w:rFonts w:ascii="Arial" w:hAnsi="Arial" w:cs="宋体"/>
      <w:b/>
      <w:bCs/>
      <w:kern w:val="2"/>
      <w:sz w:val="32"/>
      <w:szCs w:val="32"/>
    </w:rPr>
  </w:style>
  <w:style w:type="paragraph" w:customStyle="1" w:styleId="204">
    <w:name w:val="样式 标题 2标题2 + 居中"/>
    <w:basedOn w:val="3"/>
    <w:link w:val="203"/>
    <w:uiPriority w:val="0"/>
    <w:pPr>
      <w:spacing w:line="416" w:lineRule="auto"/>
      <w:jc w:val="center"/>
    </w:pPr>
    <w:rPr>
      <w:rFonts w:eastAsia="宋体" w:cs="宋体"/>
      <w:color w:val="auto"/>
    </w:rPr>
  </w:style>
  <w:style w:type="character" w:customStyle="1" w:styleId="205">
    <w:name w:val="标题3 Char"/>
    <w:link w:val="206"/>
    <w:locked/>
    <w:uiPriority w:val="0"/>
    <w:rPr>
      <w:rFonts w:ascii="宋体" w:hAnsi="宋体"/>
      <w:b/>
      <w:bCs/>
      <w:kern w:val="2"/>
      <w:sz w:val="32"/>
      <w:szCs w:val="32"/>
    </w:rPr>
  </w:style>
  <w:style w:type="paragraph" w:customStyle="1" w:styleId="206">
    <w:name w:val="标题3"/>
    <w:basedOn w:val="3"/>
    <w:link w:val="205"/>
    <w:uiPriority w:val="0"/>
    <w:pPr>
      <w:spacing w:line="416" w:lineRule="auto"/>
    </w:pPr>
    <w:rPr>
      <w:rFonts w:ascii="宋体" w:hAnsi="宋体" w:eastAsia="宋体"/>
      <w:color w:val="auto"/>
    </w:rPr>
  </w:style>
  <w:style w:type="character" w:customStyle="1" w:styleId="207">
    <w:name w:val="Footer Char"/>
    <w:locked/>
    <w:uiPriority w:val="0"/>
    <w:rPr>
      <w:sz w:val="18"/>
    </w:rPr>
  </w:style>
  <w:style w:type="character" w:customStyle="1" w:styleId="208">
    <w:name w:val="正文00 Char"/>
    <w:link w:val="209"/>
    <w:qFormat/>
    <w:uiPriority w:val="0"/>
    <w:rPr>
      <w:rFonts w:ascii="仿宋_GB2312" w:hAnsi="华文仿宋" w:eastAsia="仿宋_GB2312"/>
      <w:kern w:val="2"/>
      <w:sz w:val="28"/>
      <w:szCs w:val="28"/>
    </w:rPr>
  </w:style>
  <w:style w:type="paragraph" w:customStyle="1" w:styleId="209">
    <w:name w:val="正文00"/>
    <w:basedOn w:val="21"/>
    <w:link w:val="208"/>
    <w:qFormat/>
    <w:uiPriority w:val="0"/>
    <w:pPr>
      <w:snapToGrid w:val="0"/>
      <w:spacing w:line="360" w:lineRule="auto"/>
      <w:ind w:firstLine="560" w:firstLineChars="200"/>
    </w:pPr>
    <w:rPr>
      <w:rFonts w:ascii="仿宋_GB2312" w:hAnsi="华文仿宋" w:eastAsia="仿宋_GB2312"/>
      <w:color w:val="auto"/>
      <w:sz w:val="28"/>
      <w:szCs w:val="28"/>
    </w:rPr>
  </w:style>
  <w:style w:type="paragraph" w:customStyle="1" w:styleId="210">
    <w:name w:val="Char Char6 Char Char"/>
    <w:basedOn w:val="1"/>
    <w:uiPriority w:val="0"/>
    <w:pPr>
      <w:autoSpaceDE/>
      <w:autoSpaceDN/>
      <w:adjustRightInd/>
    </w:pPr>
    <w:rPr>
      <w:rFonts w:ascii="Calibri" w:hAnsi="Calibri"/>
      <w:color w:val="auto"/>
      <w:kern w:val="2"/>
      <w:szCs w:val="24"/>
    </w:rPr>
  </w:style>
  <w:style w:type="paragraph" w:customStyle="1" w:styleId="211">
    <w:name w:val="xl179"/>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character" w:customStyle="1" w:styleId="212">
    <w:name w:val="副标题 Char1"/>
    <w:basedOn w:val="43"/>
    <w:link w:val="28"/>
    <w:uiPriority w:val="11"/>
    <w:rPr>
      <w:rFonts w:asciiTheme="majorHAnsi" w:hAnsiTheme="majorHAnsi" w:cstheme="majorBidi"/>
      <w:b/>
      <w:bCs/>
      <w:color w:val="000000"/>
      <w:kern w:val="28"/>
      <w:sz w:val="32"/>
      <w:szCs w:val="32"/>
    </w:rPr>
  </w:style>
  <w:style w:type="paragraph" w:customStyle="1" w:styleId="213">
    <w:name w:val="插图题注"/>
    <w:next w:val="1"/>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character" w:customStyle="1" w:styleId="214">
    <w:name w:val="正文文本 2 Char1"/>
    <w:basedOn w:val="43"/>
    <w:link w:val="33"/>
    <w:semiHidden/>
    <w:uiPriority w:val="99"/>
    <w:rPr>
      <w:rFonts w:ascii="Times New Roman" w:hAnsi="Times New Roman"/>
      <w:color w:val="000000"/>
      <w:sz w:val="21"/>
      <w:szCs w:val="21"/>
    </w:rPr>
  </w:style>
  <w:style w:type="paragraph" w:customStyle="1" w:styleId="215">
    <w:name w:val="图样式"/>
    <w:basedOn w:val="1"/>
    <w:uiPriority w:val="0"/>
    <w:pPr>
      <w:keepNext/>
      <w:widowControl/>
      <w:spacing w:before="80" w:after="80" w:line="360" w:lineRule="auto"/>
      <w:jc w:val="center"/>
    </w:pPr>
    <w:rPr>
      <w:rFonts w:ascii="Calibri" w:hAnsi="Calibri"/>
      <w:color w:val="auto"/>
      <w:szCs w:val="20"/>
    </w:rPr>
  </w:style>
  <w:style w:type="paragraph" w:customStyle="1" w:styleId="216">
    <w:name w:val="cont3"/>
    <w:basedOn w:val="1"/>
    <w:uiPriority w:val="0"/>
    <w:pPr>
      <w:widowControl/>
      <w:autoSpaceDE/>
      <w:autoSpaceDN/>
      <w:adjustRightInd/>
      <w:spacing w:after="45"/>
      <w:jc w:val="left"/>
    </w:pPr>
    <w:rPr>
      <w:rFonts w:ascii="宋体" w:hAnsi="宋体"/>
      <w:color w:val="auto"/>
      <w:sz w:val="24"/>
      <w:szCs w:val="20"/>
    </w:rPr>
  </w:style>
  <w:style w:type="character" w:customStyle="1" w:styleId="217">
    <w:name w:val="正文首行缩进 Char"/>
    <w:basedOn w:val="55"/>
    <w:link w:val="38"/>
    <w:uiPriority w:val="0"/>
  </w:style>
  <w:style w:type="paragraph" w:customStyle="1" w:styleId="218">
    <w:name w:val="Char Char Char Char1"/>
    <w:basedOn w:val="1"/>
    <w:uiPriority w:val="0"/>
    <w:pPr>
      <w:autoSpaceDE/>
      <w:autoSpaceDN/>
      <w:adjustRightInd/>
    </w:pPr>
    <w:rPr>
      <w:rFonts w:ascii="Lucida Sans" w:hAnsi="Lucida Sans" w:eastAsia="永中宋体"/>
      <w:color w:val="auto"/>
      <w:kern w:val="2"/>
      <w:szCs w:val="20"/>
    </w:rPr>
  </w:style>
  <w:style w:type="paragraph" w:customStyle="1" w:styleId="219">
    <w:name w:val="默认段落字体 Para Char"/>
    <w:basedOn w:val="1"/>
    <w:uiPriority w:val="0"/>
    <w:pPr>
      <w:tabs>
        <w:tab w:val="left" w:pos="360"/>
        <w:tab w:val="left" w:pos="1008"/>
      </w:tabs>
      <w:autoSpaceDE/>
      <w:autoSpaceDN/>
      <w:adjustRightInd/>
      <w:ind w:left="420" w:hanging="420"/>
    </w:pPr>
    <w:rPr>
      <w:rFonts w:ascii="Calibri" w:hAnsi="Calibri"/>
      <w:color w:val="auto"/>
      <w:kern w:val="2"/>
      <w:sz w:val="24"/>
      <w:szCs w:val="24"/>
    </w:rPr>
  </w:style>
  <w:style w:type="paragraph" w:customStyle="1" w:styleId="220">
    <w:name w:val="_Style 64"/>
    <w:basedOn w:val="1"/>
    <w:uiPriority w:val="0"/>
    <w:pPr>
      <w:autoSpaceDE/>
      <w:autoSpaceDN/>
      <w:spacing w:line="360" w:lineRule="auto"/>
    </w:pPr>
    <w:rPr>
      <w:rFonts w:ascii="Calibri" w:hAnsi="Calibri"/>
      <w:color w:val="auto"/>
      <w:sz w:val="24"/>
      <w:szCs w:val="20"/>
    </w:rPr>
  </w:style>
  <w:style w:type="paragraph" w:customStyle="1" w:styleId="221">
    <w:name w:val="z-正文"/>
    <w:basedOn w:val="1"/>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222">
    <w:name w:val="正文文本缩进 2 Char1"/>
    <w:basedOn w:val="43"/>
    <w:link w:val="23"/>
    <w:semiHidden/>
    <w:uiPriority w:val="99"/>
    <w:rPr>
      <w:rFonts w:ascii="Times New Roman" w:hAnsi="Times New Roman"/>
      <w:color w:val="000000"/>
      <w:sz w:val="21"/>
      <w:szCs w:val="21"/>
    </w:rPr>
  </w:style>
  <w:style w:type="paragraph" w:customStyle="1" w:styleId="223">
    <w:name w:val="Char Char Char Char Char Char Char Char Char Char Char Char Char Char"/>
    <w:basedOn w:val="14"/>
    <w:uiPriority w:val="0"/>
    <w:rPr>
      <w:rFonts w:ascii="Tahoma" w:hAnsi="Tahoma"/>
      <w:color w:val="auto"/>
      <w:kern w:val="0"/>
      <w:sz w:val="18"/>
      <w:shd w:val="clear" w:color="auto" w:fill="auto"/>
    </w:rPr>
  </w:style>
  <w:style w:type="paragraph" w:customStyle="1" w:styleId="224">
    <w:name w:val="A正文小四"/>
    <w:basedOn w:val="1"/>
    <w:qFormat/>
    <w:uiPriority w:val="0"/>
    <w:pPr>
      <w:autoSpaceDE/>
      <w:autoSpaceDN/>
      <w:adjustRightInd/>
      <w:spacing w:line="360" w:lineRule="auto"/>
      <w:ind w:firstLine="200" w:firstLineChars="200"/>
    </w:pPr>
    <w:rPr>
      <w:rFonts w:ascii="Calibri" w:hAnsi="Calibri" w:eastAsia="仿宋"/>
      <w:color w:val="auto"/>
      <w:kern w:val="2"/>
      <w:sz w:val="24"/>
      <w:szCs w:val="24"/>
    </w:rPr>
  </w:style>
  <w:style w:type="paragraph" w:customStyle="1" w:styleId="225">
    <w:name w:val="标题四"/>
    <w:basedOn w:val="3"/>
    <w:uiPriority w:val="0"/>
    <w:pPr>
      <w:widowControl/>
      <w:spacing w:line="416" w:lineRule="auto"/>
      <w:jc w:val="center"/>
    </w:pPr>
    <w:rPr>
      <w:rFonts w:ascii="宋体" w:hAnsi="宋体" w:eastAsia="宋体"/>
      <w:b w:val="0"/>
      <w:bCs w:val="0"/>
      <w:color w:val="auto"/>
      <w:sz w:val="24"/>
    </w:rPr>
  </w:style>
  <w:style w:type="character" w:customStyle="1" w:styleId="226">
    <w:name w:val="批注文字 Char1"/>
    <w:basedOn w:val="43"/>
    <w:link w:val="15"/>
    <w:semiHidden/>
    <w:uiPriority w:val="99"/>
    <w:rPr>
      <w:rFonts w:ascii="Times New Roman" w:hAnsi="Times New Roman"/>
      <w:color w:val="000000"/>
      <w:sz w:val="21"/>
      <w:szCs w:val="21"/>
    </w:rPr>
  </w:style>
  <w:style w:type="paragraph" w:customStyle="1" w:styleId="227">
    <w:name w:val="p0 paragraphindent"/>
    <w:uiPriority w:val="0"/>
    <w:pPr>
      <w:spacing w:before="100" w:beforeAutospacing="1" w:after="100" w:afterAutospacing="1"/>
    </w:pPr>
    <w:rPr>
      <w:rFonts w:ascii="宋体" w:hAnsi="宋体" w:eastAsia="宋体" w:cs="宋体"/>
      <w:sz w:val="24"/>
      <w:lang w:val="en-US" w:eastAsia="zh-CN" w:bidi="ar-SA"/>
    </w:rPr>
  </w:style>
  <w:style w:type="paragraph" w:customStyle="1" w:styleId="228">
    <w:name w:val="Char Char1 Char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29">
    <w:name w:val="节标题"/>
    <w:basedOn w:val="1"/>
    <w:next w:val="1"/>
    <w:uiPriority w:val="0"/>
    <w:pPr>
      <w:numPr>
        <w:ilvl w:val="0"/>
        <w:numId w:val="3"/>
      </w:numPr>
      <w:tabs>
        <w:tab w:val="left" w:pos="420"/>
        <w:tab w:val="left" w:pos="720"/>
      </w:tabs>
      <w:autoSpaceDE/>
      <w:autoSpaceDN/>
      <w:adjustRightInd/>
      <w:spacing w:before="120" w:after="120" w:line="360" w:lineRule="exact"/>
      <w:outlineLvl w:val="1"/>
    </w:pPr>
    <w:rPr>
      <w:rFonts w:ascii="Calibri" w:hAnsi="Calibri"/>
      <w:b/>
      <w:bCs/>
      <w:color w:val="auto"/>
      <w:kern w:val="2"/>
      <w:sz w:val="28"/>
      <w:szCs w:val="20"/>
    </w:rPr>
  </w:style>
  <w:style w:type="character" w:customStyle="1" w:styleId="230">
    <w:name w:val="正文文本 3 Char1"/>
    <w:basedOn w:val="43"/>
    <w:link w:val="17"/>
    <w:semiHidden/>
    <w:uiPriority w:val="99"/>
    <w:rPr>
      <w:rFonts w:ascii="Times New Roman" w:hAnsi="Times New Roman"/>
      <w:color w:val="000000"/>
      <w:sz w:val="16"/>
      <w:szCs w:val="16"/>
    </w:rPr>
  </w:style>
  <w:style w:type="character" w:customStyle="1" w:styleId="231">
    <w:name w:val="脚注文本 Char1"/>
    <w:basedOn w:val="43"/>
    <w:link w:val="29"/>
    <w:semiHidden/>
    <w:uiPriority w:val="99"/>
    <w:rPr>
      <w:rFonts w:ascii="Times New Roman" w:hAnsi="Times New Roman"/>
      <w:color w:val="000000"/>
      <w:sz w:val="18"/>
      <w:szCs w:val="18"/>
    </w:rPr>
  </w:style>
  <w:style w:type="character" w:customStyle="1" w:styleId="232">
    <w:name w:val="批注主题 Char1"/>
    <w:basedOn w:val="226"/>
    <w:link w:val="37"/>
    <w:semiHidden/>
    <w:uiPriority w:val="99"/>
    <w:rPr>
      <w:b/>
      <w:bCs/>
    </w:rPr>
  </w:style>
  <w:style w:type="paragraph" w:customStyle="1" w:styleId="233">
    <w:name w:val="_Style 23"/>
    <w:basedOn w:val="1"/>
    <w:next w:val="18"/>
    <w:uiPriority w:val="0"/>
    <w:pPr>
      <w:jc w:val="left"/>
      <w:textAlignment w:val="baseline"/>
    </w:pPr>
    <w:rPr>
      <w:rFonts w:ascii="宋体" w:hAnsi="Calibri"/>
      <w:color w:val="auto"/>
      <w:sz w:val="28"/>
      <w:szCs w:val="20"/>
    </w:rPr>
  </w:style>
  <w:style w:type="paragraph" w:customStyle="1" w:styleId="234">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35">
    <w:name w:val="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36">
    <w:name w:val="SANGFOR_6_1级编号"/>
    <w:basedOn w:val="1"/>
    <w:uiPriority w:val="0"/>
    <w:pPr>
      <w:numPr>
        <w:ilvl w:val="0"/>
        <w:numId w:val="4"/>
      </w:numPr>
      <w:tabs>
        <w:tab w:val="left" w:pos="0"/>
      </w:tabs>
      <w:autoSpaceDE/>
      <w:autoSpaceDN/>
      <w:adjustRightInd/>
      <w:spacing w:line="360" w:lineRule="auto"/>
      <w:ind w:firstLine="200" w:firstLineChars="200"/>
    </w:pPr>
    <w:rPr>
      <w:rFonts w:ascii="Calibri" w:hAnsi="Calibri"/>
      <w:color w:val="auto"/>
      <w:kern w:val="2"/>
      <w:szCs w:val="24"/>
    </w:rPr>
  </w:style>
  <w:style w:type="character" w:customStyle="1" w:styleId="237">
    <w:name w:val="日期 Char1"/>
    <w:basedOn w:val="43"/>
    <w:link w:val="22"/>
    <w:semiHidden/>
    <w:uiPriority w:val="99"/>
    <w:rPr>
      <w:rFonts w:ascii="Times New Roman" w:hAnsi="Times New Roman"/>
      <w:color w:val="000000"/>
      <w:sz w:val="21"/>
      <w:szCs w:val="21"/>
    </w:rPr>
  </w:style>
  <w:style w:type="paragraph" w:customStyle="1" w:styleId="238">
    <w:name w:val="编号正文缩进"/>
    <w:basedOn w:val="8"/>
    <w:qFormat/>
    <w:uiPriority w:val="0"/>
    <w:pPr>
      <w:tabs>
        <w:tab w:val="left" w:pos="1497"/>
      </w:tabs>
      <w:adjustRightInd w:val="0"/>
      <w:spacing w:line="400" w:lineRule="atLeast"/>
      <w:ind w:left="1497" w:hanging="420"/>
      <w:textAlignment w:val="baseline"/>
    </w:pPr>
    <w:rPr>
      <w:rFonts w:ascii="Calibri" w:hAnsi="Calibri" w:eastAsia="仿宋"/>
      <w:color w:val="auto"/>
      <w:kern w:val="0"/>
      <w:sz w:val="28"/>
      <w:szCs w:val="20"/>
      <w:lang w:val="zh-CN"/>
    </w:rPr>
  </w:style>
  <w:style w:type="paragraph" w:customStyle="1" w:styleId="239">
    <w:name w:val="Char19"/>
    <w:basedOn w:val="1"/>
    <w:uiPriority w:val="0"/>
    <w:pPr>
      <w:autoSpaceDE/>
      <w:autoSpaceDN/>
      <w:adjustRightInd/>
    </w:pPr>
    <w:rPr>
      <w:rFonts w:ascii="Calibri" w:hAnsi="Calibri"/>
      <w:color w:val="auto"/>
      <w:kern w:val="2"/>
      <w:szCs w:val="24"/>
    </w:rPr>
  </w:style>
  <w:style w:type="paragraph" w:customStyle="1" w:styleId="240">
    <w:name w:val="Char Char Char Char Char1 Char"/>
    <w:basedOn w:val="1"/>
    <w:uiPriority w:val="0"/>
    <w:pPr>
      <w:autoSpaceDE/>
      <w:autoSpaceDN/>
      <w:adjustRightInd/>
    </w:pPr>
    <w:rPr>
      <w:rFonts w:ascii="Tahoma" w:hAnsi="Tahoma"/>
      <w:color w:val="auto"/>
      <w:kern w:val="2"/>
      <w:sz w:val="24"/>
      <w:szCs w:val="20"/>
    </w:rPr>
  </w:style>
  <w:style w:type="character" w:customStyle="1" w:styleId="241">
    <w:name w:val="HTML 预设格式 Char1"/>
    <w:basedOn w:val="43"/>
    <w:link w:val="34"/>
    <w:semiHidden/>
    <w:uiPriority w:val="99"/>
    <w:rPr>
      <w:rFonts w:ascii="Courier New" w:hAnsi="Courier New" w:cs="Courier New"/>
      <w:color w:val="000000"/>
    </w:rPr>
  </w:style>
  <w:style w:type="paragraph" w:customStyle="1" w:styleId="242">
    <w:name w:val="xl36"/>
    <w:basedOn w:val="1"/>
    <w:uiPriority w:val="0"/>
    <w:pPr>
      <w:widowControl/>
      <w:autoSpaceDE/>
      <w:autoSpaceDN/>
      <w:adjustRightInd/>
      <w:spacing w:before="100" w:beforeAutospacing="1" w:after="100" w:afterAutospacing="1"/>
    </w:pPr>
    <w:rPr>
      <w:rFonts w:ascii="宋体" w:hAnsi="宋体"/>
      <w:color w:val="auto"/>
      <w:sz w:val="24"/>
      <w:szCs w:val="24"/>
    </w:rPr>
  </w:style>
  <w:style w:type="paragraph" w:customStyle="1" w:styleId="243">
    <w:name w:val="标题 4P"/>
    <w:basedOn w:val="5"/>
    <w:next w:val="8"/>
    <w:qFormat/>
    <w:uiPriority w:val="0"/>
    <w:pPr>
      <w:keepNext w:val="0"/>
      <w:keepLines w:val="0"/>
      <w:tabs>
        <w:tab w:val="left" w:pos="864"/>
        <w:tab w:val="left" w:pos="1680"/>
        <w:tab w:val="left" w:pos="1716"/>
      </w:tabs>
      <w:autoSpaceDE/>
      <w:autoSpaceDN/>
      <w:spacing w:before="0" w:after="0" w:line="360" w:lineRule="auto"/>
      <w:ind w:left="2160" w:hanging="420"/>
      <w:textAlignment w:val="baseline"/>
    </w:pPr>
    <w:rPr>
      <w:rFonts w:ascii="Times New Roman" w:hAnsi="Times New Roman" w:eastAsia="宋体" w:cs="宋体"/>
      <w:bCs w:val="0"/>
      <w:color w:val="auto"/>
      <w:sz w:val="24"/>
      <w:szCs w:val="24"/>
    </w:rPr>
  </w:style>
  <w:style w:type="paragraph" w:customStyle="1" w:styleId="244">
    <w:name w:val="样式 Tahoma 小四"/>
    <w:basedOn w:val="1"/>
    <w:uiPriority w:val="0"/>
    <w:pPr>
      <w:autoSpaceDE/>
      <w:autoSpaceDN/>
      <w:adjustRightInd/>
      <w:spacing w:beforeLines="50"/>
      <w:ind w:firstLine="200" w:firstLineChars="200"/>
    </w:pPr>
    <w:rPr>
      <w:rFonts w:ascii="Tahoma" w:hAnsi="Tahoma" w:cs="宋体"/>
      <w:color w:val="auto"/>
      <w:kern w:val="2"/>
      <w:sz w:val="24"/>
      <w:szCs w:val="20"/>
    </w:rPr>
  </w:style>
  <w:style w:type="paragraph" w:customStyle="1" w:styleId="245">
    <w:name w:val="默认段落字体 Para Char Char Char Char"/>
    <w:basedOn w:val="1"/>
    <w:uiPriority w:val="0"/>
    <w:pPr>
      <w:autoSpaceDE/>
      <w:autoSpaceDN/>
      <w:adjustRightInd/>
    </w:pPr>
    <w:rPr>
      <w:rFonts w:ascii="Calibri" w:hAnsi="Calibri"/>
      <w:color w:val="auto"/>
      <w:kern w:val="2"/>
      <w:szCs w:val="24"/>
    </w:rPr>
  </w:style>
  <w:style w:type="paragraph" w:customStyle="1" w:styleId="246">
    <w:name w:val="样式K"/>
    <w:basedOn w:val="18"/>
    <w:uiPriority w:val="0"/>
    <w:pPr>
      <w:autoSpaceDE/>
      <w:autoSpaceDN/>
      <w:adjustRightInd/>
      <w:spacing w:after="0"/>
      <w:jc w:val="left"/>
    </w:pPr>
    <w:rPr>
      <w:rFonts w:ascii="仿宋_GB2312" w:hAnsi="Book Antiqua" w:eastAsia="仿宋_GB2312"/>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53E42-9D2A-42E5-967E-6C335A4CE42D}">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2777</Words>
  <Characters>15832</Characters>
  <Lines>131</Lines>
  <Paragraphs>37</Paragraphs>
  <TotalTime>1912</TotalTime>
  <ScaleCrop>false</ScaleCrop>
  <LinksUpToDate>false</LinksUpToDate>
  <CharactersWithSpaces>18572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2021-10-18T06:37:00Z</dcterms:created>
  <dc:creator>微软中国</dc:creator>
  <cp:lastModifiedBy>愿你年少有为不自卑</cp:lastModifiedBy>
  <cp:lastPrinted>2021-10-18T07:56:00Z</cp:lastPrinted>
  <dcterms:modified xsi:type="dcterms:W3CDTF">2021-11-29T03:01:48Z</dcterms:modified>
  <dc:title>诸暨市　　　　　　项目</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5FFCCFAD28CB4DABB8EC7A019DCD9DF5</vt:lpwstr>
  </property>
</Properties>
</file>