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72"/>
          <w:szCs w:val="72"/>
        </w:rPr>
      </w:pPr>
      <w:r>
        <w:rPr>
          <w:rFonts w:hint="eastAsia" w:ascii="黑体" w:eastAsia="黑体"/>
          <w:sz w:val="72"/>
          <w:szCs w:val="72"/>
        </w:rPr>
        <w:t>诸暨市文化广电旅游局西施大剧院委托经营管理</w:t>
      </w:r>
    </w:p>
    <w:p>
      <w:pPr>
        <w:jc w:val="center"/>
        <w:rPr>
          <w:rFonts w:ascii="黑体" w:eastAsia="黑体"/>
          <w:sz w:val="72"/>
          <w:szCs w:val="72"/>
        </w:rPr>
      </w:pPr>
      <w:r>
        <w:rPr>
          <w:rFonts w:hint="eastAsia" w:ascii="黑体" w:eastAsia="黑体"/>
          <w:sz w:val="72"/>
          <w:szCs w:val="72"/>
        </w:rPr>
        <w:t>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（编号：诸政采2021-10-09）</w:t>
      </w:r>
    </w:p>
    <w:p>
      <w:pPr>
        <w:autoSpaceDE/>
        <w:autoSpaceDN/>
        <w:jc w:val="center"/>
        <w:rPr>
          <w:rFonts w:eastAsia="黑体"/>
          <w:color w:val="auto"/>
        </w:rPr>
      </w:pPr>
    </w:p>
    <w:p>
      <w:pPr>
        <w:autoSpaceDE/>
        <w:autoSpaceDN/>
        <w:jc w:val="center"/>
        <w:rPr>
          <w:rFonts w:cs="宋体"/>
          <w:b/>
          <w:bCs/>
          <w:color w:val="auto"/>
          <w:sz w:val="84"/>
          <w:szCs w:val="84"/>
        </w:rPr>
      </w:pPr>
      <w:r>
        <w:rPr>
          <w:rFonts w:hint="eastAsia" w:cs="宋体"/>
          <w:b/>
          <w:bCs/>
          <w:color w:val="auto"/>
          <w:sz w:val="84"/>
          <w:szCs w:val="84"/>
        </w:rPr>
        <w:t>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购</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21"/>
        <w:snapToGrid w:val="0"/>
        <w:spacing w:before="120" w:after="120"/>
        <w:rPr>
          <w:rFonts w:ascii="楷体_GB2312" w:hAnsi="宋体" w:eastAsia="楷体_GB2312"/>
          <w:b/>
          <w:bCs/>
          <w:spacing w:val="70"/>
          <w:w w:val="95"/>
          <w:sz w:val="30"/>
          <w:szCs w:val="30"/>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rPr>
        <w:t>诸暨市文化广电旅游局</w:t>
      </w:r>
    </w:p>
    <w:p>
      <w:pPr>
        <w:pStyle w:val="21"/>
        <w:snapToGrid w:val="0"/>
        <w:spacing w:before="120" w:after="120"/>
        <w:rPr>
          <w:rFonts w:ascii="楷体_GB2312" w:hAnsi="宋体" w:eastAsia="楷体_GB2312"/>
          <w:b/>
          <w:bCs/>
          <w:spacing w:val="70"/>
          <w:w w:val="95"/>
          <w:sz w:val="30"/>
          <w:szCs w:val="30"/>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21"/>
        <w:snapToGrid w:val="0"/>
        <w:spacing w:before="120" w:after="120"/>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21"/>
        <w:snapToGrid w:val="0"/>
        <w:spacing w:before="120" w:after="120"/>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二一年十月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邀请函</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谈判须知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本采购文件为2021年新制版本，请各位投标人详细阅读各项条款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 xml:space="preserve">第一章  </w:t>
      </w:r>
      <w:bookmarkEnd w:id="0"/>
      <w:r>
        <w:rPr>
          <w:rFonts w:hint="eastAsia" w:ascii="宋体" w:hAnsi="宋体"/>
          <w:b/>
          <w:sz w:val="36"/>
          <w:szCs w:val="36"/>
        </w:rPr>
        <w:t>邀请函</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宋体" w:hAnsi="宋体"/>
          <w:sz w:val="24"/>
          <w:szCs w:val="24"/>
          <w:u w:val="single"/>
        </w:rPr>
      </w:pPr>
      <w:bookmarkStart w:id="1" w:name="_Toc125344503"/>
      <w:r>
        <w:rPr>
          <w:rFonts w:hint="eastAsia" w:ascii="宋体" w:hAnsi="宋体"/>
          <w:color w:val="auto"/>
          <w:sz w:val="24"/>
          <w:szCs w:val="24"/>
          <w:u w:val="single"/>
        </w:rPr>
        <w:t xml:space="preserve"> </w:t>
      </w:r>
      <w:r>
        <w:rPr>
          <w:rFonts w:hint="eastAsia" w:ascii="宋体" w:hAnsi="宋体"/>
          <w:color w:val="auto"/>
          <w:kern w:val="2"/>
          <w:sz w:val="24"/>
          <w:szCs w:val="24"/>
          <w:u w:val="single"/>
        </w:rPr>
        <w:t xml:space="preserve"> </w:t>
      </w:r>
      <w:r>
        <w:rPr>
          <w:rFonts w:hint="eastAsia" w:ascii="宋体" w:hAnsi="宋体" w:cs="宋体"/>
          <w:color w:val="auto"/>
          <w:sz w:val="24"/>
          <w:szCs w:val="24"/>
          <w:u w:val="single"/>
        </w:rPr>
        <w:t>北京保利剧院管理有限公司</w:t>
      </w:r>
      <w:r>
        <w:rPr>
          <w:rFonts w:hint="eastAsia" w:ascii="宋体" w:hAnsi="宋体"/>
          <w:color w:val="auto"/>
          <w:kern w:val="2"/>
          <w:sz w:val="24"/>
          <w:szCs w:val="24"/>
          <w:u w:val="single"/>
        </w:rPr>
        <w:t xml:space="preserve"> </w:t>
      </w:r>
      <w:r>
        <w:rPr>
          <w:rFonts w:hint="eastAsia" w:ascii="宋体" w:hAnsi="宋体"/>
          <w:kern w:val="2"/>
          <w:sz w:val="24"/>
          <w:szCs w:val="24"/>
          <w:u w:val="single"/>
        </w:rPr>
        <w:t xml:space="preserve"> </w:t>
      </w:r>
      <w:r>
        <w:rPr>
          <w:rFonts w:hint="eastAsia" w:ascii="宋体" w:hAnsi="宋体"/>
          <w:sz w:val="24"/>
          <w:szCs w:val="24"/>
          <w:u w:val="single"/>
        </w:rPr>
        <w:t>：</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b/>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w:t>
      </w:r>
      <w:r>
        <w:rPr>
          <w:rFonts w:hint="eastAsia" w:ascii="宋体" w:hAnsi="宋体"/>
          <w:b/>
          <w:color w:val="FF0000"/>
          <w:sz w:val="24"/>
          <w:szCs w:val="24"/>
          <w:u w:val="single"/>
        </w:rPr>
        <w:t xml:space="preserve"> </w:t>
      </w:r>
      <w:r>
        <w:rPr>
          <w:rFonts w:hint="eastAsia"/>
          <w:b/>
          <w:color w:val="0000FF"/>
          <w:sz w:val="24"/>
          <w:u w:val="single"/>
        </w:rPr>
        <w:t>诸暨市文化广电旅游局西施大剧院委托经营管理采购项目</w:t>
      </w:r>
      <w:r>
        <w:rPr>
          <w:rFonts w:hint="eastAsia" w:ascii="宋体" w:hAnsi="宋体"/>
          <w:b/>
          <w:color w:val="FF0000"/>
          <w:sz w:val="24"/>
          <w:szCs w:val="24"/>
          <w:u w:val="single"/>
        </w:rPr>
        <w:t xml:space="preserve"> </w:t>
      </w:r>
      <w:r>
        <w:rPr>
          <w:rFonts w:hint="eastAsia" w:ascii="宋体" w:hAnsi="宋体"/>
          <w:b/>
          <w:color w:val="FF0000"/>
          <w:sz w:val="24"/>
          <w:szCs w:val="24"/>
        </w:rPr>
        <w:t>应在浙江政府采购网“政府采购云平台”获取（下载）采购文件，并于</w:t>
      </w:r>
      <w:r>
        <w:rPr>
          <w:rFonts w:hint="eastAsia" w:ascii="宋体" w:hAnsi="宋体"/>
          <w:b/>
          <w:color w:val="FF0000"/>
          <w:sz w:val="24"/>
          <w:szCs w:val="24"/>
          <w:u w:val="single"/>
        </w:rPr>
        <w:t>2021 年11月 日9时30分（北京时间）</w:t>
      </w:r>
      <w:r>
        <w:rPr>
          <w:rFonts w:hint="eastAsia" w:ascii="宋体" w:hAnsi="宋体"/>
          <w:b/>
          <w:color w:val="FF0000"/>
          <w:sz w:val="24"/>
          <w:szCs w:val="24"/>
        </w:rPr>
        <w:t>前递交（上传）投标文件。</w:t>
      </w:r>
    </w:p>
    <w:p>
      <w:pPr>
        <w:rPr>
          <w:rFonts w:asciiTheme="minorEastAsia" w:hAnsiTheme="minorEastAsia" w:eastAsiaTheme="minorEastAsia"/>
          <w:b/>
          <w:sz w:val="28"/>
          <w:szCs w:val="28"/>
        </w:rPr>
      </w:pPr>
      <w:bookmarkStart w:id="2" w:name="_Toc28359079"/>
      <w:bookmarkStart w:id="3" w:name="_Toc35393621"/>
      <w:bookmarkStart w:id="4" w:name="_Toc28359002"/>
      <w:bookmarkStart w:id="5" w:name="_Toc35393790"/>
      <w:r>
        <w:rPr>
          <w:rFonts w:hint="eastAsia" w:asciiTheme="minorEastAsia" w:hAnsiTheme="minorEastAsia" w:eastAsiaTheme="minorEastAsia"/>
          <w:b/>
          <w:sz w:val="28"/>
          <w:szCs w:val="28"/>
        </w:rPr>
        <w:t>一、项目基本情况</w:t>
      </w:r>
      <w:bookmarkEnd w:id="2"/>
      <w:bookmarkEnd w:id="3"/>
      <w:bookmarkEnd w:id="4"/>
      <w:bookmarkEnd w:id="5"/>
      <w:r>
        <w:rPr>
          <w:rFonts w:hint="eastAsia" w:asciiTheme="minorEastAsia" w:hAnsiTheme="minorEastAsia" w:eastAsiaTheme="minorEastAsia"/>
          <w:b/>
          <w:sz w:val="28"/>
          <w:szCs w:val="28"/>
        </w:rPr>
        <w:t xml:space="preserve"> </w:t>
      </w:r>
    </w:p>
    <w:p>
      <w:pPr>
        <w:pStyle w:val="21"/>
        <w:ind w:firstLine="480" w:firstLineChars="200"/>
        <w:rPr>
          <w:rFonts w:ascii="宋体" w:hAnsi="宋体"/>
          <w:szCs w:val="24"/>
        </w:rPr>
      </w:pPr>
      <w:r>
        <w:rPr>
          <w:rFonts w:hint="eastAsia" w:ascii="宋体" w:hAnsi="宋体"/>
          <w:szCs w:val="24"/>
        </w:rPr>
        <w:t>项目编号：诸政采2021-10-09</w:t>
      </w:r>
    </w:p>
    <w:p>
      <w:pPr>
        <w:pStyle w:val="21"/>
        <w:ind w:firstLine="480" w:firstLineChars="200"/>
        <w:rPr>
          <w:rFonts w:ascii="宋体" w:hAnsi="宋体"/>
          <w:szCs w:val="24"/>
        </w:rPr>
      </w:pPr>
      <w:r>
        <w:rPr>
          <w:rFonts w:hint="eastAsia" w:ascii="宋体" w:hAnsi="宋体"/>
          <w:szCs w:val="24"/>
        </w:rPr>
        <w:t>项目名称：诸暨市文化广电旅游局西施大剧院委托经营管理采购项目</w:t>
      </w:r>
    </w:p>
    <w:p>
      <w:pPr>
        <w:pStyle w:val="21"/>
        <w:ind w:firstLine="480" w:firstLineChars="200"/>
        <w:rPr>
          <w:rFonts w:ascii="宋体" w:hAnsi="宋体"/>
          <w:szCs w:val="24"/>
        </w:rPr>
      </w:pPr>
      <w:r>
        <w:rPr>
          <w:rFonts w:hint="eastAsia" w:ascii="宋体" w:hAnsi="宋体"/>
          <w:szCs w:val="24"/>
        </w:rPr>
        <w:t>预算金额：总预算6500万元</w:t>
      </w:r>
    </w:p>
    <w:p>
      <w:pPr>
        <w:pStyle w:val="21"/>
        <w:ind w:firstLine="480" w:firstLineChars="200"/>
        <w:rPr>
          <w:rFonts w:ascii="宋体" w:hAnsi="宋体"/>
          <w:szCs w:val="24"/>
        </w:rPr>
      </w:pPr>
      <w:r>
        <w:rPr>
          <w:rFonts w:hint="eastAsia" w:ascii="宋体" w:hAnsi="宋体"/>
          <w:szCs w:val="24"/>
        </w:rPr>
        <w:t>最高限价：6500万元</w:t>
      </w:r>
    </w:p>
    <w:p>
      <w:pPr>
        <w:pStyle w:val="21"/>
        <w:ind w:firstLine="480" w:firstLineChars="200"/>
        <w:rPr>
          <w:rFonts w:ascii="宋体" w:hAnsi="宋体"/>
          <w:szCs w:val="24"/>
        </w:rPr>
      </w:pPr>
      <w:r>
        <w:rPr>
          <w:rFonts w:hint="eastAsia" w:ascii="宋体" w:hAnsi="宋体"/>
          <w:szCs w:val="24"/>
        </w:rPr>
        <w:t>采购需求：详见采购文件，各标的内容如下：</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73"/>
        <w:gridCol w:w="3435"/>
        <w:gridCol w:w="2081"/>
        <w:gridCol w:w="1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1973" w:type="dxa"/>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3435" w:type="dxa"/>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2081" w:type="dxa"/>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626" w:type="dxa"/>
            <w:vAlign w:val="center"/>
          </w:tcPr>
          <w:p>
            <w:pPr>
              <w:widowControl/>
              <w:jc w:val="center"/>
              <w:rPr>
                <w:b/>
              </w:rPr>
            </w:pPr>
            <w:r>
              <w:rPr>
                <w:rFonts w:hint="eastAsia"/>
                <w:b/>
              </w:rPr>
              <w:t>最高限价</w:t>
            </w:r>
          </w:p>
          <w:p>
            <w:pPr>
              <w:widowControl/>
              <w:jc w:val="center"/>
              <w:rPr>
                <w:b/>
              </w:rPr>
            </w:pPr>
            <w:r>
              <w:rPr>
                <w:rFonts w:hint="eastAsia"/>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6" w:hRule="atLeast"/>
          <w:jc w:val="center"/>
        </w:trPr>
        <w:tc>
          <w:tcPr>
            <w:tcW w:w="1973" w:type="dxa"/>
            <w:tcMar>
              <w:top w:w="0" w:type="dxa"/>
              <w:left w:w="108" w:type="dxa"/>
              <w:bottom w:w="0" w:type="dxa"/>
              <w:right w:w="108" w:type="dxa"/>
            </w:tcMar>
            <w:vAlign w:val="center"/>
          </w:tcPr>
          <w:p>
            <w:pPr>
              <w:widowControl/>
              <w:autoSpaceDE/>
              <w:autoSpaceDN/>
              <w:adjustRightInd/>
              <w:jc w:val="center"/>
              <w:rPr>
                <w:rFonts w:ascii="宋体" w:hAnsi="宋体" w:cs="宋体"/>
                <w:sz w:val="20"/>
                <w:szCs w:val="20"/>
              </w:rPr>
            </w:pPr>
            <w:r>
              <w:rPr>
                <w:rFonts w:hint="eastAsia" w:ascii="宋体" w:hAnsi="宋体"/>
                <w:szCs w:val="24"/>
              </w:rPr>
              <w:t>诸暨市</w:t>
            </w:r>
            <w:r>
              <w:rPr>
                <w:rFonts w:hint="eastAsia" w:ascii="宋体" w:hAnsi="宋体"/>
                <w:sz w:val="24"/>
                <w:szCs w:val="24"/>
              </w:rPr>
              <w:t>文化广电旅游局</w:t>
            </w:r>
          </w:p>
        </w:tc>
        <w:tc>
          <w:tcPr>
            <w:tcW w:w="3435" w:type="dxa"/>
            <w:tcMar>
              <w:top w:w="0" w:type="dxa"/>
              <w:left w:w="108" w:type="dxa"/>
              <w:bottom w:w="0" w:type="dxa"/>
              <w:right w:w="108" w:type="dxa"/>
            </w:tcMar>
            <w:vAlign w:val="center"/>
          </w:tcPr>
          <w:p>
            <w:pPr>
              <w:widowControl/>
              <w:autoSpaceDE/>
              <w:autoSpaceDN/>
              <w:adjustRightInd/>
              <w:jc w:val="center"/>
              <w:rPr>
                <w:rFonts w:ascii="宋体" w:hAnsi="宋体" w:cs="宋体"/>
                <w:sz w:val="20"/>
                <w:szCs w:val="20"/>
              </w:rPr>
            </w:pPr>
            <w:r>
              <w:rPr>
                <w:rFonts w:hint="eastAsia" w:ascii="宋体" w:hAnsi="宋体"/>
                <w:sz w:val="24"/>
                <w:szCs w:val="24"/>
              </w:rPr>
              <w:t>西施大剧院委托经营管理采购</w:t>
            </w:r>
          </w:p>
        </w:tc>
        <w:tc>
          <w:tcPr>
            <w:tcW w:w="2081"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详见采购文件</w:t>
            </w:r>
          </w:p>
        </w:tc>
        <w:tc>
          <w:tcPr>
            <w:tcW w:w="1626" w:type="dxa"/>
            <w:vAlign w:val="center"/>
          </w:tcPr>
          <w:p>
            <w:pPr>
              <w:pStyle w:val="21"/>
              <w:ind w:firstLine="120" w:firstLineChars="50"/>
              <w:jc w:val="center"/>
              <w:rPr>
                <w:rFonts w:ascii="宋体" w:hAnsi="宋体"/>
                <w:szCs w:val="24"/>
              </w:rPr>
            </w:pPr>
            <w:r>
              <w:rPr>
                <w:rFonts w:hint="eastAsia" w:ascii="宋体" w:hAnsi="宋体"/>
                <w:szCs w:val="24"/>
              </w:rPr>
              <w:t>6500万元</w:t>
            </w:r>
          </w:p>
        </w:tc>
      </w:tr>
    </w:tbl>
    <w:p>
      <w:pPr>
        <w:pStyle w:val="21"/>
        <w:ind w:firstLine="560" w:firstLineChars="200"/>
        <w:rPr>
          <w:rFonts w:ascii="宋体" w:hAnsi="宋体"/>
          <w:color w:val="auto"/>
          <w:sz w:val="28"/>
          <w:szCs w:val="28"/>
        </w:rPr>
      </w:pPr>
      <w:r>
        <w:rPr>
          <w:rFonts w:hint="eastAsia" w:ascii="宋体" w:hAnsi="宋体"/>
          <w:color w:val="auto"/>
          <w:sz w:val="28"/>
          <w:szCs w:val="28"/>
        </w:rPr>
        <w:t>合同履行期限：/</w:t>
      </w:r>
    </w:p>
    <w:p>
      <w:pPr>
        <w:pStyle w:val="21"/>
        <w:ind w:firstLine="480" w:firstLineChars="200"/>
        <w:rPr>
          <w:rFonts w:ascii="宋体" w:hAnsi="宋体"/>
          <w:szCs w:val="24"/>
        </w:rPr>
      </w:pPr>
      <w:r>
        <w:rPr>
          <w:rFonts w:hint="eastAsia" w:ascii="宋体" w:hAnsi="宋体"/>
          <w:szCs w:val="24"/>
        </w:rPr>
        <w:t>本项目不接受联合体投标。</w:t>
      </w:r>
      <w:bookmarkStart w:id="6" w:name="_Toc28359003"/>
      <w:bookmarkStart w:id="7" w:name="_Toc35393622"/>
      <w:bookmarkStart w:id="8" w:name="_Toc28359080"/>
      <w:bookmarkStart w:id="9" w:name="_Toc35393791"/>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21"/>
        <w:ind w:firstLine="480" w:firstLineChars="200"/>
        <w:rPr>
          <w:rFonts w:ascii="宋体" w:hAnsi="宋体"/>
          <w:szCs w:val="24"/>
        </w:rPr>
      </w:pPr>
      <w:r>
        <w:rPr>
          <w:rFonts w:hint="eastAsia" w:ascii="宋体" w:hAnsi="宋体"/>
          <w:szCs w:val="24"/>
        </w:rPr>
        <w:t>1.符合《中华人民共和国政府采购法》第二十二条。</w:t>
      </w:r>
    </w:p>
    <w:p>
      <w:pPr>
        <w:pStyle w:val="21"/>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spacing w:line="400" w:lineRule="exact"/>
        <w:ind w:firstLine="420" w:firstLineChars="200"/>
        <w:rPr>
          <w:rFonts w:ascii="宋体" w:hAnsi="宋体"/>
          <w:szCs w:val="24"/>
        </w:rPr>
      </w:pPr>
      <w:r>
        <w:rPr>
          <w:rFonts w:hint="eastAsia" w:ascii="宋体" w:hAnsi="宋体"/>
          <w:szCs w:val="24"/>
        </w:rPr>
        <w:t>3.</w:t>
      </w:r>
      <w:r>
        <w:rPr>
          <w:rFonts w:hint="eastAsia" w:ascii="宋体" w:hAnsi="宋体"/>
          <w:kern w:val="2"/>
          <w:sz w:val="24"/>
          <w:szCs w:val="24"/>
        </w:rPr>
        <w:t>本项目的特定资格要求：</w:t>
      </w:r>
      <w:bookmarkStart w:id="55" w:name="_GoBack"/>
      <w:r>
        <w:rPr>
          <w:rFonts w:hint="eastAsia" w:ascii="宋体" w:hAnsi="宋体" w:cs="宋体"/>
          <w:color w:val="C00000"/>
          <w:sz w:val="24"/>
          <w:szCs w:val="24"/>
        </w:rPr>
        <w:t>具有文化行政主管部门颁发的营业性演出许可证。</w:t>
      </w:r>
    </w:p>
    <w:bookmarkEnd w:id="55"/>
    <w:p>
      <w:pPr>
        <w:pStyle w:val="21"/>
        <w:ind w:firstLine="480" w:firstLineChars="200"/>
        <w:rPr>
          <w:rFonts w:ascii="宋体" w:hAnsi="宋体"/>
          <w:szCs w:val="24"/>
        </w:rPr>
      </w:pPr>
    </w:p>
    <w:p>
      <w:pPr>
        <w:autoSpaceDE/>
        <w:autoSpaceDN/>
        <w:adjustRightInd/>
        <w:spacing w:line="280" w:lineRule="exact"/>
        <w:rPr>
          <w:rFonts w:ascii="仿宋_GB2312" w:hAnsi="仿宋_GB2312" w:eastAsia="仿宋_GB2312"/>
          <w:b/>
          <w:color w:val="auto"/>
          <w:sz w:val="24"/>
          <w:szCs w:val="24"/>
        </w:rPr>
      </w:pPr>
      <w:r>
        <w:rPr>
          <w:rFonts w:hint="eastAsia" w:ascii="宋体" w:hAnsi="宋体"/>
          <w:b/>
          <w:sz w:val="24"/>
          <w:szCs w:val="24"/>
        </w:rPr>
        <w:t>三、</w:t>
      </w:r>
      <w:r>
        <w:rPr>
          <w:rFonts w:ascii="宋体" w:hAnsi="宋体"/>
          <w:b/>
          <w:sz w:val="24"/>
          <w:szCs w:val="24"/>
        </w:rPr>
        <w:t>谈判</w:t>
      </w:r>
      <w:r>
        <w:rPr>
          <w:rFonts w:hint="eastAsia" w:ascii="宋体" w:hAnsi="宋体"/>
          <w:b/>
          <w:sz w:val="24"/>
          <w:szCs w:val="24"/>
        </w:rPr>
        <w:t xml:space="preserve">所需资料： </w:t>
      </w:r>
    </w:p>
    <w:p>
      <w:pPr>
        <w:numPr>
          <w:ilvl w:val="0"/>
          <w:numId w:val="2"/>
        </w:numPr>
        <w:autoSpaceDE/>
        <w:autoSpaceDN/>
        <w:adjustRightInd/>
        <w:spacing w:line="280" w:lineRule="exact"/>
        <w:rPr>
          <w:rFonts w:ascii="宋体" w:hAnsi="宋体"/>
          <w:color w:val="auto"/>
          <w:sz w:val="24"/>
          <w:szCs w:val="20"/>
        </w:rPr>
      </w:pPr>
      <w:r>
        <w:rPr>
          <w:rFonts w:hint="eastAsia" w:ascii="宋体" w:hAnsi="宋体"/>
          <w:sz w:val="24"/>
          <w:szCs w:val="24"/>
        </w:rPr>
        <w:t>营业执照复印件（或事业单位法人证书复印件）</w:t>
      </w:r>
      <w:r>
        <w:rPr>
          <w:rFonts w:ascii="宋体" w:hAnsi="宋体"/>
          <w:color w:val="auto"/>
          <w:sz w:val="24"/>
          <w:szCs w:val="20"/>
        </w:rPr>
        <w:t>。</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谈判代表名单，需指明主要谈判人员。（</w:t>
      </w:r>
      <w:r>
        <w:rPr>
          <w:rFonts w:hint="eastAsia" w:ascii="宋体" w:hAnsi="宋体"/>
          <w:color w:val="auto"/>
          <w:sz w:val="24"/>
          <w:szCs w:val="20"/>
        </w:rPr>
        <w:t>加盖单位公章</w:t>
      </w:r>
      <w:r>
        <w:rPr>
          <w:rFonts w:ascii="宋体" w:hAnsi="宋体"/>
          <w:color w:val="auto"/>
          <w:sz w:val="24"/>
          <w:szCs w:val="20"/>
        </w:rPr>
        <w:t>）</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授权委托人参加谈判的需携带授权委托书。</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谈判响应文件。</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参加谈判人员均需携带本人身份证复印件一份。</w:t>
      </w:r>
    </w:p>
    <w:p>
      <w:pPr>
        <w:autoSpaceDE/>
        <w:autoSpaceDN/>
        <w:adjustRightInd/>
        <w:spacing w:line="280" w:lineRule="exact"/>
        <w:rPr>
          <w:rFonts w:ascii="宋体" w:hAnsi="宋体"/>
          <w:color w:val="auto"/>
          <w:sz w:val="24"/>
          <w:szCs w:val="24"/>
        </w:rPr>
      </w:pPr>
      <w:r>
        <w:rPr>
          <w:rFonts w:hint="eastAsia"/>
          <w:bCs/>
          <w:color w:val="auto"/>
          <w:sz w:val="24"/>
          <w:szCs w:val="24"/>
        </w:rPr>
        <w:t xml:space="preserve">   6、投标人提供的采购标的成本、同类项目合同价格以及相关专利、专有技术等情况说明。</w:t>
      </w:r>
    </w:p>
    <w:p>
      <w:pPr>
        <w:pStyle w:val="21"/>
        <w:ind w:firstLine="480" w:firstLineChars="200"/>
        <w:rPr>
          <w:rFonts w:ascii="宋体" w:hAnsi="宋体"/>
          <w:szCs w:val="24"/>
        </w:rPr>
      </w:pP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四、获取采购文件</w:t>
      </w:r>
      <w:bookmarkEnd w:id="10"/>
      <w:bookmarkEnd w:id="11"/>
    </w:p>
    <w:p>
      <w:pPr>
        <w:pStyle w:val="21"/>
        <w:ind w:firstLine="480" w:firstLineChars="200"/>
        <w:rPr>
          <w:rFonts w:hint="eastAsia" w:ascii="宋体" w:hAnsi="宋体"/>
          <w:szCs w:val="24"/>
        </w:rPr>
      </w:pPr>
      <w:r>
        <w:rPr>
          <w:rFonts w:hint="eastAsia" w:ascii="宋体" w:hAnsi="宋体"/>
          <w:szCs w:val="24"/>
        </w:rPr>
        <w:t>时间：</w:t>
      </w:r>
      <w:r>
        <w:rPr>
          <w:rFonts w:hint="eastAsia" w:ascii="宋体" w:hAnsi="宋体"/>
          <w:b/>
          <w:szCs w:val="24"/>
          <w:u w:val="single"/>
        </w:rPr>
        <w:t>2021年11月 4日至2021年11月 10日</w:t>
      </w:r>
      <w:r>
        <w:rPr>
          <w:rFonts w:hint="eastAsia" w:ascii="宋体" w:hAnsi="宋体"/>
          <w:szCs w:val="24"/>
        </w:rPr>
        <w:t>（</w:t>
      </w:r>
      <w:r>
        <w:rPr>
          <w:rFonts w:ascii="宋体" w:hAnsi="宋体"/>
          <w:szCs w:val="24"/>
        </w:rPr>
        <w:t>法定节假日</w:t>
      </w:r>
      <w:r>
        <w:rPr>
          <w:rFonts w:hint="eastAsia" w:ascii="宋体" w:hAnsi="宋体"/>
          <w:szCs w:val="24"/>
        </w:rPr>
        <w:t>除外）。</w:t>
      </w:r>
    </w:p>
    <w:p>
      <w:pPr>
        <w:pStyle w:val="21"/>
        <w:ind w:firstLine="480" w:firstLineChars="200"/>
        <w:rPr>
          <w:rFonts w:ascii="宋体" w:hAnsi="宋体"/>
          <w:szCs w:val="24"/>
        </w:rPr>
      </w:pPr>
      <w:r>
        <w:rPr>
          <w:rFonts w:hint="eastAsia" w:ascii="宋体" w:hAnsi="宋体"/>
          <w:szCs w:val="24"/>
        </w:rPr>
        <w:t>获取平台：政采云平台</w:t>
      </w:r>
    </w:p>
    <w:p>
      <w:pPr>
        <w:pStyle w:val="21"/>
        <w:ind w:firstLine="480" w:firstLineChars="200"/>
        <w:rPr>
          <w:rFonts w:ascii="宋体" w:hAnsi="宋体"/>
          <w:szCs w:val="24"/>
        </w:rPr>
      </w:pPr>
      <w:r>
        <w:rPr>
          <w:rFonts w:hint="eastAsia" w:ascii="宋体" w:hAnsi="宋体"/>
          <w:szCs w:val="24"/>
        </w:rPr>
        <w:t>方式：本项目采购文件采用网上下载方式发布，不提供采购文件纸质版。供应商请在政采云平台中获取采购文件，于开标当日直接参加投标。</w:t>
      </w:r>
    </w:p>
    <w:p>
      <w:pPr>
        <w:pStyle w:val="21"/>
        <w:ind w:firstLine="480" w:firstLineChars="200"/>
        <w:rPr>
          <w:rFonts w:ascii="宋体" w:hAnsi="宋体"/>
          <w:szCs w:val="24"/>
        </w:rPr>
      </w:pPr>
      <w:r>
        <w:rPr>
          <w:rFonts w:hint="eastAsia" w:ascii="宋体" w:hAnsi="宋体"/>
          <w:szCs w:val="24"/>
        </w:rPr>
        <w:t>售价：本项目采购文件免费网上下载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624"/>
      <w:bookmarkStart w:id="15" w:name="_Toc35393793"/>
      <w:r>
        <w:rPr>
          <w:rFonts w:hint="eastAsia" w:asciiTheme="minorEastAsia" w:hAnsiTheme="minorEastAsia" w:eastAsiaTheme="minorEastAsia"/>
          <w:b/>
          <w:sz w:val="28"/>
          <w:szCs w:val="28"/>
        </w:rPr>
        <w:t>五、提交投标文件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21"/>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color w:val="auto"/>
          <w:szCs w:val="24"/>
          <w:u w:val="single"/>
        </w:rPr>
        <w:t>2</w:t>
      </w:r>
      <w:r>
        <w:rPr>
          <w:rFonts w:hint="eastAsia" w:ascii="宋体" w:hAnsi="宋体"/>
          <w:b/>
          <w:szCs w:val="24"/>
          <w:u w:val="single"/>
        </w:rPr>
        <w:t>021年11月11 日9时30分</w:t>
      </w:r>
      <w:r>
        <w:rPr>
          <w:rFonts w:hint="eastAsia" w:ascii="宋体" w:hAnsi="宋体"/>
          <w:szCs w:val="24"/>
        </w:rPr>
        <w:t>（北京时间）前按照电子投标要求将电子加密标书上传到“政采云”平台，逾期或未上传成功的将导致无法投标或投标无效。</w:t>
      </w:r>
    </w:p>
    <w:p>
      <w:pPr>
        <w:pStyle w:val="2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07"/>
      <w:bookmarkStart w:id="17" w:name="_Toc35393625"/>
      <w:bookmarkStart w:id="18" w:name="_Toc35393794"/>
      <w:bookmarkStart w:id="19" w:name="_Toc2835908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bookmarkEnd w:id="16"/>
      <w:bookmarkEnd w:id="17"/>
      <w:bookmarkEnd w:id="18"/>
      <w:bookmarkEnd w:id="19"/>
      <w:bookmarkStart w:id="20" w:name="_Toc35393795"/>
      <w:bookmarkStart w:id="21" w:name="_Toc35393626"/>
      <w:r>
        <w:rPr>
          <w:rFonts w:hint="eastAsia" w:asciiTheme="minorEastAsia" w:hAnsiTheme="minorEastAsia" w:eastAsiaTheme="minorEastAsia"/>
          <w:b/>
          <w:sz w:val="28"/>
          <w:szCs w:val="28"/>
        </w:rPr>
        <w:t>其他补充事宜</w:t>
      </w:r>
      <w:bookmarkEnd w:id="20"/>
      <w:bookmarkEnd w:id="21"/>
    </w:p>
    <w:p>
      <w:pPr>
        <w:pStyle w:val="21"/>
        <w:ind w:firstLine="480" w:firstLineChars="200"/>
        <w:rPr>
          <w:rFonts w:ascii="宋体" w:hAnsi="宋体"/>
          <w:szCs w:val="24"/>
        </w:rPr>
      </w:pPr>
      <w:r>
        <w:rPr>
          <w:rFonts w:hint="eastAsia" w:ascii="宋体" w:hAnsi="宋体"/>
          <w:szCs w:val="24"/>
        </w:rPr>
        <w:t>1、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21"/>
        <w:ind w:firstLine="480" w:firstLineChars="200"/>
        <w:rPr>
          <w:rFonts w:ascii="宋体" w:hAnsi="宋体"/>
          <w:szCs w:val="24"/>
        </w:rPr>
      </w:pPr>
      <w:r>
        <w:rPr>
          <w:rFonts w:hint="eastAsia" w:ascii="宋体" w:hAnsi="宋体"/>
          <w:szCs w:val="24"/>
        </w:rPr>
        <w:t>2、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21"/>
        <w:ind w:firstLine="480" w:firstLineChars="200"/>
        <w:rPr>
          <w:rFonts w:ascii="宋体" w:hAnsi="宋体"/>
          <w:szCs w:val="24"/>
        </w:rPr>
      </w:pPr>
      <w:r>
        <w:rPr>
          <w:rFonts w:hint="eastAsia" w:ascii="宋体" w:hAnsi="宋体"/>
          <w:szCs w:val="24"/>
        </w:rPr>
        <w:t>3、供应商按照本采购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21"/>
        <w:ind w:firstLine="480" w:firstLineChars="200"/>
        <w:rPr>
          <w:rFonts w:ascii="宋体" w:hAnsi="宋体"/>
          <w:szCs w:val="24"/>
        </w:rPr>
      </w:pPr>
      <w:r>
        <w:rPr>
          <w:rFonts w:hint="eastAsia" w:ascii="宋体" w:hAnsi="宋体"/>
          <w:szCs w:val="24"/>
        </w:rPr>
        <w:t>4、</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21"/>
        <w:ind w:firstLine="480" w:firstLineChars="200"/>
        <w:rPr>
          <w:rFonts w:ascii="宋体" w:hAnsi="宋体"/>
          <w:szCs w:val="24"/>
        </w:rPr>
      </w:pPr>
      <w:r>
        <w:rPr>
          <w:rFonts w:hint="eastAsia" w:ascii="宋体" w:hAnsi="宋体"/>
          <w:szCs w:val="24"/>
        </w:rPr>
        <w:t>5、本项目不收取投标保证金。</w:t>
      </w:r>
    </w:p>
    <w:p>
      <w:pPr>
        <w:rPr>
          <w:rFonts w:asciiTheme="minorEastAsia" w:hAnsiTheme="minorEastAsia" w:eastAsiaTheme="minorEastAsia"/>
          <w:b/>
          <w:sz w:val="28"/>
          <w:szCs w:val="28"/>
        </w:rPr>
      </w:pPr>
      <w:bookmarkStart w:id="22" w:name="_Toc28359085"/>
      <w:bookmarkStart w:id="23" w:name="_Toc28359008"/>
      <w:bookmarkStart w:id="24" w:name="_Toc35393796"/>
      <w:bookmarkStart w:id="25" w:name="_Toc35393627"/>
      <w:r>
        <w:rPr>
          <w:rFonts w:hint="eastAsia" w:asciiTheme="minorEastAsia" w:hAnsiTheme="minorEastAsia" w:eastAsiaTheme="minorEastAsia"/>
          <w:b/>
          <w:sz w:val="28"/>
          <w:szCs w:val="28"/>
        </w:rPr>
        <w:t>七、对本次采购提出询问，请按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21"/>
        <w:ind w:firstLine="482" w:firstLineChars="200"/>
        <w:rPr>
          <w:rFonts w:ascii="宋体" w:hAnsi="宋体"/>
          <w:b/>
          <w:szCs w:val="24"/>
        </w:rPr>
      </w:pPr>
      <w:r>
        <w:rPr>
          <w:rFonts w:hint="eastAsia" w:ascii="宋体" w:hAnsi="宋体"/>
          <w:b/>
          <w:szCs w:val="24"/>
        </w:rPr>
        <w:t>1.采购人信息</w:t>
      </w:r>
    </w:p>
    <w:p>
      <w:pPr>
        <w:pStyle w:val="21"/>
        <w:ind w:firstLine="480" w:firstLineChars="200"/>
        <w:rPr>
          <w:rFonts w:ascii="宋体" w:hAnsi="宋体"/>
          <w:szCs w:val="24"/>
        </w:rPr>
      </w:pPr>
      <w:r>
        <w:rPr>
          <w:rFonts w:hint="eastAsia" w:ascii="宋体" w:hAnsi="宋体"/>
          <w:szCs w:val="24"/>
        </w:rPr>
        <w:t>名      称：诸暨市文化广电旅游局</w:t>
      </w:r>
    </w:p>
    <w:p>
      <w:pPr>
        <w:pStyle w:val="21"/>
        <w:ind w:firstLine="480" w:firstLineChars="200"/>
        <w:rPr>
          <w:rFonts w:ascii="宋体" w:hAnsi="宋体"/>
          <w:szCs w:val="24"/>
        </w:rPr>
      </w:pPr>
      <w:r>
        <w:rPr>
          <w:rFonts w:hint="eastAsia" w:ascii="宋体" w:hAnsi="宋体"/>
          <w:szCs w:val="24"/>
        </w:rPr>
        <w:t>地      址：诸暨市暨阳街道东二路39号</w:t>
      </w:r>
    </w:p>
    <w:p>
      <w:pPr>
        <w:pStyle w:val="21"/>
        <w:ind w:firstLine="480" w:firstLineChars="200"/>
        <w:rPr>
          <w:rFonts w:ascii="宋体" w:hAnsi="宋体"/>
          <w:szCs w:val="24"/>
        </w:rPr>
      </w:pPr>
      <w:r>
        <w:rPr>
          <w:rFonts w:hint="eastAsia" w:ascii="宋体" w:hAnsi="宋体"/>
          <w:szCs w:val="24"/>
        </w:rPr>
        <w:t>项目联系人：王白</w:t>
      </w:r>
    </w:p>
    <w:p>
      <w:pPr>
        <w:pStyle w:val="21"/>
        <w:ind w:firstLine="480" w:firstLineChars="200"/>
        <w:rPr>
          <w:rFonts w:ascii="宋体" w:hAnsi="宋体"/>
          <w:szCs w:val="24"/>
        </w:rPr>
      </w:pPr>
      <w:r>
        <w:rPr>
          <w:rFonts w:hint="eastAsia" w:ascii="宋体" w:hAnsi="宋体"/>
          <w:szCs w:val="24"/>
        </w:rPr>
        <w:t>联系  方式：</w:t>
      </w:r>
      <w:bookmarkStart w:id="26" w:name="_Toc28359086"/>
      <w:bookmarkStart w:id="27" w:name="_Toc28359009"/>
      <w:r>
        <w:rPr>
          <w:rFonts w:hint="eastAsia" w:ascii="宋体" w:hAnsi="宋体"/>
          <w:szCs w:val="24"/>
        </w:rPr>
        <w:t>0575-88598175</w:t>
      </w:r>
    </w:p>
    <w:p>
      <w:pPr>
        <w:pStyle w:val="21"/>
        <w:ind w:firstLine="480" w:firstLineChars="200"/>
        <w:rPr>
          <w:rFonts w:ascii="宋体" w:hAnsi="宋体" w:eastAsia="仿宋_GB2312"/>
          <w:szCs w:val="24"/>
        </w:rPr>
      </w:pP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2.采购代理机构信息</w:t>
      </w:r>
      <w:bookmarkEnd w:id="26"/>
      <w:bookmarkEnd w:id="27"/>
    </w:p>
    <w:p>
      <w:pPr>
        <w:pStyle w:val="21"/>
        <w:ind w:firstLine="480" w:firstLineChars="200"/>
        <w:rPr>
          <w:rFonts w:ascii="宋体" w:hAnsi="宋体"/>
          <w:szCs w:val="24"/>
        </w:rPr>
      </w:pPr>
      <w:r>
        <w:rPr>
          <w:rFonts w:hint="eastAsia" w:ascii="宋体" w:hAnsi="宋体"/>
          <w:szCs w:val="24"/>
        </w:rPr>
        <w:t>名      称：诸暨市公共资源交易中心</w:t>
      </w:r>
    </w:p>
    <w:p>
      <w:pPr>
        <w:pStyle w:val="21"/>
        <w:ind w:firstLine="480" w:firstLineChars="200"/>
        <w:rPr>
          <w:rFonts w:ascii="宋体" w:hAnsi="宋体"/>
          <w:szCs w:val="24"/>
        </w:rPr>
      </w:pPr>
      <w:r>
        <w:rPr>
          <w:rFonts w:hint="eastAsia" w:ascii="宋体" w:hAnsi="宋体"/>
          <w:szCs w:val="24"/>
        </w:rPr>
        <w:t>地　    址：诸暨市暨东路58号6楼北602办公室</w:t>
      </w:r>
    </w:p>
    <w:p>
      <w:pPr>
        <w:pStyle w:val="21"/>
        <w:ind w:firstLine="480" w:firstLineChars="200"/>
        <w:rPr>
          <w:rFonts w:ascii="宋体" w:hAnsi="宋体"/>
          <w:szCs w:val="24"/>
        </w:rPr>
      </w:pPr>
      <w:r>
        <w:rPr>
          <w:rFonts w:hint="eastAsia" w:ascii="宋体" w:hAnsi="宋体"/>
          <w:szCs w:val="24"/>
        </w:rPr>
        <w:t>项目联系人：王洁</w:t>
      </w:r>
    </w:p>
    <w:p>
      <w:pPr>
        <w:pStyle w:val="21"/>
        <w:ind w:firstLine="480" w:firstLineChars="200"/>
        <w:rPr>
          <w:rFonts w:ascii="宋体" w:hAnsi="宋体"/>
          <w:szCs w:val="24"/>
        </w:rPr>
      </w:pPr>
      <w:r>
        <w:rPr>
          <w:rFonts w:hint="eastAsia" w:ascii="宋体" w:hAnsi="宋体"/>
          <w:szCs w:val="24"/>
        </w:rPr>
        <w:t xml:space="preserve">联系  方式：0575-87253016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3.同级政府采购监督管理部门</w:t>
      </w:r>
    </w:p>
    <w:p>
      <w:pPr>
        <w:pStyle w:val="21"/>
        <w:ind w:firstLine="480" w:firstLineChars="200"/>
        <w:rPr>
          <w:rFonts w:ascii="宋体" w:hAnsi="宋体"/>
          <w:szCs w:val="24"/>
        </w:rPr>
      </w:pPr>
      <w:r>
        <w:rPr>
          <w:rFonts w:hint="eastAsia" w:ascii="宋体" w:hAnsi="宋体"/>
          <w:szCs w:val="24"/>
        </w:rPr>
        <w:t>名      称：诸暨市财政局政府采购监管科</w:t>
      </w:r>
    </w:p>
    <w:p>
      <w:pPr>
        <w:pStyle w:val="21"/>
        <w:ind w:firstLine="480" w:firstLineChars="200"/>
        <w:rPr>
          <w:rFonts w:ascii="宋体" w:hAnsi="宋体"/>
          <w:szCs w:val="24"/>
        </w:rPr>
      </w:pPr>
      <w:r>
        <w:rPr>
          <w:rFonts w:hint="eastAsia" w:ascii="宋体" w:hAnsi="宋体"/>
          <w:szCs w:val="24"/>
        </w:rPr>
        <w:t>地      址：诸暨市人民中路356号</w:t>
      </w:r>
    </w:p>
    <w:p>
      <w:pPr>
        <w:pStyle w:val="21"/>
        <w:ind w:firstLine="480" w:firstLineChars="200"/>
        <w:rPr>
          <w:rFonts w:ascii="宋体" w:hAnsi="宋体"/>
          <w:szCs w:val="24"/>
        </w:rPr>
      </w:pPr>
      <w:r>
        <w:rPr>
          <w:rFonts w:hint="eastAsia" w:ascii="宋体" w:hAnsi="宋体"/>
          <w:szCs w:val="24"/>
        </w:rPr>
        <w:t>联  系  人：金永康 </w:t>
      </w:r>
    </w:p>
    <w:p>
      <w:pPr>
        <w:pStyle w:val="21"/>
        <w:ind w:firstLine="480" w:firstLineChars="200"/>
        <w:rPr>
          <w:rFonts w:ascii="宋体" w:hAnsi="宋体"/>
          <w:szCs w:val="24"/>
        </w:rPr>
      </w:pPr>
      <w:r>
        <w:rPr>
          <w:rFonts w:hint="eastAsia" w:ascii="宋体" w:hAnsi="宋体"/>
          <w:szCs w:val="24"/>
        </w:rPr>
        <w:t>监督投诉电话：0575-87113458</w:t>
      </w:r>
    </w:p>
    <w:p>
      <w:pPr>
        <w:pStyle w:val="21"/>
        <w:ind w:firstLine="480" w:firstLineChars="200"/>
        <w:rPr>
          <w:rFonts w:ascii="宋体" w:hAnsi="宋体"/>
          <w:szCs w:val="24"/>
        </w:rPr>
      </w:pPr>
    </w:p>
    <w:p>
      <w:pPr>
        <w:pStyle w:val="2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wordWrap w:val="0"/>
        <w:spacing w:line="400" w:lineRule="exact"/>
        <w:jc w:val="right"/>
        <w:rPr>
          <w:rFonts w:ascii="宋体" w:hAnsi="宋体"/>
          <w:sz w:val="24"/>
          <w:szCs w:val="24"/>
        </w:rPr>
      </w:pPr>
      <w:r>
        <w:rPr>
          <w:rFonts w:hint="eastAsia" w:ascii="宋体" w:hAnsi="宋体"/>
          <w:sz w:val="24"/>
          <w:szCs w:val="24"/>
        </w:rPr>
        <w:t xml:space="preserve">                                                      诸暨市文化广电旅游局　　　　　　　　　　　　        诸暨市公共资源交易中心</w:t>
      </w:r>
    </w:p>
    <w:p>
      <w:pPr>
        <w:jc w:val="right"/>
        <w:rPr>
          <w:rFonts w:ascii="宋体" w:hAnsi="宋体"/>
          <w:sz w:val="24"/>
          <w:szCs w:val="24"/>
        </w:rPr>
      </w:pPr>
      <w:r>
        <w:rPr>
          <w:rFonts w:hint="eastAsia" w:ascii="宋体" w:hAnsi="宋体"/>
          <w:sz w:val="24"/>
          <w:szCs w:val="24"/>
        </w:rPr>
        <w:t>　　　　　　　　　　　　        2021年11</w:t>
      </w:r>
      <w:r>
        <w:rPr>
          <w:rFonts w:hint="eastAsia" w:ascii="宋体" w:hAnsi="宋体" w:cs="Arial"/>
          <w:sz w:val="24"/>
        </w:rPr>
        <w:t>月4日</w:t>
      </w:r>
    </w:p>
    <w:p>
      <w:pPr>
        <w:spacing w:line="360" w:lineRule="auto"/>
        <w:ind w:firstLine="540"/>
        <w:jc w:val="right"/>
        <w:rPr>
          <w:rFonts w:ascii="仿宋" w:hAnsi="仿宋" w:eastAsia="仿宋" w:cs="宋体"/>
          <w:sz w:val="28"/>
          <w:szCs w:val="28"/>
        </w:rPr>
      </w:pPr>
    </w:p>
    <w:p>
      <w:pPr>
        <w:jc w:val="center"/>
        <w:rPr>
          <w:rFonts w:ascii="宋体" w:hAnsi="宋体"/>
          <w:sz w:val="24"/>
        </w:rPr>
      </w:pPr>
      <w:r>
        <w:rPr>
          <w:rFonts w:ascii="宋体" w:hAnsi="宋体"/>
          <w:sz w:val="36"/>
          <w:szCs w:val="36"/>
        </w:rPr>
        <w:br w:type="page"/>
      </w:r>
      <w:bookmarkEnd w:id="1"/>
      <w:bookmarkStart w:id="28" w:name="_Toc125344512"/>
    </w:p>
    <w:p>
      <w:pPr>
        <w:pStyle w:val="2"/>
        <w:spacing w:line="240" w:lineRule="auto"/>
        <w:jc w:val="center"/>
        <w:rPr>
          <w:rFonts w:ascii="宋体" w:hAnsi="宋体"/>
          <w:sz w:val="36"/>
          <w:szCs w:val="36"/>
        </w:rPr>
      </w:pPr>
      <w:r>
        <w:rPr>
          <w:rFonts w:hint="eastAsia" w:ascii="宋体" w:hAnsi="宋体"/>
          <w:sz w:val="36"/>
          <w:szCs w:val="36"/>
        </w:rPr>
        <w:t>第二章   谈判须知</w:t>
      </w:r>
    </w:p>
    <w:p>
      <w:pPr>
        <w:pStyle w:val="3"/>
        <w:spacing w:line="360" w:lineRule="exact"/>
        <w:jc w:val="center"/>
        <w:rPr>
          <w:rFonts w:ascii="宋体" w:hAnsi="宋体" w:eastAsia="宋体"/>
          <w:sz w:val="28"/>
          <w:szCs w:val="28"/>
        </w:rPr>
      </w:pPr>
      <w:r>
        <w:rPr>
          <w:rFonts w:hint="eastAsia" w:ascii="宋体" w:hAnsi="宋体" w:eastAsia="宋体"/>
          <w:sz w:val="28"/>
          <w:szCs w:val="28"/>
        </w:rPr>
        <w:t>一、总   则</w:t>
      </w:r>
    </w:p>
    <w:p>
      <w:pPr>
        <w:spacing w:line="340" w:lineRule="exact"/>
        <w:ind w:firstLine="482" w:firstLineChars="200"/>
        <w:rPr>
          <w:rFonts w:ascii="宋体" w:hAnsi="宋体"/>
        </w:rPr>
      </w:pPr>
      <w:r>
        <w:rPr>
          <w:rFonts w:hint="eastAsia" w:ascii="宋体" w:hAnsi="宋体"/>
          <w:b/>
          <w:bCs/>
          <w:sz w:val="24"/>
        </w:rPr>
        <w:t>1.</w:t>
      </w:r>
      <w:r>
        <w:rPr>
          <w:rFonts w:ascii="宋体" w:hAnsi="宋体"/>
          <w:b/>
          <w:sz w:val="24"/>
        </w:rPr>
        <w:t>适用范围</w:t>
      </w:r>
    </w:p>
    <w:p>
      <w:pPr>
        <w:snapToGrid w:val="0"/>
        <w:spacing w:line="340" w:lineRule="exact"/>
        <w:ind w:firstLine="480" w:firstLineChars="200"/>
        <w:jc w:val="left"/>
        <w:rPr>
          <w:rFonts w:ascii="宋体" w:hAnsi="宋体"/>
          <w:sz w:val="24"/>
        </w:rPr>
      </w:pPr>
      <w:r>
        <w:rPr>
          <w:rFonts w:hint="eastAsia" w:ascii="宋体" w:hAnsi="宋体"/>
          <w:sz w:val="24"/>
        </w:rPr>
        <w:t>本采购文件适用于本次所述项目的采购。</w:t>
      </w:r>
    </w:p>
    <w:p>
      <w:pPr>
        <w:snapToGrid w:val="0"/>
        <w:spacing w:line="340" w:lineRule="exact"/>
        <w:ind w:firstLine="472" w:firstLineChars="196"/>
        <w:jc w:val="left"/>
        <w:outlineLvl w:val="1"/>
        <w:rPr>
          <w:rFonts w:ascii="宋体" w:hAnsi="宋体"/>
          <w:b/>
          <w:sz w:val="24"/>
        </w:rPr>
      </w:pPr>
      <w:r>
        <w:rPr>
          <w:rFonts w:hint="eastAsia" w:ascii="宋体" w:hAnsi="宋体"/>
          <w:b/>
          <w:sz w:val="24"/>
        </w:rPr>
        <w:t>2.定义</w:t>
      </w:r>
    </w:p>
    <w:p>
      <w:pPr>
        <w:snapToGrid w:val="0"/>
        <w:spacing w:line="340" w:lineRule="exact"/>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w:t>
      </w:r>
      <w:r>
        <w:rPr>
          <w:rFonts w:hint="eastAsia" w:ascii="宋体" w:hAnsi="宋体"/>
          <w:sz w:val="24"/>
        </w:rPr>
        <w:t>采购</w:t>
      </w:r>
      <w:r>
        <w:rPr>
          <w:rFonts w:ascii="宋体" w:hAnsi="宋体"/>
          <w:sz w:val="24"/>
        </w:rPr>
        <w:t>的采购单位</w:t>
      </w:r>
      <w:r>
        <w:rPr>
          <w:rFonts w:hint="eastAsia" w:ascii="宋体" w:hAnsi="宋体"/>
          <w:sz w:val="24"/>
        </w:rPr>
        <w:t>和诸暨市公共资源交易中心</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w:t>
      </w:r>
      <w:r>
        <w:rPr>
          <w:rFonts w:hint="eastAsia" w:ascii="宋体" w:hAnsi="宋体"/>
          <w:sz w:val="24"/>
        </w:rPr>
        <w:t>采购方</w:t>
      </w:r>
      <w:r>
        <w:rPr>
          <w:rFonts w:ascii="宋体" w:hAnsi="宋体"/>
          <w:sz w:val="24"/>
        </w:rPr>
        <w:t>提交谈判响应文件的</w:t>
      </w:r>
      <w:r>
        <w:rPr>
          <w:rFonts w:hint="eastAsia" w:ascii="宋体" w:hAnsi="宋体"/>
          <w:sz w:val="24"/>
        </w:rPr>
        <w:t>供应商</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2.3</w:t>
      </w:r>
      <w:r>
        <w:rPr>
          <w:rFonts w:ascii="宋体" w:hAnsi="宋体"/>
          <w:sz w:val="24"/>
        </w:rPr>
        <w:t>“产品”系指供方按采购文件规定，须向采购单位提供的一切设备、保险、税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4“服务”系指采购文件规定投标人须承担的安装、调试、技术协助、校准、培训、技术指导以及其他类似的义务。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5“项目”系指投标人按采购文件规定向采购单位提供的产品和服务。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本采购文件所述设备品牌、型号是结合实际现有情况的推荐性参考方案，投标方也可根据采购文件得要求参考性能相当或高于、服务条款相等或高于、符合采购方实际业务需求其他同档次优质品牌的产品，进行方案优化。所投产品不在参考品牌范围内的，需提供加盖原厂商公章的产品设备性能指标详细材料和证明其产品与参考品牌同档次、具有可比性,且品牌、型号性能相当或高于、服务条款相等或高于、符合采购方实际业务需求同档次优质品牌的说明书，无法在谈判响应文件中提供的，其投标可能会被拒绝（或作无效投标）。</w:t>
      </w:r>
    </w:p>
    <w:p>
      <w:pPr>
        <w:snapToGrid w:val="0"/>
        <w:spacing w:line="340" w:lineRule="exact"/>
        <w:ind w:firstLine="472" w:firstLineChars="196"/>
        <w:jc w:val="left"/>
        <w:outlineLvl w:val="1"/>
        <w:rPr>
          <w:rFonts w:ascii="宋体" w:hAnsi="宋体"/>
          <w:b/>
          <w:sz w:val="24"/>
        </w:rPr>
      </w:pPr>
      <w:r>
        <w:rPr>
          <w:rFonts w:hint="eastAsia" w:ascii="宋体" w:hAnsi="宋体"/>
          <w:b/>
          <w:sz w:val="24"/>
        </w:rPr>
        <w:t>3.采购方式</w:t>
      </w:r>
    </w:p>
    <w:p>
      <w:pPr>
        <w:snapToGrid w:val="0"/>
        <w:spacing w:line="340" w:lineRule="exact"/>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w:t>
      </w:r>
      <w:r>
        <w:rPr>
          <w:rFonts w:hint="eastAsia" w:ascii="宋体" w:hAnsi="宋体"/>
          <w:sz w:val="24"/>
        </w:rPr>
        <w:t>单一来源</w:t>
      </w:r>
      <w:r>
        <w:rPr>
          <w:rFonts w:ascii="宋体" w:hAnsi="宋体"/>
          <w:sz w:val="24"/>
        </w:rPr>
        <w:t>进行。</w:t>
      </w:r>
    </w:p>
    <w:p>
      <w:pPr>
        <w:snapToGrid w:val="0"/>
        <w:spacing w:line="340" w:lineRule="exact"/>
        <w:ind w:firstLine="472" w:firstLineChars="196"/>
        <w:jc w:val="left"/>
        <w:outlineLvl w:val="1"/>
        <w:rPr>
          <w:rFonts w:ascii="宋体" w:hAnsi="宋体"/>
          <w:b/>
          <w:sz w:val="24"/>
        </w:rPr>
      </w:pPr>
      <w:r>
        <w:rPr>
          <w:rFonts w:hint="eastAsia" w:ascii="宋体" w:hAnsi="宋体"/>
          <w:b/>
          <w:sz w:val="24"/>
        </w:rPr>
        <w:t>4.投标委托</w:t>
      </w:r>
    </w:p>
    <w:p>
      <w:pPr>
        <w:snapToGrid w:val="0"/>
        <w:spacing w:line="340" w:lineRule="exact"/>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spacing w:line="340" w:lineRule="exact"/>
        <w:ind w:firstLine="472" w:firstLineChars="196"/>
        <w:jc w:val="left"/>
        <w:outlineLvl w:val="1"/>
        <w:rPr>
          <w:rFonts w:ascii="宋体" w:hAnsi="宋体"/>
          <w:b/>
          <w:sz w:val="24"/>
        </w:rPr>
      </w:pPr>
      <w:r>
        <w:rPr>
          <w:rFonts w:hint="eastAsia" w:ascii="宋体" w:hAnsi="宋体"/>
          <w:b/>
          <w:sz w:val="24"/>
        </w:rPr>
        <w:t>5.投标费用</w:t>
      </w:r>
    </w:p>
    <w:p>
      <w:pPr>
        <w:snapToGrid w:val="0"/>
        <w:spacing w:line="340" w:lineRule="exact"/>
        <w:ind w:firstLine="480" w:firstLineChars="200"/>
        <w:jc w:val="left"/>
        <w:rPr>
          <w:rFonts w:ascii="宋体" w:hAnsi="宋体"/>
          <w:sz w:val="24"/>
        </w:rPr>
      </w:pPr>
      <w:r>
        <w:rPr>
          <w:rFonts w:hint="eastAsia" w:ascii="宋体" w:hAnsi="宋体"/>
          <w:sz w:val="24"/>
        </w:rPr>
        <w:t>投标人应自行承担获得采购文件和编制、提交谈判响应文件所涉及的一切费用。不论投标结果如何，投标人均应自行承担所有与投标有关的全部费用。对成交供应商免收政府采购代理服务费。</w:t>
      </w:r>
    </w:p>
    <w:p>
      <w:pPr>
        <w:snapToGrid w:val="0"/>
        <w:spacing w:line="360" w:lineRule="exact"/>
        <w:ind w:firstLine="472" w:firstLineChars="196"/>
        <w:jc w:val="left"/>
        <w:outlineLvl w:val="1"/>
        <w:rPr>
          <w:rFonts w:ascii="宋体" w:hAnsi="宋体"/>
          <w:b/>
          <w:sz w:val="24"/>
        </w:rPr>
      </w:pPr>
      <w:r>
        <w:rPr>
          <w:rFonts w:hint="eastAsia" w:ascii="宋体" w:hAnsi="宋体"/>
          <w:b/>
          <w:sz w:val="24"/>
        </w:rPr>
        <w:t>6.特别说明：</w:t>
      </w:r>
    </w:p>
    <w:p>
      <w:pPr>
        <w:pStyle w:val="21"/>
        <w:snapToGrid w:val="0"/>
        <w:spacing w:line="360" w:lineRule="exact"/>
        <w:ind w:left="2" w:leftChars="1" w:firstLine="480" w:firstLineChars="200"/>
        <w:rPr>
          <w:rFonts w:ascii="宋体" w:hAnsi="宋体"/>
        </w:rPr>
      </w:pPr>
      <w:r>
        <w:rPr>
          <w:rFonts w:hint="eastAsia" w:ascii="宋体" w:hAnsi="宋体"/>
        </w:rPr>
        <w:t>6.1</w:t>
      </w:r>
      <w:r>
        <w:rPr>
          <w:rFonts w:ascii="宋体" w:hAnsi="宋体"/>
        </w:rPr>
        <w:t>投标人投标所使用的资格、信誉、荣誉、业绩与企业认证必须为本法人所拥有。</w:t>
      </w:r>
    </w:p>
    <w:p>
      <w:pPr>
        <w:pStyle w:val="21"/>
        <w:snapToGrid w:val="0"/>
        <w:spacing w:line="360" w:lineRule="exact"/>
        <w:ind w:left="481" w:leftChars="229"/>
        <w:jc w:val="left"/>
        <w:rPr>
          <w:rFonts w:ascii="宋体" w:hAnsi="宋体"/>
        </w:rPr>
      </w:pPr>
      <w:r>
        <w:rPr>
          <w:rFonts w:hint="eastAsia" w:ascii="宋体" w:hAnsi="宋体"/>
        </w:rPr>
        <w:t>6.</w:t>
      </w:r>
      <w:r>
        <w:rPr>
          <w:rFonts w:ascii="宋体" w:hAnsi="宋体"/>
        </w:rPr>
        <w:t>2投标人应仔细阅读采购文件的所有内容，按照采购文件的要求提交谈判响应文件，并对所提供的全部资料的真实性承担法律责任。</w:t>
      </w:r>
    </w:p>
    <w:p>
      <w:pPr>
        <w:pStyle w:val="21"/>
        <w:snapToGrid w:val="0"/>
        <w:spacing w:line="360" w:lineRule="exact"/>
        <w:ind w:firstLine="480" w:firstLineChars="200"/>
        <w:jc w:val="left"/>
        <w:rPr>
          <w:rFonts w:ascii="宋体" w:hAnsi="宋体"/>
        </w:rPr>
      </w:pPr>
      <w:r>
        <w:rPr>
          <w:rFonts w:hint="eastAsia" w:ascii="宋体" w:hAnsi="宋体"/>
        </w:rPr>
        <w:t>6.</w:t>
      </w:r>
      <w:r>
        <w:rPr>
          <w:rFonts w:ascii="宋体" w:hAnsi="宋体"/>
        </w:rPr>
        <w:t>3投标人在投标活动中提供任何虚假材料,其投标无效，并报监管部门查处；中标后发现的,成交供应商须依照《中华人民共和国消费者权益保护法》第49条之规定双倍赔偿采购单位，且民事赔偿并不免除违法投标人的行政与刑事责任。</w:t>
      </w:r>
    </w:p>
    <w:p>
      <w:pPr>
        <w:pStyle w:val="21"/>
        <w:snapToGrid w:val="0"/>
        <w:ind w:left="2" w:leftChars="1" w:firstLine="480" w:firstLineChars="200"/>
        <w:rPr>
          <w:rFonts w:ascii="宋体" w:hAnsi="宋体"/>
        </w:rPr>
      </w:pPr>
      <w:r>
        <w:rPr>
          <w:rFonts w:hint="eastAsia" w:ascii="宋体" w:hAnsi="宋体"/>
        </w:rPr>
        <w:t>6.4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1"/>
        <w:snapToGrid w:val="0"/>
        <w:ind w:firstLine="472" w:firstLineChars="196"/>
        <w:outlineLvl w:val="1"/>
        <w:rPr>
          <w:rFonts w:ascii="宋体" w:hAnsi="宋体"/>
          <w:b/>
          <w:bCs/>
        </w:rPr>
      </w:pPr>
      <w:r>
        <w:rPr>
          <w:rFonts w:hint="eastAsia" w:ascii="宋体" w:hAnsi="宋体"/>
          <w:b/>
        </w:rPr>
        <w:t>7.</w:t>
      </w:r>
      <w:r>
        <w:rPr>
          <w:rFonts w:ascii="宋体" w:hAnsi="宋体"/>
          <w:b/>
          <w:bCs/>
        </w:rPr>
        <w:t>质疑和投诉</w:t>
      </w:r>
    </w:p>
    <w:p>
      <w:pPr>
        <w:pStyle w:val="21"/>
        <w:snapToGrid w:val="0"/>
        <w:ind w:left="1" w:firstLine="480" w:firstLineChars="200"/>
        <w:rPr>
          <w:rFonts w:ascii="宋体" w:hAnsi="宋体"/>
          <w:bCs/>
        </w:rPr>
      </w:pPr>
      <w:r>
        <w:rPr>
          <w:rFonts w:hint="eastAsia" w:ascii="宋体" w:hAnsi="宋体"/>
          <w:bCs/>
        </w:rPr>
        <w:t>7.</w:t>
      </w:r>
      <w:r>
        <w:rPr>
          <w:rFonts w:ascii="宋体" w:hAnsi="宋体"/>
          <w:bCs/>
        </w:rPr>
        <w:t>1投标人认为采购文件、</w:t>
      </w:r>
      <w:r>
        <w:rPr>
          <w:rFonts w:hint="eastAsia" w:ascii="宋体" w:hAnsi="宋体"/>
          <w:bCs/>
        </w:rPr>
        <w:t>采购</w:t>
      </w:r>
      <w:r>
        <w:rPr>
          <w:rFonts w:ascii="宋体" w:hAnsi="宋体"/>
          <w:bCs/>
        </w:rPr>
        <w:t>过程和中标结果使自己的合法权益受到损害的，应当在知道或者应知其权益受到损害之日起七个工作日内，以书面形式向采购单位、</w:t>
      </w:r>
      <w:r>
        <w:rPr>
          <w:rFonts w:hint="eastAsia" w:ascii="宋体" w:hAnsi="宋体"/>
          <w:bCs/>
        </w:rPr>
        <w:t>采购代理机构</w:t>
      </w:r>
      <w:r>
        <w:rPr>
          <w:rFonts w:ascii="宋体" w:hAnsi="宋体"/>
          <w:bCs/>
        </w:rPr>
        <w:t>提出质疑。</w:t>
      </w:r>
      <w:r>
        <w:rPr>
          <w:rFonts w:ascii="宋体" w:hAnsi="宋体"/>
        </w:rPr>
        <w:t>投标人对</w:t>
      </w:r>
      <w:r>
        <w:rPr>
          <w:rFonts w:hint="eastAsia" w:ascii="宋体" w:hAnsi="宋体"/>
        </w:rPr>
        <w:t>采购</w:t>
      </w:r>
      <w:r>
        <w:rPr>
          <w:rFonts w:ascii="宋体" w:hAnsi="宋体"/>
        </w:rPr>
        <w:t>人的质疑答复不满意或者</w:t>
      </w:r>
      <w:r>
        <w:rPr>
          <w:rFonts w:hint="eastAsia" w:ascii="宋体" w:hAnsi="宋体"/>
        </w:rPr>
        <w:t>采购</w:t>
      </w:r>
      <w:r>
        <w:rPr>
          <w:rFonts w:ascii="宋体" w:hAnsi="宋体"/>
        </w:rPr>
        <w:t>人未在规定时间内作出答复的，可以在答复期满后十五个工作日内向同级采购监管部门投诉。</w:t>
      </w:r>
      <w:r>
        <w:rPr>
          <w:rFonts w:hint="eastAsia" w:ascii="宋体" w:hAnsi="宋体"/>
          <w:szCs w:val="24"/>
        </w:rPr>
        <w:t>逾期提出的，采购代理机构不予受理、答复。</w:t>
      </w:r>
    </w:p>
    <w:p>
      <w:pPr>
        <w:pStyle w:val="21"/>
        <w:snapToGrid w:val="0"/>
        <w:ind w:left="1" w:firstLine="480" w:firstLineChars="200"/>
        <w:rPr>
          <w:rFonts w:ascii="宋体" w:hAnsi="宋体"/>
        </w:rPr>
      </w:pPr>
      <w:r>
        <w:rPr>
          <w:rFonts w:hint="eastAsia" w:ascii="宋体" w:hAnsi="宋体"/>
          <w:bCs/>
        </w:rPr>
        <w:t>7.</w:t>
      </w:r>
      <w:r>
        <w:rPr>
          <w:rFonts w:ascii="宋体" w:hAnsi="宋体"/>
          <w:bCs/>
        </w:rPr>
        <w:t>2质疑、投诉应当采用书面形式，质疑书、投诉书均应明确阐述采购文件、</w:t>
      </w:r>
      <w:r>
        <w:rPr>
          <w:rFonts w:hint="eastAsia" w:ascii="宋体" w:hAnsi="宋体"/>
          <w:bCs/>
        </w:rPr>
        <w:t>采购</w:t>
      </w:r>
      <w:r>
        <w:rPr>
          <w:rFonts w:ascii="宋体" w:hAnsi="宋体"/>
          <w:bCs/>
        </w:rPr>
        <w:t>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21"/>
        <w:snapToGrid w:val="0"/>
        <w:ind w:left="1" w:firstLine="480" w:firstLineChars="200"/>
        <w:rPr>
          <w:rFonts w:ascii="宋体" w:hAnsi="宋体"/>
          <w:szCs w:val="24"/>
        </w:rPr>
      </w:pPr>
      <w:r>
        <w:rPr>
          <w:rFonts w:hint="eastAsia" w:ascii="宋体" w:hAnsi="宋体"/>
        </w:rPr>
        <w:t>7.3</w:t>
      </w:r>
      <w:r>
        <w:rPr>
          <w:rFonts w:hint="eastAsia" w:ascii="宋体" w:hAnsi="宋体"/>
          <w:szCs w:val="24"/>
        </w:rPr>
        <w:t>采购代理机构与采购人研究后，对认为有必要回答的问题，采购人将答疑内容以网上发布公告的形式通知所有投标人，答疑内容是采购文件的组成部份。</w:t>
      </w:r>
    </w:p>
    <w:p>
      <w:pPr>
        <w:pStyle w:val="21"/>
        <w:snapToGrid w:val="0"/>
        <w:ind w:left="1" w:firstLine="480" w:firstLineChars="200"/>
        <w:rPr>
          <w:rFonts w:ascii="宋体" w:hAnsi="宋体"/>
        </w:rPr>
      </w:pPr>
      <w:r>
        <w:rPr>
          <w:rFonts w:hint="eastAsia" w:ascii="宋体" w:hAnsi="宋体"/>
        </w:rPr>
        <w:t>7.4投标人一旦参与本次采购活动，即被视为接受了本采购文件的所有内容，如有任何异议，均须在答疑截止时间前提出。</w:t>
      </w:r>
    </w:p>
    <w:p>
      <w:pPr>
        <w:pStyle w:val="3"/>
        <w:spacing w:line="360" w:lineRule="exact"/>
        <w:jc w:val="center"/>
        <w:rPr>
          <w:rFonts w:ascii="宋体" w:hAnsi="宋体" w:eastAsia="宋体"/>
          <w:sz w:val="28"/>
          <w:szCs w:val="28"/>
        </w:rPr>
      </w:pPr>
      <w:r>
        <w:rPr>
          <w:rFonts w:hint="eastAsia" w:ascii="宋体" w:hAnsi="宋体" w:eastAsia="宋体"/>
          <w:sz w:val="28"/>
          <w:szCs w:val="28"/>
        </w:rPr>
        <w:t>二、采购文件</w:t>
      </w:r>
    </w:p>
    <w:p>
      <w:pPr>
        <w:snapToGrid w:val="0"/>
        <w:ind w:firstLine="472" w:firstLineChars="196"/>
        <w:jc w:val="left"/>
        <w:rPr>
          <w:rFonts w:ascii="宋体" w:hAnsi="宋体"/>
          <w:b/>
          <w:sz w:val="24"/>
        </w:rPr>
      </w:pPr>
      <w:r>
        <w:rPr>
          <w:rFonts w:hint="eastAsia" w:ascii="宋体" w:hAnsi="宋体"/>
          <w:b/>
          <w:sz w:val="24"/>
        </w:rPr>
        <w:t>8.采购文件的构成。</w:t>
      </w:r>
    </w:p>
    <w:p>
      <w:pPr>
        <w:snapToGrid w:val="0"/>
        <w:ind w:firstLine="480" w:firstLineChars="200"/>
        <w:jc w:val="left"/>
        <w:rPr>
          <w:rFonts w:ascii="宋体" w:hAnsi="宋体"/>
          <w:sz w:val="24"/>
        </w:rPr>
      </w:pPr>
      <w:r>
        <w:rPr>
          <w:rFonts w:hint="eastAsia" w:ascii="宋体" w:hAnsi="宋体"/>
          <w:sz w:val="24"/>
        </w:rPr>
        <w:t>本采购文件由以下部份组成：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谈判邀请函；</w:t>
      </w:r>
    </w:p>
    <w:p>
      <w:pPr>
        <w:snapToGrid w:val="0"/>
        <w:ind w:firstLine="480" w:firstLineChars="200"/>
        <w:jc w:val="left"/>
        <w:rPr>
          <w:rFonts w:ascii="宋体" w:hAnsi="宋体"/>
          <w:sz w:val="24"/>
        </w:rPr>
      </w:pPr>
      <w:r>
        <w:rPr>
          <w:rFonts w:hint="eastAsia" w:ascii="宋体" w:hAnsi="宋体"/>
          <w:sz w:val="24"/>
        </w:rPr>
        <w:t>8.2谈判须知；</w:t>
      </w:r>
    </w:p>
    <w:p>
      <w:pPr>
        <w:snapToGrid w:val="0"/>
        <w:ind w:firstLine="480" w:firstLineChars="200"/>
        <w:jc w:val="left"/>
        <w:rPr>
          <w:rFonts w:ascii="宋体" w:hAnsi="宋体"/>
          <w:sz w:val="24"/>
        </w:rPr>
      </w:pPr>
      <w:r>
        <w:rPr>
          <w:rFonts w:hint="eastAsia" w:ascii="宋体" w:hAnsi="宋体"/>
          <w:sz w:val="24"/>
        </w:rPr>
        <w:t>8.3评标办法及评分标准；</w:t>
      </w:r>
    </w:p>
    <w:p>
      <w:pPr>
        <w:snapToGrid w:val="0"/>
        <w:ind w:firstLine="480" w:firstLineChars="200"/>
        <w:jc w:val="left"/>
        <w:rPr>
          <w:rFonts w:ascii="宋体" w:hAnsi="宋体"/>
          <w:sz w:val="24"/>
        </w:rPr>
      </w:pPr>
      <w:r>
        <w:rPr>
          <w:rFonts w:hint="eastAsia" w:ascii="宋体" w:hAnsi="宋体"/>
          <w:sz w:val="24"/>
        </w:rPr>
        <w:t>8.4采购需求；</w:t>
      </w:r>
    </w:p>
    <w:p>
      <w:pPr>
        <w:snapToGrid w:val="0"/>
        <w:ind w:firstLine="480" w:firstLineChars="200"/>
        <w:jc w:val="left"/>
        <w:rPr>
          <w:rFonts w:ascii="宋体" w:hAnsi="宋体"/>
          <w:sz w:val="24"/>
        </w:rPr>
      </w:pPr>
      <w:r>
        <w:rPr>
          <w:rFonts w:hint="eastAsia" w:ascii="宋体" w:hAnsi="宋体"/>
          <w:sz w:val="24"/>
        </w:rPr>
        <w:t>8.5应提交的有关格式范例；</w:t>
      </w:r>
    </w:p>
    <w:p>
      <w:pPr>
        <w:snapToGrid w:val="0"/>
        <w:ind w:firstLine="480" w:firstLineChars="200"/>
        <w:jc w:val="left"/>
        <w:rPr>
          <w:rFonts w:ascii="宋体" w:hAnsi="宋体"/>
          <w:sz w:val="24"/>
        </w:rPr>
      </w:pPr>
      <w:r>
        <w:rPr>
          <w:rFonts w:hint="eastAsia" w:ascii="宋体" w:hAnsi="宋体"/>
          <w:sz w:val="24"/>
        </w:rPr>
        <w:t>8.6本项目</w:t>
      </w:r>
      <w:r>
        <w:rPr>
          <w:rFonts w:ascii="宋体" w:hAnsi="宋体"/>
          <w:sz w:val="24"/>
        </w:rPr>
        <w:t>采购文件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采购文件的所有内容，并按照采购文件的要求提交谈判响应文件。投标人没有按照采购文件要求提供全部资料，或者投标人没有对采购文件在各方面者作出实质性响应是投标人的风险，并可能导致其投标被拒绝。</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10.采购文件的澄清与修改</w:t>
      </w:r>
      <w:r>
        <w:rPr>
          <w:rFonts w:ascii="宋体" w:hAnsi="宋体"/>
          <w:b/>
          <w:color w:val="000000"/>
          <w:szCs w:val="24"/>
        </w:rPr>
        <w:t xml:space="preserve"> </w:t>
      </w:r>
    </w:p>
    <w:p>
      <w:pPr>
        <w:pStyle w:val="21"/>
        <w:snapToGrid w:val="0"/>
        <w:ind w:firstLine="480" w:firstLineChars="200"/>
        <w:rPr>
          <w:rFonts w:ascii="宋体" w:hAnsi="宋体"/>
          <w:szCs w:val="24"/>
        </w:rPr>
      </w:pPr>
      <w:r>
        <w:rPr>
          <w:rFonts w:hint="eastAsia" w:ascii="宋体" w:hAnsi="宋体"/>
        </w:rPr>
        <w:t>10.1</w:t>
      </w:r>
      <w:r>
        <w:rPr>
          <w:rFonts w:ascii="宋体" w:hAnsi="宋体"/>
          <w:bCs/>
        </w:rPr>
        <w:t>投标人应认真阅读本采购文件，发现其中有误或有不合理要求的，投标人必须以书面形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w:t>
      </w:r>
    </w:p>
    <w:p>
      <w:pPr>
        <w:pStyle w:val="21"/>
        <w:snapToGrid w:val="0"/>
        <w:ind w:firstLine="480" w:firstLineChars="200"/>
        <w:rPr>
          <w:rFonts w:hAnsi="宋体"/>
        </w:rPr>
      </w:pPr>
      <w:r>
        <w:rPr>
          <w:rFonts w:hint="eastAsia" w:ascii="宋体" w:hAnsi="宋体"/>
        </w:rPr>
        <w:t>10.2</w:t>
      </w:r>
      <w:r>
        <w:rPr>
          <w:rFonts w:ascii="宋体" w:hAnsi="宋体"/>
        </w:rPr>
        <w:t>采购文件澄清、答复、修改、补充的内容为采购文件的组成部分。</w:t>
      </w:r>
      <w:r>
        <w:rPr>
          <w:rFonts w:hAnsi="宋体"/>
        </w:rPr>
        <w:t>当采购文件与采购文件的答复、澄清、修改、补充公告就同一内容的表述不一致时，以最后发出的文件</w:t>
      </w:r>
      <w:r>
        <w:rPr>
          <w:rFonts w:hint="eastAsia" w:hAnsi="宋体"/>
        </w:rPr>
        <w:t>或公告或通知</w:t>
      </w:r>
      <w:r>
        <w:rPr>
          <w:rFonts w:hAnsi="宋体"/>
        </w:rPr>
        <w:t>为准。</w:t>
      </w:r>
    </w:p>
    <w:p>
      <w:pPr>
        <w:pStyle w:val="21"/>
        <w:snapToGrid w:val="0"/>
        <w:ind w:firstLine="480" w:firstLineChars="200"/>
        <w:rPr>
          <w:rFonts w:ascii="宋体" w:hAnsi="宋体"/>
        </w:rPr>
      </w:pPr>
      <w:r>
        <w:rPr>
          <w:rFonts w:hint="eastAsia" w:ascii="宋体" w:hAnsi="宋体"/>
        </w:rPr>
        <w:t>10.3在投标截止时间前，采购人有权修改采购文件，并以书面形式通知投标人，通知中没有注明更改投标截止时间的视为截止时间不变。修改的文件作为采购文件的补充和组成部分，对投标人均有约束力。</w:t>
      </w:r>
    </w:p>
    <w:p>
      <w:pPr>
        <w:pStyle w:val="21"/>
        <w:snapToGrid w:val="0"/>
        <w:ind w:firstLine="480" w:firstLineChars="200"/>
        <w:rPr>
          <w:rFonts w:ascii="宋体" w:hAnsi="宋体"/>
        </w:rPr>
      </w:pPr>
      <w:r>
        <w:rPr>
          <w:rFonts w:hint="eastAsia" w:ascii="宋体" w:hAnsi="宋体"/>
        </w:rPr>
        <w:t>10.4为使投标人在编制谈判响应文件时把补充公告内容考虑进去，采购人可以酌情推迟递交谈判响应文件的截止时间。</w:t>
      </w:r>
    </w:p>
    <w:p>
      <w:pPr>
        <w:pStyle w:val="3"/>
        <w:spacing w:line="360" w:lineRule="exact"/>
        <w:jc w:val="center"/>
        <w:rPr>
          <w:rFonts w:ascii="宋体" w:hAnsi="宋体" w:eastAsia="宋体"/>
          <w:sz w:val="28"/>
          <w:szCs w:val="28"/>
        </w:rPr>
      </w:pPr>
      <w:r>
        <w:rPr>
          <w:rFonts w:hint="eastAsia" w:ascii="宋体" w:hAnsi="宋体" w:eastAsia="宋体"/>
          <w:sz w:val="28"/>
          <w:szCs w:val="28"/>
        </w:rPr>
        <w:t>三、谈判响应文件编制和提交</w:t>
      </w:r>
    </w:p>
    <w:p>
      <w:pPr>
        <w:snapToGrid w:val="0"/>
        <w:ind w:firstLine="472" w:firstLineChars="196"/>
        <w:jc w:val="left"/>
        <w:outlineLvl w:val="0"/>
        <w:rPr>
          <w:rFonts w:ascii="宋体" w:hAnsi="宋体"/>
          <w:b/>
          <w:sz w:val="24"/>
        </w:rPr>
      </w:pPr>
      <w:r>
        <w:rPr>
          <w:rFonts w:hint="eastAsia" w:ascii="宋体" w:hAnsi="宋体"/>
          <w:b/>
          <w:sz w:val="24"/>
        </w:rPr>
        <w:t>11.谈判响应文件的组成</w:t>
      </w:r>
    </w:p>
    <w:p>
      <w:pPr>
        <w:snapToGrid w:val="0"/>
        <w:ind w:firstLine="470" w:firstLineChars="196"/>
        <w:jc w:val="left"/>
        <w:outlineLvl w:val="0"/>
        <w:rPr>
          <w:rFonts w:ascii="宋体" w:hAnsi="宋体"/>
          <w:color w:val="auto"/>
          <w:kern w:val="2"/>
          <w:sz w:val="24"/>
          <w:szCs w:val="20"/>
        </w:rPr>
      </w:pPr>
      <w:r>
        <w:rPr>
          <w:rFonts w:ascii="宋体" w:hAnsi="宋体"/>
          <w:color w:val="auto"/>
          <w:kern w:val="2"/>
          <w:sz w:val="24"/>
          <w:szCs w:val="20"/>
        </w:rPr>
        <w:t>谈判响应文件内容应包括：投标单位介绍、营业执照，</w:t>
      </w:r>
      <w:r>
        <w:rPr>
          <w:rFonts w:hint="eastAsia" w:ascii="宋体" w:hAnsi="宋体"/>
          <w:color w:val="auto"/>
          <w:kern w:val="2"/>
          <w:sz w:val="24"/>
          <w:szCs w:val="20"/>
        </w:rPr>
        <w:t>法定负责人授权委托书（除法定负责人亲自参加外）</w:t>
      </w:r>
      <w:r>
        <w:rPr>
          <w:rFonts w:ascii="宋体" w:hAnsi="宋体"/>
          <w:color w:val="auto"/>
          <w:kern w:val="2"/>
          <w:sz w:val="24"/>
          <w:szCs w:val="20"/>
        </w:rPr>
        <w:t>，</w:t>
      </w:r>
      <w:r>
        <w:rPr>
          <w:rFonts w:hint="eastAsia" w:ascii="宋体" w:hAnsi="宋体"/>
          <w:color w:val="auto"/>
          <w:kern w:val="2"/>
          <w:sz w:val="24"/>
          <w:szCs w:val="20"/>
        </w:rPr>
        <w:t>投标报价汇总表，分项报价表</w:t>
      </w:r>
      <w:r>
        <w:rPr>
          <w:rFonts w:ascii="宋体" w:hAnsi="宋体"/>
          <w:color w:val="auto"/>
          <w:kern w:val="2"/>
          <w:sz w:val="24"/>
          <w:szCs w:val="20"/>
        </w:rPr>
        <w:t>，</w:t>
      </w:r>
      <w:r>
        <w:rPr>
          <w:rFonts w:hint="eastAsia" w:ascii="宋体" w:hAnsi="宋体"/>
          <w:color w:val="auto"/>
          <w:kern w:val="2"/>
          <w:sz w:val="24"/>
          <w:szCs w:val="20"/>
        </w:rPr>
        <w:t>售后服务承诺，</w:t>
      </w:r>
      <w:r>
        <w:rPr>
          <w:rFonts w:ascii="宋体" w:hAnsi="宋体"/>
          <w:color w:val="auto"/>
          <w:kern w:val="2"/>
          <w:sz w:val="24"/>
          <w:szCs w:val="20"/>
        </w:rPr>
        <w:t>以及其他投标方认为必要的内容。</w:t>
      </w:r>
    </w:p>
    <w:p>
      <w:pPr>
        <w:snapToGrid w:val="0"/>
        <w:ind w:firstLine="480" w:firstLineChars="200"/>
        <w:jc w:val="left"/>
        <w:rPr>
          <w:rFonts w:ascii="宋体" w:hAnsi="宋体"/>
          <w:sz w:val="24"/>
          <w:szCs w:val="24"/>
        </w:rPr>
      </w:pPr>
      <w:r>
        <w:rPr>
          <w:rFonts w:hint="eastAsia" w:ascii="宋体" w:hAnsi="宋体"/>
          <w:sz w:val="24"/>
          <w:szCs w:val="24"/>
        </w:rPr>
        <w:t>投标人应按采购文件前附表规定的内容编制谈判响应</w:t>
      </w:r>
      <w:r>
        <w:rPr>
          <w:rFonts w:ascii="宋体" w:hAnsi="宋体"/>
          <w:sz w:val="24"/>
          <w:szCs w:val="24"/>
        </w:rPr>
        <w:t>文件</w:t>
      </w:r>
      <w:r>
        <w:rPr>
          <w:rFonts w:hint="eastAsia" w:ascii="宋体" w:hAnsi="宋体"/>
          <w:sz w:val="24"/>
          <w:szCs w:val="24"/>
        </w:rPr>
        <w:t>。</w:t>
      </w:r>
    </w:p>
    <w:p>
      <w:pPr>
        <w:snapToGrid w:val="0"/>
        <w:ind w:firstLine="480" w:firstLineChars="200"/>
        <w:jc w:val="left"/>
        <w:rPr>
          <w:rFonts w:ascii="宋体" w:hAnsi="宋体"/>
          <w:sz w:val="24"/>
          <w:szCs w:val="24"/>
        </w:rPr>
      </w:pPr>
      <w:r>
        <w:rPr>
          <w:rFonts w:ascii="宋体" w:hAnsi="宋体"/>
          <w:sz w:val="24"/>
          <w:szCs w:val="24"/>
        </w:rPr>
        <w:t>投标人应</w:t>
      </w:r>
      <w:r>
        <w:rPr>
          <w:rFonts w:hint="eastAsia" w:ascii="宋体" w:hAnsi="宋体"/>
          <w:sz w:val="24"/>
          <w:szCs w:val="24"/>
        </w:rPr>
        <w:t>按</w:t>
      </w:r>
      <w:r>
        <w:rPr>
          <w:rFonts w:ascii="宋体" w:hAnsi="宋体"/>
          <w:sz w:val="24"/>
          <w:szCs w:val="24"/>
        </w:rPr>
        <w:t>本采购文件规定的格式和顺序编制</w:t>
      </w: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并标注页码</w:t>
      </w:r>
      <w:r>
        <w:rPr>
          <w:rFonts w:ascii="宋体" w:hAnsi="宋体"/>
          <w:sz w:val="24"/>
          <w:szCs w:val="24"/>
        </w:rPr>
        <w:t>，</w:t>
      </w:r>
      <w:r>
        <w:rPr>
          <w:rFonts w:hint="eastAsia" w:ascii="宋体" w:hAnsi="宋体"/>
          <w:sz w:val="24"/>
          <w:szCs w:val="24"/>
        </w:rPr>
        <w:t>谈判响应</w:t>
      </w:r>
      <w:r>
        <w:rPr>
          <w:rFonts w:ascii="宋体" w:hAnsi="宋体"/>
          <w:sz w:val="24"/>
          <w:szCs w:val="24"/>
        </w:rPr>
        <w:t>文件内容不完整、编排混乱导致</w:t>
      </w:r>
      <w:r>
        <w:rPr>
          <w:rFonts w:hint="eastAsia" w:ascii="宋体" w:hAnsi="宋体"/>
          <w:sz w:val="24"/>
          <w:szCs w:val="24"/>
        </w:rPr>
        <w:t>谈判响应</w:t>
      </w:r>
      <w:r>
        <w:rPr>
          <w:rFonts w:ascii="宋体" w:hAnsi="宋体"/>
          <w:sz w:val="24"/>
          <w:szCs w:val="24"/>
        </w:rPr>
        <w:t>文件被误读、漏读或者查找不到相关内容的，是投标人的责任。</w:t>
      </w:r>
      <w:r>
        <w:rPr>
          <w:rFonts w:hint="eastAsia" w:ascii="宋体" w:hAnsi="宋体"/>
          <w:sz w:val="24"/>
          <w:szCs w:val="24"/>
        </w:rPr>
        <w:t>谈判响应</w:t>
      </w:r>
      <w:r>
        <w:rPr>
          <w:rFonts w:ascii="宋体" w:hAnsi="宋体"/>
          <w:sz w:val="24"/>
          <w:szCs w:val="24"/>
        </w:rPr>
        <w:t>文件</w:t>
      </w:r>
      <w:r>
        <w:rPr>
          <w:rFonts w:hint="eastAsia" w:ascii="宋体" w:hAnsi="宋体" w:cs="仿宋_GB2312"/>
          <w:b/>
          <w:sz w:val="24"/>
        </w:rPr>
        <w:t>未按规定的格式编制的，投标无效。</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文件须由投标人在规定位置盖章，投标人应写全称。</w:t>
      </w:r>
      <w:r>
        <w:rPr>
          <w:rFonts w:hint="eastAsia" w:ascii="宋体" w:hAnsi="宋体"/>
          <w:b/>
          <w:color w:val="auto"/>
          <w:sz w:val="24"/>
          <w:szCs w:val="24"/>
        </w:rPr>
        <w:t>电子投标文件中所有加盖公章均采用CA签章，投标人的谈判响应</w:t>
      </w:r>
      <w:r>
        <w:rPr>
          <w:rFonts w:ascii="宋体" w:hAnsi="宋体"/>
          <w:b/>
          <w:color w:val="auto"/>
          <w:sz w:val="24"/>
          <w:szCs w:val="24"/>
        </w:rPr>
        <w:t>文件</w:t>
      </w:r>
      <w:r>
        <w:rPr>
          <w:rFonts w:hint="eastAsia" w:ascii="宋体" w:hAnsi="宋体"/>
          <w:b/>
          <w:color w:val="auto"/>
          <w:sz w:val="24"/>
          <w:szCs w:val="24"/>
        </w:rPr>
        <w:t>未按照采购文件要求签署、盖章的，其投标无效。谈判响应文件中所涉及的公章必须是投标人全称的CA签章，不得使用投标专用章、合同章等类似图章代替。</w:t>
      </w:r>
    </w:p>
    <w:p>
      <w:pPr>
        <w:snapToGrid w:val="0"/>
        <w:ind w:firstLine="480" w:firstLineChars="200"/>
        <w:jc w:val="left"/>
        <w:rPr>
          <w:rFonts w:ascii="宋体" w:hAnsi="宋体"/>
          <w:b/>
          <w:sz w:val="24"/>
          <w:szCs w:val="24"/>
        </w:rPr>
      </w:pPr>
      <w:r>
        <w:rPr>
          <w:rFonts w:hint="eastAsia" w:ascii="宋体" w:hAnsi="宋体"/>
          <w:sz w:val="24"/>
          <w:szCs w:val="24"/>
        </w:rPr>
        <w:t>谈判响应</w:t>
      </w:r>
      <w:r>
        <w:rPr>
          <w:rFonts w:ascii="宋体" w:hAnsi="宋体"/>
          <w:sz w:val="24"/>
          <w:szCs w:val="24"/>
        </w:rPr>
        <w:t>文件不得涂改，若有修改错漏处，须加盖单位公章。</w:t>
      </w:r>
      <w:r>
        <w:rPr>
          <w:rFonts w:hint="eastAsia" w:ascii="宋体" w:hAnsi="宋体"/>
          <w:sz w:val="24"/>
          <w:szCs w:val="24"/>
        </w:rPr>
        <w:t>谈判响应</w:t>
      </w:r>
      <w:r>
        <w:rPr>
          <w:rFonts w:ascii="宋体" w:hAnsi="宋体"/>
          <w:sz w:val="24"/>
          <w:szCs w:val="24"/>
        </w:rPr>
        <w:t>文件因表达不清所引起的后果由投标人负责。</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w:t>
      </w:r>
      <w:r>
        <w:rPr>
          <w:rFonts w:hint="eastAsia" w:ascii="宋体" w:hAnsi="宋体"/>
          <w:b/>
          <w:color w:val="auto"/>
          <w:sz w:val="24"/>
          <w:szCs w:val="24"/>
        </w:rPr>
        <w:t>投标人应认真阅读采购文件中所有的内容。如果投标人编制的谈判响应</w:t>
      </w:r>
      <w:r>
        <w:rPr>
          <w:rFonts w:ascii="宋体" w:hAnsi="宋体"/>
          <w:b/>
          <w:color w:val="auto"/>
          <w:sz w:val="24"/>
          <w:szCs w:val="24"/>
        </w:rPr>
        <w:t>文件</w:t>
      </w:r>
      <w:r>
        <w:rPr>
          <w:rFonts w:hint="eastAsia" w:ascii="宋体" w:hAnsi="宋体"/>
          <w:b/>
          <w:color w:val="auto"/>
          <w:sz w:val="24"/>
          <w:szCs w:val="24"/>
        </w:rPr>
        <w:t>实质上不响应采购文件的要求，其谈判响应</w:t>
      </w:r>
      <w:r>
        <w:rPr>
          <w:rFonts w:ascii="宋体" w:hAnsi="宋体"/>
          <w:b/>
          <w:color w:val="auto"/>
          <w:sz w:val="24"/>
          <w:szCs w:val="24"/>
        </w:rPr>
        <w:t>文件</w:t>
      </w:r>
      <w:r>
        <w:rPr>
          <w:rFonts w:hint="eastAsia" w:ascii="宋体" w:hAnsi="宋体"/>
          <w:b/>
          <w:color w:val="auto"/>
          <w:sz w:val="24"/>
          <w:szCs w:val="24"/>
        </w:rPr>
        <w:t>将作无效标处理。</w:t>
      </w:r>
    </w:p>
    <w:p>
      <w:pPr>
        <w:spacing w:line="360" w:lineRule="exact"/>
        <w:ind w:firstLine="482" w:firstLineChars="200"/>
        <w:rPr>
          <w:rFonts w:ascii="宋体" w:hAnsi="宋体"/>
          <w:b/>
          <w:bCs/>
          <w:sz w:val="24"/>
        </w:rPr>
      </w:pPr>
      <w:r>
        <w:rPr>
          <w:rFonts w:hint="eastAsia" w:ascii="宋体" w:hAnsi="宋体"/>
          <w:b/>
          <w:bCs/>
          <w:sz w:val="24"/>
        </w:rPr>
        <w:t>谈判响应</w:t>
      </w:r>
      <w:r>
        <w:rPr>
          <w:rFonts w:ascii="宋体" w:hAnsi="宋体"/>
          <w:b/>
          <w:bCs/>
          <w:sz w:val="24"/>
        </w:rPr>
        <w:t>文件</w:t>
      </w:r>
      <w:r>
        <w:rPr>
          <w:rFonts w:hint="eastAsia" w:ascii="宋体" w:hAnsi="宋体"/>
          <w:b/>
          <w:bCs/>
          <w:sz w:val="24"/>
        </w:rPr>
        <w:t>的递交、修改和撤回</w:t>
      </w:r>
    </w:p>
    <w:p>
      <w:pPr>
        <w:pStyle w:val="8"/>
        <w:snapToGrid w:val="0"/>
        <w:ind w:firstLine="482" w:firstLineChars="200"/>
        <w:rPr>
          <w:rFonts w:ascii="宋体" w:hAnsi="宋体"/>
          <w:b/>
          <w:sz w:val="24"/>
          <w:szCs w:val="24"/>
        </w:rPr>
      </w:pPr>
      <w:r>
        <w:rPr>
          <w:rFonts w:hint="eastAsia" w:ascii="宋体" w:hAnsi="宋体"/>
          <w:b/>
          <w:sz w:val="24"/>
          <w:szCs w:val="24"/>
        </w:rPr>
        <w:t>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w:t>
      </w:r>
      <w:r>
        <w:rPr>
          <w:rFonts w:hint="eastAsia" w:ascii="宋体" w:hAnsi="宋体"/>
          <w:b/>
          <w:sz w:val="24"/>
          <w:szCs w:val="24"/>
        </w:rPr>
        <w:t>谈判响应</w:t>
      </w:r>
      <w:r>
        <w:rPr>
          <w:rFonts w:ascii="宋体" w:hAnsi="宋体"/>
          <w:b/>
          <w:sz w:val="24"/>
          <w:szCs w:val="24"/>
        </w:rPr>
        <w:t>文件将予以拒收。</w:t>
      </w:r>
    </w:p>
    <w:p>
      <w:pPr>
        <w:pStyle w:val="8"/>
        <w:snapToGrid w:val="0"/>
        <w:ind w:firstLine="480" w:firstLineChars="200"/>
        <w:rPr>
          <w:rFonts w:ascii="宋体" w:hAnsi="宋体"/>
          <w:b/>
          <w:sz w:val="24"/>
          <w:szCs w:val="24"/>
        </w:rPr>
      </w:pPr>
      <w:r>
        <w:rPr>
          <w:rFonts w:hint="eastAsia" w:ascii="宋体" w:hAnsi="宋体"/>
          <w:sz w:val="24"/>
          <w:szCs w:val="24"/>
        </w:rPr>
        <w:t>投标人在投标截止时间之前，可以对已提交的谈判响应</w:t>
      </w:r>
      <w:r>
        <w:rPr>
          <w:rFonts w:ascii="宋体" w:hAnsi="宋体"/>
          <w:sz w:val="24"/>
          <w:szCs w:val="24"/>
        </w:rPr>
        <w:t>文件</w:t>
      </w:r>
      <w:r>
        <w:rPr>
          <w:rFonts w:hint="eastAsia" w:ascii="宋体" w:hAnsi="宋体"/>
          <w:sz w:val="24"/>
          <w:szCs w:val="24"/>
        </w:rPr>
        <w:t>进行修改或撤回，补充、修改的内容为谈判响应</w:t>
      </w:r>
      <w:r>
        <w:rPr>
          <w:rFonts w:ascii="宋体" w:hAnsi="宋体"/>
          <w:sz w:val="24"/>
          <w:szCs w:val="24"/>
        </w:rPr>
        <w:t>文件</w:t>
      </w:r>
      <w:r>
        <w:rPr>
          <w:rFonts w:hint="eastAsia" w:ascii="宋体" w:hAnsi="宋体"/>
          <w:sz w:val="24"/>
          <w:szCs w:val="24"/>
        </w:rPr>
        <w:t>的组成部分。补充或者修改谈判响应</w:t>
      </w:r>
      <w:r>
        <w:rPr>
          <w:rFonts w:ascii="宋体" w:hAnsi="宋体"/>
          <w:sz w:val="24"/>
          <w:szCs w:val="24"/>
        </w:rPr>
        <w:t>文件</w:t>
      </w:r>
      <w:r>
        <w:rPr>
          <w:rFonts w:hint="eastAsia" w:ascii="宋体" w:hAnsi="宋体"/>
          <w:sz w:val="24"/>
          <w:szCs w:val="24"/>
        </w:rPr>
        <w:t>的，应当先行撤回原文件，补充、修改后重新传输递交。</w:t>
      </w:r>
    </w:p>
    <w:p>
      <w:pPr>
        <w:pStyle w:val="8"/>
        <w:snapToGrid w:val="0"/>
        <w:ind w:firstLine="480" w:firstLineChars="200"/>
        <w:rPr>
          <w:rFonts w:ascii="宋体" w:hAnsi="宋体"/>
          <w:sz w:val="24"/>
          <w:szCs w:val="24"/>
        </w:rPr>
      </w:pPr>
      <w:r>
        <w:rPr>
          <w:rFonts w:hint="eastAsia" w:ascii="宋体" w:hAnsi="宋体"/>
          <w:sz w:val="24"/>
          <w:szCs w:val="24"/>
        </w:rPr>
        <w:t>投标截止时间后，投标人不得撤回、修改谈判响应</w:t>
      </w:r>
      <w:r>
        <w:rPr>
          <w:rFonts w:ascii="宋体" w:hAnsi="宋体"/>
          <w:sz w:val="24"/>
          <w:szCs w:val="24"/>
        </w:rPr>
        <w:t>文件</w:t>
      </w:r>
      <w:r>
        <w:rPr>
          <w:rFonts w:hint="eastAsia" w:ascii="宋体" w:hAnsi="宋体"/>
          <w:sz w:val="24"/>
          <w:szCs w:val="24"/>
        </w:rPr>
        <w:t>。</w:t>
      </w:r>
    </w:p>
    <w:p>
      <w:pPr>
        <w:pStyle w:val="8"/>
        <w:snapToGrid w:val="0"/>
        <w:ind w:firstLine="480" w:firstLineChars="200"/>
        <w:rPr>
          <w:rFonts w:ascii="宋体" w:hAnsi="宋体"/>
          <w:sz w:val="24"/>
          <w:szCs w:val="24"/>
        </w:rPr>
      </w:pPr>
      <w:r>
        <w:rPr>
          <w:rFonts w:hint="eastAsia" w:ascii="宋体" w:hAnsi="宋体"/>
          <w:sz w:val="24"/>
          <w:szCs w:val="24"/>
        </w:rPr>
        <w:t>不论投标人中标与否，谈判响应</w:t>
      </w:r>
      <w:r>
        <w:rPr>
          <w:rFonts w:ascii="宋体" w:hAnsi="宋体"/>
          <w:sz w:val="24"/>
          <w:szCs w:val="24"/>
        </w:rPr>
        <w:t>文件</w:t>
      </w:r>
      <w:r>
        <w:rPr>
          <w:rFonts w:hint="eastAsia" w:ascii="宋体" w:hAnsi="宋体"/>
          <w:sz w:val="24"/>
          <w:szCs w:val="24"/>
        </w:rPr>
        <w:t>均不得撤回其投标。</w:t>
      </w:r>
    </w:p>
    <w:p>
      <w:pPr>
        <w:pStyle w:val="8"/>
        <w:snapToGrid w:val="0"/>
        <w:ind w:firstLine="482" w:firstLineChars="200"/>
        <w:rPr>
          <w:rFonts w:ascii="宋体" w:hAnsi="宋体"/>
          <w:b/>
          <w:sz w:val="24"/>
          <w:szCs w:val="24"/>
        </w:rPr>
      </w:pPr>
      <w:r>
        <w:rPr>
          <w:rFonts w:hint="eastAsia" w:ascii="宋体" w:hAnsi="宋体"/>
          <w:b/>
          <w:sz w:val="24"/>
          <w:szCs w:val="24"/>
        </w:rPr>
        <w:t>未按时解密的，视为谈判响应</w:t>
      </w:r>
      <w:r>
        <w:rPr>
          <w:rFonts w:ascii="宋体" w:hAnsi="宋体"/>
          <w:b/>
          <w:sz w:val="24"/>
          <w:szCs w:val="24"/>
        </w:rPr>
        <w:t>文件</w:t>
      </w:r>
      <w:r>
        <w:rPr>
          <w:rFonts w:hint="eastAsia" w:ascii="宋体" w:hAnsi="宋体"/>
          <w:b/>
          <w:sz w:val="24"/>
          <w:szCs w:val="24"/>
        </w:rPr>
        <w:t>撤回。</w:t>
      </w:r>
    </w:p>
    <w:p>
      <w:pPr>
        <w:spacing w:line="360" w:lineRule="exact"/>
        <w:ind w:firstLine="482" w:firstLineChars="200"/>
        <w:rPr>
          <w:rFonts w:ascii="宋体" w:hAnsi="宋体"/>
          <w:b/>
          <w:bCs/>
          <w:sz w:val="24"/>
        </w:rPr>
      </w:pPr>
      <w:r>
        <w:rPr>
          <w:rFonts w:hint="eastAsia" w:ascii="宋体" w:hAnsi="宋体"/>
          <w:b/>
          <w:bCs/>
          <w:sz w:val="24"/>
        </w:rPr>
        <w:t>投标无效的情形</w:t>
      </w:r>
    </w:p>
    <w:p>
      <w:pPr>
        <w:snapToGrid w:val="0"/>
        <w:ind w:firstLine="480" w:firstLineChars="200"/>
        <w:rPr>
          <w:rFonts w:ascii="宋体" w:hAnsi="宋体"/>
          <w:sz w:val="24"/>
          <w:szCs w:val="24"/>
        </w:rPr>
      </w:pPr>
      <w:r>
        <w:rPr>
          <w:rFonts w:hint="eastAsia" w:ascii="宋体" w:hAnsi="宋体"/>
          <w:sz w:val="24"/>
          <w:szCs w:val="24"/>
        </w:rPr>
        <w:t>实质上没有响应采购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采购文件要求的，应认定其投标无效。投标人修改、补正谈判响应</w:t>
      </w:r>
      <w:r>
        <w:rPr>
          <w:rFonts w:ascii="宋体" w:hAnsi="宋体"/>
          <w:sz w:val="24"/>
          <w:szCs w:val="24"/>
        </w:rPr>
        <w:t>文件</w:t>
      </w:r>
      <w:r>
        <w:rPr>
          <w:rFonts w:hint="eastAsia" w:ascii="宋体" w:hAnsi="宋体"/>
          <w:sz w:val="24"/>
          <w:szCs w:val="24"/>
        </w:rPr>
        <w:t>后，不影响评标委员会对其谈判响应</w:t>
      </w:r>
      <w:r>
        <w:rPr>
          <w:rFonts w:ascii="宋体" w:hAnsi="宋体"/>
          <w:sz w:val="24"/>
          <w:szCs w:val="24"/>
        </w:rPr>
        <w:t>文件</w:t>
      </w:r>
      <w:r>
        <w:rPr>
          <w:rFonts w:hint="eastAsia" w:ascii="宋体" w:hAnsi="宋体"/>
          <w:sz w:val="24"/>
          <w:szCs w:val="24"/>
        </w:rPr>
        <w:t>所作的评价和评分结果。</w:t>
      </w:r>
    </w:p>
    <w:p>
      <w:pPr>
        <w:pStyle w:val="19"/>
        <w:snapToGrid w:val="0"/>
        <w:spacing w:after="0"/>
        <w:ind w:left="0" w:leftChars="0" w:firstLine="472" w:firstLineChars="196"/>
        <w:rPr>
          <w:rFonts w:ascii="宋体" w:hAnsi="宋体"/>
          <w:b/>
          <w:bCs/>
          <w:sz w:val="24"/>
          <w:szCs w:val="24"/>
        </w:rPr>
      </w:pP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w:t>
      </w:r>
      <w:r>
        <w:rPr>
          <w:rFonts w:hint="eastAsia" w:ascii="宋体" w:hAnsi="宋体"/>
          <w:b/>
          <w:bCs/>
          <w:sz w:val="24"/>
          <w:szCs w:val="24"/>
        </w:rPr>
        <w:t>谈判响应</w:t>
      </w:r>
      <w:r>
        <w:rPr>
          <w:rFonts w:ascii="宋体" w:hAnsi="宋体"/>
          <w:b/>
          <w:bCs/>
          <w:sz w:val="24"/>
          <w:szCs w:val="24"/>
        </w:rPr>
        <w:t>文件将被视为无效投标：</w:t>
      </w:r>
    </w:p>
    <w:p>
      <w:pPr>
        <w:snapToGrid w:val="0"/>
        <w:ind w:firstLine="470" w:firstLineChars="196"/>
        <w:rPr>
          <w:rFonts w:ascii="宋体" w:hAnsi="宋体"/>
          <w:sz w:val="24"/>
          <w:szCs w:val="24"/>
        </w:rPr>
      </w:pPr>
      <w:r>
        <w:rPr>
          <w:rFonts w:ascii="宋体" w:hAnsi="宋体"/>
          <w:sz w:val="24"/>
          <w:szCs w:val="24"/>
        </w:rPr>
        <w:t>资格证明文件不全的，或者不符合采购文件标明的资格要求的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未按照采购文件规定要求盖章；</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文件项目不齐全或者内容虚假的；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文件的实质性内容未使用中文表述、意思表述不明确、前后矛盾或者使用计量单位不符合采购文件要求的</w:t>
      </w:r>
      <w:r>
        <w:rPr>
          <w:rFonts w:hint="eastAsia" w:ascii="宋体" w:hAnsi="宋体"/>
          <w:sz w:val="24"/>
          <w:szCs w:val="24"/>
        </w:rPr>
        <w:t>；</w:t>
      </w:r>
    </w:p>
    <w:p>
      <w:pPr>
        <w:snapToGrid w:val="0"/>
        <w:ind w:firstLine="470" w:firstLineChars="196"/>
        <w:rPr>
          <w:rFonts w:ascii="宋体" w:hAnsi="宋体"/>
          <w:sz w:val="24"/>
          <w:szCs w:val="24"/>
        </w:rPr>
      </w:pP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等条款不能满足采购文件要求的；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不符合法律、法规或未实质性</w:t>
      </w:r>
      <w:r>
        <w:rPr>
          <w:rFonts w:ascii="宋体" w:hAnsi="宋体"/>
          <w:sz w:val="24"/>
          <w:szCs w:val="24"/>
        </w:rPr>
        <w:t>响应采购文件要求</w:t>
      </w:r>
      <w:r>
        <w:rPr>
          <w:rFonts w:hint="eastAsia" w:ascii="宋体" w:hAnsi="宋体"/>
          <w:sz w:val="24"/>
          <w:szCs w:val="24"/>
        </w:rPr>
        <w:t>。</w:t>
      </w:r>
    </w:p>
    <w:p>
      <w:pPr>
        <w:pStyle w:val="19"/>
        <w:snapToGrid w:val="0"/>
        <w:spacing w:after="0"/>
        <w:rPr>
          <w:rFonts w:ascii="宋体" w:hAnsi="宋体"/>
          <w:b/>
          <w:bCs/>
          <w:sz w:val="24"/>
          <w:szCs w:val="24"/>
        </w:rPr>
      </w:pP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未提供或未如实提供投标货物的技术参数，或者</w:t>
      </w:r>
      <w:r>
        <w:rPr>
          <w:rFonts w:hint="eastAsia" w:ascii="宋体" w:hAnsi="宋体"/>
          <w:sz w:val="24"/>
          <w:szCs w:val="24"/>
        </w:rPr>
        <w:t>谈判响应</w:t>
      </w:r>
      <w:r>
        <w:rPr>
          <w:rFonts w:ascii="宋体" w:hAnsi="宋体"/>
          <w:sz w:val="24"/>
          <w:szCs w:val="24"/>
        </w:rPr>
        <w:t>文件标明的响应或偏离与事实不符或虚假投标的；</w:t>
      </w:r>
    </w:p>
    <w:p>
      <w:pPr>
        <w:snapToGrid w:val="0"/>
        <w:ind w:firstLine="470" w:firstLineChars="196"/>
        <w:rPr>
          <w:rFonts w:ascii="宋体" w:hAnsi="宋体"/>
          <w:sz w:val="24"/>
          <w:szCs w:val="24"/>
        </w:rPr>
      </w:pPr>
      <w:r>
        <w:rPr>
          <w:rFonts w:ascii="宋体" w:hAnsi="宋体"/>
          <w:color w:val="auto"/>
          <w:sz w:val="24"/>
          <w:szCs w:val="24"/>
        </w:rPr>
        <w:t>明显不符合采购文件要求的规格型号、质量标准，或者与采购文件中标“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pStyle w:val="19"/>
        <w:snapToGrid w:val="0"/>
        <w:spacing w:after="0"/>
        <w:rPr>
          <w:rFonts w:ascii="宋体" w:hAnsi="宋体"/>
          <w:b/>
          <w:bCs/>
          <w:sz w:val="24"/>
          <w:szCs w:val="24"/>
        </w:rPr>
      </w:pPr>
      <w:r>
        <w:rPr>
          <w:rFonts w:ascii="宋体" w:hAnsi="宋体"/>
          <w:b/>
          <w:bCs/>
          <w:sz w:val="24"/>
          <w:szCs w:val="24"/>
        </w:rPr>
        <w:t>在报价评审时，如发现下列情形之一的，</w:t>
      </w:r>
      <w:r>
        <w:rPr>
          <w:rFonts w:hint="eastAsia" w:ascii="宋体" w:hAnsi="宋体"/>
          <w:b/>
          <w:bCs/>
          <w:sz w:val="24"/>
          <w:szCs w:val="24"/>
        </w:rPr>
        <w:t>谈判响应</w:t>
      </w:r>
      <w:r>
        <w:rPr>
          <w:rFonts w:ascii="宋体" w:hAnsi="宋体"/>
          <w:b/>
          <w:bCs/>
          <w:sz w:val="24"/>
          <w:szCs w:val="24"/>
        </w:rPr>
        <w:t>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（1）未采用人民币报价或者未按照采购文件标明的币种报价的；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过采购文件中规定的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9"/>
        <w:snapToGrid w:val="0"/>
        <w:spacing w:after="0"/>
        <w:rPr>
          <w:rFonts w:ascii="宋体" w:hAnsi="宋体"/>
          <w:b/>
          <w:bCs/>
          <w:sz w:val="24"/>
          <w:szCs w:val="24"/>
        </w:rPr>
      </w:pPr>
      <w:r>
        <w:rPr>
          <w:rFonts w:hint="eastAsia" w:ascii="宋体" w:hAnsi="宋体"/>
          <w:b/>
          <w:bCs/>
          <w:sz w:val="24"/>
          <w:szCs w:val="24"/>
        </w:rPr>
        <w:t>（6）</w:t>
      </w:r>
      <w:r>
        <w:rPr>
          <w:rFonts w:ascii="宋体" w:hAnsi="宋体"/>
          <w:b/>
          <w:bCs/>
          <w:sz w:val="24"/>
          <w:szCs w:val="24"/>
        </w:rPr>
        <w:t>符合采购文件明确规定的其他无效投标条款的。</w:t>
      </w:r>
    </w:p>
    <w:p>
      <w:pPr>
        <w:pStyle w:val="19"/>
        <w:snapToGrid w:val="0"/>
        <w:spacing w:after="0"/>
        <w:rPr>
          <w:rFonts w:ascii="宋体" w:hAnsi="宋体"/>
          <w:b/>
          <w:bCs/>
          <w:sz w:val="24"/>
          <w:szCs w:val="24"/>
        </w:rPr>
      </w:pPr>
    </w:p>
    <w:p>
      <w:pPr>
        <w:snapToGrid w:val="0"/>
        <w:ind w:firstLine="472" w:firstLineChars="196"/>
        <w:jc w:val="left"/>
        <w:outlineLvl w:val="0"/>
        <w:rPr>
          <w:rFonts w:ascii="宋体" w:hAnsi="宋体"/>
          <w:b/>
          <w:sz w:val="24"/>
        </w:rPr>
      </w:pPr>
      <w:r>
        <w:rPr>
          <w:rFonts w:hint="eastAsia" w:ascii="宋体" w:hAnsi="宋体"/>
          <w:b/>
          <w:sz w:val="24"/>
        </w:rPr>
        <w:t>12.谈判响应文件的语言及计量</w:t>
      </w:r>
    </w:p>
    <w:p>
      <w:pPr>
        <w:pStyle w:val="21"/>
        <w:snapToGrid w:val="0"/>
        <w:ind w:firstLine="480" w:firstLineChars="200"/>
        <w:rPr>
          <w:rFonts w:ascii="宋体" w:hAnsi="宋体"/>
        </w:rPr>
      </w:pPr>
      <w:r>
        <w:rPr>
          <w:rFonts w:hint="eastAsia" w:ascii="宋体" w:hAnsi="宋体"/>
        </w:rPr>
        <w:t>12.1</w:t>
      </w:r>
      <w:r>
        <w:rPr>
          <w:rFonts w:ascii="宋体" w:hAnsi="宋体"/>
        </w:rPr>
        <w:t>谈判响应文件以及投标方与采购方就有关投标事宜的所有来往函电，均应以中文汉语书写。除签名、盖章、专用名称等特殊情形外，以中文汉语以外的文字表述的谈判响应文件视同未提供。</w:t>
      </w:r>
    </w:p>
    <w:p>
      <w:pPr>
        <w:pStyle w:val="21"/>
        <w:snapToGrid w:val="0"/>
        <w:ind w:firstLine="480" w:firstLineChars="200"/>
        <w:rPr>
          <w:rFonts w:ascii="宋体" w:hAnsi="宋体"/>
        </w:rPr>
      </w:pPr>
      <w:r>
        <w:rPr>
          <w:rFonts w:hint="eastAsia" w:ascii="宋体" w:hAnsi="宋体"/>
        </w:rPr>
        <w:t>12.2</w:t>
      </w:r>
      <w:r>
        <w:rPr>
          <w:rFonts w:ascii="宋体" w:hAnsi="宋体"/>
        </w:rPr>
        <w:t>投标计量单位，采购文件已有明确规定的，使用采购文件规定的计量单位；采购文件没有规定的，应采用中华人民共和国法定计量单位（货币单位：人民币元），否则视同未响应。</w:t>
      </w:r>
    </w:p>
    <w:p>
      <w:pPr>
        <w:snapToGrid w:val="0"/>
        <w:ind w:firstLine="472" w:firstLineChars="196"/>
        <w:jc w:val="left"/>
        <w:outlineLvl w:val="0"/>
        <w:rPr>
          <w:rFonts w:ascii="宋体" w:hAnsi="宋体"/>
          <w:b/>
          <w:sz w:val="24"/>
        </w:rPr>
      </w:pPr>
      <w:r>
        <w:rPr>
          <w:rFonts w:hint="eastAsia" w:ascii="宋体" w:hAnsi="宋体"/>
          <w:b/>
          <w:sz w:val="24"/>
        </w:rPr>
        <w:t>13.投标报价</w:t>
      </w:r>
    </w:p>
    <w:p>
      <w:pPr>
        <w:pStyle w:val="21"/>
        <w:snapToGrid w:val="0"/>
        <w:ind w:firstLine="480" w:firstLineChars="200"/>
        <w:rPr>
          <w:rFonts w:ascii="宋体" w:hAnsi="宋体"/>
        </w:rPr>
      </w:pPr>
      <w:r>
        <w:rPr>
          <w:rFonts w:hint="eastAsia" w:ascii="宋体" w:hAnsi="宋体"/>
        </w:rPr>
        <w:t>13.1</w:t>
      </w:r>
      <w:r>
        <w:rPr>
          <w:rFonts w:ascii="宋体" w:hAnsi="宋体"/>
        </w:rPr>
        <w:t>投标报价应按采购文件中相关附表格式填写。</w:t>
      </w:r>
    </w:p>
    <w:p>
      <w:pPr>
        <w:pStyle w:val="2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21"/>
        <w:snapToGrid w:val="0"/>
        <w:ind w:firstLine="480" w:firstLineChars="200"/>
        <w:rPr>
          <w:rFonts w:ascii="宋体" w:hAnsi="宋体"/>
        </w:rPr>
      </w:pPr>
      <w:r>
        <w:rPr>
          <w:rFonts w:hint="eastAsia" w:ascii="宋体" w:hAnsi="宋体"/>
        </w:rPr>
        <w:t>13.3</w:t>
      </w:r>
      <w:r>
        <w:rPr>
          <w:rFonts w:ascii="宋体" w:hAnsi="宋体"/>
        </w:rPr>
        <w:t>谈判响应文件只允许有一个报价，有选择的</w:t>
      </w:r>
      <w:r>
        <w:rPr>
          <w:rFonts w:hint="eastAsia" w:ascii="宋体" w:hAnsi="宋体"/>
        </w:rPr>
        <w:t>或有条件的</w:t>
      </w:r>
      <w:r>
        <w:rPr>
          <w:rFonts w:ascii="宋体" w:hAnsi="宋体"/>
        </w:rPr>
        <w:t>报价将不予接受。</w:t>
      </w:r>
    </w:p>
    <w:p>
      <w:pPr>
        <w:pStyle w:val="21"/>
        <w:snapToGrid w:val="0"/>
        <w:ind w:firstLine="480" w:firstLineChars="200"/>
        <w:rPr>
          <w:rFonts w:ascii="宋体" w:hAnsi="宋体"/>
        </w:rPr>
      </w:pPr>
      <w:r>
        <w:rPr>
          <w:rFonts w:hint="eastAsia" w:ascii="宋体" w:hAnsi="宋体"/>
        </w:rPr>
        <w:t>13.4采购文件未列明，而投标人认为必需的费用也需列入报价。</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14.谈判响应文件的有效期</w:t>
      </w:r>
    </w:p>
    <w:p>
      <w:pPr>
        <w:pStyle w:val="21"/>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45</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2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21"/>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投标人可拒绝接受延期要求而不会导致投标保证金被没收。同意延长有效期的投标人需要相应延长投标保证金的有效期，但不能修改谈判响应文件。 </w:t>
      </w:r>
    </w:p>
    <w:p>
      <w:pPr>
        <w:pStyle w:val="21"/>
        <w:snapToGrid w:val="0"/>
        <w:ind w:firstLine="480" w:firstLineChars="200"/>
        <w:rPr>
          <w:rFonts w:ascii="宋体" w:hAnsi="宋体"/>
        </w:rPr>
      </w:pPr>
      <w:r>
        <w:rPr>
          <w:rFonts w:hint="eastAsia" w:ascii="宋体" w:hAnsi="宋体"/>
        </w:rPr>
        <w:t>14.4</w:t>
      </w:r>
      <w:r>
        <w:rPr>
          <w:rFonts w:ascii="宋体" w:hAnsi="宋体"/>
        </w:rPr>
        <w:t>成交供应商的谈判响应文件自开标之日起至合同履行完毕止均应保持有效。</w:t>
      </w:r>
    </w:p>
    <w:p>
      <w:pPr>
        <w:snapToGrid w:val="0"/>
        <w:ind w:firstLine="472" w:firstLineChars="196"/>
        <w:jc w:val="left"/>
        <w:outlineLvl w:val="0"/>
        <w:rPr>
          <w:rFonts w:ascii="宋体" w:hAnsi="宋体"/>
          <w:b/>
          <w:sz w:val="24"/>
        </w:rPr>
      </w:pPr>
      <w:r>
        <w:rPr>
          <w:rFonts w:hint="eastAsia" w:ascii="宋体" w:hAnsi="宋体"/>
          <w:b/>
          <w:sz w:val="24"/>
        </w:rPr>
        <w:t>15.投标保证金</w:t>
      </w:r>
    </w:p>
    <w:p>
      <w:pPr>
        <w:snapToGrid w:val="0"/>
        <w:ind w:firstLine="480" w:firstLineChars="200"/>
        <w:rPr>
          <w:rFonts w:ascii="宋体" w:hAnsi="宋体"/>
          <w:color w:val="auto"/>
          <w:kern w:val="2"/>
          <w:sz w:val="24"/>
          <w:szCs w:val="20"/>
        </w:rPr>
      </w:pPr>
      <w:r>
        <w:rPr>
          <w:rFonts w:ascii="宋体" w:hAnsi="宋体"/>
          <w:color w:val="auto"/>
          <w:kern w:val="2"/>
          <w:sz w:val="24"/>
          <w:szCs w:val="20"/>
        </w:rPr>
        <w:t>本次谈判免收谈判保证金</w:t>
      </w:r>
      <w:r>
        <w:rPr>
          <w:rFonts w:hint="eastAsia" w:ascii="宋体" w:hAnsi="宋体"/>
          <w:color w:val="auto"/>
          <w:kern w:val="2"/>
          <w:sz w:val="24"/>
          <w:szCs w:val="20"/>
        </w:rPr>
        <w:t>。</w:t>
      </w:r>
    </w:p>
    <w:p>
      <w:pPr>
        <w:pStyle w:val="19"/>
        <w:snapToGrid w:val="0"/>
        <w:spacing w:after="0"/>
        <w:rPr>
          <w:rFonts w:ascii="宋体" w:hAnsi="宋体"/>
          <w:b/>
          <w:bCs/>
          <w:sz w:val="24"/>
          <w:szCs w:val="24"/>
        </w:rPr>
      </w:pPr>
    </w:p>
    <w:p>
      <w:pPr>
        <w:pStyle w:val="3"/>
        <w:spacing w:line="360" w:lineRule="exact"/>
        <w:jc w:val="center"/>
        <w:rPr>
          <w:rFonts w:ascii="宋体" w:hAnsi="宋体" w:eastAsia="宋体"/>
          <w:sz w:val="28"/>
          <w:szCs w:val="28"/>
        </w:rPr>
      </w:pPr>
      <w:r>
        <w:rPr>
          <w:rFonts w:hint="eastAsia" w:ascii="宋体" w:hAnsi="宋体" w:eastAsia="宋体"/>
          <w:sz w:val="28"/>
          <w:szCs w:val="28"/>
        </w:rPr>
        <w:t>四、谈  判</w:t>
      </w:r>
    </w:p>
    <w:p>
      <w:pPr>
        <w:ind w:firstLine="482" w:firstLineChars="200"/>
        <w:rPr>
          <w:rFonts w:ascii="宋体" w:hAnsi="宋体"/>
          <w:b/>
          <w:sz w:val="24"/>
        </w:rPr>
      </w:pP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投标人务必在规定时间内完成电子投标文件的解密工作，在电子开评标期间，投标人（授权代表）需确保在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谈判响应文件未按时解密，投标人提供了备份谈判响应文件的，以备份谈判响应文件作为依据，否则视为谈判响应文件撤回。谈判响应文件已按时解密的，备份谈判响应文件自动失效。</w:t>
      </w:r>
    </w:p>
    <w:p>
      <w:pPr>
        <w:ind w:firstLine="480" w:firstLineChars="200"/>
        <w:rPr>
          <w:rFonts w:ascii="宋体" w:hAnsi="宋体"/>
          <w:sz w:val="24"/>
        </w:rPr>
      </w:pPr>
      <w:r>
        <w:rPr>
          <w:rFonts w:hint="eastAsia" w:ascii="宋体" w:hAnsi="宋体"/>
          <w:sz w:val="24"/>
        </w:rPr>
        <w:t>采购人或受采购人委托的评标委员会依法对投标人的资格进行审查。投标人未按照采购文件要求提供与基本资格条件、特定资格条件相应的有效资格证明材料的，视为投标人不具备采购文件中规定的资格要求，其投标无效。</w:t>
      </w:r>
    </w:p>
    <w:p>
      <w:pPr>
        <w:ind w:firstLine="480" w:firstLineChars="200"/>
        <w:rPr>
          <w:rFonts w:ascii="宋体" w:hAnsi="宋体"/>
          <w:sz w:val="24"/>
        </w:rPr>
      </w:pPr>
      <w:r>
        <w:rPr>
          <w:rFonts w:hint="eastAsia" w:ascii="宋体" w:hAnsi="宋体"/>
          <w:sz w:val="24"/>
        </w:rPr>
        <w:t>评标委员会将根据采购文件和有关规定，履行评标工作职责，并和</w:t>
      </w:r>
      <w:r>
        <w:rPr>
          <w:rFonts w:ascii="宋体" w:hAnsi="宋体"/>
          <w:sz w:val="24"/>
        </w:rPr>
        <w:t>谈判响应人</w:t>
      </w:r>
      <w:r>
        <w:rPr>
          <w:rFonts w:hint="eastAsia" w:ascii="宋体" w:hAnsi="宋体"/>
          <w:sz w:val="24"/>
        </w:rPr>
        <w:t xml:space="preserve">就有关技术要求、项目进程安排、服务条款等内容进行谈判； </w:t>
      </w:r>
    </w:p>
    <w:p>
      <w:pPr>
        <w:ind w:firstLine="480" w:firstLineChars="200"/>
        <w:rPr>
          <w:rFonts w:ascii="宋体" w:hAnsi="宋体"/>
          <w:sz w:val="24"/>
        </w:rPr>
      </w:pPr>
      <w:r>
        <w:rPr>
          <w:rFonts w:hint="eastAsia" w:ascii="宋体" w:hAnsi="宋体"/>
          <w:sz w:val="24"/>
        </w:rPr>
        <w:t>评标委员会对技术标有效的投标单位进行投标报价评审，经过谈判、评审后确定投标报价。</w:t>
      </w:r>
      <w:r>
        <w:rPr>
          <w:rFonts w:ascii="宋体" w:hAnsi="宋体"/>
          <w:sz w:val="24"/>
        </w:rPr>
        <w:t>谈判就所有问题达成一致的，谈判成功；谈判中不能就所有问题达成一致的，则采购谈判失败，本次采购活动终止。</w:t>
      </w:r>
    </w:p>
    <w:p>
      <w:pPr>
        <w:ind w:firstLine="480" w:firstLineChars="200"/>
        <w:rPr>
          <w:rFonts w:ascii="宋体" w:hAnsi="宋体"/>
          <w:b/>
          <w:sz w:val="24"/>
        </w:rPr>
      </w:pPr>
      <w:r>
        <w:rPr>
          <w:rFonts w:hint="eastAsia" w:ascii="宋体" w:hAnsi="宋体"/>
          <w:sz w:val="24"/>
        </w:rPr>
        <w:t>最终评标委员会推荐成交候选人。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2、如中标单位投标文件和采购文件要求不一致，且评审过程中未发现的，履约应按有利于采购人的要求执行。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30"/>
        <w:ind w:firstLine="480" w:firstLineChars="200"/>
        <w:rPr>
          <w:rFonts w:ascii="宋体" w:hAnsi="宋体"/>
          <w:sz w:val="24"/>
        </w:rPr>
      </w:pPr>
      <w:r>
        <w:rPr>
          <w:rFonts w:hint="eastAsia" w:ascii="宋体" w:hAnsi="宋体"/>
          <w:sz w:val="24"/>
        </w:rPr>
        <w:t>（一）电子交易平台发生故障而无法登录访问的； </w:t>
      </w:r>
    </w:p>
    <w:p>
      <w:pPr>
        <w:pStyle w:val="30"/>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30"/>
        <w:ind w:firstLine="480" w:firstLineChars="200"/>
        <w:rPr>
          <w:rFonts w:ascii="宋体" w:hAnsi="宋体"/>
          <w:sz w:val="24"/>
        </w:rPr>
      </w:pPr>
      <w:r>
        <w:rPr>
          <w:rFonts w:hint="eastAsia" w:ascii="宋体" w:hAnsi="宋体"/>
          <w:sz w:val="24"/>
        </w:rPr>
        <w:t>（三）电子交易平台发现严重安全漏洞，有潜在泄密危险的；</w:t>
      </w:r>
    </w:p>
    <w:p>
      <w:pPr>
        <w:pStyle w:val="30"/>
        <w:ind w:firstLine="480" w:firstLineChars="200"/>
        <w:rPr>
          <w:rFonts w:ascii="宋体" w:hAnsi="宋体"/>
          <w:sz w:val="24"/>
        </w:rPr>
      </w:pPr>
      <w:r>
        <w:rPr>
          <w:rFonts w:hint="eastAsia" w:ascii="宋体" w:hAnsi="宋体"/>
          <w:sz w:val="24"/>
        </w:rPr>
        <w:t>（四）病毒发作导致不能进行正常操作的； </w:t>
      </w:r>
    </w:p>
    <w:p>
      <w:pPr>
        <w:pStyle w:val="30"/>
        <w:ind w:firstLine="480" w:firstLineChars="200"/>
        <w:rPr>
          <w:rFonts w:ascii="宋体" w:hAnsi="宋体"/>
          <w:sz w:val="24"/>
        </w:rPr>
      </w:pPr>
      <w:r>
        <w:rPr>
          <w:rFonts w:hint="eastAsia" w:ascii="宋体" w:hAnsi="宋体"/>
          <w:sz w:val="24"/>
        </w:rPr>
        <w:t>（五）其他无法保证电子交易的公平、公正和安全的情况。</w:t>
      </w:r>
    </w:p>
    <w:p>
      <w:pPr>
        <w:pStyle w:val="30"/>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spacing w:line="360" w:lineRule="exact"/>
        <w:ind w:firstLine="482" w:firstLineChars="200"/>
        <w:rPr>
          <w:rFonts w:ascii="宋体" w:hAnsi="宋体"/>
          <w:b/>
          <w:bCs/>
          <w:sz w:val="24"/>
        </w:rPr>
      </w:pPr>
    </w:p>
    <w:p>
      <w:pPr>
        <w:spacing w:line="360" w:lineRule="exact"/>
        <w:ind w:firstLine="482" w:firstLineChars="200"/>
        <w:rPr>
          <w:rFonts w:ascii="宋体" w:hAnsi="宋体"/>
          <w:b/>
          <w:bCs/>
          <w:sz w:val="24"/>
        </w:rPr>
      </w:pPr>
      <w:r>
        <w:rPr>
          <w:rFonts w:hint="eastAsia" w:ascii="宋体" w:hAnsi="宋体"/>
          <w:b/>
          <w:bCs/>
          <w:sz w:val="24"/>
        </w:rPr>
        <w:t>16组建谈判专家委员会</w:t>
      </w:r>
    </w:p>
    <w:p>
      <w:pPr>
        <w:pStyle w:val="30"/>
        <w:ind w:firstLine="480" w:firstLineChars="200"/>
        <w:rPr>
          <w:rFonts w:ascii="宋体" w:hAnsi="宋体"/>
          <w:sz w:val="24"/>
        </w:rPr>
      </w:pPr>
      <w:r>
        <w:rPr>
          <w:rFonts w:hint="eastAsia" w:ascii="宋体" w:hAnsi="宋体"/>
          <w:sz w:val="24"/>
        </w:rPr>
        <w:t>谈判专家委员会按照有关规定组建。</w:t>
      </w:r>
    </w:p>
    <w:p>
      <w:pPr>
        <w:pStyle w:val="30"/>
        <w:ind w:firstLine="480" w:firstLineChars="200"/>
        <w:rPr>
          <w:rFonts w:ascii="宋体" w:hAnsi="宋体"/>
          <w:sz w:val="24"/>
        </w:rPr>
      </w:pPr>
    </w:p>
    <w:p>
      <w:pPr>
        <w:spacing w:line="360" w:lineRule="exact"/>
        <w:ind w:firstLine="482" w:firstLineChars="200"/>
        <w:rPr>
          <w:rFonts w:ascii="宋体" w:hAnsi="宋体"/>
          <w:b/>
          <w:bCs/>
          <w:sz w:val="24"/>
        </w:rPr>
      </w:pPr>
      <w:r>
        <w:rPr>
          <w:rFonts w:hint="eastAsia" w:ascii="宋体" w:hAnsi="宋体"/>
          <w:b/>
          <w:bCs/>
          <w:sz w:val="24"/>
        </w:rPr>
        <w:t>17谈判原则</w:t>
      </w:r>
    </w:p>
    <w:p>
      <w:pPr>
        <w:pStyle w:val="30"/>
        <w:ind w:firstLine="480" w:firstLineChars="200"/>
        <w:rPr>
          <w:rFonts w:ascii="宋体" w:hAnsi="宋体"/>
          <w:sz w:val="24"/>
        </w:rPr>
      </w:pPr>
      <w:r>
        <w:rPr>
          <w:rFonts w:hint="eastAsia" w:ascii="宋体" w:hAnsi="宋体"/>
          <w:sz w:val="24"/>
        </w:rPr>
        <w:t>17.1谈判专家委员会必须公平、公正、客观，不带任何倾向性和启发性；</w:t>
      </w:r>
    </w:p>
    <w:p>
      <w:pPr>
        <w:pStyle w:val="30"/>
        <w:ind w:firstLine="480" w:firstLineChars="200"/>
        <w:rPr>
          <w:rFonts w:ascii="宋体" w:hAnsi="宋体"/>
          <w:sz w:val="24"/>
        </w:rPr>
      </w:pPr>
      <w:r>
        <w:rPr>
          <w:rFonts w:hint="eastAsia" w:ascii="宋体" w:hAnsi="宋体"/>
          <w:sz w:val="24"/>
        </w:rPr>
        <w:t>17.2不得向外界透露任何与谈判有关的内容；</w:t>
      </w:r>
    </w:p>
    <w:p>
      <w:pPr>
        <w:pStyle w:val="30"/>
        <w:ind w:firstLine="480" w:firstLineChars="200"/>
        <w:rPr>
          <w:rFonts w:ascii="宋体" w:hAnsi="宋体"/>
          <w:sz w:val="24"/>
        </w:rPr>
      </w:pPr>
      <w:r>
        <w:rPr>
          <w:rFonts w:hint="eastAsia" w:ascii="宋体" w:hAnsi="宋体"/>
          <w:sz w:val="24"/>
        </w:rPr>
        <w:t>17.3任何单位和个人不得干扰、影响谈判的正常进行；</w:t>
      </w:r>
    </w:p>
    <w:p>
      <w:pPr>
        <w:pStyle w:val="30"/>
        <w:ind w:firstLine="480" w:firstLineChars="200"/>
        <w:rPr>
          <w:rFonts w:ascii="宋体" w:hAnsi="宋体"/>
          <w:sz w:val="24"/>
        </w:rPr>
      </w:pPr>
      <w:r>
        <w:rPr>
          <w:rFonts w:hint="eastAsia" w:ascii="宋体" w:hAnsi="宋体"/>
          <w:sz w:val="24"/>
        </w:rPr>
        <w:t>17.4谈判专家委员会及有关工作人员不得私下与投标人接触。</w:t>
      </w:r>
    </w:p>
    <w:p>
      <w:pPr>
        <w:pStyle w:val="30"/>
        <w:ind w:firstLine="480" w:firstLineChars="200"/>
        <w:rPr>
          <w:rFonts w:ascii="宋体" w:hAnsi="宋体"/>
          <w:sz w:val="24"/>
        </w:rPr>
      </w:pPr>
      <w:r>
        <w:rPr>
          <w:rFonts w:hint="eastAsia" w:ascii="宋体" w:hAnsi="宋体"/>
          <w:sz w:val="24"/>
        </w:rPr>
        <w:t>17.5谈判专家因回避、临时缺席或健康原因等特殊情况不能继续参加评审工作的，应按规定更换谈判专家,被更换的谈判人员之前所作出的评审意见不再予以采纳，由更换后的谈判人员重新进行评审。无法及时更换专家的，要立即停止评审工作、封存评审资料，并告知投标人择期重新评审的时间和地点。</w:t>
      </w:r>
    </w:p>
    <w:p>
      <w:pPr>
        <w:pStyle w:val="21"/>
        <w:snapToGrid w:val="0"/>
        <w:ind w:left="2" w:leftChars="1" w:firstLine="480" w:firstLineChars="200"/>
        <w:rPr>
          <w:rFonts w:ascii="宋体" w:hAnsi="宋体"/>
          <w:b/>
        </w:rPr>
      </w:pPr>
      <w:r>
        <w:rPr>
          <w:rFonts w:hint="eastAsia" w:ascii="宋体" w:hAnsi="宋体"/>
          <w:bCs/>
        </w:rPr>
        <w:t>18本项目涉及提供的有关资质证书，若原有资质证书处于年审期间，投标人提供年审证明的可按原资质投标；若投标人正在申报上一级别资质，在未获批准之前，仍按原级别资质投标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19. 谈判程序</w:t>
      </w:r>
    </w:p>
    <w:p>
      <w:pPr>
        <w:snapToGrid w:val="0"/>
        <w:ind w:firstLine="472" w:firstLineChars="196"/>
        <w:rPr>
          <w:rFonts w:ascii="宋体" w:hAnsi="宋体"/>
          <w:b/>
          <w:bCs/>
          <w:sz w:val="24"/>
        </w:rPr>
      </w:pPr>
      <w:r>
        <w:rPr>
          <w:rFonts w:hint="eastAsia" w:ascii="宋体" w:hAnsi="宋体"/>
          <w:b/>
          <w:bCs/>
          <w:sz w:val="24"/>
        </w:rPr>
        <w:t>19.1资格及形式审查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19.2在谈判专家中推选谈判委员会组长</w:t>
      </w:r>
    </w:p>
    <w:p>
      <w:pPr>
        <w:snapToGrid w:val="0"/>
        <w:ind w:firstLine="472" w:firstLineChars="196"/>
        <w:rPr>
          <w:rFonts w:ascii="宋体" w:hAnsi="宋体"/>
          <w:b/>
          <w:bCs/>
          <w:sz w:val="24"/>
          <w:szCs w:val="20"/>
        </w:rPr>
      </w:pPr>
      <w:r>
        <w:rPr>
          <w:rFonts w:hint="eastAsia" w:ascii="宋体" w:hAnsi="宋体"/>
          <w:b/>
          <w:bCs/>
          <w:sz w:val="24"/>
        </w:rPr>
        <w:t>19.3</w:t>
      </w:r>
      <w:r>
        <w:rPr>
          <w:rFonts w:ascii="宋体" w:hAnsi="宋体"/>
          <w:b/>
          <w:bCs/>
          <w:sz w:val="24"/>
        </w:rPr>
        <w:t>实质审查与比较</w:t>
      </w:r>
    </w:p>
    <w:p>
      <w:pPr>
        <w:pStyle w:val="30"/>
        <w:ind w:firstLine="480" w:firstLineChars="200"/>
        <w:rPr>
          <w:rFonts w:ascii="宋体" w:hAnsi="宋体"/>
          <w:sz w:val="24"/>
        </w:rPr>
      </w:pPr>
      <w:r>
        <w:rPr>
          <w:rFonts w:hint="eastAsia" w:ascii="宋体" w:hAnsi="宋体"/>
          <w:sz w:val="24"/>
        </w:rPr>
        <w:t>19.3.1谈判时，谈判委员会将以采购文件为基本依据，首先评定谈判响应文件是否在实质上响应了采购文件的要求。所谓实质上响应，是指谈判响应文件应与采购文件的所有实质性条款、条件和要求相符，无显著差异或保留，或者对合同中约定的采购人的权利和投标人的义务方面造成重大的限制，纠正这些显著差异。</w:t>
      </w:r>
    </w:p>
    <w:p>
      <w:pPr>
        <w:pStyle w:val="30"/>
        <w:ind w:firstLine="480" w:firstLineChars="200"/>
        <w:rPr>
          <w:rFonts w:ascii="宋体" w:hAnsi="宋体"/>
          <w:sz w:val="24"/>
        </w:rPr>
      </w:pPr>
      <w:r>
        <w:rPr>
          <w:rFonts w:hint="eastAsia" w:ascii="宋体" w:hAnsi="宋体"/>
          <w:sz w:val="24"/>
        </w:rPr>
        <w:t>19.3.2谈判</w:t>
      </w:r>
      <w:r>
        <w:rPr>
          <w:rFonts w:ascii="宋体" w:hAnsi="宋体"/>
          <w:sz w:val="24"/>
        </w:rPr>
        <w:t>委员会将根据投标人的</w:t>
      </w:r>
      <w:r>
        <w:rPr>
          <w:rFonts w:hint="eastAsia" w:ascii="宋体" w:hAnsi="宋体"/>
          <w:sz w:val="24"/>
        </w:rPr>
        <w:t>谈判响应文件</w:t>
      </w:r>
      <w:r>
        <w:rPr>
          <w:rFonts w:ascii="宋体" w:hAnsi="宋体"/>
          <w:sz w:val="24"/>
        </w:rPr>
        <w:t>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“政采云”在线询标时间由谈判委员会根据项目实际情况决定，投标人代表拒绝澄清或者澄清的内容改变了谈判响应文件的实质性内容的，评标委员会有权对该谈判响应文件作出不利于投标人的评判。</w:t>
      </w:r>
    </w:p>
    <w:p>
      <w:pPr>
        <w:pStyle w:val="30"/>
        <w:ind w:firstLine="482" w:firstLineChars="200"/>
        <w:rPr>
          <w:rFonts w:ascii="宋体" w:hAnsi="宋体"/>
          <w:b/>
          <w:sz w:val="24"/>
        </w:rPr>
      </w:pPr>
      <w:r>
        <w:rPr>
          <w:rFonts w:hint="eastAsia" w:ascii="宋体" w:hAnsi="宋体"/>
          <w:b/>
          <w:sz w:val="24"/>
        </w:rPr>
        <w:t>19.3.3投标人应详细说明投标技术方案中产品的具体参数，不得照搬照抄采购文件的技术要求。否则，评标委员会有权认定为投标技术方案不合格响应，其相关分数予以扣减或作无效标处理。</w:t>
      </w:r>
    </w:p>
    <w:p>
      <w:pPr>
        <w:pStyle w:val="30"/>
        <w:ind w:firstLine="480" w:firstLineChars="200"/>
        <w:rPr>
          <w:rFonts w:ascii="宋体" w:hAnsi="宋体"/>
          <w:sz w:val="24"/>
        </w:rPr>
      </w:pPr>
      <w:r>
        <w:rPr>
          <w:rFonts w:hint="eastAsia" w:ascii="宋体" w:hAnsi="宋体"/>
          <w:sz w:val="24"/>
        </w:rPr>
        <w:t>19.3.4如果谈判响应文件实质不响应采购文件的各项要求，评标委员会将予以拒绝，并且不允许投标人通过修改或撤销其不符合要求的差异或保留，使之成为具有响应性的投标。</w:t>
      </w:r>
    </w:p>
    <w:p>
      <w:pPr>
        <w:pStyle w:val="30"/>
        <w:ind w:firstLine="480" w:firstLineChars="200"/>
        <w:rPr>
          <w:rFonts w:ascii="宋体" w:hAnsi="宋体"/>
          <w:sz w:val="24"/>
        </w:rPr>
      </w:pPr>
      <w:r>
        <w:rPr>
          <w:rFonts w:hint="eastAsia" w:ascii="宋体" w:hAnsi="宋体"/>
          <w:sz w:val="24"/>
        </w:rPr>
        <w:t>19.3.5谈判专家</w:t>
      </w:r>
      <w:r>
        <w:rPr>
          <w:rFonts w:ascii="宋体" w:hAnsi="宋体"/>
          <w:sz w:val="24"/>
        </w:rPr>
        <w:t>完成</w:t>
      </w:r>
      <w:r>
        <w:rPr>
          <w:rFonts w:hint="eastAsia" w:ascii="宋体" w:hAnsi="宋体"/>
          <w:sz w:val="24"/>
        </w:rPr>
        <w:t>谈判</w:t>
      </w:r>
      <w:r>
        <w:rPr>
          <w:rFonts w:ascii="宋体" w:hAnsi="宋体"/>
          <w:sz w:val="24"/>
        </w:rPr>
        <w:t>后,</w:t>
      </w:r>
      <w:r>
        <w:rPr>
          <w:rFonts w:hint="eastAsia" w:ascii="宋体" w:hAnsi="宋体"/>
          <w:sz w:val="24"/>
        </w:rPr>
        <w:t xml:space="preserve"> 谈判</w:t>
      </w:r>
      <w:r>
        <w:rPr>
          <w:rFonts w:ascii="宋体" w:hAnsi="宋体"/>
          <w:sz w:val="24"/>
        </w:rPr>
        <w:t>委员会按</w:t>
      </w:r>
      <w:r>
        <w:rPr>
          <w:rFonts w:hint="eastAsia" w:ascii="宋体" w:hAnsi="宋体"/>
          <w:sz w:val="24"/>
        </w:rPr>
        <w:t>谈判结果确定</w:t>
      </w:r>
      <w:r>
        <w:rPr>
          <w:rFonts w:ascii="宋体" w:hAnsi="宋体"/>
          <w:sz w:val="24"/>
        </w:rPr>
        <w:t>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30"/>
        <w:ind w:firstLine="482" w:firstLineChars="200"/>
        <w:rPr>
          <w:rFonts w:ascii="宋体" w:hAnsi="宋体"/>
          <w:b/>
          <w:sz w:val="24"/>
        </w:rPr>
      </w:pPr>
      <w:r>
        <w:rPr>
          <w:rFonts w:hint="eastAsia" w:ascii="宋体" w:hAnsi="宋体"/>
          <w:b/>
          <w:sz w:val="24"/>
        </w:rPr>
        <w:t>19.3.6谈判委员会对明显不合理的投标报价，有权要求投标人在规定时间内提交说明，投标人不能提供的或提供的材料不能说明问题的，谈判委员会可以判定其投标无效。</w:t>
      </w:r>
    </w:p>
    <w:p>
      <w:pPr>
        <w:pStyle w:val="30"/>
        <w:ind w:firstLine="480" w:firstLineChars="200"/>
        <w:rPr>
          <w:rFonts w:ascii="宋体" w:hAnsi="宋体"/>
          <w:sz w:val="24"/>
        </w:rPr>
      </w:pPr>
      <w:r>
        <w:rPr>
          <w:rFonts w:hint="eastAsia" w:ascii="宋体" w:hAnsi="宋体"/>
          <w:sz w:val="24"/>
        </w:rPr>
        <w:t>19.3.7谈判人员对有关采购文件、谈判响应文件、解释、要求、标准存在不同意见的，持不同意见的谈判人员及其意见或理由应予以完整记录，并在谈判过程中按照少数服从多数的原则表决执行。谈判人员拒绝在评审报告中签字又不说明其不同意见或理由的，由现场监督员记录在案后，可视为同意评审结果。</w:t>
      </w:r>
    </w:p>
    <w:p>
      <w:pPr>
        <w:pStyle w:val="30"/>
        <w:ind w:firstLine="480" w:firstLineChars="200"/>
        <w:rPr>
          <w:rFonts w:ascii="宋体" w:hAnsi="宋体"/>
          <w:sz w:val="24"/>
        </w:rPr>
      </w:pPr>
      <w:r>
        <w:rPr>
          <w:rFonts w:hint="eastAsia" w:ascii="宋体" w:hAnsi="宋体"/>
          <w:sz w:val="24"/>
        </w:rPr>
        <w:t>19.3.8谈判</w:t>
      </w:r>
      <w:r>
        <w:rPr>
          <w:rFonts w:ascii="宋体" w:hAnsi="宋体"/>
          <w:sz w:val="24"/>
        </w:rPr>
        <w:t>委员会发现采购文件存在歧义、重大缺陷导致评标工作无法进行，或者采购文件内容违反国家有关强制性规定的，应当停止</w:t>
      </w:r>
      <w:r>
        <w:rPr>
          <w:rFonts w:hint="eastAsia" w:ascii="宋体" w:hAnsi="宋体"/>
          <w:sz w:val="24"/>
        </w:rPr>
        <w:t>谈判</w:t>
      </w:r>
      <w:r>
        <w:rPr>
          <w:rFonts w:ascii="宋体" w:hAnsi="宋体"/>
          <w:sz w:val="24"/>
        </w:rPr>
        <w:t>工作，与采购人或者采购代理机构沟通并作书面记录。采购人或者采购代理机构确认后，应当修改采购文件，重新组织采购活动。</w:t>
      </w:r>
    </w:p>
    <w:p>
      <w:pPr>
        <w:pStyle w:val="30"/>
        <w:ind w:firstLine="480" w:firstLineChars="200"/>
        <w:rPr>
          <w:rFonts w:ascii="宋体" w:hAnsi="宋体"/>
          <w:sz w:val="24"/>
        </w:rPr>
      </w:pPr>
    </w:p>
    <w:p>
      <w:pPr>
        <w:rPr>
          <w:rFonts w:ascii="宋体" w:hAnsi="宋体"/>
          <w:b/>
          <w:sz w:val="24"/>
          <w:szCs w:val="24"/>
        </w:rPr>
      </w:pPr>
      <w:r>
        <w:rPr>
          <w:rFonts w:hint="eastAsia"/>
        </w:rPr>
        <w:t xml:space="preserve">   </w:t>
      </w:r>
      <w:r>
        <w:rPr>
          <w:rFonts w:hint="eastAsia" w:ascii="宋体" w:hAnsi="宋体"/>
          <w:b/>
          <w:sz w:val="24"/>
          <w:szCs w:val="24"/>
        </w:rPr>
        <w:t xml:space="preserve"> 20 谈判响应文件的澄清</w:t>
      </w:r>
    </w:p>
    <w:p>
      <w:pPr>
        <w:spacing w:line="360" w:lineRule="exact"/>
        <w:ind w:firstLine="480" w:firstLineChars="200"/>
        <w:rPr>
          <w:rFonts w:ascii="宋体" w:hAnsi="宋体"/>
          <w:sz w:val="24"/>
        </w:rPr>
      </w:pPr>
      <w:r>
        <w:rPr>
          <w:rFonts w:hint="eastAsia" w:ascii="宋体" w:hAnsi="宋体"/>
          <w:sz w:val="24"/>
        </w:rPr>
        <w:t>对谈判响应文件中含义不明确、同类问题表述不一致或者有明显文字错误的内容，评标委员会可以在“政采云”平台在线询标或其他有效形式要求投标人对同一份谈判响应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谈判响应文件的范围或改变谈判响应文件的实质性内容。凡属于评标小组在评标中发现的计算错误并进行核实的修改不在此列。投标人的澄清文件是其谈判响应文件的组成部分。</w:t>
      </w:r>
    </w:p>
    <w:p>
      <w:pPr>
        <w:pStyle w:val="21"/>
        <w:snapToGrid w:val="0"/>
        <w:ind w:left="720" w:leftChars="228" w:hanging="241" w:hangingChars="100"/>
        <w:rPr>
          <w:rFonts w:ascii="宋体" w:hAnsi="宋体"/>
          <w:b/>
        </w:rPr>
      </w:pPr>
      <w:r>
        <w:rPr>
          <w:rFonts w:hint="eastAsia" w:ascii="宋体" w:hAnsi="宋体"/>
          <w:b/>
        </w:rPr>
        <w:t>21.</w:t>
      </w:r>
      <w:r>
        <w:rPr>
          <w:rFonts w:ascii="宋体" w:hAnsi="宋体"/>
          <w:b/>
        </w:rPr>
        <w:t>错误修正</w:t>
      </w:r>
    </w:p>
    <w:p>
      <w:pPr>
        <w:pStyle w:val="30"/>
        <w:ind w:firstLine="480" w:firstLineChars="200"/>
        <w:rPr>
          <w:rFonts w:ascii="宋体" w:hAnsi="宋体"/>
          <w:sz w:val="24"/>
        </w:rPr>
      </w:pPr>
      <w:r>
        <w:rPr>
          <w:rFonts w:hint="eastAsia" w:ascii="宋体" w:hAnsi="宋体"/>
          <w:color w:val="000000"/>
          <w:sz w:val="24"/>
          <w:szCs w:val="21"/>
        </w:rPr>
        <w:t>谈判响应文件</w:t>
      </w:r>
      <w:r>
        <w:rPr>
          <w:rFonts w:hint="eastAsia" w:ascii="宋体" w:hAnsi="宋体"/>
          <w:sz w:val="24"/>
        </w:rPr>
        <w:t>报价出现前后不一致的，按照下列规定修正：</w:t>
      </w:r>
    </w:p>
    <w:p>
      <w:pPr>
        <w:pStyle w:val="30"/>
        <w:ind w:firstLine="480" w:firstLineChars="200"/>
        <w:rPr>
          <w:rFonts w:ascii="宋体" w:hAnsi="宋体"/>
          <w:sz w:val="24"/>
        </w:rPr>
      </w:pPr>
      <w:r>
        <w:rPr>
          <w:rFonts w:hint="eastAsia" w:ascii="宋体" w:hAnsi="宋体"/>
          <w:sz w:val="24"/>
        </w:rPr>
        <w:t>21.1</w:t>
      </w:r>
      <w:r>
        <w:rPr>
          <w:rFonts w:hint="eastAsia" w:ascii="宋体" w:hAnsi="宋体"/>
          <w:color w:val="000000"/>
          <w:sz w:val="24"/>
          <w:szCs w:val="21"/>
        </w:rPr>
        <w:t>谈判响应文件</w:t>
      </w:r>
      <w:r>
        <w:rPr>
          <w:rFonts w:hint="eastAsia" w:ascii="宋体" w:hAnsi="宋体"/>
          <w:sz w:val="24"/>
        </w:rPr>
        <w:t>中开标一览表（报价表）内容与</w:t>
      </w:r>
      <w:r>
        <w:rPr>
          <w:rFonts w:hint="eastAsia" w:ascii="宋体" w:hAnsi="宋体"/>
          <w:color w:val="000000"/>
          <w:sz w:val="24"/>
          <w:szCs w:val="21"/>
        </w:rPr>
        <w:t>谈判响应文件</w:t>
      </w:r>
      <w:r>
        <w:rPr>
          <w:rFonts w:hint="eastAsia" w:ascii="宋体" w:hAnsi="宋体"/>
          <w:sz w:val="24"/>
        </w:rPr>
        <w:t>中相应内容不一致的，以开标一览表（报价表）为准。</w:t>
      </w:r>
    </w:p>
    <w:p>
      <w:pPr>
        <w:pStyle w:val="30"/>
        <w:ind w:firstLine="480" w:firstLineChars="200"/>
        <w:rPr>
          <w:rFonts w:ascii="宋体" w:hAnsi="宋体"/>
          <w:sz w:val="24"/>
        </w:rPr>
      </w:pPr>
      <w:r>
        <w:rPr>
          <w:rFonts w:hint="eastAsia" w:ascii="宋体" w:hAnsi="宋体"/>
          <w:sz w:val="24"/>
        </w:rPr>
        <w:t>21.2大写金额和小写金额不一致的，以大写金额为准。</w:t>
      </w:r>
    </w:p>
    <w:p>
      <w:pPr>
        <w:pStyle w:val="30"/>
        <w:ind w:firstLine="480" w:firstLineChars="200"/>
        <w:rPr>
          <w:rFonts w:ascii="宋体" w:hAnsi="宋体"/>
          <w:sz w:val="24"/>
        </w:rPr>
      </w:pPr>
      <w:r>
        <w:rPr>
          <w:rFonts w:hint="eastAsia" w:ascii="宋体" w:hAnsi="宋体"/>
          <w:sz w:val="24"/>
        </w:rPr>
        <w:t>21.3单价金额小数点或者百分比有明显错位的，以开标一览表的总价为准，并修改单价。</w:t>
      </w:r>
    </w:p>
    <w:p>
      <w:pPr>
        <w:pStyle w:val="30"/>
        <w:ind w:firstLine="480" w:firstLineChars="200"/>
        <w:rPr>
          <w:rFonts w:ascii="宋体" w:hAnsi="宋体"/>
          <w:sz w:val="24"/>
        </w:rPr>
      </w:pPr>
      <w:r>
        <w:rPr>
          <w:rFonts w:hint="eastAsia" w:ascii="宋体" w:hAnsi="宋体"/>
          <w:sz w:val="24"/>
        </w:rPr>
        <w:t>21.4总价金额与按单价汇总金额不一致的，以单价金额计算结果为准。</w:t>
      </w:r>
    </w:p>
    <w:p>
      <w:pPr>
        <w:pStyle w:val="30"/>
        <w:ind w:firstLine="480" w:firstLineChars="200"/>
        <w:rPr>
          <w:rFonts w:ascii="宋体" w:hAnsi="宋体"/>
          <w:sz w:val="24"/>
        </w:rPr>
      </w:pPr>
      <w:r>
        <w:rPr>
          <w:rFonts w:hint="eastAsia" w:ascii="宋体" w:hAnsi="宋体"/>
          <w:sz w:val="24"/>
        </w:rPr>
        <w:t>同时出现两种以上不一致的，按照上述规定的顺序修正。</w:t>
      </w:r>
    </w:p>
    <w:p>
      <w:pPr>
        <w:pStyle w:val="30"/>
        <w:ind w:firstLine="480" w:firstLineChars="200"/>
        <w:rPr>
          <w:rFonts w:ascii="宋体" w:hAnsi="宋体"/>
          <w:sz w:val="24"/>
        </w:rPr>
      </w:pPr>
      <w:r>
        <w:rPr>
          <w:rFonts w:ascii="宋体" w:hAnsi="宋体"/>
          <w:sz w:val="24"/>
        </w:rPr>
        <w:t>按上述修正错误的原则及方法调整或修正</w:t>
      </w:r>
      <w:r>
        <w:rPr>
          <w:rFonts w:hint="eastAsia" w:ascii="宋体" w:hAnsi="宋体"/>
          <w:color w:val="000000"/>
          <w:sz w:val="24"/>
          <w:szCs w:val="21"/>
        </w:rPr>
        <w:t>谈判响应文件</w:t>
      </w:r>
      <w:r>
        <w:rPr>
          <w:rFonts w:ascii="宋体" w:hAnsi="宋体"/>
          <w:sz w:val="24"/>
        </w:rPr>
        <w:t>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五、</w:t>
      </w:r>
      <w:r>
        <w:rPr>
          <w:rFonts w:ascii="黑体" w:hAnsi="黑体"/>
          <w:sz w:val="28"/>
          <w:szCs w:val="28"/>
        </w:rPr>
        <w:t>成交</w:t>
      </w:r>
      <w:r>
        <w:rPr>
          <w:rFonts w:hint="eastAsia" w:ascii="黑体" w:hAnsi="黑体"/>
          <w:sz w:val="28"/>
          <w:szCs w:val="28"/>
        </w:rPr>
        <w:t>通知</w:t>
      </w:r>
    </w:p>
    <w:p>
      <w:pPr>
        <w:ind w:firstLine="480" w:firstLineChars="200"/>
        <w:rPr>
          <w:rFonts w:ascii="宋体" w:hAnsi="宋体"/>
          <w:sz w:val="24"/>
        </w:rPr>
      </w:pPr>
      <w:r>
        <w:rPr>
          <w:rFonts w:hint="eastAsia" w:ascii="宋体" w:hAnsi="宋体"/>
          <w:sz w:val="24"/>
        </w:rPr>
        <w:t>22.谈判成功，各方就所有问题达成一致后，采购代理机构在2个工作日内将评审报告送采购人确认，采购人在收到评审报告后5个工作日内确定成交结果，采购代理机构在采购人确定成交结果之日起2个工作日内在浙江省政府采购网上发布成交公告，由采购代理机构通过“政采云”平台确认并签发《成交通知书》。</w:t>
      </w:r>
      <w:r>
        <w:rPr>
          <w:rFonts w:ascii="宋体" w:hAnsi="宋体"/>
          <w:sz w:val="24"/>
        </w:rPr>
        <w:t>《</w:t>
      </w:r>
      <w:r>
        <w:rPr>
          <w:rFonts w:hint="eastAsia" w:ascii="宋体" w:hAnsi="宋体"/>
          <w:sz w:val="24"/>
        </w:rPr>
        <w:t>成交</w:t>
      </w:r>
      <w:r>
        <w:rPr>
          <w:rFonts w:ascii="宋体" w:hAnsi="宋体"/>
          <w:sz w:val="24"/>
        </w:rPr>
        <w:t>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23</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ind w:firstLine="480" w:firstLineChars="200"/>
        <w:rPr>
          <w:rFonts w:ascii="宋体" w:hAnsi="宋体"/>
          <w:sz w:val="24"/>
        </w:rPr>
      </w:pPr>
      <w:r>
        <w:rPr>
          <w:rFonts w:hint="eastAsia" w:ascii="宋体" w:hAnsi="宋体"/>
          <w:sz w:val="24"/>
        </w:rPr>
        <w:t>成交供应商放弃成交结果的，除其</w:t>
      </w:r>
      <w:r>
        <w:rPr>
          <w:rFonts w:ascii="宋体" w:hAnsi="宋体"/>
          <w:sz w:val="24"/>
        </w:rPr>
        <w:t>谈判</w:t>
      </w:r>
      <w:r>
        <w:rPr>
          <w:rFonts w:hint="eastAsia" w:ascii="宋体" w:hAnsi="宋体"/>
          <w:sz w:val="24"/>
        </w:rPr>
        <w:t>保证金不予退还外，同时上报市公管办，市公管办将按《中华人民共和国政府采购法》、《诸暨市招投标市场不良行为记录暂行规定》等有关法律、法规、制度进行处理。</w:t>
      </w:r>
    </w:p>
    <w:p>
      <w:pPr>
        <w:ind w:firstLine="480" w:firstLineChars="200"/>
        <w:rPr>
          <w:rFonts w:ascii="宋体" w:hAnsi="宋体"/>
          <w:sz w:val="24"/>
        </w:rPr>
      </w:pPr>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六、授予合同</w:t>
      </w:r>
    </w:p>
    <w:p>
      <w:pPr>
        <w:snapToGrid w:val="0"/>
        <w:ind w:firstLine="472" w:firstLineChars="196"/>
        <w:rPr>
          <w:rFonts w:ascii="宋体" w:hAnsi="宋体"/>
          <w:b/>
          <w:bCs/>
          <w:sz w:val="24"/>
          <w:szCs w:val="20"/>
        </w:rPr>
      </w:pPr>
      <w:r>
        <w:rPr>
          <w:rFonts w:hint="eastAsia" w:ascii="宋体" w:hAnsi="宋体"/>
          <w:b/>
          <w:bCs/>
          <w:sz w:val="24"/>
        </w:rPr>
        <w:t>24.签订合同</w:t>
      </w:r>
    </w:p>
    <w:p>
      <w:pPr>
        <w:ind w:firstLine="480" w:firstLineChars="200"/>
        <w:rPr>
          <w:rFonts w:ascii="宋体" w:hAnsi="宋体"/>
          <w:sz w:val="24"/>
        </w:rPr>
      </w:pPr>
      <w:r>
        <w:rPr>
          <w:rFonts w:hint="eastAsia" w:ascii="宋体" w:hAnsi="宋体"/>
          <w:sz w:val="24"/>
        </w:rPr>
        <w:t>24.1</w:t>
      </w:r>
      <w:r>
        <w:rPr>
          <w:rFonts w:ascii="宋体" w:hAnsi="宋体"/>
          <w:sz w:val="24"/>
        </w:rPr>
        <w:t>成交供应商</w:t>
      </w:r>
      <w:r>
        <w:rPr>
          <w:rFonts w:hint="eastAsia" w:ascii="宋体" w:hAnsi="宋体"/>
          <w:sz w:val="24"/>
        </w:rPr>
        <w:t>须在领取《成交通知书》后30天内，根据《中华人民共和国合同法》、《中华人民共和国政府采购法》、《政府采购合同管理办法》等有关规定，依据采购文件和谈判响应文件的有关条款上门与相关用户单位（即采购单位）签订合同。</w:t>
      </w:r>
    </w:p>
    <w:p>
      <w:pPr>
        <w:ind w:firstLine="480" w:firstLineChars="200"/>
        <w:rPr>
          <w:rFonts w:ascii="宋体" w:hAnsi="宋体"/>
          <w:sz w:val="24"/>
        </w:rPr>
      </w:pPr>
      <w:r>
        <w:rPr>
          <w:rFonts w:hint="eastAsia" w:ascii="宋体" w:hAnsi="宋体"/>
          <w:sz w:val="24"/>
        </w:rPr>
        <w:t>24.2采购文件、谈判响应文件、谈判记录和《成交通知书》作为合同签订的依据和主要附件。</w:t>
      </w:r>
    </w:p>
    <w:p>
      <w:pPr>
        <w:ind w:firstLine="480" w:firstLineChars="200"/>
        <w:rPr>
          <w:rFonts w:ascii="宋体" w:hAnsi="宋体"/>
          <w:sz w:val="24"/>
        </w:rPr>
      </w:pPr>
      <w:r>
        <w:rPr>
          <w:rFonts w:hint="eastAsia" w:ascii="宋体" w:hAnsi="宋体"/>
          <w:sz w:val="24"/>
        </w:rPr>
        <w:t>24.3 合同一式四份，用户单位和成交供应商各执二份。</w:t>
      </w:r>
    </w:p>
    <w:p>
      <w:pPr>
        <w:ind w:firstLine="480" w:firstLineChars="200"/>
        <w:rPr>
          <w:rFonts w:ascii="宋体" w:hAnsi="宋体"/>
          <w:sz w:val="24"/>
        </w:rPr>
      </w:pPr>
      <w:r>
        <w:rPr>
          <w:rFonts w:hint="eastAsia" w:ascii="宋体" w:hAnsi="宋体"/>
          <w:sz w:val="24"/>
        </w:rPr>
        <w:t>24.4</w:t>
      </w:r>
      <w:r>
        <w:rPr>
          <w:rFonts w:ascii="宋体" w:hAnsi="宋体"/>
          <w:sz w:val="24"/>
        </w:rPr>
        <w:t>成交供应商</w:t>
      </w:r>
      <w:r>
        <w:rPr>
          <w:rFonts w:hint="eastAsia" w:ascii="宋体" w:hAnsi="宋体"/>
          <w:sz w:val="24"/>
        </w:rPr>
        <w:t>和用户单位不得擅自变更、中止或者终止合同，不得另外订立背离合同实质性内容的其它协议。</w:t>
      </w:r>
    </w:p>
    <w:p>
      <w:pPr>
        <w:snapToGrid w:val="0"/>
        <w:ind w:firstLine="472" w:firstLineChars="196"/>
        <w:rPr>
          <w:rFonts w:ascii="宋体" w:hAnsi="宋体"/>
          <w:b/>
          <w:bCs/>
          <w:sz w:val="24"/>
        </w:rPr>
      </w:pPr>
      <w:r>
        <w:rPr>
          <w:rFonts w:hint="eastAsia" w:ascii="宋体" w:hAnsi="宋体"/>
          <w:b/>
          <w:bCs/>
          <w:sz w:val="24"/>
        </w:rPr>
        <w:t>25.</w:t>
      </w:r>
      <w:r>
        <w:rPr>
          <w:rFonts w:ascii="宋体" w:hAnsi="宋体"/>
          <w:b/>
          <w:bCs/>
          <w:sz w:val="24"/>
        </w:rPr>
        <w:t>履约保证金</w:t>
      </w:r>
    </w:p>
    <w:p>
      <w:pPr>
        <w:ind w:firstLine="480" w:firstLineChars="200"/>
        <w:rPr>
          <w:rFonts w:ascii="宋体" w:hAnsi="宋体"/>
          <w:sz w:val="24"/>
        </w:rPr>
      </w:pPr>
      <w:r>
        <w:rPr>
          <w:rFonts w:hint="eastAsia" w:ascii="宋体" w:hAnsi="宋体"/>
          <w:sz w:val="24"/>
        </w:rPr>
        <w:t>25.1本项目免收履约保证金。</w:t>
      </w:r>
    </w:p>
    <w:p>
      <w:pPr>
        <w:ind w:firstLine="480" w:firstLineChars="200"/>
        <w:rPr>
          <w:rFonts w:ascii="宋体" w:hAnsi="宋体"/>
          <w:sz w:val="24"/>
        </w:rPr>
      </w:pPr>
      <w:r>
        <w:rPr>
          <w:rFonts w:hint="eastAsia" w:ascii="宋体" w:hAnsi="宋体"/>
          <w:sz w:val="24"/>
        </w:rPr>
        <w:t>25.2成交供应商不履行与采购人订立的合同的，履约保证金不予退还，给采购单位造成损失的，应当对采购单位的损失承担赔偿责任。</w:t>
      </w:r>
    </w:p>
    <w:p>
      <w:pPr>
        <w:snapToGrid w:val="0"/>
        <w:ind w:firstLine="472" w:firstLineChars="196"/>
        <w:rPr>
          <w:rFonts w:ascii="宋体" w:hAnsi="宋体"/>
          <w:b/>
          <w:bCs/>
          <w:sz w:val="24"/>
        </w:rPr>
      </w:pPr>
      <w:r>
        <w:rPr>
          <w:rFonts w:hint="eastAsia" w:ascii="宋体" w:hAnsi="宋体"/>
          <w:b/>
          <w:bCs/>
          <w:sz w:val="24"/>
        </w:rPr>
        <w:t>26.授标及废除授标</w:t>
      </w:r>
    </w:p>
    <w:p>
      <w:pPr>
        <w:pStyle w:val="30"/>
        <w:ind w:firstLine="480" w:firstLineChars="200"/>
        <w:rPr>
          <w:rFonts w:ascii="宋体" w:hAnsi="宋体"/>
          <w:sz w:val="24"/>
        </w:rPr>
      </w:pPr>
      <w:r>
        <w:rPr>
          <w:rFonts w:hint="eastAsia" w:ascii="宋体" w:hAnsi="宋体"/>
          <w:sz w:val="24"/>
        </w:rPr>
        <w:t>26.1 采购合同应当授予</w:t>
      </w:r>
      <w:r>
        <w:rPr>
          <w:rFonts w:ascii="宋体" w:hAnsi="宋体"/>
          <w:color w:val="000000"/>
          <w:sz w:val="24"/>
        </w:rPr>
        <w:t>成交供应商</w:t>
      </w:r>
      <w:r>
        <w:rPr>
          <w:rFonts w:hint="eastAsia" w:ascii="宋体" w:hAnsi="宋体"/>
          <w:sz w:val="24"/>
        </w:rPr>
        <w:t>。</w:t>
      </w:r>
    </w:p>
    <w:p>
      <w:pPr>
        <w:pStyle w:val="30"/>
        <w:ind w:firstLine="480" w:firstLineChars="200"/>
        <w:rPr>
          <w:rFonts w:ascii="宋体" w:hAnsi="宋体"/>
          <w:sz w:val="24"/>
        </w:rPr>
      </w:pPr>
      <w:r>
        <w:rPr>
          <w:rFonts w:hint="eastAsia" w:ascii="宋体" w:hAnsi="宋体"/>
          <w:sz w:val="24"/>
        </w:rPr>
        <w:t>26.2《成交通知书》发出之后，若证实</w:t>
      </w:r>
      <w:r>
        <w:rPr>
          <w:rFonts w:ascii="宋体" w:hAnsi="宋体"/>
          <w:color w:val="000000"/>
          <w:sz w:val="24"/>
        </w:rPr>
        <w:t>成交供应商</w:t>
      </w:r>
      <w:r>
        <w:rPr>
          <w:rFonts w:hint="eastAsia" w:ascii="宋体" w:hAnsi="宋体"/>
          <w:sz w:val="24"/>
        </w:rPr>
        <w:t>存在下列情形之一的，仍然可以废除授标，已签订合同的，合同无效，并按有关规定处理：</w:t>
      </w:r>
    </w:p>
    <w:p>
      <w:pPr>
        <w:pStyle w:val="30"/>
        <w:ind w:left="420" w:firstLine="0"/>
        <w:rPr>
          <w:rFonts w:ascii="宋体" w:hAnsi="宋体"/>
          <w:sz w:val="24"/>
        </w:rPr>
      </w:pPr>
      <w:r>
        <w:rPr>
          <w:rFonts w:hint="eastAsia" w:ascii="宋体" w:hAnsi="宋体"/>
          <w:sz w:val="24"/>
        </w:rPr>
        <w:t>26.2.1弄虚作假或串通谈判骗取成交的；</w:t>
      </w:r>
    </w:p>
    <w:p>
      <w:pPr>
        <w:pStyle w:val="30"/>
        <w:ind w:left="420" w:firstLine="0"/>
        <w:rPr>
          <w:rFonts w:ascii="宋体" w:hAnsi="宋体"/>
          <w:sz w:val="24"/>
        </w:rPr>
      </w:pPr>
      <w:r>
        <w:rPr>
          <w:rFonts w:hint="eastAsia" w:ascii="宋体" w:hAnsi="宋体"/>
          <w:sz w:val="24"/>
        </w:rPr>
        <w:t>26.2.2向有关人员行贿或者采取其他不正当手段谋取中标的；</w:t>
      </w:r>
    </w:p>
    <w:p>
      <w:pPr>
        <w:pStyle w:val="30"/>
        <w:ind w:left="420" w:firstLine="0"/>
        <w:rPr>
          <w:rFonts w:ascii="宋体" w:hAnsi="宋体"/>
          <w:sz w:val="24"/>
        </w:rPr>
      </w:pPr>
      <w:r>
        <w:rPr>
          <w:rFonts w:hint="eastAsia" w:ascii="宋体" w:hAnsi="宋体"/>
          <w:sz w:val="24"/>
        </w:rPr>
        <w:t>26.2.3于谈判有效期终止之前撤回其谈判响应文件的；</w:t>
      </w:r>
    </w:p>
    <w:p>
      <w:pPr>
        <w:pStyle w:val="30"/>
        <w:ind w:left="420" w:firstLine="0"/>
        <w:rPr>
          <w:rFonts w:ascii="宋体" w:hAnsi="宋体"/>
          <w:sz w:val="24"/>
        </w:rPr>
      </w:pPr>
      <w:r>
        <w:rPr>
          <w:rFonts w:hint="eastAsia" w:ascii="宋体" w:hAnsi="宋体"/>
          <w:sz w:val="24"/>
        </w:rPr>
        <w:t>26.2.4因</w:t>
      </w:r>
      <w:r>
        <w:rPr>
          <w:rFonts w:ascii="宋体" w:hAnsi="宋体"/>
          <w:color w:val="000000"/>
          <w:sz w:val="24"/>
        </w:rPr>
        <w:t>成交供应商</w:t>
      </w:r>
      <w:r>
        <w:rPr>
          <w:rFonts w:hint="eastAsia" w:ascii="宋体" w:hAnsi="宋体"/>
          <w:sz w:val="24"/>
        </w:rPr>
        <w:t>未能按照有关规定提交履约保证金的；</w:t>
      </w:r>
    </w:p>
    <w:p>
      <w:pPr>
        <w:pStyle w:val="30"/>
        <w:ind w:left="420" w:firstLine="0"/>
        <w:rPr>
          <w:rFonts w:ascii="宋体" w:hAnsi="宋体"/>
          <w:sz w:val="24"/>
        </w:rPr>
      </w:pPr>
      <w:r>
        <w:rPr>
          <w:rFonts w:hint="eastAsia" w:ascii="宋体" w:hAnsi="宋体"/>
          <w:sz w:val="24"/>
        </w:rPr>
        <w:t>26.2.5因</w:t>
      </w:r>
      <w:r>
        <w:rPr>
          <w:rFonts w:ascii="宋体" w:hAnsi="宋体"/>
          <w:color w:val="000000"/>
          <w:sz w:val="24"/>
        </w:rPr>
        <w:t>成交供应商</w:t>
      </w:r>
      <w:r>
        <w:rPr>
          <w:rFonts w:hint="eastAsia" w:ascii="宋体" w:hAnsi="宋体"/>
          <w:sz w:val="24"/>
        </w:rPr>
        <w:t>未能按照有关规定与用户单位签订采购合同的；</w:t>
      </w:r>
    </w:p>
    <w:p>
      <w:pPr>
        <w:pStyle w:val="30"/>
        <w:ind w:left="420" w:firstLine="0"/>
        <w:rPr>
          <w:rFonts w:ascii="宋体" w:hAnsi="宋体"/>
          <w:sz w:val="24"/>
        </w:rPr>
      </w:pPr>
      <w:r>
        <w:rPr>
          <w:rFonts w:hint="eastAsia" w:ascii="宋体" w:hAnsi="宋体"/>
          <w:sz w:val="24"/>
        </w:rPr>
        <w:t>26.2.6未能按中标产品、型号、配置等及时供货的；</w:t>
      </w:r>
    </w:p>
    <w:p>
      <w:pPr>
        <w:pStyle w:val="30"/>
        <w:ind w:left="420" w:firstLine="0"/>
        <w:rPr>
          <w:rFonts w:ascii="宋体" w:hAnsi="宋体"/>
          <w:sz w:val="24"/>
        </w:rPr>
      </w:pPr>
      <w:r>
        <w:rPr>
          <w:rFonts w:hint="eastAsia" w:ascii="宋体" w:hAnsi="宋体"/>
          <w:sz w:val="24"/>
        </w:rPr>
        <w:t>26.2.7拒绝接受有关部门监督检查的；</w:t>
      </w:r>
    </w:p>
    <w:p>
      <w:pPr>
        <w:pStyle w:val="30"/>
        <w:ind w:left="420" w:firstLine="0"/>
        <w:rPr>
          <w:rFonts w:ascii="宋体" w:hAnsi="宋体"/>
          <w:sz w:val="24"/>
        </w:rPr>
      </w:pPr>
      <w:r>
        <w:rPr>
          <w:rFonts w:hint="eastAsia" w:ascii="宋体" w:hAnsi="宋体"/>
          <w:sz w:val="24"/>
        </w:rPr>
        <w:t>26.2.8存在法律、法规规定的其它损害采购人或用户单位利益或社会公共利益的情形的。</w:t>
      </w:r>
    </w:p>
    <w:p>
      <w:pPr>
        <w:snapToGrid w:val="0"/>
        <w:ind w:firstLine="472" w:firstLineChars="196"/>
        <w:rPr>
          <w:rFonts w:ascii="宋体" w:hAnsi="宋体"/>
          <w:b/>
          <w:bCs/>
          <w:sz w:val="24"/>
        </w:rPr>
      </w:pPr>
      <w:r>
        <w:rPr>
          <w:rFonts w:hint="eastAsia" w:ascii="宋体" w:hAnsi="宋体"/>
          <w:b/>
          <w:bCs/>
          <w:sz w:val="24"/>
        </w:rPr>
        <w:t>27.相关责任</w:t>
      </w:r>
    </w:p>
    <w:p>
      <w:pPr>
        <w:pStyle w:val="30"/>
        <w:ind w:firstLine="480" w:firstLineChars="200"/>
        <w:rPr>
          <w:rFonts w:ascii="宋体" w:hAnsi="宋体"/>
          <w:sz w:val="24"/>
        </w:rPr>
      </w:pPr>
      <w:r>
        <w:rPr>
          <w:rFonts w:hint="eastAsia" w:ascii="宋体" w:hAnsi="宋体"/>
          <w:sz w:val="24"/>
        </w:rPr>
        <w:t>27.1用户单位不签订合同，给</w:t>
      </w:r>
      <w:r>
        <w:rPr>
          <w:rFonts w:ascii="宋体" w:hAnsi="宋体"/>
          <w:color w:val="000000"/>
          <w:sz w:val="24"/>
        </w:rPr>
        <w:t>成交供应商</w:t>
      </w:r>
      <w:r>
        <w:rPr>
          <w:rFonts w:hint="eastAsia" w:ascii="宋体" w:hAnsi="宋体"/>
          <w:sz w:val="24"/>
        </w:rPr>
        <w:t>造成损失的，由采购单位承担。</w:t>
      </w:r>
    </w:p>
    <w:p>
      <w:pPr>
        <w:pStyle w:val="30"/>
        <w:ind w:firstLine="480" w:firstLineChars="200"/>
        <w:rPr>
          <w:rFonts w:ascii="宋体" w:hAnsi="宋体"/>
          <w:sz w:val="24"/>
        </w:rPr>
      </w:pPr>
      <w:r>
        <w:rPr>
          <w:rFonts w:hint="eastAsia" w:ascii="宋体" w:hAnsi="宋体"/>
          <w:sz w:val="24"/>
        </w:rPr>
        <w:t>27.2成交供应商无正当理由弃标或在法定时间内不签订合同或未按有关规定提交履约保证金的，将取消中标资格，并按《中华人民共和国政府采购法》、《诸暨市招投标市场不良行为记录暂行规定》等有关规定予以处理。</w:t>
      </w:r>
    </w:p>
    <w:p>
      <w:pPr>
        <w:snapToGrid w:val="0"/>
        <w:ind w:firstLine="472" w:firstLineChars="196"/>
        <w:rPr>
          <w:rFonts w:ascii="宋体" w:hAnsi="宋体"/>
          <w:b/>
          <w:bCs/>
          <w:sz w:val="24"/>
        </w:rPr>
      </w:pPr>
      <w:r>
        <w:rPr>
          <w:rFonts w:hint="eastAsia" w:ascii="宋体" w:hAnsi="宋体"/>
          <w:b/>
          <w:bCs/>
          <w:sz w:val="24"/>
        </w:rPr>
        <w:t>28.合同备案</w:t>
      </w:r>
    </w:p>
    <w:p>
      <w:pPr>
        <w:ind w:firstLine="480" w:firstLineChars="200"/>
        <w:rPr>
          <w:sz w:val="24"/>
        </w:rPr>
      </w:pPr>
      <w:r>
        <w:rPr>
          <w:rFonts w:hint="eastAsia" w:ascii="宋体" w:hAnsi="宋体"/>
          <w:sz w:val="24"/>
        </w:rPr>
        <w:t>采购人应当自采购合同签订之日起七个工作日内，通过政采云系统上传合同进行备案。</w:t>
      </w:r>
    </w:p>
    <w:p>
      <w:pPr>
        <w:pStyle w:val="3"/>
        <w:spacing w:before="0" w:after="0" w:line="240" w:lineRule="auto"/>
        <w:ind w:firstLine="562" w:firstLineChars="200"/>
        <w:jc w:val="center"/>
        <w:rPr>
          <w:rFonts w:ascii="宋体" w:hAnsi="宋体" w:eastAsia="宋体"/>
          <w:sz w:val="28"/>
          <w:szCs w:val="28"/>
        </w:rPr>
      </w:pPr>
    </w:p>
    <w:p>
      <w:pPr>
        <w:pStyle w:val="3"/>
        <w:spacing w:before="0" w:after="0" w:line="240" w:lineRule="auto"/>
        <w:ind w:firstLine="562" w:firstLineChars="200"/>
        <w:jc w:val="center"/>
        <w:rPr>
          <w:rFonts w:ascii="宋体" w:hAnsi="宋体" w:eastAsia="宋体"/>
          <w:sz w:val="28"/>
          <w:szCs w:val="28"/>
        </w:rPr>
      </w:pPr>
      <w:r>
        <w:rPr>
          <w:rFonts w:hint="eastAsia" w:ascii="宋体" w:hAnsi="宋体" w:eastAsia="宋体"/>
          <w:sz w:val="28"/>
          <w:szCs w:val="28"/>
        </w:rPr>
        <w:t>七、不良行为记录</w:t>
      </w:r>
    </w:p>
    <w:p>
      <w:pPr>
        <w:ind w:firstLine="480" w:firstLineChars="200"/>
        <w:rPr>
          <w:rFonts w:ascii="宋体" w:hAnsi="宋体"/>
          <w:sz w:val="24"/>
          <w:szCs w:val="24"/>
        </w:rPr>
      </w:pPr>
      <w:r>
        <w:rPr>
          <w:rFonts w:hint="eastAsia" w:ascii="宋体" w:hAnsi="宋体"/>
          <w:sz w:val="24"/>
          <w:szCs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4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tcPr>
          <w:p>
            <w:pPr>
              <w:jc w:val="center"/>
              <w:rPr>
                <w:rFonts w:ascii="宋体" w:hAnsi="宋体"/>
                <w:b/>
                <w:bCs/>
                <w:sz w:val="24"/>
                <w:szCs w:val="24"/>
              </w:rPr>
            </w:pPr>
            <w:r>
              <w:rPr>
                <w:rFonts w:hint="eastAsia" w:ascii="宋体" w:hAnsi="宋体"/>
                <w:b/>
                <w:bCs/>
                <w:sz w:val="24"/>
                <w:szCs w:val="24"/>
              </w:rPr>
              <w:t>序号</w:t>
            </w:r>
          </w:p>
        </w:tc>
        <w:tc>
          <w:tcPr>
            <w:tcW w:w="6433" w:type="dxa"/>
            <w:vAlign w:val="center"/>
          </w:tcPr>
          <w:p>
            <w:pPr>
              <w:jc w:val="center"/>
              <w:rPr>
                <w:rFonts w:ascii="宋体" w:hAnsi="宋体"/>
                <w:b/>
                <w:bCs/>
                <w:sz w:val="24"/>
                <w:szCs w:val="24"/>
              </w:rPr>
            </w:pPr>
            <w:r>
              <w:rPr>
                <w:rFonts w:hint="eastAsia" w:ascii="宋体" w:hAnsi="宋体"/>
                <w:b/>
                <w:bCs/>
                <w:sz w:val="24"/>
                <w:szCs w:val="24"/>
              </w:rPr>
              <w:t>不良行为</w:t>
            </w:r>
          </w:p>
        </w:tc>
        <w:tc>
          <w:tcPr>
            <w:tcW w:w="1326" w:type="dxa"/>
          </w:tcPr>
          <w:p>
            <w:pPr>
              <w:jc w:val="center"/>
              <w:rPr>
                <w:rFonts w:ascii="宋体" w:hAnsi="宋体"/>
                <w:b/>
                <w:bCs/>
                <w:sz w:val="24"/>
                <w:szCs w:val="24"/>
              </w:rPr>
            </w:pPr>
            <w:r>
              <w:rPr>
                <w:rFonts w:hint="eastAsia" w:ascii="宋体" w:hAnsi="宋体"/>
                <w:b/>
                <w:bCs/>
                <w:sz w:val="24"/>
                <w:szCs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在采购采购过程中，与采购人进行协商谈判的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投标有效期内撤回其谈判响应文件的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拒绝有关部门监督检查或提供虚假情况的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不积极配合采购单位做好标的验收工作的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不遵守投标会场纪律，无理取闹，扰乱交易秩序的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与采购人、其他供应商或者采购代理机构相互串通的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采取不正当手段排挤其他供应商，进行不公平竞争的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中标后与采购人另行订立背离合同实质内容的协议的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事先有承诺，而事后违反承诺内容的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将中标项目转包或违反规定进行分包的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jc w:val="center"/>
              <w:rPr>
                <w:rFonts w:ascii="宋体" w:hAnsi="宋体"/>
                <w:sz w:val="24"/>
                <w:szCs w:val="24"/>
              </w:rPr>
            </w:pPr>
            <w:r>
              <w:rPr>
                <w:rFonts w:hint="eastAsia" w:ascii="宋体" w:hAnsi="宋体"/>
                <w:sz w:val="24"/>
                <w:szCs w:val="24"/>
              </w:rPr>
              <w:t>18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未按照采购合同约定及时提供全部货物的，或无故拖延工期的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jc w:val="center"/>
              <w:rPr>
                <w:rFonts w:ascii="宋体" w:hAnsi="宋体"/>
                <w:sz w:val="24"/>
                <w:szCs w:val="24"/>
              </w:rPr>
            </w:pPr>
            <w:r>
              <w:rPr>
                <w:rFonts w:hint="eastAsia" w:ascii="宋体" w:hAnsi="宋体"/>
                <w:sz w:val="24"/>
                <w:szCs w:val="24"/>
              </w:rPr>
              <w:t>19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提供假冒伪劣产品或走私物品的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擅自变更、中止、终止或解除政府采购合同的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向有关人员行贿或者提供不正当利益谋取中标的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vAlign w:val="center"/>
          </w:tcPr>
          <w:p>
            <w:pPr>
              <w:jc w:val="center"/>
              <w:rPr>
                <w:rFonts w:ascii="宋体" w:hAnsi="宋体"/>
                <w:sz w:val="24"/>
                <w:szCs w:val="24"/>
              </w:rPr>
            </w:pPr>
            <w:r>
              <w:rPr>
                <w:rFonts w:hint="eastAsia" w:ascii="宋体" w:hAnsi="宋体"/>
                <w:sz w:val="24"/>
                <w:szCs w:val="24"/>
              </w:rPr>
              <w:t>酌情处理</w:t>
            </w:r>
          </w:p>
        </w:tc>
      </w:tr>
    </w:tbl>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八、监督和解释</w:t>
      </w:r>
    </w:p>
    <w:p>
      <w:pPr>
        <w:ind w:firstLine="482" w:firstLineChars="200"/>
        <w:rPr>
          <w:rFonts w:ascii="宋体" w:hAnsi="宋体"/>
          <w:sz w:val="24"/>
        </w:rPr>
      </w:pPr>
      <w:r>
        <w:rPr>
          <w:rFonts w:hint="eastAsia" w:ascii="宋体" w:hAnsi="宋体"/>
          <w:b/>
          <w:bCs/>
          <w:sz w:val="24"/>
        </w:rPr>
        <w:t>29.</w:t>
      </w:r>
      <w:r>
        <w:rPr>
          <w:rFonts w:hint="eastAsia" w:ascii="宋体" w:hAnsi="宋体"/>
          <w:sz w:val="24"/>
        </w:rPr>
        <w:t>本次采购活动接受诸暨市监察局、诸暨市财政局、诸暨市公共资源交易管理委员会办公室的监督。</w:t>
      </w:r>
    </w:p>
    <w:p>
      <w:pPr>
        <w:ind w:firstLine="482" w:firstLineChars="200"/>
        <w:rPr>
          <w:rFonts w:ascii="宋体" w:hAnsi="宋体"/>
          <w:b/>
          <w:bCs/>
          <w:sz w:val="24"/>
        </w:rPr>
      </w:pPr>
      <w:r>
        <w:rPr>
          <w:rFonts w:hint="eastAsia" w:ascii="宋体" w:hAnsi="宋体"/>
          <w:b/>
          <w:bCs/>
          <w:sz w:val="24"/>
        </w:rPr>
        <w:t>30.</w:t>
      </w:r>
      <w:r>
        <w:rPr>
          <w:rFonts w:hint="eastAsia" w:ascii="宋体" w:hAnsi="宋体"/>
          <w:bCs/>
          <w:sz w:val="24"/>
        </w:rPr>
        <w:t>本采购文件的解释权属于采购单位和诸暨市公共资源交易中心。</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bookmarkEnd w:id="28"/>
    <w:p>
      <w:pPr>
        <w:rPr>
          <w:rFonts w:ascii="宋体" w:hAnsi="宋体"/>
          <w:b/>
          <w:sz w:val="36"/>
          <w:szCs w:val="36"/>
        </w:rPr>
      </w:pPr>
      <w:r>
        <w:rPr>
          <w:rFonts w:hint="eastAsia" w:ascii="宋体" w:hAnsi="宋体"/>
          <w:b/>
          <w:sz w:val="36"/>
          <w:szCs w:val="36"/>
        </w:rPr>
        <w:t xml:space="preserve"> </w:t>
      </w:r>
    </w:p>
    <w:p>
      <w:pPr>
        <w:pStyle w:val="2"/>
        <w:pageBreakBefore/>
        <w:autoSpaceDE/>
        <w:autoSpaceDN/>
        <w:spacing w:before="240" w:after="240" w:line="400" w:lineRule="atLeast"/>
        <w:jc w:val="center"/>
        <w:textAlignment w:val="baseline"/>
        <w:rPr>
          <w:rFonts w:ascii="宋体" w:hAnsi="宋体"/>
          <w:kern w:val="0"/>
          <w:sz w:val="36"/>
          <w:szCs w:val="36"/>
        </w:rPr>
      </w:pPr>
      <w:bookmarkStart w:id="29" w:name="_Toc482787716"/>
      <w:r>
        <w:rPr>
          <w:rFonts w:hint="eastAsia" w:ascii="宋体" w:hAnsi="宋体"/>
          <w:kern w:val="0"/>
          <w:sz w:val="36"/>
          <w:szCs w:val="36"/>
        </w:rPr>
        <w:t>第三章  采购需求</w:t>
      </w:r>
      <w:bookmarkEnd w:id="29"/>
    </w:p>
    <w:p>
      <w:pPr>
        <w:spacing w:line="4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（一）经营管理范围</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1.1经营管理项目名称：西施大剧院（含剧院和影院以及各附属功能设施）</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1.2经营管理项目地点：诸暨市民公园东南角。</w:t>
      </w:r>
    </w:p>
    <w:p>
      <w:pPr>
        <w:spacing w:line="400" w:lineRule="exact"/>
        <w:ind w:firstLine="480" w:firstLineChars="200"/>
        <w:rPr>
          <w:rFonts w:ascii="宋体" w:hAnsi="宋体" w:cs="宋体"/>
          <w:color w:val="auto"/>
          <w:sz w:val="24"/>
          <w:szCs w:val="24"/>
        </w:rPr>
      </w:pPr>
      <w:bookmarkStart w:id="30" w:name="bookmark3"/>
      <w:bookmarkEnd w:id="30"/>
      <w:r>
        <w:rPr>
          <w:rFonts w:hint="eastAsia" w:ascii="宋体" w:hAnsi="宋体" w:cs="宋体"/>
          <w:color w:val="auto"/>
          <w:sz w:val="24"/>
          <w:szCs w:val="24"/>
        </w:rPr>
        <w:t>1.3经营管理范围：</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1.3.1西施大剧院规划红线以内A、B区建筑内所有空间和设施设备包括 A区的主剧场（以下简称</w:t>
      </w:r>
      <w:r>
        <w:rPr>
          <w:rFonts w:hint="eastAsia" w:ascii="宋体" w:hAnsi="宋体" w:cs="宋体"/>
          <w:color w:val="auto"/>
          <w:sz w:val="24"/>
          <w:szCs w:val="24"/>
          <w:lang w:val="zh-CN"/>
        </w:rPr>
        <w:t>“大剧</w:t>
      </w:r>
      <w:r>
        <w:rPr>
          <w:rFonts w:hint="eastAsia" w:ascii="宋体" w:hAnsi="宋体" w:cs="宋体"/>
          <w:color w:val="auto"/>
          <w:sz w:val="24"/>
          <w:szCs w:val="24"/>
        </w:rPr>
        <w:t>场”）、贵宾厅、排练厅、化妆间、会议室、办公室、库房、能源中心、消防监控室及其它公共空间；B区的电影厅、24小时自助书屋、办公室、配套商业用房和空间；A、B区域配套的暖通、强弱电系统、消防与监控系统、舞台专业设备设施等。</w:t>
      </w:r>
      <w:bookmarkStart w:id="31" w:name="bookmark4"/>
      <w:bookmarkEnd w:id="31"/>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1.3.2规划红线以内A、B区建筑外的广场（不含绿化部分）。</w:t>
      </w:r>
    </w:p>
    <w:p>
      <w:pPr>
        <w:spacing w:line="400" w:lineRule="exact"/>
        <w:ind w:firstLine="480" w:firstLineChars="200"/>
        <w:rPr>
          <w:rFonts w:ascii="宋体" w:hAnsi="宋体" w:cs="宋体"/>
          <w:color w:val="auto"/>
          <w:sz w:val="24"/>
          <w:szCs w:val="24"/>
        </w:rPr>
      </w:pPr>
      <w:bookmarkStart w:id="32" w:name="bookmark5"/>
      <w:bookmarkEnd w:id="32"/>
      <w:r>
        <w:rPr>
          <w:rFonts w:hint="eastAsia" w:ascii="宋体" w:hAnsi="宋体" w:cs="宋体"/>
          <w:color w:val="auto"/>
          <w:sz w:val="24"/>
          <w:szCs w:val="24"/>
        </w:rPr>
        <w:t>1.4.经营内容：以组织经营高雅艺术演出和电影放映为主，以艺术普及、艺术教育、培育高雅艺术演出市场和服务观众的经营活动、场地租赁活动以及停车场管理为辅。其它辅助经营项目须报经业主方同意后方可实施。</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（二）经营管理指标</w:t>
      </w:r>
    </w:p>
    <w:p>
      <w:pPr>
        <w:spacing w:line="400" w:lineRule="exact"/>
        <w:ind w:firstLine="480" w:firstLineChars="200"/>
        <w:rPr>
          <w:rFonts w:ascii="宋体" w:hAnsi="宋体" w:cs="宋体"/>
          <w:sz w:val="24"/>
          <w:szCs w:val="24"/>
        </w:rPr>
      </w:pPr>
      <w:bookmarkStart w:id="33" w:name="bookmark9"/>
      <w:bookmarkEnd w:id="33"/>
      <w:r>
        <w:rPr>
          <w:rFonts w:hint="eastAsia" w:ascii="宋体" w:hAnsi="宋体" w:cs="宋体"/>
          <w:sz w:val="24"/>
          <w:szCs w:val="24"/>
        </w:rPr>
        <w:t xml:space="preserve">2.1演出经营 </w:t>
      </w:r>
    </w:p>
    <w:p>
      <w:pPr>
        <w:spacing w:line="400" w:lineRule="exact"/>
        <w:ind w:firstLine="480" w:firstLineChars="200"/>
        <w:rPr>
          <w:rFonts w:ascii="宋体" w:hAnsi="宋体" w:cs="宋体"/>
          <w:sz w:val="24"/>
          <w:szCs w:val="24"/>
        </w:rPr>
      </w:pPr>
      <w:r>
        <w:rPr>
          <w:rFonts w:hint="eastAsia" w:ascii="宋体" w:hAnsi="宋体" w:cs="宋体"/>
          <w:color w:val="auto"/>
          <w:sz w:val="24"/>
          <w:szCs w:val="24"/>
        </w:rPr>
        <w:t>本</w:t>
      </w:r>
      <w:r>
        <w:rPr>
          <w:rFonts w:ascii="宋体" w:hAnsi="宋体" w:cs="宋体"/>
          <w:color w:val="auto"/>
          <w:sz w:val="24"/>
          <w:szCs w:val="24"/>
        </w:rPr>
        <w:t>采购</w:t>
      </w:r>
      <w:r>
        <w:rPr>
          <w:rFonts w:hint="eastAsia" w:ascii="宋体" w:hAnsi="宋体" w:cs="宋体"/>
          <w:color w:val="auto"/>
          <w:sz w:val="24"/>
          <w:szCs w:val="24"/>
        </w:rPr>
        <w:t>项目</w:t>
      </w:r>
      <w:r>
        <w:rPr>
          <w:rFonts w:hint="eastAsia" w:ascii="宋体" w:hAnsi="宋体" w:cs="宋体"/>
          <w:sz w:val="24"/>
          <w:szCs w:val="24"/>
        </w:rPr>
        <w:t>所指的演出是指由在剧场舞台上的所有商业演出。</w:t>
      </w:r>
    </w:p>
    <w:p>
      <w:pPr>
        <w:spacing w:line="400" w:lineRule="exact"/>
        <w:ind w:firstLine="480" w:firstLineChars="200"/>
        <w:rPr>
          <w:rFonts w:ascii="宋体" w:hAnsi="宋体" w:cs="宋体"/>
          <w:sz w:val="24"/>
          <w:szCs w:val="24"/>
        </w:rPr>
      </w:pPr>
      <w:r>
        <w:rPr>
          <w:rFonts w:hint="eastAsia" w:ascii="宋体" w:hAnsi="宋体" w:cs="宋体"/>
          <w:sz w:val="24"/>
          <w:szCs w:val="24"/>
        </w:rPr>
        <w:t>2.2演出场次</w:t>
      </w:r>
    </w:p>
    <w:p>
      <w:pPr>
        <w:spacing w:line="400" w:lineRule="exact"/>
        <w:ind w:firstLine="480" w:firstLineChars="200"/>
        <w:rPr>
          <w:rFonts w:ascii="宋体" w:hAnsi="宋体" w:cs="宋体"/>
          <w:sz w:val="24"/>
          <w:szCs w:val="24"/>
        </w:rPr>
      </w:pPr>
      <w:r>
        <w:rPr>
          <w:rFonts w:hint="eastAsia" w:ascii="宋体" w:hAnsi="宋体" w:cs="宋体"/>
          <w:sz w:val="24"/>
          <w:szCs w:val="24"/>
        </w:rPr>
        <w:t>2.2.1演出分为中标单位自营演出、公益演出、租场演出等。</w:t>
      </w:r>
    </w:p>
    <w:p>
      <w:pPr>
        <w:spacing w:line="400" w:lineRule="exact"/>
        <w:ind w:firstLine="480" w:firstLineChars="200"/>
        <w:rPr>
          <w:rFonts w:ascii="宋体" w:hAnsi="宋体" w:cs="宋体"/>
          <w:sz w:val="24"/>
          <w:szCs w:val="24"/>
        </w:rPr>
      </w:pPr>
      <w:r>
        <w:rPr>
          <w:rFonts w:hint="eastAsia" w:ascii="宋体" w:hAnsi="宋体" w:cs="宋体"/>
          <w:sz w:val="24"/>
          <w:szCs w:val="24"/>
        </w:rPr>
        <w:t>2.2.2中标单位承诺：从2022年1月1日起，每年在西施大剧院组织的演出和活动不低于80场，其中自营演出不低于60场；文化艺术讲座、论坛、公益惠民活动和租场等艺术普及相关活动不低于20场。</w:t>
      </w:r>
    </w:p>
    <w:p>
      <w:pPr>
        <w:spacing w:line="400" w:lineRule="exact"/>
        <w:ind w:firstLine="480" w:firstLineChars="200"/>
        <w:rPr>
          <w:rFonts w:ascii="宋体" w:hAnsi="宋体" w:cs="宋体"/>
          <w:sz w:val="24"/>
          <w:szCs w:val="24"/>
        </w:rPr>
      </w:pPr>
      <w:r>
        <w:rPr>
          <w:rFonts w:hint="eastAsia" w:ascii="宋体" w:hAnsi="宋体" w:cs="宋体"/>
          <w:sz w:val="24"/>
          <w:szCs w:val="24"/>
        </w:rPr>
        <w:t>2.3演出档次</w:t>
      </w:r>
    </w:p>
    <w:p>
      <w:pPr>
        <w:spacing w:line="400" w:lineRule="exact"/>
        <w:ind w:firstLine="480" w:firstLineChars="200"/>
        <w:rPr>
          <w:rFonts w:ascii="宋体" w:hAnsi="宋体" w:cs="宋体"/>
          <w:sz w:val="24"/>
          <w:szCs w:val="24"/>
        </w:rPr>
      </w:pPr>
      <w:r>
        <w:rPr>
          <w:rFonts w:hint="eastAsia" w:ascii="宋体" w:hAnsi="宋体" w:cs="宋体"/>
          <w:sz w:val="24"/>
          <w:szCs w:val="24"/>
        </w:rPr>
        <w:t>2.3.1大剧场的演出档次分为A、B、C三类：</w:t>
      </w:r>
    </w:p>
    <w:p>
      <w:pPr>
        <w:spacing w:line="400" w:lineRule="exact"/>
        <w:ind w:firstLine="480" w:firstLineChars="200"/>
        <w:rPr>
          <w:rFonts w:ascii="宋体" w:hAnsi="宋体" w:cs="宋体"/>
          <w:sz w:val="24"/>
          <w:szCs w:val="24"/>
        </w:rPr>
      </w:pPr>
      <w:bookmarkStart w:id="34" w:name="bookmark43"/>
      <w:bookmarkEnd w:id="34"/>
      <w:r>
        <w:rPr>
          <w:rFonts w:ascii="宋体" w:hAnsi="宋体" w:cs="宋体"/>
          <w:sz w:val="24"/>
          <w:szCs w:val="24"/>
        </w:rPr>
        <w:t>（1）</w:t>
      </w:r>
      <w:r>
        <w:rPr>
          <w:rFonts w:hint="eastAsia" w:ascii="宋体" w:hAnsi="宋体" w:cs="宋体"/>
          <w:sz w:val="24"/>
          <w:szCs w:val="24"/>
        </w:rPr>
        <w:t>A类演出指：</w:t>
      </w:r>
    </w:p>
    <w:p>
      <w:pPr>
        <w:spacing w:line="400" w:lineRule="exact"/>
        <w:ind w:firstLine="480" w:firstLineChars="200"/>
        <w:rPr>
          <w:rFonts w:ascii="宋体" w:hAnsi="宋体" w:cs="宋体"/>
          <w:sz w:val="24"/>
          <w:szCs w:val="24"/>
        </w:rPr>
      </w:pPr>
      <w:bookmarkStart w:id="35" w:name="bookmark44"/>
      <w:r>
        <w:rPr>
          <w:rFonts w:hint="eastAsia" w:ascii="宋体" w:hAnsi="宋体" w:cs="宋体"/>
          <w:sz w:val="24"/>
          <w:szCs w:val="24"/>
        </w:rPr>
        <w:t>a</w:t>
      </w:r>
      <w:bookmarkEnd w:id="35"/>
      <w:r>
        <w:rPr>
          <w:rFonts w:hint="eastAsia" w:ascii="宋体" w:hAnsi="宋体" w:cs="宋体"/>
          <w:sz w:val="24"/>
          <w:szCs w:val="24"/>
        </w:rPr>
        <w:t>、欧美地区演出团体名称中带有国家名、皇家、城市名、广播、模范字样以及著名艺术家命名的演出团体；</w:t>
      </w:r>
    </w:p>
    <w:p>
      <w:pPr>
        <w:spacing w:line="400" w:lineRule="exact"/>
        <w:ind w:firstLine="480" w:firstLineChars="200"/>
        <w:rPr>
          <w:rFonts w:ascii="宋体" w:hAnsi="宋体" w:cs="宋体"/>
          <w:sz w:val="24"/>
          <w:szCs w:val="24"/>
        </w:rPr>
      </w:pPr>
      <w:bookmarkStart w:id="36" w:name="bookmark45"/>
      <w:r>
        <w:rPr>
          <w:rFonts w:hint="eastAsia" w:ascii="宋体" w:hAnsi="宋体" w:cs="宋体"/>
          <w:sz w:val="24"/>
          <w:szCs w:val="24"/>
        </w:rPr>
        <w:t>b</w:t>
      </w:r>
      <w:bookmarkEnd w:id="36"/>
      <w:r>
        <w:rPr>
          <w:rFonts w:hint="eastAsia" w:ascii="宋体" w:hAnsi="宋体" w:cs="宋体"/>
          <w:sz w:val="24"/>
          <w:szCs w:val="24"/>
        </w:rPr>
        <w:t>、在国际艺术比赛中获得奖项的国内外演出团体；</w:t>
      </w:r>
    </w:p>
    <w:p>
      <w:pPr>
        <w:spacing w:line="400" w:lineRule="exact"/>
        <w:ind w:firstLine="480" w:firstLineChars="200"/>
        <w:rPr>
          <w:rFonts w:ascii="宋体" w:hAnsi="宋体" w:cs="宋体"/>
          <w:sz w:val="24"/>
          <w:szCs w:val="24"/>
        </w:rPr>
      </w:pPr>
      <w:bookmarkStart w:id="37" w:name="bookmark46"/>
      <w:r>
        <w:rPr>
          <w:rFonts w:hint="eastAsia" w:ascii="宋体" w:hAnsi="宋体" w:cs="宋体"/>
          <w:sz w:val="24"/>
          <w:szCs w:val="24"/>
        </w:rPr>
        <w:t>c</w:t>
      </w:r>
      <w:bookmarkEnd w:id="37"/>
      <w:r>
        <w:rPr>
          <w:rFonts w:hint="eastAsia" w:ascii="宋体" w:hAnsi="宋体" w:cs="宋体"/>
          <w:sz w:val="24"/>
          <w:szCs w:val="24"/>
        </w:rPr>
        <w:t>、国内演出团体中直属国家文化部、广播电影电视总局及带有中国、中央字样以及著名艺术家命名的艺术团体；</w:t>
      </w:r>
    </w:p>
    <w:p>
      <w:pPr>
        <w:spacing w:line="400" w:lineRule="exact"/>
        <w:ind w:firstLine="480" w:firstLineChars="200"/>
        <w:rPr>
          <w:rFonts w:ascii="宋体" w:hAnsi="宋体" w:cs="宋体"/>
          <w:sz w:val="24"/>
          <w:szCs w:val="24"/>
        </w:rPr>
      </w:pPr>
      <w:bookmarkStart w:id="38" w:name="bookmark47"/>
      <w:r>
        <w:rPr>
          <w:rFonts w:hint="eastAsia" w:ascii="宋体" w:hAnsi="宋体" w:cs="宋体"/>
          <w:sz w:val="24"/>
          <w:szCs w:val="24"/>
        </w:rPr>
        <w:t>d</w:t>
      </w:r>
      <w:bookmarkEnd w:id="38"/>
      <w:r>
        <w:rPr>
          <w:rFonts w:hint="eastAsia" w:ascii="宋体" w:hAnsi="宋体" w:cs="宋体"/>
          <w:sz w:val="24"/>
          <w:szCs w:val="24"/>
        </w:rPr>
        <w:t>、获国家舞台艺术精品工程入选剧目、获文化部</w:t>
      </w:r>
      <w:r>
        <w:rPr>
          <w:rFonts w:hint="eastAsia" w:ascii="宋体" w:hAnsi="宋体" w:cs="宋体"/>
          <w:sz w:val="24"/>
          <w:szCs w:val="24"/>
          <w:lang w:val="zh-CN"/>
        </w:rPr>
        <w:t>“文</w:t>
      </w:r>
      <w:r>
        <w:rPr>
          <w:rFonts w:hint="eastAsia" w:ascii="宋体" w:hAnsi="宋体" w:cs="宋体"/>
          <w:sz w:val="24"/>
          <w:szCs w:val="24"/>
        </w:rPr>
        <w:t>华奖”节目、 获中宣部</w:t>
      </w:r>
      <w:r>
        <w:rPr>
          <w:rFonts w:hint="eastAsia" w:ascii="宋体" w:hAnsi="宋体" w:cs="宋体"/>
          <w:sz w:val="24"/>
          <w:szCs w:val="24"/>
          <w:lang w:val="zh-CN"/>
        </w:rPr>
        <w:t>“五</w:t>
      </w:r>
      <w:r>
        <w:rPr>
          <w:rFonts w:hint="eastAsia" w:ascii="宋体" w:hAnsi="宋体" w:cs="宋体"/>
          <w:sz w:val="24"/>
          <w:szCs w:val="24"/>
        </w:rPr>
        <w:t>个一工程奖”的优秀舞台艺术佳作的演出；</w:t>
      </w:r>
    </w:p>
    <w:p>
      <w:pPr>
        <w:spacing w:line="400" w:lineRule="exact"/>
        <w:ind w:firstLine="480" w:firstLineChars="200"/>
        <w:rPr>
          <w:rFonts w:ascii="宋体" w:hAnsi="宋体" w:cs="宋体"/>
          <w:sz w:val="24"/>
          <w:szCs w:val="24"/>
        </w:rPr>
      </w:pPr>
      <w:r>
        <w:rPr>
          <w:rFonts w:hint="eastAsia" w:ascii="宋体" w:hAnsi="宋体" w:cs="宋体"/>
          <w:sz w:val="24"/>
          <w:szCs w:val="24"/>
        </w:rPr>
        <w:t>e、主要演员和导演曾获“梅花奖”、“荷花奖”、“曹禺戏剧奖”、“牡丹奖”等全国性艺术奖项的参演或创作剧目；</w:t>
      </w:r>
    </w:p>
    <w:p>
      <w:pPr>
        <w:spacing w:line="400" w:lineRule="exact"/>
        <w:ind w:firstLine="480" w:firstLineChars="200"/>
        <w:rPr>
          <w:rFonts w:ascii="宋体" w:hAnsi="宋体" w:cs="宋体"/>
          <w:sz w:val="24"/>
          <w:szCs w:val="24"/>
        </w:rPr>
      </w:pPr>
      <w:bookmarkStart w:id="39" w:name="bookmark49"/>
      <w:r>
        <w:rPr>
          <w:rFonts w:hint="eastAsia" w:ascii="宋体" w:hAnsi="宋体" w:cs="宋体"/>
          <w:sz w:val="24"/>
          <w:szCs w:val="24"/>
        </w:rPr>
        <w:t>f</w:t>
      </w:r>
      <w:bookmarkEnd w:id="39"/>
      <w:r>
        <w:rPr>
          <w:rFonts w:hint="eastAsia" w:ascii="宋体" w:hAnsi="宋体" w:cs="宋体"/>
          <w:sz w:val="24"/>
          <w:szCs w:val="24"/>
        </w:rPr>
        <w:t>、获国际专业艺术比赛大奖或国家授予荣誉称号的艺术家为主演的剧（节）目；</w:t>
      </w:r>
    </w:p>
    <w:p>
      <w:pPr>
        <w:spacing w:line="400" w:lineRule="exact"/>
        <w:ind w:firstLine="480" w:firstLineChars="200"/>
        <w:rPr>
          <w:rFonts w:ascii="宋体" w:hAnsi="宋体" w:cs="宋体"/>
          <w:sz w:val="24"/>
          <w:szCs w:val="24"/>
        </w:rPr>
      </w:pPr>
      <w:bookmarkStart w:id="40" w:name="bookmark50"/>
      <w:r>
        <w:rPr>
          <w:rFonts w:hint="eastAsia" w:ascii="宋体" w:hAnsi="宋体" w:cs="宋体"/>
          <w:sz w:val="24"/>
          <w:szCs w:val="24"/>
        </w:rPr>
        <w:t>g</w:t>
      </w:r>
      <w:bookmarkEnd w:id="40"/>
      <w:r>
        <w:rPr>
          <w:rFonts w:hint="eastAsia" w:ascii="宋体" w:hAnsi="宋体" w:cs="宋体"/>
          <w:sz w:val="24"/>
          <w:szCs w:val="24"/>
        </w:rPr>
        <w:t>、中国军委政治工作部直属艺术团体；</w:t>
      </w:r>
    </w:p>
    <w:p>
      <w:pPr>
        <w:spacing w:line="400" w:lineRule="exact"/>
        <w:ind w:firstLine="480" w:firstLineChars="200"/>
        <w:rPr>
          <w:rFonts w:ascii="宋体" w:hAnsi="宋体" w:cs="宋体"/>
          <w:sz w:val="24"/>
          <w:szCs w:val="24"/>
        </w:rPr>
      </w:pPr>
      <w:r>
        <w:rPr>
          <w:rFonts w:hint="eastAsia" w:ascii="宋体" w:hAnsi="宋体" w:cs="宋体"/>
          <w:sz w:val="24"/>
          <w:szCs w:val="24"/>
        </w:rPr>
        <w:t>h、国内省级艺术院团获得中宣部、国家文化部、中国文联主办的各单项舞台艺术最高奖项的演出项目;</w:t>
      </w:r>
    </w:p>
    <w:p>
      <w:pPr>
        <w:spacing w:line="400" w:lineRule="exact"/>
        <w:ind w:firstLine="480" w:firstLineChars="200"/>
        <w:rPr>
          <w:rFonts w:ascii="宋体" w:hAnsi="宋体" w:cs="宋体"/>
          <w:sz w:val="24"/>
          <w:szCs w:val="24"/>
        </w:rPr>
      </w:pPr>
      <w:r>
        <w:rPr>
          <w:rFonts w:hint="eastAsia" w:ascii="宋体" w:hAnsi="宋体" w:cs="宋体"/>
          <w:sz w:val="24"/>
          <w:szCs w:val="24"/>
        </w:rPr>
        <w:t>i、属于国家艺术基金资助项目的剧（节）目。</w:t>
      </w:r>
    </w:p>
    <w:p>
      <w:pPr>
        <w:spacing w:line="400" w:lineRule="exact"/>
        <w:ind w:firstLine="480" w:firstLineChars="200"/>
        <w:rPr>
          <w:rFonts w:ascii="宋体" w:hAnsi="宋体" w:cs="宋体"/>
          <w:sz w:val="24"/>
          <w:szCs w:val="24"/>
        </w:rPr>
      </w:pPr>
      <w:bookmarkStart w:id="41" w:name="bookmark51"/>
      <w:r>
        <w:rPr>
          <w:rFonts w:hint="eastAsia" w:ascii="宋体" w:hAnsi="宋体" w:cs="宋体"/>
          <w:sz w:val="24"/>
          <w:szCs w:val="24"/>
        </w:rPr>
        <w:t>（</w:t>
      </w:r>
      <w:bookmarkEnd w:id="41"/>
      <w:r>
        <w:rPr>
          <w:rFonts w:hint="eastAsia" w:ascii="宋体" w:hAnsi="宋体" w:cs="宋体"/>
          <w:sz w:val="24"/>
          <w:szCs w:val="24"/>
        </w:rPr>
        <w:t>2）B类演出指：</w:t>
      </w:r>
    </w:p>
    <w:p>
      <w:pPr>
        <w:spacing w:line="400" w:lineRule="exact"/>
        <w:ind w:firstLine="480" w:firstLineChars="200"/>
        <w:rPr>
          <w:rFonts w:ascii="宋体" w:hAnsi="宋体" w:cs="宋体"/>
          <w:sz w:val="24"/>
          <w:szCs w:val="24"/>
        </w:rPr>
      </w:pPr>
      <w:bookmarkStart w:id="42" w:name="bookmark52"/>
      <w:r>
        <w:rPr>
          <w:rFonts w:hint="eastAsia" w:ascii="宋体" w:hAnsi="宋体" w:cs="宋体"/>
          <w:sz w:val="24"/>
          <w:szCs w:val="24"/>
        </w:rPr>
        <w:t>a</w:t>
      </w:r>
      <w:bookmarkEnd w:id="42"/>
      <w:r>
        <w:rPr>
          <w:rFonts w:hint="eastAsia" w:ascii="宋体" w:hAnsi="宋体" w:cs="宋体"/>
          <w:sz w:val="24"/>
          <w:szCs w:val="24"/>
        </w:rPr>
        <w:t>、各直辖市（省、自治区）党委宣传部、文化厅（局）直属的艺术团体；</w:t>
      </w:r>
    </w:p>
    <w:p>
      <w:pPr>
        <w:spacing w:line="400" w:lineRule="exact"/>
        <w:ind w:firstLine="480" w:firstLineChars="200"/>
        <w:rPr>
          <w:rFonts w:ascii="宋体" w:hAnsi="宋体" w:cs="宋体"/>
          <w:sz w:val="24"/>
          <w:szCs w:val="24"/>
        </w:rPr>
      </w:pPr>
      <w:bookmarkStart w:id="43" w:name="bookmark53"/>
      <w:r>
        <w:rPr>
          <w:rFonts w:hint="eastAsia" w:ascii="宋体" w:hAnsi="宋体" w:cs="宋体"/>
          <w:sz w:val="24"/>
          <w:szCs w:val="24"/>
        </w:rPr>
        <w:t>b</w:t>
      </w:r>
      <w:bookmarkEnd w:id="43"/>
      <w:r>
        <w:rPr>
          <w:rFonts w:hint="eastAsia" w:ascii="宋体" w:hAnsi="宋体" w:cs="宋体"/>
          <w:sz w:val="24"/>
          <w:szCs w:val="24"/>
        </w:rPr>
        <w:t>、国外 艺术团体名称中带有青年字样或冠以洲际名称的艺术团体；</w:t>
      </w:r>
    </w:p>
    <w:p>
      <w:pPr>
        <w:spacing w:line="400" w:lineRule="exact"/>
        <w:ind w:firstLine="480" w:firstLineChars="200"/>
        <w:rPr>
          <w:rFonts w:ascii="宋体" w:hAnsi="宋体" w:cs="宋体"/>
          <w:sz w:val="24"/>
          <w:szCs w:val="24"/>
        </w:rPr>
      </w:pPr>
      <w:bookmarkStart w:id="44" w:name="bookmark54"/>
      <w:r>
        <w:rPr>
          <w:rFonts w:hint="eastAsia" w:ascii="宋体" w:hAnsi="宋体" w:cs="宋体"/>
          <w:sz w:val="24"/>
          <w:szCs w:val="24"/>
        </w:rPr>
        <w:t>c</w:t>
      </w:r>
      <w:bookmarkEnd w:id="44"/>
      <w:r>
        <w:rPr>
          <w:rFonts w:hint="eastAsia" w:ascii="宋体" w:hAnsi="宋体" w:cs="宋体"/>
          <w:sz w:val="24"/>
          <w:szCs w:val="24"/>
        </w:rPr>
        <w:t>、其它城市艺术院团中有地方特色的以及获得省委宣传部、省文化厅或省文联主办的省级以上舞台艺术专业评奖最高奖项的优秀剧（节）目的演出。</w:t>
      </w:r>
    </w:p>
    <w:p>
      <w:pPr>
        <w:spacing w:line="400" w:lineRule="exact"/>
        <w:ind w:firstLine="480" w:firstLineChars="200"/>
        <w:rPr>
          <w:rFonts w:ascii="宋体" w:hAnsi="宋体" w:cs="宋体"/>
          <w:sz w:val="24"/>
          <w:szCs w:val="24"/>
        </w:rPr>
      </w:pPr>
      <w:bookmarkStart w:id="45" w:name="bookmark57"/>
      <w:r>
        <w:rPr>
          <w:rFonts w:hint="eastAsia" w:ascii="宋体" w:hAnsi="宋体" w:cs="宋体"/>
          <w:sz w:val="24"/>
          <w:szCs w:val="24"/>
        </w:rPr>
        <w:t>（</w:t>
      </w:r>
      <w:bookmarkEnd w:id="45"/>
      <w:r>
        <w:rPr>
          <w:rFonts w:hint="eastAsia" w:ascii="宋体" w:hAnsi="宋体" w:cs="宋体"/>
          <w:sz w:val="24"/>
          <w:szCs w:val="24"/>
        </w:rPr>
        <w:t>3）C类演出是指A、B类演出以外的演出、实验话剧及小型艺术表演。</w:t>
      </w:r>
    </w:p>
    <w:p>
      <w:pPr>
        <w:spacing w:line="400" w:lineRule="exact"/>
        <w:ind w:firstLine="480" w:firstLineChars="200"/>
        <w:rPr>
          <w:rFonts w:ascii="宋体" w:hAnsi="宋体" w:cs="宋体"/>
          <w:sz w:val="24"/>
          <w:szCs w:val="24"/>
        </w:rPr>
      </w:pPr>
      <w:r>
        <w:rPr>
          <w:rFonts w:hint="eastAsia" w:ascii="宋体" w:hAnsi="宋体" w:cs="宋体"/>
          <w:sz w:val="24"/>
          <w:szCs w:val="24"/>
        </w:rPr>
        <w:t>2.3.2中标单位承诺，每年西施大剧院自营演出中，A类演出不少于18场次, B类演出不少于24场次。</w:t>
      </w:r>
    </w:p>
    <w:p>
      <w:pPr>
        <w:spacing w:line="400" w:lineRule="exact"/>
        <w:ind w:firstLine="480" w:firstLineChars="200"/>
        <w:rPr>
          <w:rFonts w:ascii="宋体" w:hAnsi="宋体" w:cs="宋体"/>
          <w:sz w:val="24"/>
          <w:szCs w:val="24"/>
        </w:rPr>
      </w:pPr>
      <w:r>
        <w:rPr>
          <w:rFonts w:hint="eastAsia" w:ascii="宋体" w:hAnsi="宋体" w:cs="宋体"/>
          <w:sz w:val="24"/>
          <w:szCs w:val="24"/>
        </w:rPr>
        <w:t>2.4上座率</w:t>
      </w:r>
    </w:p>
    <w:p>
      <w:pPr>
        <w:spacing w:line="400" w:lineRule="exact"/>
        <w:ind w:firstLine="480" w:firstLineChars="200"/>
        <w:rPr>
          <w:rFonts w:ascii="宋体" w:hAnsi="宋体" w:cs="宋体"/>
          <w:sz w:val="24"/>
          <w:szCs w:val="24"/>
        </w:rPr>
      </w:pPr>
      <w:r>
        <w:rPr>
          <w:rFonts w:hint="eastAsia" w:ascii="宋体" w:hAnsi="宋体" w:cs="宋体"/>
          <w:sz w:val="24"/>
          <w:szCs w:val="24"/>
        </w:rPr>
        <w:t>2.4.1上座率的计算不包含租场演出以及租场活动。</w:t>
      </w:r>
    </w:p>
    <w:p>
      <w:pPr>
        <w:spacing w:line="400" w:lineRule="exact"/>
        <w:ind w:firstLine="480" w:firstLineChars="200"/>
        <w:rPr>
          <w:rFonts w:ascii="宋体" w:hAnsi="宋体" w:cs="宋体"/>
          <w:sz w:val="24"/>
          <w:szCs w:val="24"/>
        </w:rPr>
      </w:pPr>
      <w:r>
        <w:rPr>
          <w:rFonts w:hint="eastAsia" w:ascii="宋体" w:hAnsi="宋体" w:cs="宋体"/>
          <w:sz w:val="24"/>
          <w:szCs w:val="24"/>
        </w:rPr>
        <w:t>2.4.2中标单位承诺年上座率平均不低于65%。电子验票系统建成前，上座率以出票数为依据进行统计，电子验票系统建成后，上座率以实际上座数为依据进行统计。</w:t>
      </w:r>
    </w:p>
    <w:p>
      <w:pPr>
        <w:spacing w:line="400" w:lineRule="exact"/>
        <w:ind w:firstLine="480" w:firstLineChars="200"/>
        <w:rPr>
          <w:rFonts w:ascii="宋体" w:hAnsi="宋体" w:cs="宋体"/>
          <w:sz w:val="24"/>
          <w:szCs w:val="24"/>
        </w:rPr>
      </w:pPr>
      <w:r>
        <w:rPr>
          <w:rFonts w:hint="eastAsia" w:ascii="宋体" w:hAnsi="宋体" w:cs="宋体"/>
          <w:sz w:val="24"/>
          <w:szCs w:val="24"/>
        </w:rPr>
        <w:t>2.5平均票价</w:t>
      </w:r>
    </w:p>
    <w:p>
      <w:pPr>
        <w:spacing w:line="400" w:lineRule="exact"/>
        <w:ind w:firstLine="480" w:firstLineChars="200"/>
        <w:rPr>
          <w:rFonts w:ascii="宋体" w:hAnsi="宋体" w:cs="宋体"/>
          <w:sz w:val="24"/>
          <w:szCs w:val="24"/>
        </w:rPr>
      </w:pPr>
      <w:r>
        <w:rPr>
          <w:rFonts w:hint="eastAsia" w:ascii="宋体" w:hAnsi="宋体" w:cs="宋体"/>
          <w:sz w:val="24"/>
          <w:szCs w:val="24"/>
        </w:rPr>
        <w:t>2.5.1平均票价是指全年的演出票价的平均值，年终按票房实际销售票价的平均值来计算。</w:t>
      </w:r>
    </w:p>
    <w:p>
      <w:pPr>
        <w:spacing w:line="400" w:lineRule="exact"/>
        <w:ind w:firstLine="480" w:firstLineChars="200"/>
        <w:rPr>
          <w:rFonts w:ascii="宋体" w:hAnsi="宋体" w:cs="宋体"/>
          <w:sz w:val="24"/>
          <w:szCs w:val="24"/>
        </w:rPr>
      </w:pPr>
      <w:r>
        <w:rPr>
          <w:rFonts w:hint="eastAsia" w:ascii="宋体" w:hAnsi="宋体" w:cs="宋体"/>
          <w:sz w:val="24"/>
          <w:szCs w:val="24"/>
        </w:rPr>
        <w:t>2.5.2中标单位承诺西施大剧院为体现公益性，自营演出年平均票价将不超过200元，公益性演出最高票价不超过100元；艺术教育普及活动票价不超过50元。</w:t>
      </w:r>
    </w:p>
    <w:p>
      <w:pPr>
        <w:spacing w:line="400" w:lineRule="exact"/>
        <w:ind w:firstLine="480" w:firstLineChars="200"/>
        <w:rPr>
          <w:rFonts w:ascii="宋体" w:hAnsi="宋体" w:cs="宋体"/>
          <w:sz w:val="24"/>
          <w:szCs w:val="24"/>
        </w:rPr>
      </w:pPr>
      <w:r>
        <w:rPr>
          <w:rFonts w:hint="eastAsia" w:ascii="宋体" w:hAnsi="宋体" w:cs="宋体"/>
          <w:sz w:val="24"/>
          <w:szCs w:val="24"/>
        </w:rPr>
        <w:t>2.6其他</w:t>
      </w:r>
    </w:p>
    <w:p>
      <w:pPr>
        <w:spacing w:line="400" w:lineRule="exact"/>
        <w:ind w:firstLine="480" w:firstLineChars="200"/>
        <w:rPr>
          <w:rFonts w:ascii="宋体" w:hAnsi="宋体" w:cs="宋体"/>
          <w:sz w:val="24"/>
          <w:szCs w:val="24"/>
        </w:rPr>
      </w:pPr>
      <w:r>
        <w:rPr>
          <w:rFonts w:hint="eastAsia" w:ascii="宋体" w:hAnsi="宋体" w:cs="宋体"/>
          <w:sz w:val="24"/>
          <w:szCs w:val="24"/>
        </w:rPr>
        <w:t>2.6.1西施大剧院在所管理区域内举办让市民共同参与的公益文化活动每年不少于12次。</w:t>
      </w:r>
    </w:p>
    <w:p>
      <w:pPr>
        <w:spacing w:line="400" w:lineRule="exact"/>
        <w:ind w:firstLine="480" w:firstLineChars="200"/>
        <w:rPr>
          <w:rFonts w:ascii="宋体" w:hAnsi="宋体" w:cs="宋体"/>
          <w:sz w:val="24"/>
          <w:szCs w:val="24"/>
        </w:rPr>
      </w:pPr>
      <w:r>
        <w:rPr>
          <w:rFonts w:hint="eastAsia" w:ascii="宋体" w:hAnsi="宋体" w:cs="宋体"/>
          <w:sz w:val="24"/>
          <w:szCs w:val="24"/>
        </w:rPr>
        <w:t>2.6.2中标单位承诺每场演出根据业主方需要以及实际情况可向业主方免费提供一定数量的观摩工作票。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（三）业主方的权利与责任</w:t>
      </w:r>
    </w:p>
    <w:p>
      <w:pPr>
        <w:spacing w:line="400" w:lineRule="exact"/>
        <w:ind w:firstLine="480" w:firstLineChars="200"/>
        <w:rPr>
          <w:rFonts w:ascii="宋体" w:hAnsi="宋体" w:cs="宋体"/>
          <w:sz w:val="24"/>
          <w:szCs w:val="24"/>
        </w:rPr>
      </w:pPr>
      <w:r>
        <w:rPr>
          <w:rFonts w:hint="eastAsia" w:ascii="宋体" w:hAnsi="宋体" w:cs="宋体"/>
          <w:sz w:val="24"/>
          <w:szCs w:val="24"/>
        </w:rPr>
        <w:t>3.1业主方权利</w:t>
      </w:r>
    </w:p>
    <w:p>
      <w:pPr>
        <w:spacing w:line="400" w:lineRule="exact"/>
        <w:ind w:firstLine="480" w:firstLineChars="200"/>
        <w:rPr>
          <w:rFonts w:ascii="宋体" w:hAnsi="宋体" w:cs="宋体"/>
          <w:sz w:val="24"/>
          <w:szCs w:val="24"/>
        </w:rPr>
      </w:pPr>
      <w:r>
        <w:rPr>
          <w:rFonts w:hint="eastAsia" w:ascii="宋体" w:hAnsi="宋体" w:cs="宋体"/>
          <w:sz w:val="24"/>
          <w:szCs w:val="24"/>
        </w:rPr>
        <w:t>3.1.1业主方有权对中标单位制定考核办法并组织考核，对西施大剧院经营、管理、服务进行监督；审定中标单位制定的年度演出经营工作计划（包含剧目类别A、B、C类的档次的预审制度），业主方每年支付给中标单位的经营管理补贴及开办经费必须专款专用，业主方有权每年对中标单位该款项的使用进行专项审计。</w:t>
      </w:r>
    </w:p>
    <w:p>
      <w:pPr>
        <w:spacing w:line="400" w:lineRule="exact"/>
        <w:ind w:firstLine="480" w:firstLineChars="200"/>
        <w:rPr>
          <w:rFonts w:ascii="宋体" w:hAnsi="宋体" w:cs="宋体"/>
          <w:sz w:val="24"/>
          <w:szCs w:val="24"/>
        </w:rPr>
      </w:pPr>
      <w:r>
        <w:rPr>
          <w:rFonts w:hint="eastAsia" w:ascii="宋体" w:hAnsi="宋体" w:cs="宋体"/>
          <w:sz w:val="24"/>
          <w:szCs w:val="24"/>
        </w:rPr>
        <w:t>3.1.2业主方有权制定设备设施大中维修保养条件及审核程序。在业主方审定的范围之外，中标单位有合理理由确需另行安排大中维修保养项目的，须提前以书面形式报告业主方，由业主方请示经费拨付部门同意后实施。</w:t>
      </w:r>
    </w:p>
    <w:p>
      <w:pPr>
        <w:spacing w:line="400" w:lineRule="exact"/>
        <w:ind w:firstLine="480" w:firstLineChars="200"/>
        <w:rPr>
          <w:rFonts w:ascii="宋体" w:hAnsi="宋体" w:cs="宋体"/>
          <w:sz w:val="24"/>
          <w:szCs w:val="24"/>
        </w:rPr>
      </w:pPr>
      <w:r>
        <w:rPr>
          <w:rFonts w:hint="eastAsia" w:ascii="宋体" w:hAnsi="宋体" w:cs="宋体"/>
          <w:sz w:val="24"/>
          <w:szCs w:val="24"/>
        </w:rPr>
        <w:t>3.1.3业主方有权要求中标单位派出具有高级职称或丰富管理经验的人员担任项目公司总经理，保证有三年以上大剧院管理经验的人员担任演出技术部、票务部经理、策划部经理、服务部经理（以下统称经营管理骨干），中标单位如需对西施大剧院经营管理人员进行调动，应事先通报业主方，并在保证西施大剧院经营管理不受影响的前提下进行。</w:t>
      </w:r>
    </w:p>
    <w:p>
      <w:pPr>
        <w:spacing w:line="400" w:lineRule="exact"/>
        <w:ind w:firstLine="480" w:firstLineChars="200"/>
        <w:rPr>
          <w:rFonts w:ascii="宋体" w:hAnsi="宋体" w:cs="宋体"/>
          <w:sz w:val="24"/>
          <w:szCs w:val="24"/>
        </w:rPr>
      </w:pPr>
      <w:r>
        <w:rPr>
          <w:rFonts w:hint="eastAsia" w:ascii="宋体" w:hAnsi="宋体" w:cs="宋体"/>
          <w:sz w:val="24"/>
          <w:szCs w:val="24"/>
        </w:rPr>
        <w:t>3.1.4当业主方认为中标单位所派经营管理骨干有不称职、不听从管理、严重违反业主方整体管理要求等情形，有权要求中标单位更换，中标单位应及时更换。</w:t>
      </w:r>
    </w:p>
    <w:p>
      <w:pPr>
        <w:spacing w:line="400" w:lineRule="exact"/>
        <w:ind w:firstLine="480" w:firstLineChars="200"/>
        <w:rPr>
          <w:rFonts w:ascii="宋体" w:hAnsi="宋体" w:cs="宋体"/>
          <w:sz w:val="24"/>
          <w:szCs w:val="24"/>
        </w:rPr>
      </w:pPr>
      <w:bookmarkStart w:id="46" w:name="bookmark58"/>
      <w:bookmarkEnd w:id="46"/>
      <w:r>
        <w:rPr>
          <w:rFonts w:hint="eastAsia" w:ascii="宋体" w:hAnsi="宋体" w:cs="宋体"/>
          <w:sz w:val="24"/>
          <w:szCs w:val="24"/>
        </w:rPr>
        <w:t>3.1.5业主方有权要求中标单位妥善使用和保管双方确认的全部资产,确保在经营管理期限届满时资产的完整性、安全性以及功能使用的完好性。</w:t>
      </w:r>
    </w:p>
    <w:p>
      <w:pPr>
        <w:spacing w:line="400" w:lineRule="exact"/>
        <w:ind w:firstLine="480" w:firstLineChars="200"/>
        <w:rPr>
          <w:rFonts w:ascii="宋体" w:hAnsi="宋体" w:cs="宋体"/>
          <w:sz w:val="24"/>
          <w:szCs w:val="24"/>
        </w:rPr>
      </w:pPr>
      <w:r>
        <w:rPr>
          <w:rFonts w:hint="eastAsia" w:ascii="宋体" w:hAnsi="宋体" w:cs="宋体"/>
          <w:sz w:val="24"/>
          <w:szCs w:val="24"/>
        </w:rPr>
        <w:t>3.1.6</w:t>
      </w:r>
      <w:r>
        <w:rPr>
          <w:rFonts w:hint="eastAsia" w:ascii="宋体" w:hAnsi="宋体" w:cs="宋体"/>
          <w:sz w:val="24"/>
          <w:szCs w:val="24"/>
          <w:lang w:val="zh-CN"/>
        </w:rPr>
        <w:t>“西</w:t>
      </w:r>
      <w:r>
        <w:rPr>
          <w:rFonts w:hint="eastAsia" w:ascii="宋体" w:hAnsi="宋体" w:cs="宋体"/>
          <w:sz w:val="24"/>
          <w:szCs w:val="24"/>
        </w:rPr>
        <w:t>施大剧院”的名称权属业主方所有，唯有业主方对</w:t>
      </w:r>
      <w:r>
        <w:rPr>
          <w:rFonts w:hint="eastAsia" w:ascii="宋体" w:hAnsi="宋体" w:cs="宋体"/>
          <w:sz w:val="24"/>
          <w:szCs w:val="24"/>
          <w:lang w:val="zh-CN"/>
        </w:rPr>
        <w:t>“西</w:t>
      </w:r>
      <w:r>
        <w:rPr>
          <w:rFonts w:hint="eastAsia" w:ascii="宋体" w:hAnsi="宋体" w:cs="宋体"/>
          <w:sz w:val="24"/>
          <w:szCs w:val="24"/>
        </w:rPr>
        <w:t>施大剧院”的名称具有占有、使用、收益和处分的权利，包括但不限于宣传权、命名权、摄影和模型制作的许可权、名称权、标识及经营管理中产生的著作权、商标权等知识产权。未经业主方同意，中标单位不得擅自使用，也不得擅自变更。业主方授权中标单位在剧院经营管理活动期限内可以正常使用西施大剧院名称。</w:t>
      </w:r>
    </w:p>
    <w:p>
      <w:pPr>
        <w:spacing w:line="400" w:lineRule="exact"/>
        <w:ind w:firstLine="480" w:firstLineChars="200"/>
        <w:rPr>
          <w:rFonts w:ascii="宋体" w:hAnsi="宋体" w:cs="宋体"/>
          <w:sz w:val="24"/>
          <w:szCs w:val="24"/>
        </w:rPr>
      </w:pPr>
      <w:r>
        <w:rPr>
          <w:rFonts w:hint="eastAsia" w:ascii="宋体" w:hAnsi="宋体" w:cs="宋体"/>
          <w:sz w:val="24"/>
          <w:szCs w:val="24"/>
        </w:rPr>
        <w:t>3.1.7中标单位在经营管理期间如有重大违法违规违纪违约行为或完不成合同约定的经营管理指标及业主方的考核目标，业主方有权依据合同约定追究相应责任。</w:t>
      </w:r>
    </w:p>
    <w:p>
      <w:pPr>
        <w:spacing w:line="400" w:lineRule="exact"/>
        <w:ind w:firstLine="480" w:firstLineChars="200"/>
        <w:rPr>
          <w:rFonts w:ascii="宋体" w:hAnsi="宋体" w:cs="宋体"/>
          <w:sz w:val="24"/>
          <w:szCs w:val="24"/>
        </w:rPr>
      </w:pPr>
      <w:r>
        <w:rPr>
          <w:rFonts w:hint="eastAsia" w:ascii="宋体" w:hAnsi="宋体" w:cs="宋体"/>
          <w:sz w:val="24"/>
          <w:szCs w:val="24"/>
        </w:rPr>
        <w:t>3.2业主方责任</w:t>
      </w:r>
    </w:p>
    <w:p>
      <w:pPr>
        <w:spacing w:line="400" w:lineRule="exact"/>
        <w:ind w:firstLine="480" w:firstLineChars="200"/>
        <w:rPr>
          <w:rFonts w:ascii="宋体" w:hAnsi="宋体" w:cs="宋体"/>
          <w:sz w:val="24"/>
          <w:szCs w:val="24"/>
        </w:rPr>
      </w:pPr>
      <w:r>
        <w:rPr>
          <w:rFonts w:hint="eastAsia" w:ascii="宋体" w:hAnsi="宋体" w:cs="宋体"/>
          <w:sz w:val="24"/>
          <w:szCs w:val="24"/>
        </w:rPr>
        <w:t>3.2.1免费提供大剧院作为项目公司经营管理办公场所和项目公司注册场所；协助中标单位申请享受国家、省文化产业引导资金、用电价格政策、税收减免等相关优惠政策。在中标单位超出合同约定多做文化惠民活动的前提下，政府可以考虑每年给予一定的文化产业引导资金和政策支持。</w:t>
      </w:r>
    </w:p>
    <w:p>
      <w:pPr>
        <w:spacing w:line="400" w:lineRule="exact"/>
        <w:ind w:firstLine="480" w:firstLineChars="200"/>
        <w:rPr>
          <w:rFonts w:ascii="宋体" w:hAnsi="宋体" w:cs="宋体"/>
          <w:sz w:val="24"/>
          <w:szCs w:val="24"/>
        </w:rPr>
      </w:pPr>
      <w:r>
        <w:rPr>
          <w:rFonts w:hint="eastAsia" w:ascii="宋体" w:hAnsi="宋体" w:cs="宋体"/>
          <w:sz w:val="24"/>
          <w:szCs w:val="24"/>
        </w:rPr>
        <w:t>3.2.2协助中标单位争取诸暨市委、市政府及有关部门在经营管理、宣传推介、行政服务等方面的支持。协助中标单位开展大剧院的公益形象宣传；协助中标单位在高速出口、剧院附近及市区各主要干道上等设置体现</w:t>
      </w:r>
      <w:r>
        <w:rPr>
          <w:rFonts w:hint="eastAsia" w:ascii="宋体" w:hAnsi="宋体" w:cs="宋体"/>
          <w:sz w:val="24"/>
          <w:szCs w:val="24"/>
          <w:lang w:val="zh-CN"/>
        </w:rPr>
        <w:t>“西施</w:t>
      </w:r>
      <w:r>
        <w:rPr>
          <w:rFonts w:hint="eastAsia" w:ascii="宋体" w:hAnsi="宋体" w:cs="宋体"/>
          <w:sz w:val="24"/>
          <w:szCs w:val="24"/>
        </w:rPr>
        <w:t>大剧院</w:t>
      </w:r>
      <w:r>
        <w:rPr>
          <w:rFonts w:hint="eastAsia" w:ascii="宋体" w:hAnsi="宋体" w:cs="宋体"/>
          <w:sz w:val="24"/>
          <w:szCs w:val="24"/>
          <w:lang w:val="zh-CN"/>
        </w:rPr>
        <w:t>”作为“诸暨</w:t>
      </w:r>
      <w:r>
        <w:rPr>
          <w:rFonts w:hint="eastAsia" w:ascii="宋体" w:hAnsi="宋体" w:cs="宋体"/>
          <w:sz w:val="24"/>
          <w:szCs w:val="24"/>
        </w:rPr>
        <w:t>市文化地标”的标识标牌指及导向标识和公共交通</w:t>
      </w:r>
      <w:r>
        <w:rPr>
          <w:rFonts w:hint="eastAsia" w:ascii="宋体" w:hAnsi="宋体" w:cs="宋体"/>
          <w:sz w:val="24"/>
          <w:szCs w:val="24"/>
          <w:lang w:val="zh-CN"/>
        </w:rPr>
        <w:t>“西</w:t>
      </w:r>
      <w:r>
        <w:rPr>
          <w:rFonts w:hint="eastAsia" w:ascii="宋体" w:hAnsi="宋体" w:cs="宋体"/>
          <w:sz w:val="24"/>
          <w:szCs w:val="24"/>
        </w:rPr>
        <w:t>施大剧院”专属站名。</w:t>
      </w:r>
    </w:p>
    <w:p>
      <w:pPr>
        <w:spacing w:line="400" w:lineRule="exact"/>
        <w:ind w:firstLine="480" w:firstLineChars="200"/>
        <w:rPr>
          <w:rFonts w:ascii="宋体" w:hAnsi="宋体" w:cs="宋体"/>
          <w:sz w:val="24"/>
          <w:szCs w:val="24"/>
        </w:rPr>
      </w:pPr>
      <w:r>
        <w:rPr>
          <w:rFonts w:hint="eastAsia" w:ascii="宋体" w:hAnsi="宋体" w:cs="宋体"/>
          <w:sz w:val="24"/>
          <w:szCs w:val="24"/>
        </w:rPr>
        <w:t>3.2.3负责按合同规定向诸暨市政府申请政府补贴，并按补贴标准及时拨付给中标单位</w:t>
      </w:r>
      <w:r>
        <w:rPr>
          <w:rFonts w:hint="eastAsia" w:ascii="宋体" w:hAnsi="宋体" w:cs="宋体"/>
          <w:color w:val="0000FF"/>
          <w:sz w:val="24"/>
          <w:szCs w:val="24"/>
        </w:rPr>
        <w:t>（</w:t>
      </w:r>
      <w:r>
        <w:rPr>
          <w:rFonts w:ascii="宋体" w:hAnsi="宋体" w:cs="宋体"/>
          <w:color w:val="0000FF"/>
          <w:sz w:val="24"/>
          <w:szCs w:val="24"/>
        </w:rPr>
        <w:t>本</w:t>
      </w:r>
      <w:r>
        <w:rPr>
          <w:rFonts w:hint="eastAsia" w:ascii="宋体" w:hAnsi="宋体" w:cs="宋体"/>
          <w:color w:val="0000FF"/>
          <w:sz w:val="24"/>
          <w:szCs w:val="24"/>
        </w:rPr>
        <w:t>采购项目所指补贴均为净得额）</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3.2.4业主方承诺给予中标单位充分的自主经营权，凡属于经营范围内的业务，都由中标单位自主决定。中标单位行使中标单位经营权时必须符合相关法律法规、有关规定及行业规则。</w:t>
      </w:r>
    </w:p>
    <w:p>
      <w:pPr>
        <w:spacing w:line="400" w:lineRule="exact"/>
        <w:ind w:firstLine="480" w:firstLineChars="200"/>
        <w:rPr>
          <w:rFonts w:ascii="宋体" w:hAnsi="宋体" w:cs="宋体"/>
          <w:sz w:val="24"/>
          <w:szCs w:val="24"/>
        </w:rPr>
      </w:pPr>
      <w:r>
        <w:rPr>
          <w:rFonts w:hint="eastAsia" w:ascii="宋体" w:hAnsi="宋体" w:cs="宋体"/>
          <w:sz w:val="24"/>
          <w:szCs w:val="24"/>
        </w:rPr>
        <w:t>3.2.5业主方负责西施大剧院舞台设备设施、工程通用设备设施以及电影放映设备（以下统称：设备设施）由厂家提供的大中修维护保养工作，每年年底由中标单位根据设备设施具体情况制定西施大剧院的设备设施下一年度大中修项目计划，报业主方审定后，由业主方将大中修项目的费用预算报请诸暨市财政局审核、申拨。设备设施大修是指每五年一次的舞台机械、灯光音响、智能化系统、工程通用设备等常规性大检修；设备设施中修是指大剧场舞台设备及工程通用设备两年的厂家免费维护保养到期后，由舞台机械、灯光、音响系统及工程通用设备的原厂家提供的每年度综合维护保养；设备设施大中修期限以厂家设备验收交付之日起计算，所有权人与有关第三方订立的合同有特殊约定的从其约定。在设备设施大中修期限的上一年度10月份前，由中标单位向业主方提出大中修计划和经费预算。业主方监督设备设施大中修经费专款专用。</w:t>
      </w:r>
    </w:p>
    <w:p>
      <w:pPr>
        <w:spacing w:line="400" w:lineRule="exact"/>
        <w:ind w:firstLine="480" w:firstLineChars="200"/>
        <w:rPr>
          <w:rFonts w:ascii="宋体" w:hAnsi="宋体" w:cs="宋体"/>
          <w:sz w:val="24"/>
          <w:szCs w:val="24"/>
        </w:rPr>
      </w:pPr>
      <w:r>
        <w:rPr>
          <w:rFonts w:hint="eastAsia" w:ascii="宋体" w:hAnsi="宋体" w:cs="宋体"/>
          <w:sz w:val="24"/>
          <w:szCs w:val="24"/>
        </w:rPr>
        <w:t>3.2.6中标单位向业主方借阅、复印经营管理所需的竣工图纸等有关资料，业主方应积极配合，但中标单位要妥善保管，且只能用于经营管理所用，不得另做它用，所复印的竣工图纸等有关资料在合同终止之日起三十日内归还。</w:t>
      </w:r>
    </w:p>
    <w:p>
      <w:pPr>
        <w:spacing w:line="400" w:lineRule="exact"/>
        <w:ind w:firstLine="480" w:firstLineChars="200"/>
        <w:rPr>
          <w:rFonts w:ascii="宋体" w:hAnsi="宋体" w:cs="宋体"/>
          <w:sz w:val="24"/>
          <w:szCs w:val="24"/>
        </w:rPr>
      </w:pPr>
      <w:r>
        <w:rPr>
          <w:rFonts w:hint="eastAsia" w:ascii="宋体" w:hAnsi="宋体" w:cs="宋体"/>
          <w:sz w:val="24"/>
          <w:szCs w:val="24"/>
        </w:rPr>
        <w:t>3.2.7涉及西施大剧院、电影院的土地使用费和房产税应由产权单位或业主方承担，经营过程中产生的税费全部由中标单位承担。</w:t>
      </w:r>
    </w:p>
    <w:p>
      <w:pPr>
        <w:spacing w:line="400" w:lineRule="exact"/>
        <w:ind w:firstLine="480" w:firstLineChars="200"/>
        <w:rPr>
          <w:rFonts w:ascii="宋体" w:hAnsi="宋体" w:cs="宋体"/>
          <w:sz w:val="24"/>
          <w:szCs w:val="24"/>
        </w:rPr>
      </w:pPr>
      <w:r>
        <w:rPr>
          <w:rFonts w:hint="eastAsia" w:ascii="宋体" w:hAnsi="宋体" w:cs="宋体"/>
          <w:sz w:val="24"/>
          <w:szCs w:val="24"/>
        </w:rPr>
        <w:t>3.2.8大剧院的财产损失保险由产权所有人或业主方承担，并确保每年按期投保财产损失险，如因业主方因素未及时投保而产生的财产损失由业主方承担。</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（四）中标单位的权利与责任</w:t>
      </w:r>
    </w:p>
    <w:p>
      <w:pPr>
        <w:spacing w:line="400" w:lineRule="exact"/>
        <w:ind w:firstLine="480" w:firstLineChars="200"/>
        <w:rPr>
          <w:rFonts w:ascii="宋体" w:hAnsi="宋体" w:cs="宋体"/>
          <w:sz w:val="24"/>
          <w:szCs w:val="24"/>
        </w:rPr>
      </w:pPr>
      <w:bookmarkStart w:id="47" w:name="bookmark59"/>
      <w:bookmarkEnd w:id="47"/>
      <w:r>
        <w:rPr>
          <w:rFonts w:hint="eastAsia" w:ascii="宋体" w:hAnsi="宋体" w:cs="宋体"/>
          <w:sz w:val="24"/>
          <w:szCs w:val="24"/>
        </w:rPr>
        <w:t>4.1中标单位权利</w:t>
      </w:r>
    </w:p>
    <w:p>
      <w:pPr>
        <w:spacing w:line="400" w:lineRule="exact"/>
        <w:ind w:firstLine="480" w:firstLineChars="200"/>
        <w:rPr>
          <w:rFonts w:ascii="宋体" w:hAnsi="宋体" w:cs="宋体"/>
          <w:sz w:val="24"/>
          <w:szCs w:val="24"/>
        </w:rPr>
      </w:pPr>
      <w:r>
        <w:rPr>
          <w:rFonts w:hint="eastAsia" w:ascii="宋体" w:hAnsi="宋体" w:cs="宋体"/>
          <w:sz w:val="24"/>
          <w:szCs w:val="24"/>
        </w:rPr>
        <w:t>4.1.1中标单位根据国家有关法律、法规和诸暨市的有关规定及合同约定的内容，行使西施大剧院日常经营管理权。中标单位承担在经营管理过程中产生的经济、法律责任，这些经济、法律责任包括但不限于：</w:t>
      </w:r>
    </w:p>
    <w:p>
      <w:pPr>
        <w:spacing w:line="400" w:lineRule="exact"/>
        <w:ind w:firstLine="480" w:firstLineChars="200"/>
        <w:rPr>
          <w:rFonts w:ascii="宋体" w:hAnsi="宋体" w:cs="宋体"/>
          <w:sz w:val="24"/>
          <w:szCs w:val="24"/>
        </w:rPr>
      </w:pPr>
      <w:bookmarkStart w:id="48" w:name="bookmark60"/>
      <w:bookmarkEnd w:id="48"/>
      <w:r>
        <w:rPr>
          <w:rFonts w:hint="eastAsia" w:ascii="宋体" w:hAnsi="宋体" w:cs="宋体"/>
          <w:sz w:val="24"/>
          <w:szCs w:val="24"/>
        </w:rPr>
        <w:t>因大剧院经营管理所产生的债务；</w:t>
      </w:r>
    </w:p>
    <w:p>
      <w:pPr>
        <w:spacing w:line="400" w:lineRule="exact"/>
        <w:ind w:firstLine="480" w:firstLineChars="200"/>
        <w:rPr>
          <w:rFonts w:ascii="宋体" w:hAnsi="宋体" w:cs="宋体"/>
          <w:sz w:val="24"/>
          <w:szCs w:val="24"/>
        </w:rPr>
      </w:pPr>
      <w:bookmarkStart w:id="49" w:name="bookmark61"/>
      <w:bookmarkEnd w:id="49"/>
      <w:r>
        <w:rPr>
          <w:rFonts w:hint="eastAsia" w:ascii="宋体" w:hAnsi="宋体" w:cs="宋体"/>
          <w:sz w:val="24"/>
          <w:szCs w:val="24"/>
        </w:rPr>
        <w:t>在大剧院经营管理过程中产生的侵权责任；</w:t>
      </w:r>
    </w:p>
    <w:p>
      <w:pPr>
        <w:spacing w:line="400" w:lineRule="exact"/>
        <w:ind w:firstLine="480" w:firstLineChars="200"/>
        <w:rPr>
          <w:rFonts w:ascii="宋体" w:hAnsi="宋体" w:cs="宋体"/>
          <w:sz w:val="24"/>
          <w:szCs w:val="24"/>
        </w:rPr>
      </w:pPr>
      <w:bookmarkStart w:id="50" w:name="bookmark62"/>
      <w:bookmarkEnd w:id="50"/>
      <w:r>
        <w:rPr>
          <w:rFonts w:hint="eastAsia" w:ascii="宋体" w:hAnsi="宋体" w:cs="宋体"/>
          <w:sz w:val="24"/>
          <w:szCs w:val="24"/>
        </w:rPr>
        <w:t>因大剧院经营管理过程中承担的行政责任；</w:t>
      </w:r>
    </w:p>
    <w:p>
      <w:pPr>
        <w:spacing w:line="400" w:lineRule="exact"/>
        <w:ind w:firstLine="480" w:firstLineChars="200"/>
        <w:rPr>
          <w:rFonts w:ascii="宋体" w:hAnsi="宋体" w:cs="宋体"/>
          <w:sz w:val="24"/>
          <w:szCs w:val="24"/>
        </w:rPr>
      </w:pPr>
      <w:r>
        <w:rPr>
          <w:rFonts w:hint="eastAsia" w:ascii="宋体" w:hAnsi="宋体" w:cs="宋体"/>
          <w:sz w:val="24"/>
          <w:szCs w:val="24"/>
        </w:rPr>
        <w:t>如业主方承担本条约定的经济、法律责任的，业主方有权向中标单位追索，造成业主方损失的，业主方有权要求中标单位追偿。</w:t>
      </w:r>
    </w:p>
    <w:p>
      <w:pPr>
        <w:spacing w:line="400" w:lineRule="exact"/>
        <w:ind w:firstLine="480" w:firstLineChars="200"/>
        <w:rPr>
          <w:rFonts w:ascii="宋体" w:hAnsi="宋体" w:cs="宋体"/>
          <w:sz w:val="24"/>
          <w:szCs w:val="24"/>
        </w:rPr>
      </w:pPr>
      <w:r>
        <w:rPr>
          <w:rFonts w:hint="eastAsia" w:ascii="宋体" w:hAnsi="宋体" w:cs="宋体"/>
          <w:sz w:val="24"/>
          <w:szCs w:val="24"/>
        </w:rPr>
        <w:t>4.1.2负责西施大剧院内大剧场、贵宾厅、电影厅、排练厅、化妆间、培训教室、会议室、办公室、库房、能源中心、消防监控室、观众厅等内的设备设施及舞台区域专业设备设施的运行及日常维护，并确保设施设备的完好。</w:t>
      </w:r>
    </w:p>
    <w:p>
      <w:pPr>
        <w:spacing w:line="400" w:lineRule="exact"/>
        <w:ind w:firstLine="480" w:firstLineChars="200"/>
        <w:rPr>
          <w:rFonts w:ascii="宋体" w:hAnsi="宋体" w:cs="宋体"/>
          <w:sz w:val="24"/>
          <w:szCs w:val="24"/>
        </w:rPr>
      </w:pPr>
      <w:r>
        <w:rPr>
          <w:rFonts w:hint="eastAsia" w:ascii="宋体" w:hAnsi="宋体" w:cs="宋体"/>
          <w:sz w:val="24"/>
          <w:szCs w:val="24"/>
        </w:rPr>
        <w:t>4.1.3负责西施大剧院的经营管理，所得收入归项目公司。</w:t>
      </w:r>
    </w:p>
    <w:p>
      <w:pPr>
        <w:spacing w:line="400" w:lineRule="exact"/>
        <w:ind w:firstLine="480" w:firstLineChars="200"/>
        <w:rPr>
          <w:rFonts w:ascii="宋体" w:hAnsi="宋体" w:cs="宋体"/>
          <w:sz w:val="24"/>
          <w:szCs w:val="24"/>
        </w:rPr>
      </w:pPr>
      <w:r>
        <w:rPr>
          <w:rFonts w:hint="eastAsia" w:ascii="宋体" w:hAnsi="宋体" w:cs="宋体"/>
          <w:sz w:val="24"/>
          <w:szCs w:val="24"/>
        </w:rPr>
        <w:t>4.1.4负责招聘、安排、选拔、考核、辞退项目公司所有的工作人员。</w:t>
      </w:r>
    </w:p>
    <w:p>
      <w:pPr>
        <w:spacing w:line="400" w:lineRule="exact"/>
        <w:ind w:firstLine="480" w:firstLineChars="200"/>
        <w:rPr>
          <w:rFonts w:ascii="宋体" w:hAnsi="宋体" w:cs="宋体"/>
          <w:sz w:val="24"/>
          <w:szCs w:val="24"/>
        </w:rPr>
      </w:pPr>
      <w:r>
        <w:rPr>
          <w:rFonts w:hint="eastAsia" w:ascii="宋体" w:hAnsi="宋体" w:cs="宋体"/>
          <w:sz w:val="24"/>
          <w:szCs w:val="24"/>
        </w:rPr>
        <w:t>4.1.5负责对项目公司工作人员进行全方位的业务培训。</w:t>
      </w:r>
    </w:p>
    <w:p>
      <w:pPr>
        <w:spacing w:line="400" w:lineRule="exact"/>
        <w:ind w:firstLine="480" w:firstLineChars="200"/>
        <w:rPr>
          <w:rFonts w:ascii="宋体" w:hAnsi="宋体" w:cs="宋体"/>
          <w:sz w:val="24"/>
          <w:szCs w:val="24"/>
        </w:rPr>
      </w:pPr>
      <w:r>
        <w:rPr>
          <w:rFonts w:hint="eastAsia" w:ascii="宋体" w:hAnsi="宋体" w:cs="宋体"/>
          <w:sz w:val="24"/>
          <w:szCs w:val="24"/>
        </w:rPr>
        <w:t>4.1.6合同期限内，由中标单位出资添加的相关设备及办公用品等财产，其所有权属中标单位，在合同终止后由中标单位取回，除非业主方愿意按折旧价格购回。</w:t>
      </w:r>
    </w:p>
    <w:p>
      <w:pPr>
        <w:spacing w:line="400" w:lineRule="exact"/>
        <w:ind w:firstLine="480" w:firstLineChars="200"/>
        <w:rPr>
          <w:rFonts w:ascii="宋体" w:hAnsi="宋体" w:cs="宋体"/>
          <w:sz w:val="24"/>
          <w:szCs w:val="24"/>
        </w:rPr>
      </w:pPr>
      <w:r>
        <w:rPr>
          <w:rFonts w:hint="eastAsia" w:ascii="宋体" w:hAnsi="宋体" w:cs="宋体"/>
          <w:sz w:val="24"/>
          <w:szCs w:val="24"/>
        </w:rPr>
        <w:t>4.1.7电影院作为大剧院建筑的配套设施，鉴于该电影院由于受整体建筑结构限制，其规模、设施与档次等硬件与现代化标准的一流影院相差较大，市场竞争力相对较弱，委托运营期限内，中标单位负责自主经营，自负盈亏，中标单位每年年底按照电影净票房15%提留，用于电影院日常维护和设备更新，专款专用，合同期满后，结余部分交予业主方。</w:t>
      </w:r>
    </w:p>
    <w:p>
      <w:pPr>
        <w:spacing w:line="400" w:lineRule="exact"/>
        <w:ind w:firstLine="480" w:firstLineChars="200"/>
        <w:rPr>
          <w:rFonts w:ascii="宋体" w:hAnsi="宋体" w:cs="宋体"/>
          <w:sz w:val="24"/>
          <w:szCs w:val="24"/>
        </w:rPr>
      </w:pPr>
      <w:r>
        <w:rPr>
          <w:rFonts w:hint="eastAsia" w:ascii="宋体" w:hAnsi="宋体" w:cs="宋体"/>
          <w:sz w:val="24"/>
          <w:szCs w:val="24"/>
        </w:rPr>
        <w:t>4.1.8在合同规定范围内，中标单位可以在含有“西施大剧院”字样的印刷品、纪念品、宣传品等资料中同时出现项目公司名称。</w:t>
      </w:r>
    </w:p>
    <w:p>
      <w:pPr>
        <w:spacing w:line="400" w:lineRule="exact"/>
        <w:ind w:firstLine="480" w:firstLineChars="200"/>
        <w:rPr>
          <w:rFonts w:ascii="宋体" w:hAnsi="宋体" w:cs="宋体"/>
          <w:sz w:val="24"/>
          <w:szCs w:val="24"/>
        </w:rPr>
      </w:pPr>
      <w:r>
        <w:rPr>
          <w:rFonts w:hint="eastAsia" w:ascii="宋体" w:hAnsi="宋体" w:cs="宋体"/>
          <w:sz w:val="24"/>
          <w:szCs w:val="24"/>
        </w:rPr>
        <w:t>4.2中标单位责任</w:t>
      </w:r>
    </w:p>
    <w:p>
      <w:pPr>
        <w:spacing w:line="400" w:lineRule="exact"/>
        <w:ind w:firstLine="480" w:firstLineChars="200"/>
        <w:rPr>
          <w:rFonts w:ascii="宋体" w:hAnsi="宋体" w:cs="宋体"/>
          <w:sz w:val="24"/>
          <w:szCs w:val="24"/>
        </w:rPr>
      </w:pPr>
      <w:r>
        <w:rPr>
          <w:rFonts w:hint="eastAsia" w:ascii="宋体" w:hAnsi="宋体" w:cs="宋体"/>
          <w:sz w:val="24"/>
          <w:szCs w:val="24"/>
        </w:rPr>
        <w:t>4.2.1完成采购需求</w:t>
      </w:r>
      <w:r>
        <w:rPr>
          <w:rFonts w:ascii="宋体" w:hAnsi="宋体" w:cs="宋体"/>
          <w:sz w:val="24"/>
          <w:szCs w:val="24"/>
        </w:rPr>
        <w:t>第</w:t>
      </w:r>
      <w:r>
        <w:rPr>
          <w:rFonts w:hint="eastAsia" w:ascii="宋体" w:hAnsi="宋体" w:cs="宋体"/>
          <w:sz w:val="24"/>
          <w:szCs w:val="24"/>
        </w:rPr>
        <w:t>（二）部分所</w:t>
      </w:r>
      <w:r>
        <w:rPr>
          <w:rFonts w:ascii="宋体" w:hAnsi="宋体" w:cs="宋体"/>
          <w:sz w:val="24"/>
          <w:szCs w:val="24"/>
        </w:rPr>
        <w:t>规</w:t>
      </w:r>
      <w:r>
        <w:rPr>
          <w:rFonts w:hint="eastAsia" w:ascii="宋体" w:hAnsi="宋体" w:cs="宋体"/>
          <w:sz w:val="24"/>
          <w:szCs w:val="24"/>
        </w:rPr>
        <w:t>定的经营管理指标，中标单位应于2022年7月1日前建成电子验票系统，规范观众入场管理。</w:t>
      </w:r>
    </w:p>
    <w:p>
      <w:pPr>
        <w:spacing w:line="400" w:lineRule="exact"/>
        <w:ind w:firstLine="480" w:firstLineChars="200"/>
        <w:rPr>
          <w:rFonts w:ascii="宋体" w:hAnsi="宋体" w:cs="宋体"/>
          <w:sz w:val="24"/>
          <w:szCs w:val="24"/>
        </w:rPr>
      </w:pPr>
      <w:r>
        <w:rPr>
          <w:rFonts w:hint="eastAsia" w:ascii="宋体" w:hAnsi="宋体" w:cs="宋体"/>
          <w:sz w:val="24"/>
          <w:szCs w:val="24"/>
        </w:rPr>
        <w:t>4.2.2合同期限内，中标单位按照国家相关法律法规规定聘用人员并承担相应责任，接受诸暨相关职能部门的监督，按国家规定办理相关保险，并承担费用。合同期内和合同范围内因中标单位原因造成的安全事故由中标单位负全责；因建筑及设备安装、设备质量造成的安全事故责任由责任方承担。</w:t>
      </w:r>
    </w:p>
    <w:p>
      <w:pPr>
        <w:spacing w:line="400" w:lineRule="exact"/>
        <w:ind w:firstLine="480" w:firstLineChars="200"/>
        <w:rPr>
          <w:rFonts w:ascii="宋体" w:hAnsi="宋体" w:cs="宋体"/>
          <w:sz w:val="24"/>
          <w:szCs w:val="24"/>
        </w:rPr>
      </w:pPr>
      <w:r>
        <w:rPr>
          <w:rFonts w:hint="eastAsia" w:ascii="宋体" w:hAnsi="宋体" w:cs="宋体"/>
          <w:sz w:val="24"/>
          <w:szCs w:val="24"/>
        </w:rPr>
        <w:t>4.2.3中标单位承诺，在西施大剧院中标单位经营活动中保证业主方免受第三方关于侵犯其知识产权的诉讼。若因中标单位原因产生的法律诉讼，责任由中标单位承担，并负责所有赔偿费用。</w:t>
      </w:r>
    </w:p>
    <w:p>
      <w:pPr>
        <w:spacing w:line="400" w:lineRule="exact"/>
        <w:ind w:firstLine="480" w:firstLineChars="200"/>
        <w:rPr>
          <w:rFonts w:ascii="宋体" w:hAnsi="宋体" w:cs="宋体"/>
          <w:sz w:val="24"/>
          <w:szCs w:val="24"/>
        </w:rPr>
      </w:pPr>
      <w:r>
        <w:rPr>
          <w:rFonts w:hint="eastAsia" w:ascii="宋体" w:hAnsi="宋体" w:cs="宋体"/>
          <w:sz w:val="24"/>
          <w:szCs w:val="24"/>
        </w:rPr>
        <w:t>4.2.4遵守当地政府职能部门的各项法律、法规、规章、制度，自觉接受检查和监督，若违反有关规定，由中标单位承担责任。</w:t>
      </w:r>
    </w:p>
    <w:p>
      <w:pPr>
        <w:spacing w:line="400" w:lineRule="exact"/>
        <w:ind w:firstLine="480" w:firstLineChars="200"/>
        <w:rPr>
          <w:rFonts w:ascii="宋体" w:hAnsi="宋体" w:cs="宋体"/>
          <w:sz w:val="24"/>
          <w:szCs w:val="24"/>
        </w:rPr>
      </w:pPr>
      <w:r>
        <w:rPr>
          <w:rFonts w:hint="eastAsia" w:ascii="宋体" w:hAnsi="宋体" w:cs="宋体"/>
          <w:sz w:val="24"/>
          <w:szCs w:val="24"/>
        </w:rPr>
        <w:t>4.2.5所聘工作人员在享受国家政策规定的待遇外，最低工资标准不低于诸暨市人民政府制定的最低工资标准规定。</w:t>
      </w:r>
    </w:p>
    <w:p>
      <w:pPr>
        <w:spacing w:line="400" w:lineRule="exact"/>
        <w:ind w:firstLine="480" w:firstLineChars="200"/>
        <w:rPr>
          <w:rFonts w:ascii="宋体" w:hAnsi="宋体" w:cs="宋体"/>
          <w:sz w:val="24"/>
          <w:szCs w:val="24"/>
        </w:rPr>
      </w:pPr>
      <w:r>
        <w:rPr>
          <w:rFonts w:hint="eastAsia" w:ascii="宋体" w:hAnsi="宋体" w:cs="宋体"/>
          <w:sz w:val="24"/>
          <w:szCs w:val="24"/>
        </w:rPr>
        <w:t>4.2.6中标单位保证在自主经营过程中，若因中标单位原因造成西施大剧院资产损失，中标单位要照价赔偿，并承担相关责任。若非中标单位原因造成的资产流失及损失，经业主方授权中标单位在维护大剧院设备设施正常运转的条件下代业主方向责任方进行追偿，应承担责任的，按照合同及相关法律法规规定承担责任。</w:t>
      </w:r>
    </w:p>
    <w:p>
      <w:pPr>
        <w:spacing w:line="400" w:lineRule="exact"/>
        <w:ind w:firstLine="480" w:firstLineChars="200"/>
        <w:rPr>
          <w:rFonts w:ascii="宋体" w:hAnsi="宋体" w:cs="宋体"/>
          <w:sz w:val="24"/>
          <w:szCs w:val="24"/>
        </w:rPr>
      </w:pPr>
      <w:r>
        <w:rPr>
          <w:rFonts w:hint="eastAsia" w:ascii="宋体" w:hAnsi="宋体" w:cs="宋体"/>
          <w:sz w:val="24"/>
          <w:szCs w:val="24"/>
        </w:rPr>
        <w:t>4.2.7中标单位不得以业主方以及西施大剧院的名义对外借款、提供担保或作其他财务承诺，不得有其他利用业主方信用的行为，不得处分业主方资产，确保业主方资产不会因为中标单位原因而遭到冻结、查封、折价抵债或拍卖，也不得以业主方以及西施大剧院的任何财产作抵押或作其他形式的担保。</w:t>
      </w:r>
    </w:p>
    <w:p>
      <w:pPr>
        <w:spacing w:line="400" w:lineRule="exact"/>
        <w:ind w:firstLine="480" w:firstLineChars="200"/>
        <w:rPr>
          <w:rFonts w:ascii="宋体" w:hAnsi="宋体" w:cs="宋体"/>
          <w:sz w:val="24"/>
          <w:szCs w:val="24"/>
        </w:rPr>
      </w:pPr>
      <w:r>
        <w:rPr>
          <w:rFonts w:hint="eastAsia" w:ascii="宋体" w:hAnsi="宋体" w:cs="宋体"/>
          <w:sz w:val="24"/>
          <w:szCs w:val="24"/>
        </w:rPr>
        <w:t>4.2.8在合同的经营管理期限内，中标单位不得在剧院内从事任何违法、违规活动。</w:t>
      </w:r>
    </w:p>
    <w:p>
      <w:pPr>
        <w:spacing w:line="400" w:lineRule="exact"/>
        <w:ind w:firstLine="480" w:firstLineChars="200"/>
        <w:rPr>
          <w:rFonts w:ascii="宋体" w:hAnsi="宋体" w:cs="宋体"/>
          <w:sz w:val="24"/>
          <w:szCs w:val="24"/>
        </w:rPr>
      </w:pPr>
      <w:r>
        <w:rPr>
          <w:rFonts w:hint="eastAsia" w:ascii="宋体" w:hAnsi="宋体" w:cs="宋体"/>
          <w:sz w:val="24"/>
          <w:szCs w:val="24"/>
        </w:rPr>
        <w:t>4.2.9在合同期满或终止之日起，中标单位应立即停止印刷、制作、销售、发放含有</w:t>
      </w:r>
      <w:r>
        <w:rPr>
          <w:rFonts w:hint="eastAsia" w:ascii="宋体" w:hAnsi="宋体" w:cs="宋体"/>
          <w:sz w:val="24"/>
          <w:szCs w:val="24"/>
          <w:lang w:val="zh-CN"/>
        </w:rPr>
        <w:t>“西</w:t>
      </w:r>
      <w:r>
        <w:rPr>
          <w:rFonts w:hint="eastAsia" w:ascii="宋体" w:hAnsi="宋体" w:cs="宋体"/>
          <w:sz w:val="24"/>
          <w:szCs w:val="24"/>
        </w:rPr>
        <w:t>施大剧院”字样名称的印刷品、旅游纪念品、其他物品和广告宣传，并终止使用</w:t>
      </w:r>
      <w:r>
        <w:rPr>
          <w:rFonts w:hint="eastAsia" w:ascii="宋体" w:hAnsi="宋体" w:cs="宋体"/>
          <w:sz w:val="24"/>
          <w:szCs w:val="24"/>
          <w:lang w:val="zh-CN"/>
        </w:rPr>
        <w:t>“西</w:t>
      </w:r>
      <w:r>
        <w:rPr>
          <w:rFonts w:hint="eastAsia" w:ascii="宋体" w:hAnsi="宋体" w:cs="宋体"/>
          <w:sz w:val="24"/>
          <w:szCs w:val="24"/>
        </w:rPr>
        <w:t>施大剧院”的名称及属于业主方所有的全部知识产权。已印制的上述物品全部交由业主方处理。</w:t>
      </w:r>
    </w:p>
    <w:p>
      <w:pPr>
        <w:spacing w:line="400" w:lineRule="exact"/>
        <w:ind w:firstLine="480" w:firstLineChars="200"/>
        <w:rPr>
          <w:rFonts w:ascii="宋体" w:hAnsi="宋体" w:cs="宋体"/>
          <w:sz w:val="24"/>
          <w:szCs w:val="24"/>
        </w:rPr>
      </w:pPr>
      <w:r>
        <w:rPr>
          <w:rFonts w:hint="eastAsia" w:ascii="宋体" w:hAnsi="宋体" w:cs="宋体"/>
          <w:sz w:val="24"/>
          <w:szCs w:val="24"/>
        </w:rPr>
        <w:t>4.2.10负责大剧院经营管理范围内（采购需求</w:t>
      </w:r>
      <w:r>
        <w:rPr>
          <w:rFonts w:ascii="宋体" w:hAnsi="宋体" w:cs="宋体"/>
          <w:sz w:val="24"/>
          <w:szCs w:val="24"/>
        </w:rPr>
        <w:t>第</w:t>
      </w:r>
      <w:r>
        <w:rPr>
          <w:rFonts w:hint="eastAsia" w:ascii="宋体" w:hAnsi="宋体" w:cs="宋体"/>
          <w:sz w:val="24"/>
          <w:szCs w:val="24"/>
        </w:rPr>
        <w:t>（一）</w:t>
      </w:r>
      <w:r>
        <w:rPr>
          <w:rFonts w:ascii="宋体" w:hAnsi="宋体" w:cs="宋体"/>
          <w:sz w:val="24"/>
          <w:szCs w:val="24"/>
        </w:rPr>
        <w:t>部分</w:t>
      </w:r>
      <w:r>
        <w:rPr>
          <w:rFonts w:hint="eastAsia" w:ascii="宋体" w:hAnsi="宋体" w:cs="宋体"/>
          <w:sz w:val="24"/>
          <w:szCs w:val="24"/>
        </w:rPr>
        <w:t>1.3条经营管理范围）的设备设施日常维护管理，并承担低值易耗、日常维护费用。</w:t>
      </w:r>
    </w:p>
    <w:p>
      <w:pPr>
        <w:spacing w:line="400" w:lineRule="exact"/>
        <w:ind w:firstLine="480" w:firstLineChars="200"/>
        <w:rPr>
          <w:rFonts w:ascii="宋体" w:hAnsi="宋体" w:cs="宋体"/>
          <w:sz w:val="24"/>
          <w:szCs w:val="24"/>
        </w:rPr>
      </w:pPr>
      <w:r>
        <w:rPr>
          <w:rFonts w:hint="eastAsia" w:ascii="宋体" w:hAnsi="宋体" w:cs="宋体"/>
          <w:sz w:val="24"/>
          <w:szCs w:val="24"/>
        </w:rPr>
        <w:t>4.2.11在合同有效期内，中标单位不得与第三方就此项目签订与原合同实质相同的合同，如签订，属严重违约行为。</w:t>
      </w:r>
    </w:p>
    <w:p>
      <w:pPr>
        <w:spacing w:line="400" w:lineRule="exact"/>
        <w:ind w:firstLine="480" w:firstLineChars="200"/>
        <w:rPr>
          <w:rFonts w:ascii="宋体" w:hAnsi="宋体" w:cs="宋体"/>
          <w:sz w:val="24"/>
          <w:szCs w:val="24"/>
        </w:rPr>
      </w:pPr>
      <w:r>
        <w:rPr>
          <w:rFonts w:hint="eastAsia" w:ascii="宋体" w:hAnsi="宋体" w:cs="宋体"/>
          <w:sz w:val="24"/>
          <w:szCs w:val="24"/>
        </w:rPr>
        <w:t>4.2.12在合同有效期内，承担合同规定范围内的一切因经营、管理所产生的税费。</w:t>
      </w:r>
    </w:p>
    <w:p>
      <w:pPr>
        <w:spacing w:line="400" w:lineRule="exact"/>
        <w:ind w:firstLine="480" w:firstLineChars="200"/>
        <w:rPr>
          <w:rFonts w:ascii="宋体" w:hAnsi="宋体" w:cs="宋体"/>
          <w:sz w:val="24"/>
          <w:szCs w:val="24"/>
        </w:rPr>
      </w:pPr>
      <w:r>
        <w:rPr>
          <w:rFonts w:hint="eastAsia" w:ascii="宋体" w:hAnsi="宋体" w:cs="宋体"/>
          <w:sz w:val="24"/>
          <w:szCs w:val="24"/>
        </w:rPr>
        <w:t>4.2.13在合同有效期内向国家核定认可的保险公司就西施大剧院经营、管理范围内所发生的第三者人身（包括对演职人员、观众的人身伤害险）伤亡责任等购买第三者责任险或公众责任险。</w:t>
      </w:r>
    </w:p>
    <w:p>
      <w:pPr>
        <w:spacing w:line="400" w:lineRule="exact"/>
        <w:ind w:firstLine="480" w:firstLineChars="200"/>
        <w:rPr>
          <w:rFonts w:ascii="宋体" w:hAnsi="宋体" w:cs="宋体"/>
          <w:sz w:val="24"/>
          <w:szCs w:val="24"/>
        </w:rPr>
      </w:pPr>
      <w:r>
        <w:rPr>
          <w:rFonts w:hint="eastAsia" w:ascii="宋体" w:hAnsi="宋体" w:cs="宋体"/>
          <w:sz w:val="24"/>
          <w:szCs w:val="24"/>
        </w:rPr>
        <w:t>4.2.14在合同期内对大剧院经营范围内建筑物、设备、附属设施发挥功能作用。</w:t>
      </w:r>
    </w:p>
    <w:p>
      <w:pPr>
        <w:spacing w:line="400" w:lineRule="exact"/>
        <w:ind w:firstLine="480" w:firstLineChars="200"/>
        <w:rPr>
          <w:rFonts w:ascii="宋体" w:hAnsi="宋体" w:cs="宋体"/>
          <w:sz w:val="24"/>
          <w:szCs w:val="24"/>
        </w:rPr>
      </w:pPr>
      <w:r>
        <w:rPr>
          <w:rFonts w:hint="eastAsia" w:ascii="宋体" w:hAnsi="宋体" w:cs="宋体"/>
          <w:sz w:val="24"/>
          <w:szCs w:val="24"/>
        </w:rPr>
        <w:t>4.2.15中标单位承诺政府每年免费使用大剧院场地20天时间以内（含装台、排练、会议时间），超出20天以外的时间，按照实际发生的费用进行结算。凡市委市政府及党政单位有重大会议和大型活动需使用大剧院场地，业主方须提前30天通知中标单位，中标单位凭业主方书面通知应予以确保，政府需支付成本费用。如场地在此之前已签订出租协议或演出协议，中标单位应积极协助解决，由于场地腾退产生的租金或违约金及相应支出由业主方承担。</w:t>
      </w:r>
    </w:p>
    <w:p>
      <w:pPr>
        <w:spacing w:line="400" w:lineRule="exact"/>
        <w:ind w:firstLine="480" w:firstLineChars="200"/>
        <w:rPr>
          <w:rFonts w:ascii="宋体" w:hAnsi="宋体" w:cs="宋体"/>
          <w:sz w:val="24"/>
          <w:szCs w:val="24"/>
        </w:rPr>
      </w:pPr>
      <w:r>
        <w:rPr>
          <w:rFonts w:hint="eastAsia" w:ascii="宋体" w:hAnsi="宋体" w:cs="宋体"/>
          <w:sz w:val="24"/>
          <w:szCs w:val="24"/>
        </w:rPr>
        <w:t>4.2.16中标单位将与诸暨市地方艺术院团展开积极合作，打造西施大剧院原创艺术剧目，并利用中标单位平台优势将诸暨特色优秀的原创剧目引进大剧院舞台演出，共同推广，共摊成本，院团共赢，演出场次纳入政府考核场次内。积极配合当地政府扶持本土艺术院团和诸暨籍艺术家打造地方文化特色演出，借助中标单位平台优势，带动当地特色文化融合发展。对诸暨地方艺术院团或机关企事业单位租用西施大剧院场地给予场租8折的优惠（由业主归口对接）。</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（五）设备设施检修保养</w:t>
      </w:r>
    </w:p>
    <w:p>
      <w:pPr>
        <w:spacing w:line="400" w:lineRule="exact"/>
        <w:ind w:firstLine="480" w:firstLineChars="200"/>
        <w:rPr>
          <w:rFonts w:ascii="宋体" w:hAnsi="宋体" w:cs="宋体"/>
          <w:sz w:val="24"/>
          <w:szCs w:val="24"/>
        </w:rPr>
      </w:pPr>
      <w:r>
        <w:rPr>
          <w:rFonts w:hint="eastAsia" w:ascii="宋体" w:hAnsi="宋体" w:cs="宋体"/>
          <w:sz w:val="24"/>
          <w:szCs w:val="24"/>
        </w:rPr>
        <w:t>5.1中标单位承担大剧场舞台设备设施（包括各类专用设备）、通用设备、放映设备的日常维护责任。根据各类设备设施使用、维护、保养周期的技术规范要求及实际需要，负责对设备设施进行日常维护和年度检修工作；舞台专业设备设施的综合保养及大中修由业主方委托厂家进行，并签定舞台设备设施年度维护保养协议，中标单位协助监督厂家的维保过程，确保设备设施的完好、安全和功能的正常使用。维护保养项目包括但不限于以下内容：</w:t>
      </w:r>
    </w:p>
    <w:p>
      <w:pPr>
        <w:spacing w:line="400" w:lineRule="exact"/>
        <w:ind w:firstLine="480" w:firstLineChars="200"/>
        <w:rPr>
          <w:rFonts w:ascii="宋体" w:hAnsi="宋体" w:cs="宋体"/>
          <w:sz w:val="24"/>
          <w:szCs w:val="24"/>
        </w:rPr>
      </w:pPr>
      <w:r>
        <w:rPr>
          <w:rFonts w:hint="eastAsia" w:ascii="宋体" w:hAnsi="宋体" w:cs="宋体"/>
          <w:sz w:val="24"/>
          <w:szCs w:val="24"/>
        </w:rPr>
        <w:t>5.1.1日常维护。中标单位负责对舞台机械、音视频系统、灯光背投等专用设备，钢琴、反音罩、乐队平台、大幕、座椅等专用设施，通用设备、放映设备等进行日常检修、维护和保养，发现问题及时解决, 保持设备设施的完好使用率。</w:t>
      </w:r>
    </w:p>
    <w:p>
      <w:pPr>
        <w:spacing w:line="400" w:lineRule="exact"/>
        <w:ind w:firstLine="480" w:firstLineChars="200"/>
        <w:rPr>
          <w:rFonts w:ascii="宋体" w:hAnsi="宋体" w:cs="宋体"/>
          <w:sz w:val="24"/>
          <w:szCs w:val="24"/>
        </w:rPr>
      </w:pPr>
      <w:r>
        <w:rPr>
          <w:rFonts w:hint="eastAsia" w:ascii="宋体" w:hAnsi="宋体" w:cs="宋体"/>
          <w:sz w:val="24"/>
          <w:szCs w:val="24"/>
        </w:rPr>
        <w:t>5.1.2年度检修。中标单位在每年的演出淡季负责对舞台各类设备设施、通用设备、放映设备以及观众席座椅进行全面系统的检测维修，保持设备设施的安全稳定性。</w:t>
      </w:r>
    </w:p>
    <w:p>
      <w:pPr>
        <w:spacing w:line="400" w:lineRule="exact"/>
        <w:ind w:firstLine="480" w:firstLineChars="200"/>
        <w:rPr>
          <w:rFonts w:ascii="宋体" w:hAnsi="宋体" w:cs="宋体"/>
          <w:sz w:val="24"/>
          <w:szCs w:val="24"/>
        </w:rPr>
      </w:pPr>
      <w:r>
        <w:rPr>
          <w:rFonts w:hint="eastAsia" w:ascii="宋体" w:hAnsi="宋体" w:cs="宋体"/>
          <w:sz w:val="24"/>
          <w:szCs w:val="24"/>
        </w:rPr>
        <w:t>5.1.3综合保养。在舞台各类设备设施、通用设备、放映设备超出厂方承诺的保修期后，中标单位协助业主方严格按照各类设备设施的运行使用规范要求，在不同年限要求厂方分别进行年度综合保养，对系统进行全面的检测调试，确保各类设备设施的使用功能长期处于良好状态。</w:t>
      </w:r>
    </w:p>
    <w:p>
      <w:pPr>
        <w:spacing w:line="400" w:lineRule="exact"/>
        <w:ind w:firstLine="480" w:firstLineChars="200"/>
        <w:rPr>
          <w:rFonts w:ascii="宋体" w:hAnsi="宋体" w:cs="宋体"/>
          <w:sz w:val="24"/>
          <w:szCs w:val="24"/>
        </w:rPr>
      </w:pPr>
      <w:r>
        <w:rPr>
          <w:rFonts w:hint="eastAsia" w:ascii="宋体" w:hAnsi="宋体" w:cs="宋体"/>
          <w:sz w:val="24"/>
          <w:szCs w:val="24"/>
        </w:rPr>
        <w:t>5.1.4大中修（采购需求第（三）部分3.1.2, 3.2.5条）。舞台专业设备设施、通用设备、放映设备超出厂方承诺的保修期后，按照国家、行业标准或设备设施的运行使用规范，需要进行系统大中修，或各类重要设备设施在正常使用中发生自然损坏，将严重影响系统设备的正常运行，需要进行专项大修，由中标单位按年度向业主方提出维护维修计划和费用预算，经业主方评估、审批拨款后实施。</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（六）经营管理考核</w:t>
      </w:r>
    </w:p>
    <w:p>
      <w:pPr>
        <w:spacing w:line="400" w:lineRule="exact"/>
        <w:ind w:firstLine="480" w:firstLineChars="200"/>
        <w:rPr>
          <w:rFonts w:ascii="宋体" w:hAnsi="宋体" w:cs="宋体"/>
          <w:sz w:val="24"/>
          <w:szCs w:val="24"/>
        </w:rPr>
      </w:pPr>
      <w:r>
        <w:rPr>
          <w:rFonts w:hint="eastAsia" w:ascii="宋体" w:hAnsi="宋体" w:cs="宋体"/>
          <w:sz w:val="24"/>
          <w:szCs w:val="24"/>
        </w:rPr>
        <w:t>6.1业主方每年对中标单位当年度的经营管理情况进行考评，最后一年分季度考核。考核细则另行议定。</w:t>
      </w:r>
    </w:p>
    <w:p>
      <w:pPr>
        <w:spacing w:line="400" w:lineRule="exact"/>
        <w:ind w:firstLine="480" w:firstLineChars="200"/>
        <w:rPr>
          <w:rFonts w:ascii="宋体" w:hAnsi="宋体" w:cs="宋体"/>
          <w:sz w:val="24"/>
          <w:szCs w:val="24"/>
        </w:rPr>
      </w:pPr>
      <w:r>
        <w:rPr>
          <w:rFonts w:hint="eastAsia" w:ascii="宋体" w:hAnsi="宋体" w:cs="宋体"/>
          <w:sz w:val="24"/>
          <w:szCs w:val="24"/>
        </w:rPr>
        <w:t>6.2年度考核时间：当年的12月31日前。</w:t>
      </w:r>
    </w:p>
    <w:p>
      <w:pPr>
        <w:spacing w:line="400" w:lineRule="exact"/>
        <w:ind w:firstLine="480" w:firstLineChars="200"/>
        <w:rPr>
          <w:rFonts w:ascii="宋体" w:hAnsi="宋体" w:cs="宋体"/>
          <w:sz w:val="24"/>
          <w:szCs w:val="24"/>
        </w:rPr>
      </w:pPr>
      <w:r>
        <w:rPr>
          <w:rFonts w:hint="eastAsia" w:ascii="宋体" w:hAnsi="宋体" w:cs="宋体"/>
          <w:sz w:val="24"/>
          <w:szCs w:val="24"/>
        </w:rPr>
        <w:t>6.3主要考核内容：</w:t>
      </w:r>
    </w:p>
    <w:p>
      <w:pPr>
        <w:spacing w:line="400" w:lineRule="exact"/>
        <w:ind w:firstLine="480" w:firstLineChars="200"/>
        <w:rPr>
          <w:rFonts w:ascii="宋体" w:hAnsi="宋体" w:cs="宋体"/>
          <w:sz w:val="24"/>
          <w:szCs w:val="24"/>
        </w:rPr>
      </w:pPr>
      <w:bookmarkStart w:id="51" w:name="bookmark65"/>
      <w:bookmarkEnd w:id="51"/>
      <w:r>
        <w:rPr>
          <w:rFonts w:hint="eastAsia" w:ascii="宋体" w:hAnsi="宋体" w:cs="宋体"/>
          <w:sz w:val="24"/>
          <w:szCs w:val="24"/>
        </w:rPr>
        <w:t>6.3.1实现采购需求第（二）部分规定的全部经营管理指标；</w:t>
      </w:r>
    </w:p>
    <w:p>
      <w:pPr>
        <w:spacing w:line="400" w:lineRule="exact"/>
        <w:ind w:firstLine="480" w:firstLineChars="200"/>
        <w:rPr>
          <w:rFonts w:ascii="宋体" w:hAnsi="宋体" w:cs="宋体"/>
          <w:sz w:val="24"/>
          <w:szCs w:val="24"/>
        </w:rPr>
      </w:pPr>
      <w:r>
        <w:rPr>
          <w:rFonts w:hint="eastAsia" w:ascii="宋体" w:hAnsi="宋体" w:cs="宋体"/>
          <w:sz w:val="24"/>
          <w:szCs w:val="24"/>
        </w:rPr>
        <w:t>6.3.2观众满意度95%以上；</w:t>
      </w:r>
    </w:p>
    <w:p>
      <w:pPr>
        <w:spacing w:line="400" w:lineRule="exact"/>
        <w:ind w:firstLine="480" w:firstLineChars="200"/>
        <w:rPr>
          <w:rFonts w:ascii="宋体" w:hAnsi="宋体" w:cs="宋体"/>
          <w:sz w:val="24"/>
          <w:szCs w:val="24"/>
        </w:rPr>
      </w:pPr>
      <w:r>
        <w:rPr>
          <w:rFonts w:hint="eastAsia" w:ascii="宋体" w:hAnsi="宋体" w:cs="宋体"/>
          <w:sz w:val="24"/>
          <w:szCs w:val="24"/>
        </w:rPr>
        <w:t>6.3.3全年无较大及较大以上责任事故（较大责任事故的界定以国务院的文件规定为准）；</w:t>
      </w:r>
    </w:p>
    <w:p>
      <w:pPr>
        <w:spacing w:line="400" w:lineRule="exact"/>
        <w:ind w:firstLine="480" w:firstLineChars="200"/>
        <w:rPr>
          <w:rFonts w:ascii="宋体" w:hAnsi="宋体" w:cs="宋体"/>
          <w:sz w:val="24"/>
          <w:szCs w:val="24"/>
        </w:rPr>
      </w:pPr>
      <w:r>
        <w:rPr>
          <w:rFonts w:hint="eastAsia" w:ascii="宋体" w:hAnsi="宋体" w:cs="宋体"/>
          <w:sz w:val="24"/>
          <w:szCs w:val="24"/>
        </w:rPr>
        <w:t>6.3.4全年无违法违规行为；</w:t>
      </w:r>
    </w:p>
    <w:p>
      <w:pPr>
        <w:spacing w:line="400" w:lineRule="exact"/>
        <w:ind w:firstLine="480" w:firstLineChars="200"/>
        <w:rPr>
          <w:rFonts w:ascii="宋体" w:hAnsi="宋体" w:cs="宋体"/>
          <w:sz w:val="24"/>
          <w:szCs w:val="24"/>
        </w:rPr>
      </w:pPr>
      <w:r>
        <w:rPr>
          <w:rFonts w:hint="eastAsia" w:ascii="宋体" w:hAnsi="宋体" w:cs="宋体"/>
          <w:sz w:val="24"/>
          <w:szCs w:val="24"/>
        </w:rPr>
        <w:t>6.3.5中标单位任命的西施大剧院的经营管理骨干在工作中无违法违规行为；</w:t>
      </w:r>
    </w:p>
    <w:p>
      <w:pPr>
        <w:spacing w:line="400" w:lineRule="exact"/>
        <w:ind w:firstLine="480" w:firstLineChars="200"/>
        <w:rPr>
          <w:rFonts w:ascii="宋体" w:hAnsi="宋体" w:cs="宋体"/>
          <w:sz w:val="24"/>
          <w:szCs w:val="24"/>
        </w:rPr>
      </w:pPr>
      <w:r>
        <w:rPr>
          <w:rFonts w:hint="eastAsia" w:ascii="宋体" w:hAnsi="宋体" w:cs="宋体"/>
          <w:sz w:val="24"/>
          <w:szCs w:val="24"/>
        </w:rPr>
        <w:t>6.3.6做好设备设施的维护和资产保管工作。</w:t>
      </w:r>
    </w:p>
    <w:p>
      <w:pPr>
        <w:spacing w:line="400" w:lineRule="exact"/>
        <w:ind w:firstLine="480" w:firstLineChars="200"/>
        <w:rPr>
          <w:rFonts w:ascii="宋体" w:hAnsi="宋体" w:cs="宋体"/>
          <w:sz w:val="24"/>
          <w:szCs w:val="24"/>
        </w:rPr>
      </w:pPr>
      <w:r>
        <w:rPr>
          <w:rFonts w:hint="eastAsia" w:ascii="宋体" w:hAnsi="宋体" w:cs="宋体"/>
          <w:sz w:val="24"/>
          <w:szCs w:val="24"/>
        </w:rPr>
        <w:t>6.4中标单位演出年平均上座率低于65%,业主方有权在当年或次年的演出补贴中扣减相应费用，上座率每降低1%扣减10万元，以此类推。中标单位的演出年平均上座率低于50%,业主方有权提前终止合同，中标单位须在收到业主方通知后的30天内开始按照法定程序和时限办理结算、移交等善后工作。如遇到疫情等不可抗力影响的，不受此上座率的限制。</w:t>
      </w:r>
    </w:p>
    <w:p>
      <w:pPr>
        <w:spacing w:line="400" w:lineRule="exact"/>
        <w:ind w:firstLine="480" w:firstLineChars="200"/>
        <w:rPr>
          <w:rFonts w:ascii="宋体" w:hAnsi="宋体" w:cs="宋体"/>
          <w:b/>
          <w:bCs/>
          <w:sz w:val="24"/>
          <w:szCs w:val="24"/>
        </w:rPr>
      </w:pPr>
      <w:r>
        <w:rPr>
          <w:rFonts w:hint="eastAsia" w:ascii="宋体" w:hAnsi="宋体" w:cs="宋体"/>
          <w:sz w:val="24"/>
          <w:szCs w:val="24"/>
        </w:rPr>
        <w:t>6.5业主方在经营考核中如发现中标单位未完成上述考核指标，则将从次年的补贴中扣除相应补贴。大剧院每少一场次自营演出，业主方有权在当年或次年的演出补贴中扣减相应费用（平均每场10万元）。大剧院自营演出场次减少20%及以上时，业主方有权提前终止合同，中标单位须在收到业主方通知后的30天内开始按照法定程序和时限办理结算、移交等善后工作。最后一年分季度给予相应考核，如中标单位未能完成季度经营管理相关指标，业主方有权在考核后从下个季度的补贴中扣除，最后一个季度需要扣回的补贴在合同终止后十个工作日内由中标单位支付给业主方。</w:t>
      </w:r>
    </w:p>
    <w:p>
      <w:pPr>
        <w:spacing w:line="400" w:lineRule="exact"/>
        <w:ind w:firstLine="482" w:firstLineChars="200"/>
        <w:rPr>
          <w:rFonts w:ascii="宋体" w:hAnsi="宋体" w:cs="宋体"/>
          <w:sz w:val="24"/>
          <w:szCs w:val="24"/>
        </w:rPr>
      </w:pPr>
      <w:r>
        <w:rPr>
          <w:rFonts w:hint="eastAsia" w:ascii="宋体" w:hAnsi="宋体" w:cs="宋体"/>
          <w:b/>
          <w:bCs/>
          <w:sz w:val="24"/>
          <w:szCs w:val="24"/>
        </w:rPr>
        <w:t>（七）其他</w:t>
      </w:r>
    </w:p>
    <w:p>
      <w:pPr>
        <w:spacing w:line="400" w:lineRule="exact"/>
        <w:ind w:firstLine="480" w:firstLineChars="200"/>
        <w:rPr>
          <w:rFonts w:ascii="宋体" w:hAnsi="宋体" w:cs="宋体"/>
          <w:sz w:val="24"/>
          <w:szCs w:val="24"/>
        </w:rPr>
      </w:pPr>
      <w:r>
        <w:rPr>
          <w:rFonts w:hint="eastAsia" w:ascii="宋体" w:hAnsi="宋体" w:cs="宋体"/>
          <w:sz w:val="24"/>
          <w:szCs w:val="24"/>
        </w:rPr>
        <w:t>7.1因不可抗力导致西施大剧院、电影院不能持续正常经营达6个月以上的，合同可提前终止。不可抗力是指本合同履行过程中发生的任何一方不能预见及避免的客观情况，如战争、暴乱、地震、瘟疫、火灾或其他灾害气候等。</w:t>
      </w:r>
    </w:p>
    <w:p>
      <w:pPr>
        <w:spacing w:line="400" w:lineRule="exact"/>
        <w:ind w:firstLine="480" w:firstLineChars="200"/>
        <w:rPr>
          <w:rFonts w:ascii="宋体" w:hAnsi="宋体" w:cs="宋体"/>
          <w:sz w:val="24"/>
          <w:szCs w:val="24"/>
        </w:rPr>
      </w:pPr>
      <w:r>
        <w:rPr>
          <w:rFonts w:hint="eastAsia" w:ascii="宋体" w:hAnsi="宋体" w:cs="宋体"/>
          <w:sz w:val="24"/>
          <w:szCs w:val="24"/>
        </w:rPr>
        <w:t>7.2在合同期满或提前终止时，中标单位应按国家政策和诸暨有关规定对西施大剧院所有工作人员的工资、福利、保险等进行结算。应在终止合同后的30天内完成对西施大剧院的相关财务结算工作。应按中标单位接收业主方的设施、设备等清单在10天内移交给业主方，若造成损坏或遗失，中标单位应照价赔偿，并承担100万元违约金。中标单位应妥善安置其聘用的工作人员，若造成工作人员的工资拖欠、福利保险待遇等的劳资纠纷，由中标单位负责处理并承担全部责任。中标单位需将工程建设中的相关资料一并移交给业主方。</w:t>
      </w:r>
    </w:p>
    <w:p>
      <w:pPr>
        <w:spacing w:line="400" w:lineRule="exact"/>
        <w:ind w:firstLine="480" w:firstLineChars="200"/>
        <w:rPr>
          <w:rFonts w:ascii="宋体" w:hAnsi="宋体" w:cs="宋体"/>
          <w:sz w:val="24"/>
          <w:szCs w:val="24"/>
        </w:rPr>
      </w:pPr>
      <w:r>
        <w:rPr>
          <w:rFonts w:hint="eastAsia" w:ascii="宋体" w:hAnsi="宋体" w:cs="宋体"/>
          <w:sz w:val="24"/>
          <w:szCs w:val="24"/>
        </w:rPr>
        <w:t>7.3在合同期满或提前终止时，中标单位在经营管理期间自行购置的设备、设施，由中标单位在10天内自行处理，在自行处理时，不得损坏业主方的设备、设施。逾期未作处理的，视为中标单位的遗弃物，由业主方所有和处置。</w:t>
      </w:r>
    </w:p>
    <w:p>
      <w:pPr>
        <w:numPr>
          <w:ilvl w:val="0"/>
          <w:numId w:val="5"/>
        </w:numPr>
        <w:autoSpaceDE/>
        <w:autoSpaceDN/>
        <w:adjustRightInd/>
        <w:spacing w:line="400" w:lineRule="exact"/>
        <w:ind w:firstLine="482" w:firstLineChars="200"/>
        <w:rPr>
          <w:rFonts w:ascii="宋体" w:hAnsi="宋体" w:cs="宋体"/>
          <w:b/>
          <w:bCs/>
          <w:color w:val="auto"/>
          <w:sz w:val="24"/>
          <w:szCs w:val="24"/>
        </w:rPr>
      </w:pPr>
      <w:bookmarkStart w:id="52" w:name="bookmark6"/>
      <w:bookmarkEnd w:id="52"/>
      <w:r>
        <w:rPr>
          <w:rFonts w:ascii="宋体" w:hAnsi="宋体" w:cs="宋体"/>
          <w:b/>
          <w:bCs/>
          <w:color w:val="auto"/>
          <w:sz w:val="24"/>
          <w:szCs w:val="24"/>
        </w:rPr>
        <w:t>经营管理期限及付款方式</w:t>
      </w:r>
    </w:p>
    <w:p>
      <w:pPr>
        <w:spacing w:line="400" w:lineRule="exact"/>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8.1西施大剧院经营管理期限为5年，自2022年1月1日始至2026年12月31日止。</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8.2在合同履行过程中，如业主方、中标单位双方同意采用其它经营管理方式，应另行签署合同，新的合同生效之日起，原合同自动终止。</w:t>
      </w:r>
    </w:p>
    <w:p>
      <w:pPr>
        <w:spacing w:line="400" w:lineRule="exact"/>
        <w:ind w:firstLine="480" w:firstLineChars="200"/>
        <w:rPr>
          <w:rFonts w:ascii="宋体" w:hAnsi="宋体" w:cs="宋体"/>
          <w:color w:val="auto"/>
          <w:sz w:val="24"/>
          <w:szCs w:val="24"/>
        </w:rPr>
      </w:pPr>
      <w:bookmarkStart w:id="53" w:name="bookmark7"/>
      <w:bookmarkEnd w:id="53"/>
      <w:r>
        <w:rPr>
          <w:rFonts w:hint="eastAsia" w:ascii="宋体" w:hAnsi="宋体" w:cs="宋体"/>
          <w:color w:val="auto"/>
          <w:sz w:val="24"/>
          <w:szCs w:val="24"/>
        </w:rPr>
        <w:t>8.3合同期满后，如业主方、中标单位有意继续合作，在同等条件下, 中标单位享有优先权，方式另行商议。如双方终止合作，则项目公司依法进行清算。</w:t>
      </w:r>
    </w:p>
    <w:p>
      <w:pPr>
        <w:spacing w:line="400" w:lineRule="exact"/>
        <w:ind w:firstLine="480" w:firstLineChars="200"/>
        <w:rPr>
          <w:rFonts w:ascii="宋体" w:hAnsi="宋体" w:cs="宋体"/>
          <w:color w:val="auto"/>
          <w:sz w:val="24"/>
          <w:szCs w:val="24"/>
        </w:rPr>
      </w:pPr>
      <w:bookmarkStart w:id="54" w:name="bookmark8"/>
      <w:bookmarkEnd w:id="54"/>
      <w:r>
        <w:rPr>
          <w:rFonts w:hint="eastAsia" w:ascii="宋体" w:hAnsi="宋体" w:cs="宋体"/>
          <w:color w:val="auto"/>
          <w:sz w:val="24"/>
          <w:szCs w:val="24"/>
        </w:rPr>
        <w:t>8.4西施大剧院经营管理补贴为1300万元/年（中标单位净得额）。</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8.5从2022年1月1日开始，为保证中标单位组织演出，由业主方向中标单位支付经营管理补贴，费用全部以补助的方式用于中标单位组织演出以及管理运营。演出补助主要包括部分节目引进的演出费用、宣传费用、演员吃、住、行及道具运输费用等，按西施大剧院每年演出60场的要求；管理运营补助主要包括大剧院舞台设备日常维护、大剧院管理运营开支如人员经费、员工餐费、大剧院内保洁费用、行政办公开支、电影厅、能源中心、监控室、部分物业管理费和能源费等。大剧院经营管理支出的其他缺口部分将由中标单位通过演出经营、社会赞助、租场及其它商业经营等形式予以弥补。</w:t>
      </w:r>
    </w:p>
    <w:p>
      <w:pPr>
        <w:spacing w:line="400" w:lineRule="exact"/>
        <w:ind w:firstLine="480" w:firstLineChars="200"/>
        <w:rPr>
          <w:rFonts w:ascii="宋体" w:hAnsi="宋体" w:cs="宋体"/>
          <w:color w:val="auto"/>
          <w:sz w:val="24"/>
        </w:rPr>
      </w:pPr>
      <w:r>
        <w:rPr>
          <w:rFonts w:hint="eastAsia" w:ascii="宋体" w:hAnsi="宋体" w:cs="宋体"/>
          <w:color w:val="auto"/>
          <w:sz w:val="24"/>
          <w:szCs w:val="24"/>
        </w:rPr>
        <w:t>8.6经营管理补贴每年分三期支付，分别为1月15日前支付合同价款的50%、7月15日前支付合同价款的40%、年度考核结束10日内支付剩余合同款。若遇法定节假日或特殊情况则支付时间顺延但不超过15天。合同期内最后一年的经营管理补贴的支付方式为按季度支付，前三个季度分别于每个季度第一个月的15日前支付，最后一个季度在考核结束后10个工作日内支付。</w:t>
      </w:r>
    </w:p>
    <w:p>
      <w:pPr>
        <w:spacing w:line="4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（九）最高限价</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本次采购最高限价为人民币陆仟伍佰万元整（¥65000000.00元），任何超过最高限价的报价将被认定为无效报价。</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号）采购文件相关要求，经法定程序采购，双方同意签订以下合同条款，以便双方共同遵守、履行合同。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2、乙方提供的产品必须是采购文件和合同规定的产品，其技术指标、型号须符合相关要求。供货时，乙方须向甲方提供产品说明书、保修卡、质量保证书等相关资料和原配的附件。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1、中标产品经验收合格后，按照采购文件规定，甲方首次支付给乙方合同款的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具体售后服务条款参照采购文件及乙方投标文件中的售后服务承诺。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1、本项目的采购文件、投标文件、中标通知书作为合同的附件，具有同等法律效力。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一、外包装封面格式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275"/>
          <w:tab w:val="left" w:pos="8280"/>
        </w:tabs>
        <w:spacing w:line="360" w:lineRule="auto"/>
        <w:ind w:firstLine="480"/>
        <w:jc w:val="left"/>
        <w:rPr>
          <w:rFonts w:ascii="仿宋_GB2312" w:hAnsi="宋体" w:eastAsia="仿宋_GB2312" w:cs="宋体"/>
          <w:b/>
          <w:sz w:val="36"/>
          <w:szCs w:val="36"/>
        </w:rPr>
      </w:pP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法定代表人或委托代理人（签字）：</w:t>
      </w:r>
      <w:r>
        <w:rPr>
          <w:rFonts w:hint="eastAsia" w:ascii="仿宋_GB2312" w:hAnsi="宋体" w:eastAsia="仿宋_GB2312" w:cs="宋体"/>
          <w:b/>
          <w:sz w:val="32"/>
          <w:szCs w:val="32"/>
          <w:u w:val="single"/>
        </w:rPr>
        <w:t xml:space="preserve">        （签字或盖章）</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pStyle w:val="3"/>
        <w:spacing w:line="500" w:lineRule="exact"/>
        <w:jc w:val="center"/>
        <w:rPr>
          <w:rFonts w:ascii="黑体" w:hAnsi="黑体"/>
          <w:b w:val="0"/>
        </w:rPr>
      </w:pPr>
      <w:r>
        <w:rPr>
          <w:rFonts w:hint="eastAsia" w:ascii="黑体" w:hAnsi="黑体"/>
          <w:b w:val="0"/>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w:t>
      </w:r>
      <w:r>
        <w:rPr>
          <w:rFonts w:ascii="宋体" w:hAnsi="宋体"/>
          <w:spacing w:val="8"/>
          <w:sz w:val="24"/>
          <w:szCs w:val="24"/>
        </w:rPr>
        <w:t>诸政采 20</w:t>
      </w:r>
      <w:r>
        <w:rPr>
          <w:rFonts w:hint="eastAsia" w:ascii="宋体" w:hAnsi="宋体"/>
          <w:spacing w:val="8"/>
          <w:sz w:val="24"/>
          <w:szCs w:val="24"/>
        </w:rPr>
        <w:t>21</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为全权代表，参加贵方组织的采购采购活动，并进行投标。为此：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1、我方已详细研读了全部采购文件，包括修改文件（如有的话）以及全部参考资料和有关附件等，</w:t>
      </w:r>
      <w:r>
        <w:rPr>
          <w:rFonts w:hint="eastAsia" w:ascii="宋体" w:hAnsi="宋体"/>
          <w:bCs/>
          <w:sz w:val="24"/>
          <w:szCs w:val="24"/>
        </w:rPr>
        <w:t>完全理解并接受采购文件的各项规定和要求，对采购文件的合理性、合法性不再有异议。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2、我方承诺本谈判响应文件在开标之日起至投标有效期满均具有约束力，并严格遵守谈判响应文件中的承诺。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3、我方承诺已经具备《中华人民共和国政府采购法》及采购文件中规定的参加本项目的供应商资格条件。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4、我方严格按照采购文件的规定报价，并提供采购文件规定的全部谈判响应文件。</w:t>
      </w:r>
    </w:p>
    <w:p>
      <w:pPr>
        <w:spacing w:line="360" w:lineRule="auto"/>
        <w:ind w:firstLine="480" w:firstLineChars="200"/>
        <w:rPr>
          <w:rFonts w:ascii="宋体" w:hAnsi="宋体"/>
          <w:sz w:val="24"/>
          <w:szCs w:val="24"/>
        </w:rPr>
      </w:pPr>
      <w:r>
        <w:rPr>
          <w:rFonts w:hint="eastAsia" w:ascii="宋体" w:hAnsi="宋体"/>
          <w:sz w:val="24"/>
          <w:szCs w:val="24"/>
        </w:rPr>
        <w:t>5、如我方中标，谈判响应文件将作为本项目合同的组成部分，直到合同履行完毕均保持有效，我方将按采购文件及政府采购法律、法规的规定履行合同责任和义务。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firstLine="425"/>
        <w:rPr>
          <w:rFonts w:ascii="宋体" w:hAnsi="宋体"/>
          <w:sz w:val="24"/>
          <w:szCs w:val="24"/>
        </w:rPr>
      </w:pPr>
    </w:p>
    <w:p>
      <w:pPr>
        <w:spacing w:line="360" w:lineRule="auto"/>
        <w:ind w:firstLine="425"/>
        <w:rPr>
          <w:rFonts w:ascii="宋体" w:hAnsi="宋体"/>
          <w:sz w:val="24"/>
          <w:szCs w:val="24"/>
          <w:u w:val="single"/>
        </w:rPr>
      </w:pPr>
      <w:r>
        <w:rPr>
          <w:rFonts w:hint="eastAsia" w:ascii="宋体" w:hAnsi="宋体"/>
          <w:sz w:val="24"/>
          <w:szCs w:val="24"/>
        </w:rPr>
        <w:t xml:space="preserve"> 法定代表人（或委托代理人）签字或盖章：</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p>
    <w:p>
      <w:pPr>
        <w:spacing w:line="360" w:lineRule="auto"/>
        <w:ind w:firstLine="480" w:firstLineChars="200"/>
        <w:rPr>
          <w:rFonts w:ascii="宋体" w:hAnsi="宋体"/>
          <w:sz w:val="24"/>
          <w:szCs w:val="24"/>
        </w:rPr>
      </w:pPr>
      <w:r>
        <w:rPr>
          <w:rFonts w:hint="eastAsia" w:ascii="宋体" w:hAnsi="宋体"/>
          <w:sz w:val="24"/>
          <w:szCs w:val="24"/>
        </w:rPr>
        <w:t>投标日期：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autoSpaceDE/>
        <w:autoSpaceDN/>
        <w:adjustRightInd/>
        <w:jc w:val="center"/>
        <w:rPr>
          <w:rFonts w:ascii="黑体" w:hAnsi="黑体" w:eastAsia="黑体"/>
          <w:bCs/>
          <w:kern w:val="2"/>
          <w:sz w:val="32"/>
          <w:szCs w:val="32"/>
        </w:rPr>
      </w:pPr>
      <w:r>
        <w:rPr>
          <w:rFonts w:ascii="黑体" w:hAnsi="黑体" w:eastAsia="黑体"/>
          <w:sz w:val="36"/>
          <w:szCs w:val="32"/>
        </w:rPr>
        <w:br w:type="page"/>
      </w:r>
      <w:r>
        <w:rPr>
          <w:rFonts w:hint="eastAsia" w:ascii="黑体" w:hAnsi="黑体" w:eastAsia="黑体"/>
          <w:bCs/>
          <w:kern w:val="2"/>
          <w:sz w:val="32"/>
          <w:szCs w:val="32"/>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采购项目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147"/>
        <w:spacing w:line="360" w:lineRule="auto"/>
        <w:ind w:left="0" w:firstLine="0" w:firstLineChars="0"/>
        <w:jc w:val="center"/>
        <w:rPr>
          <w:rFonts w:ascii="黑体" w:hAnsi="黑体" w:eastAsia="黑体"/>
          <w:sz w:val="36"/>
          <w:szCs w:val="32"/>
        </w:rPr>
      </w:pPr>
      <w:r>
        <w:rPr>
          <w:rFonts w:ascii="宋体" w:hAnsi="宋体"/>
          <w:szCs w:val="24"/>
        </w:rPr>
        <w:br w:type="page"/>
      </w:r>
      <w:r>
        <w:rPr>
          <w:rFonts w:hint="eastAsia" w:ascii="黑体" w:hAnsi="黑体" w:eastAsia="黑体"/>
          <w:sz w:val="36"/>
          <w:szCs w:val="32"/>
        </w:rPr>
        <w:t>四、无重大违法记录的声明</w:t>
      </w:r>
    </w:p>
    <w:p>
      <w:pPr>
        <w:pStyle w:val="147"/>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（另，提供自采购公告发布之日起至投标截止日内任意时间查询结果的网页截图）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                                                                             </w:t>
      </w:r>
    </w:p>
    <w:p>
      <w:pPr>
        <w:pStyle w:val="3"/>
        <w:spacing w:line="500" w:lineRule="exact"/>
        <w:jc w:val="center"/>
        <w:rPr>
          <w:rFonts w:ascii="宋体" w:hAnsi="宋体"/>
          <w:sz w:val="24"/>
          <w:szCs w:val="24"/>
          <w:lang w:val="zh-CN"/>
        </w:rPr>
      </w:pPr>
      <w:r>
        <w:rPr>
          <w:rFonts w:hint="eastAsia" w:ascii="宋体" w:hAnsi="宋体"/>
          <w:sz w:val="24"/>
          <w:szCs w:val="24"/>
          <w:lang w:val="zh-CN"/>
        </w:rPr>
        <w:t xml:space="preserve">                                    日期：  年  月</w:t>
      </w:r>
      <w:r>
        <w:rPr>
          <w:rFonts w:hint="eastAsia" w:ascii="宋体" w:hAnsi="宋体"/>
          <w:sz w:val="24"/>
          <w:szCs w:val="24"/>
        </w:rPr>
        <w:t xml:space="preserve">   </w:t>
      </w:r>
      <w:r>
        <w:rPr>
          <w:rFonts w:hint="eastAsia" w:ascii="宋体" w:hAnsi="宋体"/>
          <w:sz w:val="24"/>
          <w:szCs w:val="24"/>
          <w:lang w:val="zh-CN"/>
        </w:rPr>
        <w:t>日</w:t>
      </w:r>
    </w:p>
    <w:p>
      <w:pPr>
        <w:pStyle w:val="3"/>
        <w:spacing w:line="500" w:lineRule="exact"/>
        <w:jc w:val="center"/>
        <w:rPr>
          <w:rFonts w:ascii="宋体" w:hAnsi="宋体"/>
          <w:sz w:val="24"/>
          <w:szCs w:val="24"/>
          <w:lang w:val="zh-CN"/>
        </w:rPr>
      </w:pPr>
    </w:p>
    <w:p>
      <w:pPr>
        <w:pStyle w:val="3"/>
        <w:spacing w:line="500" w:lineRule="exact"/>
        <w:jc w:val="center"/>
        <w:rPr>
          <w:rFonts w:ascii="宋体" w:hAnsi="宋体"/>
          <w:sz w:val="24"/>
          <w:szCs w:val="24"/>
          <w:lang w:val="zh-CN"/>
        </w:rPr>
      </w:pPr>
    </w:p>
    <w:p>
      <w:pPr>
        <w:pStyle w:val="3"/>
        <w:spacing w:line="500" w:lineRule="exact"/>
        <w:jc w:val="center"/>
        <w:rPr>
          <w:rFonts w:ascii="黑体"/>
          <w:b w:val="0"/>
        </w:rPr>
      </w:pPr>
    </w:p>
    <w:p>
      <w:pPr>
        <w:pStyle w:val="3"/>
        <w:spacing w:line="500" w:lineRule="exact"/>
        <w:jc w:val="center"/>
        <w:rPr>
          <w:rFonts w:ascii="黑体"/>
          <w:b w:val="0"/>
        </w:rPr>
      </w:pPr>
    </w:p>
    <w:p>
      <w:pPr>
        <w:pStyle w:val="3"/>
        <w:spacing w:line="500" w:lineRule="exact"/>
        <w:jc w:val="center"/>
        <w:rPr>
          <w:rFonts w:ascii="黑体"/>
          <w:b w:val="0"/>
        </w:rPr>
      </w:pPr>
    </w:p>
    <w:p/>
    <w:p>
      <w:pPr>
        <w:pStyle w:val="3"/>
        <w:spacing w:line="500" w:lineRule="exact"/>
        <w:jc w:val="center"/>
        <w:rPr>
          <w:rFonts w:ascii="黑体" w:hAnsi="黑体"/>
          <w:b w:val="0"/>
        </w:rPr>
      </w:pPr>
      <w:r>
        <w:rPr>
          <w:rFonts w:hint="eastAsia" w:ascii="黑体"/>
          <w:b w:val="0"/>
        </w:rPr>
        <w:t>五、</w:t>
      </w:r>
      <w:r>
        <w:rPr>
          <w:rFonts w:hint="eastAsia" w:ascii="黑体" w:hAnsi="黑体"/>
          <w:b w:val="0"/>
        </w:rPr>
        <w:t>开标一览表（格式）</w:t>
      </w:r>
    </w:p>
    <w:p>
      <w:pPr>
        <w:jc w:val="center"/>
        <w:rPr>
          <w:rFonts w:ascii="宋体" w:hAnsi="宋体"/>
          <w:sz w:val="24"/>
          <w:szCs w:val="24"/>
        </w:rPr>
      </w:pPr>
      <w:r>
        <w:rPr>
          <w:rFonts w:hint="eastAsia" w:ascii="宋体" w:hAnsi="宋体"/>
          <w:sz w:val="24"/>
          <w:szCs w:val="24"/>
        </w:rPr>
        <w:t>（编号：诸政采 2021-**-**）</w:t>
      </w:r>
    </w:p>
    <w:p>
      <w:pPr>
        <w:rPr>
          <w:rFonts w:ascii="宋体" w:hAnsi="宋体"/>
          <w:sz w:val="24"/>
          <w:szCs w:val="24"/>
        </w:rPr>
      </w:pPr>
      <w:r>
        <w:rPr>
          <w:rFonts w:hint="eastAsia"/>
          <w:sz w:val="28"/>
        </w:rPr>
        <w:t>项目编号：</w:t>
      </w:r>
      <w:r>
        <w:rPr>
          <w:rFonts w:hint="eastAsia" w:ascii="宋体" w:hAnsi="宋体"/>
          <w:sz w:val="24"/>
          <w:szCs w:val="24"/>
        </w:rPr>
        <w:t>诸政采 202 -**-**</w:t>
      </w:r>
    </w:p>
    <w:p>
      <w:r>
        <w:rPr>
          <w:sz w:val="28"/>
        </w:rPr>
        <w:t xml:space="preserve">                                                          </w:t>
      </w:r>
      <w:r>
        <w:rPr>
          <w:rFonts w:hint="eastAsia"/>
        </w:rPr>
        <w:t>单位：元</w:t>
      </w:r>
    </w:p>
    <w:tbl>
      <w:tblPr>
        <w:tblStyle w:val="40"/>
        <w:tblW w:w="0" w:type="auto"/>
        <w:tblInd w:w="0" w:type="dxa"/>
        <w:tblLayout w:type="fixed"/>
        <w:tblCellMar>
          <w:top w:w="0" w:type="dxa"/>
          <w:left w:w="0" w:type="dxa"/>
          <w:bottom w:w="0" w:type="dxa"/>
          <w:right w:w="0" w:type="dxa"/>
        </w:tblCellMar>
      </w:tblPr>
      <w:tblGrid>
        <w:gridCol w:w="1230"/>
        <w:gridCol w:w="888"/>
        <w:gridCol w:w="888"/>
        <w:gridCol w:w="1241"/>
        <w:gridCol w:w="2432"/>
        <w:gridCol w:w="981"/>
        <w:gridCol w:w="1417"/>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ascii="宋体" w:hAnsi="宋体" w:cs="Arial Unicode MS"/>
                <w:kern w:val="2"/>
                <w:sz w:val="20"/>
              </w:rPr>
              <w:t>货物名称</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kern w:val="2"/>
              </w:rPr>
              <w:t>数量</w:t>
            </w: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产地</w:t>
            </w: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品牌</w:t>
            </w:r>
            <w:r>
              <w:rPr>
                <w:kern w:val="2"/>
              </w:rPr>
              <w:t>/</w:t>
            </w:r>
            <w:r>
              <w:rPr>
                <w:rFonts w:hint="eastAsia"/>
                <w:kern w:val="2"/>
              </w:rPr>
              <w:t>制造商</w:t>
            </w: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型号和规格</w:t>
            </w: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单价</w:t>
            </w: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r>
              <w:rPr>
                <w:rFonts w:hint="eastAsia"/>
                <w:kern w:val="2"/>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714" w:hRule="atLeast"/>
        </w:trPr>
        <w:tc>
          <w:tcPr>
            <w:tcW w:w="9077"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kern w:val="2"/>
                <w:sz w:val="20"/>
                <w:u w:val="single"/>
              </w:rPr>
            </w:pPr>
            <w:r>
              <w:rPr>
                <w:rFonts w:hint="eastAsia" w:ascii="宋体" w:hAnsi="宋体"/>
                <w:kern w:val="2"/>
                <w:sz w:val="20"/>
              </w:rPr>
              <w:t>合</w:t>
            </w:r>
            <w:r>
              <w:rPr>
                <w:rFonts w:hint="eastAsia" w:ascii="宋体" w:hAnsi="宋体"/>
                <w:kern w:val="2"/>
              </w:rPr>
              <w:t>计金额</w:t>
            </w:r>
            <w:r>
              <w:rPr>
                <w:rFonts w:hint="eastAsia" w:ascii="宋体" w:hAnsi="宋体" w:cs="Arial Unicode MS"/>
                <w:kern w:val="2"/>
              </w:rPr>
              <w:t>大写：                                      ￥</w:t>
            </w:r>
            <w:r>
              <w:rPr>
                <w:rFonts w:hint="eastAsia" w:ascii="宋体" w:hAnsi="宋体" w:cs="Arial Unicode MS"/>
                <w:kern w:val="2"/>
                <w:u w:val="single"/>
              </w:rPr>
              <w:t xml:space="preserve">                   </w:t>
            </w:r>
          </w:p>
        </w:tc>
      </w:tr>
    </w:tbl>
    <w:p>
      <w:pPr>
        <w:spacing w:line="440" w:lineRule="exact"/>
        <w:rPr>
          <w:rFonts w:ascii="仿宋_GB2312" w:hAnsi="仿宋_GB2312" w:eastAsia="仿宋_GB2312"/>
          <w:color w:val="auto"/>
          <w:sz w:val="24"/>
          <w:szCs w:val="32"/>
        </w:rPr>
      </w:pPr>
    </w:p>
    <w:p>
      <w:pPr>
        <w:rPr>
          <w:sz w:val="28"/>
        </w:rPr>
      </w:pP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rPr>
          <w:sz w:val="28"/>
        </w:rPr>
      </w:pPr>
      <w:r>
        <w:rPr>
          <w:rFonts w:hint="eastAsia"/>
          <w:sz w:val="28"/>
        </w:rPr>
        <w:t>法定代表人或委托代理人（签字或盖章）：</w:t>
      </w:r>
      <w:r>
        <w:rPr>
          <w:sz w:val="28"/>
          <w:u w:val="single"/>
        </w:rPr>
        <w:t xml:space="preserve">                      </w:t>
      </w:r>
      <w:r>
        <w:rPr>
          <w:sz w:val="28"/>
        </w:rPr>
        <w:t xml:space="preserve">       </w:t>
      </w:r>
    </w:p>
    <w:p>
      <w:pPr>
        <w:rPr>
          <w:sz w:val="28"/>
        </w:rPr>
      </w:pPr>
      <w:r>
        <w:rPr>
          <w:rFonts w:hint="eastAsia"/>
          <w:sz w:val="28"/>
        </w:rPr>
        <w:t>日期：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spacing w:line="560" w:lineRule="exact"/>
        <w:rPr>
          <w:rFonts w:ascii="仿宋_GB2312" w:hAnsi="仿宋_GB2312" w:eastAsia="仿宋_GB2312"/>
          <w:sz w:val="28"/>
        </w:rPr>
      </w:pPr>
    </w:p>
    <w:p>
      <w:pPr>
        <w:spacing w:line="360" w:lineRule="auto"/>
        <w:ind w:firstLine="480" w:firstLineChars="200"/>
        <w:rPr>
          <w:rFonts w:ascii="宋体" w:hAnsi="宋体"/>
          <w:sz w:val="24"/>
          <w:szCs w:val="24"/>
        </w:rPr>
      </w:pPr>
    </w:p>
    <w:p>
      <w:pPr>
        <w:rPr>
          <w:rFonts w:ascii="黑体" w:hAnsi="黑体" w:eastAsia="黑体"/>
          <w:sz w:val="36"/>
          <w:szCs w:val="32"/>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Times New Roman"/>
    <w:panose1 w:val="00000000000000000000"/>
    <w:charset w:val="00"/>
    <w:family w:val="auto"/>
    <w:pitch w:val="default"/>
    <w:sig w:usb0="00000000" w:usb1="00000000" w:usb2="00000010" w:usb3="00000000" w:csb0="0000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永中宋体">
    <w:altName w:val="宋体"/>
    <w:panose1 w:val="00000000000000000000"/>
    <w:charset w:val="86"/>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诸暨市公共资源交易中心政府采购文件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060" w:firstLineChars="1700"/>
      <w:jc w:val="both"/>
    </w:pPr>
    <w:r>
      <w:rPr>
        <w:rFonts w:hint="eastAsia"/>
      </w:rPr>
      <w:t>诸暨市公共资源交易中心政府采购文件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665FF"/>
    <w:multiLevelType w:val="singleLevel"/>
    <w:tmpl w:val="AE6665FF"/>
    <w:lvl w:ilvl="0" w:tentative="0">
      <w:start w:val="8"/>
      <w:numFmt w:val="chineseCounting"/>
      <w:suff w:val="nothing"/>
      <w:lvlText w:val="（%1）"/>
      <w:lvlJc w:val="left"/>
      <w:rPr>
        <w:rFonts w:hint="eastAsia"/>
      </w:rPr>
    </w:lvl>
  </w:abstractNum>
  <w:abstractNum w:abstractNumId="1">
    <w:nsid w:val="EB893FC0"/>
    <w:multiLevelType w:val="singleLevel"/>
    <w:tmpl w:val="EB893FC0"/>
    <w:lvl w:ilvl="0" w:tentative="0">
      <w:start w:val="6"/>
      <w:numFmt w:val="chineseCounting"/>
      <w:pStyle w:val="229"/>
      <w:suff w:val="nothing"/>
      <w:lvlText w:val="%1、"/>
      <w:lvlJc w:val="left"/>
      <w:rPr>
        <w:rFonts w:hint="eastAsia"/>
      </w:rPr>
    </w:lvl>
  </w:abstractNum>
  <w:abstractNum w:abstractNumId="2">
    <w:nsid w:val="0000000B"/>
    <w:multiLevelType w:val="multilevel"/>
    <w:tmpl w:val="0000000B"/>
    <w:lvl w:ilvl="0" w:tentative="0">
      <w:start w:val="1"/>
      <w:numFmt w:val="decimal"/>
      <w:pStyle w:val="180"/>
      <w:lvlText w:val="%1、"/>
      <w:lvlJc w:val="left"/>
      <w:pPr>
        <w:tabs>
          <w:tab w:val="left" w:pos="786"/>
        </w:tabs>
        <w:ind w:left="786"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F"/>
    <w:multiLevelType w:val="multilevel"/>
    <w:tmpl w:val="0000000F"/>
    <w:lvl w:ilvl="0" w:tentative="0">
      <w:start w:val="1"/>
      <w:numFmt w:val="decimal"/>
      <w:pStyle w:val="12"/>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13"/>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18900B"/>
    <w:multiLevelType w:val="singleLevel"/>
    <w:tmpl w:val="1A18900B"/>
    <w:lvl w:ilvl="0" w:tentative="0">
      <w:start w:val="1"/>
      <w:numFmt w:val="decimal"/>
      <w:pStyle w:val="236"/>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02B67"/>
    <w:rsid w:val="000113C5"/>
    <w:rsid w:val="00011957"/>
    <w:rsid w:val="000152C8"/>
    <w:rsid w:val="000166DB"/>
    <w:rsid w:val="000217FC"/>
    <w:rsid w:val="00023566"/>
    <w:rsid w:val="00023990"/>
    <w:rsid w:val="000274B8"/>
    <w:rsid w:val="00036982"/>
    <w:rsid w:val="00040392"/>
    <w:rsid w:val="00044084"/>
    <w:rsid w:val="0004573D"/>
    <w:rsid w:val="00046F76"/>
    <w:rsid w:val="0005087A"/>
    <w:rsid w:val="000523CD"/>
    <w:rsid w:val="00052AF2"/>
    <w:rsid w:val="0005566A"/>
    <w:rsid w:val="00055FCE"/>
    <w:rsid w:val="00057EEC"/>
    <w:rsid w:val="00063C38"/>
    <w:rsid w:val="00064B79"/>
    <w:rsid w:val="000750EA"/>
    <w:rsid w:val="00087554"/>
    <w:rsid w:val="00090150"/>
    <w:rsid w:val="00096D13"/>
    <w:rsid w:val="000A50B4"/>
    <w:rsid w:val="000A52B3"/>
    <w:rsid w:val="000B15B6"/>
    <w:rsid w:val="000B1D09"/>
    <w:rsid w:val="000B3DB5"/>
    <w:rsid w:val="000C777D"/>
    <w:rsid w:val="000D4C8E"/>
    <w:rsid w:val="000D5887"/>
    <w:rsid w:val="000D6EE0"/>
    <w:rsid w:val="000E099B"/>
    <w:rsid w:val="000F58A3"/>
    <w:rsid w:val="000F6AB6"/>
    <w:rsid w:val="00106DD7"/>
    <w:rsid w:val="001124D6"/>
    <w:rsid w:val="00112789"/>
    <w:rsid w:val="0011468F"/>
    <w:rsid w:val="001147BD"/>
    <w:rsid w:val="00115993"/>
    <w:rsid w:val="0012492D"/>
    <w:rsid w:val="00133535"/>
    <w:rsid w:val="00133847"/>
    <w:rsid w:val="00134FB6"/>
    <w:rsid w:val="001422ED"/>
    <w:rsid w:val="00150E45"/>
    <w:rsid w:val="001534C2"/>
    <w:rsid w:val="00155C60"/>
    <w:rsid w:val="001645FD"/>
    <w:rsid w:val="00172A27"/>
    <w:rsid w:val="00173380"/>
    <w:rsid w:val="00173E2A"/>
    <w:rsid w:val="001745B5"/>
    <w:rsid w:val="00185880"/>
    <w:rsid w:val="00186DFF"/>
    <w:rsid w:val="00187CC0"/>
    <w:rsid w:val="00191E2F"/>
    <w:rsid w:val="00193575"/>
    <w:rsid w:val="001B064C"/>
    <w:rsid w:val="001B2452"/>
    <w:rsid w:val="001B2FE0"/>
    <w:rsid w:val="001C34F3"/>
    <w:rsid w:val="001C7441"/>
    <w:rsid w:val="001D0062"/>
    <w:rsid w:val="001D1C98"/>
    <w:rsid w:val="001D7B74"/>
    <w:rsid w:val="001E1271"/>
    <w:rsid w:val="001E616B"/>
    <w:rsid w:val="001E66A4"/>
    <w:rsid w:val="001E760A"/>
    <w:rsid w:val="001F2677"/>
    <w:rsid w:val="001F5BB1"/>
    <w:rsid w:val="001F7B3F"/>
    <w:rsid w:val="00211203"/>
    <w:rsid w:val="00213618"/>
    <w:rsid w:val="0021463F"/>
    <w:rsid w:val="00215FD1"/>
    <w:rsid w:val="00221977"/>
    <w:rsid w:val="0023140E"/>
    <w:rsid w:val="00242E37"/>
    <w:rsid w:val="0024504F"/>
    <w:rsid w:val="002523FA"/>
    <w:rsid w:val="00252990"/>
    <w:rsid w:val="00262946"/>
    <w:rsid w:val="00264FF8"/>
    <w:rsid w:val="00265994"/>
    <w:rsid w:val="00271143"/>
    <w:rsid w:val="002716CE"/>
    <w:rsid w:val="0027710F"/>
    <w:rsid w:val="00277D24"/>
    <w:rsid w:val="00277E92"/>
    <w:rsid w:val="002822D8"/>
    <w:rsid w:val="00290B7B"/>
    <w:rsid w:val="00291C40"/>
    <w:rsid w:val="002925CE"/>
    <w:rsid w:val="00296E25"/>
    <w:rsid w:val="002979B3"/>
    <w:rsid w:val="00297DF4"/>
    <w:rsid w:val="002A3AB7"/>
    <w:rsid w:val="002A3C45"/>
    <w:rsid w:val="002C2CA8"/>
    <w:rsid w:val="002C4946"/>
    <w:rsid w:val="002C6AC9"/>
    <w:rsid w:val="002D5A4B"/>
    <w:rsid w:val="002D6E16"/>
    <w:rsid w:val="002E3731"/>
    <w:rsid w:val="002E73F8"/>
    <w:rsid w:val="002E7835"/>
    <w:rsid w:val="002F6B39"/>
    <w:rsid w:val="0030045F"/>
    <w:rsid w:val="003032B9"/>
    <w:rsid w:val="00303B1A"/>
    <w:rsid w:val="00303CD0"/>
    <w:rsid w:val="00304273"/>
    <w:rsid w:val="00306679"/>
    <w:rsid w:val="0031063F"/>
    <w:rsid w:val="00317056"/>
    <w:rsid w:val="00324B24"/>
    <w:rsid w:val="00334C67"/>
    <w:rsid w:val="00334E5F"/>
    <w:rsid w:val="00335D87"/>
    <w:rsid w:val="0034174B"/>
    <w:rsid w:val="00341A14"/>
    <w:rsid w:val="00343149"/>
    <w:rsid w:val="003444E5"/>
    <w:rsid w:val="0034587C"/>
    <w:rsid w:val="00350078"/>
    <w:rsid w:val="003545A7"/>
    <w:rsid w:val="00363554"/>
    <w:rsid w:val="00365E97"/>
    <w:rsid w:val="00370496"/>
    <w:rsid w:val="00370B16"/>
    <w:rsid w:val="00370B38"/>
    <w:rsid w:val="003756A6"/>
    <w:rsid w:val="003776CB"/>
    <w:rsid w:val="0038090F"/>
    <w:rsid w:val="0039414F"/>
    <w:rsid w:val="0039795C"/>
    <w:rsid w:val="003A042E"/>
    <w:rsid w:val="003A3E69"/>
    <w:rsid w:val="003A5E7D"/>
    <w:rsid w:val="003B4A95"/>
    <w:rsid w:val="003B7956"/>
    <w:rsid w:val="003C1DAA"/>
    <w:rsid w:val="003C4D8D"/>
    <w:rsid w:val="003C7A5A"/>
    <w:rsid w:val="003D0A26"/>
    <w:rsid w:val="003D437E"/>
    <w:rsid w:val="003D6A13"/>
    <w:rsid w:val="003E0C51"/>
    <w:rsid w:val="003F0006"/>
    <w:rsid w:val="003F29CB"/>
    <w:rsid w:val="003F36A2"/>
    <w:rsid w:val="003F39C0"/>
    <w:rsid w:val="004008BF"/>
    <w:rsid w:val="00413CBA"/>
    <w:rsid w:val="0041764C"/>
    <w:rsid w:val="00427FCD"/>
    <w:rsid w:val="00432523"/>
    <w:rsid w:val="004342F0"/>
    <w:rsid w:val="00442438"/>
    <w:rsid w:val="00447769"/>
    <w:rsid w:val="004707A2"/>
    <w:rsid w:val="00470B5F"/>
    <w:rsid w:val="004718F9"/>
    <w:rsid w:val="004806E7"/>
    <w:rsid w:val="00482DD1"/>
    <w:rsid w:val="0048405D"/>
    <w:rsid w:val="00485136"/>
    <w:rsid w:val="0048714A"/>
    <w:rsid w:val="0049044E"/>
    <w:rsid w:val="00490E2A"/>
    <w:rsid w:val="00494A03"/>
    <w:rsid w:val="004965E3"/>
    <w:rsid w:val="004A1123"/>
    <w:rsid w:val="004A4033"/>
    <w:rsid w:val="004A7DA9"/>
    <w:rsid w:val="004B4E59"/>
    <w:rsid w:val="004C32C1"/>
    <w:rsid w:val="004D692E"/>
    <w:rsid w:val="004E2B0A"/>
    <w:rsid w:val="004E2C59"/>
    <w:rsid w:val="004E6F8E"/>
    <w:rsid w:val="004F05D6"/>
    <w:rsid w:val="004F13C0"/>
    <w:rsid w:val="004F7669"/>
    <w:rsid w:val="00507631"/>
    <w:rsid w:val="00507A89"/>
    <w:rsid w:val="00511238"/>
    <w:rsid w:val="00515486"/>
    <w:rsid w:val="005166F1"/>
    <w:rsid w:val="00516970"/>
    <w:rsid w:val="00517AC4"/>
    <w:rsid w:val="00541828"/>
    <w:rsid w:val="00544480"/>
    <w:rsid w:val="00544E5D"/>
    <w:rsid w:val="00547F97"/>
    <w:rsid w:val="00551BD6"/>
    <w:rsid w:val="0055389A"/>
    <w:rsid w:val="0055473F"/>
    <w:rsid w:val="0055566B"/>
    <w:rsid w:val="00555A4D"/>
    <w:rsid w:val="00561191"/>
    <w:rsid w:val="00580611"/>
    <w:rsid w:val="00581BCC"/>
    <w:rsid w:val="005836C4"/>
    <w:rsid w:val="00584F02"/>
    <w:rsid w:val="00587EEA"/>
    <w:rsid w:val="00593A96"/>
    <w:rsid w:val="005942B8"/>
    <w:rsid w:val="005964D1"/>
    <w:rsid w:val="005A13A0"/>
    <w:rsid w:val="005A578B"/>
    <w:rsid w:val="005B1E52"/>
    <w:rsid w:val="005B3786"/>
    <w:rsid w:val="005B5788"/>
    <w:rsid w:val="005B7947"/>
    <w:rsid w:val="005C1BED"/>
    <w:rsid w:val="005C74A9"/>
    <w:rsid w:val="005C7981"/>
    <w:rsid w:val="005D4130"/>
    <w:rsid w:val="005E0DCA"/>
    <w:rsid w:val="005E57F3"/>
    <w:rsid w:val="005E7581"/>
    <w:rsid w:val="005F0B63"/>
    <w:rsid w:val="005F475B"/>
    <w:rsid w:val="00601186"/>
    <w:rsid w:val="00604DB6"/>
    <w:rsid w:val="00605314"/>
    <w:rsid w:val="00606949"/>
    <w:rsid w:val="0060787C"/>
    <w:rsid w:val="006106A8"/>
    <w:rsid w:val="0061424F"/>
    <w:rsid w:val="00616E9C"/>
    <w:rsid w:val="00636B18"/>
    <w:rsid w:val="00637917"/>
    <w:rsid w:val="00644029"/>
    <w:rsid w:val="0065020C"/>
    <w:rsid w:val="00652C85"/>
    <w:rsid w:val="0066204C"/>
    <w:rsid w:val="00662DD3"/>
    <w:rsid w:val="00677F5E"/>
    <w:rsid w:val="006808AC"/>
    <w:rsid w:val="00682905"/>
    <w:rsid w:val="006913A4"/>
    <w:rsid w:val="006A34D1"/>
    <w:rsid w:val="006A44C8"/>
    <w:rsid w:val="006A6414"/>
    <w:rsid w:val="006A72CB"/>
    <w:rsid w:val="006B101F"/>
    <w:rsid w:val="006B287E"/>
    <w:rsid w:val="006C0392"/>
    <w:rsid w:val="006C5997"/>
    <w:rsid w:val="006D4D55"/>
    <w:rsid w:val="006F2F61"/>
    <w:rsid w:val="006F42AE"/>
    <w:rsid w:val="006F451E"/>
    <w:rsid w:val="006F4ABD"/>
    <w:rsid w:val="00700C30"/>
    <w:rsid w:val="00707483"/>
    <w:rsid w:val="00712E38"/>
    <w:rsid w:val="00724884"/>
    <w:rsid w:val="007308B7"/>
    <w:rsid w:val="00733F8A"/>
    <w:rsid w:val="00734E1A"/>
    <w:rsid w:val="00736829"/>
    <w:rsid w:val="007460A4"/>
    <w:rsid w:val="00750A11"/>
    <w:rsid w:val="00761B31"/>
    <w:rsid w:val="00762959"/>
    <w:rsid w:val="007647DA"/>
    <w:rsid w:val="00765A67"/>
    <w:rsid w:val="00766592"/>
    <w:rsid w:val="007721DF"/>
    <w:rsid w:val="0077316E"/>
    <w:rsid w:val="007734E5"/>
    <w:rsid w:val="007750B7"/>
    <w:rsid w:val="00776E97"/>
    <w:rsid w:val="00780330"/>
    <w:rsid w:val="0078045C"/>
    <w:rsid w:val="00786888"/>
    <w:rsid w:val="00790027"/>
    <w:rsid w:val="00793680"/>
    <w:rsid w:val="00795E2F"/>
    <w:rsid w:val="00795F82"/>
    <w:rsid w:val="007A01BB"/>
    <w:rsid w:val="007A1EEA"/>
    <w:rsid w:val="007A3DDD"/>
    <w:rsid w:val="007A5541"/>
    <w:rsid w:val="007B5782"/>
    <w:rsid w:val="007B5ED0"/>
    <w:rsid w:val="007B7FF7"/>
    <w:rsid w:val="007C14E8"/>
    <w:rsid w:val="007C3D91"/>
    <w:rsid w:val="007C3E1A"/>
    <w:rsid w:val="007C3F83"/>
    <w:rsid w:val="007D3E1C"/>
    <w:rsid w:val="007D4C48"/>
    <w:rsid w:val="007E2F59"/>
    <w:rsid w:val="007E416F"/>
    <w:rsid w:val="007E42F4"/>
    <w:rsid w:val="007F0904"/>
    <w:rsid w:val="00802A0F"/>
    <w:rsid w:val="00804825"/>
    <w:rsid w:val="00812EF3"/>
    <w:rsid w:val="00824112"/>
    <w:rsid w:val="00824456"/>
    <w:rsid w:val="00831FEA"/>
    <w:rsid w:val="008347BD"/>
    <w:rsid w:val="00836F76"/>
    <w:rsid w:val="00837614"/>
    <w:rsid w:val="0084072D"/>
    <w:rsid w:val="00840816"/>
    <w:rsid w:val="00841D5A"/>
    <w:rsid w:val="008545B9"/>
    <w:rsid w:val="00867651"/>
    <w:rsid w:val="00874C6E"/>
    <w:rsid w:val="00874DC1"/>
    <w:rsid w:val="00876335"/>
    <w:rsid w:val="008765A7"/>
    <w:rsid w:val="00885357"/>
    <w:rsid w:val="008978B7"/>
    <w:rsid w:val="008A3E96"/>
    <w:rsid w:val="008A47FE"/>
    <w:rsid w:val="008B1825"/>
    <w:rsid w:val="008B1834"/>
    <w:rsid w:val="008B728E"/>
    <w:rsid w:val="008C2CD9"/>
    <w:rsid w:val="008C5AD7"/>
    <w:rsid w:val="008D1563"/>
    <w:rsid w:val="008D2883"/>
    <w:rsid w:val="008D727A"/>
    <w:rsid w:val="008E3C50"/>
    <w:rsid w:val="008E6173"/>
    <w:rsid w:val="008F20DF"/>
    <w:rsid w:val="008F29DC"/>
    <w:rsid w:val="008F2A49"/>
    <w:rsid w:val="0090066D"/>
    <w:rsid w:val="00907969"/>
    <w:rsid w:val="00912DD2"/>
    <w:rsid w:val="009167C9"/>
    <w:rsid w:val="00920510"/>
    <w:rsid w:val="0092536D"/>
    <w:rsid w:val="0093429F"/>
    <w:rsid w:val="00935D5F"/>
    <w:rsid w:val="00942A9B"/>
    <w:rsid w:val="0095046F"/>
    <w:rsid w:val="00950B0B"/>
    <w:rsid w:val="00950DEA"/>
    <w:rsid w:val="009570E2"/>
    <w:rsid w:val="0095762A"/>
    <w:rsid w:val="009635A2"/>
    <w:rsid w:val="009638F8"/>
    <w:rsid w:val="00974596"/>
    <w:rsid w:val="009760D4"/>
    <w:rsid w:val="00976946"/>
    <w:rsid w:val="00976E86"/>
    <w:rsid w:val="00981A8F"/>
    <w:rsid w:val="0099122E"/>
    <w:rsid w:val="00991D62"/>
    <w:rsid w:val="0099438F"/>
    <w:rsid w:val="00996A69"/>
    <w:rsid w:val="009A710A"/>
    <w:rsid w:val="009B55A0"/>
    <w:rsid w:val="009B5C57"/>
    <w:rsid w:val="009C03B0"/>
    <w:rsid w:val="009C1CDF"/>
    <w:rsid w:val="009D00EB"/>
    <w:rsid w:val="009D103A"/>
    <w:rsid w:val="009D7F1F"/>
    <w:rsid w:val="009E2B43"/>
    <w:rsid w:val="009E72C3"/>
    <w:rsid w:val="009F055A"/>
    <w:rsid w:val="009F5406"/>
    <w:rsid w:val="009F73D3"/>
    <w:rsid w:val="00A068FE"/>
    <w:rsid w:val="00A160D8"/>
    <w:rsid w:val="00A177CD"/>
    <w:rsid w:val="00A215E7"/>
    <w:rsid w:val="00A3111B"/>
    <w:rsid w:val="00A41E80"/>
    <w:rsid w:val="00A47FDC"/>
    <w:rsid w:val="00A505BD"/>
    <w:rsid w:val="00A52EB5"/>
    <w:rsid w:val="00A5319D"/>
    <w:rsid w:val="00A542B0"/>
    <w:rsid w:val="00A55000"/>
    <w:rsid w:val="00A56138"/>
    <w:rsid w:val="00A61BE8"/>
    <w:rsid w:val="00A67AC3"/>
    <w:rsid w:val="00A720C5"/>
    <w:rsid w:val="00A72F14"/>
    <w:rsid w:val="00A926B3"/>
    <w:rsid w:val="00A93561"/>
    <w:rsid w:val="00A95B21"/>
    <w:rsid w:val="00AA2B7B"/>
    <w:rsid w:val="00AA37DB"/>
    <w:rsid w:val="00AA5B73"/>
    <w:rsid w:val="00AA6545"/>
    <w:rsid w:val="00AA75C2"/>
    <w:rsid w:val="00AB3B29"/>
    <w:rsid w:val="00AC72ED"/>
    <w:rsid w:val="00AD3BB4"/>
    <w:rsid w:val="00AE182C"/>
    <w:rsid w:val="00AE4C0B"/>
    <w:rsid w:val="00AE59EB"/>
    <w:rsid w:val="00AF051C"/>
    <w:rsid w:val="00AF4733"/>
    <w:rsid w:val="00AF661D"/>
    <w:rsid w:val="00B00B1A"/>
    <w:rsid w:val="00B02A45"/>
    <w:rsid w:val="00B1400E"/>
    <w:rsid w:val="00B20DC7"/>
    <w:rsid w:val="00B226AF"/>
    <w:rsid w:val="00B24438"/>
    <w:rsid w:val="00B31C8D"/>
    <w:rsid w:val="00B33F00"/>
    <w:rsid w:val="00B42EA9"/>
    <w:rsid w:val="00B47B2E"/>
    <w:rsid w:val="00B556F2"/>
    <w:rsid w:val="00B61211"/>
    <w:rsid w:val="00B6299F"/>
    <w:rsid w:val="00B62B7C"/>
    <w:rsid w:val="00B62E64"/>
    <w:rsid w:val="00B64B7E"/>
    <w:rsid w:val="00B7038F"/>
    <w:rsid w:val="00B73903"/>
    <w:rsid w:val="00B80805"/>
    <w:rsid w:val="00B869A2"/>
    <w:rsid w:val="00B94215"/>
    <w:rsid w:val="00B959D8"/>
    <w:rsid w:val="00B97DFB"/>
    <w:rsid w:val="00BA7A57"/>
    <w:rsid w:val="00BB3EC9"/>
    <w:rsid w:val="00BB65FC"/>
    <w:rsid w:val="00BD2E36"/>
    <w:rsid w:val="00BD4AC7"/>
    <w:rsid w:val="00BD5735"/>
    <w:rsid w:val="00BE118D"/>
    <w:rsid w:val="00BF25F0"/>
    <w:rsid w:val="00BF59F4"/>
    <w:rsid w:val="00C02745"/>
    <w:rsid w:val="00C06991"/>
    <w:rsid w:val="00C165D6"/>
    <w:rsid w:val="00C2235D"/>
    <w:rsid w:val="00C22914"/>
    <w:rsid w:val="00C25FD1"/>
    <w:rsid w:val="00C268F1"/>
    <w:rsid w:val="00C30DF3"/>
    <w:rsid w:val="00C37EE1"/>
    <w:rsid w:val="00C43DF0"/>
    <w:rsid w:val="00C44FAA"/>
    <w:rsid w:val="00C455FE"/>
    <w:rsid w:val="00C46162"/>
    <w:rsid w:val="00C50585"/>
    <w:rsid w:val="00C5285A"/>
    <w:rsid w:val="00C540D0"/>
    <w:rsid w:val="00C707A1"/>
    <w:rsid w:val="00C71FD1"/>
    <w:rsid w:val="00C71FD8"/>
    <w:rsid w:val="00C73484"/>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C5C4A"/>
    <w:rsid w:val="00CE027C"/>
    <w:rsid w:val="00CE3E2E"/>
    <w:rsid w:val="00CE798F"/>
    <w:rsid w:val="00CF0929"/>
    <w:rsid w:val="00CF1340"/>
    <w:rsid w:val="00CF1DB4"/>
    <w:rsid w:val="00D042E9"/>
    <w:rsid w:val="00D0540E"/>
    <w:rsid w:val="00D11DCC"/>
    <w:rsid w:val="00D124CE"/>
    <w:rsid w:val="00D141FA"/>
    <w:rsid w:val="00D17AE1"/>
    <w:rsid w:val="00D2614F"/>
    <w:rsid w:val="00D325A3"/>
    <w:rsid w:val="00D357A7"/>
    <w:rsid w:val="00D4068D"/>
    <w:rsid w:val="00D44CAC"/>
    <w:rsid w:val="00D52ACC"/>
    <w:rsid w:val="00D53E01"/>
    <w:rsid w:val="00D5603F"/>
    <w:rsid w:val="00D71131"/>
    <w:rsid w:val="00D72395"/>
    <w:rsid w:val="00D7283D"/>
    <w:rsid w:val="00D7434E"/>
    <w:rsid w:val="00D80BFA"/>
    <w:rsid w:val="00D84239"/>
    <w:rsid w:val="00D87422"/>
    <w:rsid w:val="00D95B9E"/>
    <w:rsid w:val="00DA0148"/>
    <w:rsid w:val="00DA3425"/>
    <w:rsid w:val="00DA6EFC"/>
    <w:rsid w:val="00DB20FE"/>
    <w:rsid w:val="00DB2C21"/>
    <w:rsid w:val="00DB2E10"/>
    <w:rsid w:val="00DC1BB7"/>
    <w:rsid w:val="00DC1C6D"/>
    <w:rsid w:val="00DC5E4E"/>
    <w:rsid w:val="00DD0D72"/>
    <w:rsid w:val="00DD2800"/>
    <w:rsid w:val="00DD2A84"/>
    <w:rsid w:val="00DD7DB0"/>
    <w:rsid w:val="00DF0F7A"/>
    <w:rsid w:val="00DF47A6"/>
    <w:rsid w:val="00DF5F6F"/>
    <w:rsid w:val="00DF7870"/>
    <w:rsid w:val="00E004C4"/>
    <w:rsid w:val="00E024C5"/>
    <w:rsid w:val="00E0354D"/>
    <w:rsid w:val="00E111CC"/>
    <w:rsid w:val="00E139F4"/>
    <w:rsid w:val="00E1684C"/>
    <w:rsid w:val="00E169BD"/>
    <w:rsid w:val="00E175F5"/>
    <w:rsid w:val="00E205DE"/>
    <w:rsid w:val="00E216B5"/>
    <w:rsid w:val="00E22775"/>
    <w:rsid w:val="00E27EE7"/>
    <w:rsid w:val="00E3040A"/>
    <w:rsid w:val="00E351D2"/>
    <w:rsid w:val="00E3541E"/>
    <w:rsid w:val="00E44D0C"/>
    <w:rsid w:val="00E47923"/>
    <w:rsid w:val="00E632A2"/>
    <w:rsid w:val="00E6462C"/>
    <w:rsid w:val="00E65D6D"/>
    <w:rsid w:val="00E71AD9"/>
    <w:rsid w:val="00E73797"/>
    <w:rsid w:val="00E76877"/>
    <w:rsid w:val="00E76C97"/>
    <w:rsid w:val="00E80FA2"/>
    <w:rsid w:val="00E84273"/>
    <w:rsid w:val="00E846A7"/>
    <w:rsid w:val="00E8495F"/>
    <w:rsid w:val="00E93B84"/>
    <w:rsid w:val="00E945E2"/>
    <w:rsid w:val="00EA3530"/>
    <w:rsid w:val="00EA6399"/>
    <w:rsid w:val="00EA727D"/>
    <w:rsid w:val="00EB2251"/>
    <w:rsid w:val="00EB3155"/>
    <w:rsid w:val="00EB465C"/>
    <w:rsid w:val="00EB7CFF"/>
    <w:rsid w:val="00EC1ED7"/>
    <w:rsid w:val="00EC3B8C"/>
    <w:rsid w:val="00ED432F"/>
    <w:rsid w:val="00EE526F"/>
    <w:rsid w:val="00EE72B2"/>
    <w:rsid w:val="00EF312D"/>
    <w:rsid w:val="00EF4E71"/>
    <w:rsid w:val="00EF5174"/>
    <w:rsid w:val="00F02025"/>
    <w:rsid w:val="00F02479"/>
    <w:rsid w:val="00F060E9"/>
    <w:rsid w:val="00F06C2C"/>
    <w:rsid w:val="00F11F19"/>
    <w:rsid w:val="00F121D6"/>
    <w:rsid w:val="00F15EA9"/>
    <w:rsid w:val="00F2027F"/>
    <w:rsid w:val="00F26046"/>
    <w:rsid w:val="00F26449"/>
    <w:rsid w:val="00F270D8"/>
    <w:rsid w:val="00F31349"/>
    <w:rsid w:val="00F31DAF"/>
    <w:rsid w:val="00F32D11"/>
    <w:rsid w:val="00F3386E"/>
    <w:rsid w:val="00F4076D"/>
    <w:rsid w:val="00F44B9A"/>
    <w:rsid w:val="00F527BC"/>
    <w:rsid w:val="00F61ED3"/>
    <w:rsid w:val="00F62257"/>
    <w:rsid w:val="00F7190B"/>
    <w:rsid w:val="00F7531B"/>
    <w:rsid w:val="00F82259"/>
    <w:rsid w:val="00F85274"/>
    <w:rsid w:val="00F95253"/>
    <w:rsid w:val="00F95940"/>
    <w:rsid w:val="00F9602D"/>
    <w:rsid w:val="00FA151D"/>
    <w:rsid w:val="00FA32A6"/>
    <w:rsid w:val="00FA352E"/>
    <w:rsid w:val="00FA5D92"/>
    <w:rsid w:val="00FC3458"/>
    <w:rsid w:val="00FC3BC7"/>
    <w:rsid w:val="00FC534F"/>
    <w:rsid w:val="00FE32E3"/>
    <w:rsid w:val="00FE5BDB"/>
    <w:rsid w:val="00FF110C"/>
    <w:rsid w:val="00FF2E97"/>
    <w:rsid w:val="00FF466F"/>
    <w:rsid w:val="00FF4FA8"/>
    <w:rsid w:val="00FF619A"/>
    <w:rsid w:val="079A5C0E"/>
    <w:rsid w:val="0BCE0C66"/>
    <w:rsid w:val="13B12BA4"/>
    <w:rsid w:val="21492122"/>
    <w:rsid w:val="44C20581"/>
    <w:rsid w:val="4FDD2EFC"/>
    <w:rsid w:val="51160414"/>
    <w:rsid w:val="5737194B"/>
    <w:rsid w:val="651C6CBF"/>
    <w:rsid w:val="6C163AB2"/>
    <w:rsid w:val="76B60555"/>
    <w:rsid w:val="7BD84FD8"/>
    <w:rsid w:val="7F83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kern w:val="44"/>
      <w:sz w:val="44"/>
    </w:rPr>
  </w:style>
  <w:style w:type="paragraph" w:styleId="3">
    <w:name w:val="heading 2"/>
    <w:basedOn w:val="1"/>
    <w:next w:val="1"/>
    <w:link w:val="51"/>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paragraph" w:styleId="4">
    <w:name w:val="heading 3"/>
    <w:basedOn w:val="1"/>
    <w:next w:val="1"/>
    <w:link w:val="149"/>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8"/>
    <w:unhideWhenUsed/>
    <w:qFormat/>
    <w:uiPriority w:val="9"/>
    <w:pPr>
      <w:keepNext/>
      <w:keepLines/>
      <w:spacing w:before="280" w:after="290" w:line="376" w:lineRule="auto"/>
      <w:outlineLvl w:val="4"/>
    </w:pPr>
    <w:rPr>
      <w:b/>
      <w:bCs/>
      <w:sz w:val="28"/>
      <w:szCs w:val="28"/>
    </w:rPr>
  </w:style>
  <w:style w:type="paragraph" w:styleId="7">
    <w:name w:val="heading 6"/>
    <w:basedOn w:val="1"/>
    <w:next w:val="8"/>
    <w:link w:val="151"/>
    <w:qFormat/>
    <w:uiPriority w:val="0"/>
    <w:pPr>
      <w:keepNext/>
      <w:keepLines/>
      <w:autoSpaceDE/>
      <w:autoSpaceDN/>
      <w:adjustRightInd/>
      <w:spacing w:before="240" w:after="64" w:line="320" w:lineRule="auto"/>
      <w:outlineLvl w:val="5"/>
    </w:pPr>
    <w:rPr>
      <w:rFonts w:ascii="Arial" w:hAnsi="Arial" w:eastAsia="黑体"/>
      <w:b/>
      <w:color w:val="auto"/>
      <w:kern w:val="2"/>
      <w:sz w:val="24"/>
      <w:szCs w:val="20"/>
    </w:rPr>
  </w:style>
  <w:style w:type="paragraph" w:styleId="9">
    <w:name w:val="heading 7"/>
    <w:basedOn w:val="1"/>
    <w:next w:val="8"/>
    <w:link w:val="152"/>
    <w:qFormat/>
    <w:uiPriority w:val="0"/>
    <w:pPr>
      <w:keepNext/>
      <w:keepLines/>
      <w:autoSpaceDE/>
      <w:autoSpaceDN/>
      <w:adjustRightInd/>
      <w:spacing w:before="240" w:after="64" w:line="320" w:lineRule="auto"/>
      <w:outlineLvl w:val="6"/>
    </w:pPr>
    <w:rPr>
      <w:rFonts w:ascii="Calibri" w:hAnsi="Calibri"/>
      <w:b/>
      <w:color w:val="auto"/>
      <w:kern w:val="2"/>
      <w:sz w:val="24"/>
      <w:szCs w:val="20"/>
    </w:rPr>
  </w:style>
  <w:style w:type="paragraph" w:styleId="10">
    <w:name w:val="heading 8"/>
    <w:basedOn w:val="1"/>
    <w:next w:val="8"/>
    <w:link w:val="153"/>
    <w:qFormat/>
    <w:uiPriority w:val="0"/>
    <w:pPr>
      <w:keepNext/>
      <w:keepLines/>
      <w:autoSpaceDE/>
      <w:autoSpaceDN/>
      <w:adjustRightInd/>
      <w:spacing w:before="240" w:after="64" w:line="320" w:lineRule="auto"/>
      <w:outlineLvl w:val="7"/>
    </w:pPr>
    <w:rPr>
      <w:rFonts w:ascii="Arial" w:hAnsi="Arial" w:eastAsia="黑体"/>
      <w:color w:val="auto"/>
      <w:kern w:val="2"/>
      <w:sz w:val="24"/>
      <w:szCs w:val="20"/>
    </w:rPr>
  </w:style>
  <w:style w:type="paragraph" w:styleId="11">
    <w:name w:val="heading 9"/>
    <w:basedOn w:val="1"/>
    <w:next w:val="8"/>
    <w:link w:val="154"/>
    <w:qFormat/>
    <w:uiPriority w:val="0"/>
    <w:pPr>
      <w:keepNext/>
      <w:keepLines/>
      <w:autoSpaceDE/>
      <w:autoSpaceDN/>
      <w:adjustRightInd/>
      <w:spacing w:before="240" w:after="64" w:line="320" w:lineRule="auto"/>
      <w:outlineLvl w:val="8"/>
    </w:pPr>
    <w:rPr>
      <w:rFonts w:ascii="Arial" w:hAnsi="Arial" w:eastAsia="黑体"/>
      <w:color w:val="auto"/>
      <w:kern w:val="2"/>
      <w:szCs w:val="20"/>
    </w:rPr>
  </w:style>
  <w:style w:type="character" w:default="1" w:styleId="43">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qFormat/>
    <w:uiPriority w:val="0"/>
    <w:pPr>
      <w:autoSpaceDE/>
      <w:autoSpaceDN/>
      <w:adjustRightInd/>
      <w:ind w:firstLine="420"/>
    </w:pPr>
    <w:rPr>
      <w:kern w:val="2"/>
    </w:rPr>
  </w:style>
  <w:style w:type="paragraph" w:styleId="12">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3">
    <w:name w:val="caption"/>
    <w:basedOn w:val="1"/>
    <w:next w:val="1"/>
    <w:unhideWhenUsed/>
    <w:qFormat/>
    <w:uiPriority w:val="0"/>
    <w:pPr>
      <w:autoSpaceDE/>
      <w:autoSpaceDN/>
      <w:adjustRightInd/>
    </w:pPr>
    <w:rPr>
      <w:rFonts w:ascii="Cambria" w:hAnsi="Cambria" w:eastAsia="黑体"/>
      <w:color w:val="auto"/>
      <w:kern w:val="2"/>
      <w:sz w:val="20"/>
      <w:szCs w:val="20"/>
    </w:rPr>
  </w:style>
  <w:style w:type="paragraph" w:styleId="14">
    <w:name w:val="Document Map"/>
    <w:basedOn w:val="1"/>
    <w:link w:val="62"/>
    <w:uiPriority w:val="0"/>
    <w:pPr>
      <w:shd w:val="clear" w:color="auto" w:fill="000080"/>
      <w:autoSpaceDE/>
      <w:autoSpaceDN/>
      <w:adjustRightInd/>
    </w:pPr>
    <w:rPr>
      <w:kern w:val="2"/>
      <w:szCs w:val="24"/>
      <w:shd w:val="clear" w:color="auto" w:fill="000080"/>
    </w:rPr>
  </w:style>
  <w:style w:type="paragraph" w:styleId="15">
    <w:name w:val="annotation text"/>
    <w:basedOn w:val="1"/>
    <w:link w:val="226"/>
    <w:qFormat/>
    <w:uiPriority w:val="0"/>
    <w:pPr>
      <w:jc w:val="left"/>
      <w:textAlignment w:val="baseline"/>
    </w:pPr>
    <w:rPr>
      <w:rFonts w:ascii="宋体" w:hAnsi="Calibri"/>
      <w:color w:val="auto"/>
      <w:sz w:val="34"/>
      <w:szCs w:val="20"/>
    </w:rPr>
  </w:style>
  <w:style w:type="paragraph" w:styleId="16">
    <w:name w:val="index 6"/>
    <w:next w:val="1"/>
    <w:qFormat/>
    <w:uiPriority w:val="0"/>
    <w:pPr>
      <w:jc w:val="both"/>
    </w:pPr>
    <w:rPr>
      <w:rFonts w:ascii="Times New Roman" w:hAnsi="Times New Roman" w:eastAsia="宋体" w:cs="Times New Roman"/>
      <w:sz w:val="21"/>
      <w:szCs w:val="24"/>
      <w:lang w:val="en-US" w:eastAsia="zh-CN" w:bidi="ar-SA"/>
    </w:rPr>
  </w:style>
  <w:style w:type="paragraph" w:styleId="17">
    <w:name w:val="Body Text 3"/>
    <w:basedOn w:val="1"/>
    <w:link w:val="230"/>
    <w:qFormat/>
    <w:uiPriority w:val="0"/>
    <w:pPr>
      <w:spacing w:line="640" w:lineRule="exact"/>
      <w:jc w:val="left"/>
      <w:textAlignment w:val="baseline"/>
    </w:pPr>
    <w:rPr>
      <w:rFonts w:ascii="宋体" w:hAnsi="Calibri"/>
      <w:sz w:val="28"/>
      <w:szCs w:val="20"/>
    </w:rPr>
  </w:style>
  <w:style w:type="paragraph" w:styleId="18">
    <w:name w:val="Body Text"/>
    <w:basedOn w:val="1"/>
    <w:link w:val="55"/>
    <w:qFormat/>
    <w:uiPriority w:val="0"/>
    <w:pPr>
      <w:spacing w:after="120"/>
    </w:pPr>
  </w:style>
  <w:style w:type="paragraph" w:styleId="19">
    <w:name w:val="Body Text Indent"/>
    <w:basedOn w:val="1"/>
    <w:link w:val="75"/>
    <w:qFormat/>
    <w:uiPriority w:val="0"/>
    <w:pPr>
      <w:spacing w:after="120"/>
      <w:ind w:left="420" w:leftChars="200"/>
    </w:pPr>
  </w:style>
  <w:style w:type="paragraph" w:styleId="20">
    <w:name w:val="toc 3"/>
    <w:basedOn w:val="1"/>
    <w:next w:val="1"/>
    <w:unhideWhenUsed/>
    <w:qFormat/>
    <w:uiPriority w:val="39"/>
    <w:pPr>
      <w:autoSpaceDE/>
      <w:autoSpaceDN/>
      <w:adjustRightInd/>
      <w:ind w:left="840" w:leftChars="400"/>
    </w:pPr>
    <w:rPr>
      <w:rFonts w:ascii="Calibri" w:hAnsi="Calibri"/>
      <w:color w:val="auto"/>
      <w:kern w:val="2"/>
      <w:szCs w:val="24"/>
    </w:rPr>
  </w:style>
  <w:style w:type="paragraph" w:styleId="21">
    <w:name w:val="Plain Text"/>
    <w:basedOn w:val="1"/>
    <w:link w:val="52"/>
    <w:qFormat/>
    <w:uiPriority w:val="0"/>
    <w:pPr>
      <w:autoSpaceDE/>
      <w:autoSpaceDN/>
      <w:adjustRightInd/>
    </w:pPr>
    <w:rPr>
      <w:kern w:val="2"/>
      <w:sz w:val="24"/>
    </w:rPr>
  </w:style>
  <w:style w:type="paragraph" w:styleId="22">
    <w:name w:val="Date"/>
    <w:basedOn w:val="1"/>
    <w:next w:val="1"/>
    <w:link w:val="237"/>
    <w:qFormat/>
    <w:uiPriority w:val="0"/>
    <w:pPr>
      <w:textAlignment w:val="baseline"/>
    </w:pPr>
    <w:rPr>
      <w:rFonts w:ascii="宋体" w:hAnsi="Calibri"/>
      <w:color w:val="auto"/>
      <w:sz w:val="28"/>
      <w:szCs w:val="20"/>
    </w:rPr>
  </w:style>
  <w:style w:type="paragraph" w:styleId="23">
    <w:name w:val="Body Text Indent 2"/>
    <w:basedOn w:val="1"/>
    <w:link w:val="222"/>
    <w:qFormat/>
    <w:uiPriority w:val="0"/>
    <w:pPr>
      <w:autoSpaceDE/>
      <w:autoSpaceDN/>
      <w:adjustRightInd/>
      <w:spacing w:line="360" w:lineRule="auto"/>
      <w:ind w:firstLine="720"/>
    </w:pPr>
    <w:rPr>
      <w:rFonts w:ascii="宋体" w:hAnsi="Calibri"/>
      <w:color w:val="auto"/>
      <w:kern w:val="2"/>
      <w:sz w:val="28"/>
      <w:szCs w:val="20"/>
    </w:rPr>
  </w:style>
  <w:style w:type="paragraph" w:styleId="24">
    <w:name w:val="Balloon Text"/>
    <w:basedOn w:val="1"/>
    <w:link w:val="76"/>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pPr>
    <w:rPr>
      <w:rFonts w:eastAsia="黑体"/>
      <w:sz w:val="24"/>
    </w:rPr>
  </w:style>
  <w:style w:type="paragraph" w:styleId="28">
    <w:name w:val="Subtitle"/>
    <w:basedOn w:val="1"/>
    <w:next w:val="1"/>
    <w:link w:val="212"/>
    <w:qFormat/>
    <w:uiPriority w:val="0"/>
    <w:pPr>
      <w:autoSpaceDE/>
      <w:autoSpaceDN/>
      <w:adjustRightInd/>
      <w:spacing w:before="240" w:after="60" w:line="312" w:lineRule="auto"/>
      <w:jc w:val="center"/>
      <w:outlineLvl w:val="1"/>
    </w:pPr>
    <w:rPr>
      <w:rFonts w:ascii="Cambria" w:hAnsi="Cambria"/>
      <w:b/>
      <w:bCs/>
      <w:color w:val="auto"/>
      <w:kern w:val="28"/>
      <w:sz w:val="32"/>
      <w:szCs w:val="32"/>
    </w:rPr>
  </w:style>
  <w:style w:type="paragraph" w:styleId="29">
    <w:name w:val="footnote text"/>
    <w:basedOn w:val="1"/>
    <w:link w:val="231"/>
    <w:semiHidden/>
    <w:qFormat/>
    <w:uiPriority w:val="0"/>
    <w:pPr>
      <w:snapToGrid w:val="0"/>
      <w:jc w:val="left"/>
      <w:textAlignment w:val="baseline"/>
    </w:pPr>
    <w:rPr>
      <w:rFonts w:ascii="宋体" w:hAnsi="Calibri"/>
      <w:color w:val="auto"/>
      <w:sz w:val="18"/>
      <w:szCs w:val="20"/>
    </w:rPr>
  </w:style>
  <w:style w:type="paragraph" w:styleId="30">
    <w:name w:val="Body Text Indent 3"/>
    <w:basedOn w:val="1"/>
    <w:link w:val="77"/>
    <w:qFormat/>
    <w:uiPriority w:val="0"/>
    <w:pPr>
      <w:autoSpaceDE/>
      <w:autoSpaceDN/>
      <w:adjustRightInd/>
      <w:ind w:firstLine="435"/>
    </w:pPr>
    <w:rPr>
      <w:color w:val="auto"/>
      <w:kern w:val="2"/>
      <w:szCs w:val="24"/>
    </w:rPr>
  </w:style>
  <w:style w:type="paragraph" w:styleId="31">
    <w:name w:val="index 7"/>
    <w:basedOn w:val="1"/>
    <w:next w:val="1"/>
    <w:uiPriority w:val="0"/>
    <w:pPr>
      <w:ind w:left="1200" w:leftChars="1200"/>
    </w:pPr>
  </w:style>
  <w:style w:type="paragraph" w:styleId="32">
    <w:name w:val="toc 2"/>
    <w:basedOn w:val="1"/>
    <w:next w:val="1"/>
    <w:unhideWhenUsed/>
    <w:qFormat/>
    <w:uiPriority w:val="39"/>
    <w:pPr>
      <w:autoSpaceDE/>
      <w:autoSpaceDN/>
      <w:adjustRightInd/>
      <w:ind w:left="420" w:leftChars="200"/>
    </w:pPr>
    <w:rPr>
      <w:rFonts w:ascii="Calibri" w:hAnsi="Calibri"/>
      <w:color w:val="auto"/>
      <w:kern w:val="2"/>
      <w:szCs w:val="24"/>
    </w:rPr>
  </w:style>
  <w:style w:type="paragraph" w:styleId="33">
    <w:name w:val="Body Text 2"/>
    <w:basedOn w:val="1"/>
    <w:link w:val="214"/>
    <w:uiPriority w:val="0"/>
    <w:pPr>
      <w:textAlignment w:val="baseline"/>
    </w:pPr>
    <w:rPr>
      <w:rFonts w:ascii="宋体" w:hAnsi="Calibri"/>
      <w:color w:val="auto"/>
      <w:sz w:val="28"/>
      <w:szCs w:val="20"/>
    </w:rPr>
  </w:style>
  <w:style w:type="paragraph" w:styleId="34">
    <w:name w:val="HTML Preformatted"/>
    <w:basedOn w:val="1"/>
    <w:link w:val="2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宋体" w:hAnsi="宋体" w:cs="宋体"/>
      <w:color w:val="auto"/>
      <w:sz w:val="24"/>
      <w:szCs w:val="24"/>
    </w:rPr>
  </w:style>
  <w:style w:type="paragraph" w:styleId="35">
    <w:name w:val="Normal (Web)"/>
    <w:basedOn w:val="1"/>
    <w:qFormat/>
    <w:uiPriority w:val="99"/>
    <w:pPr>
      <w:autoSpaceDE/>
      <w:autoSpaceDN/>
      <w:adjustRightInd/>
    </w:pPr>
    <w:rPr>
      <w:rFonts w:ascii="Calibri" w:hAnsi="Calibri"/>
      <w:color w:val="auto"/>
      <w:kern w:val="2"/>
      <w:sz w:val="24"/>
      <w:szCs w:val="24"/>
    </w:rPr>
  </w:style>
  <w:style w:type="paragraph" w:styleId="36">
    <w:name w:val="Title"/>
    <w:basedOn w:val="1"/>
    <w:next w:val="1"/>
    <w:link w:val="123"/>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37">
    <w:name w:val="annotation subject"/>
    <w:basedOn w:val="15"/>
    <w:next w:val="15"/>
    <w:link w:val="232"/>
    <w:semiHidden/>
    <w:qFormat/>
    <w:uiPriority w:val="99"/>
    <w:rPr>
      <w:b/>
      <w:bCs/>
    </w:rPr>
  </w:style>
  <w:style w:type="paragraph" w:styleId="38">
    <w:name w:val="Body Text First Indent"/>
    <w:basedOn w:val="18"/>
    <w:link w:val="217"/>
    <w:uiPriority w:val="0"/>
    <w:pPr>
      <w:ind w:firstLine="420" w:firstLineChars="100"/>
    </w:pPr>
    <w:rPr>
      <w:rFonts w:ascii="Calibri" w:hAnsi="Calibri"/>
    </w:rPr>
  </w:style>
  <w:style w:type="paragraph" w:styleId="39">
    <w:name w:val="Body Text First Indent 2"/>
    <w:basedOn w:val="19"/>
    <w:link w:val="137"/>
    <w:unhideWhenUsed/>
    <w:qFormat/>
    <w:uiPriority w:val="99"/>
    <w:pPr>
      <w:ind w:firstLine="420" w:firstLineChars="200"/>
    </w:p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Elegant"/>
    <w:basedOn w:val="4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u w:val="single"/>
    </w:rPr>
  </w:style>
  <w:style w:type="character" w:styleId="47">
    <w:name w:val="Emphasis"/>
    <w:basedOn w:val="43"/>
    <w:qFormat/>
    <w:uiPriority w:val="0"/>
    <w:rPr>
      <w:i/>
      <w:iCs/>
    </w:rPr>
  </w:style>
  <w:style w:type="character" w:styleId="48">
    <w:name w:val="Hyperlink"/>
    <w:basedOn w:val="43"/>
    <w:qFormat/>
    <w:uiPriority w:val="99"/>
    <w:rPr>
      <w:color w:val="0000FF"/>
      <w:u w:val="single"/>
    </w:rPr>
  </w:style>
  <w:style w:type="character" w:styleId="49">
    <w:name w:val="annotation reference"/>
    <w:qFormat/>
    <w:uiPriority w:val="0"/>
    <w:rPr>
      <w:sz w:val="21"/>
      <w:szCs w:val="21"/>
    </w:rPr>
  </w:style>
  <w:style w:type="character" w:customStyle="1" w:styleId="50">
    <w:name w:val="标题 1 Char"/>
    <w:basedOn w:val="43"/>
    <w:link w:val="2"/>
    <w:qFormat/>
    <w:uiPriority w:val="0"/>
    <w:rPr>
      <w:b/>
      <w:color w:val="000000"/>
      <w:kern w:val="44"/>
      <w:sz w:val="44"/>
      <w:szCs w:val="21"/>
    </w:rPr>
  </w:style>
  <w:style w:type="character" w:customStyle="1" w:styleId="51">
    <w:name w:val="标题 2 Char"/>
    <w:basedOn w:val="43"/>
    <w:link w:val="3"/>
    <w:qFormat/>
    <w:uiPriority w:val="0"/>
    <w:rPr>
      <w:rFonts w:ascii="Arial" w:hAnsi="Arial" w:eastAsia="黑体"/>
      <w:b/>
      <w:bCs/>
      <w:kern w:val="2"/>
      <w:sz w:val="32"/>
      <w:szCs w:val="32"/>
    </w:rPr>
  </w:style>
  <w:style w:type="character" w:customStyle="1" w:styleId="52">
    <w:name w:val="纯文本 Char"/>
    <w:basedOn w:val="43"/>
    <w:link w:val="21"/>
    <w:qFormat/>
    <w:uiPriority w:val="0"/>
    <w:rPr>
      <w:rFonts w:eastAsia="宋体"/>
      <w:kern w:val="2"/>
      <w:sz w:val="24"/>
      <w:lang w:val="en-US" w:eastAsia="zh-CN" w:bidi="ar-SA"/>
    </w:rPr>
  </w:style>
  <w:style w:type="character" w:customStyle="1" w:styleId="53">
    <w:name w:val="正文文字2 Char"/>
    <w:link w:val="54"/>
    <w:qFormat/>
    <w:uiPriority w:val="0"/>
    <w:rPr>
      <w:rFonts w:ascii="Arial" w:eastAsia="黑体"/>
      <w:sz w:val="21"/>
      <w:lang w:val="en-US" w:eastAsia="zh-CN" w:bidi="ar-SA"/>
    </w:rPr>
  </w:style>
  <w:style w:type="paragraph" w:customStyle="1" w:styleId="54">
    <w:name w:val="正文文字2"/>
    <w:basedOn w:val="18"/>
    <w:link w:val="53"/>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55">
    <w:name w:val="正文文本 Char"/>
    <w:basedOn w:val="43"/>
    <w:link w:val="18"/>
    <w:qFormat/>
    <w:uiPriority w:val="0"/>
    <w:rPr>
      <w:color w:val="000000"/>
      <w:sz w:val="21"/>
      <w:szCs w:val="21"/>
    </w:rPr>
  </w:style>
  <w:style w:type="character" w:customStyle="1" w:styleId="56">
    <w:name w:val="ca-32"/>
    <w:basedOn w:val="43"/>
    <w:uiPriority w:val="0"/>
  </w:style>
  <w:style w:type="character" w:customStyle="1" w:styleId="57">
    <w:name w:val="ca-72"/>
    <w:basedOn w:val="43"/>
    <w:qFormat/>
    <w:uiPriority w:val="0"/>
  </w:style>
  <w:style w:type="character" w:customStyle="1" w:styleId="58">
    <w:name w:val="页脚 Char"/>
    <w:basedOn w:val="43"/>
    <w:link w:val="25"/>
    <w:qFormat/>
    <w:uiPriority w:val="99"/>
    <w:rPr>
      <w:color w:val="000000"/>
      <w:sz w:val="18"/>
      <w:szCs w:val="18"/>
    </w:rPr>
  </w:style>
  <w:style w:type="character" w:customStyle="1" w:styleId="59">
    <w:name w:val="大纲 Char"/>
    <w:basedOn w:val="43"/>
    <w:link w:val="60"/>
    <w:qFormat/>
    <w:uiPriority w:val="0"/>
    <w:rPr>
      <w:rFonts w:ascii="宋体" w:hAnsi="宋体"/>
      <w:b/>
      <w:kern w:val="2"/>
      <w:sz w:val="28"/>
      <w:szCs w:val="28"/>
      <w:lang w:bidi="ar-SA"/>
    </w:rPr>
  </w:style>
  <w:style w:type="paragraph" w:customStyle="1" w:styleId="60">
    <w:name w:val="大纲"/>
    <w:basedOn w:val="1"/>
    <w:link w:val="59"/>
    <w:qFormat/>
    <w:uiPriority w:val="0"/>
    <w:pPr>
      <w:autoSpaceDE/>
      <w:autoSpaceDN/>
      <w:adjustRightInd/>
      <w:spacing w:line="500" w:lineRule="exact"/>
      <w:jc w:val="left"/>
      <w:outlineLvl w:val="0"/>
    </w:pPr>
    <w:rPr>
      <w:rFonts w:ascii="宋体" w:hAnsi="宋体"/>
      <w:b/>
      <w:kern w:val="2"/>
      <w:sz w:val="28"/>
      <w:szCs w:val="28"/>
    </w:rPr>
  </w:style>
  <w:style w:type="character" w:customStyle="1" w:styleId="61">
    <w:name w:val="ca-42"/>
    <w:basedOn w:val="43"/>
    <w:qFormat/>
    <w:uiPriority w:val="0"/>
  </w:style>
  <w:style w:type="character" w:customStyle="1" w:styleId="62">
    <w:name w:val="文档结构图 Char"/>
    <w:basedOn w:val="43"/>
    <w:link w:val="14"/>
    <w:qFormat/>
    <w:uiPriority w:val="0"/>
    <w:rPr>
      <w:kern w:val="2"/>
      <w:sz w:val="21"/>
      <w:szCs w:val="24"/>
      <w:shd w:val="clear" w:color="auto" w:fill="000080"/>
    </w:rPr>
  </w:style>
  <w:style w:type="character" w:customStyle="1" w:styleId="63">
    <w:name w:val="正文缩进 Char"/>
    <w:basedOn w:val="43"/>
    <w:link w:val="8"/>
    <w:qFormat/>
    <w:uiPriority w:val="0"/>
    <w:rPr>
      <w:rFonts w:eastAsia="宋体"/>
      <w:kern w:val="2"/>
      <w:sz w:val="21"/>
      <w:lang w:val="en-US" w:eastAsia="zh-CN" w:bidi="ar-SA"/>
    </w:rPr>
  </w:style>
  <w:style w:type="character" w:customStyle="1" w:styleId="64">
    <w:name w:val="ca-52"/>
    <w:basedOn w:val="43"/>
    <w:qFormat/>
    <w:uiPriority w:val="0"/>
  </w:style>
  <w:style w:type="character" w:customStyle="1" w:styleId="65">
    <w:name w:val="so-ask-best"/>
    <w:basedOn w:val="43"/>
    <w:qFormat/>
    <w:uiPriority w:val="0"/>
  </w:style>
  <w:style w:type="character" w:customStyle="1" w:styleId="66">
    <w:name w:val="页眉 Char"/>
    <w:basedOn w:val="43"/>
    <w:link w:val="26"/>
    <w:qFormat/>
    <w:uiPriority w:val="99"/>
    <w:rPr>
      <w:color w:val="000000"/>
      <w:sz w:val="18"/>
      <w:szCs w:val="18"/>
    </w:rPr>
  </w:style>
  <w:style w:type="character" w:customStyle="1" w:styleId="67">
    <w:name w:val="ca-12"/>
    <w:basedOn w:val="43"/>
    <w:qFormat/>
    <w:uiPriority w:val="0"/>
  </w:style>
  <w:style w:type="character" w:customStyle="1" w:styleId="68">
    <w:name w:val="ca-22"/>
    <w:basedOn w:val="43"/>
    <w:qFormat/>
    <w:uiPriority w:val="0"/>
  </w:style>
  <w:style w:type="character" w:customStyle="1" w:styleId="69">
    <w:name w:val="ca-62"/>
    <w:basedOn w:val="43"/>
    <w:qFormat/>
    <w:uiPriority w:val="0"/>
  </w:style>
  <w:style w:type="character" w:customStyle="1" w:styleId="70">
    <w:name w:val="无间隔 Char"/>
    <w:link w:val="71"/>
    <w:qFormat/>
    <w:locked/>
    <w:uiPriority w:val="1"/>
    <w:rPr>
      <w:rFonts w:ascii="Calibri" w:hAnsi="Calibri"/>
      <w:sz w:val="22"/>
      <w:szCs w:val="22"/>
      <w:lang w:val="en-US" w:eastAsia="zh-CN" w:bidi="ar-SA"/>
    </w:rPr>
  </w:style>
  <w:style w:type="paragraph" w:styleId="71">
    <w:name w:val="No Spacing"/>
    <w:link w:val="70"/>
    <w:qFormat/>
    <w:uiPriority w:val="1"/>
    <w:rPr>
      <w:rFonts w:ascii="Calibri" w:hAnsi="Calibri" w:eastAsia="宋体" w:cs="Times New Roman"/>
      <w:sz w:val="22"/>
      <w:szCs w:val="22"/>
      <w:lang w:val="en-US" w:eastAsia="zh-CN" w:bidi="ar-SA"/>
    </w:rPr>
  </w:style>
  <w:style w:type="character" w:customStyle="1" w:styleId="72">
    <w:name w:val="纯文本 Char1"/>
    <w:basedOn w:val="43"/>
    <w:qFormat/>
    <w:locked/>
    <w:uiPriority w:val="0"/>
    <w:rPr>
      <w:rFonts w:eastAsia="宋体"/>
      <w:kern w:val="2"/>
      <w:sz w:val="24"/>
      <w:lang w:val="en-US" w:eastAsia="zh-CN" w:bidi="ar-SA"/>
    </w:rPr>
  </w:style>
  <w:style w:type="character" w:customStyle="1" w:styleId="73">
    <w:name w:val="apple-converted-space"/>
    <w:basedOn w:val="43"/>
    <w:qFormat/>
    <w:uiPriority w:val="0"/>
  </w:style>
  <w:style w:type="character" w:customStyle="1" w:styleId="74">
    <w:name w:val="font01"/>
    <w:basedOn w:val="43"/>
    <w:qFormat/>
    <w:uiPriority w:val="0"/>
    <w:rPr>
      <w:rFonts w:hint="eastAsia" w:ascii="宋体" w:hAnsi="宋体" w:eastAsia="宋体" w:cs="宋体"/>
      <w:color w:val="000000"/>
      <w:sz w:val="22"/>
      <w:szCs w:val="22"/>
      <w:u w:val="none"/>
    </w:rPr>
  </w:style>
  <w:style w:type="character" w:customStyle="1" w:styleId="75">
    <w:name w:val="正文文本缩进 Char"/>
    <w:basedOn w:val="43"/>
    <w:link w:val="19"/>
    <w:qFormat/>
    <w:uiPriority w:val="0"/>
    <w:rPr>
      <w:color w:val="000000"/>
      <w:sz w:val="21"/>
      <w:szCs w:val="21"/>
    </w:rPr>
  </w:style>
  <w:style w:type="character" w:customStyle="1" w:styleId="76">
    <w:name w:val="批注框文本 Char"/>
    <w:basedOn w:val="43"/>
    <w:link w:val="24"/>
    <w:qFormat/>
    <w:uiPriority w:val="99"/>
    <w:rPr>
      <w:color w:val="000000"/>
      <w:sz w:val="18"/>
      <w:szCs w:val="18"/>
    </w:rPr>
  </w:style>
  <w:style w:type="character" w:customStyle="1" w:styleId="77">
    <w:name w:val="正文文本缩进 3 Char"/>
    <w:basedOn w:val="43"/>
    <w:link w:val="30"/>
    <w:qFormat/>
    <w:uiPriority w:val="0"/>
    <w:rPr>
      <w:kern w:val="2"/>
      <w:sz w:val="21"/>
      <w:szCs w:val="24"/>
    </w:rPr>
  </w:style>
  <w:style w:type="paragraph" w:customStyle="1" w:styleId="78">
    <w:name w:val="列出段落1"/>
    <w:basedOn w:val="1"/>
    <w:qFormat/>
    <w:uiPriority w:val="34"/>
    <w:pPr>
      <w:autoSpaceDE/>
      <w:autoSpaceDN/>
      <w:adjustRightInd/>
      <w:ind w:firstLine="420" w:firstLineChars="200"/>
    </w:pPr>
    <w:rPr>
      <w:color w:val="auto"/>
      <w:kern w:val="2"/>
      <w:szCs w:val="20"/>
    </w:rPr>
  </w:style>
  <w:style w:type="paragraph" w:customStyle="1" w:styleId="79">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82">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默认段落字体 Para Char Char Char"/>
    <w:basedOn w:val="1"/>
    <w:qFormat/>
    <w:uiPriority w:val="0"/>
    <w:pPr>
      <w:autoSpaceDE/>
      <w:autoSpaceDN/>
      <w:adjustRightInd/>
    </w:pPr>
    <w:rPr>
      <w:color w:val="auto"/>
      <w:kern w:val="2"/>
      <w:szCs w:val="24"/>
    </w:rPr>
  </w:style>
  <w:style w:type="paragraph" w:customStyle="1" w:styleId="84">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87">
    <w:name w:val="无间隔1"/>
    <w:qFormat/>
    <w:uiPriority w:val="1"/>
    <w:rPr>
      <w:rFonts w:ascii="Calibri" w:hAnsi="Calibri" w:eastAsia="宋体" w:cs="Times New Roman"/>
      <w:sz w:val="22"/>
      <w:szCs w:val="22"/>
      <w:lang w:val="en-US" w:eastAsia="zh-CN" w:bidi="ar-SA"/>
    </w:rPr>
  </w:style>
  <w:style w:type="paragraph" w:customStyle="1" w:styleId="88">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91">
    <w:name w:val="List Paragraph"/>
    <w:basedOn w:val="1"/>
    <w:link w:val="92"/>
    <w:qFormat/>
    <w:uiPriority w:val="99"/>
    <w:pPr>
      <w:autoSpaceDE/>
      <w:autoSpaceDN/>
      <w:adjustRightInd/>
      <w:ind w:firstLine="420" w:firstLineChars="200"/>
    </w:pPr>
    <w:rPr>
      <w:rFonts w:ascii="Calibri" w:hAnsi="Calibri"/>
      <w:color w:val="auto"/>
      <w:kern w:val="2"/>
      <w:szCs w:val="22"/>
    </w:rPr>
  </w:style>
  <w:style w:type="character" w:customStyle="1" w:styleId="92">
    <w:name w:val="列出段落 Char"/>
    <w:link w:val="91"/>
    <w:qFormat/>
    <w:uiPriority w:val="99"/>
    <w:rPr>
      <w:rFonts w:ascii="Calibri" w:hAnsi="Calibri"/>
      <w:kern w:val="2"/>
      <w:sz w:val="21"/>
      <w:szCs w:val="22"/>
    </w:rPr>
  </w:style>
  <w:style w:type="paragraph" w:customStyle="1" w:styleId="93">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4">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95">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96">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7">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98">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9">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0">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1">
    <w:name w:val="p15"/>
    <w:basedOn w:val="1"/>
    <w:qFormat/>
    <w:uiPriority w:val="0"/>
    <w:pPr>
      <w:widowControl/>
      <w:autoSpaceDE/>
      <w:autoSpaceDN/>
      <w:adjustRightInd/>
      <w:snapToGrid w:val="0"/>
    </w:pPr>
  </w:style>
  <w:style w:type="paragraph" w:customStyle="1" w:styleId="102">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3">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4">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5">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6">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7">
    <w:name w:val="Char Char Char Char1 Char Char Char Char Char"/>
    <w:basedOn w:val="14"/>
    <w:qFormat/>
    <w:uiPriority w:val="0"/>
  </w:style>
  <w:style w:type="paragraph" w:customStyle="1" w:styleId="108">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9">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110">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11">
    <w:name w:val="p0"/>
    <w:next w:val="31"/>
    <w:qFormat/>
    <w:uiPriority w:val="0"/>
    <w:pPr>
      <w:snapToGrid w:val="0"/>
    </w:pPr>
    <w:rPr>
      <w:rFonts w:ascii="Times New Roman" w:hAnsi="Times New Roman" w:eastAsia="宋体" w:cs="Times New Roman"/>
      <w:sz w:val="21"/>
      <w:szCs w:val="21"/>
      <w:lang w:val="en-US" w:eastAsia="zh-CN" w:bidi="ar-SA"/>
    </w:rPr>
  </w:style>
  <w:style w:type="paragraph" w:customStyle="1" w:styleId="112">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113">
    <w:name w:val="Char Char Char"/>
    <w:basedOn w:val="1"/>
    <w:qFormat/>
    <w:uiPriority w:val="0"/>
    <w:pPr>
      <w:widowControl/>
      <w:autoSpaceDE/>
      <w:autoSpaceDN/>
      <w:adjustRightInd/>
      <w:jc w:val="left"/>
    </w:pPr>
    <w:rPr>
      <w:color w:val="auto"/>
      <w:sz w:val="20"/>
      <w:szCs w:val="20"/>
    </w:rPr>
  </w:style>
  <w:style w:type="paragraph" w:customStyle="1" w:styleId="114">
    <w:name w:val="_Style 2"/>
    <w:qFormat/>
    <w:uiPriority w:val="99"/>
    <w:rPr>
      <w:rFonts w:ascii="Calibri" w:hAnsi="Calibri" w:eastAsia="宋体" w:cs="Times New Roman"/>
      <w:sz w:val="22"/>
      <w:szCs w:val="22"/>
      <w:lang w:val="en-US" w:eastAsia="zh-CN" w:bidi="ar-SA"/>
    </w:rPr>
  </w:style>
  <w:style w:type="paragraph" w:customStyle="1" w:styleId="115">
    <w:name w:val="列出段落111"/>
    <w:basedOn w:val="1"/>
    <w:qFormat/>
    <w:uiPriority w:val="0"/>
    <w:pPr>
      <w:autoSpaceDE/>
      <w:autoSpaceDN/>
      <w:adjustRightInd/>
      <w:ind w:firstLine="420" w:firstLineChars="200"/>
    </w:pPr>
    <w:rPr>
      <w:rFonts w:ascii="Calibri" w:hAnsi="Calibri"/>
      <w:color w:val="auto"/>
      <w:kern w:val="2"/>
      <w:szCs w:val="24"/>
    </w:rPr>
  </w:style>
  <w:style w:type="character" w:customStyle="1" w:styleId="116">
    <w:name w:val="15"/>
    <w:basedOn w:val="43"/>
    <w:qFormat/>
    <w:uiPriority w:val="0"/>
    <w:rPr>
      <w:rFonts w:hint="eastAsia" w:ascii="宋体" w:hAnsi="宋体" w:eastAsia="宋体"/>
      <w:color w:val="000000"/>
      <w:sz w:val="20"/>
      <w:szCs w:val="20"/>
    </w:rPr>
  </w:style>
  <w:style w:type="character" w:customStyle="1" w:styleId="117">
    <w:name w:val="16"/>
    <w:basedOn w:val="43"/>
    <w:qFormat/>
    <w:uiPriority w:val="0"/>
    <w:rPr>
      <w:rFonts w:hint="default" w:ascii="Arial" w:hAnsi="Arial" w:cs="Arial"/>
      <w:color w:val="000000"/>
      <w:sz w:val="20"/>
      <w:szCs w:val="20"/>
    </w:rPr>
  </w:style>
  <w:style w:type="character" w:customStyle="1" w:styleId="118">
    <w:name w:val="17"/>
    <w:basedOn w:val="43"/>
    <w:qFormat/>
    <w:uiPriority w:val="0"/>
    <w:rPr>
      <w:rFonts w:hint="default" w:ascii="Arial" w:hAnsi="Arial" w:cs="Arial"/>
      <w:color w:val="FF0000"/>
      <w:sz w:val="20"/>
      <w:szCs w:val="20"/>
    </w:rPr>
  </w:style>
  <w:style w:type="character" w:customStyle="1" w:styleId="119">
    <w:name w:val="18"/>
    <w:basedOn w:val="43"/>
    <w:qFormat/>
    <w:uiPriority w:val="0"/>
    <w:rPr>
      <w:rFonts w:hint="eastAsia" w:ascii="宋体" w:hAnsi="宋体" w:eastAsia="宋体"/>
      <w:color w:val="FF0000"/>
      <w:sz w:val="20"/>
      <w:szCs w:val="20"/>
    </w:rPr>
  </w:style>
  <w:style w:type="character" w:customStyle="1" w:styleId="120">
    <w:name w:val="19"/>
    <w:basedOn w:val="43"/>
    <w:qFormat/>
    <w:uiPriority w:val="0"/>
    <w:rPr>
      <w:rFonts w:hint="eastAsia" w:ascii="宋体" w:hAnsi="宋体" w:eastAsia="宋体"/>
      <w:color w:val="000000"/>
      <w:sz w:val="20"/>
      <w:szCs w:val="20"/>
    </w:rPr>
  </w:style>
  <w:style w:type="character" w:customStyle="1" w:styleId="121">
    <w:name w:val="20"/>
    <w:basedOn w:val="43"/>
    <w:qFormat/>
    <w:uiPriority w:val="0"/>
    <w:rPr>
      <w:rFonts w:hint="default" w:ascii="Arial" w:hAnsi="Arial" w:cs="Arial"/>
      <w:color w:val="000000"/>
      <w:sz w:val="20"/>
      <w:szCs w:val="20"/>
    </w:rPr>
  </w:style>
  <w:style w:type="paragraph" w:customStyle="1" w:styleId="122">
    <w:name w:val="List Paragraph1"/>
    <w:basedOn w:val="1"/>
    <w:qFormat/>
    <w:uiPriority w:val="99"/>
    <w:pPr>
      <w:autoSpaceDE/>
      <w:autoSpaceDN/>
      <w:adjustRightInd/>
      <w:ind w:firstLine="420" w:firstLineChars="200"/>
    </w:pPr>
    <w:rPr>
      <w:rFonts w:ascii="Calibri" w:hAnsi="Calibri" w:cs="黑体"/>
      <w:color w:val="auto"/>
      <w:kern w:val="2"/>
    </w:rPr>
  </w:style>
  <w:style w:type="character" w:customStyle="1" w:styleId="123">
    <w:name w:val="标题 Char"/>
    <w:basedOn w:val="43"/>
    <w:link w:val="36"/>
    <w:uiPriority w:val="0"/>
    <w:rPr>
      <w:rFonts w:ascii="Cambria" w:hAnsi="Cambria"/>
      <w:b/>
      <w:bCs/>
      <w:kern w:val="2"/>
      <w:sz w:val="32"/>
      <w:szCs w:val="32"/>
    </w:rPr>
  </w:style>
  <w:style w:type="paragraph" w:customStyle="1" w:styleId="124">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25">
    <w:name w:val="Table Paragraph"/>
    <w:basedOn w:val="1"/>
    <w:qFormat/>
    <w:uiPriority w:val="0"/>
    <w:pPr>
      <w:adjustRightInd/>
      <w:spacing w:line="287" w:lineRule="exact"/>
      <w:ind w:left="301" w:right="287"/>
      <w:jc w:val="center"/>
    </w:pPr>
    <w:rPr>
      <w:rFonts w:ascii="宋体" w:hAnsi="宋体" w:cs="宋体"/>
      <w:color w:val="auto"/>
      <w:sz w:val="22"/>
      <w:szCs w:val="22"/>
      <w:lang w:val="zh-CN" w:bidi="zh-CN"/>
    </w:rPr>
  </w:style>
  <w:style w:type="paragraph" w:customStyle="1" w:styleId="126">
    <w:name w:val="正文缩进1"/>
    <w:basedOn w:val="1"/>
    <w:uiPriority w:val="0"/>
    <w:pPr>
      <w:ind w:firstLine="420"/>
      <w:jc w:val="left"/>
    </w:pPr>
    <w:rPr>
      <w:rFonts w:ascii="宋体"/>
      <w:color w:val="auto"/>
      <w:sz w:val="24"/>
      <w:szCs w:val="20"/>
    </w:rPr>
  </w:style>
  <w:style w:type="paragraph" w:customStyle="1" w:styleId="127">
    <w:name w:val="Char1"/>
    <w:basedOn w:val="1"/>
    <w:uiPriority w:val="0"/>
    <w:pPr>
      <w:autoSpaceDE/>
      <w:autoSpaceDN/>
      <w:adjustRightInd/>
    </w:pPr>
    <w:rPr>
      <w:rFonts w:ascii="仿宋_GB2312" w:eastAsia="仿宋_GB2312"/>
      <w:b/>
      <w:color w:val="auto"/>
      <w:kern w:val="2"/>
      <w:sz w:val="32"/>
      <w:szCs w:val="32"/>
    </w:rPr>
  </w:style>
  <w:style w:type="character" w:customStyle="1" w:styleId="128">
    <w:name w:val="font61"/>
    <w:basedOn w:val="43"/>
    <w:uiPriority w:val="0"/>
    <w:rPr>
      <w:rFonts w:ascii="Arial" w:hAnsi="Arial" w:cs="Arial"/>
      <w:color w:val="000000"/>
      <w:sz w:val="20"/>
      <w:szCs w:val="20"/>
      <w:u w:val="none"/>
    </w:rPr>
  </w:style>
  <w:style w:type="character" w:customStyle="1" w:styleId="129">
    <w:name w:val="font51"/>
    <w:basedOn w:val="43"/>
    <w:qFormat/>
    <w:uiPriority w:val="0"/>
    <w:rPr>
      <w:rFonts w:hint="eastAsia" w:ascii="宋体" w:hAnsi="宋体" w:eastAsia="宋体" w:cs="宋体"/>
      <w:color w:val="FF0000"/>
      <w:sz w:val="20"/>
      <w:szCs w:val="20"/>
      <w:u w:val="none"/>
    </w:rPr>
  </w:style>
  <w:style w:type="character" w:customStyle="1" w:styleId="130">
    <w:name w:val="font31"/>
    <w:basedOn w:val="43"/>
    <w:uiPriority w:val="0"/>
    <w:rPr>
      <w:rFonts w:hint="default" w:ascii="Arial" w:hAnsi="Arial" w:cs="Arial"/>
      <w:color w:val="FF0000"/>
      <w:sz w:val="20"/>
      <w:szCs w:val="20"/>
      <w:u w:val="none"/>
    </w:rPr>
  </w:style>
  <w:style w:type="character" w:customStyle="1" w:styleId="131">
    <w:name w:val="font41"/>
    <w:basedOn w:val="43"/>
    <w:uiPriority w:val="0"/>
    <w:rPr>
      <w:rFonts w:hint="default" w:ascii="Arial" w:hAnsi="Arial" w:cs="Arial"/>
      <w:color w:val="000000"/>
      <w:sz w:val="20"/>
      <w:szCs w:val="20"/>
      <w:u w:val="none"/>
    </w:rPr>
  </w:style>
  <w:style w:type="character" w:customStyle="1" w:styleId="132">
    <w:name w:val="font11"/>
    <w:basedOn w:val="43"/>
    <w:uiPriority w:val="0"/>
    <w:rPr>
      <w:rFonts w:hint="eastAsia" w:ascii="宋体" w:hAnsi="宋体" w:eastAsia="宋体" w:cs="宋体"/>
      <w:color w:val="000000"/>
      <w:sz w:val="20"/>
      <w:szCs w:val="20"/>
      <w:u w:val="none"/>
    </w:rPr>
  </w:style>
  <w:style w:type="paragraph" w:customStyle="1" w:styleId="13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4">
    <w:name w:val="top_title1"/>
    <w:basedOn w:val="43"/>
    <w:qFormat/>
    <w:uiPriority w:val="0"/>
    <w:rPr>
      <w:b/>
      <w:bCs/>
      <w:color w:val="333333"/>
      <w:sz w:val="24"/>
      <w:szCs w:val="24"/>
    </w:rPr>
  </w:style>
  <w:style w:type="paragraph" w:customStyle="1" w:styleId="135">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36">
    <w:name w:val="NormalCharacter"/>
    <w:qFormat/>
    <w:uiPriority w:val="0"/>
    <w:rPr>
      <w:sz w:val="24"/>
    </w:rPr>
  </w:style>
  <w:style w:type="character" w:customStyle="1" w:styleId="137">
    <w:name w:val="正文首行缩进 2 Char"/>
    <w:basedOn w:val="75"/>
    <w:link w:val="39"/>
    <w:uiPriority w:val="99"/>
  </w:style>
  <w:style w:type="paragraph" w:customStyle="1" w:styleId="1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_Style 14"/>
    <w:next w:val="13"/>
    <w:uiPriority w:val="0"/>
    <w:pPr>
      <w:widowControl w:val="0"/>
      <w:jc w:val="both"/>
    </w:pPr>
    <w:rPr>
      <w:rFonts w:ascii="宋体" w:hAnsi="Times New Roman" w:eastAsia="宋体" w:cs="Times New Roman"/>
      <w:kern w:val="2"/>
      <w:sz w:val="21"/>
      <w:lang w:val="en-US" w:eastAsia="zh-CN" w:bidi="ar-SA"/>
    </w:rPr>
  </w:style>
  <w:style w:type="paragraph" w:customStyle="1" w:styleId="141">
    <w:name w:val="正文1"/>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42">
    <w:name w:val="列出段落2"/>
    <w:basedOn w:val="1"/>
    <w:qFormat/>
    <w:uiPriority w:val="0"/>
    <w:pPr>
      <w:autoSpaceDE/>
      <w:autoSpaceDN/>
      <w:adjustRightInd/>
      <w:ind w:firstLine="420" w:firstLineChars="200"/>
    </w:pPr>
    <w:rPr>
      <w:color w:val="auto"/>
      <w:kern w:val="2"/>
      <w:szCs w:val="20"/>
    </w:rPr>
  </w:style>
  <w:style w:type="paragraph" w:customStyle="1" w:styleId="143">
    <w:name w:val="列表段落"/>
    <w:basedOn w:val="1"/>
    <w:uiPriority w:val="0"/>
    <w:pPr>
      <w:autoSpaceDE/>
      <w:autoSpaceDN/>
      <w:adjustRightInd/>
      <w:ind w:firstLine="420" w:firstLineChars="200"/>
    </w:pPr>
    <w:rPr>
      <w:rFonts w:ascii="Calibri" w:hAnsi="Calibri" w:cs="宋体"/>
      <w:color w:val="auto"/>
      <w:kern w:val="2"/>
    </w:rPr>
  </w:style>
  <w:style w:type="paragraph" w:customStyle="1" w:styleId="144">
    <w:name w:val="AbsatzTableFormat"/>
    <w:basedOn w:val="1"/>
    <w:uiPriority w:val="0"/>
    <w:pPr>
      <w:widowControl/>
      <w:autoSpaceDE/>
      <w:autoSpaceDN/>
      <w:adjustRightInd/>
      <w:jc w:val="left"/>
    </w:pPr>
    <w:rPr>
      <w:rFonts w:ascii="Arial Narrow" w:hAnsi="Arial Narrow" w:cs="宋体"/>
      <w:color w:val="auto"/>
      <w:sz w:val="22"/>
      <w:szCs w:val="22"/>
    </w:rPr>
  </w:style>
  <w:style w:type="paragraph" w:customStyle="1" w:styleId="145">
    <w:name w:val="列出段落11"/>
    <w:basedOn w:val="1"/>
    <w:qFormat/>
    <w:uiPriority w:val="34"/>
    <w:pPr>
      <w:autoSpaceDE/>
      <w:autoSpaceDN/>
      <w:adjustRightInd/>
      <w:ind w:firstLine="420" w:firstLineChars="200"/>
    </w:pPr>
    <w:rPr>
      <w:color w:val="auto"/>
      <w:kern w:val="2"/>
      <w:szCs w:val="20"/>
    </w:rPr>
  </w:style>
  <w:style w:type="paragraph" w:customStyle="1" w:styleId="146">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paragraph" w:customStyle="1" w:styleId="147">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148">
    <w:name w:val="标题 5 Char"/>
    <w:basedOn w:val="43"/>
    <w:link w:val="6"/>
    <w:uiPriority w:val="9"/>
    <w:rPr>
      <w:rFonts w:ascii="Times New Roman" w:hAnsi="Times New Roman"/>
      <w:b/>
      <w:bCs/>
      <w:color w:val="000000"/>
      <w:sz w:val="28"/>
      <w:szCs w:val="28"/>
    </w:rPr>
  </w:style>
  <w:style w:type="character" w:customStyle="1" w:styleId="149">
    <w:name w:val="标题 3 Char"/>
    <w:basedOn w:val="43"/>
    <w:link w:val="4"/>
    <w:uiPriority w:val="0"/>
    <w:rPr>
      <w:b/>
      <w:bCs/>
      <w:color w:val="000000"/>
      <w:sz w:val="32"/>
      <w:szCs w:val="32"/>
    </w:rPr>
  </w:style>
  <w:style w:type="character" w:customStyle="1" w:styleId="150">
    <w:name w:val="标题 4 Char"/>
    <w:basedOn w:val="43"/>
    <w:link w:val="5"/>
    <w:qFormat/>
    <w:uiPriority w:val="9"/>
    <w:rPr>
      <w:rFonts w:ascii="Arial" w:hAnsi="Arial" w:eastAsia="黑体"/>
      <w:b/>
      <w:bCs/>
      <w:color w:val="000000"/>
      <w:sz w:val="28"/>
      <w:szCs w:val="28"/>
    </w:rPr>
  </w:style>
  <w:style w:type="character" w:customStyle="1" w:styleId="151">
    <w:name w:val="标题 6 Char"/>
    <w:basedOn w:val="43"/>
    <w:link w:val="7"/>
    <w:qFormat/>
    <w:uiPriority w:val="0"/>
    <w:rPr>
      <w:rFonts w:ascii="Arial" w:hAnsi="Arial" w:eastAsia="黑体"/>
      <w:b/>
      <w:kern w:val="2"/>
      <w:sz w:val="24"/>
    </w:rPr>
  </w:style>
  <w:style w:type="character" w:customStyle="1" w:styleId="152">
    <w:name w:val="标题 7 Char"/>
    <w:basedOn w:val="43"/>
    <w:link w:val="9"/>
    <w:qFormat/>
    <w:uiPriority w:val="0"/>
    <w:rPr>
      <w:b/>
      <w:kern w:val="2"/>
      <w:sz w:val="24"/>
    </w:rPr>
  </w:style>
  <w:style w:type="character" w:customStyle="1" w:styleId="153">
    <w:name w:val="标题 8 Char"/>
    <w:basedOn w:val="43"/>
    <w:link w:val="10"/>
    <w:qFormat/>
    <w:uiPriority w:val="0"/>
    <w:rPr>
      <w:rFonts w:ascii="Arial" w:hAnsi="Arial" w:eastAsia="黑体"/>
      <w:kern w:val="2"/>
      <w:sz w:val="24"/>
    </w:rPr>
  </w:style>
  <w:style w:type="character" w:customStyle="1" w:styleId="154">
    <w:name w:val="标题 9 Char"/>
    <w:basedOn w:val="43"/>
    <w:link w:val="11"/>
    <w:uiPriority w:val="0"/>
    <w:rPr>
      <w:rFonts w:ascii="Arial" w:hAnsi="Arial" w:eastAsia="黑体"/>
      <w:kern w:val="2"/>
      <w:sz w:val="21"/>
    </w:rPr>
  </w:style>
  <w:style w:type="character" w:customStyle="1" w:styleId="155">
    <w:name w:val="标题 1 Char Char"/>
    <w:uiPriority w:val="0"/>
    <w:rPr>
      <w:rFonts w:eastAsia="宋体"/>
      <w:b/>
      <w:spacing w:val="-2"/>
      <w:sz w:val="24"/>
      <w:lang w:val="en-US" w:eastAsia="zh-CN"/>
    </w:rPr>
  </w:style>
  <w:style w:type="character" w:customStyle="1" w:styleId="156">
    <w:name w:val="Heading 3 Char"/>
    <w:qFormat/>
    <w:locked/>
    <w:uiPriority w:val="0"/>
    <w:rPr>
      <w:rFonts w:ascii="Times New Roman" w:hAnsi="Times New Roman" w:eastAsia="宋体"/>
      <w:b/>
      <w:sz w:val="20"/>
    </w:rPr>
  </w:style>
  <w:style w:type="character" w:customStyle="1" w:styleId="157">
    <w:name w:val="HTML 预设格式 Char"/>
    <w:link w:val="34"/>
    <w:locked/>
    <w:uiPriority w:val="0"/>
    <w:rPr>
      <w:rFonts w:ascii="宋体" w:hAnsi="宋体" w:cs="宋体"/>
      <w:sz w:val="24"/>
      <w:szCs w:val="24"/>
    </w:rPr>
  </w:style>
  <w:style w:type="character" w:customStyle="1" w:styleId="158">
    <w:name w:val="普通文字1 Char"/>
    <w:qFormat/>
    <w:uiPriority w:val="0"/>
    <w:rPr>
      <w:rFonts w:eastAsia="宋体"/>
      <w:kern w:val="2"/>
      <w:sz w:val="24"/>
      <w:lang w:val="en-US" w:eastAsia="zh-CN" w:bidi="ar-SA"/>
    </w:rPr>
  </w:style>
  <w:style w:type="character" w:customStyle="1" w:styleId="159">
    <w:name w:val="Heading 1 Char"/>
    <w:locked/>
    <w:uiPriority w:val="0"/>
    <w:rPr>
      <w:rFonts w:ascii="宋体" w:hAnsi="Times New Roman" w:eastAsia="宋体" w:cs="Times New Roman"/>
      <w:b/>
      <w:color w:val="000000"/>
      <w:sz w:val="20"/>
      <w:szCs w:val="20"/>
    </w:rPr>
  </w:style>
  <w:style w:type="character" w:customStyle="1" w:styleId="160">
    <w:name w:val="正文文本缩进 2 Char"/>
    <w:link w:val="23"/>
    <w:qFormat/>
    <w:locked/>
    <w:uiPriority w:val="0"/>
    <w:rPr>
      <w:rFonts w:ascii="宋体"/>
      <w:kern w:val="2"/>
      <w:sz w:val="28"/>
    </w:rPr>
  </w:style>
  <w:style w:type="character" w:customStyle="1" w:styleId="161">
    <w:name w:val="Char Char"/>
    <w:qFormat/>
    <w:uiPriority w:val="0"/>
    <w:rPr>
      <w:rFonts w:ascii="宋体" w:hAnsi="Courier New" w:eastAsia="宋体"/>
      <w:sz w:val="21"/>
      <w:lang w:val="en-US" w:eastAsia="zh-CN"/>
    </w:rPr>
  </w:style>
  <w:style w:type="character" w:customStyle="1" w:styleId="162">
    <w:name w:val="SANGFOR_6_正文 Char"/>
    <w:link w:val="163"/>
    <w:locked/>
    <w:uiPriority w:val="0"/>
    <w:rPr>
      <w:kern w:val="2"/>
      <w:sz w:val="24"/>
    </w:rPr>
  </w:style>
  <w:style w:type="paragraph" w:customStyle="1" w:styleId="163">
    <w:name w:val="SANGFOR_6_正文"/>
    <w:basedOn w:val="1"/>
    <w:link w:val="162"/>
    <w:qFormat/>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164">
    <w:name w:val="批注主题 Char"/>
    <w:link w:val="37"/>
    <w:semiHidden/>
    <w:qFormat/>
    <w:locked/>
    <w:uiPriority w:val="99"/>
    <w:rPr>
      <w:rFonts w:ascii="宋体"/>
      <w:b/>
      <w:bCs/>
      <w:sz w:val="34"/>
    </w:rPr>
  </w:style>
  <w:style w:type="character" w:customStyle="1" w:styleId="165">
    <w:name w:val="正文2 Char"/>
    <w:link w:val="166"/>
    <w:qFormat/>
    <w:uiPriority w:val="0"/>
    <w:rPr>
      <w:kern w:val="2"/>
      <w:sz w:val="24"/>
    </w:rPr>
  </w:style>
  <w:style w:type="paragraph" w:customStyle="1" w:styleId="166">
    <w:name w:val="正文2"/>
    <w:basedOn w:val="1"/>
    <w:link w:val="165"/>
    <w:qFormat/>
    <w:uiPriority w:val="0"/>
    <w:pPr>
      <w:autoSpaceDE/>
      <w:autoSpaceDN/>
      <w:adjustRightInd/>
      <w:spacing w:before="156" w:line="360" w:lineRule="auto"/>
      <w:ind w:left="480"/>
    </w:pPr>
    <w:rPr>
      <w:rFonts w:ascii="Calibri" w:hAnsi="Calibri"/>
      <w:color w:val="auto"/>
      <w:kern w:val="2"/>
      <w:sz w:val="24"/>
      <w:szCs w:val="20"/>
    </w:rPr>
  </w:style>
  <w:style w:type="character" w:customStyle="1" w:styleId="167">
    <w:name w:val="bb1"/>
    <w:uiPriority w:val="0"/>
    <w:rPr>
      <w:rFonts w:cs="Times New Roman"/>
      <w:color w:val="000000"/>
      <w:sz w:val="18"/>
      <w:szCs w:val="18"/>
      <w:u w:val="none"/>
    </w:rPr>
  </w:style>
  <w:style w:type="character" w:customStyle="1" w:styleId="168">
    <w:name w:val="列出段落 Char Char"/>
    <w:link w:val="169"/>
    <w:qFormat/>
    <w:uiPriority w:val="0"/>
    <w:rPr>
      <w:kern w:val="2"/>
      <w:sz w:val="21"/>
      <w:szCs w:val="22"/>
    </w:rPr>
  </w:style>
  <w:style w:type="paragraph" w:customStyle="1" w:styleId="169">
    <w:name w:val="列出段落3"/>
    <w:basedOn w:val="1"/>
    <w:link w:val="168"/>
    <w:qFormat/>
    <w:uiPriority w:val="0"/>
    <w:pPr>
      <w:autoSpaceDE/>
      <w:autoSpaceDN/>
      <w:adjustRightInd/>
      <w:ind w:firstLine="420" w:firstLineChars="200"/>
    </w:pPr>
    <w:rPr>
      <w:rFonts w:ascii="Calibri" w:hAnsi="Calibri"/>
      <w:color w:val="auto"/>
      <w:kern w:val="2"/>
      <w:szCs w:val="22"/>
    </w:rPr>
  </w:style>
  <w:style w:type="character" w:customStyle="1" w:styleId="170">
    <w:name w:val="GW-正文 Char"/>
    <w:link w:val="171"/>
    <w:qFormat/>
    <w:locked/>
    <w:uiPriority w:val="0"/>
    <w:rPr>
      <w:kern w:val="2"/>
      <w:sz w:val="24"/>
    </w:rPr>
  </w:style>
  <w:style w:type="paragraph" w:customStyle="1" w:styleId="171">
    <w:name w:val="GW-正文"/>
    <w:basedOn w:val="1"/>
    <w:link w:val="170"/>
    <w:uiPriority w:val="0"/>
    <w:pPr>
      <w:tabs>
        <w:tab w:val="left" w:pos="3255"/>
      </w:tabs>
      <w:autoSpaceDE/>
      <w:autoSpaceDN/>
      <w:adjustRightInd/>
      <w:spacing w:before="120" w:after="120" w:line="360" w:lineRule="auto"/>
      <w:ind w:firstLine="480" w:firstLineChars="200"/>
      <w:jc w:val="left"/>
    </w:pPr>
    <w:rPr>
      <w:rFonts w:ascii="Calibri" w:hAnsi="Calibri"/>
      <w:color w:val="auto"/>
      <w:kern w:val="2"/>
      <w:sz w:val="24"/>
      <w:szCs w:val="20"/>
    </w:rPr>
  </w:style>
  <w:style w:type="character" w:customStyle="1" w:styleId="172">
    <w:name w:val="Char Char12"/>
    <w:qFormat/>
    <w:uiPriority w:val="0"/>
    <w:rPr>
      <w:rFonts w:ascii="宋体" w:hAnsi="Times New Roman" w:eastAsia="宋体"/>
      <w:b/>
      <w:color w:val="000000"/>
      <w:kern w:val="0"/>
      <w:sz w:val="20"/>
    </w:rPr>
  </w:style>
  <w:style w:type="character" w:customStyle="1" w:styleId="173">
    <w:name w:val="Heading 4 Char"/>
    <w:qFormat/>
    <w:locked/>
    <w:uiPriority w:val="0"/>
    <w:rPr>
      <w:rFonts w:ascii="Arial" w:hAnsi="Arial" w:eastAsia="黑体"/>
      <w:b/>
      <w:kern w:val="2"/>
      <w:sz w:val="20"/>
    </w:rPr>
  </w:style>
  <w:style w:type="character" w:customStyle="1" w:styleId="174">
    <w:name w:val="标题 1 Char1"/>
    <w:uiPriority w:val="9"/>
    <w:rPr>
      <w:rFonts w:eastAsia="宋体"/>
      <w:b/>
      <w:bCs/>
      <w:kern w:val="44"/>
      <w:sz w:val="28"/>
      <w:szCs w:val="44"/>
    </w:rPr>
  </w:style>
  <w:style w:type="character" w:customStyle="1" w:styleId="175">
    <w:name w:val="标题2 Char Char"/>
    <w:uiPriority w:val="0"/>
    <w:rPr>
      <w:rFonts w:ascii="Arial" w:hAnsi="Arial" w:eastAsia="宋体" w:cs="Times New Roman"/>
      <w:b/>
      <w:bCs/>
      <w:kern w:val="2"/>
      <w:sz w:val="32"/>
      <w:szCs w:val="32"/>
      <w:lang w:val="en-US" w:eastAsia="zh-CN" w:bidi="ar-SA"/>
    </w:rPr>
  </w:style>
  <w:style w:type="character" w:customStyle="1" w:styleId="176">
    <w:name w:val="*正文 Char"/>
    <w:link w:val="177"/>
    <w:qFormat/>
    <w:uiPriority w:val="0"/>
    <w:rPr>
      <w:kern w:val="2"/>
      <w:sz w:val="24"/>
      <w:szCs w:val="28"/>
      <w:lang w:val="zh-CN"/>
    </w:rPr>
  </w:style>
  <w:style w:type="paragraph" w:customStyle="1" w:styleId="177">
    <w:name w:val="*正文"/>
    <w:basedOn w:val="1"/>
    <w:link w:val="176"/>
    <w:qFormat/>
    <w:uiPriority w:val="0"/>
    <w:pPr>
      <w:widowControl/>
      <w:autoSpaceDE/>
      <w:autoSpaceDN/>
      <w:adjustRightInd/>
      <w:spacing w:line="360" w:lineRule="auto"/>
      <w:ind w:firstLine="200" w:firstLineChars="200"/>
      <w:jc w:val="left"/>
    </w:pPr>
    <w:rPr>
      <w:rFonts w:ascii="Calibri" w:hAnsi="Calibri"/>
      <w:color w:val="auto"/>
      <w:kern w:val="2"/>
      <w:sz w:val="24"/>
      <w:szCs w:val="28"/>
      <w:lang w:val="zh-CN"/>
    </w:rPr>
  </w:style>
  <w:style w:type="character" w:customStyle="1" w:styleId="178">
    <w:name w:val="日期 Char"/>
    <w:link w:val="22"/>
    <w:qFormat/>
    <w:locked/>
    <w:uiPriority w:val="0"/>
    <w:rPr>
      <w:rFonts w:ascii="宋体"/>
      <w:sz w:val="28"/>
    </w:rPr>
  </w:style>
  <w:style w:type="character" w:customStyle="1" w:styleId="179">
    <w:name w:val="贵阳 Char"/>
    <w:link w:val="180"/>
    <w:qFormat/>
    <w:locked/>
    <w:uiPriority w:val="0"/>
    <w:rPr>
      <w:rFonts w:ascii="宋体" w:hAnsi="宋体"/>
      <w:b/>
      <w:color w:val="000000"/>
      <w:sz w:val="30"/>
    </w:rPr>
  </w:style>
  <w:style w:type="paragraph" w:customStyle="1" w:styleId="180">
    <w:name w:val="贵阳"/>
    <w:basedOn w:val="2"/>
    <w:link w:val="179"/>
    <w:qFormat/>
    <w:uiPriority w:val="0"/>
    <w:pPr>
      <w:keepLines w:val="0"/>
      <w:numPr>
        <w:ilvl w:val="0"/>
        <w:numId w:val="2"/>
      </w:numPr>
      <w:spacing w:before="240" w:after="0" w:line="360" w:lineRule="auto"/>
      <w:jc w:val="left"/>
      <w:textAlignment w:val="baseline"/>
      <w:outlineLvl w:val="1"/>
    </w:pPr>
    <w:rPr>
      <w:rFonts w:ascii="宋体" w:hAnsi="宋体"/>
      <w:kern w:val="0"/>
      <w:sz w:val="30"/>
      <w:szCs w:val="20"/>
    </w:rPr>
  </w:style>
  <w:style w:type="character" w:customStyle="1" w:styleId="181">
    <w:name w:val="Plain Text Char Char"/>
    <w:link w:val="182"/>
    <w:qFormat/>
    <w:locked/>
    <w:uiPriority w:val="0"/>
    <w:rPr>
      <w:rFonts w:ascii="宋体" w:hAnsi="Courier New"/>
      <w:sz w:val="21"/>
    </w:rPr>
  </w:style>
  <w:style w:type="paragraph" w:customStyle="1" w:styleId="182">
    <w:name w:val="Plain Text1"/>
    <w:basedOn w:val="1"/>
    <w:link w:val="181"/>
    <w:qFormat/>
    <w:uiPriority w:val="0"/>
    <w:pPr>
      <w:jc w:val="left"/>
      <w:textAlignment w:val="baseline"/>
    </w:pPr>
    <w:rPr>
      <w:rFonts w:ascii="宋体" w:hAnsi="Courier New"/>
      <w:color w:val="auto"/>
      <w:szCs w:val="20"/>
    </w:rPr>
  </w:style>
  <w:style w:type="character" w:customStyle="1" w:styleId="183">
    <w:name w:val="Normal Indent Char"/>
    <w:qFormat/>
    <w:locked/>
    <w:uiPriority w:val="0"/>
    <w:rPr>
      <w:rFonts w:ascii="Times New Roman" w:hAnsi="Times New Roman" w:eastAsia="宋体"/>
      <w:kern w:val="2"/>
      <w:sz w:val="20"/>
    </w:rPr>
  </w:style>
  <w:style w:type="character" w:customStyle="1" w:styleId="184">
    <w:name w:val="正文缩进 Char1"/>
    <w:qFormat/>
    <w:uiPriority w:val="0"/>
    <w:rPr>
      <w:rFonts w:ascii="Times New Roman" w:hAnsi="Times New Roman" w:eastAsia="宋体" w:cs="Times New Roman"/>
      <w:kern w:val="0"/>
      <w:sz w:val="24"/>
      <w:szCs w:val="20"/>
    </w:rPr>
  </w:style>
  <w:style w:type="character" w:customStyle="1" w:styleId="185">
    <w:name w:val="脚注文本 Char"/>
    <w:link w:val="29"/>
    <w:semiHidden/>
    <w:locked/>
    <w:uiPriority w:val="0"/>
    <w:rPr>
      <w:rFonts w:ascii="宋体"/>
      <w:sz w:val="18"/>
    </w:rPr>
  </w:style>
  <w:style w:type="character" w:customStyle="1" w:styleId="186">
    <w:name w:val="第I部分 Char"/>
    <w:qFormat/>
    <w:uiPriority w:val="0"/>
    <w:rPr>
      <w:rFonts w:eastAsia="宋体"/>
      <w:b/>
      <w:kern w:val="44"/>
      <w:sz w:val="44"/>
      <w:lang w:val="en-US" w:eastAsia="zh-CN"/>
    </w:rPr>
  </w:style>
  <w:style w:type="character" w:customStyle="1" w:styleId="187">
    <w:name w:val="批注文字 Char"/>
    <w:link w:val="15"/>
    <w:qFormat/>
    <w:locked/>
    <w:uiPriority w:val="0"/>
    <w:rPr>
      <w:rFonts w:ascii="宋体"/>
      <w:sz w:val="34"/>
    </w:rPr>
  </w:style>
  <w:style w:type="character" w:customStyle="1" w:styleId="188">
    <w:name w:val="正文文本 2 Char"/>
    <w:link w:val="33"/>
    <w:qFormat/>
    <w:locked/>
    <w:uiPriority w:val="0"/>
    <w:rPr>
      <w:rFonts w:ascii="宋体"/>
      <w:sz w:val="28"/>
    </w:rPr>
  </w:style>
  <w:style w:type="character" w:customStyle="1" w:styleId="189">
    <w:name w:val="标准正文格式 Char Char"/>
    <w:link w:val="190"/>
    <w:uiPriority w:val="0"/>
    <w:rPr>
      <w:rFonts w:ascii="宋体" w:eastAsia="仿宋_GB2312"/>
      <w:color w:val="000000"/>
      <w:sz w:val="32"/>
    </w:rPr>
  </w:style>
  <w:style w:type="paragraph" w:customStyle="1" w:styleId="190">
    <w:name w:val="标准正文格式"/>
    <w:basedOn w:val="1"/>
    <w:link w:val="189"/>
    <w:qFormat/>
    <w:uiPriority w:val="0"/>
    <w:pPr>
      <w:widowControl/>
      <w:autoSpaceDE/>
      <w:autoSpaceDN/>
      <w:spacing w:before="60" w:after="120" w:line="360" w:lineRule="auto"/>
      <w:ind w:firstLine="200" w:firstLineChars="200"/>
      <w:textAlignment w:val="baseline"/>
    </w:pPr>
    <w:rPr>
      <w:rFonts w:ascii="宋体" w:hAnsi="Calibri" w:eastAsia="仿宋_GB2312"/>
      <w:sz w:val="32"/>
      <w:szCs w:val="20"/>
    </w:rPr>
  </w:style>
  <w:style w:type="character" w:customStyle="1" w:styleId="191">
    <w:name w:val="副标题 Char"/>
    <w:link w:val="28"/>
    <w:locked/>
    <w:uiPriority w:val="0"/>
    <w:rPr>
      <w:rFonts w:ascii="Cambria" w:hAnsi="Cambria"/>
      <w:b/>
      <w:bCs/>
      <w:kern w:val="28"/>
      <w:sz w:val="32"/>
      <w:szCs w:val="32"/>
    </w:rPr>
  </w:style>
  <w:style w:type="character" w:customStyle="1" w:styleId="192">
    <w:name w:val="方案正文 Char"/>
    <w:link w:val="193"/>
    <w:qFormat/>
    <w:uiPriority w:val="0"/>
    <w:rPr>
      <w:rFonts w:ascii="Arial" w:hAnsi="Arial" w:cs="宋体"/>
      <w:kern w:val="2"/>
      <w:sz w:val="24"/>
      <w:szCs w:val="21"/>
    </w:rPr>
  </w:style>
  <w:style w:type="paragraph" w:customStyle="1" w:styleId="193">
    <w:name w:val="方案正文"/>
    <w:basedOn w:val="1"/>
    <w:link w:val="192"/>
    <w:uiPriority w:val="0"/>
    <w:pPr>
      <w:autoSpaceDE/>
      <w:autoSpaceDN/>
      <w:adjustRightInd/>
      <w:spacing w:before="156" w:line="360" w:lineRule="auto"/>
      <w:ind w:firstLine="359" w:firstLineChars="171"/>
      <w:jc w:val="left"/>
    </w:pPr>
    <w:rPr>
      <w:rFonts w:ascii="Arial" w:hAnsi="Arial" w:cs="宋体"/>
      <w:color w:val="auto"/>
      <w:kern w:val="2"/>
      <w:sz w:val="24"/>
    </w:rPr>
  </w:style>
  <w:style w:type="character" w:customStyle="1" w:styleId="194">
    <w:name w:val="纯文本 Char3"/>
    <w:uiPriority w:val="0"/>
    <w:rPr>
      <w:rFonts w:ascii="宋体" w:hAnsi="Courier New" w:eastAsia="宋体"/>
      <w:sz w:val="21"/>
    </w:rPr>
  </w:style>
  <w:style w:type="character" w:customStyle="1" w:styleId="195">
    <w:name w:val="样式 LP 标准模板正文 + 左  2 字符 Char Char"/>
    <w:link w:val="196"/>
    <w:locked/>
    <w:uiPriority w:val="0"/>
    <w:rPr>
      <w:rFonts w:ascii="宋体"/>
      <w:sz w:val="24"/>
    </w:rPr>
  </w:style>
  <w:style w:type="paragraph" w:customStyle="1" w:styleId="196">
    <w:name w:val="样式 LP 标准模板正文 + 左  2 字符"/>
    <w:basedOn w:val="1"/>
    <w:link w:val="195"/>
    <w:qFormat/>
    <w:uiPriority w:val="0"/>
    <w:pPr>
      <w:autoSpaceDE/>
      <w:autoSpaceDN/>
      <w:snapToGrid w:val="0"/>
      <w:spacing w:line="300" w:lineRule="auto"/>
      <w:ind w:firstLine="200" w:firstLineChars="200"/>
    </w:pPr>
    <w:rPr>
      <w:rFonts w:ascii="宋体" w:hAnsi="Calibri"/>
      <w:color w:val="auto"/>
      <w:sz w:val="24"/>
      <w:szCs w:val="20"/>
    </w:rPr>
  </w:style>
  <w:style w:type="character" w:customStyle="1" w:styleId="197">
    <w:name w:val="正文文本 3 Char"/>
    <w:link w:val="17"/>
    <w:locked/>
    <w:uiPriority w:val="0"/>
    <w:rPr>
      <w:rFonts w:ascii="宋体"/>
      <w:color w:val="000000"/>
      <w:sz w:val="28"/>
    </w:rPr>
  </w:style>
  <w:style w:type="character" w:customStyle="1" w:styleId="198">
    <w:name w:val="大标题 Char"/>
    <w:link w:val="199"/>
    <w:uiPriority w:val="0"/>
    <w:rPr>
      <w:rFonts w:ascii="黑体" w:hAnsi="黑体" w:eastAsia="黑体"/>
      <w:b/>
      <w:bCs/>
      <w:kern w:val="2"/>
      <w:sz w:val="72"/>
      <w:szCs w:val="72"/>
    </w:rPr>
  </w:style>
  <w:style w:type="paragraph" w:customStyle="1" w:styleId="199">
    <w:name w:val="大标题"/>
    <w:basedOn w:val="1"/>
    <w:link w:val="198"/>
    <w:uiPriority w:val="0"/>
    <w:pPr>
      <w:autoSpaceDE/>
      <w:autoSpaceDN/>
      <w:adjustRightInd/>
      <w:spacing w:line="40" w:lineRule="atLeast"/>
    </w:pPr>
    <w:rPr>
      <w:rFonts w:ascii="黑体" w:hAnsi="黑体" w:eastAsia="黑体"/>
      <w:b/>
      <w:bCs/>
      <w:color w:val="auto"/>
      <w:kern w:val="2"/>
      <w:sz w:val="72"/>
      <w:szCs w:val="72"/>
    </w:rPr>
  </w:style>
  <w:style w:type="character" w:customStyle="1" w:styleId="200">
    <w:name w:val="正文文字2 Char Char"/>
    <w:qFormat/>
    <w:uiPriority w:val="0"/>
    <w:rPr>
      <w:rFonts w:ascii="Arial" w:eastAsia="黑体"/>
      <w:sz w:val="21"/>
      <w:lang w:val="en-US" w:eastAsia="zh-CN" w:bidi="ar-SA"/>
    </w:rPr>
  </w:style>
  <w:style w:type="character" w:customStyle="1" w:styleId="201">
    <w:name w:val="正文缩进 字符"/>
    <w:qFormat/>
    <w:uiPriority w:val="0"/>
    <w:rPr>
      <w:rFonts w:ascii="Times New Roman" w:hAnsi="Times New Roman"/>
      <w:sz w:val="24"/>
    </w:rPr>
  </w:style>
  <w:style w:type="character" w:customStyle="1" w:styleId="202">
    <w:name w:val="f141"/>
    <w:uiPriority w:val="0"/>
    <w:rPr>
      <w:sz w:val="21"/>
    </w:rPr>
  </w:style>
  <w:style w:type="character" w:customStyle="1" w:styleId="203">
    <w:name w:val="样式 标题 2标题2 + 居中 Char"/>
    <w:link w:val="204"/>
    <w:locked/>
    <w:uiPriority w:val="0"/>
    <w:rPr>
      <w:rFonts w:ascii="Arial" w:hAnsi="Arial" w:cs="宋体"/>
      <w:b/>
      <w:bCs/>
      <w:kern w:val="2"/>
      <w:sz w:val="32"/>
      <w:szCs w:val="32"/>
    </w:rPr>
  </w:style>
  <w:style w:type="paragraph" w:customStyle="1" w:styleId="204">
    <w:name w:val="样式 标题 2标题2 + 居中"/>
    <w:basedOn w:val="3"/>
    <w:link w:val="203"/>
    <w:qFormat/>
    <w:uiPriority w:val="0"/>
    <w:pPr>
      <w:spacing w:line="416" w:lineRule="auto"/>
      <w:jc w:val="center"/>
    </w:pPr>
    <w:rPr>
      <w:rFonts w:eastAsia="宋体" w:cs="宋体"/>
      <w:color w:val="auto"/>
    </w:rPr>
  </w:style>
  <w:style w:type="character" w:customStyle="1" w:styleId="205">
    <w:name w:val="标题3 Char"/>
    <w:link w:val="206"/>
    <w:locked/>
    <w:uiPriority w:val="0"/>
    <w:rPr>
      <w:rFonts w:ascii="宋体" w:hAnsi="宋体"/>
      <w:b/>
      <w:bCs/>
      <w:kern w:val="2"/>
      <w:sz w:val="32"/>
      <w:szCs w:val="32"/>
    </w:rPr>
  </w:style>
  <w:style w:type="paragraph" w:customStyle="1" w:styleId="206">
    <w:name w:val="标题3"/>
    <w:basedOn w:val="3"/>
    <w:link w:val="205"/>
    <w:qFormat/>
    <w:uiPriority w:val="0"/>
    <w:pPr>
      <w:spacing w:line="416" w:lineRule="auto"/>
    </w:pPr>
    <w:rPr>
      <w:rFonts w:ascii="宋体" w:hAnsi="宋体" w:eastAsia="宋体"/>
      <w:color w:val="auto"/>
    </w:rPr>
  </w:style>
  <w:style w:type="character" w:customStyle="1" w:styleId="207">
    <w:name w:val="Footer Char"/>
    <w:locked/>
    <w:uiPriority w:val="0"/>
    <w:rPr>
      <w:sz w:val="18"/>
    </w:rPr>
  </w:style>
  <w:style w:type="character" w:customStyle="1" w:styleId="208">
    <w:name w:val="正文00 Char"/>
    <w:link w:val="209"/>
    <w:qFormat/>
    <w:uiPriority w:val="0"/>
    <w:rPr>
      <w:rFonts w:ascii="仿宋_GB2312" w:hAnsi="华文仿宋" w:eastAsia="仿宋_GB2312"/>
      <w:kern w:val="2"/>
      <w:sz w:val="28"/>
      <w:szCs w:val="28"/>
    </w:rPr>
  </w:style>
  <w:style w:type="paragraph" w:customStyle="1" w:styleId="209">
    <w:name w:val="正文00"/>
    <w:basedOn w:val="21"/>
    <w:link w:val="208"/>
    <w:qFormat/>
    <w:uiPriority w:val="0"/>
    <w:pPr>
      <w:snapToGrid w:val="0"/>
      <w:spacing w:line="360" w:lineRule="auto"/>
      <w:ind w:firstLine="560" w:firstLineChars="200"/>
    </w:pPr>
    <w:rPr>
      <w:rFonts w:ascii="仿宋_GB2312" w:hAnsi="华文仿宋" w:eastAsia="仿宋_GB2312"/>
      <w:color w:val="auto"/>
      <w:sz w:val="28"/>
      <w:szCs w:val="28"/>
    </w:rPr>
  </w:style>
  <w:style w:type="paragraph" w:customStyle="1" w:styleId="210">
    <w:name w:val="Char Char6 Char Char"/>
    <w:basedOn w:val="1"/>
    <w:uiPriority w:val="0"/>
    <w:pPr>
      <w:autoSpaceDE/>
      <w:autoSpaceDN/>
      <w:adjustRightInd/>
    </w:pPr>
    <w:rPr>
      <w:rFonts w:ascii="Calibri" w:hAnsi="Calibri"/>
      <w:color w:val="auto"/>
      <w:kern w:val="2"/>
      <w:szCs w:val="24"/>
    </w:rPr>
  </w:style>
  <w:style w:type="paragraph" w:customStyle="1" w:styleId="211">
    <w:name w:val="xl179"/>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character" w:customStyle="1" w:styleId="212">
    <w:name w:val="副标题 Char1"/>
    <w:basedOn w:val="43"/>
    <w:link w:val="28"/>
    <w:qFormat/>
    <w:uiPriority w:val="11"/>
    <w:rPr>
      <w:rFonts w:asciiTheme="majorHAnsi" w:hAnsiTheme="majorHAnsi" w:cstheme="majorBidi"/>
      <w:b/>
      <w:bCs/>
      <w:color w:val="000000"/>
      <w:kern w:val="28"/>
      <w:sz w:val="32"/>
      <w:szCs w:val="32"/>
    </w:rPr>
  </w:style>
  <w:style w:type="paragraph" w:customStyle="1" w:styleId="213">
    <w:name w:val="插图题注"/>
    <w:next w:val="1"/>
    <w:qFormat/>
    <w:uiPriority w:val="0"/>
    <w:pPr>
      <w:numPr>
        <w:ilvl w:val="7"/>
        <w:numId w:val="1"/>
      </w:numPr>
      <w:spacing w:afterLines="100"/>
      <w:ind w:left="1089" w:hanging="369"/>
      <w:jc w:val="center"/>
    </w:pPr>
    <w:rPr>
      <w:rFonts w:ascii="Arial" w:hAnsi="Arial" w:eastAsia="宋体" w:cs="Times New Roman"/>
      <w:sz w:val="18"/>
      <w:szCs w:val="18"/>
      <w:lang w:val="en-US" w:eastAsia="zh-CN" w:bidi="ar-SA"/>
    </w:rPr>
  </w:style>
  <w:style w:type="character" w:customStyle="1" w:styleId="214">
    <w:name w:val="正文文本 2 Char1"/>
    <w:basedOn w:val="43"/>
    <w:link w:val="33"/>
    <w:semiHidden/>
    <w:qFormat/>
    <w:uiPriority w:val="99"/>
    <w:rPr>
      <w:rFonts w:ascii="Times New Roman" w:hAnsi="Times New Roman"/>
      <w:color w:val="000000"/>
      <w:sz w:val="21"/>
      <w:szCs w:val="21"/>
    </w:rPr>
  </w:style>
  <w:style w:type="paragraph" w:customStyle="1" w:styleId="215">
    <w:name w:val="图样式"/>
    <w:basedOn w:val="1"/>
    <w:uiPriority w:val="0"/>
    <w:pPr>
      <w:keepNext/>
      <w:widowControl/>
      <w:spacing w:before="80" w:after="80" w:line="360" w:lineRule="auto"/>
      <w:jc w:val="center"/>
    </w:pPr>
    <w:rPr>
      <w:rFonts w:ascii="Calibri" w:hAnsi="Calibri"/>
      <w:color w:val="auto"/>
      <w:szCs w:val="20"/>
    </w:rPr>
  </w:style>
  <w:style w:type="paragraph" w:customStyle="1" w:styleId="216">
    <w:name w:val="cont3"/>
    <w:basedOn w:val="1"/>
    <w:qFormat/>
    <w:uiPriority w:val="0"/>
    <w:pPr>
      <w:widowControl/>
      <w:autoSpaceDE/>
      <w:autoSpaceDN/>
      <w:adjustRightInd/>
      <w:spacing w:after="45"/>
      <w:jc w:val="left"/>
    </w:pPr>
    <w:rPr>
      <w:rFonts w:ascii="宋体" w:hAnsi="宋体"/>
      <w:color w:val="auto"/>
      <w:sz w:val="24"/>
      <w:szCs w:val="20"/>
    </w:rPr>
  </w:style>
  <w:style w:type="character" w:customStyle="1" w:styleId="217">
    <w:name w:val="正文首行缩进 Char"/>
    <w:basedOn w:val="55"/>
    <w:link w:val="38"/>
    <w:qFormat/>
    <w:uiPriority w:val="0"/>
  </w:style>
  <w:style w:type="paragraph" w:customStyle="1" w:styleId="218">
    <w:name w:val="Char Char Char Char1"/>
    <w:basedOn w:val="1"/>
    <w:qFormat/>
    <w:uiPriority w:val="0"/>
    <w:pPr>
      <w:autoSpaceDE/>
      <w:autoSpaceDN/>
      <w:adjustRightInd/>
    </w:pPr>
    <w:rPr>
      <w:rFonts w:ascii="Lucida Sans" w:hAnsi="Lucida Sans" w:eastAsia="永中宋体"/>
      <w:color w:val="auto"/>
      <w:kern w:val="2"/>
      <w:szCs w:val="20"/>
    </w:rPr>
  </w:style>
  <w:style w:type="paragraph" w:customStyle="1" w:styleId="219">
    <w:name w:val="默认段落字体 Para Char"/>
    <w:basedOn w:val="1"/>
    <w:qFormat/>
    <w:uiPriority w:val="0"/>
    <w:pPr>
      <w:tabs>
        <w:tab w:val="left" w:pos="360"/>
        <w:tab w:val="left" w:pos="1008"/>
      </w:tabs>
      <w:autoSpaceDE/>
      <w:autoSpaceDN/>
      <w:adjustRightInd/>
      <w:ind w:left="420" w:hanging="420"/>
    </w:pPr>
    <w:rPr>
      <w:rFonts w:ascii="Calibri" w:hAnsi="Calibri"/>
      <w:color w:val="auto"/>
      <w:kern w:val="2"/>
      <w:sz w:val="24"/>
      <w:szCs w:val="24"/>
    </w:rPr>
  </w:style>
  <w:style w:type="paragraph" w:customStyle="1" w:styleId="220">
    <w:name w:val="_Style 64"/>
    <w:basedOn w:val="1"/>
    <w:uiPriority w:val="0"/>
    <w:pPr>
      <w:autoSpaceDE/>
      <w:autoSpaceDN/>
      <w:spacing w:line="360" w:lineRule="auto"/>
    </w:pPr>
    <w:rPr>
      <w:rFonts w:ascii="Calibri" w:hAnsi="Calibri"/>
      <w:color w:val="auto"/>
      <w:sz w:val="24"/>
      <w:szCs w:val="20"/>
    </w:rPr>
  </w:style>
  <w:style w:type="paragraph" w:customStyle="1" w:styleId="221">
    <w:name w:val="z-正文"/>
    <w:basedOn w:val="1"/>
    <w:qFormat/>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222">
    <w:name w:val="正文文本缩进 2 Char1"/>
    <w:basedOn w:val="43"/>
    <w:link w:val="23"/>
    <w:semiHidden/>
    <w:qFormat/>
    <w:uiPriority w:val="99"/>
    <w:rPr>
      <w:rFonts w:ascii="Times New Roman" w:hAnsi="Times New Roman"/>
      <w:color w:val="000000"/>
      <w:sz w:val="21"/>
      <w:szCs w:val="21"/>
    </w:rPr>
  </w:style>
  <w:style w:type="paragraph" w:customStyle="1" w:styleId="223">
    <w:name w:val="Char Char Char Char Char Char Char Char Char Char Char Char Char Char"/>
    <w:basedOn w:val="14"/>
    <w:qFormat/>
    <w:uiPriority w:val="0"/>
    <w:rPr>
      <w:rFonts w:ascii="Tahoma" w:hAnsi="Tahoma"/>
      <w:color w:val="auto"/>
      <w:kern w:val="0"/>
      <w:sz w:val="18"/>
      <w:shd w:val="clear" w:color="auto" w:fill="auto"/>
    </w:rPr>
  </w:style>
  <w:style w:type="paragraph" w:customStyle="1" w:styleId="224">
    <w:name w:val="A正文小四"/>
    <w:basedOn w:val="1"/>
    <w:qFormat/>
    <w:uiPriority w:val="0"/>
    <w:pPr>
      <w:autoSpaceDE/>
      <w:autoSpaceDN/>
      <w:adjustRightInd/>
      <w:spacing w:line="360" w:lineRule="auto"/>
      <w:ind w:firstLine="200" w:firstLineChars="200"/>
    </w:pPr>
    <w:rPr>
      <w:rFonts w:ascii="Calibri" w:hAnsi="Calibri" w:eastAsia="仿宋"/>
      <w:color w:val="auto"/>
      <w:kern w:val="2"/>
      <w:sz w:val="24"/>
      <w:szCs w:val="24"/>
    </w:rPr>
  </w:style>
  <w:style w:type="paragraph" w:customStyle="1" w:styleId="225">
    <w:name w:val="标题四"/>
    <w:basedOn w:val="3"/>
    <w:qFormat/>
    <w:uiPriority w:val="0"/>
    <w:pPr>
      <w:widowControl/>
      <w:spacing w:line="416" w:lineRule="auto"/>
      <w:jc w:val="center"/>
    </w:pPr>
    <w:rPr>
      <w:rFonts w:ascii="宋体" w:hAnsi="宋体" w:eastAsia="宋体"/>
      <w:b w:val="0"/>
      <w:bCs w:val="0"/>
      <w:color w:val="auto"/>
      <w:sz w:val="24"/>
    </w:rPr>
  </w:style>
  <w:style w:type="character" w:customStyle="1" w:styleId="226">
    <w:name w:val="批注文字 Char1"/>
    <w:basedOn w:val="43"/>
    <w:link w:val="15"/>
    <w:semiHidden/>
    <w:uiPriority w:val="99"/>
    <w:rPr>
      <w:rFonts w:ascii="Times New Roman" w:hAnsi="Times New Roman"/>
      <w:color w:val="000000"/>
      <w:sz w:val="21"/>
      <w:szCs w:val="21"/>
    </w:rPr>
  </w:style>
  <w:style w:type="paragraph" w:customStyle="1" w:styleId="227">
    <w:name w:val="p0 paragraphindent"/>
    <w:qFormat/>
    <w:uiPriority w:val="0"/>
    <w:pPr>
      <w:spacing w:before="100" w:beforeAutospacing="1" w:after="100" w:afterAutospacing="1"/>
    </w:pPr>
    <w:rPr>
      <w:rFonts w:ascii="宋体" w:hAnsi="宋体" w:eastAsia="宋体" w:cs="宋体"/>
      <w:sz w:val="24"/>
      <w:lang w:val="en-US" w:eastAsia="zh-CN" w:bidi="ar-SA"/>
    </w:rPr>
  </w:style>
  <w:style w:type="paragraph" w:customStyle="1" w:styleId="228">
    <w:name w:val="Char Char1 Char Char Char Char Char Char Char Char Char Char 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29">
    <w:name w:val="节标题"/>
    <w:basedOn w:val="1"/>
    <w:next w:val="1"/>
    <w:qFormat/>
    <w:uiPriority w:val="0"/>
    <w:pPr>
      <w:numPr>
        <w:ilvl w:val="0"/>
        <w:numId w:val="3"/>
      </w:numPr>
      <w:tabs>
        <w:tab w:val="left" w:pos="420"/>
        <w:tab w:val="left" w:pos="720"/>
      </w:tabs>
      <w:autoSpaceDE/>
      <w:autoSpaceDN/>
      <w:adjustRightInd/>
      <w:spacing w:before="120" w:after="120" w:line="360" w:lineRule="exact"/>
      <w:outlineLvl w:val="1"/>
    </w:pPr>
    <w:rPr>
      <w:rFonts w:ascii="Calibri" w:hAnsi="Calibri"/>
      <w:b/>
      <w:bCs/>
      <w:color w:val="auto"/>
      <w:kern w:val="2"/>
      <w:sz w:val="28"/>
      <w:szCs w:val="20"/>
    </w:rPr>
  </w:style>
  <w:style w:type="character" w:customStyle="1" w:styleId="230">
    <w:name w:val="正文文本 3 Char1"/>
    <w:basedOn w:val="43"/>
    <w:link w:val="17"/>
    <w:semiHidden/>
    <w:qFormat/>
    <w:uiPriority w:val="99"/>
    <w:rPr>
      <w:rFonts w:ascii="Times New Roman" w:hAnsi="Times New Roman"/>
      <w:color w:val="000000"/>
      <w:sz w:val="16"/>
      <w:szCs w:val="16"/>
    </w:rPr>
  </w:style>
  <w:style w:type="character" w:customStyle="1" w:styleId="231">
    <w:name w:val="脚注文本 Char1"/>
    <w:basedOn w:val="43"/>
    <w:link w:val="29"/>
    <w:semiHidden/>
    <w:qFormat/>
    <w:uiPriority w:val="99"/>
    <w:rPr>
      <w:rFonts w:ascii="Times New Roman" w:hAnsi="Times New Roman"/>
      <w:color w:val="000000"/>
      <w:sz w:val="18"/>
      <w:szCs w:val="18"/>
    </w:rPr>
  </w:style>
  <w:style w:type="character" w:customStyle="1" w:styleId="232">
    <w:name w:val="批注主题 Char1"/>
    <w:basedOn w:val="226"/>
    <w:link w:val="37"/>
    <w:semiHidden/>
    <w:qFormat/>
    <w:uiPriority w:val="99"/>
    <w:rPr>
      <w:b/>
      <w:bCs/>
    </w:rPr>
  </w:style>
  <w:style w:type="paragraph" w:customStyle="1" w:styleId="233">
    <w:name w:val="_Style 23"/>
    <w:basedOn w:val="1"/>
    <w:next w:val="18"/>
    <w:qFormat/>
    <w:uiPriority w:val="0"/>
    <w:pPr>
      <w:jc w:val="left"/>
      <w:textAlignment w:val="baseline"/>
    </w:pPr>
    <w:rPr>
      <w:rFonts w:ascii="宋体" w:hAnsi="Calibri"/>
      <w:color w:val="auto"/>
      <w:sz w:val="28"/>
      <w:szCs w:val="20"/>
    </w:rPr>
  </w:style>
  <w:style w:type="paragraph" w:customStyle="1" w:styleId="234">
    <w:name w:val="正文缩进2格"/>
    <w:basedOn w:val="1"/>
    <w:uiPriority w:val="0"/>
    <w:pPr>
      <w:spacing w:line="600" w:lineRule="exact"/>
      <w:ind w:firstLine="639" w:firstLineChars="206"/>
    </w:pPr>
    <w:rPr>
      <w:rFonts w:ascii="仿宋_GB2312" w:hAnsi="宋体" w:eastAsia="仿宋_GB2312"/>
      <w:kern w:val="2"/>
      <w:sz w:val="31"/>
      <w:szCs w:val="28"/>
    </w:rPr>
  </w:style>
  <w:style w:type="paragraph" w:customStyle="1" w:styleId="235">
    <w:name w:val="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36">
    <w:name w:val="SANGFOR_6_1级编号"/>
    <w:basedOn w:val="1"/>
    <w:qFormat/>
    <w:uiPriority w:val="0"/>
    <w:pPr>
      <w:numPr>
        <w:ilvl w:val="0"/>
        <w:numId w:val="4"/>
      </w:numPr>
      <w:tabs>
        <w:tab w:val="left" w:pos="0"/>
      </w:tabs>
      <w:autoSpaceDE/>
      <w:autoSpaceDN/>
      <w:adjustRightInd/>
      <w:spacing w:line="360" w:lineRule="auto"/>
      <w:ind w:firstLine="200" w:firstLineChars="200"/>
    </w:pPr>
    <w:rPr>
      <w:rFonts w:ascii="Calibri" w:hAnsi="Calibri"/>
      <w:color w:val="auto"/>
      <w:kern w:val="2"/>
      <w:szCs w:val="24"/>
    </w:rPr>
  </w:style>
  <w:style w:type="character" w:customStyle="1" w:styleId="237">
    <w:name w:val="日期 Char1"/>
    <w:basedOn w:val="43"/>
    <w:link w:val="22"/>
    <w:semiHidden/>
    <w:qFormat/>
    <w:uiPriority w:val="99"/>
    <w:rPr>
      <w:rFonts w:ascii="Times New Roman" w:hAnsi="Times New Roman"/>
      <w:color w:val="000000"/>
      <w:sz w:val="21"/>
      <w:szCs w:val="21"/>
    </w:rPr>
  </w:style>
  <w:style w:type="paragraph" w:customStyle="1" w:styleId="238">
    <w:name w:val="编号正文缩进"/>
    <w:basedOn w:val="8"/>
    <w:qFormat/>
    <w:uiPriority w:val="0"/>
    <w:pPr>
      <w:tabs>
        <w:tab w:val="left" w:pos="1497"/>
      </w:tabs>
      <w:adjustRightInd w:val="0"/>
      <w:spacing w:line="400" w:lineRule="atLeast"/>
      <w:ind w:left="1497" w:hanging="420"/>
      <w:textAlignment w:val="baseline"/>
    </w:pPr>
    <w:rPr>
      <w:rFonts w:ascii="Calibri" w:hAnsi="Calibri" w:eastAsia="仿宋"/>
      <w:color w:val="auto"/>
      <w:kern w:val="0"/>
      <w:sz w:val="28"/>
      <w:szCs w:val="20"/>
      <w:lang w:val="zh-CN"/>
    </w:rPr>
  </w:style>
  <w:style w:type="paragraph" w:customStyle="1" w:styleId="239">
    <w:name w:val="Char19"/>
    <w:basedOn w:val="1"/>
    <w:qFormat/>
    <w:uiPriority w:val="0"/>
    <w:pPr>
      <w:autoSpaceDE/>
      <w:autoSpaceDN/>
      <w:adjustRightInd/>
    </w:pPr>
    <w:rPr>
      <w:rFonts w:ascii="Calibri" w:hAnsi="Calibri"/>
      <w:color w:val="auto"/>
      <w:kern w:val="2"/>
      <w:szCs w:val="24"/>
    </w:rPr>
  </w:style>
  <w:style w:type="paragraph" w:customStyle="1" w:styleId="240">
    <w:name w:val="Char Char Char Char Char1 Char"/>
    <w:basedOn w:val="1"/>
    <w:qFormat/>
    <w:uiPriority w:val="0"/>
    <w:pPr>
      <w:autoSpaceDE/>
      <w:autoSpaceDN/>
      <w:adjustRightInd/>
    </w:pPr>
    <w:rPr>
      <w:rFonts w:ascii="Tahoma" w:hAnsi="Tahoma"/>
      <w:color w:val="auto"/>
      <w:kern w:val="2"/>
      <w:sz w:val="24"/>
      <w:szCs w:val="20"/>
    </w:rPr>
  </w:style>
  <w:style w:type="character" w:customStyle="1" w:styleId="241">
    <w:name w:val="HTML 预设格式 Char1"/>
    <w:basedOn w:val="43"/>
    <w:link w:val="34"/>
    <w:semiHidden/>
    <w:qFormat/>
    <w:uiPriority w:val="99"/>
    <w:rPr>
      <w:rFonts w:ascii="Courier New" w:hAnsi="Courier New" w:cs="Courier New"/>
      <w:color w:val="000000"/>
    </w:rPr>
  </w:style>
  <w:style w:type="paragraph" w:customStyle="1" w:styleId="242">
    <w:name w:val="xl36"/>
    <w:basedOn w:val="1"/>
    <w:uiPriority w:val="0"/>
    <w:pPr>
      <w:widowControl/>
      <w:autoSpaceDE/>
      <w:autoSpaceDN/>
      <w:adjustRightInd/>
      <w:spacing w:before="100" w:beforeAutospacing="1" w:after="100" w:afterAutospacing="1"/>
    </w:pPr>
    <w:rPr>
      <w:rFonts w:ascii="宋体" w:hAnsi="宋体"/>
      <w:color w:val="auto"/>
      <w:sz w:val="24"/>
      <w:szCs w:val="24"/>
    </w:rPr>
  </w:style>
  <w:style w:type="paragraph" w:customStyle="1" w:styleId="243">
    <w:name w:val="标题 4P"/>
    <w:basedOn w:val="5"/>
    <w:next w:val="8"/>
    <w:qFormat/>
    <w:uiPriority w:val="0"/>
    <w:pPr>
      <w:keepNext w:val="0"/>
      <w:keepLines w:val="0"/>
      <w:tabs>
        <w:tab w:val="left" w:pos="864"/>
        <w:tab w:val="left" w:pos="1680"/>
        <w:tab w:val="left" w:pos="1716"/>
      </w:tabs>
      <w:autoSpaceDE/>
      <w:autoSpaceDN/>
      <w:spacing w:before="0" w:after="0" w:line="360" w:lineRule="auto"/>
      <w:ind w:left="2160" w:hanging="420"/>
      <w:textAlignment w:val="baseline"/>
    </w:pPr>
    <w:rPr>
      <w:rFonts w:ascii="Times New Roman" w:hAnsi="Times New Roman" w:eastAsia="宋体" w:cs="宋体"/>
      <w:bCs w:val="0"/>
      <w:color w:val="auto"/>
      <w:sz w:val="24"/>
      <w:szCs w:val="24"/>
    </w:rPr>
  </w:style>
  <w:style w:type="paragraph" w:customStyle="1" w:styleId="244">
    <w:name w:val="样式 Tahoma 小四"/>
    <w:basedOn w:val="1"/>
    <w:qFormat/>
    <w:uiPriority w:val="0"/>
    <w:pPr>
      <w:autoSpaceDE/>
      <w:autoSpaceDN/>
      <w:adjustRightInd/>
      <w:spacing w:beforeLines="50"/>
      <w:ind w:firstLine="200" w:firstLineChars="200"/>
    </w:pPr>
    <w:rPr>
      <w:rFonts w:ascii="Tahoma" w:hAnsi="Tahoma" w:cs="宋体"/>
      <w:color w:val="auto"/>
      <w:kern w:val="2"/>
      <w:sz w:val="24"/>
      <w:szCs w:val="20"/>
    </w:rPr>
  </w:style>
  <w:style w:type="paragraph" w:customStyle="1" w:styleId="245">
    <w:name w:val="默认段落字体 Para Char Char Char Char"/>
    <w:basedOn w:val="1"/>
    <w:uiPriority w:val="0"/>
    <w:pPr>
      <w:autoSpaceDE/>
      <w:autoSpaceDN/>
      <w:adjustRightInd/>
    </w:pPr>
    <w:rPr>
      <w:rFonts w:ascii="Calibri" w:hAnsi="Calibri"/>
      <w:color w:val="auto"/>
      <w:kern w:val="2"/>
      <w:szCs w:val="24"/>
    </w:rPr>
  </w:style>
  <w:style w:type="paragraph" w:customStyle="1" w:styleId="246">
    <w:name w:val="样式K"/>
    <w:basedOn w:val="18"/>
    <w:uiPriority w:val="0"/>
    <w:pPr>
      <w:autoSpaceDE/>
      <w:autoSpaceDN/>
      <w:adjustRightInd/>
      <w:spacing w:after="0"/>
      <w:jc w:val="left"/>
    </w:pPr>
    <w:rPr>
      <w:rFonts w:ascii="仿宋_GB2312" w:hAnsi="Book Antiqua" w:eastAsia="仿宋_GB2312"/>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9D381-B211-445C-A748-0D71CEF0AE34}">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29</Pages>
  <Words>3782</Words>
  <Characters>21563</Characters>
  <Lines>179</Lines>
  <Paragraphs>50</Paragraphs>
  <TotalTime>101</TotalTime>
  <ScaleCrop>false</ScaleCrop>
  <LinksUpToDate>false</LinksUpToDate>
  <CharactersWithSpaces>25295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2021-10-18T06:37:00Z</dcterms:created>
  <dc:creator>微软中国</dc:creator>
  <cp:lastModifiedBy>愿你年少有为不自卑</cp:lastModifiedBy>
  <cp:lastPrinted>2021-11-04T02:05:00Z</cp:lastPrinted>
  <dcterms:modified xsi:type="dcterms:W3CDTF">2021-11-04T03:26:29Z</dcterms:modified>
  <dc:title>诸暨市　　　　　　项目</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E1AF21F5F0254C0AA23DD5D6530CEB68</vt:lpwstr>
  </property>
</Properties>
</file>